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39" w:rsidRPr="00AF31F3" w:rsidRDefault="00000439" w:rsidP="00AF31F3">
      <w:pPr>
        <w:pStyle w:val="center"/>
        <w:keepLines w:val="0"/>
        <w:widowControl w:val="0"/>
        <w:spacing w:before="0" w:line="240" w:lineRule="auto"/>
        <w:jc w:val="left"/>
      </w:pPr>
    </w:p>
    <w:p w:rsidR="006D77CD" w:rsidRDefault="000F7A06" w:rsidP="00C2014A">
      <w:pPr>
        <w:suppressLineNumbers/>
        <w:jc w:val="center"/>
        <w:rPr>
          <w:rFonts w:ascii="Times New Roman" w:hAnsi="Times New Roman"/>
          <w:b/>
          <w:sz w:val="24"/>
          <w:szCs w:val="24"/>
        </w:rPr>
      </w:pPr>
      <w:r w:rsidRPr="00F53E71">
        <w:rPr>
          <w:rFonts w:ascii="Times New Roman" w:hAnsi="Times New Roman"/>
          <w:b/>
          <w:sz w:val="24"/>
          <w:szCs w:val="24"/>
        </w:rPr>
        <w:t xml:space="preserve">BEFORE THE </w:t>
      </w:r>
      <w:r w:rsidR="00563A1A">
        <w:rPr>
          <w:rFonts w:ascii="Times New Roman" w:hAnsi="Times New Roman"/>
          <w:b/>
          <w:sz w:val="24"/>
          <w:szCs w:val="24"/>
        </w:rPr>
        <w:t>WASHINGTON UTILITIES AND TRANSPORTATION COMMISSION</w:t>
      </w:r>
    </w:p>
    <w:p w:rsidR="006D77CD" w:rsidRPr="00F53E71" w:rsidRDefault="006D77CD" w:rsidP="000F7A06">
      <w:pPr>
        <w:suppressLineNumbers/>
        <w:jc w:val="center"/>
        <w:rPr>
          <w:rFonts w:ascii="Times New Roman" w:hAnsi="Times New Roman"/>
          <w:b/>
          <w:sz w:val="24"/>
          <w:szCs w:val="24"/>
        </w:rPr>
      </w:pPr>
    </w:p>
    <w:p w:rsidR="000F7A06" w:rsidRPr="00F53E71" w:rsidRDefault="000F7A06" w:rsidP="000F7A06">
      <w:pPr>
        <w:suppressLineNumbers/>
        <w:spacing w:line="19" w:lineRule="exact"/>
        <w:rPr>
          <w:rFonts w:ascii="Times New Roman" w:hAnsi="Times New Roman"/>
          <w:sz w:val="24"/>
          <w:szCs w:val="24"/>
        </w:rPr>
      </w:pPr>
    </w:p>
    <w:tbl>
      <w:tblPr>
        <w:tblpPr w:leftFromText="180" w:rightFromText="180" w:vertAnchor="text" w:tblpY="1"/>
        <w:tblOverlap w:val="never"/>
        <w:tblW w:w="0" w:type="auto"/>
        <w:tblLayout w:type="fixed"/>
        <w:tblLook w:val="0000"/>
      </w:tblPr>
      <w:tblGrid>
        <w:gridCol w:w="4608"/>
        <w:gridCol w:w="360"/>
        <w:gridCol w:w="4608"/>
      </w:tblGrid>
      <w:tr w:rsidR="000F7A06" w:rsidRPr="00F53E71" w:rsidTr="00C2014A">
        <w:trPr>
          <w:trHeight w:val="3600"/>
        </w:trPr>
        <w:tc>
          <w:tcPr>
            <w:tcW w:w="4608" w:type="dxa"/>
          </w:tcPr>
          <w:p w:rsidR="000F7A06" w:rsidRPr="00F53E71" w:rsidRDefault="000F7A06" w:rsidP="00CE63CF">
            <w:pPr>
              <w:suppressLineNumbers/>
              <w:rPr>
                <w:rFonts w:ascii="Times New Roman" w:hAnsi="Times New Roman"/>
                <w:sz w:val="24"/>
                <w:szCs w:val="24"/>
              </w:rPr>
            </w:pPr>
          </w:p>
          <w:p w:rsidR="000F7A06" w:rsidRPr="00F53E71" w:rsidRDefault="00563A1A" w:rsidP="00CE63CF">
            <w:pPr>
              <w:suppressLineNumbers/>
              <w:rPr>
                <w:rFonts w:ascii="Times New Roman" w:hAnsi="Times New Roman"/>
                <w:sz w:val="24"/>
                <w:szCs w:val="24"/>
              </w:rPr>
            </w:pPr>
            <w:r>
              <w:rPr>
                <w:rFonts w:ascii="Times New Roman" w:hAnsi="Times New Roman"/>
                <w:sz w:val="24"/>
                <w:szCs w:val="24"/>
              </w:rPr>
              <w:t>WASHINGTON UTILITIES AND</w:t>
            </w:r>
            <w:r w:rsidR="006D77CD">
              <w:rPr>
                <w:rFonts w:ascii="Times New Roman" w:hAnsi="Times New Roman"/>
                <w:sz w:val="24"/>
                <w:szCs w:val="24"/>
              </w:rPr>
              <w:t xml:space="preserve"> </w:t>
            </w:r>
            <w:r w:rsidR="000F7A06" w:rsidRPr="00F53E71">
              <w:rPr>
                <w:rFonts w:ascii="Times New Roman" w:hAnsi="Times New Roman"/>
                <w:sz w:val="24"/>
                <w:szCs w:val="24"/>
              </w:rPr>
              <w:t xml:space="preserve"> </w:t>
            </w:r>
          </w:p>
          <w:p w:rsidR="000F7A06" w:rsidRDefault="00563A1A" w:rsidP="00CE63CF">
            <w:pPr>
              <w:suppressLineNumbers/>
              <w:rPr>
                <w:rFonts w:ascii="Times New Roman" w:hAnsi="Times New Roman"/>
                <w:sz w:val="24"/>
                <w:szCs w:val="24"/>
              </w:rPr>
            </w:pPr>
            <w:r>
              <w:rPr>
                <w:rFonts w:ascii="Times New Roman" w:hAnsi="Times New Roman"/>
                <w:sz w:val="24"/>
                <w:szCs w:val="24"/>
              </w:rPr>
              <w:t>TRANSPORTATION COMMISSION,</w:t>
            </w:r>
          </w:p>
          <w:p w:rsidR="0038569F" w:rsidRPr="00F53E71" w:rsidRDefault="0038569F" w:rsidP="00CE63CF">
            <w:pPr>
              <w:suppressLineNumbers/>
              <w:rPr>
                <w:rFonts w:ascii="Times New Roman" w:hAnsi="Times New Roman"/>
                <w:sz w:val="24"/>
                <w:szCs w:val="24"/>
              </w:rPr>
            </w:pPr>
          </w:p>
          <w:p w:rsidR="000F7A06" w:rsidRDefault="00563A1A" w:rsidP="00CE63CF">
            <w:pPr>
              <w:suppressLineNumbers/>
              <w:rPr>
                <w:rFonts w:ascii="Times New Roman" w:hAnsi="Times New Roman"/>
                <w:sz w:val="24"/>
                <w:szCs w:val="24"/>
              </w:rPr>
            </w:pPr>
            <w:r>
              <w:rPr>
                <w:rFonts w:ascii="Times New Roman" w:hAnsi="Times New Roman"/>
                <w:sz w:val="24"/>
                <w:szCs w:val="24"/>
              </w:rPr>
              <w:t xml:space="preserve">                      Complainant,</w:t>
            </w:r>
          </w:p>
          <w:p w:rsidR="00563A1A" w:rsidRDefault="00563A1A" w:rsidP="00CE63CF">
            <w:pPr>
              <w:suppressLineNumbers/>
              <w:rPr>
                <w:rFonts w:ascii="Times New Roman" w:hAnsi="Times New Roman"/>
                <w:sz w:val="24"/>
                <w:szCs w:val="24"/>
              </w:rPr>
            </w:pPr>
          </w:p>
          <w:p w:rsidR="00563A1A" w:rsidRDefault="00563A1A" w:rsidP="00CE63CF">
            <w:pPr>
              <w:suppressLineNumbers/>
              <w:jc w:val="center"/>
              <w:rPr>
                <w:rFonts w:ascii="Times New Roman" w:hAnsi="Times New Roman"/>
                <w:sz w:val="24"/>
                <w:szCs w:val="24"/>
              </w:rPr>
            </w:pPr>
            <w:r>
              <w:rPr>
                <w:rFonts w:ascii="Times New Roman" w:hAnsi="Times New Roman"/>
                <w:sz w:val="24"/>
                <w:szCs w:val="24"/>
              </w:rPr>
              <w:t>v.</w:t>
            </w:r>
          </w:p>
          <w:p w:rsidR="00563A1A" w:rsidRDefault="00563A1A" w:rsidP="00CE63CF">
            <w:pPr>
              <w:suppressLineNumbers/>
              <w:rPr>
                <w:rFonts w:ascii="Times New Roman" w:hAnsi="Times New Roman"/>
                <w:sz w:val="24"/>
                <w:szCs w:val="24"/>
              </w:rPr>
            </w:pPr>
          </w:p>
          <w:p w:rsidR="00563A1A" w:rsidRDefault="00B92A9D" w:rsidP="00CE63CF">
            <w:pPr>
              <w:suppressLineNumbers/>
              <w:rPr>
                <w:rFonts w:ascii="Times New Roman" w:hAnsi="Times New Roman"/>
                <w:sz w:val="24"/>
                <w:szCs w:val="24"/>
              </w:rPr>
            </w:pPr>
            <w:r>
              <w:rPr>
                <w:rFonts w:ascii="Times New Roman" w:hAnsi="Times New Roman"/>
                <w:sz w:val="24"/>
                <w:szCs w:val="24"/>
              </w:rPr>
              <w:t>PUGET SOUND EN</w:t>
            </w:r>
            <w:r w:rsidR="009B4A62">
              <w:rPr>
                <w:rFonts w:ascii="Times New Roman" w:hAnsi="Times New Roman"/>
                <w:sz w:val="24"/>
                <w:szCs w:val="24"/>
              </w:rPr>
              <w:t>E</w:t>
            </w:r>
            <w:r>
              <w:rPr>
                <w:rFonts w:ascii="Times New Roman" w:hAnsi="Times New Roman"/>
                <w:sz w:val="24"/>
                <w:szCs w:val="24"/>
              </w:rPr>
              <w:t>RGY, INC.,</w:t>
            </w:r>
          </w:p>
          <w:p w:rsidR="0038569F" w:rsidRDefault="0038569F" w:rsidP="00CE63CF">
            <w:pPr>
              <w:suppressLineNumbers/>
              <w:rPr>
                <w:rFonts w:ascii="Times New Roman" w:hAnsi="Times New Roman"/>
                <w:sz w:val="24"/>
                <w:szCs w:val="24"/>
              </w:rPr>
            </w:pPr>
          </w:p>
          <w:p w:rsidR="00563A1A" w:rsidRPr="00F53E71" w:rsidRDefault="00563A1A" w:rsidP="00CE63CF">
            <w:pPr>
              <w:suppressLineNumbers/>
              <w:rPr>
                <w:rFonts w:ascii="Times New Roman" w:hAnsi="Times New Roman"/>
                <w:sz w:val="24"/>
                <w:szCs w:val="24"/>
              </w:rPr>
            </w:pPr>
            <w:r>
              <w:rPr>
                <w:rFonts w:ascii="Times New Roman" w:hAnsi="Times New Roman"/>
                <w:sz w:val="24"/>
                <w:szCs w:val="24"/>
              </w:rPr>
              <w:t xml:space="preserve">                      Respondent.</w:t>
            </w:r>
          </w:p>
          <w:p w:rsidR="000F7A06" w:rsidRDefault="000F7A06" w:rsidP="00CE63CF">
            <w:pPr>
              <w:suppressLineNumbers/>
              <w:rPr>
                <w:rFonts w:ascii="Times New Roman" w:hAnsi="Times New Roman"/>
                <w:sz w:val="24"/>
                <w:szCs w:val="24"/>
              </w:rPr>
            </w:pPr>
            <w:r w:rsidRPr="00F53E71">
              <w:rPr>
                <w:rFonts w:ascii="Times New Roman" w:hAnsi="Times New Roman"/>
                <w:sz w:val="24"/>
                <w:szCs w:val="24"/>
              </w:rPr>
              <w:tab/>
            </w:r>
            <w:r w:rsidRPr="00F53E71">
              <w:rPr>
                <w:rFonts w:ascii="Times New Roman" w:hAnsi="Times New Roman"/>
                <w:sz w:val="24"/>
                <w:szCs w:val="24"/>
              </w:rPr>
              <w:tab/>
            </w:r>
          </w:p>
          <w:p w:rsidR="00B92A9D" w:rsidRPr="00F53E71" w:rsidRDefault="00B92A9D" w:rsidP="00CE63CF">
            <w:pPr>
              <w:suppressLineNumbers/>
              <w:rPr>
                <w:rFonts w:ascii="Times New Roman" w:hAnsi="Times New Roman"/>
                <w:sz w:val="24"/>
                <w:szCs w:val="24"/>
              </w:rPr>
            </w:pPr>
          </w:p>
          <w:p w:rsidR="000F7A06" w:rsidRPr="00945373" w:rsidRDefault="00F16221" w:rsidP="00945373">
            <w:pPr>
              <w:tabs>
                <w:tab w:val="left" w:pos="2145"/>
              </w:tabs>
              <w:rPr>
                <w:sz w:val="25"/>
                <w:szCs w:val="25"/>
              </w:rPr>
            </w:pPr>
            <w:r>
              <w:rPr>
                <w:sz w:val="25"/>
                <w:szCs w:val="25"/>
              </w:rPr>
              <w:t>_______________________________</w:t>
            </w:r>
            <w:r w:rsidR="009B5C65">
              <w:rPr>
                <w:sz w:val="25"/>
                <w:szCs w:val="25"/>
              </w:rPr>
              <w:t xml:space="preserve"> </w:t>
            </w:r>
          </w:p>
        </w:tc>
        <w:tc>
          <w:tcPr>
            <w:tcW w:w="360" w:type="dxa"/>
          </w:tcPr>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CE63CF" w:rsidRDefault="00CE63CF" w:rsidP="00CE63CF">
            <w:pPr>
              <w:suppressLineNumbers/>
              <w:rPr>
                <w:rFonts w:ascii="Times New Roman" w:hAnsi="Times New Roman"/>
                <w:sz w:val="24"/>
                <w:szCs w:val="24"/>
              </w:rPr>
            </w:pPr>
            <w:r>
              <w:rPr>
                <w:rFonts w:ascii="Times New Roman" w:hAnsi="Times New Roman"/>
                <w:sz w:val="24"/>
                <w:szCs w:val="24"/>
              </w:rPr>
              <w:t>)</w:t>
            </w:r>
          </w:p>
          <w:p w:rsidR="00CE63CF" w:rsidRDefault="00CE63CF" w:rsidP="00CE63CF">
            <w:pPr>
              <w:suppressLineNumbers/>
              <w:rPr>
                <w:rFonts w:ascii="Times New Roman" w:hAnsi="Times New Roman"/>
                <w:sz w:val="24"/>
                <w:szCs w:val="24"/>
              </w:rPr>
            </w:pPr>
            <w:r>
              <w:rPr>
                <w:rFonts w:ascii="Times New Roman" w:hAnsi="Times New Roman"/>
                <w:sz w:val="24"/>
                <w:szCs w:val="24"/>
              </w:rPr>
              <w:t>)</w:t>
            </w:r>
          </w:p>
          <w:p w:rsidR="006232B4" w:rsidRPr="00F53E71" w:rsidRDefault="006232B4" w:rsidP="00CE63CF">
            <w:pPr>
              <w:suppressLineNumbers/>
              <w:rPr>
                <w:rFonts w:ascii="Times New Roman" w:hAnsi="Times New Roman"/>
                <w:sz w:val="24"/>
                <w:szCs w:val="24"/>
              </w:rPr>
            </w:pPr>
            <w:r>
              <w:rPr>
                <w:rFonts w:ascii="Times New Roman" w:hAnsi="Times New Roman"/>
                <w:sz w:val="24"/>
                <w:szCs w:val="24"/>
              </w:rPr>
              <w:t>)</w:t>
            </w:r>
          </w:p>
        </w:tc>
        <w:tc>
          <w:tcPr>
            <w:tcW w:w="4608" w:type="dxa"/>
          </w:tcPr>
          <w:p w:rsidR="000F7A06" w:rsidRPr="00F53E71" w:rsidRDefault="000F7A06" w:rsidP="00CE63CF">
            <w:pPr>
              <w:suppressLineNumbers/>
              <w:rPr>
                <w:rFonts w:ascii="Times New Roman" w:hAnsi="Times New Roman"/>
                <w:sz w:val="24"/>
                <w:szCs w:val="24"/>
              </w:rPr>
            </w:pPr>
          </w:p>
          <w:p w:rsidR="000F7A06" w:rsidRPr="00F53E71" w:rsidRDefault="000F7A06" w:rsidP="00CE63CF">
            <w:pPr>
              <w:suppressLineNumbers/>
              <w:rPr>
                <w:rFonts w:ascii="Times New Roman" w:hAnsi="Times New Roman"/>
                <w:sz w:val="24"/>
                <w:szCs w:val="24"/>
              </w:rPr>
            </w:pPr>
          </w:p>
          <w:p w:rsidR="000F7A06" w:rsidRPr="00F53E71" w:rsidRDefault="000F7A06" w:rsidP="00CE63CF">
            <w:pPr>
              <w:suppressLineNumbers/>
              <w:rPr>
                <w:rFonts w:ascii="Times New Roman" w:hAnsi="Times New Roman"/>
                <w:sz w:val="24"/>
                <w:szCs w:val="24"/>
              </w:rPr>
            </w:pPr>
          </w:p>
          <w:p w:rsidR="000F7A06" w:rsidRPr="00F53E71" w:rsidRDefault="000F7A06" w:rsidP="00CE63CF">
            <w:pPr>
              <w:suppressLineNumbers/>
              <w:rPr>
                <w:rFonts w:ascii="Times New Roman" w:hAnsi="Times New Roman"/>
                <w:sz w:val="24"/>
                <w:szCs w:val="24"/>
              </w:rPr>
            </w:pPr>
          </w:p>
          <w:p w:rsidR="00E4163A" w:rsidRDefault="00E4163A" w:rsidP="006C339E">
            <w:pPr>
              <w:pStyle w:val="Heading3"/>
              <w:ind w:left="792"/>
              <w:rPr>
                <w:rFonts w:ascii="Times New Roman" w:hAnsi="Times New Roman"/>
                <w:b w:val="0"/>
                <w:sz w:val="24"/>
              </w:rPr>
            </w:pPr>
            <w:r>
              <w:rPr>
                <w:rFonts w:ascii="Times New Roman" w:hAnsi="Times New Roman"/>
                <w:b w:val="0"/>
                <w:sz w:val="24"/>
              </w:rPr>
              <w:t xml:space="preserve">Dockets </w:t>
            </w:r>
            <w:r w:rsidRPr="00E4163A">
              <w:rPr>
                <w:rFonts w:ascii="Times New Roman" w:hAnsi="Times New Roman"/>
                <w:b w:val="0"/>
                <w:sz w:val="24"/>
              </w:rPr>
              <w:t>UE-121697 and UG-121705</w:t>
            </w:r>
            <w:r>
              <w:rPr>
                <w:rFonts w:ascii="Times New Roman" w:hAnsi="Times New Roman"/>
                <w:b w:val="0"/>
                <w:sz w:val="24"/>
              </w:rPr>
              <w:t xml:space="preserve"> </w:t>
            </w:r>
            <w:r w:rsidRPr="00656CFC">
              <w:rPr>
                <w:rFonts w:ascii="Times New Roman" w:hAnsi="Times New Roman"/>
                <w:b w:val="0"/>
                <w:i/>
                <w:sz w:val="24"/>
              </w:rPr>
              <w:t>(</w:t>
            </w:r>
            <w:r>
              <w:rPr>
                <w:rFonts w:ascii="Times New Roman" w:hAnsi="Times New Roman"/>
                <w:b w:val="0"/>
                <w:i/>
                <w:sz w:val="24"/>
              </w:rPr>
              <w:t>C</w:t>
            </w:r>
            <w:r w:rsidRPr="00656CFC">
              <w:rPr>
                <w:rFonts w:ascii="Times New Roman" w:hAnsi="Times New Roman"/>
                <w:b w:val="0"/>
                <w:i/>
                <w:sz w:val="24"/>
              </w:rPr>
              <w:t>onsolidated)</w:t>
            </w:r>
          </w:p>
          <w:p w:rsidR="006C339E" w:rsidRPr="00F2295E" w:rsidRDefault="00E4163A" w:rsidP="006C339E">
            <w:pPr>
              <w:pStyle w:val="Heading3"/>
              <w:ind w:left="792"/>
              <w:rPr>
                <w:b w:val="0"/>
              </w:rPr>
            </w:pPr>
            <w:r>
              <w:rPr>
                <w:rFonts w:ascii="Times New Roman" w:hAnsi="Times New Roman"/>
                <w:b w:val="0"/>
                <w:sz w:val="24"/>
              </w:rPr>
              <w:t xml:space="preserve">Dockets </w:t>
            </w:r>
            <w:r w:rsidRPr="00E4163A">
              <w:rPr>
                <w:rFonts w:ascii="Times New Roman" w:hAnsi="Times New Roman"/>
                <w:b w:val="0"/>
                <w:sz w:val="24"/>
              </w:rPr>
              <w:t>UE-130137 and UG-130138</w:t>
            </w:r>
            <w:r w:rsidR="00382E70">
              <w:rPr>
                <w:rFonts w:ascii="Times New Roman" w:hAnsi="Times New Roman"/>
                <w:b w:val="0"/>
                <w:sz w:val="24"/>
              </w:rPr>
              <w:br/>
            </w:r>
            <w:r w:rsidR="00382E70" w:rsidRPr="00656CFC">
              <w:rPr>
                <w:rFonts w:ascii="Times New Roman" w:hAnsi="Times New Roman"/>
                <w:b w:val="0"/>
                <w:i/>
                <w:sz w:val="24"/>
              </w:rPr>
              <w:t>(</w:t>
            </w:r>
            <w:r w:rsidR="00B22737">
              <w:rPr>
                <w:rFonts w:ascii="Times New Roman" w:hAnsi="Times New Roman"/>
                <w:b w:val="0"/>
                <w:i/>
                <w:sz w:val="24"/>
              </w:rPr>
              <w:t>C</w:t>
            </w:r>
            <w:r w:rsidR="00382E70" w:rsidRPr="00656CFC">
              <w:rPr>
                <w:rFonts w:ascii="Times New Roman" w:hAnsi="Times New Roman"/>
                <w:b w:val="0"/>
                <w:i/>
                <w:sz w:val="24"/>
              </w:rPr>
              <w:t>onsolidated)</w:t>
            </w:r>
          </w:p>
          <w:p w:rsidR="000F7A06" w:rsidRPr="00F53E71" w:rsidRDefault="000F7A06" w:rsidP="00EB1712">
            <w:pPr>
              <w:pStyle w:val="Heading3"/>
              <w:ind w:left="792"/>
              <w:rPr>
                <w:rFonts w:ascii="Times New Roman" w:hAnsi="Times New Roman" w:cs="Times New Roman"/>
                <w:sz w:val="24"/>
                <w:szCs w:val="24"/>
              </w:rPr>
            </w:pPr>
          </w:p>
        </w:tc>
      </w:tr>
    </w:tbl>
    <w:p w:rsidR="000F7A06" w:rsidRDefault="000F7A06"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Pr="00F53E71" w:rsidRDefault="00F16221" w:rsidP="000F7A06">
      <w:pPr>
        <w:suppressLineNumbers/>
        <w:rPr>
          <w:rFonts w:ascii="Times New Roman" w:hAnsi="Times New Roman"/>
          <w:sz w:val="24"/>
          <w:szCs w:val="24"/>
        </w:rPr>
      </w:pPr>
    </w:p>
    <w:p w:rsidR="00000439" w:rsidRDefault="00000439" w:rsidP="00000439">
      <w:pPr>
        <w:pStyle w:val="center"/>
        <w:keepLines w:val="0"/>
        <w:widowControl w:val="0"/>
        <w:spacing w:before="0" w:line="240" w:lineRule="auto"/>
        <w:rPr>
          <w:b/>
        </w:rPr>
      </w:pPr>
    </w:p>
    <w:p w:rsidR="00AF31F3" w:rsidRDefault="005C106F" w:rsidP="00000439">
      <w:pPr>
        <w:pStyle w:val="center"/>
        <w:spacing w:before="0" w:line="240" w:lineRule="auto"/>
        <w:rPr>
          <w:b/>
        </w:rPr>
      </w:pPr>
      <w:r>
        <w:rPr>
          <w:b/>
        </w:rPr>
        <w:t>RESPONSE</w:t>
      </w:r>
      <w:r w:rsidR="0005210C">
        <w:rPr>
          <w:b/>
        </w:rPr>
        <w:t xml:space="preserve"> </w:t>
      </w:r>
      <w:r w:rsidR="00000439">
        <w:rPr>
          <w:b/>
        </w:rPr>
        <w:t>TESTIMONY OF</w:t>
      </w:r>
      <w:r w:rsidR="00AF31F3">
        <w:rPr>
          <w:b/>
        </w:rPr>
        <w:t xml:space="preserve"> </w:t>
      </w:r>
      <w:r w:rsidR="00B92A9D">
        <w:rPr>
          <w:b/>
        </w:rPr>
        <w:t>MICHAEL C. DEEN</w:t>
      </w:r>
    </w:p>
    <w:p w:rsidR="00AF31F3" w:rsidRDefault="00AF31F3" w:rsidP="00000439">
      <w:pPr>
        <w:pStyle w:val="center"/>
        <w:spacing w:before="0" w:line="240" w:lineRule="auto"/>
        <w:rPr>
          <w:b/>
        </w:rPr>
      </w:pPr>
    </w:p>
    <w:p w:rsidR="00000439" w:rsidRDefault="00000439" w:rsidP="00000439">
      <w:pPr>
        <w:pStyle w:val="center"/>
        <w:spacing w:before="0" w:line="240" w:lineRule="auto"/>
        <w:rPr>
          <w:b/>
        </w:rPr>
      </w:pPr>
      <w:r>
        <w:rPr>
          <w:b/>
        </w:rPr>
        <w:t xml:space="preserve">ON BEHALF OF </w:t>
      </w:r>
    </w:p>
    <w:p w:rsidR="00785767" w:rsidRDefault="00785767" w:rsidP="00F536E0">
      <w:pPr>
        <w:pStyle w:val="center"/>
        <w:spacing w:before="0" w:line="240" w:lineRule="auto"/>
        <w:jc w:val="left"/>
        <w:rPr>
          <w:b/>
        </w:rPr>
      </w:pPr>
    </w:p>
    <w:p w:rsidR="00000439" w:rsidRDefault="00000439" w:rsidP="00000439">
      <w:pPr>
        <w:pStyle w:val="center"/>
        <w:spacing w:before="0" w:line="240" w:lineRule="auto"/>
        <w:rPr>
          <w:b/>
        </w:rPr>
      </w:pPr>
      <w:r>
        <w:rPr>
          <w:b/>
        </w:rPr>
        <w:t xml:space="preserve">THE INDUSTRIAL CUSTOMERS OF NORTHWEST UTILITIES </w:t>
      </w:r>
    </w:p>
    <w:p w:rsidR="00000439" w:rsidRDefault="00000439" w:rsidP="00000439">
      <w:pPr>
        <w:pStyle w:val="center"/>
        <w:keepLines w:val="0"/>
        <w:widowControl w:val="0"/>
        <w:spacing w:before="0" w:line="240" w:lineRule="auto"/>
        <w:rPr>
          <w:b/>
        </w:rPr>
      </w:pPr>
    </w:p>
    <w:p w:rsidR="007E0C18" w:rsidRDefault="007E0C18" w:rsidP="00000439">
      <w:pPr>
        <w:pStyle w:val="center"/>
        <w:keepLines w:val="0"/>
        <w:widowControl w:val="0"/>
        <w:spacing w:before="0" w:line="240" w:lineRule="auto"/>
        <w:rPr>
          <w:b/>
        </w:rPr>
      </w:pPr>
    </w:p>
    <w:p w:rsidR="007E0C18" w:rsidRDefault="007E0C18" w:rsidP="00000439">
      <w:pPr>
        <w:pStyle w:val="center"/>
        <w:keepLines w:val="0"/>
        <w:widowControl w:val="0"/>
        <w:spacing w:before="0" w:line="240" w:lineRule="auto"/>
        <w:rPr>
          <w:b/>
        </w:rPr>
      </w:pPr>
    </w:p>
    <w:p w:rsidR="0005210C" w:rsidRPr="0005210C" w:rsidRDefault="0005210C" w:rsidP="0005210C">
      <w:pPr>
        <w:rPr>
          <w:rFonts w:ascii="Times New Roman" w:hAnsi="Times New Roman"/>
          <w:sz w:val="24"/>
          <w:szCs w:val="24"/>
        </w:rPr>
      </w:pPr>
    </w:p>
    <w:p w:rsidR="009968F6" w:rsidRDefault="005C106F" w:rsidP="0005210C">
      <w:pPr>
        <w:pStyle w:val="center"/>
        <w:keepLines w:val="0"/>
        <w:widowControl w:val="0"/>
        <w:spacing w:before="0" w:line="240" w:lineRule="auto"/>
        <w:rPr>
          <w:b/>
          <w:szCs w:val="24"/>
        </w:rPr>
        <w:sectPr w:rsidR="009968F6" w:rsidSect="00AF31F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864" w:gutter="0"/>
          <w:pgNumType w:start="1"/>
          <w:cols w:space="720"/>
        </w:sectPr>
      </w:pPr>
      <w:r>
        <w:rPr>
          <w:b/>
          <w:szCs w:val="24"/>
        </w:rPr>
        <w:t>April 26</w:t>
      </w:r>
      <w:r w:rsidR="0005210C" w:rsidRPr="0005210C">
        <w:rPr>
          <w:b/>
          <w:szCs w:val="24"/>
        </w:rPr>
        <w:t xml:space="preserve">, </w:t>
      </w:r>
      <w:r w:rsidR="00B71863" w:rsidRPr="0005210C">
        <w:rPr>
          <w:b/>
          <w:szCs w:val="24"/>
        </w:rPr>
        <w:t>201</w:t>
      </w:r>
      <w:r>
        <w:rPr>
          <w:b/>
          <w:szCs w:val="24"/>
        </w:rPr>
        <w:t>3</w:t>
      </w:r>
    </w:p>
    <w:p w:rsidR="00CE63CF" w:rsidRPr="0005210C" w:rsidRDefault="00CE63CF" w:rsidP="0005210C">
      <w:pPr>
        <w:pStyle w:val="center"/>
        <w:keepLines w:val="0"/>
        <w:widowControl w:val="0"/>
        <w:spacing w:before="0" w:line="240" w:lineRule="auto"/>
        <w:rPr>
          <w:b/>
          <w:szCs w:val="24"/>
        </w:rPr>
      </w:pPr>
    </w:p>
    <w:p w:rsidR="009968F6" w:rsidRPr="009968F6" w:rsidRDefault="009968F6" w:rsidP="009968F6">
      <w:pPr>
        <w:suppressLineNumbers/>
        <w:jc w:val="center"/>
        <w:rPr>
          <w:rFonts w:ascii="Times New Roman" w:hAnsi="Times New Roman"/>
          <w:b/>
          <w:bCs/>
          <w:sz w:val="24"/>
        </w:rPr>
      </w:pPr>
      <w:r w:rsidRPr="009968F6">
        <w:rPr>
          <w:rFonts w:ascii="Times New Roman" w:hAnsi="Times New Roman"/>
          <w:b/>
          <w:bCs/>
          <w:sz w:val="24"/>
        </w:rPr>
        <w:t>TABLE OF CONTENTS TO THE</w:t>
      </w:r>
    </w:p>
    <w:p w:rsidR="009968F6" w:rsidRPr="009968F6" w:rsidRDefault="009968F6" w:rsidP="009968F6">
      <w:pPr>
        <w:suppressLineNumbers/>
        <w:jc w:val="center"/>
        <w:rPr>
          <w:rFonts w:ascii="Times New Roman" w:hAnsi="Times New Roman"/>
          <w:b/>
          <w:sz w:val="24"/>
          <w:szCs w:val="24"/>
        </w:rPr>
      </w:pPr>
      <w:r w:rsidRPr="009968F6">
        <w:rPr>
          <w:rFonts w:ascii="Times New Roman" w:hAnsi="Times New Roman"/>
          <w:b/>
          <w:bCs/>
          <w:sz w:val="24"/>
        </w:rPr>
        <w:t xml:space="preserve">RESPONSE TESTIMONY </w:t>
      </w:r>
      <w:r w:rsidRPr="009968F6">
        <w:rPr>
          <w:rFonts w:ascii="Times New Roman" w:hAnsi="Times New Roman"/>
          <w:b/>
          <w:bCs/>
          <w:sz w:val="24"/>
          <w:szCs w:val="24"/>
        </w:rPr>
        <w:t xml:space="preserve">OF </w:t>
      </w:r>
      <w:r w:rsidRPr="009968F6">
        <w:rPr>
          <w:rFonts w:ascii="Times New Roman" w:hAnsi="Times New Roman"/>
          <w:b/>
          <w:sz w:val="24"/>
          <w:szCs w:val="24"/>
        </w:rPr>
        <w:t>MICHAEL C. DEEN</w:t>
      </w:r>
    </w:p>
    <w:p w:rsidR="009968F6" w:rsidRPr="009968F6" w:rsidRDefault="009968F6" w:rsidP="009968F6">
      <w:pPr>
        <w:suppressLineNumbers/>
        <w:jc w:val="center"/>
        <w:rPr>
          <w:rFonts w:ascii="Times New Roman" w:hAnsi="Times New Roman"/>
          <w:b/>
          <w:sz w:val="24"/>
          <w:szCs w:val="24"/>
        </w:rPr>
      </w:pPr>
    </w:p>
    <w:p w:rsidR="009968F6" w:rsidRPr="009968F6" w:rsidRDefault="009968F6" w:rsidP="009968F6">
      <w:pPr>
        <w:suppressLineNumbers/>
        <w:jc w:val="right"/>
        <w:rPr>
          <w:rFonts w:ascii="Times New Roman" w:hAnsi="Times New Roman"/>
          <w:b/>
          <w:sz w:val="24"/>
          <w:szCs w:val="24"/>
          <w:u w:val="single"/>
        </w:rPr>
      </w:pPr>
      <w:r w:rsidRPr="009968F6">
        <w:rPr>
          <w:rFonts w:ascii="Times New Roman" w:hAnsi="Times New Roman"/>
          <w:b/>
          <w:sz w:val="24"/>
          <w:szCs w:val="24"/>
          <w:u w:val="single"/>
        </w:rPr>
        <w:t>Page</w:t>
      </w:r>
    </w:p>
    <w:p w:rsidR="009968F6" w:rsidRPr="009968F6" w:rsidRDefault="009968F6" w:rsidP="009968F6">
      <w:pPr>
        <w:suppressLineNumbers/>
        <w:rPr>
          <w:rFonts w:ascii="Times New Roman" w:hAnsi="Times New Roman"/>
          <w:b/>
          <w:sz w:val="24"/>
          <w:szCs w:val="24"/>
        </w:rPr>
      </w:pPr>
    </w:p>
    <w:p w:rsidR="009968F6" w:rsidRPr="009968F6" w:rsidRDefault="00372AFD" w:rsidP="009968F6">
      <w:pPr>
        <w:widowControl w:val="0"/>
        <w:suppressLineNumbers/>
        <w:shd w:val="clear" w:color="auto" w:fill="FFFFFF" w:themeFill="background1"/>
        <w:tabs>
          <w:tab w:val="left" w:pos="600"/>
          <w:tab w:val="left" w:pos="1080"/>
          <w:tab w:val="right" w:leader="dot" w:pos="9062"/>
        </w:tabs>
        <w:autoSpaceDE w:val="0"/>
        <w:autoSpaceDN w:val="0"/>
        <w:spacing w:line="480" w:lineRule="auto"/>
        <w:jc w:val="both"/>
        <w:rPr>
          <w:rFonts w:ascii="Calibri" w:hAnsi="Calibri"/>
          <w:bCs/>
          <w:noProof/>
          <w:sz w:val="24"/>
          <w:szCs w:val="24"/>
        </w:rPr>
      </w:pPr>
      <w:hyperlink w:anchor="_Toc354495532" w:history="1">
        <w:r w:rsidR="009968F6" w:rsidRPr="009968F6">
          <w:rPr>
            <w:rFonts w:ascii="Times New Roman" w:hAnsi="Times New Roman" w:cs="Arial"/>
            <w:bCs/>
            <w:noProof/>
            <w:sz w:val="24"/>
          </w:rPr>
          <w:t>I.</w:t>
        </w:r>
        <w:r w:rsidR="009968F6" w:rsidRPr="009968F6">
          <w:rPr>
            <w:rFonts w:ascii="Times New Roman" w:hAnsi="Times New Roman" w:cs="Arial"/>
            <w:bCs/>
            <w:noProof/>
            <w:sz w:val="24"/>
          </w:rPr>
          <w:tab/>
          <w:t>Introduction</w:t>
        </w:r>
        <w:r w:rsidR="009968F6" w:rsidRPr="009968F6">
          <w:rPr>
            <w:rFonts w:ascii="Times New Roman" w:hAnsi="Times New Roman" w:cs="Arial"/>
            <w:bCs/>
            <w:noProof/>
            <w:webHidden/>
            <w:sz w:val="24"/>
            <w:szCs w:val="24"/>
          </w:rPr>
          <w:tab/>
        </w:r>
      </w:hyperlink>
      <w:r w:rsidR="009968F6" w:rsidRPr="009968F6">
        <w:rPr>
          <w:rFonts w:ascii="Times New Roman" w:hAnsi="Times New Roman" w:cs="Arial"/>
          <w:bCs/>
          <w:noProof/>
          <w:sz w:val="24"/>
        </w:rPr>
        <w:t>1</w:t>
      </w:r>
    </w:p>
    <w:p w:rsidR="009968F6" w:rsidRPr="009968F6" w:rsidRDefault="00372AFD" w:rsidP="009968F6">
      <w:pPr>
        <w:widowControl w:val="0"/>
        <w:suppressLineNumbers/>
        <w:shd w:val="clear" w:color="auto" w:fill="FFFFFF" w:themeFill="background1"/>
        <w:tabs>
          <w:tab w:val="left" w:pos="600"/>
          <w:tab w:val="left" w:pos="1080"/>
          <w:tab w:val="right" w:leader="dot" w:pos="9062"/>
        </w:tabs>
        <w:autoSpaceDE w:val="0"/>
        <w:autoSpaceDN w:val="0"/>
        <w:spacing w:line="480" w:lineRule="auto"/>
        <w:jc w:val="both"/>
        <w:rPr>
          <w:rFonts w:ascii="Calibri" w:hAnsi="Calibri"/>
          <w:bCs/>
          <w:noProof/>
          <w:sz w:val="24"/>
          <w:szCs w:val="24"/>
        </w:rPr>
      </w:pPr>
      <w:hyperlink w:anchor="_Toc354495533" w:history="1">
        <w:r w:rsidR="009968F6" w:rsidRPr="009968F6">
          <w:rPr>
            <w:rFonts w:ascii="Times New Roman" w:hAnsi="Times New Roman" w:cs="Arial"/>
            <w:bCs/>
            <w:noProof/>
            <w:sz w:val="24"/>
          </w:rPr>
          <w:t>II.</w:t>
        </w:r>
        <w:r w:rsidR="009968F6" w:rsidRPr="009968F6">
          <w:rPr>
            <w:rFonts w:ascii="Times New Roman" w:hAnsi="Times New Roman" w:cs="Arial"/>
            <w:bCs/>
            <w:noProof/>
            <w:sz w:val="24"/>
          </w:rPr>
          <w:tab/>
          <w:t>Analysis of ERF and Rate Plan Impacts</w:t>
        </w:r>
        <w:r w:rsidR="009968F6" w:rsidRPr="009968F6">
          <w:rPr>
            <w:rFonts w:ascii="Times New Roman" w:hAnsi="Times New Roman" w:cs="Arial"/>
            <w:bCs/>
            <w:noProof/>
            <w:webHidden/>
            <w:sz w:val="24"/>
            <w:szCs w:val="24"/>
          </w:rPr>
          <w:tab/>
        </w:r>
      </w:hyperlink>
      <w:r w:rsidR="009968F6" w:rsidRPr="009968F6">
        <w:rPr>
          <w:rFonts w:ascii="Times New Roman" w:hAnsi="Times New Roman" w:cs="Arial"/>
          <w:bCs/>
          <w:noProof/>
          <w:sz w:val="24"/>
        </w:rPr>
        <w:t>7</w:t>
      </w:r>
    </w:p>
    <w:p w:rsidR="009968F6" w:rsidRPr="009968F6" w:rsidRDefault="00372AFD" w:rsidP="009968F6">
      <w:pPr>
        <w:widowControl w:val="0"/>
        <w:suppressLineNumbers/>
        <w:shd w:val="clear" w:color="auto" w:fill="FFFFFF" w:themeFill="background1"/>
        <w:tabs>
          <w:tab w:val="left" w:pos="600"/>
          <w:tab w:val="left" w:pos="1080"/>
          <w:tab w:val="right" w:leader="dot" w:pos="9062"/>
        </w:tabs>
        <w:autoSpaceDE w:val="0"/>
        <w:autoSpaceDN w:val="0"/>
        <w:spacing w:line="480" w:lineRule="auto"/>
        <w:jc w:val="both"/>
        <w:rPr>
          <w:rFonts w:ascii="Calibri" w:hAnsi="Calibri"/>
          <w:bCs/>
          <w:noProof/>
          <w:sz w:val="24"/>
          <w:szCs w:val="24"/>
        </w:rPr>
      </w:pPr>
      <w:hyperlink w:anchor="_Toc354495537" w:history="1">
        <w:r w:rsidR="009968F6" w:rsidRPr="009968F6">
          <w:rPr>
            <w:rFonts w:ascii="Times New Roman" w:hAnsi="Times New Roman" w:cs="Arial"/>
            <w:bCs/>
            <w:noProof/>
            <w:sz w:val="24"/>
          </w:rPr>
          <w:t>III.</w:t>
        </w:r>
        <w:r w:rsidR="009968F6" w:rsidRPr="009968F6">
          <w:rPr>
            <w:rFonts w:ascii="Times New Roman" w:hAnsi="Times New Roman" w:cs="Arial"/>
            <w:bCs/>
            <w:noProof/>
            <w:sz w:val="24"/>
          </w:rPr>
          <w:tab/>
          <w:t>Analysis of Amended Decoupling Proposal</w:t>
        </w:r>
        <w:r w:rsidR="009968F6" w:rsidRPr="009968F6">
          <w:rPr>
            <w:rFonts w:ascii="Times New Roman" w:hAnsi="Times New Roman" w:cs="Arial"/>
            <w:bCs/>
            <w:noProof/>
            <w:webHidden/>
            <w:sz w:val="24"/>
            <w:szCs w:val="24"/>
          </w:rPr>
          <w:tab/>
        </w:r>
      </w:hyperlink>
      <w:r w:rsidR="009968F6" w:rsidRPr="009968F6">
        <w:rPr>
          <w:rFonts w:ascii="Times New Roman" w:hAnsi="Times New Roman" w:cs="Arial"/>
          <w:bCs/>
          <w:noProof/>
          <w:sz w:val="24"/>
        </w:rPr>
        <w:t>18</w:t>
      </w:r>
    </w:p>
    <w:p w:rsidR="009968F6" w:rsidRPr="009968F6" w:rsidRDefault="00372AFD" w:rsidP="009968F6">
      <w:pPr>
        <w:widowControl w:val="0"/>
        <w:suppressLineNumbers/>
        <w:shd w:val="clear" w:color="auto" w:fill="FFFFFF" w:themeFill="background1"/>
        <w:tabs>
          <w:tab w:val="left" w:pos="600"/>
          <w:tab w:val="left" w:pos="1080"/>
          <w:tab w:val="right" w:leader="dot" w:pos="9062"/>
        </w:tabs>
        <w:autoSpaceDE w:val="0"/>
        <w:autoSpaceDN w:val="0"/>
        <w:spacing w:line="480" w:lineRule="auto"/>
        <w:ind w:left="600"/>
        <w:rPr>
          <w:rFonts w:ascii="Times New Roman" w:hAnsi="Times New Roman" w:cs="Courier New"/>
          <w:noProof/>
          <w:sz w:val="24"/>
          <w:szCs w:val="24"/>
        </w:rPr>
      </w:pPr>
      <w:hyperlink w:anchor="_Toc354495538" w:history="1">
        <w:r w:rsidR="009968F6" w:rsidRPr="009968F6">
          <w:rPr>
            <w:rFonts w:ascii="Times New Roman" w:hAnsi="Times New Roman" w:cs="Courier New"/>
            <w:noProof/>
            <w:sz w:val="24"/>
          </w:rPr>
          <w:t>The WUTC Policy Statement on Decoupling</w:t>
        </w:r>
        <w:r w:rsidR="009968F6" w:rsidRPr="009968F6">
          <w:rPr>
            <w:rFonts w:ascii="Times New Roman" w:hAnsi="Times New Roman" w:cs="Courier New"/>
            <w:noProof/>
            <w:webHidden/>
            <w:sz w:val="24"/>
            <w:szCs w:val="24"/>
          </w:rPr>
          <w:tab/>
        </w:r>
      </w:hyperlink>
      <w:r w:rsidR="009968F6" w:rsidRPr="009968F6">
        <w:rPr>
          <w:rFonts w:ascii="Times New Roman" w:hAnsi="Times New Roman" w:cs="Courier New"/>
          <w:noProof/>
          <w:sz w:val="24"/>
        </w:rPr>
        <w:t>21</w:t>
      </w:r>
    </w:p>
    <w:p w:rsidR="009968F6" w:rsidRPr="009968F6" w:rsidRDefault="00372AFD" w:rsidP="009968F6">
      <w:pPr>
        <w:widowControl w:val="0"/>
        <w:suppressLineNumbers/>
        <w:shd w:val="clear" w:color="auto" w:fill="FFFFFF" w:themeFill="background1"/>
        <w:tabs>
          <w:tab w:val="left" w:pos="600"/>
          <w:tab w:val="left" w:pos="1080"/>
          <w:tab w:val="right" w:leader="dot" w:pos="9062"/>
        </w:tabs>
        <w:autoSpaceDE w:val="0"/>
        <w:autoSpaceDN w:val="0"/>
        <w:spacing w:line="480" w:lineRule="auto"/>
        <w:ind w:left="600"/>
        <w:rPr>
          <w:rFonts w:ascii="Times New Roman" w:hAnsi="Times New Roman" w:cs="Courier New"/>
          <w:noProof/>
          <w:color w:val="0000FF"/>
          <w:sz w:val="24"/>
          <w:szCs w:val="24"/>
          <w:u w:val="single"/>
        </w:rPr>
      </w:pPr>
      <w:hyperlink w:anchor="_Toc354495540" w:history="1">
        <w:r w:rsidR="009968F6" w:rsidRPr="009968F6">
          <w:rPr>
            <w:rFonts w:ascii="Times New Roman" w:hAnsi="Times New Roman" w:cs="Courier New"/>
            <w:noProof/>
            <w:sz w:val="24"/>
          </w:rPr>
          <w:t>K-Factor Rate Plan</w:t>
        </w:r>
        <w:r w:rsidR="009968F6" w:rsidRPr="009968F6">
          <w:rPr>
            <w:rFonts w:ascii="Times New Roman" w:hAnsi="Times New Roman" w:cs="Courier New"/>
            <w:noProof/>
            <w:webHidden/>
            <w:sz w:val="24"/>
            <w:szCs w:val="24"/>
          </w:rPr>
          <w:tab/>
        </w:r>
      </w:hyperlink>
      <w:r w:rsidR="009968F6" w:rsidRPr="009968F6">
        <w:rPr>
          <w:rFonts w:ascii="Times New Roman" w:hAnsi="Times New Roman" w:cs="Courier New"/>
          <w:noProof/>
          <w:sz w:val="24"/>
        </w:rPr>
        <w:t>39</w:t>
      </w:r>
    </w:p>
    <w:p w:rsidR="009968F6" w:rsidRPr="009968F6" w:rsidRDefault="009968F6" w:rsidP="009968F6">
      <w:pPr>
        <w:widowControl w:val="0"/>
        <w:suppressLineNumbers/>
        <w:tabs>
          <w:tab w:val="right" w:leader="dot" w:pos="9062"/>
        </w:tabs>
        <w:autoSpaceDE w:val="0"/>
        <w:autoSpaceDN w:val="0"/>
        <w:spacing w:line="480" w:lineRule="auto"/>
        <w:jc w:val="center"/>
        <w:rPr>
          <w:rFonts w:ascii="Times New Roman" w:hAnsi="Times New Roman" w:cs="Courier New"/>
          <w:b/>
          <w:sz w:val="24"/>
        </w:rPr>
      </w:pPr>
    </w:p>
    <w:p w:rsidR="009968F6" w:rsidRPr="009968F6" w:rsidRDefault="009968F6" w:rsidP="009968F6">
      <w:pPr>
        <w:widowControl w:val="0"/>
        <w:suppressLineNumbers/>
        <w:tabs>
          <w:tab w:val="right" w:leader="dot" w:pos="9062"/>
        </w:tabs>
        <w:autoSpaceDE w:val="0"/>
        <w:autoSpaceDN w:val="0"/>
        <w:spacing w:line="480" w:lineRule="auto"/>
        <w:jc w:val="center"/>
        <w:rPr>
          <w:rFonts w:ascii="Calibri" w:hAnsi="Calibri"/>
          <w:b/>
          <w:sz w:val="24"/>
          <w:szCs w:val="22"/>
        </w:rPr>
      </w:pPr>
      <w:r w:rsidRPr="009968F6">
        <w:rPr>
          <w:rFonts w:ascii="Times New Roman" w:hAnsi="Times New Roman" w:cs="Courier New"/>
          <w:b/>
          <w:sz w:val="24"/>
        </w:rPr>
        <w:t>EXHIBITS</w:t>
      </w:r>
      <w:r w:rsidR="00372AFD" w:rsidRPr="00372AFD">
        <w:rPr>
          <w:rFonts w:ascii="Times New Roman" w:hAnsi="Times New Roman" w:cs="Courier New"/>
          <w:b/>
          <w:sz w:val="24"/>
        </w:rPr>
        <w:fldChar w:fldCharType="begin"/>
      </w:r>
      <w:r w:rsidRPr="009968F6">
        <w:rPr>
          <w:rFonts w:ascii="Times New Roman" w:hAnsi="Times New Roman" w:cs="Courier New"/>
          <w:b/>
          <w:sz w:val="24"/>
        </w:rPr>
        <w:instrText xml:space="preserve"> TOC \o "1-3" \h \z \u </w:instrText>
      </w:r>
      <w:r w:rsidR="00372AFD" w:rsidRPr="00372AFD">
        <w:rPr>
          <w:rFonts w:ascii="Times New Roman" w:hAnsi="Times New Roman" w:cs="Courier New"/>
          <w:b/>
          <w:sz w:val="24"/>
        </w:rPr>
        <w:fldChar w:fldCharType="separate"/>
      </w:r>
    </w:p>
    <w:p w:rsidR="009968F6" w:rsidRPr="009968F6" w:rsidRDefault="00372AFD"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fldChar w:fldCharType="end"/>
      </w:r>
      <w:r w:rsidR="009968F6" w:rsidRPr="009968F6">
        <w:rPr>
          <w:rFonts w:ascii="Times New Roman" w:hAnsi="Times New Roman"/>
          <w:sz w:val="24"/>
          <w:szCs w:val="24"/>
        </w:rPr>
        <w:t>Exhibit No.__</w:t>
      </w:r>
      <w:proofErr w:type="gramStart"/>
      <w:r w:rsidR="009968F6" w:rsidRPr="009968F6">
        <w:rPr>
          <w:rFonts w:ascii="Times New Roman" w:hAnsi="Times New Roman"/>
          <w:sz w:val="24"/>
          <w:szCs w:val="24"/>
        </w:rPr>
        <w:t>_(</w:t>
      </w:r>
      <w:proofErr w:type="gramEnd"/>
      <w:r w:rsidR="009968F6" w:rsidRPr="009968F6">
        <w:rPr>
          <w:rFonts w:ascii="Times New Roman" w:hAnsi="Times New Roman"/>
          <w:sz w:val="24"/>
          <w:szCs w:val="24"/>
        </w:rPr>
        <w:t xml:space="preserve">MPG-2) – Qualification Statement of Michael C. </w:t>
      </w:r>
      <w:proofErr w:type="spellStart"/>
      <w:r w:rsidR="009968F6" w:rsidRPr="009968F6">
        <w:rPr>
          <w:rFonts w:ascii="Times New Roman" w:hAnsi="Times New Roman"/>
          <w:sz w:val="24"/>
          <w:szCs w:val="24"/>
        </w:rPr>
        <w:t>Deen</w:t>
      </w:r>
      <w:proofErr w:type="spellEnd"/>
    </w:p>
    <w:p w:rsidR="009968F6" w:rsidRPr="009968F6" w:rsidRDefault="009968F6"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t>Exhibit No.__</w:t>
      </w:r>
      <w:proofErr w:type="gramStart"/>
      <w:r w:rsidRPr="009968F6">
        <w:rPr>
          <w:rFonts w:ascii="Times New Roman" w:hAnsi="Times New Roman"/>
          <w:sz w:val="24"/>
          <w:szCs w:val="24"/>
        </w:rPr>
        <w:t>_(</w:t>
      </w:r>
      <w:proofErr w:type="gramEnd"/>
      <w:r w:rsidRPr="009968F6">
        <w:rPr>
          <w:rFonts w:ascii="Times New Roman" w:hAnsi="Times New Roman"/>
          <w:sz w:val="24"/>
          <w:szCs w:val="24"/>
        </w:rPr>
        <w:t>MPG-3) – Excerpt of Transcript of Deborah J. Reynolds</w:t>
      </w:r>
    </w:p>
    <w:p w:rsidR="009968F6" w:rsidRPr="009968F6" w:rsidRDefault="009968F6"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t>Exhibit No.__</w:t>
      </w:r>
      <w:proofErr w:type="gramStart"/>
      <w:r w:rsidRPr="009968F6">
        <w:rPr>
          <w:rFonts w:ascii="Times New Roman" w:hAnsi="Times New Roman"/>
          <w:sz w:val="24"/>
          <w:szCs w:val="24"/>
        </w:rPr>
        <w:t>_(</w:t>
      </w:r>
      <w:proofErr w:type="gramEnd"/>
      <w:r w:rsidRPr="009968F6">
        <w:rPr>
          <w:rFonts w:ascii="Times New Roman" w:hAnsi="Times New Roman"/>
          <w:sz w:val="24"/>
          <w:szCs w:val="24"/>
        </w:rPr>
        <w:t xml:space="preserve">MPG-4) – Excerpt of Transcript of Thomas E. </w:t>
      </w:r>
      <w:proofErr w:type="spellStart"/>
      <w:r w:rsidRPr="009968F6">
        <w:rPr>
          <w:rFonts w:ascii="Times New Roman" w:hAnsi="Times New Roman"/>
          <w:sz w:val="24"/>
          <w:szCs w:val="24"/>
        </w:rPr>
        <w:t>Schooley</w:t>
      </w:r>
      <w:proofErr w:type="spellEnd"/>
    </w:p>
    <w:p w:rsidR="009968F6" w:rsidRPr="009968F6" w:rsidRDefault="009968F6"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t>Exhibit No.__</w:t>
      </w:r>
      <w:proofErr w:type="gramStart"/>
      <w:r w:rsidRPr="009968F6">
        <w:rPr>
          <w:rFonts w:ascii="Times New Roman" w:hAnsi="Times New Roman"/>
          <w:sz w:val="24"/>
          <w:szCs w:val="24"/>
        </w:rPr>
        <w:t>_(</w:t>
      </w:r>
      <w:proofErr w:type="gramEnd"/>
      <w:r w:rsidRPr="009968F6">
        <w:rPr>
          <w:rFonts w:ascii="Times New Roman" w:hAnsi="Times New Roman"/>
          <w:sz w:val="24"/>
          <w:szCs w:val="24"/>
        </w:rPr>
        <w:t xml:space="preserve">MPG-5) – Revenue Regulation and Decoupling: A Guide to Theory and    </w:t>
      </w:r>
    </w:p>
    <w:p w:rsidR="009968F6" w:rsidRPr="009968F6" w:rsidRDefault="009968F6"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t xml:space="preserve">                                           Application (Excerpt)                     </w:t>
      </w:r>
    </w:p>
    <w:p w:rsidR="009968F6" w:rsidRPr="009968F6" w:rsidRDefault="009968F6"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t>Exhibit No.__</w:t>
      </w:r>
      <w:proofErr w:type="gramStart"/>
      <w:r w:rsidRPr="009968F6">
        <w:rPr>
          <w:rFonts w:ascii="Times New Roman" w:hAnsi="Times New Roman"/>
          <w:sz w:val="24"/>
          <w:szCs w:val="24"/>
        </w:rPr>
        <w:t>_(</w:t>
      </w:r>
      <w:proofErr w:type="gramEnd"/>
      <w:r w:rsidRPr="009968F6">
        <w:rPr>
          <w:rFonts w:ascii="Times New Roman" w:hAnsi="Times New Roman"/>
          <w:sz w:val="24"/>
          <w:szCs w:val="24"/>
        </w:rPr>
        <w:t>MPG-6) – Rate Impacts and Key Design Elements of Gas and Electric Utility</w:t>
      </w:r>
    </w:p>
    <w:p w:rsidR="009968F6" w:rsidRPr="009968F6" w:rsidRDefault="009968F6"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t xml:space="preserve">                                           Decoupling: A Comprehensive Review (Excerpt)</w:t>
      </w:r>
    </w:p>
    <w:p w:rsidR="009968F6" w:rsidRPr="009968F6" w:rsidRDefault="009968F6"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t>Exhibit No.__</w:t>
      </w:r>
      <w:proofErr w:type="gramStart"/>
      <w:r w:rsidRPr="009968F6">
        <w:rPr>
          <w:rFonts w:ascii="Times New Roman" w:hAnsi="Times New Roman"/>
          <w:sz w:val="24"/>
          <w:szCs w:val="24"/>
        </w:rPr>
        <w:t>_(</w:t>
      </w:r>
      <w:proofErr w:type="gramEnd"/>
      <w:r w:rsidRPr="009968F6">
        <w:rPr>
          <w:rFonts w:ascii="Times New Roman" w:hAnsi="Times New Roman"/>
          <w:sz w:val="24"/>
          <w:szCs w:val="24"/>
        </w:rPr>
        <w:t>MPG-7) – Staff’s Responses to ICNU Data Requests 4.6 and 4.23 in UE-121697</w:t>
      </w:r>
    </w:p>
    <w:p w:rsidR="009968F6" w:rsidRPr="009968F6" w:rsidRDefault="009968F6"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t xml:space="preserve">                                           PSE’s Responses to ICNU Data Requests 2.4 and 3.10 in UE-130137</w:t>
      </w:r>
    </w:p>
    <w:p w:rsidR="00000439" w:rsidRDefault="00000439" w:rsidP="00000439">
      <w:pPr>
        <w:pStyle w:val="center"/>
        <w:keepLines w:val="0"/>
        <w:widowControl w:val="0"/>
        <w:spacing w:before="0" w:line="240" w:lineRule="auto"/>
        <w:rPr>
          <w:b/>
        </w:rPr>
      </w:pPr>
    </w:p>
    <w:p w:rsidR="00AF31F3" w:rsidRDefault="00AF31F3" w:rsidP="00571B64">
      <w:pPr>
        <w:pStyle w:val="center"/>
        <w:keepLines w:val="0"/>
        <w:widowControl w:val="0"/>
        <w:spacing w:before="0" w:line="240" w:lineRule="auto"/>
        <w:rPr>
          <w:b/>
        </w:rPr>
        <w:sectPr w:rsidR="00AF31F3" w:rsidSect="00AF31F3">
          <w:headerReference w:type="default" r:id="rId15"/>
          <w:footerReference w:type="default" r:id="rId16"/>
          <w:pgSz w:w="12240" w:h="15840" w:code="1"/>
          <w:pgMar w:top="1440" w:right="1440" w:bottom="1440" w:left="1440" w:header="720" w:footer="864" w:gutter="0"/>
          <w:pgNumType w:start="1"/>
          <w:cols w:space="720"/>
        </w:sectPr>
      </w:pPr>
    </w:p>
    <w:p w:rsidR="00B92A9D" w:rsidRPr="00C045B7" w:rsidRDefault="004343DA" w:rsidP="004343DA">
      <w:pPr>
        <w:spacing w:line="480" w:lineRule="auto"/>
        <w:jc w:val="center"/>
        <w:rPr>
          <w:rFonts w:ascii="Times New Roman" w:hAnsi="Times New Roman"/>
          <w:b/>
          <w:sz w:val="24"/>
        </w:rPr>
      </w:pPr>
      <w:r w:rsidRPr="00C045B7">
        <w:rPr>
          <w:rFonts w:ascii="Times New Roman" w:hAnsi="Times New Roman"/>
          <w:b/>
          <w:sz w:val="24"/>
        </w:rPr>
        <w:lastRenderedPageBreak/>
        <w:t xml:space="preserve">I. </w:t>
      </w:r>
      <w:r w:rsidR="00C045B7" w:rsidRPr="00C045B7">
        <w:rPr>
          <w:rFonts w:ascii="Times New Roman" w:hAnsi="Times New Roman"/>
          <w:b/>
          <w:sz w:val="24"/>
        </w:rPr>
        <w:tab/>
      </w:r>
      <w:r w:rsidRPr="00C045B7">
        <w:rPr>
          <w:rFonts w:ascii="Times New Roman" w:hAnsi="Times New Roman"/>
          <w:b/>
          <w:sz w:val="24"/>
        </w:rPr>
        <w:t>INTRODUCTION</w:t>
      </w:r>
    </w:p>
    <w:p w:rsidR="00B92A9D" w:rsidRDefault="00B92A9D" w:rsidP="00B92A9D">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004343DA">
        <w:rPr>
          <w:rFonts w:ascii="Times New Roman" w:hAnsi="Times New Roman"/>
          <w:b/>
          <w:sz w:val="24"/>
        </w:rPr>
        <w:t>PLEASE STATE YOUR NAME AND BUSINESS ADDRESS.</w:t>
      </w:r>
    </w:p>
    <w:p w:rsidR="00B92A9D" w:rsidRDefault="00B92A9D" w:rsidP="00B92A9D">
      <w:pPr>
        <w:spacing w:line="480" w:lineRule="auto"/>
        <w:ind w:left="720" w:hanging="720"/>
        <w:rPr>
          <w:rFonts w:ascii="Times New Roman" w:hAnsi="Times New Roman"/>
          <w:sz w:val="24"/>
        </w:rPr>
      </w:pPr>
      <w:r w:rsidRPr="003E7679">
        <w:rPr>
          <w:rFonts w:ascii="Times New Roman" w:hAnsi="Times New Roman"/>
          <w:b/>
          <w:sz w:val="24"/>
        </w:rPr>
        <w:t>A.</w:t>
      </w:r>
      <w:r>
        <w:rPr>
          <w:rFonts w:ascii="Times New Roman" w:hAnsi="Times New Roman"/>
          <w:sz w:val="24"/>
        </w:rPr>
        <w:tab/>
        <w:t>My name is Michael C. Deen</w:t>
      </w:r>
      <w:r w:rsidR="0051788D">
        <w:rPr>
          <w:rFonts w:ascii="Times New Roman" w:hAnsi="Times New Roman"/>
          <w:sz w:val="24"/>
        </w:rPr>
        <w:t>,</w:t>
      </w:r>
      <w:r>
        <w:rPr>
          <w:rFonts w:ascii="Times New Roman" w:hAnsi="Times New Roman"/>
          <w:sz w:val="24"/>
        </w:rPr>
        <w:t xml:space="preserve"> and my business address is 900 Washington Street, Suite 780, Vancouver, Washington 98660.  I am employed by Regulatory and Cogeneration Services, Inc. (“RCS”), a utility rate and consulting firm.</w:t>
      </w:r>
    </w:p>
    <w:p w:rsidR="00605CC3" w:rsidRDefault="00605CC3" w:rsidP="00605CC3">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Pr="00605CC3">
        <w:rPr>
          <w:rFonts w:ascii="Times New Roman" w:hAnsi="Times New Roman"/>
          <w:b/>
          <w:sz w:val="24"/>
        </w:rPr>
        <w:t>PLEASE DESCRIBE YOUR BACKGROUND AND EXPERIENCE.</w:t>
      </w:r>
    </w:p>
    <w:p w:rsidR="00605CC3" w:rsidRDefault="00605CC3" w:rsidP="00B92A9D">
      <w:pPr>
        <w:spacing w:line="480" w:lineRule="auto"/>
        <w:ind w:left="720" w:hanging="720"/>
        <w:rPr>
          <w:rFonts w:ascii="Times New Roman" w:hAnsi="Times New Roman"/>
          <w:sz w:val="24"/>
        </w:rPr>
      </w:pPr>
      <w:r w:rsidRPr="003E7679">
        <w:rPr>
          <w:rFonts w:ascii="Times New Roman" w:hAnsi="Times New Roman"/>
          <w:b/>
          <w:sz w:val="24"/>
        </w:rPr>
        <w:t>A.</w:t>
      </w:r>
      <w:r>
        <w:rPr>
          <w:rFonts w:ascii="Times New Roman" w:hAnsi="Times New Roman"/>
          <w:sz w:val="24"/>
        </w:rPr>
        <w:tab/>
      </w:r>
      <w:r>
        <w:rPr>
          <w:rFonts w:ascii="Times New Roman" w:hAnsi="Times New Roman"/>
          <w:sz w:val="24"/>
          <w:szCs w:val="24"/>
        </w:rPr>
        <w:t>I have been involved in the electric utility industry for over 6 years.  During that time, I have served as an analyst and expert on a variety of power supply, cost, ratemaking, and policy topics—primarily regarding the Bonneville Power Administration and Pacific Northwest utilities.  I provided testimony on behalf of the Industrial Customers of the Northwest Utilities (“ICNU”) before the Washington Utilities and Transportation Commission (the “Commission”</w:t>
      </w:r>
      <w:r w:rsidR="00325F89">
        <w:rPr>
          <w:rFonts w:ascii="Times New Roman" w:hAnsi="Times New Roman"/>
          <w:sz w:val="24"/>
          <w:szCs w:val="24"/>
        </w:rPr>
        <w:t xml:space="preserve"> or “WUTC”</w:t>
      </w:r>
      <w:r>
        <w:rPr>
          <w:rFonts w:ascii="Times New Roman" w:hAnsi="Times New Roman"/>
          <w:sz w:val="24"/>
          <w:szCs w:val="24"/>
        </w:rPr>
        <w:t>) in the Puget Sound Energy general rate case, consolidated dockets UE-111048/UG-111049, in the PacifiCorp Washington general rate case, docket UE-111190, and in the Avista decoupling proceeding, consolidated dockets UE-110876/UG-110877.  A further description of my educational background and work experie</w:t>
      </w:r>
      <w:r w:rsidR="00C73386">
        <w:rPr>
          <w:rFonts w:ascii="Times New Roman" w:hAnsi="Times New Roman"/>
          <w:sz w:val="24"/>
          <w:szCs w:val="24"/>
        </w:rPr>
        <w:t>nce can be found in Exhibit No.</w:t>
      </w:r>
      <w:r>
        <w:rPr>
          <w:rFonts w:ascii="Times New Roman" w:hAnsi="Times New Roman"/>
          <w:sz w:val="24"/>
          <w:szCs w:val="24"/>
        </w:rPr>
        <w:t>___</w:t>
      </w:r>
      <w:r w:rsidR="00626B8F">
        <w:rPr>
          <w:rFonts w:ascii="Times New Roman" w:hAnsi="Times New Roman"/>
          <w:sz w:val="24"/>
          <w:szCs w:val="24"/>
        </w:rPr>
        <w:t xml:space="preserve"> </w:t>
      </w:r>
      <w:r w:rsidR="00C73386">
        <w:rPr>
          <w:rFonts w:ascii="Times New Roman" w:hAnsi="Times New Roman"/>
          <w:sz w:val="24"/>
          <w:szCs w:val="24"/>
        </w:rPr>
        <w:t>(MCD-2)</w:t>
      </w:r>
      <w:r>
        <w:rPr>
          <w:rFonts w:ascii="Times New Roman" w:hAnsi="Times New Roman"/>
          <w:sz w:val="24"/>
        </w:rPr>
        <w:t>.</w:t>
      </w:r>
    </w:p>
    <w:p w:rsidR="00B92A9D" w:rsidRDefault="00B92A9D" w:rsidP="00B92A9D">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00625DAC" w:rsidRPr="00625DAC">
        <w:rPr>
          <w:rFonts w:ascii="Times New Roman" w:hAnsi="Times New Roman"/>
          <w:b/>
          <w:sz w:val="24"/>
        </w:rPr>
        <w:t>ON WHOSE BEHALF ARE YOU APPEARING IN THIS PROCEEDING</w:t>
      </w:r>
      <w:r w:rsidR="00B91E0B">
        <w:rPr>
          <w:rFonts w:ascii="Times New Roman" w:hAnsi="Times New Roman"/>
          <w:b/>
          <w:sz w:val="24"/>
        </w:rPr>
        <w:t>?</w:t>
      </w:r>
    </w:p>
    <w:p w:rsidR="00B92A9D" w:rsidRPr="004E3438" w:rsidRDefault="00B92A9D" w:rsidP="00B92A9D">
      <w:pPr>
        <w:spacing w:line="480" w:lineRule="auto"/>
        <w:ind w:left="720" w:hanging="720"/>
        <w:rPr>
          <w:rFonts w:ascii="Times New Roman" w:hAnsi="Times New Roman"/>
          <w:sz w:val="24"/>
        </w:rPr>
      </w:pPr>
      <w:r w:rsidRPr="003E7679">
        <w:rPr>
          <w:rFonts w:ascii="Times New Roman" w:hAnsi="Times New Roman"/>
          <w:b/>
          <w:sz w:val="24"/>
        </w:rPr>
        <w:t>A.</w:t>
      </w:r>
      <w:r>
        <w:rPr>
          <w:rFonts w:ascii="Times New Roman" w:hAnsi="Times New Roman"/>
          <w:sz w:val="24"/>
        </w:rPr>
        <w:tab/>
      </w:r>
      <w:r w:rsidR="00625DAC">
        <w:rPr>
          <w:rFonts w:ascii="Times New Roman" w:hAnsi="Times New Roman"/>
          <w:sz w:val="24"/>
          <w:szCs w:val="24"/>
        </w:rPr>
        <w:t>I am testifying on behalf of ICNU.  ICNU is a non-profit trade association whose members are large industrial customers served by electric utilities throughout the Pacific Northwest, including Puget Sound Energy (“PSE”</w:t>
      </w:r>
      <w:r w:rsidR="00EF4218">
        <w:rPr>
          <w:rFonts w:ascii="Times New Roman" w:hAnsi="Times New Roman"/>
          <w:sz w:val="24"/>
          <w:szCs w:val="24"/>
        </w:rPr>
        <w:t xml:space="preserve"> or the “Company”</w:t>
      </w:r>
      <w:r w:rsidR="00625DAC">
        <w:rPr>
          <w:rFonts w:ascii="Times New Roman" w:hAnsi="Times New Roman"/>
          <w:sz w:val="24"/>
          <w:szCs w:val="24"/>
        </w:rPr>
        <w:t>)</w:t>
      </w:r>
      <w:r w:rsidR="00104373">
        <w:rPr>
          <w:rFonts w:ascii="Times New Roman" w:hAnsi="Times New Roman"/>
          <w:sz w:val="24"/>
        </w:rPr>
        <w:t>.</w:t>
      </w:r>
    </w:p>
    <w:p w:rsidR="00B92A9D" w:rsidRDefault="00B92A9D" w:rsidP="005D1A25">
      <w:pPr>
        <w:keepNext/>
        <w:keepLines/>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00625DAC">
        <w:rPr>
          <w:rFonts w:ascii="Times New Roman" w:hAnsi="Times New Roman"/>
          <w:b/>
          <w:sz w:val="24"/>
        </w:rPr>
        <w:t>WHAT IS THE PURPOSE OF YOUR</w:t>
      </w:r>
      <w:r w:rsidR="000C56F6">
        <w:rPr>
          <w:rFonts w:ascii="Times New Roman" w:hAnsi="Times New Roman"/>
          <w:b/>
          <w:sz w:val="24"/>
        </w:rPr>
        <w:t xml:space="preserve"> TESTIMONY?</w:t>
      </w:r>
    </w:p>
    <w:p w:rsidR="000C56F6" w:rsidRDefault="000C56F6" w:rsidP="004E399E">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D94FF7" w:rsidRPr="00D94FF7">
        <w:rPr>
          <w:rFonts w:ascii="Times New Roman" w:hAnsi="Times New Roman"/>
          <w:sz w:val="24"/>
        </w:rPr>
        <w:t>The purpose of this testimony is to address the proposed Multiparty Settlement</w:t>
      </w:r>
      <w:r w:rsidR="00B362BD">
        <w:rPr>
          <w:rFonts w:ascii="Times New Roman" w:hAnsi="Times New Roman"/>
          <w:sz w:val="24"/>
        </w:rPr>
        <w:t xml:space="preserve"> (“Global Settlement”)</w:t>
      </w:r>
      <w:r w:rsidR="00BD6B2A">
        <w:rPr>
          <w:rFonts w:ascii="Times New Roman" w:hAnsi="Times New Roman"/>
          <w:sz w:val="24"/>
        </w:rPr>
        <w:t xml:space="preserve"> that proposes to settle</w:t>
      </w:r>
      <w:r w:rsidR="00D94FF7" w:rsidRPr="00D94FF7">
        <w:rPr>
          <w:rFonts w:ascii="Times New Roman" w:hAnsi="Times New Roman"/>
          <w:sz w:val="24"/>
        </w:rPr>
        <w:t xml:space="preserve"> issues related to PSE's Petition for Reconsideration </w:t>
      </w:r>
      <w:r w:rsidR="00D94FF7" w:rsidRPr="00D94FF7">
        <w:rPr>
          <w:rFonts w:ascii="Times New Roman" w:hAnsi="Times New Roman"/>
          <w:sz w:val="24"/>
        </w:rPr>
        <w:lastRenderedPageBreak/>
        <w:t>and Motion to Reopen the Record filed on January 22, 2013 ("Petition For Reconsideration") in Docket UE-121373</w:t>
      </w:r>
      <w:r w:rsidR="00B362BD">
        <w:rPr>
          <w:rFonts w:ascii="Times New Roman" w:hAnsi="Times New Roman"/>
          <w:sz w:val="24"/>
        </w:rPr>
        <w:t>,</w:t>
      </w:r>
      <w:r w:rsidR="00D94FF7" w:rsidRPr="00D94FF7">
        <w:rPr>
          <w:rFonts w:ascii="Times New Roman" w:hAnsi="Times New Roman"/>
          <w:sz w:val="24"/>
        </w:rPr>
        <w:t xml:space="preserve"> </w:t>
      </w:r>
      <w:r w:rsidR="00B362BD">
        <w:rPr>
          <w:rFonts w:ascii="Times New Roman" w:hAnsi="Times New Roman"/>
          <w:sz w:val="24"/>
        </w:rPr>
        <w:t>issues in the</w:t>
      </w:r>
      <w:r w:rsidR="00D94FF7" w:rsidRPr="00D94FF7">
        <w:rPr>
          <w:rFonts w:ascii="Times New Roman" w:hAnsi="Times New Roman"/>
          <w:sz w:val="24"/>
        </w:rPr>
        <w:t xml:space="preserve"> joint petition for decoupling in Dockets UE-121697 and UG-121705</w:t>
      </w:r>
      <w:r w:rsidR="00B362BD">
        <w:rPr>
          <w:rFonts w:ascii="Times New Roman" w:hAnsi="Times New Roman"/>
          <w:sz w:val="24"/>
        </w:rPr>
        <w:t>,</w:t>
      </w:r>
      <w:r w:rsidR="00D94FF7" w:rsidRPr="00D94FF7">
        <w:rPr>
          <w:rFonts w:ascii="Times New Roman" w:hAnsi="Times New Roman"/>
          <w:sz w:val="24"/>
        </w:rPr>
        <w:t xml:space="preserve"> and</w:t>
      </w:r>
      <w:r w:rsidR="00BD6B2A">
        <w:rPr>
          <w:rFonts w:ascii="Times New Roman" w:hAnsi="Times New Roman"/>
          <w:sz w:val="24"/>
        </w:rPr>
        <w:t xml:space="preserve"> issues</w:t>
      </w:r>
      <w:r w:rsidR="00D94FF7" w:rsidRPr="00D94FF7">
        <w:rPr>
          <w:rFonts w:ascii="Times New Roman" w:hAnsi="Times New Roman"/>
          <w:sz w:val="24"/>
        </w:rPr>
        <w:t xml:space="preserve"> </w:t>
      </w:r>
      <w:r w:rsidR="00B362BD">
        <w:rPr>
          <w:rFonts w:ascii="Times New Roman" w:hAnsi="Times New Roman"/>
          <w:sz w:val="24"/>
        </w:rPr>
        <w:t xml:space="preserve">in </w:t>
      </w:r>
      <w:r w:rsidR="00D94FF7" w:rsidRPr="00D94FF7">
        <w:rPr>
          <w:rFonts w:ascii="Times New Roman" w:hAnsi="Times New Roman"/>
          <w:sz w:val="24"/>
        </w:rPr>
        <w:t>PSE’s Expedited Rate Filing (“ERF”) in Dockets UE-130137 and UG-130138.  In addition to addressing the overall merits of the settlement proposal as a package, this testimony will also address aspects of the underlying proposals and circumstances of the cases involved in the Global Settlement</w:t>
      </w:r>
      <w:r w:rsidR="00D94FF7">
        <w:rPr>
          <w:rFonts w:ascii="Times New Roman" w:hAnsi="Times New Roman"/>
          <w:sz w:val="24"/>
        </w:rPr>
        <w:t xml:space="preserve">, particularly as related to the ERF, </w:t>
      </w:r>
      <w:r w:rsidR="00B362BD">
        <w:rPr>
          <w:rFonts w:ascii="Times New Roman" w:hAnsi="Times New Roman"/>
          <w:sz w:val="24"/>
        </w:rPr>
        <w:t xml:space="preserve">the </w:t>
      </w:r>
      <w:r w:rsidR="00D94FF7">
        <w:rPr>
          <w:rFonts w:ascii="Times New Roman" w:hAnsi="Times New Roman"/>
          <w:sz w:val="24"/>
        </w:rPr>
        <w:t xml:space="preserve">decoupling proposal, and </w:t>
      </w:r>
      <w:r w:rsidR="00B362BD">
        <w:rPr>
          <w:rFonts w:ascii="Times New Roman" w:hAnsi="Times New Roman"/>
          <w:sz w:val="24"/>
        </w:rPr>
        <w:t xml:space="preserve">the </w:t>
      </w:r>
      <w:r w:rsidR="00D94FF7">
        <w:rPr>
          <w:rFonts w:ascii="Times New Roman" w:hAnsi="Times New Roman"/>
          <w:sz w:val="24"/>
        </w:rPr>
        <w:t>associated rate plan</w:t>
      </w:r>
      <w:r w:rsidR="00D94FF7" w:rsidRPr="00D94FF7">
        <w:rPr>
          <w:rFonts w:ascii="Times New Roman" w:hAnsi="Times New Roman"/>
          <w:sz w:val="24"/>
        </w:rPr>
        <w:t>.</w:t>
      </w:r>
    </w:p>
    <w:p w:rsidR="00816CB7" w:rsidRDefault="00816CB7" w:rsidP="00D33813">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 xml:space="preserve">WOULD THE </w:t>
      </w:r>
      <w:r w:rsidR="00B362BD">
        <w:rPr>
          <w:rFonts w:ascii="Times New Roman" w:hAnsi="Times New Roman"/>
          <w:b/>
          <w:sz w:val="24"/>
        </w:rPr>
        <w:t xml:space="preserve">GLOBAL </w:t>
      </w:r>
      <w:r>
        <w:rPr>
          <w:rFonts w:ascii="Times New Roman" w:hAnsi="Times New Roman"/>
          <w:b/>
          <w:sz w:val="24"/>
        </w:rPr>
        <w:t>SETTLEMENT</w:t>
      </w:r>
      <w:r w:rsidR="00B362BD">
        <w:rPr>
          <w:rFonts w:ascii="Times New Roman" w:hAnsi="Times New Roman"/>
          <w:b/>
          <w:sz w:val="24"/>
        </w:rPr>
        <w:t>,</w:t>
      </w:r>
      <w:r>
        <w:rPr>
          <w:rFonts w:ascii="Times New Roman" w:hAnsi="Times New Roman"/>
          <w:b/>
          <w:sz w:val="24"/>
        </w:rPr>
        <w:t xml:space="preserve"> </w:t>
      </w:r>
      <w:r w:rsidR="00626B8F">
        <w:rPr>
          <w:rFonts w:ascii="Times New Roman" w:hAnsi="Times New Roman"/>
          <w:b/>
          <w:sz w:val="24"/>
        </w:rPr>
        <w:t>IF IMPLEMENTED</w:t>
      </w:r>
      <w:r w:rsidR="00B362BD">
        <w:rPr>
          <w:rFonts w:ascii="Times New Roman" w:hAnsi="Times New Roman"/>
          <w:b/>
          <w:sz w:val="24"/>
        </w:rPr>
        <w:t>,</w:t>
      </w:r>
      <w:r w:rsidR="00626B8F">
        <w:rPr>
          <w:rFonts w:ascii="Times New Roman" w:hAnsi="Times New Roman"/>
          <w:b/>
          <w:sz w:val="24"/>
        </w:rPr>
        <w:t xml:space="preserve"> </w:t>
      </w:r>
      <w:r>
        <w:rPr>
          <w:rFonts w:ascii="Times New Roman" w:hAnsi="Times New Roman"/>
          <w:b/>
          <w:sz w:val="24"/>
        </w:rPr>
        <w:t>CRE</w:t>
      </w:r>
      <w:r w:rsidR="00BD6B2A">
        <w:rPr>
          <w:rFonts w:ascii="Times New Roman" w:hAnsi="Times New Roman"/>
          <w:b/>
          <w:sz w:val="24"/>
        </w:rPr>
        <w:t xml:space="preserve">ATE RATES THAT ARE JUST, FAIR, </w:t>
      </w:r>
      <w:r>
        <w:rPr>
          <w:rFonts w:ascii="Times New Roman" w:hAnsi="Times New Roman"/>
          <w:b/>
          <w:sz w:val="24"/>
        </w:rPr>
        <w:t>REASONABLE, AND SUFFICIENT?</w:t>
      </w:r>
    </w:p>
    <w:p w:rsidR="00816CB7" w:rsidRDefault="00816CB7" w:rsidP="00816CB7">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sidR="00D8071C">
        <w:rPr>
          <w:rFonts w:ascii="Times New Roman" w:hAnsi="Times New Roman"/>
          <w:sz w:val="24"/>
          <w:szCs w:val="24"/>
        </w:rPr>
        <w:t>No</w:t>
      </w:r>
      <w:r>
        <w:rPr>
          <w:rFonts w:ascii="Times New Roman" w:hAnsi="Times New Roman"/>
          <w:sz w:val="24"/>
          <w:szCs w:val="24"/>
        </w:rPr>
        <w:t>.  PSE and Staff have made clear that the decoupling</w:t>
      </w:r>
      <w:r w:rsidR="00BD6B2A">
        <w:rPr>
          <w:rFonts w:ascii="Times New Roman" w:hAnsi="Times New Roman"/>
          <w:sz w:val="24"/>
          <w:szCs w:val="24"/>
        </w:rPr>
        <w:t xml:space="preserve"> mechanism</w:t>
      </w:r>
      <w:r>
        <w:rPr>
          <w:rFonts w:ascii="Times New Roman" w:hAnsi="Times New Roman"/>
          <w:sz w:val="24"/>
          <w:szCs w:val="24"/>
        </w:rPr>
        <w:t xml:space="preserve">, rate plan, and </w:t>
      </w:r>
      <w:r w:rsidR="00F47034">
        <w:rPr>
          <w:rFonts w:ascii="Times New Roman" w:hAnsi="Times New Roman"/>
          <w:sz w:val="24"/>
          <w:szCs w:val="24"/>
        </w:rPr>
        <w:t xml:space="preserve">ERF </w:t>
      </w:r>
      <w:r>
        <w:rPr>
          <w:rFonts w:ascii="Times New Roman" w:hAnsi="Times New Roman"/>
          <w:sz w:val="24"/>
          <w:szCs w:val="24"/>
        </w:rPr>
        <w:t xml:space="preserve">mechanisms </w:t>
      </w:r>
      <w:r w:rsidR="00DF6BB0">
        <w:rPr>
          <w:rFonts w:ascii="Times New Roman" w:hAnsi="Times New Roman"/>
          <w:sz w:val="24"/>
          <w:szCs w:val="24"/>
        </w:rPr>
        <w:t xml:space="preserve">promoted by the </w:t>
      </w:r>
      <w:r w:rsidR="009726C2">
        <w:rPr>
          <w:rFonts w:ascii="Times New Roman" w:hAnsi="Times New Roman"/>
          <w:sz w:val="24"/>
          <w:szCs w:val="24"/>
        </w:rPr>
        <w:t xml:space="preserve">Global </w:t>
      </w:r>
      <w:r w:rsidR="00DF6BB0">
        <w:rPr>
          <w:rFonts w:ascii="Times New Roman" w:hAnsi="Times New Roman"/>
          <w:sz w:val="24"/>
          <w:szCs w:val="24"/>
        </w:rPr>
        <w:t xml:space="preserve">Settlement </w:t>
      </w:r>
      <w:r>
        <w:rPr>
          <w:rFonts w:ascii="Times New Roman" w:hAnsi="Times New Roman"/>
          <w:sz w:val="24"/>
          <w:szCs w:val="24"/>
        </w:rPr>
        <w:t>are meant to work together to cumulatively set rates</w:t>
      </w:r>
      <w:r w:rsidR="00D60BD4">
        <w:rPr>
          <w:rFonts w:ascii="Times New Roman" w:hAnsi="Times New Roman"/>
          <w:sz w:val="24"/>
          <w:szCs w:val="24"/>
        </w:rPr>
        <w:t xml:space="preserve"> between 2013</w:t>
      </w:r>
      <w:r w:rsidR="00BD6B2A">
        <w:rPr>
          <w:rFonts w:ascii="Times New Roman" w:hAnsi="Times New Roman"/>
          <w:sz w:val="24"/>
          <w:szCs w:val="24"/>
        </w:rPr>
        <w:t>, and</w:t>
      </w:r>
      <w:r>
        <w:rPr>
          <w:rFonts w:ascii="Times New Roman" w:hAnsi="Times New Roman"/>
          <w:sz w:val="24"/>
          <w:szCs w:val="24"/>
        </w:rPr>
        <w:t xml:space="preserve"> until at least February of 2016, possibly until February of 2017, and will involve </w:t>
      </w:r>
      <w:r w:rsidR="00653D48">
        <w:rPr>
          <w:rFonts w:ascii="Times New Roman" w:hAnsi="Times New Roman"/>
          <w:sz w:val="24"/>
          <w:szCs w:val="24"/>
        </w:rPr>
        <w:t xml:space="preserve">cumulative </w:t>
      </w:r>
      <w:r>
        <w:rPr>
          <w:rFonts w:ascii="Times New Roman" w:hAnsi="Times New Roman"/>
          <w:sz w:val="24"/>
          <w:szCs w:val="24"/>
        </w:rPr>
        <w:t xml:space="preserve">rate increases of </w:t>
      </w:r>
      <w:r w:rsidR="00653D48">
        <w:rPr>
          <w:rFonts w:ascii="Times New Roman" w:hAnsi="Times New Roman"/>
          <w:sz w:val="24"/>
          <w:szCs w:val="24"/>
        </w:rPr>
        <w:t>up to nearly $3</w:t>
      </w:r>
      <w:r w:rsidR="003329E4">
        <w:rPr>
          <w:rFonts w:ascii="Times New Roman" w:hAnsi="Times New Roman"/>
          <w:sz w:val="24"/>
          <w:szCs w:val="24"/>
        </w:rPr>
        <w:t>51</w:t>
      </w:r>
      <w:r w:rsidR="00653D48">
        <w:rPr>
          <w:rFonts w:ascii="Times New Roman" w:hAnsi="Times New Roman"/>
          <w:sz w:val="24"/>
          <w:szCs w:val="24"/>
        </w:rPr>
        <w:t xml:space="preserve"> million ($227 million from decoupling and rate plan charges and $12</w:t>
      </w:r>
      <w:r w:rsidR="003329E4">
        <w:rPr>
          <w:rFonts w:ascii="Times New Roman" w:hAnsi="Times New Roman"/>
          <w:sz w:val="24"/>
          <w:szCs w:val="24"/>
        </w:rPr>
        <w:t>3</w:t>
      </w:r>
      <w:r w:rsidR="00653D48">
        <w:rPr>
          <w:rFonts w:ascii="Times New Roman" w:hAnsi="Times New Roman"/>
          <w:sz w:val="24"/>
          <w:szCs w:val="24"/>
        </w:rPr>
        <w:t xml:space="preserve"> million</w:t>
      </w:r>
      <w:r w:rsidR="00E51797">
        <w:rPr>
          <w:rFonts w:ascii="Times New Roman" w:hAnsi="Times New Roman"/>
          <w:sz w:val="24"/>
          <w:szCs w:val="24"/>
        </w:rPr>
        <w:t xml:space="preserve"> in ERF revenues</w:t>
      </w:r>
      <w:r w:rsidR="00653D48">
        <w:rPr>
          <w:rFonts w:ascii="Times New Roman" w:hAnsi="Times New Roman"/>
          <w:sz w:val="24"/>
          <w:szCs w:val="24"/>
        </w:rPr>
        <w:t xml:space="preserve"> through February 2017 relative to current rates).  </w:t>
      </w:r>
      <w:r w:rsidR="00004FFC">
        <w:rPr>
          <w:rFonts w:ascii="Times New Roman" w:hAnsi="Times New Roman"/>
          <w:sz w:val="24"/>
          <w:szCs w:val="24"/>
        </w:rPr>
        <w:t xml:space="preserve">  T</w:t>
      </w:r>
      <w:r>
        <w:rPr>
          <w:rFonts w:ascii="Times New Roman" w:hAnsi="Times New Roman"/>
          <w:sz w:val="24"/>
          <w:szCs w:val="24"/>
        </w:rPr>
        <w:t>his three-part ra</w:t>
      </w:r>
      <w:r w:rsidR="00004FFC">
        <w:rPr>
          <w:rFonts w:ascii="Times New Roman" w:hAnsi="Times New Roman"/>
          <w:sz w:val="24"/>
          <w:szCs w:val="24"/>
        </w:rPr>
        <w:t xml:space="preserve">te regime breaks from the Commission’s </w:t>
      </w:r>
      <w:r>
        <w:rPr>
          <w:rFonts w:ascii="Times New Roman" w:hAnsi="Times New Roman"/>
          <w:sz w:val="24"/>
          <w:szCs w:val="24"/>
        </w:rPr>
        <w:t>cost-based rate methodology, meaning that there is no way of knowing whether these increases will ref</w:t>
      </w:r>
      <w:r w:rsidR="00DF6BB0">
        <w:rPr>
          <w:rFonts w:ascii="Times New Roman" w:hAnsi="Times New Roman"/>
          <w:sz w:val="24"/>
          <w:szCs w:val="24"/>
        </w:rPr>
        <w:t xml:space="preserve">lect PSE’s actual revenue </w:t>
      </w:r>
      <w:r w:rsidR="00B362BD">
        <w:rPr>
          <w:rFonts w:ascii="Times New Roman" w:hAnsi="Times New Roman"/>
          <w:sz w:val="24"/>
          <w:szCs w:val="24"/>
        </w:rPr>
        <w:t xml:space="preserve">requirement </w:t>
      </w:r>
      <w:r w:rsidR="00DF6BB0">
        <w:rPr>
          <w:rFonts w:ascii="Times New Roman" w:hAnsi="Times New Roman"/>
          <w:sz w:val="24"/>
          <w:szCs w:val="24"/>
        </w:rPr>
        <w:t>needs—</w:t>
      </w:r>
      <w:r>
        <w:rPr>
          <w:rFonts w:ascii="Times New Roman" w:hAnsi="Times New Roman"/>
          <w:sz w:val="24"/>
          <w:szCs w:val="24"/>
        </w:rPr>
        <w:t>or</w:t>
      </w:r>
      <w:r w:rsidR="00DF6BB0">
        <w:rPr>
          <w:rFonts w:ascii="Times New Roman" w:hAnsi="Times New Roman"/>
          <w:sz w:val="24"/>
          <w:szCs w:val="24"/>
        </w:rPr>
        <w:t>,</w:t>
      </w:r>
      <w:r>
        <w:rPr>
          <w:rFonts w:ascii="Times New Roman" w:hAnsi="Times New Roman"/>
          <w:sz w:val="24"/>
          <w:szCs w:val="24"/>
        </w:rPr>
        <w:t xml:space="preserve"> as appears more likely, simply act as an </w:t>
      </w:r>
      <w:r w:rsidR="00004FFC">
        <w:rPr>
          <w:rFonts w:ascii="Times New Roman" w:hAnsi="Times New Roman"/>
          <w:sz w:val="24"/>
          <w:szCs w:val="24"/>
        </w:rPr>
        <w:t>annual rate increase and a substantial shift of risk to ratepayers</w:t>
      </w:r>
      <w:r w:rsidR="00DF6BB0">
        <w:rPr>
          <w:rFonts w:ascii="Times New Roman" w:hAnsi="Times New Roman"/>
          <w:sz w:val="24"/>
          <w:szCs w:val="24"/>
        </w:rPr>
        <w:t>.</w:t>
      </w:r>
    </w:p>
    <w:p w:rsidR="00DF6BB0" w:rsidRDefault="00DF6BB0" w:rsidP="00DF6BB0">
      <w:pPr>
        <w:spacing w:after="240"/>
        <w:rPr>
          <w:rFonts w:ascii="Times New Roman" w:hAnsi="Times New Roman"/>
          <w:b/>
          <w:sz w:val="24"/>
        </w:rPr>
      </w:pPr>
      <w:r>
        <w:rPr>
          <w:rFonts w:ascii="Times New Roman" w:hAnsi="Times New Roman"/>
          <w:b/>
          <w:sz w:val="24"/>
        </w:rPr>
        <w:t>Q.</w:t>
      </w:r>
      <w:r>
        <w:rPr>
          <w:rFonts w:ascii="Times New Roman" w:hAnsi="Times New Roman"/>
          <w:b/>
          <w:sz w:val="24"/>
        </w:rPr>
        <w:tab/>
        <w:t xml:space="preserve">PLEASE EXPLAIN WHAT YOU MEAN BY A BREAK FROM COST-BASED </w:t>
      </w:r>
      <w:r>
        <w:rPr>
          <w:rFonts w:ascii="Times New Roman" w:hAnsi="Times New Roman"/>
          <w:b/>
          <w:sz w:val="24"/>
        </w:rPr>
        <w:tab/>
        <w:t>METHODOLOGY.</w:t>
      </w:r>
    </w:p>
    <w:p w:rsidR="00DF6BB0" w:rsidRDefault="00DF6BB0" w:rsidP="00816CB7">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A fundamental principle of C</w:t>
      </w:r>
      <w:r w:rsidR="002D1D6E">
        <w:rPr>
          <w:rFonts w:ascii="Times New Roman" w:hAnsi="Times New Roman"/>
          <w:sz w:val="24"/>
          <w:szCs w:val="24"/>
        </w:rPr>
        <w:t xml:space="preserve">ommission ratemaking has </w:t>
      </w:r>
      <w:r>
        <w:rPr>
          <w:rFonts w:ascii="Times New Roman" w:hAnsi="Times New Roman"/>
          <w:sz w:val="24"/>
          <w:szCs w:val="24"/>
        </w:rPr>
        <w:t xml:space="preserve">been that a test year matches expenses and revenues in a fixed period and projects that historic relationship into the rate year, subject to known and measurable adjustments.  As the Commission stated in its </w:t>
      </w:r>
      <w:r>
        <w:rPr>
          <w:rFonts w:ascii="Times New Roman" w:hAnsi="Times New Roman"/>
          <w:sz w:val="24"/>
          <w:szCs w:val="24"/>
        </w:rPr>
        <w:lastRenderedPageBreak/>
        <w:t>Final Order in UE-111048, “the relationship between rate base, expenses and revenues is used to represent the future and to set prospective rates adequate to allow a reasonable return.”</w:t>
      </w:r>
      <w:r w:rsidRPr="003234E0">
        <w:rPr>
          <w:rStyle w:val="FootnoteReference"/>
          <w:sz w:val="24"/>
          <w:szCs w:val="24"/>
        </w:rPr>
        <w:footnoteReference w:id="1"/>
      </w:r>
      <w:r w:rsidRPr="00D60BD4">
        <w:rPr>
          <w:rFonts w:ascii="Times New Roman" w:hAnsi="Times New Roman"/>
          <w:sz w:val="24"/>
          <w:szCs w:val="24"/>
          <w:vertAlign w:val="superscript"/>
        </w:rPr>
        <w:t>/</w:t>
      </w:r>
      <w:r>
        <w:rPr>
          <w:rFonts w:ascii="Times New Roman" w:hAnsi="Times New Roman"/>
          <w:sz w:val="24"/>
          <w:szCs w:val="24"/>
        </w:rPr>
        <w:t xml:space="preserve">  </w:t>
      </w:r>
      <w:r w:rsidR="002D1D6E">
        <w:rPr>
          <w:rFonts w:ascii="Times New Roman" w:hAnsi="Times New Roman"/>
          <w:sz w:val="24"/>
          <w:szCs w:val="24"/>
        </w:rPr>
        <w:t xml:space="preserve">Here, PSE and Staff have </w:t>
      </w:r>
      <w:r>
        <w:rPr>
          <w:rFonts w:ascii="Times New Roman" w:hAnsi="Times New Roman"/>
          <w:sz w:val="24"/>
          <w:szCs w:val="24"/>
        </w:rPr>
        <w:t xml:space="preserve">abandoned </w:t>
      </w:r>
      <w:r w:rsidR="00BD6B2A">
        <w:rPr>
          <w:rFonts w:ascii="Times New Roman" w:hAnsi="Times New Roman"/>
          <w:sz w:val="24"/>
          <w:szCs w:val="24"/>
        </w:rPr>
        <w:t>that approach</w:t>
      </w:r>
      <w:r w:rsidR="002D1D6E">
        <w:rPr>
          <w:rFonts w:ascii="Times New Roman" w:hAnsi="Times New Roman"/>
          <w:sz w:val="24"/>
          <w:szCs w:val="24"/>
        </w:rPr>
        <w:t xml:space="preserve"> and propose rate increases </w:t>
      </w:r>
      <w:r>
        <w:rPr>
          <w:rFonts w:ascii="Times New Roman" w:hAnsi="Times New Roman"/>
          <w:sz w:val="24"/>
          <w:szCs w:val="24"/>
        </w:rPr>
        <w:t xml:space="preserve"> that pick and choose from multiple time periods, while ignoring known and measurable adjustments.  </w:t>
      </w:r>
    </w:p>
    <w:p w:rsidR="00352428" w:rsidRDefault="00DF6BB0" w:rsidP="00816CB7">
      <w:pPr>
        <w:spacing w:line="480" w:lineRule="auto"/>
        <w:ind w:left="720" w:hanging="720"/>
        <w:rPr>
          <w:rFonts w:ascii="Times New Roman" w:hAnsi="Times New Roman"/>
          <w:sz w:val="24"/>
          <w:szCs w:val="24"/>
        </w:rPr>
      </w:pPr>
      <w:r>
        <w:rPr>
          <w:rFonts w:ascii="Times New Roman" w:hAnsi="Times New Roman"/>
          <w:b/>
          <w:sz w:val="24"/>
        </w:rPr>
        <w:tab/>
      </w:r>
      <w:r>
        <w:rPr>
          <w:rFonts w:ascii="Times New Roman" w:hAnsi="Times New Roman"/>
          <w:b/>
          <w:sz w:val="24"/>
        </w:rPr>
        <w:tab/>
      </w:r>
      <w:r w:rsidRPr="00D33813">
        <w:rPr>
          <w:rFonts w:ascii="Times New Roman" w:hAnsi="Times New Roman"/>
          <w:sz w:val="24"/>
          <w:szCs w:val="24"/>
        </w:rPr>
        <w:t>T</w:t>
      </w:r>
      <w:r>
        <w:rPr>
          <w:rFonts w:ascii="Times New Roman" w:hAnsi="Times New Roman"/>
          <w:sz w:val="24"/>
          <w:szCs w:val="24"/>
        </w:rPr>
        <w:t xml:space="preserve">o explain, if the </w:t>
      </w:r>
      <w:r w:rsidR="00B362BD">
        <w:rPr>
          <w:rFonts w:ascii="Times New Roman" w:hAnsi="Times New Roman"/>
          <w:sz w:val="24"/>
          <w:szCs w:val="24"/>
        </w:rPr>
        <w:t>G</w:t>
      </w:r>
      <w:r>
        <w:rPr>
          <w:rFonts w:ascii="Times New Roman" w:hAnsi="Times New Roman"/>
          <w:sz w:val="24"/>
          <w:szCs w:val="24"/>
        </w:rPr>
        <w:t xml:space="preserve">lobal </w:t>
      </w:r>
      <w:r w:rsidR="00B362BD">
        <w:rPr>
          <w:rFonts w:ascii="Times New Roman" w:hAnsi="Times New Roman"/>
          <w:sz w:val="24"/>
          <w:szCs w:val="24"/>
        </w:rPr>
        <w:t>S</w:t>
      </w:r>
      <w:r>
        <w:rPr>
          <w:rFonts w:ascii="Times New Roman" w:hAnsi="Times New Roman"/>
          <w:sz w:val="24"/>
          <w:szCs w:val="24"/>
        </w:rPr>
        <w:t>ettlement is accepted as proposed, PSE’s permitted cost of capital and power costs will be set based on the 2010 test year that was used in PSE’s last rate case.  PSE’s rate base and non-power costs will be set on a hybrid test year creat</w:t>
      </w:r>
      <w:r w:rsidR="00352428">
        <w:rPr>
          <w:rFonts w:ascii="Times New Roman" w:hAnsi="Times New Roman"/>
          <w:sz w:val="24"/>
          <w:szCs w:val="24"/>
        </w:rPr>
        <w:t>ed specifically for this case—</w:t>
      </w:r>
      <w:r>
        <w:rPr>
          <w:rFonts w:ascii="Times New Roman" w:hAnsi="Times New Roman"/>
          <w:sz w:val="24"/>
          <w:szCs w:val="24"/>
        </w:rPr>
        <w:t xml:space="preserve">a 12 month period ending on June 30, 2012.  </w:t>
      </w:r>
      <w:r w:rsidR="00352428">
        <w:rPr>
          <w:rFonts w:ascii="Times New Roman" w:hAnsi="Times New Roman"/>
          <w:sz w:val="24"/>
          <w:szCs w:val="24"/>
        </w:rPr>
        <w:t>B</w:t>
      </w:r>
      <w:r>
        <w:rPr>
          <w:rFonts w:ascii="Times New Roman" w:hAnsi="Times New Roman"/>
          <w:sz w:val="24"/>
          <w:szCs w:val="24"/>
        </w:rPr>
        <w:t>ut</w:t>
      </w:r>
      <w:r w:rsidR="00352428">
        <w:rPr>
          <w:rFonts w:ascii="Times New Roman" w:hAnsi="Times New Roman"/>
          <w:sz w:val="24"/>
          <w:szCs w:val="24"/>
        </w:rPr>
        <w:t>,</w:t>
      </w:r>
      <w:r>
        <w:rPr>
          <w:rFonts w:ascii="Times New Roman" w:hAnsi="Times New Roman"/>
          <w:sz w:val="24"/>
          <w:szCs w:val="24"/>
        </w:rPr>
        <w:t xml:space="preserve"> for the purposes of this discussion, matching these hybrid 2011/2012 costs to select 2010 assumptions violates the matching principle and the fundamental ratemaking principle that a test year should match contemporaneous costs and revenues to create an accurate rate relationship.</w:t>
      </w:r>
      <w:r w:rsidR="00352428" w:rsidRPr="003234E0">
        <w:rPr>
          <w:rStyle w:val="FootnoteReference"/>
          <w:sz w:val="24"/>
          <w:szCs w:val="24"/>
        </w:rPr>
        <w:footnoteReference w:id="2"/>
      </w:r>
      <w:r w:rsidR="00352428" w:rsidRPr="001C6A74">
        <w:rPr>
          <w:rFonts w:ascii="Times New Roman" w:hAnsi="Times New Roman"/>
          <w:sz w:val="24"/>
          <w:szCs w:val="24"/>
          <w:vertAlign w:val="superscript"/>
        </w:rPr>
        <w:t>/</w:t>
      </w:r>
      <w:r>
        <w:rPr>
          <w:rFonts w:ascii="Times New Roman" w:hAnsi="Times New Roman"/>
          <w:sz w:val="24"/>
          <w:szCs w:val="24"/>
        </w:rPr>
        <w:t xml:space="preserve">  </w:t>
      </w:r>
    </w:p>
    <w:p w:rsidR="00DF6BB0" w:rsidRDefault="00352428" w:rsidP="00816CB7">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F6BB0">
        <w:rPr>
          <w:rFonts w:ascii="Times New Roman" w:hAnsi="Times New Roman"/>
          <w:sz w:val="24"/>
          <w:szCs w:val="24"/>
        </w:rPr>
        <w:t xml:space="preserve">PSE’s request for </w:t>
      </w:r>
      <w:r w:rsidR="00E142A0">
        <w:rPr>
          <w:rFonts w:ascii="Times New Roman" w:hAnsi="Times New Roman"/>
          <w:sz w:val="24"/>
          <w:szCs w:val="24"/>
        </w:rPr>
        <w:t xml:space="preserve">a </w:t>
      </w:r>
      <w:r w:rsidR="00DF6BB0">
        <w:rPr>
          <w:rFonts w:ascii="Times New Roman" w:hAnsi="Times New Roman"/>
          <w:sz w:val="24"/>
          <w:szCs w:val="24"/>
        </w:rPr>
        <w:t xml:space="preserve">one-time ERF </w:t>
      </w:r>
      <w:r w:rsidR="00E142A0">
        <w:rPr>
          <w:rFonts w:ascii="Times New Roman" w:hAnsi="Times New Roman"/>
          <w:sz w:val="24"/>
          <w:szCs w:val="24"/>
        </w:rPr>
        <w:t xml:space="preserve">attrition adjustment </w:t>
      </w:r>
      <w:r w:rsidR="00DF6BB0">
        <w:rPr>
          <w:rFonts w:ascii="Times New Roman" w:hAnsi="Times New Roman"/>
          <w:sz w:val="24"/>
          <w:szCs w:val="24"/>
        </w:rPr>
        <w:t>and yearly K-Factor attrition adjustments</w:t>
      </w:r>
      <w:r w:rsidR="005F74E1">
        <w:rPr>
          <w:rFonts w:ascii="Times New Roman" w:hAnsi="Times New Roman"/>
          <w:sz w:val="24"/>
          <w:szCs w:val="24"/>
        </w:rPr>
        <w:t xml:space="preserve"> are</w:t>
      </w:r>
      <w:r w:rsidR="00DF6BB0">
        <w:rPr>
          <w:rFonts w:ascii="Times New Roman" w:hAnsi="Times New Roman"/>
          <w:sz w:val="24"/>
          <w:szCs w:val="24"/>
        </w:rPr>
        <w:t xml:space="preserve"> included in the “rate plan</w:t>
      </w:r>
      <w:r w:rsidR="00E142A0">
        <w:rPr>
          <w:rFonts w:ascii="Times New Roman" w:hAnsi="Times New Roman"/>
          <w:sz w:val="24"/>
          <w:szCs w:val="24"/>
        </w:rPr>
        <w:t>.</w:t>
      </w:r>
      <w:r w:rsidR="00DF6BB0">
        <w:rPr>
          <w:rFonts w:ascii="Times New Roman" w:hAnsi="Times New Roman"/>
          <w:sz w:val="24"/>
          <w:szCs w:val="24"/>
        </w:rPr>
        <w:t xml:space="preserve">”  </w:t>
      </w:r>
      <w:r w:rsidR="00CF36D8">
        <w:rPr>
          <w:rFonts w:ascii="Times New Roman" w:hAnsi="Times New Roman"/>
          <w:sz w:val="24"/>
          <w:szCs w:val="24"/>
        </w:rPr>
        <w:t>PSE requests th</w:t>
      </w:r>
      <w:r w:rsidR="00BD6B2A">
        <w:rPr>
          <w:rFonts w:ascii="Times New Roman" w:hAnsi="Times New Roman"/>
          <w:sz w:val="24"/>
          <w:szCs w:val="24"/>
        </w:rPr>
        <w:t>ese</w:t>
      </w:r>
      <w:r w:rsidR="00CF36D8">
        <w:rPr>
          <w:rFonts w:ascii="Times New Roman" w:hAnsi="Times New Roman"/>
          <w:sz w:val="24"/>
          <w:szCs w:val="24"/>
        </w:rPr>
        <w:t xml:space="preserve"> adjustments based on an assertion that it is chronically under-earning.</w:t>
      </w:r>
      <w:r w:rsidR="007470A8">
        <w:rPr>
          <w:rStyle w:val="FootnoteReference"/>
          <w:sz w:val="24"/>
          <w:szCs w:val="24"/>
        </w:rPr>
        <w:footnoteReference w:id="3"/>
      </w:r>
      <w:r w:rsidR="005C6340" w:rsidRPr="006A4021">
        <w:rPr>
          <w:rFonts w:ascii="Times New Roman" w:hAnsi="Times New Roman"/>
          <w:sz w:val="24"/>
          <w:szCs w:val="24"/>
          <w:vertAlign w:val="superscript"/>
        </w:rPr>
        <w:t>/</w:t>
      </w:r>
      <w:r w:rsidR="00CF36D8" w:rsidRPr="006A4021">
        <w:rPr>
          <w:rFonts w:ascii="Times New Roman" w:hAnsi="Times New Roman"/>
          <w:sz w:val="24"/>
          <w:szCs w:val="24"/>
        </w:rPr>
        <w:t xml:space="preserve"> </w:t>
      </w:r>
      <w:r w:rsidR="00CF36D8">
        <w:rPr>
          <w:rFonts w:ascii="Times New Roman" w:hAnsi="Times New Roman"/>
          <w:sz w:val="24"/>
          <w:szCs w:val="24"/>
        </w:rPr>
        <w:t xml:space="preserve"> </w:t>
      </w:r>
      <w:r w:rsidR="00DF6BB0">
        <w:rPr>
          <w:rFonts w:ascii="Times New Roman" w:hAnsi="Times New Roman"/>
          <w:sz w:val="24"/>
          <w:szCs w:val="24"/>
        </w:rPr>
        <w:t>This is problematic</w:t>
      </w:r>
      <w:r w:rsidR="00CF36D8">
        <w:rPr>
          <w:rFonts w:ascii="Times New Roman" w:hAnsi="Times New Roman"/>
          <w:sz w:val="24"/>
          <w:szCs w:val="24"/>
        </w:rPr>
        <w:t>,</w:t>
      </w:r>
      <w:r w:rsidR="00DF6BB0">
        <w:rPr>
          <w:rFonts w:ascii="Times New Roman" w:hAnsi="Times New Roman"/>
          <w:sz w:val="24"/>
          <w:szCs w:val="24"/>
        </w:rPr>
        <w:t xml:space="preserve"> because both PSE and Staff fail to provide a cost-based attrition st</w:t>
      </w:r>
      <w:r>
        <w:rPr>
          <w:rFonts w:ascii="Times New Roman" w:hAnsi="Times New Roman"/>
          <w:sz w:val="24"/>
          <w:szCs w:val="24"/>
        </w:rPr>
        <w:t xml:space="preserve">udy to quantify </w:t>
      </w:r>
      <w:r w:rsidR="00CF36D8">
        <w:rPr>
          <w:rFonts w:ascii="Times New Roman" w:hAnsi="Times New Roman"/>
          <w:sz w:val="24"/>
          <w:szCs w:val="24"/>
        </w:rPr>
        <w:t xml:space="preserve">that </w:t>
      </w:r>
      <w:r>
        <w:rPr>
          <w:rFonts w:ascii="Times New Roman" w:hAnsi="Times New Roman"/>
          <w:sz w:val="24"/>
          <w:szCs w:val="24"/>
        </w:rPr>
        <w:t>claim;</w:t>
      </w:r>
      <w:r w:rsidR="00DF6BB0">
        <w:rPr>
          <w:rFonts w:ascii="Times New Roman" w:hAnsi="Times New Roman"/>
          <w:sz w:val="24"/>
          <w:szCs w:val="24"/>
        </w:rPr>
        <w:t xml:space="preserve"> rather</w:t>
      </w:r>
      <w:r>
        <w:rPr>
          <w:rFonts w:ascii="Times New Roman" w:hAnsi="Times New Roman"/>
          <w:sz w:val="24"/>
          <w:szCs w:val="24"/>
        </w:rPr>
        <w:t>, they</w:t>
      </w:r>
      <w:r w:rsidR="00DF6BB0">
        <w:rPr>
          <w:rFonts w:ascii="Times New Roman" w:hAnsi="Times New Roman"/>
          <w:sz w:val="24"/>
          <w:szCs w:val="24"/>
        </w:rPr>
        <w:t xml:space="preserve"> justify these unprecedented rate increases on the basis that PSE failed to reach target </w:t>
      </w:r>
      <w:r w:rsidR="00BD6B2A">
        <w:rPr>
          <w:rFonts w:ascii="Times New Roman" w:hAnsi="Times New Roman"/>
          <w:sz w:val="24"/>
          <w:szCs w:val="24"/>
        </w:rPr>
        <w:t>return on equity (“</w:t>
      </w:r>
      <w:r w:rsidR="00DF6BB0">
        <w:rPr>
          <w:rFonts w:ascii="Times New Roman" w:hAnsi="Times New Roman"/>
          <w:sz w:val="24"/>
          <w:szCs w:val="24"/>
        </w:rPr>
        <w:t>ROE</w:t>
      </w:r>
      <w:r w:rsidR="00BD6B2A">
        <w:rPr>
          <w:rFonts w:ascii="Times New Roman" w:hAnsi="Times New Roman"/>
          <w:sz w:val="24"/>
          <w:szCs w:val="24"/>
        </w:rPr>
        <w:t>”)</w:t>
      </w:r>
      <w:r w:rsidR="00CF36D8">
        <w:rPr>
          <w:rFonts w:ascii="Times New Roman" w:hAnsi="Times New Roman"/>
          <w:sz w:val="24"/>
          <w:szCs w:val="24"/>
        </w:rPr>
        <w:t>,</w:t>
      </w:r>
      <w:r w:rsidR="00DF6BB0">
        <w:rPr>
          <w:rFonts w:ascii="Times New Roman" w:hAnsi="Times New Roman"/>
          <w:sz w:val="24"/>
          <w:szCs w:val="24"/>
        </w:rPr>
        <w:t xml:space="preserve"> primarily during 2008, 2009,</w:t>
      </w:r>
      <w:r w:rsidR="00CF36D8">
        <w:rPr>
          <w:rFonts w:ascii="Times New Roman" w:hAnsi="Times New Roman"/>
          <w:sz w:val="24"/>
          <w:szCs w:val="24"/>
        </w:rPr>
        <w:t xml:space="preserve"> and </w:t>
      </w:r>
      <w:r w:rsidR="00DF6BB0">
        <w:rPr>
          <w:rFonts w:ascii="Times New Roman" w:hAnsi="Times New Roman"/>
          <w:sz w:val="24"/>
          <w:szCs w:val="24"/>
        </w:rPr>
        <w:t xml:space="preserve"> 2010.</w:t>
      </w:r>
      <w:r w:rsidR="00DF6BB0">
        <w:rPr>
          <w:rStyle w:val="FootnoteReference"/>
          <w:sz w:val="24"/>
          <w:szCs w:val="24"/>
        </w:rPr>
        <w:footnoteReference w:id="4"/>
      </w:r>
      <w:r w:rsidRPr="001C6A74">
        <w:rPr>
          <w:rFonts w:ascii="Times New Roman" w:hAnsi="Times New Roman"/>
          <w:sz w:val="24"/>
          <w:szCs w:val="24"/>
          <w:vertAlign w:val="superscript"/>
        </w:rPr>
        <w:t>/</w:t>
      </w:r>
      <w:r w:rsidR="00DF6BB0">
        <w:rPr>
          <w:rFonts w:ascii="Times New Roman" w:hAnsi="Times New Roman"/>
          <w:sz w:val="24"/>
          <w:szCs w:val="24"/>
        </w:rPr>
        <w:t xml:space="preserve">   This means that rather than adjusting a test </w:t>
      </w:r>
      <w:r w:rsidR="00BD6B2A">
        <w:rPr>
          <w:rFonts w:ascii="Times New Roman" w:hAnsi="Times New Roman"/>
          <w:sz w:val="24"/>
          <w:szCs w:val="24"/>
        </w:rPr>
        <w:t>year for demonstrated attrition</w:t>
      </w:r>
      <w:r w:rsidR="001056F7">
        <w:rPr>
          <w:rFonts w:ascii="Times New Roman" w:hAnsi="Times New Roman"/>
          <w:sz w:val="24"/>
          <w:szCs w:val="24"/>
        </w:rPr>
        <w:t xml:space="preserve"> and providing evidence that such uncontrollable attrition will continue during the </w:t>
      </w:r>
      <w:r w:rsidR="00B362BD">
        <w:rPr>
          <w:rFonts w:ascii="Times New Roman" w:hAnsi="Times New Roman"/>
          <w:sz w:val="24"/>
          <w:szCs w:val="24"/>
        </w:rPr>
        <w:t xml:space="preserve">future </w:t>
      </w:r>
      <w:r w:rsidR="001056F7">
        <w:rPr>
          <w:rFonts w:ascii="Times New Roman" w:hAnsi="Times New Roman"/>
          <w:sz w:val="24"/>
          <w:szCs w:val="24"/>
        </w:rPr>
        <w:t>rate years,</w:t>
      </w:r>
      <w:r w:rsidR="00DF6BB0">
        <w:rPr>
          <w:rFonts w:ascii="Times New Roman" w:hAnsi="Times New Roman"/>
          <w:sz w:val="24"/>
          <w:szCs w:val="24"/>
        </w:rPr>
        <w:t xml:space="preserve"> Staff </w:t>
      </w:r>
      <w:r w:rsidR="00DF6BB0">
        <w:rPr>
          <w:rFonts w:ascii="Times New Roman" w:hAnsi="Times New Roman"/>
          <w:sz w:val="24"/>
          <w:szCs w:val="24"/>
        </w:rPr>
        <w:lastRenderedPageBreak/>
        <w:t xml:space="preserve">and PSE rely on reduced </w:t>
      </w:r>
      <w:r w:rsidR="001056F7">
        <w:rPr>
          <w:rFonts w:ascii="Times New Roman" w:hAnsi="Times New Roman"/>
          <w:sz w:val="24"/>
          <w:szCs w:val="24"/>
        </w:rPr>
        <w:t xml:space="preserve">financial </w:t>
      </w:r>
      <w:r w:rsidR="00DF6BB0">
        <w:rPr>
          <w:rFonts w:ascii="Times New Roman" w:hAnsi="Times New Roman"/>
          <w:sz w:val="24"/>
          <w:szCs w:val="24"/>
        </w:rPr>
        <w:t>retu</w:t>
      </w:r>
      <w:r>
        <w:rPr>
          <w:rFonts w:ascii="Times New Roman" w:hAnsi="Times New Roman"/>
          <w:sz w:val="24"/>
          <w:szCs w:val="24"/>
        </w:rPr>
        <w:t>rns from up to five years ago—</w:t>
      </w:r>
      <w:r w:rsidR="00DF6BB0">
        <w:rPr>
          <w:rFonts w:ascii="Times New Roman" w:hAnsi="Times New Roman"/>
          <w:sz w:val="24"/>
          <w:szCs w:val="24"/>
        </w:rPr>
        <w:t>during t</w:t>
      </w:r>
      <w:r w:rsidR="005F74E1">
        <w:rPr>
          <w:rFonts w:ascii="Times New Roman" w:hAnsi="Times New Roman"/>
          <w:sz w:val="24"/>
          <w:szCs w:val="24"/>
        </w:rPr>
        <w:t>he heart of the “Great Recession”—</w:t>
      </w:r>
      <w:r w:rsidR="00DF6BB0">
        <w:rPr>
          <w:rFonts w:ascii="Times New Roman" w:hAnsi="Times New Roman"/>
          <w:sz w:val="24"/>
          <w:szCs w:val="24"/>
        </w:rPr>
        <w:t>when few if any companie</w:t>
      </w:r>
      <w:r>
        <w:rPr>
          <w:rFonts w:ascii="Times New Roman" w:hAnsi="Times New Roman"/>
          <w:sz w:val="24"/>
          <w:szCs w:val="24"/>
        </w:rPr>
        <w:t>s were posting robust earnings</w:t>
      </w:r>
      <w:r w:rsidR="001056F7">
        <w:rPr>
          <w:rFonts w:ascii="Times New Roman" w:hAnsi="Times New Roman"/>
          <w:sz w:val="24"/>
          <w:szCs w:val="24"/>
        </w:rPr>
        <w:t>.  On this basis, they ask the Commission to allow</w:t>
      </w:r>
      <w:r w:rsidR="00DF6BB0">
        <w:rPr>
          <w:rFonts w:ascii="Times New Roman" w:hAnsi="Times New Roman"/>
          <w:sz w:val="24"/>
          <w:szCs w:val="24"/>
        </w:rPr>
        <w:t xml:space="preserve"> substantial increases in the present and future.  </w:t>
      </w:r>
      <w:r w:rsidR="001056F7">
        <w:rPr>
          <w:rFonts w:ascii="Times New Roman" w:hAnsi="Times New Roman"/>
          <w:sz w:val="24"/>
          <w:szCs w:val="24"/>
        </w:rPr>
        <w:t xml:space="preserve">In sum, rather than </w:t>
      </w:r>
      <w:r w:rsidR="00DF6BB0">
        <w:rPr>
          <w:rFonts w:ascii="Times New Roman" w:hAnsi="Times New Roman"/>
          <w:sz w:val="24"/>
          <w:szCs w:val="24"/>
        </w:rPr>
        <w:t>using a test year to set rate relationships and adjusting fo</w:t>
      </w:r>
      <w:r>
        <w:rPr>
          <w:rFonts w:ascii="Times New Roman" w:hAnsi="Times New Roman"/>
          <w:sz w:val="24"/>
          <w:szCs w:val="24"/>
        </w:rPr>
        <w:t>r known and measurable changes (</w:t>
      </w:r>
      <w:r w:rsidR="00DF6BB0">
        <w:rPr>
          <w:rFonts w:ascii="Times New Roman" w:hAnsi="Times New Roman"/>
          <w:sz w:val="24"/>
          <w:szCs w:val="24"/>
        </w:rPr>
        <w:t>or even using an attrition adjustment to create evidence-based projections</w:t>
      </w:r>
      <w:r>
        <w:rPr>
          <w:rFonts w:ascii="Times New Roman" w:hAnsi="Times New Roman"/>
          <w:sz w:val="24"/>
          <w:szCs w:val="24"/>
        </w:rPr>
        <w:t>)</w:t>
      </w:r>
      <w:r w:rsidR="00DF6BB0">
        <w:rPr>
          <w:rFonts w:ascii="Times New Roman" w:hAnsi="Times New Roman"/>
          <w:sz w:val="24"/>
          <w:szCs w:val="24"/>
        </w:rPr>
        <w:t>, PSE and Staff pick and choose among results of operations from 2008, 200</w:t>
      </w:r>
      <w:r w:rsidR="00627648">
        <w:rPr>
          <w:rFonts w:ascii="Times New Roman" w:hAnsi="Times New Roman"/>
          <w:sz w:val="24"/>
          <w:szCs w:val="24"/>
        </w:rPr>
        <w:t>9, 2010, 2011, and part of 2012.  In so doing</w:t>
      </w:r>
      <w:r w:rsidR="00BF7AE3">
        <w:rPr>
          <w:rFonts w:ascii="Times New Roman" w:hAnsi="Times New Roman"/>
          <w:sz w:val="24"/>
          <w:szCs w:val="24"/>
        </w:rPr>
        <w:t>,</w:t>
      </w:r>
      <w:r w:rsidR="00627648">
        <w:rPr>
          <w:rFonts w:ascii="Times New Roman" w:hAnsi="Times New Roman"/>
          <w:sz w:val="24"/>
          <w:szCs w:val="24"/>
        </w:rPr>
        <w:t xml:space="preserve"> PSE and Staff </w:t>
      </w:r>
      <w:r w:rsidR="00F13633">
        <w:rPr>
          <w:rFonts w:ascii="Times New Roman" w:hAnsi="Times New Roman"/>
          <w:sz w:val="24"/>
          <w:szCs w:val="24"/>
        </w:rPr>
        <w:t xml:space="preserve">have </w:t>
      </w:r>
      <w:r w:rsidR="00D33813">
        <w:rPr>
          <w:rFonts w:ascii="Times New Roman" w:hAnsi="Times New Roman"/>
          <w:sz w:val="24"/>
          <w:szCs w:val="24"/>
        </w:rPr>
        <w:t xml:space="preserve">decided to </w:t>
      </w:r>
      <w:r w:rsidR="00F13633">
        <w:rPr>
          <w:rFonts w:ascii="Times New Roman" w:hAnsi="Times New Roman"/>
          <w:sz w:val="24"/>
          <w:szCs w:val="24"/>
        </w:rPr>
        <w:t>create</w:t>
      </w:r>
      <w:r w:rsidR="00627648">
        <w:rPr>
          <w:rFonts w:ascii="Times New Roman" w:hAnsi="Times New Roman"/>
          <w:sz w:val="24"/>
          <w:szCs w:val="24"/>
        </w:rPr>
        <w:t xml:space="preserve"> </w:t>
      </w:r>
      <w:r w:rsidR="00DF6BB0">
        <w:rPr>
          <w:rFonts w:ascii="Times New Roman" w:hAnsi="Times New Roman"/>
          <w:sz w:val="24"/>
          <w:szCs w:val="24"/>
        </w:rPr>
        <w:t xml:space="preserve">a </w:t>
      </w:r>
      <w:r w:rsidR="00627648">
        <w:rPr>
          <w:rFonts w:ascii="Times New Roman" w:hAnsi="Times New Roman"/>
          <w:sz w:val="24"/>
          <w:szCs w:val="24"/>
        </w:rPr>
        <w:t>“</w:t>
      </w:r>
      <w:r w:rsidR="00DF6BB0">
        <w:rPr>
          <w:rFonts w:ascii="Times New Roman" w:hAnsi="Times New Roman"/>
          <w:sz w:val="24"/>
          <w:szCs w:val="24"/>
        </w:rPr>
        <w:t>rate cocktail</w:t>
      </w:r>
      <w:r w:rsidR="00627648">
        <w:rPr>
          <w:rFonts w:ascii="Times New Roman" w:hAnsi="Times New Roman"/>
          <w:sz w:val="24"/>
          <w:szCs w:val="24"/>
        </w:rPr>
        <w:t>”</w:t>
      </w:r>
      <w:r w:rsidR="00DF6BB0">
        <w:rPr>
          <w:rFonts w:ascii="Times New Roman" w:hAnsi="Times New Roman"/>
          <w:sz w:val="24"/>
          <w:szCs w:val="24"/>
        </w:rPr>
        <w:t xml:space="preserve"> </w:t>
      </w:r>
      <w:r w:rsidR="00627648">
        <w:rPr>
          <w:rFonts w:ascii="Times New Roman" w:hAnsi="Times New Roman"/>
          <w:sz w:val="24"/>
          <w:szCs w:val="24"/>
        </w:rPr>
        <w:t>having</w:t>
      </w:r>
      <w:r w:rsidR="00DF6BB0">
        <w:rPr>
          <w:rFonts w:ascii="Times New Roman" w:hAnsi="Times New Roman"/>
          <w:sz w:val="24"/>
          <w:szCs w:val="24"/>
        </w:rPr>
        <w:t xml:space="preserve"> little to do with</w:t>
      </w:r>
      <w:r w:rsidR="00D33813">
        <w:rPr>
          <w:rFonts w:ascii="Times New Roman" w:hAnsi="Times New Roman"/>
          <w:sz w:val="24"/>
          <w:szCs w:val="24"/>
        </w:rPr>
        <w:t xml:space="preserve"> the cost of service for</w:t>
      </w:r>
      <w:r w:rsidR="00DF6BB0">
        <w:rPr>
          <w:rFonts w:ascii="Times New Roman" w:hAnsi="Times New Roman"/>
          <w:sz w:val="24"/>
          <w:szCs w:val="24"/>
        </w:rPr>
        <w:t xml:space="preserve"> 2013, let alone </w:t>
      </w:r>
      <w:r w:rsidR="00B362BD">
        <w:rPr>
          <w:rFonts w:ascii="Times New Roman" w:hAnsi="Times New Roman"/>
          <w:sz w:val="24"/>
          <w:szCs w:val="24"/>
        </w:rPr>
        <w:t xml:space="preserve">for </w:t>
      </w:r>
      <w:r w:rsidR="00DF6BB0">
        <w:rPr>
          <w:rFonts w:ascii="Times New Roman" w:hAnsi="Times New Roman"/>
          <w:sz w:val="24"/>
          <w:szCs w:val="24"/>
        </w:rPr>
        <w:t xml:space="preserve">2014, 2015, 2016, and potentially 2017, when this </w:t>
      </w:r>
      <w:r w:rsidR="00B362BD">
        <w:rPr>
          <w:rFonts w:ascii="Times New Roman" w:hAnsi="Times New Roman"/>
          <w:sz w:val="24"/>
          <w:szCs w:val="24"/>
        </w:rPr>
        <w:t xml:space="preserve">rate </w:t>
      </w:r>
      <w:r w:rsidR="00DF6BB0">
        <w:rPr>
          <w:rFonts w:ascii="Times New Roman" w:hAnsi="Times New Roman"/>
          <w:sz w:val="24"/>
          <w:szCs w:val="24"/>
        </w:rPr>
        <w:t>plan</w:t>
      </w:r>
      <w:r w:rsidR="00F13633">
        <w:rPr>
          <w:rFonts w:ascii="Times New Roman" w:hAnsi="Times New Roman"/>
          <w:sz w:val="24"/>
          <w:szCs w:val="24"/>
        </w:rPr>
        <w:t>, if approved,</w:t>
      </w:r>
      <w:r w:rsidR="00DF6BB0">
        <w:rPr>
          <w:rFonts w:ascii="Times New Roman" w:hAnsi="Times New Roman"/>
          <w:sz w:val="24"/>
          <w:szCs w:val="24"/>
        </w:rPr>
        <w:t xml:space="preserve"> w</w:t>
      </w:r>
      <w:r w:rsidR="00B362BD">
        <w:rPr>
          <w:rFonts w:ascii="Times New Roman" w:hAnsi="Times New Roman"/>
          <w:sz w:val="24"/>
          <w:szCs w:val="24"/>
        </w:rPr>
        <w:t>ould</w:t>
      </w:r>
      <w:r w:rsidR="00DF6BB0">
        <w:rPr>
          <w:rFonts w:ascii="Times New Roman" w:hAnsi="Times New Roman"/>
          <w:sz w:val="24"/>
          <w:szCs w:val="24"/>
        </w:rPr>
        <w:t xml:space="preserve"> still be burdening customers with yearly increases.</w:t>
      </w:r>
    </w:p>
    <w:p w:rsidR="00BF7AE3" w:rsidRDefault="00BF7AE3" w:rsidP="005C6340">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 xml:space="preserve">ARE THERE ANY OTHER FACTORS IGNORED IN </w:t>
      </w:r>
      <w:r w:rsidR="00D33813">
        <w:rPr>
          <w:rFonts w:ascii="Times New Roman" w:hAnsi="Times New Roman"/>
          <w:b/>
          <w:sz w:val="24"/>
        </w:rPr>
        <w:t xml:space="preserve">PROPOSING </w:t>
      </w:r>
      <w:r>
        <w:rPr>
          <w:rFonts w:ascii="Times New Roman" w:hAnsi="Times New Roman"/>
          <w:b/>
          <w:sz w:val="24"/>
        </w:rPr>
        <w:t>THESE RATES?</w:t>
      </w:r>
    </w:p>
    <w:p w:rsidR="00BF503B" w:rsidRDefault="00BF7AE3" w:rsidP="00816CB7">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Yes.  As noted above, evidence-based rate making involves setting a relationship based on</w:t>
      </w:r>
      <w:r w:rsidR="00F13633">
        <w:rPr>
          <w:rFonts w:ascii="Times New Roman" w:hAnsi="Times New Roman"/>
          <w:sz w:val="24"/>
          <w:szCs w:val="24"/>
        </w:rPr>
        <w:t xml:space="preserve"> a single test year and adjusting</w:t>
      </w:r>
      <w:r>
        <w:rPr>
          <w:rFonts w:ascii="Times New Roman" w:hAnsi="Times New Roman"/>
          <w:sz w:val="24"/>
          <w:szCs w:val="24"/>
        </w:rPr>
        <w:t xml:space="preserve"> for known and measurable factors.  By creating a hybrid test year that ignores half of 2012, PSE has avoided acknowledging that its results of operations for the past year are already drastically improved—likely as a function of Washington’s steady economic recovery.  In all likelihood, if PSE had just waited to use a standard 2012 test year (</w:t>
      </w:r>
      <w:r w:rsidR="005F74E1">
        <w:rPr>
          <w:rFonts w:ascii="Times New Roman" w:hAnsi="Times New Roman"/>
          <w:sz w:val="24"/>
          <w:szCs w:val="24"/>
        </w:rPr>
        <w:t>which is common practice</w:t>
      </w:r>
      <w:r>
        <w:rPr>
          <w:rFonts w:ascii="Times New Roman" w:hAnsi="Times New Roman"/>
          <w:sz w:val="24"/>
          <w:szCs w:val="24"/>
        </w:rPr>
        <w:t xml:space="preserve">), much or all of </w:t>
      </w:r>
      <w:r w:rsidR="00BF503B">
        <w:rPr>
          <w:rFonts w:ascii="Times New Roman" w:hAnsi="Times New Roman"/>
          <w:sz w:val="24"/>
          <w:szCs w:val="24"/>
        </w:rPr>
        <w:t>PSE’s</w:t>
      </w:r>
      <w:r>
        <w:rPr>
          <w:rFonts w:ascii="Times New Roman" w:hAnsi="Times New Roman"/>
          <w:sz w:val="24"/>
          <w:szCs w:val="24"/>
        </w:rPr>
        <w:t xml:space="preserve"> claimed “revenue deficiency” would disappear from its books.  It also appears that if PSE considered the U.S. Treasury Grant received for its Wild Horse Wind Farm, all </w:t>
      </w:r>
      <w:r w:rsidR="00BF503B">
        <w:rPr>
          <w:rFonts w:ascii="Times New Roman" w:hAnsi="Times New Roman"/>
          <w:sz w:val="24"/>
          <w:szCs w:val="24"/>
        </w:rPr>
        <w:t>shortfalls</w:t>
      </w:r>
      <w:r>
        <w:rPr>
          <w:rFonts w:ascii="Times New Roman" w:hAnsi="Times New Roman"/>
          <w:sz w:val="24"/>
          <w:szCs w:val="24"/>
        </w:rPr>
        <w:t xml:space="preserve"> would essentially disappear.</w:t>
      </w:r>
      <w:r w:rsidR="00D33813">
        <w:rPr>
          <w:rFonts w:ascii="Times New Roman" w:hAnsi="Times New Roman"/>
          <w:sz w:val="24"/>
          <w:szCs w:val="24"/>
        </w:rPr>
        <w:t xml:space="preserve">  Mr. Gorman’s testimony will demonstrate that PSE does not currently have an earnings problem and the ERF is </w:t>
      </w:r>
      <w:r w:rsidR="00B362BD">
        <w:rPr>
          <w:rFonts w:ascii="Times New Roman" w:hAnsi="Times New Roman"/>
          <w:sz w:val="24"/>
          <w:szCs w:val="24"/>
        </w:rPr>
        <w:t xml:space="preserve">not </w:t>
      </w:r>
      <w:r w:rsidR="00D33813">
        <w:rPr>
          <w:rFonts w:ascii="Times New Roman" w:hAnsi="Times New Roman"/>
          <w:sz w:val="24"/>
          <w:szCs w:val="24"/>
        </w:rPr>
        <w:t>justified.</w:t>
      </w:r>
      <w:r>
        <w:rPr>
          <w:rFonts w:ascii="Times New Roman" w:hAnsi="Times New Roman"/>
          <w:sz w:val="24"/>
          <w:szCs w:val="24"/>
        </w:rPr>
        <w:t xml:space="preserve">  </w:t>
      </w:r>
    </w:p>
    <w:p w:rsidR="00BF7AE3" w:rsidRDefault="00BF503B" w:rsidP="00816CB7">
      <w:pPr>
        <w:spacing w:line="480" w:lineRule="auto"/>
        <w:ind w:left="720" w:hanging="720"/>
        <w:rPr>
          <w:rFonts w:ascii="Times New Roman" w:hAnsi="Times New Roman"/>
          <w:sz w:val="24"/>
          <w:szCs w:val="24"/>
        </w:rPr>
      </w:pPr>
      <w:r>
        <w:rPr>
          <w:rFonts w:ascii="Times New Roman" w:hAnsi="Times New Roman"/>
          <w:b/>
          <w:sz w:val="24"/>
        </w:rPr>
        <w:lastRenderedPageBreak/>
        <w:tab/>
      </w:r>
      <w:r>
        <w:rPr>
          <w:rFonts w:ascii="Times New Roman" w:hAnsi="Times New Roman"/>
          <w:b/>
          <w:sz w:val="24"/>
        </w:rPr>
        <w:tab/>
      </w:r>
      <w:r w:rsidR="00BF7AE3">
        <w:rPr>
          <w:rFonts w:ascii="Times New Roman" w:hAnsi="Times New Roman"/>
          <w:sz w:val="24"/>
          <w:szCs w:val="24"/>
        </w:rPr>
        <w:t>Further, a significant portion of PSE’s service territory has recently been sold to Jefferson Public Utility District</w:t>
      </w:r>
      <w:r w:rsidR="00BD6B2A">
        <w:rPr>
          <w:rFonts w:ascii="Times New Roman" w:hAnsi="Times New Roman"/>
          <w:sz w:val="24"/>
          <w:szCs w:val="24"/>
        </w:rPr>
        <w:t>, yet</w:t>
      </w:r>
      <w:r w:rsidR="00BF7AE3">
        <w:rPr>
          <w:rFonts w:ascii="Times New Roman" w:hAnsi="Times New Roman"/>
          <w:sz w:val="24"/>
          <w:szCs w:val="24"/>
        </w:rPr>
        <w:t xml:space="preserve"> nowhere </w:t>
      </w:r>
      <w:r>
        <w:rPr>
          <w:rFonts w:ascii="Times New Roman" w:hAnsi="Times New Roman"/>
          <w:sz w:val="24"/>
          <w:szCs w:val="24"/>
        </w:rPr>
        <w:t>does PSE account</w:t>
      </w:r>
      <w:r w:rsidR="00BF7AE3">
        <w:rPr>
          <w:rFonts w:ascii="Times New Roman" w:hAnsi="Times New Roman"/>
          <w:sz w:val="24"/>
          <w:szCs w:val="24"/>
        </w:rPr>
        <w:t xml:space="preserve"> for what changes this known and measurable event will make to its rate base and costs.  </w:t>
      </w:r>
      <w:r w:rsidR="00D33813">
        <w:rPr>
          <w:rFonts w:ascii="Times New Roman" w:hAnsi="Times New Roman"/>
          <w:sz w:val="24"/>
          <w:szCs w:val="24"/>
        </w:rPr>
        <w:t>In addition,</w:t>
      </w:r>
      <w:r w:rsidR="00BF7AE3">
        <w:rPr>
          <w:rFonts w:ascii="Times New Roman" w:hAnsi="Times New Roman"/>
          <w:sz w:val="24"/>
          <w:szCs w:val="24"/>
        </w:rPr>
        <w:t xml:space="preserve"> as a general matter, capital costs have dropped si</w:t>
      </w:r>
      <w:r>
        <w:rPr>
          <w:rFonts w:ascii="Times New Roman" w:hAnsi="Times New Roman"/>
          <w:sz w:val="24"/>
          <w:szCs w:val="24"/>
        </w:rPr>
        <w:t>nce the data used for</w:t>
      </w:r>
      <w:r w:rsidR="00BF7AE3">
        <w:rPr>
          <w:rFonts w:ascii="Times New Roman" w:hAnsi="Times New Roman"/>
          <w:sz w:val="24"/>
          <w:szCs w:val="24"/>
        </w:rPr>
        <w:t xml:space="preserve"> PSE’s</w:t>
      </w:r>
      <w:r w:rsidR="00D33813">
        <w:rPr>
          <w:rFonts w:ascii="Times New Roman" w:hAnsi="Times New Roman"/>
          <w:sz w:val="24"/>
          <w:szCs w:val="24"/>
        </w:rPr>
        <w:t xml:space="preserve"> 2010</w:t>
      </w:r>
      <w:r w:rsidR="00BF7AE3">
        <w:rPr>
          <w:rFonts w:ascii="Times New Roman" w:hAnsi="Times New Roman"/>
          <w:sz w:val="24"/>
          <w:szCs w:val="24"/>
        </w:rPr>
        <w:t xml:space="preserve"> ROE was produced.</w:t>
      </w:r>
      <w:r w:rsidR="00BF7AE3">
        <w:rPr>
          <w:rStyle w:val="FootnoteReference"/>
          <w:sz w:val="24"/>
          <w:szCs w:val="24"/>
        </w:rPr>
        <w:footnoteReference w:id="5"/>
      </w:r>
      <w:r w:rsidRPr="001C6A74">
        <w:rPr>
          <w:rFonts w:ascii="Times New Roman" w:hAnsi="Times New Roman"/>
          <w:sz w:val="24"/>
          <w:szCs w:val="24"/>
          <w:vertAlign w:val="superscript"/>
        </w:rPr>
        <w:t>/</w:t>
      </w:r>
      <w:r w:rsidR="00BF7AE3">
        <w:rPr>
          <w:rFonts w:ascii="Times New Roman" w:hAnsi="Times New Roman"/>
          <w:sz w:val="24"/>
          <w:szCs w:val="24"/>
        </w:rPr>
        <w:t xml:space="preserve">  This is more fully explained by the Testimony of Mike Gorman, who demonstrates that a number of vi</w:t>
      </w:r>
      <w:r>
        <w:rPr>
          <w:rFonts w:ascii="Times New Roman" w:hAnsi="Times New Roman"/>
          <w:sz w:val="24"/>
          <w:szCs w:val="24"/>
        </w:rPr>
        <w:t>tal adjustments to PSE’s costs—</w:t>
      </w:r>
      <w:r w:rsidR="00BF7AE3">
        <w:rPr>
          <w:rFonts w:ascii="Times New Roman" w:hAnsi="Times New Roman"/>
          <w:sz w:val="24"/>
          <w:szCs w:val="24"/>
        </w:rPr>
        <w:t>including debt costs, its actual capital structure, and an update to its overst</w:t>
      </w:r>
      <w:r>
        <w:rPr>
          <w:rFonts w:ascii="Times New Roman" w:hAnsi="Times New Roman"/>
          <w:sz w:val="24"/>
          <w:szCs w:val="24"/>
        </w:rPr>
        <w:t>ated ROE requirement—</w:t>
      </w:r>
      <w:r w:rsidR="00BF7AE3">
        <w:rPr>
          <w:rFonts w:ascii="Times New Roman" w:hAnsi="Times New Roman"/>
          <w:sz w:val="24"/>
          <w:szCs w:val="24"/>
        </w:rPr>
        <w:t xml:space="preserve">are ignored in </w:t>
      </w:r>
      <w:r>
        <w:rPr>
          <w:rFonts w:ascii="Times New Roman" w:hAnsi="Times New Roman"/>
          <w:sz w:val="24"/>
          <w:szCs w:val="24"/>
        </w:rPr>
        <w:t>PSE’s</w:t>
      </w:r>
      <w:r w:rsidR="00BF7AE3">
        <w:rPr>
          <w:rFonts w:ascii="Times New Roman" w:hAnsi="Times New Roman"/>
          <w:sz w:val="24"/>
          <w:szCs w:val="24"/>
        </w:rPr>
        <w:t xml:space="preserve"> hybrid, mismatched </w:t>
      </w:r>
      <w:r w:rsidR="00B362BD">
        <w:rPr>
          <w:rFonts w:ascii="Times New Roman" w:hAnsi="Times New Roman"/>
          <w:sz w:val="24"/>
          <w:szCs w:val="24"/>
        </w:rPr>
        <w:t xml:space="preserve">proposed </w:t>
      </w:r>
      <w:r w:rsidR="00BF7AE3">
        <w:rPr>
          <w:rFonts w:ascii="Times New Roman" w:hAnsi="Times New Roman"/>
          <w:sz w:val="24"/>
          <w:szCs w:val="24"/>
        </w:rPr>
        <w:t>rate structure.</w:t>
      </w:r>
    </w:p>
    <w:p w:rsidR="00930AAE" w:rsidRDefault="00930AAE" w:rsidP="00930AAE">
      <w:pPr>
        <w:spacing w:after="240"/>
        <w:rPr>
          <w:rFonts w:ascii="Times New Roman" w:hAnsi="Times New Roman"/>
          <w:b/>
          <w:sz w:val="24"/>
        </w:rPr>
      </w:pPr>
      <w:r>
        <w:rPr>
          <w:rFonts w:ascii="Times New Roman" w:hAnsi="Times New Roman"/>
          <w:b/>
          <w:sz w:val="24"/>
        </w:rPr>
        <w:t>Q.</w:t>
      </w:r>
      <w:r>
        <w:rPr>
          <w:rFonts w:ascii="Times New Roman" w:hAnsi="Times New Roman"/>
          <w:b/>
          <w:sz w:val="24"/>
        </w:rPr>
        <w:tab/>
        <w:t xml:space="preserve">WHAT DOES THIS MEAN FOR THE VALIDITY OF THE RATES UNDER </w:t>
      </w:r>
      <w:r>
        <w:rPr>
          <w:rFonts w:ascii="Times New Roman" w:hAnsi="Times New Roman"/>
          <w:b/>
          <w:sz w:val="24"/>
        </w:rPr>
        <w:tab/>
        <w:t>THIS “RATE PLAN”?</w:t>
      </w:r>
    </w:p>
    <w:p w:rsidR="00357B99" w:rsidRDefault="00930AAE" w:rsidP="00930AAE">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It means that th</w:t>
      </w:r>
      <w:r w:rsidR="00D33813">
        <w:rPr>
          <w:rFonts w:ascii="Times New Roman" w:hAnsi="Times New Roman"/>
          <w:sz w:val="24"/>
          <w:szCs w:val="24"/>
        </w:rPr>
        <w:t xml:space="preserve">e rates proposed are arbitrary and </w:t>
      </w:r>
      <w:r>
        <w:rPr>
          <w:rFonts w:ascii="Times New Roman" w:hAnsi="Times New Roman"/>
          <w:sz w:val="24"/>
          <w:szCs w:val="24"/>
        </w:rPr>
        <w:t xml:space="preserve">not cost-based.  Any customer group could pick and choose elements from the five years used by PSE and Staff and produce any number of combinations, which, in turn, would produce </w:t>
      </w:r>
      <w:r w:rsidR="00D33813">
        <w:rPr>
          <w:rFonts w:ascii="Times New Roman" w:hAnsi="Times New Roman"/>
          <w:sz w:val="24"/>
          <w:szCs w:val="24"/>
        </w:rPr>
        <w:t xml:space="preserve">much different results than </w:t>
      </w:r>
      <w:r w:rsidR="00D33813" w:rsidRPr="005F74E1">
        <w:rPr>
          <w:rFonts w:ascii="Times New Roman" w:hAnsi="Times New Roman"/>
          <w:sz w:val="24"/>
          <w:szCs w:val="24"/>
        </w:rPr>
        <w:t>those advocated</w:t>
      </w:r>
      <w:r w:rsidR="005F74E1" w:rsidRPr="005F74E1">
        <w:rPr>
          <w:rFonts w:ascii="Times New Roman" w:hAnsi="Times New Roman"/>
          <w:sz w:val="24"/>
          <w:szCs w:val="24"/>
        </w:rPr>
        <w:t xml:space="preserve"> b</w:t>
      </w:r>
      <w:r w:rsidR="00D33813" w:rsidRPr="005F74E1">
        <w:rPr>
          <w:rFonts w:ascii="Times New Roman" w:hAnsi="Times New Roman"/>
          <w:sz w:val="24"/>
          <w:szCs w:val="24"/>
        </w:rPr>
        <w:t>y PSE</w:t>
      </w:r>
      <w:r w:rsidRPr="005F74E1">
        <w:rPr>
          <w:rFonts w:ascii="Times New Roman" w:hAnsi="Times New Roman"/>
          <w:sz w:val="24"/>
          <w:szCs w:val="24"/>
        </w:rPr>
        <w:t>.  For example, combining PSE’s current appropriate capital costs</w:t>
      </w:r>
      <w:r>
        <w:rPr>
          <w:rFonts w:ascii="Times New Roman" w:hAnsi="Times New Roman"/>
          <w:sz w:val="24"/>
          <w:szCs w:val="24"/>
        </w:rPr>
        <w:t xml:space="preserve"> and current energy costs with a 2010 test year would likely lead to a significant rate decrease.  Likewise, Staff’s justification for a yearly attrition adjustment—that PSE is chronically “under-ear</w:t>
      </w:r>
      <w:r w:rsidR="003529E4">
        <w:rPr>
          <w:rFonts w:ascii="Times New Roman" w:hAnsi="Times New Roman"/>
          <w:sz w:val="24"/>
          <w:szCs w:val="24"/>
        </w:rPr>
        <w:t>n</w:t>
      </w:r>
      <w:r>
        <w:rPr>
          <w:rFonts w:ascii="Times New Roman" w:hAnsi="Times New Roman"/>
          <w:sz w:val="24"/>
          <w:szCs w:val="24"/>
        </w:rPr>
        <w:t>ing”—is driven by reported financial results from 2008-2010.</w:t>
      </w:r>
      <w:r w:rsidR="007470A8">
        <w:rPr>
          <w:rStyle w:val="FootnoteReference"/>
          <w:sz w:val="24"/>
          <w:szCs w:val="24"/>
        </w:rPr>
        <w:footnoteReference w:id="6"/>
      </w:r>
      <w:r w:rsidR="003529E4" w:rsidRPr="001C6A74">
        <w:rPr>
          <w:rFonts w:ascii="Times New Roman" w:hAnsi="Times New Roman"/>
          <w:sz w:val="24"/>
          <w:szCs w:val="24"/>
          <w:vertAlign w:val="superscript"/>
        </w:rPr>
        <w:t>/</w:t>
      </w:r>
      <w:r>
        <w:rPr>
          <w:rFonts w:ascii="Times New Roman" w:hAnsi="Times New Roman"/>
          <w:sz w:val="24"/>
          <w:szCs w:val="24"/>
        </w:rPr>
        <w:t xml:space="preserve">  If, instead, PSE’s reported earnings were subject to a trend analysis, with PSE’s 2012 results included, a more likely conclusion would be that PSE is on course to over-earn during the rate plan period because PSE’s </w:t>
      </w:r>
      <w:r w:rsidR="00B362BD">
        <w:rPr>
          <w:rFonts w:ascii="Times New Roman" w:hAnsi="Times New Roman"/>
          <w:sz w:val="24"/>
          <w:szCs w:val="24"/>
        </w:rPr>
        <w:t>earnings are</w:t>
      </w:r>
      <w:r w:rsidR="00C3683F">
        <w:rPr>
          <w:rFonts w:ascii="Times New Roman" w:hAnsi="Times New Roman"/>
          <w:sz w:val="24"/>
          <w:szCs w:val="24"/>
        </w:rPr>
        <w:t xml:space="preserve"> </w:t>
      </w:r>
      <w:r>
        <w:rPr>
          <w:rFonts w:ascii="Times New Roman" w:hAnsi="Times New Roman"/>
          <w:sz w:val="24"/>
          <w:szCs w:val="24"/>
        </w:rPr>
        <w:t>rising</w:t>
      </w:r>
      <w:r w:rsidR="005F74E1">
        <w:rPr>
          <w:rFonts w:ascii="Times New Roman" w:hAnsi="Times New Roman"/>
          <w:sz w:val="24"/>
          <w:szCs w:val="24"/>
        </w:rPr>
        <w:t xml:space="preserve"> without the help of any </w:t>
      </w:r>
      <w:r w:rsidR="00B362BD">
        <w:rPr>
          <w:rFonts w:ascii="Times New Roman" w:hAnsi="Times New Roman"/>
          <w:sz w:val="24"/>
          <w:szCs w:val="24"/>
        </w:rPr>
        <w:t>r</w:t>
      </w:r>
      <w:r w:rsidR="005F74E1">
        <w:rPr>
          <w:rFonts w:ascii="Times New Roman" w:hAnsi="Times New Roman"/>
          <w:sz w:val="24"/>
          <w:szCs w:val="24"/>
        </w:rPr>
        <w:t xml:space="preserve">ate </w:t>
      </w:r>
      <w:r w:rsidR="00B362BD">
        <w:rPr>
          <w:rFonts w:ascii="Times New Roman" w:hAnsi="Times New Roman"/>
          <w:sz w:val="24"/>
          <w:szCs w:val="24"/>
        </w:rPr>
        <w:t>p</w:t>
      </w:r>
      <w:r w:rsidR="005F74E1">
        <w:rPr>
          <w:rFonts w:ascii="Times New Roman" w:hAnsi="Times New Roman"/>
          <w:sz w:val="24"/>
          <w:szCs w:val="24"/>
        </w:rPr>
        <w:t>lan</w:t>
      </w:r>
      <w:r w:rsidR="003529E4">
        <w:rPr>
          <w:rFonts w:ascii="Times New Roman" w:hAnsi="Times New Roman"/>
          <w:sz w:val="24"/>
          <w:szCs w:val="24"/>
        </w:rPr>
        <w:t>.</w:t>
      </w:r>
      <w:r>
        <w:rPr>
          <w:rFonts w:ascii="Times New Roman" w:hAnsi="Times New Roman"/>
          <w:sz w:val="24"/>
          <w:szCs w:val="24"/>
        </w:rPr>
        <w:t xml:space="preserve"> </w:t>
      </w:r>
    </w:p>
    <w:p w:rsidR="00930AAE" w:rsidRDefault="00357B99" w:rsidP="00930AAE">
      <w:pPr>
        <w:spacing w:line="480" w:lineRule="auto"/>
        <w:ind w:left="720" w:hanging="720"/>
        <w:rPr>
          <w:rFonts w:ascii="Times New Roman" w:hAnsi="Times New Roman"/>
          <w:sz w:val="24"/>
          <w:szCs w:val="24"/>
        </w:rPr>
      </w:pPr>
      <w:r>
        <w:rPr>
          <w:rFonts w:ascii="Times New Roman" w:hAnsi="Times New Roman"/>
          <w:b/>
          <w:sz w:val="24"/>
        </w:rPr>
        <w:lastRenderedPageBreak/>
        <w:tab/>
      </w:r>
      <w:r>
        <w:rPr>
          <w:rFonts w:ascii="Times New Roman" w:hAnsi="Times New Roman"/>
          <w:b/>
          <w:sz w:val="24"/>
        </w:rPr>
        <w:tab/>
      </w:r>
      <w:r w:rsidR="00930AAE">
        <w:rPr>
          <w:rFonts w:ascii="Times New Roman" w:hAnsi="Times New Roman"/>
          <w:sz w:val="24"/>
          <w:szCs w:val="24"/>
        </w:rPr>
        <w:t>The point, however, is that none of these methods are properly cost-based, and none of them, particularly that chosen by PSE, will produce evidence-based rates.  PSE and Staff propose a method of ratemaking that makes up the rules as it goes along.  And</w:t>
      </w:r>
      <w:r>
        <w:rPr>
          <w:rFonts w:ascii="Times New Roman" w:hAnsi="Times New Roman"/>
          <w:sz w:val="24"/>
          <w:szCs w:val="24"/>
        </w:rPr>
        <w:t>,</w:t>
      </w:r>
      <w:r w:rsidR="00930AAE">
        <w:rPr>
          <w:rFonts w:ascii="Times New Roman" w:hAnsi="Times New Roman"/>
          <w:sz w:val="24"/>
          <w:szCs w:val="24"/>
        </w:rPr>
        <w:t xml:space="preserve"> while the evidence presented does not demonstrate the rates will be fair, just, reasonable and sufficient in 2013, there is absolutely no evidence that the rate increases the rate plan</w:t>
      </w:r>
      <w:r>
        <w:rPr>
          <w:rFonts w:ascii="Times New Roman" w:hAnsi="Times New Roman"/>
          <w:sz w:val="24"/>
          <w:szCs w:val="24"/>
        </w:rPr>
        <w:t xml:space="preserve"> will effect in 2016 (and</w:t>
      </w:r>
      <w:r w:rsidR="00930AAE">
        <w:rPr>
          <w:rFonts w:ascii="Times New Roman" w:hAnsi="Times New Roman"/>
          <w:sz w:val="24"/>
          <w:szCs w:val="24"/>
        </w:rPr>
        <w:t xml:space="preserve"> potentially in 2017</w:t>
      </w:r>
      <w:r>
        <w:rPr>
          <w:rFonts w:ascii="Times New Roman" w:hAnsi="Times New Roman"/>
          <w:sz w:val="24"/>
          <w:szCs w:val="24"/>
        </w:rPr>
        <w:t>)</w:t>
      </w:r>
      <w:r w:rsidR="00930AAE">
        <w:rPr>
          <w:rFonts w:ascii="Times New Roman" w:hAnsi="Times New Roman"/>
          <w:sz w:val="24"/>
          <w:szCs w:val="24"/>
        </w:rPr>
        <w:t xml:space="preserve"> would be fair, just, or reasonable.</w:t>
      </w:r>
    </w:p>
    <w:p w:rsidR="00D94FF7" w:rsidRPr="00D94FF7" w:rsidRDefault="00D94FF7" w:rsidP="00D94FF7">
      <w:pPr>
        <w:spacing w:after="240"/>
        <w:ind w:left="720" w:hanging="720"/>
        <w:rPr>
          <w:rFonts w:ascii="Times New Roman" w:hAnsi="Times New Roman"/>
          <w:b/>
          <w:sz w:val="24"/>
        </w:rPr>
      </w:pPr>
      <w:r w:rsidRPr="00D94FF7">
        <w:rPr>
          <w:rFonts w:ascii="Times New Roman" w:hAnsi="Times New Roman"/>
          <w:b/>
          <w:sz w:val="24"/>
        </w:rPr>
        <w:t>Q.</w:t>
      </w:r>
      <w:r w:rsidRPr="00D94FF7">
        <w:rPr>
          <w:rFonts w:ascii="Times New Roman" w:hAnsi="Times New Roman"/>
          <w:b/>
          <w:sz w:val="24"/>
        </w:rPr>
        <w:tab/>
        <w:t xml:space="preserve">PLEASE BRIEFLY SUMMARIZE YOUR FINDINGS AND RECOMMENDATIONS ADDRESSED IN THIS TESTIMONY. </w:t>
      </w:r>
    </w:p>
    <w:p w:rsidR="00D94FF7" w:rsidRPr="00D94FF7" w:rsidRDefault="00D94FF7" w:rsidP="00D94FF7">
      <w:pPr>
        <w:spacing w:line="480" w:lineRule="auto"/>
        <w:ind w:left="720" w:hanging="720"/>
        <w:rPr>
          <w:rFonts w:ascii="Times New Roman" w:hAnsi="Times New Roman"/>
          <w:sz w:val="24"/>
        </w:rPr>
      </w:pPr>
      <w:r w:rsidRPr="00D94FF7">
        <w:rPr>
          <w:rFonts w:ascii="Times New Roman" w:hAnsi="Times New Roman"/>
          <w:b/>
          <w:sz w:val="24"/>
        </w:rPr>
        <w:t>A.</w:t>
      </w:r>
      <w:r w:rsidRPr="00D94FF7">
        <w:rPr>
          <w:rFonts w:ascii="Times New Roman" w:hAnsi="Times New Roman"/>
          <w:sz w:val="24"/>
        </w:rPr>
        <w:tab/>
        <w:t xml:space="preserve">At the broadest level, ICNU has found that the </w:t>
      </w:r>
      <w:r w:rsidR="00B362BD">
        <w:rPr>
          <w:rFonts w:ascii="Times New Roman" w:hAnsi="Times New Roman"/>
          <w:sz w:val="24"/>
        </w:rPr>
        <w:t>G</w:t>
      </w:r>
      <w:r w:rsidRPr="00D94FF7">
        <w:rPr>
          <w:rFonts w:ascii="Times New Roman" w:hAnsi="Times New Roman"/>
          <w:sz w:val="24"/>
        </w:rPr>
        <w:t xml:space="preserve">lobal </w:t>
      </w:r>
      <w:r w:rsidR="00B362BD">
        <w:rPr>
          <w:rFonts w:ascii="Times New Roman" w:hAnsi="Times New Roman"/>
          <w:sz w:val="24"/>
        </w:rPr>
        <w:t>S</w:t>
      </w:r>
      <w:r w:rsidRPr="00D94FF7">
        <w:rPr>
          <w:rFonts w:ascii="Times New Roman" w:hAnsi="Times New Roman"/>
          <w:sz w:val="24"/>
        </w:rPr>
        <w:t xml:space="preserve">ettlement as proposed is not in the public interest and would not produce fair, just, and reasonable </w:t>
      </w:r>
      <w:r w:rsidR="00B362BD">
        <w:rPr>
          <w:rFonts w:ascii="Times New Roman" w:hAnsi="Times New Roman"/>
          <w:sz w:val="24"/>
        </w:rPr>
        <w:t xml:space="preserve">electric </w:t>
      </w:r>
      <w:r w:rsidRPr="00D94FF7">
        <w:rPr>
          <w:rFonts w:ascii="Times New Roman" w:hAnsi="Times New Roman"/>
          <w:sz w:val="24"/>
        </w:rPr>
        <w:t>rates</w:t>
      </w:r>
      <w:r w:rsidR="00B362BD">
        <w:rPr>
          <w:rFonts w:ascii="Times New Roman" w:hAnsi="Times New Roman"/>
          <w:sz w:val="24"/>
        </w:rPr>
        <w:t>.</w:t>
      </w:r>
      <w:r w:rsidRPr="00D94FF7">
        <w:rPr>
          <w:rFonts w:ascii="Times New Roman" w:hAnsi="Times New Roman"/>
          <w:sz w:val="24"/>
        </w:rPr>
        <w:t xml:space="preserve"> The proposed changes in rates are very substantial a</w:t>
      </w:r>
      <w:r w:rsidR="00FF7822">
        <w:rPr>
          <w:rFonts w:ascii="Times New Roman" w:hAnsi="Times New Roman"/>
          <w:sz w:val="24"/>
        </w:rPr>
        <w:t>nd not based on cost of service,</w:t>
      </w:r>
      <w:r w:rsidRPr="00D94FF7">
        <w:rPr>
          <w:rFonts w:ascii="Times New Roman" w:hAnsi="Times New Roman"/>
          <w:sz w:val="24"/>
        </w:rPr>
        <w:t xml:space="preserve"> the proposed decoupling mechanism does not </w:t>
      </w:r>
      <w:r w:rsidR="00B362BD">
        <w:rPr>
          <w:rFonts w:ascii="Times New Roman" w:hAnsi="Times New Roman"/>
          <w:sz w:val="24"/>
        </w:rPr>
        <w:t xml:space="preserve">appear to be </w:t>
      </w:r>
      <w:r w:rsidR="00FF7822">
        <w:rPr>
          <w:rFonts w:ascii="Times New Roman" w:hAnsi="Times New Roman"/>
          <w:sz w:val="24"/>
        </w:rPr>
        <w:t>conservation program</w:t>
      </w:r>
      <w:r w:rsidR="00BD6B2A">
        <w:rPr>
          <w:rFonts w:ascii="Times New Roman" w:hAnsi="Times New Roman"/>
          <w:sz w:val="24"/>
        </w:rPr>
        <w:t>-</w:t>
      </w:r>
      <w:r w:rsidR="00B362BD">
        <w:rPr>
          <w:rFonts w:ascii="Times New Roman" w:hAnsi="Times New Roman"/>
          <w:sz w:val="24"/>
        </w:rPr>
        <w:t>driven</w:t>
      </w:r>
      <w:r w:rsidRPr="00D94FF7">
        <w:rPr>
          <w:rFonts w:ascii="Times New Roman" w:hAnsi="Times New Roman"/>
          <w:sz w:val="24"/>
        </w:rPr>
        <w:t xml:space="preserve">, and the proposed resolution of the outstanding Petition for Reconsideration </w:t>
      </w:r>
      <w:r w:rsidR="00B362BD">
        <w:rPr>
          <w:rFonts w:ascii="Times New Roman" w:hAnsi="Times New Roman"/>
          <w:sz w:val="24"/>
        </w:rPr>
        <w:t xml:space="preserve">in the Centralia docket </w:t>
      </w:r>
      <w:r w:rsidRPr="00D94FF7">
        <w:rPr>
          <w:rFonts w:ascii="Times New Roman" w:hAnsi="Times New Roman"/>
          <w:sz w:val="24"/>
        </w:rPr>
        <w:t xml:space="preserve">is both of both dubious value to consumers and has no substantive relationship to the other issues in the </w:t>
      </w:r>
      <w:r w:rsidR="006129D4">
        <w:rPr>
          <w:rFonts w:ascii="Times New Roman" w:hAnsi="Times New Roman"/>
          <w:sz w:val="24"/>
        </w:rPr>
        <w:t>G</w:t>
      </w:r>
      <w:r w:rsidRPr="00D94FF7">
        <w:rPr>
          <w:rFonts w:ascii="Times New Roman" w:hAnsi="Times New Roman"/>
          <w:sz w:val="24"/>
        </w:rPr>
        <w:t xml:space="preserve">lobal </w:t>
      </w:r>
      <w:r w:rsidR="006129D4">
        <w:rPr>
          <w:rFonts w:ascii="Times New Roman" w:hAnsi="Times New Roman"/>
          <w:sz w:val="24"/>
        </w:rPr>
        <w:t>S</w:t>
      </w:r>
      <w:r w:rsidRPr="00D94FF7">
        <w:rPr>
          <w:rFonts w:ascii="Times New Roman" w:hAnsi="Times New Roman"/>
          <w:sz w:val="24"/>
        </w:rPr>
        <w:t xml:space="preserve">ettlement.  </w:t>
      </w:r>
    </w:p>
    <w:p w:rsidR="00D94FF7" w:rsidRDefault="00D94FF7" w:rsidP="005F5E33">
      <w:pPr>
        <w:spacing w:line="480" w:lineRule="auto"/>
        <w:ind w:left="720" w:firstLine="720"/>
        <w:rPr>
          <w:rFonts w:ascii="Times New Roman" w:hAnsi="Times New Roman"/>
          <w:b/>
          <w:sz w:val="24"/>
        </w:rPr>
      </w:pPr>
      <w:r w:rsidRPr="00D94FF7">
        <w:rPr>
          <w:rFonts w:ascii="Times New Roman" w:hAnsi="Times New Roman"/>
          <w:sz w:val="24"/>
        </w:rPr>
        <w:t xml:space="preserve">Further, the process by which the proposed </w:t>
      </w:r>
      <w:r w:rsidR="00B362BD">
        <w:rPr>
          <w:rFonts w:ascii="Times New Roman" w:hAnsi="Times New Roman"/>
          <w:sz w:val="24"/>
        </w:rPr>
        <w:t>G</w:t>
      </w:r>
      <w:r w:rsidRPr="00D94FF7">
        <w:rPr>
          <w:rFonts w:ascii="Times New Roman" w:hAnsi="Times New Roman"/>
          <w:sz w:val="24"/>
        </w:rPr>
        <w:t xml:space="preserve">lobal </w:t>
      </w:r>
      <w:r w:rsidR="00B362BD">
        <w:rPr>
          <w:rFonts w:ascii="Times New Roman" w:hAnsi="Times New Roman"/>
          <w:sz w:val="24"/>
        </w:rPr>
        <w:t>S</w:t>
      </w:r>
      <w:r w:rsidRPr="00D94FF7">
        <w:rPr>
          <w:rFonts w:ascii="Times New Roman" w:hAnsi="Times New Roman"/>
          <w:sz w:val="24"/>
        </w:rPr>
        <w:t>ettlement has been reached</w:t>
      </w:r>
      <w:r w:rsidR="00BD6B2A">
        <w:rPr>
          <w:rFonts w:ascii="Times New Roman" w:hAnsi="Times New Roman"/>
          <w:sz w:val="24"/>
        </w:rPr>
        <w:t>,</w:t>
      </w:r>
      <w:r w:rsidRPr="00D94FF7">
        <w:rPr>
          <w:rFonts w:ascii="Times New Roman" w:hAnsi="Times New Roman"/>
          <w:sz w:val="24"/>
        </w:rPr>
        <w:t xml:space="preserve"> as well as the features of the settlement itself, form a radical departure from historic WUTC practice and undermine foundational aspects of regulation in the state of Washington to the detriment of customers</w:t>
      </w:r>
      <w:r w:rsidRPr="00D94FF7">
        <w:rPr>
          <w:rFonts w:ascii="Times New Roman" w:hAnsi="Times New Roman"/>
          <w:b/>
          <w:sz w:val="24"/>
        </w:rPr>
        <w:t>.</w:t>
      </w:r>
    </w:p>
    <w:p w:rsidR="004010E8" w:rsidRPr="004010E8" w:rsidRDefault="004010E8" w:rsidP="005F5E33">
      <w:pPr>
        <w:spacing w:line="480" w:lineRule="auto"/>
        <w:ind w:left="720" w:firstLine="720"/>
        <w:rPr>
          <w:rFonts w:ascii="Times New Roman" w:hAnsi="Times New Roman"/>
          <w:sz w:val="24"/>
        </w:rPr>
      </w:pPr>
      <w:r>
        <w:rPr>
          <w:rFonts w:ascii="Times New Roman" w:hAnsi="Times New Roman"/>
          <w:sz w:val="24"/>
        </w:rPr>
        <w:t xml:space="preserve">For these reasons, ICNU recommends that the </w:t>
      </w:r>
      <w:r w:rsidR="00B362BD">
        <w:rPr>
          <w:rFonts w:ascii="Times New Roman" w:hAnsi="Times New Roman"/>
          <w:sz w:val="24"/>
        </w:rPr>
        <w:t>G</w:t>
      </w:r>
      <w:r>
        <w:rPr>
          <w:rFonts w:ascii="Times New Roman" w:hAnsi="Times New Roman"/>
          <w:sz w:val="24"/>
        </w:rPr>
        <w:t xml:space="preserve">lobal </w:t>
      </w:r>
      <w:r w:rsidR="00B362BD">
        <w:rPr>
          <w:rFonts w:ascii="Times New Roman" w:hAnsi="Times New Roman"/>
          <w:sz w:val="24"/>
        </w:rPr>
        <w:t>S</w:t>
      </w:r>
      <w:r>
        <w:rPr>
          <w:rFonts w:ascii="Times New Roman" w:hAnsi="Times New Roman"/>
          <w:sz w:val="24"/>
        </w:rPr>
        <w:t xml:space="preserve">ettlement and its constituent parts should be rejected in their entirety.  However, if the Commission wishes to continue with the </w:t>
      </w:r>
      <w:r w:rsidR="006A436E">
        <w:rPr>
          <w:rFonts w:ascii="Times New Roman" w:hAnsi="Times New Roman"/>
          <w:sz w:val="24"/>
        </w:rPr>
        <w:t>G</w:t>
      </w:r>
      <w:r>
        <w:rPr>
          <w:rFonts w:ascii="Times New Roman" w:hAnsi="Times New Roman"/>
          <w:sz w:val="24"/>
        </w:rPr>
        <w:t xml:space="preserve">lobal </w:t>
      </w:r>
      <w:r w:rsidR="006A436E">
        <w:rPr>
          <w:rFonts w:ascii="Times New Roman" w:hAnsi="Times New Roman"/>
          <w:sz w:val="24"/>
        </w:rPr>
        <w:t>S</w:t>
      </w:r>
      <w:r>
        <w:rPr>
          <w:rFonts w:ascii="Times New Roman" w:hAnsi="Times New Roman"/>
          <w:sz w:val="24"/>
        </w:rPr>
        <w:t xml:space="preserve">ettlement construct, ICNU has a number of recommendations to make the proposal more balanced for </w:t>
      </w:r>
      <w:r w:rsidR="00F13633">
        <w:rPr>
          <w:rFonts w:ascii="Times New Roman" w:hAnsi="Times New Roman"/>
          <w:sz w:val="24"/>
        </w:rPr>
        <w:t>customers</w:t>
      </w:r>
      <w:r>
        <w:rPr>
          <w:rFonts w:ascii="Times New Roman" w:hAnsi="Times New Roman"/>
          <w:sz w:val="24"/>
        </w:rPr>
        <w:t>.</w:t>
      </w:r>
    </w:p>
    <w:p w:rsidR="005F5E33" w:rsidRDefault="000E77FC" w:rsidP="000E77FC">
      <w:pPr>
        <w:spacing w:line="480" w:lineRule="auto"/>
        <w:ind w:left="720" w:firstLine="720"/>
        <w:jc w:val="center"/>
        <w:rPr>
          <w:rFonts w:ascii="Times New Roman" w:hAnsi="Times New Roman"/>
          <w:b/>
          <w:sz w:val="24"/>
        </w:rPr>
      </w:pPr>
      <w:r>
        <w:rPr>
          <w:rFonts w:ascii="Times New Roman" w:hAnsi="Times New Roman"/>
          <w:b/>
          <w:sz w:val="24"/>
        </w:rPr>
        <w:lastRenderedPageBreak/>
        <w:t>II.</w:t>
      </w:r>
      <w:r>
        <w:rPr>
          <w:rFonts w:ascii="Times New Roman" w:hAnsi="Times New Roman"/>
          <w:b/>
          <w:sz w:val="24"/>
        </w:rPr>
        <w:tab/>
      </w:r>
      <w:r w:rsidR="005F5E33">
        <w:rPr>
          <w:rFonts w:ascii="Times New Roman" w:hAnsi="Times New Roman"/>
          <w:b/>
          <w:sz w:val="24"/>
        </w:rPr>
        <w:t xml:space="preserve"> ANALYSIS OF ERF AND RATE PLAN IMPACTS</w:t>
      </w:r>
    </w:p>
    <w:p w:rsidR="00A45D53" w:rsidRDefault="00A45D53" w:rsidP="00A45D53">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SUMMARIZE YOUR RECOMMENDATIONS REGARDING THE ERF AND RATE PLAN.</w:t>
      </w:r>
    </w:p>
    <w:p w:rsidR="00A45D53" w:rsidRPr="00A45D53" w:rsidRDefault="00A45D53" w:rsidP="004010E8">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As currently proposed, the ERF and rate plan elements of the </w:t>
      </w:r>
      <w:r w:rsidR="006A436E">
        <w:rPr>
          <w:rFonts w:ascii="Times New Roman" w:hAnsi="Times New Roman"/>
          <w:sz w:val="24"/>
        </w:rPr>
        <w:t>G</w:t>
      </w:r>
      <w:r>
        <w:rPr>
          <w:rFonts w:ascii="Times New Roman" w:hAnsi="Times New Roman"/>
          <w:sz w:val="24"/>
        </w:rPr>
        <w:t xml:space="preserve">lobal </w:t>
      </w:r>
      <w:r w:rsidR="006A436E">
        <w:rPr>
          <w:rFonts w:ascii="Times New Roman" w:hAnsi="Times New Roman"/>
          <w:sz w:val="24"/>
        </w:rPr>
        <w:t>S</w:t>
      </w:r>
      <w:r>
        <w:rPr>
          <w:rFonts w:ascii="Times New Roman" w:hAnsi="Times New Roman"/>
          <w:sz w:val="24"/>
        </w:rPr>
        <w:t>ettlement will not produce cost based rates.  Also, the benefits to ratepayers</w:t>
      </w:r>
      <w:r w:rsidR="004010E8">
        <w:rPr>
          <w:rFonts w:ascii="Times New Roman" w:hAnsi="Times New Roman"/>
          <w:sz w:val="24"/>
        </w:rPr>
        <w:t xml:space="preserve"> alleged by Staff are</w:t>
      </w:r>
      <w:r w:rsidR="00BD6B2A">
        <w:rPr>
          <w:rFonts w:ascii="Times New Roman" w:hAnsi="Times New Roman"/>
          <w:sz w:val="24"/>
        </w:rPr>
        <w:t>,</w:t>
      </w:r>
      <w:r w:rsidR="004010E8">
        <w:rPr>
          <w:rFonts w:ascii="Times New Roman" w:hAnsi="Times New Roman"/>
          <w:sz w:val="24"/>
        </w:rPr>
        <w:t xml:space="preserve"> at best</w:t>
      </w:r>
      <w:r w:rsidR="00BD6B2A">
        <w:rPr>
          <w:rFonts w:ascii="Times New Roman" w:hAnsi="Times New Roman"/>
          <w:sz w:val="24"/>
        </w:rPr>
        <w:t>,</w:t>
      </w:r>
      <w:r w:rsidR="004010E8">
        <w:rPr>
          <w:rFonts w:ascii="Times New Roman" w:hAnsi="Times New Roman"/>
          <w:sz w:val="24"/>
        </w:rPr>
        <w:t xml:space="preserve"> drastically overstated.  If the Commission wishes to continue with the </w:t>
      </w:r>
      <w:r w:rsidR="006A436E">
        <w:rPr>
          <w:rFonts w:ascii="Times New Roman" w:hAnsi="Times New Roman"/>
          <w:sz w:val="24"/>
        </w:rPr>
        <w:t>G</w:t>
      </w:r>
      <w:r w:rsidR="004010E8">
        <w:rPr>
          <w:rFonts w:ascii="Times New Roman" w:hAnsi="Times New Roman"/>
          <w:sz w:val="24"/>
        </w:rPr>
        <w:t xml:space="preserve">lobal </w:t>
      </w:r>
      <w:r w:rsidR="006A436E">
        <w:rPr>
          <w:rFonts w:ascii="Times New Roman" w:hAnsi="Times New Roman"/>
          <w:sz w:val="24"/>
        </w:rPr>
        <w:t>S</w:t>
      </w:r>
      <w:r w:rsidR="004010E8">
        <w:rPr>
          <w:rFonts w:ascii="Times New Roman" w:hAnsi="Times New Roman"/>
          <w:sz w:val="24"/>
        </w:rPr>
        <w:t xml:space="preserve">ettlement construct, to address the flaws identified in this section of testimony the Commission should reject the novel use of end of period rate base in the ERF, make cost of capital an issue in the </w:t>
      </w:r>
      <w:r w:rsidR="006A436E">
        <w:rPr>
          <w:rFonts w:ascii="Times New Roman" w:hAnsi="Times New Roman"/>
          <w:sz w:val="24"/>
        </w:rPr>
        <w:t>G</w:t>
      </w:r>
      <w:r w:rsidR="004010E8">
        <w:rPr>
          <w:rFonts w:ascii="Times New Roman" w:hAnsi="Times New Roman"/>
          <w:sz w:val="24"/>
        </w:rPr>
        <w:t xml:space="preserve">lobal </w:t>
      </w:r>
      <w:r w:rsidR="006A436E">
        <w:rPr>
          <w:rFonts w:ascii="Times New Roman" w:hAnsi="Times New Roman"/>
          <w:sz w:val="24"/>
        </w:rPr>
        <w:t>S</w:t>
      </w:r>
      <w:r w:rsidR="004010E8">
        <w:rPr>
          <w:rFonts w:ascii="Times New Roman" w:hAnsi="Times New Roman"/>
          <w:sz w:val="24"/>
        </w:rPr>
        <w:t>ettlement proceedings, and include more meaningful customer protections.</w:t>
      </w:r>
    </w:p>
    <w:p w:rsidR="005F5E33" w:rsidRPr="005F5E33" w:rsidRDefault="005F5E33" w:rsidP="005F5E33">
      <w:pPr>
        <w:spacing w:after="240"/>
        <w:ind w:left="720" w:hanging="720"/>
        <w:rPr>
          <w:rFonts w:ascii="Times New Roman" w:hAnsi="Times New Roman"/>
          <w:b/>
          <w:sz w:val="24"/>
        </w:rPr>
      </w:pPr>
      <w:r w:rsidRPr="005F5E33">
        <w:rPr>
          <w:rFonts w:ascii="Times New Roman" w:hAnsi="Times New Roman"/>
          <w:b/>
          <w:sz w:val="24"/>
        </w:rPr>
        <w:t>Q.</w:t>
      </w:r>
      <w:r w:rsidRPr="005F5E33">
        <w:rPr>
          <w:rFonts w:ascii="Times New Roman" w:hAnsi="Times New Roman"/>
          <w:b/>
          <w:sz w:val="24"/>
        </w:rPr>
        <w:tab/>
        <w:t>PLEASE DESCRIBE THE PROPOSED</w:t>
      </w:r>
      <w:r>
        <w:rPr>
          <w:rFonts w:ascii="Times New Roman" w:hAnsi="Times New Roman"/>
          <w:b/>
          <w:sz w:val="24"/>
        </w:rPr>
        <w:t xml:space="preserve"> RATE AND VALUE COMPONENTS</w:t>
      </w:r>
      <w:r w:rsidRPr="005F5E33">
        <w:rPr>
          <w:rFonts w:ascii="Times New Roman" w:hAnsi="Times New Roman"/>
          <w:b/>
          <w:sz w:val="24"/>
        </w:rPr>
        <w:t xml:space="preserve"> </w:t>
      </w:r>
      <w:r w:rsidR="00BD6B2A">
        <w:rPr>
          <w:rFonts w:ascii="Times New Roman" w:hAnsi="Times New Roman"/>
          <w:b/>
          <w:sz w:val="24"/>
        </w:rPr>
        <w:t xml:space="preserve">OF THE </w:t>
      </w:r>
      <w:r w:rsidRPr="005F5E33">
        <w:rPr>
          <w:rFonts w:ascii="Times New Roman" w:hAnsi="Times New Roman"/>
          <w:b/>
          <w:sz w:val="24"/>
        </w:rPr>
        <w:t>GLOBAL SETTLEMENT AGREEMENT.</w:t>
      </w:r>
    </w:p>
    <w:p w:rsidR="005F5E33" w:rsidRPr="005F5E33" w:rsidRDefault="005F5E33" w:rsidP="005F5E33">
      <w:pPr>
        <w:spacing w:line="480" w:lineRule="auto"/>
        <w:ind w:left="720" w:hanging="720"/>
        <w:rPr>
          <w:rFonts w:ascii="Times New Roman" w:hAnsi="Times New Roman"/>
          <w:sz w:val="24"/>
        </w:rPr>
      </w:pPr>
      <w:r w:rsidRPr="005F5E33">
        <w:rPr>
          <w:rFonts w:ascii="Times New Roman" w:hAnsi="Times New Roman"/>
          <w:b/>
          <w:sz w:val="24"/>
        </w:rPr>
        <w:t>A.</w:t>
      </w:r>
      <w:r w:rsidRPr="005F5E33">
        <w:rPr>
          <w:rFonts w:ascii="Times New Roman" w:hAnsi="Times New Roman"/>
          <w:b/>
          <w:sz w:val="24"/>
        </w:rPr>
        <w:tab/>
      </w:r>
      <w:r w:rsidRPr="005F5E33">
        <w:rPr>
          <w:rFonts w:ascii="Times New Roman" w:hAnsi="Times New Roman"/>
          <w:sz w:val="24"/>
        </w:rPr>
        <w:t xml:space="preserve">The Global Settlement is composed of a variety of disparate parts.  The core elements are the ERF, the “rate plan”, the joint decoupling proposal, and </w:t>
      </w:r>
      <w:r w:rsidR="00BD6B2A">
        <w:rPr>
          <w:rFonts w:ascii="Times New Roman" w:hAnsi="Times New Roman"/>
          <w:sz w:val="24"/>
        </w:rPr>
        <w:t xml:space="preserve">the </w:t>
      </w:r>
      <w:r w:rsidRPr="005F5E33">
        <w:rPr>
          <w:rFonts w:ascii="Times New Roman" w:hAnsi="Times New Roman"/>
          <w:sz w:val="24"/>
        </w:rPr>
        <w:t xml:space="preserve">resolution of issues in the </w:t>
      </w:r>
      <w:r w:rsidR="00BF0FD0">
        <w:rPr>
          <w:rFonts w:ascii="Times New Roman" w:hAnsi="Times New Roman"/>
          <w:sz w:val="24"/>
        </w:rPr>
        <w:t>C</w:t>
      </w:r>
      <w:r w:rsidRPr="005F5E33">
        <w:rPr>
          <w:rFonts w:ascii="Times New Roman" w:hAnsi="Times New Roman"/>
          <w:sz w:val="24"/>
        </w:rPr>
        <w:t xml:space="preserve">oal </w:t>
      </w:r>
      <w:r w:rsidR="00BF0FD0">
        <w:rPr>
          <w:rFonts w:ascii="Times New Roman" w:hAnsi="Times New Roman"/>
          <w:sz w:val="24"/>
        </w:rPr>
        <w:t>T</w:t>
      </w:r>
      <w:r w:rsidRPr="005F5E33">
        <w:rPr>
          <w:rFonts w:ascii="Times New Roman" w:hAnsi="Times New Roman"/>
          <w:sz w:val="24"/>
        </w:rPr>
        <w:t xml:space="preserve">ransition </w:t>
      </w:r>
      <w:r w:rsidR="00BF0FD0">
        <w:rPr>
          <w:rFonts w:ascii="Times New Roman" w:hAnsi="Times New Roman"/>
          <w:sz w:val="24"/>
        </w:rPr>
        <w:t>P</w:t>
      </w:r>
      <w:r w:rsidRPr="005F5E33">
        <w:rPr>
          <w:rFonts w:ascii="Times New Roman" w:hAnsi="Times New Roman"/>
          <w:sz w:val="24"/>
        </w:rPr>
        <w:t xml:space="preserve">ower </w:t>
      </w:r>
      <w:r w:rsidR="00BF0FD0">
        <w:rPr>
          <w:rFonts w:ascii="Times New Roman" w:hAnsi="Times New Roman"/>
          <w:sz w:val="24"/>
        </w:rPr>
        <w:t>Purchase Agreement (“</w:t>
      </w:r>
      <w:r w:rsidRPr="005F5E33">
        <w:rPr>
          <w:rFonts w:ascii="Times New Roman" w:hAnsi="Times New Roman"/>
          <w:sz w:val="24"/>
        </w:rPr>
        <w:t>PPA</w:t>
      </w:r>
      <w:r w:rsidR="00BF0FD0">
        <w:rPr>
          <w:rFonts w:ascii="Times New Roman" w:hAnsi="Times New Roman"/>
          <w:sz w:val="24"/>
        </w:rPr>
        <w:t>”)</w:t>
      </w:r>
      <w:r w:rsidRPr="005F5E33">
        <w:rPr>
          <w:rFonts w:ascii="Times New Roman" w:hAnsi="Times New Roman"/>
          <w:sz w:val="24"/>
        </w:rPr>
        <w:t xml:space="preserve"> order from the Commission.</w:t>
      </w:r>
    </w:p>
    <w:p w:rsidR="005F5E33" w:rsidRPr="005F5E33" w:rsidRDefault="005F5E33" w:rsidP="005F5E33">
      <w:pPr>
        <w:spacing w:line="480" w:lineRule="auto"/>
        <w:ind w:left="720" w:hanging="720"/>
        <w:rPr>
          <w:rFonts w:ascii="Times New Roman" w:hAnsi="Times New Roman"/>
          <w:sz w:val="24"/>
        </w:rPr>
      </w:pPr>
      <w:r w:rsidRPr="005F5E33">
        <w:rPr>
          <w:rFonts w:ascii="Times New Roman" w:hAnsi="Times New Roman"/>
          <w:sz w:val="24"/>
        </w:rPr>
        <w:tab/>
      </w:r>
      <w:r w:rsidRPr="005F5E33">
        <w:rPr>
          <w:rFonts w:ascii="Times New Roman" w:hAnsi="Times New Roman"/>
          <w:sz w:val="24"/>
        </w:rPr>
        <w:tab/>
        <w:t xml:space="preserve">The ERF serves to provide an updated baseline for the so-called “delivery” related portion of PSE’s revenue requirement based on the </w:t>
      </w:r>
      <w:r w:rsidR="00BD6B2A">
        <w:rPr>
          <w:rFonts w:ascii="Times New Roman" w:hAnsi="Times New Roman"/>
          <w:sz w:val="24"/>
        </w:rPr>
        <w:t>12-</w:t>
      </w:r>
      <w:r w:rsidRPr="005F5E33">
        <w:rPr>
          <w:rFonts w:ascii="Times New Roman" w:hAnsi="Times New Roman"/>
          <w:sz w:val="24"/>
        </w:rPr>
        <w:t>month period end</w:t>
      </w:r>
      <w:r w:rsidR="006A436E">
        <w:rPr>
          <w:rFonts w:ascii="Times New Roman" w:hAnsi="Times New Roman"/>
          <w:sz w:val="24"/>
        </w:rPr>
        <w:t>ing</w:t>
      </w:r>
      <w:r w:rsidRPr="005F5E33">
        <w:rPr>
          <w:rFonts w:ascii="Times New Roman" w:hAnsi="Times New Roman"/>
          <w:sz w:val="24"/>
        </w:rPr>
        <w:t xml:space="preserve"> June 30, 2012.  The costs included in this proposed rate increase are PSE’s remaining costs after property taxes and power costs.  PSE’s filing alleges a revenue deficiency of approximately $32 million for these delivery related costs, or 1.6% of total rates</w:t>
      </w:r>
      <w:r w:rsidR="00433B9F">
        <w:rPr>
          <w:rFonts w:ascii="Times New Roman" w:hAnsi="Times New Roman"/>
          <w:sz w:val="24"/>
        </w:rPr>
        <w:t xml:space="preserve"> (and approximately 5% of delivery revenues)</w:t>
      </w:r>
      <w:r w:rsidRPr="005F5E33">
        <w:rPr>
          <w:rFonts w:ascii="Times New Roman" w:hAnsi="Times New Roman"/>
          <w:sz w:val="24"/>
        </w:rPr>
        <w:t>.</w:t>
      </w:r>
    </w:p>
    <w:p w:rsidR="005F5E33" w:rsidRPr="005F5E33" w:rsidRDefault="005F5E33" w:rsidP="005F5E33">
      <w:pPr>
        <w:spacing w:line="480" w:lineRule="auto"/>
        <w:ind w:left="720" w:hanging="720"/>
        <w:rPr>
          <w:rFonts w:ascii="Times New Roman" w:hAnsi="Times New Roman"/>
          <w:sz w:val="24"/>
        </w:rPr>
      </w:pPr>
      <w:r w:rsidRPr="005F5E33">
        <w:rPr>
          <w:rFonts w:ascii="Times New Roman" w:hAnsi="Times New Roman"/>
          <w:sz w:val="24"/>
        </w:rPr>
        <w:tab/>
      </w:r>
      <w:r w:rsidRPr="005F5E33">
        <w:rPr>
          <w:rFonts w:ascii="Times New Roman" w:hAnsi="Times New Roman"/>
          <w:sz w:val="24"/>
        </w:rPr>
        <w:tab/>
        <w:t xml:space="preserve">The rate plan component of the settlement establishes a base Revenue Per Customer (“RPC”) from the ERF for delivery revenues and then applies a 3% increase immediately and then another 3% annual increase for each year the rate plan is in effect.  </w:t>
      </w:r>
      <w:r w:rsidRPr="005F5E33">
        <w:rPr>
          <w:rFonts w:ascii="Times New Roman" w:hAnsi="Times New Roman"/>
          <w:sz w:val="24"/>
        </w:rPr>
        <w:lastRenderedPageBreak/>
        <w:t xml:space="preserve">This first 3% </w:t>
      </w:r>
      <w:r w:rsidR="00911D43">
        <w:rPr>
          <w:rFonts w:ascii="Times New Roman" w:hAnsi="Times New Roman"/>
          <w:sz w:val="24"/>
        </w:rPr>
        <w:t xml:space="preserve">K-Factor </w:t>
      </w:r>
      <w:r w:rsidRPr="005F5E33">
        <w:rPr>
          <w:rFonts w:ascii="Times New Roman" w:hAnsi="Times New Roman"/>
          <w:sz w:val="24"/>
        </w:rPr>
        <w:t xml:space="preserve">increase to delivery RPC would result in a </w:t>
      </w:r>
      <w:r w:rsidR="00911D43">
        <w:rPr>
          <w:rFonts w:ascii="Times New Roman" w:hAnsi="Times New Roman"/>
          <w:sz w:val="24"/>
        </w:rPr>
        <w:t>$21.2</w:t>
      </w:r>
      <w:r w:rsidRPr="005F5E33">
        <w:rPr>
          <w:rFonts w:ascii="Times New Roman" w:hAnsi="Times New Roman"/>
          <w:sz w:val="24"/>
        </w:rPr>
        <w:t xml:space="preserve"> million </w:t>
      </w:r>
      <w:r w:rsidR="00911D43">
        <w:rPr>
          <w:rFonts w:ascii="Times New Roman" w:hAnsi="Times New Roman"/>
          <w:sz w:val="24"/>
        </w:rPr>
        <w:t xml:space="preserve">electric </w:t>
      </w:r>
      <w:r w:rsidRPr="005F5E33">
        <w:rPr>
          <w:rFonts w:ascii="Times New Roman" w:hAnsi="Times New Roman"/>
          <w:sz w:val="24"/>
        </w:rPr>
        <w:t>rate increase to customers.</w:t>
      </w:r>
    </w:p>
    <w:p w:rsidR="005F5E33" w:rsidRPr="005F5E33" w:rsidRDefault="005F5E33" w:rsidP="005F5E33">
      <w:pPr>
        <w:spacing w:line="480" w:lineRule="auto"/>
        <w:ind w:left="720" w:hanging="720"/>
        <w:rPr>
          <w:rFonts w:ascii="Times New Roman" w:hAnsi="Times New Roman"/>
          <w:sz w:val="24"/>
        </w:rPr>
      </w:pPr>
      <w:r w:rsidRPr="005F5E33">
        <w:rPr>
          <w:rFonts w:ascii="Times New Roman" w:hAnsi="Times New Roman"/>
          <w:sz w:val="24"/>
        </w:rPr>
        <w:tab/>
      </w:r>
      <w:r w:rsidRPr="005F5E33">
        <w:rPr>
          <w:rFonts w:ascii="Times New Roman" w:hAnsi="Times New Roman"/>
          <w:sz w:val="24"/>
        </w:rPr>
        <w:tab/>
        <w:t>The decoupling proposal represents a revised joint proposal by the Northwest Energy Coalition (“NWEC”) and PSE.  Under this proposal, the delivery RPC for a given year is multiplied by actual customers in that year to give a total amount of delivery revenue that PSE is allowed to recover for that year.  Any variation from actual allowed delivery revenues is deferred with interest for recovery from customers in the following year.</w:t>
      </w:r>
    </w:p>
    <w:p w:rsidR="005F5E33" w:rsidRPr="005F5E33" w:rsidRDefault="005F5E33" w:rsidP="005F5E33">
      <w:pPr>
        <w:spacing w:line="480" w:lineRule="auto"/>
        <w:ind w:left="720" w:hanging="720"/>
        <w:rPr>
          <w:rFonts w:ascii="Times New Roman" w:hAnsi="Times New Roman"/>
          <w:sz w:val="24"/>
        </w:rPr>
      </w:pPr>
      <w:r w:rsidRPr="005F5E33">
        <w:rPr>
          <w:rFonts w:ascii="Times New Roman" w:hAnsi="Times New Roman"/>
          <w:sz w:val="24"/>
        </w:rPr>
        <w:tab/>
      </w:r>
      <w:r w:rsidRPr="005F5E33">
        <w:rPr>
          <w:rFonts w:ascii="Times New Roman" w:hAnsi="Times New Roman"/>
          <w:sz w:val="24"/>
        </w:rPr>
        <w:tab/>
        <w:t>The last central component of the settlement is the resolution of PSE’s Motion for Reconsideration regarding the Commission’s order on the acquisition of coal transition power.  The Commission order in that proceeding allowed for ongoing approval authority of the prudence of the PPA and left the method of cost recovery (including the equity adder) to a lat</w:t>
      </w:r>
      <w:r w:rsidR="009A1787">
        <w:rPr>
          <w:rFonts w:ascii="Times New Roman" w:hAnsi="Times New Roman"/>
          <w:sz w:val="24"/>
        </w:rPr>
        <w:t>er time.  The Global Settlement</w:t>
      </w:r>
      <w:r w:rsidRPr="005F5E33">
        <w:rPr>
          <w:rFonts w:ascii="Times New Roman" w:hAnsi="Times New Roman"/>
          <w:sz w:val="24"/>
        </w:rPr>
        <w:t xml:space="preserve"> provides PSE certainty that the Commission will not make a prudency disallowance of costs incurred under the Coal Transition PPA at a future time and also gives the PSE the option to either seek recovery of the PPA costs and equity adder through a </w:t>
      </w:r>
      <w:r w:rsidR="00F13633">
        <w:rPr>
          <w:rFonts w:ascii="Times New Roman" w:hAnsi="Times New Roman"/>
          <w:sz w:val="24"/>
        </w:rPr>
        <w:t>power cost only rate case (“</w:t>
      </w:r>
      <w:r w:rsidRPr="005F5E33">
        <w:rPr>
          <w:rFonts w:ascii="Times New Roman" w:hAnsi="Times New Roman"/>
          <w:sz w:val="24"/>
        </w:rPr>
        <w:t>PCORC</w:t>
      </w:r>
      <w:r w:rsidR="00F13633">
        <w:rPr>
          <w:rFonts w:ascii="Times New Roman" w:hAnsi="Times New Roman"/>
          <w:sz w:val="24"/>
        </w:rPr>
        <w:t>”)</w:t>
      </w:r>
      <w:r w:rsidRPr="005F5E33">
        <w:rPr>
          <w:rFonts w:ascii="Times New Roman" w:hAnsi="Times New Roman"/>
          <w:sz w:val="24"/>
        </w:rPr>
        <w:t xml:space="preserve"> or cost deferral filing (or combination thereof)</w:t>
      </w:r>
      <w:r w:rsidR="00BD6B2A">
        <w:rPr>
          <w:rFonts w:ascii="Times New Roman" w:hAnsi="Times New Roman"/>
          <w:sz w:val="24"/>
        </w:rPr>
        <w:t xml:space="preserve"> as the Company sees fit</w:t>
      </w:r>
      <w:r w:rsidRPr="005F5E33">
        <w:rPr>
          <w:rFonts w:ascii="Times New Roman" w:hAnsi="Times New Roman"/>
          <w:sz w:val="24"/>
        </w:rPr>
        <w:t>.  In exchange for these considerations, PSE agrees to withdraw any challenge of the $1.49/MWh level of the equity adder.</w:t>
      </w:r>
    </w:p>
    <w:p w:rsidR="005F5E33" w:rsidRPr="005F5E33" w:rsidRDefault="005F5E33" w:rsidP="005F5E33">
      <w:pPr>
        <w:spacing w:line="480" w:lineRule="auto"/>
        <w:ind w:left="720" w:hanging="720"/>
        <w:rPr>
          <w:rFonts w:ascii="Times New Roman" w:hAnsi="Times New Roman"/>
          <w:sz w:val="24"/>
        </w:rPr>
      </w:pPr>
      <w:r w:rsidRPr="005F5E33">
        <w:rPr>
          <w:rFonts w:ascii="Times New Roman" w:hAnsi="Times New Roman"/>
          <w:sz w:val="24"/>
        </w:rPr>
        <w:tab/>
      </w:r>
      <w:r w:rsidRPr="005F5E33">
        <w:rPr>
          <w:rFonts w:ascii="Times New Roman" w:hAnsi="Times New Roman"/>
          <w:sz w:val="24"/>
        </w:rPr>
        <w:tab/>
        <w:t xml:space="preserve">In addition to the agreements above, PSE agrees under the settlement to not file a general rate case </w:t>
      </w:r>
      <w:r w:rsidR="00F13633">
        <w:rPr>
          <w:rFonts w:ascii="Times New Roman" w:hAnsi="Times New Roman"/>
          <w:sz w:val="24"/>
        </w:rPr>
        <w:t xml:space="preserve">not </w:t>
      </w:r>
      <w:r w:rsidRPr="005F5E33">
        <w:rPr>
          <w:rFonts w:ascii="Times New Roman" w:hAnsi="Times New Roman"/>
          <w:sz w:val="24"/>
        </w:rPr>
        <w:t xml:space="preserve">before April 1, 2015, and no later than April 1, 2016.   The settlement document also specifies that the settling parties expect that PSE will file a </w:t>
      </w:r>
      <w:r w:rsidRPr="005F5E33">
        <w:rPr>
          <w:rFonts w:ascii="Times New Roman" w:hAnsi="Times New Roman"/>
          <w:sz w:val="24"/>
        </w:rPr>
        <w:lastRenderedPageBreak/>
        <w:t>PCORC on or before May 1, 2013</w:t>
      </w:r>
      <w:r w:rsidR="006A436E">
        <w:rPr>
          <w:rFonts w:ascii="Times New Roman" w:hAnsi="Times New Roman"/>
          <w:sz w:val="24"/>
        </w:rPr>
        <w:t>,</w:t>
      </w:r>
      <w:r w:rsidRPr="005F5E33">
        <w:rPr>
          <w:rFonts w:ascii="Times New Roman" w:hAnsi="Times New Roman"/>
          <w:sz w:val="24"/>
        </w:rPr>
        <w:t xml:space="preserve"> and may file additional PCORCs before the end of the general rate case stay out period.</w:t>
      </w:r>
    </w:p>
    <w:p w:rsidR="005F5E33" w:rsidRPr="005F5E33" w:rsidRDefault="005F5E33" w:rsidP="005F5E33">
      <w:pPr>
        <w:spacing w:after="240"/>
        <w:ind w:left="720" w:hanging="720"/>
        <w:rPr>
          <w:rFonts w:ascii="Times New Roman" w:hAnsi="Times New Roman"/>
          <w:b/>
          <w:sz w:val="24"/>
        </w:rPr>
      </w:pPr>
      <w:r w:rsidRPr="005F5E33">
        <w:rPr>
          <w:rFonts w:ascii="Times New Roman" w:hAnsi="Times New Roman"/>
          <w:b/>
          <w:sz w:val="24"/>
        </w:rPr>
        <w:t>Q.</w:t>
      </w:r>
      <w:r w:rsidRPr="005F5E33">
        <w:rPr>
          <w:rFonts w:ascii="Times New Roman" w:hAnsi="Times New Roman"/>
          <w:b/>
          <w:sz w:val="24"/>
        </w:rPr>
        <w:tab/>
        <w:t>WHAT IS THE FINANCIAL IMPACT TO CUSTOMERS OF THE PROPOSED AGREEMENT?</w:t>
      </w:r>
    </w:p>
    <w:p w:rsidR="005F5E33" w:rsidRPr="005F5E33" w:rsidRDefault="005F5E33" w:rsidP="005F5E33">
      <w:pPr>
        <w:spacing w:line="480" w:lineRule="auto"/>
        <w:ind w:left="720" w:hanging="720"/>
        <w:rPr>
          <w:rFonts w:ascii="Times New Roman" w:hAnsi="Times New Roman"/>
          <w:b/>
          <w:sz w:val="24"/>
        </w:rPr>
      </w:pPr>
      <w:r w:rsidRPr="005F5E33">
        <w:rPr>
          <w:rFonts w:ascii="Times New Roman" w:hAnsi="Times New Roman"/>
          <w:b/>
          <w:sz w:val="24"/>
        </w:rPr>
        <w:t>A.</w:t>
      </w:r>
      <w:r w:rsidRPr="005F5E33">
        <w:rPr>
          <w:rFonts w:ascii="Times New Roman" w:hAnsi="Times New Roman"/>
          <w:b/>
          <w:sz w:val="24"/>
        </w:rPr>
        <w:tab/>
      </w:r>
      <w:r w:rsidR="00CA00CE">
        <w:rPr>
          <w:rFonts w:ascii="Times New Roman" w:hAnsi="Times New Roman"/>
          <w:sz w:val="24"/>
        </w:rPr>
        <w:t>T</w:t>
      </w:r>
      <w:r w:rsidR="00433B9F">
        <w:rPr>
          <w:rFonts w:ascii="Times New Roman" w:hAnsi="Times New Roman"/>
          <w:sz w:val="24"/>
        </w:rPr>
        <w:t>he full potential impact of the settlement</w:t>
      </w:r>
      <w:r w:rsidR="00CA00CE">
        <w:rPr>
          <w:rFonts w:ascii="Times New Roman" w:hAnsi="Times New Roman"/>
          <w:sz w:val="24"/>
        </w:rPr>
        <w:t xml:space="preserve"> for electric customers</w:t>
      </w:r>
      <w:r w:rsidR="00433B9F">
        <w:rPr>
          <w:rFonts w:ascii="Times New Roman" w:hAnsi="Times New Roman"/>
          <w:sz w:val="24"/>
        </w:rPr>
        <w:t xml:space="preserve"> is </w:t>
      </w:r>
      <w:r w:rsidR="00CA00CE">
        <w:rPr>
          <w:rFonts w:ascii="Times New Roman" w:hAnsi="Times New Roman"/>
          <w:sz w:val="24"/>
        </w:rPr>
        <w:t>likely to be between approximately $2</w:t>
      </w:r>
      <w:r w:rsidR="003329E4">
        <w:rPr>
          <w:rFonts w:ascii="Times New Roman" w:hAnsi="Times New Roman"/>
          <w:sz w:val="24"/>
        </w:rPr>
        <w:t>11</w:t>
      </w:r>
      <w:r w:rsidR="00CA00CE">
        <w:rPr>
          <w:rFonts w:ascii="Times New Roman" w:hAnsi="Times New Roman"/>
          <w:sz w:val="24"/>
        </w:rPr>
        <w:t xml:space="preserve"> and</w:t>
      </w:r>
      <w:r w:rsidR="00433B9F">
        <w:rPr>
          <w:rFonts w:ascii="Times New Roman" w:hAnsi="Times New Roman"/>
          <w:sz w:val="24"/>
        </w:rPr>
        <w:t xml:space="preserve"> $3</w:t>
      </w:r>
      <w:r w:rsidR="003329E4">
        <w:rPr>
          <w:rFonts w:ascii="Times New Roman" w:hAnsi="Times New Roman"/>
          <w:sz w:val="24"/>
        </w:rPr>
        <w:t>51</w:t>
      </w:r>
      <w:r w:rsidR="00433B9F">
        <w:rPr>
          <w:rFonts w:ascii="Times New Roman" w:hAnsi="Times New Roman"/>
          <w:sz w:val="24"/>
        </w:rPr>
        <w:t xml:space="preserve"> million</w:t>
      </w:r>
      <w:r w:rsidR="00BD6B2A">
        <w:rPr>
          <w:rFonts w:ascii="Times New Roman" w:hAnsi="Times New Roman"/>
          <w:sz w:val="24"/>
        </w:rPr>
        <w:t>,</w:t>
      </w:r>
      <w:r>
        <w:rPr>
          <w:rFonts w:ascii="Times New Roman" w:hAnsi="Times New Roman"/>
          <w:sz w:val="24"/>
        </w:rPr>
        <w:t xml:space="preserve"> relative to current rates</w:t>
      </w:r>
      <w:r w:rsidR="00D9492C">
        <w:rPr>
          <w:rFonts w:ascii="Times New Roman" w:hAnsi="Times New Roman"/>
          <w:sz w:val="24"/>
        </w:rPr>
        <w:t xml:space="preserve"> and depending on the length of the term</w:t>
      </w:r>
      <w:r>
        <w:rPr>
          <w:rFonts w:ascii="Times New Roman" w:hAnsi="Times New Roman"/>
          <w:sz w:val="24"/>
        </w:rPr>
        <w:t>.  However, the precise impacts are impossible to quantify given the uncertainty of the amounts of potential deferrals under the decoupling proposals and the impacts of potential multiple PCORC filings during the period of the rate plan.</w:t>
      </w:r>
    </w:p>
    <w:p w:rsidR="005F5E33" w:rsidRPr="005F5E33" w:rsidRDefault="005F5E33" w:rsidP="005F5E33">
      <w:pPr>
        <w:spacing w:after="240"/>
        <w:ind w:left="720" w:hanging="720"/>
        <w:rPr>
          <w:rFonts w:ascii="Times New Roman" w:hAnsi="Times New Roman"/>
          <w:b/>
          <w:sz w:val="24"/>
        </w:rPr>
      </w:pPr>
      <w:r w:rsidRPr="005F5E33">
        <w:rPr>
          <w:rFonts w:ascii="Times New Roman" w:hAnsi="Times New Roman"/>
          <w:b/>
          <w:sz w:val="24"/>
        </w:rPr>
        <w:t>Q.</w:t>
      </w:r>
      <w:r w:rsidRPr="005F5E33">
        <w:rPr>
          <w:rFonts w:ascii="Times New Roman" w:hAnsi="Times New Roman"/>
          <w:b/>
          <w:sz w:val="24"/>
        </w:rPr>
        <w:tab/>
        <w:t xml:space="preserve">IS THERE POTENTIAL FOR ADDITIONAL COSTS </w:t>
      </w:r>
      <w:r w:rsidR="006A436E">
        <w:rPr>
          <w:rFonts w:ascii="Times New Roman" w:hAnsi="Times New Roman"/>
          <w:b/>
          <w:sz w:val="24"/>
        </w:rPr>
        <w:t>RELATED TO</w:t>
      </w:r>
      <w:r w:rsidRPr="005F5E33">
        <w:rPr>
          <w:rFonts w:ascii="Times New Roman" w:hAnsi="Times New Roman"/>
          <w:b/>
          <w:sz w:val="24"/>
        </w:rPr>
        <w:t xml:space="preserve"> THE SETTLEMENT?</w:t>
      </w:r>
    </w:p>
    <w:p w:rsidR="005F5E33" w:rsidRPr="005F5E33" w:rsidRDefault="005F5E33" w:rsidP="005F5E33">
      <w:pPr>
        <w:spacing w:line="480" w:lineRule="auto"/>
        <w:ind w:left="720" w:hanging="720"/>
        <w:rPr>
          <w:rFonts w:ascii="Times New Roman" w:hAnsi="Times New Roman"/>
          <w:b/>
          <w:sz w:val="24"/>
        </w:rPr>
      </w:pPr>
      <w:r w:rsidRPr="005F5E33">
        <w:rPr>
          <w:rFonts w:ascii="Times New Roman" w:hAnsi="Times New Roman"/>
          <w:b/>
          <w:sz w:val="24"/>
        </w:rPr>
        <w:t>A.</w:t>
      </w:r>
      <w:r w:rsidRPr="005F5E33">
        <w:rPr>
          <w:rFonts w:ascii="Times New Roman" w:hAnsi="Times New Roman"/>
          <w:b/>
          <w:sz w:val="24"/>
        </w:rPr>
        <w:tab/>
      </w:r>
      <w:r w:rsidRPr="005F5E33">
        <w:rPr>
          <w:rFonts w:ascii="Times New Roman" w:hAnsi="Times New Roman"/>
          <w:sz w:val="24"/>
        </w:rPr>
        <w:t xml:space="preserve">Absolutely.  Under the </w:t>
      </w:r>
      <w:r w:rsidR="006A436E">
        <w:rPr>
          <w:rFonts w:ascii="Times New Roman" w:hAnsi="Times New Roman"/>
          <w:sz w:val="24"/>
        </w:rPr>
        <w:t>Global S</w:t>
      </w:r>
      <w:r w:rsidRPr="005F5E33">
        <w:rPr>
          <w:rFonts w:ascii="Times New Roman" w:hAnsi="Times New Roman"/>
          <w:sz w:val="24"/>
        </w:rPr>
        <w:t>ettlement PSE maintains the ability to file PCORC rate adjustments.  Deferral adjustments from the decoupling mechanism could also result in substantial rate increases beyond those contemplated in the rate plan.</w:t>
      </w:r>
      <w:r w:rsidR="006A436E">
        <w:rPr>
          <w:rFonts w:ascii="Times New Roman" w:hAnsi="Times New Roman"/>
          <w:sz w:val="24"/>
        </w:rPr>
        <w:t xml:space="preserve">  </w:t>
      </w:r>
      <w:r w:rsidR="005B66FE">
        <w:rPr>
          <w:rFonts w:ascii="Times New Roman" w:hAnsi="Times New Roman"/>
          <w:sz w:val="24"/>
        </w:rPr>
        <w:t>There are numerous other items exempt from the so-called rate moratorium.</w:t>
      </w:r>
    </w:p>
    <w:p w:rsidR="005F5E33" w:rsidRPr="005F5E33" w:rsidRDefault="005F5E33" w:rsidP="005F5E33">
      <w:pPr>
        <w:spacing w:after="240"/>
        <w:ind w:left="720" w:hanging="720"/>
        <w:rPr>
          <w:rFonts w:ascii="Times New Roman" w:hAnsi="Times New Roman"/>
          <w:b/>
          <w:sz w:val="24"/>
        </w:rPr>
      </w:pPr>
      <w:r w:rsidRPr="005F5E33">
        <w:rPr>
          <w:rFonts w:ascii="Times New Roman" w:hAnsi="Times New Roman"/>
          <w:b/>
          <w:sz w:val="24"/>
        </w:rPr>
        <w:t>Q.</w:t>
      </w:r>
      <w:r w:rsidRPr="005F5E33">
        <w:rPr>
          <w:rFonts w:ascii="Times New Roman" w:hAnsi="Times New Roman"/>
          <w:b/>
          <w:sz w:val="24"/>
        </w:rPr>
        <w:tab/>
        <w:t>ARE THERE ANY CONSUMER PROTECTIONS INCLUDED IN THE SETTLEMENT?</w:t>
      </w:r>
    </w:p>
    <w:p w:rsidR="005F5E33" w:rsidRDefault="005F5E33" w:rsidP="00FF7822">
      <w:pPr>
        <w:spacing w:line="480" w:lineRule="auto"/>
        <w:ind w:left="720" w:hanging="720"/>
        <w:rPr>
          <w:rFonts w:ascii="Times New Roman" w:hAnsi="Times New Roman"/>
          <w:sz w:val="24"/>
        </w:rPr>
      </w:pPr>
      <w:r w:rsidRPr="005F5E33">
        <w:rPr>
          <w:rFonts w:ascii="Times New Roman" w:hAnsi="Times New Roman"/>
          <w:b/>
          <w:sz w:val="24"/>
        </w:rPr>
        <w:t>A.</w:t>
      </w:r>
      <w:r w:rsidRPr="005F5E33">
        <w:rPr>
          <w:rFonts w:ascii="Times New Roman" w:hAnsi="Times New Roman"/>
          <w:b/>
          <w:sz w:val="24"/>
        </w:rPr>
        <w:tab/>
      </w:r>
      <w:r w:rsidR="00FF7822">
        <w:rPr>
          <w:rFonts w:ascii="Times New Roman" w:hAnsi="Times New Roman"/>
          <w:sz w:val="24"/>
        </w:rPr>
        <w:t xml:space="preserve">The </w:t>
      </w:r>
      <w:r w:rsidR="005B66FE">
        <w:rPr>
          <w:rFonts w:ascii="Times New Roman" w:hAnsi="Times New Roman"/>
          <w:sz w:val="24"/>
        </w:rPr>
        <w:t>G</w:t>
      </w:r>
      <w:r w:rsidR="00FF7822">
        <w:rPr>
          <w:rFonts w:ascii="Times New Roman" w:hAnsi="Times New Roman"/>
          <w:sz w:val="24"/>
        </w:rPr>
        <w:t xml:space="preserve">lobal </w:t>
      </w:r>
      <w:r w:rsidR="005B66FE">
        <w:rPr>
          <w:rFonts w:ascii="Times New Roman" w:hAnsi="Times New Roman"/>
          <w:sz w:val="24"/>
        </w:rPr>
        <w:t>S</w:t>
      </w:r>
      <w:r w:rsidR="00FF7822">
        <w:rPr>
          <w:rFonts w:ascii="Times New Roman" w:hAnsi="Times New Roman"/>
          <w:sz w:val="24"/>
        </w:rPr>
        <w:t xml:space="preserve">ettlement includes two alleged </w:t>
      </w:r>
      <w:r w:rsidR="00016CB8">
        <w:rPr>
          <w:rFonts w:ascii="Times New Roman" w:hAnsi="Times New Roman"/>
          <w:sz w:val="24"/>
        </w:rPr>
        <w:t>customer</w:t>
      </w:r>
      <w:r w:rsidR="00FF7822">
        <w:rPr>
          <w:rFonts w:ascii="Times New Roman" w:hAnsi="Times New Roman"/>
          <w:sz w:val="24"/>
        </w:rPr>
        <w:t xml:space="preserve"> protections.  The first of these is a </w:t>
      </w:r>
      <w:r w:rsidR="005B66FE">
        <w:rPr>
          <w:rFonts w:ascii="Times New Roman" w:hAnsi="Times New Roman"/>
          <w:sz w:val="24"/>
        </w:rPr>
        <w:t>three</w:t>
      </w:r>
      <w:r w:rsidR="00FF7822">
        <w:rPr>
          <w:rFonts w:ascii="Times New Roman" w:hAnsi="Times New Roman"/>
          <w:sz w:val="24"/>
        </w:rPr>
        <w:t xml:space="preserve"> percent “soft cap” on overall rate increases in a</w:t>
      </w:r>
      <w:r w:rsidR="005B66FE">
        <w:rPr>
          <w:rFonts w:ascii="Times New Roman" w:hAnsi="Times New Roman"/>
          <w:sz w:val="24"/>
        </w:rPr>
        <w:t>ny</w:t>
      </w:r>
      <w:r w:rsidR="00FF7822">
        <w:rPr>
          <w:rFonts w:ascii="Times New Roman" w:hAnsi="Times New Roman"/>
          <w:sz w:val="24"/>
        </w:rPr>
        <w:t xml:space="preserve"> given year.  The second is an earnings test that would </w:t>
      </w:r>
      <w:r w:rsidR="00A91A69">
        <w:rPr>
          <w:rFonts w:ascii="Times New Roman" w:hAnsi="Times New Roman"/>
          <w:sz w:val="24"/>
        </w:rPr>
        <w:t>cap PSE’s earning at 25 basis points above the authorized level</w:t>
      </w:r>
      <w:r w:rsidR="008509A0">
        <w:rPr>
          <w:rFonts w:ascii="Times New Roman" w:hAnsi="Times New Roman"/>
          <w:sz w:val="24"/>
        </w:rPr>
        <w:t xml:space="preserve"> and allow PSE to retain 50% of any such </w:t>
      </w:r>
      <w:r w:rsidR="005B66FE">
        <w:rPr>
          <w:rFonts w:ascii="Times New Roman" w:hAnsi="Times New Roman"/>
          <w:sz w:val="24"/>
        </w:rPr>
        <w:t xml:space="preserve">over </w:t>
      </w:r>
      <w:r w:rsidR="008509A0">
        <w:rPr>
          <w:rFonts w:ascii="Times New Roman" w:hAnsi="Times New Roman"/>
          <w:sz w:val="24"/>
        </w:rPr>
        <w:t>earning</w:t>
      </w:r>
      <w:r w:rsidR="005B66FE">
        <w:rPr>
          <w:rFonts w:ascii="Times New Roman" w:hAnsi="Times New Roman"/>
          <w:sz w:val="24"/>
        </w:rPr>
        <w:t>s</w:t>
      </w:r>
      <w:r w:rsidR="008509A0">
        <w:rPr>
          <w:rFonts w:ascii="Times New Roman" w:hAnsi="Times New Roman"/>
          <w:sz w:val="24"/>
        </w:rPr>
        <w:t xml:space="preserve"> above the cap level.</w:t>
      </w:r>
    </w:p>
    <w:p w:rsidR="008509A0" w:rsidRDefault="008509A0" w:rsidP="00FF7822">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 THESE CONSTITUTE MEANINGFUL CONSUMER PROTECTIONS?</w:t>
      </w:r>
    </w:p>
    <w:p w:rsidR="008509A0" w:rsidRDefault="008509A0" w:rsidP="00FF7822">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No.  I will discuss the defects of the proposed earnings test in more detail in the decoupling portion of this testimony.  The 3% soft cap on revenue increases is without any significant merit to customers.  This is because any amounts in excess of the 3% are </w:t>
      </w:r>
      <w:r>
        <w:rPr>
          <w:rFonts w:ascii="Times New Roman" w:hAnsi="Times New Roman"/>
          <w:sz w:val="24"/>
        </w:rPr>
        <w:lastRenderedPageBreak/>
        <w:t>deferred by the Company for later collection from customer</w:t>
      </w:r>
      <w:r w:rsidR="00BD6B2A">
        <w:rPr>
          <w:rFonts w:ascii="Times New Roman" w:hAnsi="Times New Roman"/>
          <w:sz w:val="24"/>
        </w:rPr>
        <w:t>s,</w:t>
      </w:r>
      <w:r>
        <w:rPr>
          <w:rFonts w:ascii="Times New Roman" w:hAnsi="Times New Roman"/>
          <w:sz w:val="24"/>
        </w:rPr>
        <w:t xml:space="preserve"> with interest.  Therefore in effect there is no limit on the amount of increased revenue that PSE could collect from customers </w:t>
      </w:r>
      <w:r w:rsidR="00BD6B2A">
        <w:rPr>
          <w:rFonts w:ascii="Times New Roman" w:hAnsi="Times New Roman"/>
          <w:sz w:val="24"/>
        </w:rPr>
        <w:t>for</w:t>
      </w:r>
      <w:r>
        <w:rPr>
          <w:rFonts w:ascii="Times New Roman" w:hAnsi="Times New Roman"/>
          <w:sz w:val="24"/>
        </w:rPr>
        <w:t xml:space="preserve"> a given year.  To make matters worse, the deferral collection does not end at the conclusion of the rate plan.  Any amounts left in the deferral account at the end of the rate plan would continue to be collected</w:t>
      </w:r>
      <w:r w:rsidR="00BD6B2A">
        <w:rPr>
          <w:rFonts w:ascii="Times New Roman" w:hAnsi="Times New Roman"/>
          <w:sz w:val="24"/>
        </w:rPr>
        <w:t>,</w:t>
      </w:r>
      <w:r>
        <w:rPr>
          <w:rFonts w:ascii="Times New Roman" w:hAnsi="Times New Roman"/>
          <w:sz w:val="24"/>
        </w:rPr>
        <w:t xml:space="preserve"> in addition to whatever rate increases PSE seeks at that time.</w:t>
      </w:r>
    </w:p>
    <w:p w:rsidR="008509A0" w:rsidRDefault="008509A0" w:rsidP="004010E8">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 xml:space="preserve">HOW DOES ICNU RECOMMEND THAT THESE </w:t>
      </w:r>
      <w:r w:rsidR="00016CB8">
        <w:rPr>
          <w:rFonts w:ascii="Times New Roman" w:hAnsi="Times New Roman"/>
          <w:b/>
          <w:sz w:val="24"/>
        </w:rPr>
        <w:t>CUSTOMER</w:t>
      </w:r>
      <w:r>
        <w:rPr>
          <w:rFonts w:ascii="Times New Roman" w:hAnsi="Times New Roman"/>
          <w:b/>
          <w:sz w:val="24"/>
        </w:rPr>
        <w:t xml:space="preserve"> PROTECTIONS BE IMPROVED?</w:t>
      </w:r>
    </w:p>
    <w:p w:rsidR="008509A0" w:rsidRPr="008509A0" w:rsidRDefault="008509A0" w:rsidP="00FF7822">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At a minimum, the soft cap should be made a hard cap</w:t>
      </w:r>
      <w:r w:rsidR="00CD18AF">
        <w:rPr>
          <w:rFonts w:ascii="Times New Roman" w:hAnsi="Times New Roman"/>
          <w:sz w:val="24"/>
        </w:rPr>
        <w:t xml:space="preserve"> in each year, and any amount of revenue increases in excess of the cap should not be deferred for future collection.  As described in more detail in the decoupling section of this testimony, </w:t>
      </w:r>
      <w:r w:rsidR="00CD18AF" w:rsidRPr="00A17730">
        <w:rPr>
          <w:rFonts w:ascii="Times New Roman" w:hAnsi="Times New Roman"/>
          <w:sz w:val="24"/>
        </w:rPr>
        <w:t xml:space="preserve">I recommend that the true-up be capped at the allowable </w:t>
      </w:r>
      <w:r w:rsidR="00016CB8">
        <w:rPr>
          <w:rFonts w:ascii="Times New Roman" w:hAnsi="Times New Roman"/>
          <w:sz w:val="24"/>
        </w:rPr>
        <w:t>rate of return (“</w:t>
      </w:r>
      <w:r w:rsidR="00CD18AF" w:rsidRPr="00A17730">
        <w:rPr>
          <w:rFonts w:ascii="Times New Roman" w:hAnsi="Times New Roman"/>
          <w:sz w:val="24"/>
        </w:rPr>
        <w:t>RO</w:t>
      </w:r>
      <w:r w:rsidR="00CD18AF">
        <w:rPr>
          <w:rFonts w:ascii="Times New Roman" w:hAnsi="Times New Roman"/>
          <w:sz w:val="24"/>
        </w:rPr>
        <w:t>R</w:t>
      </w:r>
      <w:r w:rsidR="00016CB8">
        <w:rPr>
          <w:rFonts w:ascii="Times New Roman" w:hAnsi="Times New Roman"/>
          <w:sz w:val="24"/>
        </w:rPr>
        <w:t>”)</w:t>
      </w:r>
      <w:r w:rsidR="00CD18AF" w:rsidRPr="00A17730">
        <w:rPr>
          <w:rFonts w:ascii="Times New Roman" w:hAnsi="Times New Roman"/>
          <w:sz w:val="24"/>
        </w:rPr>
        <w:t>, not 25 basis points above the RO</w:t>
      </w:r>
      <w:r w:rsidR="00CD18AF">
        <w:rPr>
          <w:rFonts w:ascii="Times New Roman" w:hAnsi="Times New Roman"/>
          <w:sz w:val="24"/>
        </w:rPr>
        <w:t>R</w:t>
      </w:r>
      <w:r w:rsidR="00CD18AF" w:rsidRPr="004F167B">
        <w:rPr>
          <w:rFonts w:ascii="Times New Roman" w:hAnsi="Times New Roman"/>
          <w:sz w:val="24"/>
        </w:rPr>
        <w:t xml:space="preserve">. </w:t>
      </w:r>
      <w:r w:rsidR="00CD18AF">
        <w:rPr>
          <w:rFonts w:ascii="Times New Roman" w:hAnsi="Times New Roman"/>
          <w:sz w:val="24"/>
        </w:rPr>
        <w:t xml:space="preserve"> Similarly, PSE should not be permitted to </w:t>
      </w:r>
      <w:r w:rsidR="005B66FE">
        <w:rPr>
          <w:rFonts w:ascii="Times New Roman" w:hAnsi="Times New Roman"/>
          <w:sz w:val="24"/>
        </w:rPr>
        <w:t>retain</w:t>
      </w:r>
      <w:r w:rsidR="00CD18AF">
        <w:rPr>
          <w:rFonts w:ascii="Times New Roman" w:hAnsi="Times New Roman"/>
          <w:sz w:val="24"/>
        </w:rPr>
        <w:t xml:space="preserve"> 50% of its excess earnings from customers, whatever the cap level.</w:t>
      </w:r>
    </w:p>
    <w:p w:rsidR="00CD18AF" w:rsidRDefault="00CD18AF" w:rsidP="005F5E33">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 THE RATE MECHANISMS CONTEMPLATED UNDER THE GLOBAL SETTLEMENT PROPERLY CONSIDER THE RELATIONSHIP BETWEEN PSE’S COSTS AND RATE REVENUES?</w:t>
      </w:r>
    </w:p>
    <w:p w:rsidR="00CD18AF" w:rsidRDefault="00CD18AF" w:rsidP="00CD18AF">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Absolutely not.  The </w:t>
      </w:r>
      <w:r w:rsidR="006129D4">
        <w:rPr>
          <w:rFonts w:ascii="Times New Roman" w:hAnsi="Times New Roman"/>
          <w:sz w:val="24"/>
        </w:rPr>
        <w:t>G</w:t>
      </w:r>
      <w:r>
        <w:rPr>
          <w:rFonts w:ascii="Times New Roman" w:hAnsi="Times New Roman"/>
          <w:sz w:val="24"/>
        </w:rPr>
        <w:t xml:space="preserve">lobal </w:t>
      </w:r>
      <w:r w:rsidR="006129D4">
        <w:rPr>
          <w:rFonts w:ascii="Times New Roman" w:hAnsi="Times New Roman"/>
          <w:sz w:val="24"/>
        </w:rPr>
        <w:t>S</w:t>
      </w:r>
      <w:r>
        <w:rPr>
          <w:rFonts w:ascii="Times New Roman" w:hAnsi="Times New Roman"/>
          <w:sz w:val="24"/>
        </w:rPr>
        <w:t>ettlement is a calculated attempt to subvert the regulatory process by not providing the Commission and customer groups an opportu</w:t>
      </w:r>
      <w:r w:rsidR="004E0F13">
        <w:rPr>
          <w:rFonts w:ascii="Times New Roman" w:hAnsi="Times New Roman"/>
          <w:sz w:val="24"/>
        </w:rPr>
        <w:t>nity to consider the full picture of PSE’s costs and revenues.</w:t>
      </w:r>
      <w:r w:rsidR="00BD1A47">
        <w:rPr>
          <w:rFonts w:ascii="Times New Roman" w:hAnsi="Times New Roman"/>
          <w:sz w:val="24"/>
        </w:rPr>
        <w:t xml:space="preserve">  </w:t>
      </w:r>
    </w:p>
    <w:p w:rsidR="006E476E" w:rsidRDefault="006E476E" w:rsidP="004010E8">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WHAT OFFSETTING FACTORS ARE BEING OBSCURED BY THE CHOSEN PRESENTATION OF FACTS IN THESE PROCEEDINGS?</w:t>
      </w:r>
    </w:p>
    <w:p w:rsidR="008732EB" w:rsidRDefault="006E476E" w:rsidP="008732E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6838E5">
        <w:rPr>
          <w:rFonts w:ascii="Times New Roman" w:hAnsi="Times New Roman"/>
          <w:sz w:val="24"/>
        </w:rPr>
        <w:t>First</w:t>
      </w:r>
      <w:r w:rsidR="008732EB">
        <w:rPr>
          <w:rFonts w:ascii="Times New Roman" w:hAnsi="Times New Roman"/>
          <w:sz w:val="24"/>
        </w:rPr>
        <w:t xml:space="preserve">, the use of a hybrid test year for the ERF provides a fundamentally distorted picture of PSE’s earnings.  </w:t>
      </w:r>
      <w:r w:rsidR="00BD6B2A">
        <w:rPr>
          <w:rFonts w:ascii="Times New Roman" w:hAnsi="Times New Roman"/>
          <w:sz w:val="24"/>
        </w:rPr>
        <w:t>Additionally, the alleged under-</w:t>
      </w:r>
      <w:r w:rsidR="008732EB">
        <w:rPr>
          <w:rFonts w:ascii="Times New Roman" w:hAnsi="Times New Roman"/>
          <w:sz w:val="24"/>
        </w:rPr>
        <w:t xml:space="preserve">earnings </w:t>
      </w:r>
      <w:r w:rsidR="00BD6B2A">
        <w:rPr>
          <w:rFonts w:ascii="Times New Roman" w:hAnsi="Times New Roman"/>
          <w:sz w:val="24"/>
        </w:rPr>
        <w:t>claimed</w:t>
      </w:r>
      <w:r w:rsidR="008732EB">
        <w:rPr>
          <w:rFonts w:ascii="Times New Roman" w:hAnsi="Times New Roman"/>
          <w:sz w:val="24"/>
        </w:rPr>
        <w:t xml:space="preserve"> in the ERF do not consider the full picture of PSE’s earnings, including</w:t>
      </w:r>
      <w:r w:rsidR="00BD6B2A">
        <w:rPr>
          <w:rFonts w:ascii="Times New Roman" w:hAnsi="Times New Roman"/>
          <w:sz w:val="24"/>
        </w:rPr>
        <w:t>,</w:t>
      </w:r>
      <w:r w:rsidR="008732EB">
        <w:rPr>
          <w:rFonts w:ascii="Times New Roman" w:hAnsi="Times New Roman"/>
          <w:sz w:val="24"/>
        </w:rPr>
        <w:t xml:space="preserve"> in particular</w:t>
      </w:r>
      <w:r w:rsidR="00BD6B2A">
        <w:rPr>
          <w:rFonts w:ascii="Times New Roman" w:hAnsi="Times New Roman"/>
          <w:sz w:val="24"/>
        </w:rPr>
        <w:t>,</w:t>
      </w:r>
      <w:r w:rsidR="008732EB">
        <w:rPr>
          <w:rFonts w:ascii="Times New Roman" w:hAnsi="Times New Roman"/>
          <w:sz w:val="24"/>
        </w:rPr>
        <w:t xml:space="preserve"> changes in its cost of </w:t>
      </w:r>
      <w:r w:rsidR="008732EB">
        <w:rPr>
          <w:rFonts w:ascii="Times New Roman" w:hAnsi="Times New Roman"/>
          <w:sz w:val="24"/>
        </w:rPr>
        <w:lastRenderedPageBreak/>
        <w:t>capital, adjustments to the Company’s risk profile as a result of the proposed decoupling mechanism, or the Company’s recent power costs.</w:t>
      </w:r>
    </w:p>
    <w:p w:rsidR="008732EB" w:rsidRDefault="008732EB" w:rsidP="004010E8">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PLEASE DESCRIBE PSE’S RECENT PATTERN OF ACTUAL POWER COSTS AS COMPARED TO COSTS IN RATES.</w:t>
      </w:r>
    </w:p>
    <w:p w:rsidR="00B76402" w:rsidRDefault="008732EB" w:rsidP="008732E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For 2011 and 2012, PSE has drastically over-recovered its power costs relative to the levels set in rates.  In 2011, PSE’s actual power costs were approximately $41 million lower than budgeted amounts.</w:t>
      </w:r>
      <w:r w:rsidR="005B66FE" w:rsidRPr="005B66FE">
        <w:rPr>
          <w:rStyle w:val="FootnoteReference"/>
          <w:sz w:val="24"/>
        </w:rPr>
        <w:footnoteReference w:id="7"/>
      </w:r>
      <w:r w:rsidR="005B66FE" w:rsidRPr="001C6A74">
        <w:rPr>
          <w:rFonts w:ascii="Times New Roman" w:hAnsi="Times New Roman"/>
          <w:sz w:val="24"/>
          <w:szCs w:val="24"/>
          <w:vertAlign w:val="superscript"/>
        </w:rPr>
        <w:t>/</w:t>
      </w:r>
      <w:r w:rsidR="005B66FE">
        <w:rPr>
          <w:rFonts w:ascii="Times New Roman" w:hAnsi="Times New Roman"/>
          <w:sz w:val="24"/>
          <w:szCs w:val="24"/>
        </w:rPr>
        <w:t xml:space="preserve"> </w:t>
      </w:r>
      <w:r>
        <w:rPr>
          <w:rFonts w:ascii="Times New Roman" w:hAnsi="Times New Roman"/>
          <w:sz w:val="24"/>
        </w:rPr>
        <w:t xml:space="preserve">  In 2012, PSE’s actual power costs were approximately $44 million lower than the budgeted amounts.</w:t>
      </w:r>
      <w:r w:rsidR="00D16F69">
        <w:rPr>
          <w:rStyle w:val="FootnoteReference"/>
          <w:sz w:val="24"/>
        </w:rPr>
        <w:footnoteReference w:id="8"/>
      </w:r>
      <w:r w:rsidR="00D16F69" w:rsidRPr="001C6A74">
        <w:rPr>
          <w:rFonts w:ascii="Times New Roman" w:hAnsi="Times New Roman"/>
          <w:sz w:val="24"/>
          <w:szCs w:val="24"/>
          <w:vertAlign w:val="superscript"/>
        </w:rPr>
        <w:t>/</w:t>
      </w:r>
      <w:r w:rsidR="00B76402">
        <w:rPr>
          <w:rFonts w:ascii="Times New Roman" w:hAnsi="Times New Roman"/>
          <w:sz w:val="24"/>
        </w:rPr>
        <w:t xml:space="preserve">  The </w:t>
      </w:r>
      <w:r w:rsidR="006129D4">
        <w:rPr>
          <w:rFonts w:ascii="Times New Roman" w:hAnsi="Times New Roman"/>
          <w:sz w:val="24"/>
        </w:rPr>
        <w:t>G</w:t>
      </w:r>
      <w:r w:rsidR="00B76402">
        <w:rPr>
          <w:rFonts w:ascii="Times New Roman" w:hAnsi="Times New Roman"/>
          <w:sz w:val="24"/>
        </w:rPr>
        <w:t xml:space="preserve">lobal </w:t>
      </w:r>
      <w:r w:rsidR="006129D4">
        <w:rPr>
          <w:rFonts w:ascii="Times New Roman" w:hAnsi="Times New Roman"/>
          <w:sz w:val="24"/>
        </w:rPr>
        <w:t>S</w:t>
      </w:r>
      <w:r w:rsidR="00B76402">
        <w:rPr>
          <w:rFonts w:ascii="Times New Roman" w:hAnsi="Times New Roman"/>
          <w:sz w:val="24"/>
        </w:rPr>
        <w:t>ettlement gives absolutely no consideration to this pattern in determining PSE’s alleged under-earning and need for various types of attrition relief.</w:t>
      </w:r>
      <w:r w:rsidR="00D16F69">
        <w:rPr>
          <w:rFonts w:ascii="Times New Roman" w:hAnsi="Times New Roman"/>
          <w:sz w:val="24"/>
        </w:rPr>
        <w:t xml:space="preserve">  Again, the claims of needing $32 million through the ERF is based on old and selective data. </w:t>
      </w:r>
    </w:p>
    <w:p w:rsidR="00B76402" w:rsidRDefault="00B76402" w:rsidP="004010E8">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DOES THE ERF RELY STRICTLY ON COMMISSION BASIS REPORT RESULTS IN THE ERF REVENUE DEFICIENCY CALCULATION?</w:t>
      </w:r>
    </w:p>
    <w:p w:rsidR="00B76402" w:rsidRDefault="00B76402" w:rsidP="008732E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No.  In addition to the fact that PSE uses a hybrid 2011-2012 reporting year that is based on non-audited results, the Company’s revenue deficiency calculation is dependent on the novel use of end of period (“EOP”) rate base amounts, rather than the Commission standard of average of monthly averages (“AMA”) rate base for the test period.</w:t>
      </w:r>
    </w:p>
    <w:p w:rsidR="00825A08" w:rsidRDefault="00825A08" w:rsidP="008732EB">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WHAT IS THE RATIONALE FOR THIS PROPOSED CHANGE?</w:t>
      </w:r>
    </w:p>
    <w:p w:rsidR="00825A08" w:rsidRPr="00825A08" w:rsidRDefault="00825A08" w:rsidP="008732E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The testimony of Ms. Barnard describes that this change was agreed upon with Staff as a way in which to alleviate regulatory lag between the test year and the rate year.</w:t>
      </w:r>
      <w:r w:rsidR="00D16F69">
        <w:rPr>
          <w:rStyle w:val="FootnoteReference"/>
          <w:sz w:val="24"/>
        </w:rPr>
        <w:footnoteReference w:id="9"/>
      </w:r>
      <w:r w:rsidR="00D16F69" w:rsidRPr="001C6A74">
        <w:rPr>
          <w:rFonts w:ascii="Times New Roman" w:hAnsi="Times New Roman"/>
          <w:sz w:val="24"/>
          <w:szCs w:val="24"/>
          <w:vertAlign w:val="superscript"/>
        </w:rPr>
        <w:t>/</w:t>
      </w:r>
      <w:r>
        <w:rPr>
          <w:rFonts w:ascii="Times New Roman" w:hAnsi="Times New Roman"/>
          <w:sz w:val="24"/>
        </w:rPr>
        <w:t xml:space="preserve">  Ms. Barnard further supports this change on the basis of a single line from Order 08 from </w:t>
      </w:r>
      <w:r>
        <w:rPr>
          <w:rFonts w:ascii="Times New Roman" w:hAnsi="Times New Roman"/>
          <w:sz w:val="24"/>
          <w:szCs w:val="24"/>
        </w:rPr>
        <w:lastRenderedPageBreak/>
        <w:t>Dockets UE-111048 and UG-111049 in which the Commission stated it would be open to considering such a change.</w:t>
      </w:r>
      <w:r w:rsidR="00D16F69">
        <w:rPr>
          <w:rStyle w:val="FootnoteReference"/>
          <w:sz w:val="24"/>
          <w:szCs w:val="24"/>
        </w:rPr>
        <w:footnoteReference w:id="10"/>
      </w:r>
      <w:r w:rsidR="00D16F69" w:rsidRPr="001C6A74">
        <w:rPr>
          <w:rFonts w:ascii="Times New Roman" w:hAnsi="Times New Roman"/>
          <w:sz w:val="24"/>
          <w:szCs w:val="24"/>
          <w:vertAlign w:val="superscript"/>
        </w:rPr>
        <w:t>/</w:t>
      </w:r>
    </w:p>
    <w:p w:rsidR="00B76402" w:rsidRDefault="00B76402" w:rsidP="008732EB">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IS THIS CHANGE APPROPRIATE?</w:t>
      </w:r>
    </w:p>
    <w:p w:rsidR="008732EB" w:rsidRPr="00C63A4B" w:rsidRDefault="00B76402" w:rsidP="00C63A4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Absolutely not.  This is an extremely significant methodology change from both the Company’s approved methodology in the last general rate case</w:t>
      </w:r>
      <w:r w:rsidR="003B5BA6">
        <w:rPr>
          <w:rFonts w:ascii="Times New Roman" w:hAnsi="Times New Roman"/>
          <w:sz w:val="24"/>
        </w:rPr>
        <w:t>,</w:t>
      </w:r>
      <w:r>
        <w:rPr>
          <w:rFonts w:ascii="Times New Roman" w:hAnsi="Times New Roman"/>
          <w:sz w:val="24"/>
        </w:rPr>
        <w:t xml:space="preserve"> and from Commission practice in general.  </w:t>
      </w:r>
      <w:r w:rsidR="00BB1670">
        <w:rPr>
          <w:rFonts w:ascii="Times New Roman" w:hAnsi="Times New Roman"/>
          <w:sz w:val="24"/>
        </w:rPr>
        <w:t xml:space="preserve">This type of methodological change should only be considered in the context of general rate case when a full picture of the relationship between the Company’s test year and rate year are available.  Further, the ERF and </w:t>
      </w:r>
      <w:r w:rsidR="00D16F69">
        <w:rPr>
          <w:rFonts w:ascii="Times New Roman" w:hAnsi="Times New Roman"/>
          <w:sz w:val="24"/>
        </w:rPr>
        <w:t xml:space="preserve">the </w:t>
      </w:r>
      <w:r w:rsidR="00BB1670">
        <w:rPr>
          <w:rFonts w:ascii="Times New Roman" w:hAnsi="Times New Roman"/>
          <w:sz w:val="24"/>
        </w:rPr>
        <w:t>rate plan are in themselves methods to address alleged</w:t>
      </w:r>
      <w:r w:rsidR="0049086F">
        <w:rPr>
          <w:rFonts w:ascii="Times New Roman" w:hAnsi="Times New Roman"/>
          <w:sz w:val="24"/>
        </w:rPr>
        <w:t xml:space="preserve"> attrition or regulatory lag issues.  The addition of EOP rate base is simply an additional</w:t>
      </w:r>
      <w:r w:rsidR="00D16F69">
        <w:rPr>
          <w:rFonts w:ascii="Times New Roman" w:hAnsi="Times New Roman"/>
          <w:sz w:val="24"/>
        </w:rPr>
        <w:t xml:space="preserve"> selective</w:t>
      </w:r>
      <w:r w:rsidR="0049086F">
        <w:rPr>
          <w:rFonts w:ascii="Times New Roman" w:hAnsi="Times New Roman"/>
          <w:sz w:val="24"/>
        </w:rPr>
        <w:t xml:space="preserve"> measure to extract revenue increases from rate payers</w:t>
      </w:r>
      <w:r w:rsidR="00D16F69">
        <w:rPr>
          <w:rFonts w:ascii="Times New Roman" w:hAnsi="Times New Roman"/>
          <w:sz w:val="24"/>
        </w:rPr>
        <w:t>.</w:t>
      </w:r>
      <w:r w:rsidR="0049086F">
        <w:rPr>
          <w:rFonts w:ascii="Times New Roman" w:hAnsi="Times New Roman"/>
          <w:sz w:val="24"/>
        </w:rPr>
        <w:t xml:space="preserve"> </w:t>
      </w:r>
    </w:p>
    <w:p w:rsidR="00C63A4B" w:rsidRDefault="00C63A4B" w:rsidP="005F5E33">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HAS ICNU ANALYZED THE EFFECTS ON THE ERF REVENUE DEFICIENCY OF USING AMA RATE BASE RATHER THAN EOP RATE BASE?</w:t>
      </w:r>
    </w:p>
    <w:p w:rsidR="00C63A4B" w:rsidRPr="009D2230" w:rsidRDefault="00C63A4B" w:rsidP="009D2230">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9D2230">
        <w:rPr>
          <w:rFonts w:ascii="Times New Roman" w:hAnsi="Times New Roman"/>
          <w:sz w:val="24"/>
        </w:rPr>
        <w:t xml:space="preserve">Yes.  Based on PSE’s </w:t>
      </w:r>
      <w:r w:rsidR="00D9492C">
        <w:rPr>
          <w:rFonts w:ascii="Times New Roman" w:hAnsi="Times New Roman"/>
          <w:sz w:val="24"/>
        </w:rPr>
        <w:t xml:space="preserve">supplemental </w:t>
      </w:r>
      <w:r w:rsidR="009D2230">
        <w:rPr>
          <w:rFonts w:ascii="Times New Roman" w:hAnsi="Times New Roman"/>
          <w:sz w:val="24"/>
        </w:rPr>
        <w:t xml:space="preserve">response to ICNU Data Request </w:t>
      </w:r>
      <w:r w:rsidR="003329E4">
        <w:rPr>
          <w:rFonts w:ascii="Times New Roman" w:hAnsi="Times New Roman"/>
          <w:sz w:val="24"/>
        </w:rPr>
        <w:t>1.5</w:t>
      </w:r>
      <w:r w:rsidR="009D2230">
        <w:rPr>
          <w:rFonts w:ascii="Times New Roman" w:hAnsi="Times New Roman"/>
          <w:sz w:val="24"/>
        </w:rPr>
        <w:t xml:space="preserve"> in the ERF proceeding, using </w:t>
      </w:r>
      <w:r w:rsidR="004A5A60">
        <w:rPr>
          <w:rFonts w:ascii="Times New Roman" w:hAnsi="Times New Roman"/>
          <w:sz w:val="24"/>
        </w:rPr>
        <w:t>AMA</w:t>
      </w:r>
      <w:r w:rsidR="009D2230">
        <w:rPr>
          <w:rFonts w:ascii="Times New Roman" w:hAnsi="Times New Roman"/>
          <w:sz w:val="24"/>
        </w:rPr>
        <w:t xml:space="preserve"> rate base in the revenue deficiency calculation would reduce the stated revenue deficiency from approximately $32.2 million to $</w:t>
      </w:r>
      <w:r w:rsidR="00CA00CE">
        <w:rPr>
          <w:rFonts w:ascii="Times New Roman" w:hAnsi="Times New Roman"/>
          <w:sz w:val="24"/>
        </w:rPr>
        <w:t xml:space="preserve">18.6 </w:t>
      </w:r>
      <w:r w:rsidR="009D2230">
        <w:rPr>
          <w:rFonts w:ascii="Times New Roman" w:hAnsi="Times New Roman"/>
          <w:sz w:val="24"/>
        </w:rPr>
        <w:t>million.</w:t>
      </w:r>
      <w:r w:rsidR="006D6548">
        <w:rPr>
          <w:rFonts w:ascii="Times New Roman" w:hAnsi="Times New Roman"/>
          <w:sz w:val="24"/>
        </w:rPr>
        <w:t xml:space="preserve">  </w:t>
      </w:r>
    </w:p>
    <w:p w:rsidR="005F5E33" w:rsidRPr="005F5E33" w:rsidRDefault="005F5E33" w:rsidP="005F5E33">
      <w:pPr>
        <w:spacing w:after="240"/>
        <w:ind w:left="720" w:hanging="720"/>
        <w:rPr>
          <w:rFonts w:ascii="Times New Roman" w:hAnsi="Times New Roman"/>
          <w:b/>
          <w:sz w:val="24"/>
        </w:rPr>
      </w:pPr>
      <w:r w:rsidRPr="005F5E33">
        <w:rPr>
          <w:rFonts w:ascii="Times New Roman" w:hAnsi="Times New Roman"/>
          <w:b/>
          <w:sz w:val="24"/>
        </w:rPr>
        <w:t>Q.</w:t>
      </w:r>
      <w:r w:rsidRPr="005F5E33">
        <w:rPr>
          <w:rFonts w:ascii="Times New Roman" w:hAnsi="Times New Roman"/>
          <w:b/>
          <w:sz w:val="24"/>
        </w:rPr>
        <w:tab/>
        <w:t xml:space="preserve">PLEASE DESCRIBE STAFF’S POSITION REGARDING THE </w:t>
      </w:r>
      <w:r w:rsidR="00A44531">
        <w:rPr>
          <w:rFonts w:ascii="Times New Roman" w:hAnsi="Times New Roman"/>
          <w:b/>
          <w:sz w:val="24"/>
        </w:rPr>
        <w:t xml:space="preserve">GLOBAL </w:t>
      </w:r>
      <w:r w:rsidRPr="005F5E33">
        <w:rPr>
          <w:rFonts w:ascii="Times New Roman" w:hAnsi="Times New Roman"/>
          <w:b/>
          <w:sz w:val="24"/>
        </w:rPr>
        <w:t>SETTLEMENT.</w:t>
      </w:r>
    </w:p>
    <w:p w:rsidR="005F5E33" w:rsidRPr="00904A0D" w:rsidRDefault="005F5E33" w:rsidP="002A3810">
      <w:pPr>
        <w:spacing w:line="480" w:lineRule="auto"/>
        <w:ind w:left="720" w:hanging="720"/>
        <w:rPr>
          <w:rFonts w:ascii="Times New Roman" w:hAnsi="Times New Roman"/>
          <w:sz w:val="24"/>
        </w:rPr>
      </w:pPr>
      <w:r w:rsidRPr="005F5E33">
        <w:rPr>
          <w:rFonts w:ascii="Times New Roman" w:hAnsi="Times New Roman"/>
          <w:b/>
          <w:sz w:val="24"/>
        </w:rPr>
        <w:t>A.</w:t>
      </w:r>
      <w:r w:rsidR="00904A0D">
        <w:rPr>
          <w:rFonts w:ascii="Times New Roman" w:hAnsi="Times New Roman"/>
          <w:b/>
          <w:sz w:val="24"/>
        </w:rPr>
        <w:tab/>
      </w:r>
      <w:r w:rsidR="00904A0D">
        <w:rPr>
          <w:rFonts w:ascii="Times New Roman" w:hAnsi="Times New Roman"/>
          <w:sz w:val="24"/>
        </w:rPr>
        <w:t xml:space="preserve">Staff’s support of the </w:t>
      </w:r>
      <w:r w:rsidR="00D16F69">
        <w:rPr>
          <w:rFonts w:ascii="Times New Roman" w:hAnsi="Times New Roman"/>
          <w:sz w:val="24"/>
        </w:rPr>
        <w:t>G</w:t>
      </w:r>
      <w:r w:rsidR="00904A0D">
        <w:rPr>
          <w:rFonts w:ascii="Times New Roman" w:hAnsi="Times New Roman"/>
          <w:sz w:val="24"/>
        </w:rPr>
        <w:t xml:space="preserve">lobal </w:t>
      </w:r>
      <w:r w:rsidR="00D16F69">
        <w:rPr>
          <w:rFonts w:ascii="Times New Roman" w:hAnsi="Times New Roman"/>
          <w:sz w:val="24"/>
        </w:rPr>
        <w:t>S</w:t>
      </w:r>
      <w:r w:rsidR="00904A0D">
        <w:rPr>
          <w:rFonts w:ascii="Times New Roman" w:hAnsi="Times New Roman"/>
          <w:sz w:val="24"/>
        </w:rPr>
        <w:t xml:space="preserve">ettlement agreement is presented in the testimony of Mr. Schooley, Exhibit No. ___(TES-1T).  Staff’s general position is that the settlement produces fair and reasonable results, including </w:t>
      </w:r>
      <w:r w:rsidR="002A3810">
        <w:rPr>
          <w:rFonts w:ascii="Times New Roman" w:hAnsi="Times New Roman"/>
          <w:sz w:val="24"/>
        </w:rPr>
        <w:t>the plan for “minor” increases over the next 2-3 years.</w:t>
      </w:r>
      <w:r w:rsidR="00B30CC2">
        <w:rPr>
          <w:rFonts w:ascii="Times New Roman" w:hAnsi="Times New Roman"/>
          <w:sz w:val="24"/>
        </w:rPr>
        <w:t xml:space="preserve">  Staff also asserts that the </w:t>
      </w:r>
      <w:r w:rsidR="00D16F69">
        <w:rPr>
          <w:rFonts w:ascii="Times New Roman" w:hAnsi="Times New Roman"/>
          <w:sz w:val="24"/>
        </w:rPr>
        <w:t>G</w:t>
      </w:r>
      <w:r w:rsidR="00B30CC2">
        <w:rPr>
          <w:rFonts w:ascii="Times New Roman" w:hAnsi="Times New Roman"/>
          <w:sz w:val="24"/>
        </w:rPr>
        <w:t xml:space="preserve">lobal </w:t>
      </w:r>
      <w:r w:rsidR="00D16F69">
        <w:rPr>
          <w:rFonts w:ascii="Times New Roman" w:hAnsi="Times New Roman"/>
          <w:sz w:val="24"/>
        </w:rPr>
        <w:t>S</w:t>
      </w:r>
      <w:r w:rsidR="00B30CC2">
        <w:rPr>
          <w:rFonts w:ascii="Times New Roman" w:hAnsi="Times New Roman"/>
          <w:sz w:val="24"/>
        </w:rPr>
        <w:t xml:space="preserve">ettlement will support Commission policy goals to streamline the regulatory process to break the cycle of constant rate case </w:t>
      </w:r>
      <w:r w:rsidR="00B30CC2">
        <w:rPr>
          <w:rFonts w:ascii="Times New Roman" w:hAnsi="Times New Roman"/>
          <w:sz w:val="24"/>
        </w:rPr>
        <w:lastRenderedPageBreak/>
        <w:t>filings by the Company, remove throughput incentives to the Company, and resolve issues related to the PPA in a manner that is “fair and timely.”</w:t>
      </w:r>
    </w:p>
    <w:p w:rsidR="005F5E33" w:rsidRPr="005F5E33" w:rsidRDefault="005F5E33" w:rsidP="005F5E33">
      <w:pPr>
        <w:spacing w:after="240"/>
        <w:ind w:left="720" w:hanging="720"/>
        <w:rPr>
          <w:rFonts w:ascii="Times New Roman" w:hAnsi="Times New Roman"/>
          <w:b/>
          <w:sz w:val="24"/>
        </w:rPr>
      </w:pPr>
      <w:r w:rsidRPr="005F5E33">
        <w:rPr>
          <w:rFonts w:ascii="Times New Roman" w:hAnsi="Times New Roman"/>
          <w:b/>
          <w:sz w:val="24"/>
        </w:rPr>
        <w:t>Q.</w:t>
      </w:r>
      <w:r w:rsidRPr="005F5E33">
        <w:rPr>
          <w:rFonts w:ascii="Times New Roman" w:hAnsi="Times New Roman"/>
          <w:b/>
          <w:sz w:val="24"/>
        </w:rPr>
        <w:tab/>
        <w:t>WHAT ANALYSIS SUPPORTS STAFF’S POSITION REGARDING THE PROPOSED GLOBAL SETTLEMENT?</w:t>
      </w:r>
    </w:p>
    <w:p w:rsidR="00A44531" w:rsidRDefault="005F5E33" w:rsidP="00A44531">
      <w:pPr>
        <w:spacing w:line="480" w:lineRule="auto"/>
        <w:ind w:left="720" w:hanging="720"/>
        <w:rPr>
          <w:rFonts w:ascii="Times New Roman" w:hAnsi="Times New Roman"/>
          <w:sz w:val="24"/>
        </w:rPr>
      </w:pPr>
      <w:r w:rsidRPr="005F5E33">
        <w:rPr>
          <w:rFonts w:ascii="Times New Roman" w:hAnsi="Times New Roman"/>
          <w:b/>
          <w:sz w:val="24"/>
        </w:rPr>
        <w:t>A.</w:t>
      </w:r>
      <w:r w:rsidR="007E6258">
        <w:rPr>
          <w:rFonts w:ascii="Times New Roman" w:hAnsi="Times New Roman"/>
          <w:b/>
          <w:sz w:val="24"/>
        </w:rPr>
        <w:tab/>
      </w:r>
      <w:r w:rsidR="007E6258">
        <w:rPr>
          <w:rFonts w:ascii="Times New Roman" w:hAnsi="Times New Roman"/>
          <w:sz w:val="24"/>
        </w:rPr>
        <w:t xml:space="preserve">As supported by numerous data responses from Staff as well as deposition of Staff witnesses in these proceedings, Staff appears to have conducted very limited independent analysis of the elements of the proposed </w:t>
      </w:r>
      <w:r w:rsidR="006129D4">
        <w:rPr>
          <w:rFonts w:ascii="Times New Roman" w:hAnsi="Times New Roman"/>
          <w:sz w:val="24"/>
        </w:rPr>
        <w:t>G</w:t>
      </w:r>
      <w:r w:rsidR="007E6258">
        <w:rPr>
          <w:rFonts w:ascii="Times New Roman" w:hAnsi="Times New Roman"/>
          <w:sz w:val="24"/>
        </w:rPr>
        <w:t xml:space="preserve">lobal </w:t>
      </w:r>
      <w:r w:rsidR="006129D4">
        <w:rPr>
          <w:rFonts w:ascii="Times New Roman" w:hAnsi="Times New Roman"/>
          <w:sz w:val="24"/>
        </w:rPr>
        <w:t>S</w:t>
      </w:r>
      <w:r w:rsidR="007E6258">
        <w:rPr>
          <w:rFonts w:ascii="Times New Roman" w:hAnsi="Times New Roman"/>
          <w:sz w:val="24"/>
        </w:rPr>
        <w:t>ettlement and has instead relied heavily on the Company’s analysis.</w:t>
      </w:r>
      <w:r w:rsidR="00D16F69">
        <w:rPr>
          <w:rStyle w:val="FootnoteReference"/>
          <w:sz w:val="24"/>
        </w:rPr>
        <w:footnoteReference w:id="11"/>
      </w:r>
      <w:r w:rsidR="00D16F69" w:rsidRPr="001C6A74">
        <w:rPr>
          <w:rFonts w:ascii="Times New Roman" w:hAnsi="Times New Roman"/>
          <w:sz w:val="24"/>
          <w:szCs w:val="24"/>
          <w:vertAlign w:val="superscript"/>
        </w:rPr>
        <w:t>/</w:t>
      </w:r>
      <w:r w:rsidR="00CA00CE">
        <w:rPr>
          <w:rFonts w:ascii="Times New Roman" w:hAnsi="Times New Roman"/>
          <w:b/>
          <w:sz w:val="24"/>
        </w:rPr>
        <w:t xml:space="preserve"> </w:t>
      </w:r>
      <w:r w:rsidR="00E51797">
        <w:rPr>
          <w:rFonts w:ascii="Times New Roman" w:hAnsi="Times New Roman"/>
          <w:b/>
          <w:sz w:val="24"/>
        </w:rPr>
        <w:t xml:space="preserve">  </w:t>
      </w:r>
      <w:r w:rsidR="00E51797">
        <w:rPr>
          <w:rFonts w:ascii="Times New Roman" w:hAnsi="Times New Roman"/>
          <w:sz w:val="24"/>
          <w:szCs w:val="24"/>
        </w:rPr>
        <w:t xml:space="preserve">Staff is on record estimating the settlement impacts </w:t>
      </w:r>
      <w:r w:rsidR="008B444E">
        <w:rPr>
          <w:rFonts w:ascii="Times New Roman" w:hAnsi="Times New Roman"/>
          <w:sz w:val="24"/>
          <w:szCs w:val="24"/>
        </w:rPr>
        <w:t xml:space="preserve">are </w:t>
      </w:r>
      <w:r w:rsidR="00E51797">
        <w:rPr>
          <w:rFonts w:ascii="Times New Roman" w:hAnsi="Times New Roman"/>
          <w:sz w:val="24"/>
          <w:szCs w:val="24"/>
        </w:rPr>
        <w:t>between $160 and $200 million</w:t>
      </w:r>
      <w:r w:rsidR="00E51797">
        <w:rPr>
          <w:rStyle w:val="FootnoteReference"/>
          <w:sz w:val="24"/>
          <w:szCs w:val="24"/>
        </w:rPr>
        <w:footnoteReference w:id="12"/>
      </w:r>
      <w:r w:rsidR="00E51797" w:rsidRPr="00D60BD4">
        <w:rPr>
          <w:rFonts w:ascii="Times New Roman" w:hAnsi="Times New Roman"/>
          <w:sz w:val="24"/>
          <w:szCs w:val="24"/>
          <w:vertAlign w:val="superscript"/>
        </w:rPr>
        <w:t>/</w:t>
      </w:r>
      <w:r w:rsidR="00E51797">
        <w:rPr>
          <w:rFonts w:ascii="Times New Roman" w:hAnsi="Times New Roman"/>
          <w:sz w:val="24"/>
          <w:szCs w:val="24"/>
        </w:rPr>
        <w:t xml:space="preserve"> over that time span for gas and electric customers, which drastically understates the potential impacts to electric customers during the timeframe of the settlement.</w:t>
      </w:r>
      <w:r w:rsidR="00D9492C" w:rsidRPr="007E6258" w:rsidDel="00CA00CE">
        <w:rPr>
          <w:rFonts w:ascii="Times New Roman" w:hAnsi="Times New Roman"/>
          <w:sz w:val="24"/>
        </w:rPr>
        <w:t xml:space="preserve"> </w:t>
      </w:r>
    </w:p>
    <w:p w:rsidR="00B30CC2" w:rsidRDefault="006D6548" w:rsidP="00D9492C">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FROM A RATEPAYER PERSEPECTIVE, WHAT BENEFITS DOES STAFF BELIEVE THE SETTLEMENT WILL ACHIEVE?</w:t>
      </w:r>
    </w:p>
    <w:p w:rsidR="006D6548" w:rsidRDefault="006D6548" w:rsidP="003B5BA6">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In response to ICNU Data Request 4.7, Staff provided the following description of benefits to customers resulting from the </w:t>
      </w:r>
      <w:r w:rsidR="006129D4">
        <w:rPr>
          <w:rFonts w:ascii="Times New Roman" w:hAnsi="Times New Roman"/>
          <w:sz w:val="24"/>
        </w:rPr>
        <w:t>G</w:t>
      </w:r>
      <w:r>
        <w:rPr>
          <w:rFonts w:ascii="Times New Roman" w:hAnsi="Times New Roman"/>
          <w:sz w:val="24"/>
        </w:rPr>
        <w:t xml:space="preserve">lobal </w:t>
      </w:r>
      <w:r w:rsidR="006129D4">
        <w:rPr>
          <w:rFonts w:ascii="Times New Roman" w:hAnsi="Times New Roman"/>
          <w:sz w:val="24"/>
        </w:rPr>
        <w:t>S</w:t>
      </w:r>
      <w:r>
        <w:rPr>
          <w:rFonts w:ascii="Times New Roman" w:hAnsi="Times New Roman"/>
          <w:sz w:val="24"/>
        </w:rPr>
        <w:t>ettlement:</w:t>
      </w:r>
    </w:p>
    <w:p w:rsidR="006D6548" w:rsidRPr="006D6548" w:rsidRDefault="006D6548" w:rsidP="001715D2">
      <w:pPr>
        <w:spacing w:after="240"/>
        <w:ind w:left="1440" w:right="1440"/>
        <w:jc w:val="both"/>
        <w:rPr>
          <w:rFonts w:ascii="Times New Roman" w:hAnsi="Times New Roman"/>
          <w:sz w:val="24"/>
        </w:rPr>
      </w:pPr>
      <w:r>
        <w:rPr>
          <w:rFonts w:ascii="Times New Roman" w:hAnsi="Times New Roman"/>
          <w:sz w:val="24"/>
        </w:rPr>
        <w:t>Benefits to PSE’s customers include relative bill certainty through 2015, annual increases through 2015 that are roughly equal to, or less than, increases in gas and elect</w:t>
      </w:r>
      <w:r w:rsidR="00820EAE">
        <w:rPr>
          <w:rFonts w:ascii="Times New Roman" w:hAnsi="Times New Roman"/>
          <w:sz w:val="24"/>
        </w:rPr>
        <w:t>r</w:t>
      </w:r>
      <w:r>
        <w:rPr>
          <w:rFonts w:ascii="Times New Roman" w:hAnsi="Times New Roman"/>
          <w:sz w:val="24"/>
        </w:rPr>
        <w:t>ic rate provide in recent general rate cases, a decoupling regime that ensures PSE’s rates reflect the impact of mandatory conservation , and energy from the Centralia coal plant at costs that are lower than what PSE had originally proposed through the reduced equity adder.</w:t>
      </w:r>
    </w:p>
    <w:p w:rsidR="0049086F" w:rsidRDefault="0049086F" w:rsidP="00CE4451">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WILL THE RATE ELEMENTS OF THE GLOBAL SETTLEMENT DELIVER THE BENEFITS PURPORTED BY STAFF?</w:t>
      </w:r>
    </w:p>
    <w:p w:rsidR="00ED5713" w:rsidRDefault="0049086F" w:rsidP="006D6548">
      <w:pPr>
        <w:spacing w:line="480" w:lineRule="auto"/>
        <w:ind w:left="720" w:hanging="720"/>
        <w:rPr>
          <w:rFonts w:ascii="Times New Roman" w:hAnsi="Times New Roman"/>
          <w:sz w:val="24"/>
        </w:rPr>
      </w:pPr>
      <w:r>
        <w:rPr>
          <w:rFonts w:ascii="Times New Roman" w:hAnsi="Times New Roman"/>
          <w:b/>
          <w:sz w:val="24"/>
        </w:rPr>
        <w:t>A.</w:t>
      </w:r>
      <w:r w:rsidR="006D6548">
        <w:rPr>
          <w:rFonts w:ascii="Times New Roman" w:hAnsi="Times New Roman"/>
          <w:b/>
          <w:sz w:val="24"/>
        </w:rPr>
        <w:tab/>
      </w:r>
      <w:r w:rsidR="006D6548">
        <w:rPr>
          <w:rFonts w:ascii="Times New Roman" w:hAnsi="Times New Roman"/>
          <w:sz w:val="24"/>
        </w:rPr>
        <w:t xml:space="preserve">No.  ICNU is extremely skeptical of Staff’s analysis of </w:t>
      </w:r>
      <w:r w:rsidR="00B003E8">
        <w:rPr>
          <w:rFonts w:ascii="Times New Roman" w:hAnsi="Times New Roman"/>
          <w:sz w:val="24"/>
        </w:rPr>
        <w:t xml:space="preserve">the </w:t>
      </w:r>
      <w:r w:rsidR="006D6548">
        <w:rPr>
          <w:rFonts w:ascii="Times New Roman" w:hAnsi="Times New Roman"/>
          <w:sz w:val="24"/>
        </w:rPr>
        <w:t>benefits</w:t>
      </w:r>
      <w:r w:rsidR="00820EAE">
        <w:rPr>
          <w:rFonts w:ascii="Times New Roman" w:hAnsi="Times New Roman"/>
          <w:sz w:val="24"/>
        </w:rPr>
        <w:t xml:space="preserve"> to customers</w:t>
      </w:r>
      <w:r w:rsidR="006D6548">
        <w:rPr>
          <w:rFonts w:ascii="Times New Roman" w:hAnsi="Times New Roman"/>
          <w:sz w:val="24"/>
        </w:rPr>
        <w:t xml:space="preserve"> under the settlement</w:t>
      </w:r>
      <w:r w:rsidR="00820EAE">
        <w:rPr>
          <w:rFonts w:ascii="Times New Roman" w:hAnsi="Times New Roman"/>
          <w:sz w:val="24"/>
        </w:rPr>
        <w:t xml:space="preserve"> proposal</w:t>
      </w:r>
      <w:r w:rsidR="006D6548">
        <w:rPr>
          <w:rFonts w:ascii="Times New Roman" w:hAnsi="Times New Roman"/>
          <w:sz w:val="24"/>
        </w:rPr>
        <w:t>.</w:t>
      </w:r>
    </w:p>
    <w:p w:rsidR="00ED5713" w:rsidRPr="00ED5713" w:rsidRDefault="00ED5713" w:rsidP="00E911FA">
      <w:pPr>
        <w:keepNext/>
        <w:keepLines/>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PLE</w:t>
      </w:r>
      <w:r w:rsidR="000E77FC">
        <w:rPr>
          <w:rFonts w:ascii="Times New Roman" w:hAnsi="Times New Roman"/>
          <w:b/>
          <w:sz w:val="24"/>
        </w:rPr>
        <w:t>ASE DISCUSS THE ALLEGED BENEFIT</w:t>
      </w:r>
      <w:r>
        <w:rPr>
          <w:rFonts w:ascii="Times New Roman" w:hAnsi="Times New Roman"/>
          <w:b/>
          <w:sz w:val="24"/>
        </w:rPr>
        <w:t xml:space="preserve"> OF BILL CERTAINTY DURING THE PERIOD OF THE GLOBAL SETTLEMENT.</w:t>
      </w:r>
    </w:p>
    <w:p w:rsidR="0049086F" w:rsidRPr="006D6548" w:rsidRDefault="00ED5713" w:rsidP="006D6548">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The </w:t>
      </w:r>
      <w:r w:rsidR="00B003E8">
        <w:rPr>
          <w:rFonts w:ascii="Times New Roman" w:hAnsi="Times New Roman"/>
          <w:sz w:val="24"/>
        </w:rPr>
        <w:t>G</w:t>
      </w:r>
      <w:r>
        <w:rPr>
          <w:rFonts w:ascii="Times New Roman" w:hAnsi="Times New Roman"/>
          <w:sz w:val="24"/>
        </w:rPr>
        <w:t xml:space="preserve">lobal </w:t>
      </w:r>
      <w:r w:rsidR="00B003E8">
        <w:rPr>
          <w:rFonts w:ascii="Times New Roman" w:hAnsi="Times New Roman"/>
          <w:sz w:val="24"/>
        </w:rPr>
        <w:t>S</w:t>
      </w:r>
      <w:r>
        <w:rPr>
          <w:rFonts w:ascii="Times New Roman" w:hAnsi="Times New Roman"/>
          <w:sz w:val="24"/>
        </w:rPr>
        <w:t>ettlement sets automatic increases to a portion of PSE’s costs, but as discussed previously</w:t>
      </w:r>
      <w:r w:rsidR="004F67C2">
        <w:rPr>
          <w:rFonts w:ascii="Times New Roman" w:hAnsi="Times New Roman"/>
          <w:sz w:val="24"/>
        </w:rPr>
        <w:t>,</w:t>
      </w:r>
      <w:r>
        <w:rPr>
          <w:rFonts w:ascii="Times New Roman" w:hAnsi="Times New Roman"/>
          <w:sz w:val="24"/>
        </w:rPr>
        <w:t xml:space="preserve"> there is the potential for substantial and ongoing additional rate increases due to the proposed decoupling mechanism.  Also, the time period for which the rate plan will be in effect is in itself uncertain.  Perhaps most importantly, the </w:t>
      </w:r>
      <w:r w:rsidR="00B003E8">
        <w:rPr>
          <w:rFonts w:ascii="Times New Roman" w:hAnsi="Times New Roman"/>
          <w:sz w:val="24"/>
        </w:rPr>
        <w:t>G</w:t>
      </w:r>
      <w:r>
        <w:rPr>
          <w:rFonts w:ascii="Times New Roman" w:hAnsi="Times New Roman"/>
          <w:sz w:val="24"/>
        </w:rPr>
        <w:t xml:space="preserve">lobal </w:t>
      </w:r>
      <w:r w:rsidR="00B003E8">
        <w:rPr>
          <w:rFonts w:ascii="Times New Roman" w:hAnsi="Times New Roman"/>
          <w:sz w:val="24"/>
        </w:rPr>
        <w:t>S</w:t>
      </w:r>
      <w:r>
        <w:rPr>
          <w:rFonts w:ascii="Times New Roman" w:hAnsi="Times New Roman"/>
          <w:sz w:val="24"/>
        </w:rPr>
        <w:t xml:space="preserve">ettlement provides absolutely no certainty regarding the level of PSE’s power costs during the rate plan period, which represents two thirds of PSE’s billing to customers.  PSE has the full option to file multiple PCORCs during the rate plan.  Given that PSE is a sophisticated company with a duty to protect the financial interest of its </w:t>
      </w:r>
      <w:r w:rsidR="00B003E8">
        <w:rPr>
          <w:rFonts w:ascii="Times New Roman" w:hAnsi="Times New Roman"/>
          <w:sz w:val="24"/>
        </w:rPr>
        <w:t xml:space="preserve">foreign </w:t>
      </w:r>
      <w:r>
        <w:rPr>
          <w:rFonts w:ascii="Times New Roman" w:hAnsi="Times New Roman"/>
          <w:sz w:val="24"/>
        </w:rPr>
        <w:t xml:space="preserve">shareholders, it would be naïve to assume that PSE’s choices in filing PCORCs during the settlement period </w:t>
      </w:r>
      <w:r w:rsidR="00591842">
        <w:rPr>
          <w:rFonts w:ascii="Times New Roman" w:hAnsi="Times New Roman"/>
          <w:sz w:val="24"/>
        </w:rPr>
        <w:t>will be timed for any other purpose than to maximize revenues that it collects from its customers.</w:t>
      </w:r>
      <w:r w:rsidR="004F67C2">
        <w:rPr>
          <w:rFonts w:ascii="Times New Roman" w:hAnsi="Times New Roman"/>
          <w:sz w:val="24"/>
        </w:rPr>
        <w:t xml:space="preserve">  As discussed below, the settlement strips away the requirement that PSE file a </w:t>
      </w:r>
      <w:r w:rsidR="008B444E">
        <w:rPr>
          <w:rFonts w:ascii="Times New Roman" w:hAnsi="Times New Roman"/>
          <w:sz w:val="24"/>
        </w:rPr>
        <w:t>general rate case (“</w:t>
      </w:r>
      <w:r w:rsidR="004F67C2">
        <w:rPr>
          <w:rFonts w:ascii="Times New Roman" w:hAnsi="Times New Roman"/>
          <w:sz w:val="24"/>
        </w:rPr>
        <w:t>GRC</w:t>
      </w:r>
      <w:r w:rsidR="008B444E">
        <w:rPr>
          <w:rFonts w:ascii="Times New Roman" w:hAnsi="Times New Roman"/>
          <w:sz w:val="24"/>
        </w:rPr>
        <w:t>”)</w:t>
      </w:r>
      <w:r w:rsidR="004F67C2">
        <w:rPr>
          <w:rFonts w:ascii="Times New Roman" w:hAnsi="Times New Roman"/>
          <w:sz w:val="24"/>
        </w:rPr>
        <w:t xml:space="preserve"> soon after a PCORC to protect customers from such behavior.</w:t>
      </w:r>
    </w:p>
    <w:p w:rsidR="00820EAE" w:rsidRDefault="00820EAE" w:rsidP="00CE4451">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WILL THE PROPOSED DECOUPLING MECHANISM ACHIEVE COMMISSION POLICY GOALS RELATED TO CONSERVATION?</w:t>
      </w:r>
    </w:p>
    <w:p w:rsidR="00820EAE" w:rsidRPr="00820EAE" w:rsidRDefault="00820EAE" w:rsidP="00820EAE">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No.  The extensive problems with the proposed decoupling mechanism are discussed later in this testimony.</w:t>
      </w:r>
    </w:p>
    <w:p w:rsidR="00C63A4B" w:rsidRDefault="00C63A4B" w:rsidP="00CE4451">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 xml:space="preserve">DOES THE RESOLUTION OF ISSUES RELATED TO THE PPA </w:t>
      </w:r>
      <w:r w:rsidR="00D644BB">
        <w:rPr>
          <w:rFonts w:ascii="Times New Roman" w:hAnsi="Times New Roman"/>
          <w:b/>
          <w:sz w:val="24"/>
        </w:rPr>
        <w:t>PROVIDE SUBSTANTIAL BENEFITS TO CUSTOMERS</w:t>
      </w:r>
      <w:r>
        <w:rPr>
          <w:rFonts w:ascii="Times New Roman" w:hAnsi="Times New Roman"/>
          <w:b/>
          <w:sz w:val="24"/>
        </w:rPr>
        <w:t>?</w:t>
      </w:r>
    </w:p>
    <w:p w:rsidR="005B110B" w:rsidRDefault="00C63A4B" w:rsidP="00F303E1">
      <w:pPr>
        <w:spacing w:line="480" w:lineRule="auto"/>
        <w:ind w:left="720" w:hanging="720"/>
        <w:rPr>
          <w:rFonts w:ascii="Times New Roman" w:hAnsi="Times New Roman"/>
          <w:sz w:val="24"/>
        </w:rPr>
      </w:pPr>
      <w:r>
        <w:rPr>
          <w:rFonts w:ascii="Times New Roman" w:hAnsi="Times New Roman"/>
          <w:b/>
          <w:sz w:val="24"/>
        </w:rPr>
        <w:t>A.</w:t>
      </w:r>
      <w:r w:rsidR="00D644BB">
        <w:rPr>
          <w:rFonts w:ascii="Times New Roman" w:hAnsi="Times New Roman"/>
          <w:b/>
          <w:sz w:val="24"/>
        </w:rPr>
        <w:tab/>
      </w:r>
      <w:r w:rsidR="00D644BB">
        <w:rPr>
          <w:rFonts w:ascii="Times New Roman" w:hAnsi="Times New Roman"/>
          <w:sz w:val="24"/>
        </w:rPr>
        <w:t>No.  This is one of the most puzzling asp</w:t>
      </w:r>
      <w:r w:rsidR="00F303E1">
        <w:rPr>
          <w:rFonts w:ascii="Times New Roman" w:hAnsi="Times New Roman"/>
          <w:sz w:val="24"/>
        </w:rPr>
        <w:t xml:space="preserve">ects of the settlement proposal as it is completely unrelated to the other </w:t>
      </w:r>
      <w:r w:rsidR="00CD4DD0">
        <w:rPr>
          <w:rFonts w:ascii="Times New Roman" w:hAnsi="Times New Roman"/>
          <w:sz w:val="24"/>
        </w:rPr>
        <w:t>elements</w:t>
      </w:r>
      <w:r w:rsidR="0011505F">
        <w:rPr>
          <w:rFonts w:ascii="Times New Roman" w:hAnsi="Times New Roman"/>
          <w:sz w:val="24"/>
        </w:rPr>
        <w:t>.</w:t>
      </w:r>
      <w:r w:rsidR="00CD4DD0">
        <w:rPr>
          <w:rFonts w:ascii="Times New Roman" w:hAnsi="Times New Roman"/>
          <w:sz w:val="24"/>
        </w:rPr>
        <w:t xml:space="preserve">  </w:t>
      </w:r>
      <w:r w:rsidR="005B110B">
        <w:rPr>
          <w:rFonts w:ascii="Times New Roman" w:hAnsi="Times New Roman"/>
          <w:sz w:val="24"/>
        </w:rPr>
        <w:t xml:space="preserve">Indeed it is the only power-cost related item specifically addressed in the </w:t>
      </w:r>
      <w:r w:rsidR="006129D4">
        <w:rPr>
          <w:rFonts w:ascii="Times New Roman" w:hAnsi="Times New Roman"/>
          <w:sz w:val="24"/>
        </w:rPr>
        <w:t>G</w:t>
      </w:r>
      <w:r w:rsidR="005B110B">
        <w:rPr>
          <w:rFonts w:ascii="Times New Roman" w:hAnsi="Times New Roman"/>
          <w:sz w:val="24"/>
        </w:rPr>
        <w:t xml:space="preserve">lobal </w:t>
      </w:r>
      <w:r w:rsidR="006129D4">
        <w:rPr>
          <w:rFonts w:ascii="Times New Roman" w:hAnsi="Times New Roman"/>
          <w:sz w:val="24"/>
        </w:rPr>
        <w:t>S</w:t>
      </w:r>
      <w:r w:rsidR="005B110B">
        <w:rPr>
          <w:rFonts w:ascii="Times New Roman" w:hAnsi="Times New Roman"/>
          <w:sz w:val="24"/>
        </w:rPr>
        <w:t xml:space="preserve">ettlement.  </w:t>
      </w:r>
      <w:r w:rsidR="00CD4DD0">
        <w:rPr>
          <w:rFonts w:ascii="Times New Roman" w:hAnsi="Times New Roman"/>
          <w:sz w:val="24"/>
        </w:rPr>
        <w:t xml:space="preserve">As described by Staff in response to </w:t>
      </w:r>
      <w:r w:rsidR="005B110B">
        <w:rPr>
          <w:rFonts w:ascii="Times New Roman" w:hAnsi="Times New Roman"/>
          <w:sz w:val="24"/>
        </w:rPr>
        <w:t xml:space="preserve">ICNU Data Responses 4.6 and 4.23, the resolution of issues related to ongoing prudence </w:t>
      </w:r>
      <w:r w:rsidR="005B110B">
        <w:rPr>
          <w:rFonts w:ascii="Times New Roman" w:hAnsi="Times New Roman"/>
          <w:sz w:val="24"/>
        </w:rPr>
        <w:lastRenderedPageBreak/>
        <w:t>determinations and the method of cost recovery for the PPA merely clarify and add detail to the existing Commission Order.</w:t>
      </w:r>
      <w:r w:rsidR="006A7C7D">
        <w:rPr>
          <w:rStyle w:val="FootnoteReference"/>
          <w:sz w:val="24"/>
        </w:rPr>
        <w:footnoteReference w:id="13"/>
      </w:r>
      <w:r w:rsidR="006A7C7D" w:rsidRPr="00E907D0">
        <w:rPr>
          <w:rFonts w:ascii="Times New Roman" w:hAnsi="Times New Roman"/>
          <w:sz w:val="24"/>
          <w:szCs w:val="24"/>
          <w:vertAlign w:val="superscript"/>
        </w:rPr>
        <w:t>/</w:t>
      </w:r>
      <w:r w:rsidR="005B110B">
        <w:rPr>
          <w:rFonts w:ascii="Times New Roman" w:hAnsi="Times New Roman"/>
          <w:sz w:val="24"/>
        </w:rPr>
        <w:t xml:space="preserve">  Taking this analysis at face value, the resolution of these issues provides </w:t>
      </w:r>
      <w:r w:rsidR="00B003E8">
        <w:rPr>
          <w:rFonts w:ascii="Times New Roman" w:hAnsi="Times New Roman"/>
          <w:sz w:val="24"/>
        </w:rPr>
        <w:t>little</w:t>
      </w:r>
      <w:r w:rsidR="005B110B">
        <w:rPr>
          <w:rFonts w:ascii="Times New Roman" w:hAnsi="Times New Roman"/>
          <w:sz w:val="24"/>
        </w:rPr>
        <w:t xml:space="preserve"> value to rate payers as it merely implements details of an existing order.  </w:t>
      </w:r>
    </w:p>
    <w:p w:rsidR="00C63A4B" w:rsidRDefault="005B110B" w:rsidP="005B110B">
      <w:pPr>
        <w:spacing w:line="480" w:lineRule="auto"/>
        <w:ind w:left="720" w:firstLine="720"/>
        <w:rPr>
          <w:rFonts w:ascii="Times New Roman" w:hAnsi="Times New Roman"/>
          <w:sz w:val="24"/>
        </w:rPr>
      </w:pPr>
      <w:r>
        <w:rPr>
          <w:rFonts w:ascii="Times New Roman" w:hAnsi="Times New Roman"/>
          <w:sz w:val="24"/>
        </w:rPr>
        <w:t>Regarding PSE’s “acquiescence” to the Commission ordered $1.49 per MWh equity adder rather than PSE’s proposed $2.92 per MWh initial proposal, ICNU again sees minimal value to rate payers.  As a preliminary matter, ICNU is extremely skeptical of PSE’s ability to effectively challenge the Commission’s ruling in a fully litigated proceeding with a full procedural schedule and final order which carefully considered both the Company and parties</w:t>
      </w:r>
      <w:r w:rsidR="004F67C2">
        <w:rPr>
          <w:rFonts w:ascii="Times New Roman" w:hAnsi="Times New Roman"/>
          <w:sz w:val="24"/>
        </w:rPr>
        <w:t>’ positions.  Second</w:t>
      </w:r>
      <w:r>
        <w:rPr>
          <w:rFonts w:ascii="Times New Roman" w:hAnsi="Times New Roman"/>
          <w:sz w:val="24"/>
        </w:rPr>
        <w:t xml:space="preserve">, the amount of money at stake per year between the two bookend values of the equity adder is trivial in the context of the total amounts of revenue increases and damaging policy </w:t>
      </w:r>
      <w:r w:rsidR="00300035">
        <w:rPr>
          <w:rFonts w:ascii="Times New Roman" w:hAnsi="Times New Roman"/>
          <w:sz w:val="24"/>
        </w:rPr>
        <w:t xml:space="preserve">decisions being undertaken in the other elements of the proposed </w:t>
      </w:r>
      <w:r w:rsidR="00B003E8">
        <w:rPr>
          <w:rFonts w:ascii="Times New Roman" w:hAnsi="Times New Roman"/>
          <w:sz w:val="24"/>
        </w:rPr>
        <w:t>G</w:t>
      </w:r>
      <w:r w:rsidR="00300035">
        <w:rPr>
          <w:rFonts w:ascii="Times New Roman" w:hAnsi="Times New Roman"/>
          <w:sz w:val="24"/>
        </w:rPr>
        <w:t xml:space="preserve">lobal </w:t>
      </w:r>
      <w:r w:rsidR="00B003E8">
        <w:rPr>
          <w:rFonts w:ascii="Times New Roman" w:hAnsi="Times New Roman"/>
          <w:sz w:val="24"/>
        </w:rPr>
        <w:t>S</w:t>
      </w:r>
      <w:r w:rsidR="00300035">
        <w:rPr>
          <w:rFonts w:ascii="Times New Roman" w:hAnsi="Times New Roman"/>
          <w:sz w:val="24"/>
        </w:rPr>
        <w:t>ettlement.  From the period of December 2014 (when the PPA would take effect) to December of 2017 (</w:t>
      </w:r>
      <w:r w:rsidR="00300035" w:rsidRPr="001715D2">
        <w:rPr>
          <w:rFonts w:ascii="Times New Roman" w:hAnsi="Times New Roman"/>
          <w:sz w:val="24"/>
          <w:u w:val="single"/>
        </w:rPr>
        <w:t>i.e</w:t>
      </w:r>
      <w:r w:rsidR="00044A7C">
        <w:rPr>
          <w:rFonts w:ascii="Times New Roman" w:hAnsi="Times New Roman"/>
          <w:sz w:val="24"/>
          <w:u w:val="single"/>
        </w:rPr>
        <w:t>.</w:t>
      </w:r>
      <w:r w:rsidR="00B003E8" w:rsidRPr="00044A7C">
        <w:rPr>
          <w:rFonts w:ascii="Times New Roman" w:hAnsi="Times New Roman"/>
          <w:sz w:val="24"/>
        </w:rPr>
        <w:t>,</w:t>
      </w:r>
      <w:r w:rsidR="00300035">
        <w:rPr>
          <w:rFonts w:ascii="Times New Roman" w:hAnsi="Times New Roman"/>
          <w:sz w:val="24"/>
        </w:rPr>
        <w:t xml:space="preserve"> the first three years of the PPA), the difference between the Company’s proposed equity adder and the Commission approved amount is only </w:t>
      </w:r>
      <w:r w:rsidR="00B003E8">
        <w:rPr>
          <w:rFonts w:ascii="Times New Roman" w:hAnsi="Times New Roman"/>
          <w:sz w:val="24"/>
        </w:rPr>
        <w:t xml:space="preserve">about </w:t>
      </w:r>
      <w:r w:rsidR="00300035">
        <w:rPr>
          <w:rFonts w:ascii="Times New Roman" w:hAnsi="Times New Roman"/>
          <w:sz w:val="24"/>
        </w:rPr>
        <w:t xml:space="preserve">$3.5 million per year.  Further, it is ICNU’s risk analysis that even if the Commission were to allow the record to be reopened in UE-121373 on the issue of the equity adder, it is unlikely that the Company would gain its full requested amount.  Thus, </w:t>
      </w:r>
      <w:r w:rsidR="004F67C2">
        <w:rPr>
          <w:rFonts w:ascii="Times New Roman" w:hAnsi="Times New Roman"/>
          <w:sz w:val="24"/>
        </w:rPr>
        <w:t xml:space="preserve">during the rate plan period, </w:t>
      </w:r>
      <w:r w:rsidR="00300035">
        <w:rPr>
          <w:rFonts w:ascii="Times New Roman" w:hAnsi="Times New Roman"/>
          <w:sz w:val="24"/>
        </w:rPr>
        <w:t xml:space="preserve">the value to consumers of PSE’s withdrawal of its request for reconsideration is </w:t>
      </w:r>
      <w:r w:rsidR="00B003E8">
        <w:rPr>
          <w:rFonts w:ascii="Times New Roman" w:hAnsi="Times New Roman"/>
          <w:sz w:val="24"/>
        </w:rPr>
        <w:t xml:space="preserve">likely </w:t>
      </w:r>
      <w:r w:rsidR="00300035">
        <w:rPr>
          <w:rFonts w:ascii="Times New Roman" w:hAnsi="Times New Roman"/>
          <w:sz w:val="24"/>
        </w:rPr>
        <w:t>only a fraction of the full $3.5 million per year.</w:t>
      </w:r>
    </w:p>
    <w:p w:rsidR="000E77FC" w:rsidRDefault="000E77FC" w:rsidP="005B110B">
      <w:pPr>
        <w:spacing w:line="480" w:lineRule="auto"/>
        <w:ind w:left="720" w:firstLine="720"/>
        <w:rPr>
          <w:rFonts w:ascii="Times New Roman" w:hAnsi="Times New Roman"/>
          <w:sz w:val="24"/>
        </w:rPr>
      </w:pPr>
      <w:r>
        <w:rPr>
          <w:rFonts w:ascii="Times New Roman" w:hAnsi="Times New Roman"/>
          <w:sz w:val="24"/>
        </w:rPr>
        <w:t>Lastly, as part of Staff’s response to ICNU Data Request 4.6, Staff states that</w:t>
      </w:r>
      <w:r w:rsidR="00B003E8">
        <w:rPr>
          <w:rFonts w:ascii="Times New Roman" w:hAnsi="Times New Roman"/>
          <w:sz w:val="24"/>
        </w:rPr>
        <w:t>,</w:t>
      </w:r>
      <w:r>
        <w:rPr>
          <w:rFonts w:ascii="Times New Roman" w:hAnsi="Times New Roman"/>
          <w:sz w:val="24"/>
        </w:rPr>
        <w:t xml:space="preserve"> “Further value is found in settling these matters while they are fresh in our minds, </w:t>
      </w:r>
      <w:r>
        <w:rPr>
          <w:rFonts w:ascii="Times New Roman" w:hAnsi="Times New Roman"/>
          <w:sz w:val="24"/>
        </w:rPr>
        <w:lastRenderedPageBreak/>
        <w:t xml:space="preserve">avoiding the need to resurrect and relearn the issues sometime in the distant future.”  ICNU notes that one of the purposes of developing a written factual record in a proceeding is </w:t>
      </w:r>
      <w:r w:rsidR="007E6258">
        <w:rPr>
          <w:rFonts w:ascii="Times New Roman" w:hAnsi="Times New Roman"/>
          <w:sz w:val="24"/>
        </w:rPr>
        <w:t xml:space="preserve">to allow for unresolved or reopened issues to be cogently addressed at a later time.  Given the presence of the written factual record and detailed reasoning in the Commission orders in the UE-121373 proceeding, ICNU does not view resolving the selected issues from that proceeding at this time “while they are fresh in our minds” as a compelling benefit of the proposed </w:t>
      </w:r>
      <w:r w:rsidR="00B003E8">
        <w:rPr>
          <w:rFonts w:ascii="Times New Roman" w:hAnsi="Times New Roman"/>
          <w:sz w:val="24"/>
        </w:rPr>
        <w:t>G</w:t>
      </w:r>
      <w:r w:rsidR="007E6258">
        <w:rPr>
          <w:rFonts w:ascii="Times New Roman" w:hAnsi="Times New Roman"/>
          <w:sz w:val="24"/>
        </w:rPr>
        <w:t xml:space="preserve">lobal </w:t>
      </w:r>
      <w:r w:rsidR="00B003E8">
        <w:rPr>
          <w:rFonts w:ascii="Times New Roman" w:hAnsi="Times New Roman"/>
          <w:sz w:val="24"/>
        </w:rPr>
        <w:t>S</w:t>
      </w:r>
      <w:r w:rsidR="007E6258">
        <w:rPr>
          <w:rFonts w:ascii="Times New Roman" w:hAnsi="Times New Roman"/>
          <w:sz w:val="24"/>
        </w:rPr>
        <w:t>ettlement.</w:t>
      </w:r>
    </w:p>
    <w:p w:rsidR="00300035" w:rsidRDefault="00300035" w:rsidP="004010E8">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WILL THE GLOBAL SETTLEMENT ACHIEVE THE GOAL OF PROVIDING REGULATORY RELIEF TO COMMISSION STAFF AND CUSTOMERS FROM ANNUAL RATE FILINGS BY THE COMPANY?</w:t>
      </w:r>
    </w:p>
    <w:p w:rsidR="00300035" w:rsidRDefault="00300035" w:rsidP="00300035">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Not particularly.</w:t>
      </w:r>
      <w:r w:rsidR="00813DB9">
        <w:rPr>
          <w:rFonts w:ascii="Times New Roman" w:hAnsi="Times New Roman"/>
          <w:sz w:val="24"/>
        </w:rPr>
        <w:t xml:space="preserve">  Under the terms of the </w:t>
      </w:r>
      <w:r w:rsidR="00B003E8">
        <w:rPr>
          <w:rFonts w:ascii="Times New Roman" w:hAnsi="Times New Roman"/>
          <w:sz w:val="24"/>
        </w:rPr>
        <w:t>G</w:t>
      </w:r>
      <w:r w:rsidR="00813DB9">
        <w:rPr>
          <w:rFonts w:ascii="Times New Roman" w:hAnsi="Times New Roman"/>
          <w:sz w:val="24"/>
        </w:rPr>
        <w:t xml:space="preserve">lobal </w:t>
      </w:r>
      <w:r w:rsidR="00B003E8">
        <w:rPr>
          <w:rFonts w:ascii="Times New Roman" w:hAnsi="Times New Roman"/>
          <w:sz w:val="24"/>
        </w:rPr>
        <w:t>S</w:t>
      </w:r>
      <w:r w:rsidR="00813DB9">
        <w:rPr>
          <w:rFonts w:ascii="Times New Roman" w:hAnsi="Times New Roman"/>
          <w:sz w:val="24"/>
        </w:rPr>
        <w:t xml:space="preserve">ettlement, in 2013 customers and staff will have been presented with the ERF to increase PSE’s non-power costs, a novel decoupling proposal, and a PCORC to address PSE’s power costs.  In future years of the </w:t>
      </w:r>
      <w:r w:rsidR="00B003E8">
        <w:rPr>
          <w:rFonts w:ascii="Times New Roman" w:hAnsi="Times New Roman"/>
          <w:sz w:val="24"/>
        </w:rPr>
        <w:t>G</w:t>
      </w:r>
      <w:r w:rsidR="00813DB9">
        <w:rPr>
          <w:rFonts w:ascii="Times New Roman" w:hAnsi="Times New Roman"/>
          <w:sz w:val="24"/>
        </w:rPr>
        <w:t xml:space="preserve">lobal </w:t>
      </w:r>
      <w:r w:rsidR="00B003E8">
        <w:rPr>
          <w:rFonts w:ascii="Times New Roman" w:hAnsi="Times New Roman"/>
          <w:sz w:val="24"/>
        </w:rPr>
        <w:t>S</w:t>
      </w:r>
      <w:r w:rsidR="00813DB9">
        <w:rPr>
          <w:rFonts w:ascii="Times New Roman" w:hAnsi="Times New Roman"/>
          <w:sz w:val="24"/>
        </w:rPr>
        <w:t xml:space="preserve">ettlement, PSE may very well file </w:t>
      </w:r>
      <w:r w:rsidR="004F67C2">
        <w:rPr>
          <w:rFonts w:ascii="Times New Roman" w:hAnsi="Times New Roman"/>
          <w:sz w:val="24"/>
        </w:rPr>
        <w:t xml:space="preserve">additional </w:t>
      </w:r>
      <w:r w:rsidR="00813DB9">
        <w:rPr>
          <w:rFonts w:ascii="Times New Roman" w:hAnsi="Times New Roman"/>
          <w:sz w:val="24"/>
        </w:rPr>
        <w:t>PCORCs to increase power costs.  Finally, to the extent that PSE exercises the option to extend its general rate case stay out to the latest possible date, as rational actors</w:t>
      </w:r>
      <w:r w:rsidR="00B003E8">
        <w:rPr>
          <w:rFonts w:ascii="Times New Roman" w:hAnsi="Times New Roman"/>
          <w:sz w:val="24"/>
        </w:rPr>
        <w:t>,</w:t>
      </w:r>
      <w:r w:rsidR="00813DB9">
        <w:rPr>
          <w:rFonts w:ascii="Times New Roman" w:hAnsi="Times New Roman"/>
          <w:sz w:val="24"/>
        </w:rPr>
        <w:t xml:space="preserve"> it would only mean that doing so was the best option to maximize returns to its shareholders to the detriment of customers.  </w:t>
      </w:r>
    </w:p>
    <w:p w:rsidR="00813DB9" w:rsidRDefault="00813DB9" w:rsidP="004010E8">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WHY IS IT APPROPRIATE TO AD</w:t>
      </w:r>
      <w:r w:rsidR="00B003E8">
        <w:rPr>
          <w:rFonts w:ascii="Times New Roman" w:hAnsi="Times New Roman"/>
          <w:b/>
          <w:sz w:val="24"/>
        </w:rPr>
        <w:t>D</w:t>
      </w:r>
      <w:r>
        <w:rPr>
          <w:rFonts w:ascii="Times New Roman" w:hAnsi="Times New Roman"/>
          <w:b/>
          <w:sz w:val="24"/>
        </w:rPr>
        <w:t xml:space="preserve">RESS PSE’S COST OF CAPITAL </w:t>
      </w:r>
      <w:r w:rsidR="00617C05">
        <w:rPr>
          <w:rFonts w:ascii="Times New Roman" w:hAnsi="Times New Roman"/>
          <w:b/>
          <w:sz w:val="24"/>
        </w:rPr>
        <w:t>IN THE PRESENT DOCKETS?</w:t>
      </w:r>
    </w:p>
    <w:p w:rsidR="00617C05" w:rsidRPr="00617C05" w:rsidRDefault="00617C05" w:rsidP="00300035">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There are a number of important reasons why PSE’s cost of capital should be addressed at this time.  As a simple factual matter, the test year basis on which PSE’s currently authorized ROR is set is now significantly out of date.  Equally important on a policy level, the settlement terms as proposed have allowed PSE to address all other issues related to i</w:t>
      </w:r>
      <w:r w:rsidR="00611045">
        <w:rPr>
          <w:rFonts w:ascii="Times New Roman" w:hAnsi="Times New Roman"/>
          <w:sz w:val="24"/>
        </w:rPr>
        <w:t>ts costs in a piecemeal fashion</w:t>
      </w:r>
      <w:r>
        <w:rPr>
          <w:rFonts w:ascii="Times New Roman" w:hAnsi="Times New Roman"/>
          <w:sz w:val="24"/>
        </w:rPr>
        <w:t xml:space="preserve"> while avoiding adjustments to its authorized </w:t>
      </w:r>
      <w:r>
        <w:rPr>
          <w:rFonts w:ascii="Times New Roman" w:hAnsi="Times New Roman"/>
          <w:sz w:val="24"/>
        </w:rPr>
        <w:lastRenderedPageBreak/>
        <w:t>cost of capital, which</w:t>
      </w:r>
      <w:r w:rsidR="00611045">
        <w:rPr>
          <w:rFonts w:ascii="Times New Roman" w:hAnsi="Times New Roman"/>
          <w:sz w:val="24"/>
        </w:rPr>
        <w:t>,</w:t>
      </w:r>
      <w:r>
        <w:rPr>
          <w:rFonts w:ascii="Times New Roman" w:hAnsi="Times New Roman"/>
          <w:sz w:val="24"/>
        </w:rPr>
        <w:t xml:space="preserve"> as shown by the testimony of ICNU witness Michael Gorman, ar</w:t>
      </w:r>
      <w:r w:rsidR="009D4632">
        <w:rPr>
          <w:rFonts w:ascii="Times New Roman" w:hAnsi="Times New Roman"/>
          <w:sz w:val="24"/>
        </w:rPr>
        <w:t xml:space="preserve">e </w:t>
      </w:r>
      <w:r w:rsidR="00611045">
        <w:rPr>
          <w:rFonts w:ascii="Times New Roman" w:hAnsi="Times New Roman"/>
          <w:sz w:val="24"/>
        </w:rPr>
        <w:t>significantly too high.  T</w:t>
      </w:r>
      <w:r w:rsidR="009D4632">
        <w:rPr>
          <w:rFonts w:ascii="Times New Roman" w:hAnsi="Times New Roman"/>
          <w:sz w:val="24"/>
        </w:rPr>
        <w:t>he rules related to PSE’s ability to file a PCORC</w:t>
      </w:r>
      <w:r w:rsidR="00611045">
        <w:rPr>
          <w:rFonts w:ascii="Times New Roman" w:hAnsi="Times New Roman"/>
          <w:sz w:val="24"/>
        </w:rPr>
        <w:t xml:space="preserve"> state</w:t>
      </w:r>
      <w:r w:rsidR="009D4632">
        <w:rPr>
          <w:rFonts w:ascii="Times New Roman" w:hAnsi="Times New Roman"/>
          <w:sz w:val="24"/>
        </w:rPr>
        <w:t xml:space="preserve"> that PSE must file a general rate case within 3 months of filing a PCORC that increases rates.  The entire purpose of this provision is to prevent PSE from filing expedited rate mechanisms that address portions of its costs without giving full consideration to the relationship between all important components of the Company’s costs and revenues</w:t>
      </w:r>
      <w:r w:rsidR="00611045">
        <w:rPr>
          <w:rFonts w:ascii="Times New Roman" w:hAnsi="Times New Roman"/>
          <w:sz w:val="24"/>
        </w:rPr>
        <w:t>, which is</w:t>
      </w:r>
      <w:r w:rsidR="009D4632">
        <w:rPr>
          <w:rFonts w:ascii="Times New Roman" w:hAnsi="Times New Roman"/>
          <w:sz w:val="24"/>
        </w:rPr>
        <w:t xml:space="preserve"> needed to ensure the establishment of fair, just and reasonable rates.  This is exactly the situation that will occur under the </w:t>
      </w:r>
      <w:r w:rsidR="00B003E8">
        <w:rPr>
          <w:rFonts w:ascii="Times New Roman" w:hAnsi="Times New Roman"/>
          <w:sz w:val="24"/>
        </w:rPr>
        <w:t>G</w:t>
      </w:r>
      <w:r w:rsidR="009D4632">
        <w:rPr>
          <w:rFonts w:ascii="Times New Roman" w:hAnsi="Times New Roman"/>
          <w:sz w:val="24"/>
        </w:rPr>
        <w:t xml:space="preserve">lobal </w:t>
      </w:r>
      <w:r w:rsidR="00B003E8">
        <w:rPr>
          <w:rFonts w:ascii="Times New Roman" w:hAnsi="Times New Roman"/>
          <w:sz w:val="24"/>
        </w:rPr>
        <w:t>S</w:t>
      </w:r>
      <w:r w:rsidR="009D4632">
        <w:rPr>
          <w:rFonts w:ascii="Times New Roman" w:hAnsi="Times New Roman"/>
          <w:sz w:val="24"/>
        </w:rPr>
        <w:t xml:space="preserve">ettlement if customers are not allowed to present evidence regarding cost of capital.  Finally, without cost of capital evidence as part of the </w:t>
      </w:r>
      <w:r w:rsidR="006129D4">
        <w:rPr>
          <w:rFonts w:ascii="Times New Roman" w:hAnsi="Times New Roman"/>
          <w:sz w:val="24"/>
        </w:rPr>
        <w:t>G</w:t>
      </w:r>
      <w:r w:rsidR="009D4632">
        <w:rPr>
          <w:rFonts w:ascii="Times New Roman" w:hAnsi="Times New Roman"/>
          <w:sz w:val="24"/>
        </w:rPr>
        <w:t xml:space="preserve">lobal </w:t>
      </w:r>
      <w:r w:rsidR="006129D4">
        <w:rPr>
          <w:rFonts w:ascii="Times New Roman" w:hAnsi="Times New Roman"/>
          <w:sz w:val="24"/>
        </w:rPr>
        <w:t>S</w:t>
      </w:r>
      <w:r w:rsidR="009D4632">
        <w:rPr>
          <w:rFonts w:ascii="Times New Roman" w:hAnsi="Times New Roman"/>
          <w:sz w:val="24"/>
        </w:rPr>
        <w:t>ettlement proposal, it will be difficult to make an appropriate adjustment to the Company’s cost of capital to reflect the significant decrease in risk as a result of the proposed decoupling mechanism.</w:t>
      </w:r>
    </w:p>
    <w:p w:rsidR="002D3FAF" w:rsidRDefault="002D3FAF" w:rsidP="00CE4451">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IF THE COMMISSION SHOULD DEEM FOR SOME REASON THAT IT IS NOT APPROPRIATE TO ADDRESS COST OF CAPITAL IN THE CURRENT PROCEEDINGS, DOES ICNU HAVE A RECOMMENDED ALTERNATIVE?</w:t>
      </w:r>
    </w:p>
    <w:p w:rsidR="002D3FAF" w:rsidRPr="002D3FAF" w:rsidRDefault="002D3FAF" w:rsidP="002D3FAF">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Yes.  A simple solution would be for the Commission to make PSE’s cost of capital an open issue in the upcoming PCORC filing and make the results of that determination effective retroactively on all of PSE’s costs.</w:t>
      </w:r>
    </w:p>
    <w:p w:rsidR="0049086F" w:rsidRDefault="0049086F" w:rsidP="00CE4451">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DID ICNU SUPPORT A RATE PLAN AS PART OF AVISTA’S LAST GENERAL RATE CASE?</w:t>
      </w:r>
    </w:p>
    <w:p w:rsidR="0049086F" w:rsidRPr="009D4632" w:rsidRDefault="0049086F" w:rsidP="000C774B">
      <w:pPr>
        <w:spacing w:line="480" w:lineRule="auto"/>
        <w:ind w:left="720" w:hanging="720"/>
        <w:rPr>
          <w:rFonts w:ascii="Times New Roman" w:hAnsi="Times New Roman"/>
          <w:sz w:val="24"/>
        </w:rPr>
      </w:pPr>
      <w:r>
        <w:rPr>
          <w:rFonts w:ascii="Times New Roman" w:hAnsi="Times New Roman"/>
          <w:b/>
          <w:sz w:val="24"/>
        </w:rPr>
        <w:t>A.</w:t>
      </w:r>
      <w:r w:rsidR="009D4632">
        <w:rPr>
          <w:rFonts w:ascii="Times New Roman" w:hAnsi="Times New Roman"/>
          <w:b/>
          <w:sz w:val="24"/>
        </w:rPr>
        <w:tab/>
      </w:r>
      <w:r w:rsidR="009D4632">
        <w:rPr>
          <w:rFonts w:ascii="Times New Roman" w:hAnsi="Times New Roman"/>
          <w:sz w:val="24"/>
        </w:rPr>
        <w:t>Yes.  ICNU is not inherently adverse to rate plans.  However, the circumstances between the Avista proposal and the current proceedin</w:t>
      </w:r>
      <w:r w:rsidR="00611045">
        <w:rPr>
          <w:rFonts w:ascii="Times New Roman" w:hAnsi="Times New Roman"/>
          <w:sz w:val="24"/>
        </w:rPr>
        <w:t>gs are extremely different.  That two-</w:t>
      </w:r>
      <w:r w:rsidR="009D4632">
        <w:rPr>
          <w:rFonts w:ascii="Times New Roman" w:hAnsi="Times New Roman"/>
          <w:sz w:val="24"/>
        </w:rPr>
        <w:t>year rate plan</w:t>
      </w:r>
      <w:r w:rsidR="000C774B">
        <w:rPr>
          <w:rFonts w:ascii="Times New Roman" w:hAnsi="Times New Roman"/>
          <w:sz w:val="24"/>
        </w:rPr>
        <w:t xml:space="preserve"> came as part of a general rate case which considered all elements of Avista’s costs, including cost of capital, on a consistent basis.  Additionally, the Avista settlement </w:t>
      </w:r>
      <w:r w:rsidR="000C774B">
        <w:rPr>
          <w:rFonts w:ascii="Times New Roman" w:hAnsi="Times New Roman"/>
          <w:sz w:val="24"/>
        </w:rPr>
        <w:lastRenderedPageBreak/>
        <w:t xml:space="preserve">did not include a decoupling proposal with substantial deviations from the Commission’s </w:t>
      </w:r>
      <w:r w:rsidR="00F635A5">
        <w:rPr>
          <w:rFonts w:ascii="Times New Roman" w:hAnsi="Times New Roman"/>
          <w:sz w:val="24"/>
        </w:rPr>
        <w:t>p</w:t>
      </w:r>
      <w:r w:rsidR="000C774B">
        <w:rPr>
          <w:rFonts w:ascii="Times New Roman" w:hAnsi="Times New Roman"/>
          <w:sz w:val="24"/>
        </w:rPr>
        <w:t xml:space="preserve">olicy </w:t>
      </w:r>
      <w:r w:rsidR="00F635A5">
        <w:rPr>
          <w:rFonts w:ascii="Times New Roman" w:hAnsi="Times New Roman"/>
          <w:sz w:val="24"/>
        </w:rPr>
        <w:t>s</w:t>
      </w:r>
      <w:r w:rsidR="000C774B">
        <w:rPr>
          <w:rFonts w:ascii="Times New Roman" w:hAnsi="Times New Roman"/>
          <w:sz w:val="24"/>
        </w:rPr>
        <w:t xml:space="preserve">tatement regarding decoupling. </w:t>
      </w:r>
    </w:p>
    <w:p w:rsidR="00C63A4B" w:rsidRPr="005F5E33" w:rsidRDefault="00C63A4B" w:rsidP="00497998">
      <w:pPr>
        <w:spacing w:after="240"/>
        <w:ind w:left="720" w:hanging="720"/>
        <w:rPr>
          <w:rFonts w:ascii="Times New Roman" w:hAnsi="Times New Roman"/>
          <w:b/>
          <w:sz w:val="24"/>
        </w:rPr>
      </w:pPr>
      <w:r w:rsidRPr="005F5E33">
        <w:rPr>
          <w:rFonts w:ascii="Times New Roman" w:hAnsi="Times New Roman"/>
          <w:b/>
          <w:sz w:val="24"/>
        </w:rPr>
        <w:t>Q.</w:t>
      </w:r>
      <w:r w:rsidRPr="005F5E33">
        <w:rPr>
          <w:rFonts w:ascii="Times New Roman" w:hAnsi="Times New Roman"/>
          <w:b/>
          <w:sz w:val="24"/>
        </w:rPr>
        <w:tab/>
        <w:t>HOW WAS THE PROPOSED</w:t>
      </w:r>
      <w:r w:rsidR="000C774B">
        <w:rPr>
          <w:rFonts w:ascii="Times New Roman" w:hAnsi="Times New Roman"/>
          <w:b/>
          <w:sz w:val="24"/>
        </w:rPr>
        <w:t xml:space="preserve"> GLOBAL</w:t>
      </w:r>
      <w:r w:rsidRPr="005F5E33">
        <w:rPr>
          <w:rFonts w:ascii="Times New Roman" w:hAnsi="Times New Roman"/>
          <w:b/>
          <w:sz w:val="24"/>
        </w:rPr>
        <w:t xml:space="preserve"> SETTLEMENT </w:t>
      </w:r>
      <w:r w:rsidR="000C774B">
        <w:rPr>
          <w:rFonts w:ascii="Times New Roman" w:hAnsi="Times New Roman"/>
          <w:b/>
          <w:sz w:val="24"/>
        </w:rPr>
        <w:t xml:space="preserve">AT ISSUE IN THESE PROCEEDINGS </w:t>
      </w:r>
      <w:r w:rsidRPr="005F5E33">
        <w:rPr>
          <w:rFonts w:ascii="Times New Roman" w:hAnsi="Times New Roman"/>
          <w:b/>
          <w:sz w:val="24"/>
        </w:rPr>
        <w:t>DEVELOPED?</w:t>
      </w:r>
    </w:p>
    <w:p w:rsidR="00C63A4B" w:rsidRPr="005F5E33" w:rsidRDefault="00C63A4B" w:rsidP="001715D2">
      <w:pPr>
        <w:spacing w:line="480" w:lineRule="auto"/>
        <w:ind w:left="720" w:hanging="720"/>
        <w:rPr>
          <w:rFonts w:ascii="Times New Roman" w:hAnsi="Times New Roman"/>
          <w:b/>
          <w:sz w:val="24"/>
        </w:rPr>
      </w:pPr>
      <w:r w:rsidRPr="005F5E33">
        <w:rPr>
          <w:rFonts w:ascii="Times New Roman" w:hAnsi="Times New Roman"/>
          <w:b/>
          <w:sz w:val="24"/>
        </w:rPr>
        <w:t>A.</w:t>
      </w:r>
      <w:r w:rsidRPr="005F5E33">
        <w:rPr>
          <w:rFonts w:ascii="Times New Roman" w:hAnsi="Times New Roman"/>
          <w:b/>
          <w:sz w:val="24"/>
        </w:rPr>
        <w:tab/>
      </w:r>
      <w:r w:rsidR="00B003E8" w:rsidRPr="001715D2">
        <w:rPr>
          <w:rFonts w:ascii="Times New Roman" w:hAnsi="Times New Roman"/>
          <w:sz w:val="24"/>
        </w:rPr>
        <w:t>It was developed by Staff, NWEC and PSE in settlement meeting</w:t>
      </w:r>
      <w:r w:rsidR="00611045">
        <w:rPr>
          <w:rFonts w:ascii="Times New Roman" w:hAnsi="Times New Roman"/>
          <w:sz w:val="24"/>
        </w:rPr>
        <w:t>s</w:t>
      </w:r>
      <w:r w:rsidR="00B003E8" w:rsidRPr="001715D2">
        <w:rPr>
          <w:rFonts w:ascii="Times New Roman" w:hAnsi="Times New Roman"/>
          <w:sz w:val="24"/>
        </w:rPr>
        <w:t xml:space="preserve"> or “technical workshops” without the inclusion of any other parties.</w:t>
      </w:r>
      <w:r w:rsidR="00B003E8">
        <w:rPr>
          <w:rFonts w:ascii="Times New Roman" w:hAnsi="Times New Roman"/>
          <w:b/>
          <w:sz w:val="24"/>
        </w:rPr>
        <w:t xml:space="preserve"> </w:t>
      </w:r>
    </w:p>
    <w:p w:rsidR="00C63A4B" w:rsidRDefault="00C63A4B" w:rsidP="00C63A4B">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WAS THE PROCEDURE USED TO DEVELOP THE GLOBAL SETTLEMENT AND ITS CONSTITUENT PARTS EQUITABLE TO RATE PAYERS?</w:t>
      </w:r>
    </w:p>
    <w:p w:rsidR="00CE4451" w:rsidRPr="007E6258" w:rsidRDefault="00C63A4B" w:rsidP="001715D2">
      <w:pPr>
        <w:spacing w:line="480" w:lineRule="auto"/>
        <w:ind w:left="720" w:hanging="720"/>
        <w:rPr>
          <w:rFonts w:ascii="Times New Roman" w:hAnsi="Times New Roman"/>
          <w:b/>
          <w:sz w:val="24"/>
        </w:rPr>
      </w:pPr>
      <w:r>
        <w:rPr>
          <w:rFonts w:ascii="Times New Roman" w:hAnsi="Times New Roman"/>
          <w:b/>
          <w:sz w:val="24"/>
        </w:rPr>
        <w:t>A.</w:t>
      </w:r>
      <w:r>
        <w:rPr>
          <w:rFonts w:ascii="Times New Roman" w:hAnsi="Times New Roman"/>
          <w:b/>
          <w:sz w:val="24"/>
        </w:rPr>
        <w:tab/>
      </w:r>
      <w:r w:rsidR="00F635A5" w:rsidRPr="00F635A5">
        <w:rPr>
          <w:rFonts w:ascii="Times New Roman" w:hAnsi="Times New Roman"/>
          <w:sz w:val="24"/>
        </w:rPr>
        <w:t xml:space="preserve">No. </w:t>
      </w:r>
      <w:r w:rsidR="00F635A5">
        <w:rPr>
          <w:rFonts w:ascii="Times New Roman" w:hAnsi="Times New Roman"/>
          <w:sz w:val="24"/>
        </w:rPr>
        <w:t xml:space="preserve"> </w:t>
      </w:r>
      <w:r w:rsidR="00B003E8">
        <w:rPr>
          <w:rFonts w:ascii="Times New Roman" w:hAnsi="Times New Roman"/>
          <w:sz w:val="24"/>
        </w:rPr>
        <w:t>Conducting settlement negotiations in secret</w:t>
      </w:r>
      <w:r w:rsidR="004039D8">
        <w:rPr>
          <w:rFonts w:ascii="Times New Roman" w:hAnsi="Times New Roman"/>
          <w:sz w:val="24"/>
        </w:rPr>
        <w:t xml:space="preserve"> do</w:t>
      </w:r>
      <w:r w:rsidR="00611045">
        <w:rPr>
          <w:rFonts w:ascii="Times New Roman" w:hAnsi="Times New Roman"/>
          <w:sz w:val="24"/>
        </w:rPr>
        <w:t>es</w:t>
      </w:r>
      <w:r w:rsidR="004039D8">
        <w:rPr>
          <w:rFonts w:ascii="Times New Roman" w:hAnsi="Times New Roman"/>
          <w:sz w:val="24"/>
        </w:rPr>
        <w:t xml:space="preserve"> not result in a balanced result as no party was exclusively representing ratepayers’ interests. </w:t>
      </w:r>
      <w:r w:rsidR="00CE4451">
        <w:rPr>
          <w:rFonts w:ascii="Times New Roman" w:hAnsi="Times New Roman"/>
          <w:b/>
          <w:sz w:val="24"/>
        </w:rPr>
        <w:tab/>
      </w:r>
    </w:p>
    <w:p w:rsidR="005F5E33" w:rsidRDefault="005F5E33" w:rsidP="001C6A74">
      <w:pPr>
        <w:keepNext/>
        <w:keepLines/>
        <w:spacing w:after="240"/>
        <w:ind w:left="720" w:hanging="720"/>
        <w:rPr>
          <w:rFonts w:ascii="Times New Roman" w:hAnsi="Times New Roman"/>
          <w:b/>
          <w:sz w:val="24"/>
        </w:rPr>
      </w:pPr>
      <w:r>
        <w:rPr>
          <w:rFonts w:ascii="Times New Roman" w:hAnsi="Times New Roman"/>
          <w:b/>
          <w:sz w:val="24"/>
        </w:rPr>
        <w:tab/>
      </w:r>
      <w:r>
        <w:rPr>
          <w:rFonts w:ascii="Times New Roman" w:hAnsi="Times New Roman"/>
          <w:b/>
          <w:sz w:val="24"/>
        </w:rPr>
        <w:tab/>
      </w:r>
      <w:r w:rsidR="007E6258">
        <w:rPr>
          <w:rFonts w:ascii="Times New Roman" w:hAnsi="Times New Roman"/>
          <w:b/>
          <w:sz w:val="24"/>
        </w:rPr>
        <w:t>III.</w:t>
      </w:r>
      <w:r w:rsidR="007E6258">
        <w:rPr>
          <w:rFonts w:ascii="Times New Roman" w:hAnsi="Times New Roman"/>
          <w:b/>
          <w:sz w:val="24"/>
        </w:rPr>
        <w:tab/>
        <w:t>ANALYSIS OF AMENDED DECOUPLING PROPOSAL</w:t>
      </w:r>
    </w:p>
    <w:p w:rsidR="000714CA" w:rsidRDefault="000714CA" w:rsidP="001C6A74">
      <w:pPr>
        <w:keepNext/>
        <w:keepLines/>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SUMMARIZE YOUR RECOMMENDATIONS</w:t>
      </w:r>
      <w:r w:rsidR="00CE4451">
        <w:rPr>
          <w:rFonts w:ascii="Times New Roman" w:hAnsi="Times New Roman"/>
          <w:b/>
          <w:sz w:val="24"/>
        </w:rPr>
        <w:t xml:space="preserve"> REGARDING THE AMENDED DECOUPLING PROPOSAL</w:t>
      </w:r>
      <w:r w:rsidR="006E70A8">
        <w:rPr>
          <w:rFonts w:ascii="Times New Roman" w:hAnsi="Times New Roman"/>
          <w:b/>
          <w:sz w:val="24"/>
        </w:rPr>
        <w:t>.</w:t>
      </w:r>
    </w:p>
    <w:p w:rsidR="006E70A8" w:rsidRDefault="006E70A8" w:rsidP="004E399E">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C4714E">
        <w:rPr>
          <w:rFonts w:ascii="Times New Roman" w:hAnsi="Times New Roman"/>
          <w:sz w:val="24"/>
          <w:szCs w:val="24"/>
        </w:rPr>
        <w:t>The</w:t>
      </w:r>
      <w:r w:rsidR="002240C7">
        <w:rPr>
          <w:rFonts w:ascii="Times New Roman" w:hAnsi="Times New Roman"/>
          <w:sz w:val="24"/>
          <w:szCs w:val="24"/>
        </w:rPr>
        <w:t xml:space="preserve"> </w:t>
      </w:r>
      <w:r w:rsidR="00CE4451">
        <w:rPr>
          <w:rFonts w:ascii="Times New Roman" w:hAnsi="Times New Roman"/>
          <w:sz w:val="24"/>
          <w:szCs w:val="24"/>
        </w:rPr>
        <w:t xml:space="preserve">amended </w:t>
      </w:r>
      <w:r w:rsidR="002240C7">
        <w:rPr>
          <w:rFonts w:ascii="Times New Roman" w:hAnsi="Times New Roman"/>
          <w:sz w:val="24"/>
          <w:szCs w:val="24"/>
        </w:rPr>
        <w:t>decoupling proposal</w:t>
      </w:r>
      <w:r w:rsidR="002240C7" w:rsidRPr="001725EB">
        <w:rPr>
          <w:rFonts w:ascii="Times New Roman" w:hAnsi="Times New Roman"/>
          <w:sz w:val="24"/>
          <w:szCs w:val="24"/>
        </w:rPr>
        <w:t xml:space="preserve"> </w:t>
      </w:r>
      <w:r w:rsidR="00C4714E">
        <w:rPr>
          <w:rFonts w:ascii="Times New Roman" w:hAnsi="Times New Roman"/>
          <w:sz w:val="24"/>
          <w:szCs w:val="24"/>
        </w:rPr>
        <w:t xml:space="preserve">should be rejected </w:t>
      </w:r>
      <w:r w:rsidR="002240C7" w:rsidRPr="001725EB">
        <w:rPr>
          <w:rFonts w:ascii="Times New Roman" w:hAnsi="Times New Roman"/>
          <w:sz w:val="24"/>
          <w:szCs w:val="24"/>
        </w:rPr>
        <w:t>in light of the</w:t>
      </w:r>
      <w:r w:rsidR="00330165">
        <w:rPr>
          <w:rFonts w:ascii="Times New Roman" w:hAnsi="Times New Roman"/>
          <w:sz w:val="24"/>
          <w:szCs w:val="24"/>
        </w:rPr>
        <w:t xml:space="preserve"> WUTC</w:t>
      </w:r>
      <w:r w:rsidR="00CE5741">
        <w:rPr>
          <w:rFonts w:ascii="Times New Roman" w:hAnsi="Times New Roman"/>
          <w:sz w:val="24"/>
          <w:szCs w:val="24"/>
        </w:rPr>
        <w:t>’s</w:t>
      </w:r>
      <w:r w:rsidR="002240C7" w:rsidRPr="001725EB">
        <w:rPr>
          <w:rFonts w:ascii="Times New Roman" w:hAnsi="Times New Roman"/>
          <w:sz w:val="24"/>
          <w:szCs w:val="24"/>
        </w:rPr>
        <w:t xml:space="preserve"> </w:t>
      </w:r>
      <w:r w:rsidR="00C4714E">
        <w:rPr>
          <w:rFonts w:ascii="Times New Roman" w:hAnsi="Times New Roman"/>
          <w:sz w:val="24"/>
          <w:szCs w:val="24"/>
        </w:rPr>
        <w:t>Report and Policy Stat</w:t>
      </w:r>
      <w:r w:rsidR="00CE5741">
        <w:rPr>
          <w:rFonts w:ascii="Times New Roman" w:hAnsi="Times New Roman"/>
          <w:sz w:val="24"/>
          <w:szCs w:val="24"/>
        </w:rPr>
        <w:t xml:space="preserve">ement on Regulatory Mechanisms </w:t>
      </w:r>
      <w:r w:rsidR="00C4714E">
        <w:rPr>
          <w:rFonts w:ascii="Times New Roman" w:hAnsi="Times New Roman"/>
          <w:sz w:val="24"/>
          <w:szCs w:val="24"/>
        </w:rPr>
        <w:t>(the “Policy Statement”).</w:t>
      </w:r>
      <w:r w:rsidR="00C4714E">
        <w:rPr>
          <w:rStyle w:val="FootnoteReference"/>
          <w:sz w:val="24"/>
          <w:szCs w:val="24"/>
        </w:rPr>
        <w:footnoteReference w:id="14"/>
      </w:r>
      <w:r w:rsidR="00C4714E" w:rsidRPr="001C6A74">
        <w:rPr>
          <w:rFonts w:ascii="Times New Roman" w:hAnsi="Times New Roman"/>
          <w:sz w:val="24"/>
          <w:szCs w:val="24"/>
          <w:vertAlign w:val="superscript"/>
        </w:rPr>
        <w:t>/</w:t>
      </w:r>
      <w:r w:rsidR="00C4714E">
        <w:rPr>
          <w:rFonts w:ascii="Times New Roman" w:hAnsi="Times New Roman"/>
          <w:sz w:val="24"/>
          <w:szCs w:val="24"/>
        </w:rPr>
        <w:t xml:space="preserve">   </w:t>
      </w:r>
      <w:r w:rsidR="00C94265">
        <w:rPr>
          <w:rFonts w:ascii="Times New Roman" w:hAnsi="Times New Roman"/>
          <w:sz w:val="24"/>
          <w:szCs w:val="24"/>
        </w:rPr>
        <w:t>PSE</w:t>
      </w:r>
      <w:r w:rsidR="00C4714E">
        <w:rPr>
          <w:rFonts w:ascii="Times New Roman" w:hAnsi="Times New Roman"/>
          <w:sz w:val="24"/>
          <w:szCs w:val="24"/>
        </w:rPr>
        <w:t xml:space="preserve"> and Staff testimony reveal</w:t>
      </w:r>
      <w:r w:rsidR="00C94265">
        <w:rPr>
          <w:rFonts w:ascii="Times New Roman" w:hAnsi="Times New Roman"/>
          <w:sz w:val="24"/>
          <w:szCs w:val="24"/>
        </w:rPr>
        <w:t xml:space="preserve"> the proposed decoupling mechanism has little to no bearing on actual conservation.  Rather, the primary function of the proposed mechanism—addressing PSE’s alleged earnings attrition—is a function that decoupling was never meant to perform.  No party has identified any disincentive to conservation that the decoupling mechanism will remove.  This means that the decoupling mechanism and </w:t>
      </w:r>
      <w:r w:rsidR="00325F89">
        <w:rPr>
          <w:rFonts w:ascii="Times New Roman" w:hAnsi="Times New Roman"/>
          <w:sz w:val="24"/>
          <w:szCs w:val="24"/>
        </w:rPr>
        <w:t>accompanying “rate plan” amount</w:t>
      </w:r>
      <w:r w:rsidR="00C94265">
        <w:rPr>
          <w:rFonts w:ascii="Times New Roman" w:hAnsi="Times New Roman"/>
          <w:sz w:val="24"/>
          <w:szCs w:val="24"/>
        </w:rPr>
        <w:t xml:space="preserve"> to a multi-year transfer of potentially </w:t>
      </w:r>
      <w:r w:rsidR="004039D8">
        <w:rPr>
          <w:rFonts w:ascii="Times New Roman" w:hAnsi="Times New Roman"/>
          <w:sz w:val="24"/>
          <w:szCs w:val="24"/>
        </w:rPr>
        <w:t xml:space="preserve">over a </w:t>
      </w:r>
      <w:r w:rsidR="00C94265">
        <w:rPr>
          <w:rFonts w:ascii="Times New Roman" w:hAnsi="Times New Roman"/>
          <w:sz w:val="24"/>
          <w:szCs w:val="24"/>
        </w:rPr>
        <w:t>hundred million dollars from ratepayers to PSE shareholders.  For this reason</w:t>
      </w:r>
      <w:r w:rsidR="00C4714E">
        <w:rPr>
          <w:rFonts w:ascii="Times New Roman" w:hAnsi="Times New Roman"/>
          <w:sz w:val="24"/>
          <w:szCs w:val="24"/>
        </w:rPr>
        <w:t xml:space="preserve"> alone</w:t>
      </w:r>
      <w:r w:rsidR="00C94265">
        <w:rPr>
          <w:rFonts w:ascii="Times New Roman" w:hAnsi="Times New Roman"/>
          <w:sz w:val="24"/>
          <w:szCs w:val="24"/>
        </w:rPr>
        <w:t xml:space="preserve">, the Commission should reject the </w:t>
      </w:r>
      <w:r w:rsidR="009458AF">
        <w:rPr>
          <w:rFonts w:ascii="Times New Roman" w:hAnsi="Times New Roman"/>
          <w:sz w:val="24"/>
          <w:szCs w:val="24"/>
        </w:rPr>
        <w:t xml:space="preserve">proposed </w:t>
      </w:r>
      <w:r w:rsidR="00C94265">
        <w:rPr>
          <w:rFonts w:ascii="Times New Roman" w:hAnsi="Times New Roman"/>
          <w:sz w:val="24"/>
          <w:szCs w:val="24"/>
        </w:rPr>
        <w:t>mechanis</w:t>
      </w:r>
      <w:r w:rsidR="00C4714E">
        <w:rPr>
          <w:rFonts w:ascii="Times New Roman" w:hAnsi="Times New Roman"/>
          <w:sz w:val="24"/>
          <w:szCs w:val="24"/>
        </w:rPr>
        <w:t xml:space="preserve">m and </w:t>
      </w:r>
      <w:r w:rsidR="009458AF">
        <w:rPr>
          <w:rFonts w:ascii="Times New Roman" w:hAnsi="Times New Roman"/>
          <w:sz w:val="24"/>
          <w:szCs w:val="24"/>
        </w:rPr>
        <w:t xml:space="preserve">rate plan.  Additionally, </w:t>
      </w:r>
      <w:r w:rsidR="00330165">
        <w:rPr>
          <w:rFonts w:ascii="Times New Roman" w:hAnsi="Times New Roman"/>
          <w:sz w:val="24"/>
          <w:szCs w:val="24"/>
        </w:rPr>
        <w:t xml:space="preserve">however, </w:t>
      </w:r>
      <w:r w:rsidR="009841A5">
        <w:rPr>
          <w:rFonts w:ascii="Times New Roman" w:hAnsi="Times New Roman"/>
          <w:sz w:val="24"/>
          <w:szCs w:val="24"/>
        </w:rPr>
        <w:t>the Global</w:t>
      </w:r>
      <w:r w:rsidR="008F7B94">
        <w:rPr>
          <w:rFonts w:ascii="Times New Roman" w:hAnsi="Times New Roman"/>
          <w:sz w:val="24"/>
          <w:szCs w:val="24"/>
        </w:rPr>
        <w:t xml:space="preserve"> </w:t>
      </w:r>
      <w:r w:rsidR="009458AF">
        <w:rPr>
          <w:rFonts w:ascii="Times New Roman" w:hAnsi="Times New Roman"/>
          <w:sz w:val="24"/>
          <w:szCs w:val="24"/>
        </w:rPr>
        <w:lastRenderedPageBreak/>
        <w:t>Settlement</w:t>
      </w:r>
      <w:r w:rsidR="00C94265">
        <w:rPr>
          <w:rFonts w:ascii="Times New Roman" w:hAnsi="Times New Roman"/>
          <w:sz w:val="24"/>
          <w:szCs w:val="24"/>
        </w:rPr>
        <w:t xml:space="preserve"> mechanism </w:t>
      </w:r>
      <w:r w:rsidR="00C4714E">
        <w:rPr>
          <w:rFonts w:ascii="Times New Roman" w:hAnsi="Times New Roman"/>
          <w:sz w:val="24"/>
          <w:szCs w:val="24"/>
        </w:rPr>
        <w:t xml:space="preserve">and rate plan </w:t>
      </w:r>
      <w:r w:rsidR="00C94265">
        <w:rPr>
          <w:rFonts w:ascii="Times New Roman" w:hAnsi="Times New Roman"/>
          <w:sz w:val="24"/>
          <w:szCs w:val="24"/>
        </w:rPr>
        <w:t>suffer</w:t>
      </w:r>
      <w:r w:rsidR="00C4714E">
        <w:rPr>
          <w:rFonts w:ascii="Times New Roman" w:hAnsi="Times New Roman"/>
          <w:sz w:val="24"/>
          <w:szCs w:val="24"/>
        </w:rPr>
        <w:t xml:space="preserve"> from the same </w:t>
      </w:r>
      <w:r w:rsidR="009458AF">
        <w:rPr>
          <w:rFonts w:ascii="Times New Roman" w:hAnsi="Times New Roman"/>
          <w:sz w:val="24"/>
          <w:szCs w:val="24"/>
        </w:rPr>
        <w:t xml:space="preserve">flaws </w:t>
      </w:r>
      <w:r w:rsidR="008F7B94">
        <w:rPr>
          <w:rFonts w:ascii="Times New Roman" w:hAnsi="Times New Roman"/>
          <w:sz w:val="24"/>
          <w:szCs w:val="24"/>
        </w:rPr>
        <w:t>that compelled</w:t>
      </w:r>
      <w:r w:rsidR="00C94265">
        <w:rPr>
          <w:rFonts w:ascii="Times New Roman" w:hAnsi="Times New Roman"/>
          <w:sz w:val="24"/>
          <w:szCs w:val="24"/>
        </w:rPr>
        <w:t xml:space="preserve"> Staff</w:t>
      </w:r>
      <w:r w:rsidR="00EA2748">
        <w:rPr>
          <w:rFonts w:ascii="Times New Roman" w:hAnsi="Times New Roman"/>
          <w:sz w:val="24"/>
          <w:szCs w:val="24"/>
        </w:rPr>
        <w:t xml:space="preserve"> and ICNU</w:t>
      </w:r>
      <w:r w:rsidR="00C94265">
        <w:rPr>
          <w:rFonts w:ascii="Times New Roman" w:hAnsi="Times New Roman"/>
          <w:sz w:val="24"/>
          <w:szCs w:val="24"/>
        </w:rPr>
        <w:t xml:space="preserve"> to recommend reject</w:t>
      </w:r>
      <w:r w:rsidR="00C4714E">
        <w:rPr>
          <w:rFonts w:ascii="Times New Roman" w:hAnsi="Times New Roman"/>
          <w:sz w:val="24"/>
          <w:szCs w:val="24"/>
        </w:rPr>
        <w:t>ion of</w:t>
      </w:r>
      <w:r w:rsidR="00C94265">
        <w:rPr>
          <w:rFonts w:ascii="Times New Roman" w:hAnsi="Times New Roman"/>
          <w:sz w:val="24"/>
          <w:szCs w:val="24"/>
        </w:rPr>
        <w:t xml:space="preserve"> N</w:t>
      </w:r>
      <w:r w:rsidR="00C4714E">
        <w:rPr>
          <w:rFonts w:ascii="Times New Roman" w:hAnsi="Times New Roman"/>
          <w:sz w:val="24"/>
          <w:szCs w:val="24"/>
        </w:rPr>
        <w:t>WEC’s last decoupling proposal</w:t>
      </w:r>
      <w:r w:rsidR="003529E4">
        <w:rPr>
          <w:rFonts w:ascii="Times New Roman" w:hAnsi="Times New Roman"/>
          <w:sz w:val="24"/>
          <w:szCs w:val="24"/>
        </w:rPr>
        <w:t>.</w:t>
      </w:r>
    </w:p>
    <w:p w:rsidR="004F167B" w:rsidRDefault="008E12D7" w:rsidP="0023526D">
      <w:pPr>
        <w:keepNext/>
        <w:keepLines/>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COULD YOU</w:t>
      </w:r>
      <w:r w:rsidR="004F167B">
        <w:rPr>
          <w:rFonts w:ascii="Times New Roman" w:hAnsi="Times New Roman"/>
          <w:b/>
          <w:sz w:val="24"/>
        </w:rPr>
        <w:t xml:space="preserve"> SUMMARIZE THE BACKGROUND OF DECOUPLING </w:t>
      </w:r>
      <w:r>
        <w:rPr>
          <w:rFonts w:ascii="Times New Roman" w:hAnsi="Times New Roman"/>
          <w:b/>
          <w:sz w:val="24"/>
        </w:rPr>
        <w:t>BEFORE THIS</w:t>
      </w:r>
      <w:r w:rsidR="00325F89">
        <w:rPr>
          <w:rFonts w:ascii="Times New Roman" w:hAnsi="Times New Roman"/>
          <w:b/>
          <w:sz w:val="24"/>
        </w:rPr>
        <w:t xml:space="preserve"> COMMISSION</w:t>
      </w:r>
      <w:r>
        <w:rPr>
          <w:rFonts w:ascii="Times New Roman" w:hAnsi="Times New Roman"/>
          <w:b/>
          <w:sz w:val="24"/>
        </w:rPr>
        <w:t>?</w:t>
      </w:r>
    </w:p>
    <w:p w:rsidR="00601779" w:rsidRDefault="004F167B" w:rsidP="004F167B">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sidR="005325A7" w:rsidRPr="008524E3">
        <w:rPr>
          <w:rFonts w:ascii="Times New Roman" w:hAnsi="Times New Roman"/>
          <w:sz w:val="24"/>
        </w:rPr>
        <w:t xml:space="preserve">Yes. </w:t>
      </w:r>
      <w:r w:rsidR="00244036">
        <w:rPr>
          <w:rFonts w:ascii="Times New Roman" w:hAnsi="Times New Roman"/>
          <w:sz w:val="24"/>
        </w:rPr>
        <w:t xml:space="preserve">Although </w:t>
      </w:r>
      <w:r w:rsidR="00244036">
        <w:rPr>
          <w:rFonts w:ascii="Times New Roman" w:hAnsi="Times New Roman"/>
          <w:sz w:val="24"/>
          <w:szCs w:val="24"/>
        </w:rPr>
        <w:t xml:space="preserve">decoupling is not a new issue before the WUTC, the </w:t>
      </w:r>
      <w:r w:rsidR="003529E4">
        <w:rPr>
          <w:rFonts w:ascii="Times New Roman" w:hAnsi="Times New Roman"/>
          <w:sz w:val="24"/>
          <w:szCs w:val="24"/>
        </w:rPr>
        <w:t xml:space="preserve">decoupling mechanism contained in the Global Settlement </w:t>
      </w:r>
      <w:r w:rsidR="00244036">
        <w:rPr>
          <w:rFonts w:ascii="Times New Roman" w:hAnsi="Times New Roman"/>
          <w:sz w:val="24"/>
          <w:szCs w:val="24"/>
        </w:rPr>
        <w:t xml:space="preserve">is both new and unprecedented.  </w:t>
      </w:r>
      <w:r w:rsidR="00325F89">
        <w:rPr>
          <w:rFonts w:ascii="Times New Roman" w:hAnsi="Times New Roman"/>
          <w:sz w:val="24"/>
          <w:szCs w:val="24"/>
        </w:rPr>
        <w:t>In 2010</w:t>
      </w:r>
      <w:r w:rsidR="00244036">
        <w:rPr>
          <w:rFonts w:ascii="Times New Roman" w:hAnsi="Times New Roman"/>
          <w:sz w:val="24"/>
          <w:szCs w:val="24"/>
        </w:rPr>
        <w:t xml:space="preserve">, </w:t>
      </w:r>
      <w:r w:rsidR="00B40CF7">
        <w:rPr>
          <w:rFonts w:ascii="Times New Roman" w:hAnsi="Times New Roman"/>
          <w:sz w:val="24"/>
          <w:szCs w:val="24"/>
        </w:rPr>
        <w:t xml:space="preserve">the Commission </w:t>
      </w:r>
      <w:r w:rsidR="008E12D7">
        <w:rPr>
          <w:rFonts w:ascii="Times New Roman" w:hAnsi="Times New Roman"/>
          <w:sz w:val="24"/>
          <w:szCs w:val="24"/>
        </w:rPr>
        <w:t xml:space="preserve">opened an inquiry into improving the performance of </w:t>
      </w:r>
      <w:r w:rsidR="00601779">
        <w:rPr>
          <w:rFonts w:ascii="Times New Roman" w:hAnsi="Times New Roman"/>
          <w:sz w:val="24"/>
          <w:szCs w:val="24"/>
        </w:rPr>
        <w:t>investor-owned utilities</w:t>
      </w:r>
      <w:r w:rsidR="008E12D7">
        <w:rPr>
          <w:rFonts w:ascii="Times New Roman" w:hAnsi="Times New Roman"/>
          <w:sz w:val="24"/>
          <w:szCs w:val="24"/>
        </w:rPr>
        <w:t xml:space="preserve"> </w:t>
      </w:r>
      <w:r w:rsidR="00601779">
        <w:rPr>
          <w:rFonts w:ascii="Times New Roman" w:hAnsi="Times New Roman"/>
          <w:sz w:val="24"/>
          <w:szCs w:val="24"/>
        </w:rPr>
        <w:t xml:space="preserve">(“IOUs”) in the </w:t>
      </w:r>
      <w:r w:rsidR="008E12D7">
        <w:rPr>
          <w:rFonts w:ascii="Times New Roman" w:hAnsi="Times New Roman"/>
          <w:sz w:val="24"/>
          <w:szCs w:val="24"/>
        </w:rPr>
        <w:t xml:space="preserve">delivery of conservation resources to consumers.  The WUTC </w:t>
      </w:r>
      <w:r w:rsidR="00330165">
        <w:rPr>
          <w:rFonts w:ascii="Times New Roman" w:hAnsi="Times New Roman"/>
          <w:sz w:val="24"/>
          <w:szCs w:val="24"/>
        </w:rPr>
        <w:t>crafted</w:t>
      </w:r>
      <w:r w:rsidR="00325F89">
        <w:rPr>
          <w:rFonts w:ascii="Times New Roman" w:hAnsi="Times New Roman"/>
          <w:sz w:val="24"/>
          <w:szCs w:val="24"/>
        </w:rPr>
        <w:t xml:space="preserve"> </w:t>
      </w:r>
      <w:r w:rsidR="00244036">
        <w:rPr>
          <w:rFonts w:ascii="Times New Roman" w:hAnsi="Times New Roman"/>
          <w:sz w:val="24"/>
          <w:szCs w:val="24"/>
        </w:rPr>
        <w:t>its</w:t>
      </w:r>
      <w:r w:rsidR="00330165">
        <w:rPr>
          <w:rFonts w:ascii="Times New Roman" w:hAnsi="Times New Roman"/>
          <w:sz w:val="24"/>
          <w:szCs w:val="24"/>
        </w:rPr>
        <w:t xml:space="preserve"> Policy Statement</w:t>
      </w:r>
      <w:r w:rsidR="00244036">
        <w:rPr>
          <w:rFonts w:ascii="Times New Roman" w:hAnsi="Times New Roman"/>
          <w:sz w:val="24"/>
          <w:szCs w:val="24"/>
        </w:rPr>
        <w:t xml:space="preserve"> </w:t>
      </w:r>
      <w:r w:rsidR="008E12D7">
        <w:rPr>
          <w:rFonts w:ascii="Times New Roman" w:hAnsi="Times New Roman"/>
          <w:sz w:val="24"/>
          <w:szCs w:val="24"/>
        </w:rPr>
        <w:t>as the result of this inquiry, which included</w:t>
      </w:r>
      <w:r w:rsidR="00244036">
        <w:rPr>
          <w:rFonts w:ascii="Times New Roman" w:hAnsi="Times New Roman"/>
          <w:sz w:val="24"/>
          <w:szCs w:val="24"/>
        </w:rPr>
        <w:t xml:space="preserve"> extensive meetings and workshops with</w:t>
      </w:r>
      <w:r w:rsidR="0065785B">
        <w:rPr>
          <w:rFonts w:ascii="Times New Roman" w:hAnsi="Times New Roman"/>
          <w:sz w:val="24"/>
          <w:szCs w:val="24"/>
        </w:rPr>
        <w:t xml:space="preserve"> all</w:t>
      </w:r>
      <w:r w:rsidR="00244036">
        <w:rPr>
          <w:rFonts w:ascii="Times New Roman" w:hAnsi="Times New Roman"/>
          <w:sz w:val="24"/>
          <w:szCs w:val="24"/>
        </w:rPr>
        <w:t xml:space="preserve"> stakeholders.  The Policy Statement continues as</w:t>
      </w:r>
      <w:r w:rsidR="00325F89">
        <w:rPr>
          <w:rFonts w:ascii="Times New Roman" w:hAnsi="Times New Roman"/>
          <w:sz w:val="24"/>
          <w:szCs w:val="24"/>
        </w:rPr>
        <w:t xml:space="preserve"> the Commission’s most complete and thorough analysis of decoupling and other conservation measures</w:t>
      </w:r>
      <w:r w:rsidR="008E12D7">
        <w:rPr>
          <w:rFonts w:ascii="Times New Roman" w:hAnsi="Times New Roman"/>
          <w:sz w:val="24"/>
          <w:szCs w:val="24"/>
        </w:rPr>
        <w:t>, and it chronicles the WUTC’s efforts in the conservation incentive field for the twenty years preceding the Policy Statement</w:t>
      </w:r>
      <w:r w:rsidR="00325F89">
        <w:rPr>
          <w:rFonts w:ascii="Times New Roman" w:hAnsi="Times New Roman"/>
          <w:sz w:val="24"/>
          <w:szCs w:val="24"/>
        </w:rPr>
        <w:t xml:space="preserve">.  </w:t>
      </w:r>
    </w:p>
    <w:p w:rsidR="004F167B" w:rsidRDefault="00601779" w:rsidP="004F167B">
      <w:pPr>
        <w:spacing w:line="480" w:lineRule="auto"/>
        <w:ind w:left="720" w:hanging="720"/>
        <w:rPr>
          <w:rFonts w:ascii="Times New Roman" w:hAnsi="Times New Roman"/>
          <w:sz w:val="24"/>
        </w:rPr>
      </w:pPr>
      <w:r>
        <w:rPr>
          <w:rFonts w:ascii="Times New Roman" w:hAnsi="Times New Roman"/>
          <w:b/>
          <w:sz w:val="24"/>
        </w:rPr>
        <w:tab/>
      </w:r>
      <w:r>
        <w:rPr>
          <w:rFonts w:ascii="Times New Roman" w:hAnsi="Times New Roman"/>
          <w:b/>
          <w:sz w:val="24"/>
        </w:rPr>
        <w:tab/>
      </w:r>
      <w:r>
        <w:rPr>
          <w:rFonts w:ascii="Times New Roman" w:hAnsi="Times New Roman"/>
          <w:sz w:val="24"/>
          <w:szCs w:val="24"/>
        </w:rPr>
        <w:t>Following</w:t>
      </w:r>
      <w:r w:rsidR="00325F89" w:rsidRPr="00601779">
        <w:rPr>
          <w:rFonts w:ascii="Times New Roman" w:hAnsi="Times New Roman"/>
          <w:sz w:val="24"/>
          <w:szCs w:val="24"/>
        </w:rPr>
        <w:t xml:space="preserve"> the </w:t>
      </w:r>
      <w:r>
        <w:rPr>
          <w:rFonts w:ascii="Times New Roman" w:hAnsi="Times New Roman"/>
          <w:sz w:val="24"/>
          <w:szCs w:val="24"/>
        </w:rPr>
        <w:t xml:space="preserve">issuance of the </w:t>
      </w:r>
      <w:r w:rsidR="00325F89" w:rsidRPr="00601779">
        <w:rPr>
          <w:rFonts w:ascii="Times New Roman" w:hAnsi="Times New Roman"/>
          <w:sz w:val="24"/>
          <w:szCs w:val="24"/>
        </w:rPr>
        <w:t>Policy Statement</w:t>
      </w:r>
      <w:r w:rsidR="00C72198">
        <w:rPr>
          <w:rFonts w:ascii="Times New Roman" w:hAnsi="Times New Roman"/>
          <w:sz w:val="24"/>
          <w:szCs w:val="24"/>
        </w:rPr>
        <w:t xml:space="preserve">, </w:t>
      </w:r>
      <w:r w:rsidR="00813A0F">
        <w:rPr>
          <w:rFonts w:ascii="Times New Roman" w:hAnsi="Times New Roman"/>
          <w:sz w:val="24"/>
          <w:szCs w:val="24"/>
        </w:rPr>
        <w:t>NWEC</w:t>
      </w:r>
      <w:r w:rsidR="00325F89" w:rsidRPr="00601779">
        <w:rPr>
          <w:rFonts w:ascii="Times New Roman" w:hAnsi="Times New Roman"/>
          <w:sz w:val="24"/>
          <w:szCs w:val="24"/>
        </w:rPr>
        <w:t xml:space="preserve"> proposed </w:t>
      </w:r>
      <w:r w:rsidR="00C72198">
        <w:rPr>
          <w:rFonts w:ascii="Times New Roman" w:hAnsi="Times New Roman"/>
          <w:sz w:val="24"/>
          <w:szCs w:val="24"/>
        </w:rPr>
        <w:t>a “full decoupling” mechanism as part of its 2011 general rate case</w:t>
      </w:r>
      <w:r w:rsidR="0023526D">
        <w:rPr>
          <w:rFonts w:ascii="Times New Roman" w:hAnsi="Times New Roman"/>
          <w:sz w:val="24"/>
          <w:szCs w:val="24"/>
        </w:rPr>
        <w:t>, Docket Nos. UE-111048/UG-111049</w:t>
      </w:r>
      <w:r w:rsidR="00C72198">
        <w:rPr>
          <w:rFonts w:ascii="Times New Roman" w:hAnsi="Times New Roman"/>
          <w:sz w:val="24"/>
          <w:szCs w:val="24"/>
        </w:rPr>
        <w:t xml:space="preserve"> (“</w:t>
      </w:r>
      <w:r w:rsidR="0065785B">
        <w:rPr>
          <w:rFonts w:ascii="Times New Roman" w:hAnsi="Times New Roman"/>
          <w:sz w:val="24"/>
          <w:szCs w:val="24"/>
        </w:rPr>
        <w:t xml:space="preserve">2011 </w:t>
      </w:r>
      <w:r w:rsidR="00C72198">
        <w:rPr>
          <w:rFonts w:ascii="Times New Roman" w:hAnsi="Times New Roman"/>
          <w:sz w:val="24"/>
          <w:szCs w:val="24"/>
        </w:rPr>
        <w:t>GRC”)</w:t>
      </w:r>
      <w:r w:rsidR="00325F89" w:rsidRPr="00601779">
        <w:rPr>
          <w:rFonts w:ascii="Times New Roman" w:hAnsi="Times New Roman"/>
          <w:sz w:val="24"/>
          <w:szCs w:val="24"/>
        </w:rPr>
        <w:t>.</w:t>
      </w:r>
      <w:r w:rsidR="00C72198">
        <w:rPr>
          <w:rStyle w:val="FootnoteReference"/>
          <w:sz w:val="24"/>
          <w:szCs w:val="24"/>
        </w:rPr>
        <w:footnoteReference w:id="15"/>
      </w:r>
      <w:r w:rsidR="00C72198" w:rsidRPr="001C6A74">
        <w:rPr>
          <w:rFonts w:ascii="Times New Roman" w:hAnsi="Times New Roman"/>
          <w:sz w:val="24"/>
          <w:szCs w:val="24"/>
          <w:vertAlign w:val="superscript"/>
        </w:rPr>
        <w:t>/</w:t>
      </w:r>
      <w:r w:rsidR="00C72198">
        <w:rPr>
          <w:rFonts w:ascii="Times New Roman" w:hAnsi="Times New Roman"/>
          <w:sz w:val="24"/>
          <w:szCs w:val="24"/>
        </w:rPr>
        <w:t xml:space="preserve"> </w:t>
      </w:r>
      <w:r w:rsidR="00325F89" w:rsidRPr="00601779">
        <w:rPr>
          <w:rFonts w:ascii="Times New Roman" w:hAnsi="Times New Roman"/>
          <w:sz w:val="24"/>
          <w:szCs w:val="24"/>
        </w:rPr>
        <w:t xml:space="preserve">  </w:t>
      </w:r>
      <w:r w:rsidR="00C72198">
        <w:rPr>
          <w:rFonts w:ascii="Times New Roman" w:hAnsi="Times New Roman"/>
          <w:sz w:val="24"/>
          <w:szCs w:val="24"/>
        </w:rPr>
        <w:t>T</w:t>
      </w:r>
      <w:r w:rsidR="00C72198" w:rsidRPr="00C72198">
        <w:rPr>
          <w:rFonts w:ascii="Times New Roman" w:hAnsi="Times New Roman"/>
          <w:sz w:val="24"/>
          <w:szCs w:val="24"/>
        </w:rPr>
        <w:t>he Commission</w:t>
      </w:r>
      <w:r w:rsidR="00C72198">
        <w:rPr>
          <w:rFonts w:ascii="Times New Roman" w:hAnsi="Times New Roman"/>
          <w:sz w:val="24"/>
          <w:szCs w:val="24"/>
        </w:rPr>
        <w:t>, however, concluded that PSE was actua</w:t>
      </w:r>
      <w:r w:rsidR="00176DCA">
        <w:rPr>
          <w:rFonts w:ascii="Times New Roman" w:hAnsi="Times New Roman"/>
          <w:sz w:val="24"/>
          <w:szCs w:val="24"/>
        </w:rPr>
        <w:t>lly opposed to full decoupling in the 2011 GRC, and determined to not “require PSE to implement full decoupling on this record.”</w:t>
      </w:r>
      <w:r w:rsidR="00176DCA" w:rsidRPr="003234E0">
        <w:rPr>
          <w:rStyle w:val="FootnoteReference"/>
          <w:sz w:val="24"/>
          <w:szCs w:val="24"/>
        </w:rPr>
        <w:footnoteReference w:id="16"/>
      </w:r>
      <w:r w:rsidR="00176DCA" w:rsidRPr="001C6A74">
        <w:rPr>
          <w:rFonts w:ascii="Times New Roman" w:hAnsi="Times New Roman"/>
          <w:sz w:val="24"/>
          <w:szCs w:val="24"/>
          <w:vertAlign w:val="superscript"/>
        </w:rPr>
        <w:t>/</w:t>
      </w:r>
      <w:r w:rsidR="00176DCA">
        <w:rPr>
          <w:rFonts w:ascii="Times New Roman" w:hAnsi="Times New Roman"/>
          <w:sz w:val="24"/>
          <w:szCs w:val="24"/>
        </w:rPr>
        <w:t xml:space="preserve">  </w:t>
      </w:r>
      <w:r w:rsidR="0065785B">
        <w:rPr>
          <w:rFonts w:ascii="Times New Roman" w:hAnsi="Times New Roman"/>
          <w:sz w:val="24"/>
          <w:szCs w:val="24"/>
        </w:rPr>
        <w:t>T</w:t>
      </w:r>
      <w:r w:rsidR="00176DCA">
        <w:rPr>
          <w:rFonts w:ascii="Times New Roman" w:hAnsi="Times New Roman"/>
          <w:sz w:val="24"/>
          <w:szCs w:val="24"/>
        </w:rPr>
        <w:t xml:space="preserve">he WUTC expressed surprise that PSE “rejected another opportunity to </w:t>
      </w:r>
      <w:r w:rsidR="008F7B94">
        <w:rPr>
          <w:rFonts w:ascii="Times New Roman" w:hAnsi="Times New Roman"/>
          <w:sz w:val="24"/>
          <w:szCs w:val="24"/>
        </w:rPr>
        <w:t xml:space="preserve">effectively </w:t>
      </w:r>
      <w:r w:rsidR="00176DCA">
        <w:rPr>
          <w:rFonts w:ascii="Times New Roman" w:hAnsi="Times New Roman"/>
          <w:sz w:val="24"/>
          <w:szCs w:val="24"/>
        </w:rPr>
        <w:t>address the arguable adverse impa</w:t>
      </w:r>
      <w:r w:rsidR="00E473A2">
        <w:rPr>
          <w:rFonts w:ascii="Times New Roman" w:hAnsi="Times New Roman"/>
          <w:sz w:val="24"/>
          <w:szCs w:val="24"/>
        </w:rPr>
        <w:t>cts of conservation on earnings.</w:t>
      </w:r>
      <w:r w:rsidR="00176DCA">
        <w:rPr>
          <w:rFonts w:ascii="Times New Roman" w:hAnsi="Times New Roman"/>
          <w:sz w:val="24"/>
          <w:szCs w:val="24"/>
        </w:rPr>
        <w:t>”</w:t>
      </w:r>
      <w:r w:rsidR="00E473A2" w:rsidRPr="003234E0">
        <w:rPr>
          <w:rStyle w:val="FootnoteReference"/>
          <w:sz w:val="24"/>
          <w:szCs w:val="24"/>
        </w:rPr>
        <w:footnoteReference w:id="17"/>
      </w:r>
      <w:r w:rsidR="00E473A2" w:rsidRPr="001C6A74">
        <w:rPr>
          <w:rFonts w:ascii="Times New Roman" w:hAnsi="Times New Roman"/>
          <w:sz w:val="24"/>
          <w:szCs w:val="24"/>
          <w:vertAlign w:val="superscript"/>
        </w:rPr>
        <w:t>/</w:t>
      </w:r>
      <w:r w:rsidR="00E473A2">
        <w:rPr>
          <w:rFonts w:ascii="Times New Roman" w:hAnsi="Times New Roman"/>
          <w:sz w:val="24"/>
          <w:szCs w:val="24"/>
        </w:rPr>
        <w:t xml:space="preserve">  Ultimately, the Commission apparently considered PSE’s </w:t>
      </w:r>
      <w:r w:rsidR="00E473A2">
        <w:rPr>
          <w:rFonts w:ascii="Times New Roman" w:hAnsi="Times New Roman"/>
          <w:sz w:val="24"/>
          <w:szCs w:val="24"/>
        </w:rPr>
        <w:lastRenderedPageBreak/>
        <w:t>2011 “decoupling” proposal as an attrition mechanism, remarking that decoupling “was never intended to supplant other tools that deal with demonstrated earnings attrition.”</w:t>
      </w:r>
      <w:r w:rsidR="00302679" w:rsidRPr="003234E0">
        <w:rPr>
          <w:rStyle w:val="FootnoteReference"/>
          <w:sz w:val="24"/>
          <w:szCs w:val="24"/>
        </w:rPr>
        <w:footnoteReference w:id="18"/>
      </w:r>
      <w:r w:rsidR="00302679" w:rsidRPr="001C6A74">
        <w:rPr>
          <w:rFonts w:ascii="Times New Roman" w:hAnsi="Times New Roman"/>
          <w:sz w:val="24"/>
          <w:szCs w:val="24"/>
          <w:vertAlign w:val="superscript"/>
        </w:rPr>
        <w:t>/</w:t>
      </w:r>
    </w:p>
    <w:p w:rsidR="00B40CF7" w:rsidRDefault="00B40CF7" w:rsidP="00B40CF7">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 xml:space="preserve">PLEASE SUMMARIZE THE BACKGROUND OF DECOUPLING PROPOSALS IN THIS </w:t>
      </w:r>
      <w:r w:rsidR="002240C7">
        <w:rPr>
          <w:rFonts w:ascii="Times New Roman" w:hAnsi="Times New Roman"/>
          <w:b/>
          <w:sz w:val="24"/>
        </w:rPr>
        <w:t>PROCEEDING.</w:t>
      </w:r>
    </w:p>
    <w:p w:rsidR="004F167B" w:rsidRPr="003529E4" w:rsidRDefault="00B40CF7" w:rsidP="003529E4">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2240C7">
        <w:rPr>
          <w:rFonts w:ascii="Times New Roman" w:hAnsi="Times New Roman"/>
          <w:sz w:val="24"/>
          <w:szCs w:val="24"/>
        </w:rPr>
        <w:t>On October 25, 2012, PSE</w:t>
      </w:r>
      <w:r w:rsidR="002240C7" w:rsidRPr="001725EB">
        <w:rPr>
          <w:rFonts w:ascii="Times New Roman" w:hAnsi="Times New Roman"/>
          <w:sz w:val="24"/>
          <w:szCs w:val="24"/>
        </w:rPr>
        <w:t xml:space="preserve"> and </w:t>
      </w:r>
      <w:r w:rsidR="002240C7">
        <w:rPr>
          <w:rFonts w:ascii="Times New Roman" w:hAnsi="Times New Roman"/>
          <w:sz w:val="24"/>
          <w:szCs w:val="24"/>
        </w:rPr>
        <w:t xml:space="preserve">NWEC filed </w:t>
      </w:r>
      <w:r w:rsidR="002240C7" w:rsidRPr="001725EB">
        <w:rPr>
          <w:rFonts w:ascii="Times New Roman" w:hAnsi="Times New Roman"/>
          <w:sz w:val="24"/>
          <w:szCs w:val="24"/>
        </w:rPr>
        <w:t>a</w:t>
      </w:r>
      <w:r w:rsidR="002240C7">
        <w:rPr>
          <w:rFonts w:ascii="Times New Roman" w:hAnsi="Times New Roman"/>
          <w:sz w:val="24"/>
          <w:szCs w:val="24"/>
        </w:rPr>
        <w:t xml:space="preserve"> petition seeking approval of an electric and natural gas </w:t>
      </w:r>
      <w:r w:rsidR="002240C7" w:rsidRPr="001725EB">
        <w:rPr>
          <w:rFonts w:ascii="Times New Roman" w:hAnsi="Times New Roman"/>
          <w:sz w:val="24"/>
          <w:szCs w:val="24"/>
        </w:rPr>
        <w:t>decoupling mechanism and deferred accounting associated with the mechanisms in Dock</w:t>
      </w:r>
      <w:r w:rsidR="002240C7">
        <w:rPr>
          <w:rFonts w:ascii="Times New Roman" w:hAnsi="Times New Roman"/>
          <w:sz w:val="24"/>
          <w:szCs w:val="24"/>
        </w:rPr>
        <w:t>ets UE-1216</w:t>
      </w:r>
      <w:r w:rsidR="00223EE2">
        <w:rPr>
          <w:rFonts w:ascii="Times New Roman" w:hAnsi="Times New Roman"/>
          <w:sz w:val="24"/>
          <w:szCs w:val="24"/>
        </w:rPr>
        <w:t>9</w:t>
      </w:r>
      <w:r w:rsidR="002240C7">
        <w:rPr>
          <w:rFonts w:ascii="Times New Roman" w:hAnsi="Times New Roman"/>
          <w:sz w:val="24"/>
          <w:szCs w:val="24"/>
        </w:rPr>
        <w:t>7 and UG-121705.  On</w:t>
      </w:r>
      <w:r w:rsidR="002240C7" w:rsidRPr="001725EB">
        <w:rPr>
          <w:rFonts w:ascii="Times New Roman" w:hAnsi="Times New Roman"/>
          <w:sz w:val="24"/>
          <w:szCs w:val="24"/>
        </w:rPr>
        <w:t xml:space="preserve"> March 1, 2013, PSE and </w:t>
      </w:r>
      <w:r w:rsidR="002240C7">
        <w:rPr>
          <w:rFonts w:ascii="Times New Roman" w:hAnsi="Times New Roman"/>
          <w:sz w:val="24"/>
          <w:szCs w:val="24"/>
        </w:rPr>
        <w:t>NWEC</w:t>
      </w:r>
      <w:r w:rsidR="002240C7" w:rsidRPr="001725EB">
        <w:rPr>
          <w:rFonts w:ascii="Times New Roman" w:hAnsi="Times New Roman"/>
          <w:sz w:val="24"/>
          <w:szCs w:val="24"/>
        </w:rPr>
        <w:t xml:space="preserve"> submitted an amended decoupling pet</w:t>
      </w:r>
      <w:r w:rsidR="002240C7">
        <w:rPr>
          <w:rFonts w:ascii="Times New Roman" w:hAnsi="Times New Roman"/>
          <w:sz w:val="24"/>
          <w:szCs w:val="24"/>
        </w:rPr>
        <w:t>ition, with Staff filing testimony in support of this revised proposal on March 4, 2013.</w:t>
      </w:r>
      <w:r w:rsidR="002240C7" w:rsidRPr="001725EB">
        <w:rPr>
          <w:rFonts w:ascii="Times New Roman" w:hAnsi="Times New Roman"/>
          <w:sz w:val="24"/>
          <w:szCs w:val="24"/>
        </w:rPr>
        <w:t xml:space="preserve">   </w:t>
      </w:r>
    </w:p>
    <w:p w:rsidR="008524E3" w:rsidRPr="004F167B" w:rsidRDefault="008524E3" w:rsidP="008524E3">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IS THE MODIFIED DECOUPLING PROPOSAL THE SAME AS THE DECOUPLING PROPOSAL OFFERED BY NWEC IN DOCKET NO. UE-111048</w:t>
      </w:r>
      <w:r w:rsidRPr="004F167B">
        <w:rPr>
          <w:rFonts w:ascii="Times New Roman" w:hAnsi="Times New Roman"/>
          <w:b/>
          <w:sz w:val="24"/>
        </w:rPr>
        <w:t>?</w:t>
      </w:r>
    </w:p>
    <w:p w:rsidR="008524E3" w:rsidRDefault="008524E3" w:rsidP="008524E3">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No.  </w:t>
      </w:r>
      <w:r w:rsidRPr="008524E3">
        <w:rPr>
          <w:rFonts w:ascii="Times New Roman" w:hAnsi="Times New Roman"/>
          <w:sz w:val="24"/>
        </w:rPr>
        <w:t>As the parties supporting the settlement suggest, parts of the current modified decoupling proposal appear to be based on NWEC’s</w:t>
      </w:r>
      <w:r>
        <w:rPr>
          <w:rFonts w:ascii="Times New Roman" w:hAnsi="Times New Roman"/>
          <w:sz w:val="24"/>
        </w:rPr>
        <w:t xml:space="preserve"> decoupling</w:t>
      </w:r>
      <w:r w:rsidRPr="008524E3">
        <w:rPr>
          <w:rFonts w:ascii="Times New Roman" w:hAnsi="Times New Roman"/>
          <w:sz w:val="24"/>
        </w:rPr>
        <w:t xml:space="preserve"> proposal in UE-111048.  </w:t>
      </w:r>
      <w:r>
        <w:rPr>
          <w:rFonts w:ascii="Times New Roman" w:hAnsi="Times New Roman"/>
          <w:sz w:val="24"/>
        </w:rPr>
        <w:t xml:space="preserve">New elements, particularly the K-Factor and Rate Plan, </w:t>
      </w:r>
      <w:r w:rsidRPr="008524E3">
        <w:rPr>
          <w:rFonts w:ascii="Times New Roman" w:hAnsi="Times New Roman"/>
          <w:sz w:val="24"/>
        </w:rPr>
        <w:t xml:space="preserve">drastically alter </w:t>
      </w:r>
      <w:r w:rsidR="00813A0F">
        <w:rPr>
          <w:rFonts w:ascii="Times New Roman" w:hAnsi="Times New Roman"/>
          <w:sz w:val="24"/>
        </w:rPr>
        <w:t xml:space="preserve">the </w:t>
      </w:r>
      <w:r>
        <w:rPr>
          <w:rFonts w:ascii="Times New Roman" w:hAnsi="Times New Roman"/>
          <w:sz w:val="24"/>
        </w:rPr>
        <w:t>function</w:t>
      </w:r>
      <w:r w:rsidRPr="008524E3">
        <w:rPr>
          <w:rFonts w:ascii="Times New Roman" w:hAnsi="Times New Roman"/>
          <w:sz w:val="24"/>
        </w:rPr>
        <w:t xml:space="preserve"> of the NWEC proposal.</w:t>
      </w:r>
      <w:r>
        <w:rPr>
          <w:rFonts w:ascii="Times New Roman" w:hAnsi="Times New Roman"/>
          <w:sz w:val="24"/>
        </w:rPr>
        <w:t xml:space="preserve">  Additionally, this decoupling proposal applies to customer classes that NWEC previously testified should not be included in a decoupling mechanism.  The result of these new elements is that the decoupling proposal</w:t>
      </w:r>
      <w:r w:rsidRPr="008524E3">
        <w:rPr>
          <w:rFonts w:ascii="Times New Roman" w:hAnsi="Times New Roman"/>
          <w:sz w:val="24"/>
        </w:rPr>
        <w:t xml:space="preserve"> is now more appropriately described as an attrition mechanism, not a mechanism to promote conservation.</w:t>
      </w:r>
      <w:r>
        <w:rPr>
          <w:rFonts w:ascii="Times New Roman" w:hAnsi="Times New Roman"/>
          <w:sz w:val="24"/>
        </w:rPr>
        <w:t xml:space="preserve">  This is highlighted by the fact that </w:t>
      </w:r>
      <w:r w:rsidRPr="008524E3">
        <w:rPr>
          <w:rFonts w:ascii="Times New Roman" w:hAnsi="Times New Roman"/>
          <w:sz w:val="24"/>
        </w:rPr>
        <w:t>Staff has noted that PSE is not</w:t>
      </w:r>
      <w:r>
        <w:rPr>
          <w:rFonts w:ascii="Times New Roman" w:hAnsi="Times New Roman"/>
          <w:sz w:val="24"/>
        </w:rPr>
        <w:t xml:space="preserve"> currently</w:t>
      </w:r>
      <w:r w:rsidRPr="008524E3">
        <w:rPr>
          <w:rFonts w:ascii="Times New Roman" w:hAnsi="Times New Roman"/>
          <w:sz w:val="24"/>
        </w:rPr>
        <w:t xml:space="preserve"> foregoing any available opportunities to acquire conservation,</w:t>
      </w:r>
      <w:r w:rsidR="002B66C8" w:rsidRPr="009D169A">
        <w:rPr>
          <w:rStyle w:val="FootnoteReference"/>
          <w:sz w:val="24"/>
        </w:rPr>
        <w:footnoteReference w:id="19"/>
      </w:r>
      <w:r w:rsidR="005C6340" w:rsidRPr="009D169A">
        <w:rPr>
          <w:rFonts w:ascii="Times New Roman" w:hAnsi="Times New Roman"/>
          <w:sz w:val="24"/>
          <w:szCs w:val="24"/>
          <w:vertAlign w:val="superscript"/>
        </w:rPr>
        <w:t>/</w:t>
      </w:r>
      <w:r w:rsidRPr="008524E3">
        <w:rPr>
          <w:rFonts w:ascii="Times New Roman" w:hAnsi="Times New Roman"/>
          <w:sz w:val="24"/>
        </w:rPr>
        <w:t xml:space="preserve"> and</w:t>
      </w:r>
      <w:r>
        <w:rPr>
          <w:rFonts w:ascii="Times New Roman" w:hAnsi="Times New Roman"/>
          <w:sz w:val="24"/>
        </w:rPr>
        <w:t xml:space="preserve"> the fact that</w:t>
      </w:r>
      <w:r w:rsidRPr="008524E3">
        <w:rPr>
          <w:rFonts w:ascii="Times New Roman" w:hAnsi="Times New Roman"/>
          <w:sz w:val="24"/>
        </w:rPr>
        <w:t xml:space="preserve"> PSE rejected NWEC’s previous mechanism because </w:t>
      </w:r>
      <w:r>
        <w:rPr>
          <w:rFonts w:ascii="Times New Roman" w:hAnsi="Times New Roman"/>
          <w:sz w:val="24"/>
        </w:rPr>
        <w:t>it was</w:t>
      </w:r>
      <w:r w:rsidRPr="008524E3">
        <w:rPr>
          <w:rFonts w:ascii="Times New Roman" w:hAnsi="Times New Roman"/>
          <w:sz w:val="24"/>
        </w:rPr>
        <w:t xml:space="preserve"> not intended to “recover incremental revenue to offset new investments between rate cases.”</w:t>
      </w:r>
      <w:r w:rsidR="0012142D">
        <w:rPr>
          <w:rStyle w:val="FootnoteReference"/>
          <w:sz w:val="24"/>
        </w:rPr>
        <w:footnoteReference w:id="20"/>
      </w:r>
      <w:r w:rsidR="005C6340" w:rsidRPr="00821463">
        <w:rPr>
          <w:rFonts w:ascii="Times New Roman" w:hAnsi="Times New Roman"/>
          <w:sz w:val="24"/>
          <w:szCs w:val="24"/>
          <w:vertAlign w:val="superscript"/>
        </w:rPr>
        <w:t>/</w:t>
      </w:r>
      <w:r w:rsidRPr="008524E3">
        <w:rPr>
          <w:rFonts w:ascii="Times New Roman" w:hAnsi="Times New Roman"/>
          <w:sz w:val="24"/>
        </w:rPr>
        <w:t xml:space="preserve">   </w:t>
      </w:r>
    </w:p>
    <w:p w:rsidR="0012142D" w:rsidRPr="004F167B" w:rsidRDefault="0012142D" w:rsidP="0012142D">
      <w:pPr>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DID THE COMMISSION APPROVE THE MECHANISM OFFERED BY NWEC IN DOCKET NO. UE-111048</w:t>
      </w:r>
      <w:r w:rsidRPr="004F167B">
        <w:rPr>
          <w:rFonts w:ascii="Times New Roman" w:hAnsi="Times New Roman"/>
          <w:b/>
          <w:sz w:val="24"/>
        </w:rPr>
        <w:t>?</w:t>
      </w:r>
    </w:p>
    <w:p w:rsidR="009C04D9" w:rsidRDefault="0012142D" w:rsidP="001715D2">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No.  </w:t>
      </w:r>
      <w:r w:rsidR="008524E3" w:rsidRPr="008524E3">
        <w:rPr>
          <w:rFonts w:ascii="Times New Roman" w:hAnsi="Times New Roman"/>
          <w:sz w:val="24"/>
        </w:rPr>
        <w:t xml:space="preserve">Staff appears to claim that the Commission conducted a full analysis of the </w:t>
      </w:r>
      <w:r>
        <w:rPr>
          <w:rFonts w:ascii="Times New Roman" w:hAnsi="Times New Roman"/>
          <w:sz w:val="24"/>
        </w:rPr>
        <w:t xml:space="preserve">former </w:t>
      </w:r>
      <w:r w:rsidR="008524E3" w:rsidRPr="008524E3">
        <w:rPr>
          <w:rFonts w:ascii="Times New Roman" w:hAnsi="Times New Roman"/>
          <w:sz w:val="24"/>
        </w:rPr>
        <w:t>NWEC proposal and the objections that were raised to</w:t>
      </w:r>
      <w:r w:rsidR="00231DF1">
        <w:rPr>
          <w:rFonts w:ascii="Times New Roman" w:hAnsi="Times New Roman"/>
          <w:sz w:val="24"/>
        </w:rPr>
        <w:t xml:space="preserve"> it, and that Order 08 in that d</w:t>
      </w:r>
      <w:r w:rsidR="008524E3" w:rsidRPr="008524E3">
        <w:rPr>
          <w:rFonts w:ascii="Times New Roman" w:hAnsi="Times New Roman"/>
          <w:sz w:val="24"/>
        </w:rPr>
        <w:t xml:space="preserve">ocket somehow approved of all facets of the NWEC proposal and made it, not the Policy Statement, the standard against which decoupling should be measured. </w:t>
      </w:r>
      <w:r w:rsidR="009237EB">
        <w:rPr>
          <w:rFonts w:ascii="Times New Roman" w:hAnsi="Times New Roman"/>
          <w:sz w:val="24"/>
        </w:rPr>
        <w:t xml:space="preserve"> </w:t>
      </w:r>
      <w:r w:rsidR="008524E3" w:rsidRPr="008524E3">
        <w:rPr>
          <w:rFonts w:ascii="Times New Roman" w:hAnsi="Times New Roman"/>
          <w:sz w:val="24"/>
        </w:rPr>
        <w:t>I cannot find support for this position in the Commis</w:t>
      </w:r>
      <w:r w:rsidR="009237EB">
        <w:rPr>
          <w:rFonts w:ascii="Times New Roman" w:hAnsi="Times New Roman"/>
          <w:sz w:val="24"/>
        </w:rPr>
        <w:t xml:space="preserve">sion’s </w:t>
      </w:r>
      <w:r w:rsidR="00231DF1">
        <w:rPr>
          <w:rFonts w:ascii="Times New Roman" w:hAnsi="Times New Roman"/>
          <w:sz w:val="24"/>
        </w:rPr>
        <w:t>o</w:t>
      </w:r>
      <w:r w:rsidR="009237EB">
        <w:rPr>
          <w:rFonts w:ascii="Times New Roman" w:hAnsi="Times New Roman"/>
          <w:sz w:val="24"/>
        </w:rPr>
        <w:t>rder.  Numerous parties—i</w:t>
      </w:r>
      <w:r w:rsidR="008524E3" w:rsidRPr="008524E3">
        <w:rPr>
          <w:rFonts w:ascii="Times New Roman" w:hAnsi="Times New Roman"/>
          <w:sz w:val="24"/>
        </w:rPr>
        <w:t>ncluding Staff</w:t>
      </w:r>
      <w:r w:rsidR="009237EB">
        <w:rPr>
          <w:rFonts w:ascii="Times New Roman" w:hAnsi="Times New Roman"/>
          <w:sz w:val="24"/>
        </w:rPr>
        <w:t>—</w:t>
      </w:r>
      <w:r w:rsidR="008524E3" w:rsidRPr="008524E3">
        <w:rPr>
          <w:rFonts w:ascii="Times New Roman" w:hAnsi="Times New Roman"/>
          <w:sz w:val="24"/>
        </w:rPr>
        <w:t>raised objections to various aspects of the NWEC pro</w:t>
      </w:r>
      <w:r>
        <w:rPr>
          <w:rFonts w:ascii="Times New Roman" w:hAnsi="Times New Roman"/>
          <w:sz w:val="24"/>
        </w:rPr>
        <w:t>posal, and the Commission noted</w:t>
      </w:r>
      <w:r w:rsidR="0065785B">
        <w:rPr>
          <w:rFonts w:ascii="Times New Roman" w:hAnsi="Times New Roman"/>
          <w:sz w:val="24"/>
        </w:rPr>
        <w:t>,</w:t>
      </w:r>
      <w:r w:rsidR="008524E3" w:rsidRPr="008524E3">
        <w:rPr>
          <w:rFonts w:ascii="Times New Roman" w:hAnsi="Times New Roman"/>
          <w:sz w:val="24"/>
        </w:rPr>
        <w:t xml:space="preserve"> but did not consider these objections because PSE’s rejection of the proposal foreclosed the need to take up a detailed consideration of its merits.  In fact, </w:t>
      </w:r>
      <w:r w:rsidR="00813A0F">
        <w:rPr>
          <w:rFonts w:ascii="Times New Roman" w:hAnsi="Times New Roman"/>
          <w:sz w:val="24"/>
        </w:rPr>
        <w:t>the Commission noted</w:t>
      </w:r>
      <w:r w:rsidR="008524E3" w:rsidRPr="008524E3">
        <w:rPr>
          <w:rFonts w:ascii="Times New Roman" w:hAnsi="Times New Roman"/>
          <w:sz w:val="24"/>
        </w:rPr>
        <w:t xml:space="preserve"> that</w:t>
      </w:r>
      <w:r w:rsidR="00813A0F">
        <w:rPr>
          <w:rFonts w:ascii="Times New Roman" w:hAnsi="Times New Roman"/>
          <w:sz w:val="24"/>
        </w:rPr>
        <w:t>,</w:t>
      </w:r>
      <w:r w:rsidR="008524E3" w:rsidRPr="008524E3">
        <w:rPr>
          <w:rFonts w:ascii="Times New Roman" w:hAnsi="Times New Roman"/>
          <w:sz w:val="24"/>
        </w:rPr>
        <w:t xml:space="preserve"> while </w:t>
      </w:r>
      <w:r>
        <w:rPr>
          <w:rFonts w:ascii="Times New Roman" w:hAnsi="Times New Roman"/>
          <w:sz w:val="24"/>
        </w:rPr>
        <w:t>the “intent and general design” of NWEC’s proposal</w:t>
      </w:r>
      <w:r w:rsidR="008524E3" w:rsidRPr="008524E3">
        <w:rPr>
          <w:rFonts w:ascii="Times New Roman" w:hAnsi="Times New Roman"/>
          <w:sz w:val="24"/>
        </w:rPr>
        <w:t xml:space="preserve"> was consistent with the “motivation behind [the] Policy Statement,” PSE’s opposition foreclosed its adoption “regardless of the merit we might find on a close examination of its details.”</w:t>
      </w:r>
      <w:r>
        <w:rPr>
          <w:rStyle w:val="FootnoteReference"/>
          <w:sz w:val="24"/>
        </w:rPr>
        <w:footnoteReference w:id="21"/>
      </w:r>
      <w:r w:rsidR="005C6340" w:rsidRPr="000A67B0">
        <w:rPr>
          <w:rFonts w:ascii="Times New Roman" w:hAnsi="Times New Roman"/>
          <w:sz w:val="24"/>
          <w:szCs w:val="24"/>
          <w:vertAlign w:val="superscript"/>
        </w:rPr>
        <w:t>/</w:t>
      </w:r>
      <w:r w:rsidR="005C6340" w:rsidRPr="008524E3">
        <w:rPr>
          <w:rFonts w:ascii="Times New Roman" w:hAnsi="Times New Roman"/>
          <w:sz w:val="24"/>
        </w:rPr>
        <w:t xml:space="preserve"> </w:t>
      </w:r>
      <w:r w:rsidR="008524E3" w:rsidRPr="008524E3">
        <w:rPr>
          <w:rFonts w:ascii="Times New Roman" w:hAnsi="Times New Roman"/>
          <w:sz w:val="24"/>
        </w:rPr>
        <w:t xml:space="preserve">  Thus, the Commission made clear that it did</w:t>
      </w:r>
      <w:r w:rsidR="00824986">
        <w:rPr>
          <w:rFonts w:ascii="Times New Roman" w:hAnsi="Times New Roman"/>
          <w:sz w:val="24"/>
        </w:rPr>
        <w:t xml:space="preserve"> not</w:t>
      </w:r>
      <w:r w:rsidR="008524E3" w:rsidRPr="008524E3">
        <w:rPr>
          <w:rFonts w:ascii="Times New Roman" w:hAnsi="Times New Roman"/>
          <w:sz w:val="24"/>
        </w:rPr>
        <w:t xml:space="preserve"> reach a close examination of the details of NWEC’s proposal, let alone endorse any specific components that were not already endorsed in the Policy Statement.</w:t>
      </w:r>
      <w:r w:rsidR="003529E4">
        <w:rPr>
          <w:rFonts w:ascii="Times New Roman" w:hAnsi="Times New Roman"/>
          <w:sz w:val="24"/>
        </w:rPr>
        <w:t xml:space="preserve">  Importantly, the Commission did not conclude that it would have approved NWEC’s decoupling proposal without adjustments. </w:t>
      </w:r>
    </w:p>
    <w:p w:rsidR="009C04D9" w:rsidRPr="004010E8" w:rsidRDefault="009C04D9" w:rsidP="00497998">
      <w:pPr>
        <w:keepNext/>
        <w:keepLines/>
        <w:spacing w:line="480" w:lineRule="auto"/>
        <w:ind w:left="720" w:hanging="720"/>
        <w:jc w:val="center"/>
        <w:rPr>
          <w:rFonts w:ascii="Times New Roman" w:hAnsi="Times New Roman"/>
          <w:sz w:val="24"/>
        </w:rPr>
      </w:pPr>
      <w:r w:rsidRPr="004010E8">
        <w:rPr>
          <w:rFonts w:ascii="Times New Roman" w:hAnsi="Times New Roman"/>
          <w:b/>
          <w:sz w:val="24"/>
        </w:rPr>
        <w:t>THE WUTC POLICY STATEMENT ON DECOUPLING</w:t>
      </w:r>
    </w:p>
    <w:p w:rsidR="009C04D9" w:rsidRDefault="009C04D9" w:rsidP="00497998">
      <w:pPr>
        <w:keepNext/>
        <w:keepLines/>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HAVE YOU REVIEWED AND CONSIDERED THE COMMISSION’S</w:t>
      </w:r>
      <w:r w:rsidR="009237EB">
        <w:rPr>
          <w:rFonts w:ascii="Times New Roman" w:hAnsi="Times New Roman"/>
          <w:b/>
          <w:sz w:val="24"/>
        </w:rPr>
        <w:t xml:space="preserve"> REPORT AND</w:t>
      </w:r>
      <w:r>
        <w:rPr>
          <w:rFonts w:ascii="Times New Roman" w:hAnsi="Times New Roman"/>
          <w:b/>
          <w:sz w:val="24"/>
        </w:rPr>
        <w:t xml:space="preserve"> POLICY STATEMENT ON DECOUPLING IN THIS TESTIMONY?</w:t>
      </w:r>
    </w:p>
    <w:p w:rsidR="009C04D9" w:rsidRPr="00A939EE" w:rsidRDefault="009C04D9" w:rsidP="009C04D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sidRPr="00183080">
        <w:rPr>
          <w:rFonts w:ascii="Times New Roman" w:hAnsi="Times New Roman"/>
          <w:sz w:val="24"/>
        </w:rPr>
        <w:t>Yes. The Commission’s</w:t>
      </w:r>
      <w:r w:rsidR="00B4230E">
        <w:rPr>
          <w:rFonts w:ascii="Times New Roman" w:hAnsi="Times New Roman"/>
          <w:sz w:val="24"/>
        </w:rPr>
        <w:t xml:space="preserve"> </w:t>
      </w:r>
      <w:r w:rsidRPr="00183080">
        <w:rPr>
          <w:rFonts w:ascii="Times New Roman" w:hAnsi="Times New Roman"/>
          <w:sz w:val="24"/>
        </w:rPr>
        <w:t>Policy Statement</w:t>
      </w:r>
      <w:r w:rsidRPr="00183080">
        <w:rPr>
          <w:rFonts w:ascii="Times New Roman" w:hAnsi="Times New Roman"/>
          <w:sz w:val="24"/>
          <w:szCs w:val="24"/>
        </w:rPr>
        <w:t xml:space="preserve"> remains the Commission’s most thorough investigation concerning decoupling.</w:t>
      </w:r>
      <w:r>
        <w:rPr>
          <w:rStyle w:val="FootnoteReference"/>
          <w:sz w:val="24"/>
          <w:szCs w:val="24"/>
        </w:rPr>
        <w:footnoteReference w:id="22"/>
      </w:r>
      <w:r w:rsidRPr="00497998">
        <w:rPr>
          <w:rFonts w:ascii="Times New Roman" w:hAnsi="Times New Roman"/>
          <w:sz w:val="24"/>
          <w:szCs w:val="24"/>
          <w:vertAlign w:val="superscript"/>
        </w:rPr>
        <w:t>/</w:t>
      </w:r>
      <w:r>
        <w:rPr>
          <w:rFonts w:ascii="Times New Roman" w:hAnsi="Times New Roman"/>
          <w:sz w:val="24"/>
          <w:szCs w:val="24"/>
        </w:rPr>
        <w:t xml:space="preserve">  The Commission would be expected to use the Policy Statement as a starting point to conduct the sort of detailed examination required </w:t>
      </w:r>
      <w:r>
        <w:rPr>
          <w:rFonts w:ascii="Times New Roman" w:hAnsi="Times New Roman"/>
          <w:sz w:val="24"/>
          <w:szCs w:val="24"/>
        </w:rPr>
        <w:lastRenderedPageBreak/>
        <w:t>for consideration of the decoupling proposal filed by PSE and NWEC and supported by Staff.  As I understand from parties who participated in the process that produced the Policy Statement, the Commission’s decision resulted in a middle ground of sorts among the various parties’ positions.  Given the ti</w:t>
      </w:r>
      <w:r w:rsidR="00813A0F">
        <w:rPr>
          <w:rFonts w:ascii="Times New Roman" w:hAnsi="Times New Roman"/>
          <w:sz w:val="24"/>
          <w:szCs w:val="24"/>
        </w:rPr>
        <w:t>me and effort that produced the</w:t>
      </w:r>
      <w:r>
        <w:rPr>
          <w:rFonts w:ascii="Times New Roman" w:hAnsi="Times New Roman"/>
          <w:sz w:val="24"/>
          <w:szCs w:val="24"/>
        </w:rPr>
        <w:t xml:space="preserve"> </w:t>
      </w:r>
      <w:r w:rsidR="00813A0F">
        <w:rPr>
          <w:rFonts w:ascii="Times New Roman" w:hAnsi="Times New Roman"/>
          <w:sz w:val="24"/>
          <w:szCs w:val="24"/>
        </w:rPr>
        <w:t>Policy S</w:t>
      </w:r>
      <w:r>
        <w:rPr>
          <w:rFonts w:ascii="Times New Roman" w:hAnsi="Times New Roman"/>
          <w:sz w:val="24"/>
          <w:szCs w:val="24"/>
        </w:rPr>
        <w:t>tatement, it would be surprising if the Commission abandoned it.  The Policy Statement, however, offers little guidance when attrition adjustment</w:t>
      </w:r>
      <w:r w:rsidR="00813A0F">
        <w:rPr>
          <w:rFonts w:ascii="Times New Roman" w:hAnsi="Times New Roman"/>
          <w:sz w:val="24"/>
          <w:szCs w:val="24"/>
        </w:rPr>
        <w:t>s</w:t>
      </w:r>
      <w:r>
        <w:rPr>
          <w:rFonts w:ascii="Times New Roman" w:hAnsi="Times New Roman"/>
          <w:sz w:val="24"/>
          <w:szCs w:val="24"/>
        </w:rPr>
        <w:t xml:space="preserve"> such as the K-Factor, or </w:t>
      </w:r>
      <w:r w:rsidR="00813A0F">
        <w:rPr>
          <w:rFonts w:ascii="Times New Roman" w:hAnsi="Times New Roman"/>
          <w:sz w:val="24"/>
          <w:szCs w:val="24"/>
        </w:rPr>
        <w:t>the</w:t>
      </w:r>
      <w:r>
        <w:rPr>
          <w:rFonts w:ascii="Times New Roman" w:hAnsi="Times New Roman"/>
          <w:sz w:val="24"/>
          <w:szCs w:val="24"/>
        </w:rPr>
        <w:t xml:space="preserve"> automatic rate escalator “rate plan” are involved, as is the case here.  Nonetheless, sound ratemaking principles and Commission precedent offer substantial guidance, as I discuss later in my testimony.</w:t>
      </w:r>
    </w:p>
    <w:p w:rsidR="009C04D9"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DOES PSE’S DECOUPLING PROPOSAL CONFORM TO THE COMMISSION’S POLICY STATEMENT?</w:t>
      </w:r>
    </w:p>
    <w:p w:rsidR="009C04D9" w:rsidRDefault="009C04D9" w:rsidP="009C04D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No.  </w:t>
      </w:r>
      <w:r>
        <w:rPr>
          <w:rFonts w:ascii="Times New Roman" w:hAnsi="Times New Roman"/>
          <w:sz w:val="24"/>
          <w:szCs w:val="24"/>
        </w:rPr>
        <w:t>The decoupling proposal neither adheres to the Commission’s stated decoupling policy nor achieves its underlying goals.  The purpose of decoupling, according to the Policy Statement, is to “</w:t>
      </w:r>
      <w:r w:rsidR="009D2969">
        <w:rPr>
          <w:rFonts w:ascii="Times New Roman" w:hAnsi="Times New Roman"/>
          <w:sz w:val="24"/>
          <w:szCs w:val="24"/>
        </w:rPr>
        <w:t xml:space="preserve">remove barriers to utilities acquiring </w:t>
      </w:r>
      <w:r>
        <w:rPr>
          <w:rFonts w:ascii="Times New Roman" w:hAnsi="Times New Roman"/>
          <w:sz w:val="24"/>
          <w:szCs w:val="24"/>
        </w:rPr>
        <w:t>all cost-effective conservation or to encourage utilities to acquire all cost-effective conservation.”</w:t>
      </w:r>
      <w:r w:rsidRPr="003234E0">
        <w:rPr>
          <w:rStyle w:val="FootnoteReference"/>
          <w:sz w:val="24"/>
          <w:szCs w:val="24"/>
        </w:rPr>
        <w:footnoteReference w:id="23"/>
      </w:r>
      <w:r w:rsidRPr="00D82651">
        <w:rPr>
          <w:rFonts w:ascii="Times New Roman" w:hAnsi="Times New Roman"/>
          <w:sz w:val="24"/>
          <w:szCs w:val="24"/>
          <w:vertAlign w:val="superscript"/>
        </w:rPr>
        <w:t>/</w:t>
      </w:r>
      <w:r>
        <w:rPr>
          <w:rFonts w:ascii="Times New Roman" w:hAnsi="Times New Roman"/>
          <w:sz w:val="24"/>
          <w:szCs w:val="24"/>
        </w:rPr>
        <w:t xml:space="preserve">   The proposed decoupling mechanism in this case would not accomplish these goals.</w:t>
      </w:r>
      <w:r>
        <w:rPr>
          <w:rFonts w:ascii="Times New Roman" w:hAnsi="Times New Roman"/>
          <w:sz w:val="24"/>
          <w:szCs w:val="24"/>
        </w:rPr>
        <w:br/>
      </w:r>
      <w:r>
        <w:rPr>
          <w:rFonts w:ascii="Times New Roman" w:hAnsi="Times New Roman"/>
          <w:sz w:val="24"/>
          <w:szCs w:val="24"/>
        </w:rPr>
        <w:tab/>
        <w:t xml:space="preserve">First, PSE’s decoupling request has been made outside of a </w:t>
      </w:r>
      <w:r w:rsidRPr="00183080">
        <w:rPr>
          <w:rFonts w:ascii="Times New Roman" w:hAnsi="Times New Roman"/>
          <w:sz w:val="24"/>
          <w:szCs w:val="24"/>
        </w:rPr>
        <w:t>general rate case</w:t>
      </w:r>
      <w:r>
        <w:rPr>
          <w:rFonts w:ascii="Times New Roman" w:hAnsi="Times New Roman"/>
          <w:sz w:val="24"/>
          <w:szCs w:val="24"/>
        </w:rPr>
        <w:t>, eliminating all the customer safeguards and the full balancing of interests made possible in the context of a GRC proceeding.  Second, the proposed mechanism would decouple on a per-customer basis rather than a per-class basis—a stark contrast to the Commission’s express preference.</w:t>
      </w:r>
      <w:r w:rsidRPr="00454130">
        <w:rPr>
          <w:rFonts w:ascii="Times New Roman" w:hAnsi="Times New Roman"/>
          <w:sz w:val="24"/>
          <w:szCs w:val="24"/>
        </w:rPr>
        <w:t xml:space="preserve"> </w:t>
      </w:r>
      <w:r>
        <w:rPr>
          <w:rFonts w:ascii="Times New Roman" w:hAnsi="Times New Roman"/>
          <w:sz w:val="24"/>
          <w:szCs w:val="24"/>
        </w:rPr>
        <w:t xml:space="preserve"> Third, the K-factor effectively guarantees utility profit and insulates PSE from risk while failing to adequately incentivize conservation (in addition to being unsupported in the record).  Fourth, the proposed decoupling </w:t>
      </w:r>
      <w:r>
        <w:rPr>
          <w:rFonts w:ascii="Times New Roman" w:hAnsi="Times New Roman"/>
          <w:sz w:val="24"/>
          <w:szCs w:val="24"/>
        </w:rPr>
        <w:lastRenderedPageBreak/>
        <w:t>mechanism and rate plan do not incorporate a decreased ROR and are also largely unsupported.  Fifth, there is</w:t>
      </w:r>
      <w:r w:rsidR="00FA4145">
        <w:rPr>
          <w:rFonts w:ascii="Times New Roman" w:hAnsi="Times New Roman"/>
          <w:sz w:val="24"/>
          <w:szCs w:val="24"/>
        </w:rPr>
        <w:t xml:space="preserve"> no</w:t>
      </w:r>
      <w:r>
        <w:rPr>
          <w:rFonts w:ascii="Times New Roman" w:hAnsi="Times New Roman"/>
          <w:sz w:val="24"/>
          <w:szCs w:val="24"/>
        </w:rPr>
        <w:t xml:space="preserve"> consideration of off-system sales of the power freed up due to increased conservation</w:t>
      </w:r>
      <w:r w:rsidR="00813A0F">
        <w:rPr>
          <w:rFonts w:ascii="Times New Roman" w:hAnsi="Times New Roman"/>
          <w:sz w:val="24"/>
          <w:szCs w:val="24"/>
        </w:rPr>
        <w:t xml:space="preserve"> or other power costs</w:t>
      </w:r>
      <w:r w:rsidR="00EB4237">
        <w:rPr>
          <w:rFonts w:ascii="Times New Roman" w:hAnsi="Times New Roman"/>
          <w:sz w:val="24"/>
          <w:szCs w:val="24"/>
        </w:rPr>
        <w:t xml:space="preserve">. </w:t>
      </w:r>
      <w:r>
        <w:rPr>
          <w:rFonts w:ascii="Times New Roman" w:hAnsi="Times New Roman"/>
          <w:sz w:val="24"/>
          <w:szCs w:val="24"/>
        </w:rPr>
        <w:t xml:space="preserve"> Additionally, like the K-factor, further proposed elements would effectively insulate PSE from risk without incentivizing further conservation.</w:t>
      </w:r>
    </w:p>
    <w:p w:rsidR="009C04D9"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HAS PSE REQUESTED A DECOUPLING MECHANISM IN THE MANNER PRESCRIBED BY THE POLICY STATEMENT?</w:t>
      </w:r>
    </w:p>
    <w:p w:rsidR="009C04D9" w:rsidRPr="006734B1"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Quite the opposite, exposing a fatal flaw in PSE’s proposal.  The Commission expressly directed utilities to file decoupling requests in the context of a GRC.  The Policy Statement directs that the WUTC will consider a full decoupling mechanism request from an electric IOU “[i]n the context of a general rate case . . . . [I]n its direct testimony of its rate case filing.”</w:t>
      </w:r>
      <w:r w:rsidRPr="003234E0">
        <w:rPr>
          <w:rStyle w:val="FootnoteReference"/>
          <w:sz w:val="24"/>
          <w:szCs w:val="24"/>
        </w:rPr>
        <w:footnoteReference w:id="24"/>
      </w:r>
      <w:r w:rsidRPr="00D82651">
        <w:rPr>
          <w:rFonts w:ascii="Times New Roman" w:hAnsi="Times New Roman"/>
          <w:sz w:val="24"/>
          <w:szCs w:val="24"/>
          <w:vertAlign w:val="superscript"/>
        </w:rPr>
        <w:t>/</w:t>
      </w:r>
      <w:r>
        <w:rPr>
          <w:rFonts w:ascii="Times New Roman" w:hAnsi="Times New Roman"/>
          <w:sz w:val="24"/>
        </w:rPr>
        <w:t xml:space="preserve">   Indeed, the Commission mandated that even limited decoupling requests from </w:t>
      </w:r>
      <w:r w:rsidRPr="00183080">
        <w:rPr>
          <w:rFonts w:ascii="Times New Roman" w:hAnsi="Times New Roman"/>
          <w:sz w:val="24"/>
        </w:rPr>
        <w:t>natural gas IOU</w:t>
      </w:r>
      <w:r w:rsidR="009D2969">
        <w:rPr>
          <w:rFonts w:ascii="Times New Roman" w:hAnsi="Times New Roman"/>
          <w:sz w:val="24"/>
        </w:rPr>
        <w:t>s</w:t>
      </w:r>
      <w:r>
        <w:rPr>
          <w:rFonts w:ascii="Times New Roman" w:hAnsi="Times New Roman"/>
          <w:sz w:val="24"/>
        </w:rPr>
        <w:t xml:space="preserve"> are to be made in the context of a GRC—a deliberate and explicit reversal of an earlier indication from the Commission that such requests may have been considered outside a GRC.</w:t>
      </w:r>
      <w:r w:rsidRPr="003234E0">
        <w:rPr>
          <w:rStyle w:val="FootnoteReference"/>
          <w:sz w:val="24"/>
          <w:szCs w:val="24"/>
        </w:rPr>
        <w:footnoteReference w:id="25"/>
      </w:r>
      <w:r w:rsidRPr="00D82651">
        <w:rPr>
          <w:rFonts w:ascii="Times New Roman" w:hAnsi="Times New Roman"/>
          <w:sz w:val="24"/>
          <w:szCs w:val="24"/>
          <w:vertAlign w:val="superscript"/>
        </w:rPr>
        <w:t>/</w:t>
      </w:r>
      <w:r>
        <w:rPr>
          <w:rFonts w:ascii="Times New Roman" w:hAnsi="Times New Roman"/>
          <w:sz w:val="24"/>
          <w:szCs w:val="24"/>
        </w:rPr>
        <w:t xml:space="preserve">  </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b/>
      </w:r>
      <w:r>
        <w:rPr>
          <w:rFonts w:ascii="Times New Roman" w:hAnsi="Times New Roman"/>
          <w:b/>
          <w:sz w:val="24"/>
        </w:rPr>
        <w:tab/>
      </w:r>
      <w:r>
        <w:rPr>
          <w:rFonts w:ascii="Times New Roman" w:hAnsi="Times New Roman"/>
          <w:sz w:val="24"/>
        </w:rPr>
        <w:t>The requirement for consideration of decoupling mechanisms only within the context of a GRC is a crucial ratepayer safeguard.  The Commission’s reversal on limited decoupling requests was based on the anticipated impact of decoupling on ROE,</w:t>
      </w:r>
      <w:r w:rsidRPr="003234E0">
        <w:rPr>
          <w:rStyle w:val="FootnoteReference"/>
          <w:sz w:val="24"/>
          <w:szCs w:val="24"/>
        </w:rPr>
        <w:footnoteReference w:id="26"/>
      </w:r>
      <w:r w:rsidRPr="00D82651">
        <w:rPr>
          <w:rFonts w:ascii="Times New Roman" w:hAnsi="Times New Roman"/>
          <w:sz w:val="24"/>
          <w:szCs w:val="24"/>
          <w:vertAlign w:val="superscript"/>
        </w:rPr>
        <w:t>/</w:t>
      </w:r>
      <w:r>
        <w:rPr>
          <w:rFonts w:ascii="Times New Roman" w:hAnsi="Times New Roman"/>
          <w:sz w:val="24"/>
        </w:rPr>
        <w:t xml:space="preserve"> raising equit</w:t>
      </w:r>
      <w:r w:rsidR="0059698D">
        <w:rPr>
          <w:rFonts w:ascii="Times New Roman" w:hAnsi="Times New Roman"/>
          <w:sz w:val="24"/>
        </w:rPr>
        <w:t>y and capital structure concern</w:t>
      </w:r>
      <w:r w:rsidR="00813A0F">
        <w:rPr>
          <w:rFonts w:ascii="Times New Roman" w:hAnsi="Times New Roman"/>
          <w:sz w:val="24"/>
        </w:rPr>
        <w:t>s</w:t>
      </w:r>
      <w:r>
        <w:rPr>
          <w:rFonts w:ascii="Times New Roman" w:hAnsi="Times New Roman"/>
          <w:sz w:val="24"/>
        </w:rPr>
        <w:t xml:space="preserve"> </w:t>
      </w:r>
      <w:r w:rsidR="0059698D">
        <w:rPr>
          <w:rFonts w:ascii="Times New Roman" w:hAnsi="Times New Roman"/>
          <w:sz w:val="24"/>
        </w:rPr>
        <w:t>that</w:t>
      </w:r>
      <w:r>
        <w:rPr>
          <w:rFonts w:ascii="Times New Roman" w:hAnsi="Times New Roman"/>
          <w:sz w:val="24"/>
        </w:rPr>
        <w:t xml:space="preserve"> can best be addressed within a GRC.  Likewise, with four mandatory, public interest elements that must demonstrated (one being ROR impact), and six (or more) additional criteria for decoupling approval, the interests of electric IOU customers can only be adequately considered in a GRC context.</w:t>
      </w:r>
    </w:p>
    <w:p w:rsidR="009C04D9" w:rsidRDefault="009C04D9" w:rsidP="009C04D9">
      <w:pPr>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HAS THE COMMISSION GIVEN ANY INDICATION OF DEPARTING FROM THE GRC REQUIREMENT CONTAINED IN THE POLICY STATEMENT?</w:t>
      </w:r>
    </w:p>
    <w:p w:rsidR="009C04D9" w:rsidRPr="00A06735" w:rsidRDefault="009C04D9" w:rsidP="009C04D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Actually, the WUTC’s Final Order in the PSE 2011 GRC appears to solidify the requirement.  In that </w:t>
      </w:r>
      <w:r w:rsidR="00B4230E">
        <w:rPr>
          <w:rFonts w:ascii="Times New Roman" w:hAnsi="Times New Roman"/>
          <w:sz w:val="24"/>
        </w:rPr>
        <w:t>o</w:t>
      </w:r>
      <w:r>
        <w:rPr>
          <w:rFonts w:ascii="Times New Roman" w:hAnsi="Times New Roman"/>
          <w:sz w:val="24"/>
        </w:rPr>
        <w:t>rder, when reiterating its willingness to consider variations to the Policy Statement, the Commission did not waiver from its expectation that decoupling requests are to be made within a GRC.  After affirming that it “remains open to proposals for a full decoupling mechanism” varying from the Policy Statement, the Commission then noted the consistency of its flexible position.</w:t>
      </w:r>
      <w:r w:rsidRPr="003234E0">
        <w:rPr>
          <w:rStyle w:val="FootnoteReference"/>
          <w:sz w:val="24"/>
          <w:szCs w:val="24"/>
        </w:rPr>
        <w:footnoteReference w:id="27"/>
      </w:r>
      <w:r w:rsidRPr="00D82651">
        <w:rPr>
          <w:rFonts w:ascii="Times New Roman" w:hAnsi="Times New Roman"/>
          <w:sz w:val="24"/>
          <w:szCs w:val="24"/>
          <w:vertAlign w:val="superscript"/>
        </w:rPr>
        <w:t>/</w:t>
      </w:r>
      <w:r>
        <w:rPr>
          <w:rFonts w:ascii="Times New Roman" w:hAnsi="Times New Roman"/>
          <w:sz w:val="24"/>
        </w:rPr>
        <w:t xml:space="preserve">  Quoting from the Policy Statement, the Commission emphasized that the guidance provided “does not imply that the Commission would not consider other mechanisms </w:t>
      </w:r>
      <w:r w:rsidRPr="00A06735">
        <w:rPr>
          <w:rFonts w:ascii="Times New Roman" w:hAnsi="Times New Roman"/>
          <w:i/>
          <w:sz w:val="24"/>
        </w:rPr>
        <w:t>in the context of a general rate case</w:t>
      </w:r>
      <w:r>
        <w:rPr>
          <w:rFonts w:ascii="Times New Roman" w:hAnsi="Times New Roman"/>
          <w:sz w:val="24"/>
        </w:rPr>
        <w:t> . . .</w:t>
      </w:r>
      <w:r w:rsidR="00B4230E">
        <w:rPr>
          <w:rFonts w:ascii="Times New Roman" w:hAnsi="Times New Roman"/>
          <w:sz w:val="24"/>
        </w:rPr>
        <w:t xml:space="preserve"> .</w:t>
      </w:r>
      <w:r>
        <w:rPr>
          <w:rFonts w:ascii="Times New Roman" w:hAnsi="Times New Roman"/>
          <w:sz w:val="24"/>
        </w:rPr>
        <w:t>”</w:t>
      </w:r>
      <w:r w:rsidRPr="003234E0">
        <w:rPr>
          <w:rStyle w:val="FootnoteReference"/>
          <w:sz w:val="24"/>
          <w:szCs w:val="24"/>
        </w:rPr>
        <w:footnoteReference w:id="28"/>
      </w:r>
      <w:r w:rsidRPr="00D82651">
        <w:rPr>
          <w:rFonts w:ascii="Times New Roman" w:hAnsi="Times New Roman"/>
          <w:sz w:val="24"/>
          <w:szCs w:val="24"/>
          <w:vertAlign w:val="superscript"/>
        </w:rPr>
        <w:t>/</w:t>
      </w:r>
      <w:r>
        <w:rPr>
          <w:rFonts w:ascii="Times New Roman" w:hAnsi="Times New Roman"/>
          <w:sz w:val="24"/>
          <w:szCs w:val="24"/>
        </w:rPr>
        <w:t xml:space="preserve">  </w:t>
      </w:r>
      <w:r w:rsidR="00FA4145">
        <w:rPr>
          <w:rFonts w:ascii="Times New Roman" w:hAnsi="Times New Roman"/>
          <w:sz w:val="24"/>
          <w:szCs w:val="24"/>
        </w:rPr>
        <w:t>There is</w:t>
      </w:r>
      <w:r>
        <w:rPr>
          <w:rFonts w:ascii="Times New Roman" w:hAnsi="Times New Roman"/>
          <w:sz w:val="24"/>
          <w:szCs w:val="24"/>
        </w:rPr>
        <w:t xml:space="preserve"> no reason to believe the Commission has departed from the requirement that decoupling requests are to be considered only within a GRC.</w:t>
      </w:r>
    </w:p>
    <w:p w:rsidR="009C04D9" w:rsidRPr="002F790C" w:rsidRDefault="009C04D9" w:rsidP="009C04D9">
      <w:pPr>
        <w:spacing w:line="480" w:lineRule="auto"/>
        <w:ind w:left="720" w:hanging="720"/>
        <w:rPr>
          <w:rFonts w:ascii="Times New Roman" w:hAnsi="Times New Roman"/>
          <w:sz w:val="24"/>
        </w:rPr>
      </w:pPr>
      <w:r>
        <w:rPr>
          <w:rFonts w:ascii="Times New Roman" w:hAnsi="Times New Roman"/>
          <w:b/>
          <w:sz w:val="24"/>
        </w:rPr>
        <w:tab/>
      </w:r>
      <w:r>
        <w:rPr>
          <w:rFonts w:ascii="Times New Roman" w:hAnsi="Times New Roman"/>
          <w:b/>
          <w:sz w:val="24"/>
        </w:rPr>
        <w:tab/>
      </w:r>
      <w:r w:rsidRPr="00A06735">
        <w:rPr>
          <w:rFonts w:ascii="Times New Roman" w:hAnsi="Times New Roman"/>
          <w:sz w:val="24"/>
        </w:rPr>
        <w:t>Notwithstanding,</w:t>
      </w:r>
      <w:r>
        <w:rPr>
          <w:rFonts w:ascii="Times New Roman" w:hAnsi="Times New Roman"/>
          <w:b/>
          <w:sz w:val="24"/>
        </w:rPr>
        <w:t xml:space="preserve"> </w:t>
      </w:r>
      <w:r>
        <w:rPr>
          <w:rFonts w:ascii="Times New Roman" w:hAnsi="Times New Roman"/>
          <w:sz w:val="24"/>
          <w:szCs w:val="24"/>
        </w:rPr>
        <w:t>if the Commission is determined to abandon the GRC require</w:t>
      </w:r>
      <w:r w:rsidR="00B4230E">
        <w:rPr>
          <w:rFonts w:ascii="Times New Roman" w:hAnsi="Times New Roman"/>
          <w:sz w:val="24"/>
          <w:szCs w:val="24"/>
        </w:rPr>
        <w:t>ment</w:t>
      </w:r>
      <w:r>
        <w:rPr>
          <w:rFonts w:ascii="Times New Roman" w:hAnsi="Times New Roman"/>
          <w:sz w:val="24"/>
          <w:szCs w:val="24"/>
        </w:rPr>
        <w:t xml:space="preserve">,  care </w:t>
      </w:r>
      <w:r w:rsidR="00FA4145">
        <w:rPr>
          <w:rFonts w:ascii="Times New Roman" w:hAnsi="Times New Roman"/>
          <w:sz w:val="24"/>
          <w:szCs w:val="24"/>
        </w:rPr>
        <w:t xml:space="preserve">must </w:t>
      </w:r>
      <w:r>
        <w:rPr>
          <w:rFonts w:ascii="Times New Roman" w:hAnsi="Times New Roman"/>
          <w:sz w:val="24"/>
          <w:szCs w:val="24"/>
        </w:rPr>
        <w:t xml:space="preserve">be taken to replace customer protections afforded by the thorough and complete review of decoupling mechanisms normally available in a GRC.  As </w:t>
      </w:r>
      <w:r w:rsidR="00813A0F">
        <w:rPr>
          <w:rFonts w:ascii="Times New Roman" w:hAnsi="Times New Roman"/>
          <w:sz w:val="24"/>
          <w:szCs w:val="24"/>
        </w:rPr>
        <w:t>discussed</w:t>
      </w:r>
      <w:r>
        <w:rPr>
          <w:rFonts w:ascii="Times New Roman" w:hAnsi="Times New Roman"/>
          <w:sz w:val="24"/>
          <w:szCs w:val="24"/>
        </w:rPr>
        <w:t xml:space="preserve"> in the testimony of Mr. Gorman, impact on equity and capital structure will be a vital component to the fair consideration of PSE’s decoupling proposal—a consideration that </w:t>
      </w:r>
      <w:r w:rsidR="00772D4B">
        <w:rPr>
          <w:rFonts w:ascii="Times New Roman" w:hAnsi="Times New Roman"/>
          <w:sz w:val="24"/>
          <w:szCs w:val="24"/>
        </w:rPr>
        <w:t>should not be discarded simply</w:t>
      </w:r>
      <w:r>
        <w:rPr>
          <w:rFonts w:ascii="Times New Roman" w:hAnsi="Times New Roman"/>
          <w:sz w:val="24"/>
          <w:szCs w:val="24"/>
        </w:rPr>
        <w:t xml:space="preserve"> because of PSE’s decision to file a full decoupling request outside of a GRC.</w:t>
      </w:r>
    </w:p>
    <w:p w:rsidR="009C04D9" w:rsidRDefault="009C04D9" w:rsidP="006429F2">
      <w:pPr>
        <w:keepNext/>
        <w:keepLines/>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DOES THE PROPOSED DECOUPLING MECHANISM MEET THE BASIC DESCRIPTION OF A PERMISSIBLE MECHANISM AS LAID OUT BY THE COMMISSION IN THE POLICY STATEMENT?</w:t>
      </w:r>
    </w:p>
    <w:p w:rsidR="009C04D9" w:rsidRDefault="009C04D9" w:rsidP="009C04D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No.  According to the Policy Statement, the Commission will consider a full decoupling mechanism for electric IOUs if it will “allow a utility to either recover revenue declines related to reduced sales volumes or, in the case of sales volume increases, refund such revenues to its customers.”</w:t>
      </w:r>
      <w:r w:rsidRPr="003234E0">
        <w:rPr>
          <w:rStyle w:val="FootnoteReference"/>
          <w:sz w:val="24"/>
          <w:szCs w:val="24"/>
        </w:rPr>
        <w:footnoteReference w:id="29"/>
      </w:r>
      <w:r w:rsidRPr="00D82651">
        <w:rPr>
          <w:rFonts w:ascii="Times New Roman" w:hAnsi="Times New Roman"/>
          <w:sz w:val="24"/>
          <w:szCs w:val="24"/>
          <w:vertAlign w:val="superscript"/>
        </w:rPr>
        <w:t>/</w:t>
      </w:r>
      <w:r>
        <w:rPr>
          <w:rFonts w:ascii="Times New Roman" w:hAnsi="Times New Roman"/>
          <w:sz w:val="24"/>
          <w:szCs w:val="24"/>
        </w:rPr>
        <w:t xml:space="preserve">  This does not describe the Settlement mechanism.  Rather, PSE has proposed a mechanism, which, at its core, is a simple revenue escalator:  if volumes go down, recovery goes up; likewise, if volumes go up, recovery still goes up. </w:t>
      </w:r>
    </w:p>
    <w:p w:rsidR="009C04D9"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WHY DO YOU DRAW THIS CONCLUSION?</w:t>
      </w:r>
    </w:p>
    <w:p w:rsidR="009C04D9" w:rsidRDefault="009C04D9" w:rsidP="009C04D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Two primary reasons.  This filing is apparently not about conservation</w:t>
      </w:r>
      <w:r w:rsidR="00FA4145">
        <w:rPr>
          <w:rFonts w:ascii="Times New Roman" w:hAnsi="Times New Roman"/>
          <w:sz w:val="24"/>
          <w:szCs w:val="24"/>
        </w:rPr>
        <w:t>,</w:t>
      </w:r>
      <w:r>
        <w:rPr>
          <w:rFonts w:ascii="Times New Roman" w:hAnsi="Times New Roman"/>
          <w:sz w:val="24"/>
          <w:szCs w:val="24"/>
        </w:rPr>
        <w:t xml:space="preserve"> but has everything to do with addressing PSE’s alleged attrition and increasing its rate recovery from customers.  But, as a policy matter, the proposal ignores the Commission’s guidance for a per-class decoupling mechanism.</w:t>
      </w:r>
    </w:p>
    <w:p w:rsidR="009C04D9"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WHAT IS PER-CUSTOMER DECOUPLING AND HOW IS IT DIFFERENT FROM PER-CLASS DECOUPLING?</w:t>
      </w:r>
    </w:p>
    <w:p w:rsidR="009C04D9" w:rsidRPr="00880D3D" w:rsidRDefault="009C04D9" w:rsidP="009C04D9">
      <w:pPr>
        <w:spacing w:line="480" w:lineRule="auto"/>
        <w:ind w:left="720" w:hanging="720"/>
        <w:rPr>
          <w:rFonts w:ascii="Times New Roman" w:hAnsi="Times New Roman"/>
          <w:b/>
          <w:sz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Per-customer decoupling is a system that sets a revenue per-customer rate, meaning that when a utility’s rate base grows, so does the total revenue the utility is entitled to receive through the true-up.</w:t>
      </w:r>
      <w:r w:rsidRPr="006530A5">
        <w:rPr>
          <w:rStyle w:val="FootnoteReference"/>
          <w:sz w:val="24"/>
          <w:szCs w:val="24"/>
        </w:rPr>
        <w:footnoteReference w:id="30"/>
      </w:r>
      <w:r w:rsidRPr="00D82651">
        <w:rPr>
          <w:rFonts w:ascii="Times New Roman" w:hAnsi="Times New Roman"/>
          <w:sz w:val="24"/>
          <w:szCs w:val="24"/>
          <w:vertAlign w:val="superscript"/>
        </w:rPr>
        <w:t>/</w:t>
      </w:r>
      <w:r>
        <w:rPr>
          <w:rFonts w:ascii="Times New Roman" w:hAnsi="Times New Roman"/>
          <w:sz w:val="24"/>
          <w:szCs w:val="24"/>
        </w:rPr>
        <w:t xml:space="preserve">  On the other hand, per-class decoupling divides a utility’s revenue requirement proportionally among classes, and trues-up each class to the particular class amount.  While both methods assign a revenue requirement per customer, per-customer decoupling automatically increases the utility’s revenue requirement when a new customer joins the system.  This is important since PSE expects to see load growth.  </w:t>
      </w:r>
      <w:r w:rsidRPr="004D027F">
        <w:rPr>
          <w:rFonts w:ascii="Times New Roman" w:hAnsi="Times New Roman"/>
          <w:sz w:val="24"/>
          <w:szCs w:val="24"/>
        </w:rPr>
        <w:lastRenderedPageBreak/>
        <w:t>Combined with the K-Factor</w:t>
      </w:r>
      <w:r>
        <w:rPr>
          <w:rFonts w:ascii="Times New Roman" w:hAnsi="Times New Roman"/>
          <w:sz w:val="24"/>
          <w:szCs w:val="24"/>
        </w:rPr>
        <w:t>—implementing its own fixed-percentage escalator to rates—these two proposals would institute a significant automatic rate increase, which has nothing to do with conservation.</w:t>
      </w:r>
    </w:p>
    <w:p w:rsidR="009C04D9" w:rsidRPr="004F167B"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IS PSE’S PER-CUSTOMER DECOUPLING PROPOSAL APPROPRIATE</w:t>
      </w:r>
      <w:r w:rsidRPr="004F167B">
        <w:rPr>
          <w:rFonts w:ascii="Times New Roman" w:hAnsi="Times New Roman"/>
          <w:b/>
          <w:sz w:val="24"/>
        </w:rPr>
        <w:t>?</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4F167B">
        <w:rPr>
          <w:rFonts w:ascii="Times New Roman" w:hAnsi="Times New Roman"/>
          <w:sz w:val="24"/>
        </w:rPr>
        <w:t xml:space="preserve">No.  </w:t>
      </w:r>
      <w:r>
        <w:rPr>
          <w:rFonts w:ascii="Times New Roman" w:hAnsi="Times New Roman"/>
          <w:sz w:val="24"/>
          <w:szCs w:val="24"/>
        </w:rPr>
        <w:t xml:space="preserve">While PSE’s proposal divides all customers between two rate </w:t>
      </w:r>
      <w:r w:rsidR="00813A0F">
        <w:rPr>
          <w:rFonts w:ascii="Times New Roman" w:hAnsi="Times New Roman"/>
          <w:sz w:val="24"/>
          <w:szCs w:val="24"/>
        </w:rPr>
        <w:t>groups</w:t>
      </w:r>
      <w:r>
        <w:rPr>
          <w:rFonts w:ascii="Times New Roman" w:hAnsi="Times New Roman"/>
          <w:sz w:val="24"/>
          <w:szCs w:val="24"/>
        </w:rPr>
        <w:t>,</w:t>
      </w:r>
      <w:r w:rsidRPr="006530A5">
        <w:rPr>
          <w:rStyle w:val="FootnoteReference"/>
          <w:sz w:val="24"/>
          <w:szCs w:val="24"/>
        </w:rPr>
        <w:footnoteReference w:id="31"/>
      </w:r>
      <w:r w:rsidRPr="00D82651">
        <w:rPr>
          <w:rFonts w:ascii="Times New Roman" w:hAnsi="Times New Roman"/>
          <w:sz w:val="24"/>
          <w:szCs w:val="24"/>
          <w:vertAlign w:val="superscript"/>
        </w:rPr>
        <w:t>/</w:t>
      </w:r>
      <w:r>
        <w:rPr>
          <w:rFonts w:ascii="Times New Roman" w:hAnsi="Times New Roman"/>
          <w:sz w:val="24"/>
          <w:szCs w:val="24"/>
        </w:rPr>
        <w:t xml:space="preserve"> it effectively employs per-customer decoupling:  calculating its Current Allowed Revenue (“CAR”) by multiplying the monthly allowed Delivery Revenue Per Customer by the number of customers in each rate group for that calendar month.</w:t>
      </w:r>
      <w:r w:rsidRPr="006530A5">
        <w:rPr>
          <w:rStyle w:val="FootnoteReference"/>
          <w:sz w:val="24"/>
          <w:szCs w:val="24"/>
        </w:rPr>
        <w:footnoteReference w:id="32"/>
      </w:r>
      <w:r w:rsidRPr="00D82651">
        <w:rPr>
          <w:rFonts w:ascii="Times New Roman" w:hAnsi="Times New Roman"/>
          <w:sz w:val="24"/>
          <w:szCs w:val="24"/>
          <w:vertAlign w:val="superscript"/>
        </w:rPr>
        <w:t>/</w:t>
      </w:r>
      <w:r>
        <w:rPr>
          <w:rFonts w:ascii="Times New Roman" w:hAnsi="Times New Roman"/>
          <w:sz w:val="24"/>
          <w:szCs w:val="24"/>
        </w:rPr>
        <w:t xml:space="preserve">  In other words, PSE’s CAR increases </w:t>
      </w:r>
      <w:r w:rsidRPr="00233BE3">
        <w:rPr>
          <w:rFonts w:ascii="Times New Roman" w:hAnsi="Times New Roman"/>
          <w:sz w:val="24"/>
          <w:szCs w:val="24"/>
        </w:rPr>
        <w:t>whenever new customers join the system.  This decoupling proposal contradicts the stated policy and underlying goals of the WUTC</w:t>
      </w:r>
      <w:r>
        <w:rPr>
          <w:rFonts w:ascii="Times New Roman" w:hAnsi="Times New Roman"/>
          <w:sz w:val="24"/>
        </w:rPr>
        <w:t>.</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t>PLEASE ELABORATE.</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The</w:t>
      </w:r>
      <w:r w:rsidRPr="004F167B">
        <w:rPr>
          <w:rFonts w:ascii="Times New Roman" w:hAnsi="Times New Roman"/>
          <w:sz w:val="24"/>
        </w:rPr>
        <w:t xml:space="preserve"> </w:t>
      </w:r>
      <w:r w:rsidRPr="00233BE3">
        <w:rPr>
          <w:rFonts w:ascii="Times New Roman" w:hAnsi="Times New Roman"/>
          <w:sz w:val="24"/>
        </w:rPr>
        <w:t>Policy Statement explicitly states that a true-up should track customer use by class, and recover “revenue attributed to each affected class of customer,” rather than revenue per-customer.</w:t>
      </w:r>
      <w:r w:rsidRPr="00233BE3">
        <w:rPr>
          <w:rStyle w:val="FootnoteReference"/>
          <w:sz w:val="24"/>
        </w:rPr>
        <w:footnoteReference w:id="33"/>
      </w:r>
      <w:r w:rsidRPr="00233BE3">
        <w:rPr>
          <w:rFonts w:ascii="Times New Roman" w:hAnsi="Times New Roman"/>
          <w:sz w:val="24"/>
          <w:vertAlign w:val="superscript"/>
        </w:rPr>
        <w:t>/</w:t>
      </w:r>
      <w:r w:rsidRPr="00233BE3">
        <w:rPr>
          <w:rFonts w:ascii="Times New Roman" w:hAnsi="Times New Roman"/>
          <w:sz w:val="24"/>
        </w:rPr>
        <w:t xml:space="preserve">  This deliberate choice is consistent with the rest of the Policy Statement, </w:t>
      </w:r>
      <w:r>
        <w:rPr>
          <w:rFonts w:ascii="Times New Roman" w:hAnsi="Times New Roman"/>
          <w:sz w:val="24"/>
        </w:rPr>
        <w:t>in which</w:t>
      </w:r>
      <w:r w:rsidRPr="00233BE3">
        <w:rPr>
          <w:rFonts w:ascii="Times New Roman" w:hAnsi="Times New Roman"/>
          <w:sz w:val="24"/>
        </w:rPr>
        <w:t xml:space="preserve"> the WUTC stated that the revenue produced by additional customers is a constituent of “found margin,” meaning that it would offset reductions due to conservati</w:t>
      </w:r>
      <w:r>
        <w:rPr>
          <w:rFonts w:ascii="Times New Roman" w:hAnsi="Times New Roman"/>
          <w:sz w:val="24"/>
        </w:rPr>
        <w:t>on, weather, or economic downturn</w:t>
      </w:r>
      <w:r w:rsidRPr="00233BE3">
        <w:rPr>
          <w:rFonts w:ascii="Times New Roman" w:hAnsi="Times New Roman"/>
          <w:sz w:val="24"/>
        </w:rPr>
        <w:t>.</w:t>
      </w:r>
      <w:r w:rsidRPr="00233BE3">
        <w:rPr>
          <w:rStyle w:val="FootnoteReference"/>
          <w:sz w:val="24"/>
        </w:rPr>
        <w:footnoteReference w:id="34"/>
      </w:r>
      <w:r w:rsidRPr="00233BE3">
        <w:rPr>
          <w:rFonts w:ascii="Times New Roman" w:hAnsi="Times New Roman"/>
          <w:sz w:val="24"/>
          <w:vertAlign w:val="superscript"/>
        </w:rPr>
        <w:t>/</w:t>
      </w:r>
      <w:r w:rsidRPr="00233BE3">
        <w:rPr>
          <w:rFonts w:ascii="Times New Roman" w:hAnsi="Times New Roman"/>
          <w:sz w:val="24"/>
        </w:rPr>
        <w:t xml:space="preserve">  If additional customers are simply added to the revenue requirement, as would occur under the PSE proposal, then the revenue they produce cannot offset reductions related to conservation</w:t>
      </w:r>
      <w:r w:rsidRPr="004F167B">
        <w:rPr>
          <w:rFonts w:ascii="Times New Roman" w:hAnsi="Times New Roman"/>
          <w:sz w:val="24"/>
        </w:rPr>
        <w:t>.</w:t>
      </w:r>
      <w:r>
        <w:rPr>
          <w:rFonts w:ascii="Times New Roman" w:hAnsi="Times New Roman"/>
          <w:sz w:val="24"/>
        </w:rPr>
        <w:t xml:space="preserve">  It is also worth noting that the decoupling propos</w:t>
      </w:r>
      <w:r w:rsidR="00E51B66">
        <w:rPr>
          <w:rFonts w:ascii="Times New Roman" w:hAnsi="Times New Roman"/>
          <w:sz w:val="24"/>
        </w:rPr>
        <w:t>al</w:t>
      </w:r>
      <w:r>
        <w:rPr>
          <w:rFonts w:ascii="Times New Roman" w:hAnsi="Times New Roman"/>
          <w:sz w:val="24"/>
        </w:rPr>
        <w:t xml:space="preserve"> is not weather adjusted.</w:t>
      </w:r>
      <w:r>
        <w:rPr>
          <w:rStyle w:val="FootnoteReference"/>
          <w:sz w:val="24"/>
        </w:rPr>
        <w:footnoteReference w:id="35"/>
      </w:r>
      <w:r w:rsidRPr="00D82651">
        <w:rPr>
          <w:rFonts w:ascii="Times New Roman" w:hAnsi="Times New Roman"/>
          <w:sz w:val="24"/>
          <w:szCs w:val="24"/>
          <w:vertAlign w:val="superscript"/>
        </w:rPr>
        <w:t>/</w:t>
      </w:r>
      <w:r>
        <w:rPr>
          <w:rFonts w:ascii="Times New Roman" w:hAnsi="Times New Roman"/>
          <w:sz w:val="24"/>
        </w:rPr>
        <w:t xml:space="preserve"> </w:t>
      </w:r>
    </w:p>
    <w:p w:rsidR="009C04D9" w:rsidRDefault="009C04D9" w:rsidP="009C04D9">
      <w:pPr>
        <w:spacing w:line="480" w:lineRule="auto"/>
        <w:ind w:left="720" w:firstLine="720"/>
        <w:rPr>
          <w:rFonts w:ascii="Times New Roman" w:hAnsi="Times New Roman"/>
          <w:sz w:val="24"/>
          <w:szCs w:val="24"/>
        </w:rPr>
      </w:pPr>
      <w:r>
        <w:rPr>
          <w:rFonts w:ascii="Times New Roman" w:hAnsi="Times New Roman"/>
          <w:sz w:val="24"/>
        </w:rPr>
        <w:lastRenderedPageBreak/>
        <w:t xml:space="preserve">Additionally, </w:t>
      </w:r>
      <w:r>
        <w:rPr>
          <w:rFonts w:ascii="Times New Roman" w:hAnsi="Times New Roman"/>
          <w:sz w:val="24"/>
          <w:szCs w:val="24"/>
        </w:rPr>
        <w:t>the Commission expected that customer use by class could deviate either above or below the established rate in a GRC.</w:t>
      </w:r>
      <w:r w:rsidRPr="00233BE3">
        <w:rPr>
          <w:rStyle w:val="FootnoteReference"/>
          <w:sz w:val="24"/>
          <w:szCs w:val="24"/>
        </w:rPr>
        <w:footnoteReference w:id="36"/>
      </w:r>
      <w:r w:rsidRPr="00D82651">
        <w:rPr>
          <w:rFonts w:ascii="Times New Roman" w:hAnsi="Times New Roman"/>
          <w:sz w:val="24"/>
          <w:szCs w:val="24"/>
          <w:vertAlign w:val="superscript"/>
        </w:rPr>
        <w:t>/</w:t>
      </w:r>
      <w:r>
        <w:rPr>
          <w:rFonts w:ascii="Times New Roman" w:hAnsi="Times New Roman"/>
          <w:sz w:val="24"/>
          <w:szCs w:val="24"/>
        </w:rPr>
        <w:t xml:space="preserve">  Accordingly, the Commission allowed for true-ups between GRCs, thereby facilitating more fair treatment—for both utilities and customers—in the allocation of gains or losses as a result of found or lost margin.  If the proposed use of per-customer decoupling is employed, however, new customers entering the class can never be accounted for as “found margin.”</w:t>
      </w:r>
      <w:r w:rsidRPr="00233BE3">
        <w:rPr>
          <w:rStyle w:val="FootnoteReference"/>
          <w:sz w:val="24"/>
          <w:szCs w:val="24"/>
        </w:rPr>
        <w:footnoteReference w:id="37"/>
      </w:r>
      <w:r w:rsidRPr="00D82651">
        <w:rPr>
          <w:rFonts w:ascii="Times New Roman" w:hAnsi="Times New Roman"/>
          <w:sz w:val="24"/>
          <w:szCs w:val="24"/>
          <w:vertAlign w:val="superscript"/>
        </w:rPr>
        <w:t>/</w:t>
      </w:r>
      <w:r>
        <w:rPr>
          <w:rFonts w:ascii="Times New Roman" w:hAnsi="Times New Roman"/>
          <w:sz w:val="24"/>
          <w:szCs w:val="24"/>
        </w:rPr>
        <w:t xml:space="preserve">  That is, the likelihood of underperformance by the class, as a whole, would increase because the revenue requirement would grow with each new customer.  </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t>DO YOU HAVE ANYTHING FURTHER TO ADD ON THIS POINT?</w:t>
      </w:r>
    </w:p>
    <w:p w:rsidR="009C04D9" w:rsidRPr="004F167B"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Yes.  While the Commission did recognize that found margin “associated with new customers is offset by the costs to serve those customers,”</w:t>
      </w:r>
      <w:r w:rsidRPr="00233BE3">
        <w:rPr>
          <w:rStyle w:val="FootnoteReference"/>
          <w:sz w:val="24"/>
          <w:szCs w:val="24"/>
        </w:rPr>
        <w:footnoteReference w:id="38"/>
      </w:r>
      <w:r w:rsidRPr="009D7CEE">
        <w:rPr>
          <w:rFonts w:ascii="Times New Roman" w:hAnsi="Times New Roman"/>
          <w:sz w:val="24"/>
          <w:szCs w:val="24"/>
          <w:vertAlign w:val="superscript"/>
        </w:rPr>
        <w:t>/</w:t>
      </w:r>
      <w:r>
        <w:rPr>
          <w:rFonts w:ascii="Times New Roman" w:hAnsi="Times New Roman"/>
          <w:sz w:val="24"/>
          <w:szCs w:val="24"/>
        </w:rPr>
        <w:t xml:space="preserve"> it also noted that when those costs and revenues are not in reasonable balance, the WUTC would consider excluding some or all of the new customer revenue from the true-up mechanism.</w:t>
      </w:r>
      <w:r w:rsidRPr="00233BE3">
        <w:rPr>
          <w:rStyle w:val="FootnoteReference"/>
          <w:sz w:val="24"/>
          <w:szCs w:val="24"/>
        </w:rPr>
        <w:footnoteReference w:id="39"/>
      </w:r>
      <w:r w:rsidRPr="009D7CEE">
        <w:rPr>
          <w:rFonts w:ascii="Times New Roman" w:hAnsi="Times New Roman"/>
          <w:sz w:val="24"/>
          <w:szCs w:val="24"/>
          <w:vertAlign w:val="superscript"/>
        </w:rPr>
        <w:t>/</w:t>
      </w:r>
      <w:r>
        <w:rPr>
          <w:rFonts w:ascii="Times New Roman" w:hAnsi="Times New Roman"/>
          <w:sz w:val="24"/>
          <w:szCs w:val="24"/>
        </w:rPr>
        <w:t xml:space="preserve">  In this decoupling proposal, PSE has not demonstrated that costs and revenues related to found margin are unreasonably balanced; notwithstanding, PSE still proposes to include new customers in the revenue requirement.  This distorts the balance of fairness between the utilities and customers, because it ensures the utility has a continually growing revenue requirement, effectively allowing the utility to potentially recover more than its authorized ROR—all without accounting for found margin</w:t>
      </w:r>
      <w:r>
        <w:rPr>
          <w:rFonts w:ascii="Times New Roman" w:hAnsi="Times New Roman"/>
          <w:sz w:val="24"/>
        </w:rPr>
        <w:t>.</w:t>
      </w:r>
    </w:p>
    <w:p w:rsidR="009C04D9" w:rsidRDefault="009C04D9" w:rsidP="00D573EC">
      <w:pPr>
        <w:keepNext/>
        <w:keepLines/>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HOW DOES THE K-FACTOR RELATE TO THE PER-CUSTOMER DECOUPLING PROPOSAL</w:t>
      </w:r>
      <w:r w:rsidRPr="004F167B">
        <w:rPr>
          <w:rFonts w:ascii="Times New Roman" w:hAnsi="Times New Roman"/>
          <w:b/>
          <w:sz w:val="24"/>
        </w:rPr>
        <w:t>?</w:t>
      </w:r>
    </w:p>
    <w:p w:rsidR="009C04D9" w:rsidRDefault="009C04D9" w:rsidP="009C04D9">
      <w:pPr>
        <w:spacing w:line="480" w:lineRule="auto"/>
        <w:ind w:left="720" w:hanging="720"/>
        <w:rPr>
          <w:rFonts w:ascii="Times New Roman" w:hAnsi="Times New Roman"/>
          <w:sz w:val="24"/>
          <w:szCs w:val="24"/>
          <w:u w:val="single"/>
          <w:vertAlign w:val="superscript"/>
        </w:rPr>
      </w:pPr>
      <w:r>
        <w:rPr>
          <w:rFonts w:ascii="Times New Roman" w:hAnsi="Times New Roman"/>
          <w:b/>
          <w:sz w:val="24"/>
        </w:rPr>
        <w:t>A.</w:t>
      </w:r>
      <w:r>
        <w:rPr>
          <w:rFonts w:ascii="Times New Roman" w:hAnsi="Times New Roman"/>
          <w:b/>
          <w:sz w:val="24"/>
        </w:rPr>
        <w:tab/>
      </w:r>
      <w:r>
        <w:rPr>
          <w:rFonts w:ascii="Times New Roman" w:hAnsi="Times New Roman"/>
          <w:sz w:val="24"/>
          <w:szCs w:val="24"/>
        </w:rPr>
        <w:t>The K-Factor further ensures that the decoupling proposal will result in a one-way ratchet up for rates, without incentivizing PSE to implement additional conservation measures.  A “K-factor is an adjustment used to increase or decrease overall growth in revenues between rate cases.”</w:t>
      </w:r>
      <w:r w:rsidRPr="00233BE3">
        <w:rPr>
          <w:rStyle w:val="FootnoteReference"/>
          <w:sz w:val="24"/>
          <w:szCs w:val="24"/>
        </w:rPr>
        <w:footnoteReference w:id="40"/>
      </w:r>
      <w:r w:rsidRPr="009D7CEE">
        <w:rPr>
          <w:rFonts w:ascii="Times New Roman" w:hAnsi="Times New Roman"/>
          <w:sz w:val="24"/>
          <w:szCs w:val="24"/>
          <w:vertAlign w:val="superscript"/>
        </w:rPr>
        <w:t>/</w:t>
      </w:r>
      <w:r>
        <w:rPr>
          <w:rFonts w:ascii="Times New Roman" w:hAnsi="Times New Roman"/>
          <w:sz w:val="24"/>
          <w:szCs w:val="24"/>
        </w:rPr>
        <w:t xml:space="preserve">  PSE’s decoupling proposal uses a K-factor of 1.03; in other words, an annual 3% attrition multiplier </w:t>
      </w:r>
      <w:r w:rsidR="00D573EC">
        <w:rPr>
          <w:rFonts w:ascii="Times New Roman" w:hAnsi="Times New Roman"/>
          <w:sz w:val="24"/>
          <w:szCs w:val="24"/>
        </w:rPr>
        <w:t>that</w:t>
      </w:r>
      <w:r>
        <w:rPr>
          <w:rFonts w:ascii="Times New Roman" w:hAnsi="Times New Roman"/>
          <w:sz w:val="24"/>
          <w:szCs w:val="24"/>
        </w:rPr>
        <w:t xml:space="preserve"> will be multiplied by the allowed delivery rate per customer (“</w:t>
      </w:r>
      <w:r w:rsidRPr="009D7CEE">
        <w:rPr>
          <w:rFonts w:ascii="Times New Roman" w:hAnsi="Times New Roman"/>
          <w:sz w:val="24"/>
          <w:szCs w:val="24"/>
        </w:rPr>
        <w:t>ADRPC</w:t>
      </w:r>
      <w:r>
        <w:rPr>
          <w:rFonts w:ascii="Times New Roman" w:hAnsi="Times New Roman"/>
          <w:sz w:val="24"/>
          <w:szCs w:val="24"/>
        </w:rPr>
        <w:t>”).  Using an annual growth rate for the K-factor “runs the risk of being disassociated from, and therefore out of sync with, measureable drivers of a utility’s cost of service.”</w:t>
      </w:r>
      <w:r w:rsidRPr="00233BE3">
        <w:rPr>
          <w:rStyle w:val="FootnoteReference"/>
          <w:sz w:val="24"/>
          <w:szCs w:val="24"/>
        </w:rPr>
        <w:footnoteReference w:id="41"/>
      </w:r>
      <w:r w:rsidRPr="009D7CEE">
        <w:rPr>
          <w:rFonts w:ascii="Times New Roman" w:hAnsi="Times New Roman"/>
          <w:sz w:val="24"/>
          <w:szCs w:val="24"/>
          <w:vertAlign w:val="superscript"/>
        </w:rPr>
        <w:t>/</w:t>
      </w:r>
    </w:p>
    <w:p w:rsidR="009C04D9" w:rsidRDefault="009C04D9" w:rsidP="009C04D9">
      <w:pPr>
        <w:spacing w:line="480" w:lineRule="auto"/>
        <w:ind w:left="720" w:hanging="720"/>
        <w:rPr>
          <w:rFonts w:ascii="Times New Roman" w:hAnsi="Times New Roman"/>
          <w:sz w:val="24"/>
          <w:szCs w:val="24"/>
        </w:rPr>
      </w:pPr>
      <w:r>
        <w:rPr>
          <w:rFonts w:ascii="Times New Roman" w:hAnsi="Times New Roman"/>
          <w:sz w:val="24"/>
        </w:rPr>
        <w:tab/>
      </w:r>
      <w:r>
        <w:rPr>
          <w:rFonts w:ascii="Times New Roman" w:hAnsi="Times New Roman"/>
          <w:sz w:val="24"/>
        </w:rPr>
        <w:tab/>
        <w:t xml:space="preserve">The </w:t>
      </w:r>
      <w:r>
        <w:rPr>
          <w:rFonts w:ascii="Times New Roman" w:hAnsi="Times New Roman"/>
          <w:sz w:val="24"/>
          <w:szCs w:val="24"/>
        </w:rPr>
        <w:t>cumulative effect of the K-factor-adjusted ADRPC and per-customer decoupling is that revenue requirement will continue to grow at a steady pace, but will not be offset by any found margin in the form of new customers.  The effect of these two policies ensures that the decoupling mechanism is a one-way ratchet to increase rates.  If accepted, the proposed mechanism would allow PSE to continually increase its revenue requirement while also increasing its ADRPC by three percent annually.  These policies effectively insulate PSE from losses as result of conservation and improperly shift the risk of loss from conservation measures to ratepayers.</w:t>
      </w:r>
    </w:p>
    <w:p w:rsidR="009C04D9"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 xml:space="preserve">HAVE ANY </w:t>
      </w:r>
      <w:r w:rsidRPr="00747B81">
        <w:rPr>
          <w:rFonts w:ascii="Times New Roman" w:hAnsi="Times New Roman"/>
          <w:b/>
          <w:sz w:val="24"/>
        </w:rPr>
        <w:t xml:space="preserve">PARTIES </w:t>
      </w:r>
      <w:r>
        <w:rPr>
          <w:rFonts w:ascii="Times New Roman" w:hAnsi="Times New Roman"/>
          <w:b/>
          <w:sz w:val="24"/>
        </w:rPr>
        <w:t xml:space="preserve">MADE STATEMENTS </w:t>
      </w:r>
      <w:r w:rsidRPr="00747B81">
        <w:rPr>
          <w:rFonts w:ascii="Times New Roman" w:hAnsi="Times New Roman"/>
          <w:b/>
          <w:sz w:val="24"/>
        </w:rPr>
        <w:t xml:space="preserve">SUPPORTING </w:t>
      </w:r>
      <w:r>
        <w:rPr>
          <w:rFonts w:ascii="Times New Roman" w:hAnsi="Times New Roman"/>
          <w:b/>
          <w:sz w:val="24"/>
        </w:rPr>
        <w:t>YOUR TESTIMONY ON THE ATTRITION FOCUS OF THE PROPOSAL?</w:t>
      </w:r>
    </w:p>
    <w:p w:rsidR="009C04D9" w:rsidRDefault="009C04D9" w:rsidP="009C04D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 xml:space="preserve">Yes.  As just explained, PSE’s decoupling mechanism and K-factor proposals would operate as attrition revenue recovery devices, increasing rates between GRCs while </w:t>
      </w:r>
      <w:r>
        <w:rPr>
          <w:rFonts w:ascii="Times New Roman" w:hAnsi="Times New Roman"/>
          <w:sz w:val="24"/>
          <w:szCs w:val="24"/>
        </w:rPr>
        <w:lastRenderedPageBreak/>
        <w:t>failing to incentivize conservation; however, express statements made in these dockets also indicate that the proposal has been designed to address attrition rather than decoupling.</w:t>
      </w:r>
    </w:p>
    <w:p w:rsidR="009C04D9" w:rsidRPr="004F167B"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HAVE YOU REVIEWED THE DEPOSITION TRANSCRIPT OF STAFF WITNESS DEBORAH J. REYNOLDS</w:t>
      </w:r>
      <w:r w:rsidRPr="004F167B">
        <w:rPr>
          <w:rFonts w:ascii="Times New Roman" w:hAnsi="Times New Roman"/>
          <w:b/>
          <w:sz w:val="24"/>
        </w:rPr>
        <w:t>?</w:t>
      </w:r>
    </w:p>
    <w:p w:rsidR="009C04D9" w:rsidRDefault="009C04D9" w:rsidP="00202347">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Yes.  Later</w:t>
      </w:r>
      <w:r w:rsidR="00223F28">
        <w:rPr>
          <w:rFonts w:ascii="Times New Roman" w:hAnsi="Times New Roman"/>
          <w:sz w:val="24"/>
        </w:rPr>
        <w:t>,</w:t>
      </w:r>
      <w:r>
        <w:rPr>
          <w:rFonts w:ascii="Times New Roman" w:hAnsi="Times New Roman"/>
          <w:sz w:val="24"/>
        </w:rPr>
        <w:t xml:space="preserve"> I discuss the surprising reversal of Ms. Reynold</w:t>
      </w:r>
      <w:r w:rsidR="00FA4145">
        <w:rPr>
          <w:rFonts w:ascii="Times New Roman" w:hAnsi="Times New Roman"/>
          <w:sz w:val="24"/>
        </w:rPr>
        <w:t>’</w:t>
      </w:r>
      <w:r>
        <w:rPr>
          <w:rFonts w:ascii="Times New Roman" w:hAnsi="Times New Roman"/>
          <w:sz w:val="24"/>
        </w:rPr>
        <w:t>s</w:t>
      </w:r>
      <w:r w:rsidR="00FA4145">
        <w:rPr>
          <w:rFonts w:ascii="Times New Roman" w:hAnsi="Times New Roman"/>
          <w:sz w:val="24"/>
        </w:rPr>
        <w:t xml:space="preserve"> positioning on these matters</w:t>
      </w:r>
      <w:r w:rsidR="00202347">
        <w:rPr>
          <w:rFonts w:ascii="Times New Roman" w:hAnsi="Times New Roman"/>
          <w:sz w:val="24"/>
        </w:rPr>
        <w:t>.  Ms. Reynolds</w:t>
      </w:r>
      <w:r>
        <w:rPr>
          <w:rFonts w:ascii="Times New Roman" w:hAnsi="Times New Roman"/>
          <w:sz w:val="24"/>
        </w:rPr>
        <w:t xml:space="preserve"> articulated some cogent arguments in Staff testimony in the PSE 2011 GRC defending the Policy Statement.</w:t>
      </w:r>
      <w:r>
        <w:rPr>
          <w:rStyle w:val="FootnoteReference"/>
          <w:sz w:val="24"/>
        </w:rPr>
        <w:footnoteReference w:id="42"/>
      </w:r>
      <w:r w:rsidRPr="009D7CEE">
        <w:rPr>
          <w:rFonts w:ascii="Times New Roman" w:hAnsi="Times New Roman"/>
          <w:sz w:val="24"/>
          <w:vertAlign w:val="superscript"/>
        </w:rPr>
        <w:t>/</w:t>
      </w:r>
      <w:r>
        <w:rPr>
          <w:rFonts w:ascii="Times New Roman" w:hAnsi="Times New Roman"/>
          <w:sz w:val="24"/>
        </w:rPr>
        <w:t xml:space="preserve">  She now supports PSE’s decoupling proposal and has submitted testimony in these dockets </w:t>
      </w:r>
      <w:r w:rsidR="00202347">
        <w:rPr>
          <w:rFonts w:ascii="Times New Roman" w:hAnsi="Times New Roman"/>
          <w:sz w:val="24"/>
        </w:rPr>
        <w:t>reversing her position</w:t>
      </w:r>
      <w:r>
        <w:rPr>
          <w:rFonts w:ascii="Times New Roman" w:hAnsi="Times New Roman"/>
          <w:sz w:val="24"/>
        </w:rPr>
        <w:t xml:space="preserve">.  </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b/>
      </w:r>
      <w:r>
        <w:rPr>
          <w:rFonts w:ascii="Times New Roman" w:hAnsi="Times New Roman"/>
          <w:b/>
          <w:sz w:val="24"/>
        </w:rPr>
        <w:tab/>
      </w:r>
      <w:r w:rsidR="00223F28">
        <w:rPr>
          <w:rFonts w:ascii="Times New Roman" w:hAnsi="Times New Roman"/>
          <w:sz w:val="24"/>
        </w:rPr>
        <w:t>In</w:t>
      </w:r>
      <w:r>
        <w:rPr>
          <w:rFonts w:ascii="Times New Roman" w:hAnsi="Times New Roman"/>
          <w:sz w:val="24"/>
        </w:rPr>
        <w:t xml:space="preserve"> Ms. Reynolds’ deposition taken on April 2, 2013, she describes herself as an expert on decoupling</w:t>
      </w:r>
      <w:r w:rsidR="00FA4145">
        <w:rPr>
          <w:rFonts w:ascii="Times New Roman" w:hAnsi="Times New Roman"/>
          <w:sz w:val="24"/>
        </w:rPr>
        <w:t>,</w:t>
      </w:r>
      <w:r>
        <w:rPr>
          <w:rFonts w:ascii="Times New Roman" w:hAnsi="Times New Roman"/>
          <w:sz w:val="24"/>
        </w:rPr>
        <w:t xml:space="preserve"> but not an expert on attrition.</w:t>
      </w:r>
      <w:r>
        <w:rPr>
          <w:rStyle w:val="FootnoteReference"/>
          <w:sz w:val="24"/>
          <w:szCs w:val="24"/>
        </w:rPr>
        <w:footnoteReference w:id="43"/>
      </w:r>
      <w:r w:rsidRPr="009D7CEE">
        <w:rPr>
          <w:rFonts w:ascii="Times New Roman" w:hAnsi="Times New Roman"/>
          <w:sz w:val="24"/>
          <w:szCs w:val="24"/>
          <w:vertAlign w:val="superscript"/>
        </w:rPr>
        <w:t>/</w:t>
      </w:r>
      <w:r>
        <w:rPr>
          <w:rFonts w:ascii="Times New Roman" w:hAnsi="Times New Roman"/>
          <w:sz w:val="24"/>
        </w:rPr>
        <w:t xml:space="preserve">  I point this out because, in reference to the PSE decoupling proposal, Ms. Reynolds candidly stated:  “With all due respect, this mechanism is not a conservation impact mechanism . . . . It addresses all change in load from the economy . . . from weather.  All changes in load from the economy.  From weather.  All of them.”</w:t>
      </w:r>
      <w:r>
        <w:rPr>
          <w:rStyle w:val="FootnoteReference"/>
          <w:sz w:val="24"/>
          <w:szCs w:val="24"/>
        </w:rPr>
        <w:footnoteReference w:id="44"/>
      </w:r>
      <w:r w:rsidRPr="009D7CEE">
        <w:rPr>
          <w:rFonts w:ascii="Times New Roman" w:hAnsi="Times New Roman"/>
          <w:i/>
          <w:sz w:val="24"/>
          <w:szCs w:val="24"/>
          <w:vertAlign w:val="superscript"/>
        </w:rPr>
        <w:t>/</w:t>
      </w:r>
      <w:r>
        <w:rPr>
          <w:rFonts w:ascii="Times New Roman" w:hAnsi="Times New Roman"/>
          <w:sz w:val="24"/>
        </w:rPr>
        <w:t xml:space="preserve">  </w:t>
      </w:r>
      <w:r w:rsidRPr="00465FAB">
        <w:rPr>
          <w:rFonts w:ascii="Times New Roman" w:hAnsi="Times New Roman"/>
          <w:sz w:val="24"/>
        </w:rPr>
        <w:t xml:space="preserve">According to </w:t>
      </w:r>
      <w:r>
        <w:rPr>
          <w:rFonts w:ascii="Times New Roman" w:hAnsi="Times New Roman"/>
          <w:sz w:val="24"/>
        </w:rPr>
        <w:t xml:space="preserve">Staff, therefore, PSE’s decoupling proposal seems to concern everything except </w:t>
      </w:r>
      <w:r w:rsidR="008D7667">
        <w:rPr>
          <w:rFonts w:ascii="Times New Roman" w:hAnsi="Times New Roman"/>
          <w:sz w:val="24"/>
        </w:rPr>
        <w:t xml:space="preserve">the true impacts from </w:t>
      </w:r>
      <w:r>
        <w:rPr>
          <w:rFonts w:ascii="Times New Roman" w:hAnsi="Times New Roman"/>
          <w:sz w:val="24"/>
        </w:rPr>
        <w:t>conservation.  Ms. Reynolds explained that the proposal “can effectively act as an attrition adjustment.”</w:t>
      </w:r>
      <w:r>
        <w:rPr>
          <w:rStyle w:val="FootnoteReference"/>
          <w:sz w:val="24"/>
          <w:szCs w:val="24"/>
        </w:rPr>
        <w:footnoteReference w:id="45"/>
      </w:r>
      <w:r w:rsidRPr="009D7CEE">
        <w:rPr>
          <w:rFonts w:ascii="Times New Roman" w:hAnsi="Times New Roman"/>
          <w:sz w:val="24"/>
          <w:szCs w:val="24"/>
          <w:vertAlign w:val="superscript"/>
        </w:rPr>
        <w:t>/</w:t>
      </w:r>
      <w:r>
        <w:rPr>
          <w:rFonts w:ascii="Times New Roman" w:hAnsi="Times New Roman"/>
          <w:sz w:val="24"/>
        </w:rPr>
        <w:t xml:space="preserve">  </w:t>
      </w:r>
    </w:p>
    <w:p w:rsidR="009C04D9" w:rsidRPr="00771D40" w:rsidRDefault="009C04D9" w:rsidP="009C04D9">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Staff’s decoupling expert, who is not an expert on attrition (in fact, Ms. Reynolds could not identify anyone on Staff as an expert on attrition)</w:t>
      </w:r>
      <w:r>
        <w:rPr>
          <w:rStyle w:val="FootnoteReference"/>
          <w:sz w:val="24"/>
        </w:rPr>
        <w:footnoteReference w:id="46"/>
      </w:r>
      <w:r w:rsidRPr="00B702A9">
        <w:rPr>
          <w:rFonts w:ascii="Times New Roman" w:hAnsi="Times New Roman"/>
          <w:sz w:val="24"/>
          <w:szCs w:val="24"/>
          <w:vertAlign w:val="superscript"/>
        </w:rPr>
        <w:t>/</w:t>
      </w:r>
      <w:r>
        <w:rPr>
          <w:rFonts w:ascii="Times New Roman" w:hAnsi="Times New Roman"/>
          <w:sz w:val="24"/>
        </w:rPr>
        <w:t xml:space="preserve"> seems to be supporting a mechanism functioning as an attrition adjustment and having very little to do with </w:t>
      </w:r>
      <w:r>
        <w:rPr>
          <w:rFonts w:ascii="Times New Roman" w:hAnsi="Times New Roman"/>
          <w:sz w:val="24"/>
        </w:rPr>
        <w:lastRenderedPageBreak/>
        <w:t>conservation and decoupling.  As Ms. Reynolds is unaware of any conservation opportunities that even exist beyond what PSE is currently doing,</w:t>
      </w:r>
      <w:r>
        <w:rPr>
          <w:rStyle w:val="FootnoteReference"/>
          <w:sz w:val="24"/>
          <w:szCs w:val="24"/>
        </w:rPr>
        <w:footnoteReference w:id="47"/>
      </w:r>
      <w:r w:rsidRPr="009D7CEE">
        <w:rPr>
          <w:rFonts w:ascii="Times New Roman" w:hAnsi="Times New Roman"/>
          <w:sz w:val="24"/>
          <w:szCs w:val="24"/>
          <w:vertAlign w:val="superscript"/>
        </w:rPr>
        <w:t>/</w:t>
      </w:r>
      <w:r>
        <w:rPr>
          <w:rFonts w:ascii="Times New Roman" w:hAnsi="Times New Roman"/>
          <w:sz w:val="24"/>
          <w:szCs w:val="24"/>
        </w:rPr>
        <w:t xml:space="preserve"> consideration of the proposal as a true decoupling mechanism is problematic, to say the least.</w:t>
      </w:r>
    </w:p>
    <w:p w:rsidR="009C04D9" w:rsidRPr="004F167B"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THE POLICY STATEMENT REQUIRES CONDITIONING A DECOUPLING MECHANISM RECOVERY ON CONSERVATION TARGET ACHIEVEMENT—IS THIS REQUIREMENT MET BY THE PROPOSAL</w:t>
      </w:r>
      <w:r w:rsidRPr="004F167B">
        <w:rPr>
          <w:rFonts w:ascii="Times New Roman" w:hAnsi="Times New Roman"/>
          <w:b/>
          <w:sz w:val="24"/>
        </w:rPr>
        <w:t>?</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No.  Even Staff, which supports the decoupling proposal, admits that PSE’s decoupling revenue recovery is not conditioned upon conservation target achievement.</w:t>
      </w:r>
      <w:r w:rsidRPr="00233BE3">
        <w:rPr>
          <w:rStyle w:val="FootnoteReference"/>
          <w:sz w:val="24"/>
          <w:szCs w:val="24"/>
        </w:rPr>
        <w:footnoteReference w:id="48"/>
      </w:r>
      <w:r w:rsidRPr="009D7CEE">
        <w:rPr>
          <w:rFonts w:ascii="Times New Roman" w:hAnsi="Times New Roman"/>
          <w:sz w:val="24"/>
          <w:szCs w:val="24"/>
          <w:vertAlign w:val="superscript"/>
        </w:rPr>
        <w:t>/</w:t>
      </w:r>
      <w:r>
        <w:rPr>
          <w:rFonts w:ascii="Times New Roman" w:hAnsi="Times New Roman"/>
          <w:sz w:val="24"/>
        </w:rPr>
        <w:t xml:space="preserve">   Rather, PSE has alternatively agreed to submit to financial penalties for failing to reach a certain level in excess of its biennial conservation target.</w:t>
      </w:r>
      <w:r w:rsidRPr="00233BE3">
        <w:rPr>
          <w:rStyle w:val="FootnoteReference"/>
          <w:sz w:val="24"/>
          <w:szCs w:val="24"/>
        </w:rPr>
        <w:footnoteReference w:id="49"/>
      </w:r>
      <w:r w:rsidRPr="009D7CEE">
        <w:rPr>
          <w:rFonts w:ascii="Times New Roman" w:hAnsi="Times New Roman"/>
          <w:sz w:val="24"/>
          <w:szCs w:val="24"/>
          <w:vertAlign w:val="superscript"/>
        </w:rPr>
        <w:t>/</w:t>
      </w:r>
      <w:r>
        <w:rPr>
          <w:rFonts w:ascii="Times New Roman" w:hAnsi="Times New Roman"/>
          <w:sz w:val="24"/>
        </w:rPr>
        <w:t xml:space="preserve"> </w:t>
      </w:r>
    </w:p>
    <w:p w:rsidR="009C04D9" w:rsidRPr="004F167B"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 YOU HAVE ANY RESERVATIONS CONCERNING PSE’S ALTERNATIVE PROPOSAL AS A SUBSTITUTE FOR THE POLICY REQUIREMENT</w:t>
      </w:r>
      <w:r w:rsidRPr="004F167B">
        <w:rPr>
          <w:rFonts w:ascii="Times New Roman" w:hAnsi="Times New Roman"/>
          <w:b/>
          <w:sz w:val="24"/>
        </w:rPr>
        <w:t>?</w:t>
      </w:r>
    </w:p>
    <w:p w:rsidR="009C04D9" w:rsidRDefault="009C04D9" w:rsidP="009C04D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rPr>
        <w:t>Yes, I have serious reservations.  Under the Policy Statement, decoupling mechanism revenue recovery “will be conditioned upon a utility’s level of achievement with respect to its conservation target.”</w:t>
      </w:r>
      <w:r w:rsidRPr="00233BE3">
        <w:rPr>
          <w:rStyle w:val="FootnoteReference"/>
          <w:sz w:val="24"/>
          <w:szCs w:val="24"/>
        </w:rPr>
        <w:footnoteReference w:id="50"/>
      </w:r>
      <w:r w:rsidRPr="009D7CEE">
        <w:rPr>
          <w:rFonts w:ascii="Times New Roman" w:hAnsi="Times New Roman"/>
          <w:sz w:val="24"/>
          <w:szCs w:val="24"/>
          <w:vertAlign w:val="superscript"/>
        </w:rPr>
        <w:t>/</w:t>
      </w:r>
      <w:r>
        <w:rPr>
          <w:rFonts w:ascii="Times New Roman" w:hAnsi="Times New Roman"/>
          <w:sz w:val="24"/>
          <w:szCs w:val="24"/>
        </w:rPr>
        <w:t xml:space="preserve">  Conversely, and as explained in some detail above, PSE’s decoupling proposal assures rate increases will continue at a steady pace, independent of conservation achievement.  Conservation achievement under the Policy Statement should be an absolute prerequisite for any decoupling recovery, addressing the concern that “the utility could lose some of its incentive to manage the company in a manner that constantly looks to reduce costs.”</w:t>
      </w:r>
      <w:r w:rsidRPr="00233BE3">
        <w:rPr>
          <w:rStyle w:val="FootnoteReference"/>
          <w:sz w:val="24"/>
          <w:szCs w:val="24"/>
        </w:rPr>
        <w:footnoteReference w:id="51"/>
      </w:r>
      <w:r w:rsidRPr="009D7CEE">
        <w:rPr>
          <w:rFonts w:ascii="Times New Roman" w:hAnsi="Times New Roman"/>
          <w:sz w:val="24"/>
          <w:szCs w:val="24"/>
          <w:vertAlign w:val="superscript"/>
        </w:rPr>
        <w:t>/</w:t>
      </w:r>
      <w:r>
        <w:rPr>
          <w:rFonts w:ascii="Times New Roman" w:hAnsi="Times New Roman"/>
          <w:sz w:val="24"/>
          <w:szCs w:val="24"/>
        </w:rPr>
        <w:t xml:space="preserve">  To assuage such “lingering concerns,” the Policy </w:t>
      </w:r>
      <w:r>
        <w:rPr>
          <w:rFonts w:ascii="Times New Roman" w:hAnsi="Times New Roman"/>
          <w:sz w:val="24"/>
          <w:szCs w:val="24"/>
        </w:rPr>
        <w:lastRenderedPageBreak/>
        <w:t>Statement “require[s] evidence” concerning “possible reduced incentives for companies to manage in an efficient manner.”</w:t>
      </w:r>
      <w:r w:rsidRPr="00233BE3">
        <w:rPr>
          <w:rStyle w:val="FootnoteReference"/>
          <w:sz w:val="24"/>
          <w:szCs w:val="24"/>
        </w:rPr>
        <w:footnoteReference w:id="52"/>
      </w:r>
      <w:r w:rsidRPr="009D7CEE">
        <w:rPr>
          <w:rFonts w:ascii="Times New Roman" w:hAnsi="Times New Roman"/>
          <w:sz w:val="24"/>
          <w:szCs w:val="24"/>
          <w:vertAlign w:val="superscript"/>
        </w:rPr>
        <w:t>/</w:t>
      </w:r>
      <w:r>
        <w:rPr>
          <w:rFonts w:ascii="Times New Roman" w:hAnsi="Times New Roman"/>
          <w:sz w:val="24"/>
          <w:szCs w:val="24"/>
        </w:rPr>
        <w:t xml:space="preserve">  </w:t>
      </w:r>
    </w:p>
    <w:p w:rsidR="009C04D9" w:rsidRDefault="009C04D9" w:rsidP="009C04D9">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PSE’s pledge to “submit itself to penalties equivalent to those outlined in RCW 19.285”</w:t>
      </w:r>
      <w:r w:rsidRPr="00233BE3">
        <w:rPr>
          <w:rStyle w:val="FootnoteReference"/>
          <w:sz w:val="24"/>
          <w:szCs w:val="24"/>
        </w:rPr>
        <w:footnoteReference w:id="53"/>
      </w:r>
      <w:r w:rsidRPr="00567D7D">
        <w:rPr>
          <w:rFonts w:ascii="Times New Roman" w:hAnsi="Times New Roman"/>
          <w:sz w:val="24"/>
          <w:szCs w:val="24"/>
          <w:vertAlign w:val="superscript"/>
        </w:rPr>
        <w:t>/</w:t>
      </w:r>
      <w:r>
        <w:rPr>
          <w:rFonts w:ascii="Times New Roman" w:hAnsi="Times New Roman"/>
          <w:sz w:val="24"/>
          <w:szCs w:val="24"/>
        </w:rPr>
        <w:t xml:space="preserve"> is </w:t>
      </w:r>
      <w:r w:rsidR="008D7667">
        <w:rPr>
          <w:rFonts w:ascii="Times New Roman" w:hAnsi="Times New Roman"/>
          <w:sz w:val="24"/>
          <w:szCs w:val="24"/>
        </w:rPr>
        <w:t>little</w:t>
      </w:r>
      <w:r>
        <w:rPr>
          <w:rFonts w:ascii="Times New Roman" w:hAnsi="Times New Roman"/>
          <w:sz w:val="24"/>
          <w:szCs w:val="24"/>
        </w:rPr>
        <w:t xml:space="preserve"> evidence that the Company will remain incentivized to manage efficiently once decoupling revenues are assured.  PSE does not cite to any cost analyses showing Energy Independence Act (“EIA”) penalties as being commensurate with proposed decoupling revenue increases.  For its part, Staff simply “accepts the application of EIA penalties” as a substitute for the Policy Statement conservation achievement requirement.</w:t>
      </w:r>
      <w:r w:rsidRPr="00233BE3">
        <w:rPr>
          <w:rStyle w:val="FootnoteReference"/>
          <w:sz w:val="24"/>
          <w:szCs w:val="24"/>
        </w:rPr>
        <w:footnoteReference w:id="54"/>
      </w:r>
      <w:r w:rsidRPr="00826452">
        <w:rPr>
          <w:rFonts w:ascii="Times New Roman" w:hAnsi="Times New Roman"/>
          <w:sz w:val="24"/>
          <w:szCs w:val="24"/>
          <w:vertAlign w:val="superscript"/>
        </w:rPr>
        <w:t xml:space="preserve">/ </w:t>
      </w:r>
      <w:r>
        <w:rPr>
          <w:rFonts w:ascii="Times New Roman" w:hAnsi="Times New Roman"/>
          <w:sz w:val="24"/>
          <w:szCs w:val="24"/>
        </w:rPr>
        <w:t xml:space="preserve">  Nevertheless, in keeping with the evidentiary showing mandated in the Policy Statement, PSE should be required to positively demonstrate that possible EIA penalties will be of sufficient consequence to assure that the Company will continue to be incentivized to manage its conservation programs efficiently and on a cost-effective basis.</w:t>
      </w:r>
    </w:p>
    <w:p w:rsidR="009C04D9" w:rsidRPr="004F167B"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 YOU HAVE ANY FURTHER CONCERNS REGARDING PSE’S ALTERNATIVE PROPOSAL</w:t>
      </w:r>
      <w:r w:rsidRPr="004F167B">
        <w:rPr>
          <w:rFonts w:ascii="Times New Roman" w:hAnsi="Times New Roman"/>
          <w:b/>
          <w:sz w:val="24"/>
        </w:rPr>
        <w:t>?</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Yes. </w:t>
      </w:r>
      <w:r>
        <w:rPr>
          <w:rFonts w:ascii="Times New Roman" w:hAnsi="Times New Roman"/>
          <w:sz w:val="24"/>
          <w:szCs w:val="24"/>
        </w:rPr>
        <w:t xml:space="preserve"> Under the Policy Statement, </w:t>
      </w:r>
      <w:r w:rsidRPr="00A17730">
        <w:rPr>
          <w:rFonts w:ascii="Times New Roman" w:hAnsi="Times New Roman"/>
          <w:sz w:val="24"/>
        </w:rPr>
        <w:t xml:space="preserve">electric utilities that demonstrate achievement above their EIA target must show why the additional conservation was not part of </w:t>
      </w:r>
      <w:r>
        <w:rPr>
          <w:rFonts w:ascii="Times New Roman" w:hAnsi="Times New Roman"/>
          <w:sz w:val="24"/>
        </w:rPr>
        <w:t>their</w:t>
      </w:r>
      <w:r w:rsidRPr="00A17730">
        <w:rPr>
          <w:rFonts w:ascii="Times New Roman" w:hAnsi="Times New Roman"/>
          <w:sz w:val="24"/>
        </w:rPr>
        <w:t xml:space="preserve"> initial EIA forecast before </w:t>
      </w:r>
      <w:r>
        <w:rPr>
          <w:rFonts w:ascii="Times New Roman" w:hAnsi="Times New Roman"/>
          <w:sz w:val="24"/>
        </w:rPr>
        <w:t>they</w:t>
      </w:r>
      <w:r w:rsidRPr="00A17730">
        <w:rPr>
          <w:rFonts w:ascii="Times New Roman" w:hAnsi="Times New Roman"/>
          <w:sz w:val="24"/>
        </w:rPr>
        <w:t xml:space="preserve"> can be eligible for incentives.</w:t>
      </w:r>
      <w:r>
        <w:rPr>
          <w:rStyle w:val="FootnoteReference"/>
          <w:sz w:val="24"/>
        </w:rPr>
        <w:footnoteReference w:id="55"/>
      </w:r>
      <w:r>
        <w:rPr>
          <w:rFonts w:ascii="Times New Roman" w:hAnsi="Times New Roman"/>
          <w:sz w:val="24"/>
          <w:vertAlign w:val="superscript"/>
        </w:rPr>
        <w:t>/</w:t>
      </w:r>
      <w:r>
        <w:rPr>
          <w:rFonts w:ascii="Times New Roman" w:hAnsi="Times New Roman"/>
          <w:sz w:val="24"/>
        </w:rPr>
        <w:t xml:space="preserve">  Thus, PSE’s offer to exceed conservation targets raises an issue as to the appropriateness of those initial targets.  Recognizing the potential for utilities to understate conservation targets in order to easily exceed them, the Commission has pledged to examine proposals offering to exceed </w:t>
      </w:r>
      <w:r>
        <w:rPr>
          <w:rFonts w:ascii="Times New Roman" w:hAnsi="Times New Roman"/>
          <w:sz w:val="24"/>
        </w:rPr>
        <w:lastRenderedPageBreak/>
        <w:t>conservation targets “thoroughly.”</w:t>
      </w:r>
      <w:r>
        <w:rPr>
          <w:rStyle w:val="FootnoteReference"/>
          <w:sz w:val="24"/>
        </w:rPr>
        <w:footnoteReference w:id="56"/>
      </w:r>
      <w:r>
        <w:rPr>
          <w:rFonts w:ascii="Times New Roman" w:hAnsi="Times New Roman"/>
          <w:sz w:val="24"/>
          <w:vertAlign w:val="superscript"/>
        </w:rPr>
        <w:t>/</w:t>
      </w:r>
      <w:r>
        <w:rPr>
          <w:rFonts w:ascii="Times New Roman" w:hAnsi="Times New Roman"/>
          <w:sz w:val="24"/>
        </w:rPr>
        <w:t xml:space="preserve">  At a minimum, therefore, PSE should be required to supply far more detail on its alternative to the conservation achievement test required by the Policy Statement.</w:t>
      </w:r>
      <w:r w:rsidR="008D7667">
        <w:rPr>
          <w:rFonts w:ascii="Times New Roman" w:hAnsi="Times New Roman"/>
          <w:sz w:val="24"/>
        </w:rPr>
        <w:t xml:space="preserve">  PSE has simply not presented enough evidence for a thorough Commission evaluation.</w:t>
      </w:r>
    </w:p>
    <w:p w:rsidR="009C04D9" w:rsidRPr="00802C6A" w:rsidRDefault="009C04D9" w:rsidP="009C04D9">
      <w:pPr>
        <w:spacing w:line="480" w:lineRule="auto"/>
        <w:ind w:left="720" w:hanging="720"/>
        <w:rPr>
          <w:rFonts w:ascii="Times New Roman" w:hAnsi="Times New Roman"/>
          <w:sz w:val="24"/>
          <w:szCs w:val="24"/>
        </w:rPr>
      </w:pPr>
      <w:r>
        <w:rPr>
          <w:rFonts w:ascii="Times New Roman" w:hAnsi="Times New Roman"/>
          <w:b/>
          <w:sz w:val="24"/>
        </w:rPr>
        <w:tab/>
      </w:r>
      <w:r>
        <w:rPr>
          <w:rFonts w:ascii="Times New Roman" w:hAnsi="Times New Roman"/>
          <w:b/>
          <w:sz w:val="24"/>
        </w:rPr>
        <w:tab/>
      </w:r>
      <w:r>
        <w:rPr>
          <w:rFonts w:ascii="Times New Roman" w:hAnsi="Times New Roman"/>
          <w:sz w:val="24"/>
        </w:rPr>
        <w:t xml:space="preserve">The Commission’s stance on this issue cannot be taken lightly.  </w:t>
      </w:r>
      <w:r w:rsidRPr="00A17730">
        <w:rPr>
          <w:rFonts w:ascii="Times New Roman" w:hAnsi="Times New Roman"/>
          <w:sz w:val="24"/>
        </w:rPr>
        <w:t>Washington law requires a utility to acquire all feasible, reliable conservation that is cost-effective.</w:t>
      </w:r>
      <w:r>
        <w:rPr>
          <w:rStyle w:val="FootnoteReference"/>
          <w:sz w:val="24"/>
        </w:rPr>
        <w:footnoteReference w:id="57"/>
      </w:r>
      <w:r w:rsidRPr="00826452">
        <w:rPr>
          <w:rFonts w:ascii="Times New Roman" w:hAnsi="Times New Roman"/>
          <w:sz w:val="24"/>
          <w:szCs w:val="24"/>
          <w:vertAlign w:val="superscript"/>
        </w:rPr>
        <w:t>/</w:t>
      </w:r>
      <w:r w:rsidRPr="00A17730">
        <w:rPr>
          <w:rFonts w:ascii="Times New Roman" w:hAnsi="Times New Roman"/>
          <w:sz w:val="24"/>
        </w:rPr>
        <w:t xml:space="preserve">  Thus, a utility’s conservation target is set to include all cost-effective conservation.  The implication is that any additional conservation is not cost-effective.  The Commission has stated that it is not permitted “to provide incentives to acquire conservation that is not cost-effective.”</w:t>
      </w:r>
      <w:r>
        <w:rPr>
          <w:rStyle w:val="FootnoteReference"/>
          <w:sz w:val="24"/>
        </w:rPr>
        <w:footnoteReference w:id="58"/>
      </w:r>
      <w:r>
        <w:rPr>
          <w:rFonts w:ascii="Times New Roman" w:hAnsi="Times New Roman"/>
          <w:sz w:val="24"/>
          <w:vertAlign w:val="superscript"/>
        </w:rPr>
        <w:t>/</w:t>
      </w:r>
      <w:r w:rsidRPr="00A17730">
        <w:rPr>
          <w:rFonts w:ascii="Times New Roman" w:hAnsi="Times New Roman"/>
          <w:sz w:val="24"/>
        </w:rPr>
        <w:t xml:space="preserve">  </w:t>
      </w:r>
      <w:r>
        <w:rPr>
          <w:rFonts w:ascii="Times New Roman" w:hAnsi="Times New Roman"/>
          <w:sz w:val="24"/>
        </w:rPr>
        <w:t>To that end, a</w:t>
      </w:r>
      <w:r w:rsidRPr="00A17730">
        <w:rPr>
          <w:rFonts w:ascii="Times New Roman" w:hAnsi="Times New Roman"/>
          <w:sz w:val="24"/>
        </w:rPr>
        <w:t xml:space="preserve"> utility can propose an incentive program that captures only that limited amount of new conservation that becomes cost-effective because of external events</w:t>
      </w:r>
      <w:r>
        <w:rPr>
          <w:rFonts w:ascii="Times New Roman" w:hAnsi="Times New Roman"/>
          <w:sz w:val="24"/>
        </w:rPr>
        <w:t>,</w:t>
      </w:r>
      <w:r w:rsidRPr="00A17730">
        <w:rPr>
          <w:rFonts w:ascii="Times New Roman" w:hAnsi="Times New Roman"/>
          <w:sz w:val="24"/>
        </w:rPr>
        <w:t xml:space="preserve"> such as the development of new technology or the appearance of newly available federal or other matching funds. </w:t>
      </w:r>
      <w:r>
        <w:rPr>
          <w:rFonts w:ascii="Times New Roman" w:hAnsi="Times New Roman"/>
          <w:sz w:val="24"/>
        </w:rPr>
        <w:t xml:space="preserve"> But, in this case, PSE has done nothing to establish that exceeding its conservation targets would be cost-effective.  Consequently, its alternative proposal to the achievement test of the Policy Statement should not be accepted.</w:t>
      </w:r>
      <w:r w:rsidRPr="00A17730">
        <w:rPr>
          <w:rFonts w:ascii="Times New Roman" w:hAnsi="Times New Roman"/>
          <w:sz w:val="24"/>
        </w:rPr>
        <w:t xml:space="preserve"> </w:t>
      </w:r>
    </w:p>
    <w:p w:rsidR="009C04D9" w:rsidRPr="004F167B" w:rsidRDefault="009C04D9" w:rsidP="009C04D9">
      <w:pPr>
        <w:spacing w:after="240"/>
        <w:ind w:left="720" w:hanging="720"/>
        <w:rPr>
          <w:rFonts w:ascii="Times New Roman" w:hAnsi="Times New Roman"/>
          <w:b/>
          <w:sz w:val="24"/>
        </w:rPr>
      </w:pPr>
      <w:r w:rsidRPr="00A939EE">
        <w:rPr>
          <w:rFonts w:ascii="Times New Roman" w:hAnsi="Times New Roman"/>
          <w:b/>
          <w:sz w:val="24"/>
        </w:rPr>
        <w:t>Q.</w:t>
      </w:r>
      <w:r w:rsidRPr="00A939EE">
        <w:rPr>
          <w:rFonts w:ascii="Times New Roman" w:hAnsi="Times New Roman"/>
          <w:b/>
          <w:sz w:val="24"/>
        </w:rPr>
        <w:tab/>
      </w:r>
      <w:r>
        <w:rPr>
          <w:rFonts w:ascii="Times New Roman" w:hAnsi="Times New Roman"/>
          <w:b/>
          <w:sz w:val="24"/>
        </w:rPr>
        <w:t>DOES THE PROPOSED TRUE-UP MECHANISM COMPLY WITH COMMISSION STANDARDS</w:t>
      </w:r>
      <w:r w:rsidRPr="00A939EE">
        <w:rPr>
          <w:rFonts w:ascii="Times New Roman" w:hAnsi="Times New Roman"/>
          <w:b/>
          <w:sz w:val="24"/>
        </w:rPr>
        <w:t>?</w:t>
      </w:r>
    </w:p>
    <w:p w:rsidR="009C04D9" w:rsidRPr="003A1D36" w:rsidRDefault="009C04D9" w:rsidP="003A1D36">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No.  </w:t>
      </w:r>
      <w:r>
        <w:rPr>
          <w:rFonts w:ascii="Times New Roman" w:hAnsi="Times New Roman"/>
          <w:sz w:val="24"/>
          <w:szCs w:val="24"/>
        </w:rPr>
        <w:t xml:space="preserve">As discussed above, the true-up should be per-class, not per-customer.  By allocating gains or losses as a result of found or lost margin, true-ups are designed to facilitate fair treatment between a utility and its customers.  But PSE’s proposed use of per-customer </w:t>
      </w:r>
      <w:r>
        <w:rPr>
          <w:rFonts w:ascii="Times New Roman" w:hAnsi="Times New Roman"/>
          <w:sz w:val="24"/>
          <w:szCs w:val="24"/>
        </w:rPr>
        <w:lastRenderedPageBreak/>
        <w:t xml:space="preserve">decoupling means new customers entering a class can never be accounted for as “found margin”—thereby nullifying the effectiveness of the entire true-up mechanism.  </w:t>
      </w:r>
    </w:p>
    <w:p w:rsidR="009C04D9" w:rsidRPr="004F167B" w:rsidRDefault="009C04D9" w:rsidP="009C04D9">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IS THERE A PROPOSED EARNINGS TEST TO APPLY AT TRUE-UP</w:t>
      </w:r>
      <w:r w:rsidRPr="004F167B">
        <w:rPr>
          <w:rFonts w:ascii="Times New Roman" w:hAnsi="Times New Roman"/>
          <w:b/>
          <w:sz w:val="24"/>
        </w:rPr>
        <w:t>?</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Yes, but the </w:t>
      </w:r>
      <w:r w:rsidRPr="00A17730">
        <w:rPr>
          <w:rFonts w:ascii="Times New Roman" w:hAnsi="Times New Roman"/>
          <w:sz w:val="24"/>
        </w:rPr>
        <w:t xml:space="preserve">test is set too high, meaning that the Company could recover from customers </w:t>
      </w:r>
      <w:r w:rsidR="009423C6">
        <w:rPr>
          <w:rFonts w:ascii="Times New Roman" w:hAnsi="Times New Roman"/>
          <w:sz w:val="24"/>
        </w:rPr>
        <w:t xml:space="preserve">under the mechanism </w:t>
      </w:r>
      <w:r w:rsidRPr="00A17730">
        <w:rPr>
          <w:rFonts w:ascii="Times New Roman" w:hAnsi="Times New Roman"/>
          <w:sz w:val="24"/>
        </w:rPr>
        <w:t xml:space="preserve">even if its earnings before the true-up surpassed its allowed </w:t>
      </w:r>
      <w:r>
        <w:rPr>
          <w:rFonts w:ascii="Times New Roman" w:hAnsi="Times New Roman"/>
          <w:sz w:val="24"/>
        </w:rPr>
        <w:t>ROR</w:t>
      </w:r>
      <w:r w:rsidRPr="00A17730">
        <w:rPr>
          <w:rFonts w:ascii="Times New Roman" w:hAnsi="Times New Roman"/>
          <w:sz w:val="24"/>
        </w:rPr>
        <w:t>.</w:t>
      </w:r>
      <w:r>
        <w:rPr>
          <w:rStyle w:val="FootnoteReference"/>
          <w:sz w:val="24"/>
        </w:rPr>
        <w:footnoteReference w:id="59"/>
      </w:r>
      <w:r>
        <w:rPr>
          <w:rFonts w:ascii="Times New Roman" w:hAnsi="Times New Roman"/>
          <w:sz w:val="24"/>
          <w:vertAlign w:val="superscript"/>
        </w:rPr>
        <w:t>/</w:t>
      </w:r>
      <w:r w:rsidRPr="00A17730">
        <w:rPr>
          <w:rFonts w:ascii="Times New Roman" w:hAnsi="Times New Roman"/>
          <w:sz w:val="24"/>
        </w:rPr>
        <w:t xml:space="preserve">  I recommend that the true-up be capped at the allowable RO</w:t>
      </w:r>
      <w:r>
        <w:rPr>
          <w:rFonts w:ascii="Times New Roman" w:hAnsi="Times New Roman"/>
          <w:sz w:val="24"/>
        </w:rPr>
        <w:t>R</w:t>
      </w:r>
      <w:r w:rsidRPr="00A17730">
        <w:rPr>
          <w:rFonts w:ascii="Times New Roman" w:hAnsi="Times New Roman"/>
          <w:sz w:val="24"/>
        </w:rPr>
        <w:t>, not 25 basis points above the RO</w:t>
      </w:r>
      <w:r>
        <w:rPr>
          <w:rFonts w:ascii="Times New Roman" w:hAnsi="Times New Roman"/>
          <w:sz w:val="24"/>
        </w:rPr>
        <w:t>R</w:t>
      </w:r>
      <w:r w:rsidRPr="004F167B">
        <w:rPr>
          <w:rFonts w:ascii="Times New Roman" w:hAnsi="Times New Roman"/>
          <w:sz w:val="24"/>
        </w:rPr>
        <w:t xml:space="preserve">. </w:t>
      </w:r>
      <w:r>
        <w:rPr>
          <w:rFonts w:ascii="Times New Roman" w:hAnsi="Times New Roman"/>
          <w:sz w:val="24"/>
        </w:rPr>
        <w:t xml:space="preserve"> Similarly, PSE should not be permitted to withhold 50% of its excess earnings from customers, whatever the cap level.</w:t>
      </w:r>
    </w:p>
    <w:p w:rsidR="009C04D9" w:rsidRPr="00A17730" w:rsidRDefault="009C04D9" w:rsidP="009C04D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WHY IS A CAP 25 BASIS POINTS ABOVE THE COMPANY’S</w:t>
      </w:r>
      <w:r>
        <w:rPr>
          <w:rFonts w:ascii="Times New Roman" w:hAnsi="Times New Roman"/>
          <w:b/>
          <w:sz w:val="24"/>
        </w:rPr>
        <w:t xml:space="preserve"> AUTHORIZED</w:t>
      </w:r>
      <w:r w:rsidRPr="00A17730">
        <w:rPr>
          <w:rFonts w:ascii="Times New Roman" w:hAnsi="Times New Roman"/>
          <w:b/>
          <w:sz w:val="24"/>
        </w:rPr>
        <w:t xml:space="preserve"> ROR INAPPROPRIATE?</w:t>
      </w:r>
    </w:p>
    <w:p w:rsidR="009C04D9" w:rsidRPr="00A17730" w:rsidRDefault="009C04D9" w:rsidP="009C04D9">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r>
      <w:r w:rsidRPr="00A17730">
        <w:rPr>
          <w:rFonts w:ascii="Times New Roman" w:hAnsi="Times New Roman"/>
          <w:sz w:val="24"/>
        </w:rPr>
        <w:t xml:space="preserve">Decoupling is meant to enable a utility to recover its costs and </w:t>
      </w:r>
      <w:r>
        <w:rPr>
          <w:rFonts w:ascii="Times New Roman" w:hAnsi="Times New Roman"/>
          <w:sz w:val="24"/>
        </w:rPr>
        <w:t xml:space="preserve">have the opportunity to </w:t>
      </w:r>
      <w:r w:rsidRPr="00A17730">
        <w:rPr>
          <w:rFonts w:ascii="Times New Roman" w:hAnsi="Times New Roman"/>
          <w:sz w:val="24"/>
        </w:rPr>
        <w:t>earn the ROR that the Commission finds appropriate</w:t>
      </w:r>
      <w:r w:rsidR="008D7667">
        <w:rPr>
          <w:rFonts w:ascii="Times New Roman" w:hAnsi="Times New Roman"/>
          <w:sz w:val="24"/>
        </w:rPr>
        <w:t xml:space="preserve"> based in part on cost-based evidence</w:t>
      </w:r>
      <w:r w:rsidRPr="00A17730">
        <w:rPr>
          <w:rFonts w:ascii="Times New Roman" w:hAnsi="Times New Roman"/>
          <w:sz w:val="24"/>
        </w:rPr>
        <w:t>.  The Commission notes lost margin is only “one decrease in revenue among many decreases and increases in revenues and expenses.”</w:t>
      </w:r>
      <w:r>
        <w:rPr>
          <w:rStyle w:val="FootnoteReference"/>
          <w:sz w:val="24"/>
        </w:rPr>
        <w:footnoteReference w:id="60"/>
      </w:r>
      <w:r w:rsidRPr="009D7CEE">
        <w:rPr>
          <w:rFonts w:ascii="Times New Roman" w:hAnsi="Times New Roman"/>
          <w:sz w:val="24"/>
          <w:vertAlign w:val="superscript"/>
        </w:rPr>
        <w:t>/</w:t>
      </w:r>
      <w:r>
        <w:rPr>
          <w:rFonts w:ascii="Times New Roman" w:hAnsi="Times New Roman"/>
          <w:sz w:val="24"/>
        </w:rPr>
        <w:t xml:space="preserve">  </w:t>
      </w:r>
      <w:r w:rsidRPr="00A17730">
        <w:rPr>
          <w:rFonts w:ascii="Times New Roman" w:hAnsi="Times New Roman"/>
          <w:sz w:val="24"/>
        </w:rPr>
        <w:t xml:space="preserve">Thus, if a utility is able to meet the ROR set by the Commission, the matching principle is functioning properly and increases in revenue are offsetting decreases.  To allow a true-up beyond the ROR would function purely as a transfer of wealth from ratepayers to shareholders.  If a utility believes that </w:t>
      </w:r>
      <w:r>
        <w:rPr>
          <w:rFonts w:ascii="Times New Roman" w:hAnsi="Times New Roman"/>
          <w:sz w:val="24"/>
        </w:rPr>
        <w:t>it is unable to earn a fair ROR</w:t>
      </w:r>
      <w:r w:rsidRPr="00A17730">
        <w:rPr>
          <w:rFonts w:ascii="Times New Roman" w:hAnsi="Times New Roman"/>
          <w:sz w:val="24"/>
        </w:rPr>
        <w:t>, the proper way to address this is by filing a GRC.  A utility should be required to prevail in a full rate case to receive a higher ROR</w:t>
      </w:r>
      <w:r>
        <w:rPr>
          <w:rFonts w:ascii="Times New Roman" w:hAnsi="Times New Roman"/>
          <w:sz w:val="24"/>
        </w:rPr>
        <w:t>,</w:t>
      </w:r>
      <w:r w:rsidRPr="00A17730">
        <w:rPr>
          <w:rFonts w:ascii="Times New Roman" w:hAnsi="Times New Roman"/>
          <w:sz w:val="24"/>
        </w:rPr>
        <w:t xml:space="preserve"> rather than be allowed to increase its ROR by 25 basis points through an automatic mechanism intended to promote conservation.</w:t>
      </w:r>
      <w:r>
        <w:rPr>
          <w:rFonts w:ascii="Times New Roman" w:hAnsi="Times New Roman"/>
          <w:sz w:val="24"/>
        </w:rPr>
        <w:t xml:space="preserve">  The same rationale applies to PSE’s proposal to withhold 50% of excess earnings.  Given the unique nature of this </w:t>
      </w:r>
      <w:r>
        <w:rPr>
          <w:rFonts w:ascii="Times New Roman" w:hAnsi="Times New Roman"/>
          <w:sz w:val="24"/>
        </w:rPr>
        <w:lastRenderedPageBreak/>
        <w:t>decoupling/K-Factor/ Rate Plan propos</w:t>
      </w:r>
      <w:r w:rsidR="00CB0A7F">
        <w:rPr>
          <w:rFonts w:ascii="Times New Roman" w:hAnsi="Times New Roman"/>
          <w:sz w:val="24"/>
        </w:rPr>
        <w:t>al</w:t>
      </w:r>
      <w:r>
        <w:rPr>
          <w:rFonts w:ascii="Times New Roman" w:hAnsi="Times New Roman"/>
          <w:sz w:val="24"/>
        </w:rPr>
        <w:t xml:space="preserve"> that assuredly will increase rates, it is particularly egregious to ratepayers to allow PSE to </w:t>
      </w:r>
      <w:r w:rsidRPr="00A25E38">
        <w:rPr>
          <w:rFonts w:ascii="Times New Roman" w:hAnsi="Times New Roman"/>
          <w:sz w:val="24"/>
        </w:rPr>
        <w:t>retain</w:t>
      </w:r>
      <w:r>
        <w:rPr>
          <w:rFonts w:ascii="Times New Roman" w:hAnsi="Times New Roman"/>
          <w:sz w:val="24"/>
        </w:rPr>
        <w:t xml:space="preserve"> any excess earnings.</w:t>
      </w:r>
    </w:p>
    <w:p w:rsidR="009C04D9" w:rsidRPr="00A17730" w:rsidRDefault="009C04D9" w:rsidP="009C04D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IS A 25 BASIS POINT REVENUE BAND NECESSARY TO INCENTIVIZE GOOD MANAGEMENT BY UTILITY EXECUTIVES?</w:t>
      </w:r>
    </w:p>
    <w:p w:rsidR="009C04D9" w:rsidRDefault="009C04D9" w:rsidP="009C04D9">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t>No.  Decoupling has the potential to</w:t>
      </w:r>
      <w:r w:rsidRPr="00A17730">
        <w:rPr>
          <w:rFonts w:ascii="Times New Roman" w:hAnsi="Times New Roman"/>
          <w:sz w:val="24"/>
        </w:rPr>
        <w:t xml:space="preserve"> lessen a utility’s incentive to carefully manage costs.  </w:t>
      </w:r>
      <w:r>
        <w:rPr>
          <w:rFonts w:ascii="Times New Roman" w:hAnsi="Times New Roman"/>
          <w:sz w:val="24"/>
        </w:rPr>
        <w:t>Nonetheless</w:t>
      </w:r>
      <w:r w:rsidRPr="00A17730">
        <w:rPr>
          <w:rFonts w:ascii="Times New Roman" w:hAnsi="Times New Roman"/>
          <w:sz w:val="24"/>
        </w:rPr>
        <w:t xml:space="preserve">, Commission supervision functions more effectively to incentivize good management than allowing true-ups that exceed allowable ROR. </w:t>
      </w:r>
      <w:r>
        <w:rPr>
          <w:rFonts w:ascii="Times New Roman" w:hAnsi="Times New Roman"/>
          <w:sz w:val="24"/>
        </w:rPr>
        <w:t xml:space="preserve"> Also, </w:t>
      </w:r>
      <w:r w:rsidRPr="00A17730">
        <w:rPr>
          <w:rFonts w:ascii="Times New Roman" w:hAnsi="Times New Roman"/>
          <w:sz w:val="24"/>
        </w:rPr>
        <w:t>IOU</w:t>
      </w:r>
      <w:r>
        <w:rPr>
          <w:rFonts w:ascii="Times New Roman" w:hAnsi="Times New Roman"/>
          <w:sz w:val="24"/>
        </w:rPr>
        <w:t xml:space="preserve"> shareholders are sophisticated and </w:t>
      </w:r>
      <w:r w:rsidRPr="00A17730">
        <w:rPr>
          <w:rFonts w:ascii="Times New Roman" w:hAnsi="Times New Roman"/>
          <w:sz w:val="24"/>
        </w:rPr>
        <w:t xml:space="preserve">understand that decoupling </w:t>
      </w:r>
      <w:r>
        <w:rPr>
          <w:rFonts w:ascii="Times New Roman" w:hAnsi="Times New Roman"/>
          <w:sz w:val="24"/>
        </w:rPr>
        <w:t>is intended to eliminate</w:t>
      </w:r>
      <w:r w:rsidRPr="00A17730">
        <w:rPr>
          <w:rFonts w:ascii="Times New Roman" w:hAnsi="Times New Roman"/>
          <w:sz w:val="24"/>
        </w:rPr>
        <w:t xml:space="preserve"> throughput as a profit driver, lea</w:t>
      </w:r>
      <w:r>
        <w:rPr>
          <w:rFonts w:ascii="Times New Roman" w:hAnsi="Times New Roman"/>
          <w:sz w:val="24"/>
        </w:rPr>
        <w:t>ving cost management as the main</w:t>
      </w:r>
      <w:r w:rsidRPr="00A17730">
        <w:rPr>
          <w:rFonts w:ascii="Times New Roman" w:hAnsi="Times New Roman"/>
          <w:sz w:val="24"/>
        </w:rPr>
        <w:t xml:space="preserve"> way to improve earnings. </w:t>
      </w:r>
    </w:p>
    <w:p w:rsidR="009C04D9" w:rsidRPr="00A17730" w:rsidRDefault="009C04D9" w:rsidP="009C04D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r>
      <w:r>
        <w:rPr>
          <w:rFonts w:ascii="Times New Roman" w:hAnsi="Times New Roman"/>
          <w:b/>
          <w:sz w:val="24"/>
        </w:rPr>
        <w:t>DOES THE PROPOSED MECHANISM ACCOUNT FOR OFF-SYSTEM SALES AND AVOIDED COSTS</w:t>
      </w:r>
      <w:r w:rsidRPr="00A17730">
        <w:rPr>
          <w:rFonts w:ascii="Times New Roman" w:hAnsi="Times New Roman"/>
          <w:b/>
          <w:sz w:val="24"/>
        </w:rPr>
        <w:t>?</w:t>
      </w:r>
    </w:p>
    <w:p w:rsidR="009C04D9" w:rsidRDefault="009C04D9" w:rsidP="009C04D9">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t>No.  PSE and NWEC believe such accounting is unnecessary, contrary to the Policy Statement.  Ironically, Staff recommended the rejection of a decoupling proposal last year based, in part, upon a failure to account for off-system sales and avoided costs.</w:t>
      </w:r>
      <w:r w:rsidR="00CB0A7F">
        <w:rPr>
          <w:rStyle w:val="FootnoteReference"/>
          <w:sz w:val="24"/>
        </w:rPr>
        <w:footnoteReference w:id="61"/>
      </w:r>
      <w:r w:rsidR="00CB0A7F" w:rsidRPr="009D7CEE">
        <w:rPr>
          <w:rFonts w:ascii="Times New Roman" w:hAnsi="Times New Roman"/>
          <w:sz w:val="24"/>
          <w:vertAlign w:val="superscript"/>
        </w:rPr>
        <w:t>/</w:t>
      </w:r>
      <w:r>
        <w:rPr>
          <w:rFonts w:ascii="Times New Roman" w:hAnsi="Times New Roman"/>
          <w:sz w:val="24"/>
        </w:rPr>
        <w:t xml:space="preserve">  </w:t>
      </w:r>
    </w:p>
    <w:p w:rsidR="009C04D9" w:rsidRPr="00A17730" w:rsidRDefault="009C04D9" w:rsidP="009C04D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r>
      <w:r>
        <w:rPr>
          <w:rFonts w:ascii="Times New Roman" w:hAnsi="Times New Roman"/>
          <w:b/>
          <w:sz w:val="24"/>
        </w:rPr>
        <w:t>WHAT IS YOUR POSITION ON THIS ISSUE</w:t>
      </w:r>
      <w:r w:rsidRPr="00A17730">
        <w:rPr>
          <w:rFonts w:ascii="Times New Roman" w:hAnsi="Times New Roman"/>
          <w:b/>
          <w:sz w:val="24"/>
        </w:rPr>
        <w:t>?</w:t>
      </w:r>
    </w:p>
    <w:p w:rsidR="009C04D9" w:rsidRDefault="009C04D9" w:rsidP="009C04D9">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t>I continue to support Staff’s original position as evidence based and consistent with Commission policy.  For instance, Staff pointed out that as a result of conservation a “utility incurs lower costs due to the wholesale sales, such as reduced line losses, reduced uncollectible expense, and avoidance of the Public Utility Tax.”</w:t>
      </w:r>
      <w:r>
        <w:rPr>
          <w:rStyle w:val="FootnoteReference"/>
          <w:sz w:val="24"/>
        </w:rPr>
        <w:footnoteReference w:id="62"/>
      </w:r>
      <w:r w:rsidRPr="009D7CEE">
        <w:rPr>
          <w:rFonts w:ascii="Times New Roman" w:hAnsi="Times New Roman"/>
          <w:sz w:val="24"/>
          <w:vertAlign w:val="superscript"/>
        </w:rPr>
        <w:t>/</w:t>
      </w:r>
      <w:r>
        <w:rPr>
          <w:rFonts w:ascii="Times New Roman" w:hAnsi="Times New Roman"/>
          <w:sz w:val="24"/>
        </w:rPr>
        <w:t xml:space="preserve">  Since specified levels of utility recovery are thereby guaranteed, decoupling mechanisms should recognize the benefits of enhanced wholesale sales.</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lastRenderedPageBreak/>
        <w:tab/>
      </w:r>
      <w:r>
        <w:rPr>
          <w:rFonts w:ascii="Times New Roman" w:hAnsi="Times New Roman"/>
          <w:b/>
          <w:sz w:val="24"/>
        </w:rPr>
        <w:tab/>
      </w:r>
      <w:r>
        <w:rPr>
          <w:rFonts w:ascii="Times New Roman" w:hAnsi="Times New Roman"/>
          <w:sz w:val="24"/>
        </w:rPr>
        <w:t>Surprisingly, Staff has deviated from this position, testifying in these proceedings that it is appropriate to implement decoupling without first addressing off-system sales.</w:t>
      </w:r>
      <w:r>
        <w:rPr>
          <w:rStyle w:val="FootnoteReference"/>
          <w:sz w:val="24"/>
        </w:rPr>
        <w:footnoteReference w:id="63"/>
      </w:r>
      <w:r>
        <w:rPr>
          <w:rFonts w:ascii="Times New Roman" w:hAnsi="Times New Roman"/>
          <w:sz w:val="24"/>
          <w:vertAlign w:val="superscript"/>
        </w:rPr>
        <w:t>/</w:t>
      </w:r>
      <w:r>
        <w:rPr>
          <w:rFonts w:ascii="Times New Roman" w:hAnsi="Times New Roman"/>
          <w:sz w:val="24"/>
        </w:rPr>
        <w:t xml:space="preserve">  Staff’s logic for this reversal is bizarre—essentially reasoning that the Policy Statement has been overruled in PSE’s 2011 GRC, at least to the extent that </w:t>
      </w:r>
      <w:r w:rsidR="003C0D03">
        <w:rPr>
          <w:rFonts w:ascii="Times New Roman" w:hAnsi="Times New Roman"/>
          <w:sz w:val="24"/>
        </w:rPr>
        <w:t xml:space="preserve">decoupling should account for </w:t>
      </w:r>
      <w:r>
        <w:rPr>
          <w:rFonts w:ascii="Times New Roman" w:hAnsi="Times New Roman"/>
          <w:sz w:val="24"/>
        </w:rPr>
        <w:t>power cost adjustment (“PCA”) mechanisms.</w:t>
      </w:r>
      <w:r>
        <w:rPr>
          <w:rStyle w:val="FootnoteReference"/>
          <w:sz w:val="24"/>
        </w:rPr>
        <w:footnoteReference w:id="64"/>
      </w:r>
      <w:r>
        <w:rPr>
          <w:rFonts w:ascii="Times New Roman" w:hAnsi="Times New Roman"/>
          <w:sz w:val="24"/>
          <w:vertAlign w:val="superscript"/>
        </w:rPr>
        <w:t>/</w:t>
      </w:r>
      <w:r>
        <w:rPr>
          <w:rFonts w:ascii="Times New Roman" w:hAnsi="Times New Roman"/>
          <w:sz w:val="24"/>
        </w:rPr>
        <w:t xml:space="preserve"> </w:t>
      </w:r>
    </w:p>
    <w:p w:rsidR="009C04D9" w:rsidRPr="00293F65" w:rsidRDefault="009C04D9" w:rsidP="009C04D9">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 xml:space="preserve">As to PSE’s rationale, it too is problematic.  Citing the Policy Statement on PCAs, PSE claims there would be only small deviations “at most” from conservation amounts previously projected.  Even if this were supported by some empirical means, PSE does not seemingly factor its own proposal to exceed conservation targets—presumably resulting in more significant deviations.  PSE also states that attempts at such accounting may lead to “unforeseen and unintended consequences” during interactions with its PCA.  Such vague and speculative doubts are not persuasive, however, in overturning the considered guidelines of the Policy Statement. </w:t>
      </w:r>
    </w:p>
    <w:p w:rsidR="009C04D9" w:rsidRPr="004F167B"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DOES THE PROPOSED DECOUPLING MECHANISM APPLY TO ALL CUSTOMER CLASSES?</w:t>
      </w:r>
    </w:p>
    <w:p w:rsidR="009C04D9" w:rsidRDefault="009C04D9" w:rsidP="009C04D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rPr>
        <w:t>The Policy Statement holds that decoupling proposals should, generally, apply to all customer classes, but exceptions are explicitly provided for when the public interest may be advanced without discrimination or preferment.</w:t>
      </w:r>
      <w:r>
        <w:rPr>
          <w:rStyle w:val="FootnoteReference"/>
          <w:sz w:val="24"/>
        </w:rPr>
        <w:footnoteReference w:id="65"/>
      </w:r>
      <w:r>
        <w:rPr>
          <w:rFonts w:ascii="Times New Roman" w:hAnsi="Times New Roman"/>
          <w:sz w:val="24"/>
          <w:vertAlign w:val="superscript"/>
        </w:rPr>
        <w:t>/</w:t>
      </w:r>
      <w:r>
        <w:rPr>
          <w:rFonts w:ascii="Times New Roman" w:hAnsi="Times New Roman"/>
          <w:sz w:val="24"/>
        </w:rPr>
        <w:t xml:space="preserve">  In this light, the decoupling mechanism will not affect certain customers lacking volumetric rates.  Notwithstanding, </w:t>
      </w:r>
      <w:r>
        <w:rPr>
          <w:rFonts w:ascii="Times New Roman" w:hAnsi="Times New Roman"/>
          <w:sz w:val="24"/>
          <w:szCs w:val="24"/>
        </w:rPr>
        <w:t>the proposal does include a discriminatory and unsupported rate increase unrelated to conservation that is tied to the K-factor.  I discuss that issue later in this testimony.</w:t>
      </w:r>
    </w:p>
    <w:p w:rsidR="009C04D9" w:rsidRPr="00826452" w:rsidRDefault="009C04D9" w:rsidP="009C04D9">
      <w:pPr>
        <w:spacing w:line="480" w:lineRule="auto"/>
        <w:ind w:left="720" w:hanging="720"/>
        <w:rPr>
          <w:rFonts w:ascii="Times New Roman" w:hAnsi="Times New Roman"/>
          <w:sz w:val="24"/>
        </w:rPr>
      </w:pPr>
      <w:r>
        <w:rPr>
          <w:rFonts w:ascii="Times New Roman" w:hAnsi="Times New Roman"/>
          <w:b/>
          <w:sz w:val="24"/>
        </w:rPr>
        <w:lastRenderedPageBreak/>
        <w:tab/>
      </w:r>
      <w:r>
        <w:rPr>
          <w:rFonts w:ascii="Times New Roman" w:hAnsi="Times New Roman"/>
          <w:b/>
          <w:sz w:val="24"/>
        </w:rPr>
        <w:tab/>
      </w:r>
      <w:r w:rsidRPr="00900C7B">
        <w:rPr>
          <w:rFonts w:ascii="Times New Roman" w:hAnsi="Times New Roman"/>
          <w:sz w:val="24"/>
        </w:rPr>
        <w:t>NWEC previously testified that all large customers should be excluded</w:t>
      </w:r>
      <w:r>
        <w:rPr>
          <w:rFonts w:ascii="Times New Roman" w:hAnsi="Times New Roman"/>
          <w:sz w:val="24"/>
        </w:rPr>
        <w:t xml:space="preserve"> from decoupling</w:t>
      </w:r>
      <w:r w:rsidRPr="00900C7B">
        <w:rPr>
          <w:rFonts w:ascii="Times New Roman" w:hAnsi="Times New Roman"/>
          <w:sz w:val="24"/>
        </w:rPr>
        <w:t>.</w:t>
      </w:r>
      <w:r>
        <w:rPr>
          <w:rFonts w:ascii="Times New Roman" w:hAnsi="Times New Roman"/>
          <w:sz w:val="24"/>
        </w:rPr>
        <w:t xml:space="preserve"> </w:t>
      </w:r>
      <w:r w:rsidRPr="00900C7B">
        <w:rPr>
          <w:rFonts w:ascii="Times New Roman" w:hAnsi="Times New Roman"/>
          <w:sz w:val="24"/>
        </w:rPr>
        <w:t xml:space="preserve"> I agree with that position because including them would produc</w:t>
      </w:r>
      <w:r>
        <w:rPr>
          <w:rFonts w:ascii="Times New Roman" w:hAnsi="Times New Roman"/>
          <w:sz w:val="24"/>
        </w:rPr>
        <w:t>e unfair, discriminatory rates.  A</w:t>
      </w:r>
      <w:r w:rsidRPr="00900C7B">
        <w:rPr>
          <w:rFonts w:ascii="Times New Roman" w:hAnsi="Times New Roman"/>
          <w:sz w:val="24"/>
        </w:rPr>
        <w:t xml:space="preserve">s NWEC </w:t>
      </w:r>
      <w:r>
        <w:rPr>
          <w:rFonts w:ascii="Times New Roman" w:hAnsi="Times New Roman"/>
          <w:sz w:val="24"/>
        </w:rPr>
        <w:t>recognized, large industrial customers should be exempted “because they have so few members . . . and account for a relatively small fraction of PSE’s projected revenues from energy charges (about 4 percent, although these Schedules account for almost 14 percent of retail electricity sales).”</w:t>
      </w:r>
      <w:r>
        <w:rPr>
          <w:rStyle w:val="FootnoteReference"/>
          <w:sz w:val="24"/>
        </w:rPr>
        <w:footnoteReference w:id="66"/>
      </w:r>
      <w:r>
        <w:rPr>
          <w:rFonts w:ascii="Times New Roman" w:hAnsi="Times New Roman"/>
          <w:sz w:val="24"/>
          <w:vertAlign w:val="superscript"/>
        </w:rPr>
        <w:t xml:space="preserve">/ </w:t>
      </w:r>
      <w:r>
        <w:rPr>
          <w:rFonts w:ascii="Times New Roman" w:hAnsi="Times New Roman"/>
          <w:sz w:val="24"/>
        </w:rPr>
        <w:t xml:space="preserve"> It is very easy to quantify any losses associated with </w:t>
      </w:r>
      <w:r w:rsidR="00CB0A7F">
        <w:rPr>
          <w:rFonts w:ascii="Times New Roman" w:hAnsi="Times New Roman"/>
          <w:sz w:val="24"/>
        </w:rPr>
        <w:t>large industrial customer</w:t>
      </w:r>
      <w:r>
        <w:rPr>
          <w:rFonts w:ascii="Times New Roman" w:hAnsi="Times New Roman"/>
          <w:sz w:val="24"/>
        </w:rPr>
        <w:t xml:space="preserve"> conservation efforts.  Lumping these large customers in with commercial customers will likely result in an unfair subsid</w:t>
      </w:r>
      <w:r w:rsidR="00824986">
        <w:rPr>
          <w:rFonts w:ascii="Times New Roman" w:hAnsi="Times New Roman"/>
          <w:sz w:val="24"/>
        </w:rPr>
        <w:t>iz</w:t>
      </w:r>
      <w:r>
        <w:rPr>
          <w:rFonts w:ascii="Times New Roman" w:hAnsi="Times New Roman"/>
          <w:sz w:val="24"/>
        </w:rPr>
        <w:t xml:space="preserve">ation by large customers. </w:t>
      </w:r>
    </w:p>
    <w:p w:rsidR="009C04D9" w:rsidRPr="004F167B"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 YOU HAVE ANY OTHER CONCERNS WITH THE PROPOSED APPLICATION TO CUSTOMER CLASSES</w:t>
      </w:r>
      <w:r w:rsidRPr="004F167B">
        <w:rPr>
          <w:rFonts w:ascii="Times New Roman" w:hAnsi="Times New Roman"/>
          <w:b/>
          <w:sz w:val="24"/>
        </w:rPr>
        <w:t>?</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4F167B">
        <w:rPr>
          <w:rFonts w:ascii="Times New Roman" w:hAnsi="Times New Roman"/>
          <w:sz w:val="24"/>
        </w:rPr>
        <w:t xml:space="preserve">Yes.  The </w:t>
      </w:r>
      <w:r>
        <w:rPr>
          <w:rFonts w:ascii="Times New Roman" w:hAnsi="Times New Roman"/>
          <w:sz w:val="24"/>
        </w:rPr>
        <w:t xml:space="preserve">use of two “classes” in the proposal is inappropriate.  </w:t>
      </w:r>
      <w:r w:rsidRPr="006D7455">
        <w:rPr>
          <w:rFonts w:ascii="Times New Roman" w:hAnsi="Times New Roman"/>
          <w:sz w:val="24"/>
        </w:rPr>
        <w:t>Th</w:t>
      </w:r>
      <w:r>
        <w:rPr>
          <w:rFonts w:ascii="Times New Roman" w:hAnsi="Times New Roman"/>
          <w:sz w:val="24"/>
        </w:rPr>
        <w:t xml:space="preserve">is regime is </w:t>
      </w:r>
      <w:r w:rsidRPr="006D7455">
        <w:rPr>
          <w:rFonts w:ascii="Times New Roman" w:hAnsi="Times New Roman"/>
          <w:sz w:val="24"/>
        </w:rPr>
        <w:t>artificial and may result in a great</w:t>
      </w:r>
      <w:r>
        <w:rPr>
          <w:rFonts w:ascii="Times New Roman" w:hAnsi="Times New Roman"/>
          <w:sz w:val="24"/>
        </w:rPr>
        <w:t xml:space="preserve"> deal of cross-subsidization between actual rate classes, a result t</w:t>
      </w:r>
      <w:r w:rsidRPr="006D7455">
        <w:rPr>
          <w:rFonts w:ascii="Times New Roman" w:hAnsi="Times New Roman"/>
          <w:sz w:val="24"/>
        </w:rPr>
        <w:t xml:space="preserve">he Commission </w:t>
      </w:r>
      <w:r w:rsidR="003C0D03">
        <w:rPr>
          <w:rFonts w:ascii="Times New Roman" w:hAnsi="Times New Roman"/>
          <w:sz w:val="24"/>
        </w:rPr>
        <w:t>seeks to avoid</w:t>
      </w:r>
      <w:r w:rsidRPr="006D7455">
        <w:rPr>
          <w:rFonts w:ascii="Times New Roman" w:hAnsi="Times New Roman"/>
          <w:sz w:val="24"/>
        </w:rPr>
        <w:t>.</w:t>
      </w:r>
      <w:r>
        <w:rPr>
          <w:rStyle w:val="FootnoteReference"/>
          <w:sz w:val="24"/>
        </w:rPr>
        <w:footnoteReference w:id="67"/>
      </w:r>
      <w:r>
        <w:rPr>
          <w:rFonts w:ascii="Times New Roman" w:hAnsi="Times New Roman"/>
          <w:sz w:val="24"/>
          <w:vertAlign w:val="superscript"/>
        </w:rPr>
        <w:t>/</w:t>
      </w:r>
      <w:r>
        <w:rPr>
          <w:rFonts w:ascii="Times New Roman" w:hAnsi="Times New Roman"/>
          <w:sz w:val="24"/>
        </w:rPr>
        <w:t xml:space="preserve"> </w:t>
      </w:r>
      <w:r w:rsidRPr="006D7455">
        <w:rPr>
          <w:rFonts w:ascii="Times New Roman" w:hAnsi="Times New Roman"/>
          <w:sz w:val="24"/>
        </w:rPr>
        <w:t xml:space="preserve">  </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b/>
      </w:r>
      <w:r>
        <w:rPr>
          <w:rFonts w:ascii="Times New Roman" w:hAnsi="Times New Roman"/>
          <w:b/>
          <w:sz w:val="24"/>
        </w:rPr>
        <w:tab/>
      </w:r>
      <w:r>
        <w:rPr>
          <w:rFonts w:ascii="Times New Roman" w:hAnsi="Times New Roman"/>
          <w:sz w:val="24"/>
        </w:rPr>
        <w:t>In fact,</w:t>
      </w:r>
      <w:r w:rsidRPr="006D7455">
        <w:rPr>
          <w:rFonts w:ascii="Times New Roman" w:hAnsi="Times New Roman"/>
          <w:sz w:val="24"/>
        </w:rPr>
        <w:t xml:space="preserve"> “rate classes” are specifically identified as the </w:t>
      </w:r>
      <w:r>
        <w:rPr>
          <w:rFonts w:ascii="Times New Roman" w:hAnsi="Times New Roman"/>
          <w:sz w:val="24"/>
        </w:rPr>
        <w:t>“</w:t>
      </w:r>
      <w:r w:rsidRPr="006D7455">
        <w:rPr>
          <w:rFonts w:ascii="Times New Roman" w:hAnsi="Times New Roman"/>
          <w:sz w:val="24"/>
        </w:rPr>
        <w:t>classes</w:t>
      </w:r>
      <w:r>
        <w:rPr>
          <w:rFonts w:ascii="Times New Roman" w:hAnsi="Times New Roman"/>
          <w:sz w:val="24"/>
        </w:rPr>
        <w:t>”</w:t>
      </w:r>
      <w:r w:rsidRPr="006D7455">
        <w:rPr>
          <w:rFonts w:ascii="Times New Roman" w:hAnsi="Times New Roman"/>
          <w:sz w:val="24"/>
        </w:rPr>
        <w:t xml:space="preserve"> </w:t>
      </w:r>
      <w:r>
        <w:rPr>
          <w:rFonts w:ascii="Times New Roman" w:hAnsi="Times New Roman"/>
          <w:sz w:val="24"/>
        </w:rPr>
        <w:t xml:space="preserve">generically referenced </w:t>
      </w:r>
      <w:r w:rsidRPr="006D7455">
        <w:rPr>
          <w:rFonts w:ascii="Times New Roman" w:hAnsi="Times New Roman"/>
          <w:sz w:val="24"/>
        </w:rPr>
        <w:t>in the Policy Statement</w:t>
      </w:r>
      <w:r>
        <w:rPr>
          <w:rFonts w:ascii="Times New Roman" w:hAnsi="Times New Roman"/>
          <w:sz w:val="24"/>
        </w:rPr>
        <w:t>.</w:t>
      </w:r>
      <w:r>
        <w:rPr>
          <w:rStyle w:val="FootnoteReference"/>
          <w:sz w:val="24"/>
        </w:rPr>
        <w:footnoteReference w:id="68"/>
      </w:r>
      <w:r>
        <w:rPr>
          <w:rFonts w:ascii="Times New Roman" w:hAnsi="Times New Roman"/>
          <w:sz w:val="24"/>
          <w:vertAlign w:val="superscript"/>
        </w:rPr>
        <w:t>/</w:t>
      </w:r>
      <w:r>
        <w:rPr>
          <w:rFonts w:ascii="Times New Roman" w:hAnsi="Times New Roman"/>
          <w:sz w:val="24"/>
        </w:rPr>
        <w:t xml:space="preserve">  Thus, it is apparent that the Commission m</w:t>
      </w:r>
      <w:r w:rsidR="00853FC0">
        <w:rPr>
          <w:rFonts w:ascii="Times New Roman" w:hAnsi="Times New Roman"/>
          <w:sz w:val="24"/>
        </w:rPr>
        <w:t>eans actual, tariff “rate class</w:t>
      </w:r>
      <w:r>
        <w:rPr>
          <w:rFonts w:ascii="Times New Roman" w:hAnsi="Times New Roman"/>
          <w:sz w:val="24"/>
        </w:rPr>
        <w:t>” when stating that a</w:t>
      </w:r>
      <w:r w:rsidRPr="006D7455">
        <w:rPr>
          <w:rFonts w:ascii="Times New Roman" w:hAnsi="Times New Roman"/>
          <w:sz w:val="24"/>
        </w:rPr>
        <w:t xml:space="preserve"> “reasonable </w:t>
      </w:r>
      <w:r>
        <w:rPr>
          <w:rFonts w:ascii="Times New Roman" w:hAnsi="Times New Roman"/>
          <w:sz w:val="24"/>
        </w:rPr>
        <w:t xml:space="preserve">[decoupling] </w:t>
      </w:r>
      <w:r w:rsidRPr="006D7455">
        <w:rPr>
          <w:rFonts w:ascii="Times New Roman" w:hAnsi="Times New Roman"/>
          <w:sz w:val="24"/>
        </w:rPr>
        <w:t>mechanism would balance conservation program achievement by class with revenue recovery expected from</w:t>
      </w:r>
      <w:r>
        <w:rPr>
          <w:rFonts w:ascii="Times New Roman" w:hAnsi="Times New Roman"/>
          <w:sz w:val="24"/>
        </w:rPr>
        <w:t xml:space="preserve"> that class under the mechanism,”</w:t>
      </w:r>
      <w:r>
        <w:rPr>
          <w:rStyle w:val="FootnoteReference"/>
          <w:sz w:val="24"/>
        </w:rPr>
        <w:footnoteReference w:id="69"/>
      </w:r>
      <w:r>
        <w:rPr>
          <w:rFonts w:ascii="Times New Roman" w:hAnsi="Times New Roman"/>
          <w:sz w:val="24"/>
          <w:vertAlign w:val="superscript"/>
        </w:rPr>
        <w:t>/</w:t>
      </w:r>
      <w:r>
        <w:rPr>
          <w:rFonts w:ascii="Times New Roman" w:hAnsi="Times New Roman"/>
          <w:sz w:val="24"/>
        </w:rPr>
        <w:t xml:space="preserve"> </w:t>
      </w:r>
      <w:r w:rsidRPr="006D7455">
        <w:rPr>
          <w:rFonts w:ascii="Times New Roman" w:hAnsi="Times New Roman"/>
          <w:sz w:val="24"/>
        </w:rPr>
        <w:t>This</w:t>
      </w:r>
      <w:r>
        <w:rPr>
          <w:rFonts w:ascii="Times New Roman" w:hAnsi="Times New Roman"/>
          <w:sz w:val="24"/>
        </w:rPr>
        <w:t xml:space="preserve"> proper understanding</w:t>
      </w:r>
      <w:r w:rsidRPr="006D7455">
        <w:rPr>
          <w:rFonts w:ascii="Times New Roman" w:hAnsi="Times New Roman"/>
          <w:sz w:val="24"/>
        </w:rPr>
        <w:t xml:space="preserve"> </w:t>
      </w:r>
      <w:r>
        <w:rPr>
          <w:rFonts w:ascii="Times New Roman" w:hAnsi="Times New Roman"/>
          <w:sz w:val="24"/>
        </w:rPr>
        <w:t>of the term “classes” exposes</w:t>
      </w:r>
      <w:r w:rsidRPr="006D7455">
        <w:rPr>
          <w:rFonts w:ascii="Times New Roman" w:hAnsi="Times New Roman"/>
          <w:sz w:val="24"/>
        </w:rPr>
        <w:t xml:space="preserve"> the lack of </w:t>
      </w:r>
      <w:r>
        <w:rPr>
          <w:rFonts w:ascii="Times New Roman" w:hAnsi="Times New Roman"/>
          <w:sz w:val="24"/>
        </w:rPr>
        <w:t xml:space="preserve">appropriate </w:t>
      </w:r>
      <w:r w:rsidRPr="006D7455">
        <w:rPr>
          <w:rFonts w:ascii="Times New Roman" w:hAnsi="Times New Roman"/>
          <w:sz w:val="24"/>
        </w:rPr>
        <w:t xml:space="preserve">customer class distinction </w:t>
      </w:r>
      <w:r>
        <w:rPr>
          <w:rFonts w:ascii="Times New Roman" w:hAnsi="Times New Roman"/>
          <w:sz w:val="24"/>
        </w:rPr>
        <w:t>in PSE’s proposal—</w:t>
      </w:r>
      <w:r w:rsidRPr="006D7455">
        <w:rPr>
          <w:rFonts w:ascii="Times New Roman" w:hAnsi="Times New Roman"/>
          <w:sz w:val="24"/>
        </w:rPr>
        <w:t xml:space="preserve">and </w:t>
      </w:r>
      <w:r>
        <w:rPr>
          <w:rFonts w:ascii="Times New Roman" w:hAnsi="Times New Roman"/>
          <w:sz w:val="24"/>
        </w:rPr>
        <w:t xml:space="preserve">leads </w:t>
      </w:r>
      <w:r>
        <w:rPr>
          <w:rFonts w:ascii="Times New Roman" w:hAnsi="Times New Roman"/>
          <w:sz w:val="24"/>
        </w:rPr>
        <w:lastRenderedPageBreak/>
        <w:t>me to determine</w:t>
      </w:r>
      <w:r w:rsidRPr="006D7455">
        <w:rPr>
          <w:rFonts w:ascii="Times New Roman" w:hAnsi="Times New Roman"/>
          <w:sz w:val="24"/>
        </w:rPr>
        <w:t xml:space="preserve"> that </w:t>
      </w:r>
      <w:r>
        <w:rPr>
          <w:rFonts w:ascii="Times New Roman" w:hAnsi="Times New Roman"/>
          <w:sz w:val="24"/>
        </w:rPr>
        <w:t>a well-designed decoupling proposal should</w:t>
      </w:r>
      <w:r w:rsidRPr="006D7455">
        <w:rPr>
          <w:rFonts w:ascii="Times New Roman" w:hAnsi="Times New Roman"/>
          <w:sz w:val="24"/>
        </w:rPr>
        <w:t xml:space="preserve"> recover from individual rate classes commensurate with </w:t>
      </w:r>
      <w:r>
        <w:rPr>
          <w:rFonts w:ascii="Times New Roman" w:hAnsi="Times New Roman"/>
          <w:sz w:val="24"/>
        </w:rPr>
        <w:t>individual class</w:t>
      </w:r>
      <w:r w:rsidRPr="006D7455">
        <w:rPr>
          <w:rFonts w:ascii="Times New Roman" w:hAnsi="Times New Roman"/>
          <w:sz w:val="24"/>
        </w:rPr>
        <w:t xml:space="preserve"> conservation achievements. </w:t>
      </w:r>
    </w:p>
    <w:p w:rsidR="009C04D9" w:rsidRPr="00A17730" w:rsidRDefault="009C04D9" w:rsidP="009C04D9">
      <w:pPr>
        <w:spacing w:after="24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r>
      <w:r>
        <w:rPr>
          <w:rFonts w:ascii="Times New Roman" w:hAnsi="Times New Roman"/>
          <w:b/>
          <w:sz w:val="24"/>
        </w:rPr>
        <w:t xml:space="preserve">DOES THE PROPOSAL INCLUDE A WEATHER ADJUSTMENT </w:t>
      </w:r>
      <w:r>
        <w:rPr>
          <w:rFonts w:ascii="Times New Roman" w:hAnsi="Times New Roman"/>
          <w:b/>
          <w:sz w:val="24"/>
        </w:rPr>
        <w:tab/>
        <w:t>MECHANISM</w:t>
      </w:r>
      <w:r w:rsidRPr="00A17730">
        <w:rPr>
          <w:rFonts w:ascii="Times New Roman" w:hAnsi="Times New Roman"/>
          <w:b/>
          <w:sz w:val="24"/>
        </w:rPr>
        <w:t>?</w:t>
      </w:r>
    </w:p>
    <w:p w:rsidR="009C04D9" w:rsidRPr="008744C5"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PSE has declined to adjust its decoupling mechanism for the effects of weather</w:t>
      </w:r>
      <w:r w:rsidRPr="00A17730">
        <w:rPr>
          <w:rFonts w:ascii="Times New Roman" w:hAnsi="Times New Roman"/>
          <w:sz w:val="24"/>
        </w:rPr>
        <w:t>.</w:t>
      </w:r>
      <w:r>
        <w:rPr>
          <w:rFonts w:ascii="Times New Roman" w:hAnsi="Times New Roman"/>
          <w:sz w:val="24"/>
        </w:rPr>
        <w:t xml:space="preserve">  While the Commission “generally would support including the effects of weather in a full decoupling proposal,” the Policy Statement does not require a weather adjustment mechanism.</w:t>
      </w:r>
      <w:r>
        <w:rPr>
          <w:rStyle w:val="FootnoteReference"/>
          <w:sz w:val="24"/>
        </w:rPr>
        <w:footnoteReference w:id="70"/>
      </w:r>
      <w:r>
        <w:rPr>
          <w:rFonts w:ascii="Times New Roman" w:hAnsi="Times New Roman"/>
          <w:sz w:val="24"/>
          <w:vertAlign w:val="superscript"/>
        </w:rPr>
        <w:t>/</w:t>
      </w:r>
      <w:r>
        <w:rPr>
          <w:rFonts w:ascii="Times New Roman" w:hAnsi="Times New Roman"/>
          <w:sz w:val="24"/>
        </w:rPr>
        <w:t xml:space="preserve">  Ironically, as discussed above, Staff witness Ms. Reynolds seems to believe that the decoupling mechanism does address weather effects</w:t>
      </w:r>
      <w:r w:rsidR="00CB0A7F">
        <w:rPr>
          <w:rFonts w:ascii="Times New Roman" w:hAnsi="Times New Roman"/>
          <w:sz w:val="24"/>
        </w:rPr>
        <w:t>, while during her deposition, answered that she did not know.</w:t>
      </w:r>
      <w:r w:rsidR="00CB0A7F" w:rsidRPr="00CB0A7F">
        <w:rPr>
          <w:rStyle w:val="FootnoteReference"/>
          <w:sz w:val="24"/>
        </w:rPr>
        <w:footnoteReference w:id="71"/>
      </w:r>
      <w:r w:rsidR="00CB0A7F">
        <w:rPr>
          <w:rFonts w:ascii="Times New Roman" w:hAnsi="Times New Roman"/>
          <w:sz w:val="24"/>
          <w:vertAlign w:val="superscript"/>
        </w:rPr>
        <w:t>/</w:t>
      </w:r>
      <w:r>
        <w:rPr>
          <w:rFonts w:ascii="Times New Roman" w:hAnsi="Times New Roman"/>
          <w:sz w:val="24"/>
        </w:rPr>
        <w:t xml:space="preserve">  </w:t>
      </w:r>
    </w:p>
    <w:p w:rsidR="009C04D9" w:rsidRPr="00A17730" w:rsidRDefault="009C04D9" w:rsidP="009C04D9">
      <w:pPr>
        <w:spacing w:after="24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r>
      <w:r>
        <w:rPr>
          <w:rFonts w:ascii="Times New Roman" w:hAnsi="Times New Roman"/>
          <w:b/>
          <w:sz w:val="24"/>
        </w:rPr>
        <w:t xml:space="preserve">HAS PSE INCLUDED INCREMENTAL CONSERVATION IN ITS </w:t>
      </w:r>
      <w:r>
        <w:rPr>
          <w:rFonts w:ascii="Times New Roman" w:hAnsi="Times New Roman"/>
          <w:b/>
          <w:sz w:val="24"/>
        </w:rPr>
        <w:tab/>
        <w:t>DECOUPLING PROPOSAL</w:t>
      </w:r>
      <w:r w:rsidRPr="00A17730">
        <w:rPr>
          <w:rFonts w:ascii="Times New Roman" w:hAnsi="Times New Roman"/>
          <w:b/>
          <w:sz w:val="24"/>
        </w:rPr>
        <w:t>?</w:t>
      </w:r>
    </w:p>
    <w:p w:rsidR="009C04D9" w:rsidRPr="000F64FD"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Since PSE offers to exceed its biennial conservation targets by 5%, the Company states that it is offering no further test of conservation achievement with its decoupling proposal.</w:t>
      </w:r>
      <w:r w:rsidRPr="00233BE3">
        <w:rPr>
          <w:rStyle w:val="FootnoteReference"/>
          <w:sz w:val="24"/>
          <w:szCs w:val="24"/>
        </w:rPr>
        <w:footnoteReference w:id="72"/>
      </w:r>
      <w:r w:rsidRPr="00BF79CE">
        <w:rPr>
          <w:rFonts w:ascii="Times New Roman" w:hAnsi="Times New Roman"/>
          <w:sz w:val="24"/>
          <w:szCs w:val="24"/>
          <w:vertAlign w:val="superscript"/>
        </w:rPr>
        <w:t>/</w:t>
      </w:r>
      <w:r>
        <w:rPr>
          <w:rFonts w:ascii="Times New Roman" w:hAnsi="Times New Roman"/>
          <w:sz w:val="24"/>
        </w:rPr>
        <w:t xml:space="preserve">  Such an arrangement is </w:t>
      </w:r>
      <w:r w:rsidRPr="00951486">
        <w:rPr>
          <w:rFonts w:ascii="Times New Roman" w:hAnsi="Times New Roman"/>
          <w:sz w:val="24"/>
        </w:rPr>
        <w:t>not incremental to the conservation already identified in the Company’s 10-year plan</w:t>
      </w:r>
      <w:r>
        <w:rPr>
          <w:rFonts w:ascii="Times New Roman" w:hAnsi="Times New Roman"/>
          <w:sz w:val="24"/>
        </w:rPr>
        <w:t xml:space="preserve">; however, </w:t>
      </w:r>
      <w:r w:rsidRPr="00DB56CC">
        <w:rPr>
          <w:rFonts w:ascii="Times New Roman" w:hAnsi="Times New Roman"/>
          <w:sz w:val="24"/>
        </w:rPr>
        <w:t xml:space="preserve">because </w:t>
      </w:r>
      <w:r>
        <w:rPr>
          <w:rFonts w:ascii="Times New Roman" w:hAnsi="Times New Roman"/>
          <w:sz w:val="24"/>
        </w:rPr>
        <w:t>this plan would implement</w:t>
      </w:r>
      <w:r w:rsidRPr="00DB56CC">
        <w:rPr>
          <w:rFonts w:ascii="Times New Roman" w:hAnsi="Times New Roman"/>
          <w:sz w:val="24"/>
        </w:rPr>
        <w:t xml:space="preserve"> accelerated acquisition, it will be incremental in t</w:t>
      </w:r>
      <w:r>
        <w:rPr>
          <w:rFonts w:ascii="Times New Roman" w:hAnsi="Times New Roman"/>
          <w:sz w:val="24"/>
        </w:rPr>
        <w:t>hat it will be in place longer—</w:t>
      </w:r>
      <w:r w:rsidRPr="00DB56CC">
        <w:rPr>
          <w:rFonts w:ascii="Times New Roman" w:hAnsi="Times New Roman"/>
          <w:sz w:val="24"/>
        </w:rPr>
        <w:t>t</w:t>
      </w:r>
      <w:r>
        <w:rPr>
          <w:rFonts w:ascii="Times New Roman" w:hAnsi="Times New Roman"/>
          <w:sz w:val="24"/>
        </w:rPr>
        <w:t>hereby saving incremental kilowatt hours.  In any event, there are several issues raised by the “excess” conservation plan that require thorough investigation and consideration, as discussed above.</w:t>
      </w:r>
    </w:p>
    <w:p w:rsidR="009C04D9" w:rsidRPr="00A17730" w:rsidRDefault="009C04D9" w:rsidP="00A84B4D">
      <w:pPr>
        <w:keepNext/>
        <w:keepLines/>
        <w:spacing w:after="240"/>
        <w:rPr>
          <w:rFonts w:ascii="Times New Roman" w:hAnsi="Times New Roman"/>
          <w:b/>
          <w:sz w:val="24"/>
        </w:rPr>
      </w:pPr>
      <w:r w:rsidRPr="00A17730">
        <w:rPr>
          <w:rFonts w:ascii="Times New Roman" w:hAnsi="Times New Roman"/>
          <w:b/>
          <w:sz w:val="24"/>
        </w:rPr>
        <w:lastRenderedPageBreak/>
        <w:t>Q.</w:t>
      </w:r>
      <w:r w:rsidRPr="00A17730">
        <w:rPr>
          <w:rFonts w:ascii="Times New Roman" w:hAnsi="Times New Roman"/>
          <w:b/>
          <w:sz w:val="24"/>
        </w:rPr>
        <w:tab/>
      </w:r>
      <w:r>
        <w:rPr>
          <w:rFonts w:ascii="Times New Roman" w:hAnsi="Times New Roman"/>
          <w:b/>
          <w:sz w:val="24"/>
        </w:rPr>
        <w:t xml:space="preserve">HAS PSE COMPLIED WITH THE PROGRAM DURATION REQUIREMENTS </w:t>
      </w:r>
      <w:r>
        <w:rPr>
          <w:rFonts w:ascii="Times New Roman" w:hAnsi="Times New Roman"/>
          <w:b/>
          <w:sz w:val="24"/>
        </w:rPr>
        <w:tab/>
        <w:t>IN THE POLICY STATEMENT</w:t>
      </w:r>
      <w:r w:rsidRPr="00A17730">
        <w:rPr>
          <w:rFonts w:ascii="Times New Roman" w:hAnsi="Times New Roman"/>
          <w:b/>
          <w:sz w:val="24"/>
        </w:rPr>
        <w:t>?</w:t>
      </w:r>
    </w:p>
    <w:p w:rsidR="009C04D9" w:rsidRPr="00A17730" w:rsidRDefault="009C04D9" w:rsidP="009C04D9">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t xml:space="preserve">Probably not, since the burden to demonstrate “continued need” for a decoupling mechanism </w:t>
      </w:r>
      <w:r w:rsidR="00B30609">
        <w:rPr>
          <w:rFonts w:ascii="Times New Roman" w:hAnsi="Times New Roman"/>
          <w:sz w:val="24"/>
        </w:rPr>
        <w:t>should be</w:t>
      </w:r>
      <w:r>
        <w:rPr>
          <w:rFonts w:ascii="Times New Roman" w:hAnsi="Times New Roman"/>
          <w:sz w:val="24"/>
        </w:rPr>
        <w:t xml:space="preserve"> upon the utility.  If continued need must be demonstrated throughout the approval period, PSE has made no provisions to meet that burden.  But, even if the burden to demonstrate continued need only rises upon renewal attempts, there is still cause for concern.  In its amended petition, PSE contemplates that its decoupling mechanisms will continue to operate beyond the next GRC, following a PSE request and Commission approval.</w:t>
      </w:r>
      <w:r>
        <w:rPr>
          <w:rStyle w:val="FootnoteReference"/>
          <w:sz w:val="24"/>
        </w:rPr>
        <w:footnoteReference w:id="73"/>
      </w:r>
      <w:r>
        <w:rPr>
          <w:rFonts w:ascii="Times New Roman" w:hAnsi="Times New Roman"/>
          <w:sz w:val="24"/>
          <w:vertAlign w:val="superscript"/>
        </w:rPr>
        <w:t>/</w:t>
      </w:r>
      <w:r>
        <w:rPr>
          <w:rFonts w:ascii="Times New Roman" w:hAnsi="Times New Roman"/>
          <w:sz w:val="24"/>
        </w:rPr>
        <w:t xml:space="preserve">  PSE may properly anticipate bearing the burden to demonstrate the need for continuation; however, on its face, Company testimony seems to indicate that PSE anticipates renewal could be pro forma</w:t>
      </w:r>
      <w:r w:rsidR="00CB0A7F">
        <w:rPr>
          <w:rFonts w:ascii="Times New Roman" w:hAnsi="Times New Roman"/>
          <w:sz w:val="24"/>
        </w:rPr>
        <w:t>.</w:t>
      </w:r>
      <w:r w:rsidRPr="00A17730">
        <w:rPr>
          <w:rFonts w:ascii="Times New Roman" w:hAnsi="Times New Roman"/>
          <w:sz w:val="24"/>
        </w:rPr>
        <w:t xml:space="preserve"> </w:t>
      </w:r>
    </w:p>
    <w:p w:rsidR="009C04D9" w:rsidRPr="00A17730" w:rsidRDefault="009C04D9" w:rsidP="009C04D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r>
      <w:r>
        <w:rPr>
          <w:rFonts w:ascii="Times New Roman" w:hAnsi="Times New Roman"/>
          <w:b/>
          <w:sz w:val="24"/>
        </w:rPr>
        <w:t>HAVE POLICY STATEMENT REPORTING REQUIREMENTS BEEN SATISFIED BY PSE</w:t>
      </w:r>
      <w:r w:rsidRPr="00A17730">
        <w:rPr>
          <w:rFonts w:ascii="Times New Roman" w:hAnsi="Times New Roman"/>
          <w:b/>
          <w:sz w:val="24"/>
        </w:rPr>
        <w:t xml:space="preserve">? </w:t>
      </w:r>
    </w:p>
    <w:p w:rsidR="009C04D9" w:rsidRDefault="009C04D9" w:rsidP="009C04D9">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t>It appears so.</w:t>
      </w:r>
      <w:r w:rsidRPr="00A17730">
        <w:rPr>
          <w:rFonts w:ascii="Times New Roman" w:hAnsi="Times New Roman"/>
          <w:sz w:val="24"/>
        </w:rPr>
        <w:t xml:space="preserve"> </w:t>
      </w:r>
      <w:r>
        <w:rPr>
          <w:rFonts w:ascii="Times New Roman" w:hAnsi="Times New Roman"/>
          <w:sz w:val="24"/>
        </w:rPr>
        <w:t xml:space="preserve"> The Commission only states that it “may” require periodic reports in order to evaluate a decoupling program</w:t>
      </w:r>
      <w:r w:rsidRPr="00A17730">
        <w:rPr>
          <w:rFonts w:ascii="Times New Roman" w:hAnsi="Times New Roman"/>
          <w:sz w:val="24"/>
        </w:rPr>
        <w:t>.</w:t>
      </w:r>
      <w:r>
        <w:rPr>
          <w:rFonts w:ascii="Times New Roman" w:hAnsi="Times New Roman"/>
          <w:sz w:val="24"/>
        </w:rPr>
        <w:t xml:space="preserve">  PSE states that third-party evaluation will be provided, no later than four years after decoupling deferrals begin, and may be filed within a GRC or a stand-alone case.  To be sure, more frequent reporting on PSE’s initiative would be preferable, but the bare minimum as envisioned by the Commission seems to be satisfied.  </w:t>
      </w:r>
    </w:p>
    <w:p w:rsidR="00824986" w:rsidRPr="004F167B" w:rsidRDefault="00824986" w:rsidP="0011427F">
      <w:pPr>
        <w:keepNext/>
        <w:keepLines/>
        <w:spacing w:line="480" w:lineRule="auto"/>
        <w:ind w:left="720" w:hanging="720"/>
        <w:jc w:val="center"/>
        <w:rPr>
          <w:rFonts w:ascii="Times New Roman" w:hAnsi="Times New Roman"/>
          <w:sz w:val="24"/>
          <w:u w:val="single"/>
        </w:rPr>
      </w:pPr>
      <w:r>
        <w:rPr>
          <w:rFonts w:ascii="Times New Roman" w:hAnsi="Times New Roman"/>
          <w:b/>
          <w:sz w:val="24"/>
          <w:u w:val="single"/>
        </w:rPr>
        <w:lastRenderedPageBreak/>
        <w:t>K-FACTOR RATE PLAN</w:t>
      </w:r>
    </w:p>
    <w:p w:rsidR="00824986" w:rsidRDefault="00824986" w:rsidP="006E13C3">
      <w:pPr>
        <w:keepNext/>
        <w:keepLines/>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sz w:val="24"/>
          <w:szCs w:val="24"/>
        </w:rPr>
        <w:tab/>
      </w:r>
      <w:r>
        <w:rPr>
          <w:rFonts w:ascii="Times New Roman" w:hAnsi="Times New Roman"/>
          <w:b/>
          <w:sz w:val="24"/>
          <w:szCs w:val="24"/>
        </w:rPr>
        <w:t>HAVE YOU ANALYZED THE K-FACTOR RATE PLAN INCLUDED IN THE PROPOSAL</w:t>
      </w:r>
      <w:r w:rsidRPr="004C3222">
        <w:rPr>
          <w:rFonts w:ascii="Times New Roman" w:hAnsi="Times New Roman"/>
          <w:b/>
          <w:sz w:val="24"/>
          <w:szCs w:val="24"/>
        </w:rPr>
        <w:t>?</w:t>
      </w:r>
    </w:p>
    <w:p w:rsidR="00824986" w:rsidRPr="005F74E1" w:rsidRDefault="00824986" w:rsidP="00824986">
      <w:pPr>
        <w:spacing w:line="480" w:lineRule="auto"/>
        <w:ind w:left="720" w:hanging="720"/>
        <w:rPr>
          <w:rFonts w:ascii="Times New Roman" w:hAnsi="Times New Roman"/>
          <w:sz w:val="24"/>
          <w:vertAlign w:val="superscript"/>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Yes.  As I noted above, the Policy Statement is directed at conservation-related mechanisms.  The K-Factor Rate Plan, on the other hand, does not promote conservation, but, rather, has been proposed because PSE asserts it is dealing with earnings attrition.</w:t>
      </w:r>
      <w:r w:rsidR="005F74E1">
        <w:rPr>
          <w:rStyle w:val="FootnoteReference"/>
          <w:sz w:val="24"/>
          <w:szCs w:val="24"/>
        </w:rPr>
        <w:footnoteReference w:id="74"/>
      </w:r>
      <w:r w:rsidR="005F74E1">
        <w:rPr>
          <w:rFonts w:ascii="Times New Roman" w:hAnsi="Times New Roman"/>
          <w:sz w:val="24"/>
          <w:szCs w:val="24"/>
          <w:vertAlign w:val="superscript"/>
        </w:rPr>
        <w:t>/</w:t>
      </w:r>
    </w:p>
    <w:p w:rsidR="004C3222" w:rsidRDefault="004C3222" w:rsidP="009C04D9">
      <w:pPr>
        <w:spacing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sz w:val="24"/>
          <w:szCs w:val="24"/>
        </w:rPr>
        <w:tab/>
      </w:r>
      <w:r w:rsidRPr="004C3222">
        <w:rPr>
          <w:rFonts w:ascii="Times New Roman" w:hAnsi="Times New Roman"/>
          <w:b/>
          <w:sz w:val="24"/>
          <w:szCs w:val="24"/>
        </w:rPr>
        <w:t>IS EARNINGS ATTRITION, IF PRESENT, A PROBLEM?</w:t>
      </w:r>
    </w:p>
    <w:p w:rsidR="004C3222" w:rsidRDefault="004C3222" w:rsidP="004C3222">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If it exists, earnings attrition is neither good nor bad.  It is simply one of a multitude of increases and decreases in costs and revenues that a prudent utility must manage.  In fact, the presence of some attrition leads to more efficient management as the Company has a greater incentive to cut costs to offset such pressures.</w:t>
      </w:r>
      <w:r w:rsidR="003529E4">
        <w:rPr>
          <w:rFonts w:ascii="Times New Roman" w:hAnsi="Times New Roman"/>
          <w:sz w:val="24"/>
          <w:szCs w:val="24"/>
        </w:rPr>
        <w:t xml:space="preserve">  If all risk is shifted to ratepayers, utilities should earn a much lower ROE as a matter of principle. </w:t>
      </w:r>
    </w:p>
    <w:p w:rsidR="004C3222" w:rsidRDefault="004C3222" w:rsidP="004C3222">
      <w:pPr>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sz w:val="24"/>
          <w:szCs w:val="24"/>
        </w:rPr>
        <w:tab/>
      </w:r>
      <w:r w:rsidRPr="004C3222">
        <w:rPr>
          <w:rFonts w:ascii="Times New Roman" w:hAnsi="Times New Roman"/>
          <w:b/>
          <w:sz w:val="24"/>
          <w:szCs w:val="24"/>
        </w:rPr>
        <w:t>WHAT IS THE COMMISSION’S STATED POSITION ON EXTRAORDINARY EARNINGS ATTRITION?</w:t>
      </w:r>
    </w:p>
    <w:p w:rsidR="00400300" w:rsidRDefault="004C3222" w:rsidP="004C3222">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sidR="00CB0A7F">
        <w:rPr>
          <w:rFonts w:ascii="Times New Roman" w:hAnsi="Times New Roman"/>
          <w:sz w:val="24"/>
          <w:szCs w:val="24"/>
        </w:rPr>
        <w:t>F</w:t>
      </w:r>
      <w:r>
        <w:rPr>
          <w:rFonts w:ascii="Times New Roman" w:hAnsi="Times New Roman"/>
          <w:sz w:val="24"/>
          <w:szCs w:val="24"/>
        </w:rPr>
        <w:t>irst</w:t>
      </w:r>
      <w:r w:rsidR="00CB0A7F">
        <w:rPr>
          <w:rFonts w:ascii="Times New Roman" w:hAnsi="Times New Roman"/>
          <w:sz w:val="24"/>
          <w:szCs w:val="24"/>
        </w:rPr>
        <w:t>, neither</w:t>
      </w:r>
      <w:r>
        <w:rPr>
          <w:rFonts w:ascii="Times New Roman" w:hAnsi="Times New Roman"/>
          <w:sz w:val="24"/>
          <w:szCs w:val="24"/>
        </w:rPr>
        <w:t xml:space="preserve"> in this case</w:t>
      </w:r>
      <w:r w:rsidR="00CB0A7F">
        <w:rPr>
          <w:rFonts w:ascii="Times New Roman" w:hAnsi="Times New Roman"/>
          <w:sz w:val="24"/>
          <w:szCs w:val="24"/>
        </w:rPr>
        <w:t>,</w:t>
      </w:r>
      <w:r>
        <w:rPr>
          <w:rFonts w:ascii="Times New Roman" w:hAnsi="Times New Roman"/>
          <w:sz w:val="24"/>
          <w:szCs w:val="24"/>
        </w:rPr>
        <w:t xml:space="preserve"> nor in its previous rate cases, has PSE provided evidence of </w:t>
      </w:r>
      <w:r w:rsidRPr="00D51584">
        <w:rPr>
          <w:rFonts w:ascii="Times New Roman" w:hAnsi="Times New Roman"/>
          <w:i/>
          <w:sz w:val="24"/>
          <w:szCs w:val="24"/>
        </w:rPr>
        <w:t>any</w:t>
      </w:r>
      <w:r>
        <w:rPr>
          <w:rFonts w:ascii="Times New Roman" w:hAnsi="Times New Roman"/>
          <w:sz w:val="24"/>
          <w:szCs w:val="24"/>
        </w:rPr>
        <w:t xml:space="preserve"> attrition, let alone extraordinary earnings attrition.  However, the Commission stated in UE-111048, Order </w:t>
      </w:r>
      <w:r w:rsidR="00D066AD">
        <w:rPr>
          <w:rFonts w:ascii="Times New Roman" w:hAnsi="Times New Roman"/>
          <w:sz w:val="24"/>
          <w:szCs w:val="24"/>
        </w:rPr>
        <w:t>0</w:t>
      </w:r>
      <w:r>
        <w:rPr>
          <w:rFonts w:ascii="Times New Roman" w:hAnsi="Times New Roman"/>
          <w:sz w:val="24"/>
          <w:szCs w:val="24"/>
        </w:rPr>
        <w:t xml:space="preserve">8 that attrition can be remedied through </w:t>
      </w:r>
      <w:r w:rsidR="00CB0A7F">
        <w:rPr>
          <w:rFonts w:ascii="Times New Roman" w:hAnsi="Times New Roman"/>
          <w:sz w:val="24"/>
          <w:szCs w:val="24"/>
        </w:rPr>
        <w:t>p</w:t>
      </w:r>
      <w:r>
        <w:rPr>
          <w:rFonts w:ascii="Times New Roman" w:hAnsi="Times New Roman"/>
          <w:sz w:val="24"/>
          <w:szCs w:val="24"/>
        </w:rPr>
        <w:t>ro-forma adjustments of test year data to reflect known and measurable changes, the use of year end rate base rather than test-year average, inclusion of Construction Work in Progress, or attrition allowances.</w:t>
      </w:r>
      <w:r>
        <w:rPr>
          <w:rStyle w:val="FootnoteReference"/>
          <w:sz w:val="24"/>
          <w:szCs w:val="24"/>
        </w:rPr>
        <w:footnoteReference w:id="75"/>
      </w:r>
      <w:r w:rsidRPr="004C3222">
        <w:rPr>
          <w:rFonts w:ascii="Times New Roman" w:hAnsi="Times New Roman"/>
          <w:sz w:val="24"/>
          <w:szCs w:val="24"/>
          <w:vertAlign w:val="superscript"/>
        </w:rPr>
        <w:t>/</w:t>
      </w:r>
      <w:r>
        <w:rPr>
          <w:rFonts w:ascii="Times New Roman" w:hAnsi="Times New Roman"/>
          <w:sz w:val="24"/>
          <w:szCs w:val="24"/>
        </w:rPr>
        <w:t xml:space="preserve">  </w:t>
      </w:r>
      <w:r w:rsidR="00D066AD">
        <w:rPr>
          <w:rFonts w:ascii="Times New Roman" w:hAnsi="Times New Roman"/>
          <w:sz w:val="24"/>
          <w:szCs w:val="24"/>
        </w:rPr>
        <w:t>An attrition allowance must be based on demonstrable evidence of attrition, including proof that the historic attrition will continue to be present in the rate year or years.</w:t>
      </w:r>
      <w:r w:rsidR="00400300">
        <w:rPr>
          <w:rStyle w:val="FootnoteReference"/>
          <w:sz w:val="24"/>
          <w:szCs w:val="24"/>
        </w:rPr>
        <w:footnoteReference w:id="76"/>
      </w:r>
      <w:r w:rsidR="00400300">
        <w:rPr>
          <w:rFonts w:ascii="Times New Roman" w:hAnsi="Times New Roman"/>
          <w:sz w:val="24"/>
          <w:szCs w:val="24"/>
          <w:vertAlign w:val="superscript"/>
        </w:rPr>
        <w:t>/</w:t>
      </w:r>
      <w:r w:rsidR="00D066AD">
        <w:rPr>
          <w:rFonts w:ascii="Times New Roman" w:hAnsi="Times New Roman"/>
          <w:sz w:val="24"/>
          <w:szCs w:val="24"/>
        </w:rPr>
        <w:t xml:space="preserve">  </w:t>
      </w:r>
    </w:p>
    <w:p w:rsidR="003529E4" w:rsidRDefault="00400300" w:rsidP="003529E4">
      <w:pPr>
        <w:spacing w:line="480" w:lineRule="auto"/>
        <w:ind w:left="720" w:firstLine="720"/>
        <w:rPr>
          <w:rFonts w:ascii="Times New Roman" w:hAnsi="Times New Roman"/>
          <w:sz w:val="24"/>
          <w:szCs w:val="24"/>
        </w:rPr>
      </w:pPr>
      <w:r>
        <w:rPr>
          <w:rFonts w:ascii="Times New Roman" w:hAnsi="Times New Roman"/>
          <w:sz w:val="24"/>
          <w:szCs w:val="24"/>
        </w:rPr>
        <w:lastRenderedPageBreak/>
        <w:t xml:space="preserve">In this case, </w:t>
      </w:r>
      <w:r w:rsidR="004C3222">
        <w:rPr>
          <w:rFonts w:ascii="Times New Roman" w:hAnsi="Times New Roman"/>
          <w:sz w:val="24"/>
          <w:szCs w:val="24"/>
        </w:rPr>
        <w:t xml:space="preserve">without demonstrating </w:t>
      </w:r>
      <w:r w:rsidR="00E35476">
        <w:rPr>
          <w:rFonts w:ascii="Times New Roman" w:hAnsi="Times New Roman"/>
          <w:sz w:val="24"/>
          <w:szCs w:val="24"/>
        </w:rPr>
        <w:t xml:space="preserve">any </w:t>
      </w:r>
      <w:r w:rsidR="004C3222">
        <w:rPr>
          <w:rFonts w:ascii="Times New Roman" w:hAnsi="Times New Roman"/>
          <w:sz w:val="24"/>
          <w:szCs w:val="24"/>
        </w:rPr>
        <w:t>earnings attrition, PSE wants to use an all-of-the-above approach</w:t>
      </w:r>
      <w:r w:rsidR="00E35476">
        <w:rPr>
          <w:rFonts w:ascii="Times New Roman" w:hAnsi="Times New Roman"/>
          <w:sz w:val="24"/>
          <w:szCs w:val="24"/>
        </w:rPr>
        <w:t xml:space="preserve"> to recover attrition it allegedly suffers from</w:t>
      </w:r>
      <w:r w:rsidR="004C3222">
        <w:rPr>
          <w:rFonts w:ascii="Times New Roman" w:hAnsi="Times New Roman"/>
          <w:sz w:val="24"/>
          <w:szCs w:val="24"/>
        </w:rPr>
        <w:t>.  The Commission already employs pro-forma test year adjustments and the Company has asked to use year-end data in the</w:t>
      </w:r>
      <w:r>
        <w:rPr>
          <w:rFonts w:ascii="Times New Roman" w:hAnsi="Times New Roman"/>
          <w:sz w:val="24"/>
          <w:szCs w:val="24"/>
        </w:rPr>
        <w:t xml:space="preserve"> accompanying</w:t>
      </w:r>
      <w:r w:rsidR="004C3222">
        <w:rPr>
          <w:rFonts w:ascii="Times New Roman" w:hAnsi="Times New Roman"/>
          <w:sz w:val="24"/>
          <w:szCs w:val="24"/>
        </w:rPr>
        <w:t xml:space="preserve"> ERF docket, which I discuss </w:t>
      </w:r>
      <w:r w:rsidR="00CB0A7F">
        <w:rPr>
          <w:rFonts w:ascii="Times New Roman" w:hAnsi="Times New Roman"/>
          <w:sz w:val="24"/>
          <w:szCs w:val="24"/>
        </w:rPr>
        <w:t>above</w:t>
      </w:r>
      <w:r w:rsidR="004C3222">
        <w:rPr>
          <w:rFonts w:ascii="Times New Roman" w:hAnsi="Times New Roman"/>
          <w:sz w:val="24"/>
          <w:szCs w:val="24"/>
        </w:rPr>
        <w:t>.  Now, in this docket PSE has asked for a yearly attrition adjustment</w:t>
      </w:r>
      <w:r w:rsidR="00E35476">
        <w:rPr>
          <w:rFonts w:ascii="Times New Roman" w:hAnsi="Times New Roman"/>
          <w:sz w:val="24"/>
          <w:szCs w:val="24"/>
        </w:rPr>
        <w:t xml:space="preserve"> on top of these other tools</w:t>
      </w:r>
      <w:r w:rsidR="004C3222">
        <w:rPr>
          <w:rFonts w:ascii="Times New Roman" w:hAnsi="Times New Roman"/>
          <w:sz w:val="24"/>
          <w:szCs w:val="24"/>
        </w:rPr>
        <w:t>.</w:t>
      </w:r>
    </w:p>
    <w:p w:rsidR="009F1A3A" w:rsidRDefault="009F1A3A" w:rsidP="009F1A3A">
      <w:pPr>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sz w:val="24"/>
          <w:szCs w:val="24"/>
        </w:rPr>
        <w:tab/>
      </w:r>
      <w:r>
        <w:rPr>
          <w:rFonts w:ascii="Times New Roman" w:hAnsi="Times New Roman"/>
          <w:b/>
          <w:sz w:val="24"/>
          <w:szCs w:val="24"/>
        </w:rPr>
        <w:t xml:space="preserve">DOES PSE’S </w:t>
      </w:r>
      <w:r w:rsidR="00CB0A7F">
        <w:rPr>
          <w:rFonts w:ascii="Times New Roman" w:hAnsi="Times New Roman"/>
          <w:b/>
          <w:sz w:val="24"/>
          <w:szCs w:val="24"/>
        </w:rPr>
        <w:t xml:space="preserve">ALLEGED </w:t>
      </w:r>
      <w:r>
        <w:rPr>
          <w:rFonts w:ascii="Times New Roman" w:hAnsi="Times New Roman"/>
          <w:b/>
          <w:sz w:val="24"/>
          <w:szCs w:val="24"/>
        </w:rPr>
        <w:t>FAILURE TO ACHIEVE ITS ALLOWABLE RATE OF RETURN JUSTIFY THE K-FACTOR RATE PLAN</w:t>
      </w:r>
      <w:r w:rsidRPr="009D29E0">
        <w:rPr>
          <w:rFonts w:ascii="Times New Roman" w:hAnsi="Times New Roman"/>
          <w:b/>
          <w:sz w:val="24"/>
          <w:szCs w:val="24"/>
        </w:rPr>
        <w:t>?</w:t>
      </w:r>
    </w:p>
    <w:p w:rsidR="009F1A3A" w:rsidRDefault="009F1A3A" w:rsidP="009F1A3A">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 xml:space="preserve">No.  </w:t>
      </w:r>
      <w:r w:rsidR="00613B76">
        <w:rPr>
          <w:rFonts w:ascii="Times New Roman" w:hAnsi="Times New Roman"/>
          <w:sz w:val="24"/>
          <w:szCs w:val="24"/>
        </w:rPr>
        <w:t>T</w:t>
      </w:r>
      <w:r>
        <w:rPr>
          <w:rFonts w:ascii="Times New Roman" w:hAnsi="Times New Roman"/>
          <w:sz w:val="24"/>
          <w:szCs w:val="24"/>
        </w:rPr>
        <w:t xml:space="preserve">he Commission has made clear that it would require </w:t>
      </w:r>
      <w:r w:rsidR="00613B76">
        <w:rPr>
          <w:rFonts w:ascii="Times New Roman" w:hAnsi="Times New Roman"/>
          <w:sz w:val="24"/>
          <w:szCs w:val="24"/>
        </w:rPr>
        <w:t>“precise” cost based evidence to justify an attrition adjustment, even for a single year, let alone for parts of</w:t>
      </w:r>
      <w:r w:rsidR="00CB0A7F">
        <w:rPr>
          <w:rFonts w:ascii="Times New Roman" w:hAnsi="Times New Roman"/>
          <w:sz w:val="24"/>
          <w:szCs w:val="24"/>
        </w:rPr>
        <w:t xml:space="preserve"> four to</w:t>
      </w:r>
      <w:r w:rsidR="00613B76">
        <w:rPr>
          <w:rFonts w:ascii="Times New Roman" w:hAnsi="Times New Roman"/>
          <w:sz w:val="24"/>
          <w:szCs w:val="24"/>
        </w:rPr>
        <w:t xml:space="preserve"> five years.</w:t>
      </w:r>
      <w:r w:rsidR="00613B76">
        <w:rPr>
          <w:rStyle w:val="FootnoteReference"/>
          <w:sz w:val="24"/>
          <w:szCs w:val="24"/>
        </w:rPr>
        <w:footnoteReference w:id="77"/>
      </w:r>
      <w:r w:rsidR="00613B76">
        <w:rPr>
          <w:rFonts w:ascii="Times New Roman" w:hAnsi="Times New Roman"/>
          <w:sz w:val="24"/>
          <w:szCs w:val="24"/>
          <w:vertAlign w:val="superscript"/>
        </w:rPr>
        <w:t>/</w:t>
      </w:r>
      <w:r w:rsidR="00613B76">
        <w:rPr>
          <w:rFonts w:ascii="Times New Roman" w:hAnsi="Times New Roman"/>
          <w:sz w:val="24"/>
          <w:szCs w:val="24"/>
        </w:rPr>
        <w:t xml:space="preserve">  </w:t>
      </w:r>
      <w:r w:rsidR="00264B9D">
        <w:rPr>
          <w:rFonts w:ascii="Times New Roman" w:hAnsi="Times New Roman"/>
          <w:sz w:val="24"/>
          <w:szCs w:val="24"/>
        </w:rPr>
        <w:t xml:space="preserve">Failure to achieve a certain rate of return is not precise, cost-based evidence.  </w:t>
      </w:r>
      <w:r w:rsidR="00613B76">
        <w:rPr>
          <w:rFonts w:ascii="Times New Roman" w:hAnsi="Times New Roman"/>
          <w:sz w:val="24"/>
          <w:szCs w:val="24"/>
        </w:rPr>
        <w:t xml:space="preserve">An allowable ROR is not a guaranteed return; rather, it is the reasonable level of return that the Company should have the </w:t>
      </w:r>
      <w:r w:rsidR="00613B76" w:rsidRPr="00613B76">
        <w:rPr>
          <w:rFonts w:ascii="Times New Roman" w:hAnsi="Times New Roman"/>
          <w:i/>
          <w:sz w:val="24"/>
          <w:szCs w:val="24"/>
        </w:rPr>
        <w:t>opportunity</w:t>
      </w:r>
      <w:r w:rsidR="00613B76">
        <w:rPr>
          <w:rFonts w:ascii="Times New Roman" w:hAnsi="Times New Roman"/>
          <w:sz w:val="24"/>
          <w:szCs w:val="24"/>
        </w:rPr>
        <w:t xml:space="preserve"> to earn.   The Commission does not guarantee any level of recovery to regulated utilities, and if a Company fails to meet its allowable ROR, there is no indication that its rates are incorrect.  </w:t>
      </w:r>
      <w:r w:rsidR="00264B9D">
        <w:rPr>
          <w:rFonts w:ascii="Times New Roman" w:hAnsi="Times New Roman"/>
          <w:sz w:val="24"/>
          <w:szCs w:val="24"/>
        </w:rPr>
        <w:t xml:space="preserve">There </w:t>
      </w:r>
      <w:r w:rsidR="007F5B77">
        <w:rPr>
          <w:rFonts w:ascii="Times New Roman" w:hAnsi="Times New Roman"/>
          <w:sz w:val="24"/>
          <w:szCs w:val="24"/>
        </w:rPr>
        <w:t>are many</w:t>
      </w:r>
      <w:r w:rsidR="00264B9D">
        <w:rPr>
          <w:rFonts w:ascii="Times New Roman" w:hAnsi="Times New Roman"/>
          <w:sz w:val="24"/>
          <w:szCs w:val="24"/>
        </w:rPr>
        <w:t xml:space="preserve"> factors that could lead to failure to earn the allowed ROR</w:t>
      </w:r>
      <w:r w:rsidR="00CB0A7F">
        <w:rPr>
          <w:rFonts w:ascii="Times New Roman" w:hAnsi="Times New Roman"/>
          <w:sz w:val="24"/>
          <w:szCs w:val="24"/>
        </w:rPr>
        <w:t>.</w:t>
      </w:r>
      <w:r w:rsidR="00264B9D">
        <w:rPr>
          <w:rFonts w:ascii="Times New Roman" w:hAnsi="Times New Roman"/>
          <w:sz w:val="24"/>
          <w:szCs w:val="24"/>
        </w:rPr>
        <w:t xml:space="preserve"> </w:t>
      </w:r>
    </w:p>
    <w:p w:rsidR="009D29E0" w:rsidRDefault="009D29E0" w:rsidP="009D29E0">
      <w:pPr>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sz w:val="24"/>
          <w:szCs w:val="24"/>
        </w:rPr>
        <w:tab/>
      </w:r>
      <w:r w:rsidRPr="009D29E0">
        <w:rPr>
          <w:rFonts w:ascii="Times New Roman" w:hAnsi="Times New Roman"/>
          <w:b/>
          <w:sz w:val="24"/>
          <w:szCs w:val="24"/>
        </w:rPr>
        <w:t>DO FREQUENT RATE CASES DEMONSTRATE UNDER-EAR</w:t>
      </w:r>
      <w:r w:rsidR="00226355">
        <w:rPr>
          <w:rFonts w:ascii="Times New Roman" w:hAnsi="Times New Roman"/>
          <w:b/>
          <w:sz w:val="24"/>
          <w:szCs w:val="24"/>
        </w:rPr>
        <w:t>N</w:t>
      </w:r>
      <w:r w:rsidRPr="009D29E0">
        <w:rPr>
          <w:rFonts w:ascii="Times New Roman" w:hAnsi="Times New Roman"/>
          <w:b/>
          <w:sz w:val="24"/>
          <w:szCs w:val="24"/>
        </w:rPr>
        <w:t>ING DUE TO ATTRITION?</w:t>
      </w:r>
    </w:p>
    <w:p w:rsidR="00F70DE5" w:rsidRDefault="009D29E0" w:rsidP="00DB3D29">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No.</w:t>
      </w:r>
      <w:r w:rsidR="00400300">
        <w:rPr>
          <w:rFonts w:ascii="Times New Roman" w:hAnsi="Times New Roman"/>
          <w:sz w:val="24"/>
          <w:szCs w:val="24"/>
        </w:rPr>
        <w:t xml:space="preserve">  </w:t>
      </w:r>
      <w:r w:rsidR="009F1A3A">
        <w:rPr>
          <w:rFonts w:ascii="Times New Roman" w:hAnsi="Times New Roman"/>
          <w:sz w:val="24"/>
          <w:szCs w:val="24"/>
        </w:rPr>
        <w:t>The Commission has never accepted frequency of rate case filings or granted rate increases as proof of earnings attrition.  In</w:t>
      </w:r>
      <w:r w:rsidR="005A7211">
        <w:rPr>
          <w:rFonts w:ascii="Times New Roman" w:hAnsi="Times New Roman"/>
          <w:sz w:val="24"/>
          <w:szCs w:val="24"/>
        </w:rPr>
        <w:t xml:space="preserve"> PSE’s case,</w:t>
      </w:r>
      <w:r w:rsidR="009F1A3A">
        <w:rPr>
          <w:rFonts w:ascii="Times New Roman" w:hAnsi="Times New Roman"/>
          <w:sz w:val="24"/>
          <w:szCs w:val="24"/>
        </w:rPr>
        <w:t xml:space="preserve"> its recent filings are, in fact, positive evidence that it does not need an attrition adjustment.</w:t>
      </w:r>
      <w:r w:rsidR="005A7211">
        <w:rPr>
          <w:rFonts w:ascii="Times New Roman" w:hAnsi="Times New Roman"/>
          <w:sz w:val="24"/>
          <w:szCs w:val="24"/>
        </w:rPr>
        <w:t xml:space="preserve"> </w:t>
      </w:r>
      <w:r w:rsidR="009F1A3A">
        <w:rPr>
          <w:rFonts w:ascii="Times New Roman" w:hAnsi="Times New Roman"/>
          <w:sz w:val="24"/>
          <w:szCs w:val="24"/>
        </w:rPr>
        <w:t xml:space="preserve"> In </w:t>
      </w:r>
      <w:r w:rsidR="005A7211">
        <w:rPr>
          <w:rFonts w:ascii="Times New Roman" w:hAnsi="Times New Roman"/>
          <w:sz w:val="24"/>
          <w:szCs w:val="24"/>
        </w:rPr>
        <w:t>PSE’s last rate case, it</w:t>
      </w:r>
      <w:r w:rsidR="00AC1FE3">
        <w:rPr>
          <w:rFonts w:ascii="Times New Roman" w:hAnsi="Times New Roman"/>
          <w:sz w:val="24"/>
          <w:szCs w:val="24"/>
        </w:rPr>
        <w:t xml:space="preserve"> requested an 8.1% rate increase, but was granted only a 3.2% </w:t>
      </w:r>
      <w:r w:rsidR="003529E4">
        <w:rPr>
          <w:rFonts w:ascii="Times New Roman" w:hAnsi="Times New Roman"/>
          <w:sz w:val="24"/>
          <w:szCs w:val="24"/>
        </w:rPr>
        <w:t>rate increase</w:t>
      </w:r>
      <w:r w:rsidR="00AC1FE3">
        <w:rPr>
          <w:rFonts w:ascii="Times New Roman" w:hAnsi="Times New Roman"/>
          <w:sz w:val="24"/>
          <w:szCs w:val="24"/>
        </w:rPr>
        <w:t xml:space="preserve">.  </w:t>
      </w:r>
      <w:r w:rsidR="003529E4">
        <w:rPr>
          <w:rFonts w:ascii="Times New Roman" w:hAnsi="Times New Roman"/>
          <w:sz w:val="24"/>
          <w:szCs w:val="24"/>
        </w:rPr>
        <w:t>A</w:t>
      </w:r>
      <w:r w:rsidR="00AC1FE3">
        <w:rPr>
          <w:rFonts w:ascii="Times New Roman" w:hAnsi="Times New Roman"/>
          <w:sz w:val="24"/>
          <w:szCs w:val="24"/>
        </w:rPr>
        <w:t xml:space="preserve"> great majority of this</w:t>
      </w:r>
      <w:r w:rsidR="003529E4">
        <w:rPr>
          <w:rFonts w:ascii="Times New Roman" w:hAnsi="Times New Roman"/>
          <w:sz w:val="24"/>
          <w:szCs w:val="24"/>
        </w:rPr>
        <w:t xml:space="preserve"> 3% rate</w:t>
      </w:r>
      <w:r w:rsidR="00AC1FE3">
        <w:rPr>
          <w:rFonts w:ascii="Times New Roman" w:hAnsi="Times New Roman"/>
          <w:sz w:val="24"/>
          <w:szCs w:val="24"/>
        </w:rPr>
        <w:t xml:space="preserve"> increase was attributable to PSE’s inclusion of its Lower Snake </w:t>
      </w:r>
      <w:r w:rsidR="00AC1FE3">
        <w:rPr>
          <w:rFonts w:ascii="Times New Roman" w:hAnsi="Times New Roman"/>
          <w:sz w:val="24"/>
          <w:szCs w:val="24"/>
        </w:rPr>
        <w:lastRenderedPageBreak/>
        <w:t>River</w:t>
      </w:r>
      <w:r w:rsidR="009F1A3A">
        <w:rPr>
          <w:rFonts w:ascii="Times New Roman" w:hAnsi="Times New Roman"/>
          <w:sz w:val="24"/>
          <w:szCs w:val="24"/>
        </w:rPr>
        <w:t xml:space="preserve"> (“LSR”) generating facilities</w:t>
      </w:r>
      <w:r w:rsidR="00AC1FE3">
        <w:rPr>
          <w:rFonts w:ascii="Times New Roman" w:hAnsi="Times New Roman"/>
          <w:sz w:val="24"/>
          <w:szCs w:val="24"/>
        </w:rPr>
        <w:t xml:space="preserve"> in rate base.</w:t>
      </w:r>
      <w:r w:rsidR="00613B76">
        <w:rPr>
          <w:rStyle w:val="FootnoteReference"/>
          <w:sz w:val="24"/>
          <w:szCs w:val="24"/>
        </w:rPr>
        <w:footnoteReference w:id="78"/>
      </w:r>
      <w:r w:rsidR="005C6340">
        <w:rPr>
          <w:rFonts w:ascii="Times New Roman" w:hAnsi="Times New Roman"/>
          <w:sz w:val="24"/>
          <w:szCs w:val="24"/>
          <w:vertAlign w:val="superscript"/>
        </w:rPr>
        <w:t>/</w:t>
      </w:r>
      <w:r w:rsidR="00AC1FE3">
        <w:rPr>
          <w:rFonts w:ascii="Times New Roman" w:hAnsi="Times New Roman"/>
          <w:sz w:val="24"/>
          <w:szCs w:val="24"/>
        </w:rPr>
        <w:t xml:space="preserve">  </w:t>
      </w:r>
      <w:r w:rsidR="009F1A3A">
        <w:rPr>
          <w:rFonts w:ascii="Times New Roman" w:hAnsi="Times New Roman"/>
          <w:sz w:val="24"/>
          <w:szCs w:val="24"/>
        </w:rPr>
        <w:t>If the addition of LSR to rate base is removed, PSE’s rate increase in UE-111048 would have been negligible.  This means that any cost pressures that PSE might allegedly have experienced due to attrition during its test year were effectively balanced by other increases</w:t>
      </w:r>
      <w:r w:rsidR="00BF25E8">
        <w:rPr>
          <w:rFonts w:ascii="Times New Roman" w:hAnsi="Times New Roman"/>
          <w:sz w:val="24"/>
          <w:szCs w:val="24"/>
        </w:rPr>
        <w:t>.</w:t>
      </w:r>
    </w:p>
    <w:p w:rsidR="00264B9D" w:rsidRPr="00870AEA" w:rsidRDefault="00264B9D" w:rsidP="00264B9D">
      <w:pPr>
        <w:spacing w:after="240"/>
        <w:ind w:left="720" w:hanging="720"/>
        <w:rPr>
          <w:rFonts w:ascii="Times New Roman" w:hAnsi="Times New Roman"/>
          <w:b/>
          <w:sz w:val="24"/>
          <w:szCs w:val="24"/>
        </w:rPr>
      </w:pPr>
      <w:r w:rsidRPr="00870AEA">
        <w:rPr>
          <w:rFonts w:ascii="Times New Roman" w:hAnsi="Times New Roman"/>
          <w:b/>
          <w:sz w:val="24"/>
          <w:szCs w:val="24"/>
        </w:rPr>
        <w:t>Q.</w:t>
      </w:r>
      <w:r w:rsidRPr="00870AEA">
        <w:rPr>
          <w:rFonts w:ascii="Times New Roman" w:hAnsi="Times New Roman"/>
          <w:sz w:val="24"/>
          <w:szCs w:val="24"/>
        </w:rPr>
        <w:tab/>
      </w:r>
      <w:r w:rsidRPr="00870AEA">
        <w:rPr>
          <w:rFonts w:ascii="Times New Roman" w:hAnsi="Times New Roman"/>
          <w:b/>
          <w:sz w:val="24"/>
          <w:szCs w:val="24"/>
        </w:rPr>
        <w:t>ARE THERE OTHER PROBLEMS WITH THE COMPANY’S K-FACTOR?</w:t>
      </w:r>
    </w:p>
    <w:p w:rsidR="00264B9D" w:rsidRDefault="00264B9D" w:rsidP="00FE69F8">
      <w:pPr>
        <w:spacing w:line="480" w:lineRule="auto"/>
        <w:ind w:left="720" w:hanging="720"/>
        <w:rPr>
          <w:rFonts w:ascii="Times New Roman" w:hAnsi="Times New Roman"/>
          <w:sz w:val="24"/>
          <w:szCs w:val="24"/>
        </w:rPr>
      </w:pPr>
      <w:r w:rsidRPr="00870AEA">
        <w:rPr>
          <w:rFonts w:ascii="Times New Roman" w:hAnsi="Times New Roman"/>
          <w:b/>
          <w:sz w:val="24"/>
          <w:szCs w:val="24"/>
        </w:rPr>
        <w:t>A.</w:t>
      </w:r>
      <w:r w:rsidRPr="00870AEA">
        <w:rPr>
          <w:rFonts w:ascii="Times New Roman" w:hAnsi="Times New Roman"/>
          <w:b/>
          <w:sz w:val="24"/>
          <w:szCs w:val="24"/>
        </w:rPr>
        <w:tab/>
      </w:r>
      <w:r w:rsidR="00870AEA">
        <w:rPr>
          <w:rFonts w:ascii="Times New Roman" w:hAnsi="Times New Roman"/>
          <w:sz w:val="24"/>
          <w:szCs w:val="24"/>
        </w:rPr>
        <w:t>Yes.  PSE’s</w:t>
      </w:r>
      <w:r w:rsidR="00824986">
        <w:rPr>
          <w:rFonts w:ascii="Times New Roman" w:hAnsi="Times New Roman"/>
          <w:sz w:val="24"/>
          <w:szCs w:val="24"/>
        </w:rPr>
        <w:t xml:space="preserve"> flat three percent</w:t>
      </w:r>
      <w:r w:rsidR="00870AEA">
        <w:rPr>
          <w:rFonts w:ascii="Times New Roman" w:hAnsi="Times New Roman"/>
          <w:sz w:val="24"/>
          <w:szCs w:val="24"/>
        </w:rPr>
        <w:t xml:space="preserve"> K-Factor </w:t>
      </w:r>
      <w:r w:rsidR="00824986">
        <w:rPr>
          <w:rFonts w:ascii="Times New Roman" w:hAnsi="Times New Roman"/>
          <w:sz w:val="24"/>
          <w:szCs w:val="24"/>
        </w:rPr>
        <w:t xml:space="preserve">means that </w:t>
      </w:r>
      <w:r w:rsidR="00870AEA">
        <w:rPr>
          <w:rFonts w:ascii="Times New Roman" w:hAnsi="Times New Roman"/>
          <w:sz w:val="24"/>
          <w:szCs w:val="24"/>
        </w:rPr>
        <w:t>PSE will get repeated attrition adjustments based on a figure that may or may not be representati</w:t>
      </w:r>
      <w:r w:rsidR="00824986">
        <w:rPr>
          <w:rFonts w:ascii="Times New Roman" w:hAnsi="Times New Roman"/>
          <w:sz w:val="24"/>
          <w:szCs w:val="24"/>
        </w:rPr>
        <w:t>ve of cost growth in the future.  Further,</w:t>
      </w:r>
      <w:r w:rsidR="00870AEA">
        <w:rPr>
          <w:rFonts w:ascii="Times New Roman" w:hAnsi="Times New Roman"/>
          <w:sz w:val="24"/>
          <w:szCs w:val="24"/>
        </w:rPr>
        <w:t xml:space="preserve"> none of the increases in revenue that PSE may see between the present and 2016 or 2017 will be </w:t>
      </w:r>
      <w:r w:rsidR="003E4A5D">
        <w:rPr>
          <w:rFonts w:ascii="Times New Roman" w:hAnsi="Times New Roman"/>
          <w:sz w:val="24"/>
          <w:szCs w:val="24"/>
        </w:rPr>
        <w:t>used</w:t>
      </w:r>
      <w:r w:rsidR="00870AEA">
        <w:rPr>
          <w:rFonts w:ascii="Times New Roman" w:hAnsi="Times New Roman"/>
          <w:sz w:val="24"/>
          <w:szCs w:val="24"/>
        </w:rPr>
        <w:t xml:space="preserve"> to offset this increase</w:t>
      </w:r>
      <w:r w:rsidR="003E4A5D">
        <w:rPr>
          <w:rFonts w:ascii="Times New Roman" w:hAnsi="Times New Roman"/>
          <w:sz w:val="24"/>
          <w:szCs w:val="24"/>
        </w:rPr>
        <w:t xml:space="preserve"> to customers</w:t>
      </w:r>
      <w:r w:rsidR="00870AEA">
        <w:rPr>
          <w:rFonts w:ascii="Times New Roman" w:hAnsi="Times New Roman"/>
          <w:sz w:val="24"/>
          <w:szCs w:val="24"/>
        </w:rPr>
        <w:t>.</w:t>
      </w:r>
      <w:r w:rsidR="00CB0A7F">
        <w:rPr>
          <w:rFonts w:ascii="Times New Roman" w:hAnsi="Times New Roman"/>
          <w:sz w:val="24"/>
          <w:szCs w:val="24"/>
        </w:rPr>
        <w:t xml:space="preserve">  Also, as stated above, failure to deal with the sale of a portion of its service territory is problematic.</w:t>
      </w:r>
      <w:r w:rsidR="00CB0A7F">
        <w:rPr>
          <w:rStyle w:val="FootnoteReference"/>
          <w:sz w:val="24"/>
          <w:szCs w:val="24"/>
        </w:rPr>
        <w:footnoteReference w:id="79"/>
      </w:r>
      <w:r w:rsidR="00CB0A7F">
        <w:rPr>
          <w:rFonts w:ascii="Times New Roman" w:hAnsi="Times New Roman"/>
          <w:sz w:val="24"/>
          <w:szCs w:val="24"/>
          <w:vertAlign w:val="superscript"/>
        </w:rPr>
        <w:t>/</w:t>
      </w:r>
    </w:p>
    <w:p w:rsidR="00F70DE5" w:rsidRPr="003E4A5D" w:rsidRDefault="00F70DE5" w:rsidP="00F70DE5">
      <w:pPr>
        <w:spacing w:after="240"/>
        <w:ind w:left="720" w:hanging="720"/>
        <w:rPr>
          <w:rFonts w:ascii="Times New Roman" w:hAnsi="Times New Roman"/>
          <w:b/>
          <w:sz w:val="24"/>
          <w:szCs w:val="24"/>
        </w:rPr>
      </w:pPr>
      <w:r w:rsidRPr="003E4A5D">
        <w:rPr>
          <w:rFonts w:ascii="Times New Roman" w:hAnsi="Times New Roman"/>
          <w:b/>
          <w:sz w:val="24"/>
          <w:szCs w:val="24"/>
        </w:rPr>
        <w:t>Q.</w:t>
      </w:r>
      <w:r w:rsidRPr="003E4A5D">
        <w:rPr>
          <w:rFonts w:ascii="Times New Roman" w:hAnsi="Times New Roman"/>
          <w:sz w:val="24"/>
          <w:szCs w:val="24"/>
        </w:rPr>
        <w:tab/>
      </w:r>
      <w:r w:rsidRPr="003E4A5D">
        <w:rPr>
          <w:rFonts w:ascii="Times New Roman" w:hAnsi="Times New Roman"/>
          <w:b/>
          <w:sz w:val="24"/>
          <w:szCs w:val="24"/>
        </w:rPr>
        <w:t>HAS THE COMMISSION PROVIDED GUIDANCE REGARDING SIMILAR MECHANISMS?</w:t>
      </w:r>
    </w:p>
    <w:p w:rsidR="00F70DE5" w:rsidRDefault="00F70DE5" w:rsidP="004A1B3C">
      <w:pPr>
        <w:spacing w:line="480" w:lineRule="auto"/>
        <w:ind w:left="720" w:hanging="720"/>
        <w:rPr>
          <w:rFonts w:ascii="Times New Roman" w:hAnsi="Times New Roman"/>
          <w:sz w:val="24"/>
          <w:szCs w:val="24"/>
        </w:rPr>
      </w:pPr>
      <w:r w:rsidRPr="003E4A5D">
        <w:rPr>
          <w:rFonts w:ascii="Times New Roman" w:hAnsi="Times New Roman"/>
          <w:b/>
          <w:sz w:val="24"/>
          <w:szCs w:val="24"/>
        </w:rPr>
        <w:t>A.</w:t>
      </w:r>
      <w:r w:rsidRPr="003E4A5D">
        <w:rPr>
          <w:rFonts w:ascii="Times New Roman" w:hAnsi="Times New Roman"/>
          <w:b/>
          <w:sz w:val="24"/>
          <w:szCs w:val="24"/>
        </w:rPr>
        <w:tab/>
      </w:r>
      <w:r w:rsidRPr="003E4A5D">
        <w:rPr>
          <w:rFonts w:ascii="Times New Roman" w:hAnsi="Times New Roman"/>
          <w:sz w:val="24"/>
          <w:szCs w:val="24"/>
        </w:rPr>
        <w:t>Yes.  The Commission rejected the similar</w:t>
      </w:r>
      <w:r w:rsidR="00C60404">
        <w:rPr>
          <w:rFonts w:ascii="Times New Roman" w:hAnsi="Times New Roman"/>
          <w:sz w:val="24"/>
          <w:szCs w:val="24"/>
        </w:rPr>
        <w:t>ly</w:t>
      </w:r>
      <w:r w:rsidRPr="003E4A5D">
        <w:rPr>
          <w:rFonts w:ascii="Times New Roman" w:hAnsi="Times New Roman"/>
          <w:sz w:val="24"/>
          <w:szCs w:val="24"/>
        </w:rPr>
        <w:t xml:space="preserve"> one-sided </w:t>
      </w:r>
      <w:r w:rsidR="003E4A5D">
        <w:rPr>
          <w:rFonts w:ascii="Times New Roman" w:hAnsi="Times New Roman"/>
          <w:sz w:val="24"/>
          <w:szCs w:val="24"/>
        </w:rPr>
        <w:t>Conservation Savings Adjustment Mechanism (“CSA”) in PSE’s</w:t>
      </w:r>
      <w:r w:rsidRPr="003E4A5D">
        <w:rPr>
          <w:rFonts w:ascii="Times New Roman" w:hAnsi="Times New Roman"/>
          <w:sz w:val="24"/>
          <w:szCs w:val="24"/>
        </w:rPr>
        <w:t xml:space="preserve"> last rate case.</w:t>
      </w:r>
      <w:r w:rsidR="003E4A5D">
        <w:rPr>
          <w:rFonts w:ascii="Times New Roman" w:hAnsi="Times New Roman"/>
          <w:sz w:val="24"/>
          <w:szCs w:val="24"/>
        </w:rPr>
        <w:t xml:space="preserve">  Like the K-Factor Rate Plan, the CSA would have resulted in annual, automatic rate increases.  The Commission stated: “[w]e adhere to the principles we expressed in our Decoupling Policy Statement that such a mechanism should work both ways-taking into account lost revenues as well as new revenues.”</w:t>
      </w:r>
      <w:r w:rsidR="003E4A5D">
        <w:rPr>
          <w:rStyle w:val="FootnoteReference"/>
          <w:sz w:val="24"/>
          <w:szCs w:val="24"/>
        </w:rPr>
        <w:footnoteReference w:id="80"/>
      </w:r>
      <w:r w:rsidR="005C6340">
        <w:rPr>
          <w:rFonts w:ascii="Times New Roman" w:hAnsi="Times New Roman"/>
          <w:sz w:val="24"/>
          <w:szCs w:val="24"/>
          <w:vertAlign w:val="superscript"/>
        </w:rPr>
        <w:t>/</w:t>
      </w:r>
      <w:r w:rsidR="003E4A5D">
        <w:rPr>
          <w:rFonts w:ascii="Times New Roman" w:hAnsi="Times New Roman"/>
          <w:sz w:val="24"/>
          <w:szCs w:val="24"/>
        </w:rPr>
        <w:t xml:space="preserve">  Like the CSA, the K-Factor Rate Plan is a one-way mechanism that will not take into account new revenues the Company may receive.  </w:t>
      </w:r>
      <w:r w:rsidR="008B4378">
        <w:rPr>
          <w:rFonts w:ascii="Times New Roman" w:hAnsi="Times New Roman"/>
          <w:sz w:val="24"/>
          <w:szCs w:val="24"/>
        </w:rPr>
        <w:t xml:space="preserve">This was clearly demonstrated by the </w:t>
      </w:r>
      <w:r w:rsidR="00C60404">
        <w:rPr>
          <w:rFonts w:ascii="Times New Roman" w:hAnsi="Times New Roman"/>
          <w:sz w:val="24"/>
          <w:szCs w:val="24"/>
        </w:rPr>
        <w:t xml:space="preserve">second </w:t>
      </w:r>
      <w:r w:rsidR="008B4378">
        <w:rPr>
          <w:rFonts w:ascii="Times New Roman" w:hAnsi="Times New Roman"/>
          <w:sz w:val="24"/>
          <w:szCs w:val="24"/>
        </w:rPr>
        <w:t xml:space="preserve">“backcast” study performed by PSE at the Commission’s </w:t>
      </w:r>
      <w:r w:rsidR="008B4378">
        <w:rPr>
          <w:rFonts w:ascii="Times New Roman" w:hAnsi="Times New Roman"/>
          <w:sz w:val="24"/>
          <w:szCs w:val="24"/>
        </w:rPr>
        <w:lastRenderedPageBreak/>
        <w:t>request.</w:t>
      </w:r>
      <w:r w:rsidR="00CB0A7F">
        <w:rPr>
          <w:rStyle w:val="FootnoteReference"/>
          <w:sz w:val="24"/>
          <w:szCs w:val="24"/>
        </w:rPr>
        <w:footnoteReference w:id="81"/>
      </w:r>
      <w:r w:rsidR="006129D4">
        <w:rPr>
          <w:rFonts w:ascii="Times New Roman" w:hAnsi="Times New Roman"/>
          <w:sz w:val="24"/>
          <w:szCs w:val="24"/>
          <w:vertAlign w:val="superscript"/>
        </w:rPr>
        <w:t>/</w:t>
      </w:r>
      <w:r w:rsidR="008B4378">
        <w:rPr>
          <w:rFonts w:ascii="Times New Roman" w:hAnsi="Times New Roman"/>
          <w:sz w:val="24"/>
          <w:szCs w:val="24"/>
        </w:rPr>
        <w:t xml:space="preserve">  In that study, even when the K-Factor was </w:t>
      </w:r>
      <w:r w:rsidR="00911D43">
        <w:rPr>
          <w:rFonts w:ascii="Times New Roman" w:hAnsi="Times New Roman"/>
          <w:sz w:val="24"/>
          <w:szCs w:val="24"/>
        </w:rPr>
        <w:t>set at two-thirds the level now requested</w:t>
      </w:r>
      <w:r w:rsidR="008B4378">
        <w:rPr>
          <w:rFonts w:ascii="Times New Roman" w:hAnsi="Times New Roman"/>
          <w:sz w:val="24"/>
          <w:szCs w:val="24"/>
        </w:rPr>
        <w:t xml:space="preserve">, the overall result was a </w:t>
      </w:r>
      <w:r w:rsidR="00911D43">
        <w:rPr>
          <w:rFonts w:ascii="Times New Roman" w:hAnsi="Times New Roman"/>
          <w:sz w:val="24"/>
          <w:szCs w:val="24"/>
        </w:rPr>
        <w:t xml:space="preserve">significant and progressively higher </w:t>
      </w:r>
      <w:r w:rsidR="008B4378">
        <w:rPr>
          <w:rFonts w:ascii="Times New Roman" w:hAnsi="Times New Roman"/>
          <w:sz w:val="24"/>
          <w:szCs w:val="24"/>
        </w:rPr>
        <w:t>yearly rate increase.</w:t>
      </w:r>
      <w:r w:rsidR="006129D4">
        <w:rPr>
          <w:rStyle w:val="FootnoteReference"/>
          <w:sz w:val="24"/>
          <w:szCs w:val="24"/>
        </w:rPr>
        <w:footnoteReference w:id="82"/>
      </w:r>
      <w:r w:rsidR="006129D4">
        <w:rPr>
          <w:rFonts w:ascii="Times New Roman" w:hAnsi="Times New Roman"/>
          <w:sz w:val="24"/>
          <w:szCs w:val="24"/>
          <w:vertAlign w:val="superscript"/>
        </w:rPr>
        <w:t>/</w:t>
      </w:r>
      <w:r w:rsidR="008B4378">
        <w:rPr>
          <w:rFonts w:ascii="Times New Roman" w:hAnsi="Times New Roman"/>
          <w:sz w:val="24"/>
          <w:szCs w:val="24"/>
        </w:rPr>
        <w:t xml:space="preserve">  This effect will be exacerbated by the new K-Factor, which is always a positive adjustment, set higher than any of the K-Factor adjustments used in the backcast</w:t>
      </w:r>
      <w:r w:rsidR="00C60404">
        <w:rPr>
          <w:rFonts w:ascii="Times New Roman" w:hAnsi="Times New Roman"/>
          <w:sz w:val="24"/>
          <w:szCs w:val="24"/>
        </w:rPr>
        <w:t xml:space="preserve"> studies</w:t>
      </w:r>
      <w:r w:rsidR="008B4378">
        <w:rPr>
          <w:rFonts w:ascii="Times New Roman" w:hAnsi="Times New Roman"/>
          <w:sz w:val="24"/>
          <w:szCs w:val="24"/>
        </w:rPr>
        <w:t>.</w:t>
      </w:r>
      <w:r w:rsidR="003E4A5D">
        <w:rPr>
          <w:rFonts w:ascii="Times New Roman" w:hAnsi="Times New Roman"/>
          <w:sz w:val="24"/>
          <w:szCs w:val="24"/>
        </w:rPr>
        <w:t xml:space="preserve"> </w:t>
      </w:r>
    </w:p>
    <w:p w:rsidR="00F656F3" w:rsidRDefault="00F656F3" w:rsidP="009D29E0">
      <w:pPr>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sz w:val="24"/>
          <w:szCs w:val="24"/>
        </w:rPr>
        <w:tab/>
      </w:r>
      <w:r w:rsidRPr="008524E3">
        <w:rPr>
          <w:rFonts w:ascii="Times New Roman" w:hAnsi="Times New Roman"/>
          <w:b/>
          <w:sz w:val="24"/>
          <w:szCs w:val="24"/>
        </w:rPr>
        <w:t xml:space="preserve">ARE PSE’S “RATE PLAN” RATE INCREASES FOR DIRECT ACCESS </w:t>
      </w:r>
      <w:r w:rsidR="00BF25E8">
        <w:rPr>
          <w:rFonts w:ascii="Times New Roman" w:hAnsi="Times New Roman"/>
          <w:b/>
          <w:sz w:val="24"/>
          <w:szCs w:val="24"/>
        </w:rPr>
        <w:t xml:space="preserve">OR SCHEDULE 449 </w:t>
      </w:r>
      <w:r w:rsidRPr="008524E3">
        <w:rPr>
          <w:rFonts w:ascii="Times New Roman" w:hAnsi="Times New Roman"/>
          <w:b/>
          <w:sz w:val="24"/>
          <w:szCs w:val="24"/>
        </w:rPr>
        <w:t>CUSTOMERS SUPPORTED?</w:t>
      </w:r>
    </w:p>
    <w:p w:rsidR="00F656F3" w:rsidRDefault="00F656F3" w:rsidP="008524E3">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 xml:space="preserve">No.  PSE offers no empirical support for applying the K-factor to retail wheeling </w:t>
      </w:r>
      <w:r w:rsidR="00BF25E8">
        <w:rPr>
          <w:rFonts w:ascii="Times New Roman" w:hAnsi="Times New Roman"/>
          <w:sz w:val="24"/>
          <w:szCs w:val="24"/>
        </w:rPr>
        <w:t xml:space="preserve">or schedule 449 </w:t>
      </w:r>
      <w:r>
        <w:rPr>
          <w:rFonts w:ascii="Times New Roman" w:hAnsi="Times New Roman"/>
          <w:sz w:val="24"/>
          <w:szCs w:val="24"/>
        </w:rPr>
        <w:t>customers.  Instead, PSE proposes a “rate plan” that increases rates to “ensure that all of PSE’s customers are treated fairly, in light of the general rate case stay-out period.”</w:t>
      </w:r>
      <w:r w:rsidRPr="002628F9">
        <w:rPr>
          <w:rStyle w:val="FootnoteReference"/>
          <w:szCs w:val="24"/>
        </w:rPr>
        <w:footnoteReference w:id="83"/>
      </w:r>
      <w:r w:rsidRPr="008524E3">
        <w:rPr>
          <w:rFonts w:ascii="Times New Roman" w:hAnsi="Times New Roman"/>
          <w:sz w:val="24"/>
          <w:szCs w:val="24"/>
          <w:vertAlign w:val="superscript"/>
        </w:rPr>
        <w:t>/</w:t>
      </w:r>
      <w:r>
        <w:rPr>
          <w:rFonts w:ascii="Times New Roman" w:hAnsi="Times New Roman"/>
          <w:sz w:val="24"/>
          <w:szCs w:val="24"/>
        </w:rPr>
        <w:t xml:space="preserve">  PSE further justifies this proposal by noting the rate plan will “ensure </w:t>
      </w:r>
      <w:r w:rsidR="00F9084E">
        <w:rPr>
          <w:rFonts w:ascii="Times New Roman" w:hAnsi="Times New Roman"/>
          <w:sz w:val="24"/>
          <w:szCs w:val="24"/>
        </w:rPr>
        <w:t xml:space="preserve">that </w:t>
      </w:r>
      <w:r>
        <w:rPr>
          <w:rFonts w:ascii="Times New Roman" w:hAnsi="Times New Roman"/>
          <w:sz w:val="24"/>
          <w:szCs w:val="24"/>
        </w:rPr>
        <w:t>these customers also contribute to PSE’s growing costs over the proposed general rate case stay-out period.”</w:t>
      </w:r>
      <w:r w:rsidRPr="002628F9">
        <w:rPr>
          <w:rStyle w:val="FootnoteReference"/>
          <w:szCs w:val="24"/>
        </w:rPr>
        <w:footnoteReference w:id="84"/>
      </w:r>
      <w:r w:rsidRPr="008524E3">
        <w:rPr>
          <w:rFonts w:ascii="Times New Roman" w:hAnsi="Times New Roman"/>
          <w:sz w:val="24"/>
          <w:szCs w:val="24"/>
          <w:vertAlign w:val="superscript"/>
        </w:rPr>
        <w:t>/</w:t>
      </w:r>
      <w:r>
        <w:rPr>
          <w:rFonts w:ascii="Times New Roman" w:hAnsi="Times New Roman"/>
          <w:sz w:val="24"/>
          <w:szCs w:val="24"/>
        </w:rPr>
        <w:t xml:space="preserve">  PSE offers no evidence or support for how much, if at all, it expects rate plan customers to contribute to PSE’s growing costs over the GRC stay-out period.  </w:t>
      </w:r>
    </w:p>
    <w:p w:rsidR="00F656F3" w:rsidRDefault="00F656F3">
      <w:pPr>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sz w:val="24"/>
          <w:szCs w:val="24"/>
        </w:rPr>
        <w:tab/>
      </w:r>
      <w:r w:rsidR="00055CC1">
        <w:rPr>
          <w:rFonts w:ascii="Times New Roman" w:hAnsi="Times New Roman"/>
          <w:b/>
          <w:sz w:val="24"/>
          <w:szCs w:val="24"/>
        </w:rPr>
        <w:t>ISN’T IT “FAIR”</w:t>
      </w:r>
      <w:r w:rsidRPr="008524E3">
        <w:rPr>
          <w:rFonts w:ascii="Times New Roman" w:hAnsi="Times New Roman"/>
          <w:b/>
          <w:sz w:val="24"/>
          <w:szCs w:val="24"/>
        </w:rPr>
        <w:t xml:space="preserve"> TO SUBJECT CUSTOMERS OUTSIDE THE DECOUPLING MECHANISM TO A THREE PERCENT ANNUAL INCREASE?</w:t>
      </w:r>
    </w:p>
    <w:p w:rsidR="00F656F3" w:rsidRDefault="00F656F3" w:rsidP="008524E3">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It is not.  These customers are differently situated from customers tha</w:t>
      </w:r>
      <w:r w:rsidR="00BF25E8">
        <w:rPr>
          <w:rFonts w:ascii="Times New Roman" w:hAnsi="Times New Roman"/>
          <w:sz w:val="24"/>
          <w:szCs w:val="24"/>
        </w:rPr>
        <w:t>t take bundled service from PSE.</w:t>
      </w:r>
      <w:r>
        <w:rPr>
          <w:rFonts w:ascii="Times New Roman" w:hAnsi="Times New Roman"/>
          <w:sz w:val="24"/>
          <w:szCs w:val="24"/>
        </w:rPr>
        <w:t xml:space="preserve"> </w:t>
      </w:r>
      <w:r w:rsidR="00BF25E8">
        <w:rPr>
          <w:rFonts w:ascii="Times New Roman" w:hAnsi="Times New Roman"/>
          <w:sz w:val="24"/>
          <w:szCs w:val="24"/>
        </w:rPr>
        <w:t xml:space="preserve"> </w:t>
      </w:r>
      <w:r>
        <w:rPr>
          <w:rFonts w:ascii="Times New Roman" w:hAnsi="Times New Roman"/>
          <w:sz w:val="24"/>
          <w:szCs w:val="24"/>
        </w:rPr>
        <w:t>Schedule 449 Direct Access cu</w:t>
      </w:r>
      <w:r w:rsidR="00BF25E8">
        <w:rPr>
          <w:rFonts w:ascii="Times New Roman" w:hAnsi="Times New Roman"/>
          <w:sz w:val="24"/>
          <w:szCs w:val="24"/>
        </w:rPr>
        <w:t>stomers pay for the</w:t>
      </w:r>
      <w:r>
        <w:rPr>
          <w:rFonts w:ascii="Times New Roman" w:hAnsi="Times New Roman"/>
          <w:sz w:val="24"/>
          <w:szCs w:val="24"/>
        </w:rPr>
        <w:t xml:space="preserve"> majority of their contribution to PSE’s costs through PSE’s Open Access Transmission Tariff (“OATT”).  </w:t>
      </w:r>
      <w:r>
        <w:rPr>
          <w:rFonts w:ascii="Times New Roman" w:hAnsi="Times New Roman"/>
          <w:sz w:val="24"/>
          <w:szCs w:val="24"/>
        </w:rPr>
        <w:lastRenderedPageBreak/>
        <w:t xml:space="preserve">Additionally, many of these customers take service at transmission voltage, meaning that they do not contribute to PSE’s distribution costs.  </w:t>
      </w:r>
    </w:p>
    <w:p w:rsidR="004B7878" w:rsidRDefault="00F656F3" w:rsidP="00BF25E8">
      <w:pPr>
        <w:spacing w:line="480" w:lineRule="auto"/>
        <w:ind w:left="720" w:firstLine="720"/>
        <w:rPr>
          <w:rFonts w:ascii="Times New Roman" w:hAnsi="Times New Roman"/>
          <w:sz w:val="24"/>
          <w:szCs w:val="24"/>
          <w:vertAlign w:val="superscript"/>
        </w:rPr>
      </w:pPr>
      <w:r>
        <w:rPr>
          <w:rFonts w:ascii="Times New Roman" w:hAnsi="Times New Roman"/>
          <w:sz w:val="24"/>
          <w:szCs w:val="24"/>
        </w:rPr>
        <w:t>Further, the “rate plan” charges these customers a fixed three-percent per year increase that would never be offset by any decoupling true-up.  While it is highly unlikely that the decoupling mechanism will ever produce a true up in favor of customers, it is theoretical</w:t>
      </w:r>
      <w:r w:rsidR="00C60404">
        <w:rPr>
          <w:rFonts w:ascii="Times New Roman" w:hAnsi="Times New Roman"/>
          <w:sz w:val="24"/>
          <w:szCs w:val="24"/>
        </w:rPr>
        <w:t xml:space="preserve">ly </w:t>
      </w:r>
      <w:r>
        <w:rPr>
          <w:rFonts w:ascii="Times New Roman" w:hAnsi="Times New Roman"/>
          <w:sz w:val="24"/>
          <w:szCs w:val="24"/>
        </w:rPr>
        <w:t>possib</w:t>
      </w:r>
      <w:r w:rsidR="00C60404">
        <w:rPr>
          <w:rFonts w:ascii="Times New Roman" w:hAnsi="Times New Roman"/>
          <w:sz w:val="24"/>
          <w:szCs w:val="24"/>
        </w:rPr>
        <w:t>le</w:t>
      </w:r>
      <w:r>
        <w:rPr>
          <w:rFonts w:ascii="Times New Roman" w:hAnsi="Times New Roman"/>
          <w:sz w:val="24"/>
          <w:szCs w:val="24"/>
        </w:rPr>
        <w:t xml:space="preserve">, and a decoupling adjustment in favor of customers could offset some portion of the K-Factor’s automatic rate increases.  Under these circumstances, Direct Access customers </w:t>
      </w:r>
      <w:r w:rsidR="00BF25E8">
        <w:rPr>
          <w:rFonts w:ascii="Times New Roman" w:hAnsi="Times New Roman"/>
          <w:sz w:val="24"/>
          <w:szCs w:val="24"/>
        </w:rPr>
        <w:t xml:space="preserve">are </w:t>
      </w:r>
      <w:r>
        <w:rPr>
          <w:rFonts w:ascii="Times New Roman" w:hAnsi="Times New Roman"/>
          <w:sz w:val="24"/>
          <w:szCs w:val="24"/>
        </w:rPr>
        <w:t xml:space="preserve">charged a higher rate increase than all other customers.  If PSE believes that Schedule 449 customers should receive yearly three percent increases, the Company should be required to present evidence that the cost of serving Schedule 449 customers will increase by three-percent </w:t>
      </w:r>
      <w:r w:rsidR="00044A2E">
        <w:rPr>
          <w:rFonts w:ascii="Times New Roman" w:hAnsi="Times New Roman"/>
          <w:sz w:val="24"/>
          <w:szCs w:val="24"/>
        </w:rPr>
        <w:t xml:space="preserve">during </w:t>
      </w:r>
      <w:r>
        <w:rPr>
          <w:rFonts w:ascii="Times New Roman" w:hAnsi="Times New Roman"/>
          <w:sz w:val="24"/>
          <w:szCs w:val="24"/>
        </w:rPr>
        <w:t>each year an increase would be applied, and it must demonstrate that any such increases are not captured in PSE’s formula rate OATT</w:t>
      </w:r>
      <w:r w:rsidR="009C04D9">
        <w:rPr>
          <w:rFonts w:ascii="Times New Roman" w:hAnsi="Times New Roman"/>
          <w:sz w:val="24"/>
          <w:szCs w:val="24"/>
        </w:rPr>
        <w:t xml:space="preserve"> which is currently under consideration before the Federal Energy Regulatory Commission</w:t>
      </w:r>
      <w:r>
        <w:rPr>
          <w:rFonts w:ascii="Times New Roman" w:hAnsi="Times New Roman"/>
          <w:sz w:val="24"/>
          <w:szCs w:val="24"/>
        </w:rPr>
        <w:t>.</w:t>
      </w:r>
      <w:r w:rsidR="009A4B9B">
        <w:rPr>
          <w:rStyle w:val="FootnoteReference"/>
          <w:sz w:val="24"/>
          <w:szCs w:val="24"/>
        </w:rPr>
        <w:footnoteReference w:id="85"/>
      </w:r>
      <w:r w:rsidR="009A4B9B" w:rsidRPr="009A4B9B">
        <w:rPr>
          <w:rFonts w:ascii="Times New Roman" w:hAnsi="Times New Roman"/>
          <w:sz w:val="24"/>
          <w:szCs w:val="24"/>
          <w:vertAlign w:val="superscript"/>
        </w:rPr>
        <w:t>/</w:t>
      </w:r>
    </w:p>
    <w:p w:rsidR="009C04D9" w:rsidRDefault="009C04D9" w:rsidP="009C04D9">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 YOU HAVE AN ALTERNATIVE PROPOSAL?</w:t>
      </w:r>
    </w:p>
    <w:p w:rsidR="009C04D9" w:rsidRPr="00127408"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Given the highly expedited nature of these proceedings I did not have time to prepare an alternative proposal.  </w:t>
      </w:r>
      <w:r w:rsidR="006129D4">
        <w:rPr>
          <w:rFonts w:ascii="Times New Roman" w:hAnsi="Times New Roman"/>
          <w:sz w:val="24"/>
        </w:rPr>
        <w:t>ICNU</w:t>
      </w:r>
      <w:r>
        <w:rPr>
          <w:rFonts w:ascii="Times New Roman" w:hAnsi="Times New Roman"/>
          <w:sz w:val="24"/>
        </w:rPr>
        <w:t>, however, would support a well-crafted</w:t>
      </w:r>
      <w:r>
        <w:rPr>
          <w:rFonts w:ascii="Times New Roman" w:hAnsi="Times New Roman"/>
          <w:b/>
          <w:sz w:val="24"/>
        </w:rPr>
        <w:t xml:space="preserve"> </w:t>
      </w:r>
      <w:r w:rsidRPr="00127408">
        <w:rPr>
          <w:rFonts w:ascii="Times New Roman" w:hAnsi="Times New Roman"/>
          <w:sz w:val="24"/>
        </w:rPr>
        <w:t>decoupling mechanism that provides for the ratepayer protection</w:t>
      </w:r>
      <w:r w:rsidR="006129D4">
        <w:rPr>
          <w:rFonts w:ascii="Times New Roman" w:hAnsi="Times New Roman"/>
          <w:sz w:val="24"/>
        </w:rPr>
        <w:t>s</w:t>
      </w:r>
      <w:r w:rsidRPr="00127408">
        <w:rPr>
          <w:rFonts w:ascii="Times New Roman" w:hAnsi="Times New Roman"/>
          <w:sz w:val="24"/>
        </w:rPr>
        <w:t xml:space="preserve"> set forth in the </w:t>
      </w:r>
      <w:r w:rsidR="00C94B2A">
        <w:rPr>
          <w:rFonts w:ascii="Times New Roman" w:hAnsi="Times New Roman"/>
          <w:sz w:val="24"/>
        </w:rPr>
        <w:t xml:space="preserve">Report and </w:t>
      </w:r>
      <w:r w:rsidRPr="00127408">
        <w:rPr>
          <w:rFonts w:ascii="Times New Roman" w:hAnsi="Times New Roman"/>
          <w:sz w:val="24"/>
        </w:rPr>
        <w:t>Policy Statement.</w:t>
      </w:r>
    </w:p>
    <w:p w:rsidR="009C04D9" w:rsidRDefault="009C04D9" w:rsidP="009C04D9">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DOES THIS CONCLUDE YOUR TESTIMONY?</w:t>
      </w:r>
    </w:p>
    <w:p w:rsidR="009C04D9" w:rsidRPr="00A62CC3" w:rsidRDefault="009C04D9" w:rsidP="00A62CC3">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Yes.</w:t>
      </w:r>
    </w:p>
    <w:sectPr w:rsidR="009C04D9" w:rsidRPr="00A62CC3" w:rsidSect="009D4F98">
      <w:headerReference w:type="default" r:id="rId17"/>
      <w:footerReference w:type="default" r:id="rId18"/>
      <w:headerReference w:type="first" r:id="rId19"/>
      <w:footerReference w:type="first" r:id="rId20"/>
      <w:pgSz w:w="12240" w:h="15840" w:code="1"/>
      <w:pgMar w:top="1440" w:right="1440" w:bottom="1440" w:left="1440" w:header="720" w:footer="720"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3A3" w:rsidRDefault="003B23A3">
      <w:r>
        <w:separator/>
      </w:r>
    </w:p>
  </w:endnote>
  <w:endnote w:type="continuationSeparator" w:id="0">
    <w:p w:rsidR="003B23A3" w:rsidRDefault="003B23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Default="00372AFD">
    <w:pPr>
      <w:pStyle w:val="Footer"/>
      <w:framePr w:wrap="around" w:vAnchor="text" w:hAnchor="margin" w:xAlign="right" w:y="1"/>
      <w:rPr>
        <w:rStyle w:val="PageNumber"/>
      </w:rPr>
    </w:pPr>
    <w:r>
      <w:rPr>
        <w:rStyle w:val="PageNumber"/>
      </w:rPr>
      <w:fldChar w:fldCharType="begin"/>
    </w:r>
    <w:r w:rsidR="00C739EB">
      <w:rPr>
        <w:rStyle w:val="PageNumber"/>
      </w:rPr>
      <w:instrText xml:space="preserve">PAGE  </w:instrText>
    </w:r>
    <w:r>
      <w:rPr>
        <w:rStyle w:val="PageNumber"/>
      </w:rPr>
      <w:fldChar w:fldCharType="end"/>
    </w:r>
  </w:p>
  <w:p w:rsidR="00C739EB" w:rsidRDefault="00C739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Default="00C739EB" w:rsidP="002436CC">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Pr="006A4EC4" w:rsidRDefault="00C739EB" w:rsidP="002436CC">
    <w:pPr>
      <w:pStyle w:val="Footer"/>
      <w:tabs>
        <w:tab w:val="right" w:pos="8730"/>
      </w:tabs>
      <w:ind w:left="-634" w:right="-90"/>
      <w:rPr>
        <w:b/>
        <w:sz w:val="20"/>
        <w:u w:val="single"/>
      </w:rPr>
    </w:pPr>
    <w:r w:rsidRPr="006A4EC4">
      <w:rPr>
        <w:b/>
        <w:sz w:val="20"/>
        <w:u w:val="single"/>
      </w:rPr>
      <w:t>____________________________________________________________________________________________</w:t>
    </w:r>
  </w:p>
  <w:p w:rsidR="00C739EB" w:rsidRPr="006A4EC4" w:rsidRDefault="00C739EB" w:rsidP="002436CC">
    <w:pPr>
      <w:pStyle w:val="Footer"/>
      <w:ind w:left="-630" w:hanging="4"/>
      <w:rPr>
        <w:sz w:val="10"/>
        <w:szCs w:val="10"/>
      </w:rPr>
    </w:pPr>
  </w:p>
  <w:p w:rsidR="00C739EB" w:rsidRDefault="00C739EB" w:rsidP="002436CC">
    <w:pPr>
      <w:pStyle w:val="Footer"/>
      <w:ind w:left="-630" w:hanging="4"/>
    </w:pPr>
    <w:r>
      <w:t>Pre-filed Direct Testimony of</w:t>
    </w:r>
    <w:r>
      <w:tab/>
      <w:t>Exhibit No. ___(EMM-1CT)</w:t>
    </w:r>
  </w:p>
  <w:p w:rsidR="00C739EB" w:rsidRDefault="00C739EB" w:rsidP="002436CC">
    <w:pPr>
      <w:pStyle w:val="Footer"/>
      <w:ind w:left="-630" w:hanging="4"/>
    </w:pPr>
    <w:r>
      <w:t>Dr. Roger A. Morin</w:t>
    </w:r>
    <w:r>
      <w:tab/>
      <w:t>Page </w:t>
    </w:r>
    <w:r w:rsidR="00372AFD">
      <w:rPr>
        <w:rStyle w:val="PageNumber"/>
      </w:rPr>
      <w:fldChar w:fldCharType="begin"/>
    </w:r>
    <w:r>
      <w:rPr>
        <w:rStyle w:val="PageNumber"/>
      </w:rPr>
      <w:instrText xml:space="preserve"> PAGE </w:instrText>
    </w:r>
    <w:r w:rsidR="00372AFD">
      <w:rPr>
        <w:rStyle w:val="PageNumber"/>
      </w:rPr>
      <w:fldChar w:fldCharType="separate"/>
    </w:r>
    <w:r>
      <w:rPr>
        <w:rStyle w:val="PageNumber"/>
        <w:noProof/>
      </w:rPr>
      <w:t>i</w:t>
    </w:r>
    <w:r w:rsidR="00372AFD">
      <w:rPr>
        <w:rStyle w:val="PageNumber"/>
      </w:rPr>
      <w:fldChar w:fldCharType="end"/>
    </w:r>
    <w:r>
      <w:rPr>
        <w:rStyle w:val="PageNumber"/>
      </w:rPr>
      <w:t xml:space="preserve"> of ii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65" w:rsidRPr="00023740" w:rsidRDefault="00B76565" w:rsidP="00B76565">
    <w:pPr>
      <w:pStyle w:val="Footer"/>
      <w:tabs>
        <w:tab w:val="right" w:pos="9334"/>
      </w:tabs>
      <w:rPr>
        <w:rFonts w:ascii="Times New Roman" w:hAnsi="Times New Roman"/>
        <w:sz w:val="24"/>
        <w:szCs w:val="24"/>
      </w:rPr>
    </w:pPr>
    <w:r w:rsidRPr="00023740">
      <w:rPr>
        <w:rFonts w:ascii="Times New Roman" w:hAnsi="Times New Roman"/>
        <w:sz w:val="24"/>
        <w:szCs w:val="24"/>
      </w:rPr>
      <w:t xml:space="preserve">Michael C. </w:t>
    </w:r>
    <w:proofErr w:type="spellStart"/>
    <w:r w:rsidRPr="00023740">
      <w:rPr>
        <w:rFonts w:ascii="Times New Roman" w:hAnsi="Times New Roman"/>
        <w:sz w:val="24"/>
        <w:szCs w:val="24"/>
      </w:rPr>
      <w:t>Deen</w:t>
    </w:r>
    <w:proofErr w:type="spellEnd"/>
    <w:r w:rsidRPr="00023740">
      <w:rPr>
        <w:rFonts w:ascii="Times New Roman" w:hAnsi="Times New Roman"/>
        <w:sz w:val="24"/>
        <w:szCs w:val="24"/>
      </w:rPr>
      <w:t xml:space="preserve"> Response Testimony</w:t>
    </w:r>
    <w:r w:rsidRPr="00023740">
      <w:rPr>
        <w:rFonts w:ascii="Times New Roman" w:hAnsi="Times New Roman"/>
        <w:sz w:val="24"/>
        <w:szCs w:val="24"/>
      </w:rPr>
      <w:tab/>
    </w:r>
    <w:r w:rsidRPr="00023740">
      <w:rPr>
        <w:rFonts w:ascii="Times New Roman" w:hAnsi="Times New Roman"/>
        <w:sz w:val="24"/>
        <w:szCs w:val="24"/>
      </w:rPr>
      <w:tab/>
      <w:t>Exhibit No.__</w:t>
    </w:r>
    <w:proofErr w:type="gramStart"/>
    <w:r w:rsidRPr="00023740">
      <w:rPr>
        <w:rFonts w:ascii="Times New Roman" w:hAnsi="Times New Roman"/>
        <w:sz w:val="24"/>
        <w:szCs w:val="24"/>
      </w:rPr>
      <w:t>_(</w:t>
    </w:r>
    <w:proofErr w:type="gramEnd"/>
    <w:r w:rsidRPr="00023740">
      <w:rPr>
        <w:rFonts w:ascii="Times New Roman" w:hAnsi="Times New Roman"/>
        <w:sz w:val="24"/>
        <w:szCs w:val="24"/>
      </w:rPr>
      <w:t>MCD-1T)</w:t>
    </w:r>
  </w:p>
  <w:p w:rsidR="00B76565" w:rsidRPr="00023740" w:rsidRDefault="00B76565" w:rsidP="00B76565">
    <w:pPr>
      <w:pStyle w:val="Footer"/>
      <w:tabs>
        <w:tab w:val="right" w:pos="9334"/>
      </w:tabs>
      <w:rPr>
        <w:rFonts w:ascii="Times New Roman" w:hAnsi="Times New Roman"/>
        <w:sz w:val="24"/>
        <w:szCs w:val="24"/>
      </w:rPr>
    </w:pPr>
    <w:r w:rsidRPr="00023740">
      <w:rPr>
        <w:rFonts w:ascii="Times New Roman" w:hAnsi="Times New Roman"/>
        <w:sz w:val="24"/>
        <w:szCs w:val="24"/>
      </w:rPr>
      <w:t>Docket Nos</w:t>
    </w:r>
    <w:r w:rsidRPr="00023740">
      <w:rPr>
        <w:rFonts w:ascii="Times New Roman" w:hAnsi="Times New Roman"/>
        <w:smallCaps/>
        <w:sz w:val="24"/>
        <w:szCs w:val="24"/>
      </w:rPr>
      <w:t xml:space="preserve">.  UE-121697/UG-121705 </w:t>
    </w:r>
    <w:r w:rsidRPr="00023740">
      <w:rPr>
        <w:rFonts w:ascii="Times New Roman" w:hAnsi="Times New Roman"/>
        <w:sz w:val="24"/>
        <w:szCs w:val="24"/>
      </w:rPr>
      <w:t xml:space="preserve">&amp; </w:t>
    </w:r>
    <w:r w:rsidRPr="00023740">
      <w:rPr>
        <w:rFonts w:ascii="Times New Roman" w:hAnsi="Times New Roman"/>
        <w:smallCaps/>
        <w:sz w:val="24"/>
        <w:szCs w:val="24"/>
      </w:rPr>
      <w:t>UE-130137/</w:t>
    </w:r>
    <w:r w:rsidRPr="00023740">
      <w:rPr>
        <w:rFonts w:ascii="Times New Roman" w:hAnsi="Times New Roman"/>
        <w:sz w:val="24"/>
        <w:szCs w:val="24"/>
      </w:rPr>
      <w:t>UG-130138</w:t>
    </w:r>
    <w:r w:rsidRPr="00023740">
      <w:rPr>
        <w:rFonts w:ascii="Times New Roman" w:hAnsi="Times New Roman"/>
        <w:sz w:val="24"/>
        <w:szCs w:val="24"/>
      </w:rPr>
      <w:tab/>
      <w:t>Table of Contents</w:t>
    </w:r>
  </w:p>
  <w:p w:rsidR="00B76565" w:rsidRPr="00023740" w:rsidRDefault="00B76565" w:rsidP="002436CC">
    <w:pPr>
      <w:pStyle w:val="Footer"/>
      <w:spacing w:line="200" w:lineRule="exact"/>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Default="00C739EB">
    <w:pPr>
      <w:pStyle w:val="Footer"/>
      <w:rPr>
        <w:rFonts w:ascii="Times New Roman" w:hAnsi="Times New Roman"/>
        <w:sz w:val="24"/>
      </w:rPr>
    </w:pPr>
  </w:p>
  <w:p w:rsidR="00C739EB" w:rsidRPr="002277D2" w:rsidRDefault="00C739EB">
    <w:pPr>
      <w:pStyle w:val="Footer"/>
      <w:rPr>
        <w:rFonts w:ascii="Times New Roman" w:hAnsi="Times New Roman"/>
        <w:sz w:val="32"/>
        <w:szCs w:val="24"/>
      </w:rPr>
    </w:pPr>
    <w:r>
      <w:rPr>
        <w:rFonts w:ascii="Times New Roman" w:hAnsi="Times New Roman"/>
        <w:sz w:val="24"/>
      </w:rPr>
      <w:t>Michael C. Deen Response Testimony</w:t>
    </w:r>
    <w:r w:rsidRPr="002277D2">
      <w:rPr>
        <w:rFonts w:ascii="Times New Roman" w:hAnsi="Times New Roman"/>
        <w:sz w:val="32"/>
        <w:szCs w:val="24"/>
      </w:rPr>
      <w:tab/>
    </w:r>
    <w:r>
      <w:rPr>
        <w:rFonts w:ascii="Times New Roman" w:hAnsi="Times New Roman"/>
        <w:sz w:val="32"/>
        <w:szCs w:val="24"/>
      </w:rPr>
      <w:t xml:space="preserve"> </w:t>
    </w:r>
    <w:r>
      <w:rPr>
        <w:rFonts w:ascii="Times New Roman" w:hAnsi="Times New Roman"/>
        <w:sz w:val="32"/>
        <w:szCs w:val="24"/>
      </w:rPr>
      <w:tab/>
    </w:r>
    <w:r w:rsidRPr="002277D2">
      <w:rPr>
        <w:rFonts w:ascii="Times New Roman" w:hAnsi="Times New Roman"/>
        <w:sz w:val="24"/>
      </w:rPr>
      <w:t>Exhibit No.___(</w:t>
    </w:r>
    <w:r>
      <w:rPr>
        <w:rFonts w:ascii="Times New Roman" w:hAnsi="Times New Roman"/>
        <w:sz w:val="24"/>
      </w:rPr>
      <w:t>MCD</w:t>
    </w:r>
    <w:r w:rsidRPr="002277D2">
      <w:rPr>
        <w:rFonts w:ascii="Times New Roman" w:hAnsi="Times New Roman"/>
        <w:sz w:val="24"/>
      </w:rPr>
      <w:t>-</w:t>
    </w:r>
    <w:r>
      <w:rPr>
        <w:rFonts w:ascii="Times New Roman" w:hAnsi="Times New Roman"/>
        <w:sz w:val="24"/>
      </w:rPr>
      <w:t>1</w:t>
    </w:r>
    <w:r w:rsidRPr="002277D2">
      <w:rPr>
        <w:rFonts w:ascii="Times New Roman" w:hAnsi="Times New Roman"/>
        <w:sz w:val="24"/>
      </w:rPr>
      <w:t>T)</w:t>
    </w:r>
  </w:p>
  <w:p w:rsidR="00C739EB" w:rsidRPr="002277D2" w:rsidRDefault="00C739EB" w:rsidP="00563A1A">
    <w:pPr>
      <w:pStyle w:val="Footer"/>
      <w:rPr>
        <w:rFonts w:ascii="Times New Roman" w:hAnsi="Times New Roman"/>
        <w:smallCaps/>
        <w:sz w:val="24"/>
      </w:rPr>
    </w:pPr>
    <w:r w:rsidRPr="002277D2">
      <w:rPr>
        <w:rFonts w:ascii="Times New Roman" w:hAnsi="Times New Roman"/>
        <w:sz w:val="24"/>
      </w:rPr>
      <w:t>Docket No</w:t>
    </w:r>
    <w:r>
      <w:rPr>
        <w:rFonts w:ascii="Times New Roman" w:hAnsi="Times New Roman"/>
        <w:sz w:val="24"/>
      </w:rPr>
      <w:t>s</w:t>
    </w:r>
    <w:r>
      <w:rPr>
        <w:rFonts w:ascii="Times New Roman" w:hAnsi="Times New Roman"/>
        <w:smallCaps/>
        <w:sz w:val="24"/>
      </w:rPr>
      <w:t xml:space="preserve">.  UE-121697/UG-121705 </w:t>
    </w:r>
    <w:r>
      <w:rPr>
        <w:rFonts w:ascii="Times New Roman" w:hAnsi="Times New Roman"/>
        <w:sz w:val="24"/>
        <w:szCs w:val="24"/>
      </w:rPr>
      <w:t xml:space="preserve">&amp; </w:t>
    </w:r>
    <w:r>
      <w:rPr>
        <w:rFonts w:ascii="Times New Roman" w:hAnsi="Times New Roman"/>
        <w:smallCaps/>
        <w:sz w:val="24"/>
      </w:rPr>
      <w:t>UE-130137/</w:t>
    </w:r>
    <w:r>
      <w:rPr>
        <w:rFonts w:ascii="Times New Roman" w:hAnsi="Times New Roman"/>
        <w:sz w:val="24"/>
        <w:szCs w:val="24"/>
      </w:rPr>
      <w:t>UG-130138</w:t>
    </w:r>
    <w:r>
      <w:rPr>
        <w:rFonts w:ascii="Times New Roman" w:hAnsi="Times New Roman"/>
        <w:smallCaps/>
        <w:sz w:val="24"/>
      </w:rPr>
      <w:tab/>
    </w:r>
    <w:r w:rsidRPr="002277D2">
      <w:rPr>
        <w:rFonts w:ascii="Times New Roman" w:hAnsi="Times New Roman"/>
        <w:sz w:val="24"/>
      </w:rPr>
      <w:t>Page</w:t>
    </w:r>
    <w:r w:rsidRPr="002277D2">
      <w:rPr>
        <w:rFonts w:ascii="Times New Roman" w:hAnsi="Times New Roman"/>
        <w:smallCaps/>
        <w:sz w:val="24"/>
      </w:rPr>
      <w:t xml:space="preserve"> </w:t>
    </w:r>
    <w:r w:rsidR="00372AFD" w:rsidRPr="002277D2">
      <w:rPr>
        <w:rFonts w:ascii="Times New Roman" w:hAnsi="Times New Roman"/>
        <w:smallCaps/>
        <w:sz w:val="24"/>
      </w:rPr>
      <w:fldChar w:fldCharType="begin"/>
    </w:r>
    <w:r w:rsidRPr="002277D2">
      <w:rPr>
        <w:rFonts w:ascii="Times New Roman" w:hAnsi="Times New Roman"/>
        <w:smallCaps/>
        <w:sz w:val="24"/>
      </w:rPr>
      <w:instrText xml:space="preserve"> PAGE   \* MERGEFORMAT </w:instrText>
    </w:r>
    <w:r w:rsidR="00372AFD" w:rsidRPr="002277D2">
      <w:rPr>
        <w:rFonts w:ascii="Times New Roman" w:hAnsi="Times New Roman"/>
        <w:smallCaps/>
        <w:sz w:val="24"/>
      </w:rPr>
      <w:fldChar w:fldCharType="separate"/>
    </w:r>
    <w:r w:rsidR="00023740">
      <w:rPr>
        <w:rFonts w:ascii="Times New Roman" w:hAnsi="Times New Roman"/>
        <w:smallCaps/>
        <w:noProof/>
        <w:sz w:val="24"/>
      </w:rPr>
      <w:t>1</w:t>
    </w:r>
    <w:r w:rsidR="00372AFD" w:rsidRPr="002277D2">
      <w:rPr>
        <w:rFonts w:ascii="Times New Roman" w:hAnsi="Times New Roman"/>
        <w:smallCaps/>
        <w:sz w:val="24"/>
      </w:rPr>
      <w:fldChar w:fldCharType="end"/>
    </w:r>
    <w:r w:rsidRPr="002277D2">
      <w:rPr>
        <w:rFonts w:ascii="Times New Roman" w:hAnsi="Times New Roman"/>
        <w:smallCaps/>
        <w:sz w:val="24"/>
      </w:rPr>
      <w:tab/>
    </w:r>
  </w:p>
  <w:p w:rsidR="00C739EB" w:rsidRDefault="00C739E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Default="00C739EB">
    <w:pPr>
      <w:pStyle w:val="Header"/>
      <w:tabs>
        <w:tab w:val="clear" w:pos="8640"/>
        <w:tab w:val="left" w:pos="6474"/>
      </w:tabs>
      <w:rPr>
        <w:rFonts w:ascii="Times New Roman" w:hAnsi="Times New Roman"/>
        <w:sz w:val="24"/>
      </w:rPr>
    </w:pPr>
  </w:p>
  <w:p w:rsidR="00C739EB" w:rsidRDefault="00C739EB">
    <w:pPr>
      <w:pStyle w:val="Header"/>
      <w:tabs>
        <w:tab w:val="clear" w:pos="4320"/>
        <w:tab w:val="clear" w:pos="8640"/>
        <w:tab w:val="right" w:pos="9360"/>
      </w:tabs>
      <w:rPr>
        <w:rFonts w:ascii="Times New Roman" w:hAnsi="Times New Roman"/>
        <w:sz w:val="24"/>
      </w:rPr>
    </w:pPr>
    <w:r>
      <w:rPr>
        <w:rFonts w:ascii="Times New Roman" w:hAnsi="Times New Roman"/>
        <w:sz w:val="24"/>
      </w:rPr>
      <w:t>Michael P. Gorman Direct Testimony</w:t>
    </w:r>
    <w:r>
      <w:rPr>
        <w:rFonts w:ascii="Times New Roman" w:hAnsi="Times New Roman"/>
        <w:sz w:val="24"/>
      </w:rPr>
      <w:tab/>
      <w:t>Exhibit No. ___ (MPG-1CT)</w:t>
    </w:r>
  </w:p>
  <w:p w:rsidR="00C739EB" w:rsidRDefault="00C739EB">
    <w:pPr>
      <w:pStyle w:val="Header"/>
      <w:tabs>
        <w:tab w:val="clear" w:pos="4320"/>
        <w:tab w:val="clear" w:pos="8640"/>
        <w:tab w:val="right" w:pos="9360"/>
      </w:tabs>
      <w:rPr>
        <w:rFonts w:ascii="Times New Roman" w:hAnsi="Times New Roman"/>
        <w:sz w:val="24"/>
      </w:rPr>
    </w:pPr>
    <w:r>
      <w:rPr>
        <w:rFonts w:ascii="Times New Roman" w:hAnsi="Times New Roman"/>
        <w:sz w:val="24"/>
      </w:rPr>
      <w:t>Docket Nos. UE-060266/UG-060267</w:t>
    </w:r>
    <w:r>
      <w:rPr>
        <w:rFonts w:ascii="Times New Roman" w:hAnsi="Times New Roman"/>
        <w:sz w:val="24"/>
      </w:rPr>
      <w:tab/>
      <w:t xml:space="preserve">Page </w:t>
    </w:r>
    <w:r w:rsidR="00372AFD">
      <w:rPr>
        <w:rStyle w:val="PageNumber"/>
      </w:rPr>
      <w:fldChar w:fldCharType="begin"/>
    </w:r>
    <w:r>
      <w:rPr>
        <w:rStyle w:val="PageNumber"/>
      </w:rPr>
      <w:instrText xml:space="preserve"> PAGE </w:instrText>
    </w:r>
    <w:r w:rsidR="00372AFD">
      <w:rPr>
        <w:rStyle w:val="PageNumber"/>
      </w:rPr>
      <w:fldChar w:fldCharType="separate"/>
    </w:r>
    <w:r>
      <w:rPr>
        <w:rStyle w:val="PageNumber"/>
        <w:noProof/>
      </w:rPr>
      <w:t>1</w:t>
    </w:r>
    <w:r w:rsidR="00372AFD">
      <w:rPr>
        <w:rStyle w:val="PageNumber"/>
      </w:rPr>
      <w:fldChar w:fldCharType="end"/>
    </w:r>
  </w:p>
  <w:p w:rsidR="00C739EB" w:rsidRDefault="00C739EB">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3A3" w:rsidRDefault="003B23A3">
      <w:r>
        <w:separator/>
      </w:r>
    </w:p>
  </w:footnote>
  <w:footnote w:type="continuationSeparator" w:id="0">
    <w:p w:rsidR="003B23A3" w:rsidRDefault="003B23A3">
      <w:r>
        <w:continuationSeparator/>
      </w:r>
    </w:p>
  </w:footnote>
  <w:footnote w:id="1">
    <w:p w:rsidR="00C739EB" w:rsidRPr="00986D83" w:rsidRDefault="00C739EB" w:rsidP="00DF6BB0">
      <w:pPr>
        <w:pStyle w:val="FootnoteText"/>
        <w:ind w:left="720" w:hanging="720"/>
      </w:pPr>
      <w:r w:rsidRPr="003234E0">
        <w:rPr>
          <w:rStyle w:val="FootnoteReference"/>
        </w:rPr>
        <w:footnoteRef/>
      </w:r>
      <w:r w:rsidRPr="00D60BD4">
        <w:rPr>
          <w:vertAlign w:val="superscript"/>
        </w:rPr>
        <w:t>/</w:t>
      </w:r>
      <w:r w:rsidRPr="00986D83">
        <w:t xml:space="preserve"> </w:t>
      </w:r>
      <w:r w:rsidRPr="00986D83">
        <w:tab/>
      </w:r>
      <w:r w:rsidRPr="00B35179">
        <w:rPr>
          <w:u w:val="single"/>
        </w:rPr>
        <w:t>WUTC v. PSE</w:t>
      </w:r>
      <w:r>
        <w:t xml:space="preserve">, </w:t>
      </w:r>
      <w:r w:rsidRPr="00986D83">
        <w:t>Docket No</w:t>
      </w:r>
      <w:r>
        <w:t>s</w:t>
      </w:r>
      <w:r w:rsidRPr="00986D83">
        <w:t xml:space="preserve">. </w:t>
      </w:r>
      <w:r>
        <w:t>UE-111048 and UG-111049</w:t>
      </w:r>
      <w:r w:rsidRPr="00986D83">
        <w:t xml:space="preserve">, </w:t>
      </w:r>
      <w:r>
        <w:t xml:space="preserve">Order 08 </w:t>
      </w:r>
      <w:r w:rsidRPr="00986D83">
        <w:t>¶</w:t>
      </w:r>
      <w:r>
        <w:t xml:space="preserve"> 490 (May 7, 2012) (“Order 08”)</w:t>
      </w:r>
      <w:r w:rsidRPr="00986D83">
        <w:t>.</w:t>
      </w:r>
      <w:r>
        <w:t xml:space="preserve"> </w:t>
      </w:r>
    </w:p>
  </w:footnote>
  <w:footnote w:id="2">
    <w:p w:rsidR="00C739EB" w:rsidRPr="00986D83" w:rsidRDefault="00C739EB" w:rsidP="00352428">
      <w:pPr>
        <w:pStyle w:val="FootnoteText"/>
        <w:ind w:left="720" w:hanging="720"/>
      </w:pPr>
      <w:r w:rsidRPr="003234E0">
        <w:rPr>
          <w:rStyle w:val="FootnoteReference"/>
        </w:rPr>
        <w:footnoteRef/>
      </w:r>
      <w:r w:rsidRPr="001C6A74">
        <w:rPr>
          <w:vertAlign w:val="superscript"/>
        </w:rPr>
        <w:t>/</w:t>
      </w:r>
      <w:r w:rsidRPr="00986D83">
        <w:t xml:space="preserve"> </w:t>
      </w:r>
      <w:r w:rsidRPr="00986D83">
        <w:tab/>
      </w:r>
      <w:r w:rsidRPr="00B35179">
        <w:rPr>
          <w:u w:val="single"/>
        </w:rPr>
        <w:t>See</w:t>
      </w:r>
      <w:r>
        <w:t xml:space="preserve"> Order 08 ¶ 490</w:t>
      </w:r>
      <w:r w:rsidRPr="00986D83">
        <w:t>.</w:t>
      </w:r>
    </w:p>
  </w:footnote>
  <w:footnote w:id="3">
    <w:p w:rsidR="00C739EB" w:rsidRDefault="00C739EB" w:rsidP="007470A8">
      <w:pPr>
        <w:pStyle w:val="FootnoteText"/>
        <w:ind w:left="720" w:hanging="720"/>
      </w:pPr>
      <w:r>
        <w:rPr>
          <w:rStyle w:val="FootnoteReference"/>
        </w:rPr>
        <w:footnoteRef/>
      </w:r>
      <w:r w:rsidRPr="001C6A74">
        <w:rPr>
          <w:vertAlign w:val="superscript"/>
        </w:rPr>
        <w:t>/</w:t>
      </w:r>
      <w:r>
        <w:t xml:space="preserve"> </w:t>
      </w:r>
      <w:r>
        <w:tab/>
      </w:r>
      <w:r w:rsidRPr="00B35179">
        <w:rPr>
          <w:u w:val="single"/>
        </w:rPr>
        <w:t>WUTC v. PSE</w:t>
      </w:r>
      <w:r>
        <w:t xml:space="preserve">, </w:t>
      </w:r>
      <w:r w:rsidR="00BF0FD0">
        <w:t xml:space="preserve">Docket Nos. UE-121697/UG-121705, </w:t>
      </w:r>
      <w:r w:rsidRPr="00F31A99">
        <w:t>Exh</w:t>
      </w:r>
      <w:r>
        <w:t>.</w:t>
      </w:r>
      <w:r w:rsidRPr="00F31A99">
        <w:t xml:space="preserve"> No. __</w:t>
      </w:r>
      <w:r>
        <w:t xml:space="preserve"> (KJB-1T), 4:19-22.</w:t>
      </w:r>
    </w:p>
  </w:footnote>
  <w:footnote w:id="4">
    <w:p w:rsidR="00C739EB" w:rsidRPr="00F71A74" w:rsidRDefault="00C739EB" w:rsidP="00DF6BB0">
      <w:pPr>
        <w:pStyle w:val="FootnoteText"/>
      </w:pPr>
      <w:r w:rsidRPr="00F71A74">
        <w:rPr>
          <w:rStyle w:val="FootnoteReference"/>
        </w:rPr>
        <w:footnoteRef/>
      </w:r>
      <w:r w:rsidRPr="00F71A74">
        <w:rPr>
          <w:vertAlign w:val="superscript"/>
        </w:rPr>
        <w:t>/</w:t>
      </w:r>
      <w:r w:rsidRPr="00F71A74">
        <w:t xml:space="preserve"> </w:t>
      </w:r>
      <w:r w:rsidRPr="00F71A74">
        <w:tab/>
      </w:r>
      <w:r w:rsidR="00BF0FD0">
        <w:t xml:space="preserve">Docket Nos. UE-121697/UG-121705, </w:t>
      </w:r>
      <w:r w:rsidRPr="00F71A74">
        <w:t>Exh</w:t>
      </w:r>
      <w:r>
        <w:t>. Nos. __ (TES-1T) at</w:t>
      </w:r>
      <w:r w:rsidRPr="00F71A74">
        <w:t xml:space="preserve"> 12:18-13:5; (TES-3); (KJB-1T)</w:t>
      </w:r>
      <w:r>
        <w:t xml:space="preserve"> at</w:t>
      </w:r>
      <w:r w:rsidRPr="00F71A74">
        <w:t xml:space="preserve"> 5:3-7.</w:t>
      </w:r>
    </w:p>
  </w:footnote>
  <w:footnote w:id="5">
    <w:p w:rsidR="00C739EB" w:rsidRPr="00A657EB" w:rsidRDefault="00C739EB" w:rsidP="00BF7AE3">
      <w:pPr>
        <w:pStyle w:val="FootnoteText"/>
      </w:pPr>
      <w:r w:rsidRPr="00A657EB">
        <w:rPr>
          <w:rStyle w:val="FootnoteReference"/>
        </w:rPr>
        <w:footnoteRef/>
      </w:r>
      <w:r w:rsidRPr="001C6A74">
        <w:rPr>
          <w:vertAlign w:val="superscript"/>
        </w:rPr>
        <w:t>/</w:t>
      </w:r>
      <w:r w:rsidRPr="00A657EB">
        <w:t xml:space="preserve">  </w:t>
      </w:r>
      <w:r w:rsidRPr="00A657EB">
        <w:tab/>
      </w:r>
      <w:r w:rsidRPr="00EF4218">
        <w:rPr>
          <w:u w:val="single"/>
        </w:rPr>
        <w:t>WUTC v. Avista</w:t>
      </w:r>
      <w:r>
        <w:t>, Docket Nos. UE-120436/UG-120437, Order 09 ¶ 74 (Dec. 26, 2012).</w:t>
      </w:r>
    </w:p>
  </w:footnote>
  <w:footnote w:id="6">
    <w:p w:rsidR="00C739EB" w:rsidRPr="00EF0A1D" w:rsidRDefault="00C739EB">
      <w:pPr>
        <w:pStyle w:val="FootnoteText"/>
      </w:pPr>
      <w:r>
        <w:rPr>
          <w:rStyle w:val="FootnoteReference"/>
        </w:rPr>
        <w:footnoteRef/>
      </w:r>
      <w:r w:rsidRPr="001C6A74">
        <w:rPr>
          <w:vertAlign w:val="superscript"/>
        </w:rPr>
        <w:t>/</w:t>
      </w:r>
      <w:r>
        <w:t xml:space="preserve"> </w:t>
      </w:r>
      <w:r>
        <w:tab/>
        <w:t>Exh. No</w:t>
      </w:r>
      <w:r w:rsidR="00F13633">
        <w:t>s</w:t>
      </w:r>
      <w:r>
        <w:t xml:space="preserve">. __ (TES-1T) at </w:t>
      </w:r>
      <w:r w:rsidRPr="00EF0A1D">
        <w:t>12:18-13:5; (TES-3).</w:t>
      </w:r>
    </w:p>
  </w:footnote>
  <w:footnote w:id="7">
    <w:p w:rsidR="00C739EB" w:rsidRDefault="00C739EB">
      <w:pPr>
        <w:pStyle w:val="FootnoteText"/>
      </w:pPr>
      <w:r>
        <w:rPr>
          <w:rStyle w:val="FootnoteReference"/>
        </w:rPr>
        <w:footnoteRef/>
      </w:r>
      <w:r w:rsidRPr="005B66FE">
        <w:rPr>
          <w:vertAlign w:val="superscript"/>
        </w:rPr>
        <w:t>/</w:t>
      </w:r>
      <w:r>
        <w:rPr>
          <w:sz w:val="24"/>
          <w:szCs w:val="24"/>
        </w:rPr>
        <w:tab/>
      </w:r>
      <w:r w:rsidRPr="00C94D98">
        <w:t>Exh. No. __ (MCD-</w:t>
      </w:r>
      <w:r w:rsidR="002F2CCF">
        <w:t>7</w:t>
      </w:r>
      <w:r w:rsidRPr="00C94D98">
        <w:t>) at 5.</w:t>
      </w:r>
    </w:p>
  </w:footnote>
  <w:footnote w:id="8">
    <w:p w:rsidR="00C739EB" w:rsidRDefault="00C739EB">
      <w:pPr>
        <w:pStyle w:val="FootnoteText"/>
      </w:pPr>
      <w:r>
        <w:rPr>
          <w:rStyle w:val="FootnoteReference"/>
        </w:rPr>
        <w:footnoteRef/>
      </w:r>
      <w:r w:rsidRPr="005B66FE">
        <w:rPr>
          <w:vertAlign w:val="superscript"/>
        </w:rPr>
        <w:t>/</w:t>
      </w:r>
      <w:r>
        <w:rPr>
          <w:vertAlign w:val="superscript"/>
        </w:rPr>
        <w:tab/>
      </w:r>
      <w:r w:rsidRPr="00BD6B2A">
        <w:rPr>
          <w:u w:val="single"/>
        </w:rPr>
        <w:t>Id.</w:t>
      </w:r>
    </w:p>
  </w:footnote>
  <w:footnote w:id="9">
    <w:p w:rsidR="00C739EB" w:rsidRDefault="00C739EB">
      <w:pPr>
        <w:pStyle w:val="FootnoteText"/>
      </w:pPr>
      <w:r>
        <w:rPr>
          <w:rStyle w:val="FootnoteReference"/>
        </w:rPr>
        <w:footnoteRef/>
      </w:r>
      <w:r w:rsidRPr="005B66FE">
        <w:rPr>
          <w:vertAlign w:val="superscript"/>
        </w:rPr>
        <w:t>/</w:t>
      </w:r>
      <w:r>
        <w:t xml:space="preserve"> </w:t>
      </w:r>
      <w:r>
        <w:tab/>
      </w:r>
      <w:r w:rsidR="0067572C">
        <w:t xml:space="preserve">Docket Nos. UE-130137/UG-130138, </w:t>
      </w:r>
      <w:r>
        <w:t>Exh. No. __ (KJB-1T) at</w:t>
      </w:r>
      <w:r w:rsidRPr="00911D43">
        <w:t xml:space="preserve"> 16:20-17:4.</w:t>
      </w:r>
    </w:p>
  </w:footnote>
  <w:footnote w:id="10">
    <w:p w:rsidR="00C739EB" w:rsidRDefault="00C739EB">
      <w:pPr>
        <w:pStyle w:val="FootnoteText"/>
      </w:pPr>
      <w:r>
        <w:rPr>
          <w:rStyle w:val="FootnoteReference"/>
        </w:rPr>
        <w:footnoteRef/>
      </w:r>
      <w:r w:rsidRPr="005B66FE">
        <w:rPr>
          <w:vertAlign w:val="superscript"/>
        </w:rPr>
        <w:t>/</w:t>
      </w:r>
      <w:r>
        <w:t xml:space="preserve"> </w:t>
      </w:r>
      <w:r>
        <w:tab/>
      </w:r>
      <w:r w:rsidRPr="00EF0A1D">
        <w:t>Order 08</w:t>
      </w:r>
      <w:r w:rsidRPr="00EF0A1D">
        <w:rPr>
          <w:sz w:val="24"/>
          <w:szCs w:val="24"/>
        </w:rPr>
        <w:t xml:space="preserve"> </w:t>
      </w:r>
      <w:r w:rsidRPr="00EF0A1D">
        <w:t>¶ 506.</w:t>
      </w:r>
    </w:p>
  </w:footnote>
  <w:footnote w:id="11">
    <w:p w:rsidR="00C739EB" w:rsidRDefault="00C739EB">
      <w:pPr>
        <w:pStyle w:val="FootnoteText"/>
      </w:pPr>
      <w:r>
        <w:rPr>
          <w:rStyle w:val="FootnoteReference"/>
        </w:rPr>
        <w:footnoteRef/>
      </w:r>
      <w:r w:rsidRPr="005B66FE">
        <w:rPr>
          <w:vertAlign w:val="superscript"/>
        </w:rPr>
        <w:t>/</w:t>
      </w:r>
      <w:r>
        <w:rPr>
          <w:vertAlign w:val="superscript"/>
        </w:rPr>
        <w:tab/>
      </w:r>
      <w:r>
        <w:t xml:space="preserve">Exh. No. __ (MCD-4) at 1, 14 (Deposition of Thomas E. Schooley at 32:19-23, 84:22-85:4). </w:t>
      </w:r>
    </w:p>
  </w:footnote>
  <w:footnote w:id="12">
    <w:p w:rsidR="00E51797" w:rsidRDefault="00E51797" w:rsidP="00E51797">
      <w:pPr>
        <w:pStyle w:val="FootnoteText"/>
        <w:ind w:left="720" w:hanging="720"/>
      </w:pPr>
      <w:r w:rsidRPr="000571E8">
        <w:rPr>
          <w:rStyle w:val="FootnoteReference"/>
        </w:rPr>
        <w:footnoteRef/>
      </w:r>
      <w:r w:rsidRPr="000571E8">
        <w:rPr>
          <w:vertAlign w:val="superscript"/>
        </w:rPr>
        <w:t>/</w:t>
      </w:r>
      <w:r>
        <w:t xml:space="preserve"> </w:t>
      </w:r>
      <w:r>
        <w:tab/>
        <w:t>Exh. No. __ (MCD-3) at 32</w:t>
      </w:r>
      <w:r w:rsidRPr="00B82EE8">
        <w:t xml:space="preserve"> (</w:t>
      </w:r>
      <w:r>
        <w:t>D</w:t>
      </w:r>
      <w:r w:rsidRPr="00B82EE8">
        <w:t xml:space="preserve">eposition of </w:t>
      </w:r>
      <w:r>
        <w:t xml:space="preserve">Deborah J. </w:t>
      </w:r>
      <w:r w:rsidRPr="00B82EE8">
        <w:t>Reynolds at 77: 4-2</w:t>
      </w:r>
      <w:r>
        <w:t>0); Exh. No. __ (MCD-4) at 7 (D</w:t>
      </w:r>
      <w:r w:rsidRPr="00B82EE8">
        <w:t xml:space="preserve">eposition of </w:t>
      </w:r>
      <w:r>
        <w:t xml:space="preserve">Thomas E. </w:t>
      </w:r>
      <w:r w:rsidRPr="00B82EE8">
        <w:t>Schooley at 65: 15-23).</w:t>
      </w:r>
    </w:p>
  </w:footnote>
  <w:footnote w:id="13">
    <w:p w:rsidR="00C739EB" w:rsidRDefault="00C739EB">
      <w:pPr>
        <w:pStyle w:val="FootnoteText"/>
      </w:pPr>
      <w:r>
        <w:rPr>
          <w:rStyle w:val="FootnoteReference"/>
        </w:rPr>
        <w:footnoteRef/>
      </w:r>
      <w:r w:rsidRPr="005B66FE">
        <w:rPr>
          <w:vertAlign w:val="superscript"/>
        </w:rPr>
        <w:t>/</w:t>
      </w:r>
      <w:r>
        <w:rPr>
          <w:vertAlign w:val="superscript"/>
        </w:rPr>
        <w:tab/>
      </w:r>
      <w:r w:rsidRPr="006429F2">
        <w:t>Exh. No. __ (MCD-</w:t>
      </w:r>
      <w:r w:rsidR="002F2CCF">
        <w:t>7</w:t>
      </w:r>
      <w:r w:rsidRPr="006429F2">
        <w:t>) at 1-2.</w:t>
      </w:r>
      <w:r>
        <w:t xml:space="preserve"> </w:t>
      </w:r>
    </w:p>
  </w:footnote>
  <w:footnote w:id="14">
    <w:p w:rsidR="00C739EB" w:rsidRPr="005259F0" w:rsidRDefault="00C739EB" w:rsidP="00C4714E">
      <w:pPr>
        <w:pStyle w:val="FootnoteText"/>
        <w:ind w:left="720" w:hanging="720"/>
      </w:pPr>
      <w:r w:rsidRPr="005259F0">
        <w:rPr>
          <w:rStyle w:val="FootnoteReference"/>
        </w:rPr>
        <w:footnoteRef/>
      </w:r>
      <w:r w:rsidRPr="001C6A74">
        <w:rPr>
          <w:vertAlign w:val="superscript"/>
        </w:rPr>
        <w:t>/</w:t>
      </w:r>
      <w:r w:rsidRPr="005259F0">
        <w:t xml:space="preserve"> </w:t>
      </w:r>
      <w:r w:rsidRPr="005259F0">
        <w:tab/>
      </w:r>
      <w:r w:rsidRPr="00EF4218">
        <w:rPr>
          <w:u w:val="single"/>
        </w:rPr>
        <w:t>Re WUTC Investigation into Energy Conservation Incentives</w:t>
      </w:r>
      <w:r>
        <w:t>, Docket No. U-100522, Report and Policy Statement on Regulatory Mechanisms, Including Decoupling, to Encourage Utilities to Meet or Exceed Their Conservation Targets (Nov. 4, 2010) (“Policy Statement”).</w:t>
      </w:r>
    </w:p>
  </w:footnote>
  <w:footnote w:id="15">
    <w:p w:rsidR="00C739EB" w:rsidRPr="005259F0" w:rsidRDefault="00C739EB" w:rsidP="00C72198">
      <w:pPr>
        <w:pStyle w:val="FootnoteText"/>
        <w:ind w:left="720" w:hanging="720"/>
      </w:pPr>
      <w:r w:rsidRPr="005259F0">
        <w:rPr>
          <w:rStyle w:val="FootnoteReference"/>
        </w:rPr>
        <w:footnoteRef/>
      </w:r>
      <w:r w:rsidRPr="001C6A74">
        <w:rPr>
          <w:vertAlign w:val="superscript"/>
        </w:rPr>
        <w:t>/</w:t>
      </w:r>
      <w:r w:rsidRPr="005259F0">
        <w:t xml:space="preserve"> </w:t>
      </w:r>
      <w:r w:rsidRPr="005259F0">
        <w:tab/>
      </w:r>
      <w:r w:rsidRPr="00CE5741">
        <w:rPr>
          <w:u w:val="single"/>
        </w:rPr>
        <w:t>Re PSE and NWEC for an Order Authorizing PSE to Implement Electric and Natural Gas Decoupling Mechanisms and to Record Accounting Entries Associated with the Mechanisms</w:t>
      </w:r>
      <w:r>
        <w:t>, Docket Nos. UE-121697 and UG-121705, Amended Petition for Decoupling Mechanisms ¶ 11 (Mar. 1, 2013) (“Amended Petition”).</w:t>
      </w:r>
    </w:p>
  </w:footnote>
  <w:footnote w:id="16">
    <w:p w:rsidR="00C739EB" w:rsidRPr="00986D83" w:rsidRDefault="00C739EB" w:rsidP="00176DCA">
      <w:pPr>
        <w:pStyle w:val="FootnoteText"/>
        <w:ind w:left="720" w:hanging="720"/>
      </w:pPr>
      <w:r w:rsidRPr="003234E0">
        <w:rPr>
          <w:rStyle w:val="FootnoteReference"/>
        </w:rPr>
        <w:footnoteRef/>
      </w:r>
      <w:r w:rsidRPr="001C6A74">
        <w:rPr>
          <w:vertAlign w:val="superscript"/>
        </w:rPr>
        <w:t>/</w:t>
      </w:r>
      <w:r w:rsidRPr="00986D83">
        <w:t xml:space="preserve"> </w:t>
      </w:r>
      <w:r w:rsidRPr="00986D83">
        <w:tab/>
      </w:r>
      <w:r>
        <w:t>Order 08 ¶ 456.</w:t>
      </w:r>
    </w:p>
  </w:footnote>
  <w:footnote w:id="17">
    <w:p w:rsidR="00C739EB" w:rsidRPr="00821463" w:rsidRDefault="00C739EB" w:rsidP="00E473A2">
      <w:pPr>
        <w:pStyle w:val="FootnoteText"/>
        <w:ind w:left="720" w:hanging="720"/>
      </w:pPr>
      <w:r w:rsidRPr="003234E0">
        <w:rPr>
          <w:rStyle w:val="FootnoteReference"/>
        </w:rPr>
        <w:footnoteRef/>
      </w:r>
      <w:r w:rsidRPr="001C6A74">
        <w:rPr>
          <w:vertAlign w:val="superscript"/>
        </w:rPr>
        <w:t>/</w:t>
      </w:r>
      <w:r w:rsidRPr="00986D83">
        <w:t xml:space="preserve"> </w:t>
      </w:r>
      <w:r w:rsidRPr="00986D83">
        <w:tab/>
      </w:r>
      <w:r w:rsidRPr="00821463">
        <w:rPr>
          <w:u w:val="single"/>
        </w:rPr>
        <w:t>Id.</w:t>
      </w:r>
      <w:r w:rsidRPr="00821463">
        <w:t xml:space="preserve"> ¶ 455.</w:t>
      </w:r>
    </w:p>
  </w:footnote>
  <w:footnote w:id="18">
    <w:p w:rsidR="00C739EB" w:rsidRPr="00821463" w:rsidRDefault="00C739EB" w:rsidP="00302679">
      <w:pPr>
        <w:pStyle w:val="FootnoteText"/>
        <w:ind w:left="720" w:hanging="720"/>
      </w:pPr>
      <w:r w:rsidRPr="00821463">
        <w:rPr>
          <w:rStyle w:val="FootnoteReference"/>
        </w:rPr>
        <w:footnoteRef/>
      </w:r>
      <w:r w:rsidRPr="00821463">
        <w:rPr>
          <w:vertAlign w:val="superscript"/>
        </w:rPr>
        <w:t>/</w:t>
      </w:r>
      <w:r w:rsidRPr="00821463">
        <w:t xml:space="preserve"> </w:t>
      </w:r>
      <w:r w:rsidRPr="00821463">
        <w:tab/>
      </w:r>
      <w:r w:rsidRPr="00821463">
        <w:rPr>
          <w:u w:val="single"/>
        </w:rPr>
        <w:t>Id.</w:t>
      </w:r>
      <w:r w:rsidRPr="00821463">
        <w:t xml:space="preserve"> </w:t>
      </w:r>
    </w:p>
  </w:footnote>
  <w:footnote w:id="19">
    <w:p w:rsidR="00C739EB" w:rsidRDefault="00C739EB">
      <w:pPr>
        <w:pStyle w:val="FootnoteText"/>
      </w:pPr>
      <w:r w:rsidRPr="00821463">
        <w:rPr>
          <w:rStyle w:val="FootnoteReference"/>
        </w:rPr>
        <w:footnoteRef/>
      </w:r>
      <w:r w:rsidRPr="00821463">
        <w:rPr>
          <w:vertAlign w:val="superscript"/>
        </w:rPr>
        <w:t>/</w:t>
      </w:r>
      <w:r w:rsidRPr="00821463">
        <w:t xml:space="preserve"> </w:t>
      </w:r>
      <w:r w:rsidRPr="00821463">
        <w:tab/>
        <w:t>Exh</w:t>
      </w:r>
      <w:r>
        <w:t>.</w:t>
      </w:r>
      <w:r w:rsidRPr="00821463">
        <w:t xml:space="preserve"> No. </w:t>
      </w:r>
      <w:r w:rsidRPr="00223EE2">
        <w:t>__(MCD-3) at 9</w:t>
      </w:r>
      <w:r>
        <w:t xml:space="preserve"> </w:t>
      </w:r>
      <w:r w:rsidRPr="00223EE2">
        <w:t>(</w:t>
      </w:r>
      <w:r w:rsidRPr="00821463">
        <w:t>Deposition of D</w:t>
      </w:r>
      <w:r>
        <w:t>eborah J. Reynolds at</w:t>
      </w:r>
      <w:r w:rsidRPr="00821463">
        <w:t xml:space="preserve"> 32:12-14</w:t>
      </w:r>
      <w:r>
        <w:t>)</w:t>
      </w:r>
      <w:r w:rsidRPr="00821463">
        <w:t>.</w:t>
      </w:r>
    </w:p>
  </w:footnote>
  <w:footnote w:id="20">
    <w:p w:rsidR="00C739EB" w:rsidRDefault="00C739EB">
      <w:pPr>
        <w:pStyle w:val="FootnoteText"/>
      </w:pPr>
      <w:r>
        <w:rPr>
          <w:rStyle w:val="FootnoteReference"/>
        </w:rPr>
        <w:footnoteRef/>
      </w:r>
      <w:r w:rsidRPr="001C6A74">
        <w:rPr>
          <w:vertAlign w:val="superscript"/>
        </w:rPr>
        <w:t>/</w:t>
      </w:r>
      <w:r>
        <w:t xml:space="preserve"> </w:t>
      </w:r>
      <w:r>
        <w:tab/>
        <w:t>Order 08 ¶ 454.</w:t>
      </w:r>
    </w:p>
  </w:footnote>
  <w:footnote w:id="21">
    <w:p w:rsidR="00C739EB" w:rsidRDefault="00C739EB">
      <w:pPr>
        <w:pStyle w:val="FootnoteText"/>
      </w:pPr>
      <w:r>
        <w:rPr>
          <w:rStyle w:val="FootnoteReference"/>
        </w:rPr>
        <w:footnoteRef/>
      </w:r>
      <w:r w:rsidRPr="001C6A74">
        <w:rPr>
          <w:vertAlign w:val="superscript"/>
        </w:rPr>
        <w:t>/</w:t>
      </w:r>
      <w:r>
        <w:t xml:space="preserve"> </w:t>
      </w:r>
      <w:r>
        <w:tab/>
      </w:r>
      <w:r w:rsidRPr="00497998">
        <w:rPr>
          <w:u w:val="single"/>
        </w:rPr>
        <w:t>Id.</w:t>
      </w:r>
      <w:r>
        <w:t xml:space="preserve"> ¶¶ 455-456.</w:t>
      </w:r>
    </w:p>
  </w:footnote>
  <w:footnote w:id="22">
    <w:p w:rsidR="00C739EB" w:rsidRPr="005259F0" w:rsidRDefault="00C739EB" w:rsidP="009C04D9">
      <w:pPr>
        <w:pStyle w:val="FootnoteText"/>
        <w:ind w:left="720" w:hanging="720"/>
      </w:pPr>
      <w:r w:rsidRPr="005259F0">
        <w:rPr>
          <w:rStyle w:val="FootnoteReference"/>
        </w:rPr>
        <w:footnoteRef/>
      </w:r>
      <w:r w:rsidRPr="00497998">
        <w:rPr>
          <w:vertAlign w:val="superscript"/>
        </w:rPr>
        <w:t>/</w:t>
      </w:r>
      <w:r w:rsidRPr="005259F0">
        <w:t xml:space="preserve"> </w:t>
      </w:r>
      <w:r w:rsidRPr="005259F0">
        <w:tab/>
      </w:r>
      <w:r>
        <w:t>Policy Statement.</w:t>
      </w:r>
    </w:p>
  </w:footnote>
  <w:footnote w:id="23">
    <w:p w:rsidR="00C739EB" w:rsidRPr="00986D83" w:rsidRDefault="00C739EB" w:rsidP="009C04D9">
      <w:pPr>
        <w:pStyle w:val="FootnoteText"/>
        <w:ind w:left="720" w:hanging="720"/>
      </w:pPr>
      <w:r w:rsidRPr="003234E0">
        <w:rPr>
          <w:rStyle w:val="FootnoteReference"/>
        </w:rPr>
        <w:footnoteRef/>
      </w:r>
      <w:r w:rsidRPr="00826452">
        <w:rPr>
          <w:vertAlign w:val="superscript"/>
        </w:rPr>
        <w:t>/</w:t>
      </w:r>
      <w:r w:rsidRPr="00986D83">
        <w:t xml:space="preserve"> </w:t>
      </w:r>
      <w:r w:rsidRPr="00986D83">
        <w:tab/>
      </w:r>
      <w:r w:rsidRPr="009D2969">
        <w:rPr>
          <w:u w:val="single"/>
        </w:rPr>
        <w:t>Id.</w:t>
      </w:r>
      <w:r w:rsidRPr="00986D83">
        <w:t xml:space="preserve"> ¶</w:t>
      </w:r>
      <w:r>
        <w:t xml:space="preserve"> 12</w:t>
      </w:r>
      <w:r w:rsidRPr="00986D83">
        <w:t>.</w:t>
      </w:r>
    </w:p>
  </w:footnote>
  <w:footnote w:id="24">
    <w:p w:rsidR="00C739EB" w:rsidRPr="00986D83" w:rsidRDefault="00C739EB" w:rsidP="009C04D9">
      <w:pPr>
        <w:pStyle w:val="FootnoteText"/>
        <w:ind w:left="720" w:hanging="720"/>
      </w:pPr>
      <w:r w:rsidRPr="003234E0">
        <w:rPr>
          <w:rStyle w:val="FootnoteReference"/>
        </w:rPr>
        <w:footnoteRef/>
      </w:r>
      <w:r w:rsidRPr="00826452">
        <w:rPr>
          <w:vertAlign w:val="superscript"/>
        </w:rPr>
        <w:t>/</w:t>
      </w:r>
      <w:r w:rsidRPr="00986D83">
        <w:t xml:space="preserve"> </w:t>
      </w:r>
      <w:r w:rsidRPr="00986D83">
        <w:tab/>
      </w:r>
      <w:r w:rsidRPr="00240CCF">
        <w:rPr>
          <w:u w:val="single"/>
        </w:rPr>
        <w:t>Id.</w:t>
      </w:r>
      <w:r w:rsidRPr="00986D83">
        <w:t xml:space="preserve"> ¶</w:t>
      </w:r>
      <w:r>
        <w:t xml:space="preserve"> 28</w:t>
      </w:r>
      <w:r w:rsidRPr="00986D83">
        <w:t>.</w:t>
      </w:r>
    </w:p>
  </w:footnote>
  <w:footnote w:id="25">
    <w:p w:rsidR="00C739EB" w:rsidRPr="00986D83" w:rsidRDefault="00C739EB" w:rsidP="009C04D9">
      <w:pPr>
        <w:pStyle w:val="FootnoteText"/>
        <w:ind w:left="720" w:hanging="720"/>
      </w:pPr>
      <w:r w:rsidRPr="003234E0">
        <w:rPr>
          <w:rStyle w:val="FootnoteReference"/>
        </w:rPr>
        <w:footnoteRef/>
      </w:r>
      <w:r w:rsidRPr="00826452">
        <w:rPr>
          <w:vertAlign w:val="superscript"/>
        </w:rPr>
        <w:t>/</w:t>
      </w:r>
      <w:r w:rsidRPr="00986D83">
        <w:t xml:space="preserve"> </w:t>
      </w:r>
      <w:r w:rsidRPr="00986D83">
        <w:tab/>
      </w:r>
      <w:r w:rsidRPr="00240CCF">
        <w:rPr>
          <w:u w:val="single"/>
        </w:rPr>
        <w:t>Id.</w:t>
      </w:r>
      <w:r w:rsidRPr="00986D83">
        <w:t xml:space="preserve"> ¶</w:t>
      </w:r>
      <w:r>
        <w:t xml:space="preserve"> 18, n. 33</w:t>
      </w:r>
      <w:r w:rsidRPr="00986D83">
        <w:t>.</w:t>
      </w:r>
      <w:r>
        <w:t xml:space="preserve"> </w:t>
      </w:r>
    </w:p>
  </w:footnote>
  <w:footnote w:id="26">
    <w:p w:rsidR="00C739EB" w:rsidRPr="00986D83" w:rsidRDefault="00C739EB" w:rsidP="009C04D9">
      <w:pPr>
        <w:pStyle w:val="FootnoteText"/>
        <w:ind w:left="720" w:hanging="720"/>
      </w:pPr>
      <w:r w:rsidRPr="003234E0">
        <w:rPr>
          <w:rStyle w:val="FootnoteReference"/>
        </w:rPr>
        <w:footnoteRef/>
      </w:r>
      <w:r w:rsidRPr="00826452">
        <w:rPr>
          <w:vertAlign w:val="superscript"/>
        </w:rPr>
        <w:t>/</w:t>
      </w:r>
      <w:r w:rsidRPr="00986D83">
        <w:t xml:space="preserve"> </w:t>
      </w:r>
      <w:r w:rsidRPr="00986D83">
        <w:tab/>
      </w:r>
      <w:r w:rsidRPr="00240CCF">
        <w:rPr>
          <w:u w:val="single"/>
        </w:rPr>
        <w:t>Id.</w:t>
      </w:r>
      <w:r w:rsidRPr="00986D83">
        <w:t xml:space="preserve"> </w:t>
      </w:r>
    </w:p>
  </w:footnote>
  <w:footnote w:id="27">
    <w:p w:rsidR="00C739EB" w:rsidRPr="00986D83" w:rsidRDefault="00C739EB" w:rsidP="009C04D9">
      <w:pPr>
        <w:pStyle w:val="FootnoteText"/>
        <w:ind w:left="720" w:hanging="720"/>
      </w:pPr>
      <w:r w:rsidRPr="003234E0">
        <w:rPr>
          <w:rStyle w:val="FootnoteReference"/>
        </w:rPr>
        <w:footnoteRef/>
      </w:r>
      <w:r w:rsidRPr="00826452">
        <w:rPr>
          <w:vertAlign w:val="superscript"/>
        </w:rPr>
        <w:t>/</w:t>
      </w:r>
      <w:r w:rsidRPr="00986D83">
        <w:t xml:space="preserve"> </w:t>
      </w:r>
      <w:r w:rsidRPr="00986D83">
        <w:tab/>
      </w:r>
      <w:r>
        <w:t>Order 08 at n. 617.</w:t>
      </w:r>
    </w:p>
  </w:footnote>
  <w:footnote w:id="28">
    <w:p w:rsidR="00C739EB" w:rsidRPr="00A06735" w:rsidRDefault="00C739EB" w:rsidP="009C04D9">
      <w:pPr>
        <w:pStyle w:val="FootnoteText"/>
        <w:ind w:left="720" w:hanging="720"/>
      </w:pPr>
      <w:r w:rsidRPr="003234E0">
        <w:rPr>
          <w:rStyle w:val="FootnoteReference"/>
        </w:rPr>
        <w:footnoteRef/>
      </w:r>
      <w:r w:rsidRPr="00826452">
        <w:rPr>
          <w:vertAlign w:val="superscript"/>
        </w:rPr>
        <w:t>/</w:t>
      </w:r>
      <w:r w:rsidRPr="00986D83">
        <w:t xml:space="preserve"> </w:t>
      </w:r>
      <w:r w:rsidRPr="00986D83">
        <w:tab/>
      </w:r>
      <w:r w:rsidRPr="00240CCF">
        <w:rPr>
          <w:u w:val="single"/>
        </w:rPr>
        <w:t>Id.</w:t>
      </w:r>
      <w:r>
        <w:t xml:space="preserve"> (emphasis added).</w:t>
      </w:r>
    </w:p>
  </w:footnote>
  <w:footnote w:id="29">
    <w:p w:rsidR="00C739EB" w:rsidRPr="00986D83" w:rsidRDefault="00C739EB" w:rsidP="009C04D9">
      <w:pPr>
        <w:pStyle w:val="FootnoteText"/>
        <w:ind w:left="720" w:hanging="720"/>
      </w:pPr>
      <w:r w:rsidRPr="003234E0">
        <w:rPr>
          <w:rStyle w:val="FootnoteReference"/>
        </w:rPr>
        <w:footnoteRef/>
      </w:r>
      <w:r w:rsidRPr="00826452">
        <w:rPr>
          <w:vertAlign w:val="superscript"/>
        </w:rPr>
        <w:t>/</w:t>
      </w:r>
      <w:r w:rsidRPr="00986D83">
        <w:t xml:space="preserve"> </w:t>
      </w:r>
      <w:r w:rsidRPr="00986D83">
        <w:tab/>
      </w:r>
      <w:r w:rsidRPr="00E51B66">
        <w:t>Policy Statement</w:t>
      </w:r>
      <w:r>
        <w:t xml:space="preserve"> ¶ 18, n. 33</w:t>
      </w:r>
      <w:r w:rsidRPr="00986D83">
        <w:t>.</w:t>
      </w:r>
    </w:p>
  </w:footnote>
  <w:footnote w:id="30">
    <w:p w:rsidR="00C739EB" w:rsidRPr="00986D83" w:rsidRDefault="00C739EB" w:rsidP="009C04D9">
      <w:pPr>
        <w:pStyle w:val="FootnoteText"/>
        <w:ind w:left="720" w:hanging="720"/>
      </w:pPr>
      <w:r w:rsidRPr="006530A5">
        <w:rPr>
          <w:rStyle w:val="FootnoteReference"/>
        </w:rPr>
        <w:footnoteRef/>
      </w:r>
      <w:r w:rsidRPr="00826452">
        <w:rPr>
          <w:vertAlign w:val="superscript"/>
        </w:rPr>
        <w:t>/</w:t>
      </w:r>
      <w:r w:rsidRPr="00986D83">
        <w:t xml:space="preserve"> </w:t>
      </w:r>
      <w:r w:rsidRPr="00986D83">
        <w:tab/>
      </w:r>
      <w:r>
        <w:t>Exh. No. __ (</w:t>
      </w:r>
      <w:r>
        <w:rPr>
          <w:smallCaps/>
        </w:rPr>
        <w:t>MCD-</w:t>
      </w:r>
      <w:r w:rsidR="00A81422">
        <w:rPr>
          <w:smallCaps/>
        </w:rPr>
        <w:t>6</w:t>
      </w:r>
      <w:bookmarkStart w:id="2" w:name="_GoBack"/>
      <w:bookmarkEnd w:id="2"/>
      <w:r>
        <w:rPr>
          <w:smallCaps/>
        </w:rPr>
        <w:t xml:space="preserve">) </w:t>
      </w:r>
      <w:r>
        <w:t>at</w:t>
      </w:r>
      <w:r>
        <w:rPr>
          <w:smallCaps/>
        </w:rPr>
        <w:t xml:space="preserve"> 2</w:t>
      </w:r>
      <w:r w:rsidRPr="00986D83">
        <w:t>.</w:t>
      </w:r>
    </w:p>
  </w:footnote>
  <w:footnote w:id="31">
    <w:p w:rsidR="00C739EB" w:rsidRPr="00986D83" w:rsidRDefault="00C739EB" w:rsidP="009C04D9">
      <w:pPr>
        <w:pStyle w:val="FootnoteText"/>
        <w:ind w:left="720" w:hanging="720"/>
      </w:pPr>
      <w:r w:rsidRPr="006530A5">
        <w:rPr>
          <w:rStyle w:val="FootnoteReference"/>
        </w:rPr>
        <w:footnoteRef/>
      </w:r>
      <w:r w:rsidRPr="00826452">
        <w:rPr>
          <w:vertAlign w:val="superscript"/>
        </w:rPr>
        <w:t>/</w:t>
      </w:r>
      <w:r w:rsidRPr="00986D83">
        <w:t xml:space="preserve"> </w:t>
      </w:r>
      <w:r w:rsidRPr="00986D83">
        <w:tab/>
      </w:r>
      <w:r w:rsidRPr="00C91E10">
        <w:rPr>
          <w:u w:val="single"/>
        </w:rPr>
        <w:t>See</w:t>
      </w:r>
      <w:r w:rsidRPr="00986D83">
        <w:t xml:space="preserve"> Attachment A to Amended Petition at 2.</w:t>
      </w:r>
    </w:p>
  </w:footnote>
  <w:footnote w:id="32">
    <w:p w:rsidR="00C739EB" w:rsidRPr="00986D83" w:rsidRDefault="00C739EB" w:rsidP="009C04D9">
      <w:pPr>
        <w:pStyle w:val="FootnoteText"/>
        <w:ind w:left="720" w:hanging="720"/>
      </w:pPr>
      <w:r w:rsidRPr="006530A5">
        <w:rPr>
          <w:rStyle w:val="FootnoteReference"/>
        </w:rPr>
        <w:footnoteRef/>
      </w:r>
      <w:r w:rsidRPr="00D82651">
        <w:rPr>
          <w:vertAlign w:val="superscript"/>
        </w:rPr>
        <w:t>/</w:t>
      </w:r>
      <w:r w:rsidRPr="00986D83">
        <w:t xml:space="preserve"> </w:t>
      </w:r>
      <w:r w:rsidRPr="00986D83">
        <w:tab/>
      </w:r>
      <w:r w:rsidRPr="00CE5741">
        <w:rPr>
          <w:u w:val="single"/>
        </w:rPr>
        <w:t>Id</w:t>
      </w:r>
      <w:r>
        <w:rPr>
          <w:u w:val="single"/>
        </w:rPr>
        <w:t>.</w:t>
      </w:r>
      <w:r w:rsidRPr="00E51B66">
        <w:t xml:space="preserve"> </w:t>
      </w:r>
      <w:r w:rsidRPr="00986D83">
        <w:t>at 4.</w:t>
      </w:r>
    </w:p>
  </w:footnote>
  <w:footnote w:id="33">
    <w:p w:rsidR="00C739EB" w:rsidRPr="00986D83" w:rsidRDefault="00C739EB" w:rsidP="009C04D9">
      <w:pPr>
        <w:pStyle w:val="FootnoteText"/>
      </w:pPr>
      <w:r w:rsidRPr="00233BE3">
        <w:rPr>
          <w:rStyle w:val="FootnoteReference"/>
        </w:rPr>
        <w:footnoteRef/>
      </w:r>
      <w:r w:rsidRPr="00826452">
        <w:rPr>
          <w:vertAlign w:val="superscript"/>
        </w:rPr>
        <w:t>/</w:t>
      </w:r>
      <w:r w:rsidRPr="00826452">
        <w:t xml:space="preserve"> </w:t>
      </w:r>
      <w:r w:rsidRPr="00986D83">
        <w:tab/>
        <w:t>Policy Statement ¶ 28.</w:t>
      </w:r>
    </w:p>
  </w:footnote>
  <w:footnote w:id="34">
    <w:p w:rsidR="00C739EB" w:rsidRPr="00986D83" w:rsidRDefault="00C739EB" w:rsidP="009C04D9">
      <w:pPr>
        <w:pStyle w:val="FootnoteText"/>
      </w:pPr>
      <w:r w:rsidRPr="00233BE3">
        <w:rPr>
          <w:rStyle w:val="FootnoteReference"/>
        </w:rPr>
        <w:footnoteRef/>
      </w:r>
      <w:r w:rsidRPr="00826452">
        <w:rPr>
          <w:vertAlign w:val="superscript"/>
        </w:rPr>
        <w:t>/</w:t>
      </w:r>
      <w:r w:rsidRPr="00826452">
        <w:t xml:space="preserve"> </w:t>
      </w:r>
      <w:r w:rsidRPr="00986D83">
        <w:tab/>
      </w:r>
      <w:r w:rsidRPr="00986D83">
        <w:rPr>
          <w:u w:val="single"/>
        </w:rPr>
        <w:t>Id.</w:t>
      </w:r>
      <w:r w:rsidRPr="00986D83">
        <w:t xml:space="preserve"> ¶ 11.  </w:t>
      </w:r>
    </w:p>
  </w:footnote>
  <w:footnote w:id="35">
    <w:p w:rsidR="00C739EB" w:rsidRDefault="00C739EB" w:rsidP="009C04D9">
      <w:pPr>
        <w:pStyle w:val="FootnoteText"/>
      </w:pPr>
      <w:r w:rsidRPr="00AC69A4">
        <w:rPr>
          <w:rStyle w:val="FootnoteReference"/>
        </w:rPr>
        <w:footnoteRef/>
      </w:r>
      <w:r w:rsidRPr="00AC69A4">
        <w:rPr>
          <w:vertAlign w:val="superscript"/>
        </w:rPr>
        <w:t>/</w:t>
      </w:r>
      <w:r>
        <w:rPr>
          <w:sz w:val="24"/>
          <w:szCs w:val="24"/>
          <w:vertAlign w:val="superscript"/>
        </w:rPr>
        <w:tab/>
      </w:r>
      <w:r w:rsidRPr="00437ECE">
        <w:rPr>
          <w:u w:val="single"/>
        </w:rPr>
        <w:t>Re PSE and NWEC</w:t>
      </w:r>
      <w:r>
        <w:t xml:space="preserve">, Docket Nos. UE-121697 and UG-121705, </w:t>
      </w:r>
      <w:r w:rsidRPr="00496609">
        <w:t>Exhibit No. __</w:t>
      </w:r>
      <w:r>
        <w:t xml:space="preserve"> (JAP-8T) at 5:21-22.</w:t>
      </w:r>
      <w:r w:rsidRPr="00A202F2">
        <w:t xml:space="preserve">  </w:t>
      </w:r>
    </w:p>
  </w:footnote>
  <w:footnote w:id="36">
    <w:p w:rsidR="00C739EB" w:rsidRPr="00986D83" w:rsidRDefault="00C739EB" w:rsidP="009C04D9">
      <w:pPr>
        <w:pStyle w:val="FootnoteText"/>
        <w:ind w:left="720" w:hanging="720"/>
      </w:pPr>
      <w:r w:rsidRPr="00233BE3">
        <w:rPr>
          <w:rStyle w:val="FootnoteReference"/>
        </w:rPr>
        <w:footnoteRef/>
      </w:r>
      <w:r w:rsidRPr="00826452">
        <w:rPr>
          <w:vertAlign w:val="superscript"/>
        </w:rPr>
        <w:t>/</w:t>
      </w:r>
      <w:r w:rsidRPr="00986D83">
        <w:t xml:space="preserve"> </w:t>
      </w:r>
      <w:r w:rsidRPr="00986D83">
        <w:tab/>
      </w:r>
      <w:r>
        <w:t>Policy Statement ¶</w:t>
      </w:r>
      <w:r w:rsidRPr="00986D83">
        <w:t xml:space="preserve"> 28.</w:t>
      </w:r>
    </w:p>
  </w:footnote>
  <w:footnote w:id="37">
    <w:p w:rsidR="00C739EB" w:rsidRPr="00986D83" w:rsidRDefault="00C739EB" w:rsidP="009C04D9">
      <w:pPr>
        <w:pStyle w:val="FootnoteText"/>
        <w:ind w:left="720" w:hanging="720"/>
      </w:pPr>
      <w:r w:rsidRPr="00233BE3">
        <w:rPr>
          <w:rStyle w:val="FootnoteReference"/>
        </w:rPr>
        <w:footnoteRef/>
      </w:r>
      <w:r w:rsidRPr="00826452">
        <w:rPr>
          <w:vertAlign w:val="superscript"/>
        </w:rPr>
        <w:t>/</w:t>
      </w:r>
      <w:r w:rsidRPr="00986D83">
        <w:t xml:space="preserve"> </w:t>
      </w:r>
      <w:r w:rsidRPr="00986D83">
        <w:tab/>
      </w:r>
      <w:r w:rsidRPr="00CE5741">
        <w:rPr>
          <w:u w:val="single"/>
        </w:rPr>
        <w:t>See</w:t>
      </w:r>
      <w:r>
        <w:t xml:space="preserve"> </w:t>
      </w:r>
      <w:r w:rsidR="008D3CE5">
        <w:rPr>
          <w:u w:val="single"/>
        </w:rPr>
        <w:t>i</w:t>
      </w:r>
      <w:r w:rsidRPr="00CE5741">
        <w:rPr>
          <w:u w:val="single"/>
        </w:rPr>
        <w:t>d.</w:t>
      </w:r>
      <w:r w:rsidRPr="00986D83">
        <w:t xml:space="preserve"> ¶ 11.</w:t>
      </w:r>
    </w:p>
  </w:footnote>
  <w:footnote w:id="38">
    <w:p w:rsidR="00C739EB" w:rsidRPr="00233109" w:rsidRDefault="00C739EB" w:rsidP="009C04D9">
      <w:pPr>
        <w:pStyle w:val="FootnoteText"/>
        <w:ind w:left="720" w:hanging="720"/>
      </w:pPr>
      <w:r w:rsidRPr="00233BE3">
        <w:rPr>
          <w:rStyle w:val="FootnoteReference"/>
        </w:rPr>
        <w:footnoteRef/>
      </w:r>
      <w:r w:rsidRPr="00826452">
        <w:rPr>
          <w:vertAlign w:val="superscript"/>
        </w:rPr>
        <w:t>/</w:t>
      </w:r>
      <w:r w:rsidRPr="00233109">
        <w:t xml:space="preserve"> </w:t>
      </w:r>
      <w:r w:rsidRPr="00233109">
        <w:tab/>
      </w:r>
      <w:r w:rsidRPr="00CE5741">
        <w:rPr>
          <w:u w:val="single"/>
        </w:rPr>
        <w:t>Id.</w:t>
      </w:r>
      <w:r>
        <w:t xml:space="preserve"> at</w:t>
      </w:r>
      <w:r w:rsidRPr="00233109">
        <w:t xml:space="preserve"> n. 44.</w:t>
      </w:r>
    </w:p>
  </w:footnote>
  <w:footnote w:id="39">
    <w:p w:rsidR="00C739EB" w:rsidRDefault="00C739EB" w:rsidP="009C04D9">
      <w:pPr>
        <w:pStyle w:val="FootnoteText"/>
        <w:ind w:left="720" w:hanging="720"/>
      </w:pPr>
      <w:r w:rsidRPr="00233BE3">
        <w:rPr>
          <w:rStyle w:val="FootnoteReference"/>
        </w:rPr>
        <w:footnoteRef/>
      </w:r>
      <w:r w:rsidRPr="00826452">
        <w:rPr>
          <w:vertAlign w:val="superscript"/>
        </w:rPr>
        <w:t>/</w:t>
      </w:r>
      <w:r w:rsidRPr="00233109">
        <w:t xml:space="preserve"> </w:t>
      </w:r>
      <w:r w:rsidRPr="00233109">
        <w:tab/>
      </w:r>
      <w:r w:rsidRPr="00CE5741">
        <w:rPr>
          <w:u w:val="single"/>
        </w:rPr>
        <w:t>Id.</w:t>
      </w:r>
    </w:p>
  </w:footnote>
  <w:footnote w:id="40">
    <w:p w:rsidR="00C739EB" w:rsidRPr="002737B9"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t>Exh. No. __(MCD-5)</w:t>
      </w:r>
      <w:r w:rsidR="00307FA5">
        <w:t xml:space="preserve"> at 2</w:t>
      </w:r>
      <w:r>
        <w:t xml:space="preserve"> (</w:t>
      </w:r>
      <w:r w:rsidRPr="002737B9">
        <w:rPr>
          <w:smallCaps/>
        </w:rPr>
        <w:t xml:space="preserve">Regulatory Assistance Project, Revenue Regulation and Decoupling: A Guide to Theory and Application </w:t>
      </w:r>
      <w:r>
        <w:t>19 (2011) (“RAP”)).</w:t>
      </w:r>
    </w:p>
  </w:footnote>
  <w:footnote w:id="41">
    <w:p w:rsidR="00C739EB" w:rsidRPr="00986D83" w:rsidRDefault="00C739EB" w:rsidP="009C04D9">
      <w:pPr>
        <w:pStyle w:val="FootnoteText"/>
        <w:ind w:left="720" w:hanging="720"/>
      </w:pPr>
      <w:r w:rsidRPr="00233BE3">
        <w:rPr>
          <w:rStyle w:val="FootnoteReference"/>
        </w:rPr>
        <w:footnoteRef/>
      </w:r>
      <w:r w:rsidRPr="00826452">
        <w:rPr>
          <w:vertAlign w:val="superscript"/>
        </w:rPr>
        <w:t>/</w:t>
      </w:r>
      <w:r>
        <w:t xml:space="preserve"> </w:t>
      </w:r>
      <w:r>
        <w:tab/>
      </w:r>
      <w:r w:rsidRPr="00B85E88">
        <w:rPr>
          <w:u w:val="single"/>
        </w:rPr>
        <w:t>Id.</w:t>
      </w:r>
      <w:r w:rsidRPr="00B85E88">
        <w:t xml:space="preserve"> at </w:t>
      </w:r>
      <w:r w:rsidR="00307FA5">
        <w:t xml:space="preserve">3 (RAP at </w:t>
      </w:r>
      <w:r w:rsidRPr="00B85E88">
        <w:t>20</w:t>
      </w:r>
      <w:r w:rsidR="00307FA5">
        <w:t>)</w:t>
      </w:r>
      <w:r w:rsidRPr="00B85E88">
        <w:t>.</w:t>
      </w:r>
    </w:p>
  </w:footnote>
  <w:footnote w:id="42">
    <w:p w:rsidR="00C739EB" w:rsidRDefault="00C739EB" w:rsidP="009C04D9">
      <w:pPr>
        <w:pStyle w:val="FootnoteText"/>
      </w:pPr>
      <w:r>
        <w:rPr>
          <w:rStyle w:val="FootnoteReference"/>
        </w:rPr>
        <w:footnoteRef/>
      </w:r>
      <w:r w:rsidRPr="00C41B37">
        <w:rPr>
          <w:vertAlign w:val="superscript"/>
        </w:rPr>
        <w:t>/</w:t>
      </w:r>
      <w:r>
        <w:t xml:space="preserve"> </w:t>
      </w:r>
      <w:r>
        <w:tab/>
      </w:r>
      <w:r w:rsidRPr="009450E6">
        <w:rPr>
          <w:u w:val="single"/>
        </w:rPr>
        <w:t>See</w:t>
      </w:r>
      <w:r>
        <w:t xml:space="preserve"> </w:t>
      </w:r>
      <w:r w:rsidR="004930DA">
        <w:t>Docket Nos. UE-111048/UG-111049</w:t>
      </w:r>
      <w:r>
        <w:t>, Exh</w:t>
      </w:r>
      <w:r w:rsidR="007477DF">
        <w:t>.</w:t>
      </w:r>
      <w:r>
        <w:t xml:space="preserve"> No. __ (DJR-3T).</w:t>
      </w:r>
      <w:r w:rsidRPr="00F56593">
        <w:t xml:space="preserve"> </w:t>
      </w:r>
    </w:p>
  </w:footnote>
  <w:footnote w:id="43">
    <w:p w:rsidR="00C739EB" w:rsidRPr="005259F0" w:rsidRDefault="00C739EB" w:rsidP="009C04D9">
      <w:pPr>
        <w:pStyle w:val="FootnoteText"/>
        <w:ind w:left="720" w:hanging="720"/>
      </w:pPr>
      <w:r w:rsidRPr="005259F0">
        <w:rPr>
          <w:rStyle w:val="FootnoteReference"/>
        </w:rPr>
        <w:footnoteRef/>
      </w:r>
      <w:r w:rsidRPr="00457649">
        <w:rPr>
          <w:vertAlign w:val="superscript"/>
        </w:rPr>
        <w:t>/</w:t>
      </w:r>
      <w:r w:rsidRPr="005259F0">
        <w:t xml:space="preserve"> </w:t>
      </w:r>
      <w:r w:rsidRPr="005259F0">
        <w:tab/>
      </w:r>
      <w:r>
        <w:t>Exh. No. __(MCD-3) at 17, 32 (Deposition of Deborah J. Reynolds at 51:15-17, 77:21-25).</w:t>
      </w:r>
    </w:p>
  </w:footnote>
  <w:footnote w:id="44">
    <w:p w:rsidR="00C739EB" w:rsidRPr="005259F0" w:rsidRDefault="00C739EB" w:rsidP="009C04D9">
      <w:pPr>
        <w:pStyle w:val="FootnoteText"/>
        <w:ind w:left="720" w:hanging="720"/>
      </w:pPr>
      <w:r w:rsidRPr="005259F0">
        <w:rPr>
          <w:rStyle w:val="FootnoteReference"/>
        </w:rPr>
        <w:footnoteRef/>
      </w:r>
      <w:r w:rsidRPr="00457649">
        <w:rPr>
          <w:vertAlign w:val="superscript"/>
        </w:rPr>
        <w:t>/</w:t>
      </w:r>
      <w:r w:rsidRPr="005259F0">
        <w:t xml:space="preserve"> </w:t>
      </w:r>
      <w:r w:rsidRPr="005259F0">
        <w:tab/>
      </w:r>
      <w:r>
        <w:rPr>
          <w:u w:val="single"/>
        </w:rPr>
        <w:t>Id.</w:t>
      </w:r>
      <w:r>
        <w:t xml:space="preserve"> at 7-8 (</w:t>
      </w:r>
      <w:r w:rsidR="007477DF">
        <w:t xml:space="preserve">Deposition of Deborah J. Reynolds at </w:t>
      </w:r>
      <w:r>
        <w:t>30:22-31:5).</w:t>
      </w:r>
    </w:p>
  </w:footnote>
  <w:footnote w:id="45">
    <w:p w:rsidR="00C739EB" w:rsidRPr="005259F0" w:rsidRDefault="00C739EB" w:rsidP="009C04D9">
      <w:pPr>
        <w:pStyle w:val="FootnoteText"/>
        <w:ind w:left="720" w:hanging="720"/>
      </w:pPr>
      <w:r w:rsidRPr="005259F0">
        <w:rPr>
          <w:rStyle w:val="FootnoteReference"/>
        </w:rPr>
        <w:footnoteRef/>
      </w:r>
      <w:r w:rsidRPr="00DC3A83">
        <w:rPr>
          <w:vertAlign w:val="superscript"/>
        </w:rPr>
        <w:t>/</w:t>
      </w:r>
      <w:r w:rsidRPr="005259F0">
        <w:t xml:space="preserve"> </w:t>
      </w:r>
      <w:r w:rsidRPr="005259F0">
        <w:tab/>
      </w:r>
      <w:r>
        <w:rPr>
          <w:u w:val="single"/>
        </w:rPr>
        <w:t>Id.</w:t>
      </w:r>
      <w:r>
        <w:t xml:space="preserve"> at 2 (</w:t>
      </w:r>
      <w:r w:rsidR="007477DF">
        <w:t xml:space="preserve">Deposition of Deborah J. Reynolds at </w:t>
      </w:r>
      <w:r>
        <w:t>25:13).</w:t>
      </w:r>
    </w:p>
  </w:footnote>
  <w:footnote w:id="46">
    <w:p w:rsidR="00C739EB" w:rsidRDefault="00C739EB" w:rsidP="009C04D9">
      <w:pPr>
        <w:pStyle w:val="FootnoteText"/>
      </w:pPr>
      <w:r>
        <w:rPr>
          <w:rStyle w:val="FootnoteReference"/>
        </w:rPr>
        <w:footnoteRef/>
      </w:r>
      <w:r w:rsidRPr="00DC3A83">
        <w:rPr>
          <w:vertAlign w:val="superscript"/>
        </w:rPr>
        <w:t>/</w:t>
      </w:r>
      <w:r>
        <w:t xml:space="preserve"> </w:t>
      </w:r>
      <w:r>
        <w:tab/>
      </w:r>
      <w:r w:rsidRPr="009450E6">
        <w:rPr>
          <w:u w:val="single"/>
        </w:rPr>
        <w:t>Id.</w:t>
      </w:r>
      <w:r w:rsidRPr="009450E6">
        <w:t xml:space="preserve"> at </w:t>
      </w:r>
      <w:r>
        <w:t>32 (</w:t>
      </w:r>
      <w:r w:rsidR="007477DF">
        <w:t xml:space="preserve">Deposition of Deborah J. Reynolds at </w:t>
      </w:r>
      <w:r>
        <w:t>77:21-25).</w:t>
      </w:r>
    </w:p>
  </w:footnote>
  <w:footnote w:id="47">
    <w:p w:rsidR="00C739EB" w:rsidRPr="005259F0" w:rsidRDefault="00C739EB" w:rsidP="009C04D9">
      <w:pPr>
        <w:pStyle w:val="FootnoteText"/>
        <w:ind w:left="720" w:hanging="720"/>
      </w:pPr>
      <w:r w:rsidRPr="005259F0">
        <w:rPr>
          <w:rStyle w:val="FootnoteReference"/>
        </w:rPr>
        <w:footnoteRef/>
      </w:r>
      <w:r w:rsidRPr="00DC3A83">
        <w:rPr>
          <w:vertAlign w:val="superscript"/>
        </w:rPr>
        <w:t>/</w:t>
      </w:r>
      <w:r w:rsidRPr="005259F0">
        <w:t xml:space="preserve"> </w:t>
      </w:r>
      <w:r w:rsidRPr="005259F0">
        <w:tab/>
      </w:r>
      <w:r>
        <w:rPr>
          <w:u w:val="single"/>
        </w:rPr>
        <w:t>Id.</w:t>
      </w:r>
      <w:r>
        <w:t xml:space="preserve"> at 9 (</w:t>
      </w:r>
      <w:r w:rsidR="004930DA">
        <w:t xml:space="preserve">Deposition of Deborah J. Reynolds at </w:t>
      </w:r>
      <w:r>
        <w:t>32:12-14).</w:t>
      </w:r>
    </w:p>
  </w:footnote>
  <w:footnote w:id="48">
    <w:p w:rsidR="00C739EB" w:rsidRPr="00417D0B"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t>Exh. No. __ (DJR-1T) at 11:19-21.</w:t>
      </w:r>
    </w:p>
  </w:footnote>
  <w:footnote w:id="49">
    <w:p w:rsidR="00C739EB" w:rsidRPr="00417D0B"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t>Amended Petition ¶ 31.</w:t>
      </w:r>
    </w:p>
  </w:footnote>
  <w:footnote w:id="50">
    <w:p w:rsidR="00C739EB" w:rsidRPr="00417D0B"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t>Policy Statement ¶ 28.</w:t>
      </w:r>
    </w:p>
  </w:footnote>
  <w:footnote w:id="51">
    <w:p w:rsidR="00C739EB" w:rsidRPr="00417D0B"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rsidRPr="002F4548">
        <w:rPr>
          <w:u w:val="single"/>
        </w:rPr>
        <w:t>Id.</w:t>
      </w:r>
      <w:r>
        <w:t xml:space="preserve"> ¶ 26.</w:t>
      </w:r>
    </w:p>
  </w:footnote>
  <w:footnote w:id="52">
    <w:p w:rsidR="00C739EB" w:rsidRPr="00417D0B"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rsidRPr="002F4548">
        <w:rPr>
          <w:u w:val="single"/>
        </w:rPr>
        <w:t>Id.</w:t>
      </w:r>
    </w:p>
  </w:footnote>
  <w:footnote w:id="53">
    <w:p w:rsidR="00C739EB" w:rsidRPr="008B5D44"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t>Exh. No. __ (JAP-1T) at 36:16-17.</w:t>
      </w:r>
    </w:p>
  </w:footnote>
  <w:footnote w:id="54">
    <w:p w:rsidR="00C739EB" w:rsidRPr="008B5D44"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rsidRPr="00496609">
        <w:t>Exh</w:t>
      </w:r>
      <w:r>
        <w:t>.</w:t>
      </w:r>
      <w:r w:rsidRPr="00496609">
        <w:t xml:space="preserve"> No. __</w:t>
      </w:r>
      <w:r>
        <w:t xml:space="preserve"> (DJR-1T) at 12:4-5.</w:t>
      </w:r>
    </w:p>
  </w:footnote>
  <w:footnote w:id="55">
    <w:p w:rsidR="00C739EB" w:rsidRDefault="00C739EB" w:rsidP="009C04D9">
      <w:pPr>
        <w:pStyle w:val="FootnoteText"/>
      </w:pPr>
      <w:r>
        <w:rPr>
          <w:rStyle w:val="FootnoteReference"/>
        </w:rPr>
        <w:footnoteRef/>
      </w:r>
      <w:r w:rsidRPr="00826452">
        <w:rPr>
          <w:vertAlign w:val="superscript"/>
        </w:rPr>
        <w:t>/</w:t>
      </w:r>
      <w:r>
        <w:t xml:space="preserve"> </w:t>
      </w:r>
      <w:r>
        <w:tab/>
        <w:t>Policy Statement ¶ 33</w:t>
      </w:r>
      <w:r w:rsidRPr="00DC5448">
        <w:t xml:space="preserve">. </w:t>
      </w:r>
    </w:p>
  </w:footnote>
  <w:footnote w:id="56">
    <w:p w:rsidR="00C739EB" w:rsidRDefault="00C739EB" w:rsidP="009C04D9">
      <w:pPr>
        <w:pStyle w:val="FootnoteText"/>
      </w:pPr>
      <w:r>
        <w:rPr>
          <w:rStyle w:val="FootnoteReference"/>
        </w:rPr>
        <w:footnoteRef/>
      </w:r>
      <w:r w:rsidRPr="00826452">
        <w:rPr>
          <w:vertAlign w:val="superscript"/>
        </w:rPr>
        <w:t>/</w:t>
      </w:r>
      <w:r>
        <w:t xml:space="preserve"> </w:t>
      </w:r>
      <w:r>
        <w:tab/>
      </w:r>
      <w:r w:rsidRPr="00153C3F">
        <w:rPr>
          <w:u w:val="single"/>
        </w:rPr>
        <w:t>Id.</w:t>
      </w:r>
      <w:r>
        <w:t xml:space="preserve"> ¶ 32, n.53</w:t>
      </w:r>
      <w:r w:rsidRPr="00DC5448">
        <w:t xml:space="preserve">. </w:t>
      </w:r>
    </w:p>
  </w:footnote>
  <w:footnote w:id="57">
    <w:p w:rsidR="00C739EB" w:rsidRDefault="00C739EB" w:rsidP="009C04D9">
      <w:pPr>
        <w:pStyle w:val="FootnoteText"/>
      </w:pPr>
      <w:r>
        <w:rPr>
          <w:rStyle w:val="FootnoteReference"/>
        </w:rPr>
        <w:footnoteRef/>
      </w:r>
      <w:r w:rsidRPr="0048667D">
        <w:rPr>
          <w:vertAlign w:val="superscript"/>
        </w:rPr>
        <w:t>/</w:t>
      </w:r>
      <w:r>
        <w:t xml:space="preserve"> </w:t>
      </w:r>
      <w:r>
        <w:tab/>
        <w:t>RCW § 19.285.040(1).</w:t>
      </w:r>
    </w:p>
  </w:footnote>
  <w:footnote w:id="58">
    <w:p w:rsidR="00C739EB" w:rsidRDefault="00C739EB" w:rsidP="009C04D9">
      <w:pPr>
        <w:pStyle w:val="FootnoteText"/>
      </w:pPr>
      <w:r>
        <w:rPr>
          <w:rStyle w:val="FootnoteReference"/>
        </w:rPr>
        <w:footnoteRef/>
      </w:r>
      <w:r>
        <w:rPr>
          <w:vertAlign w:val="superscript"/>
        </w:rPr>
        <w:t>/</w:t>
      </w:r>
      <w:r>
        <w:t xml:space="preserve"> </w:t>
      </w:r>
      <w:r>
        <w:tab/>
      </w:r>
      <w:r w:rsidRPr="005D7DF7">
        <w:t>Policy Statement</w:t>
      </w:r>
      <w:r w:rsidRPr="00A202F2">
        <w:t xml:space="preserve"> </w:t>
      </w:r>
      <w:r>
        <w:t>¶ 32</w:t>
      </w:r>
      <w:r w:rsidRPr="00A202F2">
        <w:t xml:space="preserve">. </w:t>
      </w:r>
    </w:p>
  </w:footnote>
  <w:footnote w:id="59">
    <w:p w:rsidR="00C739EB" w:rsidRDefault="00C739EB" w:rsidP="009C04D9">
      <w:pPr>
        <w:pStyle w:val="FootnoteText"/>
      </w:pPr>
      <w:r>
        <w:rPr>
          <w:rStyle w:val="FootnoteReference"/>
        </w:rPr>
        <w:footnoteRef/>
      </w:r>
      <w:r>
        <w:rPr>
          <w:vertAlign w:val="superscript"/>
        </w:rPr>
        <w:t>/</w:t>
      </w:r>
      <w:r>
        <w:t xml:space="preserve"> </w:t>
      </w:r>
      <w:r>
        <w:tab/>
      </w:r>
      <w:r w:rsidRPr="00496609">
        <w:t>Exh</w:t>
      </w:r>
      <w:r>
        <w:t xml:space="preserve">. </w:t>
      </w:r>
      <w:r w:rsidRPr="00496609">
        <w:t>No. __</w:t>
      </w:r>
      <w:r>
        <w:t xml:space="preserve"> (JAP-8T) at 19:10-13.</w:t>
      </w:r>
      <w:r w:rsidRPr="00A202F2">
        <w:t xml:space="preserve">  </w:t>
      </w:r>
    </w:p>
  </w:footnote>
  <w:footnote w:id="60">
    <w:p w:rsidR="00C739EB" w:rsidRDefault="00C739EB" w:rsidP="009C04D9">
      <w:pPr>
        <w:pStyle w:val="FootnoteText"/>
      </w:pPr>
      <w:r>
        <w:rPr>
          <w:rStyle w:val="FootnoteReference"/>
        </w:rPr>
        <w:footnoteRef/>
      </w:r>
      <w:r>
        <w:rPr>
          <w:vertAlign w:val="superscript"/>
        </w:rPr>
        <w:t>/</w:t>
      </w:r>
      <w:r>
        <w:t xml:space="preserve"> </w:t>
      </w:r>
      <w:r>
        <w:tab/>
      </w:r>
      <w:r w:rsidRPr="00F56593">
        <w:t xml:space="preserve">Policy Statement </w:t>
      </w:r>
      <w:r>
        <w:t>¶ 9.</w:t>
      </w:r>
      <w:r w:rsidRPr="00F56593">
        <w:t xml:space="preserve"> </w:t>
      </w:r>
    </w:p>
  </w:footnote>
  <w:footnote w:id="61">
    <w:p w:rsidR="00C739EB" w:rsidRDefault="00C739EB">
      <w:pPr>
        <w:pStyle w:val="FootnoteText"/>
      </w:pPr>
      <w:r>
        <w:rPr>
          <w:rStyle w:val="FootnoteReference"/>
        </w:rPr>
        <w:footnoteRef/>
      </w:r>
      <w:r w:rsidRPr="00002FD0">
        <w:rPr>
          <w:vertAlign w:val="superscript"/>
        </w:rPr>
        <w:t>/</w:t>
      </w:r>
      <w:r>
        <w:rPr>
          <w:sz w:val="24"/>
          <w:vertAlign w:val="superscript"/>
        </w:rPr>
        <w:tab/>
      </w:r>
      <w:r>
        <w:t>Docket Nos. UE-111048/UG-111049, Exh. No. __ (DJR-3T) at 13:12-16:21.</w:t>
      </w:r>
    </w:p>
  </w:footnote>
  <w:footnote w:id="62">
    <w:p w:rsidR="00C739EB" w:rsidRDefault="00C739EB" w:rsidP="009C04D9">
      <w:pPr>
        <w:pStyle w:val="FootnoteText"/>
      </w:pPr>
      <w:r>
        <w:rPr>
          <w:rStyle w:val="FootnoteReference"/>
        </w:rPr>
        <w:footnoteRef/>
      </w:r>
      <w:r w:rsidRPr="009A1892">
        <w:rPr>
          <w:vertAlign w:val="superscript"/>
        </w:rPr>
        <w:t>/</w:t>
      </w:r>
      <w:r>
        <w:t xml:space="preserve"> </w:t>
      </w:r>
      <w:r>
        <w:tab/>
      </w:r>
      <w:r w:rsidRPr="00280AFE">
        <w:rPr>
          <w:u w:val="single"/>
        </w:rPr>
        <w:t>Id.</w:t>
      </w:r>
      <w:r>
        <w:t xml:space="preserve"> at 14:23-25.</w:t>
      </w:r>
      <w:r w:rsidRPr="00F56593">
        <w:t xml:space="preserve"> </w:t>
      </w:r>
    </w:p>
  </w:footnote>
  <w:footnote w:id="63">
    <w:p w:rsidR="00C739EB" w:rsidRDefault="00C739EB" w:rsidP="009C04D9">
      <w:pPr>
        <w:pStyle w:val="FootnoteText"/>
      </w:pPr>
      <w:r>
        <w:rPr>
          <w:rStyle w:val="FootnoteReference"/>
        </w:rPr>
        <w:footnoteRef/>
      </w:r>
      <w:r>
        <w:rPr>
          <w:vertAlign w:val="superscript"/>
        </w:rPr>
        <w:t>/</w:t>
      </w:r>
      <w:r>
        <w:t xml:space="preserve"> </w:t>
      </w:r>
      <w:r>
        <w:tab/>
        <w:t>Exh. No. __ (DJR-1T) at 14:16-17:12.</w:t>
      </w:r>
      <w:r w:rsidRPr="00F56593">
        <w:t xml:space="preserve"> </w:t>
      </w:r>
    </w:p>
  </w:footnote>
  <w:footnote w:id="64">
    <w:p w:rsidR="00C739EB" w:rsidRDefault="00C739EB" w:rsidP="009C04D9">
      <w:pPr>
        <w:pStyle w:val="FootnoteText"/>
      </w:pPr>
      <w:r>
        <w:rPr>
          <w:rStyle w:val="FootnoteReference"/>
        </w:rPr>
        <w:footnoteRef/>
      </w:r>
      <w:r>
        <w:rPr>
          <w:vertAlign w:val="superscript"/>
        </w:rPr>
        <w:t>/</w:t>
      </w:r>
      <w:r>
        <w:t xml:space="preserve"> </w:t>
      </w:r>
      <w:r>
        <w:tab/>
      </w:r>
      <w:r w:rsidRPr="0062398E">
        <w:rPr>
          <w:u w:val="single"/>
        </w:rPr>
        <w:t>Id.</w:t>
      </w:r>
      <w:r w:rsidRPr="00F56593">
        <w:t xml:space="preserve"> </w:t>
      </w:r>
      <w:r>
        <w:t>at 16:4-11.</w:t>
      </w:r>
    </w:p>
  </w:footnote>
  <w:footnote w:id="65">
    <w:p w:rsidR="00C739EB" w:rsidRDefault="00C739EB" w:rsidP="009C04D9">
      <w:pPr>
        <w:pStyle w:val="FootnoteText"/>
      </w:pPr>
      <w:r>
        <w:rPr>
          <w:rStyle w:val="FootnoteReference"/>
        </w:rPr>
        <w:footnoteRef/>
      </w:r>
      <w:r>
        <w:rPr>
          <w:vertAlign w:val="superscript"/>
        </w:rPr>
        <w:t>/</w:t>
      </w:r>
      <w:r>
        <w:t xml:space="preserve"> </w:t>
      </w:r>
      <w:r>
        <w:tab/>
      </w:r>
      <w:r w:rsidRPr="00AB73D4">
        <w:t xml:space="preserve">Policy Statement </w:t>
      </w:r>
      <w:r>
        <w:t>¶ 28.</w:t>
      </w:r>
    </w:p>
  </w:footnote>
  <w:footnote w:id="66">
    <w:p w:rsidR="00C739EB" w:rsidRDefault="00C739EB" w:rsidP="009C04D9">
      <w:pPr>
        <w:pStyle w:val="FootnoteText"/>
      </w:pPr>
      <w:r>
        <w:rPr>
          <w:rStyle w:val="FootnoteReference"/>
        </w:rPr>
        <w:footnoteRef/>
      </w:r>
      <w:r>
        <w:rPr>
          <w:vertAlign w:val="superscript"/>
        </w:rPr>
        <w:t>/</w:t>
      </w:r>
      <w:r>
        <w:t xml:space="preserve"> </w:t>
      </w:r>
      <w:r>
        <w:tab/>
        <w:t>Docket Nos. UE-111048/UG-111049, Exhibit No. __ (RCC-1T) at 13:12-15.</w:t>
      </w:r>
    </w:p>
  </w:footnote>
  <w:footnote w:id="67">
    <w:p w:rsidR="00C739EB" w:rsidRDefault="00C739EB" w:rsidP="009C04D9">
      <w:pPr>
        <w:pStyle w:val="FootnoteText"/>
      </w:pPr>
      <w:r>
        <w:rPr>
          <w:rStyle w:val="FootnoteReference"/>
        </w:rPr>
        <w:footnoteRef/>
      </w:r>
      <w:r>
        <w:rPr>
          <w:vertAlign w:val="superscript"/>
        </w:rPr>
        <w:t>/</w:t>
      </w:r>
      <w:r>
        <w:t xml:space="preserve"> </w:t>
      </w:r>
      <w:r>
        <w:tab/>
      </w:r>
      <w:r w:rsidRPr="00AB73D4">
        <w:t xml:space="preserve">Policy Statement </w:t>
      </w:r>
      <w:r>
        <w:t>at n. 46.</w:t>
      </w:r>
    </w:p>
  </w:footnote>
  <w:footnote w:id="68">
    <w:p w:rsidR="00C739EB" w:rsidRDefault="00C739EB" w:rsidP="009C04D9">
      <w:pPr>
        <w:pStyle w:val="FootnoteText"/>
      </w:pPr>
      <w:r>
        <w:rPr>
          <w:rStyle w:val="FootnoteReference"/>
        </w:rPr>
        <w:footnoteRef/>
      </w:r>
      <w:r>
        <w:rPr>
          <w:vertAlign w:val="superscript"/>
        </w:rPr>
        <w:t>/</w:t>
      </w:r>
      <w:r>
        <w:t xml:space="preserve"> </w:t>
      </w:r>
      <w:r>
        <w:tab/>
      </w:r>
      <w:r w:rsidRPr="006D7455">
        <w:rPr>
          <w:u w:val="single"/>
        </w:rPr>
        <w:t>Id.</w:t>
      </w:r>
    </w:p>
  </w:footnote>
  <w:footnote w:id="69">
    <w:p w:rsidR="00C739EB" w:rsidRDefault="00C739EB" w:rsidP="009C04D9">
      <w:pPr>
        <w:pStyle w:val="FootnoteText"/>
      </w:pPr>
      <w:r>
        <w:rPr>
          <w:rStyle w:val="FootnoteReference"/>
        </w:rPr>
        <w:footnoteRef/>
      </w:r>
      <w:r>
        <w:rPr>
          <w:vertAlign w:val="superscript"/>
        </w:rPr>
        <w:t>/</w:t>
      </w:r>
      <w:r>
        <w:t xml:space="preserve"> </w:t>
      </w:r>
      <w:r>
        <w:tab/>
      </w:r>
      <w:r w:rsidRPr="006D7455">
        <w:rPr>
          <w:u w:val="single"/>
        </w:rPr>
        <w:t>Id.</w:t>
      </w:r>
    </w:p>
  </w:footnote>
  <w:footnote w:id="70">
    <w:p w:rsidR="00C739EB" w:rsidRDefault="00C739EB" w:rsidP="009C04D9">
      <w:pPr>
        <w:pStyle w:val="FootnoteText"/>
      </w:pPr>
      <w:r>
        <w:rPr>
          <w:rStyle w:val="FootnoteReference"/>
        </w:rPr>
        <w:footnoteRef/>
      </w:r>
      <w:r>
        <w:rPr>
          <w:vertAlign w:val="superscript"/>
        </w:rPr>
        <w:t>/</w:t>
      </w:r>
      <w:r>
        <w:t xml:space="preserve"> </w:t>
      </w:r>
      <w:r>
        <w:tab/>
      </w:r>
      <w:r w:rsidRPr="002E0E08">
        <w:rPr>
          <w:u w:val="single"/>
        </w:rPr>
        <w:t>Id.</w:t>
      </w:r>
      <w:r w:rsidRPr="00AB73D4">
        <w:t xml:space="preserve"> </w:t>
      </w:r>
      <w:r>
        <w:t>¶ 28.</w:t>
      </w:r>
    </w:p>
  </w:footnote>
  <w:footnote w:id="71">
    <w:p w:rsidR="00C739EB" w:rsidRDefault="00C739EB">
      <w:pPr>
        <w:pStyle w:val="FootnoteText"/>
      </w:pPr>
      <w:r>
        <w:rPr>
          <w:rStyle w:val="FootnoteReference"/>
        </w:rPr>
        <w:footnoteRef/>
      </w:r>
      <w:r w:rsidRPr="001715D2">
        <w:rPr>
          <w:vertAlign w:val="superscript"/>
        </w:rPr>
        <w:t>/</w:t>
      </w:r>
      <w:r>
        <w:t xml:space="preserve"> </w:t>
      </w:r>
      <w:r>
        <w:tab/>
        <w:t>Exh. No. __ (MCD-3) at 7 (Deposition of Deborah J. Reynolds at 30:13-20).</w:t>
      </w:r>
    </w:p>
  </w:footnote>
  <w:footnote w:id="72">
    <w:p w:rsidR="00C739EB" w:rsidRPr="008B5D44"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t>Exh. No. __ (JAP-1T) at 37:7-11.</w:t>
      </w:r>
    </w:p>
  </w:footnote>
  <w:footnote w:id="73">
    <w:p w:rsidR="00C739EB" w:rsidRPr="0021164D" w:rsidRDefault="00C739EB" w:rsidP="009C04D9">
      <w:pPr>
        <w:pStyle w:val="FootnoteText"/>
      </w:pPr>
      <w:r>
        <w:rPr>
          <w:rStyle w:val="FootnoteReference"/>
        </w:rPr>
        <w:footnoteRef/>
      </w:r>
      <w:r>
        <w:rPr>
          <w:vertAlign w:val="superscript"/>
        </w:rPr>
        <w:t>/</w:t>
      </w:r>
      <w:r>
        <w:t xml:space="preserve"> </w:t>
      </w:r>
      <w:r>
        <w:tab/>
        <w:t>Exh</w:t>
      </w:r>
      <w:r w:rsidR="007477DF">
        <w:t>.</w:t>
      </w:r>
      <w:r>
        <w:t xml:space="preserve"> No. __ (JAP-8T) at 18:16-20.</w:t>
      </w:r>
    </w:p>
  </w:footnote>
  <w:footnote w:id="74">
    <w:p w:rsidR="00C739EB" w:rsidRDefault="00C739EB">
      <w:pPr>
        <w:pStyle w:val="FootnoteText"/>
      </w:pPr>
      <w:r>
        <w:rPr>
          <w:rStyle w:val="FootnoteReference"/>
        </w:rPr>
        <w:footnoteRef/>
      </w:r>
      <w:r>
        <w:rPr>
          <w:vertAlign w:val="superscript"/>
        </w:rPr>
        <w:t>/</w:t>
      </w:r>
      <w:r>
        <w:t xml:space="preserve"> </w:t>
      </w:r>
      <w:r>
        <w:tab/>
        <w:t>Exh</w:t>
      </w:r>
      <w:r w:rsidR="007477DF">
        <w:t>.</w:t>
      </w:r>
      <w:r>
        <w:t xml:space="preserve"> No. __ (KJB-T) at 2:7-10.</w:t>
      </w:r>
    </w:p>
  </w:footnote>
  <w:footnote w:id="75">
    <w:p w:rsidR="00C739EB" w:rsidRDefault="00C739EB" w:rsidP="004C3222">
      <w:pPr>
        <w:pStyle w:val="FootnoteText"/>
      </w:pPr>
      <w:r>
        <w:rPr>
          <w:rStyle w:val="FootnoteReference"/>
        </w:rPr>
        <w:footnoteRef/>
      </w:r>
      <w:r w:rsidRPr="004C3222">
        <w:rPr>
          <w:vertAlign w:val="superscript"/>
        </w:rPr>
        <w:t>/</w:t>
      </w:r>
      <w:r>
        <w:t xml:space="preserve"> </w:t>
      </w:r>
      <w:r>
        <w:tab/>
        <w:t xml:space="preserve">Order 8 </w:t>
      </w:r>
      <w:r>
        <w:rPr>
          <w:rFonts w:cstheme="minorHAnsi"/>
        </w:rPr>
        <w:t xml:space="preserve">¶ </w:t>
      </w:r>
      <w:r>
        <w:t>491.</w:t>
      </w:r>
    </w:p>
  </w:footnote>
  <w:footnote w:id="76">
    <w:p w:rsidR="00C739EB" w:rsidRDefault="00C739EB">
      <w:pPr>
        <w:pStyle w:val="FootnoteText"/>
      </w:pPr>
      <w:r>
        <w:rPr>
          <w:rStyle w:val="FootnoteReference"/>
        </w:rPr>
        <w:footnoteRef/>
      </w:r>
      <w:r w:rsidRPr="004C3222">
        <w:rPr>
          <w:vertAlign w:val="superscript"/>
        </w:rPr>
        <w:t>/</w:t>
      </w:r>
      <w:r>
        <w:t xml:space="preserve"> </w:t>
      </w:r>
      <w:r>
        <w:tab/>
      </w:r>
      <w:r w:rsidRPr="00400300">
        <w:rPr>
          <w:u w:val="single"/>
        </w:rPr>
        <w:t>Id.</w:t>
      </w:r>
      <w:r w:rsidRPr="00AB7EEA">
        <w:t xml:space="preserve"> </w:t>
      </w:r>
      <w:r>
        <w:rPr>
          <w:rFonts w:cstheme="minorHAnsi"/>
        </w:rPr>
        <w:t xml:space="preserve">¶ 673. </w:t>
      </w:r>
    </w:p>
  </w:footnote>
  <w:footnote w:id="77">
    <w:p w:rsidR="00C739EB" w:rsidRDefault="00C739EB">
      <w:pPr>
        <w:pStyle w:val="FootnoteText"/>
      </w:pPr>
      <w:r>
        <w:rPr>
          <w:rStyle w:val="FootnoteReference"/>
        </w:rPr>
        <w:footnoteRef/>
      </w:r>
      <w:r w:rsidRPr="004C3222">
        <w:rPr>
          <w:vertAlign w:val="superscript"/>
        </w:rPr>
        <w:t>/</w:t>
      </w:r>
      <w:r>
        <w:t xml:space="preserve"> </w:t>
      </w:r>
      <w:r>
        <w:tab/>
        <w:t>Docket No.UE-120436, Order No. 9 ¶ 72.</w:t>
      </w:r>
    </w:p>
  </w:footnote>
  <w:footnote w:id="78">
    <w:p w:rsidR="00C739EB" w:rsidRDefault="00C739EB" w:rsidP="00613B76">
      <w:pPr>
        <w:pStyle w:val="FootnoteText"/>
        <w:ind w:left="720" w:hanging="720"/>
      </w:pPr>
      <w:r>
        <w:rPr>
          <w:rStyle w:val="FootnoteReference"/>
        </w:rPr>
        <w:footnoteRef/>
      </w:r>
      <w:r w:rsidRPr="004C3222">
        <w:rPr>
          <w:vertAlign w:val="superscript"/>
        </w:rPr>
        <w:t>/</w:t>
      </w:r>
      <w:r>
        <w:t xml:space="preserve"> </w:t>
      </w:r>
      <w:r>
        <w:tab/>
        <w:t xml:space="preserve">Based on the final allowed net rate base for Lower Snake of $670 million and authorized ROR of 7.8% from Docket No. UE-111048, Order No. 08, the revenue requirement impact was over $52 million. </w:t>
      </w:r>
    </w:p>
  </w:footnote>
  <w:footnote w:id="79">
    <w:p w:rsidR="00C739EB" w:rsidRDefault="00C739EB">
      <w:pPr>
        <w:pStyle w:val="FootnoteText"/>
      </w:pPr>
      <w:r>
        <w:rPr>
          <w:rStyle w:val="FootnoteReference"/>
        </w:rPr>
        <w:footnoteRef/>
      </w:r>
      <w:r w:rsidRPr="00CB0A7F">
        <w:rPr>
          <w:vertAlign w:val="superscript"/>
        </w:rPr>
        <w:t>/</w:t>
      </w:r>
      <w:r>
        <w:t xml:space="preserve"> </w:t>
      </w:r>
      <w:r>
        <w:tab/>
        <w:t>Exh. No. __ (MCD-</w:t>
      </w:r>
      <w:r w:rsidR="002F2CCF">
        <w:t>7</w:t>
      </w:r>
      <w:r w:rsidR="0068605D">
        <w:t>) at 6</w:t>
      </w:r>
      <w:r>
        <w:t>.</w:t>
      </w:r>
    </w:p>
  </w:footnote>
  <w:footnote w:id="80">
    <w:p w:rsidR="00C739EB" w:rsidRDefault="00C739EB">
      <w:pPr>
        <w:pStyle w:val="FootnoteText"/>
      </w:pPr>
      <w:r>
        <w:rPr>
          <w:rStyle w:val="FootnoteReference"/>
        </w:rPr>
        <w:footnoteRef/>
      </w:r>
      <w:r w:rsidRPr="008524E3">
        <w:rPr>
          <w:vertAlign w:val="superscript"/>
        </w:rPr>
        <w:t>/</w:t>
      </w:r>
      <w:r>
        <w:t xml:space="preserve"> </w:t>
      </w:r>
      <w:r>
        <w:tab/>
        <w:t>Order 08 at ¶ 472.</w:t>
      </w:r>
    </w:p>
  </w:footnote>
  <w:footnote w:id="81">
    <w:p w:rsidR="00C739EB" w:rsidRDefault="00C739EB" w:rsidP="00911D43">
      <w:pPr>
        <w:pStyle w:val="FootnoteText"/>
        <w:ind w:left="720" w:hanging="720"/>
      </w:pPr>
      <w:r>
        <w:rPr>
          <w:rStyle w:val="FootnoteReference"/>
        </w:rPr>
        <w:footnoteRef/>
      </w:r>
      <w:r w:rsidRPr="008524E3">
        <w:rPr>
          <w:vertAlign w:val="superscript"/>
        </w:rPr>
        <w:t>/</w:t>
      </w:r>
      <w:r>
        <w:rPr>
          <w:vertAlign w:val="superscript"/>
        </w:rPr>
        <w:tab/>
      </w:r>
      <w:r w:rsidRPr="00911D43">
        <w:rPr>
          <w:u w:val="single"/>
        </w:rPr>
        <w:t>WUTC v. PSE</w:t>
      </w:r>
      <w:r>
        <w:t xml:space="preserve">, Docket Nos. UE-121697/UG-121705, Response to Informal Bench Request No. 002 (Feb. 7, 2013) (“Response to Informal Bench Request”).  </w:t>
      </w:r>
    </w:p>
  </w:footnote>
  <w:footnote w:id="82">
    <w:p w:rsidR="00C739EB" w:rsidRDefault="00C739EB">
      <w:pPr>
        <w:pStyle w:val="FootnoteText"/>
      </w:pPr>
      <w:r>
        <w:rPr>
          <w:rStyle w:val="FootnoteReference"/>
        </w:rPr>
        <w:footnoteRef/>
      </w:r>
      <w:r w:rsidRPr="008524E3">
        <w:rPr>
          <w:vertAlign w:val="superscript"/>
        </w:rPr>
        <w:t>/</w:t>
      </w:r>
      <w:r>
        <w:rPr>
          <w:vertAlign w:val="superscript"/>
        </w:rPr>
        <w:tab/>
      </w:r>
      <w:r>
        <w:t xml:space="preserve">Response to Informal Bench Request, Attachment A. </w:t>
      </w:r>
    </w:p>
  </w:footnote>
  <w:footnote w:id="83">
    <w:p w:rsidR="00C739EB" w:rsidRPr="002628F9" w:rsidRDefault="00C739EB" w:rsidP="00F656F3">
      <w:pPr>
        <w:pStyle w:val="FootnoteText"/>
        <w:ind w:left="720" w:hanging="720"/>
      </w:pPr>
      <w:r w:rsidRPr="002628F9">
        <w:rPr>
          <w:rStyle w:val="FootnoteReference"/>
        </w:rPr>
        <w:footnoteRef/>
      </w:r>
      <w:r w:rsidRPr="008524E3">
        <w:rPr>
          <w:vertAlign w:val="superscript"/>
        </w:rPr>
        <w:t>/</w:t>
      </w:r>
      <w:r w:rsidRPr="002628F9">
        <w:t xml:space="preserve"> </w:t>
      </w:r>
      <w:r w:rsidRPr="002628F9">
        <w:tab/>
        <w:t>Amended Petition at 15.</w:t>
      </w:r>
    </w:p>
  </w:footnote>
  <w:footnote w:id="84">
    <w:p w:rsidR="00C739EB" w:rsidRPr="002628F9" w:rsidRDefault="00C739EB" w:rsidP="00F656F3">
      <w:pPr>
        <w:pStyle w:val="FootnoteText"/>
        <w:ind w:left="720" w:hanging="720"/>
      </w:pPr>
      <w:r w:rsidRPr="002628F9">
        <w:rPr>
          <w:rStyle w:val="FootnoteReference"/>
        </w:rPr>
        <w:footnoteRef/>
      </w:r>
      <w:r w:rsidRPr="008524E3">
        <w:rPr>
          <w:vertAlign w:val="superscript"/>
        </w:rPr>
        <w:t>/</w:t>
      </w:r>
      <w:r w:rsidRPr="002628F9">
        <w:t xml:space="preserve"> </w:t>
      </w:r>
      <w:r w:rsidRPr="002628F9">
        <w:tab/>
      </w:r>
      <w:r w:rsidRPr="008524E3">
        <w:rPr>
          <w:u w:val="single"/>
        </w:rPr>
        <w:t>Id.</w:t>
      </w:r>
      <w:r w:rsidRPr="002628F9">
        <w:t xml:space="preserve"> at 16</w:t>
      </w:r>
      <w:r>
        <w:t>.</w:t>
      </w:r>
    </w:p>
  </w:footnote>
  <w:footnote w:id="85">
    <w:p w:rsidR="00C739EB" w:rsidRDefault="00C739EB">
      <w:pPr>
        <w:pStyle w:val="FootnoteText"/>
      </w:pPr>
      <w:r>
        <w:rPr>
          <w:rStyle w:val="FootnoteReference"/>
        </w:rPr>
        <w:footnoteRef/>
      </w:r>
      <w:r w:rsidRPr="001B5164">
        <w:rPr>
          <w:vertAlign w:val="superscript"/>
        </w:rPr>
        <w:t>/</w:t>
      </w:r>
      <w:r>
        <w:rPr>
          <w:sz w:val="24"/>
          <w:szCs w:val="24"/>
          <w:vertAlign w:val="superscript"/>
        </w:rPr>
        <w:tab/>
      </w:r>
      <w:r>
        <w:rPr>
          <w:u w:val="single"/>
        </w:rPr>
        <w:t>Puget Sound Energy, Inc.</w:t>
      </w:r>
      <w:r>
        <w:t xml:space="preserve">, FERC Docket No. ER12-778-000.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Default="00372AFD">
    <w:pPr>
      <w:pStyle w:val="Header"/>
    </w:pPr>
    <w:r>
      <w:rPr>
        <w:rStyle w:val="PageNumber"/>
      </w:rPr>
      <w:fldChar w:fldCharType="begin"/>
    </w:r>
    <w:r w:rsidR="00C739EB">
      <w:rPr>
        <w:rStyle w:val="PageNumber"/>
      </w:rPr>
      <w:instrText xml:space="preserve"> NUMPAGES </w:instrText>
    </w:r>
    <w:r>
      <w:rPr>
        <w:rStyle w:val="PageNumber"/>
      </w:rPr>
      <w:fldChar w:fldCharType="separate"/>
    </w:r>
    <w:r w:rsidR="0068605D">
      <w:rPr>
        <w:rStyle w:val="PageNumber"/>
        <w:noProof/>
      </w:rPr>
      <w:t>44</w:t>
    </w:r>
    <w:r>
      <w:rPr>
        <w:rStyle w:val="PageNumber"/>
      </w:rPr>
      <w:fldChar w:fldCharType="end"/>
    </w:r>
    <w:bookmarkStart w:id="0" w:name="_Toc100550744"/>
    <w:bookmarkStart w:id="1" w:name="_Toc100550978"/>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Default="00C739EB" w:rsidP="00A343C2">
    <w:pPr>
      <w:pStyle w:val="Header"/>
      <w:jc w:val="right"/>
      <w:rPr>
        <w:rFonts w:ascii="Times New Roman" w:hAnsi="Times New Roman"/>
        <w:sz w:val="24"/>
        <w:szCs w:val="24"/>
      </w:rPr>
    </w:pPr>
    <w:r>
      <w:rPr>
        <w:rFonts w:ascii="Times New Roman" w:hAnsi="Times New Roman"/>
        <w:sz w:val="24"/>
        <w:szCs w:val="24"/>
      </w:rPr>
      <w:t>Exhibit No.__</w:t>
    </w:r>
    <w:proofErr w:type="gramStart"/>
    <w:r>
      <w:rPr>
        <w:rFonts w:ascii="Times New Roman" w:hAnsi="Times New Roman"/>
        <w:sz w:val="24"/>
        <w:szCs w:val="24"/>
      </w:rPr>
      <w:t>_(</w:t>
    </w:r>
    <w:proofErr w:type="gramEnd"/>
    <w:r>
      <w:rPr>
        <w:rFonts w:ascii="Times New Roman" w:hAnsi="Times New Roman"/>
        <w:sz w:val="24"/>
        <w:szCs w:val="24"/>
      </w:rPr>
      <w:t>MCD-1T)</w:t>
    </w:r>
  </w:p>
  <w:p w:rsidR="00C739EB" w:rsidRPr="002F022F" w:rsidRDefault="00C739EB" w:rsidP="002F022F">
    <w:pPr>
      <w:jc w:val="right"/>
      <w:rPr>
        <w:rFonts w:ascii="Times New Roman" w:hAnsi="Times New Roman"/>
        <w:sz w:val="24"/>
        <w:szCs w:val="24"/>
      </w:rPr>
    </w:pPr>
    <w:r>
      <w:rPr>
        <w:rFonts w:ascii="Times New Roman" w:hAnsi="Times New Roman"/>
        <w:sz w:val="24"/>
        <w:szCs w:val="24"/>
      </w:rPr>
      <w:t xml:space="preserve">Docket Nos. </w:t>
    </w:r>
    <w:r>
      <w:rPr>
        <w:rFonts w:ascii="Times New Roman" w:hAnsi="Times New Roman"/>
        <w:smallCaps/>
        <w:sz w:val="24"/>
      </w:rPr>
      <w:t xml:space="preserve">UE-121697/UG-121705 </w:t>
    </w:r>
    <w:r>
      <w:rPr>
        <w:rFonts w:ascii="Times New Roman" w:hAnsi="Times New Roman"/>
        <w:sz w:val="24"/>
        <w:szCs w:val="24"/>
      </w:rPr>
      <w:t xml:space="preserve">and </w:t>
    </w:r>
    <w:r>
      <w:rPr>
        <w:rFonts w:ascii="Times New Roman" w:hAnsi="Times New Roman"/>
        <w:smallCaps/>
        <w:sz w:val="24"/>
      </w:rPr>
      <w:t>UE-130137/</w:t>
    </w:r>
    <w:r>
      <w:rPr>
        <w:rFonts w:ascii="Times New Roman" w:hAnsi="Times New Roman"/>
        <w:sz w:val="24"/>
        <w:szCs w:val="24"/>
      </w:rPr>
      <w:t>UG-130138</w:t>
    </w:r>
  </w:p>
  <w:p w:rsidR="00C739EB" w:rsidRPr="00A343C2" w:rsidRDefault="00C739EB" w:rsidP="00A343C2">
    <w:pPr>
      <w:pStyle w:val="Header"/>
      <w:jc w:val="right"/>
      <w:rPr>
        <w:rFonts w:ascii="Times New Roman" w:hAnsi="Times New Roman"/>
        <w:sz w:val="24"/>
        <w:szCs w:val="24"/>
      </w:rPr>
    </w:pPr>
    <w:r>
      <w:rPr>
        <w:rFonts w:ascii="Times New Roman" w:hAnsi="Times New Roman"/>
        <w:sz w:val="24"/>
        <w:szCs w:val="24"/>
      </w:rPr>
      <w:t>Witness:  Michael C. Deen</w:t>
    </w:r>
  </w:p>
  <w:p w:rsidR="00C739EB" w:rsidRPr="00AF31F3" w:rsidRDefault="00C739EB" w:rsidP="00AF31F3">
    <w:pPr>
      <w:pStyle w:val="Header"/>
      <w:tabs>
        <w:tab w:val="clear" w:pos="4320"/>
        <w:tab w:val="clear" w:pos="8640"/>
      </w:tabs>
      <w:jc w:val="right"/>
      <w:rPr>
        <w:rFonts w:ascii="Times New Roman" w:hAnsi="Times New Roman"/>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Pr="0006677C" w:rsidRDefault="00C739EB" w:rsidP="002436CC">
    <w:pPr>
      <w:pStyle w:val="Header"/>
      <w:jc w:val="right"/>
      <w:rPr>
        <w:b/>
        <w:i/>
      </w:rPr>
    </w:pPr>
    <w:r w:rsidRPr="0006677C">
      <w:rPr>
        <w:b/>
        <w:i/>
        <w:color w:val="FF0000"/>
        <w:sz w:val="20"/>
      </w:rPr>
      <w:t>CONFIDENTIAL ATTORNEY-CLIENT PRIVILEGED/ATTORNEY WORK PRODUCT</w:t>
    </w:r>
  </w:p>
  <w:p w:rsidR="00C739EB" w:rsidRDefault="00C739E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8F6" w:rsidRPr="00AF31F3" w:rsidRDefault="009968F6" w:rsidP="00AF31F3">
    <w:pPr>
      <w:pStyle w:val="Header"/>
      <w:tabs>
        <w:tab w:val="clear" w:pos="4320"/>
        <w:tab w:val="clear" w:pos="8640"/>
      </w:tabs>
      <w:jc w:val="right"/>
      <w:rPr>
        <w:rFonts w:ascii="Times New Roman" w:hAnsi="Times New Roman"/>
        <w:b/>
        <w:sz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B4" w:rsidRPr="0084169D" w:rsidRDefault="006D33B4" w:rsidP="0084169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Default="00C739EB">
    <w:pPr>
      <w:pStyle w:val="Header"/>
      <w:tabs>
        <w:tab w:val="left" w:pos="6110"/>
      </w:tabs>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A55EA"/>
    <w:multiLevelType w:val="hybridMultilevel"/>
    <w:tmpl w:val="BB0E7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A63787B"/>
    <w:multiLevelType w:val="hybridMultilevel"/>
    <w:tmpl w:val="443AB6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8AB6CF5"/>
    <w:multiLevelType w:val="hybridMultilevel"/>
    <w:tmpl w:val="9934E4A0"/>
    <w:lvl w:ilvl="0" w:tplc="0AC463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19458"/>
  </w:hdrShapeDefaults>
  <w:footnotePr>
    <w:footnote w:id="-1"/>
    <w:footnote w:id="0"/>
  </w:footnotePr>
  <w:endnotePr>
    <w:endnote w:id="-1"/>
    <w:endnote w:id="0"/>
  </w:endnotePr>
  <w:compat/>
  <w:rsids>
    <w:rsidRoot w:val="007749EA"/>
    <w:rsid w:val="00000439"/>
    <w:rsid w:val="000011F5"/>
    <w:rsid w:val="0000174B"/>
    <w:rsid w:val="00002FD0"/>
    <w:rsid w:val="00003A8A"/>
    <w:rsid w:val="00003BB6"/>
    <w:rsid w:val="00004FFC"/>
    <w:rsid w:val="000063B1"/>
    <w:rsid w:val="00012B7E"/>
    <w:rsid w:val="000152F5"/>
    <w:rsid w:val="00016CB8"/>
    <w:rsid w:val="00020F74"/>
    <w:rsid w:val="00023740"/>
    <w:rsid w:val="00024D58"/>
    <w:rsid w:val="00024DC3"/>
    <w:rsid w:val="00024EB6"/>
    <w:rsid w:val="00025241"/>
    <w:rsid w:val="00025A33"/>
    <w:rsid w:val="00027CBB"/>
    <w:rsid w:val="00031E57"/>
    <w:rsid w:val="00032738"/>
    <w:rsid w:val="000350DA"/>
    <w:rsid w:val="00035147"/>
    <w:rsid w:val="00042169"/>
    <w:rsid w:val="00043358"/>
    <w:rsid w:val="00044A2E"/>
    <w:rsid w:val="00044A7C"/>
    <w:rsid w:val="00051382"/>
    <w:rsid w:val="0005210C"/>
    <w:rsid w:val="000528EE"/>
    <w:rsid w:val="00054FD9"/>
    <w:rsid w:val="00055CC1"/>
    <w:rsid w:val="000571E8"/>
    <w:rsid w:val="000574D8"/>
    <w:rsid w:val="00057928"/>
    <w:rsid w:val="00057E83"/>
    <w:rsid w:val="00062CC5"/>
    <w:rsid w:val="00062ECC"/>
    <w:rsid w:val="0006405E"/>
    <w:rsid w:val="00067AF5"/>
    <w:rsid w:val="00070C3C"/>
    <w:rsid w:val="00070DA0"/>
    <w:rsid w:val="000714CA"/>
    <w:rsid w:val="00071C60"/>
    <w:rsid w:val="0007340F"/>
    <w:rsid w:val="00073F4C"/>
    <w:rsid w:val="00074A27"/>
    <w:rsid w:val="00075C1D"/>
    <w:rsid w:val="00083CDB"/>
    <w:rsid w:val="0008482C"/>
    <w:rsid w:val="00086B59"/>
    <w:rsid w:val="00087430"/>
    <w:rsid w:val="00087E6F"/>
    <w:rsid w:val="000920C8"/>
    <w:rsid w:val="00092FAE"/>
    <w:rsid w:val="000A40A0"/>
    <w:rsid w:val="000A5999"/>
    <w:rsid w:val="000A67B0"/>
    <w:rsid w:val="000A75D2"/>
    <w:rsid w:val="000A7639"/>
    <w:rsid w:val="000B0E60"/>
    <w:rsid w:val="000B2B57"/>
    <w:rsid w:val="000B6D04"/>
    <w:rsid w:val="000B7831"/>
    <w:rsid w:val="000C0D33"/>
    <w:rsid w:val="000C2E3C"/>
    <w:rsid w:val="000C4462"/>
    <w:rsid w:val="000C4700"/>
    <w:rsid w:val="000C5670"/>
    <w:rsid w:val="000C56F6"/>
    <w:rsid w:val="000C698E"/>
    <w:rsid w:val="000C7488"/>
    <w:rsid w:val="000C774B"/>
    <w:rsid w:val="000C779F"/>
    <w:rsid w:val="000D0B83"/>
    <w:rsid w:val="000D1C52"/>
    <w:rsid w:val="000D4ACA"/>
    <w:rsid w:val="000D5FCC"/>
    <w:rsid w:val="000E1BF9"/>
    <w:rsid w:val="000E2D9D"/>
    <w:rsid w:val="000E770F"/>
    <w:rsid w:val="000E77FC"/>
    <w:rsid w:val="000F0195"/>
    <w:rsid w:val="000F0B33"/>
    <w:rsid w:val="000F0B49"/>
    <w:rsid w:val="000F1881"/>
    <w:rsid w:val="000F2575"/>
    <w:rsid w:val="000F31D3"/>
    <w:rsid w:val="000F321E"/>
    <w:rsid w:val="000F38ED"/>
    <w:rsid w:val="000F4733"/>
    <w:rsid w:val="000F4FDC"/>
    <w:rsid w:val="000F592F"/>
    <w:rsid w:val="000F64FD"/>
    <w:rsid w:val="000F7A06"/>
    <w:rsid w:val="00100101"/>
    <w:rsid w:val="00100383"/>
    <w:rsid w:val="00100C89"/>
    <w:rsid w:val="00101A86"/>
    <w:rsid w:val="00101EE1"/>
    <w:rsid w:val="00102E6E"/>
    <w:rsid w:val="00103E1E"/>
    <w:rsid w:val="00104339"/>
    <w:rsid w:val="00104373"/>
    <w:rsid w:val="001056F7"/>
    <w:rsid w:val="001076E9"/>
    <w:rsid w:val="00114213"/>
    <w:rsid w:val="0011427F"/>
    <w:rsid w:val="001146FD"/>
    <w:rsid w:val="0011505F"/>
    <w:rsid w:val="0012142D"/>
    <w:rsid w:val="0012205A"/>
    <w:rsid w:val="001227AA"/>
    <w:rsid w:val="001251E5"/>
    <w:rsid w:val="00127791"/>
    <w:rsid w:val="0013228D"/>
    <w:rsid w:val="00133CBE"/>
    <w:rsid w:val="001346CF"/>
    <w:rsid w:val="00134EB2"/>
    <w:rsid w:val="00136A6E"/>
    <w:rsid w:val="00136E78"/>
    <w:rsid w:val="0013705C"/>
    <w:rsid w:val="001371B7"/>
    <w:rsid w:val="00137385"/>
    <w:rsid w:val="001404B0"/>
    <w:rsid w:val="00143B27"/>
    <w:rsid w:val="0014699C"/>
    <w:rsid w:val="001472FA"/>
    <w:rsid w:val="00151308"/>
    <w:rsid w:val="00153C3F"/>
    <w:rsid w:val="001545EA"/>
    <w:rsid w:val="001625A4"/>
    <w:rsid w:val="00162735"/>
    <w:rsid w:val="00163CBB"/>
    <w:rsid w:val="00163D58"/>
    <w:rsid w:val="00163D88"/>
    <w:rsid w:val="00167F10"/>
    <w:rsid w:val="00170DCD"/>
    <w:rsid w:val="001715D2"/>
    <w:rsid w:val="00174715"/>
    <w:rsid w:val="00176DCA"/>
    <w:rsid w:val="00176F9F"/>
    <w:rsid w:val="00177826"/>
    <w:rsid w:val="001778F8"/>
    <w:rsid w:val="00177C3A"/>
    <w:rsid w:val="001805B4"/>
    <w:rsid w:val="00181B15"/>
    <w:rsid w:val="0018213D"/>
    <w:rsid w:val="0018751F"/>
    <w:rsid w:val="001900D6"/>
    <w:rsid w:val="0019245F"/>
    <w:rsid w:val="00193217"/>
    <w:rsid w:val="00195A4D"/>
    <w:rsid w:val="00197BD1"/>
    <w:rsid w:val="00197D7E"/>
    <w:rsid w:val="00197F95"/>
    <w:rsid w:val="001A0204"/>
    <w:rsid w:val="001A0485"/>
    <w:rsid w:val="001A20C7"/>
    <w:rsid w:val="001A2298"/>
    <w:rsid w:val="001A25B3"/>
    <w:rsid w:val="001A3118"/>
    <w:rsid w:val="001A4BB3"/>
    <w:rsid w:val="001A4CA9"/>
    <w:rsid w:val="001A55A2"/>
    <w:rsid w:val="001A649C"/>
    <w:rsid w:val="001A754C"/>
    <w:rsid w:val="001A7F0E"/>
    <w:rsid w:val="001B25F4"/>
    <w:rsid w:val="001B2775"/>
    <w:rsid w:val="001B309A"/>
    <w:rsid w:val="001B39F0"/>
    <w:rsid w:val="001B5164"/>
    <w:rsid w:val="001B6143"/>
    <w:rsid w:val="001C02E6"/>
    <w:rsid w:val="001C196E"/>
    <w:rsid w:val="001C1BE0"/>
    <w:rsid w:val="001C3DE7"/>
    <w:rsid w:val="001C4568"/>
    <w:rsid w:val="001C5A40"/>
    <w:rsid w:val="001C6A74"/>
    <w:rsid w:val="001D1514"/>
    <w:rsid w:val="001D2FC3"/>
    <w:rsid w:val="001D6137"/>
    <w:rsid w:val="001D70B5"/>
    <w:rsid w:val="001D7B7C"/>
    <w:rsid w:val="001E0747"/>
    <w:rsid w:val="001E1BFD"/>
    <w:rsid w:val="001E1C9B"/>
    <w:rsid w:val="001E23A3"/>
    <w:rsid w:val="001E2D7D"/>
    <w:rsid w:val="001E3FF5"/>
    <w:rsid w:val="001E5B2F"/>
    <w:rsid w:val="001F086B"/>
    <w:rsid w:val="001F2F88"/>
    <w:rsid w:val="001F31EB"/>
    <w:rsid w:val="001F7AE7"/>
    <w:rsid w:val="00201957"/>
    <w:rsid w:val="00202347"/>
    <w:rsid w:val="0020335C"/>
    <w:rsid w:val="002036D7"/>
    <w:rsid w:val="00203843"/>
    <w:rsid w:val="00204123"/>
    <w:rsid w:val="002045CF"/>
    <w:rsid w:val="002046A4"/>
    <w:rsid w:val="0020665F"/>
    <w:rsid w:val="0021164D"/>
    <w:rsid w:val="00211C67"/>
    <w:rsid w:val="00213354"/>
    <w:rsid w:val="002140A2"/>
    <w:rsid w:val="00217A2E"/>
    <w:rsid w:val="00220708"/>
    <w:rsid w:val="0022127B"/>
    <w:rsid w:val="00221918"/>
    <w:rsid w:val="002230A8"/>
    <w:rsid w:val="00223EE2"/>
    <w:rsid w:val="00223F28"/>
    <w:rsid w:val="002240C7"/>
    <w:rsid w:val="002246E4"/>
    <w:rsid w:val="002248BC"/>
    <w:rsid w:val="00226355"/>
    <w:rsid w:val="002277D2"/>
    <w:rsid w:val="002279F3"/>
    <w:rsid w:val="00231397"/>
    <w:rsid w:val="00231DDA"/>
    <w:rsid w:val="00231DF1"/>
    <w:rsid w:val="00232807"/>
    <w:rsid w:val="00232DD1"/>
    <w:rsid w:val="0023526D"/>
    <w:rsid w:val="002355B9"/>
    <w:rsid w:val="0023610C"/>
    <w:rsid w:val="002363F0"/>
    <w:rsid w:val="00236615"/>
    <w:rsid w:val="002374AC"/>
    <w:rsid w:val="002436CC"/>
    <w:rsid w:val="00244036"/>
    <w:rsid w:val="00244547"/>
    <w:rsid w:val="0024792C"/>
    <w:rsid w:val="002512C5"/>
    <w:rsid w:val="002516A8"/>
    <w:rsid w:val="002533B7"/>
    <w:rsid w:val="0025345C"/>
    <w:rsid w:val="00254003"/>
    <w:rsid w:val="00254F86"/>
    <w:rsid w:val="00262945"/>
    <w:rsid w:val="00264B9D"/>
    <w:rsid w:val="0026512E"/>
    <w:rsid w:val="00265AC2"/>
    <w:rsid w:val="00265C5A"/>
    <w:rsid w:val="002663E9"/>
    <w:rsid w:val="002669AD"/>
    <w:rsid w:val="002740C5"/>
    <w:rsid w:val="00274B23"/>
    <w:rsid w:val="002763F2"/>
    <w:rsid w:val="002808F7"/>
    <w:rsid w:val="00280AFE"/>
    <w:rsid w:val="00280DE8"/>
    <w:rsid w:val="0028177F"/>
    <w:rsid w:val="00281D39"/>
    <w:rsid w:val="00282027"/>
    <w:rsid w:val="00285D0B"/>
    <w:rsid w:val="002903D6"/>
    <w:rsid w:val="002906BC"/>
    <w:rsid w:val="00291CE9"/>
    <w:rsid w:val="00293F65"/>
    <w:rsid w:val="002A34AE"/>
    <w:rsid w:val="002A3810"/>
    <w:rsid w:val="002B18AB"/>
    <w:rsid w:val="002B1992"/>
    <w:rsid w:val="002B1AB9"/>
    <w:rsid w:val="002B25CB"/>
    <w:rsid w:val="002B3720"/>
    <w:rsid w:val="002B66C8"/>
    <w:rsid w:val="002B75DB"/>
    <w:rsid w:val="002B781D"/>
    <w:rsid w:val="002C38B6"/>
    <w:rsid w:val="002C3E12"/>
    <w:rsid w:val="002C6D65"/>
    <w:rsid w:val="002D145E"/>
    <w:rsid w:val="002D1BFD"/>
    <w:rsid w:val="002D1D6E"/>
    <w:rsid w:val="002D2B24"/>
    <w:rsid w:val="002D33CB"/>
    <w:rsid w:val="002D3FAF"/>
    <w:rsid w:val="002D4E50"/>
    <w:rsid w:val="002D5EA8"/>
    <w:rsid w:val="002D6AC4"/>
    <w:rsid w:val="002E0148"/>
    <w:rsid w:val="002E0E08"/>
    <w:rsid w:val="002E12F5"/>
    <w:rsid w:val="002E295F"/>
    <w:rsid w:val="002E2F0F"/>
    <w:rsid w:val="002E3A19"/>
    <w:rsid w:val="002E3A5B"/>
    <w:rsid w:val="002E42F2"/>
    <w:rsid w:val="002E451D"/>
    <w:rsid w:val="002E57E0"/>
    <w:rsid w:val="002E597C"/>
    <w:rsid w:val="002E7855"/>
    <w:rsid w:val="002F022F"/>
    <w:rsid w:val="002F0694"/>
    <w:rsid w:val="002F20B2"/>
    <w:rsid w:val="002F2746"/>
    <w:rsid w:val="002F2CCF"/>
    <w:rsid w:val="002F4548"/>
    <w:rsid w:val="002F7359"/>
    <w:rsid w:val="00300035"/>
    <w:rsid w:val="00301221"/>
    <w:rsid w:val="00301A3A"/>
    <w:rsid w:val="00301DA5"/>
    <w:rsid w:val="00302679"/>
    <w:rsid w:val="0030398E"/>
    <w:rsid w:val="00303BE5"/>
    <w:rsid w:val="003065ED"/>
    <w:rsid w:val="003066C0"/>
    <w:rsid w:val="00307FA5"/>
    <w:rsid w:val="00312CF2"/>
    <w:rsid w:val="00312E8F"/>
    <w:rsid w:val="00315116"/>
    <w:rsid w:val="003168A9"/>
    <w:rsid w:val="00317910"/>
    <w:rsid w:val="0032100F"/>
    <w:rsid w:val="003212BF"/>
    <w:rsid w:val="00322530"/>
    <w:rsid w:val="003229A8"/>
    <w:rsid w:val="00324FEB"/>
    <w:rsid w:val="003255DE"/>
    <w:rsid w:val="00325F89"/>
    <w:rsid w:val="0032604F"/>
    <w:rsid w:val="003262AB"/>
    <w:rsid w:val="0032758A"/>
    <w:rsid w:val="003279FF"/>
    <w:rsid w:val="00330165"/>
    <w:rsid w:val="003329E4"/>
    <w:rsid w:val="00336541"/>
    <w:rsid w:val="003367F5"/>
    <w:rsid w:val="00352428"/>
    <w:rsid w:val="003529E4"/>
    <w:rsid w:val="003561EC"/>
    <w:rsid w:val="0035638F"/>
    <w:rsid w:val="0035684E"/>
    <w:rsid w:val="00357B99"/>
    <w:rsid w:val="00362705"/>
    <w:rsid w:val="003704E3"/>
    <w:rsid w:val="0037072F"/>
    <w:rsid w:val="00372AFD"/>
    <w:rsid w:val="00373085"/>
    <w:rsid w:val="00375702"/>
    <w:rsid w:val="00375AA4"/>
    <w:rsid w:val="00382B82"/>
    <w:rsid w:val="00382E70"/>
    <w:rsid w:val="003840C8"/>
    <w:rsid w:val="0038461E"/>
    <w:rsid w:val="00385670"/>
    <w:rsid w:val="0038569F"/>
    <w:rsid w:val="00385AB9"/>
    <w:rsid w:val="003868F5"/>
    <w:rsid w:val="00387361"/>
    <w:rsid w:val="003931FF"/>
    <w:rsid w:val="003947B2"/>
    <w:rsid w:val="003956B4"/>
    <w:rsid w:val="003978F3"/>
    <w:rsid w:val="003A1D36"/>
    <w:rsid w:val="003A6572"/>
    <w:rsid w:val="003A75E0"/>
    <w:rsid w:val="003B23A3"/>
    <w:rsid w:val="003B30D9"/>
    <w:rsid w:val="003B5BA6"/>
    <w:rsid w:val="003B644B"/>
    <w:rsid w:val="003B7491"/>
    <w:rsid w:val="003C09B1"/>
    <w:rsid w:val="003C0D03"/>
    <w:rsid w:val="003C162E"/>
    <w:rsid w:val="003C187D"/>
    <w:rsid w:val="003C3314"/>
    <w:rsid w:val="003C36CD"/>
    <w:rsid w:val="003C620A"/>
    <w:rsid w:val="003C742A"/>
    <w:rsid w:val="003D050E"/>
    <w:rsid w:val="003D3FBA"/>
    <w:rsid w:val="003D44B4"/>
    <w:rsid w:val="003E0249"/>
    <w:rsid w:val="003E03C9"/>
    <w:rsid w:val="003E241B"/>
    <w:rsid w:val="003E4A5D"/>
    <w:rsid w:val="003E4FD7"/>
    <w:rsid w:val="003E697D"/>
    <w:rsid w:val="003E7679"/>
    <w:rsid w:val="003E7F55"/>
    <w:rsid w:val="003F22E8"/>
    <w:rsid w:val="003F5BBB"/>
    <w:rsid w:val="003F6182"/>
    <w:rsid w:val="003F74DB"/>
    <w:rsid w:val="003F7A92"/>
    <w:rsid w:val="004000EC"/>
    <w:rsid w:val="00400300"/>
    <w:rsid w:val="00400B38"/>
    <w:rsid w:val="004010E8"/>
    <w:rsid w:val="00401804"/>
    <w:rsid w:val="004018B3"/>
    <w:rsid w:val="004036FF"/>
    <w:rsid w:val="004039D8"/>
    <w:rsid w:val="00404561"/>
    <w:rsid w:val="00406297"/>
    <w:rsid w:val="0040755E"/>
    <w:rsid w:val="00407993"/>
    <w:rsid w:val="00411FFF"/>
    <w:rsid w:val="00412948"/>
    <w:rsid w:val="0041487C"/>
    <w:rsid w:val="0041753E"/>
    <w:rsid w:val="00417D0B"/>
    <w:rsid w:val="00420229"/>
    <w:rsid w:val="00421868"/>
    <w:rsid w:val="004226E5"/>
    <w:rsid w:val="004234FE"/>
    <w:rsid w:val="00426573"/>
    <w:rsid w:val="0042671F"/>
    <w:rsid w:val="00426BEF"/>
    <w:rsid w:val="00426F9A"/>
    <w:rsid w:val="00430E69"/>
    <w:rsid w:val="00433600"/>
    <w:rsid w:val="00433B9F"/>
    <w:rsid w:val="00433E30"/>
    <w:rsid w:val="004343DA"/>
    <w:rsid w:val="00437ECE"/>
    <w:rsid w:val="004419E3"/>
    <w:rsid w:val="004440C5"/>
    <w:rsid w:val="00444116"/>
    <w:rsid w:val="00445EDC"/>
    <w:rsid w:val="00450CB0"/>
    <w:rsid w:val="0045361B"/>
    <w:rsid w:val="00454DE1"/>
    <w:rsid w:val="00455516"/>
    <w:rsid w:val="004563AC"/>
    <w:rsid w:val="00457649"/>
    <w:rsid w:val="0046372B"/>
    <w:rsid w:val="004714B3"/>
    <w:rsid w:val="00472CC2"/>
    <w:rsid w:val="004730A2"/>
    <w:rsid w:val="0047530C"/>
    <w:rsid w:val="00475656"/>
    <w:rsid w:val="004770CD"/>
    <w:rsid w:val="0047720C"/>
    <w:rsid w:val="00482C51"/>
    <w:rsid w:val="00482CEC"/>
    <w:rsid w:val="00484486"/>
    <w:rsid w:val="004846A2"/>
    <w:rsid w:val="0048667D"/>
    <w:rsid w:val="00486ADA"/>
    <w:rsid w:val="00487687"/>
    <w:rsid w:val="0049086F"/>
    <w:rsid w:val="004925DA"/>
    <w:rsid w:val="004930DA"/>
    <w:rsid w:val="0049362E"/>
    <w:rsid w:val="00494F80"/>
    <w:rsid w:val="00496609"/>
    <w:rsid w:val="00497998"/>
    <w:rsid w:val="004A041F"/>
    <w:rsid w:val="004A1B3C"/>
    <w:rsid w:val="004A2CE5"/>
    <w:rsid w:val="004A3CBA"/>
    <w:rsid w:val="004A44F1"/>
    <w:rsid w:val="004A4850"/>
    <w:rsid w:val="004A5A60"/>
    <w:rsid w:val="004B2586"/>
    <w:rsid w:val="004B7878"/>
    <w:rsid w:val="004B7FA5"/>
    <w:rsid w:val="004C00E7"/>
    <w:rsid w:val="004C0EAE"/>
    <w:rsid w:val="004C3222"/>
    <w:rsid w:val="004C3C26"/>
    <w:rsid w:val="004C3E3C"/>
    <w:rsid w:val="004C50EE"/>
    <w:rsid w:val="004C67E1"/>
    <w:rsid w:val="004C72BE"/>
    <w:rsid w:val="004D027F"/>
    <w:rsid w:val="004D111A"/>
    <w:rsid w:val="004D195E"/>
    <w:rsid w:val="004D4F7F"/>
    <w:rsid w:val="004D6B34"/>
    <w:rsid w:val="004E025B"/>
    <w:rsid w:val="004E046C"/>
    <w:rsid w:val="004E0A0A"/>
    <w:rsid w:val="004E0F13"/>
    <w:rsid w:val="004E284F"/>
    <w:rsid w:val="004E3966"/>
    <w:rsid w:val="004E399E"/>
    <w:rsid w:val="004E498F"/>
    <w:rsid w:val="004E52F8"/>
    <w:rsid w:val="004E55BC"/>
    <w:rsid w:val="004E571C"/>
    <w:rsid w:val="004E6231"/>
    <w:rsid w:val="004E6DA8"/>
    <w:rsid w:val="004F167B"/>
    <w:rsid w:val="004F19B5"/>
    <w:rsid w:val="004F45CA"/>
    <w:rsid w:val="004F5D12"/>
    <w:rsid w:val="004F67C2"/>
    <w:rsid w:val="005021C7"/>
    <w:rsid w:val="005027F4"/>
    <w:rsid w:val="005030F7"/>
    <w:rsid w:val="0050367F"/>
    <w:rsid w:val="00504165"/>
    <w:rsid w:val="00504C8B"/>
    <w:rsid w:val="005052A7"/>
    <w:rsid w:val="0050795B"/>
    <w:rsid w:val="00512DB1"/>
    <w:rsid w:val="005138A4"/>
    <w:rsid w:val="005157D9"/>
    <w:rsid w:val="0051691A"/>
    <w:rsid w:val="00517641"/>
    <w:rsid w:val="0051788D"/>
    <w:rsid w:val="00521DA0"/>
    <w:rsid w:val="00526E41"/>
    <w:rsid w:val="00530AD1"/>
    <w:rsid w:val="00530FDB"/>
    <w:rsid w:val="00531251"/>
    <w:rsid w:val="005317D7"/>
    <w:rsid w:val="005325A7"/>
    <w:rsid w:val="005329F4"/>
    <w:rsid w:val="0053439A"/>
    <w:rsid w:val="00535566"/>
    <w:rsid w:val="005368F4"/>
    <w:rsid w:val="00540D9C"/>
    <w:rsid w:val="00543B39"/>
    <w:rsid w:val="00544928"/>
    <w:rsid w:val="00546730"/>
    <w:rsid w:val="00547F14"/>
    <w:rsid w:val="005523CF"/>
    <w:rsid w:val="0056233F"/>
    <w:rsid w:val="00563630"/>
    <w:rsid w:val="00563A1A"/>
    <w:rsid w:val="00563FD4"/>
    <w:rsid w:val="00567619"/>
    <w:rsid w:val="0056789B"/>
    <w:rsid w:val="00567A27"/>
    <w:rsid w:val="00567D7D"/>
    <w:rsid w:val="0057030C"/>
    <w:rsid w:val="00570848"/>
    <w:rsid w:val="00571B64"/>
    <w:rsid w:val="0057289A"/>
    <w:rsid w:val="00573C8B"/>
    <w:rsid w:val="00576EFF"/>
    <w:rsid w:val="00577A5E"/>
    <w:rsid w:val="005824E1"/>
    <w:rsid w:val="00585C41"/>
    <w:rsid w:val="00585DE9"/>
    <w:rsid w:val="00591842"/>
    <w:rsid w:val="00593AB2"/>
    <w:rsid w:val="005955DC"/>
    <w:rsid w:val="0059698D"/>
    <w:rsid w:val="005A2484"/>
    <w:rsid w:val="005A25EE"/>
    <w:rsid w:val="005A2BD2"/>
    <w:rsid w:val="005A3548"/>
    <w:rsid w:val="005A56C1"/>
    <w:rsid w:val="005A7211"/>
    <w:rsid w:val="005A7A05"/>
    <w:rsid w:val="005B0E96"/>
    <w:rsid w:val="005B110B"/>
    <w:rsid w:val="005B454D"/>
    <w:rsid w:val="005B66FE"/>
    <w:rsid w:val="005B7BE5"/>
    <w:rsid w:val="005C106F"/>
    <w:rsid w:val="005C3214"/>
    <w:rsid w:val="005C6340"/>
    <w:rsid w:val="005C7105"/>
    <w:rsid w:val="005D1A25"/>
    <w:rsid w:val="005D7732"/>
    <w:rsid w:val="005D7DF7"/>
    <w:rsid w:val="005E03C5"/>
    <w:rsid w:val="005E1866"/>
    <w:rsid w:val="005E39BF"/>
    <w:rsid w:val="005E4354"/>
    <w:rsid w:val="005E477D"/>
    <w:rsid w:val="005F0BC2"/>
    <w:rsid w:val="005F2780"/>
    <w:rsid w:val="005F368E"/>
    <w:rsid w:val="005F5708"/>
    <w:rsid w:val="005F5E33"/>
    <w:rsid w:val="005F74E1"/>
    <w:rsid w:val="00601779"/>
    <w:rsid w:val="00605CC3"/>
    <w:rsid w:val="0060750A"/>
    <w:rsid w:val="006106A8"/>
    <w:rsid w:val="00611045"/>
    <w:rsid w:val="00611BAE"/>
    <w:rsid w:val="00612593"/>
    <w:rsid w:val="006129D4"/>
    <w:rsid w:val="00613B76"/>
    <w:rsid w:val="00617C05"/>
    <w:rsid w:val="00620F5C"/>
    <w:rsid w:val="00621050"/>
    <w:rsid w:val="006210AE"/>
    <w:rsid w:val="006210DE"/>
    <w:rsid w:val="006216D5"/>
    <w:rsid w:val="006228D0"/>
    <w:rsid w:val="006232B4"/>
    <w:rsid w:val="0062398E"/>
    <w:rsid w:val="00625DAC"/>
    <w:rsid w:val="00626B8F"/>
    <w:rsid w:val="00627648"/>
    <w:rsid w:val="00627EA3"/>
    <w:rsid w:val="00634E86"/>
    <w:rsid w:val="00636555"/>
    <w:rsid w:val="00640E48"/>
    <w:rsid w:val="006429F2"/>
    <w:rsid w:val="00645555"/>
    <w:rsid w:val="006521BC"/>
    <w:rsid w:val="00653D48"/>
    <w:rsid w:val="00653EEC"/>
    <w:rsid w:val="00655CEC"/>
    <w:rsid w:val="00656CFC"/>
    <w:rsid w:val="006571C4"/>
    <w:rsid w:val="0065785B"/>
    <w:rsid w:val="0066396F"/>
    <w:rsid w:val="006650A7"/>
    <w:rsid w:val="00670895"/>
    <w:rsid w:val="006716A0"/>
    <w:rsid w:val="006738D0"/>
    <w:rsid w:val="0067538F"/>
    <w:rsid w:val="0067553A"/>
    <w:rsid w:val="0067572C"/>
    <w:rsid w:val="00680159"/>
    <w:rsid w:val="006814B7"/>
    <w:rsid w:val="00682065"/>
    <w:rsid w:val="006838E5"/>
    <w:rsid w:val="00684EF9"/>
    <w:rsid w:val="0068605D"/>
    <w:rsid w:val="00687611"/>
    <w:rsid w:val="00687918"/>
    <w:rsid w:val="006925AE"/>
    <w:rsid w:val="00694A8B"/>
    <w:rsid w:val="00696D49"/>
    <w:rsid w:val="006A07A9"/>
    <w:rsid w:val="006A1302"/>
    <w:rsid w:val="006A1EE3"/>
    <w:rsid w:val="006A1F59"/>
    <w:rsid w:val="006A3B2D"/>
    <w:rsid w:val="006A4021"/>
    <w:rsid w:val="006A436E"/>
    <w:rsid w:val="006A6407"/>
    <w:rsid w:val="006A7C7D"/>
    <w:rsid w:val="006B318B"/>
    <w:rsid w:val="006B4093"/>
    <w:rsid w:val="006B4BFD"/>
    <w:rsid w:val="006B59FD"/>
    <w:rsid w:val="006B6F09"/>
    <w:rsid w:val="006B7867"/>
    <w:rsid w:val="006C130A"/>
    <w:rsid w:val="006C14E7"/>
    <w:rsid w:val="006C20A5"/>
    <w:rsid w:val="006C24E7"/>
    <w:rsid w:val="006C2F7E"/>
    <w:rsid w:val="006C339E"/>
    <w:rsid w:val="006C4927"/>
    <w:rsid w:val="006C4D39"/>
    <w:rsid w:val="006C5519"/>
    <w:rsid w:val="006C69CD"/>
    <w:rsid w:val="006C7340"/>
    <w:rsid w:val="006D0386"/>
    <w:rsid w:val="006D0B1F"/>
    <w:rsid w:val="006D2BF1"/>
    <w:rsid w:val="006D33B4"/>
    <w:rsid w:val="006D589F"/>
    <w:rsid w:val="006D6548"/>
    <w:rsid w:val="006D7455"/>
    <w:rsid w:val="006D77CD"/>
    <w:rsid w:val="006E13C3"/>
    <w:rsid w:val="006E1501"/>
    <w:rsid w:val="006E43AF"/>
    <w:rsid w:val="006E476E"/>
    <w:rsid w:val="006E70A8"/>
    <w:rsid w:val="006E7176"/>
    <w:rsid w:val="006F1544"/>
    <w:rsid w:val="006F2B42"/>
    <w:rsid w:val="006F629D"/>
    <w:rsid w:val="006F6CF4"/>
    <w:rsid w:val="006F7DF7"/>
    <w:rsid w:val="00700F6F"/>
    <w:rsid w:val="007042A7"/>
    <w:rsid w:val="00704C20"/>
    <w:rsid w:val="00704F05"/>
    <w:rsid w:val="00705294"/>
    <w:rsid w:val="00705879"/>
    <w:rsid w:val="00706EC8"/>
    <w:rsid w:val="00707108"/>
    <w:rsid w:val="00711BAD"/>
    <w:rsid w:val="007143AE"/>
    <w:rsid w:val="00715465"/>
    <w:rsid w:val="00715DDC"/>
    <w:rsid w:val="00715F6D"/>
    <w:rsid w:val="00723329"/>
    <w:rsid w:val="007238EF"/>
    <w:rsid w:val="007241BF"/>
    <w:rsid w:val="00726028"/>
    <w:rsid w:val="00730CEF"/>
    <w:rsid w:val="0073129C"/>
    <w:rsid w:val="007325EF"/>
    <w:rsid w:val="00732773"/>
    <w:rsid w:val="00742441"/>
    <w:rsid w:val="0074463E"/>
    <w:rsid w:val="007470A8"/>
    <w:rsid w:val="007477DF"/>
    <w:rsid w:val="0075021A"/>
    <w:rsid w:val="00750296"/>
    <w:rsid w:val="00754B42"/>
    <w:rsid w:val="00754C27"/>
    <w:rsid w:val="007628B3"/>
    <w:rsid w:val="00763E7B"/>
    <w:rsid w:val="00772068"/>
    <w:rsid w:val="00772D4B"/>
    <w:rsid w:val="007737C3"/>
    <w:rsid w:val="00773BC1"/>
    <w:rsid w:val="007749EA"/>
    <w:rsid w:val="00785767"/>
    <w:rsid w:val="007907AA"/>
    <w:rsid w:val="00790A79"/>
    <w:rsid w:val="007941EA"/>
    <w:rsid w:val="00795811"/>
    <w:rsid w:val="007A5A7C"/>
    <w:rsid w:val="007A781C"/>
    <w:rsid w:val="007B25A8"/>
    <w:rsid w:val="007B2875"/>
    <w:rsid w:val="007B46B6"/>
    <w:rsid w:val="007B4747"/>
    <w:rsid w:val="007C0BAD"/>
    <w:rsid w:val="007C1A2A"/>
    <w:rsid w:val="007C7837"/>
    <w:rsid w:val="007D6C4B"/>
    <w:rsid w:val="007E0C18"/>
    <w:rsid w:val="007E1226"/>
    <w:rsid w:val="007E43B8"/>
    <w:rsid w:val="007E514B"/>
    <w:rsid w:val="007E6258"/>
    <w:rsid w:val="007F0082"/>
    <w:rsid w:val="007F03BC"/>
    <w:rsid w:val="007F09C2"/>
    <w:rsid w:val="007F3382"/>
    <w:rsid w:val="007F5B77"/>
    <w:rsid w:val="007F5CA3"/>
    <w:rsid w:val="0080094D"/>
    <w:rsid w:val="00802969"/>
    <w:rsid w:val="00802C6A"/>
    <w:rsid w:val="008038A9"/>
    <w:rsid w:val="00810970"/>
    <w:rsid w:val="00810DEF"/>
    <w:rsid w:val="008118E2"/>
    <w:rsid w:val="008125A0"/>
    <w:rsid w:val="008127D8"/>
    <w:rsid w:val="00813A0F"/>
    <w:rsid w:val="00813DB9"/>
    <w:rsid w:val="00816CB7"/>
    <w:rsid w:val="008171BD"/>
    <w:rsid w:val="00817D51"/>
    <w:rsid w:val="00820EAE"/>
    <w:rsid w:val="00821463"/>
    <w:rsid w:val="00821769"/>
    <w:rsid w:val="00824986"/>
    <w:rsid w:val="00825A08"/>
    <w:rsid w:val="00827813"/>
    <w:rsid w:val="00830EB0"/>
    <w:rsid w:val="008314F9"/>
    <w:rsid w:val="00836B9C"/>
    <w:rsid w:val="008379A4"/>
    <w:rsid w:val="0084169D"/>
    <w:rsid w:val="00844360"/>
    <w:rsid w:val="008448BD"/>
    <w:rsid w:val="0084650A"/>
    <w:rsid w:val="008509A0"/>
    <w:rsid w:val="00851BE1"/>
    <w:rsid w:val="008524E3"/>
    <w:rsid w:val="00853A42"/>
    <w:rsid w:val="00853FC0"/>
    <w:rsid w:val="008544B4"/>
    <w:rsid w:val="00854DE5"/>
    <w:rsid w:val="008551F1"/>
    <w:rsid w:val="00865A9C"/>
    <w:rsid w:val="00866D27"/>
    <w:rsid w:val="00867A84"/>
    <w:rsid w:val="00870AEA"/>
    <w:rsid w:val="00871FC1"/>
    <w:rsid w:val="00872795"/>
    <w:rsid w:val="008732EB"/>
    <w:rsid w:val="00874332"/>
    <w:rsid w:val="00880D3D"/>
    <w:rsid w:val="008829ED"/>
    <w:rsid w:val="0088411F"/>
    <w:rsid w:val="00884784"/>
    <w:rsid w:val="00890C2D"/>
    <w:rsid w:val="00891016"/>
    <w:rsid w:val="00892847"/>
    <w:rsid w:val="008937F9"/>
    <w:rsid w:val="00895282"/>
    <w:rsid w:val="0089771C"/>
    <w:rsid w:val="008A3AFB"/>
    <w:rsid w:val="008A6034"/>
    <w:rsid w:val="008A6BFC"/>
    <w:rsid w:val="008A7359"/>
    <w:rsid w:val="008B09DB"/>
    <w:rsid w:val="008B2047"/>
    <w:rsid w:val="008B2F02"/>
    <w:rsid w:val="008B303D"/>
    <w:rsid w:val="008B4378"/>
    <w:rsid w:val="008B444E"/>
    <w:rsid w:val="008B4927"/>
    <w:rsid w:val="008B5D44"/>
    <w:rsid w:val="008B5E4C"/>
    <w:rsid w:val="008B6D50"/>
    <w:rsid w:val="008B7FFC"/>
    <w:rsid w:val="008C0D79"/>
    <w:rsid w:val="008C0DC4"/>
    <w:rsid w:val="008C18F7"/>
    <w:rsid w:val="008C2B7B"/>
    <w:rsid w:val="008C32F6"/>
    <w:rsid w:val="008C3E11"/>
    <w:rsid w:val="008C47C3"/>
    <w:rsid w:val="008C61BE"/>
    <w:rsid w:val="008C670F"/>
    <w:rsid w:val="008C6897"/>
    <w:rsid w:val="008D3CE5"/>
    <w:rsid w:val="008D4251"/>
    <w:rsid w:val="008D4C8A"/>
    <w:rsid w:val="008D5C1F"/>
    <w:rsid w:val="008D7667"/>
    <w:rsid w:val="008E12D7"/>
    <w:rsid w:val="008E3547"/>
    <w:rsid w:val="008E3742"/>
    <w:rsid w:val="008E4E51"/>
    <w:rsid w:val="008E6B66"/>
    <w:rsid w:val="008E73CB"/>
    <w:rsid w:val="008F1D27"/>
    <w:rsid w:val="008F2B42"/>
    <w:rsid w:val="008F3160"/>
    <w:rsid w:val="008F3C5C"/>
    <w:rsid w:val="008F519D"/>
    <w:rsid w:val="008F55FA"/>
    <w:rsid w:val="008F7597"/>
    <w:rsid w:val="008F7900"/>
    <w:rsid w:val="008F7B94"/>
    <w:rsid w:val="00900C7B"/>
    <w:rsid w:val="00901F9B"/>
    <w:rsid w:val="0090352B"/>
    <w:rsid w:val="00904071"/>
    <w:rsid w:val="00904A0D"/>
    <w:rsid w:val="00904FBD"/>
    <w:rsid w:val="0090568B"/>
    <w:rsid w:val="00906DBC"/>
    <w:rsid w:val="00906F32"/>
    <w:rsid w:val="00911D43"/>
    <w:rsid w:val="00920E6A"/>
    <w:rsid w:val="00922B78"/>
    <w:rsid w:val="009237EB"/>
    <w:rsid w:val="00925A5B"/>
    <w:rsid w:val="00927F34"/>
    <w:rsid w:val="00930AAE"/>
    <w:rsid w:val="00931CEB"/>
    <w:rsid w:val="00933A42"/>
    <w:rsid w:val="00934382"/>
    <w:rsid w:val="00937DE6"/>
    <w:rsid w:val="00940709"/>
    <w:rsid w:val="009423C6"/>
    <w:rsid w:val="0094276A"/>
    <w:rsid w:val="0094301C"/>
    <w:rsid w:val="00945373"/>
    <w:rsid w:val="009458AF"/>
    <w:rsid w:val="0094665A"/>
    <w:rsid w:val="009505E9"/>
    <w:rsid w:val="00951783"/>
    <w:rsid w:val="009523CA"/>
    <w:rsid w:val="00954E17"/>
    <w:rsid w:val="009611EA"/>
    <w:rsid w:val="009612A2"/>
    <w:rsid w:val="009623F3"/>
    <w:rsid w:val="0096348F"/>
    <w:rsid w:val="00967BD2"/>
    <w:rsid w:val="009708B7"/>
    <w:rsid w:val="00970ED5"/>
    <w:rsid w:val="009726C2"/>
    <w:rsid w:val="00972D12"/>
    <w:rsid w:val="00972E0A"/>
    <w:rsid w:val="00972FD3"/>
    <w:rsid w:val="00976691"/>
    <w:rsid w:val="00976A23"/>
    <w:rsid w:val="00980F34"/>
    <w:rsid w:val="00981769"/>
    <w:rsid w:val="009836FA"/>
    <w:rsid w:val="00983C6E"/>
    <w:rsid w:val="009841A5"/>
    <w:rsid w:val="00984925"/>
    <w:rsid w:val="00987F09"/>
    <w:rsid w:val="0099075A"/>
    <w:rsid w:val="00990E8B"/>
    <w:rsid w:val="0099402C"/>
    <w:rsid w:val="009964AA"/>
    <w:rsid w:val="009968F6"/>
    <w:rsid w:val="009A1787"/>
    <w:rsid w:val="009A1892"/>
    <w:rsid w:val="009A2507"/>
    <w:rsid w:val="009A4B9B"/>
    <w:rsid w:val="009A5472"/>
    <w:rsid w:val="009A549C"/>
    <w:rsid w:val="009B057F"/>
    <w:rsid w:val="009B3A35"/>
    <w:rsid w:val="009B411F"/>
    <w:rsid w:val="009B4A62"/>
    <w:rsid w:val="009B5C65"/>
    <w:rsid w:val="009B752B"/>
    <w:rsid w:val="009B793D"/>
    <w:rsid w:val="009C04D9"/>
    <w:rsid w:val="009C5225"/>
    <w:rsid w:val="009C5259"/>
    <w:rsid w:val="009D0BC4"/>
    <w:rsid w:val="009D169A"/>
    <w:rsid w:val="009D2230"/>
    <w:rsid w:val="009D2969"/>
    <w:rsid w:val="009D29E0"/>
    <w:rsid w:val="009D2B95"/>
    <w:rsid w:val="009D4632"/>
    <w:rsid w:val="009D4CD9"/>
    <w:rsid w:val="009D4F98"/>
    <w:rsid w:val="009D59F2"/>
    <w:rsid w:val="009D5BF5"/>
    <w:rsid w:val="009D7675"/>
    <w:rsid w:val="009D7F9B"/>
    <w:rsid w:val="009E0F21"/>
    <w:rsid w:val="009E13AE"/>
    <w:rsid w:val="009E15CD"/>
    <w:rsid w:val="009E2600"/>
    <w:rsid w:val="009E4AD4"/>
    <w:rsid w:val="009E5114"/>
    <w:rsid w:val="009E6159"/>
    <w:rsid w:val="009F0D75"/>
    <w:rsid w:val="009F1A3A"/>
    <w:rsid w:val="009F37E7"/>
    <w:rsid w:val="009F46AE"/>
    <w:rsid w:val="009F714F"/>
    <w:rsid w:val="009F7E05"/>
    <w:rsid w:val="00A00CEF"/>
    <w:rsid w:val="00A039EE"/>
    <w:rsid w:val="00A0766D"/>
    <w:rsid w:val="00A10DE3"/>
    <w:rsid w:val="00A1236D"/>
    <w:rsid w:val="00A1286F"/>
    <w:rsid w:val="00A13D4C"/>
    <w:rsid w:val="00A17730"/>
    <w:rsid w:val="00A202F2"/>
    <w:rsid w:val="00A219CA"/>
    <w:rsid w:val="00A23415"/>
    <w:rsid w:val="00A23CF4"/>
    <w:rsid w:val="00A24F53"/>
    <w:rsid w:val="00A250F7"/>
    <w:rsid w:val="00A254B5"/>
    <w:rsid w:val="00A2594D"/>
    <w:rsid w:val="00A27629"/>
    <w:rsid w:val="00A27DBE"/>
    <w:rsid w:val="00A30B5E"/>
    <w:rsid w:val="00A3340C"/>
    <w:rsid w:val="00A33A34"/>
    <w:rsid w:val="00A3413C"/>
    <w:rsid w:val="00A343C2"/>
    <w:rsid w:val="00A34CC3"/>
    <w:rsid w:val="00A34DAC"/>
    <w:rsid w:val="00A34E6D"/>
    <w:rsid w:val="00A37111"/>
    <w:rsid w:val="00A441C0"/>
    <w:rsid w:val="00A44531"/>
    <w:rsid w:val="00A44AC7"/>
    <w:rsid w:val="00A45D53"/>
    <w:rsid w:val="00A5049D"/>
    <w:rsid w:val="00A60AB6"/>
    <w:rsid w:val="00A62CC3"/>
    <w:rsid w:val="00A630AF"/>
    <w:rsid w:val="00A6424F"/>
    <w:rsid w:val="00A71F40"/>
    <w:rsid w:val="00A748A6"/>
    <w:rsid w:val="00A76C64"/>
    <w:rsid w:val="00A81422"/>
    <w:rsid w:val="00A820AE"/>
    <w:rsid w:val="00A834FF"/>
    <w:rsid w:val="00A84B4D"/>
    <w:rsid w:val="00A8768E"/>
    <w:rsid w:val="00A9073E"/>
    <w:rsid w:val="00A91A51"/>
    <w:rsid w:val="00A91A69"/>
    <w:rsid w:val="00A91E64"/>
    <w:rsid w:val="00A939EE"/>
    <w:rsid w:val="00A944C0"/>
    <w:rsid w:val="00A97441"/>
    <w:rsid w:val="00AA0343"/>
    <w:rsid w:val="00AA2B74"/>
    <w:rsid w:val="00AA4E01"/>
    <w:rsid w:val="00AB1B0B"/>
    <w:rsid w:val="00AB2357"/>
    <w:rsid w:val="00AB3D0A"/>
    <w:rsid w:val="00AB611F"/>
    <w:rsid w:val="00AB6252"/>
    <w:rsid w:val="00AB73D4"/>
    <w:rsid w:val="00AB7EEA"/>
    <w:rsid w:val="00AC1FE3"/>
    <w:rsid w:val="00AC2465"/>
    <w:rsid w:val="00AC4125"/>
    <w:rsid w:val="00AC4A75"/>
    <w:rsid w:val="00AC5A19"/>
    <w:rsid w:val="00AC69A4"/>
    <w:rsid w:val="00AC7C31"/>
    <w:rsid w:val="00AD5CBE"/>
    <w:rsid w:val="00AD6EC3"/>
    <w:rsid w:val="00AE0F75"/>
    <w:rsid w:val="00AE17D0"/>
    <w:rsid w:val="00AE1962"/>
    <w:rsid w:val="00AE41EB"/>
    <w:rsid w:val="00AE7335"/>
    <w:rsid w:val="00AE7BF8"/>
    <w:rsid w:val="00AF04B9"/>
    <w:rsid w:val="00AF18D5"/>
    <w:rsid w:val="00AF31F3"/>
    <w:rsid w:val="00AF3D5A"/>
    <w:rsid w:val="00AF41D6"/>
    <w:rsid w:val="00AF6948"/>
    <w:rsid w:val="00AF7869"/>
    <w:rsid w:val="00AF7AA7"/>
    <w:rsid w:val="00B003E8"/>
    <w:rsid w:val="00B0430C"/>
    <w:rsid w:val="00B10393"/>
    <w:rsid w:val="00B11016"/>
    <w:rsid w:val="00B13881"/>
    <w:rsid w:val="00B15154"/>
    <w:rsid w:val="00B2066A"/>
    <w:rsid w:val="00B212A5"/>
    <w:rsid w:val="00B21D9D"/>
    <w:rsid w:val="00B22737"/>
    <w:rsid w:val="00B22ECA"/>
    <w:rsid w:val="00B263D5"/>
    <w:rsid w:val="00B264FC"/>
    <w:rsid w:val="00B271E2"/>
    <w:rsid w:val="00B27267"/>
    <w:rsid w:val="00B27BDB"/>
    <w:rsid w:val="00B30609"/>
    <w:rsid w:val="00B30CC2"/>
    <w:rsid w:val="00B319E4"/>
    <w:rsid w:val="00B3270A"/>
    <w:rsid w:val="00B32CFC"/>
    <w:rsid w:val="00B3330B"/>
    <w:rsid w:val="00B35179"/>
    <w:rsid w:val="00B35E5E"/>
    <w:rsid w:val="00B362BD"/>
    <w:rsid w:val="00B36CCA"/>
    <w:rsid w:val="00B36EE4"/>
    <w:rsid w:val="00B37394"/>
    <w:rsid w:val="00B40B84"/>
    <w:rsid w:val="00B40CF7"/>
    <w:rsid w:val="00B40ED6"/>
    <w:rsid w:val="00B4230E"/>
    <w:rsid w:val="00B43A50"/>
    <w:rsid w:val="00B44EC4"/>
    <w:rsid w:val="00B47E93"/>
    <w:rsid w:val="00B510CC"/>
    <w:rsid w:val="00B52157"/>
    <w:rsid w:val="00B53650"/>
    <w:rsid w:val="00B5598A"/>
    <w:rsid w:val="00B562FA"/>
    <w:rsid w:val="00B5666B"/>
    <w:rsid w:val="00B60BEF"/>
    <w:rsid w:val="00B665DB"/>
    <w:rsid w:val="00B6724E"/>
    <w:rsid w:val="00B70C49"/>
    <w:rsid w:val="00B70FB3"/>
    <w:rsid w:val="00B71863"/>
    <w:rsid w:val="00B722BF"/>
    <w:rsid w:val="00B74660"/>
    <w:rsid w:val="00B76402"/>
    <w:rsid w:val="00B76565"/>
    <w:rsid w:val="00B77AFC"/>
    <w:rsid w:val="00B8052B"/>
    <w:rsid w:val="00B82506"/>
    <w:rsid w:val="00B82EE8"/>
    <w:rsid w:val="00B845A6"/>
    <w:rsid w:val="00B85849"/>
    <w:rsid w:val="00B85E88"/>
    <w:rsid w:val="00B867A5"/>
    <w:rsid w:val="00B900D5"/>
    <w:rsid w:val="00B90EFF"/>
    <w:rsid w:val="00B91428"/>
    <w:rsid w:val="00B91E0B"/>
    <w:rsid w:val="00B928D1"/>
    <w:rsid w:val="00B9292E"/>
    <w:rsid w:val="00B92A9D"/>
    <w:rsid w:val="00B96107"/>
    <w:rsid w:val="00B96C4F"/>
    <w:rsid w:val="00B97FDF"/>
    <w:rsid w:val="00BA18DA"/>
    <w:rsid w:val="00BA4BC3"/>
    <w:rsid w:val="00BB054D"/>
    <w:rsid w:val="00BB1670"/>
    <w:rsid w:val="00BB193A"/>
    <w:rsid w:val="00BB3D07"/>
    <w:rsid w:val="00BB57C3"/>
    <w:rsid w:val="00BC37C4"/>
    <w:rsid w:val="00BC4273"/>
    <w:rsid w:val="00BC5715"/>
    <w:rsid w:val="00BC5722"/>
    <w:rsid w:val="00BD1A47"/>
    <w:rsid w:val="00BD4D46"/>
    <w:rsid w:val="00BD5489"/>
    <w:rsid w:val="00BD6B2A"/>
    <w:rsid w:val="00BD6FD0"/>
    <w:rsid w:val="00BE02E5"/>
    <w:rsid w:val="00BE15CD"/>
    <w:rsid w:val="00BE2B81"/>
    <w:rsid w:val="00BE3073"/>
    <w:rsid w:val="00BE6477"/>
    <w:rsid w:val="00BE6779"/>
    <w:rsid w:val="00BF0FD0"/>
    <w:rsid w:val="00BF25E8"/>
    <w:rsid w:val="00BF2BDE"/>
    <w:rsid w:val="00BF503B"/>
    <w:rsid w:val="00BF775A"/>
    <w:rsid w:val="00BF79CE"/>
    <w:rsid w:val="00BF7AE3"/>
    <w:rsid w:val="00C00CE9"/>
    <w:rsid w:val="00C00D8F"/>
    <w:rsid w:val="00C02EFE"/>
    <w:rsid w:val="00C045B7"/>
    <w:rsid w:val="00C07263"/>
    <w:rsid w:val="00C072F3"/>
    <w:rsid w:val="00C118F4"/>
    <w:rsid w:val="00C142E4"/>
    <w:rsid w:val="00C1642E"/>
    <w:rsid w:val="00C16480"/>
    <w:rsid w:val="00C2014A"/>
    <w:rsid w:val="00C20DBA"/>
    <w:rsid w:val="00C2131F"/>
    <w:rsid w:val="00C253A1"/>
    <w:rsid w:val="00C26959"/>
    <w:rsid w:val="00C27FBB"/>
    <w:rsid w:val="00C301C4"/>
    <w:rsid w:val="00C30986"/>
    <w:rsid w:val="00C31924"/>
    <w:rsid w:val="00C31C63"/>
    <w:rsid w:val="00C33903"/>
    <w:rsid w:val="00C36557"/>
    <w:rsid w:val="00C3683F"/>
    <w:rsid w:val="00C376EC"/>
    <w:rsid w:val="00C4181C"/>
    <w:rsid w:val="00C41B37"/>
    <w:rsid w:val="00C42405"/>
    <w:rsid w:val="00C43B03"/>
    <w:rsid w:val="00C4714E"/>
    <w:rsid w:val="00C50008"/>
    <w:rsid w:val="00C60404"/>
    <w:rsid w:val="00C615B5"/>
    <w:rsid w:val="00C63A4B"/>
    <w:rsid w:val="00C63CBD"/>
    <w:rsid w:val="00C65671"/>
    <w:rsid w:val="00C6579F"/>
    <w:rsid w:val="00C66A8A"/>
    <w:rsid w:val="00C66D70"/>
    <w:rsid w:val="00C67D20"/>
    <w:rsid w:val="00C67F0A"/>
    <w:rsid w:val="00C70F0B"/>
    <w:rsid w:val="00C71C72"/>
    <w:rsid w:val="00C71E27"/>
    <w:rsid w:val="00C72198"/>
    <w:rsid w:val="00C73386"/>
    <w:rsid w:val="00C73664"/>
    <w:rsid w:val="00C739EB"/>
    <w:rsid w:val="00C73E99"/>
    <w:rsid w:val="00C76D9F"/>
    <w:rsid w:val="00C77B3A"/>
    <w:rsid w:val="00C81EF8"/>
    <w:rsid w:val="00C82B4E"/>
    <w:rsid w:val="00C85F84"/>
    <w:rsid w:val="00C87B3E"/>
    <w:rsid w:val="00C87B9F"/>
    <w:rsid w:val="00C91E10"/>
    <w:rsid w:val="00C94265"/>
    <w:rsid w:val="00C94B2A"/>
    <w:rsid w:val="00C94D98"/>
    <w:rsid w:val="00C95052"/>
    <w:rsid w:val="00C97144"/>
    <w:rsid w:val="00C975F3"/>
    <w:rsid w:val="00CA00CE"/>
    <w:rsid w:val="00CA2954"/>
    <w:rsid w:val="00CA3C13"/>
    <w:rsid w:val="00CA4C3B"/>
    <w:rsid w:val="00CA61F0"/>
    <w:rsid w:val="00CB0708"/>
    <w:rsid w:val="00CB0A7F"/>
    <w:rsid w:val="00CB1EB1"/>
    <w:rsid w:val="00CB5121"/>
    <w:rsid w:val="00CB5544"/>
    <w:rsid w:val="00CB6828"/>
    <w:rsid w:val="00CB6ADD"/>
    <w:rsid w:val="00CB6DD8"/>
    <w:rsid w:val="00CB7E3C"/>
    <w:rsid w:val="00CC2967"/>
    <w:rsid w:val="00CC2D99"/>
    <w:rsid w:val="00CC2E7E"/>
    <w:rsid w:val="00CC3447"/>
    <w:rsid w:val="00CC37AA"/>
    <w:rsid w:val="00CC3920"/>
    <w:rsid w:val="00CD04DE"/>
    <w:rsid w:val="00CD160D"/>
    <w:rsid w:val="00CD18AF"/>
    <w:rsid w:val="00CD33E1"/>
    <w:rsid w:val="00CD48B8"/>
    <w:rsid w:val="00CD4DD0"/>
    <w:rsid w:val="00CE05FC"/>
    <w:rsid w:val="00CE2603"/>
    <w:rsid w:val="00CE4451"/>
    <w:rsid w:val="00CE4C99"/>
    <w:rsid w:val="00CE5741"/>
    <w:rsid w:val="00CE63CF"/>
    <w:rsid w:val="00CE70D1"/>
    <w:rsid w:val="00CF106F"/>
    <w:rsid w:val="00CF36D8"/>
    <w:rsid w:val="00CF3A60"/>
    <w:rsid w:val="00CF6B0C"/>
    <w:rsid w:val="00CF7A0F"/>
    <w:rsid w:val="00D00F6E"/>
    <w:rsid w:val="00D024FD"/>
    <w:rsid w:val="00D027EF"/>
    <w:rsid w:val="00D04D58"/>
    <w:rsid w:val="00D06282"/>
    <w:rsid w:val="00D066AD"/>
    <w:rsid w:val="00D1084F"/>
    <w:rsid w:val="00D1297F"/>
    <w:rsid w:val="00D16AEE"/>
    <w:rsid w:val="00D16F69"/>
    <w:rsid w:val="00D237FB"/>
    <w:rsid w:val="00D249D1"/>
    <w:rsid w:val="00D27776"/>
    <w:rsid w:val="00D3121B"/>
    <w:rsid w:val="00D31C5E"/>
    <w:rsid w:val="00D31DB4"/>
    <w:rsid w:val="00D32923"/>
    <w:rsid w:val="00D33813"/>
    <w:rsid w:val="00D3399D"/>
    <w:rsid w:val="00D36DA3"/>
    <w:rsid w:val="00D37955"/>
    <w:rsid w:val="00D40017"/>
    <w:rsid w:val="00D43160"/>
    <w:rsid w:val="00D43FA8"/>
    <w:rsid w:val="00D51F4E"/>
    <w:rsid w:val="00D53B78"/>
    <w:rsid w:val="00D5477A"/>
    <w:rsid w:val="00D55629"/>
    <w:rsid w:val="00D55979"/>
    <w:rsid w:val="00D56C1D"/>
    <w:rsid w:val="00D57225"/>
    <w:rsid w:val="00D573EC"/>
    <w:rsid w:val="00D60431"/>
    <w:rsid w:val="00D60BD4"/>
    <w:rsid w:val="00D60EF4"/>
    <w:rsid w:val="00D61227"/>
    <w:rsid w:val="00D6202B"/>
    <w:rsid w:val="00D6242C"/>
    <w:rsid w:val="00D62B7D"/>
    <w:rsid w:val="00D62F1B"/>
    <w:rsid w:val="00D644BB"/>
    <w:rsid w:val="00D668AA"/>
    <w:rsid w:val="00D71A33"/>
    <w:rsid w:val="00D71DB2"/>
    <w:rsid w:val="00D72948"/>
    <w:rsid w:val="00D76B47"/>
    <w:rsid w:val="00D76E21"/>
    <w:rsid w:val="00D8071C"/>
    <w:rsid w:val="00D833D1"/>
    <w:rsid w:val="00D92A07"/>
    <w:rsid w:val="00D9492C"/>
    <w:rsid w:val="00D94FF7"/>
    <w:rsid w:val="00D95270"/>
    <w:rsid w:val="00DA227C"/>
    <w:rsid w:val="00DA4075"/>
    <w:rsid w:val="00DA4E35"/>
    <w:rsid w:val="00DB3D29"/>
    <w:rsid w:val="00DB7535"/>
    <w:rsid w:val="00DB7813"/>
    <w:rsid w:val="00DC3A83"/>
    <w:rsid w:val="00DC5448"/>
    <w:rsid w:val="00DC5B87"/>
    <w:rsid w:val="00DC6DEA"/>
    <w:rsid w:val="00DD01C6"/>
    <w:rsid w:val="00DD01FE"/>
    <w:rsid w:val="00DD0C49"/>
    <w:rsid w:val="00DD1416"/>
    <w:rsid w:val="00DD6792"/>
    <w:rsid w:val="00DD77ED"/>
    <w:rsid w:val="00DE06FC"/>
    <w:rsid w:val="00DE3F38"/>
    <w:rsid w:val="00DE4F81"/>
    <w:rsid w:val="00DE5B76"/>
    <w:rsid w:val="00DE6266"/>
    <w:rsid w:val="00DF49F0"/>
    <w:rsid w:val="00DF5056"/>
    <w:rsid w:val="00DF5B73"/>
    <w:rsid w:val="00DF6BB0"/>
    <w:rsid w:val="00E0161E"/>
    <w:rsid w:val="00E0559C"/>
    <w:rsid w:val="00E1014F"/>
    <w:rsid w:val="00E13135"/>
    <w:rsid w:val="00E142A0"/>
    <w:rsid w:val="00E146C0"/>
    <w:rsid w:val="00E1511C"/>
    <w:rsid w:val="00E16417"/>
    <w:rsid w:val="00E20908"/>
    <w:rsid w:val="00E2231D"/>
    <w:rsid w:val="00E2264D"/>
    <w:rsid w:val="00E22B1E"/>
    <w:rsid w:val="00E22CE4"/>
    <w:rsid w:val="00E2471E"/>
    <w:rsid w:val="00E27B7E"/>
    <w:rsid w:val="00E31676"/>
    <w:rsid w:val="00E32FAC"/>
    <w:rsid w:val="00E3315F"/>
    <w:rsid w:val="00E33C98"/>
    <w:rsid w:val="00E35476"/>
    <w:rsid w:val="00E36181"/>
    <w:rsid w:val="00E37A27"/>
    <w:rsid w:val="00E403A7"/>
    <w:rsid w:val="00E4053B"/>
    <w:rsid w:val="00E4163A"/>
    <w:rsid w:val="00E4285C"/>
    <w:rsid w:val="00E47131"/>
    <w:rsid w:val="00E473A2"/>
    <w:rsid w:val="00E5025C"/>
    <w:rsid w:val="00E51797"/>
    <w:rsid w:val="00E51B66"/>
    <w:rsid w:val="00E53A9F"/>
    <w:rsid w:val="00E55BCC"/>
    <w:rsid w:val="00E56233"/>
    <w:rsid w:val="00E60808"/>
    <w:rsid w:val="00E65C4D"/>
    <w:rsid w:val="00E660ED"/>
    <w:rsid w:val="00E72279"/>
    <w:rsid w:val="00E728FF"/>
    <w:rsid w:val="00E75516"/>
    <w:rsid w:val="00E8227F"/>
    <w:rsid w:val="00E82723"/>
    <w:rsid w:val="00E831E8"/>
    <w:rsid w:val="00E836DA"/>
    <w:rsid w:val="00E85CD4"/>
    <w:rsid w:val="00E86A24"/>
    <w:rsid w:val="00E907D0"/>
    <w:rsid w:val="00E907F6"/>
    <w:rsid w:val="00E911FA"/>
    <w:rsid w:val="00E94C97"/>
    <w:rsid w:val="00E95260"/>
    <w:rsid w:val="00E976D7"/>
    <w:rsid w:val="00EA0F79"/>
    <w:rsid w:val="00EA2748"/>
    <w:rsid w:val="00EA45D1"/>
    <w:rsid w:val="00EA4A3D"/>
    <w:rsid w:val="00EA6F25"/>
    <w:rsid w:val="00EA7F52"/>
    <w:rsid w:val="00EB0DAB"/>
    <w:rsid w:val="00EB11CC"/>
    <w:rsid w:val="00EB1712"/>
    <w:rsid w:val="00EB1CF6"/>
    <w:rsid w:val="00EB357F"/>
    <w:rsid w:val="00EB4237"/>
    <w:rsid w:val="00EB5456"/>
    <w:rsid w:val="00EB5535"/>
    <w:rsid w:val="00EB7FF4"/>
    <w:rsid w:val="00EC16BF"/>
    <w:rsid w:val="00EC3B00"/>
    <w:rsid w:val="00EC7D16"/>
    <w:rsid w:val="00EC7D53"/>
    <w:rsid w:val="00ED1420"/>
    <w:rsid w:val="00ED19D1"/>
    <w:rsid w:val="00ED208E"/>
    <w:rsid w:val="00ED41E5"/>
    <w:rsid w:val="00ED41F1"/>
    <w:rsid w:val="00ED438C"/>
    <w:rsid w:val="00ED5713"/>
    <w:rsid w:val="00EE00BC"/>
    <w:rsid w:val="00EE1F98"/>
    <w:rsid w:val="00EE2AF7"/>
    <w:rsid w:val="00EE44FB"/>
    <w:rsid w:val="00EE7C5A"/>
    <w:rsid w:val="00EF0A1D"/>
    <w:rsid w:val="00EF15E5"/>
    <w:rsid w:val="00EF4218"/>
    <w:rsid w:val="00EF55EE"/>
    <w:rsid w:val="00F0253D"/>
    <w:rsid w:val="00F04D06"/>
    <w:rsid w:val="00F05022"/>
    <w:rsid w:val="00F07F1E"/>
    <w:rsid w:val="00F10078"/>
    <w:rsid w:val="00F10A02"/>
    <w:rsid w:val="00F12384"/>
    <w:rsid w:val="00F13386"/>
    <w:rsid w:val="00F13633"/>
    <w:rsid w:val="00F15C12"/>
    <w:rsid w:val="00F1620A"/>
    <w:rsid w:val="00F16221"/>
    <w:rsid w:val="00F16741"/>
    <w:rsid w:val="00F2295E"/>
    <w:rsid w:val="00F233F8"/>
    <w:rsid w:val="00F25B38"/>
    <w:rsid w:val="00F27032"/>
    <w:rsid w:val="00F303E1"/>
    <w:rsid w:val="00F31A99"/>
    <w:rsid w:val="00F32C03"/>
    <w:rsid w:val="00F33DEF"/>
    <w:rsid w:val="00F34ED2"/>
    <w:rsid w:val="00F36345"/>
    <w:rsid w:val="00F46215"/>
    <w:rsid w:val="00F47034"/>
    <w:rsid w:val="00F47C0F"/>
    <w:rsid w:val="00F536E0"/>
    <w:rsid w:val="00F53C0E"/>
    <w:rsid w:val="00F53E04"/>
    <w:rsid w:val="00F56593"/>
    <w:rsid w:val="00F57A3C"/>
    <w:rsid w:val="00F60175"/>
    <w:rsid w:val="00F604EA"/>
    <w:rsid w:val="00F61753"/>
    <w:rsid w:val="00F635A5"/>
    <w:rsid w:val="00F656F3"/>
    <w:rsid w:val="00F656F5"/>
    <w:rsid w:val="00F663CC"/>
    <w:rsid w:val="00F670BA"/>
    <w:rsid w:val="00F70DE5"/>
    <w:rsid w:val="00F71A74"/>
    <w:rsid w:val="00F72168"/>
    <w:rsid w:val="00F7598D"/>
    <w:rsid w:val="00F80F47"/>
    <w:rsid w:val="00F81FF7"/>
    <w:rsid w:val="00F82E16"/>
    <w:rsid w:val="00F8431D"/>
    <w:rsid w:val="00F8770A"/>
    <w:rsid w:val="00F90011"/>
    <w:rsid w:val="00F9084E"/>
    <w:rsid w:val="00F91AB3"/>
    <w:rsid w:val="00F92B1A"/>
    <w:rsid w:val="00F9320E"/>
    <w:rsid w:val="00F93D27"/>
    <w:rsid w:val="00F958FF"/>
    <w:rsid w:val="00F97C47"/>
    <w:rsid w:val="00FA25A5"/>
    <w:rsid w:val="00FA33F9"/>
    <w:rsid w:val="00FA4145"/>
    <w:rsid w:val="00FA7768"/>
    <w:rsid w:val="00FB4187"/>
    <w:rsid w:val="00FB4BB9"/>
    <w:rsid w:val="00FB718D"/>
    <w:rsid w:val="00FB7805"/>
    <w:rsid w:val="00FC03D5"/>
    <w:rsid w:val="00FC065A"/>
    <w:rsid w:val="00FD1395"/>
    <w:rsid w:val="00FD1CCA"/>
    <w:rsid w:val="00FE118D"/>
    <w:rsid w:val="00FE1AEA"/>
    <w:rsid w:val="00FE3913"/>
    <w:rsid w:val="00FE4E78"/>
    <w:rsid w:val="00FE57CF"/>
    <w:rsid w:val="00FE6860"/>
    <w:rsid w:val="00FE69F8"/>
    <w:rsid w:val="00FE7891"/>
    <w:rsid w:val="00FF0A1C"/>
    <w:rsid w:val="00FF37EA"/>
    <w:rsid w:val="00FF659C"/>
    <w:rsid w:val="00FF68F1"/>
    <w:rsid w:val="00FF76EF"/>
    <w:rsid w:val="00FF7822"/>
    <w:rsid w:val="00FF7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semiHidden/>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link w:val="FootnoteTextChar"/>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rsid w:val="00325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uiPriority w:val="99"/>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semiHidden/>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link w:val="FootnoteTextChar"/>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uiPriority w:val="99"/>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rsid w:val="00325F89"/>
  </w:style>
</w:styles>
</file>

<file path=word/webSettings.xml><?xml version="1.0" encoding="utf-8"?>
<w:webSettings xmlns:r="http://schemas.openxmlformats.org/officeDocument/2006/relationships" xmlns:w="http://schemas.openxmlformats.org/wordprocessingml/2006/main">
  <w:divs>
    <w:div w:id="84033822">
      <w:bodyDiv w:val="1"/>
      <w:marLeft w:val="0"/>
      <w:marRight w:val="0"/>
      <w:marTop w:val="0"/>
      <w:marBottom w:val="0"/>
      <w:divBdr>
        <w:top w:val="none" w:sz="0" w:space="0" w:color="auto"/>
        <w:left w:val="none" w:sz="0" w:space="0" w:color="auto"/>
        <w:bottom w:val="none" w:sz="0" w:space="0" w:color="auto"/>
        <w:right w:val="none" w:sz="0" w:space="0" w:color="auto"/>
      </w:divBdr>
      <w:divsChild>
        <w:div w:id="568735524">
          <w:marLeft w:val="0"/>
          <w:marRight w:val="0"/>
          <w:marTop w:val="0"/>
          <w:marBottom w:val="0"/>
          <w:divBdr>
            <w:top w:val="none" w:sz="0" w:space="0" w:color="auto"/>
            <w:left w:val="none" w:sz="0" w:space="0" w:color="auto"/>
            <w:bottom w:val="none" w:sz="0" w:space="0" w:color="auto"/>
            <w:right w:val="none" w:sz="0" w:space="0" w:color="auto"/>
          </w:divBdr>
        </w:div>
        <w:div w:id="2124954216">
          <w:marLeft w:val="0"/>
          <w:marRight w:val="0"/>
          <w:marTop w:val="0"/>
          <w:marBottom w:val="0"/>
          <w:divBdr>
            <w:top w:val="none" w:sz="0" w:space="0" w:color="auto"/>
            <w:left w:val="none" w:sz="0" w:space="0" w:color="auto"/>
            <w:bottom w:val="none" w:sz="0" w:space="0" w:color="auto"/>
            <w:right w:val="none" w:sz="0" w:space="0" w:color="auto"/>
          </w:divBdr>
        </w:div>
        <w:div w:id="1230573896">
          <w:marLeft w:val="0"/>
          <w:marRight w:val="0"/>
          <w:marTop w:val="0"/>
          <w:marBottom w:val="0"/>
          <w:divBdr>
            <w:top w:val="none" w:sz="0" w:space="0" w:color="auto"/>
            <w:left w:val="none" w:sz="0" w:space="0" w:color="auto"/>
            <w:bottom w:val="none" w:sz="0" w:space="0" w:color="auto"/>
            <w:right w:val="none" w:sz="0" w:space="0" w:color="auto"/>
          </w:divBdr>
        </w:div>
        <w:div w:id="1933272745">
          <w:marLeft w:val="0"/>
          <w:marRight w:val="0"/>
          <w:marTop w:val="0"/>
          <w:marBottom w:val="0"/>
          <w:divBdr>
            <w:top w:val="none" w:sz="0" w:space="0" w:color="auto"/>
            <w:left w:val="none" w:sz="0" w:space="0" w:color="auto"/>
            <w:bottom w:val="none" w:sz="0" w:space="0" w:color="auto"/>
            <w:right w:val="none" w:sz="0" w:space="0" w:color="auto"/>
          </w:divBdr>
        </w:div>
      </w:divsChild>
    </w:div>
    <w:div w:id="95563276">
      <w:bodyDiv w:val="1"/>
      <w:marLeft w:val="0"/>
      <w:marRight w:val="0"/>
      <w:marTop w:val="0"/>
      <w:marBottom w:val="0"/>
      <w:divBdr>
        <w:top w:val="none" w:sz="0" w:space="0" w:color="auto"/>
        <w:left w:val="none" w:sz="0" w:space="0" w:color="auto"/>
        <w:bottom w:val="none" w:sz="0" w:space="0" w:color="auto"/>
        <w:right w:val="none" w:sz="0" w:space="0" w:color="auto"/>
      </w:divBdr>
    </w:div>
    <w:div w:id="218594083">
      <w:bodyDiv w:val="1"/>
      <w:marLeft w:val="0"/>
      <w:marRight w:val="0"/>
      <w:marTop w:val="0"/>
      <w:marBottom w:val="0"/>
      <w:divBdr>
        <w:top w:val="none" w:sz="0" w:space="0" w:color="auto"/>
        <w:left w:val="none" w:sz="0" w:space="0" w:color="auto"/>
        <w:bottom w:val="none" w:sz="0" w:space="0" w:color="auto"/>
        <w:right w:val="none" w:sz="0" w:space="0" w:color="auto"/>
      </w:divBdr>
    </w:div>
    <w:div w:id="225341339">
      <w:bodyDiv w:val="1"/>
      <w:marLeft w:val="0"/>
      <w:marRight w:val="0"/>
      <w:marTop w:val="0"/>
      <w:marBottom w:val="0"/>
      <w:divBdr>
        <w:top w:val="none" w:sz="0" w:space="0" w:color="auto"/>
        <w:left w:val="none" w:sz="0" w:space="0" w:color="auto"/>
        <w:bottom w:val="none" w:sz="0" w:space="0" w:color="auto"/>
        <w:right w:val="none" w:sz="0" w:space="0" w:color="auto"/>
      </w:divBdr>
    </w:div>
    <w:div w:id="316541788">
      <w:bodyDiv w:val="1"/>
      <w:marLeft w:val="0"/>
      <w:marRight w:val="0"/>
      <w:marTop w:val="0"/>
      <w:marBottom w:val="0"/>
      <w:divBdr>
        <w:top w:val="none" w:sz="0" w:space="0" w:color="auto"/>
        <w:left w:val="none" w:sz="0" w:space="0" w:color="auto"/>
        <w:bottom w:val="none" w:sz="0" w:space="0" w:color="auto"/>
        <w:right w:val="none" w:sz="0" w:space="0" w:color="auto"/>
      </w:divBdr>
    </w:div>
    <w:div w:id="418912981">
      <w:bodyDiv w:val="1"/>
      <w:marLeft w:val="0"/>
      <w:marRight w:val="0"/>
      <w:marTop w:val="0"/>
      <w:marBottom w:val="0"/>
      <w:divBdr>
        <w:top w:val="none" w:sz="0" w:space="0" w:color="auto"/>
        <w:left w:val="none" w:sz="0" w:space="0" w:color="auto"/>
        <w:bottom w:val="none" w:sz="0" w:space="0" w:color="auto"/>
        <w:right w:val="none" w:sz="0" w:space="0" w:color="auto"/>
      </w:divBdr>
    </w:div>
    <w:div w:id="556745832">
      <w:bodyDiv w:val="1"/>
      <w:marLeft w:val="0"/>
      <w:marRight w:val="0"/>
      <w:marTop w:val="0"/>
      <w:marBottom w:val="0"/>
      <w:divBdr>
        <w:top w:val="none" w:sz="0" w:space="0" w:color="auto"/>
        <w:left w:val="none" w:sz="0" w:space="0" w:color="auto"/>
        <w:bottom w:val="none" w:sz="0" w:space="0" w:color="auto"/>
        <w:right w:val="none" w:sz="0" w:space="0" w:color="auto"/>
      </w:divBdr>
    </w:div>
    <w:div w:id="614561505">
      <w:bodyDiv w:val="1"/>
      <w:marLeft w:val="0"/>
      <w:marRight w:val="0"/>
      <w:marTop w:val="0"/>
      <w:marBottom w:val="0"/>
      <w:divBdr>
        <w:top w:val="none" w:sz="0" w:space="0" w:color="auto"/>
        <w:left w:val="none" w:sz="0" w:space="0" w:color="auto"/>
        <w:bottom w:val="none" w:sz="0" w:space="0" w:color="auto"/>
        <w:right w:val="none" w:sz="0" w:space="0" w:color="auto"/>
      </w:divBdr>
    </w:div>
    <w:div w:id="809202318">
      <w:bodyDiv w:val="1"/>
      <w:marLeft w:val="0"/>
      <w:marRight w:val="0"/>
      <w:marTop w:val="0"/>
      <w:marBottom w:val="0"/>
      <w:divBdr>
        <w:top w:val="none" w:sz="0" w:space="0" w:color="auto"/>
        <w:left w:val="none" w:sz="0" w:space="0" w:color="auto"/>
        <w:bottom w:val="none" w:sz="0" w:space="0" w:color="auto"/>
        <w:right w:val="none" w:sz="0" w:space="0" w:color="auto"/>
      </w:divBdr>
    </w:div>
    <w:div w:id="844170284">
      <w:bodyDiv w:val="1"/>
      <w:marLeft w:val="0"/>
      <w:marRight w:val="0"/>
      <w:marTop w:val="0"/>
      <w:marBottom w:val="0"/>
      <w:divBdr>
        <w:top w:val="none" w:sz="0" w:space="0" w:color="auto"/>
        <w:left w:val="none" w:sz="0" w:space="0" w:color="auto"/>
        <w:bottom w:val="none" w:sz="0" w:space="0" w:color="auto"/>
        <w:right w:val="none" w:sz="0" w:space="0" w:color="auto"/>
      </w:divBdr>
    </w:div>
    <w:div w:id="930162291">
      <w:bodyDiv w:val="1"/>
      <w:marLeft w:val="0"/>
      <w:marRight w:val="0"/>
      <w:marTop w:val="0"/>
      <w:marBottom w:val="0"/>
      <w:divBdr>
        <w:top w:val="none" w:sz="0" w:space="0" w:color="auto"/>
        <w:left w:val="none" w:sz="0" w:space="0" w:color="auto"/>
        <w:bottom w:val="none" w:sz="0" w:space="0" w:color="auto"/>
        <w:right w:val="none" w:sz="0" w:space="0" w:color="auto"/>
      </w:divBdr>
    </w:div>
    <w:div w:id="976958765">
      <w:bodyDiv w:val="1"/>
      <w:marLeft w:val="0"/>
      <w:marRight w:val="0"/>
      <w:marTop w:val="0"/>
      <w:marBottom w:val="0"/>
      <w:divBdr>
        <w:top w:val="none" w:sz="0" w:space="0" w:color="auto"/>
        <w:left w:val="none" w:sz="0" w:space="0" w:color="auto"/>
        <w:bottom w:val="none" w:sz="0" w:space="0" w:color="auto"/>
        <w:right w:val="none" w:sz="0" w:space="0" w:color="auto"/>
      </w:divBdr>
    </w:div>
    <w:div w:id="1098601786">
      <w:bodyDiv w:val="1"/>
      <w:marLeft w:val="0"/>
      <w:marRight w:val="0"/>
      <w:marTop w:val="0"/>
      <w:marBottom w:val="0"/>
      <w:divBdr>
        <w:top w:val="none" w:sz="0" w:space="0" w:color="auto"/>
        <w:left w:val="none" w:sz="0" w:space="0" w:color="auto"/>
        <w:bottom w:val="none" w:sz="0" w:space="0" w:color="auto"/>
        <w:right w:val="none" w:sz="0" w:space="0" w:color="auto"/>
      </w:divBdr>
    </w:div>
    <w:div w:id="1130785686">
      <w:bodyDiv w:val="1"/>
      <w:marLeft w:val="0"/>
      <w:marRight w:val="0"/>
      <w:marTop w:val="0"/>
      <w:marBottom w:val="0"/>
      <w:divBdr>
        <w:top w:val="none" w:sz="0" w:space="0" w:color="auto"/>
        <w:left w:val="none" w:sz="0" w:space="0" w:color="auto"/>
        <w:bottom w:val="none" w:sz="0" w:space="0" w:color="auto"/>
        <w:right w:val="none" w:sz="0" w:space="0" w:color="auto"/>
      </w:divBdr>
    </w:div>
    <w:div w:id="1256748479">
      <w:bodyDiv w:val="1"/>
      <w:marLeft w:val="0"/>
      <w:marRight w:val="0"/>
      <w:marTop w:val="0"/>
      <w:marBottom w:val="0"/>
      <w:divBdr>
        <w:top w:val="none" w:sz="0" w:space="0" w:color="auto"/>
        <w:left w:val="none" w:sz="0" w:space="0" w:color="auto"/>
        <w:bottom w:val="none" w:sz="0" w:space="0" w:color="auto"/>
        <w:right w:val="none" w:sz="0" w:space="0" w:color="auto"/>
      </w:divBdr>
    </w:div>
    <w:div w:id="1256940766">
      <w:bodyDiv w:val="1"/>
      <w:marLeft w:val="0"/>
      <w:marRight w:val="0"/>
      <w:marTop w:val="0"/>
      <w:marBottom w:val="0"/>
      <w:divBdr>
        <w:top w:val="none" w:sz="0" w:space="0" w:color="auto"/>
        <w:left w:val="none" w:sz="0" w:space="0" w:color="auto"/>
        <w:bottom w:val="none" w:sz="0" w:space="0" w:color="auto"/>
        <w:right w:val="none" w:sz="0" w:space="0" w:color="auto"/>
      </w:divBdr>
    </w:div>
    <w:div w:id="1263369308">
      <w:bodyDiv w:val="1"/>
      <w:marLeft w:val="0"/>
      <w:marRight w:val="0"/>
      <w:marTop w:val="0"/>
      <w:marBottom w:val="0"/>
      <w:divBdr>
        <w:top w:val="none" w:sz="0" w:space="0" w:color="auto"/>
        <w:left w:val="none" w:sz="0" w:space="0" w:color="auto"/>
        <w:bottom w:val="none" w:sz="0" w:space="0" w:color="auto"/>
        <w:right w:val="none" w:sz="0" w:space="0" w:color="auto"/>
      </w:divBdr>
    </w:div>
    <w:div w:id="1325814508">
      <w:bodyDiv w:val="1"/>
      <w:marLeft w:val="0"/>
      <w:marRight w:val="0"/>
      <w:marTop w:val="0"/>
      <w:marBottom w:val="0"/>
      <w:divBdr>
        <w:top w:val="none" w:sz="0" w:space="0" w:color="auto"/>
        <w:left w:val="none" w:sz="0" w:space="0" w:color="auto"/>
        <w:bottom w:val="none" w:sz="0" w:space="0" w:color="auto"/>
        <w:right w:val="none" w:sz="0" w:space="0" w:color="auto"/>
      </w:divBdr>
    </w:div>
    <w:div w:id="1549145950">
      <w:bodyDiv w:val="1"/>
      <w:marLeft w:val="0"/>
      <w:marRight w:val="0"/>
      <w:marTop w:val="0"/>
      <w:marBottom w:val="0"/>
      <w:divBdr>
        <w:top w:val="none" w:sz="0" w:space="0" w:color="auto"/>
        <w:left w:val="none" w:sz="0" w:space="0" w:color="auto"/>
        <w:bottom w:val="none" w:sz="0" w:space="0" w:color="auto"/>
        <w:right w:val="none" w:sz="0" w:space="0" w:color="auto"/>
      </w:divBdr>
    </w:div>
    <w:div w:id="1621759417">
      <w:bodyDiv w:val="1"/>
      <w:marLeft w:val="0"/>
      <w:marRight w:val="0"/>
      <w:marTop w:val="0"/>
      <w:marBottom w:val="0"/>
      <w:divBdr>
        <w:top w:val="none" w:sz="0" w:space="0" w:color="auto"/>
        <w:left w:val="none" w:sz="0" w:space="0" w:color="auto"/>
        <w:bottom w:val="none" w:sz="0" w:space="0" w:color="auto"/>
        <w:right w:val="none" w:sz="0" w:space="0" w:color="auto"/>
      </w:divBdr>
    </w:div>
    <w:div w:id="1629244730">
      <w:bodyDiv w:val="1"/>
      <w:marLeft w:val="0"/>
      <w:marRight w:val="0"/>
      <w:marTop w:val="0"/>
      <w:marBottom w:val="0"/>
      <w:divBdr>
        <w:top w:val="none" w:sz="0" w:space="0" w:color="auto"/>
        <w:left w:val="none" w:sz="0" w:space="0" w:color="auto"/>
        <w:bottom w:val="none" w:sz="0" w:space="0" w:color="auto"/>
        <w:right w:val="none" w:sz="0" w:space="0" w:color="auto"/>
      </w:divBdr>
    </w:div>
    <w:div w:id="1710566810">
      <w:bodyDiv w:val="1"/>
      <w:marLeft w:val="0"/>
      <w:marRight w:val="0"/>
      <w:marTop w:val="0"/>
      <w:marBottom w:val="0"/>
      <w:divBdr>
        <w:top w:val="none" w:sz="0" w:space="0" w:color="auto"/>
        <w:left w:val="none" w:sz="0" w:space="0" w:color="auto"/>
        <w:bottom w:val="none" w:sz="0" w:space="0" w:color="auto"/>
        <w:right w:val="none" w:sz="0" w:space="0" w:color="auto"/>
      </w:divBdr>
    </w:div>
    <w:div w:id="1748771450">
      <w:bodyDiv w:val="1"/>
      <w:marLeft w:val="0"/>
      <w:marRight w:val="0"/>
      <w:marTop w:val="0"/>
      <w:marBottom w:val="0"/>
      <w:divBdr>
        <w:top w:val="none" w:sz="0" w:space="0" w:color="auto"/>
        <w:left w:val="none" w:sz="0" w:space="0" w:color="auto"/>
        <w:bottom w:val="none" w:sz="0" w:space="0" w:color="auto"/>
        <w:right w:val="none" w:sz="0" w:space="0" w:color="auto"/>
      </w:divBdr>
    </w:div>
    <w:div w:id="1929927039">
      <w:bodyDiv w:val="1"/>
      <w:marLeft w:val="0"/>
      <w:marRight w:val="0"/>
      <w:marTop w:val="0"/>
      <w:marBottom w:val="0"/>
      <w:divBdr>
        <w:top w:val="none" w:sz="0" w:space="0" w:color="auto"/>
        <w:left w:val="none" w:sz="0" w:space="0" w:color="auto"/>
        <w:bottom w:val="none" w:sz="0" w:space="0" w:color="auto"/>
        <w:right w:val="none" w:sz="0" w:space="0" w:color="auto"/>
      </w:divBdr>
    </w:div>
    <w:div w:id="1959950100">
      <w:bodyDiv w:val="1"/>
      <w:marLeft w:val="0"/>
      <w:marRight w:val="0"/>
      <w:marTop w:val="0"/>
      <w:marBottom w:val="0"/>
      <w:divBdr>
        <w:top w:val="none" w:sz="0" w:space="0" w:color="auto"/>
        <w:left w:val="none" w:sz="0" w:space="0" w:color="auto"/>
        <w:bottom w:val="none" w:sz="0" w:space="0" w:color="auto"/>
        <w:right w:val="none" w:sz="0" w:space="0" w:color="auto"/>
      </w:divBdr>
    </w:div>
    <w:div w:id="2027100776">
      <w:bodyDiv w:val="1"/>
      <w:marLeft w:val="0"/>
      <w:marRight w:val="0"/>
      <w:marTop w:val="0"/>
      <w:marBottom w:val="0"/>
      <w:divBdr>
        <w:top w:val="none" w:sz="0" w:space="0" w:color="auto"/>
        <w:left w:val="none" w:sz="0" w:space="0" w:color="auto"/>
        <w:bottom w:val="none" w:sz="0" w:space="0" w:color="auto"/>
        <w:right w:val="none" w:sz="0" w:space="0" w:color="auto"/>
      </w:divBdr>
      <w:divsChild>
        <w:div w:id="857963163">
          <w:marLeft w:val="0"/>
          <w:marRight w:val="0"/>
          <w:marTop w:val="0"/>
          <w:marBottom w:val="0"/>
          <w:divBdr>
            <w:top w:val="none" w:sz="0" w:space="0" w:color="auto"/>
            <w:left w:val="none" w:sz="0" w:space="0" w:color="auto"/>
            <w:bottom w:val="none" w:sz="0" w:space="0" w:color="auto"/>
            <w:right w:val="none" w:sz="0" w:space="0" w:color="auto"/>
          </w:divBdr>
        </w:div>
        <w:div w:id="1130395441">
          <w:marLeft w:val="0"/>
          <w:marRight w:val="0"/>
          <w:marTop w:val="0"/>
          <w:marBottom w:val="0"/>
          <w:divBdr>
            <w:top w:val="none" w:sz="0" w:space="0" w:color="auto"/>
            <w:left w:val="none" w:sz="0" w:space="0" w:color="auto"/>
            <w:bottom w:val="none" w:sz="0" w:space="0" w:color="auto"/>
            <w:right w:val="none" w:sz="0" w:space="0" w:color="auto"/>
          </w:divBdr>
        </w:div>
        <w:div w:id="1321618186">
          <w:marLeft w:val="0"/>
          <w:marRight w:val="0"/>
          <w:marTop w:val="0"/>
          <w:marBottom w:val="0"/>
          <w:divBdr>
            <w:top w:val="none" w:sz="0" w:space="0" w:color="auto"/>
            <w:left w:val="none" w:sz="0" w:space="0" w:color="auto"/>
            <w:bottom w:val="none" w:sz="0" w:space="0" w:color="auto"/>
            <w:right w:val="none" w:sz="0" w:space="0" w:color="auto"/>
          </w:divBdr>
        </w:div>
        <w:div w:id="1490249975">
          <w:marLeft w:val="0"/>
          <w:marRight w:val="0"/>
          <w:marTop w:val="0"/>
          <w:marBottom w:val="0"/>
          <w:divBdr>
            <w:top w:val="none" w:sz="0" w:space="0" w:color="auto"/>
            <w:left w:val="none" w:sz="0" w:space="0" w:color="auto"/>
            <w:bottom w:val="none" w:sz="0" w:space="0" w:color="auto"/>
            <w:right w:val="none" w:sz="0" w:space="0" w:color="auto"/>
          </w:divBdr>
        </w:div>
      </w:divsChild>
    </w:div>
    <w:div w:id="2056655712">
      <w:bodyDiv w:val="1"/>
      <w:marLeft w:val="0"/>
      <w:marRight w:val="0"/>
      <w:marTop w:val="0"/>
      <w:marBottom w:val="0"/>
      <w:divBdr>
        <w:top w:val="none" w:sz="0" w:space="0" w:color="auto"/>
        <w:left w:val="none" w:sz="0" w:space="0" w:color="auto"/>
        <w:bottom w:val="none" w:sz="0" w:space="0" w:color="auto"/>
        <w:right w:val="none" w:sz="0" w:space="0" w:color="auto"/>
      </w:divBdr>
    </w:div>
    <w:div w:id="20799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BC36174-B7E2-4926-A67B-8DE2A43B07A4}"/>
</file>

<file path=customXml/itemProps2.xml><?xml version="1.0" encoding="utf-8"?>
<ds:datastoreItem xmlns:ds="http://schemas.openxmlformats.org/officeDocument/2006/customXml" ds:itemID="{A065FA75-409C-422B-B713-245294EE56FF}"/>
</file>

<file path=customXml/itemProps3.xml><?xml version="1.0" encoding="utf-8"?>
<ds:datastoreItem xmlns:ds="http://schemas.openxmlformats.org/officeDocument/2006/customXml" ds:itemID="{439D7DF4-02AA-4CC6-924D-E938118E4502}"/>
</file>

<file path=customXml/itemProps4.xml><?xml version="1.0" encoding="utf-8"?>
<ds:datastoreItem xmlns:ds="http://schemas.openxmlformats.org/officeDocument/2006/customXml" ds:itemID="{4E2865FD-9D70-494E-8285-16740B857DFF}"/>
</file>

<file path=customXml/itemProps5.xml><?xml version="1.0" encoding="utf-8"?>
<ds:datastoreItem xmlns:ds="http://schemas.openxmlformats.org/officeDocument/2006/customXml" ds:itemID="{80B00B0D-BFEE-48BC-8DCC-19527D8E1325}"/>
</file>

<file path=customXml/itemProps6.xml><?xml version="1.0" encoding="utf-8"?>
<ds:datastoreItem xmlns:ds="http://schemas.openxmlformats.org/officeDocument/2006/customXml" ds:itemID="{3D058135-9F1B-4657-B68A-77041543A5D9}"/>
</file>

<file path=docProps/app.xml><?xml version="1.0" encoding="utf-8"?>
<Properties xmlns="http://schemas.openxmlformats.org/officeDocument/2006/extended-properties" xmlns:vt="http://schemas.openxmlformats.org/officeDocument/2006/docPropsVTypes">
  <Template>Normal</Template>
  <TotalTime>86</TotalTime>
  <Pages>45</Pages>
  <Words>10815</Words>
  <Characters>61647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72318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Deen</dc:creator>
  <cp:lastModifiedBy>Jesse O. Gorsuch</cp:lastModifiedBy>
  <cp:revision>33</cp:revision>
  <cp:lastPrinted>2013-04-24T22:23:00Z</cp:lastPrinted>
  <dcterms:created xsi:type="dcterms:W3CDTF">2013-04-24T21:36:00Z</dcterms:created>
  <dcterms:modified xsi:type="dcterms:W3CDTF">2013-04-26T16:35:00Z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0x0101006E56B4D1795A2E4DB2F0B01679ED314A00B6176777121FF042B76DFEF1CB58B307</vt:lpwstr>
  </property>
  <property fmtid="{D5CDD505-2E9C-101B-9397-08002B2CF9AE}" pid="4" name="_docset_NoMedatataSyncRequired">
    <vt:lpwstr>False</vt:lpwstr>
  </property>
</Properties>
</file>