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26C" w:rsidRPr="0066604B" w:rsidRDefault="0070026C" w:rsidP="00880826">
      <w:pPr>
        <w:pStyle w:val="center"/>
        <w:widowControl w:val="0"/>
        <w:rPr>
          <w:szCs w:val="24"/>
        </w:rPr>
      </w:pPr>
      <w:r w:rsidRPr="0066604B">
        <w:rPr>
          <w:szCs w:val="24"/>
        </w:rPr>
        <w:t>BEFORE THE</w:t>
      </w:r>
      <w:r w:rsidR="009217DF" w:rsidRPr="0066604B">
        <w:rPr>
          <w:szCs w:val="24"/>
        </w:rPr>
        <w:br/>
      </w:r>
      <w:r w:rsidRPr="0066604B">
        <w:rPr>
          <w:szCs w:val="24"/>
        </w:rPr>
        <w:t>WASHINGTON UTILITIES AND TRANSPORTATION COMMISSION</w:t>
      </w:r>
    </w:p>
    <w:p w:rsidR="0070026C" w:rsidRPr="0066604B" w:rsidRDefault="0070026C" w:rsidP="0001704D">
      <w:pPr>
        <w:pStyle w:val="center"/>
        <w:widowControl w:val="0"/>
        <w:rPr>
          <w:b w:val="0"/>
          <w:szCs w:val="24"/>
        </w:rPr>
      </w:pPr>
    </w:p>
    <w:p w:rsidR="009217DF" w:rsidRPr="0066604B" w:rsidRDefault="009217DF" w:rsidP="0001704D">
      <w:pPr>
        <w:pStyle w:val="center"/>
        <w:widowControl w:val="0"/>
        <w:rPr>
          <w:b w:val="0"/>
          <w:szCs w:val="24"/>
        </w:rPr>
      </w:pPr>
    </w:p>
    <w:tbl>
      <w:tblPr>
        <w:tblW w:w="8661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98"/>
        <w:gridCol w:w="4063"/>
      </w:tblGrid>
      <w:tr w:rsidR="0070026C" w:rsidRPr="0066604B" w:rsidTr="00F2797D">
        <w:trPr>
          <w:cantSplit/>
        </w:trPr>
        <w:tc>
          <w:tcPr>
            <w:tcW w:w="4598" w:type="dxa"/>
            <w:tcBorders>
              <w:bottom w:val="single" w:sz="4" w:space="0" w:color="auto"/>
              <w:right w:val="single" w:sz="4" w:space="0" w:color="auto"/>
            </w:tcBorders>
          </w:tcPr>
          <w:p w:rsidR="0070026C" w:rsidRPr="0066604B" w:rsidRDefault="0070026C" w:rsidP="0001704D">
            <w:pPr>
              <w:pStyle w:val="plain"/>
              <w:widowControl w:val="0"/>
              <w:rPr>
                <w:szCs w:val="24"/>
              </w:rPr>
            </w:pPr>
            <w:r w:rsidRPr="0066604B">
              <w:rPr>
                <w:szCs w:val="24"/>
              </w:rPr>
              <w:t>WASHINGTON UTILITIES AND</w:t>
            </w:r>
          </w:p>
          <w:p w:rsidR="0070026C" w:rsidRPr="0066604B" w:rsidRDefault="0070026C" w:rsidP="0001704D">
            <w:pPr>
              <w:pStyle w:val="plain"/>
              <w:widowControl w:val="0"/>
              <w:rPr>
                <w:szCs w:val="24"/>
              </w:rPr>
            </w:pPr>
            <w:r w:rsidRPr="0066604B">
              <w:rPr>
                <w:szCs w:val="24"/>
              </w:rPr>
              <w:t>TRANSPORTATION COMMISSION,</w:t>
            </w:r>
          </w:p>
          <w:p w:rsidR="0070026C" w:rsidRPr="0066604B" w:rsidRDefault="0070026C" w:rsidP="0001704D">
            <w:pPr>
              <w:pStyle w:val="plain"/>
              <w:widowControl w:val="0"/>
              <w:rPr>
                <w:szCs w:val="24"/>
              </w:rPr>
            </w:pPr>
          </w:p>
          <w:p w:rsidR="0070026C" w:rsidRPr="0066604B" w:rsidRDefault="00880826" w:rsidP="0066604B">
            <w:pPr>
              <w:pStyle w:val="plain"/>
              <w:widowControl w:val="0"/>
              <w:tabs>
                <w:tab w:val="left" w:pos="2528"/>
              </w:tabs>
              <w:rPr>
                <w:szCs w:val="24"/>
              </w:rPr>
            </w:pPr>
            <w:r w:rsidRPr="0066604B">
              <w:rPr>
                <w:szCs w:val="24"/>
              </w:rPr>
              <w:tab/>
            </w:r>
            <w:r w:rsidR="0070026C" w:rsidRPr="0066604B">
              <w:rPr>
                <w:szCs w:val="24"/>
              </w:rPr>
              <w:t>Complainant,</w:t>
            </w:r>
          </w:p>
          <w:p w:rsidR="0070026C" w:rsidRPr="0066604B" w:rsidRDefault="0070026C" w:rsidP="0001704D">
            <w:pPr>
              <w:pStyle w:val="plain"/>
              <w:widowControl w:val="0"/>
              <w:rPr>
                <w:szCs w:val="24"/>
              </w:rPr>
            </w:pPr>
          </w:p>
          <w:p w:rsidR="0070026C" w:rsidRPr="0066604B" w:rsidRDefault="00103FDE" w:rsidP="0001704D">
            <w:pPr>
              <w:pStyle w:val="plain"/>
              <w:widowControl w:val="0"/>
              <w:rPr>
                <w:szCs w:val="24"/>
              </w:rPr>
            </w:pPr>
            <w:bookmarkStart w:id="0" w:name="lblVersus"/>
            <w:r>
              <w:rPr>
                <w:szCs w:val="24"/>
              </w:rPr>
              <w:t xml:space="preserve">           </w:t>
            </w:r>
            <w:r w:rsidR="0070026C" w:rsidRPr="0066604B">
              <w:rPr>
                <w:szCs w:val="24"/>
              </w:rPr>
              <w:t>v.</w:t>
            </w:r>
            <w:bookmarkEnd w:id="0"/>
          </w:p>
          <w:p w:rsidR="0070026C" w:rsidRPr="0066604B" w:rsidRDefault="00350165" w:rsidP="00350165">
            <w:pPr>
              <w:pStyle w:val="plain"/>
              <w:widowControl w:val="0"/>
              <w:tabs>
                <w:tab w:val="left" w:pos="3060"/>
              </w:tabs>
              <w:rPr>
                <w:szCs w:val="24"/>
              </w:rPr>
            </w:pPr>
            <w:r>
              <w:rPr>
                <w:szCs w:val="24"/>
              </w:rPr>
              <w:tab/>
            </w:r>
          </w:p>
          <w:p w:rsidR="0070026C" w:rsidRPr="0066604B" w:rsidRDefault="00350165" w:rsidP="0001704D">
            <w:pPr>
              <w:pStyle w:val="plain"/>
              <w:widowControl w:val="0"/>
              <w:rPr>
                <w:szCs w:val="24"/>
              </w:rPr>
            </w:pPr>
            <w:r>
              <w:rPr>
                <w:szCs w:val="24"/>
              </w:rPr>
              <w:t>CASCADE NATURAL GAS CORPORATION</w:t>
            </w:r>
          </w:p>
          <w:p w:rsidR="0070026C" w:rsidRPr="0066604B" w:rsidRDefault="0070026C" w:rsidP="0001704D">
            <w:pPr>
              <w:pStyle w:val="plain"/>
              <w:widowControl w:val="0"/>
              <w:rPr>
                <w:szCs w:val="24"/>
              </w:rPr>
            </w:pPr>
          </w:p>
          <w:p w:rsidR="0070026C" w:rsidRPr="0066604B" w:rsidRDefault="0066604B" w:rsidP="0066604B">
            <w:pPr>
              <w:pStyle w:val="plain"/>
              <w:widowControl w:val="0"/>
              <w:tabs>
                <w:tab w:val="left" w:pos="2528"/>
              </w:tabs>
              <w:rPr>
                <w:szCs w:val="24"/>
              </w:rPr>
            </w:pPr>
            <w:r w:rsidRPr="0066604B">
              <w:rPr>
                <w:szCs w:val="24"/>
              </w:rPr>
              <w:tab/>
            </w:r>
            <w:r w:rsidR="0070026C" w:rsidRPr="0066604B">
              <w:rPr>
                <w:szCs w:val="24"/>
              </w:rPr>
              <w:t>Respondent.</w:t>
            </w:r>
          </w:p>
        </w:tc>
        <w:tc>
          <w:tcPr>
            <w:tcW w:w="4063" w:type="dxa"/>
          </w:tcPr>
          <w:p w:rsidR="0070026C" w:rsidRPr="0066604B" w:rsidRDefault="0070026C" w:rsidP="0001704D">
            <w:pPr>
              <w:pStyle w:val="plain"/>
              <w:widowControl w:val="0"/>
              <w:ind w:left="306"/>
              <w:rPr>
                <w:szCs w:val="24"/>
              </w:rPr>
            </w:pPr>
            <w:bookmarkStart w:id="1" w:name="lblCaseNumberH"/>
          </w:p>
          <w:p w:rsidR="009217DF" w:rsidRPr="0066604B" w:rsidRDefault="009217DF" w:rsidP="0001704D">
            <w:pPr>
              <w:pStyle w:val="plain"/>
              <w:widowControl w:val="0"/>
              <w:ind w:left="306"/>
              <w:rPr>
                <w:szCs w:val="24"/>
              </w:rPr>
            </w:pPr>
          </w:p>
          <w:p w:rsidR="0070026C" w:rsidRPr="0066604B" w:rsidRDefault="0070026C" w:rsidP="0001704D">
            <w:pPr>
              <w:pStyle w:val="plain"/>
              <w:widowControl w:val="0"/>
              <w:ind w:left="306"/>
              <w:rPr>
                <w:szCs w:val="24"/>
              </w:rPr>
            </w:pPr>
            <w:r w:rsidRPr="0066604B">
              <w:rPr>
                <w:szCs w:val="24"/>
              </w:rPr>
              <w:t xml:space="preserve">Docket No. </w:t>
            </w:r>
            <w:r w:rsidR="001E306C" w:rsidRPr="0066604B">
              <w:rPr>
                <w:szCs w:val="24"/>
              </w:rPr>
              <w:t>U</w:t>
            </w:r>
            <w:r w:rsidR="00615D6D">
              <w:rPr>
                <w:szCs w:val="24"/>
              </w:rPr>
              <w:t>G</w:t>
            </w:r>
            <w:r w:rsidR="001E306C" w:rsidRPr="0066604B">
              <w:rPr>
                <w:szCs w:val="24"/>
              </w:rPr>
              <w:t>-1</w:t>
            </w:r>
            <w:r w:rsidR="00350165">
              <w:rPr>
                <w:szCs w:val="24"/>
              </w:rPr>
              <w:t>5</w:t>
            </w:r>
            <w:r w:rsidR="001E40FC">
              <w:rPr>
                <w:szCs w:val="24"/>
              </w:rPr>
              <w:t>2286</w:t>
            </w:r>
            <w:bookmarkEnd w:id="1"/>
          </w:p>
          <w:p w:rsidR="0070026C" w:rsidRPr="0066604B" w:rsidRDefault="0070026C" w:rsidP="0001704D">
            <w:pPr>
              <w:pStyle w:val="plain"/>
              <w:widowControl w:val="0"/>
              <w:ind w:left="306"/>
              <w:rPr>
                <w:szCs w:val="24"/>
              </w:rPr>
            </w:pPr>
          </w:p>
          <w:p w:rsidR="008943DC" w:rsidRDefault="008943DC" w:rsidP="008943DC">
            <w:pPr>
              <w:pStyle w:val="plain"/>
              <w:widowControl w:val="0"/>
              <w:ind w:left="306"/>
              <w:rPr>
                <w:szCs w:val="24"/>
              </w:rPr>
            </w:pPr>
          </w:p>
          <w:p w:rsidR="00F33B68" w:rsidRPr="0066604B" w:rsidRDefault="00350165" w:rsidP="008943DC">
            <w:pPr>
              <w:pStyle w:val="plain"/>
              <w:widowControl w:val="0"/>
              <w:ind w:left="306"/>
              <w:rPr>
                <w:szCs w:val="24"/>
              </w:rPr>
            </w:pPr>
            <w:r>
              <w:rPr>
                <w:szCs w:val="24"/>
              </w:rPr>
              <w:t>CASCADE NATURAL GAS CORPORATION’S</w:t>
            </w:r>
            <w:r w:rsidR="0070026C" w:rsidRPr="0066604B">
              <w:rPr>
                <w:szCs w:val="24"/>
              </w:rPr>
              <w:t xml:space="preserve"> MOTION </w:t>
            </w:r>
            <w:r w:rsidR="00003BF9">
              <w:rPr>
                <w:szCs w:val="24"/>
              </w:rPr>
              <w:t>TO</w:t>
            </w:r>
            <w:r w:rsidR="008943DC">
              <w:rPr>
                <w:szCs w:val="24"/>
              </w:rPr>
              <w:t xml:space="preserve"> FILE SUPPLEMENTAL TESTIMONY </w:t>
            </w:r>
            <w:r w:rsidR="00F33B68" w:rsidRPr="0066604B">
              <w:rPr>
                <w:szCs w:val="24"/>
              </w:rPr>
              <w:t xml:space="preserve"> </w:t>
            </w:r>
          </w:p>
        </w:tc>
      </w:tr>
    </w:tbl>
    <w:p w:rsidR="0070026C" w:rsidRPr="0066604B" w:rsidRDefault="0070026C" w:rsidP="0066604B">
      <w:pPr>
        <w:pStyle w:val="center"/>
        <w:widowControl w:val="0"/>
        <w:spacing w:after="120"/>
        <w:rPr>
          <w:b w:val="0"/>
          <w:szCs w:val="24"/>
        </w:rPr>
      </w:pPr>
    </w:p>
    <w:p w:rsidR="004649CC" w:rsidRPr="0066604B" w:rsidRDefault="004649CC" w:rsidP="004649CC">
      <w:pPr>
        <w:pStyle w:val="Heading1"/>
        <w:spacing w:after="0" w:line="480" w:lineRule="auto"/>
        <w:ind w:left="0"/>
      </w:pPr>
      <w:r w:rsidRPr="0066604B">
        <w:t>I.</w:t>
      </w:r>
      <w:r w:rsidRPr="0066604B">
        <w:tab/>
        <w:t>RELIEF REQUESTED</w:t>
      </w:r>
    </w:p>
    <w:p w:rsidR="0070026C" w:rsidRPr="0066604B" w:rsidRDefault="009217DF" w:rsidP="003B6898">
      <w:pPr>
        <w:spacing w:line="480" w:lineRule="auto"/>
        <w:ind w:hanging="720"/>
        <w:rPr>
          <w:rFonts w:ascii="Times New Roman" w:hAnsi="Times New Roman"/>
          <w:szCs w:val="24"/>
        </w:rPr>
      </w:pPr>
      <w:r w:rsidRPr="0066604B"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4C7750" wp14:editId="348A3FC3">
                <wp:simplePos x="0" y="0"/>
                <wp:positionH relativeFrom="column">
                  <wp:posOffset>2796540</wp:posOffset>
                </wp:positionH>
                <wp:positionV relativeFrom="paragraph">
                  <wp:posOffset>7770495</wp:posOffset>
                </wp:positionV>
                <wp:extent cx="2646045" cy="400050"/>
                <wp:effectExtent l="0" t="0" r="0" b="1905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6045" cy="40005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026C" w:rsidRDefault="0070026C" w:rsidP="0070026C">
                            <w:r>
                              <w:rPr>
                                <w:snapToGrid w:val="0"/>
                              </w:rPr>
                              <w:t>Confidential per WAC 480-07-160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4C775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20.2pt;margin-top:611.85pt;width:208.35pt;height:3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" fillcolor="gray" stroked="f">
                <v:textbox inset=",7.2pt,,7.2pt">
                  <w:txbxContent>
                    <w:p w:rsidR="0070026C" w:rsidRDefault="0070026C" w:rsidP="0070026C">
                      <w:r>
                        <w:rPr>
                          <w:snapToGrid w:val="0"/>
                        </w:rPr>
                        <w:t>Confidential per WAC 480-07-160</w:t>
                      </w:r>
                    </w:p>
                  </w:txbxContent>
                </v:textbox>
              </v:shape>
            </w:pict>
          </mc:Fallback>
        </mc:AlternateContent>
      </w:r>
      <w:r w:rsidRPr="0066604B"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BCDBE8" wp14:editId="064D1260">
                <wp:simplePos x="0" y="0"/>
                <wp:positionH relativeFrom="column">
                  <wp:posOffset>2699385</wp:posOffset>
                </wp:positionH>
                <wp:positionV relativeFrom="paragraph">
                  <wp:posOffset>7680325</wp:posOffset>
                </wp:positionV>
                <wp:extent cx="2646045" cy="400050"/>
                <wp:effectExtent l="13335" t="12700" r="17145" b="15875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604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026C" w:rsidRDefault="0070026C" w:rsidP="0070026C">
                            <w:pPr>
                              <w:pStyle w:val="plain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napToGrid w:val="0"/>
                                <w:lang w:eastAsia="en-US"/>
                              </w:rPr>
                              <w:t>REDACTED VERSION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BCDBE8" id="Text Box 5" o:spid="_x0000_s1027" type="#_x0000_t202" style="position:absolute;margin-left:212.55pt;margin-top:604.75pt;width:208.35pt;height:3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" strokeweight="1.5pt">
                <v:textbox inset=",7.2pt,,7.2pt">
                  <w:txbxContent>
                    <w:p w:rsidR="0070026C" w:rsidRDefault="0070026C" w:rsidP="0070026C">
                      <w:pPr>
                        <w:pStyle w:val="plain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snapToGrid w:val="0"/>
                          <w:lang w:eastAsia="en-US"/>
                        </w:rPr>
                        <w:t>REDACTED VERSION</w:t>
                      </w:r>
                    </w:p>
                  </w:txbxContent>
                </v:textbox>
              </v:shape>
            </w:pict>
          </mc:Fallback>
        </mc:AlternateContent>
      </w:r>
      <w:r w:rsidRPr="0066604B"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55C69E1A" wp14:editId="3FAC323F">
                <wp:simplePos x="0" y="0"/>
                <wp:positionH relativeFrom="column">
                  <wp:posOffset>2739390</wp:posOffset>
                </wp:positionH>
                <wp:positionV relativeFrom="paragraph">
                  <wp:posOffset>7680325</wp:posOffset>
                </wp:positionV>
                <wp:extent cx="2646045" cy="400050"/>
                <wp:effectExtent l="15240" t="12700" r="15240" b="15875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604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026C" w:rsidRDefault="0070026C" w:rsidP="0070026C">
                            <w:pPr>
                              <w:pStyle w:val="plain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napToGrid w:val="0"/>
                                <w:lang w:eastAsia="en-US"/>
                              </w:rPr>
                              <w:t>REDACTED VERSION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C69E1A" id="Text Box 3" o:spid="_x0000_s1028" type="#_x0000_t202" style="position:absolute;margin-left:215.7pt;margin-top:604.75pt;width:208.35pt;height:3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" o:allowincell="f" strokeweight="1.5pt">
                <v:textbox inset=",7.2pt,,7.2pt">
                  <w:txbxContent>
                    <w:p w:rsidR="0070026C" w:rsidRDefault="0070026C" w:rsidP="0070026C">
                      <w:pPr>
                        <w:pStyle w:val="plain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snapToGrid w:val="0"/>
                          <w:lang w:eastAsia="en-US"/>
                        </w:rPr>
                        <w:t>REDACTED VERSION</w:t>
                      </w:r>
                    </w:p>
                  </w:txbxContent>
                </v:textbox>
              </v:shape>
            </w:pict>
          </mc:Fallback>
        </mc:AlternateContent>
      </w:r>
      <w:r w:rsidRPr="0066604B"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C107CD1" wp14:editId="2F914747">
                <wp:simplePos x="0" y="0"/>
                <wp:positionH relativeFrom="column">
                  <wp:posOffset>2739390</wp:posOffset>
                </wp:positionH>
                <wp:positionV relativeFrom="paragraph">
                  <wp:posOffset>7680325</wp:posOffset>
                </wp:positionV>
                <wp:extent cx="2646045" cy="400050"/>
                <wp:effectExtent l="15240" t="12700" r="15240" b="1587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604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026C" w:rsidRDefault="0070026C" w:rsidP="0070026C">
                            <w:pPr>
                              <w:pStyle w:val="plain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napToGrid w:val="0"/>
                                <w:lang w:eastAsia="en-US"/>
                              </w:rPr>
                              <w:t>REDACTED VERSION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107CD1" id="Text Box 2" o:spid="_x0000_s1029" type="#_x0000_t202" style="position:absolute;margin-left:215.7pt;margin-top:604.75pt;width:208.35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" o:allowincell="f" strokeweight="1.5pt">
                <v:textbox inset=",7.2pt,,7.2pt">
                  <w:txbxContent>
                    <w:p w:rsidR="0070026C" w:rsidRDefault="0070026C" w:rsidP="0070026C">
                      <w:pPr>
                        <w:pStyle w:val="plain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snapToGrid w:val="0"/>
                          <w:lang w:eastAsia="en-US"/>
                        </w:rPr>
                        <w:t>REDACTED VERSION</w:t>
                      </w:r>
                    </w:p>
                  </w:txbxContent>
                </v:textbox>
              </v:shape>
            </w:pict>
          </mc:Fallback>
        </mc:AlternateContent>
      </w:r>
      <w:r w:rsidR="00880826" w:rsidRPr="0066604B">
        <w:rPr>
          <w:rFonts w:ascii="Times New Roman" w:hAnsi="Times New Roman"/>
          <w:i/>
          <w:szCs w:val="24"/>
        </w:rPr>
        <w:t>1</w:t>
      </w:r>
      <w:r w:rsidR="0070026C" w:rsidRPr="0066604B">
        <w:rPr>
          <w:rFonts w:ascii="Times New Roman" w:hAnsi="Times New Roman"/>
          <w:szCs w:val="24"/>
        </w:rPr>
        <w:tab/>
      </w:r>
      <w:r w:rsidRPr="0066604B"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368311A" wp14:editId="7F30A921">
                <wp:simplePos x="0" y="0"/>
                <wp:positionH relativeFrom="column">
                  <wp:posOffset>2796540</wp:posOffset>
                </wp:positionH>
                <wp:positionV relativeFrom="paragraph">
                  <wp:posOffset>7770495</wp:posOffset>
                </wp:positionV>
                <wp:extent cx="2646045" cy="400050"/>
                <wp:effectExtent l="0" t="0" r="0" b="1905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6045" cy="40005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026C" w:rsidRDefault="0070026C" w:rsidP="0070026C">
                            <w:r>
                              <w:rPr>
                                <w:snapToGrid w:val="0"/>
                              </w:rPr>
                              <w:t>Confidential per WAC 480-07-160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68311A" id="Text Box 8" o:spid="_x0000_s1030" type="#_x0000_t202" style="position:absolute;margin-left:220.2pt;margin-top:611.85pt;width:208.35pt;height:3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" fillcolor="gray" stroked="f">
                <v:textbox inset=",7.2pt,,7.2pt">
                  <w:txbxContent>
                    <w:p w:rsidR="0070026C" w:rsidRDefault="0070026C" w:rsidP="0070026C">
                      <w:r>
                        <w:rPr>
                          <w:snapToGrid w:val="0"/>
                        </w:rPr>
                        <w:t>Confidential per WAC 480-07-160</w:t>
                      </w:r>
                    </w:p>
                  </w:txbxContent>
                </v:textbox>
              </v:shape>
            </w:pict>
          </mc:Fallback>
        </mc:AlternateContent>
      </w:r>
      <w:r w:rsidRPr="0066604B"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D54C68" wp14:editId="79E0D72B">
                <wp:simplePos x="0" y="0"/>
                <wp:positionH relativeFrom="column">
                  <wp:posOffset>2699385</wp:posOffset>
                </wp:positionH>
                <wp:positionV relativeFrom="paragraph">
                  <wp:posOffset>7680325</wp:posOffset>
                </wp:positionV>
                <wp:extent cx="2646045" cy="400050"/>
                <wp:effectExtent l="13335" t="12700" r="17145" b="15875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604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026C" w:rsidRDefault="0070026C" w:rsidP="0070026C">
                            <w:pPr>
                              <w:pStyle w:val="plain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napToGrid w:val="0"/>
                                <w:lang w:eastAsia="en-US"/>
                              </w:rPr>
                              <w:t>REDACTED VERSION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D54C68" id="Text Box 9" o:spid="_x0000_s1031" type="#_x0000_t202" style="position:absolute;margin-left:212.55pt;margin-top:604.75pt;width:208.35pt;height:3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" strokeweight="1.5pt">
                <v:textbox inset=",7.2pt,,7.2pt">
                  <w:txbxContent>
                    <w:p w:rsidR="0070026C" w:rsidRDefault="0070026C" w:rsidP="0070026C">
                      <w:pPr>
                        <w:pStyle w:val="plain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snapToGrid w:val="0"/>
                          <w:lang w:eastAsia="en-US"/>
                        </w:rPr>
                        <w:t>REDACTED VERSION</w:t>
                      </w:r>
                    </w:p>
                  </w:txbxContent>
                </v:textbox>
              </v:shape>
            </w:pict>
          </mc:Fallback>
        </mc:AlternateContent>
      </w:r>
      <w:r w:rsidRPr="0066604B"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41AB7EF6" wp14:editId="6B328466">
                <wp:simplePos x="0" y="0"/>
                <wp:positionH relativeFrom="column">
                  <wp:posOffset>2739390</wp:posOffset>
                </wp:positionH>
                <wp:positionV relativeFrom="paragraph">
                  <wp:posOffset>7680325</wp:posOffset>
                </wp:positionV>
                <wp:extent cx="2646045" cy="400050"/>
                <wp:effectExtent l="15240" t="12700" r="15240" b="1587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604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026C" w:rsidRDefault="0070026C" w:rsidP="0070026C">
                            <w:pPr>
                              <w:pStyle w:val="plain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napToGrid w:val="0"/>
                                <w:lang w:eastAsia="en-US"/>
                              </w:rPr>
                              <w:t>REDACTED VERSION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AB7EF6" id="Text Box 7" o:spid="_x0000_s1032" type="#_x0000_t202" style="position:absolute;margin-left:215.7pt;margin-top:604.75pt;width:208.35pt;height:3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" o:allowincell="f" strokeweight="1.5pt">
                <v:textbox inset=",7.2pt,,7.2pt">
                  <w:txbxContent>
                    <w:p w:rsidR="0070026C" w:rsidRDefault="0070026C" w:rsidP="0070026C">
                      <w:pPr>
                        <w:pStyle w:val="plain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snapToGrid w:val="0"/>
                          <w:lang w:eastAsia="en-US"/>
                        </w:rPr>
                        <w:t>REDACTED VERSION</w:t>
                      </w:r>
                    </w:p>
                  </w:txbxContent>
                </v:textbox>
              </v:shape>
            </w:pict>
          </mc:Fallback>
        </mc:AlternateContent>
      </w:r>
      <w:r w:rsidRPr="0066604B"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0C0E1F84" wp14:editId="14DBB225">
                <wp:simplePos x="0" y="0"/>
                <wp:positionH relativeFrom="column">
                  <wp:posOffset>2739390</wp:posOffset>
                </wp:positionH>
                <wp:positionV relativeFrom="paragraph">
                  <wp:posOffset>7680325</wp:posOffset>
                </wp:positionV>
                <wp:extent cx="2646045" cy="400050"/>
                <wp:effectExtent l="15240" t="12700" r="15240" b="1587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604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026C" w:rsidRDefault="0070026C" w:rsidP="0070026C">
                            <w:pPr>
                              <w:pStyle w:val="plain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napToGrid w:val="0"/>
                                <w:lang w:eastAsia="en-US"/>
                              </w:rPr>
                              <w:t>REDACTED VERSION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0E1F84" id="Text Box 6" o:spid="_x0000_s1033" type="#_x0000_t202" style="position:absolute;margin-left:215.7pt;margin-top:604.75pt;width:208.35pt;height:3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" o:allowincell="f" strokeweight="1.5pt">
                <v:textbox inset=",7.2pt,,7.2pt">
                  <w:txbxContent>
                    <w:p w:rsidR="0070026C" w:rsidRDefault="0070026C" w:rsidP="0070026C">
                      <w:pPr>
                        <w:pStyle w:val="plain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snapToGrid w:val="0"/>
                          <w:lang w:eastAsia="en-US"/>
                        </w:rPr>
                        <w:t>REDACTED VERSION</w:t>
                      </w:r>
                    </w:p>
                  </w:txbxContent>
                </v:textbox>
              </v:shape>
            </w:pict>
          </mc:Fallback>
        </mc:AlternateContent>
      </w:r>
      <w:r w:rsidR="003B6898" w:rsidRPr="0066604B">
        <w:rPr>
          <w:rFonts w:ascii="Times New Roman" w:hAnsi="Times New Roman"/>
          <w:szCs w:val="24"/>
        </w:rPr>
        <w:tab/>
      </w:r>
      <w:r w:rsidR="001E40FC">
        <w:rPr>
          <w:rFonts w:ascii="Times New Roman" w:hAnsi="Times New Roman"/>
          <w:szCs w:val="24"/>
        </w:rPr>
        <w:t xml:space="preserve">In accordance with WAC 480-07-375(1)(d) and WAC 480-07-460(1)(b)(ii), </w:t>
      </w:r>
      <w:r w:rsidR="00350165">
        <w:rPr>
          <w:rFonts w:ascii="Times New Roman" w:hAnsi="Times New Roman"/>
          <w:szCs w:val="24"/>
        </w:rPr>
        <w:t>Cascade Natural Gas Corporation</w:t>
      </w:r>
      <w:r w:rsidR="001E306C" w:rsidRPr="0066604B">
        <w:rPr>
          <w:rFonts w:ascii="Times New Roman" w:hAnsi="Times New Roman"/>
          <w:szCs w:val="24"/>
        </w:rPr>
        <w:t xml:space="preserve"> (</w:t>
      </w:r>
      <w:r w:rsidR="00350165">
        <w:rPr>
          <w:rFonts w:ascii="Times New Roman" w:hAnsi="Times New Roman"/>
          <w:szCs w:val="24"/>
        </w:rPr>
        <w:t>Cascade</w:t>
      </w:r>
      <w:r w:rsidR="00A101B1" w:rsidRPr="0066604B">
        <w:rPr>
          <w:rFonts w:ascii="Times New Roman" w:hAnsi="Times New Roman"/>
          <w:szCs w:val="24"/>
        </w:rPr>
        <w:t xml:space="preserve"> or Company</w:t>
      </w:r>
      <w:r w:rsidR="001E306C" w:rsidRPr="0066604B">
        <w:rPr>
          <w:rFonts w:ascii="Times New Roman" w:hAnsi="Times New Roman"/>
          <w:szCs w:val="24"/>
        </w:rPr>
        <w:t xml:space="preserve">), </w:t>
      </w:r>
      <w:r w:rsidR="001E40FC">
        <w:rPr>
          <w:rFonts w:ascii="Times New Roman" w:hAnsi="Times New Roman"/>
          <w:szCs w:val="24"/>
        </w:rPr>
        <w:t xml:space="preserve">moves the </w:t>
      </w:r>
      <w:r w:rsidR="0070026C" w:rsidRPr="0066604B">
        <w:rPr>
          <w:rFonts w:ascii="Times New Roman" w:hAnsi="Times New Roman"/>
          <w:szCs w:val="24"/>
        </w:rPr>
        <w:t>Washington Utilities an</w:t>
      </w:r>
      <w:r w:rsidR="0001704D" w:rsidRPr="0066604B">
        <w:rPr>
          <w:rFonts w:ascii="Times New Roman" w:hAnsi="Times New Roman"/>
          <w:szCs w:val="24"/>
        </w:rPr>
        <w:t>d Transportation Commission (Commission</w:t>
      </w:r>
      <w:r w:rsidR="0070026C" w:rsidRPr="0066604B">
        <w:rPr>
          <w:rFonts w:ascii="Times New Roman" w:hAnsi="Times New Roman"/>
          <w:szCs w:val="24"/>
        </w:rPr>
        <w:t>)</w:t>
      </w:r>
      <w:r w:rsidR="00A101B1" w:rsidRPr="0066604B">
        <w:rPr>
          <w:rFonts w:ascii="Times New Roman" w:hAnsi="Times New Roman"/>
          <w:szCs w:val="24"/>
        </w:rPr>
        <w:t xml:space="preserve"> </w:t>
      </w:r>
      <w:r w:rsidR="001E40FC">
        <w:rPr>
          <w:rFonts w:ascii="Times New Roman" w:hAnsi="Times New Roman"/>
          <w:szCs w:val="24"/>
        </w:rPr>
        <w:t xml:space="preserve">for an order authorizing Cascade to file supplemental testimony.  Cascade </w:t>
      </w:r>
      <w:r w:rsidR="0006608C" w:rsidRPr="0066604B">
        <w:rPr>
          <w:rFonts w:ascii="Times New Roman" w:hAnsi="Times New Roman"/>
          <w:szCs w:val="24"/>
        </w:rPr>
        <w:t>seeks</w:t>
      </w:r>
      <w:r w:rsidR="001E40FC">
        <w:rPr>
          <w:rFonts w:ascii="Times New Roman" w:hAnsi="Times New Roman"/>
          <w:szCs w:val="24"/>
        </w:rPr>
        <w:t xml:space="preserve"> to update its initial filing, as provided in WAC 480-07-460(1)(b)(ii), with the proposed supplemental testimony identified as Exhibit No. __ (MPP-6T), which accompanies this motion.</w:t>
      </w:r>
    </w:p>
    <w:p w:rsidR="001E40FC" w:rsidRDefault="002E4DD1" w:rsidP="002E4DD1">
      <w:pPr>
        <w:spacing w:line="480" w:lineRule="auto"/>
        <w:ind w:hanging="720"/>
        <w:rPr>
          <w:rFonts w:ascii="Times New Roman" w:hAnsi="Times New Roman"/>
          <w:szCs w:val="24"/>
        </w:rPr>
      </w:pPr>
      <w:r w:rsidRPr="0066604B">
        <w:rPr>
          <w:rFonts w:ascii="Times New Roman" w:hAnsi="Times New Roman"/>
          <w:i/>
          <w:szCs w:val="24"/>
        </w:rPr>
        <w:t>2</w:t>
      </w:r>
      <w:r w:rsidR="0070026C" w:rsidRPr="0066604B">
        <w:rPr>
          <w:rFonts w:ascii="Times New Roman" w:hAnsi="Times New Roman"/>
          <w:szCs w:val="24"/>
        </w:rPr>
        <w:tab/>
      </w:r>
      <w:r w:rsidR="003B6898" w:rsidRPr="0066604B">
        <w:rPr>
          <w:rFonts w:ascii="Times New Roman" w:hAnsi="Times New Roman"/>
          <w:szCs w:val="24"/>
        </w:rPr>
        <w:tab/>
      </w:r>
      <w:r w:rsidR="001E40FC">
        <w:rPr>
          <w:rFonts w:ascii="Times New Roman" w:hAnsi="Times New Roman"/>
          <w:szCs w:val="24"/>
        </w:rPr>
        <w:t>The Company’s proposed supplemental testimony is provided in response to a request by Commission Staff that Cascade provide testimony regarding late payment billing practices an</w:t>
      </w:r>
      <w:r w:rsidR="00800A8A">
        <w:rPr>
          <w:rFonts w:ascii="Times New Roman" w:hAnsi="Times New Roman"/>
          <w:szCs w:val="24"/>
        </w:rPr>
        <w:t>d disconnection visit charges; t</w:t>
      </w:r>
      <w:r w:rsidR="001E40FC">
        <w:rPr>
          <w:rFonts w:ascii="Times New Roman" w:hAnsi="Times New Roman"/>
          <w:szCs w:val="24"/>
        </w:rPr>
        <w:t xml:space="preserve">he request is related </w:t>
      </w:r>
      <w:r w:rsidR="00800A8A">
        <w:rPr>
          <w:rFonts w:ascii="Times New Roman" w:hAnsi="Times New Roman"/>
          <w:szCs w:val="24"/>
        </w:rPr>
        <w:t>to the settlement agreement in d</w:t>
      </w:r>
      <w:r w:rsidR="001E40FC">
        <w:rPr>
          <w:rFonts w:ascii="Times New Roman" w:hAnsi="Times New Roman"/>
          <w:szCs w:val="24"/>
        </w:rPr>
        <w:t>ocket UG-140381.</w:t>
      </w:r>
      <w:r w:rsidR="00800A8A" w:rsidRPr="003C47D6">
        <w:rPr>
          <w:rStyle w:val="FootnoteReference"/>
          <w:szCs w:val="24"/>
        </w:rPr>
        <w:footnoteReference w:id="1"/>
      </w:r>
      <w:r w:rsidR="001E40FC">
        <w:rPr>
          <w:rFonts w:ascii="Times New Roman" w:hAnsi="Times New Roman"/>
          <w:szCs w:val="24"/>
        </w:rPr>
        <w:t xml:space="preserve">  By requesting leave to file this supplemental testimony, Cascade seeks to </w:t>
      </w:r>
      <w:r w:rsidR="008242D9">
        <w:rPr>
          <w:rFonts w:ascii="Times New Roman" w:hAnsi="Times New Roman"/>
          <w:szCs w:val="24"/>
        </w:rPr>
        <w:t xml:space="preserve">fulfill </w:t>
      </w:r>
      <w:r w:rsidR="001E40FC">
        <w:rPr>
          <w:rFonts w:ascii="Times New Roman" w:hAnsi="Times New Roman"/>
          <w:szCs w:val="24"/>
        </w:rPr>
        <w:t>the</w:t>
      </w:r>
      <w:r w:rsidR="008242D9">
        <w:rPr>
          <w:rFonts w:ascii="Times New Roman" w:hAnsi="Times New Roman"/>
          <w:szCs w:val="24"/>
        </w:rPr>
        <w:t xml:space="preserve"> terms of the</w:t>
      </w:r>
      <w:r w:rsidR="001E40FC">
        <w:rPr>
          <w:rFonts w:ascii="Times New Roman" w:hAnsi="Times New Roman"/>
          <w:szCs w:val="24"/>
        </w:rPr>
        <w:t xml:space="preserve"> settlement agreement and be responsive to Staff’s reques</w:t>
      </w:r>
      <w:r w:rsidR="008242D9">
        <w:rPr>
          <w:rFonts w:ascii="Times New Roman" w:hAnsi="Times New Roman"/>
          <w:szCs w:val="24"/>
        </w:rPr>
        <w:t>t for additional testimony</w:t>
      </w:r>
      <w:r w:rsidR="001E40FC">
        <w:rPr>
          <w:rFonts w:ascii="Times New Roman" w:hAnsi="Times New Roman"/>
          <w:szCs w:val="24"/>
        </w:rPr>
        <w:t xml:space="preserve">.  </w:t>
      </w:r>
    </w:p>
    <w:p w:rsidR="00EF3B9D" w:rsidRPr="0066604B" w:rsidRDefault="002E4DD1" w:rsidP="00EF3B9D">
      <w:pPr>
        <w:spacing w:line="480" w:lineRule="auto"/>
        <w:ind w:hanging="720"/>
        <w:rPr>
          <w:rFonts w:ascii="Times New Roman" w:hAnsi="Times New Roman"/>
          <w:szCs w:val="24"/>
        </w:rPr>
      </w:pPr>
      <w:r w:rsidRPr="0066604B">
        <w:rPr>
          <w:rFonts w:ascii="Times New Roman" w:hAnsi="Times New Roman"/>
          <w:i/>
          <w:szCs w:val="24"/>
        </w:rPr>
        <w:lastRenderedPageBreak/>
        <w:t>3</w:t>
      </w:r>
      <w:r w:rsidR="0070026C" w:rsidRPr="0066604B">
        <w:rPr>
          <w:rFonts w:ascii="Times New Roman" w:hAnsi="Times New Roman"/>
          <w:szCs w:val="24"/>
        </w:rPr>
        <w:tab/>
      </w:r>
      <w:r w:rsidR="003B6898" w:rsidRPr="0066604B">
        <w:rPr>
          <w:rFonts w:ascii="Times New Roman" w:hAnsi="Times New Roman"/>
          <w:szCs w:val="24"/>
        </w:rPr>
        <w:tab/>
      </w:r>
      <w:r w:rsidR="00EF3B9D">
        <w:rPr>
          <w:szCs w:val="24"/>
        </w:rPr>
        <w:t>The supplemental testimony will ensure that the Commission has the best available evidence upon which to decide the issues in this case.  Because the supplemental testimony “</w:t>
      </w:r>
      <w:r w:rsidR="00EF3B9D" w:rsidRPr="00E03574">
        <w:rPr>
          <w:szCs w:val="24"/>
        </w:rPr>
        <w:t>includes substantive changes other than to simply correct error</w:t>
      </w:r>
      <w:r w:rsidR="00EF3B9D">
        <w:rPr>
          <w:szCs w:val="24"/>
        </w:rPr>
        <w:t>s of fact asserted by a witness” Cascade must “</w:t>
      </w:r>
      <w:r w:rsidR="00EF3B9D" w:rsidRPr="00E03574">
        <w:rPr>
          <w:szCs w:val="24"/>
        </w:rPr>
        <w:t xml:space="preserve">seek leave from the presiding officer by written motion </w:t>
      </w:r>
      <w:r w:rsidR="00EF3B9D">
        <w:rPr>
          <w:szCs w:val="24"/>
        </w:rPr>
        <w:t>. . .</w:t>
      </w:r>
      <w:r w:rsidR="00EF3B9D" w:rsidRPr="00E03574">
        <w:rPr>
          <w:szCs w:val="24"/>
        </w:rPr>
        <w:t xml:space="preserve"> to submit testimony</w:t>
      </w:r>
      <w:r w:rsidR="00EF3B9D">
        <w:rPr>
          <w:szCs w:val="24"/>
        </w:rPr>
        <w:t>.”</w:t>
      </w:r>
      <w:r w:rsidR="00EF3B9D" w:rsidRPr="00B8704B">
        <w:rPr>
          <w:vertAlign w:val="superscript"/>
        </w:rPr>
        <w:footnoteReference w:id="2"/>
      </w:r>
    </w:p>
    <w:p w:rsidR="00EF3B9D" w:rsidRPr="0066604B" w:rsidRDefault="00635701" w:rsidP="00EF3B9D">
      <w:pPr>
        <w:pStyle w:val="BodyText2"/>
        <w:spacing w:after="0"/>
      </w:pPr>
      <w:r w:rsidRPr="0066604B">
        <w:rPr>
          <w:i/>
        </w:rPr>
        <w:t>4</w:t>
      </w:r>
      <w:r w:rsidR="003B6898" w:rsidRPr="0066604B">
        <w:tab/>
      </w:r>
      <w:r w:rsidRPr="0066604B">
        <w:tab/>
      </w:r>
      <w:r w:rsidR="00EF3B9D" w:rsidRPr="00AA1B8D">
        <w:t>When deciding whether to grant a motion to file supplemental testimony, the Commission observed that its “paramount interest is in having a full record with the best available evidence upon which to base its decisions.”</w:t>
      </w:r>
      <w:r w:rsidR="00EF3B9D" w:rsidRPr="00AA1B8D">
        <w:rPr>
          <w:rStyle w:val="FootnoteReference"/>
        </w:rPr>
        <w:t xml:space="preserve"> </w:t>
      </w:r>
      <w:r w:rsidR="00EF3B9D" w:rsidRPr="00B8704B">
        <w:rPr>
          <w:vertAlign w:val="superscript"/>
        </w:rPr>
        <w:footnoteReference w:id="3"/>
      </w:r>
      <w:r w:rsidR="00EF3B9D" w:rsidRPr="00AA1B8D">
        <w:t xml:space="preserve">  Th</w:t>
      </w:r>
      <w:r w:rsidR="00EF3B9D">
        <w:t>us</w:t>
      </w:r>
      <w:r w:rsidR="00EF3B9D" w:rsidRPr="00AA1B8D">
        <w:t>, when a party “offers supplemental evidence, as here, the Commission balances its interest in having up-to-date information against the needs of the parties to have adequate opportunities for discovery and the development of their own testimony and exhibits.”</w:t>
      </w:r>
      <w:r w:rsidR="00EF3B9D" w:rsidRPr="00B8704B">
        <w:rPr>
          <w:vertAlign w:val="superscript"/>
        </w:rPr>
        <w:footnoteReference w:id="4"/>
      </w:r>
    </w:p>
    <w:p w:rsidR="00615D6D" w:rsidRDefault="00635701" w:rsidP="00615D6D">
      <w:pPr>
        <w:spacing w:line="480" w:lineRule="auto"/>
        <w:ind w:hanging="720"/>
        <w:rPr>
          <w:rFonts w:ascii="Times New Roman" w:hAnsi="Times New Roman"/>
          <w:szCs w:val="24"/>
        </w:rPr>
      </w:pPr>
      <w:r w:rsidRPr="0066604B">
        <w:rPr>
          <w:rFonts w:ascii="Times New Roman" w:hAnsi="Times New Roman"/>
          <w:i/>
          <w:szCs w:val="24"/>
        </w:rPr>
        <w:t>5</w:t>
      </w:r>
      <w:r w:rsidR="0070026C" w:rsidRPr="0066604B">
        <w:rPr>
          <w:rFonts w:ascii="Times New Roman" w:hAnsi="Times New Roman"/>
          <w:szCs w:val="24"/>
        </w:rPr>
        <w:tab/>
      </w:r>
      <w:r w:rsidR="003B6898" w:rsidRPr="0066604B">
        <w:rPr>
          <w:rFonts w:ascii="Times New Roman" w:hAnsi="Times New Roman"/>
          <w:szCs w:val="24"/>
        </w:rPr>
        <w:tab/>
      </w:r>
      <w:r w:rsidR="00615D6D" w:rsidRPr="00AA1B8D">
        <w:rPr>
          <w:szCs w:val="24"/>
        </w:rPr>
        <w:t xml:space="preserve">Here, </w:t>
      </w:r>
      <w:r w:rsidR="00615D6D">
        <w:rPr>
          <w:szCs w:val="24"/>
        </w:rPr>
        <w:t>the Company’s supplemental testimony describes its current late payment billing practices and disconnection visit charges, in com</w:t>
      </w:r>
      <w:r w:rsidR="008242D9">
        <w:rPr>
          <w:szCs w:val="24"/>
        </w:rPr>
        <w:t>pliance with the settlement in d</w:t>
      </w:r>
      <w:r w:rsidR="00615D6D">
        <w:rPr>
          <w:szCs w:val="24"/>
        </w:rPr>
        <w:t xml:space="preserve">ocket UG-140381 and in response to Commission Staff’s request for additional testimony.  Therefore, to have a full and complete record and the best evidence upon which the Commission can analyze the </w:t>
      </w:r>
      <w:r w:rsidR="008242D9">
        <w:rPr>
          <w:szCs w:val="24"/>
        </w:rPr>
        <w:t>Cascade’s rate request and current practices</w:t>
      </w:r>
      <w:r w:rsidR="00615D6D">
        <w:rPr>
          <w:szCs w:val="24"/>
        </w:rPr>
        <w:t>, the Company’s motion should be granted.</w:t>
      </w:r>
    </w:p>
    <w:p w:rsidR="00EF3B9D" w:rsidRPr="00EF3B9D" w:rsidRDefault="00EF3B9D" w:rsidP="00615D6D">
      <w:pPr>
        <w:spacing w:line="480" w:lineRule="auto"/>
        <w:ind w:hanging="720"/>
        <w:rPr>
          <w:rFonts w:ascii="Times New Roman" w:hAnsi="Times New Roman"/>
          <w:szCs w:val="24"/>
        </w:rPr>
      </w:pPr>
      <w:r w:rsidRPr="0066604B">
        <w:rPr>
          <w:rFonts w:ascii="Times New Roman" w:hAnsi="Times New Roman"/>
          <w:i/>
          <w:szCs w:val="24"/>
        </w:rPr>
        <w:t>6</w:t>
      </w:r>
      <w:r w:rsidRPr="0066604B">
        <w:rPr>
          <w:rFonts w:ascii="Times New Roman" w:hAnsi="Times New Roman"/>
          <w:szCs w:val="24"/>
        </w:rPr>
        <w:tab/>
      </w:r>
      <w:r w:rsidRPr="0066604B">
        <w:rPr>
          <w:rFonts w:ascii="Times New Roman" w:hAnsi="Times New Roman"/>
          <w:szCs w:val="24"/>
        </w:rPr>
        <w:tab/>
      </w:r>
      <w:r>
        <w:rPr>
          <w:szCs w:val="24"/>
        </w:rPr>
        <w:t>Moreover, the Company’s filing will not prejudice other parties.  T</w:t>
      </w:r>
      <w:r w:rsidRPr="00AA1B8D">
        <w:rPr>
          <w:szCs w:val="24"/>
        </w:rPr>
        <w:t xml:space="preserve">he Company’s supplemental testimony is being filed </w:t>
      </w:r>
      <w:r>
        <w:rPr>
          <w:szCs w:val="24"/>
        </w:rPr>
        <w:t>while parties still have</w:t>
      </w:r>
      <w:r w:rsidR="00615D6D">
        <w:rPr>
          <w:szCs w:val="24"/>
        </w:rPr>
        <w:t xml:space="preserve"> 68 days until the May 4, 2016 deadline to develop response testimony. </w:t>
      </w:r>
      <w:r>
        <w:rPr>
          <w:szCs w:val="24"/>
        </w:rPr>
        <w:t xml:space="preserve">The supplemental testimony addresses only </w:t>
      </w:r>
      <w:r w:rsidR="00615D6D">
        <w:rPr>
          <w:szCs w:val="24"/>
        </w:rPr>
        <w:t xml:space="preserve">two discrete issues and </w:t>
      </w:r>
      <w:r>
        <w:rPr>
          <w:szCs w:val="24"/>
        </w:rPr>
        <w:t xml:space="preserve">is just a few pages long. </w:t>
      </w:r>
      <w:r w:rsidRPr="00AA1B8D">
        <w:rPr>
          <w:szCs w:val="24"/>
        </w:rPr>
        <w:t xml:space="preserve"> </w:t>
      </w:r>
      <w:r w:rsidR="00122D63">
        <w:rPr>
          <w:szCs w:val="24"/>
        </w:rPr>
        <w:t xml:space="preserve">Because </w:t>
      </w:r>
      <w:r w:rsidR="008242D9">
        <w:rPr>
          <w:szCs w:val="24"/>
        </w:rPr>
        <w:t xml:space="preserve">this request comes during the early </w:t>
      </w:r>
      <w:r w:rsidR="00122D63">
        <w:rPr>
          <w:szCs w:val="24"/>
        </w:rPr>
        <w:t>stage</w:t>
      </w:r>
      <w:r w:rsidR="008242D9">
        <w:rPr>
          <w:szCs w:val="24"/>
        </w:rPr>
        <w:t>s</w:t>
      </w:r>
      <w:r w:rsidR="00122D63">
        <w:rPr>
          <w:szCs w:val="24"/>
        </w:rPr>
        <w:t xml:space="preserve"> of this case, </w:t>
      </w:r>
      <w:r>
        <w:rPr>
          <w:szCs w:val="24"/>
        </w:rPr>
        <w:t>p</w:t>
      </w:r>
      <w:r w:rsidRPr="00AA1B8D">
        <w:rPr>
          <w:szCs w:val="24"/>
        </w:rPr>
        <w:t xml:space="preserve">arties will have a sufficient opportunity to conduct discovery </w:t>
      </w:r>
      <w:r>
        <w:rPr>
          <w:szCs w:val="24"/>
        </w:rPr>
        <w:t xml:space="preserve">and </w:t>
      </w:r>
      <w:r w:rsidR="00122D63">
        <w:rPr>
          <w:szCs w:val="24"/>
        </w:rPr>
        <w:t xml:space="preserve">develop response testimony </w:t>
      </w:r>
      <w:r w:rsidRPr="00AA1B8D">
        <w:rPr>
          <w:szCs w:val="24"/>
        </w:rPr>
        <w:t>related to this supplemental testimony</w:t>
      </w:r>
      <w:r>
        <w:rPr>
          <w:szCs w:val="24"/>
        </w:rPr>
        <w:t>.</w:t>
      </w:r>
    </w:p>
    <w:p w:rsidR="0070026C" w:rsidRPr="0066604B" w:rsidRDefault="0066604B" w:rsidP="00880826">
      <w:pPr>
        <w:pStyle w:val="Heading1"/>
        <w:spacing w:after="0" w:line="480" w:lineRule="auto"/>
        <w:ind w:left="0"/>
      </w:pPr>
      <w:r>
        <w:t>II</w:t>
      </w:r>
      <w:r w:rsidR="0070026C" w:rsidRPr="0066604B">
        <w:t>I.</w:t>
      </w:r>
      <w:r w:rsidR="0070026C" w:rsidRPr="0066604B">
        <w:tab/>
        <w:t>CONCLUSION</w:t>
      </w:r>
    </w:p>
    <w:p w:rsidR="00122D63" w:rsidRPr="0066604B" w:rsidRDefault="00122D63" w:rsidP="00122D63">
      <w:pPr>
        <w:spacing w:line="480" w:lineRule="auto"/>
        <w:ind w:hanging="720"/>
        <w:rPr>
          <w:rFonts w:ascii="Times New Roman" w:hAnsi="Times New Roman"/>
          <w:szCs w:val="24"/>
        </w:rPr>
      </w:pPr>
      <w:r>
        <w:rPr>
          <w:rFonts w:ascii="Times New Roman" w:hAnsi="Times New Roman"/>
          <w:i/>
          <w:szCs w:val="24"/>
        </w:rPr>
        <w:t>7</w:t>
      </w:r>
      <w:r w:rsidR="00EF3B9D" w:rsidRPr="0066604B">
        <w:rPr>
          <w:rFonts w:ascii="Times New Roman" w:hAnsi="Times New Roman"/>
          <w:szCs w:val="24"/>
        </w:rPr>
        <w:tab/>
      </w:r>
      <w:r w:rsidR="00EF3B9D" w:rsidRPr="0066604B">
        <w:rPr>
          <w:rFonts w:ascii="Times New Roman" w:hAnsi="Times New Roman"/>
          <w:szCs w:val="24"/>
        </w:rPr>
        <w:tab/>
        <w:t xml:space="preserve">For the reasons set forth above, </w:t>
      </w:r>
      <w:r w:rsidR="00EF3B9D">
        <w:rPr>
          <w:rFonts w:ascii="Times New Roman" w:hAnsi="Times New Roman"/>
          <w:szCs w:val="24"/>
        </w:rPr>
        <w:t>Cascade</w:t>
      </w:r>
      <w:r w:rsidR="00EF3B9D" w:rsidRPr="0066604B">
        <w:rPr>
          <w:rFonts w:ascii="Times New Roman" w:hAnsi="Times New Roman"/>
          <w:szCs w:val="24"/>
        </w:rPr>
        <w:t xml:space="preserve"> respectfully requests</w:t>
      </w:r>
      <w:r>
        <w:rPr>
          <w:rFonts w:ascii="Times New Roman" w:hAnsi="Times New Roman"/>
          <w:szCs w:val="24"/>
        </w:rPr>
        <w:t xml:space="preserve"> </w:t>
      </w:r>
      <w:r>
        <w:rPr>
          <w:szCs w:val="24"/>
        </w:rPr>
        <w:t xml:space="preserve">that the Commission grant Cascade’s motion to allow the filing of the Company’s supplemental testimony, </w:t>
      </w:r>
      <w:r w:rsidR="00EC0423">
        <w:rPr>
          <w:szCs w:val="24"/>
        </w:rPr>
        <w:t>Exhibit No</w:t>
      </w:r>
      <w:r w:rsidR="008242D9">
        <w:rPr>
          <w:szCs w:val="24"/>
        </w:rPr>
        <w:t xml:space="preserve">. </w:t>
      </w:r>
      <w:r w:rsidR="00EC0423">
        <w:rPr>
          <w:szCs w:val="24"/>
        </w:rPr>
        <w:t xml:space="preserve">__ </w:t>
      </w:r>
      <w:r w:rsidRPr="00E03574">
        <w:rPr>
          <w:szCs w:val="24"/>
        </w:rPr>
        <w:t>(</w:t>
      </w:r>
      <w:r>
        <w:rPr>
          <w:szCs w:val="24"/>
        </w:rPr>
        <w:t>MPP</w:t>
      </w:r>
      <w:r w:rsidRPr="00E03574">
        <w:rPr>
          <w:szCs w:val="24"/>
        </w:rPr>
        <w:t>-</w:t>
      </w:r>
      <w:r>
        <w:rPr>
          <w:szCs w:val="24"/>
        </w:rPr>
        <w:t>6</w:t>
      </w:r>
      <w:r w:rsidRPr="00E03574">
        <w:rPr>
          <w:szCs w:val="24"/>
        </w:rPr>
        <w:t>T)</w:t>
      </w:r>
      <w:r>
        <w:rPr>
          <w:szCs w:val="24"/>
        </w:rPr>
        <w:t>.</w:t>
      </w:r>
    </w:p>
    <w:p w:rsidR="00EF3B9D" w:rsidRPr="0066604B" w:rsidRDefault="00EF3B9D" w:rsidP="00EF3B9D">
      <w:pPr>
        <w:spacing w:line="480" w:lineRule="auto"/>
        <w:ind w:hanging="720"/>
        <w:rPr>
          <w:rFonts w:ascii="Times New Roman" w:hAnsi="Times New Roman"/>
          <w:szCs w:val="24"/>
        </w:rPr>
      </w:pPr>
    </w:p>
    <w:tbl>
      <w:tblPr>
        <w:tblStyle w:val="TableGrid"/>
        <w:tblW w:w="5922" w:type="dxa"/>
        <w:tblInd w:w="3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2"/>
      </w:tblGrid>
      <w:tr w:rsidR="0001704D" w:rsidRPr="0066604B" w:rsidTr="0004746B">
        <w:tc>
          <w:tcPr>
            <w:tcW w:w="5922" w:type="dxa"/>
          </w:tcPr>
          <w:p w:rsidR="0001704D" w:rsidRPr="0066604B" w:rsidRDefault="0001704D" w:rsidP="0001704D">
            <w:pPr>
              <w:pStyle w:val="normalblock"/>
              <w:keepNext/>
              <w:keepLines/>
              <w:spacing w:line="240" w:lineRule="auto"/>
              <w:rPr>
                <w:szCs w:val="24"/>
              </w:rPr>
            </w:pPr>
            <w:r w:rsidRPr="0066604B">
              <w:rPr>
                <w:szCs w:val="24"/>
              </w:rPr>
              <w:t xml:space="preserve">Respectfully submitted this </w:t>
            </w:r>
            <w:r w:rsidR="00EF3B9D">
              <w:rPr>
                <w:szCs w:val="24"/>
              </w:rPr>
              <w:t>26th</w:t>
            </w:r>
            <w:r w:rsidR="00F875DE">
              <w:rPr>
                <w:szCs w:val="24"/>
              </w:rPr>
              <w:t xml:space="preserve"> </w:t>
            </w:r>
            <w:r w:rsidR="00E66362" w:rsidRPr="0066604B">
              <w:rPr>
                <w:szCs w:val="24"/>
              </w:rPr>
              <w:t>day of</w:t>
            </w:r>
            <w:r w:rsidR="00EF3B9D">
              <w:rPr>
                <w:szCs w:val="24"/>
              </w:rPr>
              <w:t xml:space="preserve"> February, 2016</w:t>
            </w:r>
            <w:r w:rsidRPr="0066604B">
              <w:rPr>
                <w:szCs w:val="24"/>
              </w:rPr>
              <w:t>.</w:t>
            </w:r>
          </w:p>
          <w:p w:rsidR="0001704D" w:rsidRPr="0066604B" w:rsidRDefault="0001704D" w:rsidP="0001704D">
            <w:pPr>
              <w:pStyle w:val="normalblock"/>
              <w:keepNext/>
              <w:keepLines/>
              <w:spacing w:line="240" w:lineRule="auto"/>
              <w:rPr>
                <w:szCs w:val="24"/>
              </w:rPr>
            </w:pPr>
          </w:p>
          <w:p w:rsidR="00635701" w:rsidRPr="0066604B" w:rsidRDefault="00635701" w:rsidP="0001704D">
            <w:pPr>
              <w:pStyle w:val="normalblock"/>
              <w:keepNext/>
              <w:keepLines/>
              <w:spacing w:line="240" w:lineRule="auto"/>
              <w:rPr>
                <w:szCs w:val="24"/>
              </w:rPr>
            </w:pPr>
          </w:p>
          <w:p w:rsidR="0001704D" w:rsidRPr="0066604B" w:rsidRDefault="0001704D" w:rsidP="0001704D">
            <w:pPr>
              <w:pStyle w:val="normalblock"/>
              <w:keepNext/>
              <w:keepLines/>
              <w:spacing w:line="240" w:lineRule="auto"/>
              <w:rPr>
                <w:szCs w:val="24"/>
              </w:rPr>
            </w:pPr>
          </w:p>
          <w:p w:rsidR="0001704D" w:rsidRPr="0066604B" w:rsidRDefault="0001704D" w:rsidP="0001704D">
            <w:pPr>
              <w:pStyle w:val="normalblock"/>
              <w:keepNext/>
              <w:keepLines/>
              <w:spacing w:line="240" w:lineRule="auto"/>
              <w:rPr>
                <w:szCs w:val="24"/>
              </w:rPr>
            </w:pPr>
            <w:r w:rsidRPr="0066604B">
              <w:rPr>
                <w:szCs w:val="24"/>
              </w:rPr>
              <w:t>________________________________________</w:t>
            </w:r>
          </w:p>
          <w:p w:rsidR="00E66362" w:rsidRPr="0066604B" w:rsidRDefault="001776F9" w:rsidP="00E66362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Lisa Rackner</w:t>
            </w:r>
          </w:p>
          <w:p w:rsidR="00E66362" w:rsidRPr="0066604B" w:rsidRDefault="00E66362" w:rsidP="00E66362">
            <w:pPr>
              <w:rPr>
                <w:rFonts w:ascii="Times New Roman" w:hAnsi="Times New Roman"/>
                <w:szCs w:val="24"/>
              </w:rPr>
            </w:pPr>
            <w:r w:rsidRPr="0066604B">
              <w:rPr>
                <w:rFonts w:ascii="Times New Roman" w:hAnsi="Times New Roman"/>
                <w:szCs w:val="24"/>
              </w:rPr>
              <w:t>McDowell, Rackner &amp; Gibson PC</w:t>
            </w:r>
          </w:p>
          <w:p w:rsidR="00E66362" w:rsidRPr="0066604B" w:rsidRDefault="00E66362" w:rsidP="00E66362">
            <w:pPr>
              <w:rPr>
                <w:rFonts w:ascii="Times New Roman" w:hAnsi="Times New Roman"/>
                <w:szCs w:val="24"/>
              </w:rPr>
            </w:pPr>
            <w:r w:rsidRPr="0066604B">
              <w:rPr>
                <w:rFonts w:ascii="Times New Roman" w:hAnsi="Times New Roman"/>
                <w:szCs w:val="24"/>
              </w:rPr>
              <w:t xml:space="preserve">419 S.W. </w:t>
            </w:r>
            <w:r w:rsidR="00EF3B9D">
              <w:rPr>
                <w:rFonts w:ascii="Times New Roman" w:hAnsi="Times New Roman"/>
                <w:szCs w:val="24"/>
              </w:rPr>
              <w:t>11th</w:t>
            </w:r>
            <w:r w:rsidRPr="0066604B">
              <w:rPr>
                <w:rFonts w:ascii="Times New Roman" w:hAnsi="Times New Roman"/>
                <w:szCs w:val="24"/>
              </w:rPr>
              <w:t xml:space="preserve"> Avenue, Suite 400</w:t>
            </w:r>
          </w:p>
          <w:p w:rsidR="00E66362" w:rsidRPr="0066604B" w:rsidRDefault="00E66362" w:rsidP="00E66362">
            <w:pPr>
              <w:rPr>
                <w:rFonts w:ascii="Times New Roman" w:hAnsi="Times New Roman"/>
                <w:szCs w:val="24"/>
              </w:rPr>
            </w:pPr>
            <w:r w:rsidRPr="0066604B">
              <w:rPr>
                <w:rFonts w:ascii="Times New Roman" w:hAnsi="Times New Roman"/>
                <w:szCs w:val="24"/>
              </w:rPr>
              <w:t>Portland, OR 97205</w:t>
            </w:r>
          </w:p>
          <w:p w:rsidR="00E66362" w:rsidRPr="0066604B" w:rsidRDefault="001776F9" w:rsidP="00E66362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Telephone: (503) 595-3925</w:t>
            </w:r>
          </w:p>
          <w:p w:rsidR="009217DF" w:rsidRPr="0066604B" w:rsidRDefault="00E66362" w:rsidP="0001704D">
            <w:pPr>
              <w:pStyle w:val="normalblock"/>
              <w:keepNext/>
              <w:keepLines/>
              <w:spacing w:line="240" w:lineRule="auto"/>
              <w:rPr>
                <w:rStyle w:val="Hyperlink"/>
                <w:szCs w:val="24"/>
              </w:rPr>
            </w:pPr>
            <w:r w:rsidRPr="0066604B">
              <w:rPr>
                <w:szCs w:val="24"/>
              </w:rPr>
              <w:t xml:space="preserve">Email: </w:t>
            </w:r>
            <w:hyperlink r:id="rId11" w:history="1">
              <w:r w:rsidR="0039455B" w:rsidRPr="00BC0398">
                <w:rPr>
                  <w:rStyle w:val="Hyperlink"/>
                  <w:szCs w:val="24"/>
                </w:rPr>
                <w:t>lisa@mcd-law.com</w:t>
              </w:r>
            </w:hyperlink>
          </w:p>
          <w:p w:rsidR="003B6898" w:rsidRPr="0066604B" w:rsidRDefault="003B6898" w:rsidP="0001704D">
            <w:pPr>
              <w:pStyle w:val="normalblock"/>
              <w:keepNext/>
              <w:keepLines/>
              <w:spacing w:line="240" w:lineRule="auto"/>
              <w:rPr>
                <w:szCs w:val="24"/>
              </w:rPr>
            </w:pPr>
          </w:p>
          <w:p w:rsidR="003B6898" w:rsidRPr="0066604B" w:rsidRDefault="003B6898" w:rsidP="0066604B">
            <w:pPr>
              <w:pStyle w:val="normalblock"/>
              <w:keepNext/>
              <w:keepLines/>
              <w:spacing w:line="240" w:lineRule="auto"/>
              <w:rPr>
                <w:szCs w:val="24"/>
              </w:rPr>
            </w:pPr>
            <w:r w:rsidRPr="0066604B">
              <w:rPr>
                <w:szCs w:val="24"/>
              </w:rPr>
              <w:t xml:space="preserve">Attorneys for </w:t>
            </w:r>
            <w:r w:rsidR="00350165">
              <w:rPr>
                <w:szCs w:val="24"/>
              </w:rPr>
              <w:t>Cascade Natural Gas Corporation</w:t>
            </w:r>
          </w:p>
        </w:tc>
      </w:tr>
      <w:tr w:rsidR="00635701" w:rsidRPr="0066604B" w:rsidTr="0004746B">
        <w:tc>
          <w:tcPr>
            <w:tcW w:w="5922" w:type="dxa"/>
          </w:tcPr>
          <w:p w:rsidR="00635701" w:rsidRPr="0066604B" w:rsidRDefault="00635701" w:rsidP="0001704D">
            <w:pPr>
              <w:pStyle w:val="normalblock"/>
              <w:keepNext/>
              <w:keepLines/>
              <w:spacing w:line="240" w:lineRule="auto"/>
              <w:rPr>
                <w:szCs w:val="24"/>
              </w:rPr>
            </w:pPr>
          </w:p>
        </w:tc>
      </w:tr>
    </w:tbl>
    <w:p w:rsidR="00076E5D" w:rsidRPr="0066604B" w:rsidRDefault="00076E5D" w:rsidP="0001704D">
      <w:pPr>
        <w:rPr>
          <w:rFonts w:ascii="Times New Roman" w:hAnsi="Times New Roman"/>
          <w:szCs w:val="24"/>
        </w:rPr>
      </w:pPr>
    </w:p>
    <w:sectPr w:rsidR="00076E5D" w:rsidRPr="0066604B" w:rsidSect="0066604B">
      <w:footerReference w:type="even" r:id="rId12"/>
      <w:footerReference w:type="default" r:id="rId13"/>
      <w:pgSz w:w="12240" w:h="15840"/>
      <w:pgMar w:top="1440" w:right="144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5516" w:rsidRDefault="003A5516" w:rsidP="00FD2B21">
      <w:r>
        <w:separator/>
      </w:r>
    </w:p>
  </w:endnote>
  <w:endnote w:type="continuationSeparator" w:id="0">
    <w:p w:rsidR="003A5516" w:rsidRDefault="003A5516" w:rsidP="00FD2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026C" w:rsidRDefault="00A607DA" w:rsidP="00DB7DA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0026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0026C" w:rsidRDefault="0070026C" w:rsidP="00DB7DA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026C" w:rsidRDefault="00A607DA" w:rsidP="00DB7DA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0026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B29D5">
      <w:rPr>
        <w:rStyle w:val="PageNumber"/>
        <w:noProof/>
      </w:rPr>
      <w:t>3</w:t>
    </w:r>
    <w:r>
      <w:rPr>
        <w:rStyle w:val="PageNumber"/>
      </w:rPr>
      <w:fldChar w:fldCharType="end"/>
    </w:r>
  </w:p>
  <w:p w:rsidR="0070026C" w:rsidRDefault="00350165" w:rsidP="00DB7DA7">
    <w:pPr>
      <w:pStyle w:val="Footer"/>
      <w:ind w:right="360"/>
    </w:pPr>
    <w:r>
      <w:t>Cascade</w:t>
    </w:r>
    <w:r w:rsidR="0001704D">
      <w:t>’</w:t>
    </w:r>
    <w:r w:rsidR="0070026C">
      <w:t xml:space="preserve">s Motion </w:t>
    </w:r>
    <w:r w:rsidR="00EF3B9D">
      <w:t>to File Supplemental Testimony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5516" w:rsidRDefault="003A5516" w:rsidP="00FD2B21">
      <w:r>
        <w:separator/>
      </w:r>
    </w:p>
  </w:footnote>
  <w:footnote w:type="continuationSeparator" w:id="0">
    <w:p w:rsidR="003A5516" w:rsidRDefault="003A5516" w:rsidP="00FD2B21">
      <w:r>
        <w:continuationSeparator/>
      </w:r>
    </w:p>
  </w:footnote>
  <w:footnote w:id="1">
    <w:p w:rsidR="00800A8A" w:rsidRPr="003C47D6" w:rsidRDefault="00800A8A" w:rsidP="00800A8A">
      <w:pPr>
        <w:pStyle w:val="FootnoteText"/>
      </w:pPr>
      <w:r w:rsidRPr="003C47D6">
        <w:rPr>
          <w:rStyle w:val="FootnoteReference"/>
        </w:rPr>
        <w:footnoteRef/>
      </w:r>
      <w:r w:rsidRPr="003C47D6">
        <w:t xml:space="preserve"> </w:t>
      </w:r>
      <w:r>
        <w:rPr>
          <w:i/>
        </w:rPr>
        <w:t>See Wash. Utils. &amp; Tran</w:t>
      </w:r>
      <w:bookmarkStart w:id="2" w:name="_GoBack"/>
      <w:bookmarkEnd w:id="2"/>
      <w:r>
        <w:rPr>
          <w:i/>
        </w:rPr>
        <w:t>sp. Comm’n v. Cascade Natural Gas Corp.</w:t>
      </w:r>
      <w:r>
        <w:t xml:space="preserve">, Docket UG-140381, Order 03 at App. A, </w:t>
      </w:r>
      <w:r>
        <w:rPr>
          <w:rFonts w:cs="Times"/>
        </w:rPr>
        <w:t xml:space="preserve">¶¶ 10, 17 </w:t>
      </w:r>
      <w:r>
        <w:t xml:space="preserve">(June 10, 2015).  </w:t>
      </w:r>
    </w:p>
  </w:footnote>
  <w:footnote w:id="2">
    <w:p w:rsidR="00EF3B9D" w:rsidRPr="00B8704B" w:rsidRDefault="00EF3B9D" w:rsidP="00EF3B9D">
      <w:pPr>
        <w:pStyle w:val="FootnoteText"/>
      </w:pPr>
      <w:r w:rsidRPr="00B8704B">
        <w:rPr>
          <w:vertAlign w:val="superscript"/>
        </w:rPr>
        <w:footnoteRef/>
      </w:r>
      <w:r w:rsidRPr="00B8704B">
        <w:rPr>
          <w:vertAlign w:val="superscript"/>
        </w:rPr>
        <w:t xml:space="preserve"> </w:t>
      </w:r>
      <w:r w:rsidRPr="00B8704B">
        <w:t>WAC 480-07-460(1)(b)(ii).</w:t>
      </w:r>
    </w:p>
  </w:footnote>
  <w:footnote w:id="3">
    <w:p w:rsidR="00EF3B9D" w:rsidRPr="00B8704B" w:rsidRDefault="00EF3B9D" w:rsidP="00EF3B9D">
      <w:pPr>
        <w:pStyle w:val="FootnoteText"/>
      </w:pPr>
      <w:r w:rsidRPr="00B8704B">
        <w:rPr>
          <w:vertAlign w:val="superscript"/>
        </w:rPr>
        <w:footnoteRef/>
      </w:r>
      <w:r w:rsidRPr="00B8704B">
        <w:rPr>
          <w:vertAlign w:val="superscript"/>
        </w:rPr>
        <w:t xml:space="preserve"> </w:t>
      </w:r>
      <w:r w:rsidRPr="00B8704B">
        <w:rPr>
          <w:i/>
        </w:rPr>
        <w:t>Wash. Utils. &amp; Transp. Comm’n v. Puget Sound Energy, Inc.</w:t>
      </w:r>
      <w:r w:rsidRPr="00B8704B">
        <w:t xml:space="preserve">, Docket UE-072300, Order 08 ¶ 10 (May 5, 2008); </w:t>
      </w:r>
      <w:r w:rsidRPr="00B8704B">
        <w:rPr>
          <w:i/>
        </w:rPr>
        <w:t>see also Wash. Utils. &amp; Transp. Comm’n v. Avista Corp.</w:t>
      </w:r>
      <w:r w:rsidRPr="00B8704B">
        <w:t xml:space="preserve">, Docket UE-080416, Order 04 (Aug. 8, 2008) (applying the same balancing test); </w:t>
      </w:r>
      <w:r w:rsidRPr="00B8704B">
        <w:rPr>
          <w:i/>
        </w:rPr>
        <w:t>Wash. Utils. &amp; Transp. Comm’n v. Puget Sound Energy, Inc.</w:t>
      </w:r>
      <w:r w:rsidRPr="00B8704B">
        <w:t xml:space="preserve">, Docket UE-111048, Order 07 (Jan. 27, 2012) (granting motion to supplement record to include recently identified customer “given the importance of a full and complete record”); </w:t>
      </w:r>
      <w:r w:rsidRPr="00B8704B">
        <w:rPr>
          <w:i/>
        </w:rPr>
        <w:t>Re Verizon Communications Inc. and Frontier Communications Corp.</w:t>
      </w:r>
      <w:r w:rsidRPr="00B8704B">
        <w:t>, Docket UT-090842, Order 03 (Aug. 18, 2003) (“The supplemental testimony and exhibits filed with Verizon and Frontier’s motion promote the Commission’s interest in having a full record on which to base its decision.”)</w:t>
      </w:r>
      <w:r>
        <w:t>.</w:t>
      </w:r>
    </w:p>
  </w:footnote>
  <w:footnote w:id="4">
    <w:p w:rsidR="00EF3B9D" w:rsidRPr="00474C1F" w:rsidRDefault="00EF3B9D" w:rsidP="00EF3B9D">
      <w:pPr>
        <w:pStyle w:val="FootnoteText"/>
        <w:rPr>
          <w:i/>
        </w:rPr>
      </w:pPr>
      <w:r w:rsidRPr="00B8704B">
        <w:rPr>
          <w:vertAlign w:val="superscript"/>
        </w:rPr>
        <w:footnoteRef/>
      </w:r>
      <w:r w:rsidRPr="00B8704B">
        <w:rPr>
          <w:vertAlign w:val="superscript"/>
        </w:rPr>
        <w:t xml:space="preserve"> </w:t>
      </w:r>
      <w:r w:rsidRPr="00B8704B">
        <w:rPr>
          <w:i/>
        </w:rPr>
        <w:t>Id.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444567"/>
    <w:multiLevelType w:val="hybridMultilevel"/>
    <w:tmpl w:val="214CB7BA"/>
    <w:lvl w:ilvl="0" w:tplc="4AC6FD04">
      <w:start w:val="1"/>
      <w:numFmt w:val="decimal"/>
      <w:lvlText w:val="%1"/>
      <w:lvlJc w:val="left"/>
      <w:pPr>
        <w:tabs>
          <w:tab w:val="num" w:pos="720"/>
        </w:tabs>
        <w:ind w:left="0" w:hanging="720"/>
      </w:pPr>
      <w:rPr>
        <w:rFonts w:ascii="Times New Roman" w:hAnsi="Times New Roman"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52D52E">
      <w:start w:val="1"/>
      <w:numFmt w:val="decimal"/>
      <w:lvlText w:val="(%3)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4FD"/>
    <w:rsid w:val="00002959"/>
    <w:rsid w:val="00003BF9"/>
    <w:rsid w:val="00003FB1"/>
    <w:rsid w:val="000165A9"/>
    <w:rsid w:val="0001704D"/>
    <w:rsid w:val="00023309"/>
    <w:rsid w:val="00031A83"/>
    <w:rsid w:val="00032C20"/>
    <w:rsid w:val="00046514"/>
    <w:rsid w:val="0004746B"/>
    <w:rsid w:val="0006608C"/>
    <w:rsid w:val="00076E5D"/>
    <w:rsid w:val="00095727"/>
    <w:rsid w:val="000E3951"/>
    <w:rsid w:val="00103FDE"/>
    <w:rsid w:val="00107226"/>
    <w:rsid w:val="00122D63"/>
    <w:rsid w:val="00136F98"/>
    <w:rsid w:val="001573BC"/>
    <w:rsid w:val="001573E4"/>
    <w:rsid w:val="00173176"/>
    <w:rsid w:val="001776F9"/>
    <w:rsid w:val="001E306C"/>
    <w:rsid w:val="001E40FC"/>
    <w:rsid w:val="0020410D"/>
    <w:rsid w:val="0020417D"/>
    <w:rsid w:val="002868D0"/>
    <w:rsid w:val="002A6186"/>
    <w:rsid w:val="002B7493"/>
    <w:rsid w:val="002D57CC"/>
    <w:rsid w:val="002E4DD1"/>
    <w:rsid w:val="002E52A5"/>
    <w:rsid w:val="00303C8E"/>
    <w:rsid w:val="00323ECA"/>
    <w:rsid w:val="003434FD"/>
    <w:rsid w:val="00350165"/>
    <w:rsid w:val="00391532"/>
    <w:rsid w:val="003915B8"/>
    <w:rsid w:val="0039455B"/>
    <w:rsid w:val="00397864"/>
    <w:rsid w:val="003A5516"/>
    <w:rsid w:val="003A663D"/>
    <w:rsid w:val="003B6898"/>
    <w:rsid w:val="003D21F8"/>
    <w:rsid w:val="003E0E31"/>
    <w:rsid w:val="003F07EA"/>
    <w:rsid w:val="00402C88"/>
    <w:rsid w:val="00405612"/>
    <w:rsid w:val="004106B4"/>
    <w:rsid w:val="00425826"/>
    <w:rsid w:val="00426B19"/>
    <w:rsid w:val="004649CC"/>
    <w:rsid w:val="00485A76"/>
    <w:rsid w:val="004D09E0"/>
    <w:rsid w:val="004D719B"/>
    <w:rsid w:val="004E30DD"/>
    <w:rsid w:val="004E3474"/>
    <w:rsid w:val="004E562D"/>
    <w:rsid w:val="0057238A"/>
    <w:rsid w:val="00596D94"/>
    <w:rsid w:val="00597919"/>
    <w:rsid w:val="005B4BE6"/>
    <w:rsid w:val="005D004D"/>
    <w:rsid w:val="005E31D8"/>
    <w:rsid w:val="005F7F2C"/>
    <w:rsid w:val="00601C8F"/>
    <w:rsid w:val="00604624"/>
    <w:rsid w:val="00615D6D"/>
    <w:rsid w:val="00635701"/>
    <w:rsid w:val="0064365A"/>
    <w:rsid w:val="0064773A"/>
    <w:rsid w:val="0066604B"/>
    <w:rsid w:val="006802F1"/>
    <w:rsid w:val="006918CC"/>
    <w:rsid w:val="006C03E1"/>
    <w:rsid w:val="006E067C"/>
    <w:rsid w:val="006F0E7E"/>
    <w:rsid w:val="0070026C"/>
    <w:rsid w:val="00705855"/>
    <w:rsid w:val="00717840"/>
    <w:rsid w:val="00762169"/>
    <w:rsid w:val="00791F7A"/>
    <w:rsid w:val="007C505B"/>
    <w:rsid w:val="007D72C7"/>
    <w:rsid w:val="00800A8A"/>
    <w:rsid w:val="008242D9"/>
    <w:rsid w:val="00845A9A"/>
    <w:rsid w:val="00875DC2"/>
    <w:rsid w:val="00880826"/>
    <w:rsid w:val="00887620"/>
    <w:rsid w:val="008943DC"/>
    <w:rsid w:val="00894601"/>
    <w:rsid w:val="008F3A98"/>
    <w:rsid w:val="00904897"/>
    <w:rsid w:val="00912628"/>
    <w:rsid w:val="009217DF"/>
    <w:rsid w:val="0093298E"/>
    <w:rsid w:val="009538EB"/>
    <w:rsid w:val="00967EEA"/>
    <w:rsid w:val="00992DFA"/>
    <w:rsid w:val="009942E8"/>
    <w:rsid w:val="0099635F"/>
    <w:rsid w:val="00997FC2"/>
    <w:rsid w:val="009F51E5"/>
    <w:rsid w:val="00A101B1"/>
    <w:rsid w:val="00A20D7F"/>
    <w:rsid w:val="00A36D6E"/>
    <w:rsid w:val="00A607DA"/>
    <w:rsid w:val="00A66F9A"/>
    <w:rsid w:val="00AA138A"/>
    <w:rsid w:val="00AC27F3"/>
    <w:rsid w:val="00AD3E59"/>
    <w:rsid w:val="00AD66D2"/>
    <w:rsid w:val="00AF263F"/>
    <w:rsid w:val="00B05D62"/>
    <w:rsid w:val="00B16001"/>
    <w:rsid w:val="00B76635"/>
    <w:rsid w:val="00B778F5"/>
    <w:rsid w:val="00BA1C9B"/>
    <w:rsid w:val="00BB3110"/>
    <w:rsid w:val="00BB5EBE"/>
    <w:rsid w:val="00C06CD9"/>
    <w:rsid w:val="00C118B2"/>
    <w:rsid w:val="00C13203"/>
    <w:rsid w:val="00C32395"/>
    <w:rsid w:val="00C370F0"/>
    <w:rsid w:val="00C5177B"/>
    <w:rsid w:val="00C66FAE"/>
    <w:rsid w:val="00D432F9"/>
    <w:rsid w:val="00D44586"/>
    <w:rsid w:val="00DA7140"/>
    <w:rsid w:val="00DB7DA7"/>
    <w:rsid w:val="00E4033C"/>
    <w:rsid w:val="00E46D0C"/>
    <w:rsid w:val="00E66362"/>
    <w:rsid w:val="00E67FC0"/>
    <w:rsid w:val="00EA685A"/>
    <w:rsid w:val="00EB29D5"/>
    <w:rsid w:val="00EB2C03"/>
    <w:rsid w:val="00EC0423"/>
    <w:rsid w:val="00EC204D"/>
    <w:rsid w:val="00EF3B9D"/>
    <w:rsid w:val="00F032BB"/>
    <w:rsid w:val="00F13B64"/>
    <w:rsid w:val="00F2797D"/>
    <w:rsid w:val="00F33B68"/>
    <w:rsid w:val="00F875DE"/>
    <w:rsid w:val="00FB26DC"/>
    <w:rsid w:val="00FC5217"/>
    <w:rsid w:val="00FC7996"/>
    <w:rsid w:val="00FD2B21"/>
    <w:rsid w:val="00FF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34FD"/>
    <w:rPr>
      <w:rFonts w:ascii="Times" w:eastAsia="Times" w:hAnsi="Times"/>
      <w:sz w:val="24"/>
    </w:rPr>
  </w:style>
  <w:style w:type="paragraph" w:styleId="Heading1">
    <w:name w:val="heading 1"/>
    <w:basedOn w:val="Normal"/>
    <w:next w:val="Normal"/>
    <w:link w:val="Heading1Char"/>
    <w:qFormat/>
    <w:rsid w:val="0070026C"/>
    <w:pPr>
      <w:keepNext/>
      <w:keepLines/>
      <w:autoSpaceDE w:val="0"/>
      <w:autoSpaceDN w:val="0"/>
      <w:adjustRightInd w:val="0"/>
      <w:spacing w:after="240"/>
      <w:ind w:left="720" w:right="720"/>
      <w:jc w:val="center"/>
      <w:outlineLvl w:val="0"/>
    </w:pPr>
    <w:rPr>
      <w:rFonts w:ascii="Times New Roman" w:eastAsia="Times New Roman" w:hAnsi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434FD"/>
    <w:rPr>
      <w:color w:val="0000FF"/>
      <w:u w:val="single"/>
    </w:rPr>
  </w:style>
  <w:style w:type="paragraph" w:styleId="Footer">
    <w:name w:val="footer"/>
    <w:basedOn w:val="Normal"/>
    <w:link w:val="FooterChar"/>
    <w:semiHidden/>
    <w:rsid w:val="003434F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3434FD"/>
    <w:rPr>
      <w:rFonts w:ascii="Times" w:eastAsia="Times" w:hAnsi="Times"/>
      <w:szCs w:val="20"/>
    </w:rPr>
  </w:style>
  <w:style w:type="character" w:styleId="PageNumber">
    <w:name w:val="page number"/>
    <w:basedOn w:val="DefaultParagraphFont"/>
    <w:rsid w:val="003434FD"/>
  </w:style>
  <w:style w:type="character" w:styleId="CommentReference">
    <w:name w:val="annotation reference"/>
    <w:basedOn w:val="DefaultParagraphFont"/>
    <w:uiPriority w:val="99"/>
    <w:semiHidden/>
    <w:unhideWhenUsed/>
    <w:rsid w:val="00C370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70F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70F0"/>
    <w:rPr>
      <w:rFonts w:ascii="Times" w:eastAsia="Times" w:hAnsi="Time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70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70F0"/>
    <w:rPr>
      <w:rFonts w:ascii="Times" w:eastAsia="Times" w:hAnsi="Times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70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70F0"/>
    <w:rPr>
      <w:rFonts w:ascii="Tahoma" w:eastAsia="Times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D72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72C7"/>
    <w:rPr>
      <w:rFonts w:ascii="Times" w:eastAsia="Times" w:hAnsi="Times"/>
      <w:sz w:val="24"/>
    </w:rPr>
  </w:style>
  <w:style w:type="character" w:customStyle="1" w:styleId="Heading1Char">
    <w:name w:val="Heading 1 Char"/>
    <w:basedOn w:val="DefaultParagraphFont"/>
    <w:link w:val="Heading1"/>
    <w:rsid w:val="0070026C"/>
    <w:rPr>
      <w:rFonts w:eastAsia="Times New Roman"/>
      <w:b/>
      <w:bCs/>
      <w:sz w:val="24"/>
      <w:szCs w:val="24"/>
    </w:rPr>
  </w:style>
  <w:style w:type="paragraph" w:customStyle="1" w:styleId="plain">
    <w:name w:val="plain"/>
    <w:basedOn w:val="Normal"/>
    <w:rsid w:val="0070026C"/>
    <w:rPr>
      <w:rFonts w:ascii="Times New Roman" w:eastAsia="Times New Roman" w:hAnsi="Times New Roman"/>
      <w:lang w:eastAsia="zh-CN"/>
    </w:rPr>
  </w:style>
  <w:style w:type="paragraph" w:customStyle="1" w:styleId="center">
    <w:name w:val="center"/>
    <w:basedOn w:val="Normal"/>
    <w:rsid w:val="0070026C"/>
    <w:pPr>
      <w:jc w:val="center"/>
    </w:pPr>
    <w:rPr>
      <w:rFonts w:ascii="Times New Roman" w:eastAsia="Times New Roman" w:hAnsi="Times New Roman"/>
      <w:b/>
      <w:lang w:eastAsia="zh-CN"/>
    </w:rPr>
  </w:style>
  <w:style w:type="paragraph" w:customStyle="1" w:styleId="righthalf">
    <w:name w:val="right half"/>
    <w:basedOn w:val="Normal"/>
    <w:rsid w:val="0070026C"/>
    <w:pPr>
      <w:keepLines/>
      <w:tabs>
        <w:tab w:val="left" w:pos="4860"/>
        <w:tab w:val="right" w:pos="9090"/>
      </w:tabs>
      <w:spacing w:before="480" w:line="240" w:lineRule="atLeast"/>
      <w:ind w:left="4320" w:right="187"/>
    </w:pPr>
    <w:rPr>
      <w:rFonts w:ascii="Times New Roman" w:eastAsia="Times New Roman" w:hAnsi="Times New Roman"/>
      <w:lang w:eastAsia="zh-CN"/>
    </w:rPr>
  </w:style>
  <w:style w:type="paragraph" w:customStyle="1" w:styleId="normalblock">
    <w:name w:val="normal block"/>
    <w:basedOn w:val="Normal"/>
    <w:rsid w:val="0070026C"/>
    <w:pPr>
      <w:spacing w:line="480" w:lineRule="auto"/>
    </w:pPr>
    <w:rPr>
      <w:rFonts w:ascii="Times New Roman" w:eastAsia="Times New Roman" w:hAnsi="Times New Roman"/>
      <w:lang w:eastAsia="zh-CN"/>
    </w:rPr>
  </w:style>
  <w:style w:type="paragraph" w:styleId="BodyText2">
    <w:name w:val="Body Text 2"/>
    <w:basedOn w:val="Normal"/>
    <w:link w:val="BodyText2Char"/>
    <w:rsid w:val="0070026C"/>
    <w:pPr>
      <w:tabs>
        <w:tab w:val="left" w:pos="720"/>
      </w:tabs>
      <w:autoSpaceDE w:val="0"/>
      <w:autoSpaceDN w:val="0"/>
      <w:adjustRightInd w:val="0"/>
      <w:spacing w:after="120" w:line="480" w:lineRule="auto"/>
      <w:ind w:hanging="720"/>
    </w:pPr>
    <w:rPr>
      <w:rFonts w:ascii="Times New Roman" w:eastAsia="Times New Roman" w:hAnsi="Times New Roman"/>
      <w:szCs w:val="24"/>
    </w:rPr>
  </w:style>
  <w:style w:type="character" w:customStyle="1" w:styleId="BodyText2Char">
    <w:name w:val="Body Text 2 Char"/>
    <w:basedOn w:val="DefaultParagraphFont"/>
    <w:link w:val="BodyText2"/>
    <w:rsid w:val="0070026C"/>
    <w:rPr>
      <w:rFonts w:eastAsia="Times New Roman"/>
      <w:sz w:val="24"/>
      <w:szCs w:val="24"/>
    </w:rPr>
  </w:style>
  <w:style w:type="table" w:styleId="TableGrid">
    <w:name w:val="Table Grid"/>
    <w:basedOn w:val="TableNormal"/>
    <w:uiPriority w:val="59"/>
    <w:rsid w:val="000170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303C8E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03C8E"/>
    <w:rPr>
      <w:rFonts w:ascii="Times" w:eastAsia="Times" w:hAnsi="Times"/>
    </w:rPr>
  </w:style>
  <w:style w:type="character" w:styleId="FootnoteReference">
    <w:name w:val="footnote reference"/>
    <w:basedOn w:val="DefaultParagraphFont"/>
    <w:uiPriority w:val="99"/>
    <w:semiHidden/>
    <w:unhideWhenUsed/>
    <w:rsid w:val="00303C8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isa@mcd-law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77AE8A7F4BA414592C9ADFE3B30758A" ma:contentTypeVersion="119" ma:contentTypeDescription="" ma:contentTypeScope="" ma:versionID="6d71e38aecebd031583b8bbff037990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Motion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2015-12-01T08:00:00+00:00</OpenedDate>
    <Date1 xmlns="dc463f71-b30c-4ab2-9473-d307f9d35888">2016-02-26T08:00:00+00:00</Date1>
    <IsDocumentOrder xmlns="dc463f71-b30c-4ab2-9473-d307f9d35888" xsi:nil="true"/>
    <IsHighlyConfidential xmlns="dc463f71-b30c-4ab2-9473-d307f9d35888">false</IsHighlyConfidential>
    <CaseCompanyNames xmlns="dc463f71-b30c-4ab2-9473-d307f9d35888">Cascade Natural Gas Corporation</CaseCompanyNames>
    <DocketNumber xmlns="dc463f71-b30c-4ab2-9473-d307f9d35888">152286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26B4B12E-76DF-45BE-B4BF-0B1673C43CE8}"/>
</file>

<file path=customXml/itemProps2.xml><?xml version="1.0" encoding="utf-8"?>
<ds:datastoreItem xmlns:ds="http://schemas.openxmlformats.org/officeDocument/2006/customXml" ds:itemID="{CACB2CB4-9CA0-4629-A569-5E707CA0C943}"/>
</file>

<file path=customXml/itemProps3.xml><?xml version="1.0" encoding="utf-8"?>
<ds:datastoreItem xmlns:ds="http://schemas.openxmlformats.org/officeDocument/2006/customXml" ds:itemID="{BE7CF2C7-386B-468F-858C-C114166DC0A0}"/>
</file>

<file path=customXml/itemProps4.xml><?xml version="1.0" encoding="utf-8"?>
<ds:datastoreItem xmlns:ds="http://schemas.openxmlformats.org/officeDocument/2006/customXml" ds:itemID="{56166FDA-8C43-49F9-8B4A-273B8AE0F04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541</Words>
  <Characters>3090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3624</CharactersWithSpaces>
  <SharedDoc>false</SharedDoc>
  <HLinks>
    <vt:vector size="6" baseType="variant">
      <vt:variant>
        <vt:i4>3866710</vt:i4>
      </vt:variant>
      <vt:variant>
        <vt:i4>0</vt:i4>
      </vt:variant>
      <vt:variant>
        <vt:i4>0</vt:i4>
      </vt:variant>
      <vt:variant>
        <vt:i4>5</vt:i4>
      </vt:variant>
      <vt:variant>
        <vt:lpwstr>mailto:sarah.edmonds@pacificorp.com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2016-02-26T22:13:00Z</dcterms:created>
  <dcterms:modified xsi:type="dcterms:W3CDTF">2016-02-26T22:13:00Z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0x0101006E56B4D1795A2E4DB2F0B01679ED314A00077AE8A7F4BA414592C9ADFE3B30758A</vt:lpwstr>
  </property>
  <property fmtid="{D5CDD505-2E9C-101B-9397-08002B2CF9AE}" pid="3" name="_docset_NoMedatataSyncRequired">
    <vt:lpwstr>False</vt:lpwstr>
  </property>
</Properties>
</file>