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E5CA8" w14:textId="77777777" w:rsidR="00FD6156" w:rsidRPr="00FD6156" w:rsidRDefault="00FD6156" w:rsidP="007C1BE8">
      <w:pPr>
        <w:pStyle w:val="NoSpacing"/>
      </w:pPr>
    </w:p>
    <w:p w14:paraId="4B355D84" w14:textId="77777777" w:rsidR="00FD6156" w:rsidRPr="00FD6156" w:rsidRDefault="00FD6156" w:rsidP="00FD6156">
      <w:pPr>
        <w:tabs>
          <w:tab w:val="center" w:pos="4680"/>
        </w:tabs>
        <w:jc w:val="center"/>
      </w:pPr>
    </w:p>
    <w:p w14:paraId="59516B8A" w14:textId="77777777" w:rsidR="00FD6156" w:rsidRPr="004A1F6F" w:rsidRDefault="00FD6156" w:rsidP="00FD6156">
      <w:pPr>
        <w:tabs>
          <w:tab w:val="center" w:pos="4680"/>
        </w:tabs>
        <w:ind w:left="-360" w:right="-252"/>
        <w:jc w:val="center"/>
      </w:pPr>
      <w:r w:rsidRPr="004A1F6F">
        <w:t>BEFORE THE WASHINGTON UTILITIES AND TRANSPORTATION COMMISSION</w:t>
      </w:r>
    </w:p>
    <w:p w14:paraId="23977E20" w14:textId="77777777" w:rsidR="00FD6156" w:rsidRPr="004A1F6F" w:rsidRDefault="00FD6156" w:rsidP="00FD6156">
      <w:pPr>
        <w:jc w:val="both"/>
      </w:pPr>
    </w:p>
    <w:tbl>
      <w:tblPr>
        <w:tblW w:w="9180" w:type="dxa"/>
        <w:tblLayout w:type="fixed"/>
        <w:tblCellMar>
          <w:left w:w="124" w:type="dxa"/>
          <w:right w:w="124" w:type="dxa"/>
        </w:tblCellMar>
        <w:tblLook w:val="04A0" w:firstRow="1" w:lastRow="0" w:firstColumn="1" w:lastColumn="0" w:noHBand="0" w:noVBand="1"/>
      </w:tblPr>
      <w:tblGrid>
        <w:gridCol w:w="4590"/>
        <w:gridCol w:w="4590"/>
      </w:tblGrid>
      <w:tr w:rsidR="00FD6156" w:rsidRPr="004A1F6F" w14:paraId="13D1FED4" w14:textId="77777777" w:rsidTr="00FD6156">
        <w:tc>
          <w:tcPr>
            <w:tcW w:w="4590" w:type="dxa"/>
            <w:tcBorders>
              <w:top w:val="single" w:sz="6" w:space="0" w:color="FFFFFF"/>
              <w:left w:val="single" w:sz="6" w:space="0" w:color="FFFFFF"/>
              <w:bottom w:val="single" w:sz="8" w:space="0" w:color="000000"/>
              <w:right w:val="single" w:sz="6" w:space="0" w:color="FFFFFF"/>
            </w:tcBorders>
          </w:tcPr>
          <w:p w14:paraId="05CE682C" w14:textId="77777777" w:rsidR="00FD6156" w:rsidRPr="004A1F6F" w:rsidRDefault="00FD6156" w:rsidP="00FD6156">
            <w:r w:rsidRPr="004A1F6F">
              <w:t>WASHINGTON UTILITIES AND TRANSPORTATION COMMISSION,</w:t>
            </w:r>
          </w:p>
          <w:p w14:paraId="5A7F0B97" w14:textId="77777777" w:rsidR="00FD6156" w:rsidRPr="004A1F6F" w:rsidRDefault="00FD6156" w:rsidP="00FD6156"/>
          <w:p w14:paraId="56EC951E" w14:textId="77777777" w:rsidR="00FD6156" w:rsidRPr="004A1F6F" w:rsidRDefault="00FD6156" w:rsidP="00FD6156">
            <w:pPr>
              <w:tabs>
                <w:tab w:val="left" w:pos="1800"/>
              </w:tabs>
            </w:pPr>
            <w:r w:rsidRPr="004A1F6F">
              <w:tab/>
              <w:t>Complainant,</w:t>
            </w:r>
          </w:p>
          <w:p w14:paraId="4D218401" w14:textId="77777777" w:rsidR="00FD6156" w:rsidRPr="004A1F6F" w:rsidRDefault="00FD6156" w:rsidP="00FD6156"/>
          <w:p w14:paraId="19D1E79E" w14:textId="77777777" w:rsidR="00FD6156" w:rsidRPr="004A1F6F" w:rsidRDefault="00FD6156" w:rsidP="00FD6156">
            <w:r w:rsidRPr="004A1F6F">
              <w:t>v.</w:t>
            </w:r>
          </w:p>
          <w:p w14:paraId="24AF564B" w14:textId="77777777" w:rsidR="00FD6156" w:rsidRPr="004A1F6F" w:rsidRDefault="00FD6156" w:rsidP="00FD6156">
            <w:pPr>
              <w:jc w:val="center"/>
            </w:pPr>
          </w:p>
          <w:p w14:paraId="758E3011" w14:textId="77777777" w:rsidR="00FD6156" w:rsidRPr="004A1F6F" w:rsidRDefault="00FD6156" w:rsidP="00FD6156">
            <w:r w:rsidRPr="004A1F6F">
              <w:t>AVISTA CORPORATION, dba</w:t>
            </w:r>
          </w:p>
          <w:p w14:paraId="6AD6FE8C" w14:textId="77777777" w:rsidR="00FD6156" w:rsidRPr="004A1F6F" w:rsidRDefault="00FD6156" w:rsidP="00FD6156">
            <w:r w:rsidRPr="004A1F6F">
              <w:t>AVISTA UTILITIES,</w:t>
            </w:r>
          </w:p>
          <w:p w14:paraId="54F04329" w14:textId="77777777" w:rsidR="00FD6156" w:rsidRPr="004A1F6F" w:rsidRDefault="00FD6156" w:rsidP="00FD6156">
            <w:pPr>
              <w:jc w:val="center"/>
            </w:pPr>
          </w:p>
          <w:p w14:paraId="204D50F1" w14:textId="77777777" w:rsidR="00FD6156" w:rsidRPr="004A1F6F" w:rsidRDefault="00FD6156" w:rsidP="00FD6156">
            <w:pPr>
              <w:tabs>
                <w:tab w:val="left" w:pos="1800"/>
              </w:tabs>
            </w:pPr>
            <w:r w:rsidRPr="004A1F6F">
              <w:tab/>
              <w:t>Respondent.</w:t>
            </w:r>
          </w:p>
          <w:p w14:paraId="5126E73F" w14:textId="77777777" w:rsidR="00FD6156" w:rsidRPr="004A1F6F" w:rsidRDefault="00FD6156" w:rsidP="00FD6156">
            <w:pPr>
              <w:tabs>
                <w:tab w:val="center" w:pos="4680"/>
              </w:tabs>
            </w:pPr>
          </w:p>
        </w:tc>
        <w:tc>
          <w:tcPr>
            <w:tcW w:w="4590" w:type="dxa"/>
            <w:tcBorders>
              <w:top w:val="single" w:sz="6" w:space="0" w:color="FFFFFF"/>
              <w:left w:val="single" w:sz="8" w:space="0" w:color="000000"/>
              <w:bottom w:val="single" w:sz="6" w:space="0" w:color="FFFFFF"/>
              <w:right w:val="single" w:sz="6" w:space="0" w:color="FFFFFF"/>
            </w:tcBorders>
          </w:tcPr>
          <w:p w14:paraId="5C82307B" w14:textId="77777777" w:rsidR="00FD6156" w:rsidRPr="004A1F6F" w:rsidRDefault="00FD6156" w:rsidP="00FD6156">
            <w:pPr>
              <w:ind w:left="450"/>
            </w:pPr>
            <w:r w:rsidRPr="004A1F6F">
              <w:t xml:space="preserve">DOCKETS UE-150204 and </w:t>
            </w:r>
          </w:p>
          <w:p w14:paraId="098ABB4C" w14:textId="77777777" w:rsidR="00FD6156" w:rsidRPr="004A1F6F" w:rsidRDefault="00FD6156" w:rsidP="00FD6156">
            <w:pPr>
              <w:ind w:left="450"/>
            </w:pPr>
            <w:r w:rsidRPr="004A1F6F">
              <w:t xml:space="preserve">UG-150205 </w:t>
            </w:r>
            <w:r w:rsidRPr="004A1F6F">
              <w:rPr>
                <w:i/>
              </w:rPr>
              <w:t>(Consolidated)</w:t>
            </w:r>
          </w:p>
          <w:p w14:paraId="2A401991" w14:textId="77777777" w:rsidR="00FD6156" w:rsidRDefault="00FD6156" w:rsidP="00FD6156">
            <w:pPr>
              <w:tabs>
                <w:tab w:val="center" w:pos="4680"/>
              </w:tabs>
            </w:pPr>
          </w:p>
          <w:p w14:paraId="7821AA09" w14:textId="77777777" w:rsidR="004A1F6F" w:rsidRPr="004A1F6F" w:rsidRDefault="004A1F6F" w:rsidP="004A1F6F">
            <w:pPr>
              <w:tabs>
                <w:tab w:val="center" w:pos="4680"/>
              </w:tabs>
              <w:ind w:left="498"/>
            </w:pPr>
            <w:r>
              <w:t>COMMISSION STAFF</w:t>
            </w:r>
            <w:r w:rsidR="00C92CEB">
              <w:t>’S</w:t>
            </w:r>
            <w:r>
              <w:t xml:space="preserve"> MOTION </w:t>
            </w:r>
            <w:r w:rsidR="00130A4A">
              <w:t xml:space="preserve">TO RECONSIDER </w:t>
            </w:r>
            <w:r>
              <w:t xml:space="preserve"> </w:t>
            </w:r>
          </w:p>
          <w:p w14:paraId="3E851DB8" w14:textId="77777777" w:rsidR="00FD6156" w:rsidRPr="004A1F6F" w:rsidRDefault="00FD6156" w:rsidP="00FD6156">
            <w:pPr>
              <w:tabs>
                <w:tab w:val="center" w:pos="4680"/>
              </w:tabs>
              <w:jc w:val="center"/>
            </w:pPr>
          </w:p>
        </w:tc>
      </w:tr>
    </w:tbl>
    <w:p w14:paraId="7A29BC77" w14:textId="77777777" w:rsidR="00FD6156" w:rsidRDefault="00FD6156" w:rsidP="00FD6156"/>
    <w:p w14:paraId="2E301CF0" w14:textId="77777777" w:rsidR="004A1F6F" w:rsidRPr="00E5126C" w:rsidRDefault="00E5126C" w:rsidP="00E5126C">
      <w:pPr>
        <w:spacing w:line="480" w:lineRule="auto"/>
        <w:jc w:val="center"/>
        <w:rPr>
          <w:b/>
        </w:rPr>
      </w:pPr>
      <w:r w:rsidRPr="00E5126C">
        <w:rPr>
          <w:b/>
        </w:rPr>
        <w:t>MOTION</w:t>
      </w:r>
    </w:p>
    <w:p w14:paraId="06D2F8D6" w14:textId="2E7E0B55" w:rsidR="00AF7D7D" w:rsidRDefault="004A1F6F" w:rsidP="00E14338">
      <w:pPr>
        <w:pStyle w:val="FootnoteText"/>
        <w:numPr>
          <w:ilvl w:val="0"/>
          <w:numId w:val="16"/>
        </w:numPr>
        <w:spacing w:line="480" w:lineRule="auto"/>
        <w:rPr>
          <w:sz w:val="24"/>
          <w:szCs w:val="24"/>
        </w:rPr>
      </w:pPr>
      <w:r>
        <w:tab/>
      </w:r>
      <w:r w:rsidR="00E14338">
        <w:rPr>
          <w:sz w:val="24"/>
          <w:szCs w:val="24"/>
        </w:rPr>
        <w:t xml:space="preserve">Pursuant to WAC 480-07-850, Commission Staff (Staff) seeks reconsideration of the Commission’s decision </w:t>
      </w:r>
      <w:r w:rsidR="0018342C">
        <w:rPr>
          <w:sz w:val="24"/>
          <w:szCs w:val="24"/>
        </w:rPr>
        <w:t xml:space="preserve">on revenue requirement </w:t>
      </w:r>
      <w:r w:rsidR="00E14338">
        <w:rPr>
          <w:sz w:val="24"/>
          <w:szCs w:val="24"/>
        </w:rPr>
        <w:t>in Order 05 (Order) issued January 6, 2015.</w:t>
      </w:r>
      <w:r w:rsidR="00E14338">
        <w:rPr>
          <w:rStyle w:val="FootnoteReference"/>
          <w:sz w:val="24"/>
          <w:szCs w:val="24"/>
        </w:rPr>
        <w:footnoteReference w:id="2"/>
      </w:r>
      <w:r w:rsidR="00E14338">
        <w:rPr>
          <w:sz w:val="24"/>
          <w:szCs w:val="24"/>
        </w:rPr>
        <w:t xml:space="preserve"> Specifically, </w:t>
      </w:r>
      <w:r w:rsidR="00E14338" w:rsidRPr="00FB66B2">
        <w:rPr>
          <w:sz w:val="24"/>
          <w:szCs w:val="24"/>
        </w:rPr>
        <w:t>Staff seeks reconsideration of the Commission’s decision to</w:t>
      </w:r>
      <w:r w:rsidR="00E14338">
        <w:rPr>
          <w:sz w:val="24"/>
          <w:szCs w:val="24"/>
        </w:rPr>
        <w:t xml:space="preserve"> authorize and require Avista Corporation dba Avista Utilities (Avista or Company) to file </w:t>
      </w:r>
      <w:r w:rsidR="003A6685">
        <w:rPr>
          <w:sz w:val="24"/>
          <w:szCs w:val="24"/>
        </w:rPr>
        <w:t xml:space="preserve">electric </w:t>
      </w:r>
      <w:r w:rsidR="00E14338">
        <w:rPr>
          <w:sz w:val="24"/>
          <w:szCs w:val="24"/>
        </w:rPr>
        <w:t xml:space="preserve">tariff </w:t>
      </w:r>
      <w:r w:rsidR="00E14338" w:rsidRPr="003A6685">
        <w:rPr>
          <w:sz w:val="24"/>
          <w:szCs w:val="24"/>
        </w:rPr>
        <w:t xml:space="preserve">revisions </w:t>
      </w:r>
      <w:r w:rsidR="00E07191">
        <w:rPr>
          <w:sz w:val="24"/>
          <w:szCs w:val="24"/>
        </w:rPr>
        <w:t xml:space="preserve">reflecting a decrease of </w:t>
      </w:r>
      <w:r w:rsidR="00E14338" w:rsidRPr="003A6685">
        <w:rPr>
          <w:sz w:val="24"/>
          <w:szCs w:val="24"/>
        </w:rPr>
        <w:t>$8.1 million less in revenue</w:t>
      </w:r>
      <w:r w:rsidR="00E07191">
        <w:rPr>
          <w:sz w:val="24"/>
          <w:szCs w:val="24"/>
        </w:rPr>
        <w:t xml:space="preserve"> or </w:t>
      </w:r>
      <w:r w:rsidR="00E14338" w:rsidRPr="003A6685">
        <w:rPr>
          <w:sz w:val="24"/>
          <w:szCs w:val="24"/>
        </w:rPr>
        <w:t>a 1.63 percent rate decrease.</w:t>
      </w:r>
      <w:r w:rsidR="003A6685">
        <w:rPr>
          <w:rStyle w:val="FootnoteReference"/>
          <w:sz w:val="24"/>
          <w:szCs w:val="24"/>
        </w:rPr>
        <w:footnoteReference w:id="3"/>
      </w:r>
      <w:r w:rsidR="003A6685">
        <w:rPr>
          <w:sz w:val="24"/>
          <w:szCs w:val="24"/>
        </w:rPr>
        <w:t xml:space="preserve"> After careful review of the </w:t>
      </w:r>
      <w:r w:rsidR="00FD7F2E">
        <w:rPr>
          <w:sz w:val="24"/>
          <w:szCs w:val="24"/>
        </w:rPr>
        <w:t>adjustments made by the Commission in the</w:t>
      </w:r>
      <w:r w:rsidR="003A6685">
        <w:rPr>
          <w:sz w:val="24"/>
          <w:szCs w:val="24"/>
        </w:rPr>
        <w:t xml:space="preserve"> Order, Staff believes that Order 05 </w:t>
      </w:r>
      <w:r w:rsidR="006419DE">
        <w:rPr>
          <w:sz w:val="24"/>
          <w:szCs w:val="24"/>
        </w:rPr>
        <w:t xml:space="preserve">results in a </w:t>
      </w:r>
      <w:r w:rsidR="00D05391">
        <w:rPr>
          <w:sz w:val="24"/>
          <w:szCs w:val="24"/>
        </w:rPr>
        <w:t xml:space="preserve">miscalculated </w:t>
      </w:r>
      <w:r w:rsidR="00FD7F2E">
        <w:rPr>
          <w:sz w:val="24"/>
          <w:szCs w:val="24"/>
        </w:rPr>
        <w:t>revenue requirement</w:t>
      </w:r>
      <w:r w:rsidR="00454019">
        <w:rPr>
          <w:sz w:val="24"/>
          <w:szCs w:val="24"/>
        </w:rPr>
        <w:t xml:space="preserve"> for electric operations</w:t>
      </w:r>
      <w:r w:rsidR="00D05391">
        <w:rPr>
          <w:sz w:val="24"/>
          <w:szCs w:val="24"/>
        </w:rPr>
        <w:t>.</w:t>
      </w:r>
      <w:r w:rsidR="001A7792">
        <w:rPr>
          <w:rStyle w:val="FootnoteReference"/>
          <w:sz w:val="24"/>
          <w:szCs w:val="24"/>
        </w:rPr>
        <w:footnoteReference w:id="4"/>
      </w:r>
      <w:r w:rsidR="00D05391">
        <w:rPr>
          <w:sz w:val="24"/>
          <w:szCs w:val="24"/>
        </w:rPr>
        <w:t xml:space="preserve"> </w:t>
      </w:r>
    </w:p>
    <w:p w14:paraId="66A0CE74" w14:textId="005A3E69" w:rsidR="00004313" w:rsidRDefault="00AF7D7D" w:rsidP="00E14338">
      <w:pPr>
        <w:pStyle w:val="FootnoteText"/>
        <w:numPr>
          <w:ilvl w:val="0"/>
          <w:numId w:val="16"/>
        </w:numPr>
        <w:spacing w:line="480" w:lineRule="auto"/>
        <w:rPr>
          <w:sz w:val="24"/>
          <w:szCs w:val="24"/>
        </w:rPr>
      </w:pPr>
      <w:r>
        <w:rPr>
          <w:sz w:val="24"/>
          <w:szCs w:val="24"/>
        </w:rPr>
        <w:tab/>
      </w:r>
      <w:r w:rsidR="0052149F">
        <w:rPr>
          <w:sz w:val="24"/>
          <w:szCs w:val="24"/>
        </w:rPr>
        <w:t>Based on Staff’s</w:t>
      </w:r>
      <w:r w:rsidR="007C1BE8">
        <w:rPr>
          <w:sz w:val="24"/>
          <w:szCs w:val="24"/>
        </w:rPr>
        <w:t xml:space="preserve"> </w:t>
      </w:r>
      <w:r w:rsidR="00016073">
        <w:rPr>
          <w:sz w:val="24"/>
          <w:szCs w:val="24"/>
        </w:rPr>
        <w:t>interpretation</w:t>
      </w:r>
      <w:r w:rsidR="0052149F">
        <w:rPr>
          <w:sz w:val="24"/>
          <w:szCs w:val="24"/>
        </w:rPr>
        <w:t xml:space="preserve"> </w:t>
      </w:r>
      <w:r w:rsidR="00C03E1A">
        <w:rPr>
          <w:sz w:val="24"/>
          <w:szCs w:val="24"/>
        </w:rPr>
        <w:t xml:space="preserve">of </w:t>
      </w:r>
      <w:r w:rsidR="0052149F">
        <w:rPr>
          <w:sz w:val="24"/>
          <w:szCs w:val="24"/>
        </w:rPr>
        <w:t xml:space="preserve">Order 05 and the </w:t>
      </w:r>
      <w:r w:rsidR="00016073">
        <w:rPr>
          <w:sz w:val="24"/>
          <w:szCs w:val="24"/>
        </w:rPr>
        <w:t>Commission’s methodology</w:t>
      </w:r>
      <w:r w:rsidR="007B00F3">
        <w:rPr>
          <w:sz w:val="24"/>
          <w:szCs w:val="24"/>
        </w:rPr>
        <w:t xml:space="preserve"> described therein</w:t>
      </w:r>
      <w:r w:rsidR="00016073">
        <w:rPr>
          <w:sz w:val="24"/>
          <w:szCs w:val="24"/>
        </w:rPr>
        <w:t xml:space="preserve">, Staff identifies </w:t>
      </w:r>
      <w:r w:rsidR="0052149F">
        <w:rPr>
          <w:sz w:val="24"/>
          <w:szCs w:val="24"/>
        </w:rPr>
        <w:t xml:space="preserve">specific adjustments </w:t>
      </w:r>
      <w:r w:rsidR="00016073">
        <w:rPr>
          <w:sz w:val="24"/>
          <w:szCs w:val="24"/>
        </w:rPr>
        <w:t>contained in</w:t>
      </w:r>
      <w:r w:rsidR="0052149F">
        <w:rPr>
          <w:sz w:val="24"/>
          <w:szCs w:val="24"/>
        </w:rPr>
        <w:t xml:space="preserve"> Table 1 below, </w:t>
      </w:r>
      <w:r w:rsidR="00016073">
        <w:rPr>
          <w:sz w:val="24"/>
          <w:szCs w:val="24"/>
        </w:rPr>
        <w:t>and develops an</w:t>
      </w:r>
      <w:r w:rsidR="0052149F">
        <w:rPr>
          <w:sz w:val="24"/>
          <w:szCs w:val="24"/>
        </w:rPr>
        <w:t xml:space="preserve"> electric revenue requirement </w:t>
      </w:r>
      <w:r w:rsidR="00016073">
        <w:rPr>
          <w:sz w:val="24"/>
          <w:szCs w:val="24"/>
        </w:rPr>
        <w:t xml:space="preserve">for Avista that would </w:t>
      </w:r>
      <w:r w:rsidR="0052149F">
        <w:rPr>
          <w:sz w:val="24"/>
          <w:szCs w:val="24"/>
        </w:rPr>
        <w:t>be reduced by approximately $27.</w:t>
      </w:r>
      <w:r w:rsidR="007B00F3">
        <w:rPr>
          <w:sz w:val="24"/>
          <w:szCs w:val="24"/>
        </w:rPr>
        <w:t>4</w:t>
      </w:r>
      <w:r w:rsidR="0052149F">
        <w:rPr>
          <w:sz w:val="24"/>
          <w:szCs w:val="24"/>
        </w:rPr>
        <w:t xml:space="preserve"> million.</w:t>
      </w:r>
      <w:r>
        <w:rPr>
          <w:rStyle w:val="FootnoteReference"/>
          <w:sz w:val="24"/>
          <w:szCs w:val="24"/>
        </w:rPr>
        <w:footnoteReference w:id="5"/>
      </w:r>
      <w:r>
        <w:rPr>
          <w:sz w:val="24"/>
          <w:szCs w:val="24"/>
        </w:rPr>
        <w:t xml:space="preserve"> </w:t>
      </w:r>
      <w:r w:rsidR="0052149F">
        <w:rPr>
          <w:sz w:val="24"/>
          <w:szCs w:val="24"/>
        </w:rPr>
        <w:t xml:space="preserve"> </w:t>
      </w:r>
      <w:r w:rsidR="004268A3">
        <w:rPr>
          <w:sz w:val="24"/>
          <w:szCs w:val="24"/>
        </w:rPr>
        <w:t xml:space="preserve">Staff’s </w:t>
      </w:r>
      <w:r w:rsidR="004268A3">
        <w:rPr>
          <w:sz w:val="24"/>
          <w:szCs w:val="24"/>
        </w:rPr>
        <w:lastRenderedPageBreak/>
        <w:t xml:space="preserve">recommendation </w:t>
      </w:r>
      <w:r w:rsidR="00B70FCA">
        <w:rPr>
          <w:sz w:val="24"/>
          <w:szCs w:val="24"/>
        </w:rPr>
        <w:t xml:space="preserve">here </w:t>
      </w:r>
      <w:r w:rsidR="004268A3">
        <w:rPr>
          <w:sz w:val="24"/>
          <w:szCs w:val="24"/>
        </w:rPr>
        <w:t xml:space="preserve">should not be construed as a change in its as-filed case. It is merely addressing </w:t>
      </w:r>
      <w:r w:rsidR="00C03E1A">
        <w:rPr>
          <w:sz w:val="24"/>
          <w:szCs w:val="24"/>
        </w:rPr>
        <w:t xml:space="preserve">what it believes to be </w:t>
      </w:r>
      <w:r w:rsidR="004268A3">
        <w:rPr>
          <w:sz w:val="24"/>
          <w:szCs w:val="24"/>
        </w:rPr>
        <w:t xml:space="preserve">the </w:t>
      </w:r>
      <w:r w:rsidR="00C03E1A">
        <w:rPr>
          <w:sz w:val="24"/>
          <w:szCs w:val="24"/>
        </w:rPr>
        <w:t>appropriate</w:t>
      </w:r>
      <w:r w:rsidR="004268A3">
        <w:rPr>
          <w:sz w:val="24"/>
          <w:szCs w:val="24"/>
        </w:rPr>
        <w:t xml:space="preserve"> calculation of Avista’s revenue requirement for electric operations</w:t>
      </w:r>
      <w:r w:rsidR="00C03E1A">
        <w:rPr>
          <w:sz w:val="24"/>
          <w:szCs w:val="24"/>
        </w:rPr>
        <w:t xml:space="preserve">, </w:t>
      </w:r>
      <w:r w:rsidR="007407C0">
        <w:rPr>
          <w:sz w:val="24"/>
          <w:szCs w:val="24"/>
        </w:rPr>
        <w:t xml:space="preserve">including various adjustments </w:t>
      </w:r>
      <w:r w:rsidR="00C03E1A">
        <w:rPr>
          <w:sz w:val="24"/>
          <w:szCs w:val="24"/>
        </w:rPr>
        <w:t>set forth</w:t>
      </w:r>
      <w:r w:rsidR="004268A3">
        <w:rPr>
          <w:sz w:val="24"/>
          <w:szCs w:val="24"/>
        </w:rPr>
        <w:t xml:space="preserve"> in Order 05.  </w:t>
      </w:r>
    </w:p>
    <w:p w14:paraId="421D387E" w14:textId="77777777" w:rsidR="00E14338" w:rsidRDefault="00004313" w:rsidP="008204F5">
      <w:pPr>
        <w:pStyle w:val="FootnoteText"/>
        <w:numPr>
          <w:ilvl w:val="0"/>
          <w:numId w:val="16"/>
        </w:numPr>
        <w:spacing w:line="480" w:lineRule="auto"/>
        <w:ind w:right="-90"/>
        <w:rPr>
          <w:sz w:val="24"/>
          <w:szCs w:val="24"/>
        </w:rPr>
      </w:pPr>
      <w:r>
        <w:rPr>
          <w:sz w:val="24"/>
          <w:szCs w:val="24"/>
        </w:rPr>
        <w:tab/>
        <w:t>Accordingly</w:t>
      </w:r>
      <w:r w:rsidR="009B5D76">
        <w:rPr>
          <w:sz w:val="24"/>
          <w:szCs w:val="24"/>
        </w:rPr>
        <w:t>, Staff respectfully requests that the</w:t>
      </w:r>
      <w:r w:rsidR="00E14338" w:rsidRPr="00FB66B2">
        <w:rPr>
          <w:sz w:val="24"/>
          <w:szCs w:val="24"/>
        </w:rPr>
        <w:t xml:space="preserve"> Commission reconsider </w:t>
      </w:r>
      <w:r w:rsidR="009B5D76">
        <w:rPr>
          <w:sz w:val="24"/>
          <w:szCs w:val="24"/>
        </w:rPr>
        <w:t xml:space="preserve">Order 05, </w:t>
      </w:r>
      <w:r w:rsidR="006D25DE">
        <w:rPr>
          <w:sz w:val="24"/>
          <w:szCs w:val="24"/>
        </w:rPr>
        <w:t>review the adjustments and their application</w:t>
      </w:r>
      <w:r w:rsidR="00C03E1A">
        <w:rPr>
          <w:sz w:val="24"/>
          <w:szCs w:val="24"/>
        </w:rPr>
        <w:t>,</w:t>
      </w:r>
      <w:r w:rsidR="006D25DE">
        <w:rPr>
          <w:sz w:val="24"/>
          <w:szCs w:val="24"/>
        </w:rPr>
        <w:t xml:space="preserve"> </w:t>
      </w:r>
      <w:r w:rsidR="009B5D76">
        <w:rPr>
          <w:sz w:val="24"/>
          <w:szCs w:val="24"/>
        </w:rPr>
        <w:t xml:space="preserve">and </w:t>
      </w:r>
      <w:r w:rsidR="00016073">
        <w:rPr>
          <w:sz w:val="24"/>
          <w:szCs w:val="24"/>
        </w:rPr>
        <w:t>if</w:t>
      </w:r>
      <w:r w:rsidR="00AF7D7D">
        <w:rPr>
          <w:sz w:val="24"/>
          <w:szCs w:val="24"/>
        </w:rPr>
        <w:t xml:space="preserve"> </w:t>
      </w:r>
      <w:r w:rsidR="00C03E1A">
        <w:rPr>
          <w:sz w:val="24"/>
          <w:szCs w:val="24"/>
        </w:rPr>
        <w:t xml:space="preserve">necessary, </w:t>
      </w:r>
      <w:r w:rsidR="009B5D76">
        <w:rPr>
          <w:sz w:val="24"/>
          <w:szCs w:val="24"/>
        </w:rPr>
        <w:t xml:space="preserve">adjust the Company’s </w:t>
      </w:r>
      <w:r>
        <w:rPr>
          <w:sz w:val="24"/>
          <w:szCs w:val="24"/>
        </w:rPr>
        <w:t>overall revenue requirement consistent with its decisions on the specific adjustments referenced</w:t>
      </w:r>
      <w:r w:rsidR="00B70FCA">
        <w:rPr>
          <w:sz w:val="24"/>
          <w:szCs w:val="24"/>
        </w:rPr>
        <w:t xml:space="preserve"> </w:t>
      </w:r>
      <w:r>
        <w:rPr>
          <w:sz w:val="24"/>
          <w:szCs w:val="24"/>
        </w:rPr>
        <w:t xml:space="preserve">in </w:t>
      </w:r>
      <w:r w:rsidR="00881ADA">
        <w:rPr>
          <w:sz w:val="24"/>
          <w:szCs w:val="24"/>
        </w:rPr>
        <w:t>T</w:t>
      </w:r>
      <w:r>
        <w:rPr>
          <w:sz w:val="24"/>
          <w:szCs w:val="24"/>
        </w:rPr>
        <w:t xml:space="preserve">able </w:t>
      </w:r>
      <w:r w:rsidR="00E7168A">
        <w:rPr>
          <w:sz w:val="24"/>
          <w:szCs w:val="24"/>
        </w:rPr>
        <w:t xml:space="preserve">1 </w:t>
      </w:r>
      <w:r>
        <w:rPr>
          <w:sz w:val="24"/>
          <w:szCs w:val="24"/>
        </w:rPr>
        <w:t xml:space="preserve">below. </w:t>
      </w:r>
    </w:p>
    <w:tbl>
      <w:tblPr>
        <w:tblW w:w="9293" w:type="dxa"/>
        <w:tblLook w:val="04A0" w:firstRow="1" w:lastRow="0" w:firstColumn="1" w:lastColumn="0" w:noHBand="0" w:noVBand="1"/>
      </w:tblPr>
      <w:tblGrid>
        <w:gridCol w:w="4135"/>
        <w:gridCol w:w="1620"/>
        <w:gridCol w:w="1530"/>
        <w:gridCol w:w="2008"/>
      </w:tblGrid>
      <w:tr w:rsidR="00DF7B1B" w:rsidRPr="00881ADA" w14:paraId="0BE4B5CE" w14:textId="77777777" w:rsidTr="000C04CF">
        <w:trPr>
          <w:trHeight w:val="512"/>
        </w:trPr>
        <w:tc>
          <w:tcPr>
            <w:tcW w:w="9293" w:type="dxa"/>
            <w:gridSpan w:val="4"/>
            <w:tcBorders>
              <w:top w:val="single" w:sz="4" w:space="0" w:color="auto"/>
              <w:left w:val="single" w:sz="4" w:space="0" w:color="auto"/>
              <w:bottom w:val="single" w:sz="8" w:space="0" w:color="auto"/>
              <w:right w:val="single" w:sz="4" w:space="0" w:color="auto"/>
            </w:tcBorders>
            <w:shd w:val="clear" w:color="auto" w:fill="auto"/>
            <w:vAlign w:val="bottom"/>
          </w:tcPr>
          <w:p w14:paraId="760D1961" w14:textId="77777777" w:rsidR="00DF7B1B" w:rsidRDefault="00DF7B1B" w:rsidP="00881ADA">
            <w:pPr>
              <w:jc w:val="center"/>
              <w:rPr>
                <w:b/>
              </w:rPr>
            </w:pPr>
            <w:r>
              <w:rPr>
                <w:b/>
              </w:rPr>
              <w:t>TABLE 1</w:t>
            </w:r>
          </w:p>
          <w:p w14:paraId="6F9395BF" w14:textId="77777777" w:rsidR="00DF7B1B" w:rsidRPr="00881ADA" w:rsidRDefault="00DF7B1B" w:rsidP="00881ADA">
            <w:pPr>
              <w:jc w:val="center"/>
              <w:rPr>
                <w:b/>
              </w:rPr>
            </w:pPr>
          </w:p>
        </w:tc>
      </w:tr>
      <w:tr w:rsidR="00881ADA" w:rsidRPr="00881ADA" w14:paraId="2BE9433E" w14:textId="77777777" w:rsidTr="000C04CF">
        <w:trPr>
          <w:trHeight w:val="512"/>
        </w:trPr>
        <w:tc>
          <w:tcPr>
            <w:tcW w:w="9293" w:type="dxa"/>
            <w:gridSpan w:val="4"/>
            <w:tcBorders>
              <w:top w:val="single" w:sz="4" w:space="0" w:color="auto"/>
              <w:left w:val="single" w:sz="4" w:space="0" w:color="auto"/>
              <w:bottom w:val="single" w:sz="8" w:space="0" w:color="auto"/>
              <w:right w:val="single" w:sz="4" w:space="0" w:color="auto"/>
            </w:tcBorders>
            <w:shd w:val="clear" w:color="auto" w:fill="auto"/>
            <w:vAlign w:val="bottom"/>
          </w:tcPr>
          <w:p w14:paraId="601F4539" w14:textId="77777777" w:rsidR="00881ADA" w:rsidRDefault="00881ADA" w:rsidP="00881ADA">
            <w:pPr>
              <w:jc w:val="center"/>
              <w:rPr>
                <w:b/>
              </w:rPr>
            </w:pPr>
            <w:r w:rsidRPr="00881ADA">
              <w:rPr>
                <w:b/>
              </w:rPr>
              <w:t>Summary of Order 05 Adjustments</w:t>
            </w:r>
          </w:p>
          <w:p w14:paraId="2AAF8E0D" w14:textId="77777777" w:rsidR="00881ADA" w:rsidRPr="00881ADA" w:rsidRDefault="00881ADA" w:rsidP="00881ADA">
            <w:pPr>
              <w:jc w:val="center"/>
              <w:rPr>
                <w:b/>
                <w:bCs/>
              </w:rPr>
            </w:pPr>
            <w:r w:rsidRPr="00881ADA">
              <w:rPr>
                <w:b/>
              </w:rPr>
              <w:t>and Impact to Avista’s Overall Revenue Requirement</w:t>
            </w:r>
          </w:p>
        </w:tc>
      </w:tr>
      <w:tr w:rsidR="00881ADA" w:rsidRPr="00881ADA" w14:paraId="3FB4B56D" w14:textId="77777777" w:rsidTr="000C04CF">
        <w:trPr>
          <w:trHeight w:val="1035"/>
        </w:trPr>
        <w:tc>
          <w:tcPr>
            <w:tcW w:w="4135" w:type="dxa"/>
            <w:tcBorders>
              <w:top w:val="single" w:sz="4" w:space="0" w:color="auto"/>
              <w:left w:val="single" w:sz="4" w:space="0" w:color="auto"/>
              <w:bottom w:val="single" w:sz="8" w:space="0" w:color="auto"/>
              <w:right w:val="nil"/>
            </w:tcBorders>
            <w:shd w:val="clear" w:color="auto" w:fill="auto"/>
            <w:vAlign w:val="bottom"/>
            <w:hideMark/>
          </w:tcPr>
          <w:p w14:paraId="2EC5760B" w14:textId="77777777" w:rsidR="00881ADA" w:rsidRPr="00881ADA" w:rsidRDefault="00881ADA" w:rsidP="00881ADA">
            <w:r w:rsidRPr="00881ADA">
              <w:t> </w:t>
            </w:r>
          </w:p>
        </w:tc>
        <w:tc>
          <w:tcPr>
            <w:tcW w:w="1620" w:type="dxa"/>
            <w:tcBorders>
              <w:top w:val="single" w:sz="4" w:space="0" w:color="auto"/>
              <w:left w:val="nil"/>
              <w:bottom w:val="single" w:sz="8" w:space="0" w:color="auto"/>
              <w:right w:val="nil"/>
            </w:tcBorders>
            <w:shd w:val="clear" w:color="auto" w:fill="auto"/>
            <w:vAlign w:val="bottom"/>
            <w:hideMark/>
          </w:tcPr>
          <w:p w14:paraId="684E59A3" w14:textId="77777777" w:rsidR="00881ADA" w:rsidRPr="00881ADA" w:rsidRDefault="00881ADA" w:rsidP="000C04CF">
            <w:pPr>
              <w:jc w:val="center"/>
              <w:rPr>
                <w:b/>
                <w:bCs/>
              </w:rPr>
            </w:pPr>
            <w:r w:rsidRPr="00881ADA">
              <w:rPr>
                <w:b/>
                <w:bCs/>
              </w:rPr>
              <w:t>Total Revenue Requirement</w:t>
            </w:r>
          </w:p>
        </w:tc>
        <w:tc>
          <w:tcPr>
            <w:tcW w:w="1530" w:type="dxa"/>
            <w:tcBorders>
              <w:top w:val="single" w:sz="4" w:space="0" w:color="auto"/>
              <w:left w:val="nil"/>
              <w:bottom w:val="single" w:sz="8" w:space="0" w:color="auto"/>
              <w:right w:val="nil"/>
            </w:tcBorders>
            <w:shd w:val="clear" w:color="auto" w:fill="auto"/>
            <w:vAlign w:val="bottom"/>
            <w:hideMark/>
          </w:tcPr>
          <w:p w14:paraId="20D1B3A9" w14:textId="77777777" w:rsidR="00881ADA" w:rsidRPr="00881ADA" w:rsidRDefault="00881ADA" w:rsidP="000C04CF">
            <w:pPr>
              <w:jc w:val="center"/>
              <w:rPr>
                <w:b/>
                <w:bCs/>
              </w:rPr>
            </w:pPr>
            <w:r w:rsidRPr="00881ADA">
              <w:rPr>
                <w:b/>
                <w:bCs/>
              </w:rPr>
              <w:t>Impact of Order 05 Adjustment</w:t>
            </w:r>
          </w:p>
        </w:tc>
        <w:tc>
          <w:tcPr>
            <w:tcW w:w="2008" w:type="dxa"/>
            <w:tcBorders>
              <w:top w:val="single" w:sz="4" w:space="0" w:color="auto"/>
              <w:left w:val="nil"/>
              <w:bottom w:val="single" w:sz="8" w:space="0" w:color="auto"/>
              <w:right w:val="single" w:sz="4" w:space="0" w:color="auto"/>
            </w:tcBorders>
            <w:shd w:val="clear" w:color="auto" w:fill="auto"/>
            <w:vAlign w:val="bottom"/>
            <w:hideMark/>
          </w:tcPr>
          <w:p w14:paraId="27E60E06" w14:textId="77777777" w:rsidR="00881ADA" w:rsidRPr="00881ADA" w:rsidRDefault="00881ADA" w:rsidP="000C04CF">
            <w:pPr>
              <w:jc w:val="center"/>
              <w:rPr>
                <w:b/>
                <w:bCs/>
              </w:rPr>
            </w:pPr>
            <w:r w:rsidRPr="00881ADA">
              <w:rPr>
                <w:b/>
                <w:bCs/>
              </w:rPr>
              <w:t>Net 2016 Revenue Requirement (relative to 2015)</w:t>
            </w:r>
          </w:p>
        </w:tc>
      </w:tr>
      <w:tr w:rsidR="00881ADA" w:rsidRPr="00881ADA" w14:paraId="5B941355" w14:textId="77777777" w:rsidTr="000C04CF">
        <w:trPr>
          <w:trHeight w:val="255"/>
        </w:trPr>
        <w:tc>
          <w:tcPr>
            <w:tcW w:w="4135" w:type="dxa"/>
            <w:tcBorders>
              <w:top w:val="nil"/>
              <w:left w:val="single" w:sz="4" w:space="0" w:color="auto"/>
              <w:bottom w:val="single" w:sz="4" w:space="0" w:color="auto"/>
              <w:right w:val="nil"/>
            </w:tcBorders>
            <w:shd w:val="clear" w:color="auto" w:fill="auto"/>
            <w:noWrap/>
            <w:vAlign w:val="bottom"/>
            <w:hideMark/>
          </w:tcPr>
          <w:p w14:paraId="12A0E7C0" w14:textId="77777777" w:rsidR="00881ADA" w:rsidRPr="00881ADA" w:rsidRDefault="00881ADA" w:rsidP="00881ADA">
            <w:pPr>
              <w:rPr>
                <w:b/>
              </w:rPr>
            </w:pPr>
            <w:r w:rsidRPr="00881ADA">
              <w:rPr>
                <w:b/>
              </w:rPr>
              <w:t>Exhibit No. EMA-6</w:t>
            </w:r>
            <w:r w:rsidR="004F0407">
              <w:rPr>
                <w:rStyle w:val="FootnoteReference"/>
                <w:b/>
              </w:rPr>
              <w:footnoteReference w:id="6"/>
            </w:r>
            <w:r w:rsidRPr="00881ADA">
              <w:rPr>
                <w:b/>
              </w:rPr>
              <w:t xml:space="preserve"> results ($000)</w:t>
            </w:r>
          </w:p>
        </w:tc>
        <w:tc>
          <w:tcPr>
            <w:tcW w:w="1620" w:type="dxa"/>
            <w:tcBorders>
              <w:top w:val="nil"/>
              <w:left w:val="nil"/>
              <w:bottom w:val="single" w:sz="4" w:space="0" w:color="auto"/>
              <w:right w:val="nil"/>
            </w:tcBorders>
            <w:shd w:val="clear" w:color="auto" w:fill="auto"/>
            <w:noWrap/>
            <w:vAlign w:val="bottom"/>
            <w:hideMark/>
          </w:tcPr>
          <w:p w14:paraId="41E7595D" w14:textId="77777777" w:rsidR="00881ADA" w:rsidRPr="00881ADA" w:rsidRDefault="00881ADA" w:rsidP="000C04CF">
            <w:pPr>
              <w:jc w:val="center"/>
              <w:rPr>
                <w:b/>
              </w:rPr>
            </w:pPr>
            <w:r w:rsidRPr="00881ADA">
              <w:rPr>
                <w:b/>
              </w:rPr>
              <w:t>$503,621</w:t>
            </w:r>
          </w:p>
        </w:tc>
        <w:tc>
          <w:tcPr>
            <w:tcW w:w="1530" w:type="dxa"/>
            <w:tcBorders>
              <w:top w:val="nil"/>
              <w:left w:val="nil"/>
              <w:bottom w:val="single" w:sz="4" w:space="0" w:color="auto"/>
              <w:right w:val="nil"/>
            </w:tcBorders>
            <w:shd w:val="clear" w:color="auto" w:fill="auto"/>
            <w:noWrap/>
            <w:vAlign w:val="bottom"/>
            <w:hideMark/>
          </w:tcPr>
          <w:p w14:paraId="635C097E" w14:textId="77777777" w:rsidR="00881ADA" w:rsidRPr="00881ADA" w:rsidRDefault="00881ADA" w:rsidP="000C04CF">
            <w:pPr>
              <w:jc w:val="center"/>
              <w:rPr>
                <w:b/>
              </w:rPr>
            </w:pPr>
          </w:p>
        </w:tc>
        <w:tc>
          <w:tcPr>
            <w:tcW w:w="2008" w:type="dxa"/>
            <w:tcBorders>
              <w:top w:val="nil"/>
              <w:left w:val="nil"/>
              <w:bottom w:val="single" w:sz="4" w:space="0" w:color="auto"/>
              <w:right w:val="single" w:sz="4" w:space="0" w:color="auto"/>
            </w:tcBorders>
            <w:shd w:val="clear" w:color="auto" w:fill="auto"/>
            <w:noWrap/>
            <w:vAlign w:val="bottom"/>
            <w:hideMark/>
          </w:tcPr>
          <w:p w14:paraId="5CE51644" w14:textId="77777777" w:rsidR="00881ADA" w:rsidRPr="00881ADA" w:rsidRDefault="00881ADA" w:rsidP="000C04CF">
            <w:pPr>
              <w:jc w:val="center"/>
              <w:rPr>
                <w:b/>
              </w:rPr>
            </w:pPr>
            <w:r w:rsidRPr="00881ADA">
              <w:rPr>
                <w:b/>
              </w:rPr>
              <w:t>$3,639</w:t>
            </w:r>
          </w:p>
        </w:tc>
      </w:tr>
      <w:tr w:rsidR="00881ADA" w:rsidRPr="00881ADA" w14:paraId="2EAD9438" w14:textId="77777777" w:rsidTr="000C04CF">
        <w:trPr>
          <w:trHeight w:val="255"/>
        </w:trPr>
        <w:tc>
          <w:tcPr>
            <w:tcW w:w="4135" w:type="dxa"/>
            <w:tcBorders>
              <w:top w:val="nil"/>
              <w:left w:val="single" w:sz="4" w:space="0" w:color="auto"/>
              <w:bottom w:val="nil"/>
              <w:right w:val="nil"/>
            </w:tcBorders>
            <w:shd w:val="clear" w:color="auto" w:fill="auto"/>
            <w:vAlign w:val="bottom"/>
            <w:hideMark/>
          </w:tcPr>
          <w:p w14:paraId="5AB67B8B" w14:textId="77777777" w:rsidR="00881ADA" w:rsidRPr="00881ADA" w:rsidRDefault="00881ADA" w:rsidP="00881ADA">
            <w:r w:rsidRPr="00881ADA">
              <w:t xml:space="preserve">          </w:t>
            </w:r>
            <w:r w:rsidRPr="00881ADA">
              <w:rPr>
                <w:i/>
                <w:iCs/>
                <w:u w:val="single"/>
              </w:rPr>
              <w:t>Adjustments</w:t>
            </w:r>
          </w:p>
        </w:tc>
        <w:tc>
          <w:tcPr>
            <w:tcW w:w="1620" w:type="dxa"/>
            <w:tcBorders>
              <w:top w:val="nil"/>
              <w:left w:val="nil"/>
              <w:bottom w:val="nil"/>
              <w:right w:val="nil"/>
            </w:tcBorders>
            <w:shd w:val="clear" w:color="auto" w:fill="auto"/>
            <w:noWrap/>
            <w:vAlign w:val="bottom"/>
            <w:hideMark/>
          </w:tcPr>
          <w:p w14:paraId="25AE7145" w14:textId="77777777" w:rsidR="00881ADA" w:rsidRPr="00881ADA" w:rsidRDefault="00881ADA" w:rsidP="000C04CF">
            <w:pPr>
              <w:jc w:val="center"/>
            </w:pPr>
          </w:p>
        </w:tc>
        <w:tc>
          <w:tcPr>
            <w:tcW w:w="1530" w:type="dxa"/>
            <w:tcBorders>
              <w:top w:val="nil"/>
              <w:left w:val="nil"/>
              <w:bottom w:val="nil"/>
              <w:right w:val="nil"/>
            </w:tcBorders>
            <w:shd w:val="clear" w:color="auto" w:fill="auto"/>
            <w:noWrap/>
            <w:vAlign w:val="bottom"/>
            <w:hideMark/>
          </w:tcPr>
          <w:p w14:paraId="303C1B84" w14:textId="77777777" w:rsidR="00881ADA" w:rsidRPr="00881ADA" w:rsidRDefault="00881ADA" w:rsidP="000C04CF">
            <w:pPr>
              <w:jc w:val="center"/>
            </w:pPr>
          </w:p>
        </w:tc>
        <w:tc>
          <w:tcPr>
            <w:tcW w:w="2008" w:type="dxa"/>
            <w:tcBorders>
              <w:top w:val="nil"/>
              <w:left w:val="nil"/>
              <w:bottom w:val="nil"/>
              <w:right w:val="single" w:sz="4" w:space="0" w:color="auto"/>
            </w:tcBorders>
            <w:shd w:val="clear" w:color="auto" w:fill="auto"/>
            <w:noWrap/>
            <w:vAlign w:val="bottom"/>
            <w:hideMark/>
          </w:tcPr>
          <w:p w14:paraId="0CF85A51" w14:textId="77777777" w:rsidR="00881ADA" w:rsidRPr="00881ADA" w:rsidRDefault="00881ADA" w:rsidP="000C04CF">
            <w:pPr>
              <w:jc w:val="center"/>
            </w:pPr>
          </w:p>
        </w:tc>
      </w:tr>
      <w:tr w:rsidR="00881ADA" w:rsidRPr="00881ADA" w14:paraId="6CE0CDE1" w14:textId="77777777" w:rsidTr="000C04CF">
        <w:trPr>
          <w:trHeight w:val="510"/>
        </w:trPr>
        <w:tc>
          <w:tcPr>
            <w:tcW w:w="4135" w:type="dxa"/>
            <w:tcBorders>
              <w:top w:val="nil"/>
              <w:left w:val="single" w:sz="4" w:space="0" w:color="auto"/>
              <w:bottom w:val="nil"/>
              <w:right w:val="nil"/>
            </w:tcBorders>
            <w:shd w:val="clear" w:color="auto" w:fill="auto"/>
            <w:vAlign w:val="bottom"/>
            <w:hideMark/>
          </w:tcPr>
          <w:p w14:paraId="541BE410" w14:textId="77777777" w:rsidR="00881ADA" w:rsidRPr="00881ADA" w:rsidRDefault="00881ADA" w:rsidP="00F27B12">
            <w:pPr>
              <w:ind w:left="432" w:hanging="432"/>
            </w:pPr>
            <w:r w:rsidRPr="00881ADA">
              <w:t>1. Electric O&amp;M = 3.21% (two-year escalation rate = 6.42%)</w:t>
            </w:r>
            <w:r w:rsidR="00E94ACC">
              <w:rPr>
                <w:rStyle w:val="FootnoteReference"/>
              </w:rPr>
              <w:footnoteReference w:id="7"/>
            </w:r>
          </w:p>
        </w:tc>
        <w:tc>
          <w:tcPr>
            <w:tcW w:w="1620" w:type="dxa"/>
            <w:tcBorders>
              <w:top w:val="nil"/>
              <w:left w:val="nil"/>
              <w:bottom w:val="nil"/>
              <w:right w:val="nil"/>
            </w:tcBorders>
            <w:shd w:val="clear" w:color="auto" w:fill="auto"/>
            <w:noWrap/>
            <w:vAlign w:val="bottom"/>
            <w:hideMark/>
          </w:tcPr>
          <w:p w14:paraId="4D090ABC" w14:textId="77777777" w:rsidR="00881ADA" w:rsidRPr="00881ADA" w:rsidRDefault="00881ADA" w:rsidP="000C04CF">
            <w:pPr>
              <w:jc w:val="center"/>
            </w:pPr>
            <w:r w:rsidRPr="00881ADA">
              <w:t>$498,355</w:t>
            </w:r>
          </w:p>
        </w:tc>
        <w:tc>
          <w:tcPr>
            <w:tcW w:w="1530" w:type="dxa"/>
            <w:tcBorders>
              <w:top w:val="nil"/>
              <w:left w:val="nil"/>
              <w:bottom w:val="nil"/>
              <w:right w:val="nil"/>
            </w:tcBorders>
            <w:shd w:val="clear" w:color="auto" w:fill="auto"/>
            <w:noWrap/>
            <w:vAlign w:val="bottom"/>
            <w:hideMark/>
          </w:tcPr>
          <w:p w14:paraId="6EEDAEBA" w14:textId="77777777" w:rsidR="00881ADA" w:rsidRPr="00881ADA" w:rsidRDefault="00881ADA" w:rsidP="000C04CF">
            <w:pPr>
              <w:jc w:val="center"/>
            </w:pPr>
            <w:r w:rsidRPr="00881ADA">
              <w:rPr>
                <w:color w:val="FF0000"/>
              </w:rPr>
              <w:t>($5,266)</w:t>
            </w:r>
          </w:p>
        </w:tc>
        <w:tc>
          <w:tcPr>
            <w:tcW w:w="2008" w:type="dxa"/>
            <w:tcBorders>
              <w:top w:val="nil"/>
              <w:left w:val="nil"/>
              <w:bottom w:val="nil"/>
              <w:right w:val="single" w:sz="4" w:space="0" w:color="auto"/>
            </w:tcBorders>
            <w:shd w:val="clear" w:color="auto" w:fill="auto"/>
            <w:noWrap/>
            <w:vAlign w:val="bottom"/>
            <w:hideMark/>
          </w:tcPr>
          <w:p w14:paraId="2F550D02" w14:textId="77777777" w:rsidR="00881ADA" w:rsidRPr="00881ADA" w:rsidRDefault="00881ADA" w:rsidP="000C04CF">
            <w:pPr>
              <w:jc w:val="center"/>
            </w:pPr>
            <w:r w:rsidRPr="00881ADA">
              <w:rPr>
                <w:color w:val="FF0000"/>
              </w:rPr>
              <w:t>($1,627)</w:t>
            </w:r>
          </w:p>
        </w:tc>
      </w:tr>
      <w:tr w:rsidR="00881ADA" w:rsidRPr="00881ADA" w14:paraId="5B9A5CBA" w14:textId="77777777" w:rsidTr="000C04CF">
        <w:trPr>
          <w:trHeight w:val="510"/>
        </w:trPr>
        <w:tc>
          <w:tcPr>
            <w:tcW w:w="4135" w:type="dxa"/>
            <w:tcBorders>
              <w:top w:val="nil"/>
              <w:left w:val="single" w:sz="4" w:space="0" w:color="auto"/>
              <w:bottom w:val="nil"/>
              <w:right w:val="nil"/>
            </w:tcBorders>
            <w:shd w:val="clear" w:color="auto" w:fill="auto"/>
            <w:vAlign w:val="bottom"/>
            <w:hideMark/>
          </w:tcPr>
          <w:p w14:paraId="07472DDF" w14:textId="77777777" w:rsidR="00881ADA" w:rsidRPr="00881ADA" w:rsidRDefault="00881ADA" w:rsidP="00F27B12">
            <w:pPr>
              <w:ind w:left="432" w:hanging="432"/>
            </w:pPr>
            <w:r w:rsidRPr="00881ADA">
              <w:t>2. Zero distribution escalator (two-year escalation rate for Net Plant after DFIT = 4.04%)</w:t>
            </w:r>
            <w:r w:rsidR="00E94ACC">
              <w:rPr>
                <w:rStyle w:val="FootnoteReference"/>
              </w:rPr>
              <w:footnoteReference w:id="8"/>
            </w:r>
          </w:p>
        </w:tc>
        <w:tc>
          <w:tcPr>
            <w:tcW w:w="1620" w:type="dxa"/>
            <w:tcBorders>
              <w:top w:val="nil"/>
              <w:left w:val="nil"/>
              <w:bottom w:val="nil"/>
              <w:right w:val="nil"/>
            </w:tcBorders>
            <w:shd w:val="clear" w:color="auto" w:fill="auto"/>
            <w:noWrap/>
            <w:vAlign w:val="bottom"/>
            <w:hideMark/>
          </w:tcPr>
          <w:p w14:paraId="50B784AD" w14:textId="77777777" w:rsidR="00881ADA" w:rsidRPr="00881ADA" w:rsidRDefault="00881ADA" w:rsidP="000C04CF">
            <w:pPr>
              <w:jc w:val="center"/>
            </w:pPr>
            <w:r w:rsidRPr="00881ADA">
              <w:t>$492,982</w:t>
            </w:r>
          </w:p>
        </w:tc>
        <w:tc>
          <w:tcPr>
            <w:tcW w:w="1530" w:type="dxa"/>
            <w:tcBorders>
              <w:top w:val="nil"/>
              <w:left w:val="nil"/>
              <w:bottom w:val="nil"/>
              <w:right w:val="nil"/>
            </w:tcBorders>
            <w:shd w:val="clear" w:color="auto" w:fill="auto"/>
            <w:noWrap/>
            <w:vAlign w:val="bottom"/>
            <w:hideMark/>
          </w:tcPr>
          <w:p w14:paraId="2B69B152" w14:textId="77777777" w:rsidR="00881ADA" w:rsidRPr="00881ADA" w:rsidRDefault="00881ADA" w:rsidP="000C04CF">
            <w:pPr>
              <w:jc w:val="center"/>
            </w:pPr>
            <w:r w:rsidRPr="00881ADA">
              <w:rPr>
                <w:color w:val="FF0000"/>
              </w:rPr>
              <w:t>($5,373)</w:t>
            </w:r>
          </w:p>
        </w:tc>
        <w:tc>
          <w:tcPr>
            <w:tcW w:w="2008" w:type="dxa"/>
            <w:tcBorders>
              <w:top w:val="nil"/>
              <w:left w:val="nil"/>
              <w:bottom w:val="nil"/>
              <w:right w:val="single" w:sz="4" w:space="0" w:color="auto"/>
            </w:tcBorders>
            <w:shd w:val="clear" w:color="auto" w:fill="auto"/>
            <w:noWrap/>
            <w:vAlign w:val="bottom"/>
            <w:hideMark/>
          </w:tcPr>
          <w:p w14:paraId="10C473C7" w14:textId="77777777" w:rsidR="00881ADA" w:rsidRPr="00881ADA" w:rsidRDefault="00881ADA" w:rsidP="000C04CF">
            <w:pPr>
              <w:jc w:val="center"/>
            </w:pPr>
            <w:r w:rsidRPr="00881ADA">
              <w:rPr>
                <w:color w:val="FF0000"/>
              </w:rPr>
              <w:t>($7,000)</w:t>
            </w:r>
          </w:p>
        </w:tc>
      </w:tr>
      <w:tr w:rsidR="00881ADA" w:rsidRPr="00881ADA" w14:paraId="6B915E74" w14:textId="77777777" w:rsidTr="000C04CF">
        <w:trPr>
          <w:trHeight w:val="510"/>
        </w:trPr>
        <w:tc>
          <w:tcPr>
            <w:tcW w:w="4135" w:type="dxa"/>
            <w:tcBorders>
              <w:top w:val="nil"/>
              <w:left w:val="single" w:sz="4" w:space="0" w:color="auto"/>
              <w:bottom w:val="nil"/>
              <w:right w:val="nil"/>
            </w:tcBorders>
            <w:shd w:val="clear" w:color="auto" w:fill="auto"/>
            <w:vAlign w:val="bottom"/>
            <w:hideMark/>
          </w:tcPr>
          <w:p w14:paraId="4BE437B1" w14:textId="77777777" w:rsidR="00881ADA" w:rsidRPr="00881ADA" w:rsidRDefault="00881ADA" w:rsidP="00F27B12">
            <w:pPr>
              <w:ind w:left="432" w:hanging="432"/>
            </w:pPr>
            <w:r w:rsidRPr="00881ADA">
              <w:t>3. Remove after-attrition adjustment for Project Compass</w:t>
            </w:r>
            <w:r w:rsidR="00E94ACC">
              <w:rPr>
                <w:rStyle w:val="FootnoteReference"/>
              </w:rPr>
              <w:footnoteReference w:id="9"/>
            </w:r>
          </w:p>
        </w:tc>
        <w:tc>
          <w:tcPr>
            <w:tcW w:w="1620" w:type="dxa"/>
            <w:tcBorders>
              <w:top w:val="nil"/>
              <w:left w:val="nil"/>
              <w:bottom w:val="nil"/>
              <w:right w:val="nil"/>
            </w:tcBorders>
            <w:shd w:val="clear" w:color="auto" w:fill="auto"/>
            <w:noWrap/>
            <w:vAlign w:val="bottom"/>
            <w:hideMark/>
          </w:tcPr>
          <w:p w14:paraId="0D395F44" w14:textId="77777777" w:rsidR="00881ADA" w:rsidRPr="00881ADA" w:rsidRDefault="00881ADA" w:rsidP="000C04CF">
            <w:pPr>
              <w:jc w:val="center"/>
            </w:pPr>
            <w:r w:rsidRPr="00881ADA">
              <w:t>$484,709</w:t>
            </w:r>
          </w:p>
        </w:tc>
        <w:tc>
          <w:tcPr>
            <w:tcW w:w="1530" w:type="dxa"/>
            <w:tcBorders>
              <w:top w:val="nil"/>
              <w:left w:val="nil"/>
              <w:bottom w:val="nil"/>
              <w:right w:val="nil"/>
            </w:tcBorders>
            <w:shd w:val="clear" w:color="auto" w:fill="auto"/>
            <w:noWrap/>
            <w:vAlign w:val="bottom"/>
            <w:hideMark/>
          </w:tcPr>
          <w:p w14:paraId="6D085EA2" w14:textId="77777777" w:rsidR="00881ADA" w:rsidRPr="00881ADA" w:rsidRDefault="00881ADA" w:rsidP="000C04CF">
            <w:pPr>
              <w:jc w:val="center"/>
            </w:pPr>
            <w:r w:rsidRPr="00881ADA">
              <w:rPr>
                <w:color w:val="FF0000"/>
              </w:rPr>
              <w:t>($8,273)</w:t>
            </w:r>
          </w:p>
        </w:tc>
        <w:tc>
          <w:tcPr>
            <w:tcW w:w="2008" w:type="dxa"/>
            <w:tcBorders>
              <w:top w:val="nil"/>
              <w:left w:val="nil"/>
              <w:bottom w:val="nil"/>
              <w:right w:val="single" w:sz="4" w:space="0" w:color="auto"/>
            </w:tcBorders>
            <w:shd w:val="clear" w:color="auto" w:fill="auto"/>
            <w:noWrap/>
            <w:vAlign w:val="bottom"/>
            <w:hideMark/>
          </w:tcPr>
          <w:p w14:paraId="7523701F" w14:textId="77777777" w:rsidR="00881ADA" w:rsidRPr="00881ADA" w:rsidRDefault="00881ADA" w:rsidP="000C04CF">
            <w:pPr>
              <w:jc w:val="center"/>
            </w:pPr>
            <w:r w:rsidRPr="00881ADA">
              <w:rPr>
                <w:color w:val="FF0000"/>
              </w:rPr>
              <w:t>($15,273)</w:t>
            </w:r>
          </w:p>
        </w:tc>
      </w:tr>
      <w:tr w:rsidR="00881ADA" w:rsidRPr="00881ADA" w14:paraId="7569FC97" w14:textId="77777777" w:rsidTr="000C04CF">
        <w:trPr>
          <w:trHeight w:val="510"/>
        </w:trPr>
        <w:tc>
          <w:tcPr>
            <w:tcW w:w="4135" w:type="dxa"/>
            <w:tcBorders>
              <w:top w:val="nil"/>
              <w:left w:val="single" w:sz="4" w:space="0" w:color="auto"/>
              <w:bottom w:val="single" w:sz="4" w:space="0" w:color="auto"/>
              <w:right w:val="nil"/>
            </w:tcBorders>
            <w:shd w:val="clear" w:color="auto" w:fill="auto"/>
            <w:vAlign w:val="bottom"/>
            <w:hideMark/>
          </w:tcPr>
          <w:p w14:paraId="42E17875" w14:textId="77777777" w:rsidR="00881ADA" w:rsidRPr="00881ADA" w:rsidRDefault="00881ADA" w:rsidP="00F5062C">
            <w:pPr>
              <w:ind w:left="432" w:hanging="432"/>
            </w:pPr>
            <w:r w:rsidRPr="00881ADA">
              <w:t>4. Power supply update (October 29, 2015)</w:t>
            </w:r>
            <w:r w:rsidR="00733F79">
              <w:rPr>
                <w:rStyle w:val="FootnoteReference"/>
              </w:rPr>
              <w:footnoteReference w:id="10"/>
            </w:r>
            <w:r w:rsidRPr="00881ADA">
              <w:t xml:space="preserve"> </w:t>
            </w:r>
          </w:p>
        </w:tc>
        <w:tc>
          <w:tcPr>
            <w:tcW w:w="1620" w:type="dxa"/>
            <w:tcBorders>
              <w:top w:val="nil"/>
              <w:left w:val="nil"/>
              <w:bottom w:val="single" w:sz="4" w:space="0" w:color="auto"/>
              <w:right w:val="nil"/>
            </w:tcBorders>
            <w:shd w:val="clear" w:color="auto" w:fill="auto"/>
            <w:noWrap/>
            <w:vAlign w:val="bottom"/>
            <w:hideMark/>
          </w:tcPr>
          <w:p w14:paraId="5ED70522" w14:textId="77777777" w:rsidR="00881ADA" w:rsidRPr="00881ADA" w:rsidRDefault="00881ADA" w:rsidP="000C04CF">
            <w:pPr>
              <w:jc w:val="center"/>
            </w:pPr>
            <w:r w:rsidRPr="00881ADA">
              <w:t>$472,555</w:t>
            </w:r>
          </w:p>
        </w:tc>
        <w:tc>
          <w:tcPr>
            <w:tcW w:w="1530" w:type="dxa"/>
            <w:tcBorders>
              <w:top w:val="nil"/>
              <w:left w:val="nil"/>
              <w:bottom w:val="nil"/>
              <w:right w:val="nil"/>
            </w:tcBorders>
            <w:shd w:val="clear" w:color="auto" w:fill="auto"/>
            <w:noWrap/>
            <w:vAlign w:val="bottom"/>
            <w:hideMark/>
          </w:tcPr>
          <w:p w14:paraId="79ECC104" w14:textId="77777777" w:rsidR="00881ADA" w:rsidRPr="00881ADA" w:rsidRDefault="00881ADA" w:rsidP="000C04CF">
            <w:pPr>
              <w:jc w:val="center"/>
            </w:pPr>
            <w:r w:rsidRPr="00881ADA">
              <w:rPr>
                <w:color w:val="FF0000"/>
              </w:rPr>
              <w:t>($12,154)</w:t>
            </w:r>
          </w:p>
        </w:tc>
        <w:tc>
          <w:tcPr>
            <w:tcW w:w="2008" w:type="dxa"/>
            <w:tcBorders>
              <w:top w:val="nil"/>
              <w:left w:val="nil"/>
              <w:bottom w:val="nil"/>
              <w:right w:val="single" w:sz="4" w:space="0" w:color="auto"/>
            </w:tcBorders>
            <w:shd w:val="clear" w:color="auto" w:fill="auto"/>
            <w:noWrap/>
            <w:vAlign w:val="bottom"/>
            <w:hideMark/>
          </w:tcPr>
          <w:p w14:paraId="0AB5A43A" w14:textId="77777777" w:rsidR="00881ADA" w:rsidRPr="00881ADA" w:rsidRDefault="00881ADA" w:rsidP="000C04CF">
            <w:pPr>
              <w:jc w:val="center"/>
            </w:pPr>
            <w:r w:rsidRPr="00881ADA">
              <w:rPr>
                <w:color w:val="FF0000"/>
              </w:rPr>
              <w:t>($27,427)</w:t>
            </w:r>
          </w:p>
        </w:tc>
      </w:tr>
      <w:tr w:rsidR="00881ADA" w:rsidRPr="00881ADA" w14:paraId="11FE6575" w14:textId="77777777" w:rsidTr="000C04CF">
        <w:trPr>
          <w:trHeight w:val="270"/>
        </w:trPr>
        <w:tc>
          <w:tcPr>
            <w:tcW w:w="4135" w:type="dxa"/>
            <w:tcBorders>
              <w:top w:val="nil"/>
              <w:left w:val="single" w:sz="4" w:space="0" w:color="auto"/>
              <w:bottom w:val="single" w:sz="4" w:space="0" w:color="auto"/>
              <w:right w:val="nil"/>
            </w:tcBorders>
            <w:shd w:val="clear" w:color="auto" w:fill="auto"/>
            <w:noWrap/>
            <w:vAlign w:val="bottom"/>
            <w:hideMark/>
          </w:tcPr>
          <w:p w14:paraId="7E0C1D8B" w14:textId="77777777" w:rsidR="00881ADA" w:rsidRPr="00881ADA" w:rsidRDefault="00881ADA" w:rsidP="00881ADA">
            <w:pPr>
              <w:rPr>
                <w:b/>
                <w:bCs/>
              </w:rPr>
            </w:pPr>
            <w:r w:rsidRPr="00881ADA">
              <w:rPr>
                <w:b/>
                <w:bCs/>
              </w:rPr>
              <w:t>Total Order 05 Impacts</w:t>
            </w:r>
          </w:p>
        </w:tc>
        <w:tc>
          <w:tcPr>
            <w:tcW w:w="1620" w:type="dxa"/>
            <w:tcBorders>
              <w:top w:val="nil"/>
              <w:left w:val="nil"/>
              <w:bottom w:val="single" w:sz="4" w:space="0" w:color="auto"/>
              <w:right w:val="nil"/>
            </w:tcBorders>
            <w:shd w:val="clear" w:color="auto" w:fill="auto"/>
            <w:noWrap/>
            <w:vAlign w:val="bottom"/>
            <w:hideMark/>
          </w:tcPr>
          <w:p w14:paraId="31D664E5" w14:textId="77777777" w:rsidR="00881ADA" w:rsidRPr="00881ADA" w:rsidRDefault="00881ADA" w:rsidP="00881ADA">
            <w:r w:rsidRPr="00881ADA">
              <w:t> </w:t>
            </w:r>
          </w:p>
        </w:tc>
        <w:tc>
          <w:tcPr>
            <w:tcW w:w="15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E9615D" w14:textId="77777777" w:rsidR="00881ADA" w:rsidRPr="00881ADA" w:rsidRDefault="00881ADA" w:rsidP="000C04CF">
            <w:pPr>
              <w:jc w:val="center"/>
              <w:rPr>
                <w:b/>
                <w:bCs/>
              </w:rPr>
            </w:pPr>
            <w:r w:rsidRPr="00881ADA">
              <w:rPr>
                <w:b/>
                <w:bCs/>
                <w:color w:val="FF0000"/>
              </w:rPr>
              <w:t>($31,066)</w:t>
            </w:r>
          </w:p>
        </w:tc>
        <w:tc>
          <w:tcPr>
            <w:tcW w:w="2008" w:type="dxa"/>
            <w:tcBorders>
              <w:top w:val="single" w:sz="8" w:space="0" w:color="auto"/>
              <w:left w:val="nil"/>
              <w:bottom w:val="single" w:sz="8" w:space="0" w:color="auto"/>
              <w:right w:val="single" w:sz="8" w:space="0" w:color="auto"/>
            </w:tcBorders>
            <w:shd w:val="clear" w:color="auto" w:fill="auto"/>
            <w:noWrap/>
            <w:vAlign w:val="bottom"/>
            <w:hideMark/>
          </w:tcPr>
          <w:p w14:paraId="7C48DACA" w14:textId="77777777" w:rsidR="00881ADA" w:rsidRPr="00881ADA" w:rsidRDefault="00881ADA" w:rsidP="000C04CF">
            <w:pPr>
              <w:jc w:val="center"/>
              <w:rPr>
                <w:b/>
                <w:bCs/>
              </w:rPr>
            </w:pPr>
            <w:r w:rsidRPr="00881ADA">
              <w:rPr>
                <w:b/>
                <w:bCs/>
                <w:color w:val="FF0000"/>
              </w:rPr>
              <w:t>($27,427)</w:t>
            </w:r>
          </w:p>
        </w:tc>
      </w:tr>
    </w:tbl>
    <w:p w14:paraId="6786E689" w14:textId="77777777" w:rsidR="00130A4A" w:rsidRDefault="002857F0" w:rsidP="00881ADA">
      <w:pPr>
        <w:spacing w:line="480" w:lineRule="auto"/>
      </w:pPr>
      <w:r>
        <w:t xml:space="preserve"> </w:t>
      </w:r>
    </w:p>
    <w:p w14:paraId="3D46F5FA" w14:textId="48B23D16" w:rsidR="002857F0" w:rsidRPr="002857F0" w:rsidRDefault="002857F0" w:rsidP="008204F5">
      <w:pPr>
        <w:keepNext/>
        <w:spacing w:line="480" w:lineRule="auto"/>
        <w:jc w:val="center"/>
        <w:rPr>
          <w:b/>
        </w:rPr>
      </w:pPr>
      <w:r w:rsidRPr="002857F0">
        <w:rPr>
          <w:b/>
        </w:rPr>
        <w:lastRenderedPageBreak/>
        <w:t>DISCUSSION</w:t>
      </w:r>
    </w:p>
    <w:p w14:paraId="40320311" w14:textId="10916FC5" w:rsidR="00D97C02" w:rsidRPr="008204F5" w:rsidRDefault="008204F5" w:rsidP="008204F5">
      <w:pPr>
        <w:keepNext/>
        <w:ind w:left="720" w:hanging="720"/>
        <w:rPr>
          <w:b/>
        </w:rPr>
      </w:pPr>
      <w:r w:rsidRPr="008204F5">
        <w:rPr>
          <w:b/>
        </w:rPr>
        <w:t>A.</w:t>
      </w:r>
      <w:r>
        <w:tab/>
      </w:r>
      <w:r w:rsidR="00D97C02" w:rsidRPr="008204F5">
        <w:rPr>
          <w:b/>
        </w:rPr>
        <w:t>Staff’s Post-Order Analysis Concludes That Avista’s Actual</w:t>
      </w:r>
      <w:r w:rsidR="007407C0">
        <w:rPr>
          <w:b/>
        </w:rPr>
        <w:t xml:space="preserve"> Electric Revenue Requirement C</w:t>
      </w:r>
      <w:r w:rsidR="00D97C02" w:rsidRPr="008204F5">
        <w:rPr>
          <w:b/>
        </w:rPr>
        <w:t>ould be Reduced By Approximately $27.</w:t>
      </w:r>
      <w:r w:rsidR="007B00F3" w:rsidRPr="008204F5">
        <w:rPr>
          <w:b/>
        </w:rPr>
        <w:t>4</w:t>
      </w:r>
      <w:r w:rsidR="00D97C02" w:rsidRPr="008204F5">
        <w:rPr>
          <w:b/>
        </w:rPr>
        <w:t xml:space="preserve"> Million. </w:t>
      </w:r>
    </w:p>
    <w:p w14:paraId="76BA64D3" w14:textId="77777777" w:rsidR="008204F5" w:rsidRPr="008204F5" w:rsidRDefault="008204F5" w:rsidP="008204F5">
      <w:pPr>
        <w:pStyle w:val="ListParagraph"/>
        <w:rPr>
          <w:b/>
        </w:rPr>
      </w:pPr>
    </w:p>
    <w:p w14:paraId="59AC6AE2" w14:textId="223AEF7A" w:rsidR="00AF7D7D" w:rsidRDefault="008204F5" w:rsidP="008204F5">
      <w:pPr>
        <w:pStyle w:val="ListParagraph"/>
        <w:numPr>
          <w:ilvl w:val="0"/>
          <w:numId w:val="16"/>
        </w:numPr>
        <w:spacing w:line="480" w:lineRule="auto"/>
      </w:pPr>
      <w:r>
        <w:tab/>
      </w:r>
      <w:r w:rsidR="00DF7B1B">
        <w:t>First</w:t>
      </w:r>
      <w:r w:rsidR="003269FA">
        <w:t>,</w:t>
      </w:r>
      <w:r w:rsidR="00DF7B1B">
        <w:t xml:space="preserve"> and again to be clear, Staff’s motion to reconsider does not seek a change to the adjustments set forth in Table 1. Staff’s motion only seeks </w:t>
      </w:r>
      <w:r w:rsidR="002163AB">
        <w:t xml:space="preserve">Commission review </w:t>
      </w:r>
      <w:r w:rsidR="005A3233">
        <w:t>of its</w:t>
      </w:r>
      <w:r w:rsidR="00DF7B1B">
        <w:t xml:space="preserve"> </w:t>
      </w:r>
      <w:r w:rsidR="005A3233">
        <w:t>calculation of</w:t>
      </w:r>
      <w:r w:rsidR="00DF7B1B">
        <w:t xml:space="preserve"> Avista’s overall revenue requirement</w:t>
      </w:r>
      <w:r w:rsidR="002163AB">
        <w:t xml:space="preserve"> to ensure that the adjustments set forth in Table 1 have been properly incorporated. </w:t>
      </w:r>
      <w:r w:rsidR="00DF7B1B">
        <w:t xml:space="preserve"> </w:t>
      </w:r>
    </w:p>
    <w:p w14:paraId="468D336C" w14:textId="2E7ACB1A" w:rsidR="002857F0" w:rsidRPr="008204F5" w:rsidRDefault="008204F5" w:rsidP="008204F5">
      <w:pPr>
        <w:pStyle w:val="ListParagraph"/>
        <w:numPr>
          <w:ilvl w:val="0"/>
          <w:numId w:val="16"/>
        </w:numPr>
        <w:spacing w:line="480" w:lineRule="auto"/>
        <w:rPr>
          <w:rFonts w:eastAsiaTheme="minorHAnsi"/>
        </w:rPr>
      </w:pPr>
      <w:r>
        <w:tab/>
      </w:r>
      <w:r w:rsidR="00DF7B1B">
        <w:t>T</w:t>
      </w:r>
      <w:r w:rsidR="002857F0" w:rsidRPr="008204F5">
        <w:rPr>
          <w:rFonts w:eastAsiaTheme="minorHAnsi"/>
        </w:rPr>
        <w:t xml:space="preserve">able </w:t>
      </w:r>
      <w:r w:rsidR="00DF7B1B" w:rsidRPr="008204F5">
        <w:rPr>
          <w:rFonts w:eastAsiaTheme="minorHAnsi"/>
        </w:rPr>
        <w:t xml:space="preserve">1 </w:t>
      </w:r>
      <w:r w:rsidR="002857F0" w:rsidRPr="008204F5">
        <w:rPr>
          <w:rFonts w:eastAsiaTheme="minorHAnsi"/>
        </w:rPr>
        <w:t xml:space="preserve">above demonstrates that each </w:t>
      </w:r>
      <w:r w:rsidR="002163AB" w:rsidRPr="008204F5">
        <w:rPr>
          <w:rFonts w:eastAsiaTheme="minorHAnsi"/>
        </w:rPr>
        <w:t xml:space="preserve">identified </w:t>
      </w:r>
      <w:r w:rsidR="002857F0" w:rsidRPr="008204F5">
        <w:rPr>
          <w:rFonts w:eastAsiaTheme="minorHAnsi"/>
        </w:rPr>
        <w:t xml:space="preserve">adjustment </w:t>
      </w:r>
      <w:r w:rsidR="00DF7B1B" w:rsidRPr="008204F5">
        <w:rPr>
          <w:rFonts w:eastAsiaTheme="minorHAnsi"/>
        </w:rPr>
        <w:t xml:space="preserve">would </w:t>
      </w:r>
      <w:r w:rsidR="002857F0" w:rsidRPr="008204F5">
        <w:rPr>
          <w:rFonts w:eastAsiaTheme="minorHAnsi"/>
        </w:rPr>
        <w:t xml:space="preserve">reduce the revenue requirement relative to Exhibit No. EMA-6. The total impact of these four adjustments is a reduction to </w:t>
      </w:r>
      <w:r w:rsidR="00B70FCA" w:rsidRPr="008204F5">
        <w:rPr>
          <w:rFonts w:eastAsiaTheme="minorHAnsi"/>
        </w:rPr>
        <w:t>Avista’</w:t>
      </w:r>
      <w:r w:rsidR="003269FA">
        <w:rPr>
          <w:rFonts w:eastAsiaTheme="minorHAnsi"/>
        </w:rPr>
        <w:t>s</w:t>
      </w:r>
      <w:r w:rsidR="00C96346">
        <w:rPr>
          <w:rFonts w:eastAsiaTheme="minorHAnsi"/>
        </w:rPr>
        <w:t xml:space="preserve"> electric operations</w:t>
      </w:r>
      <w:r w:rsidR="00B70FCA" w:rsidRPr="008204F5">
        <w:rPr>
          <w:rFonts w:eastAsiaTheme="minorHAnsi"/>
        </w:rPr>
        <w:t xml:space="preserve"> </w:t>
      </w:r>
      <w:r w:rsidR="002857F0" w:rsidRPr="008204F5">
        <w:rPr>
          <w:rFonts w:eastAsiaTheme="minorHAnsi"/>
        </w:rPr>
        <w:t xml:space="preserve">revenue requirement of approximately $31 million. </w:t>
      </w:r>
      <w:r w:rsidR="00DF7B1B" w:rsidRPr="008204F5">
        <w:rPr>
          <w:rFonts w:eastAsiaTheme="minorHAnsi"/>
        </w:rPr>
        <w:t>When the impact</w:t>
      </w:r>
      <w:r w:rsidR="0073205A" w:rsidRPr="008204F5">
        <w:rPr>
          <w:rFonts w:eastAsiaTheme="minorHAnsi"/>
        </w:rPr>
        <w:t>s</w:t>
      </w:r>
      <w:r w:rsidR="00DF7B1B" w:rsidRPr="008204F5">
        <w:rPr>
          <w:rFonts w:eastAsiaTheme="minorHAnsi"/>
        </w:rPr>
        <w:t xml:space="preserve"> of these adjustments are rolled into Avista’s overall revenue requirement, Staff </w:t>
      </w:r>
      <w:r w:rsidR="00046A1F" w:rsidRPr="008204F5">
        <w:rPr>
          <w:rFonts w:eastAsiaTheme="minorHAnsi"/>
        </w:rPr>
        <w:t xml:space="preserve">calculates </w:t>
      </w:r>
      <w:r w:rsidR="003A1174" w:rsidRPr="008204F5">
        <w:rPr>
          <w:rFonts w:eastAsiaTheme="minorHAnsi"/>
        </w:rPr>
        <w:t xml:space="preserve">that Avista’s </w:t>
      </w:r>
      <w:r w:rsidR="00DF7B1B" w:rsidRPr="008204F5">
        <w:rPr>
          <w:rFonts w:eastAsiaTheme="minorHAnsi"/>
        </w:rPr>
        <w:t xml:space="preserve">adjusted overall revenue requirement </w:t>
      </w:r>
      <w:r w:rsidR="003A1174" w:rsidRPr="008204F5">
        <w:rPr>
          <w:rFonts w:eastAsiaTheme="minorHAnsi"/>
        </w:rPr>
        <w:t xml:space="preserve">(as </w:t>
      </w:r>
      <w:r w:rsidR="00DF7B1B" w:rsidRPr="008204F5">
        <w:rPr>
          <w:rFonts w:eastAsiaTheme="minorHAnsi"/>
        </w:rPr>
        <w:t xml:space="preserve">set forth in </w:t>
      </w:r>
      <w:r w:rsidR="003A1174" w:rsidRPr="008204F5">
        <w:rPr>
          <w:rFonts w:eastAsiaTheme="minorHAnsi"/>
        </w:rPr>
        <w:t xml:space="preserve">Exhibit No. </w:t>
      </w:r>
      <w:r w:rsidR="00DF7B1B" w:rsidRPr="008204F5">
        <w:rPr>
          <w:rFonts w:eastAsiaTheme="minorHAnsi"/>
        </w:rPr>
        <w:t>EMA</w:t>
      </w:r>
      <w:r w:rsidR="003A1174" w:rsidRPr="008204F5">
        <w:rPr>
          <w:rFonts w:eastAsiaTheme="minorHAnsi"/>
        </w:rPr>
        <w:t xml:space="preserve">-6) </w:t>
      </w:r>
      <w:r w:rsidR="005A3233" w:rsidRPr="008204F5">
        <w:rPr>
          <w:rFonts w:eastAsiaTheme="minorHAnsi"/>
        </w:rPr>
        <w:t xml:space="preserve">should </w:t>
      </w:r>
      <w:r w:rsidR="003A1174" w:rsidRPr="008204F5">
        <w:rPr>
          <w:rFonts w:eastAsiaTheme="minorHAnsi"/>
        </w:rPr>
        <w:t xml:space="preserve">be </w:t>
      </w:r>
      <w:r w:rsidR="00783790" w:rsidRPr="008204F5">
        <w:rPr>
          <w:rFonts w:eastAsiaTheme="minorHAnsi"/>
        </w:rPr>
        <w:t xml:space="preserve">a </w:t>
      </w:r>
      <w:r w:rsidR="003A1174" w:rsidRPr="008204F5">
        <w:rPr>
          <w:rFonts w:eastAsiaTheme="minorHAnsi"/>
        </w:rPr>
        <w:t>reduc</w:t>
      </w:r>
      <w:r w:rsidR="005A3233" w:rsidRPr="008204F5">
        <w:rPr>
          <w:rFonts w:eastAsiaTheme="minorHAnsi"/>
        </w:rPr>
        <w:t xml:space="preserve">ed by </w:t>
      </w:r>
      <w:r w:rsidR="003A1174" w:rsidRPr="008204F5">
        <w:rPr>
          <w:rFonts w:eastAsiaTheme="minorHAnsi"/>
        </w:rPr>
        <w:t>approximately $27 million (relative to 2015 base rate revenues)</w:t>
      </w:r>
      <w:r w:rsidR="00650740" w:rsidRPr="008204F5">
        <w:rPr>
          <w:rFonts w:eastAsiaTheme="minorHAnsi"/>
        </w:rPr>
        <w:t xml:space="preserve">. </w:t>
      </w:r>
      <w:r w:rsidR="001E1215" w:rsidRPr="008204F5">
        <w:rPr>
          <w:rFonts w:eastAsiaTheme="minorHAnsi"/>
        </w:rPr>
        <w:t xml:space="preserve">In sum, when </w:t>
      </w:r>
      <w:r w:rsidR="00E053B2" w:rsidRPr="008204F5">
        <w:rPr>
          <w:rFonts w:eastAsiaTheme="minorHAnsi"/>
        </w:rPr>
        <w:t xml:space="preserve">Staff </w:t>
      </w:r>
      <w:r w:rsidR="00016073" w:rsidRPr="008204F5">
        <w:rPr>
          <w:rFonts w:eastAsiaTheme="minorHAnsi"/>
        </w:rPr>
        <w:t xml:space="preserve">follows </w:t>
      </w:r>
      <w:r w:rsidR="00016073" w:rsidRPr="00653278">
        <w:rPr>
          <w:rFonts w:eastAsiaTheme="minorHAnsi"/>
        </w:rPr>
        <w:t xml:space="preserve">the </w:t>
      </w:r>
      <w:r w:rsidR="005A3233" w:rsidRPr="00653278">
        <w:rPr>
          <w:rFonts w:eastAsiaTheme="minorHAnsi"/>
        </w:rPr>
        <w:t>development</w:t>
      </w:r>
      <w:r w:rsidR="00016073" w:rsidRPr="00653278">
        <w:rPr>
          <w:rFonts w:eastAsiaTheme="minorHAnsi"/>
        </w:rPr>
        <w:t xml:space="preserve"> </w:t>
      </w:r>
      <w:r w:rsidR="005A3233" w:rsidRPr="00653278">
        <w:rPr>
          <w:rFonts w:eastAsiaTheme="minorHAnsi"/>
        </w:rPr>
        <w:t xml:space="preserve">of Avista’s electric revenue requirement in </w:t>
      </w:r>
      <w:r w:rsidR="00016073" w:rsidRPr="00653278">
        <w:rPr>
          <w:rFonts w:eastAsiaTheme="minorHAnsi"/>
        </w:rPr>
        <w:t>Order 5 and</w:t>
      </w:r>
      <w:r w:rsidR="005A3233" w:rsidRPr="00653278">
        <w:rPr>
          <w:rFonts w:eastAsiaTheme="minorHAnsi"/>
        </w:rPr>
        <w:t xml:space="preserve"> then</w:t>
      </w:r>
      <w:r w:rsidR="00016073" w:rsidRPr="00653278">
        <w:rPr>
          <w:rFonts w:eastAsiaTheme="minorHAnsi"/>
        </w:rPr>
        <w:t xml:space="preserve"> </w:t>
      </w:r>
      <w:r w:rsidR="00E053B2" w:rsidRPr="00653278">
        <w:rPr>
          <w:rFonts w:eastAsiaTheme="minorHAnsi"/>
        </w:rPr>
        <w:t>integrates the</w:t>
      </w:r>
      <w:r w:rsidR="00650740" w:rsidRPr="00653278">
        <w:rPr>
          <w:rFonts w:eastAsiaTheme="minorHAnsi"/>
        </w:rPr>
        <w:t xml:space="preserve"> </w:t>
      </w:r>
      <w:r w:rsidR="001E1215" w:rsidRPr="00653278">
        <w:rPr>
          <w:rFonts w:eastAsiaTheme="minorHAnsi"/>
        </w:rPr>
        <w:t xml:space="preserve">Table 1 </w:t>
      </w:r>
      <w:r w:rsidR="00650740" w:rsidRPr="00653278">
        <w:rPr>
          <w:rFonts w:eastAsiaTheme="minorHAnsi"/>
        </w:rPr>
        <w:t xml:space="preserve">revenue adjustments </w:t>
      </w:r>
      <w:r w:rsidR="00E053B2" w:rsidRPr="00653278">
        <w:rPr>
          <w:rFonts w:eastAsiaTheme="minorHAnsi"/>
        </w:rPr>
        <w:t>into its computation of electric revenue</w:t>
      </w:r>
      <w:r w:rsidR="00E053B2" w:rsidRPr="008204F5">
        <w:rPr>
          <w:rFonts w:eastAsiaTheme="minorHAnsi"/>
        </w:rPr>
        <w:t xml:space="preserve"> requirement, </w:t>
      </w:r>
      <w:r w:rsidR="00650740" w:rsidRPr="008204F5">
        <w:rPr>
          <w:rFonts w:eastAsiaTheme="minorHAnsi"/>
        </w:rPr>
        <w:t xml:space="preserve">Staff calculates Avista’s </w:t>
      </w:r>
      <w:r w:rsidR="003A1174" w:rsidRPr="008204F5">
        <w:rPr>
          <w:rFonts w:eastAsiaTheme="minorHAnsi"/>
        </w:rPr>
        <w:t xml:space="preserve">adjusted </w:t>
      </w:r>
      <w:r w:rsidR="002857F0" w:rsidRPr="008204F5">
        <w:rPr>
          <w:rFonts w:eastAsiaTheme="minorHAnsi"/>
        </w:rPr>
        <w:t>attrition-based revenue requirement</w:t>
      </w:r>
      <w:r w:rsidR="00DF7B1B" w:rsidRPr="008204F5">
        <w:rPr>
          <w:rFonts w:eastAsiaTheme="minorHAnsi"/>
        </w:rPr>
        <w:t xml:space="preserve"> </w:t>
      </w:r>
      <w:r w:rsidR="00650740" w:rsidRPr="008204F5">
        <w:rPr>
          <w:rFonts w:eastAsiaTheme="minorHAnsi"/>
        </w:rPr>
        <w:t xml:space="preserve">to </w:t>
      </w:r>
      <w:r w:rsidR="00DF7B1B" w:rsidRPr="008204F5">
        <w:rPr>
          <w:rFonts w:eastAsiaTheme="minorHAnsi"/>
        </w:rPr>
        <w:t xml:space="preserve">be </w:t>
      </w:r>
      <w:r w:rsidR="003A1174" w:rsidRPr="008204F5">
        <w:rPr>
          <w:rFonts w:eastAsiaTheme="minorHAnsi"/>
        </w:rPr>
        <w:t>$</w:t>
      </w:r>
      <w:r w:rsidR="00983AC8" w:rsidRPr="008204F5">
        <w:rPr>
          <w:rFonts w:eastAsiaTheme="minorHAnsi"/>
        </w:rPr>
        <w:t>472,555</w:t>
      </w:r>
      <w:r w:rsidR="00470B0D" w:rsidRPr="008204F5">
        <w:rPr>
          <w:rFonts w:eastAsiaTheme="minorHAnsi"/>
        </w:rPr>
        <w:t>,000</w:t>
      </w:r>
      <w:r w:rsidR="00650740" w:rsidRPr="008204F5">
        <w:rPr>
          <w:rFonts w:eastAsiaTheme="minorHAnsi"/>
        </w:rPr>
        <w:t xml:space="preserve"> for electric operations</w:t>
      </w:r>
      <w:r w:rsidR="003A1174" w:rsidRPr="008204F5">
        <w:rPr>
          <w:rFonts w:eastAsiaTheme="minorHAnsi"/>
        </w:rPr>
        <w:t>.</w:t>
      </w:r>
    </w:p>
    <w:p w14:paraId="31FA8F7A" w14:textId="77777777" w:rsidR="004A1F6F" w:rsidRPr="009D6749" w:rsidRDefault="002857F0" w:rsidP="008204F5">
      <w:pPr>
        <w:pStyle w:val="ListParagraph"/>
        <w:numPr>
          <w:ilvl w:val="0"/>
          <w:numId w:val="16"/>
        </w:numPr>
        <w:spacing w:line="480" w:lineRule="auto"/>
      </w:pPr>
      <w:r>
        <w:rPr>
          <w:rFonts w:eastAsiaTheme="minorHAnsi"/>
        </w:rPr>
        <w:tab/>
      </w:r>
      <w:r w:rsidR="00650740">
        <w:rPr>
          <w:rFonts w:eastAsiaTheme="minorHAnsi"/>
        </w:rPr>
        <w:t xml:space="preserve">In order to check the reliability of </w:t>
      </w:r>
      <w:r w:rsidR="001E1215">
        <w:rPr>
          <w:rFonts w:eastAsiaTheme="minorHAnsi"/>
        </w:rPr>
        <w:t xml:space="preserve">the </w:t>
      </w:r>
      <w:r w:rsidR="00650740">
        <w:rPr>
          <w:rFonts w:eastAsiaTheme="minorHAnsi"/>
        </w:rPr>
        <w:t xml:space="preserve">above conclusion, Staff examined </w:t>
      </w:r>
      <w:r w:rsidR="001E1215">
        <w:rPr>
          <w:rFonts w:eastAsiaTheme="minorHAnsi"/>
        </w:rPr>
        <w:t xml:space="preserve">each </w:t>
      </w:r>
      <w:r w:rsidR="00650740">
        <w:rPr>
          <w:rFonts w:eastAsiaTheme="minorHAnsi"/>
        </w:rPr>
        <w:t>specific adjus</w:t>
      </w:r>
      <w:r w:rsidR="001E1215">
        <w:rPr>
          <w:rFonts w:eastAsiaTheme="minorHAnsi"/>
        </w:rPr>
        <w:t>tment and whether it appeared to be accounted for in Order 05. It appears that they were not. For example, t</w:t>
      </w:r>
      <w:r w:rsidR="001E1215" w:rsidRPr="002857F0">
        <w:rPr>
          <w:rFonts w:eastAsiaTheme="minorHAnsi"/>
        </w:rPr>
        <w:t xml:space="preserve">he total </w:t>
      </w:r>
      <w:r w:rsidR="001E1215">
        <w:rPr>
          <w:rFonts w:eastAsiaTheme="minorHAnsi"/>
        </w:rPr>
        <w:t xml:space="preserve">electric </w:t>
      </w:r>
      <w:r w:rsidR="001E1215" w:rsidRPr="002857F0">
        <w:rPr>
          <w:rFonts w:eastAsiaTheme="minorHAnsi"/>
        </w:rPr>
        <w:t xml:space="preserve">revenues </w:t>
      </w:r>
      <w:r w:rsidR="001E1215">
        <w:rPr>
          <w:rFonts w:eastAsiaTheme="minorHAnsi"/>
        </w:rPr>
        <w:t xml:space="preserve">authorized by </w:t>
      </w:r>
      <w:r w:rsidR="001E1215" w:rsidRPr="002857F0">
        <w:rPr>
          <w:rFonts w:eastAsiaTheme="minorHAnsi"/>
        </w:rPr>
        <w:t>Order 05 (a reduction of $8.1</w:t>
      </w:r>
      <w:r w:rsidR="001E1215">
        <w:rPr>
          <w:rFonts w:eastAsiaTheme="minorHAnsi"/>
        </w:rPr>
        <w:t xml:space="preserve"> million</w:t>
      </w:r>
      <w:r w:rsidR="001E1215" w:rsidRPr="002857F0">
        <w:rPr>
          <w:rFonts w:eastAsiaTheme="minorHAnsi"/>
        </w:rPr>
        <w:t>)</w:t>
      </w:r>
      <w:r w:rsidR="001E1215" w:rsidRPr="002857F0">
        <w:rPr>
          <w:rFonts w:eastAsiaTheme="minorHAnsi"/>
          <w:vertAlign w:val="superscript"/>
        </w:rPr>
        <w:footnoteReference w:id="11"/>
      </w:r>
      <w:r w:rsidR="001E1215" w:rsidRPr="002857F0">
        <w:rPr>
          <w:rFonts w:eastAsiaTheme="minorHAnsi"/>
        </w:rPr>
        <w:t xml:space="preserve"> is nearly identical to Avista</w:t>
      </w:r>
      <w:r w:rsidR="009D6749">
        <w:rPr>
          <w:rFonts w:eastAsiaTheme="minorHAnsi"/>
        </w:rPr>
        <w:t>’s</w:t>
      </w:r>
      <w:r w:rsidR="001E1215" w:rsidRPr="002857F0">
        <w:rPr>
          <w:rFonts w:eastAsiaTheme="minorHAnsi"/>
        </w:rPr>
        <w:t xml:space="preserve"> requested</w:t>
      </w:r>
      <w:r w:rsidR="009D6749">
        <w:rPr>
          <w:rFonts w:eastAsiaTheme="minorHAnsi"/>
        </w:rPr>
        <w:t xml:space="preserve"> revenue requirement </w:t>
      </w:r>
      <w:r w:rsidR="001E1215" w:rsidRPr="002857F0">
        <w:rPr>
          <w:rFonts w:eastAsiaTheme="minorHAnsi"/>
        </w:rPr>
        <w:t>on rebuttal</w:t>
      </w:r>
      <w:r w:rsidR="009D6749">
        <w:rPr>
          <w:rFonts w:eastAsiaTheme="minorHAnsi"/>
        </w:rPr>
        <w:t>,</w:t>
      </w:r>
      <w:r w:rsidR="001E1215">
        <w:rPr>
          <w:rFonts w:eastAsiaTheme="minorHAnsi"/>
        </w:rPr>
        <w:t xml:space="preserve"> after incorporating Avista’s power supply update dated </w:t>
      </w:r>
      <w:r w:rsidR="001E1215" w:rsidRPr="002857F0">
        <w:rPr>
          <w:rFonts w:eastAsiaTheme="minorHAnsi"/>
        </w:rPr>
        <w:t>October 29</w:t>
      </w:r>
      <w:r w:rsidR="001E1215">
        <w:rPr>
          <w:rFonts w:eastAsiaTheme="minorHAnsi"/>
        </w:rPr>
        <w:t>, 2015.</w:t>
      </w:r>
      <w:r w:rsidR="009D6749">
        <w:rPr>
          <w:rStyle w:val="FootnoteReference"/>
          <w:rFonts w:eastAsiaTheme="minorHAnsi"/>
        </w:rPr>
        <w:footnoteReference w:id="12"/>
      </w:r>
      <w:r w:rsidR="001E1215">
        <w:rPr>
          <w:rFonts w:eastAsiaTheme="minorHAnsi"/>
        </w:rPr>
        <w:t xml:space="preserve"> </w:t>
      </w:r>
      <w:r w:rsidR="009D6749">
        <w:rPr>
          <w:rFonts w:eastAsiaTheme="minorHAnsi"/>
        </w:rPr>
        <w:t xml:space="preserve"> </w:t>
      </w:r>
      <w:r w:rsidR="001E1215" w:rsidRPr="002857F0">
        <w:rPr>
          <w:rFonts w:eastAsiaTheme="minorHAnsi"/>
        </w:rPr>
        <w:t xml:space="preserve">Therefore, the revenue </w:t>
      </w:r>
      <w:r w:rsidR="001E1215" w:rsidRPr="002857F0">
        <w:rPr>
          <w:rFonts w:eastAsiaTheme="minorHAnsi"/>
        </w:rPr>
        <w:lastRenderedPageBreak/>
        <w:t xml:space="preserve">requirement </w:t>
      </w:r>
      <w:r w:rsidR="009D6749">
        <w:rPr>
          <w:rFonts w:eastAsiaTheme="minorHAnsi"/>
        </w:rPr>
        <w:t xml:space="preserve">for Avista’s electric operations set forth in Order 05 </w:t>
      </w:r>
      <w:r w:rsidR="001E1215" w:rsidRPr="002857F0">
        <w:rPr>
          <w:rFonts w:eastAsiaTheme="minorHAnsi"/>
        </w:rPr>
        <w:t xml:space="preserve">cannot possibly </w:t>
      </w:r>
      <w:r w:rsidR="009D6749">
        <w:rPr>
          <w:rFonts w:eastAsiaTheme="minorHAnsi"/>
        </w:rPr>
        <w:t xml:space="preserve">include </w:t>
      </w:r>
      <w:r w:rsidR="001E1215" w:rsidRPr="002857F0">
        <w:rPr>
          <w:rFonts w:eastAsiaTheme="minorHAnsi"/>
        </w:rPr>
        <w:t xml:space="preserve">the </w:t>
      </w:r>
      <w:r w:rsidR="009D6749">
        <w:rPr>
          <w:rFonts w:eastAsiaTheme="minorHAnsi"/>
        </w:rPr>
        <w:t xml:space="preserve">revenue impacts of the </w:t>
      </w:r>
      <w:r w:rsidR="001E1215" w:rsidRPr="002857F0">
        <w:rPr>
          <w:rFonts w:eastAsiaTheme="minorHAnsi"/>
        </w:rPr>
        <w:t xml:space="preserve">four specific adjustments identified in the </w:t>
      </w:r>
      <w:r w:rsidR="009D6749">
        <w:rPr>
          <w:rFonts w:eastAsiaTheme="minorHAnsi"/>
        </w:rPr>
        <w:t xml:space="preserve">Order and captured in Table 1 above. </w:t>
      </w:r>
      <w:r w:rsidR="00650740">
        <w:rPr>
          <w:rFonts w:eastAsiaTheme="minorHAnsi"/>
        </w:rPr>
        <w:t xml:space="preserve"> </w:t>
      </w:r>
    </w:p>
    <w:p w14:paraId="745EFB9B" w14:textId="77777777" w:rsidR="000F335F" w:rsidRPr="000F335F" w:rsidRDefault="009D6749" w:rsidP="008204F5">
      <w:pPr>
        <w:pStyle w:val="ListParagraph"/>
        <w:numPr>
          <w:ilvl w:val="0"/>
          <w:numId w:val="16"/>
        </w:numPr>
        <w:spacing w:line="480" w:lineRule="auto"/>
      </w:pPr>
      <w:r>
        <w:rPr>
          <w:rFonts w:eastAsiaTheme="minorHAnsi"/>
        </w:rPr>
        <w:tab/>
        <w:t xml:space="preserve">Based on the above conclusion, Staff analyzed the as-adjusted electric revenue requirement </w:t>
      </w:r>
      <w:r w:rsidR="000F335F">
        <w:rPr>
          <w:rFonts w:eastAsiaTheme="minorHAnsi"/>
        </w:rPr>
        <w:t xml:space="preserve">and the resulting attrition adjustment approved by Order 05. The results are set forth in Table 2 below. </w:t>
      </w:r>
    </w:p>
    <w:tbl>
      <w:tblPr>
        <w:tblW w:w="10080" w:type="dxa"/>
        <w:tblLook w:val="04A0" w:firstRow="1" w:lastRow="0" w:firstColumn="1" w:lastColumn="0" w:noHBand="0" w:noVBand="1"/>
      </w:tblPr>
      <w:tblGrid>
        <w:gridCol w:w="4449"/>
        <w:gridCol w:w="2196"/>
        <w:gridCol w:w="1718"/>
        <w:gridCol w:w="1717"/>
      </w:tblGrid>
      <w:tr w:rsidR="000F335F" w:rsidRPr="000F335F" w14:paraId="19E7626D" w14:textId="77777777" w:rsidTr="007407C0">
        <w:trPr>
          <w:trHeight w:val="510"/>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AE763AA" w14:textId="46C49C89" w:rsidR="000F335F" w:rsidRPr="000F335F" w:rsidRDefault="000F335F" w:rsidP="000F335F">
            <w:pPr>
              <w:jc w:val="center"/>
              <w:rPr>
                <w:b/>
                <w:bCs/>
              </w:rPr>
            </w:pPr>
            <w:r>
              <w:rPr>
                <w:b/>
                <w:bCs/>
              </w:rPr>
              <w:t>TABLE 2</w:t>
            </w:r>
          </w:p>
        </w:tc>
      </w:tr>
      <w:tr w:rsidR="000F335F" w:rsidRPr="000F335F" w14:paraId="0F227D1C" w14:textId="77777777" w:rsidTr="007407C0">
        <w:trPr>
          <w:trHeight w:val="510"/>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CB7B834" w14:textId="77777777" w:rsidR="000F335F" w:rsidRPr="000F335F" w:rsidRDefault="000F335F" w:rsidP="000F335F">
            <w:pPr>
              <w:jc w:val="center"/>
              <w:rPr>
                <w:b/>
                <w:bCs/>
              </w:rPr>
            </w:pPr>
            <w:r>
              <w:rPr>
                <w:b/>
                <w:bCs/>
              </w:rPr>
              <w:t>Avista’s As-Adjusted Revenue Requirement and Resulting Attrition Adjustment</w:t>
            </w:r>
          </w:p>
        </w:tc>
      </w:tr>
      <w:tr w:rsidR="000F335F" w:rsidRPr="000F335F" w14:paraId="5FFC10A8" w14:textId="77777777" w:rsidTr="007407C0">
        <w:trPr>
          <w:trHeight w:val="510"/>
        </w:trPr>
        <w:tc>
          <w:tcPr>
            <w:tcW w:w="4449" w:type="dxa"/>
            <w:tcBorders>
              <w:top w:val="single" w:sz="4" w:space="0" w:color="auto"/>
              <w:left w:val="single" w:sz="4" w:space="0" w:color="auto"/>
              <w:bottom w:val="single" w:sz="4" w:space="0" w:color="auto"/>
              <w:right w:val="nil"/>
            </w:tcBorders>
            <w:shd w:val="clear" w:color="auto" w:fill="auto"/>
            <w:noWrap/>
            <w:vAlign w:val="bottom"/>
            <w:hideMark/>
          </w:tcPr>
          <w:p w14:paraId="392642F6" w14:textId="77777777" w:rsidR="000F335F" w:rsidRPr="000F335F" w:rsidRDefault="000F335F" w:rsidP="000F335F">
            <w:pPr>
              <w:rPr>
                <w:b/>
                <w:bCs/>
              </w:rPr>
            </w:pPr>
            <w:r w:rsidRPr="000F335F">
              <w:rPr>
                <w:b/>
                <w:bCs/>
              </w:rPr>
              <w:t>Description</w:t>
            </w:r>
          </w:p>
        </w:tc>
        <w:tc>
          <w:tcPr>
            <w:tcW w:w="2196" w:type="dxa"/>
            <w:tcBorders>
              <w:top w:val="single" w:sz="4" w:space="0" w:color="auto"/>
              <w:left w:val="nil"/>
              <w:bottom w:val="single" w:sz="4" w:space="0" w:color="auto"/>
              <w:right w:val="nil"/>
            </w:tcBorders>
            <w:shd w:val="clear" w:color="auto" w:fill="auto"/>
            <w:vAlign w:val="bottom"/>
            <w:hideMark/>
          </w:tcPr>
          <w:p w14:paraId="0BE39C28" w14:textId="77777777" w:rsidR="000F335F" w:rsidRPr="000F335F" w:rsidRDefault="000F335F" w:rsidP="000F335F">
            <w:pPr>
              <w:rPr>
                <w:b/>
                <w:bCs/>
              </w:rPr>
            </w:pPr>
            <w:r w:rsidRPr="000F335F">
              <w:rPr>
                <w:b/>
                <w:bCs/>
              </w:rPr>
              <w:t>Pro Forma Revenue Requirement</w:t>
            </w:r>
            <w:r w:rsidRPr="000F335F">
              <w:rPr>
                <w:b/>
                <w:bCs/>
                <w:vertAlign w:val="superscript"/>
              </w:rPr>
              <w:footnoteReference w:id="13"/>
            </w:r>
          </w:p>
        </w:tc>
        <w:tc>
          <w:tcPr>
            <w:tcW w:w="1718" w:type="dxa"/>
            <w:tcBorders>
              <w:top w:val="single" w:sz="4" w:space="0" w:color="auto"/>
              <w:left w:val="nil"/>
              <w:bottom w:val="single" w:sz="4" w:space="0" w:color="auto"/>
              <w:right w:val="nil"/>
            </w:tcBorders>
            <w:shd w:val="clear" w:color="auto" w:fill="auto"/>
            <w:vAlign w:val="bottom"/>
            <w:hideMark/>
          </w:tcPr>
          <w:p w14:paraId="35EA5444" w14:textId="77777777" w:rsidR="000F335F" w:rsidRPr="000F335F" w:rsidRDefault="000F335F" w:rsidP="000F335F">
            <w:pPr>
              <w:rPr>
                <w:b/>
                <w:bCs/>
              </w:rPr>
            </w:pPr>
            <w:r w:rsidRPr="000F335F">
              <w:rPr>
                <w:b/>
                <w:bCs/>
              </w:rPr>
              <w:t>Attrition Study Results</w:t>
            </w:r>
          </w:p>
        </w:tc>
        <w:tc>
          <w:tcPr>
            <w:tcW w:w="1717" w:type="dxa"/>
            <w:tcBorders>
              <w:top w:val="single" w:sz="4" w:space="0" w:color="auto"/>
              <w:left w:val="nil"/>
              <w:bottom w:val="single" w:sz="4" w:space="0" w:color="auto"/>
              <w:right w:val="single" w:sz="4" w:space="0" w:color="auto"/>
            </w:tcBorders>
            <w:shd w:val="clear" w:color="auto" w:fill="auto"/>
            <w:vAlign w:val="bottom"/>
            <w:hideMark/>
          </w:tcPr>
          <w:p w14:paraId="79AF9535" w14:textId="77777777" w:rsidR="000F335F" w:rsidRPr="000F335F" w:rsidRDefault="000F335F" w:rsidP="000F335F">
            <w:pPr>
              <w:rPr>
                <w:b/>
                <w:bCs/>
              </w:rPr>
            </w:pPr>
            <w:r w:rsidRPr="000F335F">
              <w:rPr>
                <w:b/>
                <w:bCs/>
              </w:rPr>
              <w:t>Imputed Attrition Allowance</w:t>
            </w:r>
          </w:p>
        </w:tc>
      </w:tr>
      <w:tr w:rsidR="000F335F" w:rsidRPr="000F335F" w14:paraId="54D788EF" w14:textId="77777777" w:rsidTr="007407C0">
        <w:trPr>
          <w:trHeight w:val="255"/>
        </w:trPr>
        <w:tc>
          <w:tcPr>
            <w:tcW w:w="4449" w:type="dxa"/>
            <w:tcBorders>
              <w:top w:val="nil"/>
              <w:left w:val="single" w:sz="4" w:space="0" w:color="auto"/>
              <w:bottom w:val="nil"/>
              <w:right w:val="nil"/>
            </w:tcBorders>
            <w:shd w:val="clear" w:color="auto" w:fill="auto"/>
            <w:noWrap/>
            <w:vAlign w:val="bottom"/>
            <w:hideMark/>
          </w:tcPr>
          <w:p w14:paraId="6417E75A" w14:textId="77777777" w:rsidR="000F335F" w:rsidRPr="000F335F" w:rsidRDefault="000F335F" w:rsidP="000F335F">
            <w:r w:rsidRPr="000F335F">
              <w:t> </w:t>
            </w:r>
          </w:p>
        </w:tc>
        <w:tc>
          <w:tcPr>
            <w:tcW w:w="2196" w:type="dxa"/>
            <w:tcBorders>
              <w:top w:val="nil"/>
              <w:left w:val="nil"/>
              <w:bottom w:val="nil"/>
              <w:right w:val="nil"/>
            </w:tcBorders>
            <w:shd w:val="clear" w:color="auto" w:fill="auto"/>
            <w:noWrap/>
            <w:vAlign w:val="bottom"/>
            <w:hideMark/>
          </w:tcPr>
          <w:p w14:paraId="04135E3C" w14:textId="77777777" w:rsidR="000F335F" w:rsidRPr="000F335F" w:rsidRDefault="000F335F" w:rsidP="000F335F"/>
        </w:tc>
        <w:tc>
          <w:tcPr>
            <w:tcW w:w="1718" w:type="dxa"/>
            <w:tcBorders>
              <w:top w:val="nil"/>
              <w:left w:val="nil"/>
              <w:bottom w:val="nil"/>
              <w:right w:val="nil"/>
            </w:tcBorders>
            <w:shd w:val="clear" w:color="auto" w:fill="auto"/>
            <w:noWrap/>
            <w:vAlign w:val="bottom"/>
            <w:hideMark/>
          </w:tcPr>
          <w:p w14:paraId="7612E4E8" w14:textId="77777777" w:rsidR="000F335F" w:rsidRPr="000F335F" w:rsidRDefault="000F335F" w:rsidP="000F335F"/>
        </w:tc>
        <w:tc>
          <w:tcPr>
            <w:tcW w:w="1717" w:type="dxa"/>
            <w:tcBorders>
              <w:top w:val="nil"/>
              <w:left w:val="nil"/>
              <w:bottom w:val="nil"/>
              <w:right w:val="single" w:sz="4" w:space="0" w:color="auto"/>
            </w:tcBorders>
            <w:shd w:val="clear" w:color="auto" w:fill="auto"/>
            <w:noWrap/>
            <w:vAlign w:val="bottom"/>
            <w:hideMark/>
          </w:tcPr>
          <w:p w14:paraId="4DE49290" w14:textId="77777777" w:rsidR="000F335F" w:rsidRPr="000F335F" w:rsidRDefault="000F335F" w:rsidP="000F335F">
            <w:r w:rsidRPr="000F335F">
              <w:t> </w:t>
            </w:r>
          </w:p>
        </w:tc>
      </w:tr>
      <w:tr w:rsidR="000F335F" w:rsidRPr="000F335F" w14:paraId="7E58A9E9" w14:textId="77777777" w:rsidTr="007407C0">
        <w:trPr>
          <w:trHeight w:val="255"/>
        </w:trPr>
        <w:tc>
          <w:tcPr>
            <w:tcW w:w="4449" w:type="dxa"/>
            <w:tcBorders>
              <w:top w:val="nil"/>
              <w:left w:val="single" w:sz="4" w:space="0" w:color="auto"/>
              <w:bottom w:val="nil"/>
              <w:right w:val="nil"/>
            </w:tcBorders>
            <w:shd w:val="clear" w:color="auto" w:fill="auto"/>
            <w:noWrap/>
            <w:vAlign w:val="bottom"/>
            <w:hideMark/>
          </w:tcPr>
          <w:p w14:paraId="6BAD24DE" w14:textId="77777777" w:rsidR="000F335F" w:rsidRPr="000F335F" w:rsidRDefault="000F335F" w:rsidP="000F335F">
            <w:r w:rsidRPr="000F335F">
              <w:t>2016 Rate Base</w:t>
            </w:r>
          </w:p>
        </w:tc>
        <w:tc>
          <w:tcPr>
            <w:tcW w:w="2196" w:type="dxa"/>
            <w:tcBorders>
              <w:top w:val="nil"/>
              <w:left w:val="nil"/>
              <w:bottom w:val="nil"/>
              <w:right w:val="nil"/>
            </w:tcBorders>
            <w:shd w:val="clear" w:color="auto" w:fill="auto"/>
            <w:noWrap/>
            <w:vAlign w:val="bottom"/>
            <w:hideMark/>
          </w:tcPr>
          <w:p w14:paraId="6C6C5600" w14:textId="77777777" w:rsidR="000F335F" w:rsidRPr="000F335F" w:rsidRDefault="000F335F" w:rsidP="000F335F">
            <w:pPr>
              <w:jc w:val="right"/>
            </w:pPr>
            <w:r w:rsidRPr="000F335F">
              <w:t>$1,315,891</w:t>
            </w:r>
          </w:p>
        </w:tc>
        <w:tc>
          <w:tcPr>
            <w:tcW w:w="1718" w:type="dxa"/>
            <w:tcBorders>
              <w:top w:val="nil"/>
              <w:left w:val="nil"/>
              <w:bottom w:val="nil"/>
              <w:right w:val="nil"/>
            </w:tcBorders>
            <w:shd w:val="clear" w:color="auto" w:fill="auto"/>
            <w:noWrap/>
            <w:vAlign w:val="bottom"/>
            <w:hideMark/>
          </w:tcPr>
          <w:p w14:paraId="132C39DC" w14:textId="77777777" w:rsidR="000F335F" w:rsidRPr="000F335F" w:rsidRDefault="000F335F" w:rsidP="000F335F">
            <w:pPr>
              <w:jc w:val="right"/>
            </w:pPr>
            <w:r w:rsidRPr="000F335F">
              <w:t>$1,298,890</w:t>
            </w:r>
          </w:p>
        </w:tc>
        <w:tc>
          <w:tcPr>
            <w:tcW w:w="1717" w:type="dxa"/>
            <w:tcBorders>
              <w:top w:val="nil"/>
              <w:left w:val="nil"/>
              <w:bottom w:val="nil"/>
              <w:right w:val="single" w:sz="4" w:space="0" w:color="auto"/>
            </w:tcBorders>
            <w:shd w:val="clear" w:color="auto" w:fill="auto"/>
            <w:noWrap/>
            <w:vAlign w:val="bottom"/>
            <w:hideMark/>
          </w:tcPr>
          <w:p w14:paraId="22B46A24" w14:textId="77777777" w:rsidR="000F335F" w:rsidRPr="000F335F" w:rsidRDefault="000F335F" w:rsidP="000F335F">
            <w:r w:rsidRPr="000F335F">
              <w:t> </w:t>
            </w:r>
          </w:p>
        </w:tc>
      </w:tr>
      <w:tr w:rsidR="000F335F" w:rsidRPr="000F335F" w14:paraId="7E97367C" w14:textId="77777777" w:rsidTr="007407C0">
        <w:trPr>
          <w:trHeight w:val="255"/>
        </w:trPr>
        <w:tc>
          <w:tcPr>
            <w:tcW w:w="4449" w:type="dxa"/>
            <w:tcBorders>
              <w:top w:val="nil"/>
              <w:left w:val="single" w:sz="4" w:space="0" w:color="auto"/>
              <w:bottom w:val="nil"/>
              <w:right w:val="nil"/>
            </w:tcBorders>
            <w:shd w:val="clear" w:color="auto" w:fill="auto"/>
            <w:noWrap/>
            <w:vAlign w:val="bottom"/>
            <w:hideMark/>
          </w:tcPr>
          <w:p w14:paraId="2A7B50BF" w14:textId="77777777" w:rsidR="000F335F" w:rsidRPr="000F335F" w:rsidRDefault="000F335F" w:rsidP="000F335F">
            <w:r w:rsidRPr="000F335F">
              <w:t>Settlement Rate of Return</w:t>
            </w:r>
          </w:p>
        </w:tc>
        <w:tc>
          <w:tcPr>
            <w:tcW w:w="2196" w:type="dxa"/>
            <w:tcBorders>
              <w:top w:val="nil"/>
              <w:left w:val="nil"/>
              <w:bottom w:val="nil"/>
              <w:right w:val="nil"/>
            </w:tcBorders>
            <w:shd w:val="clear" w:color="auto" w:fill="auto"/>
            <w:noWrap/>
            <w:vAlign w:val="bottom"/>
            <w:hideMark/>
          </w:tcPr>
          <w:p w14:paraId="57D58807" w14:textId="77777777" w:rsidR="000F335F" w:rsidRPr="000F335F" w:rsidRDefault="000F335F" w:rsidP="000F335F">
            <w:pPr>
              <w:jc w:val="right"/>
            </w:pPr>
            <w:r w:rsidRPr="000F335F">
              <w:t>7.29%</w:t>
            </w:r>
          </w:p>
        </w:tc>
        <w:tc>
          <w:tcPr>
            <w:tcW w:w="1718" w:type="dxa"/>
            <w:tcBorders>
              <w:top w:val="nil"/>
              <w:left w:val="nil"/>
              <w:bottom w:val="nil"/>
              <w:right w:val="nil"/>
            </w:tcBorders>
            <w:shd w:val="clear" w:color="auto" w:fill="auto"/>
            <w:noWrap/>
            <w:vAlign w:val="bottom"/>
            <w:hideMark/>
          </w:tcPr>
          <w:p w14:paraId="35D049D0" w14:textId="77777777" w:rsidR="000F335F" w:rsidRPr="000F335F" w:rsidRDefault="000F335F" w:rsidP="000F335F">
            <w:pPr>
              <w:jc w:val="right"/>
            </w:pPr>
            <w:r w:rsidRPr="000F335F">
              <w:t>7.29%</w:t>
            </w:r>
          </w:p>
        </w:tc>
        <w:tc>
          <w:tcPr>
            <w:tcW w:w="1717" w:type="dxa"/>
            <w:tcBorders>
              <w:top w:val="nil"/>
              <w:left w:val="nil"/>
              <w:bottom w:val="nil"/>
              <w:right w:val="single" w:sz="4" w:space="0" w:color="auto"/>
            </w:tcBorders>
            <w:shd w:val="clear" w:color="auto" w:fill="auto"/>
            <w:noWrap/>
            <w:vAlign w:val="bottom"/>
            <w:hideMark/>
          </w:tcPr>
          <w:p w14:paraId="12AC7F2A" w14:textId="77777777" w:rsidR="000F335F" w:rsidRPr="000F335F" w:rsidRDefault="000F335F" w:rsidP="000F335F">
            <w:r w:rsidRPr="000F335F">
              <w:t> </w:t>
            </w:r>
          </w:p>
        </w:tc>
      </w:tr>
      <w:tr w:rsidR="000F335F" w:rsidRPr="000F335F" w14:paraId="0FCCB515" w14:textId="77777777" w:rsidTr="007407C0">
        <w:trPr>
          <w:trHeight w:val="255"/>
        </w:trPr>
        <w:tc>
          <w:tcPr>
            <w:tcW w:w="4449" w:type="dxa"/>
            <w:tcBorders>
              <w:top w:val="nil"/>
              <w:left w:val="single" w:sz="4" w:space="0" w:color="auto"/>
              <w:bottom w:val="nil"/>
              <w:right w:val="nil"/>
            </w:tcBorders>
            <w:shd w:val="clear" w:color="auto" w:fill="auto"/>
            <w:noWrap/>
            <w:vAlign w:val="bottom"/>
            <w:hideMark/>
          </w:tcPr>
          <w:p w14:paraId="0A123726" w14:textId="77777777" w:rsidR="000F335F" w:rsidRPr="000F335F" w:rsidRDefault="000F335F" w:rsidP="000F335F">
            <w:r w:rsidRPr="000F335F">
              <w:t>Net Operating Income Requirement</w:t>
            </w:r>
          </w:p>
        </w:tc>
        <w:tc>
          <w:tcPr>
            <w:tcW w:w="2196" w:type="dxa"/>
            <w:tcBorders>
              <w:top w:val="nil"/>
              <w:left w:val="nil"/>
              <w:bottom w:val="nil"/>
              <w:right w:val="nil"/>
            </w:tcBorders>
            <w:shd w:val="clear" w:color="auto" w:fill="auto"/>
            <w:noWrap/>
            <w:vAlign w:val="bottom"/>
            <w:hideMark/>
          </w:tcPr>
          <w:p w14:paraId="77DA6945" w14:textId="77777777" w:rsidR="000F335F" w:rsidRPr="000F335F" w:rsidRDefault="000F335F" w:rsidP="000F335F">
            <w:pPr>
              <w:jc w:val="right"/>
            </w:pPr>
            <w:r w:rsidRPr="000F335F">
              <w:t>$95,928</w:t>
            </w:r>
          </w:p>
        </w:tc>
        <w:tc>
          <w:tcPr>
            <w:tcW w:w="1718" w:type="dxa"/>
            <w:tcBorders>
              <w:top w:val="nil"/>
              <w:left w:val="nil"/>
              <w:bottom w:val="nil"/>
              <w:right w:val="nil"/>
            </w:tcBorders>
            <w:shd w:val="clear" w:color="auto" w:fill="auto"/>
            <w:noWrap/>
            <w:vAlign w:val="bottom"/>
            <w:hideMark/>
          </w:tcPr>
          <w:p w14:paraId="11056C50" w14:textId="77777777" w:rsidR="000F335F" w:rsidRPr="000F335F" w:rsidRDefault="000F335F" w:rsidP="000F335F">
            <w:pPr>
              <w:jc w:val="right"/>
            </w:pPr>
            <w:r w:rsidRPr="000F335F">
              <w:t>$94,689</w:t>
            </w:r>
          </w:p>
        </w:tc>
        <w:tc>
          <w:tcPr>
            <w:tcW w:w="1717" w:type="dxa"/>
            <w:tcBorders>
              <w:top w:val="nil"/>
              <w:left w:val="nil"/>
              <w:bottom w:val="nil"/>
              <w:right w:val="single" w:sz="4" w:space="0" w:color="auto"/>
            </w:tcBorders>
            <w:shd w:val="clear" w:color="auto" w:fill="auto"/>
            <w:noWrap/>
            <w:vAlign w:val="bottom"/>
            <w:hideMark/>
          </w:tcPr>
          <w:p w14:paraId="1818F070" w14:textId="77777777" w:rsidR="000F335F" w:rsidRPr="000F335F" w:rsidRDefault="000F335F" w:rsidP="000F335F">
            <w:r w:rsidRPr="000F335F">
              <w:t> </w:t>
            </w:r>
          </w:p>
        </w:tc>
      </w:tr>
      <w:tr w:rsidR="000F335F" w:rsidRPr="000F335F" w14:paraId="225B49E8" w14:textId="77777777" w:rsidTr="007407C0">
        <w:trPr>
          <w:trHeight w:val="255"/>
        </w:trPr>
        <w:tc>
          <w:tcPr>
            <w:tcW w:w="4449" w:type="dxa"/>
            <w:tcBorders>
              <w:top w:val="nil"/>
              <w:left w:val="single" w:sz="4" w:space="0" w:color="auto"/>
              <w:bottom w:val="nil"/>
              <w:right w:val="nil"/>
            </w:tcBorders>
            <w:shd w:val="clear" w:color="auto" w:fill="auto"/>
            <w:noWrap/>
            <w:vAlign w:val="bottom"/>
            <w:hideMark/>
          </w:tcPr>
          <w:p w14:paraId="3B4BA98A" w14:textId="77777777" w:rsidR="000F335F" w:rsidRPr="000F335F" w:rsidRDefault="000F335F" w:rsidP="000F335F">
            <w:r w:rsidRPr="000F335F">
              <w:t>2016 Net Operating Income (at 2015 rates)</w:t>
            </w:r>
          </w:p>
        </w:tc>
        <w:tc>
          <w:tcPr>
            <w:tcW w:w="2196" w:type="dxa"/>
            <w:tcBorders>
              <w:top w:val="nil"/>
              <w:left w:val="nil"/>
              <w:bottom w:val="nil"/>
              <w:right w:val="nil"/>
            </w:tcBorders>
            <w:shd w:val="clear" w:color="auto" w:fill="auto"/>
            <w:noWrap/>
            <w:vAlign w:val="bottom"/>
            <w:hideMark/>
          </w:tcPr>
          <w:p w14:paraId="60B3F4D6" w14:textId="77777777" w:rsidR="000F335F" w:rsidRPr="000F335F" w:rsidRDefault="000F335F" w:rsidP="000F335F">
            <w:pPr>
              <w:jc w:val="right"/>
            </w:pPr>
            <w:r w:rsidRPr="000F335F">
              <w:t>$118,533</w:t>
            </w:r>
          </w:p>
        </w:tc>
        <w:tc>
          <w:tcPr>
            <w:tcW w:w="1718" w:type="dxa"/>
            <w:tcBorders>
              <w:top w:val="nil"/>
              <w:left w:val="nil"/>
              <w:bottom w:val="nil"/>
              <w:right w:val="nil"/>
            </w:tcBorders>
            <w:shd w:val="clear" w:color="auto" w:fill="auto"/>
            <w:noWrap/>
            <w:vAlign w:val="bottom"/>
            <w:hideMark/>
          </w:tcPr>
          <w:p w14:paraId="72C4B08C" w14:textId="77777777" w:rsidR="000F335F" w:rsidRPr="000F335F" w:rsidRDefault="000F335F" w:rsidP="000F335F">
            <w:pPr>
              <w:jc w:val="right"/>
            </w:pPr>
            <w:r w:rsidRPr="000F335F">
              <w:t>$111,699</w:t>
            </w:r>
          </w:p>
        </w:tc>
        <w:tc>
          <w:tcPr>
            <w:tcW w:w="1717" w:type="dxa"/>
            <w:tcBorders>
              <w:top w:val="nil"/>
              <w:left w:val="nil"/>
              <w:bottom w:val="nil"/>
              <w:right w:val="single" w:sz="4" w:space="0" w:color="auto"/>
            </w:tcBorders>
            <w:shd w:val="clear" w:color="auto" w:fill="auto"/>
            <w:noWrap/>
            <w:vAlign w:val="bottom"/>
            <w:hideMark/>
          </w:tcPr>
          <w:p w14:paraId="7EB5DFE5" w14:textId="77777777" w:rsidR="000F335F" w:rsidRPr="000F335F" w:rsidRDefault="000F335F" w:rsidP="000F335F">
            <w:r w:rsidRPr="000F335F">
              <w:t> </w:t>
            </w:r>
          </w:p>
        </w:tc>
      </w:tr>
      <w:tr w:rsidR="000F335F" w:rsidRPr="000F335F" w14:paraId="2E3D82FA" w14:textId="77777777" w:rsidTr="007407C0">
        <w:trPr>
          <w:trHeight w:val="255"/>
        </w:trPr>
        <w:tc>
          <w:tcPr>
            <w:tcW w:w="4449" w:type="dxa"/>
            <w:tcBorders>
              <w:top w:val="nil"/>
              <w:left w:val="single" w:sz="4" w:space="0" w:color="auto"/>
              <w:bottom w:val="nil"/>
              <w:right w:val="nil"/>
            </w:tcBorders>
            <w:shd w:val="clear" w:color="auto" w:fill="auto"/>
            <w:noWrap/>
            <w:vAlign w:val="bottom"/>
            <w:hideMark/>
          </w:tcPr>
          <w:p w14:paraId="232F0A8C" w14:textId="77777777" w:rsidR="000F335F" w:rsidRPr="000F335F" w:rsidRDefault="000F335F" w:rsidP="000F335F">
            <w:r w:rsidRPr="000F335F">
              <w:t>2016 Rate of Return (at 2015 rates)</w:t>
            </w:r>
          </w:p>
        </w:tc>
        <w:tc>
          <w:tcPr>
            <w:tcW w:w="2196" w:type="dxa"/>
            <w:tcBorders>
              <w:top w:val="nil"/>
              <w:left w:val="nil"/>
              <w:bottom w:val="nil"/>
              <w:right w:val="nil"/>
            </w:tcBorders>
            <w:shd w:val="clear" w:color="auto" w:fill="auto"/>
            <w:noWrap/>
            <w:vAlign w:val="bottom"/>
            <w:hideMark/>
          </w:tcPr>
          <w:p w14:paraId="5EB4585A" w14:textId="77777777" w:rsidR="000F335F" w:rsidRPr="000F335F" w:rsidRDefault="000F335F" w:rsidP="000F335F">
            <w:pPr>
              <w:jc w:val="right"/>
            </w:pPr>
            <w:r w:rsidRPr="000F335F">
              <w:t>9.01%</w:t>
            </w:r>
          </w:p>
        </w:tc>
        <w:tc>
          <w:tcPr>
            <w:tcW w:w="1718" w:type="dxa"/>
            <w:tcBorders>
              <w:top w:val="nil"/>
              <w:left w:val="nil"/>
              <w:bottom w:val="nil"/>
              <w:right w:val="nil"/>
            </w:tcBorders>
            <w:shd w:val="clear" w:color="auto" w:fill="auto"/>
            <w:noWrap/>
            <w:vAlign w:val="bottom"/>
            <w:hideMark/>
          </w:tcPr>
          <w:p w14:paraId="47AE5713" w14:textId="77777777" w:rsidR="000F335F" w:rsidRPr="000F335F" w:rsidRDefault="000F335F" w:rsidP="000F335F">
            <w:pPr>
              <w:jc w:val="right"/>
            </w:pPr>
            <w:r w:rsidRPr="000F335F">
              <w:t>8.60%</w:t>
            </w:r>
          </w:p>
        </w:tc>
        <w:tc>
          <w:tcPr>
            <w:tcW w:w="1717" w:type="dxa"/>
            <w:tcBorders>
              <w:top w:val="nil"/>
              <w:left w:val="nil"/>
              <w:bottom w:val="nil"/>
              <w:right w:val="single" w:sz="4" w:space="0" w:color="auto"/>
            </w:tcBorders>
            <w:shd w:val="clear" w:color="auto" w:fill="auto"/>
            <w:noWrap/>
            <w:vAlign w:val="bottom"/>
            <w:hideMark/>
          </w:tcPr>
          <w:p w14:paraId="064F60B4" w14:textId="77777777" w:rsidR="000F335F" w:rsidRPr="000F335F" w:rsidRDefault="000F335F" w:rsidP="000F335F">
            <w:r w:rsidRPr="000F335F">
              <w:t> </w:t>
            </w:r>
          </w:p>
        </w:tc>
      </w:tr>
      <w:tr w:rsidR="000F335F" w:rsidRPr="000F335F" w14:paraId="27F3E6E1" w14:textId="77777777" w:rsidTr="007407C0">
        <w:trPr>
          <w:trHeight w:val="255"/>
        </w:trPr>
        <w:tc>
          <w:tcPr>
            <w:tcW w:w="4449" w:type="dxa"/>
            <w:tcBorders>
              <w:top w:val="nil"/>
              <w:left w:val="single" w:sz="4" w:space="0" w:color="auto"/>
              <w:bottom w:val="nil"/>
              <w:right w:val="nil"/>
            </w:tcBorders>
            <w:shd w:val="clear" w:color="auto" w:fill="auto"/>
            <w:noWrap/>
            <w:vAlign w:val="bottom"/>
            <w:hideMark/>
          </w:tcPr>
          <w:p w14:paraId="08D68365" w14:textId="77777777" w:rsidR="000F335F" w:rsidRPr="000F335F" w:rsidRDefault="000F335F" w:rsidP="000F335F">
            <w:r w:rsidRPr="000F335F">
              <w:t>2016 Net Operating Income Deficiency (Surplus)</w:t>
            </w:r>
          </w:p>
        </w:tc>
        <w:tc>
          <w:tcPr>
            <w:tcW w:w="2196" w:type="dxa"/>
            <w:tcBorders>
              <w:top w:val="nil"/>
              <w:left w:val="nil"/>
              <w:bottom w:val="nil"/>
              <w:right w:val="nil"/>
            </w:tcBorders>
            <w:shd w:val="clear" w:color="auto" w:fill="auto"/>
            <w:noWrap/>
            <w:vAlign w:val="bottom"/>
            <w:hideMark/>
          </w:tcPr>
          <w:p w14:paraId="287B739D" w14:textId="77777777" w:rsidR="000F335F" w:rsidRPr="000F335F" w:rsidRDefault="000F335F" w:rsidP="000F335F">
            <w:pPr>
              <w:jc w:val="right"/>
            </w:pPr>
            <w:r w:rsidRPr="000F335F">
              <w:rPr>
                <w:color w:val="FF0000"/>
              </w:rPr>
              <w:t>($22,605)</w:t>
            </w:r>
          </w:p>
        </w:tc>
        <w:tc>
          <w:tcPr>
            <w:tcW w:w="1718" w:type="dxa"/>
            <w:tcBorders>
              <w:top w:val="nil"/>
              <w:left w:val="nil"/>
              <w:bottom w:val="nil"/>
              <w:right w:val="nil"/>
            </w:tcBorders>
            <w:shd w:val="clear" w:color="auto" w:fill="auto"/>
            <w:noWrap/>
            <w:vAlign w:val="bottom"/>
            <w:hideMark/>
          </w:tcPr>
          <w:p w14:paraId="230F112C" w14:textId="77777777" w:rsidR="000F335F" w:rsidRPr="000F335F" w:rsidRDefault="000F335F" w:rsidP="000F335F">
            <w:pPr>
              <w:jc w:val="right"/>
            </w:pPr>
            <w:r w:rsidRPr="000F335F">
              <w:rPr>
                <w:color w:val="FF0000"/>
              </w:rPr>
              <w:t>($17,010)</w:t>
            </w:r>
          </w:p>
        </w:tc>
        <w:tc>
          <w:tcPr>
            <w:tcW w:w="1717" w:type="dxa"/>
            <w:tcBorders>
              <w:top w:val="nil"/>
              <w:left w:val="nil"/>
              <w:bottom w:val="nil"/>
              <w:right w:val="single" w:sz="4" w:space="0" w:color="auto"/>
            </w:tcBorders>
            <w:shd w:val="clear" w:color="auto" w:fill="auto"/>
            <w:noWrap/>
            <w:vAlign w:val="bottom"/>
            <w:hideMark/>
          </w:tcPr>
          <w:p w14:paraId="1412953C" w14:textId="77777777" w:rsidR="000F335F" w:rsidRPr="000F335F" w:rsidRDefault="000F335F" w:rsidP="000F335F">
            <w:r w:rsidRPr="000F335F">
              <w:t> </w:t>
            </w:r>
          </w:p>
        </w:tc>
      </w:tr>
      <w:tr w:rsidR="000F335F" w:rsidRPr="000F335F" w14:paraId="5FF1C6F3" w14:textId="77777777" w:rsidTr="007407C0">
        <w:trPr>
          <w:trHeight w:val="270"/>
        </w:trPr>
        <w:tc>
          <w:tcPr>
            <w:tcW w:w="4449" w:type="dxa"/>
            <w:tcBorders>
              <w:top w:val="nil"/>
              <w:left w:val="single" w:sz="4" w:space="0" w:color="auto"/>
              <w:bottom w:val="single" w:sz="4" w:space="0" w:color="auto"/>
              <w:right w:val="nil"/>
            </w:tcBorders>
            <w:shd w:val="clear" w:color="auto" w:fill="auto"/>
            <w:noWrap/>
            <w:vAlign w:val="bottom"/>
            <w:hideMark/>
          </w:tcPr>
          <w:p w14:paraId="52ED1589" w14:textId="77777777" w:rsidR="000F335F" w:rsidRPr="000F335F" w:rsidRDefault="000F335F" w:rsidP="000F335F">
            <w:r w:rsidRPr="000F335F">
              <w:t>Gross-up Conversion Factor</w:t>
            </w:r>
          </w:p>
        </w:tc>
        <w:tc>
          <w:tcPr>
            <w:tcW w:w="2196" w:type="dxa"/>
            <w:tcBorders>
              <w:top w:val="nil"/>
              <w:left w:val="nil"/>
              <w:bottom w:val="single" w:sz="4" w:space="0" w:color="auto"/>
              <w:right w:val="nil"/>
            </w:tcBorders>
            <w:shd w:val="clear" w:color="auto" w:fill="auto"/>
            <w:noWrap/>
            <w:vAlign w:val="bottom"/>
            <w:hideMark/>
          </w:tcPr>
          <w:p w14:paraId="6C6013C4" w14:textId="77777777" w:rsidR="000F335F" w:rsidRPr="000F335F" w:rsidRDefault="000F335F" w:rsidP="000F335F">
            <w:pPr>
              <w:jc w:val="right"/>
            </w:pPr>
            <w:r w:rsidRPr="000F335F">
              <w:t>0.62018</w:t>
            </w:r>
          </w:p>
        </w:tc>
        <w:tc>
          <w:tcPr>
            <w:tcW w:w="1718" w:type="dxa"/>
            <w:tcBorders>
              <w:top w:val="nil"/>
              <w:left w:val="nil"/>
              <w:bottom w:val="nil"/>
              <w:right w:val="nil"/>
            </w:tcBorders>
            <w:shd w:val="clear" w:color="auto" w:fill="auto"/>
            <w:noWrap/>
            <w:vAlign w:val="bottom"/>
            <w:hideMark/>
          </w:tcPr>
          <w:p w14:paraId="3CE32EBB" w14:textId="77777777" w:rsidR="000F335F" w:rsidRPr="000F335F" w:rsidRDefault="000F335F" w:rsidP="000F335F">
            <w:pPr>
              <w:jc w:val="right"/>
            </w:pPr>
            <w:r w:rsidRPr="000F335F">
              <w:t>0.62018</w:t>
            </w:r>
          </w:p>
        </w:tc>
        <w:tc>
          <w:tcPr>
            <w:tcW w:w="1717" w:type="dxa"/>
            <w:tcBorders>
              <w:top w:val="nil"/>
              <w:left w:val="nil"/>
              <w:bottom w:val="nil"/>
              <w:right w:val="single" w:sz="4" w:space="0" w:color="auto"/>
            </w:tcBorders>
            <w:shd w:val="clear" w:color="auto" w:fill="auto"/>
            <w:noWrap/>
            <w:vAlign w:val="bottom"/>
            <w:hideMark/>
          </w:tcPr>
          <w:p w14:paraId="72847E64" w14:textId="77777777" w:rsidR="000F335F" w:rsidRPr="000F335F" w:rsidRDefault="000F335F" w:rsidP="000F335F">
            <w:r w:rsidRPr="000F335F">
              <w:t> </w:t>
            </w:r>
          </w:p>
        </w:tc>
      </w:tr>
      <w:tr w:rsidR="000F335F" w:rsidRPr="000F335F" w14:paraId="384C0721" w14:textId="77777777" w:rsidTr="007407C0">
        <w:trPr>
          <w:trHeight w:val="255"/>
        </w:trPr>
        <w:tc>
          <w:tcPr>
            <w:tcW w:w="4449" w:type="dxa"/>
            <w:tcBorders>
              <w:top w:val="nil"/>
              <w:left w:val="single" w:sz="4" w:space="0" w:color="auto"/>
              <w:bottom w:val="single" w:sz="4" w:space="0" w:color="auto"/>
              <w:right w:val="nil"/>
            </w:tcBorders>
            <w:shd w:val="clear" w:color="auto" w:fill="auto"/>
            <w:noWrap/>
            <w:vAlign w:val="bottom"/>
            <w:hideMark/>
          </w:tcPr>
          <w:p w14:paraId="596A4599" w14:textId="77777777" w:rsidR="000F335F" w:rsidRPr="000F335F" w:rsidRDefault="000F335F" w:rsidP="000F335F">
            <w:r w:rsidRPr="000F335F">
              <w:t>2016 Revenue Deficiency (Surplus)</w:t>
            </w:r>
          </w:p>
        </w:tc>
        <w:tc>
          <w:tcPr>
            <w:tcW w:w="2196" w:type="dxa"/>
            <w:tcBorders>
              <w:top w:val="nil"/>
              <w:left w:val="nil"/>
              <w:bottom w:val="single" w:sz="4" w:space="0" w:color="auto"/>
              <w:right w:val="nil"/>
            </w:tcBorders>
            <w:shd w:val="clear" w:color="auto" w:fill="auto"/>
            <w:noWrap/>
            <w:vAlign w:val="bottom"/>
            <w:hideMark/>
          </w:tcPr>
          <w:p w14:paraId="5CFCD8F2" w14:textId="77777777" w:rsidR="000F335F" w:rsidRPr="000F335F" w:rsidRDefault="000F335F" w:rsidP="000F335F">
            <w:pPr>
              <w:jc w:val="right"/>
            </w:pPr>
            <w:r w:rsidRPr="000F335F">
              <w:rPr>
                <w:color w:val="FF0000"/>
              </w:rPr>
              <w:t>($36,448)</w:t>
            </w:r>
          </w:p>
        </w:tc>
        <w:tc>
          <w:tcPr>
            <w:tcW w:w="1718" w:type="dxa"/>
            <w:tcBorders>
              <w:top w:val="single" w:sz="8" w:space="0" w:color="auto"/>
              <w:left w:val="single" w:sz="8" w:space="0" w:color="auto"/>
              <w:bottom w:val="single" w:sz="4" w:space="0" w:color="auto"/>
              <w:right w:val="single" w:sz="8" w:space="0" w:color="auto"/>
            </w:tcBorders>
            <w:shd w:val="clear" w:color="000000" w:fill="FFFF00"/>
            <w:noWrap/>
            <w:vAlign w:val="bottom"/>
            <w:hideMark/>
          </w:tcPr>
          <w:p w14:paraId="6B1B9800" w14:textId="77777777" w:rsidR="000F335F" w:rsidRPr="000F335F" w:rsidRDefault="000F335F" w:rsidP="000F335F">
            <w:pPr>
              <w:jc w:val="right"/>
              <w:rPr>
                <w:b/>
                <w:bCs/>
              </w:rPr>
            </w:pPr>
            <w:r w:rsidRPr="000F335F">
              <w:rPr>
                <w:b/>
                <w:bCs/>
                <w:color w:val="FF0000"/>
              </w:rPr>
              <w:t>($27,427)</w:t>
            </w:r>
          </w:p>
        </w:tc>
        <w:tc>
          <w:tcPr>
            <w:tcW w:w="1717" w:type="dxa"/>
            <w:tcBorders>
              <w:top w:val="single" w:sz="8" w:space="0" w:color="auto"/>
              <w:left w:val="nil"/>
              <w:bottom w:val="single" w:sz="4" w:space="0" w:color="auto"/>
              <w:right w:val="single" w:sz="8" w:space="0" w:color="auto"/>
            </w:tcBorders>
            <w:shd w:val="clear" w:color="000000" w:fill="FFFF00"/>
            <w:noWrap/>
            <w:vAlign w:val="bottom"/>
            <w:hideMark/>
          </w:tcPr>
          <w:p w14:paraId="1CA31AE8" w14:textId="77777777" w:rsidR="000F335F" w:rsidRPr="000F335F" w:rsidRDefault="000F335F" w:rsidP="000F335F">
            <w:pPr>
              <w:jc w:val="right"/>
              <w:rPr>
                <w:b/>
                <w:bCs/>
              </w:rPr>
            </w:pPr>
            <w:r w:rsidRPr="000F335F">
              <w:rPr>
                <w:b/>
                <w:bCs/>
              </w:rPr>
              <w:t xml:space="preserve">$9,021 </w:t>
            </w:r>
          </w:p>
        </w:tc>
      </w:tr>
      <w:tr w:rsidR="000F335F" w:rsidRPr="000F335F" w14:paraId="3BC048EE" w14:textId="77777777" w:rsidTr="007407C0">
        <w:trPr>
          <w:trHeight w:val="525"/>
        </w:trPr>
        <w:tc>
          <w:tcPr>
            <w:tcW w:w="4449" w:type="dxa"/>
            <w:tcBorders>
              <w:top w:val="nil"/>
              <w:left w:val="single" w:sz="4" w:space="0" w:color="auto"/>
              <w:bottom w:val="single" w:sz="4" w:space="0" w:color="auto"/>
              <w:right w:val="nil"/>
            </w:tcBorders>
            <w:shd w:val="clear" w:color="auto" w:fill="auto"/>
            <w:noWrap/>
            <w:vAlign w:val="bottom"/>
            <w:hideMark/>
          </w:tcPr>
          <w:p w14:paraId="57BA5674" w14:textId="77777777" w:rsidR="000F335F" w:rsidRPr="000F335F" w:rsidRDefault="000F335F" w:rsidP="000F335F">
            <w:r w:rsidRPr="000F335F">
              <w:t> </w:t>
            </w:r>
          </w:p>
        </w:tc>
        <w:tc>
          <w:tcPr>
            <w:tcW w:w="2196" w:type="dxa"/>
            <w:tcBorders>
              <w:top w:val="nil"/>
              <w:left w:val="nil"/>
              <w:bottom w:val="single" w:sz="4" w:space="0" w:color="auto"/>
              <w:right w:val="nil"/>
            </w:tcBorders>
            <w:shd w:val="clear" w:color="auto" w:fill="auto"/>
            <w:noWrap/>
            <w:vAlign w:val="bottom"/>
            <w:hideMark/>
          </w:tcPr>
          <w:p w14:paraId="22937556" w14:textId="77777777" w:rsidR="000F335F" w:rsidRPr="000F335F" w:rsidRDefault="000F335F" w:rsidP="000F335F">
            <w:r w:rsidRPr="000F335F">
              <w:t> </w:t>
            </w:r>
          </w:p>
        </w:tc>
        <w:tc>
          <w:tcPr>
            <w:tcW w:w="1718" w:type="dxa"/>
            <w:tcBorders>
              <w:top w:val="nil"/>
              <w:left w:val="single" w:sz="8" w:space="0" w:color="auto"/>
              <w:bottom w:val="single" w:sz="8" w:space="0" w:color="auto"/>
              <w:right w:val="single" w:sz="8" w:space="0" w:color="auto"/>
            </w:tcBorders>
            <w:shd w:val="clear" w:color="000000" w:fill="FFFF00"/>
            <w:vAlign w:val="bottom"/>
            <w:hideMark/>
          </w:tcPr>
          <w:p w14:paraId="0E092BE1" w14:textId="77777777" w:rsidR="000F335F" w:rsidRPr="000F335F" w:rsidRDefault="000F335F" w:rsidP="000F335F">
            <w:pPr>
              <w:jc w:val="center"/>
              <w:rPr>
                <w:b/>
                <w:bCs/>
              </w:rPr>
            </w:pPr>
            <w:r w:rsidRPr="000F335F">
              <w:rPr>
                <w:b/>
                <w:bCs/>
              </w:rPr>
              <w:t>Revenue Requirement</w:t>
            </w:r>
          </w:p>
        </w:tc>
        <w:tc>
          <w:tcPr>
            <w:tcW w:w="1717" w:type="dxa"/>
            <w:tcBorders>
              <w:top w:val="nil"/>
              <w:left w:val="nil"/>
              <w:bottom w:val="single" w:sz="8" w:space="0" w:color="auto"/>
              <w:right w:val="single" w:sz="8" w:space="0" w:color="auto"/>
            </w:tcBorders>
            <w:shd w:val="clear" w:color="000000" w:fill="FFFF00"/>
            <w:vAlign w:val="bottom"/>
            <w:hideMark/>
          </w:tcPr>
          <w:p w14:paraId="10E4FCBB" w14:textId="77777777" w:rsidR="000F335F" w:rsidRPr="000F335F" w:rsidRDefault="000F335F" w:rsidP="000F335F">
            <w:pPr>
              <w:jc w:val="center"/>
              <w:rPr>
                <w:b/>
                <w:bCs/>
              </w:rPr>
            </w:pPr>
            <w:r w:rsidRPr="000F335F">
              <w:rPr>
                <w:b/>
                <w:bCs/>
              </w:rPr>
              <w:t>Attrition Allowance</w:t>
            </w:r>
          </w:p>
        </w:tc>
      </w:tr>
    </w:tbl>
    <w:p w14:paraId="5ABAB8BD" w14:textId="77777777" w:rsidR="009D6749" w:rsidRDefault="009D6749" w:rsidP="000F335F">
      <w:pPr>
        <w:spacing w:line="480" w:lineRule="auto"/>
      </w:pPr>
    </w:p>
    <w:p w14:paraId="484E022D" w14:textId="38EA920C" w:rsidR="005A3233" w:rsidRPr="008204F5" w:rsidRDefault="008204F5" w:rsidP="008204F5">
      <w:pPr>
        <w:pStyle w:val="ListParagraph"/>
        <w:numPr>
          <w:ilvl w:val="0"/>
          <w:numId w:val="16"/>
        </w:numPr>
        <w:spacing w:line="480" w:lineRule="auto"/>
        <w:rPr>
          <w:rFonts w:eastAsiaTheme="minorHAnsi"/>
        </w:rPr>
      </w:pPr>
      <w:r>
        <w:rPr>
          <w:rFonts w:eastAsiaTheme="minorHAnsi"/>
        </w:rPr>
        <w:tab/>
      </w:r>
      <w:r w:rsidR="000F335F" w:rsidRPr="008204F5">
        <w:rPr>
          <w:rFonts w:eastAsiaTheme="minorHAnsi"/>
        </w:rPr>
        <w:t xml:space="preserve">Table 2 expresses </w:t>
      </w:r>
      <w:r w:rsidR="003A5151" w:rsidRPr="008204F5">
        <w:rPr>
          <w:rFonts w:eastAsiaTheme="minorHAnsi"/>
        </w:rPr>
        <w:t xml:space="preserve">what Staff believes to be the </w:t>
      </w:r>
      <w:r w:rsidR="000F335F" w:rsidRPr="008204F5">
        <w:rPr>
          <w:rFonts w:eastAsiaTheme="minorHAnsi"/>
        </w:rPr>
        <w:t>pro forma revenue requirement</w:t>
      </w:r>
      <w:r w:rsidR="00E07191" w:rsidRPr="008204F5">
        <w:rPr>
          <w:rFonts w:eastAsiaTheme="minorHAnsi"/>
        </w:rPr>
        <w:t xml:space="preserve"> for Avista</w:t>
      </w:r>
      <w:r w:rsidR="000F335F" w:rsidRPr="000F335F">
        <w:rPr>
          <w:rFonts w:eastAsiaTheme="minorHAnsi"/>
          <w:vertAlign w:val="superscript"/>
        </w:rPr>
        <w:footnoteReference w:id="14"/>
      </w:r>
      <w:r w:rsidR="00046A1F" w:rsidRPr="008204F5">
        <w:rPr>
          <w:rFonts w:eastAsiaTheme="minorHAnsi"/>
        </w:rPr>
        <w:t xml:space="preserve"> based on the Commission’s </w:t>
      </w:r>
      <w:r w:rsidR="005A3233" w:rsidRPr="008204F5">
        <w:rPr>
          <w:rFonts w:eastAsiaTheme="minorHAnsi"/>
        </w:rPr>
        <w:t xml:space="preserve">Order </w:t>
      </w:r>
      <w:r w:rsidR="00F025FB" w:rsidRPr="008204F5">
        <w:rPr>
          <w:rFonts w:eastAsiaTheme="minorHAnsi"/>
        </w:rPr>
        <w:t xml:space="preserve">and also </w:t>
      </w:r>
      <w:r w:rsidR="000F335F" w:rsidRPr="008204F5">
        <w:rPr>
          <w:rFonts w:eastAsiaTheme="minorHAnsi"/>
        </w:rPr>
        <w:t>includ</w:t>
      </w:r>
      <w:r w:rsidR="00F025FB" w:rsidRPr="008204F5">
        <w:rPr>
          <w:rFonts w:eastAsiaTheme="minorHAnsi"/>
        </w:rPr>
        <w:t>es</w:t>
      </w:r>
      <w:r w:rsidR="000F335F" w:rsidRPr="008204F5">
        <w:rPr>
          <w:rFonts w:eastAsiaTheme="minorHAnsi"/>
        </w:rPr>
        <w:t xml:space="preserve"> the revenue impacts associated with implementation of the Commission’s attrition study adjustments </w:t>
      </w:r>
      <w:r w:rsidR="00E07191" w:rsidRPr="008204F5">
        <w:rPr>
          <w:rFonts w:eastAsiaTheme="minorHAnsi"/>
        </w:rPr>
        <w:t xml:space="preserve">listed </w:t>
      </w:r>
      <w:r w:rsidR="000F335F" w:rsidRPr="008204F5">
        <w:rPr>
          <w:rFonts w:eastAsiaTheme="minorHAnsi"/>
        </w:rPr>
        <w:t xml:space="preserve">in </w:t>
      </w:r>
      <w:r w:rsidR="00E07191" w:rsidRPr="008204F5">
        <w:rPr>
          <w:rFonts w:eastAsiaTheme="minorHAnsi"/>
        </w:rPr>
        <w:t xml:space="preserve">Table 1. </w:t>
      </w:r>
      <w:r w:rsidR="000F335F" w:rsidRPr="008204F5">
        <w:rPr>
          <w:rFonts w:eastAsiaTheme="minorHAnsi"/>
        </w:rPr>
        <w:t xml:space="preserve">The above analysis shows that Avista’s overall revenue requirement </w:t>
      </w:r>
      <w:r w:rsidR="00A17D51" w:rsidRPr="008204F5">
        <w:rPr>
          <w:rFonts w:eastAsiaTheme="minorHAnsi"/>
        </w:rPr>
        <w:t xml:space="preserve">for electric operations </w:t>
      </w:r>
      <w:r w:rsidR="00046A1F" w:rsidRPr="008204F5">
        <w:rPr>
          <w:rFonts w:eastAsiaTheme="minorHAnsi"/>
        </w:rPr>
        <w:t xml:space="preserve">would </w:t>
      </w:r>
      <w:r w:rsidR="000F335F" w:rsidRPr="008204F5">
        <w:rPr>
          <w:rFonts w:eastAsiaTheme="minorHAnsi"/>
        </w:rPr>
        <w:t xml:space="preserve">be reduced by approximately $27 million, which includes an attrition allowance of approximately </w:t>
      </w:r>
      <w:r w:rsidR="000F335F" w:rsidRPr="008204F5">
        <w:rPr>
          <w:rFonts w:eastAsiaTheme="minorHAnsi"/>
        </w:rPr>
        <w:lastRenderedPageBreak/>
        <w:t xml:space="preserve">$9 million. </w:t>
      </w:r>
      <w:r w:rsidR="00A17D51" w:rsidRPr="008204F5">
        <w:rPr>
          <w:rFonts w:eastAsiaTheme="minorHAnsi"/>
        </w:rPr>
        <w:t>Staff recommends that t</w:t>
      </w:r>
      <w:r w:rsidR="00D97C02" w:rsidRPr="008204F5">
        <w:rPr>
          <w:rFonts w:eastAsiaTheme="minorHAnsi"/>
        </w:rPr>
        <w:t xml:space="preserve">he </w:t>
      </w:r>
      <w:r w:rsidR="00016073" w:rsidRPr="008204F5">
        <w:rPr>
          <w:rFonts w:eastAsiaTheme="minorHAnsi"/>
        </w:rPr>
        <w:t>Commission review the application of its method in determining an electric revenue requirement and make appropriate adjustments to the final result if necessary.</w:t>
      </w:r>
      <w:r w:rsidR="00016073" w:rsidRPr="008204F5" w:rsidDel="00016073">
        <w:rPr>
          <w:rFonts w:eastAsiaTheme="minorHAnsi"/>
        </w:rPr>
        <w:t xml:space="preserve"> </w:t>
      </w:r>
    </w:p>
    <w:p w14:paraId="73B6582E" w14:textId="6DBF3958" w:rsidR="00FB4633" w:rsidRPr="008204F5" w:rsidRDefault="008204F5" w:rsidP="008204F5">
      <w:pPr>
        <w:ind w:left="720" w:hanging="720"/>
        <w:rPr>
          <w:rFonts w:eastAsiaTheme="minorHAnsi"/>
          <w:b/>
        </w:rPr>
      </w:pPr>
      <w:r w:rsidRPr="008204F5">
        <w:rPr>
          <w:rFonts w:eastAsiaTheme="minorHAnsi"/>
          <w:b/>
        </w:rPr>
        <w:t>B.</w:t>
      </w:r>
      <w:r>
        <w:rPr>
          <w:rFonts w:eastAsiaTheme="minorHAnsi"/>
        </w:rPr>
        <w:tab/>
      </w:r>
      <w:r w:rsidR="00FB4633" w:rsidRPr="008204F5">
        <w:rPr>
          <w:rFonts w:eastAsiaTheme="minorHAnsi"/>
          <w:b/>
        </w:rPr>
        <w:t xml:space="preserve">The Commission May Be Able To Check Staff’s Proposed Revenue Requirement Corrections By Calculating The Impacts Of Avista’s Power Supply Update Outside The Attrition Model. </w:t>
      </w:r>
    </w:p>
    <w:p w14:paraId="3561C2C4" w14:textId="77777777" w:rsidR="005A3233" w:rsidRDefault="005A3233" w:rsidP="005A3233"/>
    <w:p w14:paraId="02799BF8" w14:textId="6F24177D" w:rsidR="00FB4633" w:rsidRPr="008204F5" w:rsidRDefault="008204F5" w:rsidP="008204F5">
      <w:pPr>
        <w:pStyle w:val="ListParagraph"/>
        <w:numPr>
          <w:ilvl w:val="0"/>
          <w:numId w:val="23"/>
        </w:numPr>
        <w:spacing w:line="480" w:lineRule="auto"/>
        <w:rPr>
          <w:rFonts w:eastAsiaTheme="minorHAnsi"/>
        </w:rPr>
      </w:pPr>
      <w:r>
        <w:rPr>
          <w:rFonts w:eastAsiaTheme="minorHAnsi"/>
        </w:rPr>
        <w:tab/>
      </w:r>
      <w:r w:rsidR="00D97C02" w:rsidRPr="008204F5">
        <w:rPr>
          <w:rFonts w:eastAsiaTheme="minorHAnsi"/>
        </w:rPr>
        <w:t>Staff suspects that an error occurred wh</w:t>
      </w:r>
      <w:r w:rsidR="00246135" w:rsidRPr="008204F5">
        <w:rPr>
          <w:rFonts w:eastAsiaTheme="minorHAnsi"/>
        </w:rPr>
        <w:t xml:space="preserve">en Avista’s </w:t>
      </w:r>
      <w:r w:rsidR="00D97C02" w:rsidRPr="008204F5">
        <w:rPr>
          <w:rFonts w:eastAsiaTheme="minorHAnsi"/>
        </w:rPr>
        <w:t xml:space="preserve">power supply costs were updated </w:t>
      </w:r>
      <w:r w:rsidR="006D25DE" w:rsidRPr="008204F5">
        <w:rPr>
          <w:rFonts w:eastAsiaTheme="minorHAnsi"/>
        </w:rPr>
        <w:t>with</w:t>
      </w:r>
      <w:r w:rsidR="00D97C02" w:rsidRPr="008204F5">
        <w:rPr>
          <w:rFonts w:eastAsiaTheme="minorHAnsi"/>
        </w:rPr>
        <w:t xml:space="preserve">in the attrition model. </w:t>
      </w:r>
      <w:r w:rsidR="004F4AA7" w:rsidRPr="008204F5">
        <w:rPr>
          <w:rFonts w:eastAsiaTheme="minorHAnsi"/>
        </w:rPr>
        <w:t>If this occurred, the c</w:t>
      </w:r>
      <w:r w:rsidR="00D97C02" w:rsidRPr="008204F5">
        <w:rPr>
          <w:rFonts w:eastAsiaTheme="minorHAnsi"/>
        </w:rPr>
        <w:t xml:space="preserve">ells in the pro forma power supply worksheet (“PF Power Supply 09.2014 load”) </w:t>
      </w:r>
      <w:r w:rsidR="004F4AA7" w:rsidRPr="008204F5">
        <w:rPr>
          <w:rFonts w:eastAsiaTheme="minorHAnsi"/>
        </w:rPr>
        <w:t xml:space="preserve">would have </w:t>
      </w:r>
      <w:r w:rsidR="00D97C02" w:rsidRPr="008204F5">
        <w:rPr>
          <w:rFonts w:eastAsiaTheme="minorHAnsi"/>
        </w:rPr>
        <w:t>link</w:t>
      </w:r>
      <w:r w:rsidR="004F4AA7" w:rsidRPr="008204F5">
        <w:rPr>
          <w:rFonts w:eastAsiaTheme="minorHAnsi"/>
        </w:rPr>
        <w:t>ed</w:t>
      </w:r>
      <w:r w:rsidR="00D97C02" w:rsidRPr="008204F5">
        <w:rPr>
          <w:rFonts w:eastAsiaTheme="minorHAnsi"/>
        </w:rPr>
        <w:t xml:space="preserve"> to dependent cells in a hidden worksheet related to incremental load expense (“incremental load expense”)</w:t>
      </w:r>
      <w:r w:rsidR="004F4AA7" w:rsidRPr="008204F5">
        <w:rPr>
          <w:rFonts w:eastAsiaTheme="minorHAnsi"/>
        </w:rPr>
        <w:t>. I</w:t>
      </w:r>
      <w:r w:rsidR="00D97C02" w:rsidRPr="008204F5">
        <w:rPr>
          <w:rFonts w:eastAsiaTheme="minorHAnsi"/>
        </w:rPr>
        <w:t xml:space="preserve">f not controlled for, </w:t>
      </w:r>
      <w:r w:rsidR="004F4AA7" w:rsidRPr="008204F5">
        <w:rPr>
          <w:rFonts w:eastAsiaTheme="minorHAnsi"/>
        </w:rPr>
        <w:t xml:space="preserve">these dependent cells would have </w:t>
      </w:r>
      <w:r w:rsidR="00D97C02" w:rsidRPr="008204F5">
        <w:rPr>
          <w:rFonts w:eastAsiaTheme="minorHAnsi"/>
        </w:rPr>
        <w:t>update</w:t>
      </w:r>
      <w:r w:rsidR="004F4AA7" w:rsidRPr="008204F5">
        <w:rPr>
          <w:rFonts w:eastAsiaTheme="minorHAnsi"/>
        </w:rPr>
        <w:t>d</w:t>
      </w:r>
      <w:r w:rsidR="00D97C02" w:rsidRPr="008204F5">
        <w:rPr>
          <w:rFonts w:eastAsiaTheme="minorHAnsi"/>
        </w:rPr>
        <w:t xml:space="preserve"> column [J] of the attrition tab (“Attrition 09.2014 to 2016”). The resulting update w</w:t>
      </w:r>
      <w:r w:rsidR="004F4AA7" w:rsidRPr="008204F5">
        <w:rPr>
          <w:rFonts w:eastAsiaTheme="minorHAnsi"/>
        </w:rPr>
        <w:t>ould have</w:t>
      </w:r>
      <w:r w:rsidR="00D97C02" w:rsidRPr="008204F5">
        <w:rPr>
          <w:rFonts w:eastAsiaTheme="minorHAnsi"/>
        </w:rPr>
        <w:t>, in effect, offset changes in column [I] of the attrition tab that w</w:t>
      </w:r>
      <w:r w:rsidR="004F4AA7" w:rsidRPr="008204F5">
        <w:rPr>
          <w:rFonts w:eastAsiaTheme="minorHAnsi"/>
        </w:rPr>
        <w:t>ould have been c</w:t>
      </w:r>
      <w:r w:rsidR="00D97C02" w:rsidRPr="008204F5">
        <w:rPr>
          <w:rFonts w:eastAsiaTheme="minorHAnsi"/>
        </w:rPr>
        <w:t>arried forward from the pro forma power supply worksheet.</w:t>
      </w:r>
      <w:r w:rsidR="004F4AA7" w:rsidRPr="008204F5">
        <w:rPr>
          <w:rFonts w:eastAsiaTheme="minorHAnsi"/>
        </w:rPr>
        <w:t xml:space="preserve"> </w:t>
      </w:r>
    </w:p>
    <w:p w14:paraId="0E612681" w14:textId="42371548" w:rsidR="00D97C02" w:rsidRPr="008204F5" w:rsidRDefault="008204F5" w:rsidP="008204F5">
      <w:pPr>
        <w:pStyle w:val="ListParagraph"/>
        <w:numPr>
          <w:ilvl w:val="0"/>
          <w:numId w:val="23"/>
        </w:numPr>
        <w:spacing w:line="480" w:lineRule="auto"/>
        <w:rPr>
          <w:rFonts w:asciiTheme="minorHAnsi" w:eastAsiaTheme="minorHAnsi" w:hAnsiTheme="minorHAnsi" w:cstheme="minorBidi"/>
          <w:sz w:val="22"/>
          <w:szCs w:val="22"/>
        </w:rPr>
      </w:pPr>
      <w:r>
        <w:rPr>
          <w:rFonts w:eastAsiaTheme="minorHAnsi"/>
        </w:rPr>
        <w:tab/>
      </w:r>
      <w:r w:rsidR="00D97C02" w:rsidRPr="008204F5">
        <w:rPr>
          <w:rFonts w:eastAsiaTheme="minorHAnsi"/>
        </w:rPr>
        <w:t xml:space="preserve">To test this theory, the Commission </w:t>
      </w:r>
      <w:r w:rsidR="004F4AA7" w:rsidRPr="008204F5">
        <w:rPr>
          <w:rFonts w:eastAsiaTheme="minorHAnsi"/>
        </w:rPr>
        <w:t xml:space="preserve">would </w:t>
      </w:r>
      <w:r w:rsidR="006D25DE" w:rsidRPr="008204F5">
        <w:rPr>
          <w:rFonts w:eastAsiaTheme="minorHAnsi"/>
        </w:rPr>
        <w:t>need</w:t>
      </w:r>
      <w:r w:rsidR="004F4AA7" w:rsidRPr="008204F5">
        <w:rPr>
          <w:rFonts w:eastAsiaTheme="minorHAnsi"/>
        </w:rPr>
        <w:t xml:space="preserve"> to </w:t>
      </w:r>
      <w:r w:rsidR="00D97C02" w:rsidRPr="008204F5">
        <w:rPr>
          <w:rFonts w:eastAsiaTheme="minorHAnsi"/>
        </w:rPr>
        <w:t xml:space="preserve">monitor how each change made to the power supply costs in “PF Power Supply 09.2014 load” </w:t>
      </w:r>
      <w:r w:rsidR="00E07191" w:rsidRPr="008204F5">
        <w:rPr>
          <w:rFonts w:eastAsiaTheme="minorHAnsi"/>
        </w:rPr>
        <w:t xml:space="preserve">affects </w:t>
      </w:r>
      <w:r w:rsidR="00D97C02" w:rsidRPr="008204F5">
        <w:rPr>
          <w:rFonts w:eastAsiaTheme="minorHAnsi"/>
        </w:rPr>
        <w:t>the revenue growth in column [J] of the attrition tab</w:t>
      </w:r>
      <w:r w:rsidR="004F4AA7" w:rsidRPr="008204F5">
        <w:rPr>
          <w:rFonts w:eastAsiaTheme="minorHAnsi"/>
        </w:rPr>
        <w:t xml:space="preserve">, and </w:t>
      </w:r>
      <w:r w:rsidR="00D97C02" w:rsidRPr="008204F5">
        <w:rPr>
          <w:rFonts w:eastAsiaTheme="minorHAnsi"/>
        </w:rPr>
        <w:t xml:space="preserve">the overall revenue requirement on the “Summary” tab. Because there are multiple interdependent formulas in the attrition model, Staff recommends that the Commission </w:t>
      </w:r>
      <w:r w:rsidR="00FB4633" w:rsidRPr="008204F5">
        <w:rPr>
          <w:rFonts w:eastAsiaTheme="minorHAnsi"/>
        </w:rPr>
        <w:t xml:space="preserve">input </w:t>
      </w:r>
      <w:r w:rsidR="00D97C02" w:rsidRPr="008204F5">
        <w:rPr>
          <w:rFonts w:eastAsiaTheme="minorHAnsi"/>
        </w:rPr>
        <w:t>the October 29</w:t>
      </w:r>
      <w:r w:rsidR="00FB4633" w:rsidRPr="008204F5">
        <w:rPr>
          <w:rFonts w:eastAsiaTheme="minorHAnsi"/>
        </w:rPr>
        <w:t xml:space="preserve">, 2015, </w:t>
      </w:r>
      <w:r w:rsidR="00D97C02" w:rsidRPr="008204F5">
        <w:rPr>
          <w:rFonts w:eastAsiaTheme="minorHAnsi"/>
        </w:rPr>
        <w:t xml:space="preserve">power supply update </w:t>
      </w:r>
      <w:r w:rsidR="00FB4633" w:rsidRPr="008204F5">
        <w:rPr>
          <w:rFonts w:eastAsiaTheme="minorHAnsi"/>
        </w:rPr>
        <w:t>(</w:t>
      </w:r>
      <w:r w:rsidR="00D97C02" w:rsidRPr="008204F5">
        <w:rPr>
          <w:rFonts w:eastAsiaTheme="minorHAnsi"/>
        </w:rPr>
        <w:t>$12.3 million</w:t>
      </w:r>
      <w:r w:rsidR="00FB4633" w:rsidRPr="008204F5">
        <w:rPr>
          <w:rFonts w:eastAsiaTheme="minorHAnsi"/>
        </w:rPr>
        <w:t>)</w:t>
      </w:r>
      <w:r w:rsidR="00D97C02" w:rsidRPr="008204F5">
        <w:rPr>
          <w:rFonts w:eastAsiaTheme="minorHAnsi"/>
        </w:rPr>
        <w:t xml:space="preserve"> outside of</w:t>
      </w:r>
      <w:r w:rsidR="006D25DE" w:rsidRPr="008204F5">
        <w:rPr>
          <w:rFonts w:eastAsiaTheme="minorHAnsi"/>
        </w:rPr>
        <w:t>, rather than within</w:t>
      </w:r>
      <w:r w:rsidR="00E053B2" w:rsidRPr="008204F5">
        <w:rPr>
          <w:rFonts w:eastAsiaTheme="minorHAnsi"/>
        </w:rPr>
        <w:t>, the</w:t>
      </w:r>
      <w:r w:rsidR="00D97C02" w:rsidRPr="008204F5">
        <w:rPr>
          <w:rFonts w:eastAsiaTheme="minorHAnsi"/>
        </w:rPr>
        <w:t xml:space="preserve"> attrition model. </w:t>
      </w:r>
    </w:p>
    <w:p w14:paraId="400ED930" w14:textId="43FC3C39" w:rsidR="00AD2493" w:rsidRPr="008204F5" w:rsidRDefault="008204F5" w:rsidP="008204F5">
      <w:pPr>
        <w:ind w:left="720" w:hanging="720"/>
        <w:rPr>
          <w:b/>
        </w:rPr>
      </w:pPr>
      <w:r w:rsidRPr="008204F5">
        <w:rPr>
          <w:b/>
        </w:rPr>
        <w:t>C.</w:t>
      </w:r>
      <w:r>
        <w:tab/>
      </w:r>
      <w:r w:rsidR="007407C0" w:rsidRPr="007407C0">
        <w:rPr>
          <w:b/>
        </w:rPr>
        <w:t>I</w:t>
      </w:r>
      <w:r w:rsidR="007407C0">
        <w:rPr>
          <w:b/>
        </w:rPr>
        <w:t>f</w:t>
      </w:r>
      <w:r w:rsidR="007407C0" w:rsidRPr="007407C0">
        <w:rPr>
          <w:b/>
        </w:rPr>
        <w:t xml:space="preserve"> </w:t>
      </w:r>
      <w:r w:rsidR="00F53161" w:rsidRPr="007407C0">
        <w:rPr>
          <w:b/>
        </w:rPr>
        <w:t>T</w:t>
      </w:r>
      <w:r w:rsidR="00F53161" w:rsidRPr="008204F5">
        <w:rPr>
          <w:b/>
        </w:rPr>
        <w:t>he Commission Accept</w:t>
      </w:r>
      <w:r w:rsidR="007407C0">
        <w:rPr>
          <w:b/>
        </w:rPr>
        <w:t>s</w:t>
      </w:r>
      <w:r w:rsidR="00F53161" w:rsidRPr="008204F5">
        <w:rPr>
          <w:b/>
        </w:rPr>
        <w:t xml:space="preserve"> Staff’s Recommended Change To A</w:t>
      </w:r>
      <w:r w:rsidR="00AD2493" w:rsidRPr="008204F5">
        <w:rPr>
          <w:b/>
        </w:rPr>
        <w:t>vista’</w:t>
      </w:r>
      <w:r w:rsidR="00F53161" w:rsidRPr="008204F5">
        <w:rPr>
          <w:b/>
        </w:rPr>
        <w:t>s Overall Revenue Requirement, It Should Adjust Languag</w:t>
      </w:r>
      <w:r w:rsidR="008E7296">
        <w:rPr>
          <w:b/>
        </w:rPr>
        <w:t>e In Relevant Sections Of Order </w:t>
      </w:r>
      <w:bookmarkStart w:id="0" w:name="_GoBack"/>
      <w:bookmarkEnd w:id="0"/>
      <w:r w:rsidR="00F53161" w:rsidRPr="008204F5">
        <w:rPr>
          <w:b/>
        </w:rPr>
        <w:t>05 To Ensure Consistency With This Outcome</w:t>
      </w:r>
      <w:r w:rsidR="00AD2493" w:rsidRPr="008204F5">
        <w:rPr>
          <w:b/>
        </w:rPr>
        <w:t xml:space="preserve"> </w:t>
      </w:r>
    </w:p>
    <w:p w14:paraId="14AEEB5E" w14:textId="77777777" w:rsidR="00F53161" w:rsidRDefault="00F53161" w:rsidP="00F53161">
      <w:pPr>
        <w:pStyle w:val="ListParagraph"/>
        <w:rPr>
          <w:b/>
        </w:rPr>
      </w:pPr>
    </w:p>
    <w:p w14:paraId="15884254" w14:textId="504581E7" w:rsidR="00F53161" w:rsidRDefault="008204F5" w:rsidP="008204F5">
      <w:pPr>
        <w:pStyle w:val="ListParagraph"/>
        <w:numPr>
          <w:ilvl w:val="0"/>
          <w:numId w:val="23"/>
        </w:numPr>
        <w:spacing w:line="480" w:lineRule="auto"/>
      </w:pPr>
      <w:r>
        <w:tab/>
      </w:r>
      <w:r w:rsidR="00BF6D6F">
        <w:t xml:space="preserve">After review and if the Commission accepts all or </w:t>
      </w:r>
      <w:r w:rsidR="00FD6C8A">
        <w:t xml:space="preserve">a </w:t>
      </w:r>
      <w:r w:rsidR="00BF6D6F">
        <w:t>significant part of Staff’s proposed change</w:t>
      </w:r>
      <w:r w:rsidR="00701312">
        <w:t>s</w:t>
      </w:r>
      <w:r w:rsidR="00BF6D6F">
        <w:t xml:space="preserve"> to Avista’s revenue requirement for electric operations, Staff recommends that the </w:t>
      </w:r>
      <w:r w:rsidR="00BF6D6F">
        <w:lastRenderedPageBreak/>
        <w:t>Commission revisit certain paragraphs of Order 05</w:t>
      </w:r>
      <w:r w:rsidR="00BF6D6F">
        <w:rPr>
          <w:rStyle w:val="FootnoteReference"/>
        </w:rPr>
        <w:footnoteReference w:id="15"/>
      </w:r>
      <w:r w:rsidR="00BF6D6F">
        <w:t xml:space="preserve"> that express the Commission’s </w:t>
      </w:r>
      <w:r w:rsidR="003A5151">
        <w:t xml:space="preserve">application of </w:t>
      </w:r>
      <w:r w:rsidR="00BF6D6F">
        <w:t xml:space="preserve">the principles enunciated in </w:t>
      </w:r>
      <w:r w:rsidR="00BF6D6F" w:rsidRPr="00BF6D6F">
        <w:rPr>
          <w:i/>
        </w:rPr>
        <w:t>Hope</w:t>
      </w:r>
      <w:r w:rsidR="00BF6D6F">
        <w:t xml:space="preserve"> and </w:t>
      </w:r>
      <w:r w:rsidR="00BF6D6F" w:rsidRPr="00BF6D6F">
        <w:rPr>
          <w:i/>
        </w:rPr>
        <w:t>Bluefield</w:t>
      </w:r>
      <w:r w:rsidR="00BF6D6F">
        <w:t>.</w:t>
      </w:r>
      <w:r w:rsidR="00BF6D6F">
        <w:rPr>
          <w:rStyle w:val="FootnoteReference"/>
        </w:rPr>
        <w:footnoteReference w:id="16"/>
      </w:r>
      <w:r w:rsidR="00BF6D6F">
        <w:t xml:space="preserve"> To this end, Staff suggests that certain language in th</w:t>
      </w:r>
      <w:r w:rsidR="00701312">
        <w:t xml:space="preserve">ese paragraphs </w:t>
      </w:r>
      <w:r w:rsidR="00BF6D6F">
        <w:t xml:space="preserve">may be misconstrued to mean that </w:t>
      </w:r>
      <w:r w:rsidR="00A739EA">
        <w:t xml:space="preserve">reasonable reductions to </w:t>
      </w:r>
      <w:r w:rsidR="00BF6D6F">
        <w:t xml:space="preserve">expenses found to be </w:t>
      </w:r>
      <w:r w:rsidR="00A739EA">
        <w:t xml:space="preserve">either clearly demonstrated (i.e. Avista’s power supply update) or </w:t>
      </w:r>
      <w:r w:rsidR="00BF6D6F">
        <w:t xml:space="preserve">inadequately supported </w:t>
      </w:r>
      <w:r w:rsidR="00A739EA">
        <w:t xml:space="preserve">(i.e. Avista’s proposed escalation rates) would not otherwise affect Avista’s revenue requirement for electric operations because of the settled law expressed in the </w:t>
      </w:r>
      <w:r w:rsidR="00A739EA" w:rsidRPr="00A739EA">
        <w:rPr>
          <w:i/>
        </w:rPr>
        <w:t>Hope</w:t>
      </w:r>
      <w:r w:rsidR="00A739EA">
        <w:t xml:space="preserve"> and </w:t>
      </w:r>
      <w:r w:rsidR="00A739EA" w:rsidRPr="00A739EA">
        <w:rPr>
          <w:i/>
        </w:rPr>
        <w:t>Bluefield</w:t>
      </w:r>
      <w:r w:rsidR="00A739EA">
        <w:t xml:space="preserve"> decisions. </w:t>
      </w:r>
      <w:r w:rsidR="00750F5C">
        <w:t xml:space="preserve">Staff believes such a result would not be supported </w:t>
      </w:r>
      <w:r w:rsidR="00FD6C8A">
        <w:t xml:space="preserve">by </w:t>
      </w:r>
      <w:r w:rsidR="00750F5C">
        <w:t>the record in this case. Therefore, a</w:t>
      </w:r>
      <w:r w:rsidR="00A739EA">
        <w:t xml:space="preserve"> restatement of the Commission’s concern expressed in </w:t>
      </w:r>
      <w:r w:rsidR="00750F5C">
        <w:t xml:space="preserve">these paragraphs would benefit from clarification as to the Commission’s intent.  </w:t>
      </w:r>
    </w:p>
    <w:p w14:paraId="38224ADA" w14:textId="77777777" w:rsidR="008204F5" w:rsidRPr="00684526" w:rsidRDefault="008204F5" w:rsidP="008204F5">
      <w:pPr>
        <w:pStyle w:val="ListParagraph"/>
        <w:spacing w:line="480" w:lineRule="auto"/>
        <w:ind w:left="0"/>
        <w:jc w:val="center"/>
        <w:rPr>
          <w:b/>
        </w:rPr>
      </w:pPr>
      <w:r>
        <w:rPr>
          <w:b/>
        </w:rPr>
        <w:t>III.</w:t>
      </w:r>
      <w:r>
        <w:rPr>
          <w:b/>
        </w:rPr>
        <w:tab/>
        <w:t>CONCLUSION</w:t>
      </w:r>
    </w:p>
    <w:p w14:paraId="08B27C47" w14:textId="4DB9D728" w:rsidR="002857F0" w:rsidRPr="002857F0" w:rsidRDefault="008204F5" w:rsidP="008204F5">
      <w:pPr>
        <w:pStyle w:val="ListParagraph"/>
        <w:numPr>
          <w:ilvl w:val="0"/>
          <w:numId w:val="23"/>
        </w:numPr>
        <w:spacing w:line="480" w:lineRule="auto"/>
      </w:pPr>
      <w:r>
        <w:tab/>
      </w:r>
      <w:r w:rsidR="002857F0" w:rsidRPr="00FB66B2">
        <w:t>For the foregoing reasons,</w:t>
      </w:r>
      <w:r w:rsidR="00046A1F">
        <w:t xml:space="preserve"> Staff respectfully requests that</w:t>
      </w:r>
      <w:r w:rsidR="002857F0" w:rsidRPr="00FB66B2">
        <w:t xml:space="preserve"> the Commission </w:t>
      </w:r>
      <w:r w:rsidR="00016073">
        <w:t xml:space="preserve">review </w:t>
      </w:r>
      <w:r w:rsidR="00A56642">
        <w:t>the calculation</w:t>
      </w:r>
      <w:r w:rsidR="00046A1F">
        <w:t xml:space="preserve"> it used in crafting the</w:t>
      </w:r>
      <w:r w:rsidR="002857F0">
        <w:t xml:space="preserve"> electric revenue requirement set forth in Order 05, and</w:t>
      </w:r>
      <w:r w:rsidR="00046A1F">
        <w:t xml:space="preserve"> if necessary, </w:t>
      </w:r>
      <w:r w:rsidR="005A3233">
        <w:t>adjust Avista’s</w:t>
      </w:r>
      <w:r w:rsidR="002857F0">
        <w:t xml:space="preserve"> </w:t>
      </w:r>
      <w:r w:rsidR="00CE3A4A">
        <w:t xml:space="preserve">overall </w:t>
      </w:r>
      <w:r w:rsidR="00A56642">
        <w:t xml:space="preserve">electric </w:t>
      </w:r>
      <w:r w:rsidR="00CE3A4A">
        <w:t>revenue requirement</w:t>
      </w:r>
      <w:r w:rsidR="00046A1F">
        <w:t>.</w:t>
      </w:r>
      <w:r w:rsidR="00CE3A4A">
        <w:t xml:space="preserve"> </w:t>
      </w:r>
    </w:p>
    <w:p w14:paraId="5954DEBD" w14:textId="77777777" w:rsidR="003B3320" w:rsidRPr="003B3320" w:rsidRDefault="003B3320" w:rsidP="00E5126C">
      <w:pPr>
        <w:ind w:left="720"/>
      </w:pPr>
      <w:r w:rsidRPr="003B3320">
        <w:t xml:space="preserve">DATED this </w:t>
      </w:r>
      <w:r w:rsidR="00130A4A">
        <w:t>___</w:t>
      </w:r>
      <w:r w:rsidR="00E5126C">
        <w:t xml:space="preserve"> day of </w:t>
      </w:r>
      <w:r w:rsidR="00130A4A">
        <w:t xml:space="preserve">January </w:t>
      </w:r>
      <w:r w:rsidRPr="003B3320">
        <w:t>201</w:t>
      </w:r>
      <w:r w:rsidR="00130A4A">
        <w:t>6</w:t>
      </w:r>
      <w:r w:rsidRPr="003B3320">
        <w:t>.</w:t>
      </w:r>
    </w:p>
    <w:p w14:paraId="27F1E35C" w14:textId="77777777" w:rsidR="003B3320" w:rsidRPr="003B3320" w:rsidRDefault="003B3320" w:rsidP="003B3320">
      <w:pPr>
        <w:pStyle w:val="BodyTextIndent2"/>
        <w:ind w:left="360"/>
      </w:pPr>
    </w:p>
    <w:p w14:paraId="05AC0D14" w14:textId="77777777" w:rsidR="003B3320" w:rsidRPr="003B3320" w:rsidRDefault="003B3320" w:rsidP="003B3320">
      <w:pPr>
        <w:ind w:left="4320"/>
        <w:jc w:val="both"/>
      </w:pPr>
      <w:r w:rsidRPr="003B3320">
        <w:t xml:space="preserve">Respectfully submitted, </w:t>
      </w:r>
    </w:p>
    <w:p w14:paraId="347E64C6" w14:textId="77777777" w:rsidR="003B3320" w:rsidRPr="003B3320" w:rsidRDefault="003B3320" w:rsidP="003B3320">
      <w:pPr>
        <w:ind w:left="4320"/>
        <w:jc w:val="both"/>
      </w:pPr>
    </w:p>
    <w:p w14:paraId="6FECD5B8" w14:textId="77777777" w:rsidR="003B3320" w:rsidRPr="003B3320" w:rsidRDefault="003B3320" w:rsidP="003B3320">
      <w:pPr>
        <w:ind w:left="4320"/>
        <w:jc w:val="both"/>
      </w:pPr>
      <w:r w:rsidRPr="003B3320">
        <w:t xml:space="preserve">ROBERT W. FERGUSON </w:t>
      </w:r>
    </w:p>
    <w:p w14:paraId="6BCFF338" w14:textId="77777777" w:rsidR="003B3320" w:rsidRPr="003B3320" w:rsidRDefault="003B3320" w:rsidP="003B3320">
      <w:pPr>
        <w:ind w:left="4320"/>
        <w:jc w:val="both"/>
      </w:pPr>
      <w:r w:rsidRPr="003B3320">
        <w:t>Attorney General</w:t>
      </w:r>
    </w:p>
    <w:p w14:paraId="23B2A375" w14:textId="77777777" w:rsidR="003B3320" w:rsidRPr="003B3320" w:rsidRDefault="003B3320" w:rsidP="003B3320">
      <w:pPr>
        <w:ind w:left="4320"/>
        <w:jc w:val="both"/>
      </w:pPr>
    </w:p>
    <w:p w14:paraId="17357993" w14:textId="77777777" w:rsidR="003B3320" w:rsidRPr="003B3320" w:rsidRDefault="003B3320" w:rsidP="003B3320">
      <w:pPr>
        <w:ind w:left="4320"/>
        <w:jc w:val="both"/>
      </w:pPr>
    </w:p>
    <w:p w14:paraId="7985CD79" w14:textId="77777777" w:rsidR="003B3320" w:rsidRPr="003B3320" w:rsidRDefault="003B3320" w:rsidP="003B3320">
      <w:pPr>
        <w:ind w:left="4320"/>
        <w:jc w:val="both"/>
      </w:pPr>
    </w:p>
    <w:p w14:paraId="1D288954" w14:textId="77777777" w:rsidR="003B3320" w:rsidRPr="003B3320" w:rsidRDefault="003B3320" w:rsidP="003B3320">
      <w:pPr>
        <w:ind w:left="4320"/>
        <w:jc w:val="both"/>
      </w:pPr>
      <w:r w:rsidRPr="003B3320">
        <w:t>______________________________________</w:t>
      </w:r>
    </w:p>
    <w:p w14:paraId="3729246C" w14:textId="77777777" w:rsidR="003B3320" w:rsidRPr="003B3320" w:rsidRDefault="00130A4A" w:rsidP="003B3320">
      <w:pPr>
        <w:ind w:left="4320"/>
        <w:jc w:val="both"/>
      </w:pPr>
      <w:r>
        <w:t>PATRICK J. OSHIE</w:t>
      </w:r>
    </w:p>
    <w:p w14:paraId="406712F5" w14:textId="77777777" w:rsidR="003B3320" w:rsidRPr="003B3320" w:rsidRDefault="003B3320" w:rsidP="003B3320">
      <w:pPr>
        <w:ind w:left="4320"/>
        <w:jc w:val="both"/>
      </w:pPr>
      <w:r w:rsidRPr="003B3320">
        <w:t>Assistant Attorney General</w:t>
      </w:r>
    </w:p>
    <w:p w14:paraId="4D4F2508" w14:textId="77777777" w:rsidR="003B3320" w:rsidRPr="003B3320" w:rsidRDefault="003B3320" w:rsidP="003B3320">
      <w:pPr>
        <w:ind w:left="4320"/>
        <w:jc w:val="both"/>
      </w:pPr>
      <w:r w:rsidRPr="003B3320">
        <w:t>Counsel for Washington Utilities and</w:t>
      </w:r>
    </w:p>
    <w:p w14:paraId="704C908D" w14:textId="77777777" w:rsidR="006A5D82" w:rsidRPr="003B3320" w:rsidRDefault="003B3320" w:rsidP="003B3320">
      <w:pPr>
        <w:ind w:left="4320"/>
        <w:jc w:val="both"/>
      </w:pPr>
      <w:r w:rsidRPr="003B3320">
        <w:t>Transportation Commission Staff</w:t>
      </w:r>
    </w:p>
    <w:sectPr w:rsidR="006A5D82" w:rsidRPr="003B3320" w:rsidSect="00A172D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1B820" w14:textId="77777777" w:rsidR="00C96346" w:rsidRDefault="00C96346" w:rsidP="00321309">
      <w:r>
        <w:separator/>
      </w:r>
    </w:p>
  </w:endnote>
  <w:endnote w:type="continuationSeparator" w:id="0">
    <w:p w14:paraId="440E7671" w14:textId="77777777" w:rsidR="00C96346" w:rsidRDefault="00C96346" w:rsidP="00321309">
      <w:r>
        <w:continuationSeparator/>
      </w:r>
    </w:p>
  </w:endnote>
  <w:endnote w:type="continuationNotice" w:id="1">
    <w:p w14:paraId="07294A81" w14:textId="77777777" w:rsidR="00C96346" w:rsidRDefault="00C96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4C312" w14:textId="77777777" w:rsidR="00C96346" w:rsidRPr="00FD6156" w:rsidRDefault="00C96346">
    <w:pPr>
      <w:pStyle w:val="Footer"/>
    </w:pPr>
  </w:p>
  <w:p w14:paraId="05FC5AB1" w14:textId="77777777" w:rsidR="00C96346" w:rsidRPr="00FD6156" w:rsidRDefault="00C96346" w:rsidP="00130A4A">
    <w:pPr>
      <w:pStyle w:val="Footer"/>
      <w:rPr>
        <w:sz w:val="20"/>
        <w:szCs w:val="20"/>
      </w:rPr>
    </w:pPr>
    <w:r>
      <w:rPr>
        <w:sz w:val="20"/>
        <w:szCs w:val="20"/>
      </w:rPr>
      <w:t xml:space="preserve">STAFF’S </w:t>
    </w:r>
    <w:r w:rsidRPr="00C92CEB">
      <w:rPr>
        <w:sz w:val="20"/>
        <w:szCs w:val="20"/>
      </w:rPr>
      <w:t xml:space="preserve">MOTION </w:t>
    </w:r>
    <w:r>
      <w:rPr>
        <w:sz w:val="20"/>
        <w:szCs w:val="20"/>
      </w:rPr>
      <w:t>TO RECONSIDER</w:t>
    </w:r>
    <w:r w:rsidRPr="00FD6156">
      <w:rPr>
        <w:sz w:val="20"/>
        <w:szCs w:val="20"/>
      </w:rPr>
      <w:t xml:space="preserve"> - </w:t>
    </w:r>
    <w:r w:rsidRPr="00FD6156">
      <w:rPr>
        <w:rStyle w:val="PageNumber"/>
        <w:sz w:val="20"/>
        <w:szCs w:val="20"/>
      </w:rPr>
      <w:fldChar w:fldCharType="begin"/>
    </w:r>
    <w:r w:rsidRPr="00FD6156">
      <w:rPr>
        <w:rStyle w:val="PageNumber"/>
        <w:sz w:val="20"/>
        <w:szCs w:val="20"/>
      </w:rPr>
      <w:instrText xml:space="preserve"> PAGE </w:instrText>
    </w:r>
    <w:r w:rsidRPr="00FD6156">
      <w:rPr>
        <w:rStyle w:val="PageNumber"/>
        <w:sz w:val="20"/>
        <w:szCs w:val="20"/>
      </w:rPr>
      <w:fldChar w:fldCharType="separate"/>
    </w:r>
    <w:r w:rsidR="008E7296">
      <w:rPr>
        <w:rStyle w:val="PageNumber"/>
        <w:noProof/>
        <w:sz w:val="20"/>
        <w:szCs w:val="20"/>
      </w:rPr>
      <w:t>6</w:t>
    </w:r>
    <w:r w:rsidRPr="00FD6156">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2709E" w14:textId="77777777" w:rsidR="00C96346" w:rsidRDefault="00C96346" w:rsidP="00321309">
      <w:r>
        <w:separator/>
      </w:r>
    </w:p>
  </w:footnote>
  <w:footnote w:type="continuationSeparator" w:id="0">
    <w:p w14:paraId="0849EDCA" w14:textId="77777777" w:rsidR="00C96346" w:rsidRDefault="00C96346" w:rsidP="00321309">
      <w:r>
        <w:continuationSeparator/>
      </w:r>
    </w:p>
  </w:footnote>
  <w:footnote w:type="continuationNotice" w:id="1">
    <w:p w14:paraId="42E8DEBE" w14:textId="77777777" w:rsidR="00C96346" w:rsidRDefault="00C96346"/>
  </w:footnote>
  <w:footnote w:id="2">
    <w:p w14:paraId="181D9CFA" w14:textId="77777777" w:rsidR="00C96346" w:rsidRPr="00AA35F5" w:rsidRDefault="00C96346" w:rsidP="00E14338">
      <w:pPr>
        <w:pStyle w:val="FootnoteText"/>
      </w:pPr>
      <w:r>
        <w:rPr>
          <w:rStyle w:val="FootnoteReference"/>
        </w:rPr>
        <w:footnoteRef/>
      </w:r>
      <w:r>
        <w:t xml:space="preserve"> Order 05, </w:t>
      </w:r>
      <w:r>
        <w:rPr>
          <w:i/>
        </w:rPr>
        <w:t xml:space="preserve">Final Order Rejecting Tariff Filing; Accepting Partial Settlement Stipulation, Authorizing Tariff Filings </w:t>
      </w:r>
      <w:r>
        <w:t xml:space="preserve">(January 6, 2016). </w:t>
      </w:r>
    </w:p>
  </w:footnote>
  <w:footnote w:id="3">
    <w:p w14:paraId="431BE116" w14:textId="5584FB05" w:rsidR="00C96346" w:rsidRDefault="00C96346">
      <w:pPr>
        <w:pStyle w:val="FootnoteText"/>
      </w:pPr>
      <w:r>
        <w:rPr>
          <w:rStyle w:val="FootnoteReference"/>
        </w:rPr>
        <w:footnoteRef/>
      </w:r>
      <w:r>
        <w:t xml:space="preserve"> </w:t>
      </w:r>
      <w:r w:rsidRPr="003A6685">
        <w:rPr>
          <w:i/>
        </w:rPr>
        <w:t>Id</w:t>
      </w:r>
      <w:r w:rsidR="005F5788">
        <w:rPr>
          <w:i/>
        </w:rPr>
        <w:t>.</w:t>
      </w:r>
      <w:r>
        <w:t xml:space="preserve">, at p. 1. </w:t>
      </w:r>
      <w:r w:rsidRPr="003A6685">
        <w:rPr>
          <w:i/>
        </w:rPr>
        <w:t>See also</w:t>
      </w:r>
      <w:r>
        <w:t xml:space="preserve">, p. 90 at </w:t>
      </w:r>
      <w:r w:rsidRPr="00016183">
        <w:t>¶</w:t>
      </w:r>
      <w:r>
        <w:t xml:space="preserve"> 283.  </w:t>
      </w:r>
    </w:p>
  </w:footnote>
  <w:footnote w:id="4">
    <w:p w14:paraId="1F96E0A9" w14:textId="77777777" w:rsidR="00C96346" w:rsidRDefault="00C96346">
      <w:pPr>
        <w:pStyle w:val="FootnoteText"/>
      </w:pPr>
      <w:r>
        <w:rPr>
          <w:rStyle w:val="FootnoteReference"/>
        </w:rPr>
        <w:footnoteRef/>
      </w:r>
      <w:r>
        <w:t xml:space="preserve"> </w:t>
      </w:r>
      <w:r w:rsidRPr="0068115E">
        <w:rPr>
          <w:i/>
        </w:rPr>
        <w:t>See</w:t>
      </w:r>
      <w:r>
        <w:t xml:space="preserve"> Docket Nos. UE-150204 and UG-150205, Order 05, Table A1 at pg. 96. </w:t>
      </w:r>
      <w:r w:rsidRPr="0068115E">
        <w:rPr>
          <w:i/>
        </w:rPr>
        <w:t>See also</w:t>
      </w:r>
      <w:r>
        <w:t xml:space="preserve"> Table 1 below. </w:t>
      </w:r>
    </w:p>
  </w:footnote>
  <w:footnote w:id="5">
    <w:p w14:paraId="7A357ACC" w14:textId="77777777" w:rsidR="00C96346" w:rsidRDefault="00C96346" w:rsidP="00AF7D7D">
      <w:pPr>
        <w:pStyle w:val="FootnoteText"/>
      </w:pPr>
      <w:r>
        <w:rPr>
          <w:rStyle w:val="FootnoteReference"/>
        </w:rPr>
        <w:footnoteRef/>
      </w:r>
      <w:r>
        <w:t xml:space="preserve"> To be clear, Staff’s recommended revision to revenue requirement would reduce Avista’s rates by $27.4 million in total. This amount includes the $8.1 million already accounted for by the Commission in Order 05. </w:t>
      </w:r>
    </w:p>
  </w:footnote>
  <w:footnote w:id="6">
    <w:p w14:paraId="70B4E848" w14:textId="5C6E7AE8" w:rsidR="00C96346" w:rsidRDefault="00C96346">
      <w:pPr>
        <w:pStyle w:val="FootnoteText"/>
      </w:pPr>
      <w:r>
        <w:rPr>
          <w:rStyle w:val="FootnoteReference"/>
        </w:rPr>
        <w:footnoteRef/>
      </w:r>
      <w:r w:rsidR="005F5788">
        <w:t xml:space="preserve"> At paragraph </w:t>
      </w:r>
      <w:r>
        <w:t>111 of Order 05 the Commission implies that the starting point for its own electric attrition study is Avista’s attrition model provided on rebuttal in Exhibit No. EMA-6. At ¶111, the Commission finds “Staff’s approach, as adjusted and corrected by the Company, to provide the most appropriate methodology in this docket for supporting an attrition adjustment.”</w:t>
      </w:r>
    </w:p>
  </w:footnote>
  <w:footnote w:id="7">
    <w:p w14:paraId="1CAECBF8" w14:textId="17CFFF6D" w:rsidR="00C96346" w:rsidRDefault="00C96346">
      <w:pPr>
        <w:pStyle w:val="FootnoteText"/>
      </w:pPr>
      <w:r>
        <w:rPr>
          <w:rStyle w:val="FootnoteReference"/>
        </w:rPr>
        <w:footnoteRef/>
      </w:r>
      <w:r>
        <w:t xml:space="preserve"> Order 05, </w:t>
      </w:r>
      <w:r>
        <w:rPr>
          <w:i/>
        </w:rPr>
        <w:t xml:space="preserve">Final Order Rejecting Tariff Filing; Accepting Partial Settlement Stipulation, Authorizing Tariff Filings </w:t>
      </w:r>
      <w:r>
        <w:t>(January 6, 2016) at ¶139.</w:t>
      </w:r>
    </w:p>
  </w:footnote>
  <w:footnote w:id="8">
    <w:p w14:paraId="78D3ABC7" w14:textId="156DF42B" w:rsidR="00C96346" w:rsidRPr="00AB36A0" w:rsidRDefault="00C96346">
      <w:pPr>
        <w:pStyle w:val="FootnoteText"/>
        <w:rPr>
          <w:i/>
        </w:rPr>
      </w:pPr>
      <w:r>
        <w:rPr>
          <w:rStyle w:val="FootnoteReference"/>
        </w:rPr>
        <w:footnoteRef/>
      </w:r>
      <w:r>
        <w:t xml:space="preserve"> </w:t>
      </w:r>
      <w:r>
        <w:rPr>
          <w:i/>
        </w:rPr>
        <w:t>Id</w:t>
      </w:r>
      <w:r w:rsidR="005F5788">
        <w:rPr>
          <w:i/>
        </w:rPr>
        <w:t>.</w:t>
      </w:r>
      <w:r>
        <w:rPr>
          <w:i/>
        </w:rPr>
        <w:t xml:space="preserve">, </w:t>
      </w:r>
      <w:r w:rsidRPr="00AB36A0">
        <w:t>at</w:t>
      </w:r>
      <w:r>
        <w:rPr>
          <w:i/>
        </w:rPr>
        <w:t xml:space="preserve"> ¶120.</w:t>
      </w:r>
    </w:p>
  </w:footnote>
  <w:footnote w:id="9">
    <w:p w14:paraId="6B71E475" w14:textId="34910F28" w:rsidR="00C96346" w:rsidRDefault="00C96346">
      <w:pPr>
        <w:pStyle w:val="FootnoteText"/>
      </w:pPr>
      <w:r>
        <w:rPr>
          <w:rStyle w:val="FootnoteReference"/>
        </w:rPr>
        <w:footnoteRef/>
      </w:r>
      <w:r>
        <w:t xml:space="preserve"> </w:t>
      </w:r>
      <w:r>
        <w:rPr>
          <w:i/>
        </w:rPr>
        <w:t>Id</w:t>
      </w:r>
      <w:r w:rsidR="005F5788">
        <w:rPr>
          <w:i/>
        </w:rPr>
        <w:t>.</w:t>
      </w:r>
      <w:r>
        <w:rPr>
          <w:i/>
        </w:rPr>
        <w:t xml:space="preserve">, </w:t>
      </w:r>
      <w:r w:rsidRPr="00AB36A0">
        <w:t>at</w:t>
      </w:r>
      <w:r>
        <w:rPr>
          <w:i/>
        </w:rPr>
        <w:t xml:space="preserve"> ¶174.</w:t>
      </w:r>
    </w:p>
  </w:footnote>
  <w:footnote w:id="10">
    <w:p w14:paraId="0B563D64" w14:textId="0124339E" w:rsidR="00C96346" w:rsidRDefault="00C96346">
      <w:pPr>
        <w:pStyle w:val="FootnoteText"/>
      </w:pPr>
      <w:r>
        <w:rPr>
          <w:rStyle w:val="FootnoteReference"/>
        </w:rPr>
        <w:footnoteRef/>
      </w:r>
      <w:r>
        <w:t xml:space="preserve"> </w:t>
      </w:r>
      <w:r>
        <w:rPr>
          <w:i/>
        </w:rPr>
        <w:t>Id</w:t>
      </w:r>
      <w:r w:rsidR="005F5788">
        <w:rPr>
          <w:i/>
        </w:rPr>
        <w:t>.</w:t>
      </w:r>
      <w:r>
        <w:rPr>
          <w:i/>
        </w:rPr>
        <w:t xml:space="preserve">, </w:t>
      </w:r>
      <w:r w:rsidRPr="00AB36A0">
        <w:t>at</w:t>
      </w:r>
      <w:r>
        <w:rPr>
          <w:i/>
        </w:rPr>
        <w:t xml:space="preserve"> ¶12.</w:t>
      </w:r>
    </w:p>
  </w:footnote>
  <w:footnote w:id="11">
    <w:p w14:paraId="067DD390" w14:textId="77777777" w:rsidR="00C96346" w:rsidRDefault="00C96346" w:rsidP="001E1215">
      <w:pPr>
        <w:pStyle w:val="FootnoteText"/>
      </w:pPr>
      <w:r>
        <w:rPr>
          <w:rStyle w:val="FootnoteReference"/>
        </w:rPr>
        <w:footnoteRef/>
      </w:r>
      <w:r>
        <w:t xml:space="preserve"> Docket Nos. UE-150204 and UG-150205, Order 05, Table A1 at pg. 96.</w:t>
      </w:r>
    </w:p>
  </w:footnote>
  <w:footnote w:id="12">
    <w:p w14:paraId="2429F190" w14:textId="77777777" w:rsidR="00C96346" w:rsidRDefault="00C96346">
      <w:pPr>
        <w:pStyle w:val="FootnoteText"/>
      </w:pPr>
      <w:r>
        <w:rPr>
          <w:rStyle w:val="FootnoteReference"/>
        </w:rPr>
        <w:footnoteRef/>
      </w:r>
      <w:r>
        <w:t xml:space="preserve"> Avista’s power cost supply update applied to its revised revenue requirement proposed on rebuttal (Exhibit No. EMA-6) results in a revenue requirement of approximately $8.5 million. </w:t>
      </w:r>
    </w:p>
  </w:footnote>
  <w:footnote w:id="13">
    <w:p w14:paraId="7824E844" w14:textId="77777777" w:rsidR="00C96346" w:rsidRDefault="00C96346" w:rsidP="000F335F">
      <w:pPr>
        <w:pStyle w:val="FootnoteText"/>
      </w:pPr>
      <w:r>
        <w:rPr>
          <w:rStyle w:val="FootnoteReference"/>
        </w:rPr>
        <w:footnoteRef/>
      </w:r>
      <w:r>
        <w:t xml:space="preserve"> The pro forma revenue requirement was derived from Order 05, Table A1. </w:t>
      </w:r>
    </w:p>
  </w:footnote>
  <w:footnote w:id="14">
    <w:p w14:paraId="3AEF796E" w14:textId="77777777" w:rsidR="00C96346" w:rsidRPr="00F37C78" w:rsidRDefault="00C96346" w:rsidP="000F335F">
      <w:pPr>
        <w:pStyle w:val="FootnoteText"/>
        <w:rPr>
          <w:i/>
        </w:rPr>
      </w:pPr>
      <w:r>
        <w:rPr>
          <w:rStyle w:val="FootnoteReference"/>
        </w:rPr>
        <w:footnoteRef/>
      </w:r>
      <w:r>
        <w:t xml:space="preserve"> </w:t>
      </w:r>
      <w:r>
        <w:rPr>
          <w:i/>
        </w:rPr>
        <w:t xml:space="preserve">Id. </w:t>
      </w:r>
    </w:p>
  </w:footnote>
  <w:footnote w:id="15">
    <w:p w14:paraId="10124D33" w14:textId="77777777" w:rsidR="00C96346" w:rsidRDefault="00C96346" w:rsidP="00BF6D6F">
      <w:pPr>
        <w:pStyle w:val="FootnoteText"/>
      </w:pPr>
      <w:r>
        <w:rPr>
          <w:rStyle w:val="FootnoteReference"/>
        </w:rPr>
        <w:footnoteRef/>
      </w:r>
      <w:r>
        <w:t xml:space="preserve"> </w:t>
      </w:r>
      <w:r w:rsidRPr="00BF6D6F">
        <w:rPr>
          <w:i/>
        </w:rPr>
        <w:t xml:space="preserve">See </w:t>
      </w:r>
      <w:r w:rsidRPr="00016183">
        <w:t>¶¶</w:t>
      </w:r>
      <w:r>
        <w:t xml:space="preserve"> 132 and 134 for example. </w:t>
      </w:r>
    </w:p>
  </w:footnote>
  <w:footnote w:id="16">
    <w:p w14:paraId="0E2ADD56" w14:textId="69D3A882" w:rsidR="00C96346" w:rsidRDefault="00C96346" w:rsidP="008204F5">
      <w:pPr>
        <w:pStyle w:val="FootnoteText"/>
      </w:pPr>
      <w:r>
        <w:rPr>
          <w:rStyle w:val="FootnoteReference"/>
        </w:rPr>
        <w:footnoteRef/>
      </w:r>
      <w:r>
        <w:t xml:space="preserve"> </w:t>
      </w:r>
      <w:r>
        <w:rPr>
          <w:i/>
        </w:rPr>
        <w:t xml:space="preserve">Fed.  Power Comm 'n v. Hope Natural Gas Co., </w:t>
      </w:r>
      <w:r>
        <w:t xml:space="preserve">320 U.S. 591, 603, 64 S. Ct. 281, 88 L. Ed. 333 (1944) and </w:t>
      </w:r>
      <w:r>
        <w:rPr>
          <w:i/>
        </w:rPr>
        <w:t>Bluefield Water Works &amp; Imp. Co. v. Public Serv. Comm'n</w:t>
      </w:r>
      <w:r>
        <w:t>, 262 U.S. 679, 692, 43 S.Ct. 675, 67 L.Ed. 1176 (1923).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EA6"/>
    <w:multiLevelType w:val="hybridMultilevel"/>
    <w:tmpl w:val="F2C8AD0C"/>
    <w:lvl w:ilvl="0" w:tplc="2FF2E1C6">
      <w:start w:val="2"/>
      <w:numFmt w:val="upperLetter"/>
      <w:lvlText w:val="%1."/>
      <w:lvlJc w:val="left"/>
      <w:pPr>
        <w:ind w:left="4140"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E1232"/>
    <w:multiLevelType w:val="hybridMultilevel"/>
    <w:tmpl w:val="8074436C"/>
    <w:lvl w:ilvl="0" w:tplc="04090001">
      <w:start w:val="1"/>
      <w:numFmt w:val="bullet"/>
      <w:lvlText w:val=""/>
      <w:lvlJc w:val="left"/>
      <w:pPr>
        <w:ind w:left="720" w:hanging="360"/>
      </w:pPr>
      <w:rPr>
        <w:rFonts w:ascii="Symbol" w:hAnsi="Symbol"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46909"/>
    <w:multiLevelType w:val="hybridMultilevel"/>
    <w:tmpl w:val="295E6056"/>
    <w:lvl w:ilvl="0" w:tplc="F372E494">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C6084"/>
    <w:multiLevelType w:val="hybridMultilevel"/>
    <w:tmpl w:val="C806026E"/>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4" w15:restartNumberingAfterBreak="0">
    <w:nsid w:val="0E4E7BC3"/>
    <w:multiLevelType w:val="hybridMultilevel"/>
    <w:tmpl w:val="09847682"/>
    <w:lvl w:ilvl="0" w:tplc="E1423F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65DD9"/>
    <w:multiLevelType w:val="hybridMultilevel"/>
    <w:tmpl w:val="13A61D3A"/>
    <w:lvl w:ilvl="0" w:tplc="F372E494">
      <w:start w:val="1"/>
      <w:numFmt w:val="decimal"/>
      <w:lvlText w:val="%1"/>
      <w:lvlJc w:val="left"/>
      <w:pPr>
        <w:ind w:left="720" w:hanging="360"/>
      </w:pPr>
      <w:rPr>
        <w:rFonts w:ascii="Times New Roman" w:hAnsi="Times New Roman"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006CE"/>
    <w:multiLevelType w:val="hybridMultilevel"/>
    <w:tmpl w:val="30F6A988"/>
    <w:lvl w:ilvl="0" w:tplc="339C6236">
      <w:start w:val="3"/>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D39B6"/>
    <w:multiLevelType w:val="hybridMultilevel"/>
    <w:tmpl w:val="620CEF6A"/>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8" w15:restartNumberingAfterBreak="0">
    <w:nsid w:val="1AB4233C"/>
    <w:multiLevelType w:val="hybridMultilevel"/>
    <w:tmpl w:val="C38EA880"/>
    <w:lvl w:ilvl="0" w:tplc="F372E494">
      <w:start w:val="1"/>
      <w:numFmt w:val="decimal"/>
      <w:lvlText w:val="%1"/>
      <w:lvlJc w:val="left"/>
      <w:pPr>
        <w:ind w:left="720" w:hanging="360"/>
      </w:pPr>
      <w:rPr>
        <w:rFonts w:ascii="Times New Roman" w:hAnsi="Times New Roman"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8686C"/>
    <w:multiLevelType w:val="hybridMultilevel"/>
    <w:tmpl w:val="39C6B756"/>
    <w:lvl w:ilvl="0" w:tplc="F372E494">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6400D"/>
    <w:multiLevelType w:val="hybridMultilevel"/>
    <w:tmpl w:val="F252F526"/>
    <w:lvl w:ilvl="0" w:tplc="04090001">
      <w:start w:val="1"/>
      <w:numFmt w:val="bullet"/>
      <w:lvlText w:val=""/>
      <w:lvlJc w:val="left"/>
      <w:pPr>
        <w:ind w:left="720" w:hanging="360"/>
      </w:pPr>
      <w:rPr>
        <w:rFonts w:ascii="Symbol" w:hAnsi="Symbol"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660FA"/>
    <w:multiLevelType w:val="hybridMultilevel"/>
    <w:tmpl w:val="41F8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435B0"/>
    <w:multiLevelType w:val="hybridMultilevel"/>
    <w:tmpl w:val="6292D73E"/>
    <w:lvl w:ilvl="0" w:tplc="BB702F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6F96A83"/>
    <w:multiLevelType w:val="hybridMultilevel"/>
    <w:tmpl w:val="33DE5042"/>
    <w:lvl w:ilvl="0" w:tplc="7096A172">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AE743B"/>
    <w:multiLevelType w:val="hybridMultilevel"/>
    <w:tmpl w:val="99827A4A"/>
    <w:lvl w:ilvl="0" w:tplc="04090001">
      <w:start w:val="1"/>
      <w:numFmt w:val="bullet"/>
      <w:lvlText w:val=""/>
      <w:lvlJc w:val="left"/>
      <w:pPr>
        <w:ind w:left="720" w:hanging="360"/>
      </w:pPr>
      <w:rPr>
        <w:rFonts w:ascii="Symbol" w:hAnsi="Symbol"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415BB2"/>
    <w:multiLevelType w:val="hybridMultilevel"/>
    <w:tmpl w:val="ACB2AFFC"/>
    <w:lvl w:ilvl="0" w:tplc="04090015">
      <w:start w:val="1"/>
      <w:numFmt w:val="upp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6" w15:restartNumberingAfterBreak="0">
    <w:nsid w:val="5AD86BBE"/>
    <w:multiLevelType w:val="hybridMultilevel"/>
    <w:tmpl w:val="7A626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B534B9"/>
    <w:multiLevelType w:val="hybridMultilevel"/>
    <w:tmpl w:val="28B295B2"/>
    <w:lvl w:ilvl="0" w:tplc="B6568E1E">
      <w:start w:val="9"/>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FF2076"/>
    <w:multiLevelType w:val="hybridMultilevel"/>
    <w:tmpl w:val="CD5E4A96"/>
    <w:lvl w:ilvl="0" w:tplc="8E7A817C">
      <w:start w:val="1"/>
      <w:numFmt w:val="decimal"/>
      <w:lvlText w:val="%1"/>
      <w:lvlJc w:val="left"/>
      <w:pPr>
        <w:ind w:left="0" w:hanging="72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931AFC"/>
    <w:multiLevelType w:val="hybridMultilevel"/>
    <w:tmpl w:val="22F437B2"/>
    <w:lvl w:ilvl="0" w:tplc="F2624108">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AF1BAB"/>
    <w:multiLevelType w:val="hybridMultilevel"/>
    <w:tmpl w:val="2B1AF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C31A6C"/>
    <w:multiLevelType w:val="hybridMultilevel"/>
    <w:tmpl w:val="AF9EECB8"/>
    <w:lvl w:ilvl="0" w:tplc="B6568E1E">
      <w:start w:val="9"/>
      <w:numFmt w:val="decimal"/>
      <w:lvlText w:val="%1"/>
      <w:lvlJc w:val="left"/>
      <w:pPr>
        <w:ind w:left="723" w:hanging="72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2" w15:restartNumberingAfterBreak="0">
    <w:nsid w:val="77747257"/>
    <w:multiLevelType w:val="hybridMultilevel"/>
    <w:tmpl w:val="D3782792"/>
    <w:lvl w:ilvl="0" w:tplc="DD606D70">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3" w15:restartNumberingAfterBreak="0">
    <w:nsid w:val="7F1A551F"/>
    <w:multiLevelType w:val="hybridMultilevel"/>
    <w:tmpl w:val="D720A0BE"/>
    <w:lvl w:ilvl="0" w:tplc="CA7EF552">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num w:numId="1">
    <w:abstractNumId w:val="8"/>
  </w:num>
  <w:num w:numId="2">
    <w:abstractNumId w:val="13"/>
  </w:num>
  <w:num w:numId="3">
    <w:abstractNumId w:val="12"/>
  </w:num>
  <w:num w:numId="4">
    <w:abstractNumId w:val="15"/>
  </w:num>
  <w:num w:numId="5">
    <w:abstractNumId w:val="6"/>
  </w:num>
  <w:num w:numId="6">
    <w:abstractNumId w:val="0"/>
  </w:num>
  <w:num w:numId="7">
    <w:abstractNumId w:val="11"/>
  </w:num>
  <w:num w:numId="8">
    <w:abstractNumId w:val="4"/>
  </w:num>
  <w:num w:numId="9">
    <w:abstractNumId w:val="16"/>
  </w:num>
  <w:num w:numId="10">
    <w:abstractNumId w:val="9"/>
  </w:num>
  <w:num w:numId="11">
    <w:abstractNumId w:val="5"/>
  </w:num>
  <w:num w:numId="12">
    <w:abstractNumId w:val="14"/>
  </w:num>
  <w:num w:numId="13">
    <w:abstractNumId w:val="1"/>
  </w:num>
  <w:num w:numId="14">
    <w:abstractNumId w:val="10"/>
  </w:num>
  <w:num w:numId="15">
    <w:abstractNumId w:val="23"/>
  </w:num>
  <w:num w:numId="16">
    <w:abstractNumId w:val="18"/>
  </w:num>
  <w:num w:numId="17">
    <w:abstractNumId w:val="20"/>
  </w:num>
  <w:num w:numId="18">
    <w:abstractNumId w:val="22"/>
  </w:num>
  <w:num w:numId="19">
    <w:abstractNumId w:val="2"/>
  </w:num>
  <w:num w:numId="20">
    <w:abstractNumId w:val="7"/>
  </w:num>
  <w:num w:numId="21">
    <w:abstractNumId w:val="3"/>
  </w:num>
  <w:num w:numId="22">
    <w:abstractNumId w:val="19"/>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A3"/>
    <w:rsid w:val="0000201B"/>
    <w:rsid w:val="00004313"/>
    <w:rsid w:val="000056E2"/>
    <w:rsid w:val="00011DA3"/>
    <w:rsid w:val="00014D18"/>
    <w:rsid w:val="00016073"/>
    <w:rsid w:val="00022932"/>
    <w:rsid w:val="00042AC1"/>
    <w:rsid w:val="000439DD"/>
    <w:rsid w:val="00043F91"/>
    <w:rsid w:val="00046A1F"/>
    <w:rsid w:val="00052821"/>
    <w:rsid w:val="000600E4"/>
    <w:rsid w:val="00061C66"/>
    <w:rsid w:val="00064503"/>
    <w:rsid w:val="00071B6C"/>
    <w:rsid w:val="00073F7E"/>
    <w:rsid w:val="00075829"/>
    <w:rsid w:val="00076BC4"/>
    <w:rsid w:val="00085303"/>
    <w:rsid w:val="000921F7"/>
    <w:rsid w:val="000A2D7C"/>
    <w:rsid w:val="000B4E81"/>
    <w:rsid w:val="000B6DFF"/>
    <w:rsid w:val="000C04CF"/>
    <w:rsid w:val="000D112E"/>
    <w:rsid w:val="000D3A97"/>
    <w:rsid w:val="000D5633"/>
    <w:rsid w:val="000E3B1E"/>
    <w:rsid w:val="000E5B46"/>
    <w:rsid w:val="000F335F"/>
    <w:rsid w:val="000F3A2C"/>
    <w:rsid w:val="000F6F8C"/>
    <w:rsid w:val="00107E37"/>
    <w:rsid w:val="00111EDF"/>
    <w:rsid w:val="00111FEB"/>
    <w:rsid w:val="00112B43"/>
    <w:rsid w:val="00114178"/>
    <w:rsid w:val="00126819"/>
    <w:rsid w:val="00130A4A"/>
    <w:rsid w:val="0013197F"/>
    <w:rsid w:val="00133FDE"/>
    <w:rsid w:val="0013502B"/>
    <w:rsid w:val="001351BD"/>
    <w:rsid w:val="00141625"/>
    <w:rsid w:val="00146AF6"/>
    <w:rsid w:val="00157663"/>
    <w:rsid w:val="00164C04"/>
    <w:rsid w:val="00165308"/>
    <w:rsid w:val="001733E7"/>
    <w:rsid w:val="00173BBB"/>
    <w:rsid w:val="00182B83"/>
    <w:rsid w:val="0018342C"/>
    <w:rsid w:val="0018500F"/>
    <w:rsid w:val="00185300"/>
    <w:rsid w:val="0019544B"/>
    <w:rsid w:val="001A52EF"/>
    <w:rsid w:val="001A7792"/>
    <w:rsid w:val="001B3EE9"/>
    <w:rsid w:val="001B6E16"/>
    <w:rsid w:val="001C0696"/>
    <w:rsid w:val="001C1DC0"/>
    <w:rsid w:val="001C3C91"/>
    <w:rsid w:val="001C7815"/>
    <w:rsid w:val="001D358C"/>
    <w:rsid w:val="001E1215"/>
    <w:rsid w:val="001E4381"/>
    <w:rsid w:val="001E4AA3"/>
    <w:rsid w:val="001F3914"/>
    <w:rsid w:val="001F6050"/>
    <w:rsid w:val="001F79A0"/>
    <w:rsid w:val="001F7B88"/>
    <w:rsid w:val="00204EA1"/>
    <w:rsid w:val="00206A39"/>
    <w:rsid w:val="002163AB"/>
    <w:rsid w:val="00221E58"/>
    <w:rsid w:val="00226752"/>
    <w:rsid w:val="002327D6"/>
    <w:rsid w:val="0024131F"/>
    <w:rsid w:val="00242B00"/>
    <w:rsid w:val="00246135"/>
    <w:rsid w:val="0024769D"/>
    <w:rsid w:val="00253553"/>
    <w:rsid w:val="002555EC"/>
    <w:rsid w:val="002561F6"/>
    <w:rsid w:val="0027340C"/>
    <w:rsid w:val="00274720"/>
    <w:rsid w:val="002857F0"/>
    <w:rsid w:val="002925C4"/>
    <w:rsid w:val="002940C1"/>
    <w:rsid w:val="00295AC6"/>
    <w:rsid w:val="00297113"/>
    <w:rsid w:val="00297E9C"/>
    <w:rsid w:val="002A37C9"/>
    <w:rsid w:val="002A5D1B"/>
    <w:rsid w:val="002B037A"/>
    <w:rsid w:val="002B2E9E"/>
    <w:rsid w:val="002B439A"/>
    <w:rsid w:val="002C17E0"/>
    <w:rsid w:val="002C3ACF"/>
    <w:rsid w:val="002E1CFF"/>
    <w:rsid w:val="002E634D"/>
    <w:rsid w:val="002E6C2C"/>
    <w:rsid w:val="002E7120"/>
    <w:rsid w:val="002F1F9F"/>
    <w:rsid w:val="002F2F11"/>
    <w:rsid w:val="002F333A"/>
    <w:rsid w:val="002F3CE1"/>
    <w:rsid w:val="00300F25"/>
    <w:rsid w:val="00307411"/>
    <w:rsid w:val="0031509B"/>
    <w:rsid w:val="0031742D"/>
    <w:rsid w:val="00321309"/>
    <w:rsid w:val="00325D0B"/>
    <w:rsid w:val="003269FA"/>
    <w:rsid w:val="00331B32"/>
    <w:rsid w:val="00333619"/>
    <w:rsid w:val="00337019"/>
    <w:rsid w:val="00337136"/>
    <w:rsid w:val="003405FF"/>
    <w:rsid w:val="0034560E"/>
    <w:rsid w:val="00350CAC"/>
    <w:rsid w:val="00352878"/>
    <w:rsid w:val="00353BDF"/>
    <w:rsid w:val="003550D5"/>
    <w:rsid w:val="003557EA"/>
    <w:rsid w:val="00362559"/>
    <w:rsid w:val="00371BA5"/>
    <w:rsid w:val="00387197"/>
    <w:rsid w:val="00396F98"/>
    <w:rsid w:val="003A1174"/>
    <w:rsid w:val="003A5151"/>
    <w:rsid w:val="003A5664"/>
    <w:rsid w:val="003A6685"/>
    <w:rsid w:val="003B3320"/>
    <w:rsid w:val="003B7720"/>
    <w:rsid w:val="003D30EA"/>
    <w:rsid w:val="003D7E44"/>
    <w:rsid w:val="003E364F"/>
    <w:rsid w:val="003F1A7E"/>
    <w:rsid w:val="003F1FDA"/>
    <w:rsid w:val="003F37C9"/>
    <w:rsid w:val="003F6A16"/>
    <w:rsid w:val="00404B38"/>
    <w:rsid w:val="004069BF"/>
    <w:rsid w:val="004110DA"/>
    <w:rsid w:val="004161B5"/>
    <w:rsid w:val="00417658"/>
    <w:rsid w:val="004268A3"/>
    <w:rsid w:val="004305C5"/>
    <w:rsid w:val="0043451C"/>
    <w:rsid w:val="004351D4"/>
    <w:rsid w:val="00441B95"/>
    <w:rsid w:val="00452AE9"/>
    <w:rsid w:val="00454019"/>
    <w:rsid w:val="00467EA3"/>
    <w:rsid w:val="00470B0D"/>
    <w:rsid w:val="00472402"/>
    <w:rsid w:val="00474D9F"/>
    <w:rsid w:val="004823FF"/>
    <w:rsid w:val="004965D5"/>
    <w:rsid w:val="004A1AD8"/>
    <w:rsid w:val="004A1F6F"/>
    <w:rsid w:val="004A536D"/>
    <w:rsid w:val="004A5DDC"/>
    <w:rsid w:val="004B6234"/>
    <w:rsid w:val="004B6CE9"/>
    <w:rsid w:val="004C4EFB"/>
    <w:rsid w:val="004C635D"/>
    <w:rsid w:val="004C6D0D"/>
    <w:rsid w:val="004D2661"/>
    <w:rsid w:val="004D4309"/>
    <w:rsid w:val="004D772E"/>
    <w:rsid w:val="004E72B0"/>
    <w:rsid w:val="004F0407"/>
    <w:rsid w:val="004F2EB5"/>
    <w:rsid w:val="004F3762"/>
    <w:rsid w:val="004F4AA7"/>
    <w:rsid w:val="004F5589"/>
    <w:rsid w:val="004F6224"/>
    <w:rsid w:val="00504ACE"/>
    <w:rsid w:val="005056C5"/>
    <w:rsid w:val="00513279"/>
    <w:rsid w:val="00521470"/>
    <w:rsid w:val="0052149F"/>
    <w:rsid w:val="00522D6F"/>
    <w:rsid w:val="00533DE4"/>
    <w:rsid w:val="00534CF5"/>
    <w:rsid w:val="00536F67"/>
    <w:rsid w:val="00551A88"/>
    <w:rsid w:val="0055547B"/>
    <w:rsid w:val="0056083A"/>
    <w:rsid w:val="00565B2F"/>
    <w:rsid w:val="00587278"/>
    <w:rsid w:val="00590114"/>
    <w:rsid w:val="00597129"/>
    <w:rsid w:val="005A2A63"/>
    <w:rsid w:val="005A3233"/>
    <w:rsid w:val="005A69D0"/>
    <w:rsid w:val="005B0DFA"/>
    <w:rsid w:val="005B6E39"/>
    <w:rsid w:val="005C0877"/>
    <w:rsid w:val="005C2BAD"/>
    <w:rsid w:val="005C31CC"/>
    <w:rsid w:val="005C51A2"/>
    <w:rsid w:val="005C7A71"/>
    <w:rsid w:val="005D633B"/>
    <w:rsid w:val="005D6ED0"/>
    <w:rsid w:val="005E590C"/>
    <w:rsid w:val="005F1F36"/>
    <w:rsid w:val="005F5788"/>
    <w:rsid w:val="005F5CFF"/>
    <w:rsid w:val="00604FB6"/>
    <w:rsid w:val="00606650"/>
    <w:rsid w:val="00610D9F"/>
    <w:rsid w:val="006238AE"/>
    <w:rsid w:val="006339E5"/>
    <w:rsid w:val="00634084"/>
    <w:rsid w:val="00635D40"/>
    <w:rsid w:val="00636B58"/>
    <w:rsid w:val="006419DE"/>
    <w:rsid w:val="00643B5C"/>
    <w:rsid w:val="00645494"/>
    <w:rsid w:val="006455D5"/>
    <w:rsid w:val="00645B4F"/>
    <w:rsid w:val="00650740"/>
    <w:rsid w:val="00651D6A"/>
    <w:rsid w:val="0065224E"/>
    <w:rsid w:val="00653278"/>
    <w:rsid w:val="00655692"/>
    <w:rsid w:val="006615AD"/>
    <w:rsid w:val="00663591"/>
    <w:rsid w:val="006742AA"/>
    <w:rsid w:val="00677AE2"/>
    <w:rsid w:val="0068115E"/>
    <w:rsid w:val="0068182E"/>
    <w:rsid w:val="00683296"/>
    <w:rsid w:val="00686DF8"/>
    <w:rsid w:val="0068796D"/>
    <w:rsid w:val="00691384"/>
    <w:rsid w:val="0069233D"/>
    <w:rsid w:val="006A5D82"/>
    <w:rsid w:val="006B182F"/>
    <w:rsid w:val="006B3C65"/>
    <w:rsid w:val="006B6519"/>
    <w:rsid w:val="006C6EB5"/>
    <w:rsid w:val="006D1609"/>
    <w:rsid w:val="006D25DE"/>
    <w:rsid w:val="006D2DFF"/>
    <w:rsid w:val="006E5F04"/>
    <w:rsid w:val="006F213D"/>
    <w:rsid w:val="006F7132"/>
    <w:rsid w:val="006F7D80"/>
    <w:rsid w:val="007001F0"/>
    <w:rsid w:val="00701312"/>
    <w:rsid w:val="00705F9D"/>
    <w:rsid w:val="00707C07"/>
    <w:rsid w:val="007130B7"/>
    <w:rsid w:val="0071456F"/>
    <w:rsid w:val="0071535F"/>
    <w:rsid w:val="00726FEF"/>
    <w:rsid w:val="0073205A"/>
    <w:rsid w:val="00733F79"/>
    <w:rsid w:val="00735737"/>
    <w:rsid w:val="007407C0"/>
    <w:rsid w:val="00742694"/>
    <w:rsid w:val="00743B0D"/>
    <w:rsid w:val="007504D1"/>
    <w:rsid w:val="00750F5C"/>
    <w:rsid w:val="00766B08"/>
    <w:rsid w:val="00767244"/>
    <w:rsid w:val="007675A5"/>
    <w:rsid w:val="007709D9"/>
    <w:rsid w:val="00774EC5"/>
    <w:rsid w:val="00783790"/>
    <w:rsid w:val="007853F2"/>
    <w:rsid w:val="00795AFF"/>
    <w:rsid w:val="00795CDA"/>
    <w:rsid w:val="00796A12"/>
    <w:rsid w:val="007B00F3"/>
    <w:rsid w:val="007B464D"/>
    <w:rsid w:val="007B715E"/>
    <w:rsid w:val="007C0A5D"/>
    <w:rsid w:val="007C1BE8"/>
    <w:rsid w:val="007D0141"/>
    <w:rsid w:val="007D34FF"/>
    <w:rsid w:val="007D4B4A"/>
    <w:rsid w:val="007E1904"/>
    <w:rsid w:val="007E2F74"/>
    <w:rsid w:val="007E49A4"/>
    <w:rsid w:val="007E792F"/>
    <w:rsid w:val="007F18DB"/>
    <w:rsid w:val="007F44DC"/>
    <w:rsid w:val="007F72D9"/>
    <w:rsid w:val="008075C8"/>
    <w:rsid w:val="00807ACD"/>
    <w:rsid w:val="00810CAF"/>
    <w:rsid w:val="008132F7"/>
    <w:rsid w:val="008204F5"/>
    <w:rsid w:val="00822FA9"/>
    <w:rsid w:val="008241F6"/>
    <w:rsid w:val="00824E35"/>
    <w:rsid w:val="008264CE"/>
    <w:rsid w:val="00851E5B"/>
    <w:rsid w:val="00855264"/>
    <w:rsid w:val="00856A39"/>
    <w:rsid w:val="0086237A"/>
    <w:rsid w:val="008633E0"/>
    <w:rsid w:val="00863DBA"/>
    <w:rsid w:val="00881ADA"/>
    <w:rsid w:val="00882D79"/>
    <w:rsid w:val="00891317"/>
    <w:rsid w:val="008C32B0"/>
    <w:rsid w:val="008C4838"/>
    <w:rsid w:val="008C7086"/>
    <w:rsid w:val="008C7A6C"/>
    <w:rsid w:val="008D77BB"/>
    <w:rsid w:val="008E0439"/>
    <w:rsid w:val="008E263E"/>
    <w:rsid w:val="008E2B98"/>
    <w:rsid w:val="008E7288"/>
    <w:rsid w:val="008E7296"/>
    <w:rsid w:val="008F1D5E"/>
    <w:rsid w:val="008F3FBF"/>
    <w:rsid w:val="008F6352"/>
    <w:rsid w:val="00912584"/>
    <w:rsid w:val="009141CE"/>
    <w:rsid w:val="009146B4"/>
    <w:rsid w:val="0093070A"/>
    <w:rsid w:val="00937F7C"/>
    <w:rsid w:val="00951822"/>
    <w:rsid w:val="009522CA"/>
    <w:rsid w:val="00953D90"/>
    <w:rsid w:val="009626D2"/>
    <w:rsid w:val="0097485F"/>
    <w:rsid w:val="00982C31"/>
    <w:rsid w:val="00983AC8"/>
    <w:rsid w:val="0098677E"/>
    <w:rsid w:val="00997207"/>
    <w:rsid w:val="009A1837"/>
    <w:rsid w:val="009A21E2"/>
    <w:rsid w:val="009A2221"/>
    <w:rsid w:val="009A33E8"/>
    <w:rsid w:val="009B262A"/>
    <w:rsid w:val="009B3CD9"/>
    <w:rsid w:val="009B4EDE"/>
    <w:rsid w:val="009B5CAF"/>
    <w:rsid w:val="009B5D76"/>
    <w:rsid w:val="009C4156"/>
    <w:rsid w:val="009D09C5"/>
    <w:rsid w:val="009D5713"/>
    <w:rsid w:val="009D6749"/>
    <w:rsid w:val="009E012B"/>
    <w:rsid w:val="009E44D2"/>
    <w:rsid w:val="009F6F65"/>
    <w:rsid w:val="00A03D15"/>
    <w:rsid w:val="00A10516"/>
    <w:rsid w:val="00A14E42"/>
    <w:rsid w:val="00A16FC7"/>
    <w:rsid w:val="00A172D7"/>
    <w:rsid w:val="00A17D51"/>
    <w:rsid w:val="00A22D5B"/>
    <w:rsid w:val="00A24B08"/>
    <w:rsid w:val="00A30097"/>
    <w:rsid w:val="00A326A9"/>
    <w:rsid w:val="00A32704"/>
    <w:rsid w:val="00A35FE3"/>
    <w:rsid w:val="00A3643E"/>
    <w:rsid w:val="00A54C93"/>
    <w:rsid w:val="00A56642"/>
    <w:rsid w:val="00A659CF"/>
    <w:rsid w:val="00A66738"/>
    <w:rsid w:val="00A67A81"/>
    <w:rsid w:val="00A7320A"/>
    <w:rsid w:val="00A739EA"/>
    <w:rsid w:val="00A8192F"/>
    <w:rsid w:val="00A83C19"/>
    <w:rsid w:val="00A86F81"/>
    <w:rsid w:val="00AA2C90"/>
    <w:rsid w:val="00AA3358"/>
    <w:rsid w:val="00AA5E7F"/>
    <w:rsid w:val="00AB0163"/>
    <w:rsid w:val="00AB1E9C"/>
    <w:rsid w:val="00AB26FC"/>
    <w:rsid w:val="00AB28D5"/>
    <w:rsid w:val="00AB34D9"/>
    <w:rsid w:val="00AB3607"/>
    <w:rsid w:val="00AB36A0"/>
    <w:rsid w:val="00AB6F4E"/>
    <w:rsid w:val="00AB70A6"/>
    <w:rsid w:val="00AC2013"/>
    <w:rsid w:val="00AC666C"/>
    <w:rsid w:val="00AD1407"/>
    <w:rsid w:val="00AD2493"/>
    <w:rsid w:val="00AE0EDC"/>
    <w:rsid w:val="00AF5076"/>
    <w:rsid w:val="00AF533B"/>
    <w:rsid w:val="00AF7BCD"/>
    <w:rsid w:val="00AF7D7D"/>
    <w:rsid w:val="00B02131"/>
    <w:rsid w:val="00B02553"/>
    <w:rsid w:val="00B05287"/>
    <w:rsid w:val="00B06DE4"/>
    <w:rsid w:val="00B101FA"/>
    <w:rsid w:val="00B22FD7"/>
    <w:rsid w:val="00B24F43"/>
    <w:rsid w:val="00B2670F"/>
    <w:rsid w:val="00B30845"/>
    <w:rsid w:val="00B35105"/>
    <w:rsid w:val="00B37087"/>
    <w:rsid w:val="00B45F7A"/>
    <w:rsid w:val="00B67BF5"/>
    <w:rsid w:val="00B70FCA"/>
    <w:rsid w:val="00B94256"/>
    <w:rsid w:val="00B94808"/>
    <w:rsid w:val="00B96AC2"/>
    <w:rsid w:val="00BA0A82"/>
    <w:rsid w:val="00BA2AF2"/>
    <w:rsid w:val="00BA2D7E"/>
    <w:rsid w:val="00BA46C4"/>
    <w:rsid w:val="00BB5C33"/>
    <w:rsid w:val="00BB7328"/>
    <w:rsid w:val="00BC3332"/>
    <w:rsid w:val="00BC7B33"/>
    <w:rsid w:val="00BD17A2"/>
    <w:rsid w:val="00BD29A3"/>
    <w:rsid w:val="00BD62DD"/>
    <w:rsid w:val="00BE1FCD"/>
    <w:rsid w:val="00BE4F79"/>
    <w:rsid w:val="00BE7029"/>
    <w:rsid w:val="00BE7E5C"/>
    <w:rsid w:val="00BF06A1"/>
    <w:rsid w:val="00BF2ACB"/>
    <w:rsid w:val="00BF422A"/>
    <w:rsid w:val="00BF6D6F"/>
    <w:rsid w:val="00C03E1A"/>
    <w:rsid w:val="00C07020"/>
    <w:rsid w:val="00C161D2"/>
    <w:rsid w:val="00C170A4"/>
    <w:rsid w:val="00C22311"/>
    <w:rsid w:val="00C274FA"/>
    <w:rsid w:val="00C32141"/>
    <w:rsid w:val="00C36F06"/>
    <w:rsid w:val="00C4049A"/>
    <w:rsid w:val="00C42493"/>
    <w:rsid w:val="00C4331E"/>
    <w:rsid w:val="00C53B4D"/>
    <w:rsid w:val="00C55F3A"/>
    <w:rsid w:val="00C70E44"/>
    <w:rsid w:val="00C7273C"/>
    <w:rsid w:val="00C859AE"/>
    <w:rsid w:val="00C86913"/>
    <w:rsid w:val="00C86CDC"/>
    <w:rsid w:val="00C91FA3"/>
    <w:rsid w:val="00C92047"/>
    <w:rsid w:val="00C92CEB"/>
    <w:rsid w:val="00C96346"/>
    <w:rsid w:val="00CA1DDE"/>
    <w:rsid w:val="00CA7312"/>
    <w:rsid w:val="00CB02B5"/>
    <w:rsid w:val="00CC0651"/>
    <w:rsid w:val="00CC1530"/>
    <w:rsid w:val="00CD119E"/>
    <w:rsid w:val="00CD2481"/>
    <w:rsid w:val="00CD366C"/>
    <w:rsid w:val="00CE045E"/>
    <w:rsid w:val="00CE1811"/>
    <w:rsid w:val="00CE2622"/>
    <w:rsid w:val="00CE30F5"/>
    <w:rsid w:val="00CE3A4A"/>
    <w:rsid w:val="00CF3D26"/>
    <w:rsid w:val="00CF51C3"/>
    <w:rsid w:val="00CF7450"/>
    <w:rsid w:val="00CF7CD2"/>
    <w:rsid w:val="00D0341F"/>
    <w:rsid w:val="00D05391"/>
    <w:rsid w:val="00D06E38"/>
    <w:rsid w:val="00D07AA1"/>
    <w:rsid w:val="00D1084C"/>
    <w:rsid w:val="00D16BCD"/>
    <w:rsid w:val="00D211BD"/>
    <w:rsid w:val="00D30279"/>
    <w:rsid w:val="00D311AE"/>
    <w:rsid w:val="00D32386"/>
    <w:rsid w:val="00D422CC"/>
    <w:rsid w:val="00D465CC"/>
    <w:rsid w:val="00D46D11"/>
    <w:rsid w:val="00D676CD"/>
    <w:rsid w:val="00D736B8"/>
    <w:rsid w:val="00D81909"/>
    <w:rsid w:val="00D82236"/>
    <w:rsid w:val="00D82C67"/>
    <w:rsid w:val="00D8389B"/>
    <w:rsid w:val="00D859A5"/>
    <w:rsid w:val="00D863D2"/>
    <w:rsid w:val="00D947AA"/>
    <w:rsid w:val="00D97C02"/>
    <w:rsid w:val="00DA0EA5"/>
    <w:rsid w:val="00DB01A0"/>
    <w:rsid w:val="00DB234D"/>
    <w:rsid w:val="00DC289A"/>
    <w:rsid w:val="00DC2CB0"/>
    <w:rsid w:val="00DC5823"/>
    <w:rsid w:val="00DD145F"/>
    <w:rsid w:val="00DD6067"/>
    <w:rsid w:val="00DE45E1"/>
    <w:rsid w:val="00DF1513"/>
    <w:rsid w:val="00DF1C33"/>
    <w:rsid w:val="00DF66AE"/>
    <w:rsid w:val="00DF7B1B"/>
    <w:rsid w:val="00E053B2"/>
    <w:rsid w:val="00E06D5E"/>
    <w:rsid w:val="00E07191"/>
    <w:rsid w:val="00E14338"/>
    <w:rsid w:val="00E2016E"/>
    <w:rsid w:val="00E223DA"/>
    <w:rsid w:val="00E23132"/>
    <w:rsid w:val="00E32C22"/>
    <w:rsid w:val="00E3764C"/>
    <w:rsid w:val="00E40FB2"/>
    <w:rsid w:val="00E5126C"/>
    <w:rsid w:val="00E51996"/>
    <w:rsid w:val="00E53E38"/>
    <w:rsid w:val="00E6234D"/>
    <w:rsid w:val="00E666A7"/>
    <w:rsid w:val="00E7168A"/>
    <w:rsid w:val="00E7185C"/>
    <w:rsid w:val="00E815CB"/>
    <w:rsid w:val="00E83B80"/>
    <w:rsid w:val="00E84677"/>
    <w:rsid w:val="00E85E59"/>
    <w:rsid w:val="00E94ACC"/>
    <w:rsid w:val="00EA17AE"/>
    <w:rsid w:val="00EB2164"/>
    <w:rsid w:val="00EC4566"/>
    <w:rsid w:val="00ED0558"/>
    <w:rsid w:val="00ED0918"/>
    <w:rsid w:val="00ED1F01"/>
    <w:rsid w:val="00ED1FB0"/>
    <w:rsid w:val="00ED2378"/>
    <w:rsid w:val="00ED3A74"/>
    <w:rsid w:val="00ED4591"/>
    <w:rsid w:val="00ED65B7"/>
    <w:rsid w:val="00ED7D3A"/>
    <w:rsid w:val="00EE2F9C"/>
    <w:rsid w:val="00F025FB"/>
    <w:rsid w:val="00F07985"/>
    <w:rsid w:val="00F100DA"/>
    <w:rsid w:val="00F27B12"/>
    <w:rsid w:val="00F34DF8"/>
    <w:rsid w:val="00F43BA5"/>
    <w:rsid w:val="00F4445A"/>
    <w:rsid w:val="00F47B15"/>
    <w:rsid w:val="00F47E91"/>
    <w:rsid w:val="00F5062C"/>
    <w:rsid w:val="00F515C2"/>
    <w:rsid w:val="00F53161"/>
    <w:rsid w:val="00F54181"/>
    <w:rsid w:val="00F5748F"/>
    <w:rsid w:val="00F77E0E"/>
    <w:rsid w:val="00F77F2D"/>
    <w:rsid w:val="00F808AA"/>
    <w:rsid w:val="00F93B3C"/>
    <w:rsid w:val="00F961EE"/>
    <w:rsid w:val="00F97159"/>
    <w:rsid w:val="00FB2B3E"/>
    <w:rsid w:val="00FB4633"/>
    <w:rsid w:val="00FC2190"/>
    <w:rsid w:val="00FC5C1A"/>
    <w:rsid w:val="00FD6156"/>
    <w:rsid w:val="00FD6C8A"/>
    <w:rsid w:val="00FD7F2E"/>
    <w:rsid w:val="00FE503F"/>
    <w:rsid w:val="00FE653C"/>
    <w:rsid w:val="00FF0D7A"/>
    <w:rsid w:val="00FF536E"/>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BEB35"/>
  <w15:chartTrackingRefBased/>
  <w15:docId w15:val="{6AEBAC79-5889-4EF6-88CE-CD7AD544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AC1"/>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4AA3"/>
    <w:pPr>
      <w:tabs>
        <w:tab w:val="center" w:pos="4320"/>
        <w:tab w:val="right" w:pos="8640"/>
      </w:tabs>
    </w:pPr>
  </w:style>
  <w:style w:type="character" w:customStyle="1" w:styleId="HeaderChar">
    <w:name w:val="Header Char"/>
    <w:basedOn w:val="DefaultParagraphFont"/>
    <w:link w:val="Header"/>
    <w:rsid w:val="001E4AA3"/>
    <w:rPr>
      <w:rFonts w:eastAsia="Times New Roman"/>
    </w:rPr>
  </w:style>
  <w:style w:type="paragraph" w:styleId="Title">
    <w:name w:val="Title"/>
    <w:basedOn w:val="Normal"/>
    <w:link w:val="TitleChar"/>
    <w:qFormat/>
    <w:rsid w:val="001E4AA3"/>
    <w:pPr>
      <w:jc w:val="center"/>
    </w:pPr>
    <w:rPr>
      <w:b/>
      <w:bCs/>
    </w:rPr>
  </w:style>
  <w:style w:type="character" w:customStyle="1" w:styleId="TitleChar">
    <w:name w:val="Title Char"/>
    <w:basedOn w:val="DefaultParagraphFont"/>
    <w:link w:val="Title"/>
    <w:rsid w:val="001E4AA3"/>
    <w:rPr>
      <w:rFonts w:ascii="Palatino Linotype" w:eastAsia="Times New Roman" w:hAnsi="Palatino Linotype"/>
      <w:b/>
      <w:bCs/>
    </w:rPr>
  </w:style>
  <w:style w:type="paragraph" w:styleId="ListParagraph">
    <w:name w:val="List Paragraph"/>
    <w:basedOn w:val="Normal"/>
    <w:uiPriority w:val="34"/>
    <w:qFormat/>
    <w:rsid w:val="00321309"/>
    <w:pPr>
      <w:ind w:left="720"/>
      <w:contextualSpacing/>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n,f,1"/>
    <w:basedOn w:val="Normal"/>
    <w:link w:val="FootnoteTextChar"/>
    <w:uiPriority w:val="99"/>
    <w:unhideWhenUsed/>
    <w:qFormat/>
    <w:rsid w:val="00321309"/>
    <w:rPr>
      <w:rFonts w:eastAsiaTheme="minorHAnsi"/>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uiPriority w:val="99"/>
    <w:rsid w:val="00321309"/>
    <w:rPr>
      <w:sz w:val="20"/>
      <w:szCs w:val="20"/>
    </w:rPr>
  </w:style>
  <w:style w:type="character" w:styleId="FootnoteReference">
    <w:name w:val="footnote reference"/>
    <w:basedOn w:val="DefaultParagraphFont"/>
    <w:uiPriority w:val="99"/>
    <w:unhideWhenUsed/>
    <w:qFormat/>
    <w:rsid w:val="00321309"/>
    <w:rPr>
      <w:vertAlign w:val="superscript"/>
    </w:rPr>
  </w:style>
  <w:style w:type="character" w:customStyle="1" w:styleId="sssh">
    <w:name w:val="ss_sh"/>
    <w:basedOn w:val="DefaultParagraphFont"/>
    <w:rsid w:val="00321309"/>
  </w:style>
  <w:style w:type="character" w:styleId="CommentReference">
    <w:name w:val="annotation reference"/>
    <w:basedOn w:val="DefaultParagraphFont"/>
    <w:semiHidden/>
    <w:unhideWhenUsed/>
    <w:rsid w:val="00321309"/>
    <w:rPr>
      <w:sz w:val="16"/>
      <w:szCs w:val="16"/>
    </w:rPr>
  </w:style>
  <w:style w:type="paragraph" w:styleId="CommentText">
    <w:name w:val="annotation text"/>
    <w:basedOn w:val="Normal"/>
    <w:link w:val="CommentTextChar"/>
    <w:semiHidden/>
    <w:unhideWhenUsed/>
    <w:rsid w:val="00321309"/>
    <w:rPr>
      <w:sz w:val="20"/>
      <w:szCs w:val="20"/>
    </w:rPr>
  </w:style>
  <w:style w:type="character" w:customStyle="1" w:styleId="CommentTextChar">
    <w:name w:val="Comment Text Char"/>
    <w:basedOn w:val="DefaultParagraphFont"/>
    <w:link w:val="CommentText"/>
    <w:semiHidden/>
    <w:rsid w:val="00321309"/>
    <w:rPr>
      <w:rFonts w:eastAsia="Times New Roman"/>
      <w:sz w:val="20"/>
      <w:szCs w:val="20"/>
    </w:rPr>
  </w:style>
  <w:style w:type="paragraph" w:styleId="BalloonText">
    <w:name w:val="Balloon Text"/>
    <w:basedOn w:val="Normal"/>
    <w:link w:val="BalloonTextChar"/>
    <w:uiPriority w:val="99"/>
    <w:semiHidden/>
    <w:unhideWhenUsed/>
    <w:rsid w:val="00321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309"/>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E7E5C"/>
    <w:rPr>
      <w:rFonts w:ascii="Palatino Linotype" w:hAnsi="Palatino Linotype"/>
      <w:b/>
      <w:bCs/>
    </w:rPr>
  </w:style>
  <w:style w:type="character" w:customStyle="1" w:styleId="CommentSubjectChar">
    <w:name w:val="Comment Subject Char"/>
    <w:basedOn w:val="CommentTextChar"/>
    <w:link w:val="CommentSubject"/>
    <w:uiPriority w:val="99"/>
    <w:semiHidden/>
    <w:rsid w:val="00BE7E5C"/>
    <w:rPr>
      <w:rFonts w:ascii="Palatino Linotype" w:eastAsia="Times New Roman" w:hAnsi="Palatino Linotype"/>
      <w:b/>
      <w:bCs/>
      <w:sz w:val="20"/>
      <w:szCs w:val="20"/>
    </w:rPr>
  </w:style>
  <w:style w:type="paragraph" w:styleId="Footer">
    <w:name w:val="footer"/>
    <w:basedOn w:val="Normal"/>
    <w:link w:val="FooterChar"/>
    <w:unhideWhenUsed/>
    <w:rsid w:val="004F3762"/>
    <w:pPr>
      <w:tabs>
        <w:tab w:val="center" w:pos="4680"/>
        <w:tab w:val="right" w:pos="9360"/>
      </w:tabs>
    </w:pPr>
  </w:style>
  <w:style w:type="character" w:customStyle="1" w:styleId="FooterChar">
    <w:name w:val="Footer Char"/>
    <w:basedOn w:val="DefaultParagraphFont"/>
    <w:link w:val="Footer"/>
    <w:uiPriority w:val="99"/>
    <w:rsid w:val="004F3762"/>
    <w:rPr>
      <w:rFonts w:ascii="Palatino Linotype" w:eastAsia="Times New Roman" w:hAnsi="Palatino Linotype"/>
    </w:rPr>
  </w:style>
  <w:style w:type="paragraph" w:styleId="NoSpacing">
    <w:name w:val="No Spacing"/>
    <w:aliases w:val="Answer"/>
    <w:uiPriority w:val="1"/>
    <w:qFormat/>
    <w:rsid w:val="00D1084C"/>
    <w:pPr>
      <w:spacing w:after="0" w:line="240" w:lineRule="auto"/>
    </w:pPr>
    <w:rPr>
      <w:rFonts w:ascii="Palatino Linotype" w:eastAsia="Times New Roman" w:hAnsi="Palatino Linotype"/>
    </w:rPr>
  </w:style>
  <w:style w:type="character" w:customStyle="1" w:styleId="query">
    <w:name w:val="query"/>
    <w:basedOn w:val="DefaultParagraphFont"/>
    <w:rsid w:val="00D1084C"/>
  </w:style>
  <w:style w:type="paragraph" w:customStyle="1" w:styleId="UTCBody">
    <w:name w:val="UTC Body"/>
    <w:basedOn w:val="Normal"/>
    <w:link w:val="UTCBodyChar"/>
    <w:qFormat/>
    <w:rsid w:val="00AB6F4E"/>
    <w:rPr>
      <w:rFonts w:eastAsiaTheme="minorHAnsi"/>
    </w:rPr>
  </w:style>
  <w:style w:type="character" w:customStyle="1" w:styleId="UTCBodyChar">
    <w:name w:val="UTC Body Char"/>
    <w:basedOn w:val="DefaultParagraphFont"/>
    <w:link w:val="UTCBody"/>
    <w:rsid w:val="00AB6F4E"/>
  </w:style>
  <w:style w:type="character" w:styleId="PageNumber">
    <w:name w:val="page number"/>
    <w:basedOn w:val="DefaultParagraphFont"/>
    <w:rsid w:val="00FD6156"/>
  </w:style>
  <w:style w:type="paragraph" w:styleId="BodyTextIndent2">
    <w:name w:val="Body Text Indent 2"/>
    <w:basedOn w:val="Normal"/>
    <w:link w:val="BodyTextIndent2Char"/>
    <w:rsid w:val="003B3320"/>
    <w:pPr>
      <w:ind w:left="686"/>
    </w:pPr>
  </w:style>
  <w:style w:type="character" w:customStyle="1" w:styleId="BodyTextIndent2Char">
    <w:name w:val="Body Text Indent 2 Char"/>
    <w:basedOn w:val="DefaultParagraphFont"/>
    <w:link w:val="BodyTextIndent2"/>
    <w:rsid w:val="003B3320"/>
    <w:rPr>
      <w:rFonts w:eastAsia="Times New Roman"/>
    </w:rPr>
  </w:style>
  <w:style w:type="paragraph" w:styleId="Revision">
    <w:name w:val="Revision"/>
    <w:hidden/>
    <w:uiPriority w:val="99"/>
    <w:semiHidden/>
    <w:rsid w:val="00810CAF"/>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556749">
      <w:bodyDiv w:val="1"/>
      <w:marLeft w:val="0"/>
      <w:marRight w:val="0"/>
      <w:marTop w:val="0"/>
      <w:marBottom w:val="0"/>
      <w:divBdr>
        <w:top w:val="none" w:sz="0" w:space="0" w:color="auto"/>
        <w:left w:val="none" w:sz="0" w:space="0" w:color="auto"/>
        <w:bottom w:val="none" w:sz="0" w:space="0" w:color="auto"/>
        <w:right w:val="none" w:sz="0" w:space="0" w:color="auto"/>
      </w:divBdr>
    </w:div>
    <w:div w:id="429859167">
      <w:bodyDiv w:val="1"/>
      <w:marLeft w:val="0"/>
      <w:marRight w:val="0"/>
      <w:marTop w:val="0"/>
      <w:marBottom w:val="0"/>
      <w:divBdr>
        <w:top w:val="none" w:sz="0" w:space="0" w:color="auto"/>
        <w:left w:val="none" w:sz="0" w:space="0" w:color="auto"/>
        <w:bottom w:val="none" w:sz="0" w:space="0" w:color="auto"/>
        <w:right w:val="none" w:sz="0" w:space="0" w:color="auto"/>
      </w:divBdr>
    </w:div>
    <w:div w:id="699160725">
      <w:bodyDiv w:val="1"/>
      <w:marLeft w:val="0"/>
      <w:marRight w:val="0"/>
      <w:marTop w:val="0"/>
      <w:marBottom w:val="0"/>
      <w:divBdr>
        <w:top w:val="none" w:sz="0" w:space="0" w:color="auto"/>
        <w:left w:val="none" w:sz="0" w:space="0" w:color="auto"/>
        <w:bottom w:val="none" w:sz="0" w:space="0" w:color="auto"/>
        <w:right w:val="none" w:sz="0" w:space="0" w:color="auto"/>
      </w:divBdr>
    </w:div>
    <w:div w:id="1433087770">
      <w:bodyDiv w:val="1"/>
      <w:marLeft w:val="0"/>
      <w:marRight w:val="0"/>
      <w:marTop w:val="0"/>
      <w:marBottom w:val="0"/>
      <w:divBdr>
        <w:top w:val="none" w:sz="0" w:space="0" w:color="auto"/>
        <w:left w:val="none" w:sz="0" w:space="0" w:color="auto"/>
        <w:bottom w:val="none" w:sz="0" w:space="0" w:color="auto"/>
        <w:right w:val="none" w:sz="0" w:space="0" w:color="auto"/>
      </w:divBdr>
    </w:div>
    <w:div w:id="161509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2015-02-09T08:00:00+00:00</OpenedDate>
    <Date1 xmlns="dc463f71-b30c-4ab2-9473-d307f9d35888">2016-01-19T22:55:39+00:00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7FDE4436DDBF4D82FDD1C15667C2E2" ma:contentTypeVersion="119" ma:contentTypeDescription="" ma:contentTypeScope="" ma:versionID="c032a4c147a26dcdd45af4d4b25597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B5C48A4-658C-410C-9B0D-1F985D4C170D}"/>
</file>

<file path=customXml/itemProps2.xml><?xml version="1.0" encoding="utf-8"?>
<ds:datastoreItem xmlns:ds="http://schemas.openxmlformats.org/officeDocument/2006/customXml" ds:itemID="{8A990686-CED4-4A2D-97A0-D6A3167D02DB}"/>
</file>

<file path=customXml/itemProps3.xml><?xml version="1.0" encoding="utf-8"?>
<ds:datastoreItem xmlns:ds="http://schemas.openxmlformats.org/officeDocument/2006/customXml" ds:itemID="{7E176869-A311-4F3A-A1F8-674B8842DCA1}"/>
</file>

<file path=customXml/itemProps4.xml><?xml version="1.0" encoding="utf-8"?>
<ds:datastoreItem xmlns:ds="http://schemas.openxmlformats.org/officeDocument/2006/customXml" ds:itemID="{5DA72AEA-00D8-475E-812B-C385340110EE}"/>
</file>

<file path=customXml/itemProps5.xml><?xml version="1.0" encoding="utf-8"?>
<ds:datastoreItem xmlns:ds="http://schemas.openxmlformats.org/officeDocument/2006/customXml" ds:itemID="{04AF8408-42F9-4D29-9EA4-FD4C7179BADA}"/>
</file>

<file path=docProps/app.xml><?xml version="1.0" encoding="utf-8"?>
<Properties xmlns="http://schemas.openxmlformats.org/officeDocument/2006/extended-properties" xmlns:vt="http://schemas.openxmlformats.org/officeDocument/2006/docPropsVTypes">
  <Template>Normal.dotm</Template>
  <TotalTime>45</TotalTime>
  <Pages>6</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Oshie, Patrick (UTC)</dc:creator>
  <cp:keywords/>
  <dc:description/>
  <cp:lastModifiedBy>Gross, Krista (UTC)</cp:lastModifiedBy>
  <cp:revision>10</cp:revision>
  <cp:lastPrinted>2015-11-04T21:51:00Z</cp:lastPrinted>
  <dcterms:created xsi:type="dcterms:W3CDTF">2016-01-19T21:22:00Z</dcterms:created>
  <dcterms:modified xsi:type="dcterms:W3CDTF">2016-01-19T22:16:00Z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0x0101006E56B4D1795A2E4DB2F0B01679ED314A005A7FDE4436DDBF4D82FDD1C15667C2E2</vt:lpwstr>
  </property>
  <property fmtid="{D5CDD505-2E9C-101B-9397-08002B2CF9AE}" pid="3" name="_docset_NoMedatataSyncRequired">
    <vt:lpwstr>False</vt:lpwstr>
  </property>
</Properties>
</file>