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418EE" w14:textId="12F03D51" w:rsidR="00EA3F1B" w:rsidRPr="0034386C" w:rsidRDefault="00EA3F1B" w:rsidP="00D2420B">
      <w:pPr>
        <w:pStyle w:val="single"/>
        <w:widowControl w:val="0"/>
        <w:suppressLineNumbers/>
        <w:spacing w:before="0" w:line="240" w:lineRule="auto"/>
        <w:ind w:left="4320" w:firstLine="0"/>
        <w:rPr>
          <w:rStyle w:val="Strong"/>
          <w:szCs w:val="24"/>
        </w:rPr>
      </w:pPr>
      <w:bookmarkStart w:id="0" w:name="_GoBack"/>
      <w:bookmarkEnd w:id="0"/>
      <w:r w:rsidRPr="0034386C">
        <w:rPr>
          <w:rStyle w:val="Strong"/>
          <w:szCs w:val="24"/>
        </w:rPr>
        <w:t>EXHIBIT NO. ___</w:t>
      </w:r>
      <w:r w:rsidR="00377119">
        <w:rPr>
          <w:rStyle w:val="Strong"/>
          <w:szCs w:val="24"/>
        </w:rPr>
        <w:t xml:space="preserve"> </w:t>
      </w:r>
      <w:r w:rsidRPr="0034386C">
        <w:rPr>
          <w:rStyle w:val="Strong"/>
          <w:szCs w:val="24"/>
        </w:rPr>
        <w:t>(</w:t>
      </w:r>
      <w:r>
        <w:rPr>
          <w:rStyle w:val="Strong"/>
          <w:szCs w:val="24"/>
        </w:rPr>
        <w:t>EDH</w:t>
      </w:r>
      <w:r w:rsidRPr="0034386C">
        <w:rPr>
          <w:rStyle w:val="Strong"/>
          <w:szCs w:val="24"/>
        </w:rPr>
        <w:t>-</w:t>
      </w:r>
      <w:r w:rsidR="009A5149">
        <w:rPr>
          <w:rStyle w:val="Strong"/>
          <w:szCs w:val="24"/>
        </w:rPr>
        <w:t>10</w:t>
      </w:r>
      <w:r w:rsidR="00936E83">
        <w:rPr>
          <w:rStyle w:val="Strong"/>
          <w:szCs w:val="24"/>
        </w:rPr>
        <w:t>T</w:t>
      </w:r>
      <w:r w:rsidRPr="0034386C">
        <w:rPr>
          <w:rStyle w:val="Strong"/>
          <w:szCs w:val="24"/>
        </w:rPr>
        <w:t>)</w:t>
      </w:r>
      <w:r w:rsidRPr="0034386C">
        <w:rPr>
          <w:rStyle w:val="Strong"/>
          <w:szCs w:val="24"/>
        </w:rPr>
        <w:br/>
      </w:r>
      <w:r w:rsidR="00377119" w:rsidRPr="00377119">
        <w:rPr>
          <w:rStyle w:val="Strong"/>
          <w:szCs w:val="24"/>
        </w:rPr>
        <w:t>DOCKETS UE-170033/UG-170034</w:t>
      </w:r>
      <w:r w:rsidRPr="0034386C">
        <w:rPr>
          <w:rStyle w:val="Strong"/>
          <w:szCs w:val="24"/>
        </w:rPr>
        <w:br/>
        <w:t>201</w:t>
      </w:r>
      <w:r>
        <w:rPr>
          <w:rStyle w:val="Strong"/>
          <w:szCs w:val="24"/>
        </w:rPr>
        <w:t>7</w:t>
      </w:r>
      <w:r w:rsidRPr="0034386C">
        <w:rPr>
          <w:rStyle w:val="Strong"/>
          <w:szCs w:val="24"/>
        </w:rPr>
        <w:t xml:space="preserve"> PSE GENERAL RATE CASE</w:t>
      </w:r>
      <w:r w:rsidRPr="0034386C">
        <w:rPr>
          <w:rStyle w:val="Strong"/>
          <w:szCs w:val="24"/>
        </w:rPr>
        <w:br/>
        <w:t>WITNESS:  </w:t>
      </w:r>
      <w:r>
        <w:rPr>
          <w:b/>
          <w:color w:val="000000"/>
          <w:szCs w:val="24"/>
        </w:rPr>
        <w:t>EZRA D. HAUSMAN, PH.D.</w:t>
      </w:r>
    </w:p>
    <w:p w14:paraId="49CD32B5" w14:textId="0D0AC187" w:rsidR="00EA3F1B" w:rsidRDefault="00EA3F1B" w:rsidP="00D2420B">
      <w:pPr>
        <w:pStyle w:val="center"/>
        <w:keepLines w:val="0"/>
        <w:widowControl w:val="0"/>
        <w:suppressLineNumbers/>
        <w:spacing w:before="0" w:line="240" w:lineRule="auto"/>
        <w:rPr>
          <w:b/>
          <w:szCs w:val="24"/>
        </w:rPr>
      </w:pPr>
    </w:p>
    <w:p w14:paraId="70AF0466" w14:textId="0548AB47" w:rsidR="00C00DB7" w:rsidRDefault="00C00DB7" w:rsidP="00D2420B">
      <w:pPr>
        <w:pStyle w:val="center"/>
        <w:keepLines w:val="0"/>
        <w:widowControl w:val="0"/>
        <w:suppressLineNumbers/>
        <w:spacing w:before="0" w:line="240" w:lineRule="auto"/>
        <w:rPr>
          <w:b/>
          <w:szCs w:val="24"/>
        </w:rPr>
      </w:pPr>
    </w:p>
    <w:p w14:paraId="4FDF7DC3" w14:textId="4BE879CE" w:rsidR="00C00DB7" w:rsidRDefault="00C00DB7" w:rsidP="00D2420B">
      <w:pPr>
        <w:pStyle w:val="center"/>
        <w:keepLines w:val="0"/>
        <w:widowControl w:val="0"/>
        <w:suppressLineNumbers/>
        <w:spacing w:before="0" w:line="240" w:lineRule="auto"/>
        <w:rPr>
          <w:b/>
          <w:szCs w:val="24"/>
        </w:rPr>
      </w:pPr>
    </w:p>
    <w:p w14:paraId="3095B71E" w14:textId="7A9EC739" w:rsidR="00C00DB7" w:rsidRDefault="00C00DB7" w:rsidP="00D2420B">
      <w:pPr>
        <w:pStyle w:val="center"/>
        <w:keepLines w:val="0"/>
        <w:widowControl w:val="0"/>
        <w:suppressLineNumbers/>
        <w:spacing w:before="0" w:line="240" w:lineRule="auto"/>
        <w:rPr>
          <w:b/>
          <w:szCs w:val="24"/>
        </w:rPr>
      </w:pPr>
    </w:p>
    <w:p w14:paraId="601F3832" w14:textId="77777777" w:rsidR="00EA3F1B" w:rsidRPr="0034386C" w:rsidRDefault="00EA3F1B" w:rsidP="00CD0F51">
      <w:pPr>
        <w:pStyle w:val="center"/>
        <w:keepLines w:val="0"/>
        <w:widowControl w:val="0"/>
        <w:suppressLineNumbers/>
        <w:spacing w:before="0" w:line="240" w:lineRule="auto"/>
        <w:jc w:val="left"/>
        <w:rPr>
          <w:b/>
          <w:szCs w:val="24"/>
        </w:rPr>
      </w:pPr>
    </w:p>
    <w:p w14:paraId="28BBCC54" w14:textId="77777777" w:rsidR="00EA3F1B" w:rsidRPr="00554D8C" w:rsidRDefault="00EA3F1B" w:rsidP="00D2420B">
      <w:pPr>
        <w:pStyle w:val="center"/>
        <w:keepLines w:val="0"/>
        <w:widowControl w:val="0"/>
        <w:suppressLineNumbers/>
        <w:spacing w:before="0" w:line="240" w:lineRule="auto"/>
        <w:rPr>
          <w:b/>
          <w:szCs w:val="24"/>
        </w:rPr>
      </w:pPr>
    </w:p>
    <w:p w14:paraId="479A7726" w14:textId="77777777" w:rsidR="00EA3F1B" w:rsidRPr="00554D8C" w:rsidRDefault="00EA3F1B" w:rsidP="00D2420B">
      <w:pPr>
        <w:pStyle w:val="center"/>
        <w:keepLines w:val="0"/>
        <w:widowControl w:val="0"/>
        <w:suppressLineNumbers/>
        <w:spacing w:before="0" w:line="240" w:lineRule="auto"/>
        <w:rPr>
          <w:b/>
          <w:szCs w:val="24"/>
        </w:rPr>
      </w:pPr>
      <w:r w:rsidRPr="00554D8C">
        <w:rPr>
          <w:b/>
          <w:szCs w:val="24"/>
        </w:rPr>
        <w:t>BEFORE THE</w:t>
      </w:r>
    </w:p>
    <w:p w14:paraId="0BD9D555" w14:textId="77777777" w:rsidR="00EA3F1B" w:rsidRPr="00554D8C" w:rsidRDefault="00EA3F1B" w:rsidP="00D2420B">
      <w:pPr>
        <w:pStyle w:val="center"/>
        <w:keepLines w:val="0"/>
        <w:widowControl w:val="0"/>
        <w:suppressLineNumbers/>
        <w:spacing w:before="0" w:line="240" w:lineRule="auto"/>
        <w:rPr>
          <w:b/>
          <w:szCs w:val="24"/>
        </w:rPr>
      </w:pPr>
      <w:r w:rsidRPr="00554D8C">
        <w:rPr>
          <w:b/>
          <w:szCs w:val="24"/>
        </w:rPr>
        <w:t>WASHINGTON UTILITIES AND TRANSPORTATION COMMISSION</w:t>
      </w:r>
    </w:p>
    <w:p w14:paraId="3ED9E044" w14:textId="77777777" w:rsidR="00EA3F1B" w:rsidRPr="00554D8C" w:rsidRDefault="00EA3F1B" w:rsidP="00D2420B">
      <w:pPr>
        <w:pStyle w:val="center"/>
        <w:keepLines w:val="0"/>
        <w:widowControl w:val="0"/>
        <w:suppressLineNumbers/>
        <w:spacing w:before="0" w:line="240" w:lineRule="auto"/>
        <w:rPr>
          <w:b/>
          <w:szCs w:val="24"/>
        </w:rPr>
      </w:pPr>
    </w:p>
    <w:p w14:paraId="477D67FF" w14:textId="77777777" w:rsidR="00EA3F1B" w:rsidRPr="00554D8C" w:rsidRDefault="00EA3F1B" w:rsidP="00D2420B">
      <w:pPr>
        <w:pStyle w:val="center"/>
        <w:keepLines w:val="0"/>
        <w:widowControl w:val="0"/>
        <w:suppressLineNumbers/>
        <w:spacing w:before="0" w:line="240" w:lineRule="auto"/>
        <w:rPr>
          <w:b/>
          <w:szCs w:val="24"/>
        </w:rPr>
      </w:pPr>
    </w:p>
    <w:p w14:paraId="310B6C91" w14:textId="77777777" w:rsidR="00EA3F1B" w:rsidRPr="00554D8C" w:rsidRDefault="00EA3F1B" w:rsidP="00D2420B">
      <w:pPr>
        <w:pStyle w:val="center"/>
        <w:keepLines w:val="0"/>
        <w:widowControl w:val="0"/>
        <w:suppressLineNumbers/>
        <w:spacing w:before="0" w:line="240" w:lineRule="auto"/>
        <w:rPr>
          <w:b/>
          <w:szCs w:val="24"/>
        </w:rPr>
      </w:pPr>
    </w:p>
    <w:tbl>
      <w:tblPr>
        <w:tblW w:w="90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EA3F1B" w:rsidRPr="00554D8C" w14:paraId="58CC88B7" w14:textId="77777777" w:rsidTr="00444122">
        <w:trPr>
          <w:jc w:val="center"/>
        </w:trPr>
        <w:tc>
          <w:tcPr>
            <w:tcW w:w="4536" w:type="dxa"/>
            <w:tcBorders>
              <w:top w:val="nil"/>
              <w:left w:val="nil"/>
            </w:tcBorders>
          </w:tcPr>
          <w:p w14:paraId="1E50C2BB" w14:textId="77777777" w:rsidR="00EA3F1B" w:rsidRPr="00554D8C" w:rsidRDefault="00EA3F1B" w:rsidP="00D2420B">
            <w:pPr>
              <w:suppressLineNumbers/>
              <w:spacing w:after="240" w:line="240" w:lineRule="auto"/>
              <w:ind w:firstLine="0"/>
              <w:rPr>
                <w:b/>
                <w:sz w:val="24"/>
                <w:szCs w:val="24"/>
              </w:rPr>
            </w:pPr>
            <w:r w:rsidRPr="00554D8C">
              <w:rPr>
                <w:b/>
                <w:sz w:val="24"/>
                <w:szCs w:val="24"/>
              </w:rPr>
              <w:t>WASHINGTON UTILITIES AND TRANSPORTATION COMMISSION,</w:t>
            </w:r>
          </w:p>
          <w:p w14:paraId="1B4B416C" w14:textId="77777777" w:rsidR="00EA3F1B" w:rsidRPr="00554D8C" w:rsidRDefault="00EA3F1B" w:rsidP="00D2420B">
            <w:pPr>
              <w:suppressLineNumbers/>
              <w:spacing w:after="240" w:line="240" w:lineRule="auto"/>
              <w:ind w:left="2160" w:firstLine="0"/>
              <w:rPr>
                <w:b/>
                <w:sz w:val="24"/>
                <w:szCs w:val="24"/>
              </w:rPr>
            </w:pPr>
            <w:r w:rsidRPr="00554D8C">
              <w:rPr>
                <w:b/>
                <w:sz w:val="24"/>
                <w:szCs w:val="24"/>
              </w:rPr>
              <w:t>Complainant,</w:t>
            </w:r>
          </w:p>
          <w:p w14:paraId="31199CA2" w14:textId="77777777" w:rsidR="00EA3F1B" w:rsidRPr="00554D8C" w:rsidRDefault="00EA3F1B" w:rsidP="00D2420B">
            <w:pPr>
              <w:suppressLineNumbers/>
              <w:spacing w:after="240" w:line="240" w:lineRule="auto"/>
              <w:ind w:left="1440" w:firstLine="0"/>
              <w:rPr>
                <w:b/>
                <w:sz w:val="24"/>
                <w:szCs w:val="24"/>
              </w:rPr>
            </w:pPr>
            <w:r w:rsidRPr="00554D8C">
              <w:rPr>
                <w:b/>
                <w:sz w:val="24"/>
                <w:szCs w:val="24"/>
              </w:rPr>
              <w:t>v.</w:t>
            </w:r>
          </w:p>
          <w:p w14:paraId="3E9AC8DF" w14:textId="77777777" w:rsidR="00EA3F1B" w:rsidRPr="00554D8C" w:rsidRDefault="00EA3F1B" w:rsidP="00D2420B">
            <w:pPr>
              <w:suppressLineNumbers/>
              <w:spacing w:after="240" w:line="240" w:lineRule="auto"/>
              <w:ind w:firstLine="0"/>
              <w:rPr>
                <w:b/>
                <w:sz w:val="24"/>
                <w:szCs w:val="24"/>
              </w:rPr>
            </w:pPr>
            <w:r w:rsidRPr="00554D8C">
              <w:rPr>
                <w:b/>
                <w:sz w:val="24"/>
                <w:szCs w:val="24"/>
              </w:rPr>
              <w:t>PUGET SOUND ENERGY,</w:t>
            </w:r>
          </w:p>
          <w:p w14:paraId="5318DA91" w14:textId="77777777" w:rsidR="00EA3F1B" w:rsidRPr="00554D8C" w:rsidRDefault="00EA3F1B" w:rsidP="00D2420B">
            <w:pPr>
              <w:suppressLineNumbers/>
              <w:spacing w:after="240" w:line="240" w:lineRule="auto"/>
              <w:ind w:left="2160" w:firstLine="0"/>
              <w:rPr>
                <w:b/>
                <w:sz w:val="24"/>
                <w:szCs w:val="24"/>
              </w:rPr>
            </w:pPr>
            <w:r w:rsidRPr="00554D8C">
              <w:rPr>
                <w:b/>
                <w:sz w:val="24"/>
                <w:szCs w:val="24"/>
              </w:rPr>
              <w:t>Respondent.</w:t>
            </w:r>
          </w:p>
        </w:tc>
        <w:tc>
          <w:tcPr>
            <w:tcW w:w="4545" w:type="dxa"/>
            <w:tcBorders>
              <w:top w:val="nil"/>
              <w:bottom w:val="nil"/>
              <w:right w:val="nil"/>
            </w:tcBorders>
            <w:vAlign w:val="center"/>
          </w:tcPr>
          <w:p w14:paraId="7B85D86B" w14:textId="07CA3D03" w:rsidR="00EA3F1B" w:rsidRPr="00554D8C" w:rsidRDefault="00EA3F1B" w:rsidP="00554D8C">
            <w:pPr>
              <w:keepNext/>
              <w:keepLines/>
              <w:suppressLineNumbers/>
              <w:spacing w:after="240" w:line="240" w:lineRule="auto"/>
              <w:ind w:left="324" w:firstLine="0"/>
              <w:jc w:val="center"/>
              <w:rPr>
                <w:b/>
                <w:sz w:val="24"/>
                <w:szCs w:val="24"/>
              </w:rPr>
            </w:pPr>
            <w:r w:rsidRPr="00554D8C">
              <w:rPr>
                <w:b/>
                <w:sz w:val="24"/>
                <w:szCs w:val="24"/>
              </w:rPr>
              <w:t>Docket UE-17</w:t>
            </w:r>
            <w:r w:rsidR="008A3DBB" w:rsidRPr="00554D8C">
              <w:rPr>
                <w:b/>
                <w:sz w:val="24"/>
                <w:szCs w:val="24"/>
              </w:rPr>
              <w:t>0033</w:t>
            </w:r>
            <w:r w:rsidRPr="00554D8C">
              <w:rPr>
                <w:b/>
                <w:sz w:val="24"/>
                <w:szCs w:val="24"/>
              </w:rPr>
              <w:br/>
            </w:r>
            <w:r w:rsidR="00554D8C">
              <w:rPr>
                <w:b/>
                <w:sz w:val="24"/>
                <w:szCs w:val="24"/>
              </w:rPr>
              <w:t xml:space="preserve"> </w:t>
            </w:r>
            <w:r w:rsidRPr="00554D8C">
              <w:rPr>
                <w:b/>
                <w:sz w:val="24"/>
                <w:szCs w:val="24"/>
              </w:rPr>
              <w:t>Docket UG-17</w:t>
            </w:r>
            <w:r w:rsidR="008A3DBB" w:rsidRPr="00554D8C">
              <w:rPr>
                <w:b/>
                <w:sz w:val="24"/>
                <w:szCs w:val="24"/>
              </w:rPr>
              <w:t>0034</w:t>
            </w:r>
          </w:p>
        </w:tc>
      </w:tr>
    </w:tbl>
    <w:p w14:paraId="39A5BA75" w14:textId="0689697E" w:rsidR="00EA3F1B" w:rsidRDefault="00EA3F1B" w:rsidP="00D2420B">
      <w:pPr>
        <w:pStyle w:val="center"/>
        <w:keepLines w:val="0"/>
        <w:widowControl w:val="0"/>
        <w:suppressLineNumbers/>
        <w:spacing w:before="0" w:line="240" w:lineRule="auto"/>
        <w:jc w:val="left"/>
        <w:rPr>
          <w:b/>
          <w:szCs w:val="24"/>
        </w:rPr>
      </w:pPr>
    </w:p>
    <w:p w14:paraId="60A0B7ED" w14:textId="5489BA50" w:rsidR="00C00DB7" w:rsidRDefault="00C00DB7" w:rsidP="00D2420B">
      <w:pPr>
        <w:pStyle w:val="center"/>
        <w:keepLines w:val="0"/>
        <w:widowControl w:val="0"/>
        <w:suppressLineNumbers/>
        <w:spacing w:before="0" w:line="240" w:lineRule="auto"/>
        <w:jc w:val="left"/>
        <w:rPr>
          <w:b/>
          <w:szCs w:val="24"/>
        </w:rPr>
      </w:pPr>
    </w:p>
    <w:p w14:paraId="42BD75B7" w14:textId="77777777" w:rsidR="00C00DB7" w:rsidRPr="0034386C" w:rsidRDefault="00C00DB7" w:rsidP="00D2420B">
      <w:pPr>
        <w:pStyle w:val="center"/>
        <w:keepLines w:val="0"/>
        <w:widowControl w:val="0"/>
        <w:suppressLineNumbers/>
        <w:spacing w:before="0" w:line="240" w:lineRule="auto"/>
        <w:jc w:val="left"/>
        <w:rPr>
          <w:b/>
          <w:szCs w:val="24"/>
        </w:rPr>
      </w:pPr>
    </w:p>
    <w:p w14:paraId="25EEFC83" w14:textId="77777777" w:rsidR="00EA3F1B" w:rsidRPr="0034386C" w:rsidRDefault="00EA3F1B" w:rsidP="00D2420B">
      <w:pPr>
        <w:pStyle w:val="center"/>
        <w:keepLines w:val="0"/>
        <w:widowControl w:val="0"/>
        <w:suppressLineNumbers/>
        <w:spacing w:before="0" w:line="240" w:lineRule="auto"/>
        <w:rPr>
          <w:b/>
          <w:szCs w:val="24"/>
        </w:rPr>
      </w:pPr>
    </w:p>
    <w:p w14:paraId="5C59F78B" w14:textId="77777777" w:rsidR="00EA3F1B" w:rsidRPr="0034386C" w:rsidRDefault="00EA3F1B" w:rsidP="00D2420B">
      <w:pPr>
        <w:pStyle w:val="center"/>
        <w:keepLines w:val="0"/>
        <w:widowControl w:val="0"/>
        <w:suppressLineNumbers/>
        <w:spacing w:before="0" w:line="240" w:lineRule="auto"/>
        <w:rPr>
          <w:b/>
          <w:szCs w:val="24"/>
        </w:rPr>
      </w:pPr>
    </w:p>
    <w:p w14:paraId="027A740E" w14:textId="480CE516" w:rsidR="00EA3F1B" w:rsidRDefault="00652D1A" w:rsidP="00D2420B">
      <w:pPr>
        <w:pStyle w:val="center"/>
        <w:keepLines w:val="0"/>
        <w:widowControl w:val="0"/>
        <w:suppressLineNumbers/>
        <w:spacing w:before="0" w:line="240" w:lineRule="auto"/>
        <w:rPr>
          <w:b/>
          <w:szCs w:val="24"/>
        </w:rPr>
      </w:pPr>
      <w:r>
        <w:rPr>
          <w:b/>
          <w:szCs w:val="24"/>
        </w:rPr>
        <w:t>CROSS</w:t>
      </w:r>
      <w:r w:rsidR="0075664C">
        <w:rPr>
          <w:b/>
          <w:szCs w:val="24"/>
        </w:rPr>
        <w:t>-</w:t>
      </w:r>
      <w:r>
        <w:rPr>
          <w:b/>
          <w:szCs w:val="24"/>
        </w:rPr>
        <w:t xml:space="preserve">ANSWERING </w:t>
      </w:r>
      <w:r w:rsidR="00EA3F1B">
        <w:rPr>
          <w:b/>
          <w:szCs w:val="24"/>
        </w:rPr>
        <w:t>TESTIMONY</w:t>
      </w:r>
      <w:r w:rsidR="00EA3F1B" w:rsidRPr="0034386C">
        <w:rPr>
          <w:b/>
          <w:szCs w:val="24"/>
        </w:rPr>
        <w:t xml:space="preserve"> OF</w:t>
      </w:r>
    </w:p>
    <w:p w14:paraId="2EC2E76C" w14:textId="77777777" w:rsidR="00EA3F1B" w:rsidRDefault="00EA3F1B" w:rsidP="00D2420B">
      <w:pPr>
        <w:pStyle w:val="center"/>
        <w:keepLines w:val="0"/>
        <w:widowControl w:val="0"/>
        <w:suppressLineNumbers/>
        <w:spacing w:before="0" w:line="240" w:lineRule="auto"/>
        <w:rPr>
          <w:b/>
          <w:szCs w:val="24"/>
        </w:rPr>
      </w:pPr>
    </w:p>
    <w:p w14:paraId="0634E5C5" w14:textId="77777777" w:rsidR="00EA3F1B" w:rsidRDefault="00EA3F1B" w:rsidP="00D2420B">
      <w:pPr>
        <w:pStyle w:val="center"/>
        <w:keepLines w:val="0"/>
        <w:widowControl w:val="0"/>
        <w:suppressLineNumbers/>
        <w:spacing w:before="0" w:line="240" w:lineRule="auto"/>
        <w:rPr>
          <w:b/>
          <w:color w:val="000000"/>
          <w:szCs w:val="24"/>
        </w:rPr>
      </w:pPr>
      <w:r>
        <w:rPr>
          <w:b/>
          <w:color w:val="000000"/>
          <w:szCs w:val="24"/>
        </w:rPr>
        <w:t>EZRA D. HAUSMAN, PH.D.</w:t>
      </w:r>
    </w:p>
    <w:p w14:paraId="365F5E48" w14:textId="77777777" w:rsidR="00EA3F1B" w:rsidRDefault="00EA3F1B" w:rsidP="00D2420B">
      <w:pPr>
        <w:pStyle w:val="center"/>
        <w:keepLines w:val="0"/>
        <w:widowControl w:val="0"/>
        <w:suppressLineNumbers/>
        <w:spacing w:before="0" w:line="240" w:lineRule="auto"/>
        <w:rPr>
          <w:b/>
          <w:szCs w:val="24"/>
        </w:rPr>
      </w:pPr>
    </w:p>
    <w:p w14:paraId="03B0ADFA" w14:textId="51040443" w:rsidR="00EA3F1B" w:rsidRPr="0034386C" w:rsidRDefault="00EA3F1B" w:rsidP="00D2420B">
      <w:pPr>
        <w:pStyle w:val="center"/>
        <w:keepLines w:val="0"/>
        <w:widowControl w:val="0"/>
        <w:suppressLineNumbers/>
        <w:spacing w:before="0" w:line="240" w:lineRule="auto"/>
        <w:rPr>
          <w:b/>
          <w:szCs w:val="24"/>
        </w:rPr>
      </w:pPr>
      <w:r w:rsidRPr="0034386C">
        <w:rPr>
          <w:b/>
          <w:szCs w:val="24"/>
        </w:rPr>
        <w:t xml:space="preserve">ON BEHALF OF </w:t>
      </w:r>
      <w:r>
        <w:rPr>
          <w:b/>
          <w:szCs w:val="24"/>
        </w:rPr>
        <w:t>SIERRA CLUB</w:t>
      </w:r>
    </w:p>
    <w:p w14:paraId="2C0EFDAE" w14:textId="77777777" w:rsidR="00457D8C" w:rsidRDefault="00457D8C" w:rsidP="00D2420B">
      <w:pPr>
        <w:pStyle w:val="NoSpacing"/>
        <w:suppressLineNumbers/>
      </w:pPr>
    </w:p>
    <w:p w14:paraId="70668DE0" w14:textId="513C37EE" w:rsidR="00C00DB7" w:rsidRDefault="00C00DB7" w:rsidP="001C3CC5">
      <w:pPr>
        <w:pStyle w:val="Heading1"/>
        <w:numPr>
          <w:ilvl w:val="0"/>
          <w:numId w:val="0"/>
        </w:numPr>
        <w:suppressLineNumbers/>
        <w:ind w:left="720"/>
      </w:pPr>
    </w:p>
    <w:p w14:paraId="0E3A7BA2" w14:textId="11B714B1" w:rsidR="00C00DB7" w:rsidRDefault="00C00DB7" w:rsidP="00D2420B">
      <w:pPr>
        <w:suppressLineNumbers/>
      </w:pPr>
    </w:p>
    <w:p w14:paraId="435FC197" w14:textId="6823C9B5" w:rsidR="00377119" w:rsidRDefault="00377119" w:rsidP="00D2420B">
      <w:pPr>
        <w:suppressLineNumbers/>
        <w:ind w:firstLine="0"/>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August 9</w:t>
      </w:r>
      <w:r w:rsidRPr="00377119">
        <w:rPr>
          <w:rFonts w:ascii="Times New Roman" w:eastAsia="Times New Roman" w:hAnsi="Times New Roman" w:cs="Times New Roman"/>
          <w:b/>
          <w:sz w:val="24"/>
          <w:szCs w:val="24"/>
          <w:lang w:eastAsia="zh-CN"/>
        </w:rPr>
        <w:t>, 2017</w:t>
      </w:r>
    </w:p>
    <w:p w14:paraId="52EBD54B" w14:textId="77777777" w:rsidR="000026FA" w:rsidRDefault="00652D1A" w:rsidP="00D2420B">
      <w:pPr>
        <w:suppressLineNumbers/>
        <w:jc w:val="center"/>
        <w:rPr>
          <w:b/>
          <w:szCs w:val="24"/>
        </w:rPr>
        <w:sectPr w:rsidR="000026FA" w:rsidSect="00D2420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lnNumType w:countBy="1"/>
          <w:pgNumType w:start="0"/>
          <w:cols w:space="720"/>
          <w:titlePg/>
          <w:docGrid w:linePitch="360"/>
        </w:sectPr>
      </w:pPr>
      <w:r>
        <w:rPr>
          <w:b/>
          <w:szCs w:val="24"/>
        </w:rPr>
        <w:br w:type="page"/>
      </w:r>
    </w:p>
    <w:sdt>
      <w:sdtPr>
        <w:rPr>
          <w:rFonts w:asciiTheme="minorHAnsi" w:eastAsiaTheme="minorEastAsia" w:hAnsiTheme="minorHAnsi" w:cstheme="minorBidi"/>
          <w:b w:val="0"/>
          <w:bCs w:val="0"/>
          <w:color w:val="auto"/>
          <w:sz w:val="20"/>
          <w:szCs w:val="20"/>
        </w:rPr>
        <w:id w:val="1131277930"/>
        <w:docPartObj>
          <w:docPartGallery w:val="Table of Contents"/>
          <w:docPartUnique/>
        </w:docPartObj>
      </w:sdtPr>
      <w:sdtEndPr>
        <w:rPr>
          <w:noProof/>
        </w:rPr>
      </w:sdtEndPr>
      <w:sdtContent>
        <w:p w14:paraId="1CF977E9" w14:textId="623EE3D1" w:rsidR="000026FA" w:rsidRDefault="000026FA" w:rsidP="00444122">
          <w:pPr>
            <w:pStyle w:val="TOCHeading"/>
            <w:suppressLineNumbers/>
            <w:jc w:val="center"/>
            <w:rPr>
              <w:color w:val="auto"/>
            </w:rPr>
          </w:pPr>
          <w:r w:rsidRPr="000026FA">
            <w:rPr>
              <w:color w:val="auto"/>
            </w:rPr>
            <w:t>Table of Contents</w:t>
          </w:r>
        </w:p>
        <w:p w14:paraId="3920DCB6" w14:textId="77777777" w:rsidR="00554D8C" w:rsidRPr="00554D8C" w:rsidRDefault="00554D8C" w:rsidP="00554D8C">
          <w:pPr>
            <w:suppressLineNumbers/>
          </w:pPr>
        </w:p>
        <w:p w14:paraId="2DCA48B7" w14:textId="492C94E6" w:rsidR="000026FA" w:rsidRPr="007B5BD9" w:rsidRDefault="000026FA" w:rsidP="00554D8C">
          <w:pPr>
            <w:pStyle w:val="TOC1"/>
            <w:suppressLineNumbers/>
            <w:rPr>
              <w:sz w:val="28"/>
              <w:szCs w:val="22"/>
              <w:lang w:eastAsia="en-US"/>
            </w:rPr>
          </w:pPr>
          <w:r>
            <w:fldChar w:fldCharType="begin"/>
          </w:r>
          <w:r>
            <w:instrText xml:space="preserve"> TOC \o "1-3" \h \z \u </w:instrText>
          </w:r>
          <w:r>
            <w:fldChar w:fldCharType="separate"/>
          </w:r>
          <w:hyperlink w:anchor="_Toc489622884" w:history="1">
            <w:r w:rsidRPr="007B5BD9">
              <w:rPr>
                <w:rStyle w:val="Hyperlink"/>
                <w:sz w:val="24"/>
              </w:rPr>
              <w:t>Purpose of Testimony</w:t>
            </w:r>
            <w:r w:rsidRPr="007B5BD9">
              <w:rPr>
                <w:webHidden/>
                <w:sz w:val="24"/>
              </w:rPr>
              <w:tab/>
            </w:r>
            <w:r w:rsidRPr="007B5BD9">
              <w:rPr>
                <w:webHidden/>
                <w:sz w:val="24"/>
              </w:rPr>
              <w:fldChar w:fldCharType="begin"/>
            </w:r>
            <w:r w:rsidRPr="007B5BD9">
              <w:rPr>
                <w:webHidden/>
                <w:sz w:val="24"/>
              </w:rPr>
              <w:instrText xml:space="preserve"> PAGEREF _Toc489622884 \h </w:instrText>
            </w:r>
            <w:r w:rsidRPr="007B5BD9">
              <w:rPr>
                <w:webHidden/>
                <w:sz w:val="24"/>
              </w:rPr>
            </w:r>
            <w:r w:rsidRPr="007B5BD9">
              <w:rPr>
                <w:webHidden/>
                <w:sz w:val="24"/>
              </w:rPr>
              <w:fldChar w:fldCharType="separate"/>
            </w:r>
            <w:r w:rsidR="00CD0F51">
              <w:rPr>
                <w:webHidden/>
                <w:sz w:val="24"/>
              </w:rPr>
              <w:t>1</w:t>
            </w:r>
            <w:r w:rsidRPr="007B5BD9">
              <w:rPr>
                <w:webHidden/>
                <w:sz w:val="24"/>
              </w:rPr>
              <w:fldChar w:fldCharType="end"/>
            </w:r>
          </w:hyperlink>
        </w:p>
        <w:p w14:paraId="445469D3" w14:textId="281CAE0F" w:rsidR="000026FA" w:rsidRDefault="000C7E17" w:rsidP="00554D8C">
          <w:pPr>
            <w:pStyle w:val="TOC1"/>
            <w:suppressLineNumbers/>
            <w:rPr>
              <w:sz w:val="22"/>
              <w:szCs w:val="22"/>
              <w:lang w:eastAsia="en-US"/>
            </w:rPr>
          </w:pPr>
          <w:hyperlink w:anchor="_Toc489622885" w:history="1">
            <w:r w:rsidR="000026FA" w:rsidRPr="007B5BD9">
              <w:rPr>
                <w:rStyle w:val="Hyperlink"/>
                <w:sz w:val="24"/>
              </w:rPr>
              <w:t>Recommendations</w:t>
            </w:r>
            <w:r w:rsidR="000026FA" w:rsidRPr="007B5BD9">
              <w:rPr>
                <w:webHidden/>
                <w:sz w:val="24"/>
              </w:rPr>
              <w:tab/>
            </w:r>
            <w:r w:rsidR="000026FA" w:rsidRPr="007B5BD9">
              <w:rPr>
                <w:webHidden/>
                <w:sz w:val="24"/>
              </w:rPr>
              <w:fldChar w:fldCharType="begin"/>
            </w:r>
            <w:r w:rsidR="000026FA" w:rsidRPr="007B5BD9">
              <w:rPr>
                <w:webHidden/>
                <w:sz w:val="24"/>
              </w:rPr>
              <w:instrText xml:space="preserve"> PAGEREF _Toc489622885 \h </w:instrText>
            </w:r>
            <w:r w:rsidR="000026FA" w:rsidRPr="007B5BD9">
              <w:rPr>
                <w:webHidden/>
                <w:sz w:val="24"/>
              </w:rPr>
            </w:r>
            <w:r w:rsidR="000026FA" w:rsidRPr="007B5BD9">
              <w:rPr>
                <w:webHidden/>
                <w:sz w:val="24"/>
              </w:rPr>
              <w:fldChar w:fldCharType="separate"/>
            </w:r>
            <w:r w:rsidR="00CD0F51">
              <w:rPr>
                <w:webHidden/>
                <w:sz w:val="24"/>
              </w:rPr>
              <w:t>6</w:t>
            </w:r>
            <w:r w:rsidR="000026FA" w:rsidRPr="007B5BD9">
              <w:rPr>
                <w:webHidden/>
                <w:sz w:val="24"/>
              </w:rPr>
              <w:fldChar w:fldCharType="end"/>
            </w:r>
          </w:hyperlink>
        </w:p>
        <w:p w14:paraId="2979F4D8" w14:textId="756C9938" w:rsidR="000026FA" w:rsidRDefault="000026FA" w:rsidP="00554D8C">
          <w:pPr>
            <w:suppressLineNumbers/>
          </w:pPr>
          <w:r>
            <w:rPr>
              <w:b/>
              <w:bCs/>
              <w:noProof/>
            </w:rPr>
            <w:fldChar w:fldCharType="end"/>
          </w:r>
        </w:p>
      </w:sdtContent>
    </w:sdt>
    <w:p w14:paraId="3364319A" w14:textId="427F2E4E" w:rsidR="000026FA" w:rsidRDefault="00CD0F51" w:rsidP="00CD0F51">
      <w:pPr>
        <w:suppressLineNumbers/>
        <w:tabs>
          <w:tab w:val="left" w:pos="4675"/>
        </w:tabs>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ab/>
      </w:r>
    </w:p>
    <w:p w14:paraId="08B5C4CC" w14:textId="77777777" w:rsidR="000026FA" w:rsidRDefault="000026FA" w:rsidP="00D2420B">
      <w:pPr>
        <w:suppressLineNumbers/>
        <w:jc w:val="center"/>
        <w:rPr>
          <w:rFonts w:ascii="Times New Roman" w:eastAsia="Times New Roman" w:hAnsi="Times New Roman" w:cs="Times New Roman"/>
          <w:b/>
          <w:sz w:val="24"/>
          <w:szCs w:val="24"/>
          <w:lang w:eastAsia="zh-CN"/>
        </w:rPr>
      </w:pPr>
    </w:p>
    <w:p w14:paraId="404B7264" w14:textId="77777777" w:rsidR="000026FA" w:rsidRDefault="000026FA" w:rsidP="00D2420B">
      <w:pPr>
        <w:suppressLineNumbers/>
        <w:jc w:val="center"/>
        <w:rPr>
          <w:rFonts w:ascii="Times New Roman" w:eastAsia="Times New Roman" w:hAnsi="Times New Roman" w:cs="Times New Roman"/>
          <w:b/>
          <w:sz w:val="24"/>
          <w:szCs w:val="24"/>
          <w:lang w:eastAsia="zh-CN"/>
        </w:rPr>
      </w:pPr>
    </w:p>
    <w:p w14:paraId="29704D95" w14:textId="77777777" w:rsidR="000026FA" w:rsidRDefault="000026FA" w:rsidP="00D2420B">
      <w:pPr>
        <w:suppressLineNumbers/>
        <w:jc w:val="center"/>
        <w:rPr>
          <w:rFonts w:ascii="Times New Roman" w:eastAsia="Times New Roman" w:hAnsi="Times New Roman" w:cs="Times New Roman"/>
          <w:b/>
          <w:sz w:val="24"/>
          <w:szCs w:val="24"/>
          <w:lang w:eastAsia="zh-CN"/>
        </w:rPr>
      </w:pPr>
    </w:p>
    <w:p w14:paraId="545D0C25" w14:textId="07299F14" w:rsidR="00444122" w:rsidRDefault="00444122" w:rsidP="007B5BD9">
      <w:pPr>
        <w:suppressLineNumbers/>
        <w:rPr>
          <w:rFonts w:ascii="Times New Roman" w:eastAsia="Times New Roman" w:hAnsi="Times New Roman" w:cs="Times New Roman"/>
          <w:b/>
          <w:sz w:val="24"/>
          <w:szCs w:val="24"/>
          <w:lang w:eastAsia="zh-CN"/>
        </w:rPr>
      </w:pPr>
    </w:p>
    <w:p w14:paraId="62C889BF" w14:textId="4259492A" w:rsidR="00444122" w:rsidRDefault="00444122" w:rsidP="00771666">
      <w:pPr>
        <w:suppressLineNumbers/>
        <w:rPr>
          <w:rFonts w:ascii="Times New Roman" w:eastAsia="Times New Roman" w:hAnsi="Times New Roman" w:cs="Times New Roman"/>
          <w:sz w:val="24"/>
          <w:szCs w:val="24"/>
          <w:lang w:eastAsia="zh-CN"/>
        </w:rPr>
      </w:pPr>
    </w:p>
    <w:p w14:paraId="7658B5DC" w14:textId="6A5D22A9" w:rsidR="00444122" w:rsidRDefault="00444122" w:rsidP="00771666">
      <w:pPr>
        <w:suppressLineNumbers/>
        <w:tabs>
          <w:tab w:val="left" w:pos="4470"/>
        </w:tabs>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p>
    <w:p w14:paraId="3DDC806A" w14:textId="4F3725CB" w:rsidR="00444122" w:rsidRDefault="00444122" w:rsidP="00771666">
      <w:pPr>
        <w:suppressLineNumbers/>
        <w:rPr>
          <w:rFonts w:ascii="Times New Roman" w:eastAsia="Times New Roman" w:hAnsi="Times New Roman" w:cs="Times New Roman"/>
          <w:sz w:val="24"/>
          <w:szCs w:val="24"/>
          <w:lang w:eastAsia="zh-CN"/>
        </w:rPr>
      </w:pPr>
    </w:p>
    <w:p w14:paraId="11B1BAEF" w14:textId="77777777" w:rsidR="000026FA" w:rsidRPr="00444122" w:rsidRDefault="000026FA" w:rsidP="00771666">
      <w:pPr>
        <w:suppressLineNumbers/>
        <w:rPr>
          <w:rFonts w:ascii="Times New Roman" w:eastAsia="Times New Roman" w:hAnsi="Times New Roman" w:cs="Times New Roman"/>
          <w:sz w:val="24"/>
          <w:szCs w:val="24"/>
          <w:lang w:eastAsia="zh-CN"/>
        </w:rPr>
        <w:sectPr w:rsidR="000026FA" w:rsidRPr="00444122" w:rsidSect="000026FA">
          <w:headerReference w:type="first" r:id="rId16"/>
          <w:type w:val="continuous"/>
          <w:pgSz w:w="12240" w:h="15840" w:code="1"/>
          <w:pgMar w:top="1440" w:right="1440" w:bottom="1440" w:left="1440" w:header="720" w:footer="720" w:gutter="0"/>
          <w:lnNumType w:countBy="1"/>
          <w:pgNumType w:fmt="lowerRoman" w:start="1"/>
          <w:cols w:space="720"/>
          <w:titlePg/>
          <w:docGrid w:linePitch="360"/>
        </w:sectPr>
      </w:pPr>
    </w:p>
    <w:p w14:paraId="368C39A7" w14:textId="2CDB2E68" w:rsidR="00D2420B" w:rsidRPr="00D2420B" w:rsidRDefault="00D2420B" w:rsidP="00D2420B">
      <w:pPr>
        <w:pStyle w:val="Heading1"/>
        <w:rPr>
          <w:rFonts w:cstheme="minorHAnsi"/>
          <w:sz w:val="24"/>
          <w:szCs w:val="24"/>
        </w:rPr>
      </w:pPr>
      <w:bookmarkStart w:id="1" w:name="_Toc489622884"/>
      <w:r w:rsidRPr="00D2420B">
        <w:rPr>
          <w:rFonts w:cstheme="minorHAnsi"/>
          <w:sz w:val="24"/>
          <w:szCs w:val="24"/>
        </w:rPr>
        <w:lastRenderedPageBreak/>
        <w:t>Purpose of Testimony</w:t>
      </w:r>
      <w:bookmarkEnd w:id="1"/>
    </w:p>
    <w:p w14:paraId="3D542CE1" w14:textId="01969815" w:rsidR="00EA3F1B" w:rsidRPr="00D2420B" w:rsidRDefault="00D2420B" w:rsidP="00EA3F1B">
      <w:pPr>
        <w:pStyle w:val="Q"/>
        <w:rPr>
          <w:rFonts w:cstheme="minorHAnsi"/>
          <w:sz w:val="24"/>
          <w:szCs w:val="24"/>
        </w:rPr>
      </w:pPr>
      <w:r w:rsidRPr="00D2420B">
        <w:rPr>
          <w:rFonts w:cstheme="minorHAnsi"/>
          <w:sz w:val="24"/>
          <w:szCs w:val="24"/>
        </w:rPr>
        <w:t xml:space="preserve">Q. </w:t>
      </w:r>
      <w:r w:rsidRPr="00D2420B">
        <w:rPr>
          <w:rFonts w:cstheme="minorHAnsi"/>
          <w:sz w:val="24"/>
          <w:szCs w:val="24"/>
        </w:rPr>
        <w:tab/>
      </w:r>
      <w:r w:rsidR="00EA3F1B" w:rsidRPr="00D2420B">
        <w:rPr>
          <w:rFonts w:cstheme="minorHAnsi"/>
          <w:sz w:val="24"/>
          <w:szCs w:val="24"/>
        </w:rPr>
        <w:t>Please state your name, occupation, and business address.</w:t>
      </w:r>
    </w:p>
    <w:p w14:paraId="614A7B11" w14:textId="32342AD2" w:rsidR="00EA3F1B" w:rsidRPr="00D2420B" w:rsidRDefault="00EA3F1B" w:rsidP="00D2420B">
      <w:pPr>
        <w:pStyle w:val="A"/>
        <w:spacing w:after="240"/>
        <w:rPr>
          <w:rFonts w:cstheme="minorHAnsi"/>
          <w:sz w:val="24"/>
          <w:szCs w:val="24"/>
        </w:rPr>
      </w:pPr>
      <w:r w:rsidRPr="00D2420B">
        <w:rPr>
          <w:rFonts w:cstheme="minorHAnsi"/>
          <w:sz w:val="24"/>
          <w:szCs w:val="24"/>
        </w:rPr>
        <w:t>A.</w:t>
      </w:r>
      <w:r w:rsidRPr="00D2420B">
        <w:rPr>
          <w:rFonts w:cstheme="minorHAnsi"/>
          <w:sz w:val="24"/>
          <w:szCs w:val="24"/>
        </w:rPr>
        <w:tab/>
        <w:t xml:space="preserve">My name is Ezra D. Hausman, Ph.D. I am an independent consultant doing business as Ezra Hausman Consulting, operating from offices at 77 Kaposia Street, Auburndale, Massachusetts 02466. </w:t>
      </w:r>
    </w:p>
    <w:p w14:paraId="07122BC9" w14:textId="54616232" w:rsidR="00652D1A" w:rsidRPr="00D2420B" w:rsidRDefault="00652D1A" w:rsidP="00E628E6">
      <w:pPr>
        <w:pStyle w:val="Q"/>
        <w:rPr>
          <w:rFonts w:cstheme="minorHAnsi"/>
          <w:sz w:val="24"/>
          <w:szCs w:val="24"/>
        </w:rPr>
      </w:pPr>
      <w:r w:rsidRPr="00D2420B">
        <w:rPr>
          <w:rFonts w:cstheme="minorHAnsi"/>
          <w:sz w:val="24"/>
          <w:szCs w:val="24"/>
        </w:rPr>
        <w:t>Q.</w:t>
      </w:r>
      <w:r w:rsidRPr="00D2420B">
        <w:rPr>
          <w:rFonts w:cstheme="minorHAnsi"/>
          <w:sz w:val="24"/>
          <w:szCs w:val="24"/>
        </w:rPr>
        <w:tab/>
        <w:t>Are you the same Ezra Hausman who provided direct testimony on behalf of the Sierra Club in this proceeding?</w:t>
      </w:r>
    </w:p>
    <w:p w14:paraId="165B82E6" w14:textId="5CA06140" w:rsidR="00652D1A" w:rsidRPr="00D2420B" w:rsidRDefault="00652D1A" w:rsidP="00D2420B">
      <w:pPr>
        <w:pStyle w:val="A"/>
        <w:spacing w:after="240"/>
        <w:rPr>
          <w:rFonts w:cstheme="minorHAnsi"/>
          <w:sz w:val="24"/>
          <w:szCs w:val="24"/>
        </w:rPr>
      </w:pPr>
      <w:r w:rsidRPr="00D2420B">
        <w:rPr>
          <w:rFonts w:cstheme="minorHAnsi"/>
          <w:sz w:val="24"/>
          <w:szCs w:val="24"/>
        </w:rPr>
        <w:t>A.</w:t>
      </w:r>
      <w:r w:rsidRPr="00D2420B">
        <w:rPr>
          <w:rFonts w:cstheme="minorHAnsi"/>
          <w:sz w:val="24"/>
          <w:szCs w:val="24"/>
        </w:rPr>
        <w:tab/>
        <w:t xml:space="preserve">Yes. </w:t>
      </w:r>
    </w:p>
    <w:p w14:paraId="43BBDCB7" w14:textId="669E142F" w:rsidR="001715A7" w:rsidRPr="00D2420B" w:rsidRDefault="001715A7" w:rsidP="001715A7">
      <w:pPr>
        <w:pStyle w:val="Q"/>
        <w:rPr>
          <w:rFonts w:cstheme="minorHAnsi"/>
          <w:sz w:val="24"/>
          <w:szCs w:val="24"/>
        </w:rPr>
      </w:pPr>
      <w:r w:rsidRPr="00D2420B">
        <w:rPr>
          <w:rFonts w:cstheme="minorHAnsi"/>
          <w:sz w:val="24"/>
          <w:szCs w:val="24"/>
        </w:rPr>
        <w:t>Q.</w:t>
      </w:r>
      <w:r w:rsidRPr="00D2420B">
        <w:rPr>
          <w:rFonts w:cstheme="minorHAnsi"/>
          <w:sz w:val="24"/>
          <w:szCs w:val="24"/>
        </w:rPr>
        <w:tab/>
        <w:t xml:space="preserve">What is the purpose of your </w:t>
      </w:r>
      <w:r w:rsidR="00652D1A" w:rsidRPr="00D2420B">
        <w:rPr>
          <w:rFonts w:cstheme="minorHAnsi"/>
          <w:sz w:val="24"/>
          <w:szCs w:val="24"/>
        </w:rPr>
        <w:t xml:space="preserve">cross-answering </w:t>
      </w:r>
      <w:r w:rsidRPr="00D2420B">
        <w:rPr>
          <w:rFonts w:cstheme="minorHAnsi"/>
          <w:sz w:val="24"/>
          <w:szCs w:val="24"/>
        </w:rPr>
        <w:t>testimony in this proceeding?</w:t>
      </w:r>
    </w:p>
    <w:p w14:paraId="190F2955" w14:textId="1D1A6080" w:rsidR="001715A7" w:rsidRPr="00D2420B" w:rsidRDefault="007C142A" w:rsidP="00D2420B">
      <w:pPr>
        <w:pStyle w:val="A"/>
        <w:spacing w:after="240"/>
        <w:rPr>
          <w:rFonts w:cstheme="minorHAnsi"/>
          <w:sz w:val="24"/>
          <w:szCs w:val="24"/>
        </w:rPr>
      </w:pPr>
      <w:r w:rsidRPr="00D2420B">
        <w:rPr>
          <w:rFonts w:cstheme="minorHAnsi"/>
          <w:sz w:val="24"/>
          <w:szCs w:val="24"/>
        </w:rPr>
        <w:t>A.</w:t>
      </w:r>
      <w:r w:rsidRPr="00D2420B">
        <w:rPr>
          <w:rFonts w:cstheme="minorHAnsi"/>
          <w:sz w:val="24"/>
          <w:szCs w:val="24"/>
        </w:rPr>
        <w:tab/>
      </w:r>
      <w:r w:rsidR="00652D1A" w:rsidRPr="00D2420B">
        <w:rPr>
          <w:rFonts w:cstheme="minorHAnsi"/>
          <w:sz w:val="24"/>
          <w:szCs w:val="24"/>
        </w:rPr>
        <w:t xml:space="preserve">I am responding to the testimony of WUTC Staff Witness Chris R. McGuire </w:t>
      </w:r>
      <w:r w:rsidR="00B51302" w:rsidRPr="00D2420B">
        <w:rPr>
          <w:rFonts w:cstheme="minorHAnsi"/>
          <w:sz w:val="24"/>
          <w:szCs w:val="24"/>
        </w:rPr>
        <w:t xml:space="preserve">and ICNU/NWIGU Witness Bradley G. Mullins </w:t>
      </w:r>
      <w:r w:rsidR="00652D1A" w:rsidRPr="00D2420B">
        <w:rPr>
          <w:rFonts w:cstheme="minorHAnsi"/>
          <w:sz w:val="24"/>
          <w:szCs w:val="24"/>
        </w:rPr>
        <w:t>regarding the rate treatment of costs for Colstrip Units 1 and 2, including depreciation costs and net salvage costs.</w:t>
      </w:r>
    </w:p>
    <w:p w14:paraId="33DE24CA" w14:textId="1765C1B1" w:rsidR="00652D1A" w:rsidRPr="00D2420B" w:rsidRDefault="00652D1A" w:rsidP="00E628E6">
      <w:pPr>
        <w:pStyle w:val="Q"/>
        <w:rPr>
          <w:rFonts w:cstheme="minorHAnsi"/>
          <w:sz w:val="24"/>
          <w:szCs w:val="24"/>
        </w:rPr>
      </w:pPr>
      <w:r w:rsidRPr="00D2420B">
        <w:rPr>
          <w:rFonts w:cstheme="minorHAnsi"/>
          <w:sz w:val="24"/>
          <w:szCs w:val="24"/>
        </w:rPr>
        <w:t>Q.</w:t>
      </w:r>
      <w:r w:rsidRPr="00D2420B">
        <w:rPr>
          <w:rFonts w:cstheme="minorHAnsi"/>
          <w:sz w:val="24"/>
          <w:szCs w:val="24"/>
        </w:rPr>
        <w:tab/>
        <w:t xml:space="preserve">Did you previously provide testimony on </w:t>
      </w:r>
      <w:r w:rsidR="00000EC8" w:rsidRPr="00D2420B">
        <w:rPr>
          <w:rFonts w:cstheme="minorHAnsi"/>
          <w:sz w:val="24"/>
          <w:szCs w:val="24"/>
        </w:rPr>
        <w:t>the treatment of these costs</w:t>
      </w:r>
      <w:r w:rsidRPr="00D2420B">
        <w:rPr>
          <w:rFonts w:cstheme="minorHAnsi"/>
          <w:sz w:val="24"/>
          <w:szCs w:val="24"/>
        </w:rPr>
        <w:t>?</w:t>
      </w:r>
    </w:p>
    <w:p w14:paraId="7B99B756" w14:textId="49FCEF3A" w:rsidR="00652D1A" w:rsidRPr="00D2420B" w:rsidRDefault="00652D1A" w:rsidP="00D2420B">
      <w:pPr>
        <w:pStyle w:val="A"/>
        <w:spacing w:after="240"/>
        <w:rPr>
          <w:rFonts w:cstheme="minorHAnsi"/>
          <w:sz w:val="24"/>
          <w:szCs w:val="24"/>
        </w:rPr>
      </w:pPr>
      <w:r w:rsidRPr="00D2420B">
        <w:rPr>
          <w:rFonts w:cstheme="minorHAnsi"/>
          <w:sz w:val="24"/>
          <w:szCs w:val="24"/>
        </w:rPr>
        <w:t>A.</w:t>
      </w:r>
      <w:r w:rsidRPr="00D2420B">
        <w:rPr>
          <w:rFonts w:cstheme="minorHAnsi"/>
          <w:sz w:val="24"/>
          <w:szCs w:val="24"/>
        </w:rPr>
        <w:tab/>
        <w:t>Yes.</w:t>
      </w:r>
    </w:p>
    <w:p w14:paraId="07726F26" w14:textId="58328D57" w:rsidR="00652D1A" w:rsidRPr="00D2420B" w:rsidRDefault="00652D1A" w:rsidP="00E628E6">
      <w:pPr>
        <w:pStyle w:val="Q"/>
        <w:rPr>
          <w:rFonts w:cstheme="minorHAnsi"/>
          <w:sz w:val="24"/>
          <w:szCs w:val="24"/>
        </w:rPr>
      </w:pPr>
      <w:r w:rsidRPr="00D2420B">
        <w:rPr>
          <w:rFonts w:cstheme="minorHAnsi"/>
          <w:sz w:val="24"/>
          <w:szCs w:val="24"/>
        </w:rPr>
        <w:t>Q.</w:t>
      </w:r>
      <w:r w:rsidRPr="00D2420B">
        <w:rPr>
          <w:rFonts w:cstheme="minorHAnsi"/>
          <w:sz w:val="24"/>
          <w:szCs w:val="24"/>
        </w:rPr>
        <w:tab/>
        <w:t xml:space="preserve">Please briefly recap the differences between your </w:t>
      </w:r>
      <w:r w:rsidR="00000EC8" w:rsidRPr="00D2420B">
        <w:rPr>
          <w:rFonts w:cstheme="minorHAnsi"/>
          <w:sz w:val="24"/>
          <w:szCs w:val="24"/>
        </w:rPr>
        <w:t>proposal</w:t>
      </w:r>
      <w:r w:rsidR="00B51302" w:rsidRPr="00D2420B">
        <w:rPr>
          <w:rFonts w:cstheme="minorHAnsi"/>
          <w:sz w:val="24"/>
          <w:szCs w:val="24"/>
        </w:rPr>
        <w:t>,</w:t>
      </w:r>
      <w:r w:rsidR="00000EC8" w:rsidRPr="00D2420B">
        <w:rPr>
          <w:rFonts w:cstheme="minorHAnsi"/>
          <w:sz w:val="24"/>
          <w:szCs w:val="24"/>
        </w:rPr>
        <w:t xml:space="preserve"> Mr. McGuire’s proposal</w:t>
      </w:r>
      <w:r w:rsidR="00B51302" w:rsidRPr="00D2420B">
        <w:rPr>
          <w:rFonts w:cstheme="minorHAnsi"/>
          <w:sz w:val="24"/>
          <w:szCs w:val="24"/>
        </w:rPr>
        <w:t>, and Mr. Mullins’ proposal</w:t>
      </w:r>
      <w:r w:rsidR="00000EC8" w:rsidRPr="00D2420B">
        <w:rPr>
          <w:rFonts w:cstheme="minorHAnsi"/>
          <w:sz w:val="24"/>
          <w:szCs w:val="24"/>
        </w:rPr>
        <w:t xml:space="preserve"> </w:t>
      </w:r>
      <w:r w:rsidRPr="00D2420B">
        <w:rPr>
          <w:rFonts w:cstheme="minorHAnsi"/>
          <w:sz w:val="24"/>
          <w:szCs w:val="24"/>
        </w:rPr>
        <w:t>for treatment of these costs.</w:t>
      </w:r>
    </w:p>
    <w:p w14:paraId="52572336" w14:textId="59016C31" w:rsidR="00652D1A" w:rsidRPr="00D2420B" w:rsidRDefault="00652D1A" w:rsidP="00652D1A">
      <w:pPr>
        <w:pStyle w:val="A"/>
        <w:rPr>
          <w:rFonts w:cstheme="minorHAnsi"/>
          <w:sz w:val="24"/>
          <w:szCs w:val="24"/>
        </w:rPr>
      </w:pPr>
      <w:r w:rsidRPr="00D2420B">
        <w:rPr>
          <w:rFonts w:cstheme="minorHAnsi"/>
          <w:sz w:val="24"/>
          <w:szCs w:val="24"/>
        </w:rPr>
        <w:t>A.</w:t>
      </w:r>
      <w:r w:rsidRPr="00D2420B">
        <w:rPr>
          <w:rFonts w:cstheme="minorHAnsi"/>
          <w:sz w:val="24"/>
          <w:szCs w:val="24"/>
        </w:rPr>
        <w:tab/>
        <w:t>Mr. McGuire</w:t>
      </w:r>
      <w:r w:rsidR="00B51302" w:rsidRPr="00D2420B">
        <w:rPr>
          <w:rFonts w:cstheme="minorHAnsi"/>
          <w:sz w:val="24"/>
          <w:szCs w:val="24"/>
        </w:rPr>
        <w:t xml:space="preserve">, Mr. Mullins and </w:t>
      </w:r>
      <w:r w:rsidRPr="00D2420B">
        <w:rPr>
          <w:rFonts w:cstheme="minorHAnsi"/>
          <w:sz w:val="24"/>
          <w:szCs w:val="24"/>
        </w:rPr>
        <w:t xml:space="preserve">I </w:t>
      </w:r>
      <w:r w:rsidR="00B51302" w:rsidRPr="00D2420B">
        <w:rPr>
          <w:rFonts w:cstheme="minorHAnsi"/>
          <w:sz w:val="24"/>
          <w:szCs w:val="24"/>
        </w:rPr>
        <w:t xml:space="preserve">all </w:t>
      </w:r>
      <w:r w:rsidRPr="00D2420B">
        <w:rPr>
          <w:rFonts w:cstheme="minorHAnsi"/>
          <w:sz w:val="24"/>
          <w:szCs w:val="24"/>
        </w:rPr>
        <w:t xml:space="preserve">addressed the fact that the two older Colstrip units, Units 1 and 2, will have a large undepreciated balance upon retirement </w:t>
      </w:r>
      <w:r w:rsidR="00700E85" w:rsidRPr="00D2420B">
        <w:rPr>
          <w:rFonts w:cstheme="minorHAnsi"/>
          <w:sz w:val="24"/>
          <w:szCs w:val="24"/>
        </w:rPr>
        <w:t>because</w:t>
      </w:r>
      <w:r w:rsidRPr="00D2420B">
        <w:rPr>
          <w:rFonts w:cstheme="minorHAnsi"/>
          <w:sz w:val="24"/>
          <w:szCs w:val="24"/>
        </w:rPr>
        <w:t xml:space="preserve"> the owners of those units have committed to a shut-down date no later than July 1, 2022, while their previous depreciation schedules were based on retirements in 2035. As Mr. McGuire points out, although these units have been operating since the mid-1970s, as of </w:t>
      </w:r>
      <w:r w:rsidRPr="00D2420B">
        <w:rPr>
          <w:rFonts w:cstheme="minorHAnsi"/>
          <w:sz w:val="24"/>
          <w:szCs w:val="24"/>
        </w:rPr>
        <w:lastRenderedPageBreak/>
        <w:t>September 30, 2016 they were only 50% depreciated.</w:t>
      </w:r>
      <w:r w:rsidRPr="00D2420B">
        <w:rPr>
          <w:rStyle w:val="FootnoteReference"/>
          <w:rFonts w:cstheme="minorHAnsi"/>
          <w:sz w:val="24"/>
          <w:szCs w:val="24"/>
        </w:rPr>
        <w:footnoteReference w:id="1"/>
      </w:r>
      <w:r w:rsidR="00000EC8" w:rsidRPr="00D2420B">
        <w:rPr>
          <w:rFonts w:cstheme="minorHAnsi"/>
          <w:sz w:val="24"/>
          <w:szCs w:val="24"/>
        </w:rPr>
        <w:t xml:space="preserve"> Charging PSE’s customers for 50% of the cost of these units concentrated into the 4.5 years until they retire does not reasonably reflect ratepayers’ consumption of these assets.</w:t>
      </w:r>
    </w:p>
    <w:p w14:paraId="4B57896D" w14:textId="47FFE026" w:rsidR="000C676A" w:rsidRPr="00D2420B" w:rsidRDefault="000C676A" w:rsidP="00E628E6">
      <w:pPr>
        <w:pStyle w:val="A2"/>
        <w:rPr>
          <w:rFonts w:cstheme="minorHAnsi"/>
          <w:sz w:val="24"/>
          <w:szCs w:val="24"/>
        </w:rPr>
      </w:pPr>
      <w:r w:rsidRPr="00D2420B">
        <w:rPr>
          <w:rFonts w:cstheme="minorHAnsi"/>
          <w:sz w:val="24"/>
          <w:szCs w:val="24"/>
        </w:rPr>
        <w:t xml:space="preserve">In my direct testimony, I noted that as of the retirement date, </w:t>
      </w:r>
      <w:r w:rsidR="00000EC8" w:rsidRPr="00D2420B">
        <w:rPr>
          <w:rFonts w:cstheme="minorHAnsi"/>
          <w:sz w:val="24"/>
          <w:szCs w:val="24"/>
        </w:rPr>
        <w:t xml:space="preserve">and using its current depreciation schedule, </w:t>
      </w:r>
      <w:r w:rsidRPr="00D2420B">
        <w:rPr>
          <w:rFonts w:cstheme="minorHAnsi"/>
          <w:sz w:val="24"/>
          <w:szCs w:val="24"/>
        </w:rPr>
        <w:t xml:space="preserve">PSE expects to have an undepreciated balance of $178.6 million for its share of these two units. </w:t>
      </w:r>
      <w:r w:rsidR="008D0F6B" w:rsidRPr="00D2420B">
        <w:rPr>
          <w:rFonts w:cstheme="minorHAnsi"/>
          <w:sz w:val="24"/>
          <w:szCs w:val="24"/>
        </w:rPr>
        <w:t xml:space="preserve">My recommendation was that </w:t>
      </w:r>
      <w:r w:rsidR="00000EC8" w:rsidRPr="00D2420B">
        <w:rPr>
          <w:rFonts w:cstheme="minorHAnsi"/>
          <w:sz w:val="24"/>
          <w:szCs w:val="24"/>
        </w:rPr>
        <w:t>at</w:t>
      </w:r>
      <w:r w:rsidR="008D0F6B" w:rsidRPr="00D2420B">
        <w:rPr>
          <w:rFonts w:cstheme="minorHAnsi"/>
          <w:sz w:val="24"/>
          <w:szCs w:val="24"/>
        </w:rPr>
        <w:t xml:space="preserve"> retirement of these units, </w:t>
      </w:r>
      <w:r w:rsidR="004D29D4" w:rsidRPr="00D2420B">
        <w:rPr>
          <w:rFonts w:cstheme="minorHAnsi"/>
          <w:sz w:val="24"/>
          <w:szCs w:val="24"/>
        </w:rPr>
        <w:t>the Commission allow continued recovery of the undepreciated plant balance, but not allow any return of the cost of capital on those units. I reasoned that this would be a fair allocation of the costs of PSE’s having assumed an unrealistically long depreciable life for these units, and would help to ameliorate the intergenerational inequity associated with having future ratepayers pay down the balance of a resource from which they were not deriving any benefit.</w:t>
      </w:r>
    </w:p>
    <w:p w14:paraId="306E8A44" w14:textId="37D2AEAE" w:rsidR="004D29D4" w:rsidRPr="00D2420B" w:rsidRDefault="004D29D4" w:rsidP="00E628E6">
      <w:pPr>
        <w:pStyle w:val="A2"/>
        <w:rPr>
          <w:rFonts w:cstheme="minorHAnsi"/>
          <w:sz w:val="24"/>
          <w:szCs w:val="24"/>
        </w:rPr>
      </w:pPr>
      <w:r w:rsidRPr="00D2420B">
        <w:rPr>
          <w:rFonts w:cstheme="minorHAnsi"/>
          <w:sz w:val="24"/>
          <w:szCs w:val="24"/>
        </w:rPr>
        <w:t>Mr. McGuire addressed the same issue with an alternative proposal: briefly, that PSE should immediately reduce the undepreciated balance of the two units to a level consistent with an ideal, straight-line depreciation of the units’ capital costs of their entire useful lives, and transfer the remaining balance into a regulatory asset to be amortized over 18 years, also witho</w:t>
      </w:r>
      <w:r w:rsidR="009C0E5F">
        <w:rPr>
          <w:rFonts w:cstheme="minorHAnsi"/>
          <w:sz w:val="24"/>
          <w:szCs w:val="24"/>
        </w:rPr>
        <w:t>ut a return on capital for the C</w:t>
      </w:r>
      <w:r w:rsidRPr="00D2420B">
        <w:rPr>
          <w:rFonts w:cstheme="minorHAnsi"/>
          <w:sz w:val="24"/>
          <w:szCs w:val="24"/>
        </w:rPr>
        <w:t>ompany.</w:t>
      </w:r>
      <w:r w:rsidR="00E628E6" w:rsidRPr="00D2420B">
        <w:rPr>
          <w:rFonts w:cstheme="minorHAnsi"/>
          <w:sz w:val="24"/>
          <w:szCs w:val="24"/>
        </w:rPr>
        <w:t xml:space="preserve"> M</w:t>
      </w:r>
      <w:r w:rsidR="000E432B">
        <w:rPr>
          <w:rFonts w:cstheme="minorHAnsi"/>
          <w:sz w:val="24"/>
          <w:szCs w:val="24"/>
        </w:rPr>
        <w:t>r. McGuire calculates that the C</w:t>
      </w:r>
      <w:r w:rsidR="00E628E6" w:rsidRPr="00D2420B">
        <w:rPr>
          <w:rFonts w:cstheme="minorHAnsi"/>
          <w:sz w:val="24"/>
          <w:szCs w:val="24"/>
        </w:rPr>
        <w:t>ompany should increase the reserve for accu</w:t>
      </w:r>
      <w:r w:rsidR="006A4C79">
        <w:rPr>
          <w:rFonts w:cstheme="minorHAnsi"/>
          <w:sz w:val="24"/>
          <w:szCs w:val="24"/>
        </w:rPr>
        <w:t>mulated depreciation by $127.6 m</w:t>
      </w:r>
      <w:r w:rsidR="00E628E6" w:rsidRPr="00D2420B">
        <w:rPr>
          <w:rFonts w:cstheme="minorHAnsi"/>
          <w:sz w:val="24"/>
          <w:szCs w:val="24"/>
        </w:rPr>
        <w:t>illion, leading to an annua</w:t>
      </w:r>
      <w:r w:rsidR="006A4C79">
        <w:rPr>
          <w:rFonts w:cstheme="minorHAnsi"/>
          <w:sz w:val="24"/>
          <w:szCs w:val="24"/>
        </w:rPr>
        <w:t>l depreciation expense of $6.8 m</w:t>
      </w:r>
      <w:r w:rsidR="00E628E6" w:rsidRPr="00D2420B">
        <w:rPr>
          <w:rFonts w:cstheme="minorHAnsi"/>
          <w:sz w:val="24"/>
          <w:szCs w:val="24"/>
        </w:rPr>
        <w:t xml:space="preserve">illion of the remaining 4.5 </w:t>
      </w:r>
      <w:r w:rsidR="00E628E6" w:rsidRPr="00D2420B">
        <w:rPr>
          <w:rFonts w:cstheme="minorHAnsi"/>
          <w:sz w:val="24"/>
          <w:szCs w:val="24"/>
        </w:rPr>
        <w:lastRenderedPageBreak/>
        <w:t>years until the currently-planned retirement date.</w:t>
      </w:r>
      <w:r w:rsidR="00E628E6" w:rsidRPr="00D2420B">
        <w:rPr>
          <w:rStyle w:val="FootnoteReference"/>
          <w:rFonts w:cstheme="minorHAnsi"/>
          <w:sz w:val="24"/>
          <w:szCs w:val="24"/>
        </w:rPr>
        <w:footnoteReference w:id="2"/>
      </w:r>
    </w:p>
    <w:p w14:paraId="3478BACE" w14:textId="05E9FB8C" w:rsidR="00B51302" w:rsidRPr="00D2420B" w:rsidRDefault="00B51302" w:rsidP="00D2420B">
      <w:pPr>
        <w:pStyle w:val="A2"/>
        <w:spacing w:after="240"/>
        <w:rPr>
          <w:rFonts w:cstheme="minorHAnsi"/>
          <w:sz w:val="24"/>
          <w:szCs w:val="24"/>
        </w:rPr>
      </w:pPr>
      <w:r w:rsidRPr="00D2420B">
        <w:rPr>
          <w:rFonts w:cstheme="minorHAnsi"/>
          <w:sz w:val="24"/>
          <w:szCs w:val="24"/>
        </w:rPr>
        <w:t>Mr. Mullins</w:t>
      </w:r>
      <w:r w:rsidR="00FC43B2" w:rsidRPr="00D2420B">
        <w:rPr>
          <w:rFonts w:cstheme="minorHAnsi"/>
          <w:sz w:val="24"/>
          <w:szCs w:val="24"/>
        </w:rPr>
        <w:t>’</w:t>
      </w:r>
      <w:r w:rsidRPr="00D2420B">
        <w:rPr>
          <w:rFonts w:cstheme="minorHAnsi"/>
          <w:sz w:val="24"/>
          <w:szCs w:val="24"/>
        </w:rPr>
        <w:t xml:space="preserve"> proposal </w:t>
      </w:r>
      <w:r w:rsidR="00006B00" w:rsidRPr="00D2420B">
        <w:rPr>
          <w:rFonts w:cstheme="minorHAnsi"/>
          <w:sz w:val="24"/>
          <w:szCs w:val="24"/>
        </w:rPr>
        <w:t xml:space="preserve">for depreciation expense is </w:t>
      </w:r>
      <w:r w:rsidRPr="00D2420B">
        <w:rPr>
          <w:rFonts w:cstheme="minorHAnsi"/>
          <w:sz w:val="24"/>
          <w:szCs w:val="24"/>
        </w:rPr>
        <w:t xml:space="preserve">similar to my own, in that </w:t>
      </w:r>
      <w:r w:rsidR="00006B00" w:rsidRPr="00D2420B">
        <w:rPr>
          <w:rFonts w:cstheme="minorHAnsi"/>
          <w:sz w:val="24"/>
          <w:szCs w:val="24"/>
        </w:rPr>
        <w:t>Mr. Mullin</w:t>
      </w:r>
      <w:r w:rsidR="00FC43B2" w:rsidRPr="00D2420B">
        <w:rPr>
          <w:rFonts w:cstheme="minorHAnsi"/>
          <w:sz w:val="24"/>
          <w:szCs w:val="24"/>
        </w:rPr>
        <w:t>s</w:t>
      </w:r>
      <w:r w:rsidR="009C0E5F">
        <w:rPr>
          <w:rFonts w:cstheme="minorHAnsi"/>
          <w:sz w:val="24"/>
          <w:szCs w:val="24"/>
        </w:rPr>
        <w:t xml:space="preserve"> recommended that the C</w:t>
      </w:r>
      <w:r w:rsidRPr="00D2420B">
        <w:rPr>
          <w:rFonts w:cstheme="minorHAnsi"/>
          <w:sz w:val="24"/>
          <w:szCs w:val="24"/>
        </w:rPr>
        <w:t xml:space="preserve">ompany not be allowed to implement accelerated depreciation, but should </w:t>
      </w:r>
      <w:r w:rsidR="00006B00" w:rsidRPr="00D2420B">
        <w:rPr>
          <w:rFonts w:cstheme="minorHAnsi"/>
          <w:sz w:val="24"/>
          <w:szCs w:val="24"/>
        </w:rPr>
        <w:t xml:space="preserve">instead </w:t>
      </w:r>
      <w:r w:rsidRPr="00D2420B">
        <w:rPr>
          <w:rFonts w:cstheme="minorHAnsi"/>
          <w:sz w:val="24"/>
          <w:szCs w:val="24"/>
        </w:rPr>
        <w:t>retain its current depreciation rates through the end of the useful lives of Units 1 and 2 and then transfer the balance to a regulatory asset, to be amortized over a set period of time. Mr. Mullins suggested that this amortization take place over 12 years, ending in 2030.</w:t>
      </w:r>
      <w:r w:rsidRPr="00D2420B">
        <w:rPr>
          <w:rStyle w:val="FootnoteReference"/>
          <w:rFonts w:cstheme="minorHAnsi"/>
          <w:sz w:val="24"/>
          <w:szCs w:val="24"/>
        </w:rPr>
        <w:footnoteReference w:id="3"/>
      </w:r>
    </w:p>
    <w:p w14:paraId="2D8F709A" w14:textId="7A61695C" w:rsidR="008563B8" w:rsidRPr="00D2420B" w:rsidRDefault="008563B8" w:rsidP="00FD7CFF">
      <w:pPr>
        <w:pStyle w:val="Q"/>
        <w:rPr>
          <w:rFonts w:cstheme="minorHAnsi"/>
          <w:sz w:val="24"/>
          <w:szCs w:val="24"/>
          <w:lang w:eastAsia="en-US"/>
        </w:rPr>
      </w:pPr>
      <w:r w:rsidRPr="00D2420B">
        <w:rPr>
          <w:rFonts w:cstheme="minorHAnsi"/>
          <w:sz w:val="24"/>
          <w:szCs w:val="24"/>
          <w:lang w:eastAsia="en-US"/>
        </w:rPr>
        <w:t>Q.</w:t>
      </w:r>
      <w:r w:rsidRPr="00D2420B">
        <w:rPr>
          <w:rFonts w:cstheme="minorHAnsi"/>
          <w:sz w:val="24"/>
          <w:szCs w:val="24"/>
          <w:lang w:eastAsia="en-US"/>
        </w:rPr>
        <w:tab/>
        <w:t>Please describe the impact on PSE’s depreciation and amortization expense based on these p</w:t>
      </w:r>
      <w:r w:rsidR="009C0E5F">
        <w:rPr>
          <w:rFonts w:cstheme="minorHAnsi"/>
          <w:sz w:val="24"/>
          <w:szCs w:val="24"/>
          <w:lang w:eastAsia="en-US"/>
        </w:rPr>
        <w:t>roposals, as well as the C</w:t>
      </w:r>
      <w:r w:rsidRPr="00D2420B">
        <w:rPr>
          <w:rFonts w:cstheme="minorHAnsi"/>
          <w:sz w:val="24"/>
          <w:szCs w:val="24"/>
          <w:lang w:eastAsia="en-US"/>
        </w:rPr>
        <w:t>ompany’s proposal.</w:t>
      </w:r>
    </w:p>
    <w:p w14:paraId="78B5A1E4" w14:textId="31D2C64E" w:rsidR="008563B8" w:rsidRPr="00D2420B" w:rsidRDefault="008563B8" w:rsidP="008563B8">
      <w:pPr>
        <w:pStyle w:val="A"/>
        <w:rPr>
          <w:rFonts w:cstheme="minorHAnsi"/>
          <w:sz w:val="24"/>
          <w:szCs w:val="24"/>
          <w:lang w:eastAsia="en-US"/>
        </w:rPr>
      </w:pPr>
      <w:r w:rsidRPr="00D2420B">
        <w:rPr>
          <w:rFonts w:cstheme="minorHAnsi"/>
          <w:sz w:val="24"/>
          <w:szCs w:val="24"/>
          <w:lang w:eastAsia="en-US"/>
        </w:rPr>
        <w:t>A.</w:t>
      </w:r>
      <w:r w:rsidRPr="00D2420B">
        <w:rPr>
          <w:rFonts w:cstheme="minorHAnsi"/>
          <w:sz w:val="24"/>
          <w:szCs w:val="24"/>
          <w:lang w:eastAsia="en-US"/>
        </w:rPr>
        <w:tab/>
        <w:t>My original proposal</w:t>
      </w:r>
      <w:r w:rsidR="00A56664" w:rsidRPr="00D2420B">
        <w:rPr>
          <w:rFonts w:cstheme="minorHAnsi"/>
          <w:sz w:val="24"/>
          <w:szCs w:val="24"/>
          <w:lang w:eastAsia="en-US"/>
        </w:rPr>
        <w:t>, similar to Mr. Mullins’ proposal,</w:t>
      </w:r>
      <w:r w:rsidR="009C0E5F">
        <w:rPr>
          <w:rFonts w:cstheme="minorHAnsi"/>
          <w:sz w:val="24"/>
          <w:szCs w:val="24"/>
          <w:lang w:eastAsia="en-US"/>
        </w:rPr>
        <w:t xml:space="preserve"> would not change the C</w:t>
      </w:r>
      <w:r w:rsidRPr="00D2420B">
        <w:rPr>
          <w:rFonts w:cstheme="minorHAnsi"/>
          <w:sz w:val="24"/>
          <w:szCs w:val="24"/>
          <w:lang w:eastAsia="en-US"/>
        </w:rPr>
        <w:t xml:space="preserve">ompany’s depreciation expense from its current depreciation schedule – as shown in Table 1 of Mr. McGuire’s testimony, the Company is now claiming an annual depreciation expense of $5,391,258, based on its existing schedule. Mr. McGuire’s proposal would change both the depreciation schedule (reflecting the remaining expected 4.5 years of service life) and the depreciable amount, reflecting the loss in service value due to the Company’s agreement to retire the units by that date. The result is an annual depreciation expense of $6,805,438. PSE proposes to depreciate the entire undepreciated balance of the plant over 4.5 years, yielding (again </w:t>
      </w:r>
      <w:r w:rsidR="00BF442F" w:rsidRPr="00D2420B">
        <w:rPr>
          <w:rFonts w:cstheme="minorHAnsi"/>
          <w:sz w:val="24"/>
          <w:szCs w:val="24"/>
          <w:lang w:eastAsia="en-US"/>
        </w:rPr>
        <w:t>as shown in Mr. McGuire’s Table 1) an annual depreciation expense of $27,241,335.</w:t>
      </w:r>
    </w:p>
    <w:p w14:paraId="2F8F3909" w14:textId="4C7E7AF5" w:rsidR="00BF442F" w:rsidRPr="00D2420B" w:rsidRDefault="00BF442F" w:rsidP="00D2420B">
      <w:pPr>
        <w:pStyle w:val="A2"/>
        <w:spacing w:after="240"/>
        <w:rPr>
          <w:rFonts w:cstheme="minorHAnsi"/>
          <w:sz w:val="24"/>
          <w:szCs w:val="24"/>
          <w:lang w:eastAsia="en-US"/>
        </w:rPr>
      </w:pPr>
      <w:r w:rsidRPr="00D2420B">
        <w:rPr>
          <w:rFonts w:cstheme="minorHAnsi"/>
          <w:sz w:val="24"/>
          <w:szCs w:val="24"/>
          <w:lang w:eastAsia="en-US"/>
        </w:rPr>
        <w:lastRenderedPageBreak/>
        <w:t xml:space="preserve">Mr. McGuire proposes </w:t>
      </w:r>
      <w:r w:rsidR="00000EC8" w:rsidRPr="00D2420B">
        <w:rPr>
          <w:rFonts w:cstheme="minorHAnsi"/>
          <w:sz w:val="24"/>
          <w:szCs w:val="24"/>
          <w:lang w:eastAsia="en-US"/>
        </w:rPr>
        <w:t xml:space="preserve">that the Company begin </w:t>
      </w:r>
      <w:r w:rsidRPr="00D2420B">
        <w:rPr>
          <w:rFonts w:cstheme="minorHAnsi"/>
          <w:sz w:val="24"/>
          <w:szCs w:val="24"/>
          <w:lang w:eastAsia="en-US"/>
        </w:rPr>
        <w:t xml:space="preserve">amortizing the increase in the reserve for accumulated depreciation immediately, and </w:t>
      </w:r>
      <w:r w:rsidR="00FC43B2" w:rsidRPr="00D2420B">
        <w:rPr>
          <w:rFonts w:cstheme="minorHAnsi"/>
          <w:sz w:val="24"/>
          <w:szCs w:val="24"/>
          <w:lang w:eastAsia="en-US"/>
        </w:rPr>
        <w:t>that it</w:t>
      </w:r>
      <w:r w:rsidRPr="00D2420B">
        <w:rPr>
          <w:rFonts w:cstheme="minorHAnsi"/>
          <w:sz w:val="24"/>
          <w:szCs w:val="24"/>
          <w:lang w:eastAsia="en-US"/>
        </w:rPr>
        <w:t xml:space="preserve"> do so over 18 years. He calculates that this would lead to an annual amortization expense of $7,090,530 over that time period. </w:t>
      </w:r>
      <w:r w:rsidR="00A56664" w:rsidRPr="00D2420B">
        <w:rPr>
          <w:rFonts w:cstheme="minorHAnsi"/>
          <w:sz w:val="24"/>
          <w:szCs w:val="24"/>
          <w:lang w:eastAsia="en-US"/>
        </w:rPr>
        <w:t>Mr. Mullin</w:t>
      </w:r>
      <w:r w:rsidR="00FC43B2" w:rsidRPr="00D2420B">
        <w:rPr>
          <w:rFonts w:cstheme="minorHAnsi"/>
          <w:sz w:val="24"/>
          <w:szCs w:val="24"/>
          <w:lang w:eastAsia="en-US"/>
        </w:rPr>
        <w:t>s</w:t>
      </w:r>
      <w:r w:rsidR="00A56664" w:rsidRPr="00D2420B">
        <w:rPr>
          <w:rFonts w:cstheme="minorHAnsi"/>
          <w:sz w:val="24"/>
          <w:szCs w:val="24"/>
          <w:lang w:eastAsia="en-US"/>
        </w:rPr>
        <w:t xml:space="preserve"> proposes that amortization of this regulatory asset over a twelve-year period, ending in 2030. </w:t>
      </w:r>
      <w:r w:rsidRPr="00D2420B">
        <w:rPr>
          <w:rFonts w:cstheme="minorHAnsi"/>
          <w:sz w:val="24"/>
          <w:szCs w:val="24"/>
          <w:lang w:eastAsia="en-US"/>
        </w:rPr>
        <w:t xml:space="preserve">I had </w:t>
      </w:r>
      <w:r w:rsidR="00A56664" w:rsidRPr="00D2420B">
        <w:rPr>
          <w:rFonts w:cstheme="minorHAnsi"/>
          <w:sz w:val="24"/>
          <w:szCs w:val="24"/>
          <w:lang w:eastAsia="en-US"/>
        </w:rPr>
        <w:t xml:space="preserve">similarly </w:t>
      </w:r>
      <w:r w:rsidRPr="00D2420B">
        <w:rPr>
          <w:rFonts w:cstheme="minorHAnsi"/>
          <w:sz w:val="24"/>
          <w:szCs w:val="24"/>
          <w:lang w:eastAsia="en-US"/>
        </w:rPr>
        <w:t>proposed that this amortization expense would take place starting upon retirement in 2022; however, I had not specified an amortization timetable</w:t>
      </w:r>
      <w:r w:rsidR="00CA0502" w:rsidRPr="00D2420B">
        <w:rPr>
          <w:rFonts w:cstheme="minorHAnsi"/>
          <w:sz w:val="24"/>
          <w:szCs w:val="24"/>
          <w:lang w:eastAsia="en-US"/>
        </w:rPr>
        <w:t xml:space="preserve"> </w:t>
      </w:r>
      <w:r w:rsidR="00000EC8" w:rsidRPr="00D2420B">
        <w:rPr>
          <w:rFonts w:cstheme="minorHAnsi"/>
          <w:sz w:val="24"/>
          <w:szCs w:val="24"/>
          <w:lang w:eastAsia="en-US"/>
        </w:rPr>
        <w:t xml:space="preserve">or annual amount </w:t>
      </w:r>
      <w:r w:rsidR="00CA0502" w:rsidRPr="00D2420B">
        <w:rPr>
          <w:rFonts w:cstheme="minorHAnsi"/>
          <w:sz w:val="24"/>
          <w:szCs w:val="24"/>
          <w:lang w:eastAsia="en-US"/>
        </w:rPr>
        <w:t>after that date</w:t>
      </w:r>
      <w:r w:rsidRPr="00D2420B">
        <w:rPr>
          <w:rFonts w:cstheme="minorHAnsi"/>
          <w:sz w:val="24"/>
          <w:szCs w:val="24"/>
          <w:lang w:eastAsia="en-US"/>
        </w:rPr>
        <w:t>.</w:t>
      </w:r>
      <w:r w:rsidR="00873DE9" w:rsidRPr="00D2420B">
        <w:rPr>
          <w:rFonts w:cstheme="minorHAnsi"/>
          <w:sz w:val="24"/>
          <w:szCs w:val="24"/>
          <w:lang w:eastAsia="en-US"/>
        </w:rPr>
        <w:t xml:space="preserve"> Under my proposal, those deta</w:t>
      </w:r>
      <w:r w:rsidR="00DB6308">
        <w:rPr>
          <w:rFonts w:cstheme="minorHAnsi"/>
          <w:sz w:val="24"/>
          <w:szCs w:val="24"/>
          <w:lang w:eastAsia="en-US"/>
        </w:rPr>
        <w:t xml:space="preserve">ils would be left for a future </w:t>
      </w:r>
      <w:r w:rsidR="00A5678D">
        <w:rPr>
          <w:rFonts w:cstheme="minorHAnsi"/>
          <w:sz w:val="24"/>
          <w:szCs w:val="24"/>
          <w:lang w:eastAsia="en-US"/>
        </w:rPr>
        <w:t>c</w:t>
      </w:r>
      <w:r w:rsidR="00873DE9" w:rsidRPr="00D2420B">
        <w:rPr>
          <w:rFonts w:cstheme="minorHAnsi"/>
          <w:sz w:val="24"/>
          <w:szCs w:val="24"/>
          <w:lang w:eastAsia="en-US"/>
        </w:rPr>
        <w:t xml:space="preserve">ommission to determine. </w:t>
      </w:r>
    </w:p>
    <w:p w14:paraId="5B166662" w14:textId="2236DB80" w:rsidR="00FD7CFF" w:rsidRPr="00D2420B" w:rsidRDefault="00FD7CFF" w:rsidP="00FD7CFF">
      <w:pPr>
        <w:pStyle w:val="Q"/>
        <w:rPr>
          <w:rFonts w:cstheme="minorHAnsi"/>
          <w:sz w:val="24"/>
          <w:szCs w:val="24"/>
          <w:lang w:eastAsia="en-US"/>
        </w:rPr>
      </w:pPr>
      <w:r w:rsidRPr="00D2420B">
        <w:rPr>
          <w:rFonts w:cstheme="minorHAnsi"/>
          <w:sz w:val="24"/>
          <w:szCs w:val="24"/>
          <w:lang w:eastAsia="en-US"/>
        </w:rPr>
        <w:t>Q.</w:t>
      </w:r>
      <w:r w:rsidRPr="00D2420B">
        <w:rPr>
          <w:rFonts w:cstheme="minorHAnsi"/>
          <w:sz w:val="24"/>
          <w:szCs w:val="24"/>
          <w:lang w:eastAsia="en-US"/>
        </w:rPr>
        <w:tab/>
        <w:t>Do you stand by your original recommendation?</w:t>
      </w:r>
    </w:p>
    <w:p w14:paraId="4C37209A" w14:textId="3C890640" w:rsidR="00C74621" w:rsidRPr="00D2420B" w:rsidRDefault="00FD7CFF" w:rsidP="00C74621">
      <w:pPr>
        <w:pStyle w:val="A"/>
        <w:rPr>
          <w:rFonts w:cstheme="minorHAnsi"/>
          <w:sz w:val="24"/>
          <w:szCs w:val="24"/>
          <w:lang w:eastAsia="en-US"/>
        </w:rPr>
      </w:pPr>
      <w:r w:rsidRPr="00D2420B">
        <w:rPr>
          <w:rFonts w:cstheme="minorHAnsi"/>
          <w:sz w:val="24"/>
          <w:szCs w:val="24"/>
          <w:lang w:eastAsia="en-US"/>
        </w:rPr>
        <w:t>A.</w:t>
      </w:r>
      <w:r w:rsidRPr="00D2420B">
        <w:rPr>
          <w:rFonts w:cstheme="minorHAnsi"/>
          <w:sz w:val="24"/>
          <w:szCs w:val="24"/>
          <w:lang w:eastAsia="en-US"/>
        </w:rPr>
        <w:tab/>
        <w:t xml:space="preserve">Yes. My original recommendation to maintain existing depreciation rates for Colstrip Units 1 and 2, and to amortize the remaining balance still stands. </w:t>
      </w:r>
      <w:r w:rsidR="00C74621" w:rsidRPr="00D2420B">
        <w:rPr>
          <w:rFonts w:cstheme="minorHAnsi"/>
          <w:sz w:val="24"/>
          <w:szCs w:val="24"/>
          <w:lang w:eastAsia="en-US"/>
        </w:rPr>
        <w:t>As with Mr. McGuire’s</w:t>
      </w:r>
      <w:r w:rsidR="00A56664" w:rsidRPr="00D2420B">
        <w:rPr>
          <w:rFonts w:cstheme="minorHAnsi"/>
          <w:sz w:val="24"/>
          <w:szCs w:val="24"/>
          <w:lang w:eastAsia="en-US"/>
        </w:rPr>
        <w:t xml:space="preserve"> and Mr. Mullins’ </w:t>
      </w:r>
      <w:r w:rsidR="00C74621" w:rsidRPr="00D2420B">
        <w:rPr>
          <w:rFonts w:cstheme="minorHAnsi"/>
          <w:sz w:val="24"/>
          <w:szCs w:val="24"/>
          <w:lang w:eastAsia="en-US"/>
        </w:rPr>
        <w:t>proposal</w:t>
      </w:r>
      <w:r w:rsidR="00A56664" w:rsidRPr="00D2420B">
        <w:rPr>
          <w:rFonts w:cstheme="minorHAnsi"/>
          <w:sz w:val="24"/>
          <w:szCs w:val="24"/>
          <w:lang w:eastAsia="en-US"/>
        </w:rPr>
        <w:t>s</w:t>
      </w:r>
      <w:r w:rsidR="00C74621" w:rsidRPr="00D2420B">
        <w:rPr>
          <w:rFonts w:cstheme="minorHAnsi"/>
          <w:sz w:val="24"/>
          <w:szCs w:val="24"/>
          <w:lang w:eastAsia="en-US"/>
        </w:rPr>
        <w:t xml:space="preserve">, my proposal would protect customers from a very large increase in depreciation expense that is far out of proportion to their consumption of the asset. </w:t>
      </w:r>
    </w:p>
    <w:p w14:paraId="0562AD8C" w14:textId="58864D44" w:rsidR="00FD7CFF" w:rsidRPr="00D2420B" w:rsidRDefault="00FD7CFF" w:rsidP="00D2420B">
      <w:pPr>
        <w:pStyle w:val="A2"/>
        <w:spacing w:after="240"/>
        <w:rPr>
          <w:rFonts w:cstheme="minorHAnsi"/>
          <w:sz w:val="24"/>
          <w:szCs w:val="24"/>
          <w:lang w:eastAsia="en-US"/>
        </w:rPr>
      </w:pPr>
      <w:r w:rsidRPr="00D2420B">
        <w:rPr>
          <w:rFonts w:cstheme="minorHAnsi"/>
          <w:sz w:val="24"/>
          <w:szCs w:val="24"/>
          <w:lang w:eastAsia="en-US"/>
        </w:rPr>
        <w:t>Based on Mr. McGuire's calculations,</w:t>
      </w:r>
      <w:r w:rsidRPr="00D2420B">
        <w:rPr>
          <w:rStyle w:val="FootnoteReference"/>
          <w:rFonts w:cstheme="minorHAnsi"/>
          <w:sz w:val="24"/>
          <w:szCs w:val="24"/>
          <w:lang w:eastAsia="en-US"/>
        </w:rPr>
        <w:footnoteReference w:id="4"/>
      </w:r>
      <w:r w:rsidRPr="00D2420B">
        <w:rPr>
          <w:rFonts w:cstheme="minorHAnsi"/>
          <w:sz w:val="24"/>
          <w:szCs w:val="24"/>
          <w:lang w:eastAsia="en-US"/>
        </w:rPr>
        <w:t xml:space="preserve"> I can now clarify that this recommendation would result in a $21.85 million downward adjustment to PSE's </w:t>
      </w:r>
      <w:r w:rsidR="00C06A18">
        <w:rPr>
          <w:rFonts w:cstheme="minorHAnsi"/>
          <w:sz w:val="24"/>
          <w:szCs w:val="24"/>
          <w:lang w:eastAsia="en-US"/>
        </w:rPr>
        <w:t xml:space="preserve">depreciation expense </w:t>
      </w:r>
      <w:r w:rsidRPr="00D2420B">
        <w:rPr>
          <w:rFonts w:cstheme="minorHAnsi"/>
          <w:sz w:val="24"/>
          <w:szCs w:val="24"/>
          <w:lang w:eastAsia="en-US"/>
        </w:rPr>
        <w:t xml:space="preserve">as-filed by instead retaining the existing depreciation schedule for Units 1 and 2, with the expectation that any remaining plant balance would be amortized outside of rate base </w:t>
      </w:r>
      <w:r w:rsidR="00000EC8" w:rsidRPr="00D2420B">
        <w:rPr>
          <w:rFonts w:cstheme="minorHAnsi"/>
          <w:sz w:val="24"/>
          <w:szCs w:val="24"/>
          <w:lang w:eastAsia="en-US"/>
        </w:rPr>
        <w:t>after</w:t>
      </w:r>
      <w:r w:rsidRPr="00D2420B">
        <w:rPr>
          <w:rFonts w:cstheme="minorHAnsi"/>
          <w:sz w:val="24"/>
          <w:szCs w:val="24"/>
          <w:lang w:eastAsia="en-US"/>
        </w:rPr>
        <w:t xml:space="preserve"> those units stop operating. The amortization amount and schedule for that undepreciated balance would be set by a future commission decision after Units 1 and 2 </w:t>
      </w:r>
      <w:r w:rsidRPr="00D2420B">
        <w:rPr>
          <w:rFonts w:cstheme="minorHAnsi"/>
          <w:sz w:val="24"/>
          <w:szCs w:val="24"/>
          <w:lang w:eastAsia="en-US"/>
        </w:rPr>
        <w:lastRenderedPageBreak/>
        <w:t>retire.</w:t>
      </w:r>
    </w:p>
    <w:p w14:paraId="1F10CF73" w14:textId="2863B322" w:rsidR="00FD7CFF" w:rsidRPr="00D2420B" w:rsidRDefault="00FD7CFF" w:rsidP="00FD7CFF">
      <w:pPr>
        <w:pStyle w:val="Q"/>
        <w:rPr>
          <w:rFonts w:cstheme="minorHAnsi"/>
          <w:sz w:val="24"/>
          <w:szCs w:val="24"/>
          <w:lang w:eastAsia="en-US"/>
        </w:rPr>
      </w:pPr>
      <w:r w:rsidRPr="00D2420B">
        <w:rPr>
          <w:rFonts w:cstheme="minorHAnsi"/>
          <w:sz w:val="24"/>
          <w:szCs w:val="24"/>
          <w:lang w:eastAsia="en-US"/>
        </w:rPr>
        <w:t>Q.</w:t>
      </w:r>
      <w:r w:rsidRPr="00D2420B">
        <w:rPr>
          <w:rFonts w:cstheme="minorHAnsi"/>
          <w:sz w:val="24"/>
          <w:szCs w:val="24"/>
          <w:lang w:eastAsia="en-US"/>
        </w:rPr>
        <w:tab/>
        <w:t>Do you support Mr. McGuire's recommendation as an alternative to your own? </w:t>
      </w:r>
    </w:p>
    <w:p w14:paraId="3A9F9F6B" w14:textId="76E1FB1B" w:rsidR="00B7583C" w:rsidRPr="00D2420B" w:rsidRDefault="00FD7CFF" w:rsidP="00D2420B">
      <w:pPr>
        <w:pStyle w:val="A"/>
        <w:spacing w:after="240"/>
        <w:rPr>
          <w:rFonts w:cstheme="minorHAnsi"/>
          <w:sz w:val="24"/>
          <w:szCs w:val="24"/>
        </w:rPr>
      </w:pPr>
      <w:r w:rsidRPr="00D2420B">
        <w:rPr>
          <w:rFonts w:cstheme="minorHAnsi"/>
          <w:sz w:val="24"/>
          <w:szCs w:val="24"/>
          <w:lang w:eastAsia="en-US"/>
        </w:rPr>
        <w:t>A.</w:t>
      </w:r>
      <w:r w:rsidRPr="00D2420B">
        <w:rPr>
          <w:rFonts w:cstheme="minorHAnsi"/>
          <w:sz w:val="24"/>
          <w:szCs w:val="24"/>
          <w:lang w:eastAsia="en-US"/>
        </w:rPr>
        <w:tab/>
        <w:t>Yes. I support Mr. McGuire's recommendation as an alternative to my own because</w:t>
      </w:r>
      <w:r w:rsidR="00B7583C" w:rsidRPr="00D2420B">
        <w:rPr>
          <w:rFonts w:cstheme="minorHAnsi"/>
          <w:sz w:val="24"/>
          <w:szCs w:val="24"/>
        </w:rPr>
        <w:t xml:space="preserve"> I agree that it is fair to ratepayers to reduce the undepreciated balance now to reflect the decrease in value resulting from the decision to retire </w:t>
      </w:r>
      <w:r w:rsidR="00000EC8" w:rsidRPr="00D2420B">
        <w:rPr>
          <w:rFonts w:cstheme="minorHAnsi"/>
          <w:sz w:val="24"/>
          <w:szCs w:val="24"/>
        </w:rPr>
        <w:t xml:space="preserve">Units 1 and 2 </w:t>
      </w:r>
      <w:r w:rsidR="00B7583C" w:rsidRPr="00D2420B">
        <w:rPr>
          <w:rFonts w:cstheme="minorHAnsi"/>
          <w:sz w:val="24"/>
          <w:szCs w:val="24"/>
        </w:rPr>
        <w:t>no later than 2022, as Mr. McGuire suggests. I further agree with his statement that PSE’s “risk-adjusted returns were applied to an artificially high rate base at least since the decision to close Colstrip Units 1 and 2 and possibly for much longer. Because rate base has remained artificially high, ratepayers, in turn, have provided inflated returns to shareholders.”</w:t>
      </w:r>
      <w:r w:rsidR="00B7583C" w:rsidRPr="00D2420B">
        <w:rPr>
          <w:rStyle w:val="FootnoteReference"/>
          <w:rFonts w:cstheme="minorHAnsi"/>
          <w:sz w:val="24"/>
          <w:szCs w:val="24"/>
        </w:rPr>
        <w:footnoteReference w:id="5"/>
      </w:r>
      <w:r w:rsidR="00B7583C" w:rsidRPr="00D2420B">
        <w:rPr>
          <w:rFonts w:cstheme="minorHAnsi"/>
          <w:sz w:val="24"/>
          <w:szCs w:val="24"/>
        </w:rPr>
        <w:t xml:space="preserve"> The Commission should</w:t>
      </w:r>
      <w:r w:rsidR="005E1C4E">
        <w:rPr>
          <w:rFonts w:cstheme="minorHAnsi"/>
          <w:sz w:val="24"/>
          <w:szCs w:val="24"/>
        </w:rPr>
        <w:t xml:space="preserve"> not</w:t>
      </w:r>
      <w:r w:rsidR="00B7583C" w:rsidRPr="00D2420B">
        <w:rPr>
          <w:rFonts w:cstheme="minorHAnsi"/>
          <w:sz w:val="24"/>
          <w:szCs w:val="24"/>
        </w:rPr>
        <w:t xml:space="preserve"> </w:t>
      </w:r>
      <w:r w:rsidR="00FC43B2" w:rsidRPr="00D2420B">
        <w:rPr>
          <w:rFonts w:cstheme="minorHAnsi"/>
          <w:sz w:val="24"/>
          <w:szCs w:val="24"/>
        </w:rPr>
        <w:t>allow PSE to continue receiving its</w:t>
      </w:r>
      <w:r w:rsidR="00B7583C" w:rsidRPr="00D2420B">
        <w:rPr>
          <w:rFonts w:cstheme="minorHAnsi"/>
          <w:sz w:val="24"/>
          <w:szCs w:val="24"/>
        </w:rPr>
        <w:t xml:space="preserve"> full rate of return on an inflated plant balance that reflects erroneous depreciations assumptions from the past.</w:t>
      </w:r>
    </w:p>
    <w:p w14:paraId="58443CCD" w14:textId="55AEEBEC" w:rsidR="00B7583C" w:rsidRPr="00D2420B" w:rsidRDefault="00B7583C" w:rsidP="00B7583C">
      <w:pPr>
        <w:pStyle w:val="Q"/>
        <w:rPr>
          <w:rFonts w:cstheme="minorHAnsi"/>
          <w:sz w:val="24"/>
          <w:szCs w:val="24"/>
        </w:rPr>
      </w:pPr>
      <w:r w:rsidRPr="00D2420B">
        <w:rPr>
          <w:rFonts w:cstheme="minorHAnsi"/>
          <w:sz w:val="24"/>
          <w:szCs w:val="24"/>
        </w:rPr>
        <w:t>Q.</w:t>
      </w:r>
      <w:r w:rsidRPr="00D2420B">
        <w:rPr>
          <w:rFonts w:cstheme="minorHAnsi"/>
          <w:sz w:val="24"/>
          <w:szCs w:val="24"/>
        </w:rPr>
        <w:tab/>
        <w:t xml:space="preserve">Are there any other benefits of implementing </w:t>
      </w:r>
      <w:r w:rsidR="00C74621" w:rsidRPr="00D2420B">
        <w:rPr>
          <w:rFonts w:cstheme="minorHAnsi"/>
          <w:sz w:val="24"/>
          <w:szCs w:val="24"/>
        </w:rPr>
        <w:t xml:space="preserve">either your proposal or </w:t>
      </w:r>
      <w:r w:rsidRPr="00D2420B">
        <w:rPr>
          <w:rFonts w:cstheme="minorHAnsi"/>
          <w:sz w:val="24"/>
          <w:szCs w:val="24"/>
        </w:rPr>
        <w:t>Mr. McGuire’s proposal, in your view?</w:t>
      </w:r>
    </w:p>
    <w:p w14:paraId="71F77F80" w14:textId="5B193701" w:rsidR="00C74621" w:rsidRPr="00D2420B" w:rsidRDefault="00B7583C" w:rsidP="00B7583C">
      <w:pPr>
        <w:pStyle w:val="A"/>
        <w:rPr>
          <w:rFonts w:cstheme="minorHAnsi"/>
          <w:sz w:val="24"/>
          <w:szCs w:val="24"/>
        </w:rPr>
      </w:pPr>
      <w:r w:rsidRPr="00D2420B">
        <w:rPr>
          <w:rFonts w:cstheme="minorHAnsi"/>
          <w:sz w:val="24"/>
          <w:szCs w:val="24"/>
        </w:rPr>
        <w:t>A.</w:t>
      </w:r>
      <w:r w:rsidRPr="00D2420B">
        <w:rPr>
          <w:rFonts w:cstheme="minorHAnsi"/>
          <w:sz w:val="24"/>
          <w:szCs w:val="24"/>
        </w:rPr>
        <w:tab/>
        <w:t xml:space="preserve">Yes. </w:t>
      </w:r>
      <w:r w:rsidR="00C74621" w:rsidRPr="00D2420B">
        <w:rPr>
          <w:rFonts w:cstheme="minorHAnsi"/>
          <w:sz w:val="24"/>
          <w:szCs w:val="24"/>
        </w:rPr>
        <w:t>As noted above</w:t>
      </w:r>
      <w:r w:rsidR="00F12A51">
        <w:rPr>
          <w:rFonts w:cstheme="minorHAnsi"/>
          <w:sz w:val="24"/>
          <w:szCs w:val="24"/>
        </w:rPr>
        <w:t>, my proposal would reduce the C</w:t>
      </w:r>
      <w:r w:rsidR="00C74621" w:rsidRPr="00D2420B">
        <w:rPr>
          <w:rFonts w:cstheme="minorHAnsi"/>
          <w:sz w:val="24"/>
          <w:szCs w:val="24"/>
        </w:rPr>
        <w:t>om</w:t>
      </w:r>
      <w:r w:rsidR="0075664C" w:rsidRPr="00D2420B">
        <w:rPr>
          <w:rFonts w:cstheme="minorHAnsi"/>
          <w:sz w:val="24"/>
          <w:szCs w:val="24"/>
        </w:rPr>
        <w:t>pany’s rate-year depreciation/</w:t>
      </w:r>
      <w:r w:rsidR="00C74621" w:rsidRPr="00D2420B">
        <w:rPr>
          <w:rFonts w:cstheme="minorHAnsi"/>
          <w:sz w:val="24"/>
          <w:szCs w:val="24"/>
        </w:rPr>
        <w:t xml:space="preserve">amortization expense by approximately $21.85 million, while </w:t>
      </w:r>
      <w:r w:rsidR="0005615C" w:rsidRPr="00D2420B">
        <w:rPr>
          <w:rFonts w:cstheme="minorHAnsi"/>
          <w:sz w:val="24"/>
          <w:szCs w:val="24"/>
        </w:rPr>
        <w:t>Mr. McGuire’s proposa</w:t>
      </w:r>
      <w:r w:rsidR="00F12A51">
        <w:rPr>
          <w:rFonts w:cstheme="minorHAnsi"/>
          <w:sz w:val="24"/>
          <w:szCs w:val="24"/>
        </w:rPr>
        <w:t>l would reduce the C</w:t>
      </w:r>
      <w:r w:rsidR="0005615C" w:rsidRPr="00D2420B">
        <w:rPr>
          <w:rFonts w:cstheme="minorHAnsi"/>
          <w:sz w:val="24"/>
          <w:szCs w:val="24"/>
        </w:rPr>
        <w:t>ompany’s rate-year depreciation/amortization expense by approximately $13.3 million</w:t>
      </w:r>
      <w:r w:rsidR="00C74621" w:rsidRPr="00D2420B">
        <w:rPr>
          <w:rFonts w:cstheme="minorHAnsi"/>
          <w:sz w:val="24"/>
          <w:szCs w:val="24"/>
        </w:rPr>
        <w:t xml:space="preserve">. Mr McGuire’s proposal is to do this by explicitly </w:t>
      </w:r>
      <w:r w:rsidR="0005615C" w:rsidRPr="00D2420B">
        <w:rPr>
          <w:rFonts w:cstheme="minorHAnsi"/>
          <w:sz w:val="24"/>
          <w:szCs w:val="24"/>
        </w:rPr>
        <w:t xml:space="preserve">correcting the depreciation reserve for Colstrip Units 1 and 2 to reflect their actual remaining useful life. </w:t>
      </w:r>
    </w:p>
    <w:p w14:paraId="32BDE56B" w14:textId="0F3BE890" w:rsidR="00B7583C" w:rsidRPr="00D2420B" w:rsidRDefault="0005615C" w:rsidP="00D2420B">
      <w:pPr>
        <w:pStyle w:val="A2"/>
        <w:spacing w:after="240"/>
        <w:rPr>
          <w:rFonts w:cstheme="minorHAnsi"/>
          <w:sz w:val="24"/>
          <w:szCs w:val="24"/>
        </w:rPr>
      </w:pPr>
      <w:r w:rsidRPr="00D2420B">
        <w:rPr>
          <w:rFonts w:cstheme="minorHAnsi"/>
          <w:sz w:val="24"/>
          <w:szCs w:val="24"/>
        </w:rPr>
        <w:t xml:space="preserve">In my direct testimony, I recommended a correction to the depreciation schedule for </w:t>
      </w:r>
      <w:r w:rsidRPr="00D2420B">
        <w:rPr>
          <w:rFonts w:cstheme="minorHAnsi"/>
          <w:sz w:val="24"/>
          <w:szCs w:val="24"/>
        </w:rPr>
        <w:lastRenderedPageBreak/>
        <w:t xml:space="preserve">Colstrip Units 3 and 4, similarly to reflect a more realistic expectation of </w:t>
      </w:r>
      <w:r w:rsidR="0075664C" w:rsidRPr="00D2420B">
        <w:rPr>
          <w:rFonts w:cstheme="minorHAnsi"/>
          <w:sz w:val="24"/>
          <w:szCs w:val="24"/>
        </w:rPr>
        <w:t xml:space="preserve">those units’ </w:t>
      </w:r>
      <w:r w:rsidRPr="00D2420B">
        <w:rPr>
          <w:rFonts w:cstheme="minorHAnsi"/>
          <w:sz w:val="24"/>
          <w:szCs w:val="24"/>
        </w:rPr>
        <w:t>useful li</w:t>
      </w:r>
      <w:r w:rsidR="0075664C" w:rsidRPr="00D2420B">
        <w:rPr>
          <w:rFonts w:cstheme="minorHAnsi"/>
          <w:sz w:val="24"/>
          <w:szCs w:val="24"/>
        </w:rPr>
        <w:t>v</w:t>
      </w:r>
      <w:r w:rsidRPr="00D2420B">
        <w:rPr>
          <w:rFonts w:cstheme="minorHAnsi"/>
          <w:sz w:val="24"/>
          <w:szCs w:val="24"/>
        </w:rPr>
        <w:t>e</w:t>
      </w:r>
      <w:r w:rsidR="0075664C" w:rsidRPr="00D2420B">
        <w:rPr>
          <w:rFonts w:cstheme="minorHAnsi"/>
          <w:sz w:val="24"/>
          <w:szCs w:val="24"/>
        </w:rPr>
        <w:t>s</w:t>
      </w:r>
      <w:r w:rsidR="00C74621" w:rsidRPr="00D2420B">
        <w:rPr>
          <w:rFonts w:cstheme="minorHAnsi"/>
          <w:sz w:val="24"/>
          <w:szCs w:val="24"/>
        </w:rPr>
        <w:t xml:space="preserve">. </w:t>
      </w:r>
      <w:r w:rsidR="00EF3134" w:rsidRPr="00D2420B">
        <w:rPr>
          <w:rFonts w:cstheme="minorHAnsi"/>
          <w:sz w:val="24"/>
          <w:szCs w:val="24"/>
        </w:rPr>
        <w:t>I estimated that t</w:t>
      </w:r>
      <w:r w:rsidR="00C74621" w:rsidRPr="00D2420B">
        <w:rPr>
          <w:rFonts w:cstheme="minorHAnsi"/>
          <w:sz w:val="24"/>
          <w:szCs w:val="24"/>
        </w:rPr>
        <w:t xml:space="preserve">his adjustment </w:t>
      </w:r>
      <w:r w:rsidRPr="00D2420B">
        <w:rPr>
          <w:rFonts w:cstheme="minorHAnsi"/>
          <w:sz w:val="24"/>
          <w:szCs w:val="24"/>
        </w:rPr>
        <w:t xml:space="preserve">would </w:t>
      </w:r>
      <w:r w:rsidRPr="00D2420B">
        <w:rPr>
          <w:rFonts w:cstheme="minorHAnsi"/>
          <w:i/>
          <w:sz w:val="24"/>
          <w:szCs w:val="24"/>
        </w:rPr>
        <w:t>increase</w:t>
      </w:r>
      <w:r w:rsidRPr="00D2420B">
        <w:rPr>
          <w:rFonts w:cstheme="minorHAnsi"/>
          <w:sz w:val="24"/>
          <w:szCs w:val="24"/>
        </w:rPr>
        <w:t xml:space="preserve"> the Company’s </w:t>
      </w:r>
      <w:r w:rsidR="00EF3134" w:rsidRPr="00D2420B">
        <w:rPr>
          <w:rFonts w:cstheme="minorHAnsi"/>
          <w:sz w:val="24"/>
          <w:szCs w:val="24"/>
        </w:rPr>
        <w:t>annual revenue requirements</w:t>
      </w:r>
      <w:r w:rsidRPr="00D2420B">
        <w:rPr>
          <w:rFonts w:cstheme="minorHAnsi"/>
          <w:sz w:val="24"/>
          <w:szCs w:val="24"/>
        </w:rPr>
        <w:t xml:space="preserve"> by </w:t>
      </w:r>
      <w:r w:rsidR="0075664C" w:rsidRPr="00D2420B">
        <w:rPr>
          <w:rFonts w:cstheme="minorHAnsi"/>
          <w:sz w:val="24"/>
          <w:szCs w:val="24"/>
        </w:rPr>
        <w:t xml:space="preserve">approximately </w:t>
      </w:r>
      <w:r w:rsidRPr="00D2420B">
        <w:rPr>
          <w:rFonts w:cstheme="minorHAnsi"/>
          <w:sz w:val="24"/>
          <w:szCs w:val="24"/>
        </w:rPr>
        <w:t>$16 million.</w:t>
      </w:r>
      <w:r w:rsidRPr="00D2420B">
        <w:rPr>
          <w:rStyle w:val="FootnoteReference"/>
          <w:rFonts w:cstheme="minorHAnsi"/>
          <w:sz w:val="24"/>
          <w:szCs w:val="24"/>
        </w:rPr>
        <w:footnoteReference w:id="6"/>
      </w:r>
      <w:r w:rsidRPr="00D2420B">
        <w:rPr>
          <w:rFonts w:cstheme="minorHAnsi"/>
          <w:sz w:val="24"/>
          <w:szCs w:val="24"/>
        </w:rPr>
        <w:t xml:space="preserve"> Combining </w:t>
      </w:r>
      <w:r w:rsidR="00FC43B2" w:rsidRPr="00D2420B">
        <w:rPr>
          <w:rFonts w:cstheme="minorHAnsi"/>
          <w:sz w:val="24"/>
          <w:szCs w:val="24"/>
        </w:rPr>
        <w:t xml:space="preserve">this with either of the above recommended </w:t>
      </w:r>
      <w:r w:rsidRPr="00D2420B">
        <w:rPr>
          <w:rFonts w:cstheme="minorHAnsi"/>
          <w:sz w:val="24"/>
          <w:szCs w:val="24"/>
        </w:rPr>
        <w:t xml:space="preserve">adjustments </w:t>
      </w:r>
      <w:r w:rsidR="00FC43B2" w:rsidRPr="00D2420B">
        <w:rPr>
          <w:rFonts w:cstheme="minorHAnsi"/>
          <w:sz w:val="24"/>
          <w:szCs w:val="24"/>
        </w:rPr>
        <w:t>to the depreciation/amortization schedules for Units 1 and 2 would result</w:t>
      </w:r>
      <w:r w:rsidRPr="00D2420B">
        <w:rPr>
          <w:rFonts w:cstheme="minorHAnsi"/>
          <w:sz w:val="24"/>
          <w:szCs w:val="24"/>
        </w:rPr>
        <w:t xml:space="preserve"> in a much smaller net adjustment in the PSE’s revenue requirements for the rate year, while making two very significant corrections to its treatment of depreciation for its shares of</w:t>
      </w:r>
      <w:r w:rsidR="00FC43B2" w:rsidRPr="00D2420B">
        <w:rPr>
          <w:rFonts w:cstheme="minorHAnsi"/>
          <w:sz w:val="24"/>
          <w:szCs w:val="24"/>
        </w:rPr>
        <w:t xml:space="preserve"> all of</w:t>
      </w:r>
      <w:r w:rsidRPr="00D2420B">
        <w:rPr>
          <w:rFonts w:cstheme="minorHAnsi"/>
          <w:sz w:val="24"/>
          <w:szCs w:val="24"/>
        </w:rPr>
        <w:t xml:space="preserve"> the Colstrip units.</w:t>
      </w:r>
    </w:p>
    <w:p w14:paraId="527B14A1" w14:textId="0FEFDEE8" w:rsidR="00EF3134" w:rsidRPr="00D2420B" w:rsidRDefault="00EF3134" w:rsidP="00EF3134">
      <w:pPr>
        <w:pStyle w:val="Q"/>
        <w:rPr>
          <w:rFonts w:cstheme="minorHAnsi"/>
          <w:sz w:val="24"/>
          <w:szCs w:val="24"/>
        </w:rPr>
      </w:pPr>
      <w:r w:rsidRPr="00D2420B">
        <w:rPr>
          <w:rFonts w:cstheme="minorHAnsi"/>
          <w:sz w:val="24"/>
          <w:szCs w:val="24"/>
        </w:rPr>
        <w:t>Q.</w:t>
      </w:r>
      <w:r w:rsidRPr="00D2420B">
        <w:rPr>
          <w:rFonts w:cstheme="minorHAnsi"/>
          <w:sz w:val="24"/>
          <w:szCs w:val="24"/>
        </w:rPr>
        <w:tab/>
        <w:t>What woul</w:t>
      </w:r>
      <w:r w:rsidR="00F12A51">
        <w:rPr>
          <w:rFonts w:cstheme="minorHAnsi"/>
          <w:sz w:val="24"/>
          <w:szCs w:val="24"/>
        </w:rPr>
        <w:t>d be the overall impact on the C</w:t>
      </w:r>
      <w:r w:rsidRPr="00D2420B">
        <w:rPr>
          <w:rFonts w:cstheme="minorHAnsi"/>
          <w:sz w:val="24"/>
          <w:szCs w:val="24"/>
        </w:rPr>
        <w:t>ompany’s depreciation expense of accepting your recommendations for the depreciable lives of all four Colstrip units?</w:t>
      </w:r>
    </w:p>
    <w:p w14:paraId="659FDC2D" w14:textId="2633DEFC" w:rsidR="00EF3134" w:rsidRPr="00D2420B" w:rsidRDefault="00EF3134" w:rsidP="00D2420B">
      <w:pPr>
        <w:pStyle w:val="A"/>
        <w:spacing w:after="240"/>
        <w:rPr>
          <w:rFonts w:cstheme="minorHAnsi"/>
          <w:sz w:val="24"/>
          <w:szCs w:val="24"/>
        </w:rPr>
      </w:pPr>
      <w:r w:rsidRPr="00D2420B">
        <w:rPr>
          <w:rFonts w:cstheme="minorHAnsi"/>
          <w:sz w:val="24"/>
          <w:szCs w:val="24"/>
        </w:rPr>
        <w:t>A.</w:t>
      </w:r>
      <w:r w:rsidRPr="00D2420B">
        <w:rPr>
          <w:rFonts w:cstheme="minorHAnsi"/>
          <w:sz w:val="24"/>
          <w:szCs w:val="24"/>
        </w:rPr>
        <w:tab/>
        <w:t xml:space="preserve">As noted above, my proposal for the annual depreciation expense for Colstrip Units </w:t>
      </w:r>
      <w:r w:rsidR="00655CFA">
        <w:rPr>
          <w:rFonts w:cstheme="minorHAnsi"/>
          <w:sz w:val="24"/>
          <w:szCs w:val="24"/>
        </w:rPr>
        <w:t>1</w:t>
      </w:r>
      <w:r w:rsidRPr="00D2420B">
        <w:rPr>
          <w:rFonts w:cstheme="minorHAnsi"/>
          <w:sz w:val="24"/>
          <w:szCs w:val="24"/>
        </w:rPr>
        <w:t xml:space="preserve"> and </w:t>
      </w:r>
      <w:r w:rsidR="00655CFA">
        <w:rPr>
          <w:rFonts w:cstheme="minorHAnsi"/>
          <w:sz w:val="24"/>
          <w:szCs w:val="24"/>
        </w:rPr>
        <w:t>2</w:t>
      </w:r>
      <w:r w:rsidRPr="00D2420B">
        <w:rPr>
          <w:rFonts w:cstheme="minorHAnsi"/>
          <w:sz w:val="24"/>
          <w:szCs w:val="24"/>
        </w:rPr>
        <w:t xml:space="preserve"> is a </w:t>
      </w:r>
      <w:r w:rsidR="00655CFA" w:rsidRPr="00D2420B">
        <w:rPr>
          <w:rFonts w:cstheme="minorHAnsi"/>
          <w:sz w:val="24"/>
          <w:szCs w:val="24"/>
        </w:rPr>
        <w:t>reduction</w:t>
      </w:r>
      <w:r w:rsidRPr="00D2420B">
        <w:rPr>
          <w:rFonts w:cstheme="minorHAnsi"/>
          <w:sz w:val="24"/>
          <w:szCs w:val="24"/>
        </w:rPr>
        <w:t xml:space="preserve"> of $21.85 mi</w:t>
      </w:r>
      <w:r w:rsidR="00655CFA">
        <w:rPr>
          <w:rFonts w:cstheme="minorHAnsi"/>
          <w:sz w:val="24"/>
          <w:szCs w:val="24"/>
        </w:rPr>
        <w:t>llion per year relative to the C</w:t>
      </w:r>
      <w:r w:rsidRPr="00D2420B">
        <w:rPr>
          <w:rFonts w:cstheme="minorHAnsi"/>
          <w:sz w:val="24"/>
          <w:szCs w:val="24"/>
        </w:rPr>
        <w:t xml:space="preserve">ompany’s proposal. My proposal for the depreciation schedule for Units </w:t>
      </w:r>
      <w:r w:rsidR="00655CFA">
        <w:rPr>
          <w:rFonts w:cstheme="minorHAnsi"/>
          <w:sz w:val="24"/>
          <w:szCs w:val="24"/>
        </w:rPr>
        <w:t>3</w:t>
      </w:r>
      <w:r w:rsidRPr="00D2420B">
        <w:rPr>
          <w:rFonts w:cstheme="minorHAnsi"/>
          <w:sz w:val="24"/>
          <w:szCs w:val="24"/>
        </w:rPr>
        <w:t xml:space="preserve"> and </w:t>
      </w:r>
      <w:r w:rsidR="00655CFA">
        <w:rPr>
          <w:rFonts w:cstheme="minorHAnsi"/>
          <w:sz w:val="24"/>
          <w:szCs w:val="24"/>
        </w:rPr>
        <w:t>4</w:t>
      </w:r>
      <w:r w:rsidRPr="00D2420B">
        <w:rPr>
          <w:rFonts w:cstheme="minorHAnsi"/>
          <w:sz w:val="24"/>
          <w:szCs w:val="24"/>
        </w:rPr>
        <w:t xml:space="preserve"> would yield an annual depreciation expense that is $18.44 million </w:t>
      </w:r>
      <w:r w:rsidRPr="00D2420B">
        <w:rPr>
          <w:rFonts w:cstheme="minorHAnsi"/>
          <w:i/>
          <w:sz w:val="24"/>
          <w:szCs w:val="24"/>
        </w:rPr>
        <w:t>greater</w:t>
      </w:r>
      <w:r w:rsidR="00655CFA">
        <w:rPr>
          <w:rFonts w:cstheme="minorHAnsi"/>
          <w:sz w:val="24"/>
          <w:szCs w:val="24"/>
        </w:rPr>
        <w:t xml:space="preserve"> than the C</w:t>
      </w:r>
      <w:r w:rsidRPr="00D2420B">
        <w:rPr>
          <w:rFonts w:cstheme="minorHAnsi"/>
          <w:sz w:val="24"/>
          <w:szCs w:val="24"/>
        </w:rPr>
        <w:t xml:space="preserve">ompany’s proposal. </w:t>
      </w:r>
      <w:r w:rsidR="00655CFA">
        <w:rPr>
          <w:rFonts w:cstheme="minorHAnsi"/>
          <w:sz w:val="24"/>
          <w:szCs w:val="24"/>
        </w:rPr>
        <w:t>T</w:t>
      </w:r>
      <w:r w:rsidRPr="00D2420B">
        <w:rPr>
          <w:rFonts w:cstheme="minorHAnsi"/>
          <w:sz w:val="24"/>
          <w:szCs w:val="24"/>
        </w:rPr>
        <w:t>he net effect of these two recommendations is an annual depreciation expense that i</w:t>
      </w:r>
      <w:r w:rsidR="00242F86">
        <w:rPr>
          <w:rFonts w:cstheme="minorHAnsi"/>
          <w:sz w:val="24"/>
          <w:szCs w:val="24"/>
        </w:rPr>
        <w:t>s $2.41 million lower than the C</w:t>
      </w:r>
      <w:r w:rsidRPr="00D2420B">
        <w:rPr>
          <w:rFonts w:cstheme="minorHAnsi"/>
          <w:sz w:val="24"/>
          <w:szCs w:val="24"/>
        </w:rPr>
        <w:t>ompany’s proposal.</w:t>
      </w:r>
    </w:p>
    <w:p w14:paraId="0FF88506" w14:textId="3015CF9F" w:rsidR="00C00DB7" w:rsidRPr="00D2420B" w:rsidRDefault="00C00DB7" w:rsidP="00D2420B">
      <w:pPr>
        <w:pStyle w:val="Heading1"/>
        <w:rPr>
          <w:rFonts w:cstheme="minorHAnsi"/>
          <w:sz w:val="24"/>
          <w:szCs w:val="24"/>
        </w:rPr>
      </w:pPr>
      <w:bookmarkStart w:id="2" w:name="_Toc489622885"/>
      <w:r w:rsidRPr="00D2420B">
        <w:rPr>
          <w:rFonts w:cstheme="minorHAnsi"/>
          <w:sz w:val="24"/>
          <w:szCs w:val="24"/>
        </w:rPr>
        <w:t>Recommendations</w:t>
      </w:r>
      <w:bookmarkEnd w:id="2"/>
    </w:p>
    <w:p w14:paraId="68FD1D3D" w14:textId="653463A6" w:rsidR="00C00DB7" w:rsidRPr="00D2420B" w:rsidRDefault="00735557" w:rsidP="006C4F8E">
      <w:pPr>
        <w:pStyle w:val="Q"/>
        <w:rPr>
          <w:rFonts w:cstheme="minorHAnsi"/>
          <w:sz w:val="24"/>
          <w:szCs w:val="24"/>
        </w:rPr>
      </w:pPr>
      <w:r w:rsidRPr="00D2420B">
        <w:rPr>
          <w:rFonts w:cstheme="minorHAnsi"/>
          <w:sz w:val="24"/>
          <w:szCs w:val="24"/>
        </w:rPr>
        <w:t>Q.</w:t>
      </w:r>
      <w:r w:rsidRPr="00D2420B">
        <w:rPr>
          <w:rFonts w:cstheme="minorHAnsi"/>
          <w:sz w:val="24"/>
          <w:szCs w:val="24"/>
        </w:rPr>
        <w:tab/>
        <w:t xml:space="preserve">What are your </w:t>
      </w:r>
      <w:r w:rsidR="004D29D4" w:rsidRPr="00D2420B">
        <w:rPr>
          <w:rFonts w:cstheme="minorHAnsi"/>
          <w:sz w:val="24"/>
          <w:szCs w:val="24"/>
        </w:rPr>
        <w:t xml:space="preserve">revised </w:t>
      </w:r>
      <w:r w:rsidRPr="00D2420B">
        <w:rPr>
          <w:rFonts w:cstheme="minorHAnsi"/>
          <w:sz w:val="24"/>
          <w:szCs w:val="24"/>
        </w:rPr>
        <w:t xml:space="preserve">recommendations for this Commission regarding </w:t>
      </w:r>
      <w:r w:rsidR="0005615C" w:rsidRPr="00D2420B">
        <w:rPr>
          <w:rFonts w:cstheme="minorHAnsi"/>
          <w:sz w:val="24"/>
          <w:szCs w:val="24"/>
        </w:rPr>
        <w:t xml:space="preserve">depreciation </w:t>
      </w:r>
      <w:r w:rsidR="008B663B" w:rsidRPr="00D2420B">
        <w:rPr>
          <w:rFonts w:cstheme="minorHAnsi"/>
          <w:sz w:val="24"/>
          <w:szCs w:val="24"/>
        </w:rPr>
        <w:t>for Colstrip Units 1 and 2</w:t>
      </w:r>
      <w:r w:rsidRPr="00D2420B">
        <w:rPr>
          <w:rFonts w:cstheme="minorHAnsi"/>
          <w:sz w:val="24"/>
          <w:szCs w:val="24"/>
        </w:rPr>
        <w:t>?</w:t>
      </w:r>
    </w:p>
    <w:p w14:paraId="2CE2F9CD" w14:textId="4491D544" w:rsidR="00E628E6" w:rsidRPr="00D2420B" w:rsidRDefault="00735557" w:rsidP="00D2420B">
      <w:pPr>
        <w:pStyle w:val="A"/>
        <w:spacing w:after="240"/>
        <w:rPr>
          <w:rFonts w:cstheme="minorHAnsi"/>
          <w:sz w:val="24"/>
          <w:szCs w:val="24"/>
        </w:rPr>
      </w:pPr>
      <w:r w:rsidRPr="00D2420B">
        <w:rPr>
          <w:rFonts w:cstheme="minorHAnsi"/>
          <w:sz w:val="24"/>
          <w:szCs w:val="24"/>
        </w:rPr>
        <w:t>A.</w:t>
      </w:r>
      <w:r w:rsidRPr="00D2420B">
        <w:rPr>
          <w:rFonts w:cstheme="minorHAnsi"/>
          <w:sz w:val="24"/>
          <w:szCs w:val="24"/>
        </w:rPr>
        <w:tab/>
      </w:r>
      <w:r w:rsidR="00D775DD" w:rsidRPr="00D2420B">
        <w:rPr>
          <w:rFonts w:cstheme="minorHAnsi"/>
          <w:sz w:val="24"/>
          <w:szCs w:val="24"/>
        </w:rPr>
        <w:t xml:space="preserve">The Commission should </w:t>
      </w:r>
      <w:r w:rsidR="0005615C" w:rsidRPr="00D2420B">
        <w:rPr>
          <w:rFonts w:cstheme="minorHAnsi"/>
          <w:sz w:val="24"/>
          <w:szCs w:val="24"/>
        </w:rPr>
        <w:t xml:space="preserve">adopt </w:t>
      </w:r>
      <w:r w:rsidR="00C74621" w:rsidRPr="00D2420B">
        <w:rPr>
          <w:rFonts w:cstheme="minorHAnsi"/>
          <w:sz w:val="24"/>
          <w:szCs w:val="24"/>
        </w:rPr>
        <w:t xml:space="preserve">either my recommendation to retain the current depreciation amounts for Colstrip Units 1 and 2, or adopt </w:t>
      </w:r>
      <w:r w:rsidR="0005615C" w:rsidRPr="00D2420B">
        <w:rPr>
          <w:rFonts w:cstheme="minorHAnsi"/>
          <w:sz w:val="24"/>
          <w:szCs w:val="24"/>
        </w:rPr>
        <w:t xml:space="preserve">the recommendation of WUTC </w:t>
      </w:r>
      <w:r w:rsidR="0005615C" w:rsidRPr="00D2420B">
        <w:rPr>
          <w:rFonts w:cstheme="minorHAnsi"/>
          <w:sz w:val="24"/>
          <w:szCs w:val="24"/>
        </w:rPr>
        <w:lastRenderedPageBreak/>
        <w:t>Staff witness Chris McGuire</w:t>
      </w:r>
      <w:r w:rsidR="00D775DD" w:rsidRPr="00D2420B">
        <w:rPr>
          <w:rFonts w:cstheme="minorHAnsi"/>
          <w:sz w:val="24"/>
          <w:szCs w:val="24"/>
        </w:rPr>
        <w:t xml:space="preserve"> </w:t>
      </w:r>
      <w:r w:rsidR="0005615C" w:rsidRPr="00D2420B">
        <w:rPr>
          <w:rFonts w:cstheme="minorHAnsi"/>
          <w:sz w:val="24"/>
          <w:szCs w:val="24"/>
        </w:rPr>
        <w:t xml:space="preserve">to </w:t>
      </w:r>
      <w:r w:rsidR="00DB1762" w:rsidRPr="00D2420B">
        <w:rPr>
          <w:rFonts w:cstheme="minorHAnsi"/>
          <w:sz w:val="24"/>
          <w:szCs w:val="24"/>
        </w:rPr>
        <w:t xml:space="preserve">increase the depreciation reserve for Colstrip </w:t>
      </w:r>
      <w:r w:rsidR="00C74621" w:rsidRPr="00D2420B">
        <w:rPr>
          <w:rFonts w:cstheme="minorHAnsi"/>
          <w:sz w:val="24"/>
          <w:szCs w:val="24"/>
        </w:rPr>
        <w:t>Units 1 and 2 by $176.8 million</w:t>
      </w:r>
      <w:r w:rsidR="00DB1762" w:rsidRPr="00D2420B">
        <w:rPr>
          <w:rFonts w:cstheme="minorHAnsi"/>
          <w:sz w:val="24"/>
          <w:szCs w:val="24"/>
        </w:rPr>
        <w:t xml:space="preserve"> and to transfer that balance into a regulatory asset to be amortized over 18 years. </w:t>
      </w:r>
    </w:p>
    <w:p w14:paraId="6FC88FD3" w14:textId="65907B57" w:rsidR="008B663B" w:rsidRPr="00D2420B" w:rsidRDefault="008B663B" w:rsidP="008B663B">
      <w:pPr>
        <w:pStyle w:val="Q"/>
        <w:rPr>
          <w:rFonts w:cstheme="minorHAnsi"/>
          <w:sz w:val="24"/>
          <w:szCs w:val="24"/>
        </w:rPr>
      </w:pPr>
      <w:r w:rsidRPr="00D2420B">
        <w:rPr>
          <w:rFonts w:cstheme="minorHAnsi"/>
          <w:sz w:val="24"/>
          <w:szCs w:val="24"/>
        </w:rPr>
        <w:t>Q.</w:t>
      </w:r>
      <w:r w:rsidRPr="00D2420B">
        <w:rPr>
          <w:rFonts w:cstheme="minorHAnsi"/>
          <w:sz w:val="24"/>
          <w:szCs w:val="24"/>
        </w:rPr>
        <w:tab/>
      </w:r>
      <w:r w:rsidR="004D29D4" w:rsidRPr="00D2420B">
        <w:rPr>
          <w:rFonts w:cstheme="minorHAnsi"/>
          <w:sz w:val="24"/>
          <w:szCs w:val="24"/>
        </w:rPr>
        <w:t>Have you revised</w:t>
      </w:r>
      <w:r w:rsidRPr="00D2420B">
        <w:rPr>
          <w:rFonts w:cstheme="minorHAnsi"/>
          <w:sz w:val="24"/>
          <w:szCs w:val="24"/>
        </w:rPr>
        <w:t xml:space="preserve"> </w:t>
      </w:r>
      <w:r w:rsidR="004D29D4" w:rsidRPr="00D2420B">
        <w:rPr>
          <w:rFonts w:cstheme="minorHAnsi"/>
          <w:sz w:val="24"/>
          <w:szCs w:val="24"/>
        </w:rPr>
        <w:t xml:space="preserve">your </w:t>
      </w:r>
      <w:r w:rsidRPr="00D2420B">
        <w:rPr>
          <w:rFonts w:cstheme="minorHAnsi"/>
          <w:sz w:val="24"/>
          <w:szCs w:val="24"/>
        </w:rPr>
        <w:t>recommendations for this Commission regarding the depreciation schedule for Colstrip Units 3 and 4?</w:t>
      </w:r>
    </w:p>
    <w:p w14:paraId="12E97355" w14:textId="5512F6AF" w:rsidR="00DB1762" w:rsidRPr="00D2420B" w:rsidRDefault="008B663B" w:rsidP="00D2420B">
      <w:pPr>
        <w:pStyle w:val="A"/>
        <w:spacing w:after="240"/>
        <w:rPr>
          <w:rFonts w:cstheme="minorHAnsi"/>
          <w:sz w:val="24"/>
          <w:szCs w:val="24"/>
        </w:rPr>
      </w:pPr>
      <w:r w:rsidRPr="00D2420B">
        <w:rPr>
          <w:rFonts w:cstheme="minorHAnsi"/>
          <w:sz w:val="24"/>
          <w:szCs w:val="24"/>
        </w:rPr>
        <w:t>A.</w:t>
      </w:r>
      <w:r w:rsidRPr="00D2420B">
        <w:rPr>
          <w:rFonts w:cstheme="minorHAnsi"/>
          <w:sz w:val="24"/>
          <w:szCs w:val="24"/>
        </w:rPr>
        <w:tab/>
      </w:r>
      <w:r w:rsidR="004D29D4" w:rsidRPr="00D2420B">
        <w:rPr>
          <w:rFonts w:cstheme="minorHAnsi"/>
          <w:sz w:val="24"/>
          <w:szCs w:val="24"/>
        </w:rPr>
        <w:t xml:space="preserve">No. </w:t>
      </w:r>
      <w:r w:rsidR="00DB1762" w:rsidRPr="00D2420B">
        <w:rPr>
          <w:rFonts w:cstheme="minorHAnsi"/>
          <w:sz w:val="24"/>
          <w:szCs w:val="24"/>
        </w:rPr>
        <w:t>As I recommended in my direct testimony, t</w:t>
      </w:r>
      <w:r w:rsidR="00735557" w:rsidRPr="00D2420B">
        <w:rPr>
          <w:rFonts w:cstheme="minorHAnsi"/>
          <w:sz w:val="24"/>
          <w:szCs w:val="24"/>
        </w:rPr>
        <w:t xml:space="preserve">he Commission should base the depreciation schedule for </w:t>
      </w:r>
      <w:r w:rsidRPr="00D2420B">
        <w:rPr>
          <w:rFonts w:cstheme="minorHAnsi"/>
          <w:sz w:val="24"/>
          <w:szCs w:val="24"/>
        </w:rPr>
        <w:t>these</w:t>
      </w:r>
      <w:r w:rsidR="00735557" w:rsidRPr="00D2420B">
        <w:rPr>
          <w:rFonts w:cstheme="minorHAnsi"/>
          <w:sz w:val="24"/>
          <w:szCs w:val="24"/>
        </w:rPr>
        <w:t xml:space="preserve"> </w:t>
      </w:r>
      <w:r w:rsidRPr="00D2420B">
        <w:rPr>
          <w:rFonts w:cstheme="minorHAnsi"/>
          <w:sz w:val="24"/>
          <w:szCs w:val="24"/>
        </w:rPr>
        <w:t>u</w:t>
      </w:r>
      <w:r w:rsidR="00735557" w:rsidRPr="00D2420B">
        <w:rPr>
          <w:rFonts w:cstheme="minorHAnsi"/>
          <w:sz w:val="24"/>
          <w:szCs w:val="24"/>
        </w:rPr>
        <w:t xml:space="preserve">nits on an estimated retirement date no later than December 31, 2024. </w:t>
      </w:r>
      <w:r w:rsidR="00DB1762" w:rsidRPr="00D2420B">
        <w:rPr>
          <w:rFonts w:cstheme="minorHAnsi"/>
          <w:sz w:val="24"/>
          <w:szCs w:val="24"/>
        </w:rPr>
        <w:t xml:space="preserve">The increase in depreciation expense from this adjustment will be </w:t>
      </w:r>
      <w:r w:rsidR="00EF3134" w:rsidRPr="00D2420B">
        <w:rPr>
          <w:rFonts w:cstheme="minorHAnsi"/>
          <w:sz w:val="24"/>
          <w:szCs w:val="24"/>
        </w:rPr>
        <w:t xml:space="preserve">largely </w:t>
      </w:r>
      <w:r w:rsidR="00DB1762" w:rsidRPr="00D2420B">
        <w:rPr>
          <w:rFonts w:cstheme="minorHAnsi"/>
          <w:sz w:val="24"/>
          <w:szCs w:val="24"/>
        </w:rPr>
        <w:t xml:space="preserve">offset by the decrease in revenue requirements deriving from adopting </w:t>
      </w:r>
      <w:r w:rsidR="0075664C" w:rsidRPr="00D2420B">
        <w:rPr>
          <w:rFonts w:cstheme="minorHAnsi"/>
          <w:sz w:val="24"/>
          <w:szCs w:val="24"/>
        </w:rPr>
        <w:t xml:space="preserve">either my recommendation or </w:t>
      </w:r>
      <w:r w:rsidR="00DB1762" w:rsidRPr="00D2420B">
        <w:rPr>
          <w:rFonts w:cstheme="minorHAnsi"/>
          <w:sz w:val="24"/>
          <w:szCs w:val="24"/>
        </w:rPr>
        <w:t>Mr. McGuire’s recommend</w:t>
      </w:r>
      <w:r w:rsidR="0075664C" w:rsidRPr="00D2420B">
        <w:rPr>
          <w:rFonts w:cstheme="minorHAnsi"/>
          <w:sz w:val="24"/>
          <w:szCs w:val="24"/>
        </w:rPr>
        <w:t>ation for the</w:t>
      </w:r>
      <w:r w:rsidR="00DB1762" w:rsidRPr="00D2420B">
        <w:rPr>
          <w:rFonts w:cstheme="minorHAnsi"/>
          <w:sz w:val="24"/>
          <w:szCs w:val="24"/>
        </w:rPr>
        <w:t xml:space="preserve"> </w:t>
      </w:r>
      <w:r w:rsidR="0075664C" w:rsidRPr="00D2420B">
        <w:rPr>
          <w:rFonts w:cstheme="minorHAnsi"/>
          <w:sz w:val="24"/>
          <w:szCs w:val="24"/>
        </w:rPr>
        <w:t xml:space="preserve">depreciation of </w:t>
      </w:r>
      <w:r w:rsidR="00DB1762" w:rsidRPr="00D2420B">
        <w:rPr>
          <w:rFonts w:cstheme="minorHAnsi"/>
          <w:sz w:val="24"/>
          <w:szCs w:val="24"/>
        </w:rPr>
        <w:t>Units 1 and 2. Further, the use of a more realistic depreciation end-of-life date of December 20</w:t>
      </w:r>
      <w:r w:rsidR="003F75B8" w:rsidRPr="00D2420B">
        <w:rPr>
          <w:rFonts w:cstheme="minorHAnsi"/>
          <w:sz w:val="24"/>
          <w:szCs w:val="24"/>
        </w:rPr>
        <w:t>2</w:t>
      </w:r>
      <w:r w:rsidR="00DB1762" w:rsidRPr="00D2420B">
        <w:rPr>
          <w:rFonts w:cstheme="minorHAnsi"/>
          <w:sz w:val="24"/>
          <w:szCs w:val="24"/>
        </w:rPr>
        <w:t xml:space="preserve">4 for Units 3 and 4 will reduce the burden of ratepayers having to pay a return on an inflated balance for these units, as they have been for Units 1 and 2. </w:t>
      </w:r>
      <w:r w:rsidR="0075664C" w:rsidRPr="00D2420B">
        <w:rPr>
          <w:rFonts w:cstheme="minorHAnsi"/>
          <w:sz w:val="24"/>
          <w:szCs w:val="24"/>
        </w:rPr>
        <w:t xml:space="preserve">Finally, this correction </w:t>
      </w:r>
      <w:r w:rsidR="00DB1762" w:rsidRPr="00D2420B">
        <w:rPr>
          <w:rFonts w:cstheme="minorHAnsi"/>
          <w:sz w:val="24"/>
          <w:szCs w:val="24"/>
        </w:rPr>
        <w:t>will help to avert the kind of accounting, ratemaking, and intergenerational equity challenges for Units 3 and 4 that the Commission is now trying to adjudicate for Units 1 and 2.</w:t>
      </w:r>
    </w:p>
    <w:p w14:paraId="62D930BD" w14:textId="0449989D" w:rsidR="00A64D02" w:rsidRPr="00D2420B" w:rsidRDefault="006C4F8E" w:rsidP="006C4F8E">
      <w:pPr>
        <w:pStyle w:val="Q"/>
        <w:rPr>
          <w:rFonts w:cstheme="minorHAnsi"/>
          <w:sz w:val="24"/>
          <w:szCs w:val="24"/>
        </w:rPr>
      </w:pPr>
      <w:r w:rsidRPr="00D2420B">
        <w:rPr>
          <w:rFonts w:cstheme="minorHAnsi"/>
          <w:sz w:val="24"/>
          <w:szCs w:val="24"/>
        </w:rPr>
        <w:t>Q.</w:t>
      </w:r>
      <w:r w:rsidRPr="00D2420B">
        <w:rPr>
          <w:rFonts w:cstheme="minorHAnsi"/>
          <w:sz w:val="24"/>
          <w:szCs w:val="24"/>
        </w:rPr>
        <w:tab/>
        <w:t xml:space="preserve">Does this conclude your </w:t>
      </w:r>
      <w:r w:rsidR="00DB1762" w:rsidRPr="00D2420B">
        <w:rPr>
          <w:rFonts w:cstheme="minorHAnsi"/>
          <w:sz w:val="24"/>
          <w:szCs w:val="24"/>
        </w:rPr>
        <w:t xml:space="preserve">cross-answering </w:t>
      </w:r>
      <w:r w:rsidRPr="00D2420B">
        <w:rPr>
          <w:rFonts w:cstheme="minorHAnsi"/>
          <w:sz w:val="24"/>
          <w:szCs w:val="24"/>
        </w:rPr>
        <w:t>testimony?</w:t>
      </w:r>
    </w:p>
    <w:p w14:paraId="4D18B983" w14:textId="57A58CF6" w:rsidR="008A1EB1" w:rsidRPr="00D2420B" w:rsidRDefault="006C4F8E" w:rsidP="00D2420B">
      <w:pPr>
        <w:pStyle w:val="A"/>
        <w:rPr>
          <w:rFonts w:cstheme="minorHAnsi"/>
          <w:sz w:val="24"/>
          <w:szCs w:val="24"/>
        </w:rPr>
      </w:pPr>
      <w:r w:rsidRPr="00D2420B">
        <w:rPr>
          <w:rFonts w:cstheme="minorHAnsi"/>
          <w:sz w:val="24"/>
          <w:szCs w:val="24"/>
        </w:rPr>
        <w:t>A.</w:t>
      </w:r>
      <w:r w:rsidRPr="00D2420B">
        <w:rPr>
          <w:rFonts w:cstheme="minorHAnsi"/>
          <w:sz w:val="24"/>
          <w:szCs w:val="24"/>
        </w:rPr>
        <w:tab/>
      </w:r>
      <w:r w:rsidR="00355F2F" w:rsidRPr="00D2420B">
        <w:rPr>
          <w:rFonts w:cstheme="minorHAnsi"/>
          <w:sz w:val="24"/>
          <w:szCs w:val="24"/>
        </w:rPr>
        <w:t>Yes.</w:t>
      </w:r>
    </w:p>
    <w:sectPr w:rsidR="008A1EB1" w:rsidRPr="00D2420B" w:rsidSect="000026FA">
      <w:headerReference w:type="first" r:id="rId17"/>
      <w:pgSz w:w="12240" w:h="15840" w:code="1"/>
      <w:pgMar w:top="1440" w:right="1440" w:bottom="1440" w:left="1440" w:header="720" w:footer="720" w:gutter="0"/>
      <w:lnNumType w:countBy="1"/>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1C85B" w14:textId="77777777" w:rsidR="00A75115" w:rsidRDefault="00A75115">
      <w:r>
        <w:separator/>
      </w:r>
    </w:p>
    <w:p w14:paraId="60102D37" w14:textId="77777777" w:rsidR="00A75115" w:rsidRDefault="00A75115"/>
  </w:endnote>
  <w:endnote w:type="continuationSeparator" w:id="0">
    <w:p w14:paraId="0753B5A0" w14:textId="77777777" w:rsidR="00A75115" w:rsidRDefault="00A75115">
      <w:r>
        <w:continuationSeparator/>
      </w:r>
    </w:p>
    <w:p w14:paraId="316B6709" w14:textId="77777777" w:rsidR="00A75115" w:rsidRDefault="00A75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D9FA7" w14:textId="77777777" w:rsidR="00C323A9" w:rsidRDefault="00C323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D6F27" w14:textId="77777777" w:rsidR="00C323A9" w:rsidRDefault="00C323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85FB2" w14:textId="77777777" w:rsidR="00C323A9" w:rsidRDefault="00C32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9CE2E" w14:textId="77777777" w:rsidR="00B67091" w:rsidRDefault="00B67091" w:rsidP="00B67091">
      <w:pPr>
        <w:pStyle w:val="Footer"/>
      </w:pPr>
    </w:p>
    <w:p w14:paraId="611DE460" w14:textId="52A9A701" w:rsidR="00A75115" w:rsidRPr="00B67091" w:rsidRDefault="00B67091" w:rsidP="00B67091">
      <w:pPr>
        <w:pStyle w:val="Footer"/>
      </w:pPr>
      <w:r>
        <w:separator/>
      </w:r>
    </w:p>
  </w:footnote>
  <w:footnote w:type="continuationSeparator" w:id="0">
    <w:p w14:paraId="6C2C6495" w14:textId="77777777" w:rsidR="00A75115" w:rsidRDefault="00A75115">
      <w:r>
        <w:continuationSeparator/>
      </w:r>
    </w:p>
    <w:p w14:paraId="7E1B8D0E" w14:textId="77777777" w:rsidR="00A75115" w:rsidRDefault="00A75115"/>
  </w:footnote>
  <w:footnote w:id="1">
    <w:p w14:paraId="155D1F68" w14:textId="4E018C1A" w:rsidR="008563B8" w:rsidRDefault="008563B8" w:rsidP="00B67091">
      <w:pPr>
        <w:pStyle w:val="FootnoteText"/>
        <w:ind w:left="0" w:firstLine="0"/>
      </w:pPr>
      <w:r>
        <w:rPr>
          <w:rStyle w:val="FootnoteReference"/>
        </w:rPr>
        <w:footnoteRef/>
      </w:r>
      <w:r>
        <w:t xml:space="preserve"> Direct testimony of Chris R. McGuire, p.9 at 3-4.</w:t>
      </w:r>
    </w:p>
  </w:footnote>
  <w:footnote w:id="2">
    <w:p w14:paraId="0336E16B" w14:textId="039CB424" w:rsidR="008563B8" w:rsidRDefault="008563B8" w:rsidP="00B67091">
      <w:pPr>
        <w:pStyle w:val="FootnoteText"/>
        <w:ind w:left="0" w:firstLine="0"/>
      </w:pPr>
      <w:r>
        <w:rPr>
          <w:rStyle w:val="FootnoteReference"/>
        </w:rPr>
        <w:footnoteRef/>
      </w:r>
      <w:r>
        <w:t xml:space="preserve"> Ibid., p. 17 at 9-16.</w:t>
      </w:r>
    </w:p>
  </w:footnote>
  <w:footnote w:id="3">
    <w:p w14:paraId="38B5569D" w14:textId="45E8D10C" w:rsidR="00B51302" w:rsidRDefault="00B51302" w:rsidP="00B67091">
      <w:pPr>
        <w:pStyle w:val="FootnoteText"/>
        <w:ind w:left="0" w:firstLine="0"/>
      </w:pPr>
      <w:r>
        <w:rPr>
          <w:rStyle w:val="FootnoteReference"/>
        </w:rPr>
        <w:footnoteRef/>
      </w:r>
      <w:r>
        <w:t xml:space="preserve"> Direct testimony of Bradley G. Mullins, p. 6 at 5-12.</w:t>
      </w:r>
    </w:p>
  </w:footnote>
  <w:footnote w:id="4">
    <w:p w14:paraId="4CE6EFA5" w14:textId="7434BEBB" w:rsidR="008563B8" w:rsidRDefault="008563B8" w:rsidP="00B67091">
      <w:pPr>
        <w:pStyle w:val="FootnoteText"/>
        <w:ind w:left="0" w:firstLine="0"/>
      </w:pPr>
      <w:r>
        <w:rPr>
          <w:rStyle w:val="FootnoteReference"/>
        </w:rPr>
        <w:footnoteRef/>
      </w:r>
      <w:r>
        <w:t xml:space="preserve"> </w:t>
      </w:r>
      <w:r w:rsidR="00B51302">
        <w:t>McGuire direct</w:t>
      </w:r>
      <w:r>
        <w:t>, Table 1, p. 6.</w:t>
      </w:r>
    </w:p>
  </w:footnote>
  <w:footnote w:id="5">
    <w:p w14:paraId="18B39A2D" w14:textId="77777777" w:rsidR="008563B8" w:rsidRDefault="008563B8" w:rsidP="00B67091">
      <w:pPr>
        <w:pStyle w:val="FootnoteText"/>
        <w:ind w:left="0" w:firstLine="0"/>
      </w:pPr>
      <w:r>
        <w:rPr>
          <w:rStyle w:val="FootnoteReference"/>
        </w:rPr>
        <w:footnoteRef/>
      </w:r>
      <w:r>
        <w:t xml:space="preserve"> Ibid, p.33 at 17-20.</w:t>
      </w:r>
    </w:p>
  </w:footnote>
  <w:footnote w:id="6">
    <w:p w14:paraId="7B104C81" w14:textId="64F307AA" w:rsidR="008563B8" w:rsidRDefault="008563B8" w:rsidP="00B67091">
      <w:pPr>
        <w:pStyle w:val="FootnoteText"/>
        <w:ind w:left="0" w:firstLine="0"/>
      </w:pPr>
      <w:r>
        <w:rPr>
          <w:rStyle w:val="FootnoteReference"/>
        </w:rPr>
        <w:footnoteRef/>
      </w:r>
      <w:r>
        <w:t xml:space="preserve"> Hausman direct testimony p.16 at 19-20.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0E777" w14:textId="77777777" w:rsidR="00C323A9" w:rsidRDefault="00C323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D5FC2" w14:textId="77777777" w:rsidR="00D2420B" w:rsidRDefault="00D2420B" w:rsidP="00D2420B">
    <w:pPr>
      <w:pStyle w:val="Footer"/>
      <w:ind w:left="5760"/>
      <w:jc w:val="right"/>
      <w:rPr>
        <w:caps w:val="0"/>
        <w:sz w:val="22"/>
      </w:rPr>
    </w:pPr>
    <w:r>
      <w:rPr>
        <w:caps w:val="0"/>
        <w:sz w:val="22"/>
      </w:rPr>
      <w:t>Docket UE-170033/UG-170034</w:t>
    </w:r>
  </w:p>
  <w:p w14:paraId="596F6606" w14:textId="592C2F20" w:rsidR="00D2420B" w:rsidRDefault="00D2420B" w:rsidP="00D2420B">
    <w:pPr>
      <w:pStyle w:val="Footer"/>
      <w:ind w:left="4320"/>
      <w:rPr>
        <w:caps w:val="0"/>
        <w:sz w:val="22"/>
      </w:rPr>
    </w:pPr>
    <w:r>
      <w:rPr>
        <w:caps w:val="0"/>
        <w:sz w:val="22"/>
      </w:rPr>
      <w:t xml:space="preserve">           Cross-Answering Testimony of Ezra D. Hausman</w:t>
    </w:r>
  </w:p>
  <w:p w14:paraId="21A9D823" w14:textId="2D247F46" w:rsidR="00D2420B" w:rsidRDefault="009A5149" w:rsidP="00D2420B">
    <w:pPr>
      <w:pStyle w:val="Footer"/>
      <w:ind w:left="7200"/>
      <w:jc w:val="right"/>
      <w:rPr>
        <w:caps w:val="0"/>
        <w:sz w:val="22"/>
      </w:rPr>
    </w:pPr>
    <w:r>
      <w:rPr>
        <w:caps w:val="0"/>
        <w:sz w:val="22"/>
      </w:rPr>
      <w:t>Exhibit EDH-10</w:t>
    </w:r>
    <w:r w:rsidR="00D2420B">
      <w:rPr>
        <w:caps w:val="0"/>
        <w:sz w:val="22"/>
      </w:rPr>
      <w:t>T</w:t>
    </w:r>
  </w:p>
  <w:p w14:paraId="0BD57608" w14:textId="77777777" w:rsidR="00D2420B" w:rsidRDefault="00D2420B" w:rsidP="00D2420B">
    <w:pPr>
      <w:pStyle w:val="Footer"/>
      <w:ind w:left="7200" w:firstLine="720"/>
      <w:jc w:val="right"/>
      <w:rPr>
        <w:caps w:val="0"/>
        <w:noProof/>
        <w:sz w:val="22"/>
      </w:rPr>
    </w:pPr>
    <w:r>
      <w:rPr>
        <w:caps w:val="0"/>
        <w:sz w:val="22"/>
      </w:rPr>
      <w:t xml:space="preserve">Page </w:t>
    </w:r>
    <w:r w:rsidRPr="00C2456A">
      <w:rPr>
        <w:caps w:val="0"/>
        <w:sz w:val="22"/>
      </w:rPr>
      <w:fldChar w:fldCharType="begin"/>
    </w:r>
    <w:r w:rsidRPr="00C2456A">
      <w:rPr>
        <w:caps w:val="0"/>
        <w:sz w:val="22"/>
      </w:rPr>
      <w:instrText xml:space="preserve"> PAGE   \* MERGEFORMAT </w:instrText>
    </w:r>
    <w:r w:rsidRPr="00C2456A">
      <w:rPr>
        <w:caps w:val="0"/>
        <w:sz w:val="22"/>
      </w:rPr>
      <w:fldChar w:fldCharType="separate"/>
    </w:r>
    <w:r w:rsidR="000C7E17">
      <w:rPr>
        <w:caps w:val="0"/>
        <w:noProof/>
        <w:sz w:val="22"/>
      </w:rPr>
      <w:t>3</w:t>
    </w:r>
    <w:r w:rsidRPr="00C2456A">
      <w:rPr>
        <w:caps w:val="0"/>
        <w:noProof/>
        <w:sz w:val="22"/>
      </w:rPr>
      <w:fldChar w:fldCharType="end"/>
    </w:r>
  </w:p>
  <w:p w14:paraId="7B6C7665" w14:textId="5468B2E5" w:rsidR="00D2420B" w:rsidRDefault="00D2420B">
    <w:pPr>
      <w:pStyle w:val="Heade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19B5F" w14:textId="77777777" w:rsidR="00C323A9" w:rsidRDefault="00C323A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6A804" w14:textId="77777777" w:rsidR="000026FA" w:rsidRDefault="000026FA" w:rsidP="00C255BE">
    <w:pPr>
      <w:pStyle w:val="Footer"/>
      <w:ind w:left="5760"/>
      <w:jc w:val="right"/>
      <w:rPr>
        <w:caps w:val="0"/>
        <w:sz w:val="22"/>
      </w:rPr>
    </w:pPr>
    <w:r>
      <w:rPr>
        <w:caps w:val="0"/>
        <w:sz w:val="22"/>
      </w:rPr>
      <w:t>Docket UE-170033/UG-170034</w:t>
    </w:r>
  </w:p>
  <w:p w14:paraId="7E888B06" w14:textId="5A51DAE7" w:rsidR="000026FA" w:rsidRDefault="00C255BE" w:rsidP="00C255BE">
    <w:pPr>
      <w:pStyle w:val="Footer"/>
      <w:ind w:left="4320"/>
      <w:jc w:val="right"/>
      <w:rPr>
        <w:caps w:val="0"/>
        <w:sz w:val="22"/>
      </w:rPr>
    </w:pPr>
    <w:r>
      <w:rPr>
        <w:caps w:val="0"/>
        <w:sz w:val="22"/>
      </w:rPr>
      <w:t xml:space="preserve">  </w:t>
    </w:r>
    <w:r w:rsidR="000026FA">
      <w:rPr>
        <w:caps w:val="0"/>
        <w:sz w:val="22"/>
      </w:rPr>
      <w:t>Cross-Answering Testimony of Ezra D. Hausman</w:t>
    </w:r>
  </w:p>
  <w:p w14:paraId="574A62D5" w14:textId="67B0185A" w:rsidR="000026FA" w:rsidRDefault="009A5149" w:rsidP="00C255BE">
    <w:pPr>
      <w:pStyle w:val="Footer"/>
      <w:ind w:left="7200"/>
      <w:jc w:val="right"/>
      <w:rPr>
        <w:caps w:val="0"/>
        <w:sz w:val="22"/>
      </w:rPr>
    </w:pPr>
    <w:r>
      <w:rPr>
        <w:caps w:val="0"/>
        <w:sz w:val="22"/>
      </w:rPr>
      <w:t>Exhibit EDH-10</w:t>
    </w:r>
    <w:r w:rsidR="000026FA">
      <w:rPr>
        <w:caps w:val="0"/>
        <w:sz w:val="22"/>
      </w:rPr>
      <w:t>T</w:t>
    </w:r>
  </w:p>
  <w:p w14:paraId="5BBE76BE" w14:textId="2673C284" w:rsidR="000026FA" w:rsidRPr="000026FA" w:rsidRDefault="000026FA" w:rsidP="00C255BE">
    <w:pPr>
      <w:pStyle w:val="Footer"/>
      <w:ind w:left="7200" w:firstLine="720"/>
      <w:jc w:val="right"/>
      <w:rPr>
        <w:caps w:val="0"/>
        <w:noProof/>
        <w:sz w:val="22"/>
      </w:rPr>
    </w:pPr>
    <w:r>
      <w:rPr>
        <w:caps w:val="0"/>
        <w:sz w:val="22"/>
      </w:rPr>
      <w:t xml:space="preserve">Page </w:t>
    </w:r>
    <w:r w:rsidRPr="000026FA">
      <w:rPr>
        <w:caps w:val="0"/>
        <w:sz w:val="22"/>
      </w:rPr>
      <w:fldChar w:fldCharType="begin"/>
    </w:r>
    <w:r w:rsidRPr="000026FA">
      <w:rPr>
        <w:caps w:val="0"/>
        <w:sz w:val="22"/>
      </w:rPr>
      <w:instrText xml:space="preserve"> PAGE   \* MERGEFORMAT </w:instrText>
    </w:r>
    <w:r w:rsidRPr="000026FA">
      <w:rPr>
        <w:caps w:val="0"/>
        <w:sz w:val="22"/>
      </w:rPr>
      <w:fldChar w:fldCharType="separate"/>
    </w:r>
    <w:r w:rsidR="000C7E17">
      <w:rPr>
        <w:caps w:val="0"/>
        <w:noProof/>
        <w:sz w:val="22"/>
      </w:rPr>
      <w:t>i</w:t>
    </w:r>
    <w:r w:rsidRPr="000026FA">
      <w:rPr>
        <w:caps w:val="0"/>
        <w:noProof/>
        <w:sz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ABE0F" w14:textId="77777777" w:rsidR="000026FA" w:rsidRDefault="000026FA" w:rsidP="000026FA">
    <w:pPr>
      <w:pStyle w:val="Footer"/>
      <w:ind w:left="5760"/>
      <w:jc w:val="right"/>
      <w:rPr>
        <w:caps w:val="0"/>
        <w:sz w:val="22"/>
      </w:rPr>
    </w:pPr>
    <w:r>
      <w:rPr>
        <w:caps w:val="0"/>
        <w:sz w:val="22"/>
      </w:rPr>
      <w:t>Docket UE-170033/UG-170034</w:t>
    </w:r>
  </w:p>
  <w:p w14:paraId="78EA0B5B" w14:textId="77777777" w:rsidR="000026FA" w:rsidRDefault="000026FA" w:rsidP="000026FA">
    <w:pPr>
      <w:pStyle w:val="Footer"/>
      <w:ind w:left="4320"/>
      <w:rPr>
        <w:caps w:val="0"/>
        <w:sz w:val="22"/>
      </w:rPr>
    </w:pPr>
    <w:r>
      <w:rPr>
        <w:caps w:val="0"/>
        <w:sz w:val="22"/>
      </w:rPr>
      <w:t xml:space="preserve">           Cross-Answering Testimony of Ezra D. Hausman</w:t>
    </w:r>
  </w:p>
  <w:p w14:paraId="45C28DF5" w14:textId="26926302" w:rsidR="000026FA" w:rsidRDefault="009A5149" w:rsidP="000026FA">
    <w:pPr>
      <w:pStyle w:val="Footer"/>
      <w:ind w:left="7200"/>
      <w:jc w:val="right"/>
      <w:rPr>
        <w:caps w:val="0"/>
        <w:sz w:val="22"/>
      </w:rPr>
    </w:pPr>
    <w:r>
      <w:rPr>
        <w:caps w:val="0"/>
        <w:sz w:val="22"/>
      </w:rPr>
      <w:t>Exhibit EDH-10</w:t>
    </w:r>
    <w:r w:rsidR="000026FA">
      <w:rPr>
        <w:caps w:val="0"/>
        <w:sz w:val="22"/>
      </w:rPr>
      <w:t>T</w:t>
    </w:r>
  </w:p>
  <w:p w14:paraId="53CCB90F" w14:textId="15969740" w:rsidR="000026FA" w:rsidRDefault="000026FA" w:rsidP="000026FA">
    <w:pPr>
      <w:pStyle w:val="Footer"/>
      <w:ind w:left="7200" w:firstLine="720"/>
      <w:jc w:val="right"/>
      <w:rPr>
        <w:caps w:val="0"/>
        <w:noProof/>
        <w:sz w:val="22"/>
      </w:rPr>
    </w:pPr>
    <w:r>
      <w:rPr>
        <w:caps w:val="0"/>
        <w:sz w:val="22"/>
      </w:rPr>
      <w:t xml:space="preserve">Page </w:t>
    </w:r>
    <w:r w:rsidRPr="000026FA">
      <w:rPr>
        <w:caps w:val="0"/>
        <w:sz w:val="22"/>
      </w:rPr>
      <w:fldChar w:fldCharType="begin"/>
    </w:r>
    <w:r w:rsidRPr="000026FA">
      <w:rPr>
        <w:caps w:val="0"/>
        <w:sz w:val="22"/>
      </w:rPr>
      <w:instrText xml:space="preserve"> PAGE   \* MERGEFORMAT </w:instrText>
    </w:r>
    <w:r w:rsidRPr="000026FA">
      <w:rPr>
        <w:caps w:val="0"/>
        <w:sz w:val="22"/>
      </w:rPr>
      <w:fldChar w:fldCharType="separate"/>
    </w:r>
    <w:r w:rsidR="000C7E17">
      <w:rPr>
        <w:caps w:val="0"/>
        <w:noProof/>
        <w:sz w:val="22"/>
      </w:rPr>
      <w:t>1</w:t>
    </w:r>
    <w:r w:rsidRPr="000026FA">
      <w:rPr>
        <w:caps w:val="0"/>
        <w:noProof/>
        <w:sz w:val="22"/>
      </w:rPr>
      <w:fldChar w:fldCharType="end"/>
    </w:r>
  </w:p>
  <w:p w14:paraId="72FD320E" w14:textId="77777777" w:rsidR="000026FA" w:rsidRPr="000026FA" w:rsidRDefault="000026FA" w:rsidP="000026FA">
    <w:pPr>
      <w:pStyle w:val="Footer"/>
      <w:ind w:left="7200" w:firstLine="720"/>
      <w:jc w:val="right"/>
      <w:rPr>
        <w:caps w:val="0"/>
        <w:noProof/>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3CE8F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89ED2C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51015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D8340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58EE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3448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8707C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7BE5A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70B1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89B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846583"/>
    <w:multiLevelType w:val="hybridMultilevel"/>
    <w:tmpl w:val="63FC1E3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E3701A1"/>
    <w:multiLevelType w:val="hybridMultilevel"/>
    <w:tmpl w:val="7708001A"/>
    <w:lvl w:ilvl="0" w:tplc="AD2ACE98">
      <w:start w:val="1"/>
      <w:numFmt w:val="bullet"/>
      <w:pStyle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0E686F04"/>
    <w:multiLevelType w:val="hybridMultilevel"/>
    <w:tmpl w:val="810E8A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3778F4"/>
    <w:multiLevelType w:val="hybridMultilevel"/>
    <w:tmpl w:val="190E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CB0236"/>
    <w:multiLevelType w:val="hybridMultilevel"/>
    <w:tmpl w:val="A1B07AFC"/>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8B54726"/>
    <w:multiLevelType w:val="hybridMultilevel"/>
    <w:tmpl w:val="74D6939C"/>
    <w:lvl w:ilvl="0" w:tplc="B50E4EC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62685"/>
    <w:multiLevelType w:val="hybridMultilevel"/>
    <w:tmpl w:val="03F40076"/>
    <w:lvl w:ilvl="0" w:tplc="D38636F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D43008"/>
    <w:multiLevelType w:val="hybridMultilevel"/>
    <w:tmpl w:val="C5D6183A"/>
    <w:lvl w:ilvl="0" w:tplc="A9128856">
      <w:start w:val="1"/>
      <w:numFmt w:val="decimal"/>
      <w:lvlText w:val="%1."/>
      <w:lvlJc w:val="left"/>
      <w:pPr>
        <w:ind w:left="2160" w:hanging="360"/>
      </w:pPr>
      <w:rPr>
        <w:rFonts w:hint="default"/>
        <w:b w:val="0"/>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E584D28"/>
    <w:multiLevelType w:val="hybridMultilevel"/>
    <w:tmpl w:val="D5085018"/>
    <w:lvl w:ilvl="0" w:tplc="04CA15EC">
      <w:start w:val="1"/>
      <w:numFmt w:val="upperRoman"/>
      <w:pStyle w:val="TOC1"/>
      <w:lvlText w:val="%1."/>
      <w:lvlJc w:val="left"/>
      <w:pPr>
        <w:ind w:left="1080" w:hanging="720"/>
      </w:pPr>
      <w:rPr>
        <w:rFonts w:cstheme="minorHAnsi" w:hint="default"/>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412A8B"/>
    <w:multiLevelType w:val="hybridMultilevel"/>
    <w:tmpl w:val="C5D6183A"/>
    <w:lvl w:ilvl="0" w:tplc="A9128856">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6E62289"/>
    <w:multiLevelType w:val="multilevel"/>
    <w:tmpl w:val="5F84AD1A"/>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3"/>
  </w:num>
  <w:num w:numId="14">
    <w:abstractNumId w:val="16"/>
  </w:num>
  <w:num w:numId="15">
    <w:abstractNumId w:val="15"/>
    <w:lvlOverride w:ilvl="0">
      <w:startOverride w:val="1"/>
    </w:lvlOverride>
  </w:num>
  <w:num w:numId="16">
    <w:abstractNumId w:val="15"/>
  </w:num>
  <w:num w:numId="17">
    <w:abstractNumId w:val="11"/>
  </w:num>
  <w:num w:numId="18">
    <w:abstractNumId w:val="17"/>
  </w:num>
  <w:num w:numId="19">
    <w:abstractNumId w:val="12"/>
  </w:num>
  <w:num w:numId="20">
    <w:abstractNumId w:val="10"/>
  </w:num>
  <w:num w:numId="21">
    <w:abstractNumId w:val="15"/>
  </w:num>
  <w:num w:numId="22">
    <w:abstractNumId w:val="14"/>
  </w:num>
  <w:num w:numId="23">
    <w:abstractNumId w:val="11"/>
  </w:num>
  <w:num w:numId="24">
    <w:abstractNumId w:val="19"/>
  </w:num>
  <w:num w:numId="25">
    <w:abstractNumId w:val="2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D8C"/>
    <w:rsid w:val="00000EC8"/>
    <w:rsid w:val="000026FA"/>
    <w:rsid w:val="00006B00"/>
    <w:rsid w:val="000359F1"/>
    <w:rsid w:val="00035B10"/>
    <w:rsid w:val="00037ECE"/>
    <w:rsid w:val="0004120E"/>
    <w:rsid w:val="00047E88"/>
    <w:rsid w:val="000541C9"/>
    <w:rsid w:val="000551A6"/>
    <w:rsid w:val="0005615C"/>
    <w:rsid w:val="00060D33"/>
    <w:rsid w:val="00061C9B"/>
    <w:rsid w:val="00062464"/>
    <w:rsid w:val="000629B7"/>
    <w:rsid w:val="00065798"/>
    <w:rsid w:val="00073ABE"/>
    <w:rsid w:val="0007751C"/>
    <w:rsid w:val="00081F66"/>
    <w:rsid w:val="00096A54"/>
    <w:rsid w:val="000A1751"/>
    <w:rsid w:val="000A502D"/>
    <w:rsid w:val="000B4358"/>
    <w:rsid w:val="000B649E"/>
    <w:rsid w:val="000C676A"/>
    <w:rsid w:val="000C7E17"/>
    <w:rsid w:val="000D6B19"/>
    <w:rsid w:val="000E0987"/>
    <w:rsid w:val="000E3247"/>
    <w:rsid w:val="000E432B"/>
    <w:rsid w:val="000E7D9B"/>
    <w:rsid w:val="000F0F33"/>
    <w:rsid w:val="000F4C4C"/>
    <w:rsid w:val="00103ADE"/>
    <w:rsid w:val="00120C13"/>
    <w:rsid w:val="001229AC"/>
    <w:rsid w:val="001273E4"/>
    <w:rsid w:val="00143F2A"/>
    <w:rsid w:val="00144B91"/>
    <w:rsid w:val="00144F26"/>
    <w:rsid w:val="00150128"/>
    <w:rsid w:val="00150938"/>
    <w:rsid w:val="001519D7"/>
    <w:rsid w:val="00157A86"/>
    <w:rsid w:val="001640AC"/>
    <w:rsid w:val="001641D7"/>
    <w:rsid w:val="001715A7"/>
    <w:rsid w:val="001717BE"/>
    <w:rsid w:val="00177DFA"/>
    <w:rsid w:val="001905DC"/>
    <w:rsid w:val="001C3CC5"/>
    <w:rsid w:val="001D0412"/>
    <w:rsid w:val="001D41D1"/>
    <w:rsid w:val="001D70F2"/>
    <w:rsid w:val="001D7BB8"/>
    <w:rsid w:val="001E341B"/>
    <w:rsid w:val="001F3FA3"/>
    <w:rsid w:val="001F5A17"/>
    <w:rsid w:val="00200AD9"/>
    <w:rsid w:val="00204EA4"/>
    <w:rsid w:val="002057D2"/>
    <w:rsid w:val="002066E8"/>
    <w:rsid w:val="00242F86"/>
    <w:rsid w:val="002576B5"/>
    <w:rsid w:val="00264ABE"/>
    <w:rsid w:val="002716F5"/>
    <w:rsid w:val="00280D0F"/>
    <w:rsid w:val="0028115D"/>
    <w:rsid w:val="00281A22"/>
    <w:rsid w:val="002957DD"/>
    <w:rsid w:val="002F36AB"/>
    <w:rsid w:val="002F542B"/>
    <w:rsid w:val="003077DE"/>
    <w:rsid w:val="00307EC7"/>
    <w:rsid w:val="00315031"/>
    <w:rsid w:val="003210D2"/>
    <w:rsid w:val="00331AC7"/>
    <w:rsid w:val="00332D67"/>
    <w:rsid w:val="003416D0"/>
    <w:rsid w:val="00355F2F"/>
    <w:rsid w:val="0035678B"/>
    <w:rsid w:val="003657DC"/>
    <w:rsid w:val="00367190"/>
    <w:rsid w:val="00372AEF"/>
    <w:rsid w:val="00377119"/>
    <w:rsid w:val="00392C17"/>
    <w:rsid w:val="00394EFC"/>
    <w:rsid w:val="003963E6"/>
    <w:rsid w:val="003A3443"/>
    <w:rsid w:val="003A45C0"/>
    <w:rsid w:val="003B5F90"/>
    <w:rsid w:val="003C51DD"/>
    <w:rsid w:val="003D19FA"/>
    <w:rsid w:val="003F75B8"/>
    <w:rsid w:val="0040180A"/>
    <w:rsid w:val="00404C9A"/>
    <w:rsid w:val="0042199D"/>
    <w:rsid w:val="004306EB"/>
    <w:rsid w:val="00430D13"/>
    <w:rsid w:val="00431D5C"/>
    <w:rsid w:val="00441A8D"/>
    <w:rsid w:val="00444122"/>
    <w:rsid w:val="00447B1A"/>
    <w:rsid w:val="00453ADD"/>
    <w:rsid w:val="00455066"/>
    <w:rsid w:val="00457D8C"/>
    <w:rsid w:val="00474AB1"/>
    <w:rsid w:val="00474E8B"/>
    <w:rsid w:val="00476EA4"/>
    <w:rsid w:val="004844CC"/>
    <w:rsid w:val="004A2F13"/>
    <w:rsid w:val="004A4492"/>
    <w:rsid w:val="004C752B"/>
    <w:rsid w:val="004D29D4"/>
    <w:rsid w:val="005106A3"/>
    <w:rsid w:val="00513130"/>
    <w:rsid w:val="00536251"/>
    <w:rsid w:val="00553E24"/>
    <w:rsid w:val="00554D8C"/>
    <w:rsid w:val="0057037A"/>
    <w:rsid w:val="00575246"/>
    <w:rsid w:val="005811E1"/>
    <w:rsid w:val="00592C31"/>
    <w:rsid w:val="00593122"/>
    <w:rsid w:val="00595A8C"/>
    <w:rsid w:val="005A215D"/>
    <w:rsid w:val="005E13D5"/>
    <w:rsid w:val="005E1569"/>
    <w:rsid w:val="005E1C4E"/>
    <w:rsid w:val="005E208B"/>
    <w:rsid w:val="005E4FE9"/>
    <w:rsid w:val="005F5836"/>
    <w:rsid w:val="005F662C"/>
    <w:rsid w:val="00607A56"/>
    <w:rsid w:val="0061160E"/>
    <w:rsid w:val="00613A68"/>
    <w:rsid w:val="00617E45"/>
    <w:rsid w:val="006221D1"/>
    <w:rsid w:val="0062787C"/>
    <w:rsid w:val="00630F78"/>
    <w:rsid w:val="00631E45"/>
    <w:rsid w:val="006376A6"/>
    <w:rsid w:val="00642BA5"/>
    <w:rsid w:val="006431D6"/>
    <w:rsid w:val="006442A5"/>
    <w:rsid w:val="00652D1A"/>
    <w:rsid w:val="00655377"/>
    <w:rsid w:val="00655CFA"/>
    <w:rsid w:val="0065687A"/>
    <w:rsid w:val="00660E4A"/>
    <w:rsid w:val="0066562C"/>
    <w:rsid w:val="0068204E"/>
    <w:rsid w:val="0068247A"/>
    <w:rsid w:val="00682AE3"/>
    <w:rsid w:val="00696119"/>
    <w:rsid w:val="006A0240"/>
    <w:rsid w:val="006A4C79"/>
    <w:rsid w:val="006B397C"/>
    <w:rsid w:val="006C1EA6"/>
    <w:rsid w:val="006C4F8E"/>
    <w:rsid w:val="006D7E54"/>
    <w:rsid w:val="006E1008"/>
    <w:rsid w:val="00700E85"/>
    <w:rsid w:val="00701357"/>
    <w:rsid w:val="00706785"/>
    <w:rsid w:val="007068A8"/>
    <w:rsid w:val="00720036"/>
    <w:rsid w:val="00724EF8"/>
    <w:rsid w:val="00735557"/>
    <w:rsid w:val="00741D80"/>
    <w:rsid w:val="00753071"/>
    <w:rsid w:val="0075597A"/>
    <w:rsid w:val="0075664C"/>
    <w:rsid w:val="00757276"/>
    <w:rsid w:val="00771666"/>
    <w:rsid w:val="0077184B"/>
    <w:rsid w:val="00793E47"/>
    <w:rsid w:val="007B0950"/>
    <w:rsid w:val="007B5BD9"/>
    <w:rsid w:val="007B6B4A"/>
    <w:rsid w:val="007C142A"/>
    <w:rsid w:val="007D4E2D"/>
    <w:rsid w:val="007E64F0"/>
    <w:rsid w:val="007F60B2"/>
    <w:rsid w:val="007F734C"/>
    <w:rsid w:val="00806DAC"/>
    <w:rsid w:val="0081056D"/>
    <w:rsid w:val="008115B4"/>
    <w:rsid w:val="008139C8"/>
    <w:rsid w:val="00820DF6"/>
    <w:rsid w:val="008263BF"/>
    <w:rsid w:val="008265D7"/>
    <w:rsid w:val="00826E27"/>
    <w:rsid w:val="00832986"/>
    <w:rsid w:val="00832DD0"/>
    <w:rsid w:val="008353CD"/>
    <w:rsid w:val="00837778"/>
    <w:rsid w:val="0084274F"/>
    <w:rsid w:val="00852696"/>
    <w:rsid w:val="00853577"/>
    <w:rsid w:val="008563B8"/>
    <w:rsid w:val="008636BB"/>
    <w:rsid w:val="00872E0D"/>
    <w:rsid w:val="00873DE9"/>
    <w:rsid w:val="0087523E"/>
    <w:rsid w:val="00876C38"/>
    <w:rsid w:val="00877784"/>
    <w:rsid w:val="00882621"/>
    <w:rsid w:val="0088583F"/>
    <w:rsid w:val="0088746E"/>
    <w:rsid w:val="0089371D"/>
    <w:rsid w:val="008A1EB1"/>
    <w:rsid w:val="008A22C4"/>
    <w:rsid w:val="008A3DBB"/>
    <w:rsid w:val="008A63C5"/>
    <w:rsid w:val="008B201D"/>
    <w:rsid w:val="008B3568"/>
    <w:rsid w:val="008B3C7C"/>
    <w:rsid w:val="008B4E2D"/>
    <w:rsid w:val="008B663B"/>
    <w:rsid w:val="008C7A77"/>
    <w:rsid w:val="008D0E36"/>
    <w:rsid w:val="008D0F6B"/>
    <w:rsid w:val="008D4457"/>
    <w:rsid w:val="008D6F75"/>
    <w:rsid w:val="008E525A"/>
    <w:rsid w:val="008F6C4F"/>
    <w:rsid w:val="008F756A"/>
    <w:rsid w:val="009101C6"/>
    <w:rsid w:val="00921453"/>
    <w:rsid w:val="009253F0"/>
    <w:rsid w:val="00930300"/>
    <w:rsid w:val="00930877"/>
    <w:rsid w:val="00936E83"/>
    <w:rsid w:val="0095353E"/>
    <w:rsid w:val="0095545D"/>
    <w:rsid w:val="00957738"/>
    <w:rsid w:val="009611C3"/>
    <w:rsid w:val="00961EEB"/>
    <w:rsid w:val="0096338D"/>
    <w:rsid w:val="00976073"/>
    <w:rsid w:val="00976316"/>
    <w:rsid w:val="00986F47"/>
    <w:rsid w:val="00995099"/>
    <w:rsid w:val="009A1D6A"/>
    <w:rsid w:val="009A42F6"/>
    <w:rsid w:val="009A5149"/>
    <w:rsid w:val="009B181E"/>
    <w:rsid w:val="009B1C86"/>
    <w:rsid w:val="009B5B3D"/>
    <w:rsid w:val="009C0E5F"/>
    <w:rsid w:val="009C51EB"/>
    <w:rsid w:val="009F0E6B"/>
    <w:rsid w:val="00A00734"/>
    <w:rsid w:val="00A064AC"/>
    <w:rsid w:val="00A1256E"/>
    <w:rsid w:val="00A1795B"/>
    <w:rsid w:val="00A22DAD"/>
    <w:rsid w:val="00A31713"/>
    <w:rsid w:val="00A32E31"/>
    <w:rsid w:val="00A35730"/>
    <w:rsid w:val="00A45497"/>
    <w:rsid w:val="00A53F70"/>
    <w:rsid w:val="00A56664"/>
    <w:rsid w:val="00A5678D"/>
    <w:rsid w:val="00A64D02"/>
    <w:rsid w:val="00A7146E"/>
    <w:rsid w:val="00A72758"/>
    <w:rsid w:val="00A75115"/>
    <w:rsid w:val="00A76DA0"/>
    <w:rsid w:val="00A828D7"/>
    <w:rsid w:val="00A91CEE"/>
    <w:rsid w:val="00AA0359"/>
    <w:rsid w:val="00AA4766"/>
    <w:rsid w:val="00AA4E2F"/>
    <w:rsid w:val="00AB4346"/>
    <w:rsid w:val="00AB4B36"/>
    <w:rsid w:val="00AC4ED9"/>
    <w:rsid w:val="00AC7865"/>
    <w:rsid w:val="00AE1FB2"/>
    <w:rsid w:val="00AE354F"/>
    <w:rsid w:val="00AF4B7A"/>
    <w:rsid w:val="00B013A3"/>
    <w:rsid w:val="00B025CE"/>
    <w:rsid w:val="00B33996"/>
    <w:rsid w:val="00B347A6"/>
    <w:rsid w:val="00B4040E"/>
    <w:rsid w:val="00B415A3"/>
    <w:rsid w:val="00B51302"/>
    <w:rsid w:val="00B67091"/>
    <w:rsid w:val="00B714AB"/>
    <w:rsid w:val="00B73985"/>
    <w:rsid w:val="00B7583C"/>
    <w:rsid w:val="00B81050"/>
    <w:rsid w:val="00B8638A"/>
    <w:rsid w:val="00B8703D"/>
    <w:rsid w:val="00B87713"/>
    <w:rsid w:val="00B90334"/>
    <w:rsid w:val="00B91BD1"/>
    <w:rsid w:val="00B942D4"/>
    <w:rsid w:val="00BC79D3"/>
    <w:rsid w:val="00BD051A"/>
    <w:rsid w:val="00BE48B0"/>
    <w:rsid w:val="00BF442F"/>
    <w:rsid w:val="00BF5536"/>
    <w:rsid w:val="00C00DB7"/>
    <w:rsid w:val="00C030ED"/>
    <w:rsid w:val="00C06A18"/>
    <w:rsid w:val="00C12838"/>
    <w:rsid w:val="00C12F33"/>
    <w:rsid w:val="00C204EB"/>
    <w:rsid w:val="00C255BE"/>
    <w:rsid w:val="00C323A9"/>
    <w:rsid w:val="00C3681F"/>
    <w:rsid w:val="00C45A59"/>
    <w:rsid w:val="00C54D8E"/>
    <w:rsid w:val="00C56924"/>
    <w:rsid w:val="00C62878"/>
    <w:rsid w:val="00C64E8B"/>
    <w:rsid w:val="00C65052"/>
    <w:rsid w:val="00C713F7"/>
    <w:rsid w:val="00C720E2"/>
    <w:rsid w:val="00C74621"/>
    <w:rsid w:val="00C834E6"/>
    <w:rsid w:val="00C85E94"/>
    <w:rsid w:val="00C90F35"/>
    <w:rsid w:val="00CA0502"/>
    <w:rsid w:val="00CB3B3B"/>
    <w:rsid w:val="00CD0F51"/>
    <w:rsid w:val="00CD2A7F"/>
    <w:rsid w:val="00CD56FE"/>
    <w:rsid w:val="00CD6A07"/>
    <w:rsid w:val="00CE6A0F"/>
    <w:rsid w:val="00CF7CB4"/>
    <w:rsid w:val="00D037B7"/>
    <w:rsid w:val="00D05D3A"/>
    <w:rsid w:val="00D22577"/>
    <w:rsid w:val="00D2420B"/>
    <w:rsid w:val="00D24DFB"/>
    <w:rsid w:val="00D27D33"/>
    <w:rsid w:val="00D40985"/>
    <w:rsid w:val="00D40B82"/>
    <w:rsid w:val="00D53F57"/>
    <w:rsid w:val="00D54FD1"/>
    <w:rsid w:val="00D63329"/>
    <w:rsid w:val="00D65250"/>
    <w:rsid w:val="00D709F8"/>
    <w:rsid w:val="00D7511E"/>
    <w:rsid w:val="00D775DD"/>
    <w:rsid w:val="00D860DB"/>
    <w:rsid w:val="00D87317"/>
    <w:rsid w:val="00D8770C"/>
    <w:rsid w:val="00DB1762"/>
    <w:rsid w:val="00DB17F2"/>
    <w:rsid w:val="00DB587C"/>
    <w:rsid w:val="00DB6308"/>
    <w:rsid w:val="00DD38EF"/>
    <w:rsid w:val="00DE7A7F"/>
    <w:rsid w:val="00E04F68"/>
    <w:rsid w:val="00E05592"/>
    <w:rsid w:val="00E06B4E"/>
    <w:rsid w:val="00E15827"/>
    <w:rsid w:val="00E17423"/>
    <w:rsid w:val="00E23924"/>
    <w:rsid w:val="00E40E03"/>
    <w:rsid w:val="00E45A18"/>
    <w:rsid w:val="00E628E6"/>
    <w:rsid w:val="00E644E8"/>
    <w:rsid w:val="00E64A9C"/>
    <w:rsid w:val="00E65897"/>
    <w:rsid w:val="00E9416D"/>
    <w:rsid w:val="00EA3F1B"/>
    <w:rsid w:val="00EB7353"/>
    <w:rsid w:val="00EF3134"/>
    <w:rsid w:val="00EF6CC1"/>
    <w:rsid w:val="00F00A91"/>
    <w:rsid w:val="00F12A51"/>
    <w:rsid w:val="00F134E1"/>
    <w:rsid w:val="00F166CA"/>
    <w:rsid w:val="00F27AD8"/>
    <w:rsid w:val="00F35D42"/>
    <w:rsid w:val="00F36907"/>
    <w:rsid w:val="00F40C39"/>
    <w:rsid w:val="00F50F59"/>
    <w:rsid w:val="00F56A0F"/>
    <w:rsid w:val="00F6424F"/>
    <w:rsid w:val="00F70B35"/>
    <w:rsid w:val="00F70F8C"/>
    <w:rsid w:val="00F8438A"/>
    <w:rsid w:val="00F8495B"/>
    <w:rsid w:val="00FB465D"/>
    <w:rsid w:val="00FC43B2"/>
    <w:rsid w:val="00FC57C2"/>
    <w:rsid w:val="00FC6996"/>
    <w:rsid w:val="00FC7BD4"/>
    <w:rsid w:val="00FD065E"/>
    <w:rsid w:val="00FD0AE2"/>
    <w:rsid w:val="00FD30C1"/>
    <w:rsid w:val="00FD4A46"/>
    <w:rsid w:val="00FD7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595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line="533" w:lineRule="auto"/>
        <w:ind w:firstLine="14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Q"/>
    <w:next w:val="Normal"/>
    <w:link w:val="Heading1Char"/>
    <w:uiPriority w:val="9"/>
    <w:unhideWhenUsed/>
    <w:rsid w:val="00D2420B"/>
    <w:pPr>
      <w:numPr>
        <w:numId w:val="25"/>
      </w:numPr>
      <w:outlineLvl w:val="0"/>
    </w:pPr>
    <w:rPr>
      <w:u w:val="single"/>
    </w:rPr>
  </w:style>
  <w:style w:type="paragraph" w:styleId="Heading2">
    <w:name w:val="heading 2"/>
    <w:basedOn w:val="Normal"/>
    <w:next w:val="Normal"/>
    <w:link w:val="Heading2Char"/>
    <w:uiPriority w:val="9"/>
    <w:unhideWhenUsed/>
    <w:pPr>
      <w:keepNext/>
      <w:keepLines/>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spacing w:line="264" w:lineRule="auto"/>
      <w:ind w:firstLine="0"/>
    </w:pPr>
    <w:rPr>
      <w:caps/>
    </w:rPr>
  </w:style>
  <w:style w:type="character" w:customStyle="1" w:styleId="FooterChar">
    <w:name w:val="Footer Char"/>
    <w:basedOn w:val="DefaultParagraphFont"/>
    <w:link w:val="Footer"/>
    <w:uiPriority w:val="99"/>
    <w:rPr>
      <w:rFonts w:eastAsia="Times New Roman" w:cs="Times New Roman"/>
      <w:caps/>
      <w:sz w:val="20"/>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54" w:line="264"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64" w:lineRule="auto"/>
      <w:ind w:firstLine="0"/>
    </w:pPr>
    <w:rPr>
      <w:caps/>
    </w:rPr>
  </w:style>
  <w:style w:type="character" w:customStyle="1" w:styleId="PleadingtitleChar">
    <w:name w:val="Pleading title Char"/>
    <w:basedOn w:val="DefaultParagraphFont"/>
    <w:link w:val="Pleadingtitle"/>
    <w:uiPriority w:val="1"/>
    <w:rPr>
      <w:rFonts w:eastAsia="Times New Roman" w:cs="Times New Roman"/>
      <w:caps/>
      <w:sz w:val="20"/>
      <w:szCs w:val="20"/>
    </w:rPr>
  </w:style>
  <w:style w:type="character" w:customStyle="1" w:styleId="PartiesChar">
    <w:name w:val="Parties Char"/>
    <w:basedOn w:val="DefaultParagraphFont"/>
    <w:link w:val="Parties"/>
    <w:uiPriority w:val="1"/>
    <w:rPr>
      <w:rFonts w:asciiTheme="majorHAnsi" w:eastAsiaTheme="majorEastAsia" w:hAnsiTheme="majorHAnsi" w:cstheme="majorBidi"/>
      <w:caps/>
      <w:sz w:val="20"/>
      <w:szCs w:val="20"/>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54" w:line="528" w:lineRule="auto"/>
      <w:ind w:firstLine="0"/>
      <w:contextualSpacing/>
      <w:jc w:val="center"/>
    </w:pPr>
    <w:rPr>
      <w:caps/>
    </w:rPr>
  </w:style>
  <w:style w:type="character" w:customStyle="1" w:styleId="Heading1Char">
    <w:name w:val="Heading 1 Char"/>
    <w:basedOn w:val="DefaultParagraphFont"/>
    <w:link w:val="Heading1"/>
    <w:uiPriority w:val="9"/>
    <w:rsid w:val="00D2420B"/>
    <w:rPr>
      <w:rFonts w:eastAsia="Times New Roman" w:cs="Times New Roman"/>
      <w:b/>
      <w:sz w:val="22"/>
      <w:u w:val="single"/>
    </w:rPr>
  </w:style>
  <w:style w:type="paragraph" w:customStyle="1" w:styleId="AttorneyName">
    <w:name w:val="Attorney Name"/>
    <w:basedOn w:val="Normal"/>
    <w:link w:val="AttorneyNameChar"/>
    <w:uiPriority w:val="1"/>
    <w:qFormat/>
    <w:pPr>
      <w:spacing w:line="264"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760" w:line="264"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Pr>
      <w:rFonts w:eastAsia="Times New Roman" w:cs="Times New Roman"/>
      <w:sz w:val="20"/>
      <w:szCs w:val="20"/>
    </w:rPr>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rPr>
      <w:rFonts w:eastAsia="Times New Roman" w:cs="Times New Roman"/>
      <w:sz w:val="20"/>
      <w:szCs w:val="20"/>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64" w:lineRule="auto"/>
      <w:ind w:firstLine="0"/>
    </w:pPr>
    <w:rPr>
      <w:rFonts w:eastAsia="Times New Roman" w:cs="Times New Roman"/>
    </w:rPr>
  </w:style>
  <w:style w:type="paragraph" w:styleId="Date">
    <w:name w:val="Date"/>
    <w:basedOn w:val="Normal"/>
    <w:next w:val="Normal"/>
    <w:link w:val="DateChar"/>
    <w:uiPriority w:val="1"/>
    <w:unhideWhenUsed/>
    <w:qFormat/>
    <w:pPr>
      <w:spacing w:after="380"/>
    </w:pPr>
  </w:style>
  <w:style w:type="character" w:customStyle="1" w:styleId="DateChar">
    <w:name w:val="Date Char"/>
    <w:basedOn w:val="DefaultParagraphFont"/>
    <w:link w:val="Date"/>
    <w:uiPriority w:val="1"/>
  </w:style>
  <w:style w:type="paragraph" w:customStyle="1" w:styleId="Q">
    <w:name w:val="Q"/>
    <w:basedOn w:val="NoSpacing"/>
    <w:next w:val="A"/>
    <w:qFormat/>
    <w:rsid w:val="00652D1A"/>
    <w:pPr>
      <w:keepNext/>
      <w:keepLines/>
      <w:spacing w:line="480" w:lineRule="auto"/>
      <w:ind w:left="720" w:hanging="720"/>
    </w:pPr>
    <w:rPr>
      <w:b/>
      <w:sz w:val="22"/>
    </w:rPr>
  </w:style>
  <w:style w:type="paragraph" w:customStyle="1" w:styleId="A">
    <w:name w:val="A"/>
    <w:basedOn w:val="Q"/>
    <w:next w:val="Q"/>
    <w:qFormat/>
    <w:rsid w:val="00652D1A"/>
    <w:pPr>
      <w:keepNext w:val="0"/>
      <w:keepLines w:val="0"/>
    </w:pPr>
    <w:rPr>
      <w:b w:val="0"/>
    </w:rPr>
  </w:style>
  <w:style w:type="paragraph" w:customStyle="1" w:styleId="A2">
    <w:name w:val="A2"/>
    <w:basedOn w:val="A"/>
    <w:next w:val="Q"/>
    <w:qFormat/>
    <w:rsid w:val="00CA0502"/>
    <w:pPr>
      <w:spacing w:before="240"/>
      <w:ind w:firstLine="0"/>
    </w:pPr>
  </w:style>
  <w:style w:type="paragraph" w:customStyle="1" w:styleId="single">
    <w:name w:val="single"/>
    <w:basedOn w:val="Normal"/>
    <w:rsid w:val="00EA3F1B"/>
    <w:pPr>
      <w:spacing w:before="240" w:line="240" w:lineRule="atLeast"/>
      <w:ind w:firstLine="720"/>
    </w:pPr>
    <w:rPr>
      <w:rFonts w:ascii="Times New Roman" w:eastAsia="Times New Roman" w:hAnsi="Times New Roman" w:cs="Times New Roman"/>
      <w:sz w:val="24"/>
      <w:lang w:eastAsia="zh-CN"/>
    </w:rPr>
  </w:style>
  <w:style w:type="paragraph" w:customStyle="1" w:styleId="center">
    <w:name w:val="center"/>
    <w:basedOn w:val="Normal"/>
    <w:rsid w:val="00EA3F1B"/>
    <w:pPr>
      <w:keepLines/>
      <w:spacing w:before="240" w:line="240" w:lineRule="atLeast"/>
      <w:ind w:firstLine="0"/>
      <w:jc w:val="center"/>
    </w:pPr>
    <w:rPr>
      <w:rFonts w:ascii="Times New Roman" w:eastAsia="Times New Roman" w:hAnsi="Times New Roman" w:cs="Times New Roman"/>
      <w:sz w:val="24"/>
      <w:lang w:eastAsia="zh-CN"/>
    </w:rPr>
  </w:style>
  <w:style w:type="character" w:styleId="Strong">
    <w:name w:val="Strong"/>
    <w:basedOn w:val="DefaultParagraphFont"/>
    <w:qFormat/>
    <w:rsid w:val="00EA3F1B"/>
    <w:rPr>
      <w:b/>
    </w:rPr>
  </w:style>
  <w:style w:type="paragraph" w:customStyle="1" w:styleId="Bullet">
    <w:name w:val="Bullet"/>
    <w:basedOn w:val="A2"/>
    <w:qFormat/>
    <w:rsid w:val="00394EFC"/>
    <w:pPr>
      <w:widowControl/>
      <w:numPr>
        <w:numId w:val="11"/>
      </w:numPr>
      <w:spacing w:before="120" w:line="240" w:lineRule="auto"/>
    </w:pPr>
  </w:style>
  <w:style w:type="table" w:customStyle="1" w:styleId="PlainTable31">
    <w:name w:val="Plain Table 31"/>
    <w:basedOn w:val="TableNormal"/>
    <w:uiPriority w:val="43"/>
    <w:rsid w:val="00394EFC"/>
    <w:pPr>
      <w:spacing w:line="240" w:lineRule="auto"/>
    </w:pPr>
    <w:rPr>
      <w:sz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144F26"/>
    <w:rPr>
      <w:sz w:val="16"/>
      <w:szCs w:val="16"/>
    </w:rPr>
  </w:style>
  <w:style w:type="paragraph" w:styleId="CommentText">
    <w:name w:val="annotation text"/>
    <w:basedOn w:val="Normal"/>
    <w:link w:val="CommentTextChar"/>
    <w:uiPriority w:val="99"/>
    <w:semiHidden/>
    <w:unhideWhenUsed/>
    <w:rsid w:val="00144F26"/>
    <w:pPr>
      <w:spacing w:line="240" w:lineRule="auto"/>
    </w:pPr>
  </w:style>
  <w:style w:type="character" w:customStyle="1" w:styleId="CommentTextChar">
    <w:name w:val="Comment Text Char"/>
    <w:basedOn w:val="DefaultParagraphFont"/>
    <w:link w:val="CommentText"/>
    <w:uiPriority w:val="99"/>
    <w:semiHidden/>
    <w:rsid w:val="00144F26"/>
  </w:style>
  <w:style w:type="paragraph" w:styleId="CommentSubject">
    <w:name w:val="annotation subject"/>
    <w:basedOn w:val="CommentText"/>
    <w:next w:val="CommentText"/>
    <w:link w:val="CommentSubjectChar"/>
    <w:uiPriority w:val="99"/>
    <w:semiHidden/>
    <w:unhideWhenUsed/>
    <w:rsid w:val="00144F26"/>
    <w:rPr>
      <w:b/>
      <w:bCs/>
    </w:rPr>
  </w:style>
  <w:style w:type="character" w:customStyle="1" w:styleId="CommentSubjectChar">
    <w:name w:val="Comment Subject Char"/>
    <w:basedOn w:val="CommentTextChar"/>
    <w:link w:val="CommentSubject"/>
    <w:uiPriority w:val="99"/>
    <w:semiHidden/>
    <w:rsid w:val="00144F26"/>
    <w:rPr>
      <w:b/>
      <w:bCs/>
    </w:rPr>
  </w:style>
  <w:style w:type="character" w:styleId="LineNumber">
    <w:name w:val="line number"/>
    <w:basedOn w:val="DefaultParagraphFont"/>
    <w:uiPriority w:val="99"/>
    <w:semiHidden/>
    <w:unhideWhenUsed/>
    <w:rsid w:val="00957738"/>
  </w:style>
  <w:style w:type="paragraph" w:styleId="FootnoteText">
    <w:name w:val="footnote text"/>
    <w:aliases w:val="response"/>
    <w:basedOn w:val="Normal"/>
    <w:uiPriority w:val="99"/>
    <w:unhideWhenUsed/>
    <w:rsid w:val="00F6424F"/>
    <w:pPr>
      <w:spacing w:line="240" w:lineRule="auto"/>
      <w:ind w:left="864" w:hanging="144"/>
    </w:pPr>
  </w:style>
  <w:style w:type="character" w:customStyle="1" w:styleId="FootnoteTextChar">
    <w:name w:val="Footnote Text Char"/>
    <w:aliases w:val="response Char"/>
    <w:basedOn w:val="DefaultParagraphFont"/>
    <w:uiPriority w:val="99"/>
    <w:rsid w:val="00C720E2"/>
  </w:style>
  <w:style w:type="character" w:styleId="FootnoteReference">
    <w:name w:val="footnote reference"/>
    <w:basedOn w:val="DefaultParagraphFont"/>
    <w:uiPriority w:val="99"/>
    <w:unhideWhenUsed/>
    <w:rsid w:val="00C720E2"/>
    <w:rPr>
      <w:vertAlign w:val="superscript"/>
    </w:rPr>
  </w:style>
  <w:style w:type="character" w:styleId="Hyperlink">
    <w:name w:val="Hyperlink"/>
    <w:basedOn w:val="DefaultParagraphFont"/>
    <w:uiPriority w:val="99"/>
    <w:unhideWhenUsed/>
    <w:rsid w:val="00060D33"/>
    <w:rPr>
      <w:color w:val="56C7AA" w:themeColor="hyperlink"/>
      <w:u w:val="single"/>
    </w:rPr>
  </w:style>
  <w:style w:type="character" w:customStyle="1" w:styleId="UnresolvedMention1">
    <w:name w:val="Unresolved Mention1"/>
    <w:basedOn w:val="DefaultParagraphFont"/>
    <w:uiPriority w:val="99"/>
    <w:semiHidden/>
    <w:unhideWhenUsed/>
    <w:rsid w:val="00060D33"/>
    <w:rPr>
      <w:color w:val="808080"/>
      <w:shd w:val="clear" w:color="auto" w:fill="E6E6E6"/>
    </w:rPr>
  </w:style>
  <w:style w:type="paragraph" w:styleId="Revision">
    <w:name w:val="Revision"/>
    <w:hidden/>
    <w:uiPriority w:val="99"/>
    <w:semiHidden/>
    <w:rsid w:val="00936E83"/>
    <w:pPr>
      <w:spacing w:line="240" w:lineRule="auto"/>
      <w:ind w:firstLine="0"/>
    </w:pPr>
  </w:style>
  <w:style w:type="character" w:customStyle="1" w:styleId="UnresolvedMention2">
    <w:name w:val="Unresolved Mention2"/>
    <w:basedOn w:val="DefaultParagraphFont"/>
    <w:uiPriority w:val="99"/>
    <w:semiHidden/>
    <w:unhideWhenUsed/>
    <w:rsid w:val="009A1D6A"/>
    <w:rPr>
      <w:color w:val="808080"/>
      <w:shd w:val="clear" w:color="auto" w:fill="E6E6E6"/>
    </w:rPr>
  </w:style>
  <w:style w:type="paragraph" w:styleId="Caption">
    <w:name w:val="caption"/>
    <w:basedOn w:val="Normal"/>
    <w:next w:val="Normal"/>
    <w:uiPriority w:val="35"/>
    <w:unhideWhenUsed/>
    <w:qFormat/>
    <w:rsid w:val="00B415A3"/>
    <w:pPr>
      <w:spacing w:after="200" w:line="240" w:lineRule="auto"/>
      <w:ind w:firstLine="0"/>
      <w:jc w:val="center"/>
    </w:pPr>
    <w:rPr>
      <w:i/>
      <w:iCs/>
      <w:color w:val="212745" w:themeColor="text2"/>
      <w:sz w:val="18"/>
      <w:szCs w:val="18"/>
    </w:rPr>
  </w:style>
  <w:style w:type="character" w:styleId="FollowedHyperlink">
    <w:name w:val="FollowedHyperlink"/>
    <w:basedOn w:val="DefaultParagraphFont"/>
    <w:uiPriority w:val="99"/>
    <w:semiHidden/>
    <w:unhideWhenUsed/>
    <w:rsid w:val="00A00734"/>
    <w:rPr>
      <w:color w:val="59A8D1" w:themeColor="followedHyperlink"/>
      <w:u w:val="single"/>
    </w:rPr>
  </w:style>
  <w:style w:type="character" w:customStyle="1" w:styleId="UnresolvedMention3">
    <w:name w:val="Unresolved Mention3"/>
    <w:basedOn w:val="DefaultParagraphFont"/>
    <w:uiPriority w:val="99"/>
    <w:semiHidden/>
    <w:unhideWhenUsed/>
    <w:rsid w:val="00877784"/>
    <w:rPr>
      <w:color w:val="808080"/>
      <w:shd w:val="clear" w:color="auto" w:fill="E6E6E6"/>
    </w:rPr>
  </w:style>
  <w:style w:type="paragraph" w:styleId="TOCHeading">
    <w:name w:val="TOC Heading"/>
    <w:basedOn w:val="Heading1"/>
    <w:next w:val="Normal"/>
    <w:uiPriority w:val="39"/>
    <w:semiHidden/>
    <w:unhideWhenUsed/>
    <w:qFormat/>
    <w:rsid w:val="000026FA"/>
    <w:pPr>
      <w:widowControl/>
      <w:numPr>
        <w:numId w:val="0"/>
      </w:numPr>
      <w:spacing w:before="480" w:line="276" w:lineRule="auto"/>
      <w:outlineLvl w:val="9"/>
    </w:pPr>
    <w:rPr>
      <w:rFonts w:asciiTheme="majorHAnsi" w:eastAsiaTheme="majorEastAsia" w:hAnsiTheme="majorHAnsi" w:cstheme="majorBidi"/>
      <w:bCs/>
      <w:color w:val="31479E" w:themeColor="accent1" w:themeShade="BF"/>
      <w:sz w:val="28"/>
      <w:szCs w:val="28"/>
      <w:u w:val="none"/>
    </w:rPr>
  </w:style>
  <w:style w:type="paragraph" w:styleId="TOC1">
    <w:name w:val="toc 1"/>
    <w:basedOn w:val="Normal"/>
    <w:next w:val="Normal"/>
    <w:autoRedefine/>
    <w:uiPriority w:val="39"/>
    <w:unhideWhenUsed/>
    <w:rsid w:val="000026FA"/>
    <w:pPr>
      <w:numPr>
        <w:numId w:val="26"/>
      </w:numPr>
      <w:tabs>
        <w:tab w:val="left" w:pos="1761"/>
        <w:tab w:val="right" w:leader="dot" w:pos="9350"/>
      </w:tabs>
      <w:spacing w:after="100"/>
      <w:ind w:left="720"/>
    </w:pPr>
    <w:rPr>
      <w:rFonts w:cstheme="minorHAns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73916">
      <w:bodyDiv w:val="1"/>
      <w:marLeft w:val="0"/>
      <w:marRight w:val="0"/>
      <w:marTop w:val="0"/>
      <w:marBottom w:val="0"/>
      <w:divBdr>
        <w:top w:val="none" w:sz="0" w:space="0" w:color="auto"/>
        <w:left w:val="none" w:sz="0" w:space="0" w:color="auto"/>
        <w:bottom w:val="none" w:sz="0" w:space="0" w:color="auto"/>
        <w:right w:val="none" w:sz="0" w:space="0" w:color="auto"/>
      </w:divBdr>
      <w:divsChild>
        <w:div w:id="29497268">
          <w:marLeft w:val="0"/>
          <w:marRight w:val="0"/>
          <w:marTop w:val="0"/>
          <w:marBottom w:val="0"/>
          <w:divBdr>
            <w:top w:val="none" w:sz="0" w:space="0" w:color="auto"/>
            <w:left w:val="none" w:sz="0" w:space="0" w:color="auto"/>
            <w:bottom w:val="none" w:sz="0" w:space="0" w:color="auto"/>
            <w:right w:val="none" w:sz="0" w:space="0" w:color="auto"/>
          </w:divBdr>
        </w:div>
        <w:div w:id="1937202837">
          <w:marLeft w:val="0"/>
          <w:marRight w:val="0"/>
          <w:marTop w:val="0"/>
          <w:marBottom w:val="0"/>
          <w:divBdr>
            <w:top w:val="none" w:sz="0" w:space="0" w:color="auto"/>
            <w:left w:val="none" w:sz="0" w:space="0" w:color="auto"/>
            <w:bottom w:val="none" w:sz="0" w:space="0" w:color="auto"/>
            <w:right w:val="none" w:sz="0" w:space="0" w:color="auto"/>
          </w:divBdr>
        </w:div>
        <w:div w:id="779645564">
          <w:marLeft w:val="0"/>
          <w:marRight w:val="0"/>
          <w:marTop w:val="0"/>
          <w:marBottom w:val="0"/>
          <w:divBdr>
            <w:top w:val="none" w:sz="0" w:space="0" w:color="auto"/>
            <w:left w:val="none" w:sz="0" w:space="0" w:color="auto"/>
            <w:bottom w:val="none" w:sz="0" w:space="0" w:color="auto"/>
            <w:right w:val="none" w:sz="0" w:space="0" w:color="auto"/>
          </w:divBdr>
        </w:div>
        <w:div w:id="480775488">
          <w:marLeft w:val="0"/>
          <w:marRight w:val="0"/>
          <w:marTop w:val="0"/>
          <w:marBottom w:val="0"/>
          <w:divBdr>
            <w:top w:val="none" w:sz="0" w:space="0" w:color="auto"/>
            <w:left w:val="none" w:sz="0" w:space="0" w:color="auto"/>
            <w:bottom w:val="none" w:sz="0" w:space="0" w:color="auto"/>
            <w:right w:val="none" w:sz="0" w:space="0" w:color="auto"/>
          </w:divBdr>
        </w:div>
        <w:div w:id="1770469543">
          <w:marLeft w:val="0"/>
          <w:marRight w:val="0"/>
          <w:marTop w:val="0"/>
          <w:marBottom w:val="0"/>
          <w:divBdr>
            <w:top w:val="none" w:sz="0" w:space="0" w:color="auto"/>
            <w:left w:val="none" w:sz="0" w:space="0" w:color="auto"/>
            <w:bottom w:val="none" w:sz="0" w:space="0" w:color="auto"/>
            <w:right w:val="none" w:sz="0" w:space="0" w:color="auto"/>
          </w:divBdr>
        </w:div>
        <w:div w:id="1765421109">
          <w:marLeft w:val="0"/>
          <w:marRight w:val="0"/>
          <w:marTop w:val="0"/>
          <w:marBottom w:val="0"/>
          <w:divBdr>
            <w:top w:val="none" w:sz="0" w:space="0" w:color="auto"/>
            <w:left w:val="none" w:sz="0" w:space="0" w:color="auto"/>
            <w:bottom w:val="none" w:sz="0" w:space="0" w:color="auto"/>
            <w:right w:val="none" w:sz="0" w:space="0" w:color="auto"/>
          </w:divBdr>
        </w:div>
        <w:div w:id="1957903731">
          <w:marLeft w:val="0"/>
          <w:marRight w:val="0"/>
          <w:marTop w:val="0"/>
          <w:marBottom w:val="0"/>
          <w:divBdr>
            <w:top w:val="none" w:sz="0" w:space="0" w:color="auto"/>
            <w:left w:val="none" w:sz="0" w:space="0" w:color="auto"/>
            <w:bottom w:val="none" w:sz="0" w:space="0" w:color="auto"/>
            <w:right w:val="none" w:sz="0" w:space="0" w:color="auto"/>
          </w:divBdr>
        </w:div>
        <w:div w:id="2015523103">
          <w:marLeft w:val="0"/>
          <w:marRight w:val="0"/>
          <w:marTop w:val="0"/>
          <w:marBottom w:val="0"/>
          <w:divBdr>
            <w:top w:val="none" w:sz="0" w:space="0" w:color="auto"/>
            <w:left w:val="none" w:sz="0" w:space="0" w:color="auto"/>
            <w:bottom w:val="none" w:sz="0" w:space="0" w:color="auto"/>
            <w:right w:val="none" w:sz="0" w:space="0" w:color="auto"/>
          </w:divBdr>
        </w:div>
        <w:div w:id="1539396758">
          <w:marLeft w:val="0"/>
          <w:marRight w:val="0"/>
          <w:marTop w:val="0"/>
          <w:marBottom w:val="0"/>
          <w:divBdr>
            <w:top w:val="none" w:sz="0" w:space="0" w:color="auto"/>
            <w:left w:val="none" w:sz="0" w:space="0" w:color="auto"/>
            <w:bottom w:val="none" w:sz="0" w:space="0" w:color="auto"/>
            <w:right w:val="none" w:sz="0" w:space="0" w:color="auto"/>
          </w:divBdr>
        </w:div>
        <w:div w:id="299850611">
          <w:marLeft w:val="0"/>
          <w:marRight w:val="0"/>
          <w:marTop w:val="0"/>
          <w:marBottom w:val="0"/>
          <w:divBdr>
            <w:top w:val="none" w:sz="0" w:space="0" w:color="auto"/>
            <w:left w:val="none" w:sz="0" w:space="0" w:color="auto"/>
            <w:bottom w:val="none" w:sz="0" w:space="0" w:color="auto"/>
            <w:right w:val="none" w:sz="0" w:space="0" w:color="auto"/>
          </w:divBdr>
        </w:div>
        <w:div w:id="1563981269">
          <w:marLeft w:val="0"/>
          <w:marRight w:val="0"/>
          <w:marTop w:val="0"/>
          <w:marBottom w:val="0"/>
          <w:divBdr>
            <w:top w:val="none" w:sz="0" w:space="0" w:color="auto"/>
            <w:left w:val="none" w:sz="0" w:space="0" w:color="auto"/>
            <w:bottom w:val="none" w:sz="0" w:space="0" w:color="auto"/>
            <w:right w:val="none" w:sz="0" w:space="0" w:color="auto"/>
          </w:divBdr>
        </w:div>
        <w:div w:id="470369065">
          <w:marLeft w:val="0"/>
          <w:marRight w:val="0"/>
          <w:marTop w:val="0"/>
          <w:marBottom w:val="0"/>
          <w:divBdr>
            <w:top w:val="none" w:sz="0" w:space="0" w:color="auto"/>
            <w:left w:val="none" w:sz="0" w:space="0" w:color="auto"/>
            <w:bottom w:val="none" w:sz="0" w:space="0" w:color="auto"/>
            <w:right w:val="none" w:sz="0" w:space="0" w:color="auto"/>
          </w:divBdr>
        </w:div>
        <w:div w:id="414327179">
          <w:marLeft w:val="0"/>
          <w:marRight w:val="0"/>
          <w:marTop w:val="0"/>
          <w:marBottom w:val="0"/>
          <w:divBdr>
            <w:top w:val="none" w:sz="0" w:space="0" w:color="auto"/>
            <w:left w:val="none" w:sz="0" w:space="0" w:color="auto"/>
            <w:bottom w:val="none" w:sz="0" w:space="0" w:color="auto"/>
            <w:right w:val="none" w:sz="0" w:space="0" w:color="auto"/>
          </w:divBdr>
        </w:div>
        <w:div w:id="1801730879">
          <w:marLeft w:val="0"/>
          <w:marRight w:val="0"/>
          <w:marTop w:val="0"/>
          <w:marBottom w:val="0"/>
          <w:divBdr>
            <w:top w:val="none" w:sz="0" w:space="0" w:color="auto"/>
            <w:left w:val="none" w:sz="0" w:space="0" w:color="auto"/>
            <w:bottom w:val="none" w:sz="0" w:space="0" w:color="auto"/>
            <w:right w:val="none" w:sz="0" w:space="0" w:color="auto"/>
          </w:divBdr>
        </w:div>
        <w:div w:id="97875736">
          <w:marLeft w:val="0"/>
          <w:marRight w:val="0"/>
          <w:marTop w:val="0"/>
          <w:marBottom w:val="0"/>
          <w:divBdr>
            <w:top w:val="none" w:sz="0" w:space="0" w:color="auto"/>
            <w:left w:val="none" w:sz="0" w:space="0" w:color="auto"/>
            <w:bottom w:val="none" w:sz="0" w:space="0" w:color="auto"/>
            <w:right w:val="none" w:sz="0" w:space="0" w:color="auto"/>
          </w:divBdr>
        </w:div>
        <w:div w:id="281957621">
          <w:marLeft w:val="0"/>
          <w:marRight w:val="0"/>
          <w:marTop w:val="0"/>
          <w:marBottom w:val="0"/>
          <w:divBdr>
            <w:top w:val="none" w:sz="0" w:space="0" w:color="auto"/>
            <w:left w:val="none" w:sz="0" w:space="0" w:color="auto"/>
            <w:bottom w:val="none" w:sz="0" w:space="0" w:color="auto"/>
            <w:right w:val="none" w:sz="0" w:space="0" w:color="auto"/>
          </w:divBdr>
        </w:div>
        <w:div w:id="1294366578">
          <w:marLeft w:val="0"/>
          <w:marRight w:val="0"/>
          <w:marTop w:val="0"/>
          <w:marBottom w:val="0"/>
          <w:divBdr>
            <w:top w:val="none" w:sz="0" w:space="0" w:color="auto"/>
            <w:left w:val="none" w:sz="0" w:space="0" w:color="auto"/>
            <w:bottom w:val="none" w:sz="0" w:space="0" w:color="auto"/>
            <w:right w:val="none" w:sz="0" w:space="0" w:color="auto"/>
          </w:divBdr>
        </w:div>
        <w:div w:id="1819689385">
          <w:marLeft w:val="0"/>
          <w:marRight w:val="0"/>
          <w:marTop w:val="0"/>
          <w:marBottom w:val="0"/>
          <w:divBdr>
            <w:top w:val="none" w:sz="0" w:space="0" w:color="auto"/>
            <w:left w:val="none" w:sz="0" w:space="0" w:color="auto"/>
            <w:bottom w:val="none" w:sz="0" w:space="0" w:color="auto"/>
            <w:right w:val="none" w:sz="0" w:space="0" w:color="auto"/>
          </w:divBdr>
        </w:div>
        <w:div w:id="141698785">
          <w:marLeft w:val="0"/>
          <w:marRight w:val="0"/>
          <w:marTop w:val="0"/>
          <w:marBottom w:val="0"/>
          <w:divBdr>
            <w:top w:val="none" w:sz="0" w:space="0" w:color="auto"/>
            <w:left w:val="none" w:sz="0" w:space="0" w:color="auto"/>
            <w:bottom w:val="none" w:sz="0" w:space="0" w:color="auto"/>
            <w:right w:val="none" w:sz="0" w:space="0" w:color="auto"/>
          </w:divBdr>
        </w:div>
        <w:div w:id="568614975">
          <w:marLeft w:val="0"/>
          <w:marRight w:val="0"/>
          <w:marTop w:val="0"/>
          <w:marBottom w:val="0"/>
          <w:divBdr>
            <w:top w:val="none" w:sz="0" w:space="0" w:color="auto"/>
            <w:left w:val="none" w:sz="0" w:space="0" w:color="auto"/>
            <w:bottom w:val="none" w:sz="0" w:space="0" w:color="auto"/>
            <w:right w:val="none" w:sz="0" w:space="0" w:color="auto"/>
          </w:divBdr>
        </w:div>
        <w:div w:id="1689142937">
          <w:marLeft w:val="0"/>
          <w:marRight w:val="0"/>
          <w:marTop w:val="0"/>
          <w:marBottom w:val="0"/>
          <w:divBdr>
            <w:top w:val="none" w:sz="0" w:space="0" w:color="auto"/>
            <w:left w:val="none" w:sz="0" w:space="0" w:color="auto"/>
            <w:bottom w:val="none" w:sz="0" w:space="0" w:color="auto"/>
            <w:right w:val="none" w:sz="0" w:space="0" w:color="auto"/>
          </w:divBdr>
        </w:div>
      </w:divsChild>
    </w:div>
    <w:div w:id="331880386">
      <w:bodyDiv w:val="1"/>
      <w:marLeft w:val="0"/>
      <w:marRight w:val="0"/>
      <w:marTop w:val="0"/>
      <w:marBottom w:val="0"/>
      <w:divBdr>
        <w:top w:val="none" w:sz="0" w:space="0" w:color="auto"/>
        <w:left w:val="none" w:sz="0" w:space="0" w:color="auto"/>
        <w:bottom w:val="none" w:sz="0" w:space="0" w:color="auto"/>
        <w:right w:val="none" w:sz="0" w:space="0" w:color="auto"/>
      </w:divBdr>
      <w:divsChild>
        <w:div w:id="1366364585">
          <w:marLeft w:val="0"/>
          <w:marRight w:val="0"/>
          <w:marTop w:val="0"/>
          <w:marBottom w:val="0"/>
          <w:divBdr>
            <w:top w:val="none" w:sz="0" w:space="0" w:color="auto"/>
            <w:left w:val="none" w:sz="0" w:space="0" w:color="auto"/>
            <w:bottom w:val="none" w:sz="0" w:space="0" w:color="auto"/>
            <w:right w:val="none" w:sz="0" w:space="0" w:color="auto"/>
          </w:divBdr>
        </w:div>
        <w:div w:id="529341559">
          <w:marLeft w:val="0"/>
          <w:marRight w:val="0"/>
          <w:marTop w:val="0"/>
          <w:marBottom w:val="0"/>
          <w:divBdr>
            <w:top w:val="none" w:sz="0" w:space="0" w:color="auto"/>
            <w:left w:val="none" w:sz="0" w:space="0" w:color="auto"/>
            <w:bottom w:val="none" w:sz="0" w:space="0" w:color="auto"/>
            <w:right w:val="none" w:sz="0" w:space="0" w:color="auto"/>
          </w:divBdr>
        </w:div>
      </w:divsChild>
    </w:div>
    <w:div w:id="392386477">
      <w:bodyDiv w:val="1"/>
      <w:marLeft w:val="0"/>
      <w:marRight w:val="0"/>
      <w:marTop w:val="0"/>
      <w:marBottom w:val="0"/>
      <w:divBdr>
        <w:top w:val="none" w:sz="0" w:space="0" w:color="auto"/>
        <w:left w:val="none" w:sz="0" w:space="0" w:color="auto"/>
        <w:bottom w:val="none" w:sz="0" w:space="0" w:color="auto"/>
        <w:right w:val="none" w:sz="0" w:space="0" w:color="auto"/>
      </w:divBdr>
      <w:divsChild>
        <w:div w:id="1825929573">
          <w:marLeft w:val="0"/>
          <w:marRight w:val="0"/>
          <w:marTop w:val="0"/>
          <w:marBottom w:val="0"/>
          <w:divBdr>
            <w:top w:val="none" w:sz="0" w:space="0" w:color="auto"/>
            <w:left w:val="none" w:sz="0" w:space="0" w:color="auto"/>
            <w:bottom w:val="none" w:sz="0" w:space="0" w:color="auto"/>
            <w:right w:val="none" w:sz="0" w:space="0" w:color="auto"/>
          </w:divBdr>
        </w:div>
        <w:div w:id="1282111644">
          <w:marLeft w:val="0"/>
          <w:marRight w:val="0"/>
          <w:marTop w:val="0"/>
          <w:marBottom w:val="0"/>
          <w:divBdr>
            <w:top w:val="none" w:sz="0" w:space="0" w:color="auto"/>
            <w:left w:val="none" w:sz="0" w:space="0" w:color="auto"/>
            <w:bottom w:val="none" w:sz="0" w:space="0" w:color="auto"/>
            <w:right w:val="none" w:sz="0" w:space="0" w:color="auto"/>
          </w:divBdr>
        </w:div>
      </w:divsChild>
    </w:div>
    <w:div w:id="430472395">
      <w:bodyDiv w:val="1"/>
      <w:marLeft w:val="0"/>
      <w:marRight w:val="0"/>
      <w:marTop w:val="0"/>
      <w:marBottom w:val="0"/>
      <w:divBdr>
        <w:top w:val="none" w:sz="0" w:space="0" w:color="auto"/>
        <w:left w:val="none" w:sz="0" w:space="0" w:color="auto"/>
        <w:bottom w:val="none" w:sz="0" w:space="0" w:color="auto"/>
        <w:right w:val="none" w:sz="0" w:space="0" w:color="auto"/>
      </w:divBdr>
    </w:div>
    <w:div w:id="772750509">
      <w:bodyDiv w:val="1"/>
      <w:marLeft w:val="0"/>
      <w:marRight w:val="0"/>
      <w:marTop w:val="0"/>
      <w:marBottom w:val="0"/>
      <w:divBdr>
        <w:top w:val="none" w:sz="0" w:space="0" w:color="auto"/>
        <w:left w:val="none" w:sz="0" w:space="0" w:color="auto"/>
        <w:bottom w:val="none" w:sz="0" w:space="0" w:color="auto"/>
        <w:right w:val="none" w:sz="0" w:space="0" w:color="auto"/>
      </w:divBdr>
    </w:div>
    <w:div w:id="1003624651">
      <w:bodyDiv w:val="1"/>
      <w:marLeft w:val="0"/>
      <w:marRight w:val="0"/>
      <w:marTop w:val="0"/>
      <w:marBottom w:val="0"/>
      <w:divBdr>
        <w:top w:val="none" w:sz="0" w:space="0" w:color="auto"/>
        <w:left w:val="none" w:sz="0" w:space="0" w:color="auto"/>
        <w:bottom w:val="none" w:sz="0" w:space="0" w:color="auto"/>
        <w:right w:val="none" w:sz="0" w:space="0" w:color="auto"/>
      </w:divBdr>
    </w:div>
    <w:div w:id="1036387277">
      <w:bodyDiv w:val="1"/>
      <w:marLeft w:val="0"/>
      <w:marRight w:val="0"/>
      <w:marTop w:val="0"/>
      <w:marBottom w:val="0"/>
      <w:divBdr>
        <w:top w:val="none" w:sz="0" w:space="0" w:color="auto"/>
        <w:left w:val="none" w:sz="0" w:space="0" w:color="auto"/>
        <w:bottom w:val="none" w:sz="0" w:space="0" w:color="auto"/>
        <w:right w:val="none" w:sz="0" w:space="0" w:color="auto"/>
      </w:divBdr>
    </w:div>
    <w:div w:id="1087657274">
      <w:bodyDiv w:val="1"/>
      <w:marLeft w:val="0"/>
      <w:marRight w:val="0"/>
      <w:marTop w:val="0"/>
      <w:marBottom w:val="0"/>
      <w:divBdr>
        <w:top w:val="none" w:sz="0" w:space="0" w:color="auto"/>
        <w:left w:val="none" w:sz="0" w:space="0" w:color="auto"/>
        <w:bottom w:val="none" w:sz="0" w:space="0" w:color="auto"/>
        <w:right w:val="none" w:sz="0" w:space="0" w:color="auto"/>
      </w:divBdr>
    </w:div>
    <w:div w:id="1102535843">
      <w:bodyDiv w:val="1"/>
      <w:marLeft w:val="0"/>
      <w:marRight w:val="0"/>
      <w:marTop w:val="0"/>
      <w:marBottom w:val="0"/>
      <w:divBdr>
        <w:top w:val="none" w:sz="0" w:space="0" w:color="auto"/>
        <w:left w:val="none" w:sz="0" w:space="0" w:color="auto"/>
        <w:bottom w:val="none" w:sz="0" w:space="0" w:color="auto"/>
        <w:right w:val="none" w:sz="0" w:space="0" w:color="auto"/>
      </w:divBdr>
    </w:div>
    <w:div w:id="1569194891">
      <w:bodyDiv w:val="1"/>
      <w:marLeft w:val="0"/>
      <w:marRight w:val="0"/>
      <w:marTop w:val="0"/>
      <w:marBottom w:val="0"/>
      <w:divBdr>
        <w:top w:val="none" w:sz="0" w:space="0" w:color="auto"/>
        <w:left w:val="none" w:sz="0" w:space="0" w:color="auto"/>
        <w:bottom w:val="none" w:sz="0" w:space="0" w:color="auto"/>
        <w:right w:val="none" w:sz="0" w:space="0" w:color="auto"/>
      </w:divBdr>
    </w:div>
    <w:div w:id="1577857286">
      <w:bodyDiv w:val="1"/>
      <w:marLeft w:val="0"/>
      <w:marRight w:val="0"/>
      <w:marTop w:val="0"/>
      <w:marBottom w:val="0"/>
      <w:divBdr>
        <w:top w:val="none" w:sz="0" w:space="0" w:color="auto"/>
        <w:left w:val="none" w:sz="0" w:space="0" w:color="auto"/>
        <w:bottom w:val="none" w:sz="0" w:space="0" w:color="auto"/>
        <w:right w:val="none" w:sz="0" w:space="0" w:color="auto"/>
      </w:divBdr>
    </w:div>
    <w:div w:id="1702632829">
      <w:bodyDiv w:val="1"/>
      <w:marLeft w:val="0"/>
      <w:marRight w:val="0"/>
      <w:marTop w:val="0"/>
      <w:marBottom w:val="0"/>
      <w:divBdr>
        <w:top w:val="none" w:sz="0" w:space="0" w:color="auto"/>
        <w:left w:val="none" w:sz="0" w:space="0" w:color="auto"/>
        <w:bottom w:val="none" w:sz="0" w:space="0" w:color="auto"/>
        <w:right w:val="none" w:sz="0" w:space="0" w:color="auto"/>
      </w:divBdr>
    </w:div>
    <w:div w:id="1752854082">
      <w:bodyDiv w:val="1"/>
      <w:marLeft w:val="0"/>
      <w:marRight w:val="0"/>
      <w:marTop w:val="0"/>
      <w:marBottom w:val="0"/>
      <w:divBdr>
        <w:top w:val="none" w:sz="0" w:space="0" w:color="auto"/>
        <w:left w:val="none" w:sz="0" w:space="0" w:color="auto"/>
        <w:bottom w:val="none" w:sz="0" w:space="0" w:color="auto"/>
        <w:right w:val="none" w:sz="0" w:space="0" w:color="auto"/>
      </w:divBdr>
    </w:div>
    <w:div w:id="206224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2017-08-09T07:00:00+00:00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AD10AE8A-8F00-4127-97DC-3718144DF754}">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6a7bd91e-004b-490a-8704-e368d63d59a0"/>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D075213-EF1A-4A09-9596-6B93E6CC3152}">
  <ds:schemaRefs>
    <ds:schemaRef ds:uri="http://schemas.microsoft.com/sharepoint/v3/contenttype/forms"/>
  </ds:schemaRefs>
</ds:datastoreItem>
</file>

<file path=customXml/itemProps3.xml><?xml version="1.0" encoding="utf-8"?>
<ds:datastoreItem xmlns:ds="http://schemas.openxmlformats.org/officeDocument/2006/customXml" ds:itemID="{D0D4A34A-D4BB-496B-A979-83139F2A0028}"/>
</file>

<file path=customXml/itemProps4.xml><?xml version="1.0" encoding="utf-8"?>
<ds:datastoreItem xmlns:ds="http://schemas.openxmlformats.org/officeDocument/2006/customXml" ds:itemID="{32FA62CE-20FC-4F27-823A-D4B3CDF0CBD5}"/>
</file>

<file path=docProps/app.xml><?xml version="1.0" encoding="utf-8"?>
<Properties xmlns="http://schemas.openxmlformats.org/officeDocument/2006/extended-properties" xmlns:vt="http://schemas.openxmlformats.org/officeDocument/2006/docPropsVTypes">
  <Template>Normal</Template>
  <TotalTime>0</TotalTime>
  <Pages>9</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2017-08-09T20:54:00Z</dcterms:created>
  <dcterms:modified xsi:type="dcterms:W3CDTF">2017-08-09T20:54:00Z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IsEFSEC">
    <vt:bool>false</vt:bool>
  </property>
</Properties>
</file>