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ParNumber"/>
        <w:numPr>
          <w:ilvl w:val="0"/>
          <w:numId w:val="0"/>
        </w:numPr>
        <w:tabs>
          <w:tab w:val="clear" w:pos="720"/>
          <w:tab w:val="left" w:pos="0"/>
        </w:tabs>
        <w:spacing w:line="240" w:lineRule="exact"/>
        <w:jc w:val="center"/>
        <w:rPr>
          <w:b/>
          <w:bCs/>
        </w:rPr>
      </w:pPr>
      <w:bookmarkStart w:id="0" w:name="_GoBack"/>
      <w:bookmarkEnd w:id="0"/>
    </w:p>
    <w:p>
      <w:pPr>
        <w:pStyle w:val="CourtName"/>
        <w:tabs>
          <w:tab w:val="left" w:pos="0"/>
        </w:tabs>
        <w:rPr>
          <w:b/>
          <w:bCs/>
          <w:caps/>
        </w:rPr>
      </w:pPr>
    </w:p>
    <w:p>
      <w:pPr>
        <w:pStyle w:val="CourtName"/>
        <w:tabs>
          <w:tab w:val="left" w:pos="0"/>
        </w:tabs>
        <w:rPr>
          <w:b/>
          <w:bCs/>
          <w:caps/>
        </w:rPr>
      </w:pPr>
    </w:p>
    <w:p>
      <w:pPr>
        <w:tabs>
          <w:tab w:val="left" w:pos="0"/>
        </w:tabs>
        <w:jc w:val="center"/>
        <w:rPr>
          <w:b/>
          <w:szCs w:val="20"/>
        </w:rPr>
      </w:pPr>
      <w:r>
        <w:rPr>
          <w:b/>
          <w:szCs w:val="20"/>
        </w:rPr>
        <w:t xml:space="preserve">BEFORE THE </w:t>
      </w:r>
    </w:p>
    <w:p>
      <w:pPr>
        <w:tabs>
          <w:tab w:val="left" w:pos="0"/>
        </w:tabs>
        <w:jc w:val="center"/>
        <w:rPr>
          <w:b/>
          <w:szCs w:val="20"/>
        </w:rPr>
      </w:pPr>
    </w:p>
    <w:p>
      <w:pPr>
        <w:tabs>
          <w:tab w:val="left" w:pos="0"/>
        </w:tabs>
        <w:jc w:val="center"/>
        <w:rPr>
          <w:b/>
          <w:szCs w:val="20"/>
        </w:rPr>
      </w:pPr>
      <w:r>
        <w:rPr>
          <w:b/>
          <w:szCs w:val="20"/>
        </w:rPr>
        <w:t>WASHINGTON UTILITIES AND TRANSPORTATION COMMISSION</w:t>
      </w:r>
    </w:p>
    <w:p>
      <w:pPr>
        <w:tabs>
          <w:tab w:val="left" w:pos="0"/>
        </w:tabs>
        <w:rPr>
          <w:szCs w:val="20"/>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tabs>
                <w:tab w:val="left" w:pos="0"/>
              </w:tabs>
              <w:spacing w:after="120"/>
              <w:ind w:left="90"/>
            </w:pPr>
            <w:r>
              <w:rPr>
                <w:szCs w:val="20"/>
              </w:rPr>
              <w:t>In the Matter of the Petition of:</w:t>
            </w:r>
            <w:r>
              <w:rPr>
                <w:szCs w:val="20"/>
              </w:rPr>
              <w:br/>
            </w:r>
            <w:r>
              <w:rPr>
                <w:szCs w:val="20"/>
              </w:rPr>
              <w:br/>
            </w:r>
            <w:r>
              <w:t>King County, Washington; BNSF Railway; Frontier Communications Northwest, Inc.; Verizon Wireless; and New Cingular Wireless PCS, LLC</w:t>
            </w:r>
          </w:p>
          <w:p>
            <w:pPr>
              <w:tabs>
                <w:tab w:val="left" w:pos="0"/>
              </w:tabs>
              <w:spacing w:after="120"/>
              <w:ind w:left="90"/>
              <w:rPr>
                <w:szCs w:val="20"/>
              </w:rPr>
            </w:pPr>
            <w:r>
              <w:t>For an Order Requiring Puget Sound Energy to Fund Replacement of Electric Facilities</w:t>
            </w:r>
          </w:p>
        </w:tc>
        <w:tc>
          <w:tcPr>
            <w:tcW w:w="276" w:type="dxa"/>
            <w:tcBorders>
              <w:left w:val="single" w:sz="4" w:space="0" w:color="auto"/>
            </w:tcBorders>
          </w:tcPr>
          <w:p>
            <w:pPr>
              <w:tabs>
                <w:tab w:val="left" w:pos="0"/>
              </w:tabs>
              <w:rPr>
                <w:szCs w:val="20"/>
              </w:rPr>
            </w:pPr>
          </w:p>
          <w:p>
            <w:pPr>
              <w:tabs>
                <w:tab w:val="left" w:pos="0"/>
              </w:tabs>
              <w:rPr>
                <w:szCs w:val="20"/>
              </w:rPr>
            </w:pPr>
          </w:p>
        </w:tc>
        <w:tc>
          <w:tcPr>
            <w:tcW w:w="4044" w:type="dxa"/>
          </w:tcPr>
          <w:p>
            <w:pPr>
              <w:tabs>
                <w:tab w:val="left" w:pos="0"/>
              </w:tabs>
              <w:spacing w:after="120"/>
              <w:rPr>
                <w:szCs w:val="20"/>
              </w:rPr>
            </w:pPr>
            <w:bookmarkStart w:id="1" w:name="CaseNumber"/>
            <w:bookmarkEnd w:id="1"/>
            <w:r>
              <w:rPr>
                <w:szCs w:val="20"/>
              </w:rPr>
              <w:t>Docket UE-141335</w:t>
            </w:r>
          </w:p>
          <w:p>
            <w:pPr>
              <w:tabs>
                <w:tab w:val="left" w:pos="0"/>
              </w:tabs>
              <w:spacing w:after="120"/>
              <w:rPr>
                <w:b/>
                <w:sz w:val="25"/>
                <w:szCs w:val="25"/>
              </w:rPr>
            </w:pPr>
          </w:p>
          <w:p>
            <w:pPr>
              <w:tabs>
                <w:tab w:val="left" w:pos="0"/>
              </w:tabs>
              <w:spacing w:after="120"/>
              <w:rPr>
                <w:szCs w:val="20"/>
              </w:rPr>
            </w:pPr>
            <w:r>
              <w:rPr>
                <w:b/>
                <w:sz w:val="25"/>
                <w:szCs w:val="25"/>
              </w:rPr>
              <w:t>REPLY BY RIGHT IN SUPPORT OF KING COUNTY, WASHINGTON’S; BNSF RAILWAY’S; FRONTIER COMMUNICATIONS NORTHWEST, INC.’S; VERIZON WIRELESS’S; AND NEW CINGULAR WIRELESS PCS, LCC’S PETITION FOR ADMINISTRATIVE REVIEW OF INITIAL ORDER (ORDER 03)</w:t>
            </w:r>
          </w:p>
        </w:tc>
      </w:tr>
    </w:tbl>
    <w:p>
      <w:pPr>
        <w:tabs>
          <w:tab w:val="left" w:pos="0"/>
        </w:tabs>
      </w:pPr>
    </w:p>
    <w:p>
      <w:pPr>
        <w:tabs>
          <w:tab w:val="left" w:pos="0"/>
        </w:tabs>
        <w:sectPr>
          <w:headerReference w:type="even" r:id="rId8"/>
          <w:headerReference w:type="default" r:id="rId9"/>
          <w:footerReference w:type="even" r:id="rId10"/>
          <w:footerReference w:type="default" r:id="rId11"/>
          <w:headerReference w:type="first" r:id="rId12"/>
          <w:footerReference w:type="first" r:id="rId13"/>
          <w:pgSz w:w="12240" w:h="15840" w:code="1"/>
          <w:pgMar w:top="1965" w:right="1440" w:bottom="1440" w:left="1440" w:header="720" w:footer="495" w:gutter="0"/>
          <w:pgNumType w:start="1"/>
          <w:cols w:space="720"/>
        </w:sectPr>
      </w:pPr>
    </w:p>
    <w:p>
      <w:pPr>
        <w:tabs>
          <w:tab w:val="left" w:pos="0"/>
        </w:tabs>
        <w:jc w:val="center"/>
        <w:rPr>
          <w:u w:val="single"/>
        </w:rPr>
      </w:pPr>
      <w:r>
        <w:rPr>
          <w:u w:val="single"/>
        </w:rPr>
        <w:lastRenderedPageBreak/>
        <w:t>TABLE OF CONTENTS</w:t>
      </w:r>
    </w:p>
    <w:sdt>
      <w:sdtPr>
        <w:rPr>
          <w:rFonts w:ascii="Times New Roman" w:eastAsia="Times New Roman" w:hAnsi="Times New Roman" w:cs="Times New Roman"/>
          <w:b w:val="0"/>
          <w:bCs w:val="0"/>
          <w:color w:val="auto"/>
          <w:sz w:val="24"/>
          <w:szCs w:val="24"/>
          <w:lang w:eastAsia="en-US"/>
        </w:rPr>
        <w:id w:val="626968547"/>
        <w:docPartObj>
          <w:docPartGallery w:val="Table of Contents"/>
          <w:docPartUnique/>
        </w:docPartObj>
      </w:sdtPr>
      <w:sdtEndPr>
        <w:rPr>
          <w:noProof/>
        </w:rPr>
      </w:sdtEndPr>
      <w:sdtContent>
        <w:p>
          <w:pPr>
            <w:pStyle w:val="TOCHeading"/>
          </w:pPr>
        </w:p>
        <w:p>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r>
            <w:rPr w:val="BodyText"/>
            <w:t>I.</w:t>
          </w:r>
          <w:r>
            <w:rPr>
              <w:rFonts w:asciiTheme="minorHAnsi" w:eastAsiaTheme="minorEastAsia" w:hAnsiTheme="minorHAnsi" w:cstheme="minorBidi"/>
              <w:caps w:val="0"/>
              <w:sz w:val="22"/>
              <w:szCs w:val="22"/>
            </w:rPr>
            <w:tab/>
          </w:r>
          <w:r>
            <w:rPr w:val="BodyText"/>
            <w:t>INTRODUCTION</w:t>
          </w:r>
          <w:r>
            <w:rPr>
              <w:webHidden/>
            </w:rPr>
            <w:tab/>
          </w:r>
          <w:r>
            <w:rPr>
              <w:webHidden/>
            </w:rPr>
            <w:fldChar w:fldCharType="begin"/>
          </w:r>
          <w:r>
            <w:rPr>
              <w:webHidden/>
            </w:rPr>
            <w:instrText xml:space="preserve"> PAGEREF _Toc430951686 \h </w:instrText>
          </w:r>
          <w:r>
            <w:rPr>
              <w:webHidden/>
            </w:rPr>
          </w:r>
          <w:r>
            <w:rPr>
              <w:webHidden/>
            </w:rPr>
            <w:fldChar w:fldCharType="separate"/>
          </w:r>
          <w:r>
            <w:rPr>
              <w:webHidden/>
            </w:rPr>
            <w:t>1</w:t>
          </w:r>
          <w:r>
            <w:rPr>
              <w:webHidden/>
            </w:rPr>
            <w:fldChar w:fldCharType="end"/>
          </w:r>
        </w:p>
        <w:p>
          <w:pPr>
            <w:pStyle w:val="TOC1"/>
            <w:rPr>
              <w:rFonts w:asciiTheme="minorHAnsi" w:eastAsiaTheme="minorEastAsia" w:hAnsiTheme="minorHAnsi" w:cstheme="minorBidi"/>
              <w:caps w:val="0"/>
              <w:sz w:val="22"/>
              <w:szCs w:val="22"/>
            </w:rPr>
          </w:pPr>
          <w:r>
            <w:rPr w:val="BodyText"/>
            <w:t>II.</w:t>
          </w:r>
          <w:r>
            <w:rPr>
              <w:rFonts w:asciiTheme="minorHAnsi" w:eastAsiaTheme="minorEastAsia" w:hAnsiTheme="minorHAnsi" w:cstheme="minorBidi"/>
              <w:caps w:val="0"/>
              <w:sz w:val="22"/>
              <w:szCs w:val="22"/>
            </w:rPr>
            <w:tab/>
          </w:r>
          <w:r>
            <w:rPr w:val="BodyText"/>
            <w:t>background</w:t>
          </w:r>
          <w:r>
            <w:rPr>
              <w:webHidden/>
            </w:rPr>
            <w:tab/>
          </w:r>
          <w:r>
            <w:rPr>
              <w:webHidden/>
            </w:rPr>
            <w:fldChar w:fldCharType="begin"/>
          </w:r>
          <w:r>
            <w:rPr>
              <w:webHidden/>
            </w:rPr>
            <w:instrText xml:space="preserve"> PAGEREF _Toc430951687 \h </w:instrText>
          </w:r>
          <w:r>
            <w:rPr>
              <w:webHidden/>
            </w:rPr>
          </w:r>
          <w:r>
            <w:rPr>
              <w:webHidden/>
            </w:rPr>
            <w:fldChar w:fldCharType="separate"/>
          </w:r>
          <w:r>
            <w:rPr>
              <w:webHidden/>
            </w:rPr>
            <w:t>1</w:t>
          </w:r>
          <w:r>
            <w:rPr>
              <w:webHidden/>
            </w:rPr>
            <w:fldChar w:fldCharType="end"/>
          </w:r>
        </w:p>
        <w:p>
          <w:pPr>
            <w:pStyle w:val="TOC1"/>
            <w:rPr>
              <w:rFonts w:asciiTheme="minorHAnsi" w:eastAsiaTheme="minorEastAsia" w:hAnsiTheme="minorHAnsi" w:cstheme="minorBidi"/>
              <w:caps w:val="0"/>
              <w:sz w:val="22"/>
              <w:szCs w:val="22"/>
            </w:rPr>
          </w:pPr>
          <w:r>
            <w:rPr w:val="BodyText"/>
            <w:t>III.</w:t>
          </w:r>
          <w:r>
            <w:rPr>
              <w:rFonts w:asciiTheme="minorHAnsi" w:eastAsiaTheme="minorEastAsia" w:hAnsiTheme="minorHAnsi" w:cstheme="minorBidi"/>
              <w:caps w:val="0"/>
              <w:sz w:val="22"/>
              <w:szCs w:val="22"/>
            </w:rPr>
            <w:tab/>
          </w:r>
          <w:r>
            <w:rPr w:val="BodyText"/>
            <w:t>ARGUMENT</w:t>
          </w:r>
          <w:r>
            <w:rPr>
              <w:webHidden/>
            </w:rPr>
            <w:tab/>
          </w:r>
          <w:r>
            <w:rPr>
              <w:webHidden/>
            </w:rPr>
            <w:fldChar w:fldCharType="begin"/>
          </w:r>
          <w:r>
            <w:rPr>
              <w:webHidden/>
            </w:rPr>
            <w:instrText xml:space="preserve"> PAGEREF _Toc430951688 \h </w:instrText>
          </w:r>
          <w:r>
            <w:rPr>
              <w:webHidden/>
            </w:rPr>
          </w:r>
          <w:r>
            <w:rPr>
              <w:webHidden/>
            </w:rPr>
            <w:fldChar w:fldCharType="separate"/>
          </w:r>
          <w:r>
            <w:rPr>
              <w:webHidden/>
            </w:rPr>
            <w:t>2</w:t>
          </w:r>
          <w:r>
            <w:rPr>
              <w:webHidden/>
            </w:rPr>
            <w:fldChar w:fldCharType="end"/>
          </w:r>
        </w:p>
        <w:p>
          <w:pPr>
            <w:pStyle w:val="TOC2"/>
            <w:tabs>
              <w:tab w:val="left" w:pos="1530"/>
            </w:tabs>
            <w:rPr>
              <w:rFonts w:asciiTheme="minorHAnsi" w:eastAsiaTheme="minorEastAsia" w:hAnsiTheme="minorHAnsi" w:cstheme="minorBidi"/>
              <w:sz w:val="22"/>
              <w:szCs w:val="22"/>
            </w:rPr>
          </w:pPr>
          <w:r>
            <w:rPr w:val="BodyText"/>
            <w:t>A.</w:t>
          </w:r>
          <w:r>
            <w:rPr>
              <w:rFonts w:asciiTheme="minorHAnsi" w:eastAsiaTheme="minorEastAsia" w:hAnsiTheme="minorHAnsi" w:cstheme="minorBidi"/>
              <w:sz w:val="22"/>
              <w:szCs w:val="22"/>
            </w:rPr>
            <w:tab/>
          </w:r>
          <w:r>
            <w:rPr w:val="BodyText"/>
            <w:t>The Initial Order Correctly Refused to Rely on the Economic Feasibility Provision in Schedule 80.</w:t>
          </w:r>
          <w:r>
            <w:rPr>
              <w:webHidden/>
            </w:rPr>
            <w:tab/>
          </w:r>
          <w:r>
            <w:rPr>
              <w:webHidden/>
            </w:rPr>
            <w:fldChar w:fldCharType="begin"/>
          </w:r>
          <w:r>
            <w:rPr>
              <w:webHidden/>
            </w:rPr>
            <w:instrText xml:space="preserve"> PAGEREF _Toc430951689 \h </w:instrText>
          </w:r>
          <w:r>
            <w:rPr>
              <w:webHidden/>
            </w:rPr>
          </w:r>
          <w:r>
            <w:rPr>
              <w:webHidden/>
            </w:rPr>
            <w:fldChar w:fldCharType="separate"/>
          </w:r>
          <w:r>
            <w:rPr>
              <w:webHidden/>
            </w:rPr>
            <w:t>2</w:t>
          </w:r>
          <w:r>
            <w:rPr>
              <w:webHidden/>
            </w:rPr>
            <w:fldChar w:fldCharType="end"/>
          </w:r>
        </w:p>
        <w:p>
          <w:pPr>
            <w:pStyle w:val="TOC1"/>
            <w:rPr>
              <w:rFonts w:asciiTheme="minorHAnsi" w:eastAsiaTheme="minorEastAsia" w:hAnsiTheme="minorHAnsi" w:cstheme="minorBidi"/>
              <w:caps w:val="0"/>
              <w:sz w:val="22"/>
              <w:szCs w:val="22"/>
            </w:rPr>
          </w:pPr>
          <w:r>
            <w:rPr w:val="BodyText"/>
            <w:t>IV.</w:t>
          </w:r>
          <w:r>
            <w:rPr>
              <w:rFonts w:asciiTheme="minorHAnsi" w:eastAsiaTheme="minorEastAsia" w:hAnsiTheme="minorHAnsi" w:cstheme="minorBidi"/>
              <w:caps w:val="0"/>
              <w:sz w:val="22"/>
              <w:szCs w:val="22"/>
            </w:rPr>
            <w:tab/>
          </w:r>
          <w:r>
            <w:rPr w:val="BodyText"/>
            <w:t>CONCLUSION</w:t>
          </w:r>
          <w:r>
            <w:rPr>
              <w:webHidden/>
            </w:rPr>
            <w:tab/>
          </w:r>
          <w:r>
            <w:rPr>
              <w:webHidden/>
            </w:rPr>
            <w:fldChar w:fldCharType="begin"/>
          </w:r>
          <w:r>
            <w:rPr>
              <w:webHidden/>
            </w:rPr>
            <w:instrText xml:space="preserve"> PAGEREF _Toc430951690 \h </w:instrText>
          </w:r>
          <w:r>
            <w:rPr>
              <w:webHidden/>
            </w:rPr>
          </w:r>
          <w:r>
            <w:rPr>
              <w:webHidden/>
            </w:rPr>
            <w:fldChar w:fldCharType="separate"/>
          </w:r>
          <w:r>
            <w:rPr>
              <w:webHidden/>
            </w:rPr>
            <w:t>6</w:t>
          </w:r>
          <w:r>
            <w:rPr>
              <w:webHidden/>
            </w:rPr>
            <w:fldChar w:fldCharType="end"/>
          </w:r>
        </w:p>
        <w:p>
          <w:pPr>
            <w:sectPr>
              <w:footerReference w:type="default" r:id="rId14"/>
              <w:pgSz w:w="12240" w:h="15840" w:code="1"/>
              <w:pgMar w:top="1965" w:right="1440" w:bottom="1440" w:left="1440" w:header="720" w:footer="495" w:gutter="0"/>
              <w:pgNumType w:start="1"/>
              <w:cols w:space="720"/>
            </w:sectPr>
          </w:pPr>
          <w:r>
            <w:rPr>
              <w:b/>
              <w:bCs/>
              <w:noProof/>
            </w:rPr>
            <w:fldChar w:fldCharType="end"/>
          </w:r>
        </w:p>
      </w:sdtContent>
    </w:sdt>
    <w:p>
      <w:pPr>
        <w:pStyle w:val="Heading1"/>
        <w:ind w:left="0"/>
      </w:pPr>
      <w:bookmarkStart w:id="6" w:name="_Toc430951686"/>
      <w:r>
        <w:lastRenderedPageBreak/>
        <w:t>INTRODUCTION</w:t>
      </w:r>
      <w:bookmarkEnd w:id="6"/>
    </w:p>
    <w:p>
      <w:pPr>
        <w:tabs>
          <w:tab w:val="left" w:pos="0"/>
        </w:tabs>
        <w:jc w:val="center"/>
      </w:pPr>
    </w:p>
    <w:p>
      <w:pPr>
        <w:pStyle w:val="WUTCParagraph"/>
        <w:numPr>
          <w:ilvl w:val="0"/>
          <w:numId w:val="1"/>
        </w:numPr>
        <w:tabs>
          <w:tab w:val="clear" w:pos="360"/>
          <w:tab w:val="clear" w:pos="1440"/>
          <w:tab w:val="left" w:pos="0"/>
        </w:tabs>
        <w:ind w:left="0" w:hanging="720"/>
        <w:jc w:val="both"/>
        <w:rPr>
          <w:b/>
          <w:bCs/>
        </w:rPr>
      </w:pPr>
      <w:r>
        <w:t>Pursuant to WAC 480-07-825(5)(a)</w:t>
      </w:r>
      <w:r>
        <w:fldChar w:fldCharType="begin"/>
      </w:r>
      <w:r>
        <w:instrText xml:space="preserve"> TA \l "WAC 480-07-825" \s "WAC 480-07-825" \c 4 </w:instrText>
      </w:r>
      <w:r>
        <w:fldChar w:fldCharType="end"/>
      </w:r>
      <w:r>
        <w:t>, King County, Washington (“King County”), BNSF Railway (“BNSF”), Frontier Communications Northwest, Inc. (“Frontier”), Verizon Wireless (“Verizon”), and New Cingular Wireless PCS, LLC (“AT&amp;T”) (collectively, “Petitioners”) submit the following reply by right to the new challenge to Order 03 (“Initial Order”) raised by Puget Sound Energy (“PSE”)</w:t>
      </w:r>
      <w:r>
        <w:rPr>
          <w:rStyle w:val="FootnoteReference"/>
        </w:rPr>
        <w:footnoteReference w:id="2"/>
      </w:r>
      <w:r>
        <w:t xml:space="preserve"> in its answer to Petitioners’ Petition for Administrative Review.  While the Initial Order erred in concluding that Petitioners must pay all construction costs for the replacement of the Maloney Ridge Line in excess of $335,000, the Initial Order did not err, as PSE suggests, in refusing to rely on PSE’s economic feasibility argument.</w:t>
      </w:r>
    </w:p>
    <w:p>
      <w:pPr>
        <w:pStyle w:val="Heading1"/>
        <w:tabs>
          <w:tab w:val="clear" w:pos="3510"/>
          <w:tab w:val="num" w:pos="0"/>
        </w:tabs>
        <w:ind w:left="0" w:firstLine="0"/>
      </w:pPr>
      <w:bookmarkStart w:id="7" w:name="_Toc430951687"/>
      <w:r>
        <w:t>background</w:t>
      </w:r>
      <w:bookmarkEnd w:id="7"/>
    </w:p>
    <w:p/>
    <w:p>
      <w:pPr>
        <w:pStyle w:val="WUTCParagraph"/>
        <w:numPr>
          <w:ilvl w:val="0"/>
          <w:numId w:val="1"/>
        </w:numPr>
        <w:tabs>
          <w:tab w:val="clear" w:pos="360"/>
          <w:tab w:val="clear" w:pos="1440"/>
          <w:tab w:val="left" w:pos="0"/>
        </w:tabs>
        <w:ind w:left="0" w:hanging="720"/>
        <w:jc w:val="both"/>
        <w:rPr>
          <w:bCs/>
        </w:rPr>
      </w:pPr>
      <w:r>
        <w:rPr>
          <w:bCs/>
        </w:rPr>
        <w:t xml:space="preserve">Petitioners </w:t>
      </w:r>
      <w:r>
        <w:t xml:space="preserve">have sought a determination from the Commission that PSE is obligated to immediately begin permitting, planning, and replacing the Maloney Ridge Line, and to allocate the prudently incurred costs of such replacement in the same way PSE recovers costs for other line replacements when it files its next general rate case.  Under the requested determination, Petitioners would then bear a portion of the capital costs of the replacement line as PSE ratepayers under Schedule 24, just as they pay the costs of parts of the PSE distribution system used to serve other retail customers.   </w:t>
      </w:r>
    </w:p>
    <w:p>
      <w:pPr>
        <w:pStyle w:val="WUTCParagraph"/>
        <w:numPr>
          <w:ilvl w:val="0"/>
          <w:numId w:val="1"/>
        </w:numPr>
        <w:tabs>
          <w:tab w:val="clear" w:pos="360"/>
          <w:tab w:val="clear" w:pos="1440"/>
          <w:tab w:val="left" w:pos="0"/>
        </w:tabs>
        <w:ind w:left="0" w:hanging="720"/>
        <w:jc w:val="both"/>
      </w:pPr>
      <w:r>
        <w:t xml:space="preserve">On August 18, 2015, Administrative Law Judge Kopta issued the Initial Order, granting Petitioners’ petition in part and denying it in part.  On September 8, 2015, Petitioners filed a Petition for Administrative Review, contending that the Initial Order erred by:  (a) concluding that the Maloney Ridge Line is not a part of PSE’s distribution system; (b) determining that PSE’s tariffs do not obligate PSE to incur the costs of replacing the line as a matter of law; and (c) in applying a fact-specific analysis to this matter. </w:t>
      </w:r>
    </w:p>
    <w:p>
      <w:pPr>
        <w:pStyle w:val="WUTCParagraph"/>
        <w:numPr>
          <w:ilvl w:val="0"/>
          <w:numId w:val="1"/>
        </w:numPr>
        <w:tabs>
          <w:tab w:val="clear" w:pos="360"/>
          <w:tab w:val="clear" w:pos="1440"/>
          <w:tab w:val="left" w:pos="0"/>
        </w:tabs>
        <w:ind w:left="0" w:hanging="720"/>
        <w:jc w:val="both"/>
      </w:pPr>
      <w:r>
        <w:t>On September 18, 2015, PSE filed its answer, both responding to the arguments raised in the Petition for Administrative Review and also asserting a new challenge to the Initial Order.  Specifically, PSE asserts that the ALJ erred in refusing to rely on the economic feasibility provision of PSE’s general tariff, Schedule 80.</w:t>
      </w:r>
      <w:r>
        <w:rPr>
          <w:rStyle w:val="FootnoteReference"/>
        </w:rPr>
        <w:footnoteReference w:id="3"/>
      </w:r>
    </w:p>
    <w:p>
      <w:pPr>
        <w:pStyle w:val="WUTCParagraph"/>
        <w:numPr>
          <w:ilvl w:val="0"/>
          <w:numId w:val="1"/>
        </w:numPr>
        <w:tabs>
          <w:tab w:val="clear" w:pos="360"/>
          <w:tab w:val="clear" w:pos="1440"/>
          <w:tab w:val="left" w:pos="0"/>
        </w:tabs>
        <w:ind w:left="0" w:hanging="720"/>
        <w:jc w:val="both"/>
      </w:pPr>
      <w:r>
        <w:t>Under WAC 480-07-825(5)(a)</w:t>
      </w:r>
      <w:r>
        <w:fldChar w:fldCharType="begin"/>
      </w:r>
      <w:r>
        <w:instrText xml:space="preserve"> TA \l "WAC 480-07-825" \s "WAC 480-07-825" \c 4 </w:instrText>
      </w:r>
      <w:r>
        <w:fldChar w:fldCharType="end"/>
      </w:r>
      <w:r>
        <w:t xml:space="preserve">, a “party has the right to reply to new challenges to the [initial order] that are raised” by the answering party.  In this reply by right, Petitioners respectfully request that the Commission continue to reject PSE’s arguments that the Commission should rely on the economic feasibility provision of Schedule 80. </w:t>
      </w:r>
    </w:p>
    <w:p>
      <w:pPr>
        <w:pStyle w:val="Heading1"/>
        <w:ind w:left="720"/>
      </w:pPr>
      <w:bookmarkStart w:id="8" w:name="_Toc430951688"/>
      <w:r>
        <w:t>ARGUMENT</w:t>
      </w:r>
      <w:bookmarkEnd w:id="8"/>
      <w:r>
        <w:t xml:space="preserve">  </w:t>
      </w:r>
    </w:p>
    <w:p>
      <w:pPr>
        <w:pStyle w:val="Heading2"/>
        <w:tabs>
          <w:tab w:val="clear" w:pos="2430"/>
          <w:tab w:val="left" w:pos="0"/>
        </w:tabs>
        <w:ind w:left="720"/>
      </w:pPr>
      <w:bookmarkStart w:id="9" w:name="_Toc430951689"/>
      <w:r>
        <w:t>The Initial Order Correctly Refused to Rely on the Economic Feasibility Provision in Schedule 80.</w:t>
      </w:r>
      <w:bookmarkEnd w:id="9"/>
      <w:r>
        <w:t xml:space="preserve"> </w:t>
      </w:r>
    </w:p>
    <w:p/>
    <w:p>
      <w:pPr>
        <w:pStyle w:val="WUTCParagraph"/>
        <w:numPr>
          <w:ilvl w:val="0"/>
          <w:numId w:val="1"/>
        </w:numPr>
        <w:tabs>
          <w:tab w:val="clear" w:pos="360"/>
          <w:tab w:val="clear" w:pos="1440"/>
          <w:tab w:val="left" w:pos="0"/>
        </w:tabs>
        <w:ind w:left="0" w:hanging="720"/>
        <w:jc w:val="both"/>
      </w:pPr>
      <w:r>
        <w:t>As discussed in the Petition for Administrative Review, Schedule 85 of PSE’s Electric Tariff G, which governs line extensions and service lines, as a matter of law provides that PSE is responsible for the line, including replacement costs.  Accordingly, the Initial Order erred by concluding that Schedule 85 is not dispositive and instead resorting to a “fact-specific analysis” with respect to replacement costs.  PSE agrees with Petitioners that the Initial Order erred in applying the “fact-specific analysis,” but argues that Schedule 80—and not Schedule 85—is dispositive.</w:t>
      </w:r>
      <w:r>
        <w:rPr>
          <w:rStyle w:val="FootnoteReference"/>
        </w:rPr>
        <w:footnoteReference w:id="4"/>
      </w:r>
      <w:r>
        <w:t xml:space="preserve">  PSE contends that Schedule 80 allows for refusal of service when a project is economically unfeasible.</w:t>
      </w:r>
      <w:r>
        <w:rPr>
          <w:rStyle w:val="FootnoteReference"/>
        </w:rPr>
        <w:footnoteReference w:id="5"/>
      </w:r>
      <w:r>
        <w:t xml:space="preserve">  PSE argues that the replacement of the Maloney Ridge Line is not economically feasible, and on this basis, PSE is not responsible for replacement costs.</w:t>
      </w:r>
    </w:p>
    <w:p>
      <w:pPr>
        <w:pStyle w:val="WUTCParagraph"/>
        <w:numPr>
          <w:ilvl w:val="0"/>
          <w:numId w:val="1"/>
        </w:numPr>
        <w:tabs>
          <w:tab w:val="clear" w:pos="360"/>
          <w:tab w:val="clear" w:pos="1440"/>
          <w:tab w:val="left" w:pos="0"/>
        </w:tabs>
        <w:ind w:left="0" w:hanging="720"/>
        <w:jc w:val="both"/>
      </w:pPr>
      <w:r>
        <w:t>Contrary to PSE’s claims, the Initial Order correctly determined that “PSE cannot rely on Schedule 80 alone to support its position that Petitioners must pay to replace the Maloney Ridge Line.”</w:t>
      </w:r>
      <w:r>
        <w:rPr>
          <w:rStyle w:val="FootnoteReference"/>
        </w:rPr>
        <w:footnoteReference w:id="6"/>
      </w:r>
      <w:r>
        <w:t xml:space="preserve">  As noted in the Initial Order, PSE’s “economic unfeasibility” provision in Schedule 80 is inconsistent with Commission rules and the Commission has already determined that the concept of “economic unfeasibility” is ambiguous and too vague to be useful.  Furthermore, even if that provision in Schedule 85 were enforceable, it applies only to new customers.  It does not apply to Petitioners, who have been taking service from the line for more than 40 years.</w:t>
      </w:r>
    </w:p>
    <w:p>
      <w:pPr>
        <w:pStyle w:val="WUTCParagraph"/>
        <w:numPr>
          <w:ilvl w:val="0"/>
          <w:numId w:val="1"/>
        </w:numPr>
        <w:tabs>
          <w:tab w:val="clear" w:pos="360"/>
          <w:tab w:val="clear" w:pos="1440"/>
          <w:tab w:val="left" w:pos="0"/>
        </w:tabs>
        <w:ind w:left="0" w:hanging="720"/>
        <w:jc w:val="both"/>
      </w:pPr>
      <w:r>
        <w:t>The Initial Order concluded that inclusion of the economic unfeasibility provision in Schedule 80 predated the Commission’s repeal of 480-100-056 (Refusal of Service), and adoption of the current rule, WAC 480-120-123 (Discontinuance of Service).  The Initial Order concludes that in promulgating the current rule, “the Commission expressly declined to include language from the prior rule that permitted a utility to refuse new or additional service if providing that service would be ‘economically unfeasible.’”</w:t>
      </w:r>
      <w:r>
        <w:rPr>
          <w:rStyle w:val="FootnoteReference"/>
        </w:rPr>
        <w:footnoteReference w:id="7"/>
      </w:r>
      <w:r>
        <w:t xml:space="preserve">  In addition, the current rule, WAC 480-100-123, governing the discontinuance of service, does not authorize a company to terminate service on the basis of economic unfeasibility.</w:t>
      </w:r>
      <w:r>
        <w:rPr>
          <w:rStyle w:val="FootnoteReference"/>
        </w:rPr>
        <w:footnoteReference w:id="8"/>
      </w:r>
    </w:p>
    <w:p>
      <w:pPr>
        <w:pStyle w:val="WUTCParagraph"/>
        <w:numPr>
          <w:ilvl w:val="0"/>
          <w:numId w:val="1"/>
        </w:numPr>
        <w:tabs>
          <w:tab w:val="clear" w:pos="360"/>
          <w:tab w:val="clear" w:pos="1440"/>
          <w:tab w:val="left" w:pos="0"/>
        </w:tabs>
        <w:ind w:left="0" w:hanging="720"/>
        <w:jc w:val="both"/>
      </w:pPr>
      <w:r>
        <w:t>PSE’s purported refusal of service based on economic unfeasibility in Schedule 80 exceeds its authority authorized by Washington law.</w:t>
      </w:r>
      <w:r>
        <w:rPr>
          <w:rStyle w:val="FootnoteReference"/>
        </w:rPr>
        <w:footnoteReference w:id="9"/>
      </w:r>
      <w:r>
        <w:t xml:space="preserve">  Thus, the Initial Order was correct to criticize the continuing vitality of this provision “in light of its inconsistency with applicable rules.”</w:t>
      </w:r>
      <w:r>
        <w:rPr>
          <w:rStyle w:val="FootnoteReference"/>
        </w:rPr>
        <w:footnoteReference w:id="10"/>
      </w:r>
      <w:r>
        <w:t xml:space="preserve">  In its answer, PSE failed to address—let alone reconcile—this inconsistency.  </w:t>
      </w:r>
    </w:p>
    <w:p>
      <w:pPr>
        <w:pStyle w:val="WUTCParagraph"/>
        <w:numPr>
          <w:ilvl w:val="0"/>
          <w:numId w:val="1"/>
        </w:numPr>
        <w:tabs>
          <w:tab w:val="clear" w:pos="360"/>
          <w:tab w:val="clear" w:pos="1440"/>
          <w:tab w:val="left" w:pos="0"/>
        </w:tabs>
        <w:ind w:left="0" w:hanging="720"/>
        <w:jc w:val="both"/>
      </w:pPr>
      <w:r>
        <w:t>The Initial Order also concluded that the concept of “economic unfeasibility” is overly broad and ambiguous, and that the Commission eliminated the term from the refusal of service rule, at least in part, because the language was “too general and vague to be useful.”</w:t>
      </w:r>
      <w:r>
        <w:rPr>
          <w:rStyle w:val="FootnoteReference"/>
        </w:rPr>
        <w:footnoteReference w:id="11"/>
      </w:r>
      <w:r>
        <w:t xml:space="preserve">  The Initial Order concludes that because the concept is unlimited, “economic feasibility” could be used to deny or terminate service to any individual customer if the revenues PSE received did not exceed calculations of the costs PSE incurred to serve that particular customer.</w:t>
      </w:r>
      <w:r>
        <w:rPr>
          <w:rStyle w:val="FootnoteReference"/>
        </w:rPr>
        <w:footnoteReference w:id="12"/>
      </w:r>
      <w:r>
        <w:t xml:space="preserve">  The Initial Order explained that such a result would be fundamentally inconsistent with the regulatory principle of averaging costs and demand among customer classes when establishing rates that apply to that class.</w:t>
      </w:r>
      <w:r>
        <w:rPr>
          <w:rStyle w:val="FootnoteReference"/>
        </w:rPr>
        <w:footnoteReference w:id="13"/>
      </w:r>
    </w:p>
    <w:p>
      <w:pPr>
        <w:pStyle w:val="WUTCParagraph"/>
        <w:numPr>
          <w:ilvl w:val="0"/>
          <w:numId w:val="1"/>
        </w:numPr>
        <w:tabs>
          <w:tab w:val="clear" w:pos="360"/>
          <w:tab w:val="clear" w:pos="1440"/>
          <w:tab w:val="left" w:pos="0"/>
        </w:tabs>
        <w:ind w:left="0" w:hanging="720"/>
        <w:jc w:val="both"/>
      </w:pPr>
      <w:r>
        <w:t>In its answer, PSE summarily states—without any citation to specific provisions in the record—that “[t]he record supports a finding that the Maloney Ridge Line is economically unfeasible.”</w:t>
      </w:r>
      <w:r>
        <w:rPr>
          <w:rStyle w:val="FootnoteReference"/>
        </w:rPr>
        <w:footnoteReference w:id="14"/>
      </w:r>
      <w:r>
        <w:t xml:space="preserve">  As Petitioners explained in their Post Hearing brief, the record clearly supports a finding that the replacement of the Maloney Ridge Line is in fact economically feasible.  At a minimum, the fact that different parties arrive at a different conclusion demonstrates the vague and ambiguous nature of the economic feasibility standard.  </w:t>
      </w:r>
    </w:p>
    <w:p>
      <w:pPr>
        <w:pStyle w:val="WUTCParagraph"/>
        <w:numPr>
          <w:ilvl w:val="0"/>
          <w:numId w:val="1"/>
        </w:numPr>
        <w:tabs>
          <w:tab w:val="clear" w:pos="360"/>
          <w:tab w:val="clear" w:pos="1440"/>
          <w:tab w:val="left" w:pos="0"/>
        </w:tabs>
        <w:ind w:left="0" w:hanging="720"/>
        <w:jc w:val="both"/>
      </w:pPr>
      <w:r>
        <w:t xml:space="preserve">Even if the “economic feasibility” provision in Schedule 80 were enforceable, it pertains to only </w:t>
      </w:r>
      <w:r>
        <w:rPr>
          <w:b/>
          <w:i/>
        </w:rPr>
        <w:t xml:space="preserve">new </w:t>
      </w:r>
      <w:r>
        <w:t xml:space="preserve">customers seeking to connect to PSE or applicants seeking additional service.  This provision does not apply to existing customers, like Petitioners, who have been receiving service on the line for decades.  Allowing PSE to consider the economic feasibility section of a line replacement for </w:t>
      </w:r>
      <w:r>
        <w:rPr>
          <w:b/>
          <w:i/>
        </w:rPr>
        <w:t>current</w:t>
      </w:r>
      <w:r>
        <w:t xml:space="preserve"> customers would treat Petitioners differently from other current PSE customers, in violation of Washington law.</w:t>
      </w:r>
      <w:r>
        <w:rPr>
          <w:rStyle w:val="FootnoteReference"/>
        </w:rPr>
        <w:footnoteReference w:id="15"/>
      </w:r>
      <w:r>
        <w:t xml:space="preserve">  </w:t>
      </w:r>
    </w:p>
    <w:p>
      <w:pPr>
        <w:pStyle w:val="WUTCParagraph"/>
        <w:numPr>
          <w:ilvl w:val="0"/>
          <w:numId w:val="1"/>
        </w:numPr>
        <w:tabs>
          <w:tab w:val="clear" w:pos="360"/>
          <w:tab w:val="clear" w:pos="1440"/>
          <w:tab w:val="left" w:pos="0"/>
        </w:tabs>
        <w:ind w:left="0" w:hanging="720"/>
        <w:jc w:val="both"/>
      </w:pPr>
      <w:r>
        <w:t xml:space="preserve">Under cross examination, Staff witness Nightingale addressed the tariff provisions and stated that he did not believe the economic feasibility test applied to existing customers—only to new customers: </w:t>
      </w:r>
    </w:p>
    <w:p>
      <w:pPr>
        <w:pStyle w:val="WUTCParagraph"/>
        <w:tabs>
          <w:tab w:val="clear" w:pos="1440"/>
        </w:tabs>
        <w:spacing w:line="240" w:lineRule="auto"/>
        <w:ind w:left="1440" w:right="1440"/>
        <w:jc w:val="both"/>
      </w:pPr>
      <w:r>
        <w:t>Q.  Can Puget refuse service to current customers if it is not economically feasible?</w:t>
      </w:r>
    </w:p>
    <w:p>
      <w:pPr>
        <w:pStyle w:val="WUTCParagraph"/>
        <w:tabs>
          <w:tab w:val="clear" w:pos="1440"/>
        </w:tabs>
        <w:spacing w:line="240" w:lineRule="auto"/>
        <w:ind w:left="1440" w:right="1440"/>
        <w:jc w:val="both"/>
      </w:pPr>
      <w:r>
        <w:t>A.  The economic feasibility I believe applies only to new customers, but I don’t know for sure about that.</w:t>
      </w:r>
      <w:r>
        <w:rPr>
          <w:rStyle w:val="FootnoteReference"/>
        </w:rPr>
        <w:footnoteReference w:id="16"/>
      </w:r>
    </w:p>
    <w:p>
      <w:pPr>
        <w:pStyle w:val="WUTCParagraph"/>
        <w:tabs>
          <w:tab w:val="clear" w:pos="1440"/>
        </w:tabs>
        <w:spacing w:line="240" w:lineRule="auto"/>
        <w:ind w:left="1440" w:right="1440"/>
        <w:jc w:val="both"/>
      </w:pPr>
    </w:p>
    <w:p>
      <w:pPr>
        <w:pStyle w:val="WUTCParagraph"/>
        <w:spacing w:line="240" w:lineRule="auto"/>
        <w:ind w:left="1440" w:right="1440"/>
        <w:jc w:val="both"/>
      </w:pPr>
    </w:p>
    <w:p>
      <w:pPr>
        <w:pStyle w:val="WUTCParagraph"/>
        <w:numPr>
          <w:ilvl w:val="0"/>
          <w:numId w:val="1"/>
        </w:numPr>
        <w:tabs>
          <w:tab w:val="clear" w:pos="360"/>
          <w:tab w:val="clear" w:pos="1440"/>
          <w:tab w:val="left" w:pos="0"/>
        </w:tabs>
        <w:ind w:left="0" w:hanging="720"/>
        <w:jc w:val="both"/>
      </w:pPr>
      <w:r>
        <w:t xml:space="preserve">The repeal of WAC 480-100-056 and adoption of WAC 480-100-123 also indicate that the economic feasibility provision applied only to new and additional service: </w:t>
      </w:r>
    </w:p>
    <w:p>
      <w:pPr>
        <w:pStyle w:val="WUTCParagraph"/>
        <w:spacing w:line="240" w:lineRule="auto"/>
        <w:ind w:left="1440" w:right="1440"/>
        <w:jc w:val="both"/>
      </w:pPr>
      <w:r>
        <w:t xml:space="preserve">The Commission observes that existing language in the rule permits a utility to </w:t>
      </w:r>
      <w:r>
        <w:rPr>
          <w:b/>
          <w:i/>
        </w:rPr>
        <w:t>refuse new or additional service</w:t>
      </w:r>
      <w:r>
        <w:t xml:space="preserve"> if “such service will adversely affect service being rendered to other customers” or if to provide service would be “economically unfeasible.”  These terms are too general and vague to be useful.  Commission resolution of obligation to serve issues is likely to be based on fact-specific analysis.</w:t>
      </w:r>
    </w:p>
    <w:p>
      <w:pPr>
        <w:pStyle w:val="WUTCParagraph"/>
        <w:spacing w:line="240" w:lineRule="auto"/>
        <w:ind w:left="1440" w:right="1440"/>
        <w:jc w:val="both"/>
      </w:pPr>
    </w:p>
    <w:p>
      <w:pPr>
        <w:pStyle w:val="WUTCParagraph"/>
        <w:spacing w:line="240" w:lineRule="auto"/>
        <w:ind w:left="1440" w:right="1440"/>
        <w:jc w:val="both"/>
      </w:pPr>
      <w:r>
        <w:t xml:space="preserve">…The Commission has removed the original subsection (3) language that permitted a utility to </w:t>
      </w:r>
      <w:r>
        <w:rPr>
          <w:b/>
          <w:i/>
        </w:rPr>
        <w:t>refuse new or additional service</w:t>
      </w:r>
      <w:r>
        <w:t xml:space="preserve"> if “such service will adversely affect service being rendered to other customers” or if to provide service would be “economically unfeasible.”</w:t>
      </w:r>
      <w:r>
        <w:rPr>
          <w:rStyle w:val="FootnoteReference"/>
        </w:rPr>
        <w:footnoteReference w:id="17"/>
      </w:r>
      <w:r>
        <w:t xml:space="preserve">  </w:t>
      </w:r>
    </w:p>
    <w:p>
      <w:pPr>
        <w:pStyle w:val="WUTCParagraph"/>
        <w:spacing w:line="240" w:lineRule="auto"/>
        <w:ind w:left="1440" w:right="1440"/>
        <w:jc w:val="both"/>
      </w:pPr>
    </w:p>
    <w:p>
      <w:pPr>
        <w:pStyle w:val="WUTCParagraph"/>
        <w:numPr>
          <w:ilvl w:val="0"/>
          <w:numId w:val="1"/>
        </w:numPr>
        <w:tabs>
          <w:tab w:val="clear" w:pos="360"/>
          <w:tab w:val="clear" w:pos="1440"/>
          <w:tab w:val="left" w:pos="0"/>
        </w:tabs>
        <w:ind w:left="0" w:hanging="720"/>
        <w:jc w:val="both"/>
      </w:pPr>
      <w:r>
        <w:t>Because Petitioners are existing customers who do not seek additional service from PSE (only replacement of the same service), the Initial Order was correct in refusing to rely on PSE’s “economy unfeasibility” provision in Schedule 80.</w:t>
      </w:r>
    </w:p>
    <w:p>
      <w:pPr>
        <w:pStyle w:val="Heading1"/>
        <w:tabs>
          <w:tab w:val="left" w:pos="0"/>
        </w:tabs>
        <w:ind w:left="720"/>
      </w:pPr>
      <w:bookmarkStart w:id="10" w:name="_Toc430951690"/>
      <w:r>
        <w:t>CONCLUSION</w:t>
      </w:r>
      <w:bookmarkEnd w:id="10"/>
    </w:p>
    <w:p>
      <w:pPr>
        <w:tabs>
          <w:tab w:val="left" w:pos="0"/>
        </w:tabs>
      </w:pPr>
    </w:p>
    <w:p>
      <w:pPr>
        <w:pStyle w:val="ParNumber"/>
        <w:tabs>
          <w:tab w:val="clear" w:pos="360"/>
          <w:tab w:val="clear" w:pos="720"/>
          <w:tab w:val="left" w:pos="0"/>
        </w:tabs>
        <w:spacing w:line="480" w:lineRule="auto"/>
        <w:ind w:left="0" w:hanging="720"/>
        <w:jc w:val="both"/>
      </w:pPr>
      <w:r>
        <w:t>Petitioners respectfully request that the Commission reject PSE’s new challenge to the Initial Order and find that:  (a) the Maloney Ridge Line is part of PSE’s distribution system; (b) Schedule 85 imposes the cost responsibility of replacement of the line on PSE; (c) there is no reason to apply a fact-specific analysis to this matter because it may be resolved as a matter of law; and (4) the Initial Order correctly refused to apply the economic feasibility provision of PSE’s Schedule 80.</w:t>
      </w:r>
    </w:p>
    <w:p>
      <w:pPr>
        <w:pStyle w:val="ParNumber"/>
        <w:numPr>
          <w:ilvl w:val="0"/>
          <w:numId w:val="0"/>
        </w:numPr>
        <w:tabs>
          <w:tab w:val="clear" w:pos="720"/>
          <w:tab w:val="left" w:pos="0"/>
        </w:tabs>
        <w:spacing w:line="480" w:lineRule="auto"/>
        <w:jc w:val="both"/>
      </w:pPr>
      <w:r>
        <w:t>/ / /</w:t>
      </w:r>
    </w:p>
    <w:p>
      <w:pPr>
        <w:pStyle w:val="ParNumber"/>
        <w:numPr>
          <w:ilvl w:val="0"/>
          <w:numId w:val="0"/>
        </w:numPr>
        <w:tabs>
          <w:tab w:val="clear" w:pos="720"/>
          <w:tab w:val="left" w:pos="0"/>
        </w:tabs>
        <w:spacing w:line="480" w:lineRule="auto"/>
        <w:jc w:val="both"/>
      </w:pPr>
      <w:r>
        <w:t>/ / /</w:t>
      </w:r>
    </w:p>
    <w:p>
      <w:pPr>
        <w:pStyle w:val="ParNumber"/>
        <w:numPr>
          <w:ilvl w:val="0"/>
          <w:numId w:val="0"/>
        </w:numPr>
        <w:tabs>
          <w:tab w:val="clear" w:pos="720"/>
          <w:tab w:val="left" w:pos="0"/>
        </w:tabs>
        <w:spacing w:line="480" w:lineRule="auto"/>
        <w:jc w:val="both"/>
      </w:pPr>
      <w:r>
        <w:t>/ / /</w:t>
      </w:r>
    </w:p>
    <w:p>
      <w:pPr>
        <w:pStyle w:val="ParNumber"/>
        <w:numPr>
          <w:ilvl w:val="0"/>
          <w:numId w:val="0"/>
        </w:numPr>
        <w:tabs>
          <w:tab w:val="clear" w:pos="720"/>
          <w:tab w:val="left" w:pos="0"/>
        </w:tabs>
        <w:spacing w:line="480" w:lineRule="auto"/>
        <w:jc w:val="both"/>
      </w:pPr>
      <w:r>
        <w:t>/ / /</w:t>
      </w:r>
    </w:p>
    <w:p>
      <w:pPr>
        <w:pStyle w:val="ParNumber"/>
        <w:numPr>
          <w:ilvl w:val="0"/>
          <w:numId w:val="0"/>
        </w:numPr>
        <w:tabs>
          <w:tab w:val="clear" w:pos="720"/>
          <w:tab w:val="left" w:pos="0"/>
        </w:tabs>
        <w:spacing w:line="480" w:lineRule="auto"/>
        <w:jc w:val="both"/>
      </w:pPr>
      <w:r>
        <w:t>/ / /</w:t>
      </w: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s>
      </w:pPr>
      <w:r>
        <w:tab/>
        <w:t>DATED in Portland, Oregon, this 25th day of September, 2015.</w:t>
      </w:r>
    </w:p>
    <w:p>
      <w:pPr>
        <w:pStyle w:val="ParNumber"/>
        <w:numPr>
          <w:ilvl w:val="0"/>
          <w:numId w:val="0"/>
        </w:numPr>
        <w:tabs>
          <w:tab w:val="clear" w:pos="720"/>
          <w:tab w:val="left" w:pos="0"/>
          <w:tab w:val="left" w:pos="1350"/>
        </w:tabs>
        <w:ind w:left="360" w:firstLine="360"/>
      </w:pPr>
    </w:p>
    <w:p>
      <w:pPr>
        <w:tabs>
          <w:tab w:val="left" w:pos="0"/>
        </w:tabs>
        <w:spacing w:line="480" w:lineRule="auto"/>
        <w:ind w:left="2880"/>
      </w:pPr>
      <w:r>
        <w:tab/>
        <w:t>Respectfully submitted,</w:t>
      </w:r>
    </w:p>
    <w:p>
      <w:pPr>
        <w:tabs>
          <w:tab w:val="left" w:pos="0"/>
        </w:tabs>
        <w:ind w:left="2880"/>
        <w:rPr>
          <w:u w:val="single"/>
        </w:rPr>
      </w:pPr>
      <w:r>
        <w:tab/>
      </w:r>
      <w:r>
        <w:rPr>
          <w:u w:val="single"/>
        </w:rPr>
        <w:tab/>
        <w:t>/s/ Chad M. Stokes</w:t>
      </w:r>
      <w:r>
        <w:rPr>
          <w:u w:val="single"/>
        </w:rPr>
        <w:tab/>
      </w:r>
      <w:r>
        <w:rPr>
          <w:u w:val="single"/>
        </w:rPr>
        <w:tab/>
      </w:r>
      <w:r>
        <w:rPr>
          <w:u w:val="single"/>
        </w:rPr>
        <w:tab/>
      </w:r>
    </w:p>
    <w:p>
      <w:pPr>
        <w:tabs>
          <w:tab w:val="left" w:pos="0"/>
        </w:tabs>
        <w:ind w:left="2880"/>
      </w:pPr>
      <w:r>
        <w:tab/>
        <w:t>Chad M. Stokes, WSBA 37499, OSB 00400</w:t>
      </w:r>
    </w:p>
    <w:p>
      <w:pPr>
        <w:tabs>
          <w:tab w:val="left" w:pos="0"/>
        </w:tabs>
        <w:ind w:left="2880"/>
      </w:pPr>
      <w:r>
        <w:tab/>
        <w:t>Tommy A. Brooks, WSBA 40237, OSB 076071</w:t>
      </w:r>
    </w:p>
    <w:p>
      <w:pPr>
        <w:tabs>
          <w:tab w:val="left" w:pos="0"/>
        </w:tabs>
        <w:ind w:left="2880"/>
      </w:pPr>
      <w:r>
        <w:tab/>
        <w:t>Cable Huston LLP</w:t>
      </w:r>
    </w:p>
    <w:p>
      <w:pPr>
        <w:tabs>
          <w:tab w:val="left" w:pos="0"/>
        </w:tabs>
        <w:ind w:left="2880"/>
      </w:pPr>
      <w:r>
        <w:tab/>
        <w:t>1001 SW Fifth Avenue, Suite 2000</w:t>
      </w:r>
    </w:p>
    <w:p>
      <w:pPr>
        <w:tabs>
          <w:tab w:val="left" w:pos="0"/>
        </w:tabs>
        <w:ind w:left="2880"/>
      </w:pPr>
      <w:r>
        <w:tab/>
        <w:t>Portland, OR 97204-1136</w:t>
      </w:r>
    </w:p>
    <w:p>
      <w:pPr>
        <w:tabs>
          <w:tab w:val="left" w:pos="0"/>
        </w:tabs>
        <w:ind w:left="2880"/>
      </w:pPr>
      <w:r>
        <w:tab/>
        <w:t>Telephone:  (503) 224-3092</w:t>
      </w:r>
    </w:p>
    <w:p>
      <w:pPr>
        <w:tabs>
          <w:tab w:val="left" w:pos="0"/>
        </w:tabs>
        <w:ind w:left="2880"/>
      </w:pPr>
      <w:r>
        <w:tab/>
        <w:t>Facsimile:   (503) 224-3176</w:t>
      </w:r>
    </w:p>
    <w:p>
      <w:pPr>
        <w:tabs>
          <w:tab w:val="left" w:pos="0"/>
        </w:tabs>
        <w:ind w:left="2880"/>
      </w:pPr>
      <w:r>
        <w:tab/>
        <w:t>E-mail:  cstokes@cablehuston.com</w:t>
      </w:r>
    </w:p>
    <w:p>
      <w:pPr>
        <w:tabs>
          <w:tab w:val="left" w:pos="0"/>
        </w:tabs>
        <w:ind w:left="2880"/>
      </w:pPr>
      <w:r>
        <w:tab/>
      </w:r>
      <w:r>
        <w:tab/>
        <w:t xml:space="preserve">  tbrooks@cablehuston.com</w:t>
      </w:r>
    </w:p>
    <w:p>
      <w:pPr>
        <w:tabs>
          <w:tab w:val="left" w:pos="0"/>
        </w:tabs>
        <w:ind w:left="2880"/>
      </w:pPr>
    </w:p>
    <w:p>
      <w:pPr>
        <w:tabs>
          <w:tab w:val="left" w:pos="0"/>
        </w:tabs>
        <w:ind w:left="2880"/>
      </w:pPr>
    </w:p>
    <w:p>
      <w:pPr>
        <w:tabs>
          <w:tab w:val="left" w:pos="0"/>
        </w:tabs>
        <w:ind w:left="3600"/>
      </w:pPr>
      <w:r>
        <w:t>Attorneys for Petitioners King County, BNSF Railway, Frontier Communications and Verizon Wireless</w:t>
      </w:r>
    </w:p>
    <w:p>
      <w:pPr>
        <w:pStyle w:val="ParNumber"/>
        <w:numPr>
          <w:ilvl w:val="0"/>
          <w:numId w:val="0"/>
        </w:numPr>
        <w:tabs>
          <w:tab w:val="clear" w:pos="720"/>
          <w:tab w:val="left" w:pos="0"/>
        </w:tabs>
        <w:ind w:left="3600"/>
        <w:rPr>
          <w:bCs/>
          <w:u w:val="single"/>
        </w:rPr>
      </w:pPr>
    </w:p>
    <w:p>
      <w:pPr>
        <w:pStyle w:val="ParNumber"/>
        <w:numPr>
          <w:ilvl w:val="0"/>
          <w:numId w:val="0"/>
        </w:numPr>
        <w:tabs>
          <w:tab w:val="clear" w:pos="720"/>
          <w:tab w:val="left" w:pos="0"/>
        </w:tabs>
        <w:ind w:left="3600"/>
        <w:rPr>
          <w:bCs/>
          <w:u w:val="single"/>
        </w:rPr>
      </w:pPr>
    </w:p>
    <w:p>
      <w:pPr>
        <w:pStyle w:val="ParNumber"/>
        <w:numPr>
          <w:ilvl w:val="0"/>
          <w:numId w:val="0"/>
        </w:numPr>
        <w:tabs>
          <w:tab w:val="clear" w:pos="720"/>
          <w:tab w:val="left" w:pos="0"/>
        </w:tabs>
        <w:ind w:left="3600"/>
        <w:rPr>
          <w:bCs/>
        </w:rPr>
      </w:pPr>
      <w:r>
        <w:rPr>
          <w:bCs/>
          <w:u w:val="single"/>
        </w:rPr>
        <w:tab/>
        <w:t>s/ Cindy J. Manheim</w:t>
      </w:r>
      <w:r>
        <w:rPr>
          <w:bCs/>
          <w:u w:val="single"/>
        </w:rPr>
        <w:tab/>
      </w:r>
      <w:r>
        <w:rPr>
          <w:bCs/>
          <w:u w:val="single"/>
        </w:rPr>
        <w:tab/>
      </w:r>
      <w:r>
        <w:rPr>
          <w:bCs/>
          <w:u w:val="single"/>
        </w:rPr>
        <w:tab/>
      </w:r>
    </w:p>
    <w:p>
      <w:pPr>
        <w:pStyle w:val="ParNumber"/>
        <w:numPr>
          <w:ilvl w:val="0"/>
          <w:numId w:val="0"/>
        </w:numPr>
        <w:tabs>
          <w:tab w:val="clear" w:pos="720"/>
          <w:tab w:val="left" w:pos="0"/>
        </w:tabs>
        <w:ind w:left="3600"/>
        <w:rPr>
          <w:bCs/>
        </w:rPr>
      </w:pPr>
      <w:r>
        <w:rPr>
          <w:bCs/>
        </w:rPr>
        <w:t>Cindy J. Manheim WSBA 26524</w:t>
      </w:r>
    </w:p>
    <w:p>
      <w:pPr>
        <w:pStyle w:val="ParNumber"/>
        <w:numPr>
          <w:ilvl w:val="0"/>
          <w:numId w:val="0"/>
        </w:numPr>
        <w:tabs>
          <w:tab w:val="clear" w:pos="720"/>
          <w:tab w:val="left" w:pos="0"/>
        </w:tabs>
        <w:ind w:left="3600"/>
        <w:rPr>
          <w:bCs/>
        </w:rPr>
      </w:pPr>
      <w:r>
        <w:rPr>
          <w:bCs/>
        </w:rPr>
        <w:t xml:space="preserve">AT&amp;T </w:t>
      </w:r>
    </w:p>
    <w:p>
      <w:pPr>
        <w:pStyle w:val="ParNumber"/>
        <w:numPr>
          <w:ilvl w:val="0"/>
          <w:numId w:val="0"/>
        </w:numPr>
        <w:tabs>
          <w:tab w:val="clear" w:pos="720"/>
          <w:tab w:val="left" w:pos="0"/>
        </w:tabs>
        <w:ind w:left="3600"/>
        <w:rPr>
          <w:bCs/>
        </w:rPr>
      </w:pPr>
      <w:r>
        <w:rPr>
          <w:bCs/>
        </w:rPr>
        <w:t>PO Box 97061</w:t>
      </w:r>
    </w:p>
    <w:p>
      <w:pPr>
        <w:pStyle w:val="ParNumber"/>
        <w:numPr>
          <w:ilvl w:val="0"/>
          <w:numId w:val="0"/>
        </w:numPr>
        <w:tabs>
          <w:tab w:val="clear" w:pos="720"/>
          <w:tab w:val="left" w:pos="0"/>
        </w:tabs>
        <w:ind w:left="3600"/>
        <w:rPr>
          <w:bCs/>
        </w:rPr>
      </w:pPr>
      <w:r>
        <w:rPr>
          <w:bCs/>
        </w:rPr>
        <w:t>Redmond, WA  98073</w:t>
      </w:r>
    </w:p>
    <w:p>
      <w:pPr>
        <w:pStyle w:val="ParNumber"/>
        <w:numPr>
          <w:ilvl w:val="0"/>
          <w:numId w:val="0"/>
        </w:numPr>
        <w:tabs>
          <w:tab w:val="clear" w:pos="720"/>
          <w:tab w:val="left" w:pos="0"/>
        </w:tabs>
        <w:ind w:left="3600"/>
        <w:rPr>
          <w:bCs/>
        </w:rPr>
      </w:pPr>
      <w:r>
        <w:rPr>
          <w:bCs/>
        </w:rPr>
        <w:t xml:space="preserve">Telephone:  </w:t>
      </w:r>
      <w:r>
        <w:rPr>
          <w:bCs/>
        </w:rPr>
        <w:tab/>
        <w:t>(425) 580-8112</w:t>
      </w:r>
    </w:p>
    <w:p>
      <w:pPr>
        <w:pStyle w:val="ParNumber"/>
        <w:numPr>
          <w:ilvl w:val="0"/>
          <w:numId w:val="0"/>
        </w:numPr>
        <w:tabs>
          <w:tab w:val="clear" w:pos="720"/>
          <w:tab w:val="left" w:pos="0"/>
        </w:tabs>
        <w:ind w:left="3600"/>
        <w:rPr>
          <w:bCs/>
        </w:rPr>
      </w:pPr>
      <w:r>
        <w:rPr>
          <w:bCs/>
        </w:rPr>
        <w:t>Facsimile:</w:t>
      </w:r>
      <w:r>
        <w:rPr>
          <w:bCs/>
        </w:rPr>
        <w:tab/>
        <w:t>(425) 580-8652</w:t>
      </w:r>
    </w:p>
    <w:p>
      <w:pPr>
        <w:pStyle w:val="ParNumber"/>
        <w:numPr>
          <w:ilvl w:val="0"/>
          <w:numId w:val="0"/>
        </w:numPr>
        <w:tabs>
          <w:tab w:val="clear" w:pos="720"/>
          <w:tab w:val="left" w:pos="0"/>
        </w:tabs>
        <w:ind w:left="3600"/>
        <w:rPr>
          <w:bCs/>
        </w:rPr>
      </w:pPr>
      <w:r>
        <w:rPr>
          <w:bCs/>
        </w:rPr>
        <w:t>E-mail:  cindy.manheim@att.com</w:t>
      </w:r>
    </w:p>
    <w:p>
      <w:pPr>
        <w:pStyle w:val="ParNumber"/>
        <w:numPr>
          <w:ilvl w:val="0"/>
          <w:numId w:val="0"/>
        </w:numPr>
        <w:tabs>
          <w:tab w:val="clear" w:pos="720"/>
          <w:tab w:val="left" w:pos="0"/>
        </w:tabs>
        <w:ind w:left="3600"/>
        <w:rPr>
          <w:bCs/>
        </w:rPr>
      </w:pPr>
    </w:p>
    <w:p>
      <w:pPr>
        <w:pStyle w:val="ParNumber"/>
        <w:numPr>
          <w:ilvl w:val="0"/>
          <w:numId w:val="0"/>
        </w:numPr>
        <w:tabs>
          <w:tab w:val="clear" w:pos="720"/>
          <w:tab w:val="left" w:pos="0"/>
        </w:tabs>
        <w:spacing w:line="480" w:lineRule="auto"/>
        <w:ind w:left="3600"/>
        <w:rPr>
          <w:b/>
          <w:bCs/>
        </w:rPr>
        <w:sectPr>
          <w:footerReference w:type="default" r:id="rId15"/>
          <w:pgSz w:w="12240" w:h="15840" w:code="1"/>
          <w:pgMar w:top="1965" w:right="1440" w:bottom="1440" w:left="1440" w:header="720" w:footer="495" w:gutter="0"/>
          <w:pgNumType w:start="1"/>
          <w:cols w:space="720"/>
        </w:sectPr>
      </w:pPr>
      <w:r>
        <w:rPr>
          <w:bCs/>
        </w:rPr>
        <w:t xml:space="preserve">Attorney for Petitioner </w:t>
      </w:r>
      <w:r>
        <w:t>New Cingular Wireless PCS, LLC</w:t>
      </w:r>
    </w:p>
    <w:p>
      <w:pPr>
        <w:tabs>
          <w:tab w:val="left" w:pos="-720"/>
        </w:tabs>
        <w:suppressAutoHyphens/>
        <w:jc w:val="center"/>
        <w:rPr>
          <w:b/>
          <w:bCs/>
        </w:rPr>
      </w:pPr>
      <w:r>
        <w:rPr>
          <w:b/>
          <w:bCs/>
        </w:rPr>
        <w:t>CERTIFICATE OF SERVICE</w:t>
      </w:r>
    </w:p>
    <w:p>
      <w:pPr>
        <w:tabs>
          <w:tab w:val="left" w:pos="-720"/>
        </w:tabs>
        <w:suppressAutoHyphens/>
        <w:jc w:val="center"/>
        <w:rPr>
          <w:b/>
          <w:bCs/>
        </w:rPr>
      </w:pPr>
    </w:p>
    <w:p>
      <w:pPr>
        <w:tabs>
          <w:tab w:val="left" w:pos="-720"/>
        </w:tabs>
        <w:suppressAutoHyphens/>
        <w:jc w:val="center"/>
      </w:pPr>
      <w:r>
        <w:rPr>
          <w:b/>
          <w:bCs/>
        </w:rPr>
        <w:t>UE-141335</w:t>
      </w:r>
    </w:p>
    <w:p>
      <w:pPr>
        <w:tabs>
          <w:tab w:val="left" w:pos="-720"/>
        </w:tabs>
        <w:suppressAutoHyphens/>
      </w:pPr>
    </w:p>
    <w:p>
      <w:pPr>
        <w:tabs>
          <w:tab w:val="left" w:pos="-720"/>
        </w:tabs>
        <w:suppressAutoHyphens/>
        <w:spacing w:line="480" w:lineRule="auto"/>
      </w:pPr>
      <w:r>
        <w:tab/>
        <w:t>I HEREBY CERTIFY that I have this day served the foregoing Petitioners’ Post-Hearing Brief upon all parties of record (listed below) in this proceeding by mailing a copy properly addressed with first class postage prepaid.</w:t>
      </w:r>
    </w:p>
    <w:tbl>
      <w:tblPr>
        <w:tblW w:w="10080" w:type="dxa"/>
        <w:tblInd w:w="-342" w:type="dxa"/>
        <w:tblLook w:val="01E0" w:firstRow="1" w:lastRow="1" w:firstColumn="1" w:lastColumn="1" w:noHBand="0" w:noVBand="0"/>
      </w:tblPr>
      <w:tblGrid>
        <w:gridCol w:w="5220"/>
        <w:gridCol w:w="4860"/>
      </w:tblGrid>
      <w:tr>
        <w:tc>
          <w:tcPr>
            <w:tcW w:w="5220" w:type="dxa"/>
          </w:tcPr>
          <w:p>
            <w:pPr>
              <w:ind w:left="702" w:right="-2841"/>
              <w:rPr>
                <w:rFonts w:eastAsia="Arial"/>
                <w:color w:val="000000"/>
              </w:rPr>
            </w:pPr>
            <w:r>
              <w:rPr>
                <w:rFonts w:eastAsia="Arial"/>
                <w:color w:val="000000"/>
              </w:rPr>
              <w:t>Donna Barnett</w:t>
            </w:r>
          </w:p>
          <w:p>
            <w:pPr>
              <w:ind w:left="702" w:right="-2841"/>
              <w:rPr>
                <w:rFonts w:eastAsia="Arial"/>
                <w:color w:val="000000"/>
              </w:rPr>
            </w:pPr>
            <w:r>
              <w:rPr>
                <w:rFonts w:eastAsia="Arial"/>
                <w:color w:val="000000"/>
              </w:rPr>
              <w:t>Sheree Carson</w:t>
            </w:r>
            <w:r>
              <w:rPr>
                <w:rFonts w:eastAsia="Arial"/>
                <w:color w:val="000000"/>
              </w:rPr>
              <w:br/>
              <w:t>Perkins Coie, LLP</w:t>
            </w:r>
            <w:r>
              <w:rPr>
                <w:rFonts w:eastAsia="Arial"/>
                <w:color w:val="000000"/>
              </w:rPr>
              <w:br/>
              <w:t>10885 N.E. Fourth Street STE 700</w:t>
            </w:r>
            <w:r>
              <w:rPr>
                <w:rFonts w:eastAsia="Arial"/>
                <w:color w:val="000000"/>
              </w:rPr>
              <w:br/>
              <w:t>Bellevue, WA 98004-5579</w:t>
            </w:r>
            <w:r>
              <w:rPr>
                <w:rFonts w:eastAsia="Arial"/>
                <w:color w:val="000000"/>
              </w:rPr>
              <w:br/>
            </w:r>
            <w:r>
              <w:rPr w:val="BodyText">
                <w:rFonts w:eastAsia="Arial"/>
              </w:rPr>
              <w:t>dbarnett@perkinscoie.com</w:t>
            </w:r>
            <w:r>
              <w:rPr>
                <w:rFonts w:eastAsia="Arial"/>
                <w:color w:val="000000"/>
              </w:rPr>
              <w:t xml:space="preserve"> </w:t>
            </w:r>
          </w:p>
          <w:p>
            <w:pPr>
              <w:ind w:left="702" w:right="-2841"/>
            </w:pPr>
            <w:r>
              <w:rPr w:val="BodyText">
                <w:rFonts w:eastAsia="Arial"/>
              </w:rPr>
              <w:t>Scarson@perkinscoie.com</w:t>
            </w:r>
            <w:r>
              <w:rPr>
                <w:rFonts w:eastAsia="Arial"/>
                <w:color w:val="000000"/>
              </w:rPr>
              <w:t xml:space="preserve"> </w:t>
            </w:r>
          </w:p>
          <w:p>
            <w:pPr>
              <w:tabs>
                <w:tab w:val="left" w:pos="0"/>
              </w:tabs>
              <w:ind w:right="-2841"/>
              <w:rPr>
                <w:rFonts w:eastAsia="Arial"/>
                <w:color w:val="000000"/>
              </w:rPr>
            </w:pPr>
          </w:p>
        </w:tc>
        <w:tc>
          <w:tcPr>
            <w:tcW w:w="4860" w:type="dxa"/>
          </w:tcPr>
          <w:p>
            <w:pPr>
              <w:tabs>
                <w:tab w:val="left" w:pos="0"/>
              </w:tabs>
              <w:rPr>
                <w:rFonts w:eastAsia="Arial"/>
              </w:rPr>
            </w:pPr>
            <w:r>
              <w:rPr>
                <w:rFonts w:eastAsia="Arial"/>
              </w:rPr>
              <w:t>Patrick Oshie</w:t>
            </w:r>
          </w:p>
          <w:p>
            <w:pPr>
              <w:tabs>
                <w:tab w:val="left" w:pos="0"/>
                <w:tab w:val="left" w:pos="1596"/>
              </w:tabs>
              <w:rPr>
                <w:rFonts w:eastAsia="Arial"/>
              </w:rPr>
            </w:pPr>
            <w:r>
              <w:rPr>
                <w:rFonts w:eastAsia="Arial"/>
              </w:rPr>
              <w:t xml:space="preserve">Assistant Attorney General </w:t>
            </w:r>
          </w:p>
          <w:p>
            <w:pPr>
              <w:tabs>
                <w:tab w:val="left" w:pos="0"/>
                <w:tab w:val="left" w:pos="1596"/>
              </w:tabs>
              <w:rPr>
                <w:rFonts w:eastAsia="Arial"/>
              </w:rPr>
            </w:pPr>
            <w:r>
              <w:rPr>
                <w:rFonts w:eastAsia="Arial"/>
              </w:rPr>
              <w:t>WUTC</w:t>
            </w:r>
          </w:p>
          <w:p>
            <w:pPr>
              <w:tabs>
                <w:tab w:val="left" w:pos="0"/>
              </w:tabs>
              <w:rPr>
                <w:rFonts w:eastAsia="Arial"/>
              </w:rPr>
            </w:pPr>
            <w:r>
              <w:rPr>
                <w:rFonts w:eastAsia="Arial"/>
              </w:rPr>
              <w:t>PO Box 40128</w:t>
            </w:r>
          </w:p>
          <w:p>
            <w:pPr>
              <w:tabs>
                <w:tab w:val="left" w:pos="0"/>
              </w:tabs>
              <w:rPr>
                <w:rFonts w:eastAsia="Arial"/>
              </w:rPr>
            </w:pPr>
            <w:r>
              <w:rPr>
                <w:rFonts w:eastAsia="Arial"/>
              </w:rPr>
              <w:t>Olympia, WA  98504-0128</w:t>
            </w:r>
          </w:p>
          <w:p>
            <w:pPr>
              <w:tabs>
                <w:tab w:val="left" w:pos="0"/>
              </w:tabs>
              <w:rPr>
                <w:rFonts w:eastAsia="Arial"/>
              </w:rPr>
            </w:pPr>
            <w:r>
              <w:rPr w:val="BodyText"/>
              <w:t>poshie@utc.wa.gov</w:t>
            </w:r>
            <w:r>
              <w:t xml:space="preserve"> </w:t>
            </w:r>
            <w:r>
              <w:rPr>
                <w:rFonts w:eastAsia="Arial"/>
              </w:rPr>
              <w:t xml:space="preserve"> </w:t>
            </w:r>
          </w:p>
        </w:tc>
      </w:tr>
      <w:tr>
        <w:tc>
          <w:tcPr>
            <w:tcW w:w="5220" w:type="dxa"/>
          </w:tcPr>
          <w:p>
            <w:pPr>
              <w:ind w:left="702" w:right="-2841"/>
              <w:rPr>
                <w:rFonts w:eastAsia="Arial"/>
                <w:color w:val="000000"/>
              </w:rPr>
            </w:pPr>
            <w:r>
              <w:rPr>
                <w:rFonts w:eastAsia="Arial"/>
                <w:color w:val="000000"/>
              </w:rPr>
              <w:t>George Baker Thomson</w:t>
            </w:r>
          </w:p>
          <w:p>
            <w:pPr>
              <w:ind w:left="702" w:right="-2841"/>
              <w:rPr>
                <w:rFonts w:eastAsia="Arial"/>
                <w:color w:val="000000"/>
              </w:rPr>
            </w:pPr>
            <w:r>
              <w:rPr>
                <w:rFonts w:eastAsia="Arial"/>
                <w:color w:val="000000"/>
              </w:rPr>
              <w:t>Frontier Communications Northwest</w:t>
            </w:r>
          </w:p>
          <w:p>
            <w:pPr>
              <w:ind w:left="702" w:right="-2841"/>
              <w:rPr>
                <w:rFonts w:eastAsia="Arial"/>
                <w:color w:val="000000"/>
              </w:rPr>
            </w:pPr>
            <w:r>
              <w:rPr>
                <w:rFonts w:eastAsia="Arial"/>
                <w:color w:val="000000"/>
              </w:rPr>
              <w:t>1800 41</w:t>
            </w:r>
            <w:r>
              <w:rPr>
                <w:rFonts w:eastAsia="Arial"/>
                <w:color w:val="000000"/>
                <w:vertAlign w:val="superscript"/>
              </w:rPr>
              <w:t>st</w:t>
            </w:r>
            <w:r>
              <w:rPr>
                <w:rFonts w:eastAsia="Arial"/>
                <w:color w:val="000000"/>
              </w:rPr>
              <w:t xml:space="preserve"> Street, Suite N-100</w:t>
            </w:r>
          </w:p>
          <w:p>
            <w:pPr>
              <w:ind w:left="702" w:right="-2841"/>
              <w:rPr>
                <w:rFonts w:eastAsia="Arial"/>
                <w:color w:val="000000"/>
              </w:rPr>
            </w:pPr>
            <w:r>
              <w:rPr>
                <w:rFonts w:eastAsia="Arial"/>
                <w:color w:val="000000"/>
              </w:rPr>
              <w:t>Everett, WA  98203</w:t>
            </w:r>
          </w:p>
          <w:p>
            <w:pPr>
              <w:ind w:left="702" w:right="-2841"/>
              <w:rPr>
                <w:rFonts w:eastAsia="Arial"/>
                <w:color w:val="000000"/>
              </w:rPr>
            </w:pPr>
            <w:r>
              <w:rPr w:val="BodyText">
                <w:rFonts w:eastAsia="Arial"/>
              </w:rPr>
              <w:t>George.thomson@ftr.com</w:t>
            </w:r>
          </w:p>
          <w:p>
            <w:pPr>
              <w:ind w:left="702" w:right="-2841"/>
              <w:rPr>
                <w:rFonts w:eastAsia="Arial"/>
                <w:color w:val="000000"/>
              </w:rPr>
            </w:pPr>
          </w:p>
        </w:tc>
        <w:tc>
          <w:tcPr>
            <w:tcW w:w="4860" w:type="dxa"/>
          </w:tcPr>
          <w:p>
            <w:pPr>
              <w:tabs>
                <w:tab w:val="left" w:pos="0"/>
              </w:tabs>
              <w:rPr>
                <w:rFonts w:eastAsia="Arial"/>
              </w:rPr>
            </w:pPr>
            <w:r>
              <w:rPr>
                <w:rFonts w:eastAsia="Arial"/>
              </w:rPr>
              <w:t>Sean Pohlman</w:t>
            </w:r>
          </w:p>
          <w:p>
            <w:pPr>
              <w:tabs>
                <w:tab w:val="left" w:pos="0"/>
              </w:tabs>
              <w:rPr>
                <w:rFonts w:eastAsia="Arial"/>
              </w:rPr>
            </w:pPr>
            <w:r>
              <w:rPr>
                <w:rFonts w:eastAsia="Arial"/>
              </w:rPr>
              <w:t>AT&amp;T</w:t>
            </w:r>
          </w:p>
          <w:p>
            <w:pPr>
              <w:tabs>
                <w:tab w:val="left" w:pos="0"/>
              </w:tabs>
              <w:rPr>
                <w:rFonts w:eastAsia="Arial"/>
              </w:rPr>
            </w:pPr>
            <w:r>
              <w:rPr>
                <w:rFonts w:eastAsia="Arial"/>
              </w:rPr>
              <w:t>PO Box 97061</w:t>
            </w:r>
          </w:p>
          <w:p>
            <w:pPr>
              <w:tabs>
                <w:tab w:val="left" w:pos="0"/>
              </w:tabs>
              <w:rPr>
                <w:rFonts w:eastAsia="Arial"/>
              </w:rPr>
            </w:pPr>
            <w:r>
              <w:rPr>
                <w:rFonts w:eastAsia="Arial"/>
              </w:rPr>
              <w:t>Redmond, WA  98073</w:t>
            </w:r>
          </w:p>
          <w:p>
            <w:pPr>
              <w:tabs>
                <w:tab w:val="left" w:pos="0"/>
              </w:tabs>
              <w:rPr>
                <w:rFonts w:eastAsia="Arial"/>
              </w:rPr>
            </w:pPr>
            <w:r>
              <w:rPr w:val="BodyText">
                <w:rFonts w:eastAsia="Arial"/>
              </w:rPr>
              <w:t>Sean.pohlman@att.com</w:t>
            </w:r>
          </w:p>
        </w:tc>
      </w:tr>
      <w:tr>
        <w:tc>
          <w:tcPr>
            <w:tcW w:w="5220" w:type="dxa"/>
          </w:tcPr>
          <w:p>
            <w:pPr>
              <w:ind w:left="702" w:right="-2841"/>
              <w:rPr>
                <w:rFonts w:eastAsia="Arial"/>
                <w:color w:val="000000"/>
              </w:rPr>
            </w:pPr>
            <w:r>
              <w:rPr>
                <w:rFonts w:eastAsia="Arial"/>
                <w:color w:val="000000"/>
              </w:rPr>
              <w:t>Cynthia Manheim</w:t>
            </w:r>
          </w:p>
          <w:p>
            <w:pPr>
              <w:ind w:left="702" w:right="-2841"/>
              <w:rPr>
                <w:rFonts w:eastAsia="Arial"/>
                <w:color w:val="000000"/>
              </w:rPr>
            </w:pPr>
            <w:r>
              <w:rPr>
                <w:rFonts w:eastAsia="Arial"/>
                <w:color w:val="000000"/>
              </w:rPr>
              <w:t>AT&amp;T Services, Inc.</w:t>
            </w:r>
          </w:p>
          <w:p>
            <w:pPr>
              <w:ind w:left="702" w:right="-2841"/>
              <w:rPr>
                <w:rFonts w:eastAsia="Arial"/>
                <w:color w:val="000000"/>
              </w:rPr>
            </w:pPr>
            <w:r>
              <w:rPr>
                <w:rFonts w:eastAsia="Arial"/>
                <w:color w:val="000000"/>
              </w:rPr>
              <w:t>16331 NE 72</w:t>
            </w:r>
            <w:r>
              <w:rPr>
                <w:rFonts w:eastAsia="Arial"/>
                <w:color w:val="000000"/>
                <w:vertAlign w:val="superscript"/>
              </w:rPr>
              <w:t>nd</w:t>
            </w:r>
            <w:r>
              <w:rPr>
                <w:rFonts w:eastAsia="Arial"/>
                <w:color w:val="000000"/>
              </w:rPr>
              <w:t xml:space="preserve"> Way</w:t>
            </w:r>
          </w:p>
          <w:p>
            <w:pPr>
              <w:ind w:left="702" w:right="-2841"/>
              <w:rPr>
                <w:rFonts w:eastAsia="Arial"/>
                <w:color w:val="000000"/>
              </w:rPr>
            </w:pPr>
            <w:r>
              <w:rPr>
                <w:rFonts w:eastAsia="Arial"/>
                <w:color w:val="000000"/>
              </w:rPr>
              <w:t>PO Box 97061</w:t>
            </w:r>
          </w:p>
          <w:p>
            <w:pPr>
              <w:ind w:left="702" w:right="-2841"/>
              <w:rPr>
                <w:rFonts w:eastAsia="Arial"/>
                <w:color w:val="000000"/>
              </w:rPr>
            </w:pPr>
            <w:r>
              <w:rPr>
                <w:rFonts w:eastAsia="Arial"/>
                <w:color w:val="000000"/>
              </w:rPr>
              <w:t>Redmond, WA  98073-9761</w:t>
            </w:r>
          </w:p>
          <w:p>
            <w:pPr>
              <w:ind w:left="702" w:right="-2841"/>
              <w:rPr>
                <w:rFonts w:eastAsia="Arial"/>
                <w:color w:val="000000"/>
              </w:rPr>
            </w:pPr>
            <w:r>
              <w:rPr w:val="BodyText">
                <w:rFonts w:eastAsia="Arial"/>
              </w:rPr>
              <w:t>Cindy.manheim@att.com</w:t>
            </w:r>
          </w:p>
          <w:p>
            <w:pPr>
              <w:ind w:left="702" w:right="-2841"/>
              <w:rPr>
                <w:rFonts w:eastAsia="Arial"/>
                <w:color w:val="000000"/>
              </w:rPr>
            </w:pPr>
          </w:p>
        </w:tc>
        <w:tc>
          <w:tcPr>
            <w:tcW w:w="4860" w:type="dxa"/>
          </w:tcPr>
          <w:p>
            <w:pPr>
              <w:tabs>
                <w:tab w:val="left" w:pos="0"/>
              </w:tabs>
              <w:rPr>
                <w:rFonts w:eastAsia="Arial"/>
              </w:rPr>
            </w:pPr>
            <w:r>
              <w:rPr>
                <w:rFonts w:eastAsia="Arial"/>
              </w:rPr>
              <w:t>Anthony Minor</w:t>
            </w:r>
          </w:p>
          <w:p>
            <w:pPr>
              <w:tabs>
                <w:tab w:val="left" w:pos="0"/>
              </w:tabs>
              <w:rPr>
                <w:rFonts w:eastAsia="Arial"/>
              </w:rPr>
            </w:pPr>
            <w:r>
              <w:rPr>
                <w:rFonts w:eastAsia="Arial"/>
              </w:rPr>
              <w:t>King County Radio Communications Svcs.</w:t>
            </w:r>
          </w:p>
          <w:p>
            <w:pPr>
              <w:tabs>
                <w:tab w:val="left" w:pos="0"/>
              </w:tabs>
              <w:rPr>
                <w:rFonts w:eastAsia="Arial"/>
              </w:rPr>
            </w:pPr>
            <w:r>
              <w:rPr>
                <w:rFonts w:eastAsia="Arial"/>
              </w:rPr>
              <w:t>855 S 192</w:t>
            </w:r>
            <w:r>
              <w:rPr>
                <w:rFonts w:eastAsia="Arial"/>
                <w:vertAlign w:val="superscript"/>
              </w:rPr>
              <w:t>nd</w:t>
            </w:r>
            <w:r>
              <w:rPr>
                <w:rFonts w:eastAsia="Arial"/>
              </w:rPr>
              <w:t xml:space="preserve"> Street, Suite 1000</w:t>
            </w:r>
          </w:p>
          <w:p>
            <w:pPr>
              <w:tabs>
                <w:tab w:val="left" w:pos="0"/>
              </w:tabs>
              <w:rPr>
                <w:rFonts w:eastAsia="Arial"/>
              </w:rPr>
            </w:pPr>
            <w:r>
              <w:rPr>
                <w:rFonts w:eastAsia="Arial"/>
              </w:rPr>
              <w:t>SeaTac, WA  98148</w:t>
            </w:r>
          </w:p>
          <w:p>
            <w:pPr>
              <w:tabs>
                <w:tab w:val="left" w:pos="0"/>
              </w:tabs>
              <w:rPr>
                <w:rFonts w:eastAsia="Arial"/>
              </w:rPr>
            </w:pPr>
            <w:r>
              <w:rPr w:val="BodyText">
                <w:rFonts w:eastAsia="Arial"/>
              </w:rPr>
              <w:t>Anthony.minor@kingcounty.gov</w:t>
            </w:r>
            <w:r>
              <w:rPr>
                <w:rFonts w:eastAsia="Arial"/>
              </w:rPr>
              <w:t xml:space="preserve"> </w:t>
            </w: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Michael Mathisen</w:t>
            </w:r>
          </w:p>
          <w:p>
            <w:pPr>
              <w:ind w:left="702" w:right="-2841"/>
              <w:rPr>
                <w:rFonts w:eastAsia="Arial"/>
                <w:color w:val="000000"/>
              </w:rPr>
            </w:pPr>
            <w:r>
              <w:rPr>
                <w:rFonts w:eastAsia="Arial"/>
                <w:color w:val="000000"/>
              </w:rPr>
              <w:t>Verizon Wireless</w:t>
            </w:r>
          </w:p>
          <w:p>
            <w:pPr>
              <w:ind w:left="702" w:right="-2841"/>
              <w:rPr>
                <w:rFonts w:eastAsia="Arial"/>
                <w:color w:val="000000"/>
              </w:rPr>
            </w:pPr>
            <w:r>
              <w:rPr>
                <w:rFonts w:eastAsia="Arial"/>
                <w:color w:val="000000"/>
              </w:rPr>
              <w:t>5430 NE 122</w:t>
            </w:r>
            <w:r>
              <w:rPr>
                <w:rFonts w:eastAsia="Arial"/>
                <w:color w:val="000000"/>
                <w:vertAlign w:val="superscript"/>
              </w:rPr>
              <w:t>nd</w:t>
            </w:r>
            <w:r>
              <w:rPr>
                <w:rFonts w:eastAsia="Arial"/>
                <w:color w:val="000000"/>
              </w:rPr>
              <w:t xml:space="preserve"> Avenue</w:t>
            </w:r>
          </w:p>
          <w:p>
            <w:pPr>
              <w:ind w:left="702" w:right="-2841"/>
              <w:rPr>
                <w:rFonts w:eastAsia="Arial"/>
                <w:color w:val="000000"/>
              </w:rPr>
            </w:pPr>
            <w:r>
              <w:rPr>
                <w:rFonts w:eastAsia="Arial"/>
                <w:color w:val="000000"/>
              </w:rPr>
              <w:t>Portland, OR 97230</w:t>
            </w:r>
          </w:p>
          <w:p>
            <w:pPr>
              <w:ind w:left="702" w:right="-2841"/>
              <w:rPr>
                <w:rStyle w:val="Hyperlink"/>
                <w:rFonts w:eastAsia="Arial"/>
              </w:rPr>
            </w:pPr>
            <w:r>
              <w:rPr w:val="BodyText">
                <w:rFonts w:eastAsia="Arial"/>
              </w:rPr>
              <w:t>Michael.mathisen@verizonwireless.com</w:t>
            </w:r>
          </w:p>
          <w:p>
            <w:pPr>
              <w:ind w:left="702" w:right="-2841"/>
              <w:rPr>
                <w:rFonts w:eastAsia="Arial"/>
                <w:color w:val="000000"/>
              </w:rPr>
            </w:pPr>
          </w:p>
        </w:tc>
        <w:tc>
          <w:tcPr>
            <w:tcW w:w="4860" w:type="dxa"/>
          </w:tcPr>
          <w:p>
            <w:pPr>
              <w:tabs>
                <w:tab w:val="left" w:pos="0"/>
              </w:tabs>
              <w:rPr>
                <w:rFonts w:eastAsia="Arial"/>
              </w:rPr>
            </w:pPr>
            <w:r>
              <w:rPr>
                <w:rFonts w:eastAsia="Arial"/>
              </w:rPr>
              <w:t>Kenneth Johnson</w:t>
            </w:r>
          </w:p>
          <w:p>
            <w:pPr>
              <w:tabs>
                <w:tab w:val="left" w:pos="0"/>
              </w:tabs>
              <w:rPr>
                <w:rFonts w:eastAsia="Arial"/>
              </w:rPr>
            </w:pPr>
            <w:r>
              <w:rPr>
                <w:rFonts w:eastAsia="Arial"/>
              </w:rPr>
              <w:t>Puget Sound Energy, Inc.</w:t>
            </w:r>
          </w:p>
          <w:p>
            <w:pPr>
              <w:tabs>
                <w:tab w:val="left" w:pos="0"/>
              </w:tabs>
              <w:rPr>
                <w:rFonts w:eastAsia="Arial"/>
              </w:rPr>
            </w:pPr>
            <w:r>
              <w:rPr>
                <w:rFonts w:eastAsia="Arial"/>
              </w:rPr>
              <w:t>PO Box 97034</w:t>
            </w:r>
          </w:p>
          <w:p>
            <w:pPr>
              <w:tabs>
                <w:tab w:val="left" w:pos="0"/>
              </w:tabs>
              <w:rPr>
                <w:rFonts w:eastAsia="Arial"/>
              </w:rPr>
            </w:pPr>
            <w:r>
              <w:rPr>
                <w:rFonts w:eastAsia="Arial"/>
              </w:rPr>
              <w:t>Bellevue, WA  98009-9734</w:t>
            </w:r>
          </w:p>
          <w:p>
            <w:pPr>
              <w:tabs>
                <w:tab w:val="left" w:pos="0"/>
              </w:tabs>
              <w:rPr>
                <w:rFonts w:eastAsia="Arial"/>
              </w:rPr>
            </w:pPr>
            <w:r>
              <w:rPr w:val="BodyText">
                <w:rFonts w:eastAsia="Arial"/>
              </w:rPr>
              <w:t>Ken.s.johnson@pse.com</w:t>
            </w:r>
          </w:p>
        </w:tc>
      </w:tr>
      <w:tr>
        <w:tc>
          <w:tcPr>
            <w:tcW w:w="5220" w:type="dxa"/>
          </w:tcPr>
          <w:p>
            <w:pPr>
              <w:ind w:left="702" w:right="-2841"/>
              <w:rPr>
                <w:rFonts w:eastAsia="Arial"/>
                <w:color w:val="000000"/>
              </w:rPr>
            </w:pPr>
            <w:r>
              <w:rPr>
                <w:rFonts w:eastAsia="Arial"/>
                <w:color w:val="000000"/>
              </w:rPr>
              <w:t>Anh Nguyen</w:t>
            </w:r>
          </w:p>
          <w:p>
            <w:pPr>
              <w:ind w:left="702" w:right="-2841"/>
              <w:rPr>
                <w:rFonts w:eastAsia="Arial"/>
                <w:color w:val="000000"/>
              </w:rPr>
            </w:pPr>
            <w:r>
              <w:rPr>
                <w:rFonts w:eastAsia="Arial"/>
                <w:color w:val="000000"/>
              </w:rPr>
              <w:t>King County Office of Prosecuting Attorney</w:t>
            </w:r>
          </w:p>
          <w:p>
            <w:pPr>
              <w:ind w:left="702" w:right="-2841"/>
              <w:rPr>
                <w:rFonts w:eastAsia="Arial"/>
                <w:color w:val="000000"/>
              </w:rPr>
            </w:pPr>
            <w:r>
              <w:rPr>
                <w:rFonts w:eastAsia="Arial"/>
                <w:color w:val="000000"/>
              </w:rPr>
              <w:t>500 Fourth Avenue, Fl 9</w:t>
            </w:r>
          </w:p>
          <w:p>
            <w:pPr>
              <w:ind w:left="702" w:right="-2841"/>
              <w:rPr>
                <w:rFonts w:eastAsia="Arial"/>
                <w:color w:val="000000"/>
              </w:rPr>
            </w:pPr>
            <w:r>
              <w:rPr>
                <w:rFonts w:eastAsia="Arial"/>
                <w:color w:val="000000"/>
              </w:rPr>
              <w:t>Seattle, WA  98104</w:t>
            </w:r>
          </w:p>
          <w:p>
            <w:pPr>
              <w:ind w:left="702" w:right="-2841"/>
              <w:rPr>
                <w:rFonts w:eastAsia="Arial"/>
                <w:color w:val="000000"/>
              </w:rPr>
            </w:pPr>
            <w:r>
              <w:rPr w:val="BodyText">
                <w:rFonts w:eastAsia="Arial"/>
              </w:rPr>
              <w:t>Anh.nguyen@kingcounty.gov</w:t>
            </w:r>
          </w:p>
        </w:tc>
        <w:tc>
          <w:tcPr>
            <w:tcW w:w="4860" w:type="dxa"/>
          </w:tcPr>
          <w:p>
            <w:pPr>
              <w:tabs>
                <w:tab w:val="left" w:pos="0"/>
              </w:tabs>
              <w:rPr>
                <w:rFonts w:eastAsia="Arial"/>
              </w:rPr>
            </w:pPr>
            <w:r>
              <w:rPr>
                <w:rFonts w:eastAsia="Arial"/>
              </w:rPr>
              <w:t>LaRhonda Brown-Barrett</w:t>
            </w:r>
          </w:p>
          <w:p>
            <w:pPr>
              <w:tabs>
                <w:tab w:val="left" w:pos="0"/>
              </w:tabs>
              <w:rPr>
                <w:rFonts w:eastAsia="Arial"/>
              </w:rPr>
            </w:pPr>
            <w:r>
              <w:rPr>
                <w:rFonts w:eastAsia="Arial"/>
              </w:rPr>
              <w:t>Gregory Britz</w:t>
            </w:r>
          </w:p>
          <w:p>
            <w:pPr>
              <w:tabs>
                <w:tab w:val="left" w:pos="0"/>
              </w:tabs>
              <w:rPr>
                <w:rFonts w:eastAsia="Arial"/>
              </w:rPr>
            </w:pPr>
            <w:r>
              <w:rPr>
                <w:rFonts w:eastAsia="Arial"/>
              </w:rPr>
              <w:t>BNSF Railway Co.</w:t>
            </w:r>
          </w:p>
          <w:p>
            <w:pPr>
              <w:tabs>
                <w:tab w:val="left" w:pos="0"/>
              </w:tabs>
              <w:rPr>
                <w:rFonts w:eastAsia="Arial"/>
              </w:rPr>
            </w:pPr>
            <w:r>
              <w:rPr>
                <w:rFonts w:eastAsia="Arial"/>
              </w:rPr>
              <w:t>2400 Western Center Blvd</w:t>
            </w:r>
          </w:p>
          <w:p>
            <w:pPr>
              <w:tabs>
                <w:tab w:val="left" w:pos="0"/>
              </w:tabs>
              <w:rPr>
                <w:rFonts w:eastAsia="Arial"/>
              </w:rPr>
            </w:pPr>
            <w:r>
              <w:rPr>
                <w:rFonts w:eastAsia="Arial"/>
              </w:rPr>
              <w:t>Fort Worth, TX  76131</w:t>
            </w:r>
          </w:p>
          <w:p>
            <w:pPr>
              <w:tabs>
                <w:tab w:val="left" w:pos="0"/>
              </w:tabs>
              <w:rPr>
                <w:rFonts w:eastAsia="Arial"/>
              </w:rPr>
            </w:pPr>
            <w:r>
              <w:rPr w:val="BodyText">
                <w:rFonts w:eastAsia="Arial"/>
              </w:rPr>
              <w:t>Larhonda.brown-barrett@bnsf.com</w:t>
            </w:r>
            <w:r>
              <w:rPr>
                <w:rStyle w:val="Hyperlink"/>
                <w:rFonts w:eastAsia="Arial"/>
              </w:rPr>
              <w:t>; Gregory.britz@bnsf.com</w:t>
            </w:r>
          </w:p>
          <w:p>
            <w:pPr>
              <w:tabs>
                <w:tab w:val="left" w:pos="0"/>
              </w:tabs>
              <w:rPr>
                <w:rFonts w:eastAsia="Arial"/>
              </w:rPr>
            </w:pP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John Cameron</w:t>
            </w:r>
          </w:p>
          <w:p>
            <w:pPr>
              <w:ind w:left="702" w:right="-2841"/>
              <w:rPr>
                <w:rFonts w:eastAsia="Arial"/>
                <w:color w:val="000000"/>
              </w:rPr>
            </w:pPr>
            <w:r>
              <w:rPr>
                <w:rFonts w:eastAsia="Arial"/>
                <w:color w:val="000000"/>
              </w:rPr>
              <w:t>Davis Wright Tremaine</w:t>
            </w:r>
          </w:p>
          <w:p>
            <w:pPr>
              <w:ind w:left="702" w:right="-2841"/>
              <w:rPr>
                <w:rFonts w:eastAsia="Arial"/>
                <w:color w:val="000000"/>
              </w:rPr>
            </w:pPr>
            <w:r>
              <w:rPr>
                <w:rFonts w:eastAsia="Arial"/>
                <w:color w:val="000000"/>
              </w:rPr>
              <w:t>1300 SW Fifth Avenue, Suite 2300</w:t>
            </w:r>
          </w:p>
          <w:p>
            <w:pPr>
              <w:ind w:left="702" w:right="-2841"/>
              <w:rPr>
                <w:rFonts w:eastAsia="Arial"/>
                <w:color w:val="000000"/>
              </w:rPr>
            </w:pPr>
            <w:r>
              <w:rPr>
                <w:rFonts w:eastAsia="Arial"/>
                <w:color w:val="000000"/>
              </w:rPr>
              <w:t>Portland, Oregon 97201</w:t>
            </w:r>
          </w:p>
          <w:p>
            <w:pPr>
              <w:ind w:left="702" w:right="-2841"/>
              <w:rPr>
                <w:rFonts w:eastAsia="Arial"/>
                <w:color w:val="000000"/>
              </w:rPr>
            </w:pPr>
            <w:r>
              <w:rPr w:val="BodyText">
                <w:rFonts w:eastAsia="Arial"/>
              </w:rPr>
              <w:t>johncameron@dwt.com</w:t>
            </w:r>
          </w:p>
          <w:p>
            <w:pPr>
              <w:ind w:left="702" w:right="-2841"/>
              <w:rPr>
                <w:rFonts w:eastAsia="Arial"/>
                <w:color w:val="000000"/>
              </w:rPr>
            </w:pPr>
          </w:p>
        </w:tc>
        <w:tc>
          <w:tcPr>
            <w:tcW w:w="4860" w:type="dxa"/>
          </w:tcPr>
          <w:p>
            <w:pPr>
              <w:tabs>
                <w:tab w:val="left" w:pos="0"/>
              </w:tabs>
              <w:rPr>
                <w:rFonts w:eastAsia="Arial"/>
              </w:rPr>
            </w:pPr>
            <w:r>
              <w:rPr>
                <w:rFonts w:eastAsia="Arial"/>
              </w:rPr>
              <w:t xml:space="preserve"> </w:t>
            </w:r>
          </w:p>
        </w:tc>
      </w:tr>
      <w:tr>
        <w:tc>
          <w:tcPr>
            <w:tcW w:w="5220" w:type="dxa"/>
          </w:tcPr>
          <w:p>
            <w:pPr>
              <w:ind w:left="702" w:right="-2841"/>
              <w:rPr>
                <w:rFonts w:eastAsia="Arial"/>
                <w:color w:val="000000"/>
              </w:rPr>
            </w:pPr>
          </w:p>
        </w:tc>
        <w:tc>
          <w:tcPr>
            <w:tcW w:w="4860" w:type="dxa"/>
          </w:tcPr>
          <w:p>
            <w:pPr>
              <w:tabs>
                <w:tab w:val="left" w:pos="0"/>
              </w:tabs>
              <w:rPr>
                <w:rFonts w:eastAsia="Arial"/>
              </w:rPr>
            </w:pPr>
          </w:p>
        </w:tc>
      </w:tr>
    </w:tbl>
    <w:p>
      <w:r>
        <w:tab/>
      </w:r>
    </w:p>
    <w:p/>
    <w:p>
      <w:r>
        <w:t>Dated in Portland, Oregon this 25</w:t>
      </w:r>
      <w:r>
        <w:rPr>
          <w:vertAlign w:val="superscript"/>
        </w:rPr>
        <w:t>th</w:t>
      </w:r>
      <w:r>
        <w:t xml:space="preserve"> day of September 2015.</w:t>
      </w:r>
    </w:p>
    <w:p>
      <w:pPr>
        <w:tabs>
          <w:tab w:val="left" w:pos="-720"/>
        </w:tabs>
        <w:suppressAutoHyphens/>
      </w:pPr>
    </w:p>
    <w:p>
      <w:pPr>
        <w:tabs>
          <w:tab w:val="left" w:pos="-720"/>
        </w:tabs>
        <w:suppressAutoHyphens/>
      </w:pPr>
      <w:r>
        <w:tab/>
      </w:r>
      <w:r>
        <w:tab/>
      </w:r>
      <w:r>
        <w:tab/>
      </w:r>
      <w:r>
        <w:tab/>
      </w:r>
    </w:p>
    <w:p>
      <w:pPr>
        <w:tabs>
          <w:tab w:val="left" w:pos="-720"/>
        </w:tabs>
        <w:suppressAutoHyphens/>
      </w:pPr>
    </w:p>
    <w:p>
      <w:pPr>
        <w:ind w:left="2880"/>
        <w:rPr>
          <w:u w:val="single"/>
        </w:rPr>
      </w:pPr>
      <w:r>
        <w:tab/>
      </w:r>
      <w:r>
        <w:rPr>
          <w:u w:val="single"/>
        </w:rPr>
        <w:tab/>
        <w:t>/s/ Chad M. Stokes</w:t>
      </w:r>
      <w:r>
        <w:rPr>
          <w:u w:val="single"/>
        </w:rPr>
        <w:tab/>
      </w:r>
      <w:r>
        <w:rPr>
          <w:u w:val="single"/>
        </w:rPr>
        <w:tab/>
      </w:r>
      <w:r>
        <w:rPr>
          <w:u w:val="single"/>
        </w:rPr>
        <w:tab/>
      </w:r>
    </w:p>
    <w:p>
      <w:pPr>
        <w:ind w:left="2880"/>
      </w:pPr>
      <w:r>
        <w:tab/>
        <w:t>Chad M. Stokes, WSBA 37499, OSB 00400</w:t>
      </w:r>
    </w:p>
    <w:p>
      <w:pPr>
        <w:ind w:left="2880"/>
      </w:pPr>
      <w:r>
        <w:tab/>
        <w:t>Tommy A. Brooks, WSBA 40237, OSB 076071</w:t>
      </w:r>
    </w:p>
    <w:p>
      <w:pPr>
        <w:ind w:left="2880"/>
      </w:pPr>
      <w:r>
        <w:tab/>
        <w:t>Cable Huston, LLP</w:t>
      </w:r>
    </w:p>
    <w:p>
      <w:pPr>
        <w:ind w:left="2880"/>
      </w:pPr>
      <w:r>
        <w:tab/>
        <w:t>1001 SW Fifth Avenue, Suite 2000</w:t>
      </w:r>
    </w:p>
    <w:p>
      <w:pPr>
        <w:ind w:left="2880"/>
      </w:pPr>
      <w:r>
        <w:tab/>
        <w:t>Portland, OR 97204-1136</w:t>
      </w:r>
    </w:p>
    <w:p>
      <w:pPr>
        <w:ind w:left="2880"/>
      </w:pPr>
      <w:r>
        <w:tab/>
        <w:t>Telephone:  (503) 224-3092</w:t>
      </w:r>
    </w:p>
    <w:p>
      <w:pPr>
        <w:ind w:left="2880"/>
      </w:pPr>
      <w:r>
        <w:tab/>
        <w:t>Facsimile:   (503) 224-3176</w:t>
      </w:r>
    </w:p>
    <w:p>
      <w:pPr>
        <w:ind w:left="2880"/>
      </w:pPr>
      <w:r>
        <w:tab/>
        <w:t>E-mail:  cstokes@cablehuston.com</w:t>
      </w:r>
    </w:p>
    <w:p>
      <w:r>
        <w:tab/>
      </w:r>
      <w:r>
        <w:tab/>
      </w:r>
      <w:r>
        <w:tab/>
      </w:r>
      <w:r>
        <w:tab/>
      </w:r>
      <w:r>
        <w:tab/>
      </w:r>
      <w:r>
        <w:tab/>
        <w:t xml:space="preserve">  tbrooks@cablehuston.com</w:t>
      </w:r>
    </w:p>
    <w:p>
      <w:pPr>
        <w:tabs>
          <w:tab w:val="left" w:pos="-720"/>
        </w:tabs>
        <w:suppressAutoHyphens/>
      </w:pPr>
    </w:p>
    <w:p>
      <w:pPr>
        <w:tabs>
          <w:tab w:val="left" w:pos="-720"/>
        </w:tabs>
        <w:suppressAutoHyphens/>
        <w:ind w:left="3600"/>
      </w:pPr>
      <w:r>
        <w:t>Attorneys for Petitioners King County, BNSF Railway, Frontier Communications and Verizon Wireless</w:t>
      </w:r>
    </w:p>
    <w:p>
      <w:pPr>
        <w:tabs>
          <w:tab w:val="left" w:pos="-720"/>
          <w:tab w:val="left" w:pos="0"/>
        </w:tabs>
        <w:suppressAutoHyphens/>
        <w:ind w:left="3600"/>
      </w:pPr>
    </w:p>
    <w:p>
      <w:pPr>
        <w:tabs>
          <w:tab w:val="left" w:pos="-720"/>
          <w:tab w:val="left" w:pos="0"/>
        </w:tabs>
        <w:suppressAutoHyphens/>
        <w:ind w:left="3600"/>
      </w:pPr>
    </w:p>
    <w:p>
      <w:pPr>
        <w:tabs>
          <w:tab w:val="left" w:pos="-720"/>
          <w:tab w:val="left" w:pos="0"/>
        </w:tabs>
        <w:suppressAutoHyphens/>
        <w:ind w:left="3600"/>
      </w:pPr>
    </w:p>
    <w:sectPr>
      <w:footerReference w:type="default" r:id="rId28"/>
      <w:pgSz w:w="12240" w:h="15840" w:code="1"/>
      <w:pgMar w:top="1440" w:right="1440" w:bottom="1440" w:left="1440" w:header="720" w:footer="720" w:gutter="0"/>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iDocIDField55faa76a-cdf9-4610-9d9e-4e6e"/>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2"/>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rStyle w:val="PageNumber"/>
        <w:sz w:val="24"/>
        <w:szCs w:val="24"/>
      </w:rPr>
    </w:pP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bookmarkStart w:id="3" w:name="_iDocIDField3129f629-1405-4855-bdca-7a46"/>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3"/>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iDocIDFieldf16fec2b-21e3-41cf-b9ae-67c1"/>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4"/>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rStyle w:val="PageNumber"/>
        <w:sz w:val="24"/>
        <w:szCs w:val="24"/>
      </w:rPr>
    </w:pPr>
    <w:r>
      <w:rPr>
        <w:rStyle w:val="PageNumber"/>
        <w:sz w:val="24"/>
        <w:szCs w:val="24"/>
      </w:rPr>
      <w:t>PAGE i – TABLE OF CONTENTS</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bookmarkStart w:id="5" w:name="_iDocIDField6e260629-cf12-4313-9dc4-6103"/>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5"/>
  </w:p>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24"/>
        <w:szCs w:val="24"/>
      </w:rPr>
    </w:pPr>
    <w:r>
      <w:rPr>
        <w:sz w:val="24"/>
        <w:szCs w:val="24"/>
      </w:rPr>
      <w:t xml:space="preserve">PAGE </w:t>
    </w:r>
    <w:sdt>
      <w:sdtPr>
        <w:rPr>
          <w:sz w:val="24"/>
          <w:szCs w:val="24"/>
        </w:rPr>
        <w:id w:val="618261565"/>
        <w:docPartObj>
          <w:docPartGallery w:val="Page Numbers (Bottom of Page)"/>
          <w:docPartUnique/>
        </w:docPartObj>
      </w:sdtPr>
      <w:sdtEndPr>
        <w:rPr>
          <w:noProof/>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r>
          <w:rPr>
            <w:noProof/>
            <w:sz w:val="24"/>
            <w:szCs w:val="24"/>
          </w:rPr>
          <w:t xml:space="preserve"> – REPLY IN SUPPORT OF PETITION FOR ADMINISTRATIVE REVIEW</w:t>
        </w:r>
      </w:sdtContent>
    </w:sdt>
  </w:p>
  <w:p>
    <w:pPr>
      <w:pStyle w:val="Foote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bookmarkStart w:id="11" w:name="_iDocIDFielde92f66f2-e371-49c1-9f0e-9e75"/>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3</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11"/>
  </w:p>
</w:ftr>
</file>

<file path=word/footer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sz w:val="24"/>
        <w:szCs w:val="24"/>
      </w:rPr>
    </w:pPr>
  </w:p>
  <w:p>
    <w:pPr>
      <w:pStyle w:val="Footer"/>
      <w:tabs>
        <w:tab w:val="clear" w:pos="4320"/>
        <w:tab w:val="clear" w:pos="8640"/>
      </w:tabs>
      <w:rPr>
        <w:rStyle w:val="PageNumber"/>
        <w:sz w:val="24"/>
        <w:szCs w:val="24"/>
      </w:rPr>
    </w:pP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 CERTIFICATE OF SERVICE</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w:t>
    </w:r>
  </w:p>
  <w:p>
    <w:pPr>
      <w:jc w:val="center"/>
      <w:rPr>
        <w:caps/>
        <w:sz w:val="14"/>
        <w:szCs w:val="14"/>
      </w:rPr>
    </w:pPr>
    <w:r>
      <w:rPr>
        <w:caps/>
        <w:sz w:val="14"/>
        <w:szCs w:val="14"/>
      </w:rPr>
      <w:t>Portland, oregon 97204-1136</w:t>
    </w:r>
  </w:p>
  <w:p>
    <w:pPr>
      <w:jc w:val="center"/>
      <w:rPr>
        <w:caps/>
        <w:sz w:val="14"/>
        <w:szCs w:val="14"/>
      </w:rPr>
    </w:pPr>
    <w:r>
      <w:rPr>
        <w:caps/>
        <w:sz w:val="14"/>
        <w:szCs w:val="14"/>
      </w:rPr>
      <w:t>TELEPHONE (503) 224-3092, FACSIMILE (503) 224-3176</w:t>
    </w:r>
  </w:p>
  <w:bookmarkStart w:id="12" w:name="_iDocIDField1572166b-d766-4d2a-a546-44f5"/>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4</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4830-3425-8728</w:instrText>
    </w:r>
    <w:r>
      <w:fldChar w:fldCharType="end"/>
    </w:r>
    <w:r>
      <w:fldChar w:fldCharType="end"/>
    </w:r>
    <w:bookmarkEnd w:id="12"/>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pPr>
        <w:ind w:right="5760"/>
      </w:pPr>
      <w:r>
        <w:continuationSeparator/>
      </w:r>
    </w:p>
  </w:footnote>
  <w:footnote w:type="continuationNotice" w:id="1">
    <w:p/>
  </w:footnote>
  <w:footnote w:id="2">
    <w:p>
      <w:pPr>
        <w:pStyle w:val="FootnoteText"/>
        <w:ind w:firstLine="0"/>
      </w:pPr>
      <w:r>
        <w:rPr>
          <w:rStyle w:val="FootnoteReference"/>
        </w:rPr>
        <w:footnoteRef/>
      </w:r>
      <w:r>
        <w:t xml:space="preserve"> For ease of reading, this Petition refers to PSE and its predecessor, collectively, as “PSE.”</w:t>
      </w:r>
    </w:p>
  </w:footnote>
  <w:footnote w:id="3">
    <w:p>
      <w:pPr>
        <w:pStyle w:val="FootnoteText"/>
        <w:ind w:firstLine="0"/>
      </w:pPr>
      <w:r>
        <w:rPr>
          <w:rStyle w:val="FootnoteReference"/>
        </w:rPr>
        <w:footnoteRef/>
      </w:r>
      <w:r>
        <w:t xml:space="preserve"> PSE’s Answer to Petition for Administrative Review (“PSE Answer”) ¶ 16. </w:t>
      </w:r>
    </w:p>
  </w:footnote>
  <w:footnote w:id="4">
    <w:p>
      <w:pPr>
        <w:pStyle w:val="FootnoteText"/>
        <w:ind w:firstLine="0"/>
      </w:pPr>
      <w:r>
        <w:rPr>
          <w:rStyle w:val="FootnoteReference"/>
        </w:rPr>
        <w:footnoteRef/>
      </w:r>
      <w:r>
        <w:t xml:space="preserve"> PSE Answer ¶ 12.</w:t>
      </w:r>
    </w:p>
  </w:footnote>
  <w:footnote w:id="5">
    <w:p>
      <w:pPr>
        <w:pStyle w:val="FootnoteText"/>
        <w:ind w:firstLine="0"/>
      </w:pPr>
      <w:r>
        <w:rPr>
          <w:rStyle w:val="FootnoteReference"/>
        </w:rPr>
        <w:footnoteRef/>
      </w:r>
      <w:r>
        <w:t xml:space="preserve"> Schedule 80, General Rules and Provisions, Section 9, states in relevant part: “The Company shall not be required to provide service if to do so would be economically unfeasible.”  Initial Order ¶ 15.</w:t>
      </w:r>
    </w:p>
  </w:footnote>
  <w:footnote w:id="6">
    <w:p>
      <w:pPr>
        <w:pStyle w:val="FootnoteText"/>
        <w:ind w:firstLine="0"/>
      </w:pPr>
      <w:r>
        <w:rPr>
          <w:rStyle w:val="FootnoteReference"/>
        </w:rPr>
        <w:footnoteRef/>
      </w:r>
      <w:r>
        <w:t xml:space="preserve"> Initial Order ¶ 18.</w:t>
      </w:r>
    </w:p>
  </w:footnote>
  <w:footnote w:id="7">
    <w:p>
      <w:pPr>
        <w:pStyle w:val="FootnoteText"/>
        <w:ind w:firstLine="0"/>
      </w:pPr>
      <w:r>
        <w:rPr>
          <w:rStyle w:val="FootnoteReference"/>
        </w:rPr>
        <w:footnoteRef/>
      </w:r>
      <w:r>
        <w:t xml:space="preserve"> </w:t>
      </w:r>
      <w:r>
        <w:rPr>
          <w:i/>
        </w:rPr>
        <w:t xml:space="preserve">Id. </w:t>
      </w:r>
      <w:r>
        <w:t xml:space="preserve">¶ 16 (citing </w:t>
      </w:r>
      <w:r>
        <w:rPr>
          <w:i/>
        </w:rPr>
        <w:t>In re Adopting and Repealing Rules in Chapter 480-100 WAC Relating to Rules Establishing Requirements for Electric Companies</w:t>
      </w:r>
      <w:r>
        <w:t>, Docket UE-990473, General Order No. R-495 ¶ 26 (Dec. 3, 2001).</w:t>
      </w:r>
    </w:p>
  </w:footnote>
  <w:footnote w:id="8">
    <w:p>
      <w:pPr>
        <w:pStyle w:val="FootnoteText"/>
        <w:ind w:firstLine="0"/>
      </w:pPr>
      <w:r>
        <w:rPr>
          <w:rStyle w:val="FootnoteReference"/>
        </w:rPr>
        <w:footnoteRef/>
      </w:r>
      <w:r>
        <w:t xml:space="preserve"> </w:t>
      </w:r>
      <w:r>
        <w:rPr>
          <w:i/>
        </w:rPr>
        <w:t>Id.</w:t>
      </w:r>
    </w:p>
  </w:footnote>
  <w:footnote w:id="9">
    <w:p>
      <w:pPr>
        <w:pStyle w:val="FootnoteText"/>
        <w:ind w:firstLine="0"/>
      </w:pPr>
      <w:r>
        <w:rPr>
          <w:rStyle w:val="FootnoteReference"/>
        </w:rPr>
        <w:footnoteRef/>
      </w:r>
      <w:r>
        <w:t xml:space="preserve"> </w:t>
      </w:r>
      <w:r>
        <w:rPr>
          <w:i/>
        </w:rPr>
        <w:t xml:space="preserve">See </w:t>
      </w:r>
      <w:r>
        <w:t>WAC 480-100-123.</w:t>
      </w:r>
    </w:p>
  </w:footnote>
  <w:footnote w:id="10">
    <w:p>
      <w:pPr>
        <w:pStyle w:val="FootnoteText"/>
        <w:ind w:firstLine="0"/>
      </w:pPr>
      <w:r>
        <w:rPr>
          <w:rStyle w:val="FootnoteReference"/>
        </w:rPr>
        <w:footnoteRef/>
      </w:r>
      <w:r>
        <w:t xml:space="preserve"> </w:t>
      </w:r>
      <w:r>
        <w:rPr>
          <w:i/>
        </w:rPr>
        <w:t>Id.</w:t>
      </w:r>
      <w:r>
        <w:t xml:space="preserve"> ¶ 16.</w:t>
      </w:r>
    </w:p>
  </w:footnote>
  <w:footnote w:id="11">
    <w:p>
      <w:pPr>
        <w:pStyle w:val="FootnoteText"/>
        <w:ind w:firstLine="0"/>
      </w:pPr>
      <w:r>
        <w:rPr>
          <w:rStyle w:val="FootnoteReference"/>
        </w:rPr>
        <w:footnoteRef/>
      </w:r>
      <w:r>
        <w:t xml:space="preserve"> </w:t>
      </w:r>
      <w:r>
        <w:rPr>
          <w:i/>
        </w:rPr>
        <w:t xml:space="preserve">Id. </w:t>
      </w:r>
      <w:r>
        <w:t>¶ 17.</w:t>
      </w:r>
    </w:p>
  </w:footnote>
  <w:footnote w:id="12">
    <w:p>
      <w:pPr>
        <w:pStyle w:val="FootnoteText"/>
        <w:ind w:firstLine="0"/>
      </w:pPr>
      <w:r>
        <w:rPr>
          <w:rStyle w:val="FootnoteReference"/>
        </w:rPr>
        <w:footnoteRef/>
      </w:r>
      <w:r>
        <w:t xml:space="preserve"> </w:t>
      </w:r>
      <w:r>
        <w:rPr>
          <w:i/>
        </w:rPr>
        <w:t>Id.</w:t>
      </w:r>
    </w:p>
  </w:footnote>
  <w:footnote w:id="13">
    <w:p>
      <w:pPr>
        <w:pStyle w:val="FootnoteText"/>
        <w:ind w:firstLine="0"/>
      </w:pPr>
      <w:r>
        <w:rPr>
          <w:rStyle w:val="FootnoteReference"/>
        </w:rPr>
        <w:footnoteRef/>
      </w:r>
      <w:r>
        <w:t xml:space="preserve"> </w:t>
      </w:r>
      <w:r>
        <w:rPr>
          <w:i/>
        </w:rPr>
        <w:t>Id.</w:t>
      </w:r>
    </w:p>
  </w:footnote>
  <w:footnote w:id="14">
    <w:p>
      <w:pPr>
        <w:pStyle w:val="FootnoteText"/>
        <w:ind w:firstLine="0"/>
      </w:pPr>
      <w:r>
        <w:rPr>
          <w:rStyle w:val="FootnoteReference"/>
        </w:rPr>
        <w:footnoteRef/>
      </w:r>
      <w:r>
        <w:t xml:space="preserve"> PSE Answer ¶ 16.</w:t>
      </w:r>
    </w:p>
  </w:footnote>
  <w:footnote w:id="15">
    <w:p>
      <w:pPr>
        <w:pStyle w:val="FootnoteText"/>
        <w:ind w:firstLine="0"/>
      </w:pPr>
      <w:r>
        <w:rPr>
          <w:rStyle w:val="FootnoteReference"/>
        </w:rPr>
        <w:footnoteRef/>
      </w:r>
      <w:r>
        <w:t xml:space="preserve"> </w:t>
      </w:r>
      <w:r>
        <w:rPr>
          <w:i/>
        </w:rPr>
        <w:t xml:space="preserve">See </w:t>
      </w:r>
      <w:r>
        <w:t>RCW 80.28.100.</w:t>
      </w:r>
    </w:p>
  </w:footnote>
  <w:footnote w:id="16">
    <w:p>
      <w:pPr>
        <w:pStyle w:val="FootnoteText"/>
        <w:ind w:firstLine="0"/>
      </w:pPr>
      <w:r>
        <w:rPr>
          <w:rStyle w:val="FootnoteReference"/>
        </w:rPr>
        <w:footnoteRef/>
      </w:r>
      <w:r>
        <w:t xml:space="preserve"> Nightingale, TR. 83:4-9.</w:t>
      </w:r>
    </w:p>
  </w:footnote>
  <w:footnote w:id="17">
    <w:p>
      <w:pPr>
        <w:pStyle w:val="FootnoteText"/>
        <w:ind w:firstLine="0"/>
      </w:pPr>
      <w:r>
        <w:rPr>
          <w:rStyle w:val="FootnoteReference"/>
        </w:rPr>
        <w:footnoteRef/>
      </w:r>
      <w:r>
        <w:t xml:space="preserve"> </w:t>
      </w:r>
      <w:r>
        <w:rPr>
          <w:i/>
        </w:rPr>
        <w:t xml:space="preserve">In re Adopting and Repealing Rules in Chapter 480-100 WAC Relating to Rules Establishing Requirements for Electric Companies, </w:t>
      </w:r>
      <w:r>
        <w:t>Docket UE-990473, General Order No. R-495 ¶¶ 25-26 (Dec. 3, 2001).</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01CA9DA"/>
    <w:lvl w:ilvl="0">
      <w:start w:val="1"/>
      <w:numFmt w:val="upperRoman"/>
      <w:pStyle w:val="Heading1"/>
      <w:lvlText w:val="%1."/>
      <w:lvlJc w:val="left"/>
      <w:pPr>
        <w:tabs>
          <w:tab w:val="num" w:pos="3510"/>
        </w:tabs>
        <w:ind w:left="423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rPr>
        <w:b/>
      </w:r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CBA623F"/>
    <w:multiLevelType w:val="hybridMultilevel"/>
    <w:tmpl w:val="BE94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E12D2"/>
    <w:multiLevelType w:val="hybridMultilevel"/>
    <w:tmpl w:val="651C4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E67A39"/>
    <w:multiLevelType w:val="multilevel"/>
    <w:tmpl w:val="649C4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A3931"/>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31C3034"/>
    <w:multiLevelType w:val="hybridMultilevel"/>
    <w:tmpl w:val="E75C78B8"/>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44A42EF"/>
    <w:multiLevelType w:val="hybridMultilevel"/>
    <w:tmpl w:val="8F6243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C2B3C"/>
    <w:multiLevelType w:val="hybridMultilevel"/>
    <w:tmpl w:val="CFF469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9282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73E602A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62C4A5F"/>
    <w:multiLevelType w:val="hybridMultilevel"/>
    <w:tmpl w:val="7DD86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1"/>
  </w:num>
  <w:num w:numId="2">
    <w:abstractNumId w:val="0"/>
  </w:num>
  <w:num w:numId="3">
    <w:abstractNumId w:val="4"/>
  </w:num>
  <w:num w:numId="4">
    <w:abstractNumId w:val="6"/>
  </w:num>
  <w:num w:numId="5">
    <w:abstractNumId w:val="8"/>
  </w:num>
  <w:num w:numId="6">
    <w:abstractNumId w:val="3"/>
  </w:num>
  <w:num w:numId="7">
    <w:abstractNumId w:val="2"/>
  </w:num>
  <w:num w:numId="8">
    <w:abstractNumId w:val="11"/>
  </w:num>
  <w:num w:numId="9">
    <w:abstractNumId w:val="9"/>
  </w:num>
  <w:num w:numId="10">
    <w:abstractNumId w:val="10"/>
  </w:num>
  <w:num w:numId="11">
    <w:abstractNumId w:val="7"/>
  </w:num>
  <w:num w:numId="12">
    <w:abstractNumId w:val="11"/>
  </w:num>
  <w:num w:numId="13">
    <w:abstractNumId w:val="11"/>
  </w:num>
  <w:num w:numId="14">
    <w:abstractNumId w:val="11"/>
  </w:num>
  <w:num w:numId="15">
    <w:abstractNumId w:val="11"/>
  </w:num>
  <w:num w:numId="16">
    <w:abstractNumId w:val="1"/>
  </w:num>
  <w:num w:numId="17">
    <w:abstractNumId w:val="11"/>
  </w:num>
  <w:num w:numId="18">
    <w:abstractNumId w:val="11"/>
  </w:num>
  <w:num w:numId="19">
    <w:abstractNumId w:val="11"/>
  </w:num>
  <w:num w:numId="20">
    <w:abstractNumId w:val="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jc w:val="center"/>
      <w:outlineLvl w:val="0"/>
    </w:pPr>
    <w:rPr>
      <w:b/>
      <w:bCs/>
      <w:caps/>
      <w:kern w:val="28"/>
    </w:rPr>
  </w:style>
  <w:style w:type="paragraph" w:styleId="Heading2">
    <w:name w:val="heading 2"/>
    <w:basedOn w:val="Normal"/>
    <w:next w:val="Normal"/>
    <w:qFormat/>
    <w:pPr>
      <w:keepNext/>
      <w:numPr>
        <w:ilvl w:val="1"/>
        <w:numId w:val="2"/>
      </w:numPr>
      <w:spacing w:before="240"/>
      <w:jc w:val="both"/>
      <w:outlineLvl w:val="1"/>
    </w:pPr>
    <w:rPr>
      <w:b/>
      <w:bCs/>
    </w:rPr>
  </w:style>
  <w:style w:type="paragraph" w:styleId="Heading3">
    <w:name w:val="heading 3"/>
    <w:basedOn w:val="Normal"/>
    <w:next w:val="Normal"/>
    <w:qFormat/>
    <w:pPr>
      <w:keepNext/>
      <w:numPr>
        <w:ilvl w:val="2"/>
        <w:numId w:val="2"/>
      </w:numPr>
      <w:spacing w:before="240"/>
      <w:jc w:val="both"/>
      <w:outlineLvl w:val="2"/>
    </w:pPr>
    <w:rPr>
      <w:b/>
      <w:bCs/>
    </w:rPr>
  </w:style>
  <w:style w:type="paragraph" w:styleId="Heading4">
    <w:name w:val="heading 4"/>
    <w:basedOn w:val="Normal"/>
    <w:next w:val="Normal"/>
    <w:qFormat/>
    <w:pPr>
      <w:keepNext/>
      <w:numPr>
        <w:ilvl w:val="3"/>
        <w:numId w:val="2"/>
      </w:numPr>
      <w:spacing w:before="240"/>
      <w:jc w:val="both"/>
      <w:outlineLvl w:val="3"/>
    </w:pPr>
    <w:rPr>
      <w:b/>
      <w:bCs/>
    </w:rPr>
  </w:style>
  <w:style w:type="paragraph" w:styleId="Heading5">
    <w:name w:val="heading 5"/>
    <w:basedOn w:val="Normal"/>
    <w:next w:val="Normal"/>
    <w:qFormat/>
    <w:pPr>
      <w:keepNext/>
      <w:numPr>
        <w:ilvl w:val="4"/>
        <w:numId w:val="2"/>
      </w:numPr>
      <w:spacing w:before="240"/>
      <w:jc w:val="both"/>
      <w:outlineLvl w:val="4"/>
    </w:pPr>
    <w:rPr>
      <w:b/>
      <w:bCs/>
    </w:rPr>
  </w:style>
  <w:style w:type="paragraph" w:styleId="Heading6">
    <w:name w:val="heading 6"/>
    <w:basedOn w:val="Normal"/>
    <w:next w:val="Normal"/>
    <w:link w:val="Heading6Char"/>
    <w:qFormat/>
    <w:pPr>
      <w:keepNext/>
      <w:numPr>
        <w:ilvl w:val="5"/>
        <w:numId w:val="2"/>
      </w:numPr>
      <w:spacing w:before="240"/>
      <w:jc w:val="both"/>
      <w:outlineLvl w:val="5"/>
    </w:pPr>
    <w:rPr>
      <w:b/>
      <w:bCs/>
    </w:rPr>
  </w:style>
  <w:style w:type="paragraph" w:styleId="Heading7">
    <w:name w:val="heading 7"/>
    <w:basedOn w:val="Normal"/>
    <w:next w:val="Normal"/>
    <w:qFormat/>
    <w:pPr>
      <w:keepNext/>
      <w:numPr>
        <w:ilvl w:val="6"/>
        <w:numId w:val="2"/>
      </w:numPr>
      <w:spacing w:before="240"/>
      <w:jc w:val="both"/>
      <w:outlineLvl w:val="6"/>
    </w:pPr>
    <w:rPr>
      <w:b/>
      <w:bCs/>
    </w:rPr>
  </w:style>
  <w:style w:type="paragraph" w:styleId="Heading8">
    <w:name w:val="heading 8"/>
    <w:basedOn w:val="Normal"/>
    <w:next w:val="Normal"/>
    <w:qFormat/>
    <w:pPr>
      <w:keepNext/>
      <w:numPr>
        <w:ilvl w:val="7"/>
        <w:numId w:val="2"/>
      </w:numPr>
      <w:spacing w:before="240"/>
      <w:jc w:val="both"/>
      <w:outlineLvl w:val="7"/>
    </w:pPr>
    <w:rPr>
      <w:b/>
      <w:bCs/>
    </w:rPr>
  </w:style>
  <w:style w:type="paragraph" w:styleId="Heading9">
    <w:name w:val="heading 9"/>
    <w:basedOn w:val="Normal"/>
    <w:next w:val="Normal"/>
    <w:qFormat/>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szCs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qFormat/>
    <w:rPr>
      <w:vertAlign w:val="superscript"/>
    </w:rPr>
  </w:style>
  <w:style w:type="paragraph" w:styleId="TOAHeading">
    <w:name w:val="toa heading"/>
    <w:basedOn w:val="Normal"/>
    <w:next w:val="Normal"/>
    <w:uiPriority w:val="99"/>
    <w:semiHidden/>
    <w:pPr>
      <w:spacing w:before="120" w:after="240"/>
      <w:jc w:val="center"/>
    </w:pPr>
    <w:rPr>
      <w:b/>
      <w:bCs/>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qFormat/>
    <w:pPr>
      <w:ind w:firstLine="720"/>
    </w:pPr>
    <w:rPr>
      <w:sz w:val="20"/>
      <w:szCs w:val="20"/>
    </w:rPr>
  </w:style>
  <w:style w:type="paragraph" w:styleId="TOC1">
    <w:name w:val="toc 1"/>
    <w:basedOn w:val="Normal"/>
    <w:next w:val="Normal"/>
    <w:uiPriority w:val="39"/>
    <w:pPr>
      <w:tabs>
        <w:tab w:val="right" w:leader="dot" w:pos="9158"/>
      </w:tabs>
      <w:spacing w:after="240"/>
      <w:ind w:left="630" w:right="547" w:hanging="630"/>
    </w:pPr>
    <w:rPr>
      <w:caps/>
      <w:noProof/>
    </w:rPr>
  </w:style>
  <w:style w:type="paragraph" w:styleId="TOC2">
    <w:name w:val="toc 2"/>
    <w:basedOn w:val="Normal"/>
    <w:next w:val="Normal"/>
    <w:uiPriority w:val="39"/>
    <w:pPr>
      <w:tabs>
        <w:tab w:val="right" w:leader="dot" w:pos="9158"/>
      </w:tabs>
      <w:spacing w:after="240"/>
      <w:ind w:left="1080" w:right="547" w:hanging="450"/>
    </w:pPr>
    <w:rPr>
      <w:noProof/>
    </w:rPr>
  </w:style>
  <w:style w:type="paragraph" w:styleId="TOC3">
    <w:name w:val="toc 3"/>
    <w:basedOn w:val="Normal"/>
    <w:next w:val="Normal"/>
    <w:uiPriority w:val="39"/>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uiPriority w:val="99"/>
    <w:semiHidden/>
    <w:pPr>
      <w:tabs>
        <w:tab w:val="right" w:pos="9360"/>
      </w:tabs>
      <w:spacing w:after="240"/>
      <w:ind w:left="245" w:right="720" w:hanging="245"/>
    </w:pPr>
  </w:style>
  <w:style w:type="paragraph" w:customStyle="1" w:styleId="ParNumber">
    <w:name w:val="ParNumber"/>
    <w:basedOn w:val="Normal"/>
    <w:link w:val="ParNumberChar"/>
    <w:pPr>
      <w:numPr>
        <w:numId w:val="1"/>
      </w:numPr>
      <w:tabs>
        <w:tab w:val="left" w:pos="720"/>
      </w:tabs>
    </w:pPr>
  </w:style>
  <w:style w:type="character" w:customStyle="1" w:styleId="Heading6Char">
    <w:name w:val="Heading 6 Char"/>
    <w:link w:val="Heading6"/>
    <w:rPr>
      <w:b/>
      <w:bCs/>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nswer">
    <w:name w:val="answer"/>
    <w:basedOn w:val="Normal"/>
    <w:link w:val="answerChar"/>
    <w:pPr>
      <w:spacing w:before="120" w:after="120" w:line="480" w:lineRule="auto"/>
      <w:ind w:left="720" w:hanging="720"/>
    </w:pPr>
    <w:rPr>
      <w:rFonts w:ascii="Arial" w:hAnsi="Arial" w:cs="Arial"/>
      <w:lang w:eastAsia="zh-CN"/>
    </w:rPr>
  </w:style>
  <w:style w:type="character" w:customStyle="1" w:styleId="answerChar">
    <w:name w:val="answer Char"/>
    <w:link w:val="answer"/>
    <w:rPr>
      <w:rFonts w:ascii="Arial" w:hAnsi="Arial" w:cs="Arial"/>
      <w:sz w:val="24"/>
      <w:szCs w:val="24"/>
      <w:lang w:val="en-US" w:eastAsia="zh-CN"/>
    </w:rPr>
  </w:style>
  <w:style w:type="paragraph" w:styleId="Quote">
    <w:name w:val="Quote"/>
    <w:basedOn w:val="Normal"/>
    <w:link w:val="QuoteChar"/>
    <w:qFormat/>
    <w:pPr>
      <w:ind w:left="720"/>
    </w:pPr>
  </w:style>
  <w:style w:type="character" w:customStyle="1" w:styleId="QuoteChar">
    <w:name w:val="Quote Char"/>
    <w:link w:val="Quote"/>
    <w:rPr>
      <w:sz w:val="24"/>
      <w:szCs w:val="24"/>
      <w:lang w:val="en-US" w:eastAsia="en-US"/>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customStyle="1" w:styleId="Style7">
    <w:name w:val="Style7"/>
    <w:basedOn w:val="Normal"/>
    <w:pPr>
      <w:tabs>
        <w:tab w:val="left" w:pos="720"/>
      </w:tabs>
    </w:pPr>
  </w:style>
  <w:style w:type="paragraph" w:customStyle="1" w:styleId="WUTCParagraph">
    <w:name w:val="WUTC Paragraph"/>
    <w:basedOn w:val="Normal"/>
    <w:link w:val="WUTCParagraphChar"/>
    <w:pPr>
      <w:tabs>
        <w:tab w:val="left" w:pos="1440"/>
      </w:tabs>
      <w:spacing w:line="480" w:lineRule="auto"/>
    </w:p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Pr>
      <w:rFonts w:ascii="Calibri" w:eastAsia="Calibri" w:hAnsi="Calibri"/>
      <w:sz w:val="22"/>
      <w:szCs w:val="21"/>
    </w:rPr>
  </w:style>
  <w:style w:type="character" w:customStyle="1" w:styleId="PlainTextChar">
    <w:name w:val="Plain Text Char"/>
    <w:link w:val="PlainText"/>
    <w:uiPriority w:val="99"/>
    <w:semiHidden/>
    <w:rPr>
      <w:rFonts w:ascii="Calibri" w:eastAsia="Calibri" w:hAnsi="Calibri"/>
      <w:sz w:val="22"/>
      <w:szCs w:val="21"/>
    </w:rPr>
  </w:style>
  <w:style w:type="paragraph" w:customStyle="1" w:styleId="DocID">
    <w:name w:val="DocID"/>
    <w:basedOn w:val="Footer"/>
    <w:next w:val="Footer"/>
    <w:link w:val="DocIDChar"/>
    <w:pPr>
      <w:tabs>
        <w:tab w:val="clear" w:pos="4320"/>
        <w:tab w:val="clear" w:pos="8640"/>
      </w:tabs>
    </w:pPr>
    <w:rPr>
      <w:bCs/>
      <w:sz w:val="18"/>
      <w:szCs w:val="24"/>
    </w:rPr>
  </w:style>
  <w:style w:type="character" w:customStyle="1" w:styleId="ParNumberChar">
    <w:name w:val="ParNumber Char"/>
    <w:basedOn w:val="DefaultParagraphFont"/>
    <w:link w:val="ParNumber"/>
    <w:rPr>
      <w:sz w:val="24"/>
      <w:szCs w:val="24"/>
    </w:rPr>
  </w:style>
  <w:style w:type="character" w:customStyle="1" w:styleId="WUTCParagraphChar">
    <w:name w:val="WUTC Paragraph Char"/>
    <w:basedOn w:val="DefaultParagraphFont"/>
    <w:link w:val="WUTCParagraph"/>
    <w:rPr>
      <w:sz w:val="24"/>
      <w:szCs w:val="24"/>
    </w:rPr>
  </w:style>
  <w:style w:type="character" w:customStyle="1" w:styleId="DocIDChar">
    <w:name w:val="DocID Char"/>
    <w:basedOn w:val="WUTCParagraphChar"/>
    <w:link w:val="DocID"/>
    <w:rPr>
      <w:bCs/>
      <w:sz w:val="18"/>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4"/>
      <w:szCs w:val="24"/>
    </w:rPr>
  </w:style>
  <w:style w:type="paragraph" w:styleId="TOCHeading">
    <w:name w:val="TOC Heading"/>
    <w:basedOn w:val="Heading1"/>
    <w:next w:val="Normal"/>
    <w:uiPriority w:val="39"/>
    <w:semiHidden/>
    <w:unhideWhenUsed/>
    <w:qFormat/>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4477256">
      <w:bodyDiv w:val="1"/>
      <w:marLeft w:val="0"/>
      <w:marRight w:val="0"/>
      <w:marTop w:val="0"/>
      <w:marBottom w:val="0"/>
      <w:divBdr>
        <w:top w:val="none" w:sz="0" w:space="0" w:color="auto"/>
        <w:left w:val="none" w:sz="0" w:space="0" w:color="auto"/>
        <w:bottom w:val="none" w:sz="0" w:space="0" w:color="auto"/>
        <w:right w:val="none" w:sz="0" w:space="0" w:color="auto"/>
      </w:divBdr>
    </w:div>
    <w:div w:id="215165490">
      <w:bodyDiv w:val="1"/>
      <w:marLeft w:val="0"/>
      <w:marRight w:val="0"/>
      <w:marTop w:val="0"/>
      <w:marBottom w:val="0"/>
      <w:divBdr>
        <w:top w:val="none" w:sz="0" w:space="0" w:color="auto"/>
        <w:left w:val="none" w:sz="0" w:space="0" w:color="auto"/>
        <w:bottom w:val="none" w:sz="0" w:space="0" w:color="auto"/>
        <w:right w:val="none" w:sz="0" w:space="0" w:color="auto"/>
      </w:divBdr>
    </w:div>
    <w:div w:id="414980758">
      <w:bodyDiv w:val="1"/>
      <w:marLeft w:val="0"/>
      <w:marRight w:val="0"/>
      <w:marTop w:val="0"/>
      <w:marBottom w:val="0"/>
      <w:divBdr>
        <w:top w:val="none" w:sz="0" w:space="0" w:color="auto"/>
        <w:left w:val="none" w:sz="0" w:space="0" w:color="auto"/>
        <w:bottom w:val="none" w:sz="0" w:space="0" w:color="auto"/>
        <w:right w:val="none" w:sz="0" w:space="0" w:color="auto"/>
      </w:divBdr>
      <w:divsChild>
        <w:div w:id="543519203">
          <w:marLeft w:val="0"/>
          <w:marRight w:val="0"/>
          <w:marTop w:val="0"/>
          <w:marBottom w:val="0"/>
          <w:divBdr>
            <w:top w:val="none" w:sz="0" w:space="0" w:color="auto"/>
            <w:left w:val="none" w:sz="0" w:space="0" w:color="auto"/>
            <w:bottom w:val="none" w:sz="0" w:space="0" w:color="auto"/>
            <w:right w:val="none" w:sz="0" w:space="0" w:color="auto"/>
          </w:divBdr>
        </w:div>
        <w:div w:id="1074736811">
          <w:marLeft w:val="0"/>
          <w:marRight w:val="0"/>
          <w:marTop w:val="0"/>
          <w:marBottom w:val="0"/>
          <w:divBdr>
            <w:top w:val="none" w:sz="0" w:space="0" w:color="auto"/>
            <w:left w:val="none" w:sz="0" w:space="0" w:color="auto"/>
            <w:bottom w:val="none" w:sz="0" w:space="0" w:color="auto"/>
            <w:right w:val="none" w:sz="0" w:space="0" w:color="auto"/>
          </w:divBdr>
        </w:div>
        <w:div w:id="1851018016">
          <w:marLeft w:val="0"/>
          <w:marRight w:val="0"/>
          <w:marTop w:val="0"/>
          <w:marBottom w:val="0"/>
          <w:divBdr>
            <w:top w:val="none" w:sz="0" w:space="0" w:color="auto"/>
            <w:left w:val="none" w:sz="0" w:space="0" w:color="auto"/>
            <w:bottom w:val="none" w:sz="0" w:space="0" w:color="auto"/>
            <w:right w:val="none" w:sz="0" w:space="0" w:color="auto"/>
          </w:divBdr>
        </w:div>
      </w:divsChild>
    </w:div>
    <w:div w:id="526523672">
      <w:bodyDiv w:val="1"/>
      <w:marLeft w:val="0"/>
      <w:marRight w:val="0"/>
      <w:marTop w:val="0"/>
      <w:marBottom w:val="0"/>
      <w:divBdr>
        <w:top w:val="none" w:sz="0" w:space="0" w:color="auto"/>
        <w:left w:val="none" w:sz="0" w:space="0" w:color="auto"/>
        <w:bottom w:val="none" w:sz="0" w:space="0" w:color="auto"/>
        <w:right w:val="none" w:sz="0" w:space="0" w:color="auto"/>
      </w:divBdr>
    </w:div>
    <w:div w:id="689069483">
      <w:bodyDiv w:val="1"/>
      <w:marLeft w:val="0"/>
      <w:marRight w:val="0"/>
      <w:marTop w:val="0"/>
      <w:marBottom w:val="0"/>
      <w:divBdr>
        <w:top w:val="none" w:sz="0" w:space="0" w:color="auto"/>
        <w:left w:val="none" w:sz="0" w:space="0" w:color="auto"/>
        <w:bottom w:val="none" w:sz="0" w:space="0" w:color="auto"/>
        <w:right w:val="none" w:sz="0" w:space="0" w:color="auto"/>
      </w:divBdr>
    </w:div>
    <w:div w:id="832064485">
      <w:bodyDiv w:val="1"/>
      <w:marLeft w:val="0"/>
      <w:marRight w:val="0"/>
      <w:marTop w:val="0"/>
      <w:marBottom w:val="0"/>
      <w:divBdr>
        <w:top w:val="none" w:sz="0" w:space="0" w:color="auto"/>
        <w:left w:val="none" w:sz="0" w:space="0" w:color="auto"/>
        <w:bottom w:val="none" w:sz="0" w:space="0" w:color="auto"/>
        <w:right w:val="none" w:sz="0" w:space="0" w:color="auto"/>
      </w:divBdr>
    </w:div>
    <w:div w:id="944077623">
      <w:bodyDiv w:val="1"/>
      <w:marLeft w:val="0"/>
      <w:marRight w:val="0"/>
      <w:marTop w:val="0"/>
      <w:marBottom w:val="0"/>
      <w:divBdr>
        <w:top w:val="none" w:sz="0" w:space="0" w:color="auto"/>
        <w:left w:val="none" w:sz="0" w:space="0" w:color="auto"/>
        <w:bottom w:val="none" w:sz="0" w:space="0" w:color="auto"/>
        <w:right w:val="none" w:sz="0" w:space="0" w:color="auto"/>
      </w:divBdr>
      <w:divsChild>
        <w:div w:id="1515726303">
          <w:marLeft w:val="0"/>
          <w:marRight w:val="0"/>
          <w:marTop w:val="0"/>
          <w:marBottom w:val="0"/>
          <w:divBdr>
            <w:top w:val="none" w:sz="0" w:space="0" w:color="auto"/>
            <w:left w:val="none" w:sz="0" w:space="0" w:color="auto"/>
            <w:bottom w:val="none" w:sz="0" w:space="0" w:color="auto"/>
            <w:right w:val="none" w:sz="0" w:space="0" w:color="auto"/>
          </w:divBdr>
        </w:div>
        <w:div w:id="1582329530">
          <w:marLeft w:val="0"/>
          <w:marRight w:val="0"/>
          <w:marTop w:val="0"/>
          <w:marBottom w:val="0"/>
          <w:divBdr>
            <w:top w:val="none" w:sz="0" w:space="0" w:color="auto"/>
            <w:left w:val="none" w:sz="0" w:space="0" w:color="auto"/>
            <w:bottom w:val="none" w:sz="0" w:space="0" w:color="auto"/>
            <w:right w:val="none" w:sz="0" w:space="0" w:color="auto"/>
          </w:divBdr>
        </w:div>
        <w:div w:id="1861775826">
          <w:marLeft w:val="0"/>
          <w:marRight w:val="0"/>
          <w:marTop w:val="0"/>
          <w:marBottom w:val="0"/>
          <w:divBdr>
            <w:top w:val="none" w:sz="0" w:space="0" w:color="auto"/>
            <w:left w:val="none" w:sz="0" w:space="0" w:color="auto"/>
            <w:bottom w:val="none" w:sz="0" w:space="0" w:color="auto"/>
            <w:right w:val="none" w:sz="0" w:space="0" w:color="auto"/>
          </w:divBdr>
        </w:div>
      </w:divsChild>
    </w:div>
    <w:div w:id="1060254959">
      <w:bodyDiv w:val="1"/>
      <w:marLeft w:val="0"/>
      <w:marRight w:val="0"/>
      <w:marTop w:val="0"/>
      <w:marBottom w:val="0"/>
      <w:divBdr>
        <w:top w:val="none" w:sz="0" w:space="0" w:color="auto"/>
        <w:left w:val="none" w:sz="0" w:space="0" w:color="auto"/>
        <w:bottom w:val="none" w:sz="0" w:space="0" w:color="auto"/>
        <w:right w:val="none" w:sz="0" w:space="0" w:color="auto"/>
      </w:divBdr>
    </w:div>
    <w:div w:id="1198545194">
      <w:bodyDiv w:val="1"/>
      <w:marLeft w:val="0"/>
      <w:marRight w:val="0"/>
      <w:marTop w:val="0"/>
      <w:marBottom w:val="0"/>
      <w:divBdr>
        <w:top w:val="none" w:sz="0" w:space="0" w:color="auto"/>
        <w:left w:val="none" w:sz="0" w:space="0" w:color="auto"/>
        <w:bottom w:val="none" w:sz="0" w:space="0" w:color="auto"/>
        <w:right w:val="none" w:sz="0" w:space="0" w:color="auto"/>
      </w:divBdr>
    </w:div>
    <w:div w:id="1415394358">
      <w:bodyDiv w:val="1"/>
      <w:marLeft w:val="0"/>
      <w:marRight w:val="0"/>
      <w:marTop w:val="0"/>
      <w:marBottom w:val="0"/>
      <w:divBdr>
        <w:top w:val="none" w:sz="0" w:space="0" w:color="auto"/>
        <w:left w:val="none" w:sz="0" w:space="0" w:color="auto"/>
        <w:bottom w:val="none" w:sz="0" w:space="0" w:color="auto"/>
        <w:right w:val="none" w:sz="0" w:space="0" w:color="auto"/>
      </w:divBdr>
    </w:div>
    <w:div w:id="1430932526">
      <w:bodyDiv w:val="1"/>
      <w:marLeft w:val="0"/>
      <w:marRight w:val="0"/>
      <w:marTop w:val="0"/>
      <w:marBottom w:val="0"/>
      <w:divBdr>
        <w:top w:val="none" w:sz="0" w:space="0" w:color="auto"/>
        <w:left w:val="none" w:sz="0" w:space="0" w:color="auto"/>
        <w:bottom w:val="none" w:sz="0" w:space="0" w:color="auto"/>
        <w:right w:val="none" w:sz="0" w:space="0" w:color="auto"/>
      </w:divBdr>
    </w:div>
    <w:div w:id="1549757283">
      <w:bodyDiv w:val="1"/>
      <w:marLeft w:val="0"/>
      <w:marRight w:val="0"/>
      <w:marTop w:val="0"/>
      <w:marBottom w:val="0"/>
      <w:divBdr>
        <w:top w:val="none" w:sz="0" w:space="0" w:color="auto"/>
        <w:left w:val="none" w:sz="0" w:space="0" w:color="auto"/>
        <w:bottom w:val="none" w:sz="0" w:space="0" w:color="auto"/>
        <w:right w:val="none" w:sz="0" w:space="0" w:color="auto"/>
      </w:divBdr>
      <w:divsChild>
        <w:div w:id="589974462">
          <w:marLeft w:val="0"/>
          <w:marRight w:val="0"/>
          <w:marTop w:val="0"/>
          <w:marBottom w:val="0"/>
          <w:divBdr>
            <w:top w:val="none" w:sz="0" w:space="0" w:color="auto"/>
            <w:left w:val="none" w:sz="0" w:space="0" w:color="auto"/>
            <w:bottom w:val="none" w:sz="0" w:space="0" w:color="auto"/>
            <w:right w:val="none" w:sz="0" w:space="0" w:color="auto"/>
          </w:divBdr>
        </w:div>
        <w:div w:id="1271082052">
          <w:marLeft w:val="0"/>
          <w:marRight w:val="0"/>
          <w:marTop w:val="0"/>
          <w:marBottom w:val="0"/>
          <w:divBdr>
            <w:top w:val="none" w:sz="0" w:space="0" w:color="auto"/>
            <w:left w:val="none" w:sz="0" w:space="0" w:color="auto"/>
            <w:bottom w:val="none" w:sz="0" w:space="0" w:color="auto"/>
            <w:right w:val="none" w:sz="0" w:space="0" w:color="auto"/>
          </w:divBdr>
        </w:div>
        <w:div w:id="1415665521">
          <w:marLeft w:val="0"/>
          <w:marRight w:val="0"/>
          <w:marTop w:val="0"/>
          <w:marBottom w:val="0"/>
          <w:divBdr>
            <w:top w:val="none" w:sz="0" w:space="0" w:color="auto"/>
            <w:left w:val="none" w:sz="0" w:space="0" w:color="auto"/>
            <w:bottom w:val="none" w:sz="0" w:space="0" w:color="auto"/>
            <w:right w:val="none" w:sz="0" w:space="0" w:color="auto"/>
          </w:divBdr>
        </w:div>
      </w:divsChild>
    </w:div>
    <w:div w:id="1745302270">
      <w:bodyDiv w:val="1"/>
      <w:marLeft w:val="0"/>
      <w:marRight w:val="0"/>
      <w:marTop w:val="0"/>
      <w:marBottom w:val="0"/>
      <w:divBdr>
        <w:top w:val="none" w:sz="0" w:space="0" w:color="auto"/>
        <w:left w:val="none" w:sz="0" w:space="0" w:color="auto"/>
        <w:bottom w:val="none" w:sz="0" w:space="0" w:color="auto"/>
        <w:right w:val="none" w:sz="0" w:space="0" w:color="auto"/>
      </w:divBdr>
      <w:divsChild>
        <w:div w:id="1010791413">
          <w:marLeft w:val="0"/>
          <w:marRight w:val="0"/>
          <w:marTop w:val="0"/>
          <w:marBottom w:val="0"/>
          <w:divBdr>
            <w:top w:val="none" w:sz="0" w:space="0" w:color="auto"/>
            <w:left w:val="none" w:sz="0" w:space="0" w:color="auto"/>
            <w:bottom w:val="none" w:sz="0" w:space="0" w:color="auto"/>
            <w:right w:val="none" w:sz="0" w:space="0" w:color="auto"/>
          </w:divBdr>
          <w:divsChild>
            <w:div w:id="249168543">
              <w:marLeft w:val="0"/>
              <w:marRight w:val="0"/>
              <w:marTop w:val="0"/>
              <w:marBottom w:val="0"/>
              <w:divBdr>
                <w:top w:val="none" w:sz="0" w:space="0" w:color="auto"/>
                <w:left w:val="none" w:sz="0" w:space="0" w:color="auto"/>
                <w:bottom w:val="none" w:sz="0" w:space="0" w:color="auto"/>
                <w:right w:val="none" w:sz="0" w:space="0" w:color="auto"/>
              </w:divBdr>
            </w:div>
            <w:div w:id="335109864">
              <w:marLeft w:val="0"/>
              <w:marRight w:val="0"/>
              <w:marTop w:val="0"/>
              <w:marBottom w:val="0"/>
              <w:divBdr>
                <w:top w:val="none" w:sz="0" w:space="0" w:color="auto"/>
                <w:left w:val="none" w:sz="0" w:space="0" w:color="auto"/>
                <w:bottom w:val="none" w:sz="0" w:space="0" w:color="auto"/>
                <w:right w:val="none" w:sz="0" w:space="0" w:color="auto"/>
              </w:divBdr>
            </w:div>
            <w:div w:id="388843196">
              <w:marLeft w:val="0"/>
              <w:marRight w:val="0"/>
              <w:marTop w:val="0"/>
              <w:marBottom w:val="0"/>
              <w:divBdr>
                <w:top w:val="none" w:sz="0" w:space="0" w:color="auto"/>
                <w:left w:val="none" w:sz="0" w:space="0" w:color="auto"/>
                <w:bottom w:val="none" w:sz="0" w:space="0" w:color="auto"/>
                <w:right w:val="none" w:sz="0" w:space="0" w:color="auto"/>
              </w:divBdr>
            </w:div>
            <w:div w:id="611204726">
              <w:marLeft w:val="0"/>
              <w:marRight w:val="0"/>
              <w:marTop w:val="0"/>
              <w:marBottom w:val="0"/>
              <w:divBdr>
                <w:top w:val="none" w:sz="0" w:space="0" w:color="auto"/>
                <w:left w:val="none" w:sz="0" w:space="0" w:color="auto"/>
                <w:bottom w:val="none" w:sz="0" w:space="0" w:color="auto"/>
                <w:right w:val="none" w:sz="0" w:space="0" w:color="auto"/>
              </w:divBdr>
            </w:div>
            <w:div w:id="1536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396">
      <w:bodyDiv w:val="1"/>
      <w:marLeft w:val="0"/>
      <w:marRight w:val="0"/>
      <w:marTop w:val="0"/>
      <w:marBottom w:val="0"/>
      <w:divBdr>
        <w:top w:val="none" w:sz="0" w:space="0" w:color="auto"/>
        <w:left w:val="none" w:sz="0" w:space="0" w:color="auto"/>
        <w:bottom w:val="none" w:sz="0" w:space="0" w:color="auto"/>
        <w:right w:val="none" w:sz="0" w:space="0" w:color="auto"/>
      </w:divBdr>
    </w:div>
    <w:div w:id="1947806124">
      <w:bodyDiv w:val="1"/>
      <w:marLeft w:val="0"/>
      <w:marRight w:val="0"/>
      <w:marTop w:val="0"/>
      <w:marBottom w:val="0"/>
      <w:divBdr>
        <w:top w:val="none" w:sz="0" w:space="0" w:color="auto"/>
        <w:left w:val="none" w:sz="0" w:space="0" w:color="auto"/>
        <w:bottom w:val="none" w:sz="0" w:space="0" w:color="auto"/>
        <w:right w:val="none" w:sz="0" w:space="0" w:color="auto"/>
      </w:divBdr>
    </w:div>
    <w:div w:id="2017726528">
      <w:bodyDiv w:val="1"/>
      <w:marLeft w:val="0"/>
      <w:marRight w:val="0"/>
      <w:marTop w:val="0"/>
      <w:marBottom w:val="0"/>
      <w:divBdr>
        <w:top w:val="none" w:sz="0" w:space="0" w:color="auto"/>
        <w:left w:val="none" w:sz="0" w:space="0" w:color="auto"/>
        <w:bottom w:val="none" w:sz="0" w:space="0" w:color="auto"/>
        <w:right w:val="none" w:sz="0" w:space="0" w:color="auto"/>
      </w:divBdr>
    </w:div>
    <w:div w:id="20573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poshie@utc.wa.gov" TargetMode="External"/><Relationship Id="rId26" Type="http://schemas.openxmlformats.org/officeDocument/2006/relationships/hyperlink" Target="mailto:Larhonda.brown-barrett@bnsf.com" TargetMode="External"/><Relationship Id="rId3" Type="http://schemas.openxmlformats.org/officeDocument/2006/relationships/styles" Target="styles.xml"/><Relationship Id="rId21" Type="http://schemas.openxmlformats.org/officeDocument/2006/relationships/hyperlink" Target="mailto:Cindy.manheim@att.com"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carson@perkinscoie.com" TargetMode="External"/><Relationship Id="rId25" Type="http://schemas.openxmlformats.org/officeDocument/2006/relationships/hyperlink" Target="mailto:Anh.nguyen@kingcounty.gov"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dbarnett@perkinscoie.com" TargetMode="External"/><Relationship Id="rId20" Type="http://schemas.openxmlformats.org/officeDocument/2006/relationships/hyperlink" Target="mailto:Sean.pohlman@at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en.s.johnson@pse.com"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mailto:Michael.mathisen@verizonwireless.com"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George.thomson@ftr.com"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Anthony.minor@kingcounty.gov" TargetMode="External"/><Relationship Id="rId27" Type="http://schemas.openxmlformats.org/officeDocument/2006/relationships/hyperlink" Target="mailto:johncameron@dwt.com" TargetMode="External"/><Relationship Id="rId30"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175C88-2C85-4FE8-B2C0-07B1FA9314E5}"/>
</file>

<file path=customXml/itemProps2.xml><?xml version="1.0" encoding="utf-8"?>
<ds:datastoreItem xmlns:ds="http://schemas.openxmlformats.org/officeDocument/2006/customXml" ds:itemID="{714B7AD6-0565-4F80-B675-CDC9F3194DF4}"/>
</file>

<file path=customXml/itemProps3.xml><?xml version="1.0" encoding="utf-8"?>
<ds:datastoreItem xmlns:ds="http://schemas.openxmlformats.org/officeDocument/2006/customXml" ds:itemID="{BDA4B901-62C2-4779-AF4A-EA65DD95B67C}"/>
</file>

<file path=customXml/itemProps4.xml><?xml version="1.0" encoding="utf-8"?>
<ds:datastoreItem xmlns:ds="http://schemas.openxmlformats.org/officeDocument/2006/customXml" ds:itemID="{2A624A09-F7FE-4117-BF5D-88B9F7BCA63C}"/>
</file>

<file path=customXml/itemProps5.xml><?xml version="1.0" encoding="utf-8"?>
<ds:datastoreItem xmlns:ds="http://schemas.openxmlformats.org/officeDocument/2006/customXml" ds:itemID="{BC497C32-9FCF-4518-BD56-81ADB9E79CF8}"/>
</file>

<file path=docProps/app.xml><?xml version="1.0" encoding="utf-8"?>
<Properties xmlns="http://schemas.openxmlformats.org/officeDocument/2006/extended-properties" xmlns:vt="http://schemas.openxmlformats.org/officeDocument/2006/docPropsVTypes">
  <Template>Normal.dotm</Template>
  <TotalTime>1</TotalTime>
  <Pages>1</Pages>
  <Words>1881</Words>
  <Characters>10599</Characters>
  <Application>Microsoft Office Word</Application>
  <DocSecurity>0</DocSecurity>
  <Lines>299</Lines>
  <Paragraphs>135</Paragraphs>
  <ScaleCrop>false</ScaleCrop>
  <LinksUpToDate>false</LinksUpToDate>
  <CharactersWithSpaces>12461</CharactersWithSpaces>
  <SharedDoc>false</SharedDoc>
  <HLinks>
    <vt:vector size="24" baseType="variant">
      <vt:variant>
        <vt:i4>7077974</vt:i4>
      </vt:variant>
      <vt:variant>
        <vt:i4>9</vt:i4>
      </vt:variant>
      <vt:variant>
        <vt:i4>0</vt:i4>
      </vt:variant>
      <vt:variant>
        <vt:i4>5</vt:i4>
      </vt:variant>
      <vt:variant>
        <vt:lpwstr>mailto:johncameron@dwt.com</vt:lpwstr>
      </vt:variant>
      <vt:variant>
        <vt:lpwstr>
        </vt:lpwstr>
      </vt:variant>
      <vt:variant>
        <vt:i4>3932233</vt:i4>
      </vt:variant>
      <vt:variant>
        <vt:i4>6</vt:i4>
      </vt:variant>
      <vt:variant>
        <vt:i4>0</vt:i4>
      </vt:variant>
      <vt:variant>
        <vt:i4>5</vt:i4>
      </vt:variant>
      <vt:variant>
        <vt:lpwstr>mailto:george.thomson@ftr.com</vt:lpwstr>
      </vt:variant>
      <vt:variant>
        <vt:lpwstr>
        </vt:lpwstr>
      </vt:variant>
      <vt:variant>
        <vt:i4>5701678</vt:i4>
      </vt:variant>
      <vt:variant>
        <vt:i4>3</vt:i4>
      </vt:variant>
      <vt:variant>
        <vt:i4>0</vt:i4>
      </vt:variant>
      <vt:variant>
        <vt:i4>5</vt:i4>
      </vt:variant>
      <vt:variant>
        <vt:lpwstr>mailto:Gregory.Britz@BNSF.com</vt:lpwstr>
      </vt:variant>
      <vt:variant>
        <vt:lpwstr>
        </vt:lpwstr>
      </vt:variant>
      <vt:variant>
        <vt:i4>3539035</vt:i4>
      </vt:variant>
      <vt:variant>
        <vt:i4>0</vt:i4>
      </vt:variant>
      <vt:variant>
        <vt:i4>0</vt:i4>
      </vt:variant>
      <vt:variant>
        <vt:i4>5</vt:i4>
      </vt:variant>
      <vt:variant>
        <vt:lpwstr>mailto:anthony.minor@kingcounty.gov</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dcterms:created xsi:type="dcterms:W3CDTF">2015-09-25T20:42:00Z</dcterms:created>
  <dcterms:modified xsi:type="dcterms:W3CDTF">2015-09-25T21:16:00Z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4830-3425-8728</vt:lpwstr>
  </property>
  <property fmtid="{D5CDD505-2E9C-101B-9397-08002B2CF9AE}" pid="3" name="CUS_DocIDChunk0">
    <vt:lpwstr>4830-3425-8728</vt:lpwstr>
  </property>
  <property fmtid="{D5CDD505-2E9C-101B-9397-08002B2CF9AE}" pid="4" name="CUS_DocIDEndAdjustedPageNumber">
    <vt:lpwstr>-1</vt:lpwstr>
  </property>
  <property fmtid="{D5CDD505-2E9C-101B-9397-08002B2CF9AE}" pid="5" name="CUS_DocIDEndSectionNumber">
    <vt:lpwstr>-1</vt:lpwstr>
  </property>
  <property fmtid="{D5CDD505-2E9C-101B-9397-08002B2CF9AE}" pid="6" name="CUS_DocIDActiveBits">
    <vt:lpwstr>32768</vt:lpwstr>
  </property>
  <property fmtid="{D5CDD505-2E9C-101B-9397-08002B2CF9AE}" pid="7" name="CUS_DocIDLocation">
    <vt:lpwstr>LAST_PAGE_ONLY</vt:lpwstr>
  </property>
  <property fmtid="{D5CDD505-2E9C-101B-9397-08002B2CF9AE}" pid="8" name="ContentTypeId">
    <vt:lpwstr>0x0101006E56B4D1795A2E4DB2F0B01679ED314A00BDEB9561B6E69B4BB5883E057266F749</vt:lpwstr>
  </property>
  <property fmtid="{D5CDD505-2E9C-101B-9397-08002B2CF9AE}" pid="9" name="_docset_NoMedatataSyncRequired">
    <vt:lpwstr>False</vt:lpwstr>
  </property>
</Properties>
</file>