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4485" w:type="dxa"/>
        <w:tblLayout w:type="fixed"/>
        <w:tblLook w:val="04A0" w:firstRow="1" w:lastRow="0" w:firstColumn="1" w:lastColumn="0" w:noHBand="0" w:noVBand="1"/>
      </w:tblPr>
      <w:tblGrid>
        <w:gridCol w:w="1456"/>
        <w:gridCol w:w="1296"/>
        <w:gridCol w:w="1296"/>
        <w:gridCol w:w="1296"/>
        <w:gridCol w:w="1491"/>
        <w:gridCol w:w="31"/>
        <w:gridCol w:w="1499"/>
        <w:gridCol w:w="23"/>
        <w:gridCol w:w="1507"/>
        <w:gridCol w:w="15"/>
        <w:gridCol w:w="1515"/>
        <w:gridCol w:w="7"/>
        <w:gridCol w:w="1523"/>
        <w:gridCol w:w="1530"/>
      </w:tblGrid>
      <w:tr w:rsidR="00A423BB" w:rsidRPr="007E6FD1" w14:paraId="1555F620" w14:textId="77777777" w:rsidTr="00A423BB">
        <w:trPr>
          <w:trHeight w:val="747"/>
          <w:tblHeader/>
        </w:trPr>
        <w:tc>
          <w:tcPr>
            <w:tcW w:w="1456" w:type="dxa"/>
            <w:vMerge w:val="restart"/>
            <w:vAlign w:val="bottom"/>
          </w:tcPr>
          <w:p w14:paraId="1A64C76D" w14:textId="77777777" w:rsidR="00A423BB" w:rsidRPr="004D5328" w:rsidRDefault="00A423BB" w:rsidP="002F3A31">
            <w:pPr>
              <w:jc w:val="center"/>
              <w:rPr>
                <w:b/>
              </w:rPr>
            </w:pPr>
            <w:r w:rsidRPr="004D5328">
              <w:rPr>
                <w:b/>
              </w:rPr>
              <w:t>Adjustment</w:t>
            </w:r>
          </w:p>
        </w:tc>
        <w:tc>
          <w:tcPr>
            <w:tcW w:w="1296" w:type="dxa"/>
            <w:vMerge w:val="restart"/>
            <w:vAlign w:val="bottom"/>
          </w:tcPr>
          <w:p w14:paraId="27435F9D" w14:textId="77777777" w:rsidR="00A423BB" w:rsidRDefault="00A423BB" w:rsidP="002F3A31">
            <w:pPr>
              <w:jc w:val="center"/>
              <w:rPr>
                <w:b/>
              </w:rPr>
            </w:pPr>
            <w:r>
              <w:rPr>
                <w:b/>
              </w:rPr>
              <w:t>April 3, 2014,</w:t>
            </w:r>
            <w:r w:rsidRPr="004D5328">
              <w:rPr>
                <w:b/>
              </w:rPr>
              <w:t xml:space="preserve"> Testimony </w:t>
            </w:r>
            <w:r>
              <w:rPr>
                <w:b/>
              </w:rPr>
              <w:t>of Jackie Davis</w:t>
            </w:r>
            <w:r w:rsidRPr="004D5328">
              <w:rPr>
                <w:b/>
              </w:rPr>
              <w:t xml:space="preserve"> </w:t>
            </w:r>
          </w:p>
        </w:tc>
        <w:tc>
          <w:tcPr>
            <w:tcW w:w="1296" w:type="dxa"/>
            <w:vMerge w:val="restart"/>
            <w:vAlign w:val="bottom"/>
          </w:tcPr>
          <w:p w14:paraId="5EB7DAA8" w14:textId="77777777" w:rsidR="00A423BB" w:rsidRPr="004D5328" w:rsidRDefault="00A423BB" w:rsidP="002F3A31">
            <w:pPr>
              <w:jc w:val="center"/>
              <w:rPr>
                <w:b/>
              </w:rPr>
            </w:pPr>
            <w:r w:rsidRPr="004D5328">
              <w:rPr>
                <w:b/>
              </w:rPr>
              <w:t>July 18, 2014</w:t>
            </w:r>
            <w:r>
              <w:rPr>
                <w:b/>
              </w:rPr>
              <w:t>, T</w:t>
            </w:r>
            <w:r w:rsidRPr="004D5328">
              <w:rPr>
                <w:b/>
              </w:rPr>
              <w:t>estimony</w:t>
            </w:r>
            <w:r>
              <w:rPr>
                <w:b/>
              </w:rPr>
              <w:t xml:space="preserve"> of </w:t>
            </w:r>
            <w:r w:rsidRPr="00974E1F">
              <w:rPr>
                <w:b/>
              </w:rPr>
              <w:t>Melissa Cheesman</w:t>
            </w:r>
            <w:r w:rsidRPr="004D5328">
              <w:rPr>
                <w:b/>
              </w:rPr>
              <w:t xml:space="preserve"> </w:t>
            </w:r>
          </w:p>
        </w:tc>
        <w:tc>
          <w:tcPr>
            <w:tcW w:w="1296" w:type="dxa"/>
            <w:vMerge w:val="restart"/>
            <w:vAlign w:val="bottom"/>
          </w:tcPr>
          <w:p w14:paraId="4E4C49F4" w14:textId="77777777" w:rsidR="00A423BB" w:rsidRPr="004D5328" w:rsidRDefault="00A423BB" w:rsidP="002F3A31">
            <w:pPr>
              <w:jc w:val="center"/>
              <w:rPr>
                <w:b/>
              </w:rPr>
            </w:pPr>
            <w:r w:rsidRPr="004D5328">
              <w:rPr>
                <w:b/>
              </w:rPr>
              <w:t>August 20, 2014</w:t>
            </w:r>
            <w:r>
              <w:rPr>
                <w:b/>
              </w:rPr>
              <w:t xml:space="preserve">, </w:t>
            </w:r>
            <w:r w:rsidRPr="004D5328">
              <w:rPr>
                <w:b/>
              </w:rPr>
              <w:t xml:space="preserve">Rebuttal Testimony </w:t>
            </w:r>
            <w:r>
              <w:rPr>
                <w:b/>
              </w:rPr>
              <w:t>of Jackie Davis</w:t>
            </w:r>
            <w:r w:rsidRPr="004D5328">
              <w:rPr>
                <w:b/>
              </w:rPr>
              <w:t xml:space="preserve"> </w:t>
            </w:r>
          </w:p>
        </w:tc>
        <w:tc>
          <w:tcPr>
            <w:tcW w:w="7611" w:type="dxa"/>
            <w:gridSpan w:val="9"/>
            <w:vAlign w:val="bottom"/>
          </w:tcPr>
          <w:p w14:paraId="5FBDF732" w14:textId="77777777" w:rsidR="00A423BB" w:rsidRDefault="00A423BB" w:rsidP="002F3A31">
            <w:pPr>
              <w:jc w:val="center"/>
              <w:rPr>
                <w:b/>
              </w:rPr>
            </w:pPr>
            <w:r>
              <w:rPr>
                <w:b/>
              </w:rPr>
              <w:t>New Data Provided by the Company</w:t>
            </w:r>
          </w:p>
          <w:p w14:paraId="15C1260A" w14:textId="77777777" w:rsidR="00A423BB" w:rsidRDefault="00A423BB" w:rsidP="002F3A31">
            <w:pPr>
              <w:jc w:val="center"/>
              <w:rPr>
                <w:b/>
              </w:rPr>
            </w:pPr>
          </w:p>
          <w:p w14:paraId="2DDCFE30" w14:textId="1CA7BD32" w:rsidR="00A423BB" w:rsidRPr="002B54AC" w:rsidRDefault="00A423BB" w:rsidP="00A423BB">
            <w:pPr>
              <w:rPr>
                <w:b/>
                <w:sz w:val="18"/>
                <w:szCs w:val="18"/>
              </w:rPr>
            </w:pPr>
            <w:r>
              <w:rPr>
                <w:b/>
                <w:sz w:val="18"/>
                <w:szCs w:val="18"/>
              </w:rPr>
              <w:t xml:space="preserve"> </w:t>
            </w:r>
          </w:p>
        </w:tc>
        <w:tc>
          <w:tcPr>
            <w:tcW w:w="1530" w:type="dxa"/>
            <w:vMerge w:val="restart"/>
            <w:vAlign w:val="bottom"/>
          </w:tcPr>
          <w:p w14:paraId="121045E4" w14:textId="77777777" w:rsidR="00A423BB" w:rsidRPr="007E6FD1" w:rsidRDefault="00A423BB" w:rsidP="002F3A31">
            <w:pPr>
              <w:jc w:val="center"/>
              <w:rPr>
                <w:b/>
              </w:rPr>
            </w:pPr>
            <w:r>
              <w:rPr>
                <w:b/>
              </w:rPr>
              <w:t>September 9, 2014, Settlement</w:t>
            </w:r>
          </w:p>
        </w:tc>
      </w:tr>
      <w:tr w:rsidR="00A423BB" w:rsidRPr="007E6FD1" w14:paraId="6F76A0B3" w14:textId="77777777" w:rsidTr="003F036C">
        <w:trPr>
          <w:trHeight w:val="747"/>
          <w:tblHeader/>
        </w:trPr>
        <w:tc>
          <w:tcPr>
            <w:tcW w:w="1456" w:type="dxa"/>
            <w:vMerge/>
            <w:vAlign w:val="bottom"/>
          </w:tcPr>
          <w:p w14:paraId="66B4AB33" w14:textId="77777777" w:rsidR="00A423BB" w:rsidRPr="004D5328" w:rsidRDefault="00A423BB" w:rsidP="002F3A31">
            <w:pPr>
              <w:jc w:val="center"/>
              <w:rPr>
                <w:b/>
              </w:rPr>
            </w:pPr>
          </w:p>
        </w:tc>
        <w:tc>
          <w:tcPr>
            <w:tcW w:w="1296" w:type="dxa"/>
            <w:vMerge/>
            <w:vAlign w:val="bottom"/>
          </w:tcPr>
          <w:p w14:paraId="3C18B0D9" w14:textId="77777777" w:rsidR="00A423BB" w:rsidRDefault="00A423BB" w:rsidP="002F3A31">
            <w:pPr>
              <w:jc w:val="center"/>
              <w:rPr>
                <w:b/>
              </w:rPr>
            </w:pPr>
          </w:p>
        </w:tc>
        <w:tc>
          <w:tcPr>
            <w:tcW w:w="1296" w:type="dxa"/>
            <w:vMerge/>
            <w:vAlign w:val="bottom"/>
          </w:tcPr>
          <w:p w14:paraId="1A454F33" w14:textId="77777777" w:rsidR="00A423BB" w:rsidRPr="004D5328" w:rsidRDefault="00A423BB" w:rsidP="002F3A31">
            <w:pPr>
              <w:jc w:val="center"/>
              <w:rPr>
                <w:b/>
              </w:rPr>
            </w:pPr>
          </w:p>
        </w:tc>
        <w:tc>
          <w:tcPr>
            <w:tcW w:w="1296" w:type="dxa"/>
            <w:vMerge/>
            <w:vAlign w:val="bottom"/>
          </w:tcPr>
          <w:p w14:paraId="6FFC0D40" w14:textId="77777777" w:rsidR="00A423BB" w:rsidRPr="004D5328" w:rsidRDefault="00A423BB" w:rsidP="002F3A31">
            <w:pPr>
              <w:jc w:val="center"/>
              <w:rPr>
                <w:b/>
              </w:rPr>
            </w:pPr>
          </w:p>
        </w:tc>
        <w:tc>
          <w:tcPr>
            <w:tcW w:w="1522" w:type="dxa"/>
            <w:gridSpan w:val="2"/>
            <w:vAlign w:val="bottom"/>
          </w:tcPr>
          <w:p w14:paraId="6B8CA609" w14:textId="5D17B9A7" w:rsidR="00A423BB" w:rsidRDefault="00A423BB" w:rsidP="002F3A31">
            <w:pPr>
              <w:jc w:val="center"/>
              <w:rPr>
                <w:b/>
              </w:rPr>
            </w:pPr>
            <w:r w:rsidRPr="002B54AC">
              <w:rPr>
                <w:b/>
                <w:sz w:val="18"/>
                <w:szCs w:val="18"/>
              </w:rPr>
              <w:t>August 20, 2014</w:t>
            </w:r>
            <w:r>
              <w:rPr>
                <w:b/>
                <w:sz w:val="18"/>
                <w:szCs w:val="18"/>
              </w:rPr>
              <w:t xml:space="preserve">      </w:t>
            </w:r>
          </w:p>
        </w:tc>
        <w:tc>
          <w:tcPr>
            <w:tcW w:w="1522" w:type="dxa"/>
            <w:gridSpan w:val="2"/>
            <w:vAlign w:val="bottom"/>
          </w:tcPr>
          <w:p w14:paraId="0DCA8EC0" w14:textId="33ACC6B9" w:rsidR="00A423BB" w:rsidRDefault="00A423BB" w:rsidP="002F3A31">
            <w:pPr>
              <w:jc w:val="center"/>
              <w:rPr>
                <w:b/>
              </w:rPr>
            </w:pPr>
            <w:r w:rsidRPr="002B54AC">
              <w:rPr>
                <w:b/>
                <w:sz w:val="18"/>
                <w:szCs w:val="18"/>
              </w:rPr>
              <w:t xml:space="preserve">August 21, 2014       </w:t>
            </w:r>
          </w:p>
        </w:tc>
        <w:tc>
          <w:tcPr>
            <w:tcW w:w="1522" w:type="dxa"/>
            <w:gridSpan w:val="2"/>
            <w:vAlign w:val="bottom"/>
          </w:tcPr>
          <w:p w14:paraId="2ED30962" w14:textId="1BF12A1B" w:rsidR="00A423BB" w:rsidRDefault="00A423BB" w:rsidP="002F3A31">
            <w:pPr>
              <w:jc w:val="center"/>
              <w:rPr>
                <w:b/>
              </w:rPr>
            </w:pPr>
            <w:r>
              <w:rPr>
                <w:b/>
                <w:sz w:val="18"/>
                <w:szCs w:val="18"/>
              </w:rPr>
              <w:t xml:space="preserve">August 26, 2014       </w:t>
            </w:r>
          </w:p>
        </w:tc>
        <w:tc>
          <w:tcPr>
            <w:tcW w:w="1522" w:type="dxa"/>
            <w:gridSpan w:val="2"/>
            <w:vAlign w:val="bottom"/>
          </w:tcPr>
          <w:p w14:paraId="711BBFD4" w14:textId="46CE66F6" w:rsidR="00A423BB" w:rsidRDefault="00A423BB" w:rsidP="002F3A31">
            <w:pPr>
              <w:jc w:val="center"/>
              <w:rPr>
                <w:b/>
              </w:rPr>
            </w:pPr>
            <w:r w:rsidRPr="002B54AC">
              <w:rPr>
                <w:b/>
                <w:sz w:val="18"/>
                <w:szCs w:val="18"/>
              </w:rPr>
              <w:t xml:space="preserve">August 27, 2014       </w:t>
            </w:r>
          </w:p>
        </w:tc>
        <w:tc>
          <w:tcPr>
            <w:tcW w:w="1523" w:type="dxa"/>
            <w:vAlign w:val="bottom"/>
          </w:tcPr>
          <w:p w14:paraId="33953328" w14:textId="6A11F8E9" w:rsidR="00A423BB" w:rsidRDefault="00A423BB" w:rsidP="002F3A31">
            <w:pPr>
              <w:jc w:val="center"/>
              <w:rPr>
                <w:b/>
              </w:rPr>
            </w:pPr>
            <w:r w:rsidRPr="002B54AC">
              <w:rPr>
                <w:b/>
                <w:sz w:val="18"/>
                <w:szCs w:val="18"/>
              </w:rPr>
              <w:t>August 28, 2014</w:t>
            </w:r>
          </w:p>
        </w:tc>
        <w:tc>
          <w:tcPr>
            <w:tcW w:w="1530" w:type="dxa"/>
            <w:vMerge/>
            <w:vAlign w:val="bottom"/>
          </w:tcPr>
          <w:p w14:paraId="7DD85660" w14:textId="77777777" w:rsidR="00A423BB" w:rsidRDefault="00A423BB" w:rsidP="002F3A31">
            <w:pPr>
              <w:jc w:val="center"/>
              <w:rPr>
                <w:b/>
              </w:rPr>
            </w:pPr>
          </w:p>
        </w:tc>
      </w:tr>
      <w:tr w:rsidR="001B24E1" w:rsidRPr="004D5328" w14:paraId="209233F2" w14:textId="77777777" w:rsidTr="002F3A31">
        <w:tblPrEx>
          <w:tblLook w:val="0680" w:firstRow="0" w:lastRow="0" w:firstColumn="1" w:lastColumn="0" w:noHBand="1" w:noVBand="1"/>
        </w:tblPrEx>
        <w:tc>
          <w:tcPr>
            <w:tcW w:w="1456" w:type="dxa"/>
          </w:tcPr>
          <w:p w14:paraId="1DCFE93E" w14:textId="2DBD91C8" w:rsidR="001B24E1" w:rsidRPr="004D5328" w:rsidRDefault="0076013F" w:rsidP="002F3A31">
            <w:r w:rsidRPr="00DC7C56">
              <w:t>Removal of the City of Kalama</w:t>
            </w:r>
            <w:r>
              <w:rPr>
                <w:rStyle w:val="FootnoteReference"/>
              </w:rPr>
              <w:t xml:space="preserve"> </w:t>
            </w:r>
            <w:r w:rsidR="001B24E1">
              <w:rPr>
                <w:rStyle w:val="FootnoteReference"/>
              </w:rPr>
              <w:footnoteReference w:id="1"/>
            </w:r>
            <w:r w:rsidR="001B24E1">
              <w:t xml:space="preserve"> (RC-1, RC-1A and P-5A)</w:t>
            </w:r>
          </w:p>
        </w:tc>
        <w:tc>
          <w:tcPr>
            <w:tcW w:w="1296" w:type="dxa"/>
          </w:tcPr>
          <w:p w14:paraId="4C33AB2A" w14:textId="77777777" w:rsidR="001B24E1" w:rsidRPr="0076013F" w:rsidRDefault="001B24E1" w:rsidP="002F3A31">
            <w:pPr>
              <w:rPr>
                <w:sz w:val="20"/>
                <w:szCs w:val="20"/>
              </w:rPr>
            </w:pPr>
            <w:r w:rsidRPr="0076013F">
              <w:rPr>
                <w:sz w:val="20"/>
                <w:szCs w:val="20"/>
              </w:rPr>
              <w:t>$   145,805 (on May 23, 2014, WCI modified its position to $160,257)</w:t>
            </w:r>
          </w:p>
        </w:tc>
        <w:tc>
          <w:tcPr>
            <w:tcW w:w="1296" w:type="dxa"/>
          </w:tcPr>
          <w:p w14:paraId="753A5A93" w14:textId="77777777" w:rsidR="001B24E1" w:rsidRPr="0076013F" w:rsidRDefault="001B24E1" w:rsidP="002F3A31">
            <w:pPr>
              <w:rPr>
                <w:sz w:val="20"/>
                <w:szCs w:val="20"/>
              </w:rPr>
            </w:pPr>
            <w:r w:rsidRPr="0076013F">
              <w:rPr>
                <w:sz w:val="20"/>
                <w:szCs w:val="20"/>
              </w:rPr>
              <w:t>$   278,929</w:t>
            </w:r>
          </w:p>
        </w:tc>
        <w:tc>
          <w:tcPr>
            <w:tcW w:w="1296" w:type="dxa"/>
          </w:tcPr>
          <w:p w14:paraId="5AB19DF4" w14:textId="77777777" w:rsidR="001B24E1" w:rsidRPr="0076013F" w:rsidRDefault="001B24E1" w:rsidP="002F3A31">
            <w:pPr>
              <w:rPr>
                <w:sz w:val="20"/>
                <w:szCs w:val="20"/>
              </w:rPr>
            </w:pPr>
            <w:r w:rsidRPr="0076013F">
              <w:rPr>
                <w:sz w:val="20"/>
                <w:szCs w:val="20"/>
              </w:rPr>
              <w:t>$ 0</w:t>
            </w:r>
          </w:p>
          <w:p w14:paraId="6B0590D9" w14:textId="77777777" w:rsidR="001B24E1" w:rsidRPr="0076013F" w:rsidRDefault="001B24E1" w:rsidP="002F3A31">
            <w:pPr>
              <w:rPr>
                <w:sz w:val="20"/>
                <w:szCs w:val="20"/>
              </w:rPr>
            </w:pPr>
            <w:r w:rsidRPr="0076013F">
              <w:rPr>
                <w:sz w:val="20"/>
                <w:szCs w:val="20"/>
              </w:rPr>
              <w:t>(No Separation of non-regulated and regulated operations)</w:t>
            </w:r>
          </w:p>
        </w:tc>
        <w:tc>
          <w:tcPr>
            <w:tcW w:w="1491" w:type="dxa"/>
          </w:tcPr>
          <w:p w14:paraId="4F92D4A9" w14:textId="60682139" w:rsidR="001B24E1" w:rsidRPr="0076013F" w:rsidRDefault="001B24E1" w:rsidP="002F3A31">
            <w:pPr>
              <w:rPr>
                <w:sz w:val="20"/>
                <w:szCs w:val="20"/>
              </w:rPr>
            </w:pPr>
            <w:r w:rsidRPr="0076013F">
              <w:rPr>
                <w:sz w:val="20"/>
                <w:szCs w:val="20"/>
              </w:rPr>
              <w:t>Jackie Davis</w:t>
            </w:r>
            <w:r w:rsidR="00222F42" w:rsidRPr="0076013F">
              <w:rPr>
                <w:sz w:val="20"/>
                <w:szCs w:val="20"/>
              </w:rPr>
              <w:t>’ rebuttal testimony</w:t>
            </w:r>
            <w:r w:rsidRPr="0076013F">
              <w:rPr>
                <w:sz w:val="20"/>
                <w:szCs w:val="20"/>
              </w:rPr>
              <w:t xml:space="preserve"> states that in 2009, prior UTC Staff advised Company to not separate non-regulated operations.</w:t>
            </w:r>
          </w:p>
        </w:tc>
        <w:tc>
          <w:tcPr>
            <w:tcW w:w="1530" w:type="dxa"/>
            <w:gridSpan w:val="2"/>
          </w:tcPr>
          <w:p w14:paraId="4EF52CBD" w14:textId="77777777" w:rsidR="001B24E1" w:rsidRPr="0076013F" w:rsidRDefault="001B24E1" w:rsidP="002F3A31">
            <w:pPr>
              <w:rPr>
                <w:sz w:val="20"/>
                <w:szCs w:val="20"/>
              </w:rPr>
            </w:pPr>
            <w:r w:rsidRPr="0076013F">
              <w:rPr>
                <w:sz w:val="20"/>
                <w:szCs w:val="20"/>
              </w:rPr>
              <w:t>WCI provides a new August 2014 Route Study.</w:t>
            </w:r>
          </w:p>
        </w:tc>
        <w:tc>
          <w:tcPr>
            <w:tcW w:w="1530" w:type="dxa"/>
            <w:gridSpan w:val="2"/>
          </w:tcPr>
          <w:p w14:paraId="2EC2243B" w14:textId="77777777" w:rsidR="001B24E1" w:rsidRPr="0076013F" w:rsidRDefault="001B24E1" w:rsidP="002F3A31">
            <w:pPr>
              <w:rPr>
                <w:sz w:val="20"/>
                <w:szCs w:val="20"/>
              </w:rPr>
            </w:pPr>
            <w:r w:rsidRPr="0076013F">
              <w:rPr>
                <w:sz w:val="20"/>
                <w:szCs w:val="20"/>
              </w:rPr>
              <w:t>n/a</w:t>
            </w:r>
          </w:p>
        </w:tc>
        <w:tc>
          <w:tcPr>
            <w:tcW w:w="1530" w:type="dxa"/>
            <w:gridSpan w:val="2"/>
          </w:tcPr>
          <w:p w14:paraId="68F4AF8B" w14:textId="77777777" w:rsidR="001B24E1" w:rsidRPr="0076013F" w:rsidRDefault="001B24E1" w:rsidP="002F3A31">
            <w:pPr>
              <w:rPr>
                <w:sz w:val="20"/>
                <w:szCs w:val="20"/>
              </w:rPr>
            </w:pPr>
            <w:r w:rsidRPr="0076013F">
              <w:rPr>
                <w:sz w:val="20"/>
                <w:szCs w:val="20"/>
              </w:rPr>
              <w:t>n/a</w:t>
            </w:r>
          </w:p>
          <w:p w14:paraId="0DFF459C" w14:textId="77777777" w:rsidR="001B24E1" w:rsidRPr="0076013F" w:rsidRDefault="001B24E1" w:rsidP="002F3A31">
            <w:pPr>
              <w:rPr>
                <w:sz w:val="20"/>
                <w:szCs w:val="20"/>
              </w:rPr>
            </w:pPr>
          </w:p>
        </w:tc>
        <w:tc>
          <w:tcPr>
            <w:tcW w:w="1530" w:type="dxa"/>
            <w:gridSpan w:val="2"/>
          </w:tcPr>
          <w:p w14:paraId="151E2A8C" w14:textId="77777777" w:rsidR="001B24E1" w:rsidRPr="0076013F" w:rsidRDefault="001B24E1" w:rsidP="002F3A31">
            <w:pPr>
              <w:rPr>
                <w:sz w:val="20"/>
                <w:szCs w:val="20"/>
              </w:rPr>
            </w:pPr>
            <w:r w:rsidRPr="0076013F">
              <w:rPr>
                <w:sz w:val="20"/>
                <w:szCs w:val="20"/>
              </w:rPr>
              <w:t>n/a</w:t>
            </w:r>
          </w:p>
        </w:tc>
        <w:tc>
          <w:tcPr>
            <w:tcW w:w="1530" w:type="dxa"/>
          </w:tcPr>
          <w:p w14:paraId="4152EB2A" w14:textId="77777777" w:rsidR="001B24E1" w:rsidRPr="0076013F" w:rsidRDefault="001B24E1" w:rsidP="002F3A31">
            <w:pPr>
              <w:rPr>
                <w:sz w:val="20"/>
                <w:szCs w:val="20"/>
              </w:rPr>
            </w:pPr>
            <w:r w:rsidRPr="0076013F">
              <w:rPr>
                <w:sz w:val="20"/>
                <w:szCs w:val="20"/>
              </w:rPr>
              <w:t>$ 0</w:t>
            </w:r>
          </w:p>
          <w:p w14:paraId="25148DD7" w14:textId="77777777" w:rsidR="001B24E1" w:rsidRPr="0076013F" w:rsidRDefault="001B24E1" w:rsidP="002F3A31">
            <w:pPr>
              <w:rPr>
                <w:b/>
                <w:sz w:val="20"/>
                <w:szCs w:val="20"/>
              </w:rPr>
            </w:pPr>
            <w:r w:rsidRPr="0076013F">
              <w:rPr>
                <w:sz w:val="20"/>
                <w:szCs w:val="20"/>
              </w:rPr>
              <w:t>(No Separation of non-regulated and regulated operations)</w:t>
            </w:r>
          </w:p>
        </w:tc>
      </w:tr>
      <w:tr w:rsidR="001B24E1" w:rsidRPr="004D5328" w14:paraId="4F747D80" w14:textId="77777777" w:rsidTr="002F3A31">
        <w:tblPrEx>
          <w:tblLook w:val="0680" w:firstRow="0" w:lastRow="0" w:firstColumn="1" w:lastColumn="0" w:noHBand="1" w:noVBand="1"/>
        </w:tblPrEx>
        <w:tc>
          <w:tcPr>
            <w:tcW w:w="1456" w:type="dxa"/>
          </w:tcPr>
          <w:p w14:paraId="23DF7F4A" w14:textId="77777777" w:rsidR="001B24E1" w:rsidRPr="00914C8B" w:rsidRDefault="001B24E1" w:rsidP="002F3A31">
            <w:r w:rsidRPr="002254C0">
              <w:t>Average Net Investment</w:t>
            </w:r>
            <w:r>
              <w:t xml:space="preserve"> (R-10)</w:t>
            </w:r>
          </w:p>
        </w:tc>
        <w:tc>
          <w:tcPr>
            <w:tcW w:w="1296" w:type="dxa"/>
          </w:tcPr>
          <w:p w14:paraId="50231273" w14:textId="77777777" w:rsidR="001B24E1" w:rsidRPr="0076013F" w:rsidRDefault="001B24E1" w:rsidP="002F3A31">
            <w:pPr>
              <w:rPr>
                <w:sz w:val="20"/>
                <w:szCs w:val="20"/>
              </w:rPr>
            </w:pPr>
            <w:r w:rsidRPr="0076013F">
              <w:rPr>
                <w:sz w:val="20"/>
                <w:szCs w:val="20"/>
              </w:rPr>
              <w:t>$1,565,896</w:t>
            </w:r>
          </w:p>
        </w:tc>
        <w:tc>
          <w:tcPr>
            <w:tcW w:w="1296" w:type="dxa"/>
          </w:tcPr>
          <w:p w14:paraId="6C879413" w14:textId="77777777" w:rsidR="001B24E1" w:rsidRPr="0076013F" w:rsidRDefault="001B24E1" w:rsidP="002F3A31">
            <w:pPr>
              <w:rPr>
                <w:sz w:val="20"/>
                <w:szCs w:val="20"/>
              </w:rPr>
            </w:pPr>
            <w:r w:rsidRPr="0076013F">
              <w:rPr>
                <w:sz w:val="20"/>
                <w:szCs w:val="20"/>
              </w:rPr>
              <w:t>$1,417,479</w:t>
            </w:r>
          </w:p>
        </w:tc>
        <w:tc>
          <w:tcPr>
            <w:tcW w:w="1296" w:type="dxa"/>
          </w:tcPr>
          <w:p w14:paraId="284895FD" w14:textId="77777777" w:rsidR="001B24E1" w:rsidRPr="0076013F" w:rsidRDefault="001B24E1" w:rsidP="002F3A31">
            <w:pPr>
              <w:rPr>
                <w:sz w:val="20"/>
                <w:szCs w:val="20"/>
              </w:rPr>
            </w:pPr>
            <w:r w:rsidRPr="0076013F">
              <w:rPr>
                <w:sz w:val="20"/>
                <w:szCs w:val="20"/>
              </w:rPr>
              <w:t>$1,550,313</w:t>
            </w:r>
          </w:p>
        </w:tc>
        <w:tc>
          <w:tcPr>
            <w:tcW w:w="1491" w:type="dxa"/>
          </w:tcPr>
          <w:p w14:paraId="03AED2C5" w14:textId="17D10195" w:rsidR="001B24E1" w:rsidRPr="0076013F" w:rsidRDefault="001B24E1" w:rsidP="002F3A31">
            <w:pPr>
              <w:rPr>
                <w:sz w:val="20"/>
                <w:szCs w:val="20"/>
              </w:rPr>
            </w:pPr>
            <w:r w:rsidRPr="0076013F">
              <w:rPr>
                <w:sz w:val="20"/>
                <w:szCs w:val="20"/>
              </w:rPr>
              <w:t>Jackie Davis</w:t>
            </w:r>
            <w:r w:rsidR="008F2A7E" w:rsidRPr="0076013F">
              <w:rPr>
                <w:sz w:val="20"/>
                <w:szCs w:val="20"/>
              </w:rPr>
              <w:t>’ rebuttal testimony</w:t>
            </w:r>
            <w:r w:rsidRPr="0076013F">
              <w:rPr>
                <w:sz w:val="20"/>
                <w:szCs w:val="20"/>
              </w:rPr>
              <w:t xml:space="preserve"> states that in 2009, prior UTC Staff advised Company to not separate non-regulated operations.</w:t>
            </w:r>
          </w:p>
        </w:tc>
        <w:tc>
          <w:tcPr>
            <w:tcW w:w="1530" w:type="dxa"/>
            <w:gridSpan w:val="2"/>
          </w:tcPr>
          <w:p w14:paraId="64D88A75" w14:textId="77777777" w:rsidR="001B24E1" w:rsidRPr="0076013F" w:rsidRDefault="001B24E1" w:rsidP="002F3A31">
            <w:pPr>
              <w:rPr>
                <w:sz w:val="20"/>
                <w:szCs w:val="20"/>
              </w:rPr>
            </w:pPr>
            <w:r w:rsidRPr="0076013F">
              <w:rPr>
                <w:sz w:val="20"/>
                <w:szCs w:val="20"/>
              </w:rPr>
              <w:t>WCI provides a new August 2014 Route Study.</w:t>
            </w:r>
          </w:p>
        </w:tc>
        <w:tc>
          <w:tcPr>
            <w:tcW w:w="1530" w:type="dxa"/>
            <w:gridSpan w:val="2"/>
          </w:tcPr>
          <w:p w14:paraId="6244A1DD" w14:textId="77777777" w:rsidR="001B24E1" w:rsidRPr="0076013F" w:rsidRDefault="001B24E1" w:rsidP="002F3A31">
            <w:pPr>
              <w:rPr>
                <w:sz w:val="20"/>
                <w:szCs w:val="20"/>
              </w:rPr>
            </w:pPr>
            <w:r w:rsidRPr="0076013F">
              <w:rPr>
                <w:sz w:val="20"/>
                <w:szCs w:val="20"/>
              </w:rPr>
              <w:t>n/a</w:t>
            </w:r>
          </w:p>
        </w:tc>
        <w:tc>
          <w:tcPr>
            <w:tcW w:w="1530" w:type="dxa"/>
            <w:gridSpan w:val="2"/>
          </w:tcPr>
          <w:p w14:paraId="7E0282AF" w14:textId="77777777" w:rsidR="001B24E1" w:rsidRPr="0076013F" w:rsidRDefault="001B24E1" w:rsidP="002F3A31">
            <w:pPr>
              <w:rPr>
                <w:sz w:val="20"/>
                <w:szCs w:val="20"/>
              </w:rPr>
            </w:pPr>
            <w:r w:rsidRPr="0076013F">
              <w:rPr>
                <w:sz w:val="20"/>
                <w:szCs w:val="20"/>
              </w:rPr>
              <w:t>n/a</w:t>
            </w:r>
          </w:p>
          <w:p w14:paraId="415C66E4" w14:textId="77777777" w:rsidR="001B24E1" w:rsidRPr="0076013F" w:rsidRDefault="001B24E1" w:rsidP="002F3A31">
            <w:pPr>
              <w:rPr>
                <w:sz w:val="20"/>
                <w:szCs w:val="20"/>
              </w:rPr>
            </w:pPr>
          </w:p>
        </w:tc>
        <w:tc>
          <w:tcPr>
            <w:tcW w:w="1530" w:type="dxa"/>
            <w:gridSpan w:val="2"/>
          </w:tcPr>
          <w:p w14:paraId="10E40149" w14:textId="77777777" w:rsidR="001B24E1" w:rsidRPr="0076013F" w:rsidRDefault="001B24E1" w:rsidP="002F3A31">
            <w:pPr>
              <w:rPr>
                <w:sz w:val="20"/>
                <w:szCs w:val="20"/>
              </w:rPr>
            </w:pPr>
            <w:r w:rsidRPr="0076013F">
              <w:rPr>
                <w:sz w:val="20"/>
                <w:szCs w:val="20"/>
              </w:rPr>
              <w:t>n/a</w:t>
            </w:r>
          </w:p>
        </w:tc>
        <w:tc>
          <w:tcPr>
            <w:tcW w:w="1530" w:type="dxa"/>
          </w:tcPr>
          <w:p w14:paraId="161219CD" w14:textId="54050BAB" w:rsidR="001B24E1" w:rsidRPr="0076013F" w:rsidRDefault="001B24E1" w:rsidP="002F3A31">
            <w:pPr>
              <w:rPr>
                <w:sz w:val="20"/>
                <w:szCs w:val="20"/>
              </w:rPr>
            </w:pPr>
            <w:r w:rsidRPr="0076013F">
              <w:rPr>
                <w:sz w:val="20"/>
                <w:szCs w:val="20"/>
              </w:rPr>
              <w:t>$1,548,613</w:t>
            </w:r>
          </w:p>
        </w:tc>
      </w:tr>
      <w:tr w:rsidR="001B24E1" w:rsidRPr="004D5328" w14:paraId="3F1E2D53" w14:textId="77777777" w:rsidTr="002F3A31">
        <w:tblPrEx>
          <w:tblLook w:val="0680" w:firstRow="0" w:lastRow="0" w:firstColumn="1" w:lastColumn="0" w:noHBand="1" w:noVBand="1"/>
        </w:tblPrEx>
        <w:tc>
          <w:tcPr>
            <w:tcW w:w="1456" w:type="dxa"/>
          </w:tcPr>
          <w:p w14:paraId="42FF81E6" w14:textId="77777777" w:rsidR="001B24E1" w:rsidRDefault="001B24E1" w:rsidP="002F3A31">
            <w:r>
              <w:t xml:space="preserve">Depreciation Expense </w:t>
            </w:r>
          </w:p>
          <w:p w14:paraId="5F272BB2" w14:textId="77777777" w:rsidR="001B24E1" w:rsidRPr="00E2283C" w:rsidRDefault="001B24E1" w:rsidP="002F3A31">
            <w:r>
              <w:t>(R-1A)</w:t>
            </w:r>
          </w:p>
        </w:tc>
        <w:tc>
          <w:tcPr>
            <w:tcW w:w="1296" w:type="dxa"/>
          </w:tcPr>
          <w:p w14:paraId="7CC42F04" w14:textId="77777777" w:rsidR="001B24E1" w:rsidRPr="0076013F" w:rsidRDefault="001B24E1" w:rsidP="002F3A31">
            <w:pPr>
              <w:rPr>
                <w:sz w:val="20"/>
                <w:szCs w:val="20"/>
              </w:rPr>
            </w:pPr>
            <w:r w:rsidRPr="0076013F">
              <w:rPr>
                <w:sz w:val="20"/>
                <w:szCs w:val="20"/>
              </w:rPr>
              <w:t>$   175,780</w:t>
            </w:r>
          </w:p>
          <w:p w14:paraId="14DF6E20" w14:textId="77777777" w:rsidR="001B24E1" w:rsidRDefault="001B24E1" w:rsidP="002F3A31">
            <w:pPr>
              <w:rPr>
                <w:sz w:val="20"/>
                <w:szCs w:val="20"/>
              </w:rPr>
            </w:pPr>
            <w:r w:rsidRPr="0076013F">
              <w:rPr>
                <w:sz w:val="20"/>
                <w:szCs w:val="20"/>
              </w:rPr>
              <w:t xml:space="preserve">(on May 23, 2014, WCI modified its position to </w:t>
            </w:r>
            <w:r w:rsidRPr="0076013F">
              <w:rPr>
                <w:sz w:val="20"/>
                <w:szCs w:val="20"/>
              </w:rPr>
              <w:lastRenderedPageBreak/>
              <w:t>$175,587)</w:t>
            </w:r>
          </w:p>
          <w:p w14:paraId="0D4CA71D" w14:textId="77777777" w:rsidR="0076013F" w:rsidRPr="0076013F" w:rsidRDefault="0076013F" w:rsidP="002F3A31">
            <w:pPr>
              <w:rPr>
                <w:sz w:val="20"/>
                <w:szCs w:val="20"/>
              </w:rPr>
            </w:pPr>
          </w:p>
        </w:tc>
        <w:tc>
          <w:tcPr>
            <w:tcW w:w="1296" w:type="dxa"/>
          </w:tcPr>
          <w:p w14:paraId="50B3C459" w14:textId="77777777" w:rsidR="001B24E1" w:rsidRPr="0076013F" w:rsidRDefault="001B24E1" w:rsidP="002F3A31">
            <w:pPr>
              <w:rPr>
                <w:sz w:val="20"/>
                <w:szCs w:val="20"/>
              </w:rPr>
            </w:pPr>
            <w:r w:rsidRPr="0076013F">
              <w:rPr>
                <w:sz w:val="20"/>
                <w:szCs w:val="20"/>
              </w:rPr>
              <w:lastRenderedPageBreak/>
              <w:t>$   193,472</w:t>
            </w:r>
          </w:p>
        </w:tc>
        <w:tc>
          <w:tcPr>
            <w:tcW w:w="1296" w:type="dxa"/>
          </w:tcPr>
          <w:p w14:paraId="1B8068BF" w14:textId="77777777" w:rsidR="001B24E1" w:rsidRPr="0076013F" w:rsidRDefault="001B24E1" w:rsidP="002F3A31">
            <w:pPr>
              <w:rPr>
                <w:sz w:val="20"/>
                <w:szCs w:val="20"/>
              </w:rPr>
            </w:pPr>
            <w:r w:rsidRPr="0076013F">
              <w:rPr>
                <w:sz w:val="20"/>
                <w:szCs w:val="20"/>
              </w:rPr>
              <w:t>$   209,766</w:t>
            </w:r>
          </w:p>
        </w:tc>
        <w:tc>
          <w:tcPr>
            <w:tcW w:w="1491" w:type="dxa"/>
          </w:tcPr>
          <w:p w14:paraId="283F15C5" w14:textId="77777777" w:rsidR="001B24E1" w:rsidRPr="0076013F" w:rsidRDefault="001B24E1" w:rsidP="002F3A31">
            <w:pPr>
              <w:rPr>
                <w:sz w:val="20"/>
                <w:szCs w:val="20"/>
              </w:rPr>
            </w:pPr>
            <w:r w:rsidRPr="0076013F">
              <w:rPr>
                <w:sz w:val="20"/>
                <w:szCs w:val="20"/>
              </w:rPr>
              <w:t>n/a</w:t>
            </w:r>
          </w:p>
        </w:tc>
        <w:tc>
          <w:tcPr>
            <w:tcW w:w="1530" w:type="dxa"/>
            <w:gridSpan w:val="2"/>
          </w:tcPr>
          <w:p w14:paraId="1732EAC1" w14:textId="77777777" w:rsidR="001B24E1" w:rsidRPr="0076013F" w:rsidRDefault="001B24E1" w:rsidP="002F3A31">
            <w:pPr>
              <w:rPr>
                <w:sz w:val="20"/>
                <w:szCs w:val="20"/>
              </w:rPr>
            </w:pPr>
            <w:r w:rsidRPr="0076013F">
              <w:rPr>
                <w:sz w:val="20"/>
                <w:szCs w:val="20"/>
              </w:rPr>
              <w:t>n/a</w:t>
            </w:r>
          </w:p>
        </w:tc>
        <w:tc>
          <w:tcPr>
            <w:tcW w:w="1530" w:type="dxa"/>
            <w:gridSpan w:val="2"/>
          </w:tcPr>
          <w:p w14:paraId="1764ACD5" w14:textId="77777777" w:rsidR="001B24E1" w:rsidRPr="0076013F" w:rsidRDefault="001B24E1" w:rsidP="002F3A31">
            <w:pPr>
              <w:rPr>
                <w:sz w:val="20"/>
                <w:szCs w:val="20"/>
              </w:rPr>
            </w:pPr>
            <w:r w:rsidRPr="0076013F">
              <w:rPr>
                <w:sz w:val="20"/>
                <w:szCs w:val="20"/>
              </w:rPr>
              <w:t>n/a</w:t>
            </w:r>
          </w:p>
        </w:tc>
        <w:tc>
          <w:tcPr>
            <w:tcW w:w="1530" w:type="dxa"/>
            <w:gridSpan w:val="2"/>
          </w:tcPr>
          <w:p w14:paraId="0C471C22" w14:textId="77777777" w:rsidR="001B24E1" w:rsidRPr="0076013F" w:rsidRDefault="001B24E1" w:rsidP="002F3A31">
            <w:pPr>
              <w:rPr>
                <w:sz w:val="20"/>
                <w:szCs w:val="20"/>
              </w:rPr>
            </w:pPr>
            <w:r w:rsidRPr="0076013F">
              <w:rPr>
                <w:sz w:val="20"/>
                <w:szCs w:val="20"/>
              </w:rPr>
              <w:t>n/a</w:t>
            </w:r>
          </w:p>
        </w:tc>
        <w:tc>
          <w:tcPr>
            <w:tcW w:w="1530" w:type="dxa"/>
            <w:gridSpan w:val="2"/>
          </w:tcPr>
          <w:p w14:paraId="1F0EF309" w14:textId="77777777" w:rsidR="001B24E1" w:rsidRPr="0076013F" w:rsidRDefault="001B24E1" w:rsidP="002F3A31">
            <w:pPr>
              <w:rPr>
                <w:sz w:val="20"/>
                <w:szCs w:val="20"/>
              </w:rPr>
            </w:pPr>
            <w:r w:rsidRPr="0076013F">
              <w:rPr>
                <w:sz w:val="20"/>
                <w:szCs w:val="20"/>
              </w:rPr>
              <w:t>n/a</w:t>
            </w:r>
          </w:p>
        </w:tc>
        <w:tc>
          <w:tcPr>
            <w:tcW w:w="1530" w:type="dxa"/>
          </w:tcPr>
          <w:p w14:paraId="1B8E59F8" w14:textId="77777777" w:rsidR="001B24E1" w:rsidRPr="0076013F" w:rsidRDefault="001B24E1" w:rsidP="002F3A31">
            <w:pPr>
              <w:rPr>
                <w:sz w:val="20"/>
                <w:szCs w:val="20"/>
              </w:rPr>
            </w:pPr>
            <w:r w:rsidRPr="0076013F">
              <w:rPr>
                <w:sz w:val="20"/>
                <w:szCs w:val="20"/>
              </w:rPr>
              <w:t>$   209,766</w:t>
            </w:r>
          </w:p>
        </w:tc>
      </w:tr>
      <w:tr w:rsidR="001B24E1" w:rsidRPr="004D5328" w14:paraId="268BD35C" w14:textId="77777777" w:rsidTr="002F3A31">
        <w:tblPrEx>
          <w:tblLook w:val="0680" w:firstRow="0" w:lastRow="0" w:firstColumn="1" w:lastColumn="0" w:noHBand="1" w:noVBand="1"/>
        </w:tblPrEx>
        <w:tc>
          <w:tcPr>
            <w:tcW w:w="1456" w:type="dxa"/>
          </w:tcPr>
          <w:p w14:paraId="03BDA5C5" w14:textId="77777777" w:rsidR="001B24E1" w:rsidRDefault="001B24E1" w:rsidP="002F3A31">
            <w:r w:rsidRPr="004D5328">
              <w:lastRenderedPageBreak/>
              <w:t>Property Tax Expense</w:t>
            </w:r>
            <w:r>
              <w:t xml:space="preserve"> </w:t>
            </w:r>
          </w:p>
          <w:p w14:paraId="1D8D172A" w14:textId="77777777" w:rsidR="001B24E1" w:rsidRPr="004D5328" w:rsidRDefault="001B24E1" w:rsidP="002F3A31">
            <w:r>
              <w:t>(R-6G)</w:t>
            </w:r>
          </w:p>
        </w:tc>
        <w:tc>
          <w:tcPr>
            <w:tcW w:w="1296" w:type="dxa"/>
          </w:tcPr>
          <w:p w14:paraId="48BE5A42" w14:textId="77777777" w:rsidR="001B24E1" w:rsidRPr="0076013F" w:rsidRDefault="001B24E1" w:rsidP="002F3A31">
            <w:pPr>
              <w:rPr>
                <w:sz w:val="20"/>
                <w:szCs w:val="20"/>
              </w:rPr>
            </w:pPr>
            <w:r w:rsidRPr="0076013F">
              <w:rPr>
                <w:sz w:val="20"/>
                <w:szCs w:val="20"/>
              </w:rPr>
              <w:t>$       8,500</w:t>
            </w:r>
          </w:p>
          <w:p w14:paraId="49997210" w14:textId="77777777" w:rsidR="001B24E1" w:rsidRPr="0076013F" w:rsidRDefault="001B24E1" w:rsidP="002F3A31">
            <w:pPr>
              <w:rPr>
                <w:sz w:val="20"/>
                <w:szCs w:val="20"/>
              </w:rPr>
            </w:pPr>
            <w:r w:rsidRPr="0076013F">
              <w:rPr>
                <w:sz w:val="20"/>
                <w:szCs w:val="20"/>
              </w:rPr>
              <w:t>(on May 23, 2014, WCI modified its position to $8,497)</w:t>
            </w:r>
          </w:p>
        </w:tc>
        <w:tc>
          <w:tcPr>
            <w:tcW w:w="1296" w:type="dxa"/>
          </w:tcPr>
          <w:p w14:paraId="1EB9B2B8" w14:textId="77777777" w:rsidR="001B24E1" w:rsidRPr="0076013F" w:rsidRDefault="001B24E1" w:rsidP="002F3A31">
            <w:pPr>
              <w:rPr>
                <w:sz w:val="20"/>
                <w:szCs w:val="20"/>
              </w:rPr>
            </w:pPr>
            <w:r w:rsidRPr="0076013F">
              <w:rPr>
                <w:sz w:val="20"/>
                <w:szCs w:val="20"/>
              </w:rPr>
              <w:t>$       6,162</w:t>
            </w:r>
          </w:p>
        </w:tc>
        <w:tc>
          <w:tcPr>
            <w:tcW w:w="1296" w:type="dxa"/>
          </w:tcPr>
          <w:p w14:paraId="550A0DB1" w14:textId="77777777" w:rsidR="001B24E1" w:rsidRPr="0076013F" w:rsidRDefault="001B24E1" w:rsidP="002F3A31">
            <w:pPr>
              <w:rPr>
                <w:sz w:val="20"/>
                <w:szCs w:val="20"/>
              </w:rPr>
            </w:pPr>
            <w:r w:rsidRPr="0076013F">
              <w:rPr>
                <w:sz w:val="20"/>
                <w:szCs w:val="20"/>
              </w:rPr>
              <w:t>$       9,007</w:t>
            </w:r>
          </w:p>
        </w:tc>
        <w:tc>
          <w:tcPr>
            <w:tcW w:w="1491" w:type="dxa"/>
          </w:tcPr>
          <w:p w14:paraId="7DBC18C3" w14:textId="77777777" w:rsidR="001B24E1" w:rsidRPr="0076013F" w:rsidRDefault="001B24E1" w:rsidP="002F3A31">
            <w:pPr>
              <w:rPr>
                <w:sz w:val="20"/>
                <w:szCs w:val="20"/>
              </w:rPr>
            </w:pPr>
            <w:r w:rsidRPr="0076013F">
              <w:rPr>
                <w:sz w:val="20"/>
                <w:szCs w:val="20"/>
              </w:rPr>
              <w:t>Exhibit JD-49, tab “WP-15 p1 2012 Property Taxes” and tab “WP-15 p22013 Property Taxes” includes a newly-placed-into-service truck shop facility and WCI’s Rebuttal Testimony of Jackie Davis proposing the removal of WCPF from Staff’s three-factor allocation method.</w:t>
            </w:r>
          </w:p>
        </w:tc>
        <w:tc>
          <w:tcPr>
            <w:tcW w:w="1530" w:type="dxa"/>
            <w:gridSpan w:val="2"/>
          </w:tcPr>
          <w:p w14:paraId="340EEC66" w14:textId="77777777" w:rsidR="001B24E1" w:rsidRPr="0076013F" w:rsidRDefault="001B24E1" w:rsidP="002F3A31">
            <w:pPr>
              <w:rPr>
                <w:sz w:val="20"/>
                <w:szCs w:val="20"/>
              </w:rPr>
            </w:pPr>
            <w:r w:rsidRPr="0076013F">
              <w:rPr>
                <w:sz w:val="20"/>
                <w:szCs w:val="20"/>
              </w:rPr>
              <w:t>WCI provided its adjusted three-factor allocation calculation.</w:t>
            </w:r>
          </w:p>
        </w:tc>
        <w:tc>
          <w:tcPr>
            <w:tcW w:w="1530" w:type="dxa"/>
            <w:gridSpan w:val="2"/>
          </w:tcPr>
          <w:p w14:paraId="3B8FCCC3" w14:textId="77777777" w:rsidR="001B24E1" w:rsidRPr="0076013F" w:rsidRDefault="001B24E1" w:rsidP="002F3A31">
            <w:pPr>
              <w:rPr>
                <w:sz w:val="20"/>
                <w:szCs w:val="20"/>
              </w:rPr>
            </w:pPr>
            <w:r w:rsidRPr="0076013F">
              <w:rPr>
                <w:sz w:val="20"/>
                <w:szCs w:val="20"/>
              </w:rPr>
              <w:t>n/a</w:t>
            </w:r>
          </w:p>
        </w:tc>
        <w:tc>
          <w:tcPr>
            <w:tcW w:w="1530" w:type="dxa"/>
            <w:gridSpan w:val="2"/>
          </w:tcPr>
          <w:p w14:paraId="16AF282A" w14:textId="77777777" w:rsidR="001B24E1" w:rsidRPr="0076013F" w:rsidRDefault="001B24E1" w:rsidP="002F3A31">
            <w:pPr>
              <w:rPr>
                <w:sz w:val="20"/>
                <w:szCs w:val="20"/>
              </w:rPr>
            </w:pPr>
            <w:r w:rsidRPr="0076013F">
              <w:rPr>
                <w:sz w:val="20"/>
                <w:szCs w:val="20"/>
              </w:rPr>
              <w:t>WCI provides explanation of its hardcodes and WCE disposal pass-through.</w:t>
            </w:r>
          </w:p>
        </w:tc>
        <w:tc>
          <w:tcPr>
            <w:tcW w:w="1530" w:type="dxa"/>
            <w:gridSpan w:val="2"/>
          </w:tcPr>
          <w:p w14:paraId="58A48622" w14:textId="77777777" w:rsidR="001B24E1" w:rsidRPr="0076013F" w:rsidRDefault="001B24E1" w:rsidP="002F3A31">
            <w:pPr>
              <w:rPr>
                <w:sz w:val="20"/>
                <w:szCs w:val="20"/>
              </w:rPr>
            </w:pPr>
            <w:r w:rsidRPr="0076013F">
              <w:rPr>
                <w:sz w:val="20"/>
                <w:szCs w:val="20"/>
              </w:rPr>
              <w:t>n/a</w:t>
            </w:r>
          </w:p>
        </w:tc>
        <w:tc>
          <w:tcPr>
            <w:tcW w:w="1530" w:type="dxa"/>
          </w:tcPr>
          <w:p w14:paraId="3ABAAD01" w14:textId="77777777" w:rsidR="001B24E1" w:rsidRPr="0076013F" w:rsidRDefault="001B24E1" w:rsidP="002F3A31">
            <w:pPr>
              <w:rPr>
                <w:b/>
                <w:sz w:val="20"/>
                <w:szCs w:val="20"/>
              </w:rPr>
            </w:pPr>
            <w:r w:rsidRPr="0076013F">
              <w:rPr>
                <w:sz w:val="20"/>
                <w:szCs w:val="20"/>
              </w:rPr>
              <w:t>$       9,007</w:t>
            </w:r>
          </w:p>
        </w:tc>
      </w:tr>
      <w:tr w:rsidR="001B24E1" w:rsidRPr="004D5328" w14:paraId="3AFC563C" w14:textId="77777777" w:rsidTr="002F3A31">
        <w:tblPrEx>
          <w:tblLook w:val="0680" w:firstRow="0" w:lastRow="0" w:firstColumn="1" w:lastColumn="0" w:noHBand="1" w:noVBand="1"/>
        </w:tblPrEx>
        <w:tc>
          <w:tcPr>
            <w:tcW w:w="1456" w:type="dxa"/>
          </w:tcPr>
          <w:p w14:paraId="5D383BA6" w14:textId="3B89186F" w:rsidR="001B24E1" w:rsidRDefault="001B24E1" w:rsidP="002F3A31">
            <w:r>
              <w:t>Spare Truck Rent</w:t>
            </w:r>
            <w:r w:rsidR="0076013F">
              <w:t>s</w:t>
            </w:r>
            <w:r>
              <w:t xml:space="preserve"> Expense </w:t>
            </w:r>
          </w:p>
          <w:p w14:paraId="5155373B" w14:textId="77777777" w:rsidR="001B24E1" w:rsidRPr="004D5328" w:rsidRDefault="001B24E1" w:rsidP="002F3A31">
            <w:r>
              <w:t>(R-6H)</w:t>
            </w:r>
          </w:p>
        </w:tc>
        <w:tc>
          <w:tcPr>
            <w:tcW w:w="1296" w:type="dxa"/>
          </w:tcPr>
          <w:p w14:paraId="4D34A9CD" w14:textId="77777777" w:rsidR="001B24E1" w:rsidRPr="0076013F" w:rsidRDefault="001B24E1" w:rsidP="002F3A31">
            <w:pPr>
              <w:rPr>
                <w:sz w:val="20"/>
                <w:szCs w:val="20"/>
              </w:rPr>
            </w:pPr>
            <w:r w:rsidRPr="0076013F">
              <w:rPr>
                <w:sz w:val="20"/>
                <w:szCs w:val="20"/>
              </w:rPr>
              <w:t>$     34,852</w:t>
            </w:r>
          </w:p>
          <w:p w14:paraId="5A908C7A" w14:textId="77777777" w:rsidR="001B24E1" w:rsidRDefault="001B24E1" w:rsidP="002F3A31">
            <w:pPr>
              <w:rPr>
                <w:sz w:val="20"/>
                <w:szCs w:val="20"/>
              </w:rPr>
            </w:pPr>
            <w:r w:rsidRPr="0076013F">
              <w:rPr>
                <w:sz w:val="20"/>
                <w:szCs w:val="20"/>
              </w:rPr>
              <w:t>(on May 23, 2014, WCI modified its position to $34,843)</w:t>
            </w:r>
          </w:p>
          <w:p w14:paraId="766A0FC4" w14:textId="77777777" w:rsidR="0076013F" w:rsidRDefault="0076013F" w:rsidP="002F3A31">
            <w:pPr>
              <w:rPr>
                <w:sz w:val="20"/>
                <w:szCs w:val="20"/>
              </w:rPr>
            </w:pPr>
          </w:p>
          <w:p w14:paraId="5DEBBE2C" w14:textId="77777777" w:rsidR="0076013F" w:rsidRDefault="0076013F" w:rsidP="002F3A31">
            <w:pPr>
              <w:rPr>
                <w:sz w:val="20"/>
                <w:szCs w:val="20"/>
              </w:rPr>
            </w:pPr>
          </w:p>
          <w:p w14:paraId="37EB9472" w14:textId="77777777" w:rsidR="0076013F" w:rsidRDefault="0076013F" w:rsidP="002F3A31">
            <w:pPr>
              <w:rPr>
                <w:sz w:val="20"/>
                <w:szCs w:val="20"/>
              </w:rPr>
            </w:pPr>
          </w:p>
          <w:p w14:paraId="63AAB9EB" w14:textId="77777777" w:rsidR="0076013F" w:rsidRDefault="0076013F" w:rsidP="002F3A31">
            <w:pPr>
              <w:rPr>
                <w:sz w:val="20"/>
                <w:szCs w:val="20"/>
              </w:rPr>
            </w:pPr>
          </w:p>
          <w:p w14:paraId="27AB6AC7" w14:textId="77777777" w:rsidR="0076013F" w:rsidRDefault="0076013F" w:rsidP="002F3A31">
            <w:pPr>
              <w:rPr>
                <w:sz w:val="20"/>
                <w:szCs w:val="20"/>
              </w:rPr>
            </w:pPr>
          </w:p>
          <w:p w14:paraId="7862EF5E" w14:textId="77777777" w:rsidR="0076013F" w:rsidRPr="0076013F" w:rsidRDefault="0076013F" w:rsidP="002F3A31">
            <w:pPr>
              <w:rPr>
                <w:sz w:val="20"/>
                <w:szCs w:val="20"/>
              </w:rPr>
            </w:pPr>
          </w:p>
        </w:tc>
        <w:tc>
          <w:tcPr>
            <w:tcW w:w="1296" w:type="dxa"/>
          </w:tcPr>
          <w:p w14:paraId="0685D772" w14:textId="77777777" w:rsidR="001B24E1" w:rsidRPr="0076013F" w:rsidRDefault="001B24E1" w:rsidP="002F3A31">
            <w:pPr>
              <w:rPr>
                <w:sz w:val="20"/>
                <w:szCs w:val="20"/>
              </w:rPr>
            </w:pPr>
            <w:r w:rsidRPr="0076013F">
              <w:rPr>
                <w:sz w:val="20"/>
                <w:szCs w:val="20"/>
              </w:rPr>
              <w:lastRenderedPageBreak/>
              <w:t>$       8,404</w:t>
            </w:r>
          </w:p>
        </w:tc>
        <w:tc>
          <w:tcPr>
            <w:tcW w:w="1296" w:type="dxa"/>
          </w:tcPr>
          <w:p w14:paraId="57A6F246" w14:textId="77777777" w:rsidR="001B24E1" w:rsidRPr="0076013F" w:rsidRDefault="001B24E1" w:rsidP="002F3A31">
            <w:pPr>
              <w:rPr>
                <w:sz w:val="20"/>
                <w:szCs w:val="20"/>
              </w:rPr>
            </w:pPr>
            <w:r w:rsidRPr="0076013F">
              <w:rPr>
                <w:sz w:val="20"/>
                <w:szCs w:val="20"/>
              </w:rPr>
              <w:t>$     40,013</w:t>
            </w:r>
          </w:p>
        </w:tc>
        <w:tc>
          <w:tcPr>
            <w:tcW w:w="1491" w:type="dxa"/>
          </w:tcPr>
          <w:p w14:paraId="3AA95AAC" w14:textId="77777777" w:rsidR="001B24E1" w:rsidRPr="0076013F" w:rsidRDefault="001B24E1" w:rsidP="002F3A31">
            <w:pPr>
              <w:rPr>
                <w:sz w:val="20"/>
                <w:szCs w:val="20"/>
              </w:rPr>
            </w:pPr>
            <w:r w:rsidRPr="0076013F">
              <w:rPr>
                <w:sz w:val="20"/>
                <w:szCs w:val="20"/>
              </w:rPr>
              <w:t xml:space="preserve">Exhibit JD-49, tab “WP-19 Truck Rent” includes test year spare truck usage data based on landfill </w:t>
            </w:r>
            <w:r w:rsidRPr="0076013F">
              <w:rPr>
                <w:sz w:val="20"/>
                <w:szCs w:val="20"/>
              </w:rPr>
              <w:lastRenderedPageBreak/>
              <w:t>disposal tickets.</w:t>
            </w:r>
          </w:p>
        </w:tc>
        <w:tc>
          <w:tcPr>
            <w:tcW w:w="1530" w:type="dxa"/>
            <w:gridSpan w:val="2"/>
          </w:tcPr>
          <w:p w14:paraId="0E0839E6" w14:textId="77777777" w:rsidR="001B24E1" w:rsidRPr="0076013F" w:rsidRDefault="001B24E1" w:rsidP="002F3A31">
            <w:pPr>
              <w:rPr>
                <w:sz w:val="20"/>
                <w:szCs w:val="20"/>
              </w:rPr>
            </w:pPr>
            <w:r w:rsidRPr="0076013F">
              <w:rPr>
                <w:sz w:val="20"/>
                <w:szCs w:val="20"/>
              </w:rPr>
              <w:lastRenderedPageBreak/>
              <w:t>n/a</w:t>
            </w:r>
          </w:p>
        </w:tc>
        <w:tc>
          <w:tcPr>
            <w:tcW w:w="1530" w:type="dxa"/>
            <w:gridSpan w:val="2"/>
          </w:tcPr>
          <w:p w14:paraId="6CA1F5FB" w14:textId="77777777" w:rsidR="001B24E1" w:rsidRPr="0076013F" w:rsidRDefault="001B24E1" w:rsidP="002F3A31">
            <w:pPr>
              <w:rPr>
                <w:sz w:val="20"/>
                <w:szCs w:val="20"/>
              </w:rPr>
            </w:pPr>
            <w:r w:rsidRPr="0076013F">
              <w:rPr>
                <w:sz w:val="20"/>
                <w:szCs w:val="20"/>
              </w:rPr>
              <w:t>n/a</w:t>
            </w:r>
          </w:p>
        </w:tc>
        <w:tc>
          <w:tcPr>
            <w:tcW w:w="1530" w:type="dxa"/>
            <w:gridSpan w:val="2"/>
          </w:tcPr>
          <w:p w14:paraId="1C669EB0" w14:textId="77777777" w:rsidR="001B24E1" w:rsidRPr="0076013F" w:rsidRDefault="001B24E1" w:rsidP="002F3A31">
            <w:pPr>
              <w:rPr>
                <w:sz w:val="20"/>
                <w:szCs w:val="20"/>
              </w:rPr>
            </w:pPr>
            <w:r w:rsidRPr="0076013F">
              <w:rPr>
                <w:sz w:val="20"/>
                <w:szCs w:val="20"/>
              </w:rPr>
              <w:t>n/a</w:t>
            </w:r>
          </w:p>
        </w:tc>
        <w:tc>
          <w:tcPr>
            <w:tcW w:w="1530" w:type="dxa"/>
            <w:gridSpan w:val="2"/>
          </w:tcPr>
          <w:p w14:paraId="27E28D32" w14:textId="77777777" w:rsidR="001B24E1" w:rsidRPr="0076013F" w:rsidRDefault="001B24E1" w:rsidP="002F3A31">
            <w:pPr>
              <w:rPr>
                <w:sz w:val="20"/>
                <w:szCs w:val="20"/>
              </w:rPr>
            </w:pPr>
            <w:r w:rsidRPr="0076013F">
              <w:rPr>
                <w:sz w:val="20"/>
                <w:szCs w:val="20"/>
              </w:rPr>
              <w:t>n/a</w:t>
            </w:r>
          </w:p>
        </w:tc>
        <w:tc>
          <w:tcPr>
            <w:tcW w:w="1530" w:type="dxa"/>
          </w:tcPr>
          <w:p w14:paraId="394F870A" w14:textId="77777777" w:rsidR="001B24E1" w:rsidRPr="0076013F" w:rsidRDefault="001B24E1" w:rsidP="002F3A31">
            <w:pPr>
              <w:rPr>
                <w:b/>
                <w:sz w:val="20"/>
                <w:szCs w:val="20"/>
              </w:rPr>
            </w:pPr>
            <w:r w:rsidRPr="0076013F">
              <w:rPr>
                <w:sz w:val="20"/>
                <w:szCs w:val="20"/>
              </w:rPr>
              <w:t>$     36,000</w:t>
            </w:r>
          </w:p>
        </w:tc>
      </w:tr>
      <w:tr w:rsidR="001B24E1" w:rsidRPr="004D5328" w14:paraId="043F7C48" w14:textId="77777777" w:rsidTr="002F3A31">
        <w:tblPrEx>
          <w:tblLook w:val="0680" w:firstRow="0" w:lastRow="0" w:firstColumn="1" w:lastColumn="0" w:noHBand="1" w:noVBand="1"/>
        </w:tblPrEx>
        <w:tc>
          <w:tcPr>
            <w:tcW w:w="1456" w:type="dxa"/>
          </w:tcPr>
          <w:p w14:paraId="7D852033" w14:textId="520085E5" w:rsidR="001B24E1" w:rsidRPr="004D5328" w:rsidRDefault="001B24E1" w:rsidP="002F3A31">
            <w:r>
              <w:lastRenderedPageBreak/>
              <w:t xml:space="preserve">Capital Structure </w:t>
            </w:r>
            <w:r w:rsidR="0076013F" w:rsidRPr="000A1BAB">
              <w:t>in Lurito-Gallagher</w:t>
            </w:r>
            <w:r w:rsidR="0076013F">
              <w:t xml:space="preserve"> </w:t>
            </w:r>
            <w:r>
              <w:t>(R-8)</w:t>
            </w:r>
          </w:p>
        </w:tc>
        <w:tc>
          <w:tcPr>
            <w:tcW w:w="1296" w:type="dxa"/>
          </w:tcPr>
          <w:p w14:paraId="77312DA6" w14:textId="77777777" w:rsidR="001B24E1" w:rsidRPr="0076013F" w:rsidRDefault="001B24E1" w:rsidP="002F3A31">
            <w:pPr>
              <w:rPr>
                <w:sz w:val="20"/>
                <w:szCs w:val="20"/>
              </w:rPr>
            </w:pPr>
            <w:r w:rsidRPr="0076013F">
              <w:rPr>
                <w:sz w:val="20"/>
                <w:szCs w:val="20"/>
              </w:rPr>
              <w:t>40 percent debt/ 60 percent equity</w:t>
            </w:r>
          </w:p>
        </w:tc>
        <w:tc>
          <w:tcPr>
            <w:tcW w:w="1296" w:type="dxa"/>
          </w:tcPr>
          <w:p w14:paraId="34B13384" w14:textId="77777777" w:rsidR="001B24E1" w:rsidRPr="0076013F" w:rsidRDefault="001B24E1" w:rsidP="002F3A31">
            <w:pPr>
              <w:rPr>
                <w:sz w:val="20"/>
                <w:szCs w:val="20"/>
              </w:rPr>
            </w:pPr>
            <w:r w:rsidRPr="0076013F">
              <w:rPr>
                <w:sz w:val="20"/>
                <w:szCs w:val="20"/>
              </w:rPr>
              <w:t>42.75 percent debt/ 57.25 percent equity</w:t>
            </w:r>
          </w:p>
        </w:tc>
        <w:tc>
          <w:tcPr>
            <w:tcW w:w="1296" w:type="dxa"/>
          </w:tcPr>
          <w:p w14:paraId="0D120C53" w14:textId="77777777" w:rsidR="001B24E1" w:rsidRPr="0076013F" w:rsidRDefault="001B24E1" w:rsidP="002F3A31">
            <w:pPr>
              <w:rPr>
                <w:sz w:val="20"/>
                <w:szCs w:val="20"/>
              </w:rPr>
            </w:pPr>
            <w:r w:rsidRPr="0076013F">
              <w:rPr>
                <w:sz w:val="20"/>
                <w:szCs w:val="20"/>
              </w:rPr>
              <w:t>40 percent debt/ 60 percent equity</w:t>
            </w:r>
          </w:p>
        </w:tc>
        <w:tc>
          <w:tcPr>
            <w:tcW w:w="1491" w:type="dxa"/>
          </w:tcPr>
          <w:p w14:paraId="086F7691" w14:textId="77777777" w:rsidR="001B24E1" w:rsidRPr="0076013F" w:rsidRDefault="001B24E1" w:rsidP="002F3A31">
            <w:pPr>
              <w:rPr>
                <w:sz w:val="20"/>
                <w:szCs w:val="20"/>
              </w:rPr>
            </w:pPr>
            <w:r w:rsidRPr="0076013F">
              <w:rPr>
                <w:sz w:val="20"/>
                <w:szCs w:val="20"/>
              </w:rPr>
              <w:t>n/a</w:t>
            </w:r>
          </w:p>
        </w:tc>
        <w:tc>
          <w:tcPr>
            <w:tcW w:w="1530" w:type="dxa"/>
            <w:gridSpan w:val="2"/>
          </w:tcPr>
          <w:p w14:paraId="372444CF" w14:textId="77777777" w:rsidR="001B24E1" w:rsidRPr="0076013F" w:rsidRDefault="001B24E1" w:rsidP="002F3A31">
            <w:pPr>
              <w:rPr>
                <w:sz w:val="20"/>
                <w:szCs w:val="20"/>
              </w:rPr>
            </w:pPr>
            <w:r w:rsidRPr="0076013F">
              <w:rPr>
                <w:sz w:val="20"/>
                <w:szCs w:val="20"/>
              </w:rPr>
              <w:t>n/a</w:t>
            </w:r>
          </w:p>
        </w:tc>
        <w:tc>
          <w:tcPr>
            <w:tcW w:w="1530" w:type="dxa"/>
            <w:gridSpan w:val="2"/>
          </w:tcPr>
          <w:p w14:paraId="05709285" w14:textId="77777777" w:rsidR="001B24E1" w:rsidRPr="0076013F" w:rsidRDefault="001B24E1" w:rsidP="002F3A31">
            <w:pPr>
              <w:rPr>
                <w:sz w:val="20"/>
                <w:szCs w:val="20"/>
              </w:rPr>
            </w:pPr>
            <w:r w:rsidRPr="0076013F">
              <w:rPr>
                <w:sz w:val="20"/>
                <w:szCs w:val="20"/>
              </w:rPr>
              <w:t>n/a</w:t>
            </w:r>
          </w:p>
        </w:tc>
        <w:tc>
          <w:tcPr>
            <w:tcW w:w="1530" w:type="dxa"/>
            <w:gridSpan w:val="2"/>
          </w:tcPr>
          <w:p w14:paraId="4AB19936" w14:textId="77777777" w:rsidR="001B24E1" w:rsidRPr="0076013F" w:rsidRDefault="001B24E1" w:rsidP="002F3A31">
            <w:pPr>
              <w:rPr>
                <w:sz w:val="20"/>
                <w:szCs w:val="20"/>
              </w:rPr>
            </w:pPr>
            <w:r w:rsidRPr="0076013F">
              <w:rPr>
                <w:sz w:val="20"/>
                <w:szCs w:val="20"/>
              </w:rPr>
              <w:t>WCI provides its Balance Sheet as of June 30, 2014.</w:t>
            </w:r>
          </w:p>
        </w:tc>
        <w:tc>
          <w:tcPr>
            <w:tcW w:w="1530" w:type="dxa"/>
            <w:gridSpan w:val="2"/>
          </w:tcPr>
          <w:p w14:paraId="1A4F7C7E" w14:textId="5D14552B" w:rsidR="001B24E1" w:rsidRPr="0076013F" w:rsidRDefault="001B24E1" w:rsidP="00E106D6">
            <w:pPr>
              <w:rPr>
                <w:sz w:val="20"/>
                <w:szCs w:val="20"/>
              </w:rPr>
            </w:pPr>
            <w:r w:rsidRPr="0076013F">
              <w:rPr>
                <w:sz w:val="20"/>
                <w:szCs w:val="20"/>
              </w:rPr>
              <w:t>WCI provides explanation of changes in</w:t>
            </w:r>
            <w:r w:rsidR="00E106D6" w:rsidRPr="0076013F">
              <w:rPr>
                <w:sz w:val="20"/>
                <w:szCs w:val="20"/>
              </w:rPr>
              <w:t xml:space="preserve"> e</w:t>
            </w:r>
            <w:r w:rsidRPr="0076013F">
              <w:rPr>
                <w:sz w:val="20"/>
                <w:szCs w:val="20"/>
              </w:rPr>
              <w:t xml:space="preserve">quity </w:t>
            </w:r>
            <w:r w:rsidR="00E106D6" w:rsidRPr="0076013F">
              <w:rPr>
                <w:sz w:val="20"/>
                <w:szCs w:val="20"/>
              </w:rPr>
              <w:t>account</w:t>
            </w:r>
            <w:r w:rsidRPr="0076013F">
              <w:rPr>
                <w:sz w:val="20"/>
                <w:szCs w:val="20"/>
              </w:rPr>
              <w:t xml:space="preserve"> Add</w:t>
            </w:r>
            <w:r w:rsidR="00E106D6" w:rsidRPr="0076013F">
              <w:rPr>
                <w:sz w:val="20"/>
                <w:szCs w:val="20"/>
              </w:rPr>
              <w:t>itional Paid-in Capital</w:t>
            </w:r>
            <w:r w:rsidRPr="0076013F">
              <w:rPr>
                <w:sz w:val="20"/>
                <w:szCs w:val="20"/>
              </w:rPr>
              <w:t>.</w:t>
            </w:r>
          </w:p>
        </w:tc>
        <w:tc>
          <w:tcPr>
            <w:tcW w:w="1530" w:type="dxa"/>
          </w:tcPr>
          <w:p w14:paraId="7667B960" w14:textId="77777777" w:rsidR="001B24E1" w:rsidRPr="0076013F" w:rsidRDefault="001B24E1" w:rsidP="002F3A31">
            <w:pPr>
              <w:rPr>
                <w:b/>
                <w:sz w:val="20"/>
                <w:szCs w:val="20"/>
              </w:rPr>
            </w:pPr>
            <w:r w:rsidRPr="0076013F">
              <w:rPr>
                <w:sz w:val="20"/>
                <w:szCs w:val="20"/>
              </w:rPr>
              <w:t>40 percent debt/ 60 percent equity</w:t>
            </w:r>
          </w:p>
        </w:tc>
      </w:tr>
      <w:tr w:rsidR="001B24E1" w:rsidRPr="004D5328" w14:paraId="21B3BC62" w14:textId="77777777" w:rsidTr="002F3A31">
        <w:tblPrEx>
          <w:tblLook w:val="0680" w:firstRow="0" w:lastRow="0" w:firstColumn="1" w:lastColumn="0" w:noHBand="1" w:noVBand="1"/>
        </w:tblPrEx>
        <w:tc>
          <w:tcPr>
            <w:tcW w:w="1456" w:type="dxa"/>
          </w:tcPr>
          <w:p w14:paraId="128F98EC" w14:textId="5BCE87B8" w:rsidR="001B24E1" w:rsidRDefault="001B24E1" w:rsidP="002F3A31">
            <w:r>
              <w:t>Cost of Debt</w:t>
            </w:r>
            <w:r w:rsidR="0076013F">
              <w:t xml:space="preserve"> </w:t>
            </w:r>
            <w:r w:rsidR="0076013F" w:rsidRPr="000A1BAB">
              <w:t>in Lurito-Gallagher</w:t>
            </w:r>
          </w:p>
          <w:p w14:paraId="29EA4325" w14:textId="77777777" w:rsidR="001B24E1" w:rsidRPr="004D5328" w:rsidRDefault="001B24E1" w:rsidP="002F3A31">
            <w:r>
              <w:t>(R-9)</w:t>
            </w:r>
          </w:p>
        </w:tc>
        <w:tc>
          <w:tcPr>
            <w:tcW w:w="1296" w:type="dxa"/>
          </w:tcPr>
          <w:p w14:paraId="1B1E98C4" w14:textId="77777777" w:rsidR="001B24E1" w:rsidRPr="0076013F" w:rsidRDefault="001B24E1" w:rsidP="002F3A31">
            <w:pPr>
              <w:rPr>
                <w:sz w:val="20"/>
                <w:szCs w:val="20"/>
              </w:rPr>
            </w:pPr>
            <w:r w:rsidRPr="0076013F">
              <w:rPr>
                <w:sz w:val="20"/>
                <w:szCs w:val="20"/>
              </w:rPr>
              <w:t>5.25 percent</w:t>
            </w:r>
          </w:p>
        </w:tc>
        <w:tc>
          <w:tcPr>
            <w:tcW w:w="1296" w:type="dxa"/>
          </w:tcPr>
          <w:p w14:paraId="7FD76520" w14:textId="77777777" w:rsidR="001B24E1" w:rsidRPr="0076013F" w:rsidRDefault="001B24E1" w:rsidP="002F3A31">
            <w:pPr>
              <w:rPr>
                <w:sz w:val="20"/>
                <w:szCs w:val="20"/>
              </w:rPr>
            </w:pPr>
            <w:r w:rsidRPr="0076013F">
              <w:rPr>
                <w:sz w:val="20"/>
                <w:szCs w:val="20"/>
              </w:rPr>
              <w:t>1.93 percent</w:t>
            </w:r>
          </w:p>
        </w:tc>
        <w:tc>
          <w:tcPr>
            <w:tcW w:w="1296" w:type="dxa"/>
          </w:tcPr>
          <w:p w14:paraId="054F793C" w14:textId="77777777" w:rsidR="001B24E1" w:rsidRPr="0076013F" w:rsidRDefault="001B24E1" w:rsidP="002F3A31">
            <w:pPr>
              <w:rPr>
                <w:sz w:val="20"/>
                <w:szCs w:val="20"/>
              </w:rPr>
            </w:pPr>
            <w:r w:rsidRPr="0076013F">
              <w:rPr>
                <w:sz w:val="20"/>
                <w:szCs w:val="20"/>
              </w:rPr>
              <w:t>3.66 percent</w:t>
            </w:r>
          </w:p>
        </w:tc>
        <w:tc>
          <w:tcPr>
            <w:tcW w:w="1491" w:type="dxa"/>
          </w:tcPr>
          <w:p w14:paraId="54EAA8F8" w14:textId="1A2E73A5" w:rsidR="001B24E1" w:rsidRPr="0076013F" w:rsidRDefault="001B24E1" w:rsidP="00831CBE">
            <w:pPr>
              <w:rPr>
                <w:sz w:val="20"/>
                <w:szCs w:val="20"/>
              </w:rPr>
            </w:pPr>
            <w:r w:rsidRPr="0076013F">
              <w:rPr>
                <w:sz w:val="20"/>
                <w:szCs w:val="20"/>
              </w:rPr>
              <w:t>Exhibit JD-46</w:t>
            </w:r>
            <w:r w:rsidR="008C5971" w:rsidRPr="0076013F">
              <w:rPr>
                <w:sz w:val="20"/>
                <w:szCs w:val="20"/>
              </w:rPr>
              <w:t>, cost of debt calculation</w:t>
            </w:r>
            <w:r w:rsidRPr="0076013F">
              <w:rPr>
                <w:sz w:val="20"/>
                <w:szCs w:val="20"/>
              </w:rPr>
              <w:t xml:space="preserve"> demonstrates  Heirborne Investment, LLC’s term loan interest expense and amortized term loan fee expense for a period ending June 30, 2014</w:t>
            </w:r>
          </w:p>
        </w:tc>
        <w:tc>
          <w:tcPr>
            <w:tcW w:w="1530" w:type="dxa"/>
            <w:gridSpan w:val="2"/>
          </w:tcPr>
          <w:p w14:paraId="49611872" w14:textId="77777777" w:rsidR="001B24E1" w:rsidRPr="0076013F" w:rsidRDefault="001B24E1" w:rsidP="002F3A31">
            <w:pPr>
              <w:rPr>
                <w:sz w:val="20"/>
                <w:szCs w:val="20"/>
              </w:rPr>
            </w:pPr>
            <w:r w:rsidRPr="0076013F">
              <w:rPr>
                <w:sz w:val="20"/>
                <w:szCs w:val="20"/>
              </w:rPr>
              <w:t>n/a</w:t>
            </w:r>
          </w:p>
        </w:tc>
        <w:tc>
          <w:tcPr>
            <w:tcW w:w="1530" w:type="dxa"/>
            <w:gridSpan w:val="2"/>
          </w:tcPr>
          <w:p w14:paraId="2CF3ABE6" w14:textId="77777777" w:rsidR="001B24E1" w:rsidRPr="0076013F" w:rsidRDefault="001B24E1" w:rsidP="002F3A31">
            <w:pPr>
              <w:rPr>
                <w:sz w:val="20"/>
                <w:szCs w:val="20"/>
              </w:rPr>
            </w:pPr>
            <w:r w:rsidRPr="0076013F">
              <w:rPr>
                <w:sz w:val="20"/>
                <w:szCs w:val="20"/>
              </w:rPr>
              <w:t>WCI provides support for the interest expense, interest rates, and debt balances used in JD-46, cost of debt calculation.</w:t>
            </w:r>
          </w:p>
        </w:tc>
        <w:tc>
          <w:tcPr>
            <w:tcW w:w="1530" w:type="dxa"/>
            <w:gridSpan w:val="2"/>
          </w:tcPr>
          <w:p w14:paraId="1B167245" w14:textId="77777777" w:rsidR="001B24E1" w:rsidRPr="0076013F" w:rsidRDefault="001B24E1" w:rsidP="002F3A31">
            <w:pPr>
              <w:rPr>
                <w:sz w:val="20"/>
                <w:szCs w:val="20"/>
              </w:rPr>
            </w:pPr>
            <w:r w:rsidRPr="0076013F">
              <w:rPr>
                <w:sz w:val="20"/>
                <w:szCs w:val="20"/>
              </w:rPr>
              <w:t>WCI provides support for the term loan amortized loan fee balances as of June 30, 2014.</w:t>
            </w:r>
          </w:p>
        </w:tc>
        <w:tc>
          <w:tcPr>
            <w:tcW w:w="1530" w:type="dxa"/>
            <w:gridSpan w:val="2"/>
          </w:tcPr>
          <w:p w14:paraId="472A8121" w14:textId="77777777" w:rsidR="001B24E1" w:rsidRPr="0076013F" w:rsidRDefault="001B24E1" w:rsidP="002F3A31">
            <w:pPr>
              <w:rPr>
                <w:sz w:val="20"/>
                <w:szCs w:val="20"/>
              </w:rPr>
            </w:pPr>
            <w:r w:rsidRPr="0076013F">
              <w:rPr>
                <w:sz w:val="20"/>
                <w:szCs w:val="20"/>
              </w:rPr>
              <w:t>WCI provides Heirborne Investment, LLC’s term loan fee general ledger account detail and support for December 2011 loan fee costs.</w:t>
            </w:r>
          </w:p>
        </w:tc>
        <w:tc>
          <w:tcPr>
            <w:tcW w:w="1530" w:type="dxa"/>
          </w:tcPr>
          <w:p w14:paraId="44A8B471" w14:textId="77777777" w:rsidR="001B24E1" w:rsidRPr="0076013F" w:rsidRDefault="001B24E1" w:rsidP="002F3A31">
            <w:pPr>
              <w:rPr>
                <w:sz w:val="20"/>
                <w:szCs w:val="20"/>
              </w:rPr>
            </w:pPr>
            <w:r w:rsidRPr="0076013F">
              <w:rPr>
                <w:sz w:val="20"/>
                <w:szCs w:val="20"/>
              </w:rPr>
              <w:t xml:space="preserve">3.66 </w:t>
            </w:r>
          </w:p>
          <w:p w14:paraId="171F2AA5" w14:textId="77777777" w:rsidR="001B24E1" w:rsidRPr="0076013F" w:rsidRDefault="001B24E1" w:rsidP="002F3A31">
            <w:pPr>
              <w:rPr>
                <w:b/>
                <w:sz w:val="20"/>
                <w:szCs w:val="20"/>
              </w:rPr>
            </w:pPr>
            <w:r w:rsidRPr="0076013F">
              <w:rPr>
                <w:sz w:val="20"/>
                <w:szCs w:val="20"/>
              </w:rPr>
              <w:t>percent</w:t>
            </w:r>
          </w:p>
        </w:tc>
      </w:tr>
      <w:tr w:rsidR="001B24E1" w:rsidRPr="004D5328" w14:paraId="4290B75E" w14:textId="77777777" w:rsidTr="002F3A31">
        <w:tblPrEx>
          <w:tblLook w:val="0680" w:firstRow="0" w:lastRow="0" w:firstColumn="1" w:lastColumn="0" w:noHBand="1" w:noVBand="1"/>
        </w:tblPrEx>
        <w:tc>
          <w:tcPr>
            <w:tcW w:w="1456" w:type="dxa"/>
          </w:tcPr>
          <w:p w14:paraId="074EB72C" w14:textId="77777777" w:rsidR="001B24E1" w:rsidRDefault="001B24E1" w:rsidP="002F3A31">
            <w:r>
              <w:t>Labor Expense</w:t>
            </w:r>
          </w:p>
          <w:p w14:paraId="71D5D5F8" w14:textId="77777777" w:rsidR="001B24E1" w:rsidRPr="004D5328" w:rsidRDefault="001B24E1" w:rsidP="002F3A31">
            <w:r>
              <w:t>(P-1)</w:t>
            </w:r>
          </w:p>
        </w:tc>
        <w:tc>
          <w:tcPr>
            <w:tcW w:w="1296" w:type="dxa"/>
          </w:tcPr>
          <w:p w14:paraId="337E73C5" w14:textId="77777777" w:rsidR="001B24E1" w:rsidRPr="0076013F" w:rsidRDefault="001B24E1" w:rsidP="002F3A31">
            <w:pPr>
              <w:rPr>
                <w:sz w:val="20"/>
                <w:szCs w:val="20"/>
              </w:rPr>
            </w:pPr>
            <w:r w:rsidRPr="0076013F">
              <w:rPr>
                <w:sz w:val="20"/>
                <w:szCs w:val="20"/>
              </w:rPr>
              <w:t>$   828,016</w:t>
            </w:r>
          </w:p>
          <w:p w14:paraId="762C182D" w14:textId="77777777" w:rsidR="001B24E1" w:rsidRDefault="001B24E1" w:rsidP="002F3A31">
            <w:pPr>
              <w:rPr>
                <w:sz w:val="20"/>
                <w:szCs w:val="20"/>
              </w:rPr>
            </w:pPr>
            <w:r w:rsidRPr="0076013F">
              <w:rPr>
                <w:sz w:val="20"/>
                <w:szCs w:val="20"/>
              </w:rPr>
              <w:t>(on May 23, 2014, WCI modified its position to $827,782)</w:t>
            </w:r>
          </w:p>
          <w:p w14:paraId="14A865EB" w14:textId="77777777" w:rsidR="0076013F" w:rsidRDefault="0076013F" w:rsidP="002F3A31">
            <w:pPr>
              <w:rPr>
                <w:sz w:val="20"/>
                <w:szCs w:val="20"/>
              </w:rPr>
            </w:pPr>
          </w:p>
          <w:p w14:paraId="1B5AADAF" w14:textId="77777777" w:rsidR="0076013F" w:rsidRDefault="0076013F" w:rsidP="002F3A31">
            <w:pPr>
              <w:rPr>
                <w:sz w:val="20"/>
                <w:szCs w:val="20"/>
              </w:rPr>
            </w:pPr>
          </w:p>
          <w:p w14:paraId="00C5C6BA" w14:textId="77777777" w:rsidR="0076013F" w:rsidRDefault="0076013F" w:rsidP="002F3A31">
            <w:pPr>
              <w:rPr>
                <w:sz w:val="20"/>
                <w:szCs w:val="20"/>
              </w:rPr>
            </w:pPr>
          </w:p>
          <w:p w14:paraId="3E65913B" w14:textId="77777777" w:rsidR="0076013F" w:rsidRDefault="0076013F" w:rsidP="002F3A31">
            <w:pPr>
              <w:rPr>
                <w:sz w:val="20"/>
                <w:szCs w:val="20"/>
              </w:rPr>
            </w:pPr>
          </w:p>
          <w:p w14:paraId="59815F19" w14:textId="77777777" w:rsidR="0076013F" w:rsidRDefault="0076013F" w:rsidP="002F3A31">
            <w:pPr>
              <w:rPr>
                <w:sz w:val="20"/>
                <w:szCs w:val="20"/>
              </w:rPr>
            </w:pPr>
          </w:p>
          <w:p w14:paraId="532A1F24" w14:textId="77777777" w:rsidR="0076013F" w:rsidRDefault="0076013F" w:rsidP="002F3A31">
            <w:pPr>
              <w:rPr>
                <w:sz w:val="20"/>
                <w:szCs w:val="20"/>
              </w:rPr>
            </w:pPr>
          </w:p>
          <w:p w14:paraId="11F998D9" w14:textId="77777777" w:rsidR="0076013F" w:rsidRDefault="0076013F" w:rsidP="002F3A31">
            <w:pPr>
              <w:rPr>
                <w:sz w:val="20"/>
                <w:szCs w:val="20"/>
              </w:rPr>
            </w:pPr>
          </w:p>
          <w:p w14:paraId="2F697E78" w14:textId="77777777" w:rsidR="0076013F" w:rsidRDefault="0076013F" w:rsidP="002F3A31">
            <w:pPr>
              <w:rPr>
                <w:sz w:val="20"/>
                <w:szCs w:val="20"/>
              </w:rPr>
            </w:pPr>
          </w:p>
          <w:p w14:paraId="152C1CF8" w14:textId="77777777" w:rsidR="0076013F" w:rsidRPr="0076013F" w:rsidRDefault="0076013F" w:rsidP="002F3A31">
            <w:pPr>
              <w:rPr>
                <w:sz w:val="20"/>
                <w:szCs w:val="20"/>
              </w:rPr>
            </w:pPr>
          </w:p>
        </w:tc>
        <w:tc>
          <w:tcPr>
            <w:tcW w:w="1296" w:type="dxa"/>
          </w:tcPr>
          <w:p w14:paraId="586005BF" w14:textId="77777777" w:rsidR="001B24E1" w:rsidRPr="0076013F" w:rsidRDefault="001B24E1" w:rsidP="002F3A31">
            <w:pPr>
              <w:rPr>
                <w:sz w:val="20"/>
                <w:szCs w:val="20"/>
              </w:rPr>
            </w:pPr>
            <w:r w:rsidRPr="0076013F">
              <w:rPr>
                <w:sz w:val="20"/>
                <w:szCs w:val="20"/>
              </w:rPr>
              <w:lastRenderedPageBreak/>
              <w:t>$   788,374</w:t>
            </w:r>
          </w:p>
        </w:tc>
        <w:tc>
          <w:tcPr>
            <w:tcW w:w="1296" w:type="dxa"/>
          </w:tcPr>
          <w:p w14:paraId="76C95E4E" w14:textId="77777777" w:rsidR="001B24E1" w:rsidRPr="0076013F" w:rsidRDefault="001B24E1" w:rsidP="002F3A31">
            <w:pPr>
              <w:rPr>
                <w:sz w:val="20"/>
                <w:szCs w:val="20"/>
              </w:rPr>
            </w:pPr>
            <w:r w:rsidRPr="0076013F">
              <w:rPr>
                <w:sz w:val="20"/>
                <w:szCs w:val="20"/>
              </w:rPr>
              <w:t>$   860,325</w:t>
            </w:r>
          </w:p>
        </w:tc>
        <w:tc>
          <w:tcPr>
            <w:tcW w:w="1491" w:type="dxa"/>
          </w:tcPr>
          <w:p w14:paraId="2633C216" w14:textId="77777777" w:rsidR="001B24E1" w:rsidRPr="0076013F" w:rsidRDefault="001B24E1" w:rsidP="002F3A31">
            <w:pPr>
              <w:rPr>
                <w:sz w:val="20"/>
                <w:szCs w:val="20"/>
              </w:rPr>
            </w:pPr>
            <w:r w:rsidRPr="0076013F">
              <w:rPr>
                <w:sz w:val="20"/>
                <w:szCs w:val="20"/>
              </w:rPr>
              <w:t>Exhibit JD-49, tab “WP-3, pg 2 – Labor Increase” includes a COLA increase of 2.67 percent effective on July 1, 2014.</w:t>
            </w:r>
          </w:p>
        </w:tc>
        <w:tc>
          <w:tcPr>
            <w:tcW w:w="1530" w:type="dxa"/>
            <w:gridSpan w:val="2"/>
          </w:tcPr>
          <w:p w14:paraId="2AA98143" w14:textId="77777777" w:rsidR="001B24E1" w:rsidRPr="0076013F" w:rsidRDefault="001B24E1" w:rsidP="002F3A31">
            <w:pPr>
              <w:rPr>
                <w:sz w:val="20"/>
                <w:szCs w:val="20"/>
              </w:rPr>
            </w:pPr>
            <w:r w:rsidRPr="0076013F">
              <w:rPr>
                <w:sz w:val="20"/>
                <w:szCs w:val="20"/>
              </w:rPr>
              <w:t>n/a</w:t>
            </w:r>
          </w:p>
        </w:tc>
        <w:tc>
          <w:tcPr>
            <w:tcW w:w="1530" w:type="dxa"/>
            <w:gridSpan w:val="2"/>
          </w:tcPr>
          <w:p w14:paraId="43D0B4D1" w14:textId="77777777" w:rsidR="001B24E1" w:rsidRPr="0076013F" w:rsidRDefault="001B24E1" w:rsidP="002F3A31">
            <w:pPr>
              <w:rPr>
                <w:sz w:val="20"/>
                <w:szCs w:val="20"/>
              </w:rPr>
            </w:pPr>
            <w:r w:rsidRPr="0076013F">
              <w:rPr>
                <w:sz w:val="20"/>
                <w:szCs w:val="20"/>
              </w:rPr>
              <w:t>n/a</w:t>
            </w:r>
          </w:p>
        </w:tc>
        <w:tc>
          <w:tcPr>
            <w:tcW w:w="1530" w:type="dxa"/>
            <w:gridSpan w:val="2"/>
          </w:tcPr>
          <w:p w14:paraId="38B588B9" w14:textId="77777777" w:rsidR="001B24E1" w:rsidRPr="0076013F" w:rsidRDefault="001B24E1" w:rsidP="002F3A31">
            <w:pPr>
              <w:rPr>
                <w:sz w:val="20"/>
                <w:szCs w:val="20"/>
              </w:rPr>
            </w:pPr>
            <w:r w:rsidRPr="0076013F">
              <w:rPr>
                <w:sz w:val="20"/>
                <w:szCs w:val="20"/>
              </w:rPr>
              <w:t>n/a</w:t>
            </w:r>
          </w:p>
        </w:tc>
        <w:tc>
          <w:tcPr>
            <w:tcW w:w="1530" w:type="dxa"/>
            <w:gridSpan w:val="2"/>
          </w:tcPr>
          <w:p w14:paraId="274AF009" w14:textId="77777777" w:rsidR="001B24E1" w:rsidRPr="0076013F" w:rsidRDefault="001B24E1" w:rsidP="002F3A31">
            <w:pPr>
              <w:rPr>
                <w:sz w:val="20"/>
                <w:szCs w:val="20"/>
              </w:rPr>
            </w:pPr>
            <w:r w:rsidRPr="0076013F">
              <w:rPr>
                <w:sz w:val="20"/>
                <w:szCs w:val="20"/>
              </w:rPr>
              <w:t>n/a</w:t>
            </w:r>
          </w:p>
        </w:tc>
        <w:tc>
          <w:tcPr>
            <w:tcW w:w="1530" w:type="dxa"/>
          </w:tcPr>
          <w:p w14:paraId="00E7400C" w14:textId="77777777" w:rsidR="001B24E1" w:rsidRPr="0076013F" w:rsidRDefault="001B24E1" w:rsidP="002F3A31">
            <w:pPr>
              <w:rPr>
                <w:b/>
                <w:sz w:val="20"/>
                <w:szCs w:val="20"/>
              </w:rPr>
            </w:pPr>
            <w:r w:rsidRPr="0076013F">
              <w:rPr>
                <w:sz w:val="20"/>
                <w:szCs w:val="20"/>
              </w:rPr>
              <w:t>$   860,325</w:t>
            </w:r>
          </w:p>
        </w:tc>
      </w:tr>
      <w:tr w:rsidR="001B24E1" w:rsidRPr="004D5328" w14:paraId="1D134322" w14:textId="77777777" w:rsidTr="002F3A31">
        <w:tblPrEx>
          <w:tblLook w:val="0680" w:firstRow="0" w:lastRow="0" w:firstColumn="1" w:lastColumn="0" w:noHBand="1" w:noVBand="1"/>
        </w:tblPrEx>
        <w:tc>
          <w:tcPr>
            <w:tcW w:w="1456" w:type="dxa"/>
          </w:tcPr>
          <w:p w14:paraId="44D77507" w14:textId="77777777" w:rsidR="001B24E1" w:rsidRDefault="001B24E1" w:rsidP="002F3A31">
            <w:r>
              <w:lastRenderedPageBreak/>
              <w:t>Fringe Benefit Expense</w:t>
            </w:r>
          </w:p>
          <w:p w14:paraId="18B177B8" w14:textId="77777777" w:rsidR="001B24E1" w:rsidRPr="004D5328" w:rsidRDefault="001B24E1" w:rsidP="002F3A31">
            <w:r>
              <w:t>(P-1A)</w:t>
            </w:r>
          </w:p>
        </w:tc>
        <w:tc>
          <w:tcPr>
            <w:tcW w:w="1296" w:type="dxa"/>
          </w:tcPr>
          <w:p w14:paraId="6B4A9014" w14:textId="77777777" w:rsidR="001B24E1" w:rsidRPr="0076013F" w:rsidRDefault="001B24E1" w:rsidP="002F3A31">
            <w:pPr>
              <w:rPr>
                <w:sz w:val="20"/>
                <w:szCs w:val="20"/>
              </w:rPr>
            </w:pPr>
            <w:r w:rsidRPr="0076013F">
              <w:rPr>
                <w:sz w:val="20"/>
                <w:szCs w:val="20"/>
              </w:rPr>
              <w:t>$   288,915</w:t>
            </w:r>
          </w:p>
          <w:p w14:paraId="26863EFC" w14:textId="77777777" w:rsidR="001B24E1" w:rsidRPr="0076013F" w:rsidRDefault="001B24E1" w:rsidP="002F3A31">
            <w:pPr>
              <w:rPr>
                <w:sz w:val="20"/>
                <w:szCs w:val="20"/>
              </w:rPr>
            </w:pPr>
            <w:r w:rsidRPr="0076013F">
              <w:rPr>
                <w:sz w:val="20"/>
                <w:szCs w:val="20"/>
              </w:rPr>
              <w:t>(on May 23, 2014, WCI modified its position to $288,834)</w:t>
            </w:r>
          </w:p>
        </w:tc>
        <w:tc>
          <w:tcPr>
            <w:tcW w:w="1296" w:type="dxa"/>
          </w:tcPr>
          <w:p w14:paraId="072B1CCC" w14:textId="77777777" w:rsidR="001B24E1" w:rsidRPr="0076013F" w:rsidRDefault="001B24E1" w:rsidP="002F3A31">
            <w:pPr>
              <w:rPr>
                <w:sz w:val="20"/>
                <w:szCs w:val="20"/>
              </w:rPr>
            </w:pPr>
            <w:r w:rsidRPr="0076013F">
              <w:rPr>
                <w:sz w:val="20"/>
                <w:szCs w:val="20"/>
              </w:rPr>
              <w:t>$   243,499</w:t>
            </w:r>
          </w:p>
        </w:tc>
        <w:tc>
          <w:tcPr>
            <w:tcW w:w="1296" w:type="dxa"/>
          </w:tcPr>
          <w:p w14:paraId="1BFC6A05" w14:textId="77777777" w:rsidR="001B24E1" w:rsidRPr="0076013F" w:rsidRDefault="001B24E1" w:rsidP="002F3A31">
            <w:pPr>
              <w:rPr>
                <w:sz w:val="20"/>
                <w:szCs w:val="20"/>
              </w:rPr>
            </w:pPr>
            <w:r w:rsidRPr="0076013F">
              <w:rPr>
                <w:sz w:val="20"/>
                <w:szCs w:val="20"/>
              </w:rPr>
              <w:t>$   277,528</w:t>
            </w:r>
          </w:p>
        </w:tc>
        <w:tc>
          <w:tcPr>
            <w:tcW w:w="1491" w:type="dxa"/>
          </w:tcPr>
          <w:p w14:paraId="3D7C063A" w14:textId="2B49E8E4" w:rsidR="001B24E1" w:rsidRPr="0076013F" w:rsidRDefault="006828F4" w:rsidP="002F3A31">
            <w:pPr>
              <w:rPr>
                <w:sz w:val="20"/>
                <w:szCs w:val="20"/>
              </w:rPr>
            </w:pPr>
            <w:r w:rsidRPr="0076013F">
              <w:rPr>
                <w:sz w:val="20"/>
                <w:szCs w:val="20"/>
              </w:rPr>
              <w:t>Jackie Davis’ rebuttal testimony provides clarification on employer contributions to Health Savings Accounts (HSA).</w:t>
            </w:r>
          </w:p>
        </w:tc>
        <w:tc>
          <w:tcPr>
            <w:tcW w:w="1530" w:type="dxa"/>
            <w:gridSpan w:val="2"/>
          </w:tcPr>
          <w:p w14:paraId="5A07B2B0" w14:textId="77777777" w:rsidR="001B24E1" w:rsidRPr="0076013F" w:rsidRDefault="001B24E1" w:rsidP="002F3A31">
            <w:pPr>
              <w:rPr>
                <w:sz w:val="20"/>
                <w:szCs w:val="20"/>
              </w:rPr>
            </w:pPr>
            <w:r w:rsidRPr="0076013F">
              <w:rPr>
                <w:sz w:val="20"/>
                <w:szCs w:val="20"/>
              </w:rPr>
              <w:t>n/a</w:t>
            </w:r>
          </w:p>
        </w:tc>
        <w:tc>
          <w:tcPr>
            <w:tcW w:w="1530" w:type="dxa"/>
            <w:gridSpan w:val="2"/>
          </w:tcPr>
          <w:p w14:paraId="745EFF0C" w14:textId="77777777" w:rsidR="001B24E1" w:rsidRPr="0076013F" w:rsidRDefault="001B24E1" w:rsidP="002F3A31">
            <w:pPr>
              <w:rPr>
                <w:sz w:val="20"/>
                <w:szCs w:val="20"/>
              </w:rPr>
            </w:pPr>
            <w:r w:rsidRPr="0076013F">
              <w:rPr>
                <w:sz w:val="20"/>
                <w:szCs w:val="20"/>
              </w:rPr>
              <w:t>n/a</w:t>
            </w:r>
          </w:p>
        </w:tc>
        <w:tc>
          <w:tcPr>
            <w:tcW w:w="1530" w:type="dxa"/>
            <w:gridSpan w:val="2"/>
          </w:tcPr>
          <w:p w14:paraId="7B6B6BE3" w14:textId="77777777" w:rsidR="001B24E1" w:rsidRPr="0076013F" w:rsidRDefault="001B24E1" w:rsidP="002F3A31">
            <w:pPr>
              <w:rPr>
                <w:sz w:val="20"/>
                <w:szCs w:val="20"/>
              </w:rPr>
            </w:pPr>
            <w:r w:rsidRPr="0076013F">
              <w:rPr>
                <w:sz w:val="20"/>
                <w:szCs w:val="20"/>
              </w:rPr>
              <w:t>WCI provides support for costs related to employer contributions to Health Savings Accounts (HSA).</w:t>
            </w:r>
          </w:p>
        </w:tc>
        <w:tc>
          <w:tcPr>
            <w:tcW w:w="1530" w:type="dxa"/>
            <w:gridSpan w:val="2"/>
          </w:tcPr>
          <w:p w14:paraId="6316DF78" w14:textId="77777777" w:rsidR="001B24E1" w:rsidRPr="0076013F" w:rsidRDefault="001B24E1" w:rsidP="002F3A31">
            <w:pPr>
              <w:rPr>
                <w:sz w:val="20"/>
                <w:szCs w:val="20"/>
              </w:rPr>
            </w:pPr>
            <w:r w:rsidRPr="0076013F">
              <w:rPr>
                <w:sz w:val="20"/>
                <w:szCs w:val="20"/>
              </w:rPr>
              <w:t>n/a</w:t>
            </w:r>
          </w:p>
        </w:tc>
        <w:tc>
          <w:tcPr>
            <w:tcW w:w="1530" w:type="dxa"/>
          </w:tcPr>
          <w:p w14:paraId="7F87F01B" w14:textId="77777777" w:rsidR="001B24E1" w:rsidRPr="0076013F" w:rsidRDefault="001B24E1" w:rsidP="002F3A31">
            <w:pPr>
              <w:rPr>
                <w:b/>
                <w:sz w:val="20"/>
                <w:szCs w:val="20"/>
              </w:rPr>
            </w:pPr>
            <w:r w:rsidRPr="0076013F">
              <w:rPr>
                <w:sz w:val="20"/>
                <w:szCs w:val="20"/>
              </w:rPr>
              <w:t>$   277,528</w:t>
            </w:r>
          </w:p>
        </w:tc>
      </w:tr>
      <w:tr w:rsidR="001B24E1" w:rsidRPr="004D5328" w14:paraId="0722EC20" w14:textId="77777777" w:rsidTr="002F3A31">
        <w:tblPrEx>
          <w:tblLook w:val="0680" w:firstRow="0" w:lastRow="0" w:firstColumn="1" w:lastColumn="0" w:noHBand="1" w:noVBand="1"/>
        </w:tblPrEx>
        <w:tc>
          <w:tcPr>
            <w:tcW w:w="1456" w:type="dxa"/>
          </w:tcPr>
          <w:p w14:paraId="070324A1" w14:textId="77777777" w:rsidR="001B24E1" w:rsidRDefault="001B24E1" w:rsidP="002F3A31">
            <w:r>
              <w:t>Fuel Expense</w:t>
            </w:r>
          </w:p>
          <w:p w14:paraId="1EA0ED96" w14:textId="77777777" w:rsidR="001B24E1" w:rsidRPr="00914C8B" w:rsidRDefault="001B24E1" w:rsidP="002F3A31">
            <w:r>
              <w:t>(P-4)</w:t>
            </w:r>
          </w:p>
        </w:tc>
        <w:tc>
          <w:tcPr>
            <w:tcW w:w="1296" w:type="dxa"/>
          </w:tcPr>
          <w:p w14:paraId="1EC756B5" w14:textId="77777777" w:rsidR="001B24E1" w:rsidRPr="0076013F" w:rsidRDefault="001B24E1" w:rsidP="002F3A31">
            <w:pPr>
              <w:rPr>
                <w:sz w:val="20"/>
                <w:szCs w:val="20"/>
              </w:rPr>
            </w:pPr>
            <w:r w:rsidRPr="0076013F">
              <w:rPr>
                <w:sz w:val="20"/>
                <w:szCs w:val="20"/>
              </w:rPr>
              <w:t>$   303,576</w:t>
            </w:r>
          </w:p>
          <w:p w14:paraId="60560E9B" w14:textId="77777777" w:rsidR="001B24E1" w:rsidRPr="0076013F" w:rsidRDefault="001B24E1" w:rsidP="002F3A31">
            <w:pPr>
              <w:rPr>
                <w:sz w:val="20"/>
                <w:szCs w:val="20"/>
              </w:rPr>
            </w:pPr>
            <w:r w:rsidRPr="0076013F">
              <w:rPr>
                <w:sz w:val="20"/>
                <w:szCs w:val="20"/>
              </w:rPr>
              <w:t>(on May 23, 2014, WCI modified its position to $287,954)</w:t>
            </w:r>
          </w:p>
        </w:tc>
        <w:tc>
          <w:tcPr>
            <w:tcW w:w="1296" w:type="dxa"/>
          </w:tcPr>
          <w:p w14:paraId="607B3AA1" w14:textId="77777777" w:rsidR="001B24E1" w:rsidRPr="0076013F" w:rsidRDefault="001B24E1" w:rsidP="002F3A31">
            <w:pPr>
              <w:rPr>
                <w:sz w:val="20"/>
                <w:szCs w:val="20"/>
              </w:rPr>
            </w:pPr>
            <w:r w:rsidRPr="0076013F">
              <w:rPr>
                <w:sz w:val="20"/>
                <w:szCs w:val="20"/>
              </w:rPr>
              <w:t>$   264,212</w:t>
            </w:r>
          </w:p>
        </w:tc>
        <w:tc>
          <w:tcPr>
            <w:tcW w:w="1296" w:type="dxa"/>
          </w:tcPr>
          <w:p w14:paraId="72852906" w14:textId="77777777" w:rsidR="001B24E1" w:rsidRPr="0076013F" w:rsidRDefault="001B24E1" w:rsidP="002F3A31">
            <w:pPr>
              <w:rPr>
                <w:sz w:val="20"/>
                <w:szCs w:val="20"/>
              </w:rPr>
            </w:pPr>
            <w:r w:rsidRPr="0076013F">
              <w:rPr>
                <w:sz w:val="20"/>
                <w:szCs w:val="20"/>
              </w:rPr>
              <w:t>$   291,472</w:t>
            </w:r>
          </w:p>
        </w:tc>
        <w:tc>
          <w:tcPr>
            <w:tcW w:w="1491" w:type="dxa"/>
          </w:tcPr>
          <w:p w14:paraId="7983B2A7" w14:textId="77777777" w:rsidR="001B24E1" w:rsidRPr="0076013F" w:rsidRDefault="001B24E1" w:rsidP="002F3A31">
            <w:pPr>
              <w:rPr>
                <w:sz w:val="20"/>
                <w:szCs w:val="20"/>
              </w:rPr>
            </w:pPr>
            <w:r w:rsidRPr="0076013F">
              <w:rPr>
                <w:sz w:val="20"/>
                <w:szCs w:val="20"/>
              </w:rPr>
              <w:t>Exhibit JD-49, tab “WP-9 – Fuel” updates fuel expense to reflect costs incurred by July 31, 2014.</w:t>
            </w:r>
          </w:p>
        </w:tc>
        <w:tc>
          <w:tcPr>
            <w:tcW w:w="1530" w:type="dxa"/>
            <w:gridSpan w:val="2"/>
          </w:tcPr>
          <w:p w14:paraId="4C69AB07" w14:textId="77777777" w:rsidR="001B24E1" w:rsidRPr="0076013F" w:rsidRDefault="001B24E1" w:rsidP="002F3A31">
            <w:pPr>
              <w:rPr>
                <w:sz w:val="20"/>
                <w:szCs w:val="20"/>
              </w:rPr>
            </w:pPr>
            <w:r w:rsidRPr="0076013F">
              <w:rPr>
                <w:sz w:val="20"/>
                <w:szCs w:val="20"/>
              </w:rPr>
              <w:t>n/a</w:t>
            </w:r>
          </w:p>
        </w:tc>
        <w:tc>
          <w:tcPr>
            <w:tcW w:w="1530" w:type="dxa"/>
            <w:gridSpan w:val="2"/>
          </w:tcPr>
          <w:p w14:paraId="0CD2F6D9" w14:textId="77777777" w:rsidR="001B24E1" w:rsidRPr="0076013F" w:rsidRDefault="001B24E1" w:rsidP="002F3A31">
            <w:pPr>
              <w:rPr>
                <w:sz w:val="20"/>
                <w:szCs w:val="20"/>
              </w:rPr>
            </w:pPr>
            <w:r w:rsidRPr="0076013F">
              <w:rPr>
                <w:sz w:val="20"/>
                <w:szCs w:val="20"/>
              </w:rPr>
              <w:t>n/a</w:t>
            </w:r>
          </w:p>
        </w:tc>
        <w:tc>
          <w:tcPr>
            <w:tcW w:w="1530" w:type="dxa"/>
            <w:gridSpan w:val="2"/>
          </w:tcPr>
          <w:p w14:paraId="1454AB5E" w14:textId="77777777" w:rsidR="001B24E1" w:rsidRPr="0076013F" w:rsidRDefault="001B24E1" w:rsidP="002F3A31">
            <w:pPr>
              <w:rPr>
                <w:sz w:val="20"/>
                <w:szCs w:val="20"/>
              </w:rPr>
            </w:pPr>
            <w:r w:rsidRPr="0076013F">
              <w:rPr>
                <w:sz w:val="20"/>
                <w:szCs w:val="20"/>
              </w:rPr>
              <w:t>n/a</w:t>
            </w:r>
          </w:p>
        </w:tc>
        <w:tc>
          <w:tcPr>
            <w:tcW w:w="1530" w:type="dxa"/>
            <w:gridSpan w:val="2"/>
          </w:tcPr>
          <w:p w14:paraId="0F3EE209" w14:textId="77777777" w:rsidR="001B24E1" w:rsidRPr="0076013F" w:rsidRDefault="001B24E1" w:rsidP="002F3A31">
            <w:pPr>
              <w:rPr>
                <w:sz w:val="20"/>
                <w:szCs w:val="20"/>
              </w:rPr>
            </w:pPr>
            <w:r w:rsidRPr="0076013F">
              <w:rPr>
                <w:sz w:val="20"/>
                <w:szCs w:val="20"/>
              </w:rPr>
              <w:t>n/a</w:t>
            </w:r>
          </w:p>
        </w:tc>
        <w:tc>
          <w:tcPr>
            <w:tcW w:w="1530" w:type="dxa"/>
          </w:tcPr>
          <w:p w14:paraId="7A721F2D" w14:textId="77777777" w:rsidR="001B24E1" w:rsidRPr="0076013F" w:rsidRDefault="001B24E1" w:rsidP="002F3A31">
            <w:pPr>
              <w:rPr>
                <w:b/>
                <w:sz w:val="20"/>
                <w:szCs w:val="20"/>
              </w:rPr>
            </w:pPr>
            <w:r w:rsidRPr="0076013F">
              <w:rPr>
                <w:sz w:val="20"/>
                <w:szCs w:val="20"/>
              </w:rPr>
              <w:t>$   291,472</w:t>
            </w:r>
          </w:p>
        </w:tc>
      </w:tr>
    </w:tbl>
    <w:p w14:paraId="60BA500B" w14:textId="61C934F4" w:rsidR="00404D2C" w:rsidRDefault="001B24E1">
      <w:r>
        <w:br w:type="textWrapping" w:clear="all"/>
      </w:r>
    </w:p>
    <w:sectPr w:rsidR="00404D2C" w:rsidSect="0076013F">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14479" w14:textId="77777777" w:rsidR="00E86E6B" w:rsidRDefault="00E86E6B" w:rsidP="00E86E6B">
      <w:r>
        <w:separator/>
      </w:r>
    </w:p>
  </w:endnote>
  <w:endnote w:type="continuationSeparator" w:id="0">
    <w:p w14:paraId="5C5286DF" w14:textId="77777777" w:rsidR="00E86E6B" w:rsidRDefault="00E86E6B" w:rsidP="00E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549EC" w14:textId="77777777" w:rsidR="00A11466" w:rsidRDefault="00A11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533400"/>
      <w:docPartObj>
        <w:docPartGallery w:val="Page Numbers (Bottom of Page)"/>
        <w:docPartUnique/>
      </w:docPartObj>
    </w:sdtPr>
    <w:sdtEndPr/>
    <w:sdtContent>
      <w:sdt>
        <w:sdtPr>
          <w:id w:val="-1769616900"/>
          <w:docPartObj>
            <w:docPartGallery w:val="Page Numbers (Top of Page)"/>
            <w:docPartUnique/>
          </w:docPartObj>
        </w:sdtPr>
        <w:sdtEndPr/>
        <w:sdtContent>
          <w:p w14:paraId="490BFF85" w14:textId="4B4B2457" w:rsidR="001315A9" w:rsidRDefault="001315A9">
            <w:pPr>
              <w:pStyle w:val="Footer"/>
              <w:jc w:val="right"/>
            </w:pPr>
            <w:r>
              <w:t xml:space="preserve">Page </w:t>
            </w:r>
            <w:r>
              <w:rPr>
                <w:b/>
                <w:bCs/>
              </w:rPr>
              <w:fldChar w:fldCharType="begin"/>
            </w:r>
            <w:r>
              <w:rPr>
                <w:b/>
                <w:bCs/>
              </w:rPr>
              <w:instrText xml:space="preserve"> PAGE </w:instrText>
            </w:r>
            <w:r>
              <w:rPr>
                <w:b/>
                <w:bCs/>
              </w:rPr>
              <w:fldChar w:fldCharType="separate"/>
            </w:r>
            <w:r w:rsidR="00A1146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11466">
              <w:rPr>
                <w:b/>
                <w:bCs/>
                <w:noProof/>
              </w:rPr>
              <w:t>4</w:t>
            </w:r>
            <w:r>
              <w:rPr>
                <w:b/>
                <w:bCs/>
              </w:rPr>
              <w:fldChar w:fldCharType="end"/>
            </w:r>
          </w:p>
        </w:sdtContent>
      </w:sdt>
    </w:sdtContent>
  </w:sdt>
  <w:p w14:paraId="0670BE53" w14:textId="5342E9B1" w:rsidR="001315A9" w:rsidRDefault="00131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5E616" w14:textId="77777777" w:rsidR="00A11466" w:rsidRDefault="00A1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CAFBE" w14:textId="77777777" w:rsidR="00E86E6B" w:rsidRDefault="00E86E6B" w:rsidP="00E86E6B">
      <w:r>
        <w:separator/>
      </w:r>
    </w:p>
  </w:footnote>
  <w:footnote w:type="continuationSeparator" w:id="0">
    <w:p w14:paraId="6C1971B6" w14:textId="77777777" w:rsidR="00E86E6B" w:rsidRDefault="00E86E6B" w:rsidP="00E86E6B">
      <w:r>
        <w:continuationSeparator/>
      </w:r>
    </w:p>
  </w:footnote>
  <w:footnote w:id="1">
    <w:p w14:paraId="7F0170B8" w14:textId="77777777" w:rsidR="001B24E1" w:rsidRDefault="001B24E1" w:rsidP="001B24E1">
      <w:pPr>
        <w:pStyle w:val="FootnoteText"/>
      </w:pPr>
      <w:r>
        <w:rPr>
          <w:rStyle w:val="FootnoteReference"/>
        </w:rPr>
        <w:footnoteRef/>
      </w:r>
      <w:r>
        <w:t xml:space="preserve"> Separation of Kalama, Adjustments RC-1, RC-1A, R-10 and P-5A – On April 3, 2014 and May 23, 2014, WCI proposed to allocate (separate) a portion of operational expenses to its non-regulated operations. On July 18, 2014, Staff proposed to increase an allocated portion of operational expenses to WCI’s non-regulated operations because the Company’s proposed route study was unclear, incomplete and did not reconcile to the Company’s customer counts and services levels provided to Kalama or the City of Kalama provided customer counts. On August 20, 2014, WCI proposes to not disaggregate (i.e. separate) non-regulated and regulated operation and provides a new route study that does not reconcile or include a customer count.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DB49A" w14:textId="77777777" w:rsidR="00A11466" w:rsidRDefault="00A1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6C9B5" w14:textId="17C12F98" w:rsidR="001315A9" w:rsidRDefault="004B5AFE" w:rsidP="00A11466">
    <w:pPr>
      <w:pStyle w:val="Header"/>
      <w:jc w:val="right"/>
    </w:pPr>
    <w:r>
      <w:t>TABLE 3 – SETTLEMENT</w:t>
    </w:r>
    <w:r>
      <w:tab/>
    </w:r>
    <w:bookmarkStart w:id="0" w:name="_GoBack"/>
    <w:bookmarkEnd w:id="0"/>
    <w:r>
      <w:tab/>
    </w:r>
    <w:r>
      <w:tab/>
    </w:r>
    <w:r>
      <w:tab/>
    </w:r>
    <w:r>
      <w:tab/>
    </w:r>
    <w:r w:rsidR="00A11466">
      <w:t>ATTACHMENT I</w:t>
    </w:r>
  </w:p>
  <w:p w14:paraId="11A5913B" w14:textId="161F8DF4" w:rsidR="00A11466" w:rsidRPr="00A11466" w:rsidRDefault="00A11466" w:rsidP="00A11466">
    <w:pPr>
      <w:pStyle w:val="Header"/>
      <w:jc w:val="right"/>
      <w:rPr>
        <w:sz w:val="22"/>
        <w:szCs w:val="22"/>
      </w:rPr>
    </w:pPr>
    <w:r w:rsidRPr="00A11466">
      <w:rPr>
        <w:sz w:val="22"/>
        <w:szCs w:val="22"/>
      </w:rPr>
      <w:t>Docket TG-140560</w:t>
    </w:r>
  </w:p>
  <w:p w14:paraId="694BA5AB" w14:textId="0C8EE98C" w:rsidR="00A11466" w:rsidRPr="00A11466" w:rsidRDefault="00A11466" w:rsidP="00A11466">
    <w:pPr>
      <w:pStyle w:val="Header"/>
      <w:jc w:val="right"/>
      <w:rPr>
        <w:sz w:val="22"/>
        <w:szCs w:val="22"/>
      </w:rPr>
    </w:pPr>
    <w:r w:rsidRPr="00A11466">
      <w:rPr>
        <w:sz w:val="22"/>
        <w:szCs w:val="22"/>
      </w:rPr>
      <w:fldChar w:fldCharType="begin"/>
    </w:r>
    <w:r w:rsidRPr="00A11466">
      <w:rPr>
        <w:sz w:val="22"/>
        <w:szCs w:val="22"/>
      </w:rPr>
      <w:instrText xml:space="preserve"> PAGE   \* MERGEFORMAT </w:instrText>
    </w:r>
    <w:r w:rsidRPr="00A11466">
      <w:rPr>
        <w:sz w:val="22"/>
        <w:szCs w:val="22"/>
      </w:rPr>
      <w:fldChar w:fldCharType="separate"/>
    </w:r>
    <w:r>
      <w:rPr>
        <w:noProof/>
        <w:sz w:val="22"/>
        <w:szCs w:val="22"/>
      </w:rPr>
      <w:t>1</w:t>
    </w:r>
    <w:r w:rsidRPr="00A11466">
      <w:rPr>
        <w:noProof/>
        <w:sz w:val="22"/>
        <w:szCs w:val="22"/>
      </w:rPr>
      <w:fldChar w:fldCharType="end"/>
    </w:r>
    <w:r w:rsidRPr="00A11466">
      <w:rPr>
        <w:noProof/>
        <w:sz w:val="22"/>
        <w:szCs w:val="22"/>
      </w:rPr>
      <w:t xml:space="preserve"> of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9B72D" w14:textId="77777777" w:rsidR="00A11466" w:rsidRDefault="00A11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6B"/>
    <w:rsid w:val="000B55E8"/>
    <w:rsid w:val="000C75DE"/>
    <w:rsid w:val="00104BB4"/>
    <w:rsid w:val="001315A9"/>
    <w:rsid w:val="00184B4F"/>
    <w:rsid w:val="001B24E1"/>
    <w:rsid w:val="00211D73"/>
    <w:rsid w:val="00222F42"/>
    <w:rsid w:val="00263BF8"/>
    <w:rsid w:val="002A2E73"/>
    <w:rsid w:val="002B3BC5"/>
    <w:rsid w:val="0032034E"/>
    <w:rsid w:val="00404D2C"/>
    <w:rsid w:val="004541C0"/>
    <w:rsid w:val="004B5AFE"/>
    <w:rsid w:val="004D0D2C"/>
    <w:rsid w:val="00542696"/>
    <w:rsid w:val="00575CFF"/>
    <w:rsid w:val="005A48E1"/>
    <w:rsid w:val="00604B17"/>
    <w:rsid w:val="00663A04"/>
    <w:rsid w:val="006828F4"/>
    <w:rsid w:val="006D3FB7"/>
    <w:rsid w:val="0076013F"/>
    <w:rsid w:val="007B1F1B"/>
    <w:rsid w:val="00822192"/>
    <w:rsid w:val="00831CBE"/>
    <w:rsid w:val="0085212F"/>
    <w:rsid w:val="008C5971"/>
    <w:rsid w:val="008E1BFF"/>
    <w:rsid w:val="008F2A7E"/>
    <w:rsid w:val="008F3E94"/>
    <w:rsid w:val="00903B18"/>
    <w:rsid w:val="0095167C"/>
    <w:rsid w:val="00955F10"/>
    <w:rsid w:val="00967381"/>
    <w:rsid w:val="00A11466"/>
    <w:rsid w:val="00A423BB"/>
    <w:rsid w:val="00AC2FA9"/>
    <w:rsid w:val="00B8563C"/>
    <w:rsid w:val="00BB007A"/>
    <w:rsid w:val="00BD752C"/>
    <w:rsid w:val="00C7185F"/>
    <w:rsid w:val="00CD4F8A"/>
    <w:rsid w:val="00D0695B"/>
    <w:rsid w:val="00D115F9"/>
    <w:rsid w:val="00D24C44"/>
    <w:rsid w:val="00E106D6"/>
    <w:rsid w:val="00E56F4D"/>
    <w:rsid w:val="00E86E6B"/>
    <w:rsid w:val="00EC37E8"/>
    <w:rsid w:val="00F21EE0"/>
    <w:rsid w:val="00F2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86E6B"/>
    <w:rPr>
      <w:sz w:val="20"/>
      <w:szCs w:val="20"/>
    </w:rPr>
  </w:style>
  <w:style w:type="character" w:customStyle="1" w:styleId="FootnoteTextChar">
    <w:name w:val="Footnote Text Char"/>
    <w:basedOn w:val="DefaultParagraphFont"/>
    <w:link w:val="FootnoteText"/>
    <w:uiPriority w:val="99"/>
    <w:semiHidden/>
    <w:rsid w:val="00E86E6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E6B"/>
    <w:rPr>
      <w:vertAlign w:val="superscript"/>
    </w:rPr>
  </w:style>
  <w:style w:type="table" w:customStyle="1" w:styleId="TableGrid1">
    <w:name w:val="Table Grid1"/>
    <w:basedOn w:val="TableNormal"/>
    <w:next w:val="TableGrid"/>
    <w:uiPriority w:val="59"/>
    <w:rsid w:val="0054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95B"/>
    <w:rPr>
      <w:rFonts w:ascii="Segoe UI" w:hAnsi="Segoe UI" w:cs="Segoe UI"/>
      <w:sz w:val="18"/>
      <w:szCs w:val="18"/>
    </w:rPr>
  </w:style>
  <w:style w:type="paragraph" w:styleId="Header">
    <w:name w:val="header"/>
    <w:basedOn w:val="Normal"/>
    <w:link w:val="HeaderChar"/>
    <w:uiPriority w:val="99"/>
    <w:unhideWhenUsed/>
    <w:rsid w:val="001B24E1"/>
    <w:pPr>
      <w:tabs>
        <w:tab w:val="center" w:pos="4680"/>
        <w:tab w:val="right" w:pos="9360"/>
      </w:tabs>
    </w:pPr>
  </w:style>
  <w:style w:type="character" w:customStyle="1" w:styleId="HeaderChar">
    <w:name w:val="Header Char"/>
    <w:basedOn w:val="DefaultParagraphFont"/>
    <w:link w:val="Header"/>
    <w:uiPriority w:val="99"/>
    <w:rsid w:val="001B24E1"/>
    <w:rPr>
      <w:rFonts w:ascii="Times New Roman" w:hAnsi="Times New Roman" w:cs="Times New Roman"/>
      <w:sz w:val="24"/>
      <w:szCs w:val="24"/>
    </w:rPr>
  </w:style>
  <w:style w:type="paragraph" w:styleId="Footer">
    <w:name w:val="footer"/>
    <w:basedOn w:val="Normal"/>
    <w:link w:val="FooterChar"/>
    <w:uiPriority w:val="99"/>
    <w:unhideWhenUsed/>
    <w:rsid w:val="001B24E1"/>
    <w:pPr>
      <w:tabs>
        <w:tab w:val="center" w:pos="4680"/>
        <w:tab w:val="right" w:pos="9360"/>
      </w:tabs>
    </w:pPr>
  </w:style>
  <w:style w:type="character" w:customStyle="1" w:styleId="FooterChar">
    <w:name w:val="Footer Char"/>
    <w:basedOn w:val="DefaultParagraphFont"/>
    <w:link w:val="Footer"/>
    <w:uiPriority w:val="99"/>
    <w:rsid w:val="001B24E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86E6B"/>
    <w:rPr>
      <w:sz w:val="20"/>
      <w:szCs w:val="20"/>
    </w:rPr>
  </w:style>
  <w:style w:type="character" w:customStyle="1" w:styleId="FootnoteTextChar">
    <w:name w:val="Footnote Text Char"/>
    <w:basedOn w:val="DefaultParagraphFont"/>
    <w:link w:val="FootnoteText"/>
    <w:uiPriority w:val="99"/>
    <w:semiHidden/>
    <w:rsid w:val="00E86E6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E6B"/>
    <w:rPr>
      <w:vertAlign w:val="superscript"/>
    </w:rPr>
  </w:style>
  <w:style w:type="table" w:customStyle="1" w:styleId="TableGrid1">
    <w:name w:val="Table Grid1"/>
    <w:basedOn w:val="TableNormal"/>
    <w:next w:val="TableGrid"/>
    <w:uiPriority w:val="59"/>
    <w:rsid w:val="0054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95B"/>
    <w:rPr>
      <w:rFonts w:ascii="Segoe UI" w:hAnsi="Segoe UI" w:cs="Segoe UI"/>
      <w:sz w:val="18"/>
      <w:szCs w:val="18"/>
    </w:rPr>
  </w:style>
  <w:style w:type="paragraph" w:styleId="Header">
    <w:name w:val="header"/>
    <w:basedOn w:val="Normal"/>
    <w:link w:val="HeaderChar"/>
    <w:uiPriority w:val="99"/>
    <w:unhideWhenUsed/>
    <w:rsid w:val="001B24E1"/>
    <w:pPr>
      <w:tabs>
        <w:tab w:val="center" w:pos="4680"/>
        <w:tab w:val="right" w:pos="9360"/>
      </w:tabs>
    </w:pPr>
  </w:style>
  <w:style w:type="character" w:customStyle="1" w:styleId="HeaderChar">
    <w:name w:val="Header Char"/>
    <w:basedOn w:val="DefaultParagraphFont"/>
    <w:link w:val="Header"/>
    <w:uiPriority w:val="99"/>
    <w:rsid w:val="001B24E1"/>
    <w:rPr>
      <w:rFonts w:ascii="Times New Roman" w:hAnsi="Times New Roman" w:cs="Times New Roman"/>
      <w:sz w:val="24"/>
      <w:szCs w:val="24"/>
    </w:rPr>
  </w:style>
  <w:style w:type="paragraph" w:styleId="Footer">
    <w:name w:val="footer"/>
    <w:basedOn w:val="Normal"/>
    <w:link w:val="FooterChar"/>
    <w:uiPriority w:val="99"/>
    <w:unhideWhenUsed/>
    <w:rsid w:val="001B24E1"/>
    <w:pPr>
      <w:tabs>
        <w:tab w:val="center" w:pos="4680"/>
        <w:tab w:val="right" w:pos="9360"/>
      </w:tabs>
    </w:pPr>
  </w:style>
  <w:style w:type="character" w:customStyle="1" w:styleId="FooterChar">
    <w:name w:val="Footer Char"/>
    <w:basedOn w:val="DefaultParagraphFont"/>
    <w:link w:val="Footer"/>
    <w:uiPriority w:val="99"/>
    <w:rsid w:val="001B24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Stipulation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2014-10-14T23:44:57+00:00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7D005-9AB2-4138-9D51-C45D590656A3}"/>
</file>

<file path=customXml/itemProps2.xml><?xml version="1.0" encoding="utf-8"?>
<ds:datastoreItem xmlns:ds="http://schemas.openxmlformats.org/officeDocument/2006/customXml" ds:itemID="{7A18DE60-04AE-4B3B-87D1-D3F9965AC9B6}"/>
</file>

<file path=customXml/itemProps3.xml><?xml version="1.0" encoding="utf-8"?>
<ds:datastoreItem xmlns:ds="http://schemas.openxmlformats.org/officeDocument/2006/customXml" ds:itemID="{0E9DF085-4A31-4B71-BB70-8C5F8E1CD530}"/>
</file>

<file path=customXml/itemProps4.xml><?xml version="1.0" encoding="utf-8"?>
<ds:datastoreItem xmlns:ds="http://schemas.openxmlformats.org/officeDocument/2006/customXml" ds:itemID="{6F3F07B2-AAA9-4175-9CEB-40A9D085C506}"/>
</file>

<file path=customXml/itemProps5.xml><?xml version="1.0" encoding="utf-8"?>
<ds:datastoreItem xmlns:ds="http://schemas.openxmlformats.org/officeDocument/2006/customXml" ds:itemID="{F1C9EEF2-2089-4C47-A7A0-4C62D5A97E14}"/>
</file>

<file path=docProps/app.xml><?xml version="1.0" encoding="utf-8"?>
<Properties xmlns="http://schemas.openxmlformats.org/officeDocument/2006/extended-properties" xmlns:vt="http://schemas.openxmlformats.org/officeDocument/2006/docPropsVTypes">
  <Template>Normal</Template>
  <TotalTime>186</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Cheesman, Melissa (UTC)</dc:creator>
  <cp:keywords/>
  <dc:description/>
  <cp:lastModifiedBy>Shearer, Brett (UTC)</cp:lastModifiedBy>
  <cp:revision>50</cp:revision>
  <cp:lastPrinted>2014-10-11T00:26:00Z</cp:lastPrinted>
  <dcterms:created xsi:type="dcterms:W3CDTF">2014-09-15T22:08:00Z</dcterms:created>
  <dcterms:modified xsi:type="dcterms:W3CDTF">2014-10-13T20:08:00Z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