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2369" w14:textId="77777777" w:rsidR="005632FF" w:rsidRDefault="006C11E8" w:rsidP="006C11E8">
      <w:pPr>
        <w:tabs>
          <w:tab w:val="center" w:pos="4980"/>
          <w:tab w:val="left" w:pos="7587"/>
        </w:tabs>
        <w:rPr>
          <w:rFonts w:ascii="Arial" w:hAnsi="Arial" w:cs="Arial"/>
        </w:rPr>
      </w:pPr>
      <w:r>
        <w:rPr>
          <w:rFonts w:ascii="Arial" w:hAnsi="Arial" w:cs="Arial"/>
        </w:rPr>
        <w:tab/>
      </w:r>
      <w:bookmarkStart w:id="0" w:name="_GoBack"/>
      <w:bookmarkEnd w:id="0"/>
      <w:r w:rsidR="00AE2E38" w:rsidRPr="001D4AD7">
        <w:rPr>
          <w:rFonts w:ascii="Arial" w:hAnsi="Arial" w:cs="Arial"/>
          <w:noProof/>
        </w:rPr>
        <w:drawing>
          <wp:inline distT="0" distB="0" distL="0" distR="0" wp14:anchorId="5418937E" wp14:editId="4DDF3B0A">
            <wp:extent cx="1714500" cy="5783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EL logo wTag.jpg"/>
                    <pic:cNvPicPr/>
                  </pic:nvPicPr>
                  <pic:blipFill>
                    <a:blip r:embed="rId7">
                      <a:extLst>
                        <a:ext uri="{28A0092B-C50C-407E-A947-70E740481C1C}">
                          <a14:useLocalDpi xmlns:a14="http://schemas.microsoft.com/office/drawing/2010/main" val="0"/>
                        </a:ext>
                      </a:extLst>
                    </a:blip>
                    <a:stretch>
                      <a:fillRect/>
                    </a:stretch>
                  </pic:blipFill>
                  <pic:spPr>
                    <a:xfrm>
                      <a:off x="0" y="0"/>
                      <a:ext cx="1714500" cy="578358"/>
                    </a:xfrm>
                    <a:prstGeom prst="rect">
                      <a:avLst/>
                    </a:prstGeom>
                  </pic:spPr>
                </pic:pic>
              </a:graphicData>
            </a:graphic>
          </wp:inline>
        </w:drawing>
      </w:r>
      <w:r>
        <w:rPr>
          <w:rFonts w:ascii="Arial" w:hAnsi="Arial" w:cs="Arial"/>
        </w:rPr>
        <w:tab/>
      </w:r>
    </w:p>
    <w:p w14:paraId="615F3800" w14:textId="07603BBD" w:rsidR="005632FF" w:rsidRDefault="00862DB5" w:rsidP="005632FF">
      <w:pPr>
        <w:spacing w:before="120" w:after="120"/>
        <w:jc w:val="center"/>
        <w:rPr>
          <w:rFonts w:ascii="Times New Roman" w:hAnsi="Times New Roman"/>
          <w:b/>
          <w:sz w:val="22"/>
          <w:szCs w:val="22"/>
        </w:rPr>
      </w:pPr>
      <w:r>
        <w:rPr>
          <w:rFonts w:ascii="Times New Roman" w:hAnsi="Times New Roman"/>
          <w:b/>
          <w:sz w:val="22"/>
          <w:szCs w:val="22"/>
        </w:rPr>
        <w:t>June 14</w:t>
      </w:r>
      <w:r w:rsidR="00AE2E38">
        <w:rPr>
          <w:rFonts w:ascii="Times New Roman" w:hAnsi="Times New Roman"/>
          <w:b/>
          <w:sz w:val="22"/>
          <w:szCs w:val="22"/>
        </w:rPr>
        <w:t>, 2015 Confidential Term Sheet for the Offering of Convertible Notes and Warrants</w:t>
      </w:r>
    </w:p>
    <w:p w14:paraId="1CF4556F" w14:textId="77777777" w:rsidR="005632FF" w:rsidRPr="000E6FF2" w:rsidRDefault="00AE2E38" w:rsidP="005632FF">
      <w:pPr>
        <w:ind w:left="-835"/>
        <w:jc w:val="both"/>
        <w:rPr>
          <w:rFonts w:ascii="Times New Roman" w:hAnsi="Times New Roman"/>
          <w:sz w:val="22"/>
          <w:szCs w:val="22"/>
        </w:rPr>
      </w:pPr>
      <w:r>
        <w:rPr>
          <w:rFonts w:ascii="Times New Roman" w:hAnsi="Times New Roman"/>
          <w:sz w:val="22"/>
          <w:szCs w:val="22"/>
        </w:rPr>
        <w:t>This Confidential</w:t>
      </w:r>
      <w:r w:rsidRPr="00D66B9D">
        <w:rPr>
          <w:rFonts w:ascii="Times New Roman" w:hAnsi="Times New Roman"/>
          <w:sz w:val="22"/>
          <w:szCs w:val="22"/>
        </w:rPr>
        <w:t xml:space="preserve"> Term Sheet</w:t>
      </w:r>
      <w:r>
        <w:rPr>
          <w:rFonts w:ascii="Times New Roman" w:hAnsi="Times New Roman"/>
          <w:sz w:val="22"/>
          <w:szCs w:val="22"/>
        </w:rPr>
        <w:t xml:space="preserve"> provides a brief summary of the securities being offered (the “</w:t>
      </w:r>
      <w:r>
        <w:rPr>
          <w:rFonts w:ascii="Times New Roman" w:hAnsi="Times New Roman"/>
          <w:sz w:val="22"/>
          <w:szCs w:val="22"/>
          <w:u w:val="single"/>
        </w:rPr>
        <w:t>Offering</w:t>
      </w:r>
      <w:r>
        <w:rPr>
          <w:rFonts w:ascii="Times New Roman" w:hAnsi="Times New Roman"/>
          <w:sz w:val="22"/>
          <w:szCs w:val="22"/>
        </w:rPr>
        <w:t>”) by FracTEL LLC, a Florida limited liability company (the “</w:t>
      </w:r>
      <w:r w:rsidRPr="00074ECE">
        <w:rPr>
          <w:rFonts w:ascii="Times New Roman" w:hAnsi="Times New Roman"/>
          <w:sz w:val="22"/>
          <w:szCs w:val="22"/>
          <w:u w:val="single"/>
        </w:rPr>
        <w:t>Company</w:t>
      </w:r>
      <w:r>
        <w:rPr>
          <w:rFonts w:ascii="Times New Roman" w:hAnsi="Times New Roman"/>
          <w:sz w:val="22"/>
          <w:szCs w:val="22"/>
        </w:rPr>
        <w:t xml:space="preserve">”).  The Company has recently engaged </w:t>
      </w:r>
      <w:r w:rsidRPr="008B2858">
        <w:rPr>
          <w:rFonts w:ascii="Times New Roman" w:hAnsi="Times New Roman"/>
          <w:sz w:val="22"/>
          <w:szCs w:val="22"/>
          <w:highlight w:val="black"/>
        </w:rPr>
        <w:t>Great Point Capital LLC</w:t>
      </w:r>
      <w:r>
        <w:rPr>
          <w:rFonts w:ascii="Times New Roman" w:hAnsi="Times New Roman"/>
          <w:sz w:val="22"/>
          <w:szCs w:val="22"/>
        </w:rPr>
        <w:t xml:space="preserve"> (the “</w:t>
      </w:r>
      <w:r>
        <w:rPr>
          <w:rFonts w:ascii="Times New Roman" w:hAnsi="Times New Roman"/>
          <w:sz w:val="22"/>
          <w:szCs w:val="22"/>
          <w:u w:val="single"/>
        </w:rPr>
        <w:t>Selling Agent</w:t>
      </w:r>
      <w:r>
        <w:rPr>
          <w:rFonts w:ascii="Times New Roman" w:hAnsi="Times New Roman"/>
          <w:sz w:val="22"/>
          <w:szCs w:val="22"/>
        </w:rPr>
        <w:t xml:space="preserve">”) to undertake to place up to </w:t>
      </w:r>
      <w:r w:rsidRPr="008B2858">
        <w:rPr>
          <w:rFonts w:ascii="Times New Roman" w:hAnsi="Times New Roman"/>
          <w:sz w:val="22"/>
          <w:szCs w:val="22"/>
          <w:highlight w:val="black"/>
        </w:rPr>
        <w:t>$3,000,000</w:t>
      </w:r>
      <w:r>
        <w:rPr>
          <w:rFonts w:ascii="Times New Roman" w:hAnsi="Times New Roman"/>
          <w:sz w:val="22"/>
          <w:szCs w:val="22"/>
        </w:rPr>
        <w:t xml:space="preserve"> of the Company’s convertible notes. </w:t>
      </w:r>
      <w:r w:rsidRPr="000E6FF2">
        <w:rPr>
          <w:rFonts w:ascii="Times New Roman" w:hAnsi="Times New Roman"/>
          <w:sz w:val="22"/>
          <w:szCs w:val="22"/>
        </w:rPr>
        <w:t xml:space="preserve">This term sheet is for discussion purposes only and is not binding on Company or the Investors (as defined below), nor is Company or any of the Investors obligated to consummate the convertible promissory note financing until a definitive convertible note purchase agreement has been agreed to and executed by Company and the Investors. </w:t>
      </w:r>
    </w:p>
    <w:p w14:paraId="647E3958" w14:textId="77777777" w:rsidR="005632FF" w:rsidRDefault="005632FF" w:rsidP="005632FF">
      <w:pPr>
        <w:spacing w:after="120"/>
        <w:ind w:left="-835"/>
        <w:jc w:val="both"/>
        <w:rPr>
          <w:rFonts w:ascii="Times New Roman" w:hAnsi="Times New Roman"/>
          <w:sz w:val="22"/>
          <w:szCs w:val="22"/>
        </w:rPr>
      </w:pPr>
    </w:p>
    <w:tbl>
      <w:tblPr>
        <w:tblW w:w="1102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9315"/>
      </w:tblGrid>
      <w:tr w:rsidR="005632FF" w:rsidRPr="00074ECE" w14:paraId="4CE821C2" w14:textId="77777777">
        <w:tc>
          <w:tcPr>
            <w:tcW w:w="1663" w:type="dxa"/>
            <w:shd w:val="clear" w:color="auto" w:fill="auto"/>
          </w:tcPr>
          <w:p w14:paraId="596AE3BF" w14:textId="77777777" w:rsidR="005632FF" w:rsidRDefault="00AE2E38" w:rsidP="005632FF">
            <w:pPr>
              <w:jc w:val="both"/>
              <w:rPr>
                <w:rFonts w:ascii="Times New Roman" w:hAnsi="Times New Roman"/>
                <w:b/>
                <w:sz w:val="22"/>
                <w:szCs w:val="22"/>
              </w:rPr>
            </w:pPr>
            <w:r>
              <w:rPr>
                <w:rFonts w:ascii="Times New Roman" w:hAnsi="Times New Roman"/>
                <w:b/>
                <w:sz w:val="22"/>
                <w:szCs w:val="22"/>
              </w:rPr>
              <w:t>Current</w:t>
            </w:r>
          </w:p>
          <w:p w14:paraId="74AFFD1C" w14:textId="77777777" w:rsidR="005632FF" w:rsidRPr="00074ECE" w:rsidRDefault="00AE2E38" w:rsidP="005632FF">
            <w:pPr>
              <w:spacing w:after="120"/>
              <w:jc w:val="both"/>
              <w:rPr>
                <w:rFonts w:ascii="Times New Roman" w:hAnsi="Times New Roman"/>
                <w:sz w:val="22"/>
                <w:szCs w:val="22"/>
              </w:rPr>
            </w:pPr>
            <w:r w:rsidRPr="00074ECE">
              <w:rPr>
                <w:rFonts w:ascii="Times New Roman" w:hAnsi="Times New Roman"/>
                <w:b/>
                <w:sz w:val="22"/>
                <w:szCs w:val="22"/>
              </w:rPr>
              <w:t>Offering:</w:t>
            </w:r>
          </w:p>
        </w:tc>
        <w:tc>
          <w:tcPr>
            <w:tcW w:w="9360" w:type="dxa"/>
            <w:shd w:val="clear" w:color="auto" w:fill="auto"/>
          </w:tcPr>
          <w:p w14:paraId="1E8E1C80" w14:textId="77777777" w:rsidR="005632FF" w:rsidRPr="00074ECE" w:rsidRDefault="00AE2E38" w:rsidP="005632FF">
            <w:pPr>
              <w:spacing w:after="120"/>
              <w:jc w:val="both"/>
              <w:rPr>
                <w:rFonts w:ascii="Times New Roman" w:hAnsi="Times New Roman"/>
                <w:sz w:val="22"/>
                <w:szCs w:val="22"/>
              </w:rPr>
            </w:pPr>
            <w:r w:rsidRPr="00074ECE">
              <w:rPr>
                <w:rFonts w:ascii="Times New Roman" w:hAnsi="Times New Roman"/>
                <w:sz w:val="22"/>
                <w:szCs w:val="22"/>
              </w:rPr>
              <w:t xml:space="preserve">The Company is seeking subscriptions for </w:t>
            </w:r>
            <w:r>
              <w:rPr>
                <w:rFonts w:ascii="Times New Roman" w:hAnsi="Times New Roman"/>
                <w:sz w:val="22"/>
                <w:szCs w:val="22"/>
              </w:rPr>
              <w:t>u</w:t>
            </w:r>
            <w:r w:rsidRPr="00E90F85">
              <w:rPr>
                <w:rFonts w:ascii="Times New Roman" w:hAnsi="Times New Roman"/>
                <w:sz w:val="22"/>
                <w:szCs w:val="22"/>
              </w:rPr>
              <w:t xml:space="preserve">p to </w:t>
            </w:r>
            <w:r w:rsidRPr="008B2858">
              <w:rPr>
                <w:rFonts w:ascii="Times New Roman" w:hAnsi="Times New Roman"/>
                <w:sz w:val="22"/>
                <w:szCs w:val="22"/>
                <w:highlight w:val="black"/>
              </w:rPr>
              <w:t>$3,000,000</w:t>
            </w:r>
            <w:r w:rsidRPr="00E90F85">
              <w:rPr>
                <w:rFonts w:ascii="Times New Roman" w:hAnsi="Times New Roman"/>
                <w:sz w:val="22"/>
                <w:szCs w:val="22"/>
              </w:rPr>
              <w:t xml:space="preserve"> in aggregate principal amount of</w:t>
            </w:r>
            <w:r>
              <w:rPr>
                <w:rFonts w:ascii="Times New Roman" w:hAnsi="Times New Roman"/>
                <w:sz w:val="22"/>
                <w:szCs w:val="22"/>
              </w:rPr>
              <w:t xml:space="preserve"> </w:t>
            </w:r>
            <w:r w:rsidRPr="00E90F85">
              <w:rPr>
                <w:rFonts w:ascii="Times New Roman" w:hAnsi="Times New Roman"/>
                <w:sz w:val="22"/>
                <w:szCs w:val="22"/>
              </w:rPr>
              <w:t>convertible promissory note</w:t>
            </w:r>
            <w:r>
              <w:rPr>
                <w:rFonts w:ascii="Times New Roman" w:hAnsi="Times New Roman"/>
                <w:sz w:val="22"/>
                <w:szCs w:val="22"/>
              </w:rPr>
              <w:t>s</w:t>
            </w:r>
            <w:r w:rsidRPr="00E90F85">
              <w:rPr>
                <w:rFonts w:ascii="Times New Roman" w:hAnsi="Times New Roman"/>
                <w:sz w:val="22"/>
                <w:szCs w:val="22"/>
              </w:rPr>
              <w:t xml:space="preserve"> (</w:t>
            </w:r>
            <w:r>
              <w:rPr>
                <w:rFonts w:ascii="Times New Roman" w:hAnsi="Times New Roman"/>
                <w:sz w:val="22"/>
                <w:szCs w:val="22"/>
              </w:rPr>
              <w:t xml:space="preserve">each a “Note” and collectively </w:t>
            </w:r>
            <w:r w:rsidRPr="00E90F85">
              <w:rPr>
                <w:rFonts w:ascii="Times New Roman" w:hAnsi="Times New Roman"/>
                <w:sz w:val="22"/>
                <w:szCs w:val="22"/>
              </w:rPr>
              <w:t>the “Note</w:t>
            </w:r>
            <w:r>
              <w:rPr>
                <w:rFonts w:ascii="Times New Roman" w:hAnsi="Times New Roman"/>
                <w:sz w:val="22"/>
                <w:szCs w:val="22"/>
              </w:rPr>
              <w:t>s</w:t>
            </w:r>
            <w:r w:rsidRPr="00E90F85">
              <w:rPr>
                <w:rFonts w:ascii="Times New Roman" w:hAnsi="Times New Roman"/>
                <w:sz w:val="22"/>
                <w:szCs w:val="22"/>
              </w:rPr>
              <w:t>”)</w:t>
            </w:r>
            <w:r>
              <w:rPr>
                <w:rFonts w:ascii="Times New Roman" w:hAnsi="Times New Roman"/>
                <w:sz w:val="22"/>
                <w:szCs w:val="22"/>
              </w:rPr>
              <w:t xml:space="preserve"> for which the subscriber will also receive a warrant for the purchase of Membership Units of the Company (each a “</w:t>
            </w:r>
            <w:r>
              <w:rPr>
                <w:rFonts w:ascii="Times New Roman" w:hAnsi="Times New Roman"/>
                <w:sz w:val="22"/>
                <w:szCs w:val="22"/>
                <w:u w:val="single"/>
              </w:rPr>
              <w:t>Warrant</w:t>
            </w:r>
            <w:r>
              <w:rPr>
                <w:rFonts w:ascii="Times New Roman" w:hAnsi="Times New Roman"/>
                <w:sz w:val="22"/>
                <w:szCs w:val="22"/>
              </w:rPr>
              <w:t>” and collectively the “</w:t>
            </w:r>
            <w:r>
              <w:rPr>
                <w:rFonts w:ascii="Times New Roman" w:hAnsi="Times New Roman"/>
                <w:sz w:val="22"/>
                <w:szCs w:val="22"/>
                <w:u w:val="single"/>
              </w:rPr>
              <w:t>Warrants</w:t>
            </w:r>
            <w:r>
              <w:rPr>
                <w:rFonts w:ascii="Times New Roman" w:hAnsi="Times New Roman"/>
                <w:sz w:val="22"/>
                <w:szCs w:val="22"/>
              </w:rPr>
              <w:t>”)</w:t>
            </w:r>
            <w:r w:rsidRPr="00074ECE">
              <w:rPr>
                <w:rFonts w:ascii="Times New Roman" w:hAnsi="Times New Roman"/>
                <w:sz w:val="22"/>
                <w:szCs w:val="22"/>
              </w:rPr>
              <w:t>.</w:t>
            </w:r>
            <w:r>
              <w:rPr>
                <w:rFonts w:ascii="Times New Roman" w:hAnsi="Times New Roman"/>
                <w:sz w:val="22"/>
                <w:szCs w:val="22"/>
              </w:rPr>
              <w:t xml:space="preserve">  </w:t>
            </w:r>
          </w:p>
        </w:tc>
      </w:tr>
      <w:tr w:rsidR="005632FF" w:rsidRPr="00074ECE" w14:paraId="45618704" w14:textId="77777777">
        <w:tc>
          <w:tcPr>
            <w:tcW w:w="1663" w:type="dxa"/>
            <w:shd w:val="clear" w:color="auto" w:fill="auto"/>
          </w:tcPr>
          <w:p w14:paraId="0063DF5B" w14:textId="77777777" w:rsidR="005632FF" w:rsidRDefault="00AE2E38" w:rsidP="005632FF">
            <w:pPr>
              <w:jc w:val="both"/>
              <w:rPr>
                <w:rFonts w:ascii="Times New Roman" w:hAnsi="Times New Roman"/>
                <w:b/>
                <w:sz w:val="22"/>
                <w:szCs w:val="22"/>
              </w:rPr>
            </w:pPr>
            <w:r>
              <w:rPr>
                <w:rFonts w:ascii="Times New Roman" w:hAnsi="Times New Roman"/>
                <w:b/>
                <w:sz w:val="22"/>
                <w:szCs w:val="22"/>
              </w:rPr>
              <w:t>Closings; Initial Closing</w:t>
            </w:r>
          </w:p>
        </w:tc>
        <w:tc>
          <w:tcPr>
            <w:tcW w:w="9360" w:type="dxa"/>
            <w:shd w:val="clear" w:color="auto" w:fill="auto"/>
          </w:tcPr>
          <w:p w14:paraId="127C4B4D" w14:textId="77777777" w:rsidR="005632FF" w:rsidRPr="00D02875" w:rsidRDefault="00AE2E38" w:rsidP="006C11E8">
            <w:pPr>
              <w:spacing w:after="120"/>
              <w:jc w:val="both"/>
              <w:rPr>
                <w:rFonts w:ascii="Times New Roman" w:hAnsi="Times New Roman"/>
                <w:sz w:val="22"/>
                <w:szCs w:val="22"/>
              </w:rPr>
            </w:pPr>
            <w:r w:rsidRPr="00D02875">
              <w:rPr>
                <w:rFonts w:ascii="Times New Roman" w:hAnsi="Times New Roman"/>
                <w:sz w:val="22"/>
                <w:szCs w:val="22"/>
              </w:rPr>
              <w:t xml:space="preserve">The Company may close the sale of the Notes in one or more closings </w:t>
            </w:r>
            <w:r>
              <w:rPr>
                <w:rFonts w:ascii="Times New Roman" w:hAnsi="Times New Roman"/>
                <w:sz w:val="22"/>
                <w:szCs w:val="22"/>
              </w:rPr>
              <w:t>(each a “</w:t>
            </w:r>
            <w:r>
              <w:rPr>
                <w:rFonts w:ascii="Times New Roman" w:hAnsi="Times New Roman"/>
                <w:sz w:val="22"/>
                <w:szCs w:val="22"/>
                <w:u w:val="single"/>
              </w:rPr>
              <w:t>Closing</w:t>
            </w:r>
            <w:r>
              <w:rPr>
                <w:rFonts w:ascii="Times New Roman" w:hAnsi="Times New Roman"/>
                <w:sz w:val="22"/>
                <w:szCs w:val="22"/>
              </w:rPr>
              <w:t xml:space="preserve">”) </w:t>
            </w:r>
            <w:r w:rsidRPr="00D02875">
              <w:rPr>
                <w:rFonts w:ascii="Times New Roman" w:hAnsi="Times New Roman"/>
                <w:sz w:val="22"/>
                <w:szCs w:val="22"/>
              </w:rPr>
              <w:t>with one or more purchasers of the Notes acceptable to the Company (the “</w:t>
            </w:r>
            <w:r w:rsidRPr="00D02875">
              <w:rPr>
                <w:rFonts w:ascii="Times New Roman" w:hAnsi="Times New Roman"/>
                <w:sz w:val="22"/>
                <w:szCs w:val="22"/>
                <w:u w:val="single"/>
              </w:rPr>
              <w:t>Investors</w:t>
            </w:r>
            <w:r>
              <w:rPr>
                <w:rFonts w:ascii="Times New Roman" w:hAnsi="Times New Roman"/>
                <w:sz w:val="22"/>
                <w:szCs w:val="22"/>
              </w:rPr>
              <w:t>”). The initial closing (the “</w:t>
            </w:r>
            <w:r>
              <w:rPr>
                <w:rFonts w:ascii="Times New Roman" w:hAnsi="Times New Roman"/>
                <w:sz w:val="22"/>
                <w:szCs w:val="22"/>
                <w:u w:val="single"/>
              </w:rPr>
              <w:t>Initial Closing</w:t>
            </w:r>
            <w:r>
              <w:rPr>
                <w:rFonts w:ascii="Times New Roman" w:hAnsi="Times New Roman"/>
                <w:sz w:val="22"/>
                <w:szCs w:val="22"/>
              </w:rPr>
              <w:t xml:space="preserve">”), and each subsequent Closing, shall not occur until the Company receives </w:t>
            </w:r>
            <w:r w:rsidRPr="009D224C">
              <w:rPr>
                <w:rFonts w:ascii="Times New Roman" w:hAnsi="Times New Roman"/>
                <w:sz w:val="22"/>
                <w:szCs w:val="22"/>
              </w:rPr>
              <w:t xml:space="preserve">acceptable subscriptions for </w:t>
            </w:r>
            <w:r>
              <w:rPr>
                <w:rFonts w:ascii="Times New Roman" w:hAnsi="Times New Roman"/>
                <w:sz w:val="22"/>
                <w:szCs w:val="22"/>
              </w:rPr>
              <w:t>Notes</w:t>
            </w:r>
            <w:r w:rsidRPr="009D224C">
              <w:rPr>
                <w:rFonts w:ascii="Times New Roman" w:hAnsi="Times New Roman"/>
                <w:sz w:val="22"/>
                <w:szCs w:val="22"/>
              </w:rPr>
              <w:t xml:space="preserve"> </w:t>
            </w:r>
            <w:r>
              <w:rPr>
                <w:rFonts w:ascii="Times New Roman" w:hAnsi="Times New Roman"/>
                <w:sz w:val="22"/>
                <w:szCs w:val="22"/>
              </w:rPr>
              <w:t>with</w:t>
            </w:r>
            <w:r w:rsidRPr="009D224C">
              <w:rPr>
                <w:rFonts w:ascii="Times New Roman" w:hAnsi="Times New Roman"/>
                <w:sz w:val="22"/>
                <w:szCs w:val="22"/>
              </w:rPr>
              <w:t xml:space="preserve"> </w:t>
            </w:r>
            <w:r>
              <w:rPr>
                <w:rFonts w:ascii="Times New Roman" w:hAnsi="Times New Roman"/>
                <w:sz w:val="22"/>
                <w:szCs w:val="22"/>
              </w:rPr>
              <w:t xml:space="preserve">aggregate principal amounts of </w:t>
            </w:r>
            <w:r w:rsidRPr="009D224C">
              <w:rPr>
                <w:rFonts w:ascii="Times New Roman" w:hAnsi="Times New Roman"/>
                <w:sz w:val="22"/>
                <w:szCs w:val="22"/>
              </w:rPr>
              <w:t xml:space="preserve">at least </w:t>
            </w:r>
            <w:r w:rsidRPr="008B2858">
              <w:rPr>
                <w:rFonts w:ascii="Times New Roman" w:hAnsi="Times New Roman"/>
                <w:sz w:val="22"/>
                <w:szCs w:val="22"/>
                <w:highlight w:val="black"/>
              </w:rPr>
              <w:t>$500,000</w:t>
            </w:r>
            <w:r w:rsidRPr="009D224C">
              <w:rPr>
                <w:rFonts w:ascii="Times New Roman" w:hAnsi="Times New Roman"/>
                <w:sz w:val="22"/>
                <w:szCs w:val="22"/>
              </w:rPr>
              <w:t>.</w:t>
            </w:r>
            <w:r>
              <w:rPr>
                <w:rFonts w:ascii="Times New Roman" w:hAnsi="Times New Roman"/>
                <w:sz w:val="22"/>
                <w:szCs w:val="22"/>
              </w:rPr>
              <w:t xml:space="preserve"> The Company may waive the </w:t>
            </w:r>
            <w:r w:rsidRPr="008B2858">
              <w:rPr>
                <w:rFonts w:ascii="Times New Roman" w:hAnsi="Times New Roman"/>
                <w:sz w:val="22"/>
                <w:szCs w:val="22"/>
                <w:highlight w:val="black"/>
              </w:rPr>
              <w:t>$500,000</w:t>
            </w:r>
            <w:r>
              <w:rPr>
                <w:rFonts w:ascii="Times New Roman" w:hAnsi="Times New Roman"/>
                <w:sz w:val="22"/>
                <w:szCs w:val="22"/>
              </w:rPr>
              <w:t xml:space="preserve"> minimum for any Closing other than the Initial Closing in its sole discretion.  </w:t>
            </w:r>
            <w:r w:rsidRPr="000E6FF2">
              <w:rPr>
                <w:rFonts w:ascii="Times New Roman" w:hAnsi="Times New Roman"/>
                <w:sz w:val="22"/>
                <w:szCs w:val="22"/>
              </w:rPr>
              <w:t xml:space="preserve">The Offering will conclude on the earlier of </w:t>
            </w:r>
            <w:r w:rsidR="006C11E8">
              <w:rPr>
                <w:rFonts w:ascii="Times New Roman" w:hAnsi="Times New Roman"/>
                <w:sz w:val="22"/>
                <w:szCs w:val="22"/>
              </w:rPr>
              <w:t>the date that is six (6) months after the Initial Closing</w:t>
            </w:r>
            <w:r w:rsidRPr="000E6FF2">
              <w:rPr>
                <w:rFonts w:ascii="Times New Roman" w:hAnsi="Times New Roman"/>
                <w:sz w:val="22"/>
                <w:szCs w:val="22"/>
              </w:rPr>
              <w:t xml:space="preserve"> or when the Offering is fully subscribed.</w:t>
            </w:r>
          </w:p>
        </w:tc>
      </w:tr>
      <w:tr w:rsidR="005632FF" w:rsidRPr="00074ECE" w14:paraId="3B5E36F0" w14:textId="77777777">
        <w:tc>
          <w:tcPr>
            <w:tcW w:w="1663" w:type="dxa"/>
            <w:shd w:val="clear" w:color="auto" w:fill="auto"/>
          </w:tcPr>
          <w:p w14:paraId="49857595" w14:textId="77777777" w:rsidR="005632FF" w:rsidRDefault="00AE2E38" w:rsidP="005632FF">
            <w:pPr>
              <w:jc w:val="both"/>
              <w:rPr>
                <w:rFonts w:ascii="Times New Roman" w:hAnsi="Times New Roman"/>
                <w:b/>
                <w:sz w:val="22"/>
                <w:szCs w:val="22"/>
              </w:rPr>
            </w:pPr>
            <w:r>
              <w:rPr>
                <w:rFonts w:ascii="Times New Roman" w:hAnsi="Times New Roman"/>
                <w:b/>
                <w:sz w:val="22"/>
                <w:szCs w:val="22"/>
              </w:rPr>
              <w:t>Notes:</w:t>
            </w:r>
          </w:p>
        </w:tc>
        <w:tc>
          <w:tcPr>
            <w:tcW w:w="9360" w:type="dxa"/>
            <w:shd w:val="clear" w:color="auto" w:fill="auto"/>
          </w:tcPr>
          <w:p w14:paraId="1FFCABF9" w14:textId="77777777" w:rsidR="005632FF" w:rsidRPr="00074ECE" w:rsidRDefault="00AE2E38" w:rsidP="005632FF">
            <w:pPr>
              <w:spacing w:after="120"/>
              <w:jc w:val="both"/>
              <w:rPr>
                <w:rFonts w:ascii="Times New Roman" w:hAnsi="Times New Roman"/>
                <w:sz w:val="22"/>
                <w:szCs w:val="22"/>
              </w:rPr>
            </w:pPr>
            <w:r w:rsidRPr="00D02875">
              <w:rPr>
                <w:rFonts w:ascii="Times New Roman" w:hAnsi="Times New Roman"/>
                <w:sz w:val="22"/>
                <w:szCs w:val="22"/>
              </w:rPr>
              <w:t>The Notes will be issued and sold pursuant to a convertible note purchase agreement prepared by the Company’s legal counsel and will contain customary representations and warranties of the Company and the Investors (the “</w:t>
            </w:r>
            <w:r w:rsidRPr="00D02875">
              <w:rPr>
                <w:rFonts w:ascii="Times New Roman" w:hAnsi="Times New Roman"/>
                <w:sz w:val="22"/>
                <w:szCs w:val="22"/>
                <w:u w:val="single"/>
              </w:rPr>
              <w:t>Note Purchase Agreement</w:t>
            </w:r>
            <w:r w:rsidRPr="00D02875">
              <w:rPr>
                <w:rFonts w:ascii="Times New Roman" w:hAnsi="Times New Roman"/>
                <w:sz w:val="22"/>
                <w:szCs w:val="22"/>
              </w:rPr>
              <w:t>”).</w:t>
            </w:r>
            <w:r>
              <w:rPr>
                <w:rFonts w:ascii="Times New Roman" w:hAnsi="Times New Roman"/>
                <w:sz w:val="22"/>
                <w:szCs w:val="22"/>
              </w:rPr>
              <w:t xml:space="preserve">  Notes will be for a minimum principal amount of </w:t>
            </w:r>
            <w:r w:rsidRPr="008B2858">
              <w:rPr>
                <w:rFonts w:ascii="Times New Roman" w:hAnsi="Times New Roman"/>
                <w:sz w:val="22"/>
                <w:szCs w:val="22"/>
                <w:highlight w:val="black"/>
              </w:rPr>
              <w:t>$100,000</w:t>
            </w:r>
            <w:r>
              <w:rPr>
                <w:rFonts w:ascii="Times New Roman" w:hAnsi="Times New Roman"/>
                <w:sz w:val="22"/>
                <w:szCs w:val="22"/>
              </w:rPr>
              <w:t xml:space="preserve"> per Investor unless waived by the Selling Agent and at least </w:t>
            </w:r>
            <w:r w:rsidRPr="008B2858">
              <w:rPr>
                <w:rFonts w:ascii="Times New Roman" w:hAnsi="Times New Roman"/>
                <w:sz w:val="22"/>
                <w:szCs w:val="22"/>
                <w:highlight w:val="black"/>
              </w:rPr>
              <w:t>$25,000</w:t>
            </w:r>
            <w:r>
              <w:rPr>
                <w:rFonts w:ascii="Times New Roman" w:hAnsi="Times New Roman"/>
                <w:sz w:val="22"/>
                <w:szCs w:val="22"/>
              </w:rPr>
              <w:t xml:space="preserve"> unless waived by the Company in its sole discretion.</w:t>
            </w:r>
          </w:p>
        </w:tc>
      </w:tr>
      <w:tr w:rsidR="005632FF" w:rsidRPr="00074ECE" w14:paraId="79E34867" w14:textId="77777777">
        <w:tc>
          <w:tcPr>
            <w:tcW w:w="1663" w:type="dxa"/>
            <w:shd w:val="clear" w:color="auto" w:fill="auto"/>
          </w:tcPr>
          <w:p w14:paraId="286E79F8" w14:textId="77777777" w:rsidR="005632FF" w:rsidRDefault="00AE2E38" w:rsidP="005632FF">
            <w:pPr>
              <w:jc w:val="both"/>
              <w:rPr>
                <w:rFonts w:ascii="Times New Roman" w:hAnsi="Times New Roman"/>
                <w:b/>
                <w:sz w:val="22"/>
                <w:szCs w:val="22"/>
              </w:rPr>
            </w:pPr>
            <w:r>
              <w:rPr>
                <w:rFonts w:ascii="Times New Roman" w:hAnsi="Times New Roman"/>
                <w:b/>
                <w:sz w:val="22"/>
                <w:szCs w:val="22"/>
              </w:rPr>
              <w:t>Maturity Date:</w:t>
            </w:r>
          </w:p>
        </w:tc>
        <w:tc>
          <w:tcPr>
            <w:tcW w:w="9360" w:type="dxa"/>
            <w:shd w:val="clear" w:color="auto" w:fill="auto"/>
          </w:tcPr>
          <w:p w14:paraId="3149DE56" w14:textId="77777777" w:rsidR="005632FF" w:rsidRPr="00D02875" w:rsidRDefault="00AE2E38" w:rsidP="005632FF">
            <w:pPr>
              <w:spacing w:after="120"/>
              <w:jc w:val="both"/>
              <w:rPr>
                <w:rFonts w:ascii="Times New Roman" w:hAnsi="Times New Roman"/>
                <w:sz w:val="22"/>
                <w:szCs w:val="22"/>
              </w:rPr>
            </w:pPr>
            <w:r>
              <w:rPr>
                <w:rFonts w:ascii="Times New Roman" w:hAnsi="Times New Roman"/>
                <w:sz w:val="22"/>
                <w:szCs w:val="22"/>
              </w:rPr>
              <w:t>All princi</w:t>
            </w:r>
            <w:r w:rsidRPr="00D02875">
              <w:rPr>
                <w:rFonts w:ascii="Times New Roman" w:hAnsi="Times New Roman"/>
                <w:sz w:val="22"/>
                <w:szCs w:val="22"/>
              </w:rPr>
              <w:t xml:space="preserve">pal and </w:t>
            </w:r>
            <w:r>
              <w:rPr>
                <w:rFonts w:ascii="Times New Roman" w:hAnsi="Times New Roman"/>
                <w:sz w:val="22"/>
                <w:szCs w:val="22"/>
              </w:rPr>
              <w:t xml:space="preserve">any </w:t>
            </w:r>
            <w:r w:rsidRPr="00D02875">
              <w:rPr>
                <w:rFonts w:ascii="Times New Roman" w:hAnsi="Times New Roman"/>
                <w:sz w:val="22"/>
                <w:szCs w:val="22"/>
              </w:rPr>
              <w:t>unpaid accrued interest on the Note</w:t>
            </w:r>
            <w:r>
              <w:rPr>
                <w:rFonts w:ascii="Times New Roman" w:hAnsi="Times New Roman"/>
                <w:sz w:val="22"/>
                <w:szCs w:val="22"/>
              </w:rPr>
              <w:t>s</w:t>
            </w:r>
            <w:r w:rsidRPr="00D02875">
              <w:rPr>
                <w:rFonts w:ascii="Times New Roman" w:hAnsi="Times New Roman"/>
                <w:sz w:val="22"/>
                <w:szCs w:val="22"/>
              </w:rPr>
              <w:t xml:space="preserve"> will be due and payable </w:t>
            </w:r>
            <w:r w:rsidRPr="008B2858">
              <w:rPr>
                <w:rFonts w:ascii="Times New Roman" w:hAnsi="Times New Roman"/>
                <w:sz w:val="22"/>
                <w:szCs w:val="22"/>
                <w:highlight w:val="black"/>
              </w:rPr>
              <w:t>24 months</w:t>
            </w:r>
            <w:r w:rsidRPr="00D02875">
              <w:rPr>
                <w:rFonts w:ascii="Times New Roman" w:hAnsi="Times New Roman"/>
                <w:sz w:val="22"/>
                <w:szCs w:val="22"/>
              </w:rPr>
              <w:t xml:space="preserve"> from the date of </w:t>
            </w:r>
            <w:r>
              <w:rPr>
                <w:rFonts w:ascii="Times New Roman" w:hAnsi="Times New Roman"/>
                <w:sz w:val="22"/>
                <w:szCs w:val="22"/>
              </w:rPr>
              <w:t>issuance of such Note</w:t>
            </w:r>
            <w:r w:rsidR="00862DB5">
              <w:rPr>
                <w:rFonts w:ascii="Times New Roman" w:hAnsi="Times New Roman"/>
                <w:sz w:val="22"/>
                <w:szCs w:val="22"/>
              </w:rPr>
              <w:t xml:space="preserve"> (the </w:t>
            </w:r>
            <w:r w:rsidR="00862DB5">
              <w:rPr>
                <w:rFonts w:ascii="Times New Roman" w:hAnsi="Times New Roman"/>
                <w:sz w:val="22"/>
                <w:szCs w:val="22"/>
                <w:u w:val="single"/>
              </w:rPr>
              <w:t>Maturity Date</w:t>
            </w:r>
            <w:r w:rsidR="00862DB5">
              <w:rPr>
                <w:rFonts w:ascii="Times New Roman" w:hAnsi="Times New Roman"/>
                <w:sz w:val="22"/>
                <w:szCs w:val="22"/>
              </w:rPr>
              <w:t>”)</w:t>
            </w:r>
            <w:r w:rsidRPr="00D02875">
              <w:rPr>
                <w:rFonts w:ascii="Times New Roman" w:hAnsi="Times New Roman"/>
                <w:sz w:val="22"/>
                <w:szCs w:val="22"/>
              </w:rPr>
              <w:t xml:space="preserve">, unless extended by the </w:t>
            </w:r>
            <w:r>
              <w:rPr>
                <w:rFonts w:ascii="Times New Roman" w:hAnsi="Times New Roman"/>
                <w:sz w:val="22"/>
                <w:szCs w:val="22"/>
              </w:rPr>
              <w:t>Company</w:t>
            </w:r>
            <w:r w:rsidRPr="00D02875">
              <w:rPr>
                <w:rFonts w:ascii="Times New Roman" w:hAnsi="Times New Roman"/>
                <w:sz w:val="22"/>
                <w:szCs w:val="22"/>
              </w:rPr>
              <w:t xml:space="preserve"> to </w:t>
            </w:r>
            <w:r w:rsidRPr="008B2858">
              <w:rPr>
                <w:rFonts w:ascii="Times New Roman" w:hAnsi="Times New Roman"/>
                <w:sz w:val="22"/>
                <w:szCs w:val="22"/>
                <w:highlight w:val="black"/>
              </w:rPr>
              <w:t>36 or to 48 months</w:t>
            </w:r>
            <w:r w:rsidRPr="00EC31C1">
              <w:rPr>
                <w:rFonts w:ascii="Times New Roman" w:hAnsi="Times New Roman"/>
                <w:sz w:val="22"/>
                <w:szCs w:val="22"/>
                <w:highlight w:val="lightGray"/>
              </w:rPr>
              <w:t>.</w:t>
            </w:r>
          </w:p>
        </w:tc>
      </w:tr>
      <w:tr w:rsidR="005632FF" w:rsidRPr="00074ECE" w14:paraId="6D3BCA90" w14:textId="77777777">
        <w:tc>
          <w:tcPr>
            <w:tcW w:w="1663" w:type="dxa"/>
            <w:shd w:val="clear" w:color="auto" w:fill="auto"/>
          </w:tcPr>
          <w:p w14:paraId="1F5D9C58" w14:textId="77777777" w:rsidR="005632FF" w:rsidRDefault="00AE2E38" w:rsidP="005632FF">
            <w:pPr>
              <w:jc w:val="both"/>
              <w:rPr>
                <w:rFonts w:ascii="Times New Roman" w:hAnsi="Times New Roman"/>
                <w:b/>
                <w:sz w:val="22"/>
                <w:szCs w:val="22"/>
              </w:rPr>
            </w:pPr>
            <w:r>
              <w:rPr>
                <w:rFonts w:ascii="Times New Roman" w:hAnsi="Times New Roman"/>
                <w:b/>
                <w:sz w:val="22"/>
                <w:szCs w:val="22"/>
              </w:rPr>
              <w:t>Interest:</w:t>
            </w:r>
          </w:p>
        </w:tc>
        <w:tc>
          <w:tcPr>
            <w:tcW w:w="9360" w:type="dxa"/>
            <w:shd w:val="clear" w:color="auto" w:fill="auto"/>
          </w:tcPr>
          <w:p w14:paraId="6543986F" w14:textId="77777777" w:rsidR="005632FF" w:rsidRPr="00D02875" w:rsidRDefault="00AE2E38" w:rsidP="005632FF">
            <w:pPr>
              <w:spacing w:after="120"/>
              <w:jc w:val="both"/>
              <w:rPr>
                <w:rFonts w:ascii="Times New Roman" w:hAnsi="Times New Roman"/>
                <w:sz w:val="22"/>
                <w:szCs w:val="22"/>
              </w:rPr>
            </w:pPr>
            <w:r w:rsidRPr="00E72DD8">
              <w:rPr>
                <w:rFonts w:ascii="Times New Roman" w:hAnsi="Times New Roman"/>
                <w:sz w:val="22"/>
                <w:szCs w:val="22"/>
              </w:rPr>
              <w:t xml:space="preserve">Simple interest will accrue and is obligated to be paid </w:t>
            </w:r>
            <w:r>
              <w:rPr>
                <w:rFonts w:ascii="Times New Roman" w:hAnsi="Times New Roman"/>
                <w:sz w:val="22"/>
                <w:szCs w:val="22"/>
              </w:rPr>
              <w:t xml:space="preserve">by the Company </w:t>
            </w:r>
            <w:r w:rsidRPr="00E72DD8">
              <w:rPr>
                <w:rFonts w:ascii="Times New Roman" w:hAnsi="Times New Roman"/>
                <w:sz w:val="22"/>
                <w:szCs w:val="22"/>
              </w:rPr>
              <w:t xml:space="preserve">on a quarterly basis at the rate of </w:t>
            </w:r>
            <w:r w:rsidRPr="008B2858">
              <w:rPr>
                <w:rFonts w:ascii="Times New Roman" w:hAnsi="Times New Roman"/>
                <w:sz w:val="22"/>
                <w:szCs w:val="22"/>
                <w:highlight w:val="black"/>
              </w:rPr>
              <w:t>10%</w:t>
            </w:r>
            <w:r w:rsidRPr="00E72DD8">
              <w:rPr>
                <w:rFonts w:ascii="Times New Roman" w:hAnsi="Times New Roman"/>
                <w:sz w:val="22"/>
                <w:szCs w:val="22"/>
              </w:rPr>
              <w:t xml:space="preserve"> per annum for the first </w:t>
            </w:r>
            <w:r w:rsidRPr="008B2858">
              <w:rPr>
                <w:rFonts w:ascii="Times New Roman" w:hAnsi="Times New Roman"/>
                <w:sz w:val="22"/>
                <w:szCs w:val="22"/>
                <w:highlight w:val="black"/>
              </w:rPr>
              <w:t>24 months</w:t>
            </w:r>
            <w:r>
              <w:rPr>
                <w:rFonts w:ascii="Times New Roman" w:hAnsi="Times New Roman"/>
                <w:sz w:val="22"/>
                <w:szCs w:val="22"/>
              </w:rPr>
              <w:t xml:space="preserve"> and, if applicable</w:t>
            </w:r>
            <w:r w:rsidRPr="00E72DD8">
              <w:rPr>
                <w:rFonts w:ascii="Times New Roman" w:hAnsi="Times New Roman"/>
                <w:sz w:val="22"/>
                <w:szCs w:val="22"/>
              </w:rPr>
              <w:t xml:space="preserve">, </w:t>
            </w:r>
            <w:r w:rsidRPr="008B2858">
              <w:rPr>
                <w:rFonts w:ascii="Times New Roman" w:hAnsi="Times New Roman"/>
                <w:sz w:val="22"/>
                <w:szCs w:val="22"/>
                <w:highlight w:val="black"/>
              </w:rPr>
              <w:t>12%</w:t>
            </w:r>
            <w:r w:rsidRPr="00E72DD8">
              <w:rPr>
                <w:rFonts w:ascii="Times New Roman" w:hAnsi="Times New Roman"/>
                <w:sz w:val="22"/>
                <w:szCs w:val="22"/>
              </w:rPr>
              <w:t xml:space="preserve"> </w:t>
            </w:r>
            <w:r>
              <w:rPr>
                <w:rFonts w:ascii="Times New Roman" w:hAnsi="Times New Roman"/>
                <w:sz w:val="22"/>
                <w:szCs w:val="22"/>
              </w:rPr>
              <w:t xml:space="preserve">per annum </w:t>
            </w:r>
            <w:r w:rsidRPr="00E72DD8">
              <w:rPr>
                <w:rFonts w:ascii="Times New Roman" w:hAnsi="Times New Roman"/>
                <w:sz w:val="22"/>
                <w:szCs w:val="22"/>
              </w:rPr>
              <w:t xml:space="preserve">for </w:t>
            </w:r>
            <w:r w:rsidRPr="008B2858">
              <w:rPr>
                <w:rFonts w:ascii="Times New Roman" w:hAnsi="Times New Roman"/>
                <w:sz w:val="22"/>
                <w:szCs w:val="22"/>
                <w:highlight w:val="black"/>
              </w:rPr>
              <w:t>months 25-36</w:t>
            </w:r>
            <w:r w:rsidRPr="00E72DD8">
              <w:rPr>
                <w:rFonts w:ascii="Times New Roman" w:hAnsi="Times New Roman"/>
                <w:sz w:val="22"/>
                <w:szCs w:val="22"/>
              </w:rPr>
              <w:t xml:space="preserve">, and </w:t>
            </w:r>
            <w:r w:rsidRPr="008B2858">
              <w:rPr>
                <w:rFonts w:ascii="Times New Roman" w:hAnsi="Times New Roman"/>
                <w:sz w:val="22"/>
                <w:szCs w:val="22"/>
                <w:highlight w:val="black"/>
              </w:rPr>
              <w:t>15%</w:t>
            </w:r>
            <w:r w:rsidRPr="00E72DD8">
              <w:rPr>
                <w:rFonts w:ascii="Times New Roman" w:hAnsi="Times New Roman"/>
                <w:sz w:val="22"/>
                <w:szCs w:val="22"/>
              </w:rPr>
              <w:t xml:space="preserve"> </w:t>
            </w:r>
            <w:r>
              <w:rPr>
                <w:rFonts w:ascii="Times New Roman" w:hAnsi="Times New Roman"/>
                <w:sz w:val="22"/>
                <w:szCs w:val="22"/>
              </w:rPr>
              <w:t xml:space="preserve">per annum </w:t>
            </w:r>
            <w:r w:rsidRPr="00E72DD8">
              <w:rPr>
                <w:rFonts w:ascii="Times New Roman" w:hAnsi="Times New Roman"/>
                <w:sz w:val="22"/>
                <w:szCs w:val="22"/>
              </w:rPr>
              <w:t xml:space="preserve">for </w:t>
            </w:r>
            <w:r w:rsidRPr="0037182F">
              <w:rPr>
                <w:rFonts w:ascii="Times New Roman" w:hAnsi="Times New Roman"/>
                <w:sz w:val="22"/>
                <w:szCs w:val="22"/>
                <w:highlight w:val="black"/>
              </w:rPr>
              <w:t>months 37-48</w:t>
            </w:r>
            <w:r w:rsidRPr="00E72DD8">
              <w:rPr>
                <w:rFonts w:ascii="Times New Roman" w:hAnsi="Times New Roman"/>
                <w:sz w:val="22"/>
                <w:szCs w:val="22"/>
              </w:rPr>
              <w:t>.</w:t>
            </w:r>
          </w:p>
        </w:tc>
      </w:tr>
      <w:tr w:rsidR="005632FF" w:rsidRPr="00074ECE" w14:paraId="09F14036" w14:textId="77777777">
        <w:tc>
          <w:tcPr>
            <w:tcW w:w="1663" w:type="dxa"/>
            <w:shd w:val="clear" w:color="auto" w:fill="auto"/>
          </w:tcPr>
          <w:p w14:paraId="29D6FA43" w14:textId="77777777" w:rsidR="005632FF" w:rsidRDefault="00AE2E38" w:rsidP="005632FF">
            <w:pPr>
              <w:rPr>
                <w:rFonts w:ascii="Times New Roman" w:hAnsi="Times New Roman"/>
                <w:b/>
                <w:sz w:val="22"/>
                <w:szCs w:val="22"/>
              </w:rPr>
            </w:pPr>
            <w:r>
              <w:rPr>
                <w:rFonts w:ascii="Times New Roman" w:hAnsi="Times New Roman"/>
                <w:b/>
                <w:sz w:val="22"/>
                <w:szCs w:val="22"/>
              </w:rPr>
              <w:t>Conversion to Equity:</w:t>
            </w:r>
          </w:p>
        </w:tc>
        <w:tc>
          <w:tcPr>
            <w:tcW w:w="9360" w:type="dxa"/>
            <w:shd w:val="clear" w:color="auto" w:fill="auto"/>
          </w:tcPr>
          <w:p w14:paraId="374BB13C" w14:textId="77777777" w:rsidR="005632FF" w:rsidRDefault="00AE2E38" w:rsidP="005632FF">
            <w:pPr>
              <w:spacing w:after="120"/>
              <w:jc w:val="both"/>
              <w:rPr>
                <w:rFonts w:ascii="Times New Roman" w:hAnsi="Times New Roman"/>
                <w:sz w:val="22"/>
                <w:szCs w:val="22"/>
              </w:rPr>
            </w:pPr>
            <w:r w:rsidRPr="00E72DD8">
              <w:rPr>
                <w:rFonts w:ascii="Times New Roman" w:hAnsi="Times New Roman"/>
                <w:sz w:val="22"/>
                <w:szCs w:val="22"/>
              </w:rPr>
              <w:t>If the Company issues equity securities (“</w:t>
            </w:r>
            <w:r w:rsidRPr="00E72DD8">
              <w:rPr>
                <w:rFonts w:ascii="Times New Roman" w:hAnsi="Times New Roman"/>
                <w:sz w:val="22"/>
                <w:szCs w:val="22"/>
                <w:u w:val="single"/>
              </w:rPr>
              <w:t>Equity Securities</w:t>
            </w:r>
            <w:r w:rsidRPr="00E72DD8">
              <w:rPr>
                <w:rFonts w:ascii="Times New Roman" w:hAnsi="Times New Roman"/>
                <w:sz w:val="22"/>
                <w:szCs w:val="22"/>
              </w:rPr>
              <w:t>”)</w:t>
            </w:r>
            <w:r>
              <w:rPr>
                <w:rFonts w:ascii="Times New Roman" w:hAnsi="Times New Roman"/>
                <w:sz w:val="22"/>
                <w:szCs w:val="22"/>
              </w:rPr>
              <w:t xml:space="preserve"> for purposes of raising capital (an “</w:t>
            </w:r>
            <w:r>
              <w:rPr>
                <w:rFonts w:ascii="Times New Roman" w:hAnsi="Times New Roman"/>
                <w:sz w:val="22"/>
                <w:szCs w:val="22"/>
                <w:u w:val="single"/>
              </w:rPr>
              <w:t>Equity Financing</w:t>
            </w:r>
            <w:r>
              <w:rPr>
                <w:rFonts w:ascii="Times New Roman" w:hAnsi="Times New Roman"/>
                <w:sz w:val="22"/>
                <w:szCs w:val="22"/>
              </w:rPr>
              <w:t>”) during the term of Notes</w:t>
            </w:r>
            <w:r w:rsidRPr="00E72DD8">
              <w:rPr>
                <w:rFonts w:ascii="Times New Roman" w:hAnsi="Times New Roman"/>
                <w:sz w:val="22"/>
                <w:szCs w:val="22"/>
              </w:rPr>
              <w:t xml:space="preserve">, then </w:t>
            </w:r>
            <w:r>
              <w:rPr>
                <w:rFonts w:ascii="Times New Roman" w:hAnsi="Times New Roman"/>
                <w:sz w:val="22"/>
                <w:szCs w:val="22"/>
              </w:rPr>
              <w:t xml:space="preserve">Investors may convert the unpaid balance of </w:t>
            </w:r>
            <w:r w:rsidRPr="00E72DD8">
              <w:rPr>
                <w:rFonts w:ascii="Times New Roman" w:hAnsi="Times New Roman"/>
                <w:sz w:val="22"/>
                <w:szCs w:val="22"/>
              </w:rPr>
              <w:t>the Notes, and any accrued bu</w:t>
            </w:r>
            <w:r>
              <w:rPr>
                <w:rFonts w:ascii="Times New Roman" w:hAnsi="Times New Roman"/>
                <w:sz w:val="22"/>
                <w:szCs w:val="22"/>
              </w:rPr>
              <w:t>t unpaid interest thereon, or any portion thereof, into the Equity S</w:t>
            </w:r>
            <w:r w:rsidRPr="00E72DD8">
              <w:rPr>
                <w:rFonts w:ascii="Times New Roman" w:hAnsi="Times New Roman"/>
                <w:sz w:val="22"/>
                <w:szCs w:val="22"/>
              </w:rPr>
              <w:t xml:space="preserve">ecurities at a conversion price equal to </w:t>
            </w:r>
            <w:r w:rsidRPr="0037182F">
              <w:rPr>
                <w:rFonts w:ascii="Times New Roman" w:hAnsi="Times New Roman"/>
                <w:sz w:val="22"/>
                <w:szCs w:val="22"/>
                <w:highlight w:val="black"/>
              </w:rPr>
              <w:t>75%</w:t>
            </w:r>
            <w:r w:rsidRPr="00E72DD8">
              <w:rPr>
                <w:rFonts w:ascii="Times New Roman" w:hAnsi="Times New Roman"/>
                <w:sz w:val="22"/>
                <w:szCs w:val="22"/>
              </w:rPr>
              <w:t xml:space="preserve"> of the per </w:t>
            </w:r>
            <w:r>
              <w:rPr>
                <w:rFonts w:ascii="Times New Roman" w:hAnsi="Times New Roman"/>
                <w:sz w:val="22"/>
                <w:szCs w:val="22"/>
              </w:rPr>
              <w:t>unit</w:t>
            </w:r>
            <w:r w:rsidRPr="00E72DD8">
              <w:rPr>
                <w:rFonts w:ascii="Times New Roman" w:hAnsi="Times New Roman"/>
                <w:sz w:val="22"/>
                <w:szCs w:val="22"/>
              </w:rPr>
              <w:t xml:space="preserve"> price paid by the purchasers of such equity securities in the </w:t>
            </w:r>
            <w:r>
              <w:rPr>
                <w:rFonts w:ascii="Times New Roman" w:hAnsi="Times New Roman"/>
                <w:sz w:val="22"/>
                <w:szCs w:val="22"/>
              </w:rPr>
              <w:t>Equity</w:t>
            </w:r>
            <w:r w:rsidRPr="00E72DD8">
              <w:rPr>
                <w:rFonts w:ascii="Times New Roman" w:hAnsi="Times New Roman"/>
                <w:sz w:val="22"/>
                <w:szCs w:val="22"/>
              </w:rPr>
              <w:t xml:space="preserve"> Financing</w:t>
            </w:r>
            <w:r>
              <w:rPr>
                <w:rFonts w:ascii="Times New Roman" w:hAnsi="Times New Roman"/>
                <w:sz w:val="22"/>
                <w:szCs w:val="22"/>
              </w:rPr>
              <w:t xml:space="preserve">. The Company will provide the Investors with at least 30 day’s notice of the closing and material terms of the Equity Financing.  </w:t>
            </w:r>
            <w:r w:rsidRPr="00E72DD8">
              <w:rPr>
                <w:rFonts w:ascii="Times New Roman" w:hAnsi="Times New Roman"/>
                <w:sz w:val="22"/>
                <w:szCs w:val="22"/>
              </w:rPr>
              <w:t xml:space="preserve">Any election to convert the Notes will be made </w:t>
            </w:r>
            <w:r>
              <w:rPr>
                <w:rFonts w:ascii="Times New Roman" w:hAnsi="Times New Roman"/>
                <w:sz w:val="22"/>
                <w:szCs w:val="22"/>
              </w:rPr>
              <w:t xml:space="preserve">by the Investors </w:t>
            </w:r>
            <w:r w:rsidRPr="00E72DD8">
              <w:rPr>
                <w:rFonts w:ascii="Times New Roman" w:hAnsi="Times New Roman"/>
                <w:sz w:val="22"/>
                <w:szCs w:val="22"/>
              </w:rPr>
              <w:t>in writing and delivered to the Company at least five</w:t>
            </w:r>
            <w:r>
              <w:rPr>
                <w:rFonts w:ascii="Times New Roman" w:hAnsi="Times New Roman"/>
                <w:sz w:val="22"/>
                <w:szCs w:val="22"/>
              </w:rPr>
              <w:t xml:space="preserve"> days prior to the closing of the Equity Financing</w:t>
            </w:r>
            <w:r w:rsidRPr="00E72DD8">
              <w:rPr>
                <w:rFonts w:ascii="Times New Roman" w:hAnsi="Times New Roman"/>
                <w:sz w:val="22"/>
                <w:szCs w:val="22"/>
              </w:rPr>
              <w:t>.</w:t>
            </w:r>
          </w:p>
          <w:p w14:paraId="6DDB1CEA" w14:textId="77777777" w:rsidR="00862DB5" w:rsidRPr="00E72DD8" w:rsidRDefault="00862DB5" w:rsidP="00B16915">
            <w:pPr>
              <w:spacing w:after="120"/>
              <w:jc w:val="both"/>
              <w:rPr>
                <w:rFonts w:ascii="Times New Roman" w:hAnsi="Times New Roman"/>
                <w:sz w:val="22"/>
                <w:szCs w:val="22"/>
              </w:rPr>
            </w:pPr>
            <w:r>
              <w:rPr>
                <w:rFonts w:ascii="Times New Roman" w:hAnsi="Times New Roman"/>
                <w:sz w:val="22"/>
                <w:szCs w:val="22"/>
              </w:rPr>
              <w:t>If the Company does not conduct an Equity Financing du</w:t>
            </w:r>
            <w:r w:rsidR="00B16915">
              <w:rPr>
                <w:rFonts w:ascii="Times New Roman" w:hAnsi="Times New Roman"/>
                <w:sz w:val="22"/>
                <w:szCs w:val="22"/>
              </w:rPr>
              <w:t>ring the term of the Notes or by</w:t>
            </w:r>
            <w:r>
              <w:rPr>
                <w:rFonts w:ascii="Times New Roman" w:hAnsi="Times New Roman"/>
                <w:sz w:val="22"/>
                <w:szCs w:val="22"/>
              </w:rPr>
              <w:t xml:space="preserve"> the time of any </w:t>
            </w:r>
            <w:r w:rsidR="00B16915">
              <w:rPr>
                <w:rFonts w:ascii="Times New Roman" w:hAnsi="Times New Roman"/>
                <w:sz w:val="22"/>
                <w:szCs w:val="22"/>
              </w:rPr>
              <w:t xml:space="preserve">given </w:t>
            </w:r>
            <w:r>
              <w:rPr>
                <w:rFonts w:ascii="Times New Roman" w:hAnsi="Times New Roman"/>
                <w:sz w:val="22"/>
                <w:szCs w:val="22"/>
              </w:rPr>
              <w:t xml:space="preserve">prepayment, </w:t>
            </w:r>
            <w:r w:rsidRPr="00862DB5">
              <w:rPr>
                <w:rFonts w:ascii="Times New Roman" w:hAnsi="Times New Roman"/>
                <w:sz w:val="22"/>
                <w:szCs w:val="22"/>
              </w:rPr>
              <w:t>then, effective upon the Maturity Date</w:t>
            </w:r>
            <w:r w:rsidR="00B16915">
              <w:rPr>
                <w:rFonts w:ascii="Times New Roman" w:hAnsi="Times New Roman"/>
                <w:sz w:val="22"/>
                <w:szCs w:val="22"/>
              </w:rPr>
              <w:t xml:space="preserve"> (or upon the prepayment date, as the case may be)</w:t>
            </w:r>
            <w:r w:rsidRPr="00862DB5">
              <w:rPr>
                <w:rFonts w:ascii="Times New Roman" w:hAnsi="Times New Roman"/>
                <w:sz w:val="22"/>
                <w:szCs w:val="22"/>
              </w:rPr>
              <w:t xml:space="preserve">, the </w:t>
            </w:r>
            <w:r>
              <w:rPr>
                <w:rFonts w:ascii="Times New Roman" w:hAnsi="Times New Roman"/>
                <w:sz w:val="22"/>
                <w:szCs w:val="22"/>
              </w:rPr>
              <w:t xml:space="preserve">Investors </w:t>
            </w:r>
            <w:r w:rsidRPr="00862DB5">
              <w:rPr>
                <w:rFonts w:ascii="Times New Roman" w:hAnsi="Times New Roman"/>
                <w:sz w:val="22"/>
                <w:szCs w:val="22"/>
              </w:rPr>
              <w:t>may elect to convert the</w:t>
            </w:r>
            <w:r w:rsidR="00B16915">
              <w:rPr>
                <w:rFonts w:ascii="Times New Roman" w:hAnsi="Times New Roman"/>
                <w:sz w:val="22"/>
                <w:szCs w:val="22"/>
              </w:rPr>
              <w:t>ir</w:t>
            </w:r>
            <w:r w:rsidRPr="00862DB5">
              <w:rPr>
                <w:rFonts w:ascii="Times New Roman" w:hAnsi="Times New Roman"/>
                <w:sz w:val="22"/>
                <w:szCs w:val="22"/>
              </w:rPr>
              <w:t xml:space="preserve"> Note </w:t>
            </w:r>
            <w:r>
              <w:rPr>
                <w:rFonts w:ascii="Times New Roman" w:hAnsi="Times New Roman"/>
                <w:sz w:val="22"/>
                <w:szCs w:val="22"/>
              </w:rPr>
              <w:t xml:space="preserve">(or the amount of the prepayment, as the case may be) </w:t>
            </w:r>
            <w:r w:rsidRPr="00862DB5">
              <w:rPr>
                <w:rFonts w:ascii="Times New Roman" w:hAnsi="Times New Roman"/>
                <w:sz w:val="22"/>
                <w:szCs w:val="22"/>
              </w:rPr>
              <w:t xml:space="preserve">into </w:t>
            </w:r>
            <w:r>
              <w:rPr>
                <w:rFonts w:ascii="Times New Roman" w:hAnsi="Times New Roman"/>
                <w:sz w:val="22"/>
                <w:szCs w:val="22"/>
              </w:rPr>
              <w:t>Membership Units of the Company</w:t>
            </w:r>
            <w:r w:rsidRPr="00862DB5">
              <w:rPr>
                <w:rFonts w:ascii="Times New Roman" w:hAnsi="Times New Roman"/>
                <w:sz w:val="22"/>
                <w:szCs w:val="22"/>
              </w:rPr>
              <w:t xml:space="preserve"> at a conversion price base</w:t>
            </w:r>
            <w:r>
              <w:rPr>
                <w:rFonts w:ascii="Times New Roman" w:hAnsi="Times New Roman"/>
                <w:sz w:val="22"/>
                <w:szCs w:val="22"/>
              </w:rPr>
              <w:t xml:space="preserve">d on a pre-money valuation of </w:t>
            </w:r>
            <w:r w:rsidRPr="0037182F">
              <w:rPr>
                <w:rFonts w:ascii="Times New Roman" w:hAnsi="Times New Roman"/>
                <w:sz w:val="22"/>
                <w:szCs w:val="22"/>
                <w:highlight w:val="black"/>
              </w:rPr>
              <w:t>$10,000,000</w:t>
            </w:r>
            <w:r>
              <w:rPr>
                <w:rFonts w:ascii="Times New Roman" w:hAnsi="Times New Roman"/>
                <w:sz w:val="22"/>
                <w:szCs w:val="22"/>
              </w:rPr>
              <w:t xml:space="preserve"> </w:t>
            </w:r>
            <w:r w:rsidRPr="00862DB5">
              <w:rPr>
                <w:rFonts w:ascii="Times New Roman" w:hAnsi="Times New Roman"/>
                <w:sz w:val="22"/>
                <w:szCs w:val="22"/>
              </w:rPr>
              <w:t xml:space="preserve">(assuming full conversion or exercise of all convertible and exercisable securities then outstanding other than the Notes).  Any election to convert the Note pursuant to this paragraph will be </w:t>
            </w:r>
            <w:r w:rsidRPr="00862DB5">
              <w:rPr>
                <w:rFonts w:ascii="Times New Roman" w:hAnsi="Times New Roman"/>
                <w:sz w:val="22"/>
                <w:szCs w:val="22"/>
              </w:rPr>
              <w:lastRenderedPageBreak/>
              <w:t>made in writing and delivered to the Company at least five days prior to the Maturity Date</w:t>
            </w:r>
            <w:r>
              <w:rPr>
                <w:rFonts w:ascii="Times New Roman" w:hAnsi="Times New Roman"/>
                <w:sz w:val="22"/>
                <w:szCs w:val="22"/>
              </w:rPr>
              <w:t xml:space="preserve"> or the prepayment date</w:t>
            </w:r>
            <w:r w:rsidRPr="00862DB5">
              <w:rPr>
                <w:rFonts w:ascii="Times New Roman" w:hAnsi="Times New Roman"/>
                <w:sz w:val="22"/>
                <w:szCs w:val="22"/>
              </w:rPr>
              <w:t>.</w:t>
            </w:r>
            <w:r>
              <w:rPr>
                <w:rFonts w:ascii="Times New Roman" w:hAnsi="Times New Roman"/>
                <w:sz w:val="22"/>
                <w:szCs w:val="22"/>
              </w:rPr>
              <w:t xml:space="preserve">   </w:t>
            </w:r>
          </w:p>
        </w:tc>
      </w:tr>
      <w:tr w:rsidR="005632FF" w:rsidRPr="00074ECE" w14:paraId="6D6A8FA7" w14:textId="77777777">
        <w:tc>
          <w:tcPr>
            <w:tcW w:w="1663" w:type="dxa"/>
            <w:shd w:val="clear" w:color="auto" w:fill="auto"/>
          </w:tcPr>
          <w:p w14:paraId="07390D32" w14:textId="77777777" w:rsidR="005632FF" w:rsidRDefault="00AE2E38" w:rsidP="005632FF">
            <w:pPr>
              <w:rPr>
                <w:rFonts w:ascii="Times New Roman" w:hAnsi="Times New Roman"/>
                <w:b/>
                <w:sz w:val="22"/>
                <w:szCs w:val="22"/>
              </w:rPr>
            </w:pPr>
            <w:r>
              <w:rPr>
                <w:rFonts w:ascii="Times New Roman" w:hAnsi="Times New Roman"/>
                <w:b/>
                <w:sz w:val="22"/>
                <w:szCs w:val="22"/>
              </w:rPr>
              <w:lastRenderedPageBreak/>
              <w:t>Security Interest:</w:t>
            </w:r>
          </w:p>
        </w:tc>
        <w:tc>
          <w:tcPr>
            <w:tcW w:w="9360" w:type="dxa"/>
            <w:shd w:val="clear" w:color="auto" w:fill="auto"/>
          </w:tcPr>
          <w:p w14:paraId="32BBE5C5" w14:textId="77777777" w:rsidR="005632FF" w:rsidRPr="00EC4FDC" w:rsidRDefault="00AE2E38" w:rsidP="005632FF">
            <w:pPr>
              <w:spacing w:after="120"/>
              <w:jc w:val="both"/>
              <w:rPr>
                <w:rFonts w:ascii="Times New Roman" w:hAnsi="Times New Roman"/>
                <w:sz w:val="22"/>
                <w:szCs w:val="22"/>
              </w:rPr>
            </w:pPr>
            <w:r w:rsidRPr="00EC4FDC">
              <w:rPr>
                <w:rFonts w:ascii="Times New Roman" w:hAnsi="Times New Roman"/>
                <w:sz w:val="22"/>
              </w:rPr>
              <w:t>The Notes will be a secured</w:t>
            </w:r>
            <w:r w:rsidRPr="00EC4FDC">
              <w:rPr>
                <w:rFonts w:ascii="Times New Roman" w:hAnsi="Times New Roman"/>
                <w:b/>
                <w:sz w:val="22"/>
              </w:rPr>
              <w:t xml:space="preserve"> </w:t>
            </w:r>
            <w:r w:rsidRPr="00EC4FDC">
              <w:rPr>
                <w:rFonts w:ascii="Times New Roman" w:hAnsi="Times New Roman"/>
                <w:sz w:val="22"/>
              </w:rPr>
              <w:t>obliga</w:t>
            </w:r>
            <w:r>
              <w:rPr>
                <w:rFonts w:ascii="Times New Roman" w:hAnsi="Times New Roman"/>
                <w:sz w:val="22"/>
              </w:rPr>
              <w:t>tion of the Company,</w:t>
            </w:r>
            <w:r w:rsidRPr="00EC4FDC">
              <w:rPr>
                <w:rFonts w:ascii="Times New Roman" w:hAnsi="Times New Roman"/>
                <w:sz w:val="22"/>
              </w:rPr>
              <w:t xml:space="preserve"> subordinated </w:t>
            </w:r>
            <w:r>
              <w:rPr>
                <w:rFonts w:ascii="Times New Roman" w:hAnsi="Times New Roman"/>
                <w:sz w:val="22"/>
              </w:rPr>
              <w:t xml:space="preserve">only </w:t>
            </w:r>
            <w:r w:rsidRPr="00EC4FDC">
              <w:rPr>
                <w:rFonts w:ascii="Times New Roman" w:hAnsi="Times New Roman"/>
                <w:sz w:val="22"/>
              </w:rPr>
              <w:t>to l</w:t>
            </w:r>
            <w:r>
              <w:rPr>
                <w:rFonts w:ascii="Times New Roman" w:hAnsi="Times New Roman"/>
                <w:sz w:val="22"/>
              </w:rPr>
              <w:t>ie</w:t>
            </w:r>
            <w:r w:rsidRPr="00EC4FDC">
              <w:rPr>
                <w:rFonts w:ascii="Times New Roman" w:hAnsi="Times New Roman"/>
                <w:sz w:val="22"/>
              </w:rPr>
              <w:t xml:space="preserve">ns currently encumbering the Company’s assets </w:t>
            </w:r>
            <w:r>
              <w:rPr>
                <w:rFonts w:ascii="Times New Roman" w:hAnsi="Times New Roman"/>
                <w:sz w:val="22"/>
              </w:rPr>
              <w:t xml:space="preserve">relating to a SBA guaranteed loan in the original principal amount of </w:t>
            </w:r>
            <w:r w:rsidRPr="0037182F">
              <w:rPr>
                <w:rFonts w:ascii="Times New Roman" w:hAnsi="Times New Roman"/>
                <w:sz w:val="22"/>
                <w:highlight w:val="black"/>
              </w:rPr>
              <w:t>$150,000</w:t>
            </w:r>
            <w:r w:rsidRPr="00EC4FDC">
              <w:rPr>
                <w:rFonts w:ascii="Times New Roman" w:hAnsi="Times New Roman"/>
                <w:sz w:val="22"/>
              </w:rPr>
              <w:t>.</w:t>
            </w:r>
          </w:p>
        </w:tc>
      </w:tr>
      <w:tr w:rsidR="005632FF" w:rsidRPr="00074ECE" w14:paraId="7ED02B9A" w14:textId="77777777">
        <w:tc>
          <w:tcPr>
            <w:tcW w:w="1663" w:type="dxa"/>
            <w:shd w:val="clear" w:color="auto" w:fill="auto"/>
          </w:tcPr>
          <w:p w14:paraId="2C15F8BF" w14:textId="77777777" w:rsidR="005632FF" w:rsidRDefault="00AE2E38" w:rsidP="005632FF">
            <w:pPr>
              <w:jc w:val="both"/>
              <w:rPr>
                <w:rFonts w:ascii="Times New Roman" w:hAnsi="Times New Roman"/>
                <w:b/>
                <w:sz w:val="22"/>
                <w:szCs w:val="22"/>
              </w:rPr>
            </w:pPr>
            <w:r>
              <w:rPr>
                <w:rFonts w:ascii="Times New Roman" w:hAnsi="Times New Roman"/>
                <w:b/>
                <w:sz w:val="22"/>
                <w:szCs w:val="22"/>
              </w:rPr>
              <w:t>Lock-Box Account:</w:t>
            </w:r>
          </w:p>
        </w:tc>
        <w:tc>
          <w:tcPr>
            <w:tcW w:w="9360" w:type="dxa"/>
            <w:shd w:val="clear" w:color="auto" w:fill="auto"/>
          </w:tcPr>
          <w:p w14:paraId="61F4939F" w14:textId="77777777" w:rsidR="005632FF" w:rsidRPr="00E72DD8" w:rsidRDefault="00AE2E38" w:rsidP="005632FF">
            <w:pPr>
              <w:spacing w:after="120"/>
              <w:jc w:val="both"/>
              <w:rPr>
                <w:rFonts w:ascii="Times New Roman" w:eastAsiaTheme="majorEastAsia" w:hAnsi="Times New Roman" w:cstheme="majorBidi"/>
                <w:i/>
                <w:iCs/>
                <w:color w:val="404040" w:themeColor="text1" w:themeTint="BF"/>
                <w:sz w:val="22"/>
                <w:szCs w:val="22"/>
              </w:rPr>
            </w:pPr>
            <w:r>
              <w:rPr>
                <w:rFonts w:ascii="Times New Roman" w:hAnsi="Times New Roman"/>
                <w:sz w:val="22"/>
                <w:szCs w:val="22"/>
              </w:rPr>
              <w:t xml:space="preserve">A Lock-Box Account as described in this section will secure the Notes. Upon each Closing, </w:t>
            </w:r>
            <w:r w:rsidRPr="0037182F">
              <w:rPr>
                <w:rFonts w:ascii="Times New Roman" w:hAnsi="Times New Roman"/>
                <w:sz w:val="22"/>
                <w:szCs w:val="22"/>
                <w:highlight w:val="black"/>
              </w:rPr>
              <w:t>10%</w:t>
            </w:r>
            <w:r>
              <w:rPr>
                <w:rFonts w:ascii="Times New Roman" w:hAnsi="Times New Roman"/>
                <w:sz w:val="22"/>
                <w:szCs w:val="22"/>
              </w:rPr>
              <w:t xml:space="preserve"> of the funds </w:t>
            </w:r>
            <w:r w:rsidRPr="00EC4FDC">
              <w:rPr>
                <w:rFonts w:ascii="Times New Roman" w:hAnsi="Times New Roman"/>
                <w:sz w:val="22"/>
                <w:szCs w:val="22"/>
              </w:rPr>
              <w:t xml:space="preserve">actually </w:t>
            </w:r>
            <w:r>
              <w:rPr>
                <w:rFonts w:ascii="Times New Roman" w:hAnsi="Times New Roman"/>
                <w:sz w:val="22"/>
                <w:szCs w:val="22"/>
              </w:rPr>
              <w:t>received by the Company will be placed into an escrow account (the “Lock-Box Account”) for payment of interest during the first year of the Notes. For each respective Closing, beginning in month 11 and continu</w:t>
            </w:r>
            <w:r w:rsidRPr="009351BA">
              <w:rPr>
                <w:rFonts w:ascii="Times New Roman" w:hAnsi="Times New Roman"/>
                <w:sz w:val="22"/>
                <w:szCs w:val="22"/>
              </w:rPr>
              <w:t xml:space="preserve">ing through the repayment of the Note, </w:t>
            </w:r>
            <w:r>
              <w:rPr>
                <w:rFonts w:ascii="Times New Roman" w:hAnsi="Times New Roman"/>
                <w:sz w:val="22"/>
                <w:szCs w:val="22"/>
              </w:rPr>
              <w:t>the Lock-Box Account will be funded with applicable interest by the Company</w:t>
            </w:r>
            <w:r w:rsidRPr="009351BA">
              <w:rPr>
                <w:rFonts w:ascii="Times New Roman" w:hAnsi="Times New Roman"/>
                <w:sz w:val="22"/>
                <w:szCs w:val="22"/>
              </w:rPr>
              <w:t xml:space="preserve"> from revenue</w:t>
            </w:r>
            <w:r>
              <w:rPr>
                <w:rFonts w:ascii="Times New Roman" w:hAnsi="Times New Roman"/>
                <w:sz w:val="22"/>
                <w:szCs w:val="22"/>
              </w:rPr>
              <w:t>s</w:t>
            </w:r>
            <w:r w:rsidRPr="009351BA">
              <w:rPr>
                <w:rFonts w:ascii="Times New Roman" w:hAnsi="Times New Roman"/>
                <w:sz w:val="22"/>
                <w:szCs w:val="22"/>
              </w:rPr>
              <w:t xml:space="preserve"> generated</w:t>
            </w:r>
            <w:r>
              <w:rPr>
                <w:rFonts w:ascii="Times New Roman" w:hAnsi="Times New Roman"/>
                <w:sz w:val="22"/>
                <w:szCs w:val="22"/>
              </w:rPr>
              <w:t xml:space="preserve"> </w:t>
            </w:r>
            <w:r w:rsidRPr="009351BA">
              <w:rPr>
                <w:rFonts w:ascii="Times New Roman" w:hAnsi="Times New Roman"/>
                <w:sz w:val="22"/>
                <w:szCs w:val="22"/>
              </w:rPr>
              <w:t>and</w:t>
            </w:r>
            <w:r>
              <w:rPr>
                <w:rFonts w:ascii="Times New Roman" w:hAnsi="Times New Roman"/>
                <w:sz w:val="22"/>
                <w:szCs w:val="22"/>
              </w:rPr>
              <w:t>, beginning one month prior to the beginning of</w:t>
            </w:r>
            <w:r w:rsidRPr="009351BA">
              <w:rPr>
                <w:rFonts w:ascii="Times New Roman" w:hAnsi="Times New Roman"/>
                <w:sz w:val="22"/>
                <w:szCs w:val="22"/>
              </w:rPr>
              <w:t xml:space="preserve"> principal repayment</w:t>
            </w:r>
            <w:r>
              <w:rPr>
                <w:rFonts w:ascii="Times New Roman" w:hAnsi="Times New Roman"/>
                <w:sz w:val="22"/>
                <w:szCs w:val="22"/>
              </w:rPr>
              <w:t>s, the Lock-Box will be funded with applicable principal payments by the Company</w:t>
            </w:r>
            <w:r w:rsidRPr="009351BA">
              <w:rPr>
                <w:rFonts w:ascii="Times New Roman" w:hAnsi="Times New Roman"/>
                <w:sz w:val="22"/>
                <w:szCs w:val="22"/>
              </w:rPr>
              <w:t xml:space="preserve"> from revenue</w:t>
            </w:r>
            <w:r>
              <w:rPr>
                <w:rFonts w:ascii="Times New Roman" w:hAnsi="Times New Roman"/>
                <w:sz w:val="22"/>
                <w:szCs w:val="22"/>
              </w:rPr>
              <w:t>s</w:t>
            </w:r>
            <w:r w:rsidRPr="009351BA">
              <w:rPr>
                <w:rFonts w:ascii="Times New Roman" w:hAnsi="Times New Roman"/>
                <w:sz w:val="22"/>
                <w:szCs w:val="22"/>
              </w:rPr>
              <w:t xml:space="preserve"> generated.  Structural mechanics and terms of the Lock Box Account are to be mut</w:t>
            </w:r>
            <w:r>
              <w:rPr>
                <w:rFonts w:ascii="Times New Roman" w:hAnsi="Times New Roman"/>
                <w:sz w:val="22"/>
                <w:szCs w:val="22"/>
              </w:rPr>
              <w:t>u</w:t>
            </w:r>
            <w:r w:rsidRPr="009351BA">
              <w:rPr>
                <w:rFonts w:ascii="Times New Roman" w:hAnsi="Times New Roman"/>
                <w:sz w:val="22"/>
                <w:szCs w:val="22"/>
              </w:rPr>
              <w:t>ally agreed upon</w:t>
            </w:r>
            <w:r>
              <w:rPr>
                <w:rFonts w:ascii="Times New Roman" w:hAnsi="Times New Roman"/>
                <w:sz w:val="22"/>
                <w:szCs w:val="22"/>
              </w:rPr>
              <w:t xml:space="preserve"> between Company and Selling Agent</w:t>
            </w:r>
            <w:r w:rsidRPr="009351BA">
              <w:rPr>
                <w:rFonts w:ascii="Times New Roman" w:hAnsi="Times New Roman"/>
                <w:sz w:val="22"/>
                <w:szCs w:val="22"/>
              </w:rPr>
              <w:t>.</w:t>
            </w:r>
            <w:r>
              <w:rPr>
                <w:rFonts w:ascii="Times New Roman" w:hAnsi="Times New Roman"/>
                <w:sz w:val="22"/>
                <w:szCs w:val="22"/>
              </w:rPr>
              <w:t xml:space="preserve"> </w:t>
            </w:r>
          </w:p>
        </w:tc>
      </w:tr>
      <w:tr w:rsidR="005632FF" w:rsidRPr="00074ECE" w14:paraId="07CB00BB" w14:textId="77777777">
        <w:tc>
          <w:tcPr>
            <w:tcW w:w="1663" w:type="dxa"/>
            <w:shd w:val="clear" w:color="auto" w:fill="auto"/>
          </w:tcPr>
          <w:p w14:paraId="1325A1EB" w14:textId="77777777" w:rsidR="005632FF" w:rsidRDefault="00AE2E38" w:rsidP="005632FF">
            <w:pPr>
              <w:rPr>
                <w:rFonts w:ascii="Times New Roman" w:hAnsi="Times New Roman"/>
                <w:b/>
                <w:sz w:val="22"/>
                <w:szCs w:val="22"/>
              </w:rPr>
            </w:pPr>
            <w:r>
              <w:rPr>
                <w:rFonts w:ascii="Times New Roman" w:hAnsi="Times New Roman"/>
                <w:b/>
                <w:sz w:val="22"/>
                <w:szCs w:val="22"/>
              </w:rPr>
              <w:t>Sale of the Company:</w:t>
            </w:r>
          </w:p>
        </w:tc>
        <w:tc>
          <w:tcPr>
            <w:tcW w:w="9360" w:type="dxa"/>
            <w:shd w:val="clear" w:color="auto" w:fill="auto"/>
          </w:tcPr>
          <w:p w14:paraId="25C1684C" w14:textId="77777777" w:rsidR="005632FF" w:rsidRPr="00E72DD8" w:rsidRDefault="00AE2E38" w:rsidP="005632FF">
            <w:pPr>
              <w:spacing w:after="120"/>
              <w:jc w:val="both"/>
              <w:rPr>
                <w:rFonts w:ascii="Times New Roman" w:hAnsi="Times New Roman"/>
                <w:sz w:val="22"/>
                <w:szCs w:val="22"/>
              </w:rPr>
            </w:pPr>
            <w:r>
              <w:rPr>
                <w:rFonts w:ascii="Times New Roman" w:hAnsi="Times New Roman"/>
                <w:sz w:val="22"/>
                <w:szCs w:val="22"/>
              </w:rPr>
              <w:t>In the event that the C</w:t>
            </w:r>
            <w:r w:rsidRPr="002A28B3">
              <w:rPr>
                <w:rFonts w:ascii="Times New Roman" w:hAnsi="Times New Roman"/>
                <w:sz w:val="22"/>
                <w:szCs w:val="22"/>
              </w:rPr>
              <w:t xml:space="preserve">ompany </w:t>
            </w:r>
            <w:r>
              <w:rPr>
                <w:rFonts w:ascii="Times New Roman" w:hAnsi="Times New Roman"/>
                <w:sz w:val="22"/>
                <w:szCs w:val="22"/>
              </w:rPr>
              <w:t>or all or substantially all of its assets are</w:t>
            </w:r>
            <w:r w:rsidRPr="002A28B3">
              <w:rPr>
                <w:rFonts w:ascii="Times New Roman" w:hAnsi="Times New Roman"/>
                <w:sz w:val="22"/>
                <w:szCs w:val="22"/>
              </w:rPr>
              <w:t xml:space="preserve"> sold </w:t>
            </w:r>
            <w:r>
              <w:rPr>
                <w:rFonts w:ascii="Times New Roman" w:hAnsi="Times New Roman"/>
                <w:sz w:val="22"/>
                <w:szCs w:val="22"/>
              </w:rPr>
              <w:t>(a “</w:t>
            </w:r>
            <w:r w:rsidRPr="002A28B3">
              <w:rPr>
                <w:rFonts w:ascii="Times New Roman" w:hAnsi="Times New Roman"/>
                <w:sz w:val="22"/>
                <w:szCs w:val="22"/>
                <w:u w:val="single"/>
              </w:rPr>
              <w:t>Company Sale</w:t>
            </w:r>
            <w:r>
              <w:rPr>
                <w:rFonts w:ascii="Times New Roman" w:hAnsi="Times New Roman"/>
                <w:sz w:val="22"/>
                <w:szCs w:val="22"/>
              </w:rPr>
              <w:t xml:space="preserve">”) </w:t>
            </w:r>
            <w:r w:rsidRPr="002A28B3">
              <w:rPr>
                <w:rFonts w:ascii="Times New Roman" w:hAnsi="Times New Roman"/>
                <w:sz w:val="22"/>
                <w:szCs w:val="22"/>
              </w:rPr>
              <w:t xml:space="preserve">prior to </w:t>
            </w:r>
            <w:r>
              <w:rPr>
                <w:rFonts w:ascii="Times New Roman" w:hAnsi="Times New Roman"/>
                <w:sz w:val="22"/>
                <w:szCs w:val="22"/>
              </w:rPr>
              <w:t xml:space="preserve">repayment in full of </w:t>
            </w:r>
            <w:r w:rsidRPr="002A28B3">
              <w:rPr>
                <w:rFonts w:ascii="Times New Roman" w:hAnsi="Times New Roman"/>
                <w:sz w:val="22"/>
                <w:szCs w:val="22"/>
              </w:rPr>
              <w:t>the Note</w:t>
            </w:r>
            <w:r>
              <w:rPr>
                <w:rFonts w:ascii="Times New Roman" w:hAnsi="Times New Roman"/>
                <w:sz w:val="22"/>
                <w:szCs w:val="22"/>
              </w:rPr>
              <w:t>s, the Maturity Date for the Notes will be accelerated to the closing date of such Company Sale.  Additionally, I</w:t>
            </w:r>
            <w:r w:rsidRPr="002A28B3">
              <w:rPr>
                <w:rFonts w:ascii="Times New Roman" w:hAnsi="Times New Roman"/>
                <w:sz w:val="22"/>
                <w:szCs w:val="22"/>
              </w:rPr>
              <w:t>nvestor</w:t>
            </w:r>
            <w:r>
              <w:rPr>
                <w:rFonts w:ascii="Times New Roman" w:hAnsi="Times New Roman"/>
                <w:sz w:val="22"/>
                <w:szCs w:val="22"/>
              </w:rPr>
              <w:t>s</w:t>
            </w:r>
            <w:r w:rsidRPr="002A28B3">
              <w:rPr>
                <w:rFonts w:ascii="Times New Roman" w:hAnsi="Times New Roman"/>
                <w:sz w:val="22"/>
                <w:szCs w:val="22"/>
              </w:rPr>
              <w:t xml:space="preserve"> wil</w:t>
            </w:r>
            <w:r>
              <w:rPr>
                <w:rFonts w:ascii="Times New Roman" w:hAnsi="Times New Roman"/>
                <w:sz w:val="22"/>
                <w:szCs w:val="22"/>
              </w:rPr>
              <w:t>l retain the option to convert a N</w:t>
            </w:r>
            <w:r w:rsidRPr="002A28B3">
              <w:rPr>
                <w:rFonts w:ascii="Times New Roman" w:hAnsi="Times New Roman"/>
                <w:sz w:val="22"/>
                <w:szCs w:val="22"/>
              </w:rPr>
              <w:t xml:space="preserve">ote to equity </w:t>
            </w:r>
            <w:r>
              <w:rPr>
                <w:rFonts w:ascii="Times New Roman" w:hAnsi="Times New Roman"/>
                <w:sz w:val="22"/>
                <w:szCs w:val="22"/>
              </w:rPr>
              <w:t xml:space="preserve">of the Company </w:t>
            </w:r>
            <w:r w:rsidRPr="00E72DD8">
              <w:rPr>
                <w:rFonts w:ascii="Times New Roman" w:hAnsi="Times New Roman"/>
                <w:sz w:val="22"/>
                <w:szCs w:val="22"/>
              </w:rPr>
              <w:t xml:space="preserve">at a conversion price equal to </w:t>
            </w:r>
            <w:r w:rsidRPr="0037182F">
              <w:rPr>
                <w:rFonts w:ascii="Times New Roman" w:hAnsi="Times New Roman"/>
                <w:sz w:val="22"/>
                <w:szCs w:val="22"/>
                <w:highlight w:val="black"/>
              </w:rPr>
              <w:t>75%</w:t>
            </w:r>
            <w:r w:rsidRPr="00E72DD8">
              <w:rPr>
                <w:rFonts w:ascii="Times New Roman" w:hAnsi="Times New Roman"/>
                <w:sz w:val="22"/>
                <w:szCs w:val="22"/>
              </w:rPr>
              <w:t xml:space="preserve"> of the </w:t>
            </w:r>
            <w:r>
              <w:rPr>
                <w:rFonts w:ascii="Times New Roman" w:hAnsi="Times New Roman"/>
                <w:sz w:val="22"/>
                <w:szCs w:val="22"/>
              </w:rPr>
              <w:t xml:space="preserve">of the </w:t>
            </w:r>
            <w:r w:rsidRPr="00E72DD8">
              <w:rPr>
                <w:rFonts w:ascii="Times New Roman" w:hAnsi="Times New Roman"/>
                <w:sz w:val="22"/>
                <w:szCs w:val="22"/>
              </w:rPr>
              <w:t xml:space="preserve">per </w:t>
            </w:r>
            <w:r>
              <w:rPr>
                <w:rFonts w:ascii="Times New Roman" w:hAnsi="Times New Roman"/>
                <w:sz w:val="22"/>
                <w:szCs w:val="22"/>
              </w:rPr>
              <w:t>unit</w:t>
            </w:r>
            <w:r w:rsidRPr="00E72DD8">
              <w:rPr>
                <w:rFonts w:ascii="Times New Roman" w:hAnsi="Times New Roman"/>
                <w:sz w:val="22"/>
                <w:szCs w:val="22"/>
              </w:rPr>
              <w:t xml:space="preserve"> </w:t>
            </w:r>
            <w:r>
              <w:rPr>
                <w:rFonts w:ascii="Times New Roman" w:hAnsi="Times New Roman"/>
                <w:sz w:val="22"/>
                <w:szCs w:val="22"/>
              </w:rPr>
              <w:t xml:space="preserve">value of the Company based on the value set through the Company Sale. The Company will provide the Investors with at least 30 day’s notice of the closing and material terms of the Company Sale.  </w:t>
            </w:r>
            <w:r w:rsidRPr="00E72DD8">
              <w:rPr>
                <w:rFonts w:ascii="Times New Roman" w:hAnsi="Times New Roman"/>
                <w:sz w:val="22"/>
                <w:szCs w:val="22"/>
              </w:rPr>
              <w:t xml:space="preserve">Any election to convert the Notes will be made </w:t>
            </w:r>
            <w:r>
              <w:rPr>
                <w:rFonts w:ascii="Times New Roman" w:hAnsi="Times New Roman"/>
                <w:sz w:val="22"/>
                <w:szCs w:val="22"/>
              </w:rPr>
              <w:t xml:space="preserve">by the Investors </w:t>
            </w:r>
            <w:r w:rsidRPr="00E72DD8">
              <w:rPr>
                <w:rFonts w:ascii="Times New Roman" w:hAnsi="Times New Roman"/>
                <w:sz w:val="22"/>
                <w:szCs w:val="22"/>
              </w:rPr>
              <w:t>in writing and delivered to the Company at least five</w:t>
            </w:r>
            <w:r>
              <w:rPr>
                <w:rFonts w:ascii="Times New Roman" w:hAnsi="Times New Roman"/>
                <w:sz w:val="22"/>
                <w:szCs w:val="22"/>
              </w:rPr>
              <w:t xml:space="preserve"> days prior to the closing of the Company Sale</w:t>
            </w:r>
            <w:r w:rsidRPr="00E72DD8">
              <w:rPr>
                <w:rFonts w:ascii="Times New Roman" w:hAnsi="Times New Roman"/>
                <w:sz w:val="22"/>
                <w:szCs w:val="22"/>
              </w:rPr>
              <w:t>.</w:t>
            </w:r>
          </w:p>
        </w:tc>
      </w:tr>
      <w:tr w:rsidR="005632FF" w:rsidRPr="00074ECE" w14:paraId="2B677213" w14:textId="77777777">
        <w:tc>
          <w:tcPr>
            <w:tcW w:w="1663" w:type="dxa"/>
            <w:shd w:val="clear" w:color="auto" w:fill="auto"/>
          </w:tcPr>
          <w:p w14:paraId="11E7C69A" w14:textId="77777777" w:rsidR="005632FF" w:rsidRDefault="00AE2E38" w:rsidP="005632FF">
            <w:pPr>
              <w:rPr>
                <w:rFonts w:ascii="Times New Roman" w:hAnsi="Times New Roman"/>
                <w:b/>
                <w:sz w:val="22"/>
                <w:szCs w:val="22"/>
              </w:rPr>
            </w:pPr>
            <w:r>
              <w:rPr>
                <w:rFonts w:ascii="Times New Roman" w:hAnsi="Times New Roman"/>
                <w:b/>
                <w:sz w:val="22"/>
                <w:szCs w:val="22"/>
              </w:rPr>
              <w:t>Prepayment:</w:t>
            </w:r>
          </w:p>
        </w:tc>
        <w:tc>
          <w:tcPr>
            <w:tcW w:w="9360" w:type="dxa"/>
            <w:shd w:val="clear" w:color="auto" w:fill="auto"/>
          </w:tcPr>
          <w:p w14:paraId="03BAAC0F" w14:textId="77777777" w:rsidR="005632FF" w:rsidRDefault="00AE2E38" w:rsidP="00676C4C">
            <w:pPr>
              <w:spacing w:after="120"/>
              <w:jc w:val="both"/>
              <w:rPr>
                <w:rFonts w:ascii="Times New Roman" w:hAnsi="Times New Roman"/>
                <w:sz w:val="22"/>
                <w:szCs w:val="22"/>
              </w:rPr>
            </w:pPr>
            <w:r>
              <w:rPr>
                <w:rFonts w:ascii="Times New Roman" w:hAnsi="Times New Roman"/>
                <w:sz w:val="22"/>
                <w:szCs w:val="22"/>
              </w:rPr>
              <w:t xml:space="preserve">The Notes may be prepaid by the Company at any time provided that a prepayment penalty of </w:t>
            </w:r>
            <w:r w:rsidRPr="0037182F">
              <w:rPr>
                <w:rFonts w:ascii="Times New Roman" w:hAnsi="Times New Roman"/>
                <w:sz w:val="22"/>
                <w:szCs w:val="22"/>
                <w:highlight w:val="black"/>
              </w:rPr>
              <w:t>5%</w:t>
            </w:r>
            <w:r>
              <w:rPr>
                <w:rFonts w:ascii="Times New Roman" w:hAnsi="Times New Roman"/>
                <w:sz w:val="22"/>
                <w:szCs w:val="22"/>
              </w:rPr>
              <w:t xml:space="preserve"> will apply to any prepayment prior to the </w:t>
            </w:r>
            <w:r w:rsidRPr="0037182F">
              <w:rPr>
                <w:rFonts w:ascii="Times New Roman" w:hAnsi="Times New Roman"/>
                <w:sz w:val="22"/>
                <w:szCs w:val="22"/>
                <w:highlight w:val="black"/>
              </w:rPr>
              <w:t>24</w:t>
            </w:r>
            <w:r w:rsidRPr="0037182F">
              <w:rPr>
                <w:rFonts w:ascii="Times New Roman" w:hAnsi="Times New Roman"/>
                <w:sz w:val="22"/>
                <w:szCs w:val="22"/>
                <w:highlight w:val="black"/>
                <w:vertAlign w:val="superscript"/>
              </w:rPr>
              <w:t>th</w:t>
            </w:r>
            <w:r w:rsidRPr="0037182F">
              <w:rPr>
                <w:rFonts w:ascii="Times New Roman" w:hAnsi="Times New Roman"/>
                <w:sz w:val="22"/>
                <w:szCs w:val="22"/>
                <w:highlight w:val="black"/>
              </w:rPr>
              <w:t xml:space="preserve"> month</w:t>
            </w:r>
            <w:r>
              <w:rPr>
                <w:rFonts w:ascii="Times New Roman" w:hAnsi="Times New Roman"/>
                <w:sz w:val="22"/>
                <w:szCs w:val="22"/>
              </w:rPr>
              <w:t xml:space="preserve"> after issuance of such Note other than in connection with a Company Sale. </w:t>
            </w:r>
            <w:r w:rsidR="00862DB5">
              <w:rPr>
                <w:rFonts w:ascii="Times New Roman" w:hAnsi="Times New Roman"/>
                <w:sz w:val="22"/>
                <w:szCs w:val="22"/>
              </w:rPr>
              <w:t xml:space="preserve"> The Company will provide at least fifteen day’s notice of any prepayment.</w:t>
            </w:r>
          </w:p>
        </w:tc>
      </w:tr>
      <w:tr w:rsidR="005632FF" w:rsidRPr="00074ECE" w14:paraId="11B7B6C0" w14:textId="77777777">
        <w:tc>
          <w:tcPr>
            <w:tcW w:w="1663" w:type="dxa"/>
            <w:shd w:val="clear" w:color="auto" w:fill="auto"/>
          </w:tcPr>
          <w:p w14:paraId="3A900657" w14:textId="77777777" w:rsidR="005632FF" w:rsidRDefault="00AE2E38" w:rsidP="005632FF">
            <w:pPr>
              <w:rPr>
                <w:rFonts w:ascii="Times New Roman" w:hAnsi="Times New Roman"/>
                <w:b/>
                <w:sz w:val="22"/>
                <w:szCs w:val="22"/>
              </w:rPr>
            </w:pPr>
            <w:r>
              <w:rPr>
                <w:rFonts w:ascii="Times New Roman" w:hAnsi="Times New Roman"/>
                <w:b/>
                <w:sz w:val="22"/>
                <w:szCs w:val="22"/>
              </w:rPr>
              <w:t>Amendment:</w:t>
            </w:r>
          </w:p>
        </w:tc>
        <w:tc>
          <w:tcPr>
            <w:tcW w:w="9360" w:type="dxa"/>
            <w:shd w:val="clear" w:color="auto" w:fill="auto"/>
          </w:tcPr>
          <w:p w14:paraId="424FFD5D" w14:textId="77777777" w:rsidR="005632FF" w:rsidRDefault="00AE2E38" w:rsidP="005632FF">
            <w:pPr>
              <w:spacing w:after="120"/>
              <w:jc w:val="both"/>
              <w:rPr>
                <w:rFonts w:ascii="Times New Roman" w:hAnsi="Times New Roman"/>
                <w:sz w:val="22"/>
                <w:szCs w:val="22"/>
              </w:rPr>
            </w:pPr>
            <w:r w:rsidRPr="009D224C">
              <w:rPr>
                <w:rFonts w:ascii="Times New Roman" w:hAnsi="Times New Roman"/>
                <w:sz w:val="22"/>
                <w:szCs w:val="22"/>
              </w:rPr>
              <w:t>The Note Purchase Agreement may be amended, or any term thereof waived, upon the written consent of the Company and the Requisite Holders.</w:t>
            </w:r>
            <w:r>
              <w:rPr>
                <w:rFonts w:ascii="Times New Roman" w:hAnsi="Times New Roman"/>
                <w:sz w:val="22"/>
                <w:szCs w:val="22"/>
              </w:rPr>
              <w:t xml:space="preserve">  Any Note </w:t>
            </w:r>
            <w:r w:rsidRPr="009D224C">
              <w:rPr>
                <w:rFonts w:ascii="Times New Roman" w:hAnsi="Times New Roman"/>
                <w:sz w:val="22"/>
                <w:szCs w:val="22"/>
              </w:rPr>
              <w:t xml:space="preserve">may be amended, or any term thereof waived, upon the written consent of the Company and the </w:t>
            </w:r>
            <w:r>
              <w:rPr>
                <w:rFonts w:ascii="Times New Roman" w:hAnsi="Times New Roman"/>
                <w:sz w:val="22"/>
                <w:szCs w:val="22"/>
              </w:rPr>
              <w:t>holder of such Note.</w:t>
            </w:r>
          </w:p>
        </w:tc>
      </w:tr>
      <w:tr w:rsidR="005632FF" w:rsidRPr="00074ECE" w14:paraId="2195F3E1" w14:textId="77777777">
        <w:tc>
          <w:tcPr>
            <w:tcW w:w="1663" w:type="dxa"/>
            <w:shd w:val="clear" w:color="auto" w:fill="auto"/>
          </w:tcPr>
          <w:p w14:paraId="4FEA8EAF" w14:textId="77777777" w:rsidR="005632FF" w:rsidRPr="00B9415F" w:rsidRDefault="00AE2E38" w:rsidP="005632FF">
            <w:pPr>
              <w:spacing w:after="120"/>
              <w:jc w:val="both"/>
              <w:rPr>
                <w:rFonts w:ascii="Times New Roman" w:hAnsi="Times New Roman"/>
                <w:b/>
                <w:sz w:val="22"/>
                <w:szCs w:val="22"/>
              </w:rPr>
            </w:pPr>
            <w:r>
              <w:rPr>
                <w:rFonts w:ascii="Times New Roman" w:hAnsi="Times New Roman"/>
                <w:b/>
                <w:sz w:val="22"/>
                <w:szCs w:val="22"/>
              </w:rPr>
              <w:t>Warrants:</w:t>
            </w:r>
          </w:p>
        </w:tc>
        <w:tc>
          <w:tcPr>
            <w:tcW w:w="9360" w:type="dxa"/>
            <w:shd w:val="clear" w:color="auto" w:fill="auto"/>
          </w:tcPr>
          <w:p w14:paraId="7470AC7C" w14:textId="77777777" w:rsidR="005632FF" w:rsidRPr="00B9415F" w:rsidRDefault="00AE2E38" w:rsidP="00B16915">
            <w:pPr>
              <w:spacing w:after="120"/>
              <w:jc w:val="both"/>
              <w:rPr>
                <w:rFonts w:ascii="Times New Roman" w:hAnsi="Times New Roman"/>
                <w:sz w:val="22"/>
                <w:szCs w:val="22"/>
              </w:rPr>
            </w:pPr>
            <w:r>
              <w:rPr>
                <w:rFonts w:ascii="Times New Roman" w:hAnsi="Times New Roman"/>
                <w:sz w:val="22"/>
                <w:szCs w:val="22"/>
              </w:rPr>
              <w:t xml:space="preserve">In addition to a Note, an Investor shall be issued a Warrant which will permit the subscriber to purchase an amount of Equity Securities of the Company equal to </w:t>
            </w:r>
            <w:r w:rsidRPr="0037182F">
              <w:rPr>
                <w:rFonts w:ascii="Times New Roman" w:hAnsi="Times New Roman"/>
                <w:sz w:val="22"/>
                <w:szCs w:val="22"/>
                <w:highlight w:val="black"/>
              </w:rPr>
              <w:t>12%</w:t>
            </w:r>
            <w:r>
              <w:rPr>
                <w:rFonts w:ascii="Times New Roman" w:hAnsi="Times New Roman"/>
                <w:sz w:val="22"/>
                <w:szCs w:val="22"/>
              </w:rPr>
              <w:t xml:space="preserve"> of the initial principal amount of such Investor’s Note (i.e. an Investor purchasing a </w:t>
            </w:r>
            <w:r w:rsidRPr="0037182F">
              <w:rPr>
                <w:rFonts w:ascii="Times New Roman" w:hAnsi="Times New Roman"/>
                <w:sz w:val="22"/>
                <w:szCs w:val="22"/>
                <w:highlight w:val="black"/>
              </w:rPr>
              <w:t>$100,000</w:t>
            </w:r>
            <w:r>
              <w:rPr>
                <w:rFonts w:ascii="Times New Roman" w:hAnsi="Times New Roman"/>
                <w:sz w:val="22"/>
                <w:szCs w:val="22"/>
              </w:rPr>
              <w:t xml:space="preserve"> Note will receive a Warrant allowing the purchase of up to </w:t>
            </w:r>
            <w:r w:rsidRPr="0037182F">
              <w:rPr>
                <w:rFonts w:ascii="Times New Roman" w:hAnsi="Times New Roman"/>
                <w:sz w:val="22"/>
                <w:szCs w:val="22"/>
                <w:highlight w:val="black"/>
              </w:rPr>
              <w:t>$12,000</w:t>
            </w:r>
            <w:r>
              <w:rPr>
                <w:rFonts w:ascii="Times New Roman" w:hAnsi="Times New Roman"/>
                <w:sz w:val="22"/>
                <w:szCs w:val="22"/>
              </w:rPr>
              <w:t xml:space="preserve"> in Equity Securities) in any Equity Financing during the term of the Warrant. The exercise price of the Warrant will be </w:t>
            </w:r>
            <w:r w:rsidRPr="00E72DD8">
              <w:rPr>
                <w:rFonts w:ascii="Times New Roman" w:hAnsi="Times New Roman"/>
                <w:sz w:val="22"/>
                <w:szCs w:val="22"/>
              </w:rPr>
              <w:t xml:space="preserve">equal to </w:t>
            </w:r>
            <w:r w:rsidR="00862DB5">
              <w:rPr>
                <w:rFonts w:ascii="Times New Roman" w:hAnsi="Times New Roman"/>
                <w:sz w:val="22"/>
                <w:szCs w:val="22"/>
              </w:rPr>
              <w:t xml:space="preserve">the lesser of: (i) </w:t>
            </w:r>
            <w:r w:rsidRPr="0037182F">
              <w:rPr>
                <w:rFonts w:ascii="Times New Roman" w:hAnsi="Times New Roman"/>
                <w:sz w:val="22"/>
                <w:szCs w:val="22"/>
                <w:highlight w:val="black"/>
              </w:rPr>
              <w:t>75%</w:t>
            </w:r>
            <w:r w:rsidRPr="00E72DD8">
              <w:rPr>
                <w:rFonts w:ascii="Times New Roman" w:hAnsi="Times New Roman"/>
                <w:sz w:val="22"/>
                <w:szCs w:val="22"/>
              </w:rPr>
              <w:t xml:space="preserve"> of the per </w:t>
            </w:r>
            <w:r>
              <w:rPr>
                <w:rFonts w:ascii="Times New Roman" w:hAnsi="Times New Roman"/>
                <w:sz w:val="22"/>
                <w:szCs w:val="22"/>
              </w:rPr>
              <w:t>unit</w:t>
            </w:r>
            <w:r w:rsidRPr="00E72DD8">
              <w:rPr>
                <w:rFonts w:ascii="Times New Roman" w:hAnsi="Times New Roman"/>
                <w:sz w:val="22"/>
                <w:szCs w:val="22"/>
              </w:rPr>
              <w:t xml:space="preserve"> price paid by the purchasers of such equity securities in the </w:t>
            </w:r>
            <w:r w:rsidR="00B16915">
              <w:rPr>
                <w:rFonts w:ascii="Times New Roman" w:hAnsi="Times New Roman"/>
                <w:sz w:val="22"/>
                <w:szCs w:val="22"/>
              </w:rPr>
              <w:t xml:space="preserve">first </w:t>
            </w:r>
            <w:r>
              <w:rPr>
                <w:rFonts w:ascii="Times New Roman" w:hAnsi="Times New Roman"/>
                <w:sz w:val="22"/>
                <w:szCs w:val="22"/>
              </w:rPr>
              <w:t>Equity</w:t>
            </w:r>
            <w:r w:rsidRPr="00E72DD8">
              <w:rPr>
                <w:rFonts w:ascii="Times New Roman" w:hAnsi="Times New Roman"/>
                <w:sz w:val="22"/>
                <w:szCs w:val="22"/>
              </w:rPr>
              <w:t xml:space="preserve"> Financing</w:t>
            </w:r>
            <w:r w:rsidR="00B16915">
              <w:rPr>
                <w:rFonts w:ascii="Times New Roman" w:hAnsi="Times New Roman"/>
                <w:sz w:val="22"/>
                <w:szCs w:val="22"/>
              </w:rPr>
              <w:t xml:space="preserve"> following the issuance of the Notes</w:t>
            </w:r>
            <w:r w:rsidR="00862DB5">
              <w:rPr>
                <w:rFonts w:ascii="Times New Roman" w:hAnsi="Times New Roman"/>
                <w:sz w:val="22"/>
                <w:szCs w:val="22"/>
              </w:rPr>
              <w:t xml:space="preserve">; or (ii) the price </w:t>
            </w:r>
            <w:r w:rsidR="00B16915">
              <w:rPr>
                <w:rFonts w:ascii="Times New Roman" w:hAnsi="Times New Roman"/>
                <w:sz w:val="22"/>
                <w:szCs w:val="22"/>
              </w:rPr>
              <w:t xml:space="preserve">calculated </w:t>
            </w:r>
            <w:r w:rsidR="00862DB5" w:rsidRPr="00862DB5">
              <w:rPr>
                <w:rFonts w:ascii="Times New Roman" w:hAnsi="Times New Roman"/>
                <w:sz w:val="22"/>
                <w:szCs w:val="22"/>
              </w:rPr>
              <w:t>base</w:t>
            </w:r>
            <w:r w:rsidR="00862DB5">
              <w:rPr>
                <w:rFonts w:ascii="Times New Roman" w:hAnsi="Times New Roman"/>
                <w:sz w:val="22"/>
                <w:szCs w:val="22"/>
              </w:rPr>
              <w:t xml:space="preserve">d on a pre-money valuation of </w:t>
            </w:r>
            <w:r w:rsidR="00862DB5" w:rsidRPr="0037182F">
              <w:rPr>
                <w:rFonts w:ascii="Times New Roman" w:hAnsi="Times New Roman"/>
                <w:sz w:val="22"/>
                <w:szCs w:val="22"/>
                <w:highlight w:val="black"/>
              </w:rPr>
              <w:t>$10,000,000</w:t>
            </w:r>
            <w:r w:rsidR="00862DB5">
              <w:rPr>
                <w:rFonts w:ascii="Times New Roman" w:hAnsi="Times New Roman"/>
                <w:sz w:val="22"/>
                <w:szCs w:val="22"/>
              </w:rPr>
              <w:t xml:space="preserve"> </w:t>
            </w:r>
            <w:r w:rsidR="00862DB5" w:rsidRPr="00862DB5">
              <w:rPr>
                <w:rFonts w:ascii="Times New Roman" w:hAnsi="Times New Roman"/>
                <w:sz w:val="22"/>
                <w:szCs w:val="22"/>
              </w:rPr>
              <w:t>(assuming full conversion or exercise of all convertible and exercisable securities then outstanding other than the Notes</w:t>
            </w:r>
            <w:r w:rsidR="00B16915">
              <w:rPr>
                <w:rFonts w:ascii="Times New Roman" w:hAnsi="Times New Roman"/>
                <w:sz w:val="22"/>
                <w:szCs w:val="22"/>
              </w:rPr>
              <w:t>)</w:t>
            </w:r>
            <w:r>
              <w:rPr>
                <w:rFonts w:ascii="Times New Roman" w:hAnsi="Times New Roman"/>
                <w:sz w:val="22"/>
                <w:szCs w:val="22"/>
              </w:rPr>
              <w:t xml:space="preserve">.  The term of the Warrant shall be </w:t>
            </w:r>
            <w:r w:rsidRPr="0037182F">
              <w:rPr>
                <w:rFonts w:ascii="Times New Roman" w:hAnsi="Times New Roman"/>
                <w:sz w:val="22"/>
                <w:szCs w:val="22"/>
                <w:highlight w:val="black"/>
              </w:rPr>
              <w:t>five (5)</w:t>
            </w:r>
            <w:r>
              <w:rPr>
                <w:rFonts w:ascii="Times New Roman" w:hAnsi="Times New Roman"/>
                <w:sz w:val="22"/>
                <w:szCs w:val="22"/>
              </w:rPr>
              <w:t xml:space="preserve"> years.  </w:t>
            </w:r>
          </w:p>
        </w:tc>
      </w:tr>
      <w:tr w:rsidR="005632FF" w:rsidRPr="00074ECE" w14:paraId="54C12C41" w14:textId="77777777">
        <w:tc>
          <w:tcPr>
            <w:tcW w:w="1663" w:type="dxa"/>
            <w:shd w:val="clear" w:color="auto" w:fill="auto"/>
          </w:tcPr>
          <w:p w14:paraId="10B9C8B2" w14:textId="77777777" w:rsidR="005632FF" w:rsidRPr="00B9415F" w:rsidRDefault="00AE2E38" w:rsidP="005632FF">
            <w:pPr>
              <w:spacing w:after="120"/>
              <w:jc w:val="both"/>
              <w:rPr>
                <w:rFonts w:ascii="Times New Roman" w:hAnsi="Times New Roman"/>
                <w:b/>
                <w:sz w:val="22"/>
                <w:szCs w:val="22"/>
              </w:rPr>
            </w:pPr>
            <w:r>
              <w:rPr>
                <w:rFonts w:ascii="Times New Roman" w:hAnsi="Times New Roman"/>
                <w:b/>
                <w:sz w:val="22"/>
                <w:szCs w:val="22"/>
              </w:rPr>
              <w:t>Escrow:</w:t>
            </w:r>
          </w:p>
        </w:tc>
        <w:tc>
          <w:tcPr>
            <w:tcW w:w="9360" w:type="dxa"/>
            <w:shd w:val="clear" w:color="auto" w:fill="auto"/>
          </w:tcPr>
          <w:p w14:paraId="425512DB" w14:textId="77777777" w:rsidR="005632FF" w:rsidRPr="00074ECE" w:rsidRDefault="00AE2E38" w:rsidP="005632FF">
            <w:pPr>
              <w:spacing w:after="120"/>
              <w:jc w:val="both"/>
              <w:rPr>
                <w:rFonts w:ascii="Times New Roman" w:hAnsi="Times New Roman"/>
                <w:sz w:val="22"/>
                <w:szCs w:val="22"/>
              </w:rPr>
            </w:pPr>
            <w:r>
              <w:rPr>
                <w:rFonts w:ascii="Times New Roman" w:hAnsi="Times New Roman"/>
                <w:sz w:val="22"/>
                <w:szCs w:val="22"/>
              </w:rPr>
              <w:t xml:space="preserve">Note purchase amounts associated with subscriptions are to be deposited into a proceeds escrow account with Seacoast National Bank.  </w:t>
            </w:r>
            <w:r w:rsidRPr="009D224C">
              <w:rPr>
                <w:rFonts w:ascii="Times New Roman" w:hAnsi="Times New Roman"/>
                <w:sz w:val="22"/>
                <w:szCs w:val="22"/>
              </w:rPr>
              <w:t xml:space="preserve">As soon as acceptable subscriptions for the </w:t>
            </w:r>
            <w:r>
              <w:rPr>
                <w:rFonts w:ascii="Times New Roman" w:hAnsi="Times New Roman"/>
                <w:sz w:val="22"/>
                <w:szCs w:val="22"/>
              </w:rPr>
              <w:t>Notes</w:t>
            </w:r>
            <w:r w:rsidRPr="009D224C">
              <w:rPr>
                <w:rFonts w:ascii="Times New Roman" w:hAnsi="Times New Roman"/>
                <w:sz w:val="22"/>
                <w:szCs w:val="22"/>
              </w:rPr>
              <w:t xml:space="preserve"> have been received for </w:t>
            </w:r>
            <w:r>
              <w:rPr>
                <w:rFonts w:ascii="Times New Roman" w:hAnsi="Times New Roman"/>
                <w:sz w:val="22"/>
                <w:szCs w:val="22"/>
              </w:rPr>
              <w:t>any Closing,</w:t>
            </w:r>
            <w:r w:rsidRPr="009D224C">
              <w:rPr>
                <w:rFonts w:ascii="Times New Roman" w:hAnsi="Times New Roman"/>
                <w:sz w:val="22"/>
                <w:szCs w:val="22"/>
              </w:rPr>
              <w:t xml:space="preserve"> funds held in escrow shall be immediately distributed to the Company. </w:t>
            </w:r>
          </w:p>
        </w:tc>
      </w:tr>
      <w:tr w:rsidR="005632FF" w:rsidRPr="00074ECE" w14:paraId="680969D9" w14:textId="77777777">
        <w:tc>
          <w:tcPr>
            <w:tcW w:w="1663" w:type="dxa"/>
            <w:shd w:val="clear" w:color="auto" w:fill="auto"/>
          </w:tcPr>
          <w:p w14:paraId="11CBAB82" w14:textId="77777777" w:rsidR="005632FF" w:rsidRPr="00D66B9D" w:rsidRDefault="00AE2E38" w:rsidP="005632FF">
            <w:pPr>
              <w:jc w:val="both"/>
              <w:rPr>
                <w:rFonts w:ascii="Times New Roman" w:hAnsi="Times New Roman"/>
                <w:b/>
                <w:sz w:val="22"/>
                <w:szCs w:val="22"/>
              </w:rPr>
            </w:pPr>
            <w:r w:rsidRPr="00D66B9D">
              <w:rPr>
                <w:rFonts w:ascii="Times New Roman" w:hAnsi="Times New Roman"/>
                <w:b/>
                <w:sz w:val="22"/>
                <w:szCs w:val="22"/>
              </w:rPr>
              <w:t>Restricted</w:t>
            </w:r>
          </w:p>
          <w:p w14:paraId="4D7F514C" w14:textId="77777777" w:rsidR="005632FF" w:rsidRPr="00D66B9D" w:rsidRDefault="00AE2E38" w:rsidP="005632FF">
            <w:pPr>
              <w:jc w:val="both"/>
              <w:rPr>
                <w:rFonts w:ascii="Times New Roman" w:hAnsi="Times New Roman"/>
                <w:b/>
                <w:sz w:val="22"/>
                <w:szCs w:val="22"/>
              </w:rPr>
            </w:pPr>
            <w:r w:rsidRPr="00D66B9D">
              <w:rPr>
                <w:rFonts w:ascii="Times New Roman" w:hAnsi="Times New Roman"/>
                <w:b/>
                <w:sz w:val="22"/>
                <w:szCs w:val="22"/>
              </w:rPr>
              <w:t>Securities:</w:t>
            </w:r>
          </w:p>
          <w:p w14:paraId="285EBDDB" w14:textId="77777777" w:rsidR="005632FF" w:rsidRPr="00B9415F" w:rsidRDefault="005632FF" w:rsidP="005632FF">
            <w:pPr>
              <w:jc w:val="both"/>
              <w:rPr>
                <w:rFonts w:ascii="Times New Roman" w:hAnsi="Times New Roman"/>
                <w:b/>
                <w:sz w:val="22"/>
                <w:szCs w:val="22"/>
              </w:rPr>
            </w:pPr>
          </w:p>
        </w:tc>
        <w:tc>
          <w:tcPr>
            <w:tcW w:w="9360" w:type="dxa"/>
            <w:shd w:val="clear" w:color="auto" w:fill="auto"/>
          </w:tcPr>
          <w:p w14:paraId="55A64DF4" w14:textId="77777777" w:rsidR="005632FF" w:rsidRPr="00074ECE" w:rsidRDefault="00AE2E38" w:rsidP="005632FF">
            <w:pPr>
              <w:spacing w:after="120"/>
              <w:jc w:val="both"/>
              <w:rPr>
                <w:rFonts w:ascii="Times New Roman" w:hAnsi="Times New Roman"/>
                <w:sz w:val="22"/>
                <w:szCs w:val="22"/>
              </w:rPr>
            </w:pPr>
            <w:r w:rsidRPr="00D66B9D">
              <w:rPr>
                <w:rFonts w:ascii="Times New Roman" w:hAnsi="Times New Roman"/>
                <w:sz w:val="22"/>
                <w:szCs w:val="22"/>
              </w:rPr>
              <w:t xml:space="preserve">The </w:t>
            </w:r>
            <w:r>
              <w:rPr>
                <w:rFonts w:ascii="Times New Roman" w:hAnsi="Times New Roman"/>
                <w:sz w:val="22"/>
                <w:szCs w:val="22"/>
              </w:rPr>
              <w:t xml:space="preserve">Notes, the Warrants and the membership interests issuable upon conversion of the Notes or exercise of the Warrants are </w:t>
            </w:r>
            <w:r w:rsidRPr="00D66B9D">
              <w:rPr>
                <w:rFonts w:ascii="Times New Roman" w:hAnsi="Times New Roman"/>
                <w:sz w:val="22"/>
                <w:szCs w:val="22"/>
              </w:rPr>
              <w:t>offered</w:t>
            </w:r>
            <w:r>
              <w:rPr>
                <w:rFonts w:ascii="Times New Roman" w:hAnsi="Times New Roman"/>
                <w:sz w:val="22"/>
                <w:szCs w:val="22"/>
              </w:rPr>
              <w:t xml:space="preserve"> and issued</w:t>
            </w:r>
            <w:r w:rsidRPr="00D66B9D">
              <w:rPr>
                <w:rFonts w:ascii="Times New Roman" w:hAnsi="Times New Roman"/>
                <w:sz w:val="22"/>
                <w:szCs w:val="22"/>
              </w:rPr>
              <w:t xml:space="preserve"> under claimed exemptions from the registration requirements of the</w:t>
            </w:r>
            <w:r>
              <w:rPr>
                <w:rFonts w:ascii="Times New Roman" w:hAnsi="Times New Roman"/>
                <w:sz w:val="22"/>
                <w:szCs w:val="22"/>
              </w:rPr>
              <w:t xml:space="preserve"> Securities</w:t>
            </w:r>
            <w:r w:rsidRPr="00D66B9D">
              <w:rPr>
                <w:rFonts w:ascii="Times New Roman" w:hAnsi="Times New Roman"/>
                <w:sz w:val="22"/>
                <w:szCs w:val="22"/>
              </w:rPr>
              <w:t xml:space="preserve"> Act</w:t>
            </w:r>
            <w:r>
              <w:rPr>
                <w:rFonts w:ascii="Times New Roman" w:hAnsi="Times New Roman"/>
                <w:sz w:val="22"/>
                <w:szCs w:val="22"/>
              </w:rPr>
              <w:t xml:space="preserve"> of 1933 to subscribers who are “accredited investors,” as such term is defined in regulations under such Act,</w:t>
            </w:r>
            <w:r w:rsidRPr="00D66B9D">
              <w:rPr>
                <w:rFonts w:ascii="Times New Roman" w:hAnsi="Times New Roman"/>
                <w:sz w:val="22"/>
                <w:szCs w:val="22"/>
              </w:rPr>
              <w:t xml:space="preserve"> and applicable state laws regulating the offer and sale of securities.  As such, they are “restricted securities” and may not be resold without an effective registration or the qualification of the resale for an exemption from such registration requirements.</w:t>
            </w:r>
            <w:r w:rsidRPr="00074ECE">
              <w:rPr>
                <w:rFonts w:ascii="Times New Roman" w:hAnsi="Times New Roman"/>
                <w:sz w:val="22"/>
                <w:szCs w:val="22"/>
              </w:rPr>
              <w:t xml:space="preserve"> </w:t>
            </w:r>
          </w:p>
        </w:tc>
      </w:tr>
      <w:tr w:rsidR="00676C4C" w:rsidRPr="00074ECE" w14:paraId="0ECBE63E" w14:textId="77777777">
        <w:tc>
          <w:tcPr>
            <w:tcW w:w="1663" w:type="dxa"/>
            <w:shd w:val="clear" w:color="auto" w:fill="auto"/>
          </w:tcPr>
          <w:p w14:paraId="4C2E8C5D" w14:textId="77777777" w:rsidR="00676C4C" w:rsidRPr="00B9415F" w:rsidRDefault="00676C4C" w:rsidP="005632FF">
            <w:pPr>
              <w:jc w:val="both"/>
              <w:rPr>
                <w:rFonts w:ascii="Times New Roman" w:hAnsi="Times New Roman"/>
                <w:b/>
                <w:sz w:val="22"/>
                <w:szCs w:val="22"/>
              </w:rPr>
            </w:pPr>
            <w:r>
              <w:rPr>
                <w:rFonts w:ascii="Times New Roman" w:hAnsi="Times New Roman"/>
                <w:b/>
                <w:sz w:val="22"/>
                <w:szCs w:val="22"/>
              </w:rPr>
              <w:t>Expenses:</w:t>
            </w:r>
          </w:p>
        </w:tc>
        <w:tc>
          <w:tcPr>
            <w:tcW w:w="9360" w:type="dxa"/>
            <w:shd w:val="clear" w:color="auto" w:fill="auto"/>
          </w:tcPr>
          <w:p w14:paraId="30CBA028" w14:textId="77777777" w:rsidR="00676C4C" w:rsidRPr="00074ECE" w:rsidRDefault="00676C4C" w:rsidP="005632FF">
            <w:pPr>
              <w:spacing w:after="120"/>
              <w:jc w:val="both"/>
              <w:rPr>
                <w:rFonts w:ascii="Times New Roman" w:hAnsi="Times New Roman"/>
                <w:sz w:val="22"/>
                <w:szCs w:val="22"/>
              </w:rPr>
            </w:pPr>
            <w:r w:rsidRPr="000E6FF2">
              <w:rPr>
                <w:rFonts w:ascii="Times New Roman" w:hAnsi="Times New Roman"/>
                <w:sz w:val="22"/>
                <w:szCs w:val="22"/>
              </w:rPr>
              <w:t>Each Investor will bear its own fees and expenses incurred in the transactions contemplated by this term sheet.</w:t>
            </w:r>
          </w:p>
        </w:tc>
      </w:tr>
      <w:tr w:rsidR="006C11E8" w:rsidRPr="00074ECE" w14:paraId="065C7C64" w14:textId="77777777">
        <w:tc>
          <w:tcPr>
            <w:tcW w:w="1663" w:type="dxa"/>
            <w:shd w:val="clear" w:color="auto" w:fill="auto"/>
          </w:tcPr>
          <w:p w14:paraId="3F4C857B" w14:textId="77777777" w:rsidR="006C11E8" w:rsidRDefault="006C11E8" w:rsidP="005632FF">
            <w:pPr>
              <w:jc w:val="both"/>
              <w:rPr>
                <w:rFonts w:ascii="Times New Roman" w:hAnsi="Times New Roman"/>
                <w:b/>
                <w:sz w:val="22"/>
                <w:szCs w:val="22"/>
              </w:rPr>
            </w:pPr>
            <w:r>
              <w:rPr>
                <w:rFonts w:ascii="Times New Roman" w:hAnsi="Times New Roman"/>
                <w:b/>
                <w:sz w:val="22"/>
                <w:szCs w:val="22"/>
              </w:rPr>
              <w:t>Confidentiality:</w:t>
            </w:r>
          </w:p>
        </w:tc>
        <w:tc>
          <w:tcPr>
            <w:tcW w:w="9360" w:type="dxa"/>
            <w:shd w:val="clear" w:color="auto" w:fill="auto"/>
          </w:tcPr>
          <w:p w14:paraId="75A998EC" w14:textId="77777777" w:rsidR="006C11E8" w:rsidRPr="000E6FF2" w:rsidRDefault="006C11E8" w:rsidP="005632FF">
            <w:pPr>
              <w:spacing w:after="120"/>
              <w:jc w:val="both"/>
              <w:rPr>
                <w:rFonts w:ascii="Times New Roman" w:hAnsi="Times New Roman"/>
                <w:sz w:val="22"/>
                <w:szCs w:val="22"/>
              </w:rPr>
            </w:pPr>
            <w:r>
              <w:rPr>
                <w:rFonts w:ascii="Times New Roman" w:hAnsi="Times New Roman"/>
                <w:sz w:val="22"/>
                <w:szCs w:val="22"/>
              </w:rPr>
              <w:t>Each prospective Investor agrees to keep the terms of the Offering and this Term Sheet confidential.</w:t>
            </w:r>
          </w:p>
        </w:tc>
      </w:tr>
      <w:tr w:rsidR="00676C4C" w:rsidRPr="00074ECE" w14:paraId="355993D6" w14:textId="77777777">
        <w:trPr>
          <w:trHeight w:val="889"/>
        </w:trPr>
        <w:tc>
          <w:tcPr>
            <w:tcW w:w="1663" w:type="dxa"/>
            <w:shd w:val="clear" w:color="auto" w:fill="auto"/>
          </w:tcPr>
          <w:p w14:paraId="251CB61C" w14:textId="77777777" w:rsidR="00676C4C" w:rsidRPr="00D66B9D" w:rsidRDefault="00676C4C" w:rsidP="005632FF">
            <w:pPr>
              <w:jc w:val="both"/>
              <w:rPr>
                <w:rFonts w:ascii="Times New Roman" w:hAnsi="Times New Roman"/>
                <w:b/>
                <w:sz w:val="22"/>
                <w:szCs w:val="22"/>
              </w:rPr>
            </w:pPr>
            <w:r w:rsidRPr="00D66B9D">
              <w:rPr>
                <w:rFonts w:ascii="Times New Roman" w:hAnsi="Times New Roman"/>
                <w:b/>
                <w:sz w:val="22"/>
                <w:szCs w:val="22"/>
              </w:rPr>
              <w:lastRenderedPageBreak/>
              <w:t>Additional</w:t>
            </w:r>
          </w:p>
          <w:p w14:paraId="59832956" w14:textId="77777777" w:rsidR="00676C4C" w:rsidRPr="00D66B9D" w:rsidRDefault="00676C4C" w:rsidP="005632FF">
            <w:pPr>
              <w:jc w:val="both"/>
              <w:rPr>
                <w:rFonts w:ascii="Times New Roman" w:hAnsi="Times New Roman"/>
                <w:b/>
                <w:sz w:val="22"/>
                <w:szCs w:val="22"/>
              </w:rPr>
            </w:pPr>
            <w:r w:rsidRPr="00D66B9D">
              <w:rPr>
                <w:rFonts w:ascii="Times New Roman" w:hAnsi="Times New Roman"/>
                <w:b/>
                <w:sz w:val="22"/>
                <w:szCs w:val="22"/>
              </w:rPr>
              <w:t>Information:</w:t>
            </w:r>
          </w:p>
          <w:p w14:paraId="17D5A7EE" w14:textId="77777777" w:rsidR="00676C4C" w:rsidRPr="00D66B9D" w:rsidRDefault="00676C4C" w:rsidP="005632FF">
            <w:pPr>
              <w:jc w:val="both"/>
              <w:rPr>
                <w:rFonts w:ascii="Times New Roman" w:hAnsi="Times New Roman"/>
                <w:b/>
                <w:sz w:val="22"/>
                <w:szCs w:val="22"/>
              </w:rPr>
            </w:pPr>
          </w:p>
        </w:tc>
        <w:tc>
          <w:tcPr>
            <w:tcW w:w="9360" w:type="dxa"/>
            <w:shd w:val="clear" w:color="auto" w:fill="auto"/>
          </w:tcPr>
          <w:p w14:paraId="7A980736" w14:textId="77777777" w:rsidR="00676C4C" w:rsidRPr="00D66B9D" w:rsidRDefault="00676C4C" w:rsidP="005632FF">
            <w:pPr>
              <w:spacing w:after="120"/>
              <w:jc w:val="both"/>
              <w:rPr>
                <w:rFonts w:ascii="Times New Roman" w:hAnsi="Times New Roman"/>
                <w:sz w:val="22"/>
                <w:szCs w:val="22"/>
              </w:rPr>
            </w:pPr>
            <w:r w:rsidRPr="00D66B9D">
              <w:rPr>
                <w:rFonts w:ascii="Times New Roman" w:hAnsi="Times New Roman"/>
                <w:sz w:val="22"/>
                <w:szCs w:val="22"/>
              </w:rPr>
              <w:t>This</w:t>
            </w:r>
            <w:r>
              <w:rPr>
                <w:rFonts w:ascii="Times New Roman" w:hAnsi="Times New Roman"/>
                <w:sz w:val="22"/>
                <w:szCs w:val="22"/>
              </w:rPr>
              <w:t xml:space="preserve"> Confidential</w:t>
            </w:r>
            <w:r w:rsidRPr="00D66B9D">
              <w:rPr>
                <w:rFonts w:ascii="Times New Roman" w:hAnsi="Times New Roman"/>
                <w:sz w:val="22"/>
                <w:szCs w:val="22"/>
              </w:rPr>
              <w:t xml:space="preserve"> Term Sheet is a summary of the offering</w:t>
            </w:r>
            <w:r>
              <w:rPr>
                <w:rFonts w:ascii="Times New Roman" w:hAnsi="Times New Roman"/>
                <w:sz w:val="22"/>
                <w:szCs w:val="22"/>
              </w:rPr>
              <w:t xml:space="preserve"> of the Note and the Warrants</w:t>
            </w:r>
            <w:r w:rsidRPr="00D66B9D">
              <w:rPr>
                <w:rFonts w:ascii="Times New Roman" w:hAnsi="Times New Roman"/>
                <w:sz w:val="22"/>
                <w:szCs w:val="22"/>
              </w:rPr>
              <w:t xml:space="preserve">.  Prospective investors </w:t>
            </w:r>
            <w:r>
              <w:rPr>
                <w:rFonts w:ascii="Times New Roman" w:hAnsi="Times New Roman"/>
                <w:sz w:val="22"/>
                <w:szCs w:val="22"/>
              </w:rPr>
              <w:t>may wish to visit the Company’s website (</w:t>
            </w:r>
            <w:hyperlink r:id="rId8" w:history="1">
              <w:r w:rsidRPr="001F668C">
                <w:rPr>
                  <w:rStyle w:val="Hyperlink"/>
                  <w:rFonts w:ascii="Times New Roman" w:hAnsi="Times New Roman"/>
                  <w:sz w:val="22"/>
                  <w:szCs w:val="22"/>
                </w:rPr>
                <w:t>www.fractel.net</w:t>
              </w:r>
            </w:hyperlink>
            <w:r>
              <w:rPr>
                <w:rFonts w:ascii="Times New Roman" w:hAnsi="Times New Roman"/>
                <w:sz w:val="22"/>
                <w:szCs w:val="22"/>
              </w:rPr>
              <w:t>).</w:t>
            </w:r>
          </w:p>
        </w:tc>
      </w:tr>
    </w:tbl>
    <w:p w14:paraId="48893DE7" w14:textId="77777777" w:rsidR="005632FF" w:rsidRPr="00CE4F15" w:rsidRDefault="005632FF" w:rsidP="005632FF">
      <w:pPr>
        <w:spacing w:before="120" w:after="120"/>
        <w:jc w:val="both"/>
        <w:rPr>
          <w:rFonts w:ascii="Times New Roman" w:hAnsi="Times New Roman"/>
          <w:sz w:val="23"/>
          <w:szCs w:val="23"/>
        </w:rPr>
      </w:pPr>
    </w:p>
    <w:sectPr w:rsidR="005632FF" w:rsidRPr="00CE4F15" w:rsidSect="005632FF">
      <w:footerReference w:type="even" r:id="rId9"/>
      <w:headerReference w:type="first" r:id="rId10"/>
      <w:pgSz w:w="12240" w:h="15840" w:code="1"/>
      <w:pgMar w:top="360" w:right="840" w:bottom="1170" w:left="1440" w:header="720" w:footer="72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293C" w14:textId="77777777" w:rsidR="003C7627" w:rsidRDefault="003C7627">
      <w:pPr>
        <w:rPr>
          <w:sz w:val="22"/>
          <w:szCs w:val="22"/>
        </w:rPr>
      </w:pPr>
      <w:r>
        <w:rPr>
          <w:sz w:val="22"/>
          <w:szCs w:val="22"/>
        </w:rPr>
        <w:separator/>
      </w:r>
    </w:p>
  </w:endnote>
  <w:endnote w:type="continuationSeparator" w:id="0">
    <w:p w14:paraId="04E813BE" w14:textId="77777777" w:rsidR="003C7627" w:rsidRDefault="003C7627">
      <w:pPr>
        <w:rPr>
          <w:sz w:val="22"/>
          <w:szCs w:val="22"/>
        </w:rPr>
      </w:pPr>
      <w:r>
        <w:rPr>
          <w:sz w:val="22"/>
          <w:szCs w:val="22"/>
        </w:rPr>
        <w:continuationSeparator/>
      </w:r>
    </w:p>
  </w:endnote>
  <w:endnote w:type="continuationNotice" w:id="1">
    <w:p w14:paraId="71795714" w14:textId="77777777" w:rsidR="003C7627" w:rsidRDefault="003C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G Omega">
    <w:altName w:val="Cambria"/>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DD26" w14:textId="77777777" w:rsidR="00573A16" w:rsidRDefault="003C7627">
    <w:pPr>
      <w:pStyle w:val="zDocID"/>
      <w:framePr w:wrap="around"/>
      <w:rPr>
        <w:rStyle w:val="zcDocID"/>
      </w:rPr>
    </w:pPr>
    <w:r>
      <w:fldChar w:fldCharType="begin"/>
    </w:r>
    <w:r>
      <w:instrText xml:space="preserve"> DOCPROPERTY DocID  \* MERGEFORMAT </w:instrText>
    </w:r>
    <w:r>
      <w:fldChar w:fldCharType="separate"/>
    </w:r>
    <w:r w:rsidR="00573A16" w:rsidRPr="00B16915">
      <w:rPr>
        <w:rStyle w:val="zcDocID"/>
        <w:sz w:val="14"/>
        <w:szCs w:val="14"/>
      </w:rPr>
      <w:t>452920.1</w:t>
    </w:r>
    <w:r>
      <w:rPr>
        <w:rStyle w:val="zcDocID"/>
        <w:sz w:val="14"/>
        <w:szCs w:val="14"/>
      </w:rPr>
      <w:fldChar w:fldCharType="end"/>
    </w:r>
  </w:p>
  <w:p w14:paraId="7C35B791" w14:textId="77777777" w:rsidR="00573A16" w:rsidRDefault="00573A1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3204" w14:textId="77777777" w:rsidR="003C7627" w:rsidRDefault="003C7627">
      <w:pPr>
        <w:rPr>
          <w:sz w:val="22"/>
          <w:szCs w:val="22"/>
        </w:rPr>
      </w:pPr>
      <w:r>
        <w:rPr>
          <w:sz w:val="22"/>
          <w:szCs w:val="22"/>
        </w:rPr>
        <w:separator/>
      </w:r>
    </w:p>
  </w:footnote>
  <w:footnote w:type="continuationSeparator" w:id="0">
    <w:p w14:paraId="37F57979" w14:textId="77777777" w:rsidR="003C7627" w:rsidRDefault="003C7627">
      <w:pPr>
        <w:rPr>
          <w:sz w:val="22"/>
          <w:szCs w:val="22"/>
        </w:rPr>
      </w:pPr>
      <w:r>
        <w:rPr>
          <w:sz w:val="22"/>
          <w:szCs w:val="22"/>
        </w:rPr>
        <w:continuationSeparator/>
      </w:r>
    </w:p>
  </w:footnote>
  <w:footnote w:type="continuationNotice" w:id="1">
    <w:p w14:paraId="7EB456CF" w14:textId="77777777" w:rsidR="003C7627" w:rsidRDefault="003C7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DA48" w14:textId="77777777" w:rsidR="00F879F8" w:rsidRPr="00F879F8" w:rsidRDefault="00F879F8" w:rsidP="00F879F8">
    <w:pPr>
      <w:pStyle w:val="Header"/>
      <w:rPr>
        <w:highlight w:val="yellow"/>
      </w:rPr>
    </w:pPr>
    <w:r w:rsidRPr="00F879F8">
      <w:rPr>
        <w:highlight w:val="yellow"/>
      </w:rPr>
      <w:t xml:space="preserve">Blacked out information is designated as confidential per </w:t>
    </w:r>
  </w:p>
  <w:p w14:paraId="5C0E15B1" w14:textId="0BD3E50F" w:rsidR="00F879F8" w:rsidRDefault="00F879F8" w:rsidP="00F879F8">
    <w:pPr>
      <w:pStyle w:val="Header"/>
    </w:pPr>
    <w:r w:rsidRPr="00F879F8">
      <w:rPr>
        <w:highlight w:val="yellow"/>
      </w:rPr>
      <w:t>WAC 480-07-160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7B23"/>
    <w:multiLevelType w:val="singleLevel"/>
    <w:tmpl w:val="29AC16B8"/>
    <w:lvl w:ilvl="0">
      <w:start w:val="1"/>
      <w:numFmt w:val="decimal"/>
      <w:lvlText w:val="%1."/>
      <w:lvlJc w:val="left"/>
      <w:pPr>
        <w:tabs>
          <w:tab w:val="num" w:pos="1800"/>
        </w:tabs>
        <w:ind w:left="72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19"/>
    <w:rsid w:val="0037182F"/>
    <w:rsid w:val="003C7627"/>
    <w:rsid w:val="003D37DD"/>
    <w:rsid w:val="005632FF"/>
    <w:rsid w:val="00573A16"/>
    <w:rsid w:val="006145DB"/>
    <w:rsid w:val="00676C4C"/>
    <w:rsid w:val="006C11E8"/>
    <w:rsid w:val="00862DB5"/>
    <w:rsid w:val="00896E89"/>
    <w:rsid w:val="008B2858"/>
    <w:rsid w:val="00AC748B"/>
    <w:rsid w:val="00AE2E38"/>
    <w:rsid w:val="00B16915"/>
    <w:rsid w:val="00C444C1"/>
    <w:rsid w:val="00EC31C1"/>
    <w:rsid w:val="00ED0D19"/>
    <w:rsid w:val="00F879F8"/>
    <w:rsid w:val="00FE2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C3678"/>
  <w15:docId w15:val="{D3529A7A-F7A9-6346-8AB4-B9DBC12E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E4A"/>
    <w:rPr>
      <w:rFonts w:ascii="CG Omega" w:hAnsi="CG Ome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7E4A"/>
    <w:pPr>
      <w:tabs>
        <w:tab w:val="center" w:pos="4680"/>
        <w:tab w:val="right" w:pos="9360"/>
      </w:tabs>
    </w:pPr>
  </w:style>
  <w:style w:type="paragraph" w:styleId="Header">
    <w:name w:val="header"/>
    <w:basedOn w:val="Normal"/>
    <w:rsid w:val="00187E4A"/>
    <w:pPr>
      <w:tabs>
        <w:tab w:val="center" w:pos="4680"/>
        <w:tab w:val="right" w:pos="9360"/>
      </w:tabs>
    </w:pPr>
  </w:style>
  <w:style w:type="table" w:styleId="TableGrid">
    <w:name w:val="Table Grid"/>
    <w:basedOn w:val="TableNormal"/>
    <w:rsid w:val="0018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ocID">
    <w:name w:val="zDocID"/>
    <w:rsid w:val="00187E4A"/>
    <w:pPr>
      <w:framePr w:wrap="around" w:vAnchor="text" w:hAnchor="text" w:x="1" w:y="1" w:anchorLock="1"/>
    </w:pPr>
    <w:rPr>
      <w:noProof/>
      <w:sz w:val="16"/>
    </w:rPr>
  </w:style>
  <w:style w:type="character" w:customStyle="1" w:styleId="zcDocID">
    <w:name w:val="zcDocID"/>
    <w:rsid w:val="00187E4A"/>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rPr>
  </w:style>
  <w:style w:type="paragraph" w:styleId="BalloonText">
    <w:name w:val="Balloon Text"/>
    <w:basedOn w:val="Normal"/>
    <w:semiHidden/>
    <w:rsid w:val="00187E4A"/>
    <w:rPr>
      <w:rFonts w:ascii="Tahoma" w:hAnsi="Tahoma" w:cs="Tahoma"/>
      <w:sz w:val="16"/>
      <w:szCs w:val="16"/>
    </w:rPr>
  </w:style>
  <w:style w:type="paragraph" w:styleId="Revision">
    <w:name w:val="Revision"/>
    <w:hidden/>
    <w:uiPriority w:val="99"/>
    <w:semiHidden/>
    <w:rsid w:val="00074ECE"/>
    <w:rPr>
      <w:rFonts w:ascii="CG Omega" w:hAnsi="CG Omega"/>
    </w:rPr>
  </w:style>
  <w:style w:type="character" w:styleId="Hyperlink">
    <w:name w:val="Hyperlink"/>
    <w:rsid w:val="001565DD"/>
    <w:rPr>
      <w:color w:val="0000FF"/>
      <w:u w:val="single"/>
    </w:rPr>
  </w:style>
  <w:style w:type="paragraph" w:styleId="PlainText">
    <w:name w:val="Plain Text"/>
    <w:basedOn w:val="Normal"/>
    <w:link w:val="PlainTextChar"/>
    <w:uiPriority w:val="99"/>
    <w:unhideWhenUsed/>
    <w:rsid w:val="00743704"/>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743704"/>
    <w:rPr>
      <w:rFonts w:ascii="Courier" w:eastAsiaTheme="minorHAnsi" w:hAnsi="Courier" w:cstheme="minorBidi"/>
      <w:sz w:val="21"/>
      <w:szCs w:val="21"/>
    </w:rPr>
  </w:style>
  <w:style w:type="paragraph" w:customStyle="1" w:styleId="Default">
    <w:name w:val="Default"/>
    <w:rsid w:val="00743704"/>
    <w:pPr>
      <w:widowControl w:val="0"/>
      <w:autoSpaceDE w:val="0"/>
      <w:autoSpaceDN w:val="0"/>
      <w:adjustRightInd w:val="0"/>
    </w:pPr>
    <w:rPr>
      <w:color w:val="000000"/>
    </w:rPr>
  </w:style>
  <w:style w:type="paragraph" w:styleId="FootnoteText">
    <w:name w:val="footnote text"/>
    <w:basedOn w:val="Normal"/>
    <w:link w:val="FootnoteTextChar"/>
    <w:rsid w:val="00E72DD8"/>
  </w:style>
  <w:style w:type="character" w:customStyle="1" w:styleId="FootnoteTextChar">
    <w:name w:val="Footnote Text Char"/>
    <w:basedOn w:val="DefaultParagraphFont"/>
    <w:link w:val="FootnoteText"/>
    <w:rsid w:val="00E72DD8"/>
    <w:rPr>
      <w:rFonts w:ascii="CG Omega" w:hAnsi="CG Omega"/>
      <w:sz w:val="24"/>
      <w:szCs w:val="24"/>
    </w:rPr>
  </w:style>
  <w:style w:type="character" w:styleId="FootnoteReference">
    <w:name w:val="footnote reference"/>
    <w:basedOn w:val="DefaultParagraphFont"/>
    <w:rsid w:val="00E72DD8"/>
    <w:rPr>
      <w:rFonts w:ascii="Times New Roman" w:hAnsi="Times New Roman" w:hint="default"/>
      <w:strike w:val="0"/>
      <w:noProof/>
      <w:color w:val="000000"/>
      <w:spacing w:val="0"/>
      <w:sz w:val="20"/>
      <w:vertAlign w:val="superscript"/>
    </w:rPr>
  </w:style>
  <w:style w:type="paragraph" w:styleId="BodyText">
    <w:name w:val="Body Text"/>
    <w:basedOn w:val="Normal"/>
    <w:link w:val="BodyTextChar"/>
    <w:rsid w:val="000E6FF2"/>
    <w:pPr>
      <w:spacing w:after="120"/>
    </w:pPr>
  </w:style>
  <w:style w:type="character" w:customStyle="1" w:styleId="BodyTextChar">
    <w:name w:val="Body Text Char"/>
    <w:basedOn w:val="DefaultParagraphFont"/>
    <w:link w:val="BodyText"/>
    <w:rsid w:val="000E6FF2"/>
    <w:rPr>
      <w:rFonts w:ascii="CG Omega" w:hAnsi="CG Omega"/>
    </w:rPr>
  </w:style>
  <w:style w:type="character" w:styleId="CommentReference">
    <w:name w:val="annotation reference"/>
    <w:basedOn w:val="DefaultParagraphFont"/>
    <w:rsid w:val="004D5553"/>
    <w:rPr>
      <w:sz w:val="16"/>
      <w:szCs w:val="16"/>
    </w:rPr>
  </w:style>
  <w:style w:type="paragraph" w:styleId="CommentText">
    <w:name w:val="annotation text"/>
    <w:basedOn w:val="Normal"/>
    <w:link w:val="CommentTextChar"/>
    <w:rsid w:val="004D5553"/>
    <w:rPr>
      <w:sz w:val="20"/>
      <w:szCs w:val="20"/>
    </w:rPr>
  </w:style>
  <w:style w:type="character" w:customStyle="1" w:styleId="CommentTextChar">
    <w:name w:val="Comment Text Char"/>
    <w:basedOn w:val="DefaultParagraphFont"/>
    <w:link w:val="CommentText"/>
    <w:rsid w:val="004D5553"/>
    <w:rPr>
      <w:rFonts w:ascii="CG Omega" w:hAnsi="CG Omega"/>
      <w:sz w:val="20"/>
      <w:szCs w:val="20"/>
    </w:rPr>
  </w:style>
  <w:style w:type="paragraph" w:styleId="CommentSubject">
    <w:name w:val="annotation subject"/>
    <w:basedOn w:val="CommentText"/>
    <w:next w:val="CommentText"/>
    <w:link w:val="CommentSubjectChar"/>
    <w:rsid w:val="004D5553"/>
    <w:rPr>
      <w:b/>
      <w:bCs/>
    </w:rPr>
  </w:style>
  <w:style w:type="character" w:customStyle="1" w:styleId="CommentSubjectChar">
    <w:name w:val="Comment Subject Char"/>
    <w:basedOn w:val="CommentTextChar"/>
    <w:link w:val="CommentSubject"/>
    <w:rsid w:val="004D5553"/>
    <w:rPr>
      <w:rFonts w:ascii="CG Omega" w:hAnsi="CG Omeg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ractel.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47689FDEA5844C9524E2FBED0B970B" ma:contentTypeVersion="48" ma:contentTypeDescription="" ma:contentTypeScope="" ma:versionID="d0cf1e460c1bef59e5c8ee5090ce4e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2019-03-22T07:00:00+00:00</OpenedDate>
    <SignificantOrder xmlns="dc463f71-b30c-4ab2-9473-d307f9d35888">false</SignificantOrder>
    <Date1 xmlns="dc463f71-b30c-4ab2-9473-d307f9d35888">2019-04-10T07:00:00+00:00</Date1>
    <IsDocumentOrder xmlns="dc463f71-b30c-4ab2-9473-d307f9d35888">false</IsDocumentOrder>
    <IsHighlyConfidential xmlns="dc463f71-b30c-4ab2-9473-d307f9d35888">false</IsHighlyConfidential>
    <CaseCompanyNames xmlns="dc463f71-b30c-4ab2-9473-d307f9d35888">Fractel, LLC</CaseCompanyNames>
    <Nickname xmlns="http://schemas.microsoft.com/sharepoint/v3" xsi:nil="true"/>
    <DocketNumber xmlns="dc463f71-b30c-4ab2-9473-d307f9d35888">190191</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339A4E-A1AF-4AC6-98C7-4761BD10BC32}"/>
</file>

<file path=customXml/itemProps2.xml><?xml version="1.0" encoding="utf-8"?>
<ds:datastoreItem xmlns:ds="http://schemas.openxmlformats.org/officeDocument/2006/customXml" ds:itemID="{542A16D8-B1B7-4D85-AB27-7C77F07DED87}"/>
</file>

<file path=customXml/itemProps3.xml><?xml version="1.0" encoding="utf-8"?>
<ds:datastoreItem xmlns:ds="http://schemas.openxmlformats.org/officeDocument/2006/customXml" ds:itemID="{B814DF45-3765-48FD-8EF3-D39746F489DF}"/>
</file>

<file path=customXml/itemProps4.xml><?xml version="1.0" encoding="utf-8"?>
<ds:datastoreItem xmlns:ds="http://schemas.openxmlformats.org/officeDocument/2006/customXml" ds:itemID="{43E379D2-E253-4D23-94E7-627E8E08EC82}"/>
</file>

<file path=docProps/app.xml><?xml version="1.0" encoding="utf-8"?>
<Properties xmlns="http://schemas.openxmlformats.org/officeDocument/2006/extended-properties" xmlns:vt="http://schemas.openxmlformats.org/officeDocument/2006/docPropsVTypes">
  <Template>Normal.dotm</Template>
  <TotalTime>4</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CRYOPORT, INC</vt:lpstr>
    </vt:vector>
  </TitlesOfParts>
  <Company>Felhaber Law Firm</Company>
  <LinksUpToDate>false</LinksUpToDate>
  <CharactersWithSpaces>8766</CharactersWithSpaces>
  <SharedDoc>false</SharedDoc>
  <HLinks>
    <vt:vector size="6" baseType="variant">
      <vt:variant>
        <vt:i4>6815828</vt:i4>
      </vt:variant>
      <vt:variant>
        <vt:i4>0</vt:i4>
      </vt:variant>
      <vt:variant>
        <vt:i4>0</vt:i4>
      </vt:variant>
      <vt:variant>
        <vt:i4>5</vt:i4>
      </vt:variant>
      <vt:variant>
        <vt:lpwstr>http://www.altavian.com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CRYOPORT, INC</dc:title>
  <dc:creator>Randy J. Sparling</dc:creator>
  <cp:lastModifiedBy>Mike Wilbur</cp:lastModifiedBy>
  <cp:revision>3</cp:revision>
  <cp:lastPrinted>2015-04-14T01:09:00Z</cp:lastPrinted>
  <dcterms:created xsi:type="dcterms:W3CDTF">2019-04-10T23:28:00Z</dcterms:created>
  <dcterms:modified xsi:type="dcterms:W3CDTF">2019-04-10T23:31:00Z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452920.1</vt:lpwstr>
  </property>
  <property fmtid="{D5CDD505-2E9C-101B-9397-08002B2CF9AE}" pid="3" name="ContentTypeId">
    <vt:lpwstr>0x0101006E56B4D1795A2E4DB2F0B01679ED314A007747689FDEA5844C9524E2FBED0B970B</vt:lpwstr>
  </property>
  <property fmtid="{D5CDD505-2E9C-101B-9397-08002B2CF9AE}" pid="4" name="_docset_NoMedatataSyncRequired">
    <vt:lpwstr>False</vt:lpwstr>
  </property>
  <property fmtid="{D5CDD505-2E9C-101B-9397-08002B2CF9AE}" pid="5" name="IsEFSEC">
    <vt:bool>false</vt:bool>
  </property>
</Properties>
</file>