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84A67" w14:textId="77777777" w:rsidR="00657DEE" w:rsidRPr="00C51085" w:rsidRDefault="00657DEE">
      <w:pPr>
        <w:rPr>
          <w:rFonts w:ascii="Times New Roman" w:hAnsi="Times New Roman"/>
        </w:rPr>
      </w:pPr>
      <w:bookmarkStart w:id="0" w:name="_GoBack"/>
      <w:bookmarkEnd w:id="0"/>
      <w:r w:rsidRPr="00C51085">
        <w:rPr>
          <w:rFonts w:ascii="Times New Roman" w:hAnsi="Times New Roman"/>
        </w:rPr>
        <w:t>Agenda Date:</w:t>
      </w:r>
      <w:r w:rsidRPr="00C51085">
        <w:rPr>
          <w:rFonts w:ascii="Times New Roman" w:hAnsi="Times New Roman"/>
        </w:rPr>
        <w:tab/>
      </w:r>
      <w:r w:rsidR="00744C90" w:rsidRPr="00C51085">
        <w:rPr>
          <w:rFonts w:ascii="Times New Roman" w:hAnsi="Times New Roman"/>
        </w:rPr>
        <w:tab/>
      </w:r>
      <w:r w:rsidR="00247A93" w:rsidRPr="00C51085">
        <w:rPr>
          <w:rFonts w:ascii="Times New Roman" w:hAnsi="Times New Roman"/>
        </w:rPr>
        <w:t>July 27, 2017</w:t>
      </w:r>
    </w:p>
    <w:p w14:paraId="70D84A69" w14:textId="53F761A2" w:rsidR="00657DEE" w:rsidRDefault="00657DEE" w:rsidP="00A04246">
      <w:pPr>
        <w:ind w:left="2160" w:hanging="2160"/>
        <w:rPr>
          <w:rFonts w:ascii="Times New Roman" w:hAnsi="Times New Roman"/>
        </w:rPr>
      </w:pPr>
      <w:r w:rsidRPr="00C51085">
        <w:rPr>
          <w:rFonts w:ascii="Times New Roman" w:hAnsi="Times New Roman"/>
        </w:rPr>
        <w:t>Item Number:</w:t>
      </w:r>
      <w:r w:rsidRPr="00C51085">
        <w:rPr>
          <w:rFonts w:ascii="Times New Roman" w:hAnsi="Times New Roman"/>
        </w:rPr>
        <w:tab/>
      </w:r>
      <w:r w:rsidR="00A04246">
        <w:rPr>
          <w:rFonts w:ascii="Times New Roman" w:hAnsi="Times New Roman"/>
        </w:rPr>
        <w:t>A</w:t>
      </w:r>
      <w:r w:rsidR="00962882">
        <w:rPr>
          <w:rFonts w:ascii="Times New Roman" w:hAnsi="Times New Roman"/>
        </w:rPr>
        <w:t>2</w:t>
      </w:r>
    </w:p>
    <w:p w14:paraId="121F04F5" w14:textId="77777777" w:rsidR="00A04246" w:rsidRPr="00C51085" w:rsidRDefault="00A04246" w:rsidP="00A04246">
      <w:pPr>
        <w:ind w:left="2160" w:hanging="2160"/>
        <w:rPr>
          <w:rFonts w:ascii="Times New Roman" w:hAnsi="Times New Roman"/>
        </w:rPr>
      </w:pPr>
    </w:p>
    <w:p w14:paraId="70D84A6A" w14:textId="77777777" w:rsidR="00657DEE" w:rsidRPr="00C51085" w:rsidRDefault="00657DEE">
      <w:pPr>
        <w:rPr>
          <w:rFonts w:ascii="Times New Roman" w:hAnsi="Times New Roman"/>
          <w:b/>
          <w:bCs/>
        </w:rPr>
      </w:pPr>
      <w:r w:rsidRPr="00C51085">
        <w:rPr>
          <w:rFonts w:ascii="Times New Roman" w:hAnsi="Times New Roman"/>
          <w:b/>
          <w:bCs/>
        </w:rPr>
        <w:t>Docket:</w:t>
      </w:r>
      <w:r w:rsidRPr="00C51085">
        <w:rPr>
          <w:rFonts w:ascii="Times New Roman" w:hAnsi="Times New Roman"/>
          <w:b/>
          <w:bCs/>
        </w:rPr>
        <w:tab/>
      </w:r>
      <w:r w:rsidRPr="00C51085">
        <w:rPr>
          <w:rFonts w:ascii="Times New Roman" w:hAnsi="Times New Roman"/>
          <w:b/>
          <w:bCs/>
        </w:rPr>
        <w:tab/>
      </w:r>
      <w:r w:rsidR="00247A93" w:rsidRPr="00C51085">
        <w:rPr>
          <w:rFonts w:ascii="Times New Roman" w:hAnsi="Times New Roman"/>
          <w:b/>
          <w:bCs/>
        </w:rPr>
        <w:t>UE-170327</w:t>
      </w:r>
    </w:p>
    <w:p w14:paraId="70D84A6B" w14:textId="42B72E91" w:rsidR="00657DEE" w:rsidRPr="00C51085" w:rsidRDefault="00657DEE">
      <w:pPr>
        <w:rPr>
          <w:rFonts w:ascii="Times New Roman" w:hAnsi="Times New Roman"/>
        </w:rPr>
      </w:pPr>
      <w:r w:rsidRPr="00C51085">
        <w:rPr>
          <w:rFonts w:ascii="Times New Roman" w:hAnsi="Times New Roman"/>
        </w:rPr>
        <w:t>Company:</w:t>
      </w:r>
      <w:r w:rsidRPr="00C51085">
        <w:rPr>
          <w:rFonts w:ascii="Times New Roman" w:hAnsi="Times New Roman"/>
        </w:rPr>
        <w:tab/>
      </w:r>
      <w:r w:rsidRPr="00C51085">
        <w:rPr>
          <w:rFonts w:ascii="Times New Roman" w:hAnsi="Times New Roman"/>
        </w:rPr>
        <w:tab/>
      </w:r>
      <w:r w:rsidR="00247A93" w:rsidRPr="00C51085">
        <w:rPr>
          <w:rFonts w:ascii="Times New Roman" w:hAnsi="Times New Roman"/>
        </w:rPr>
        <w:t>Avista Corporation, d</w:t>
      </w:r>
      <w:r w:rsidR="00A04246">
        <w:rPr>
          <w:rFonts w:ascii="Times New Roman" w:hAnsi="Times New Roman"/>
        </w:rPr>
        <w:t>/</w:t>
      </w:r>
      <w:r w:rsidR="00247A93" w:rsidRPr="00C51085">
        <w:rPr>
          <w:rFonts w:ascii="Times New Roman" w:hAnsi="Times New Roman"/>
        </w:rPr>
        <w:t>b</w:t>
      </w:r>
      <w:r w:rsidR="00A04246">
        <w:rPr>
          <w:rFonts w:ascii="Times New Roman" w:hAnsi="Times New Roman"/>
        </w:rPr>
        <w:t>/</w:t>
      </w:r>
      <w:r w:rsidR="00247A93" w:rsidRPr="00C51085">
        <w:rPr>
          <w:rFonts w:ascii="Times New Roman" w:hAnsi="Times New Roman"/>
        </w:rPr>
        <w:t>a Avista Utilities</w:t>
      </w:r>
    </w:p>
    <w:p w14:paraId="70D84A6C" w14:textId="77777777" w:rsidR="00657DEE" w:rsidRPr="00C51085" w:rsidRDefault="00657DEE">
      <w:pPr>
        <w:rPr>
          <w:rFonts w:ascii="Times New Roman" w:hAnsi="Times New Roman"/>
        </w:rPr>
      </w:pPr>
    </w:p>
    <w:p w14:paraId="70D84A6D" w14:textId="19F1DDC0" w:rsidR="00657DEE" w:rsidRPr="00C51085" w:rsidRDefault="00657DEE">
      <w:pPr>
        <w:rPr>
          <w:rFonts w:ascii="Times New Roman" w:hAnsi="Times New Roman"/>
        </w:rPr>
      </w:pPr>
      <w:r w:rsidRPr="00C51085">
        <w:rPr>
          <w:rFonts w:ascii="Times New Roman" w:hAnsi="Times New Roman"/>
        </w:rPr>
        <w:t>Staff:</w:t>
      </w:r>
      <w:r w:rsidRPr="00C51085">
        <w:rPr>
          <w:rFonts w:ascii="Times New Roman" w:hAnsi="Times New Roman"/>
        </w:rPr>
        <w:tab/>
      </w:r>
      <w:r w:rsidRPr="00C51085">
        <w:rPr>
          <w:rFonts w:ascii="Times New Roman" w:hAnsi="Times New Roman"/>
        </w:rPr>
        <w:tab/>
      </w:r>
      <w:r w:rsidRPr="00C51085">
        <w:rPr>
          <w:rFonts w:ascii="Times New Roman" w:hAnsi="Times New Roman"/>
        </w:rPr>
        <w:tab/>
      </w:r>
      <w:r w:rsidR="00247A93" w:rsidRPr="00C51085">
        <w:rPr>
          <w:rFonts w:ascii="Times New Roman" w:hAnsi="Times New Roman"/>
        </w:rPr>
        <w:t xml:space="preserve">Joanna Huang, Regulatory </w:t>
      </w:r>
      <w:r w:rsidR="00BA0B94" w:rsidRPr="00C51085">
        <w:rPr>
          <w:rFonts w:ascii="Times New Roman" w:hAnsi="Times New Roman"/>
        </w:rPr>
        <w:t>Analys</w:t>
      </w:r>
      <w:r w:rsidR="00BA0B94">
        <w:rPr>
          <w:rFonts w:ascii="Times New Roman" w:hAnsi="Times New Roman"/>
        </w:rPr>
        <w:t>t</w:t>
      </w:r>
      <w:r w:rsidR="00BA0B94" w:rsidRPr="00C51085">
        <w:rPr>
          <w:rFonts w:ascii="Times New Roman" w:hAnsi="Times New Roman"/>
        </w:rPr>
        <w:t xml:space="preserve"> </w:t>
      </w:r>
    </w:p>
    <w:p w14:paraId="70D84A6E" w14:textId="6ED4D807" w:rsidR="00247A93" w:rsidRDefault="00247A93" w:rsidP="00514DF5">
      <w:pPr>
        <w:ind w:left="2160"/>
        <w:rPr>
          <w:rFonts w:ascii="Times New Roman" w:hAnsi="Times New Roman"/>
        </w:rPr>
      </w:pPr>
      <w:r w:rsidRPr="00C51085">
        <w:rPr>
          <w:rFonts w:ascii="Times New Roman" w:hAnsi="Times New Roman"/>
        </w:rPr>
        <w:t xml:space="preserve">Melissa Cheesman, Regulatory </w:t>
      </w:r>
      <w:r w:rsidR="00BA0B94" w:rsidRPr="00C51085">
        <w:rPr>
          <w:rFonts w:ascii="Times New Roman" w:hAnsi="Times New Roman"/>
        </w:rPr>
        <w:t>Analys</w:t>
      </w:r>
      <w:r w:rsidR="00BA0B94">
        <w:rPr>
          <w:rFonts w:ascii="Times New Roman" w:hAnsi="Times New Roman"/>
        </w:rPr>
        <w:t>t</w:t>
      </w:r>
    </w:p>
    <w:p w14:paraId="15E79D88" w14:textId="71932AC4" w:rsidR="00BA0B94" w:rsidRPr="00C51085" w:rsidRDefault="00BA0B94" w:rsidP="00514DF5">
      <w:pPr>
        <w:ind w:left="2160"/>
        <w:rPr>
          <w:rFonts w:ascii="Times New Roman" w:hAnsi="Times New Roman"/>
        </w:rPr>
      </w:pPr>
      <w:r>
        <w:rPr>
          <w:rFonts w:ascii="Times New Roman" w:hAnsi="Times New Roman"/>
        </w:rPr>
        <w:t>Thomas Schooley, Asst. Director, Energy Regulation</w:t>
      </w:r>
    </w:p>
    <w:p w14:paraId="70D84A6F" w14:textId="088252C3" w:rsidR="00657DEE" w:rsidRPr="00C51085" w:rsidRDefault="00657DEE" w:rsidP="00514DF5">
      <w:pPr>
        <w:ind w:left="2160"/>
        <w:rPr>
          <w:rFonts w:ascii="Times New Roman" w:hAnsi="Times New Roman"/>
        </w:rPr>
      </w:pPr>
    </w:p>
    <w:p w14:paraId="70D84A70" w14:textId="77777777" w:rsidR="00657DEE" w:rsidRPr="00C51085" w:rsidRDefault="00657DEE">
      <w:pPr>
        <w:rPr>
          <w:rFonts w:ascii="Times New Roman" w:hAnsi="Times New Roman"/>
        </w:rPr>
      </w:pPr>
    </w:p>
    <w:p w14:paraId="70D84A71" w14:textId="77777777" w:rsidR="00657DEE" w:rsidRPr="00C51085" w:rsidRDefault="00842F1A">
      <w:pPr>
        <w:rPr>
          <w:rFonts w:ascii="Times New Roman" w:hAnsi="Times New Roman"/>
          <w:b/>
          <w:bCs/>
          <w:u w:val="single"/>
        </w:rPr>
      </w:pPr>
      <w:r w:rsidRPr="00C51085">
        <w:rPr>
          <w:rFonts w:ascii="Times New Roman" w:hAnsi="Times New Roman"/>
          <w:b/>
          <w:bCs/>
          <w:u w:val="single"/>
        </w:rPr>
        <w:t>Recommendation</w:t>
      </w:r>
    </w:p>
    <w:p w14:paraId="70D84A72" w14:textId="77777777" w:rsidR="00170726" w:rsidRPr="00C51085" w:rsidRDefault="00170726">
      <w:pPr>
        <w:rPr>
          <w:rFonts w:ascii="Times New Roman" w:hAnsi="Times New Roman"/>
        </w:rPr>
      </w:pPr>
    </w:p>
    <w:p w14:paraId="70D84A73" w14:textId="53963CAC" w:rsidR="007552A8" w:rsidRPr="00C51085" w:rsidRDefault="005F731C">
      <w:pPr>
        <w:rPr>
          <w:rFonts w:ascii="Times New Roman" w:hAnsi="Times New Roman"/>
        </w:rPr>
      </w:pPr>
      <w:r w:rsidRPr="00C51085">
        <w:rPr>
          <w:rFonts w:ascii="Times New Roman" w:hAnsi="Times New Roman"/>
        </w:rPr>
        <w:t>Reject Avista Corp</w:t>
      </w:r>
      <w:r w:rsidR="00A04246">
        <w:rPr>
          <w:rFonts w:ascii="Times New Roman" w:hAnsi="Times New Roman"/>
        </w:rPr>
        <w:t>oration</w:t>
      </w:r>
      <w:r w:rsidR="007552A8" w:rsidRPr="00C51085">
        <w:rPr>
          <w:rFonts w:ascii="Times New Roman" w:hAnsi="Times New Roman"/>
        </w:rPr>
        <w:t>’s</w:t>
      </w:r>
      <w:r w:rsidRPr="00C51085">
        <w:rPr>
          <w:rFonts w:ascii="Times New Roman" w:hAnsi="Times New Roman"/>
        </w:rPr>
        <w:t xml:space="preserve"> </w:t>
      </w:r>
      <w:r w:rsidR="001A75DA" w:rsidRPr="00C51085">
        <w:rPr>
          <w:rFonts w:ascii="Times New Roman" w:hAnsi="Times New Roman"/>
        </w:rPr>
        <w:t>(</w:t>
      </w:r>
      <w:r w:rsidR="00501DBC" w:rsidRPr="00C51085">
        <w:rPr>
          <w:rFonts w:ascii="Times New Roman" w:hAnsi="Times New Roman"/>
        </w:rPr>
        <w:t>Avista</w:t>
      </w:r>
      <w:r w:rsidR="00A04246">
        <w:rPr>
          <w:rFonts w:ascii="Times New Roman" w:hAnsi="Times New Roman"/>
        </w:rPr>
        <w:t xml:space="preserve"> </w:t>
      </w:r>
      <w:r w:rsidR="001A75DA" w:rsidRPr="00C51085">
        <w:rPr>
          <w:rFonts w:ascii="Times New Roman" w:hAnsi="Times New Roman"/>
        </w:rPr>
        <w:t xml:space="preserve">or </w:t>
      </w:r>
      <w:r w:rsidR="009F4DE9">
        <w:rPr>
          <w:rFonts w:ascii="Times New Roman" w:hAnsi="Times New Roman"/>
        </w:rPr>
        <w:t>c</w:t>
      </w:r>
      <w:r w:rsidR="001A75DA" w:rsidRPr="00C51085">
        <w:rPr>
          <w:rFonts w:ascii="Times New Roman" w:hAnsi="Times New Roman"/>
        </w:rPr>
        <w:t xml:space="preserve">ompany) </w:t>
      </w:r>
      <w:r w:rsidRPr="00C51085">
        <w:rPr>
          <w:rFonts w:ascii="Times New Roman" w:hAnsi="Times New Roman"/>
        </w:rPr>
        <w:t xml:space="preserve">accounting petition </w:t>
      </w:r>
      <w:r w:rsidR="007552A8" w:rsidRPr="00C51085">
        <w:rPr>
          <w:rFonts w:ascii="Times New Roman" w:hAnsi="Times New Roman"/>
        </w:rPr>
        <w:t xml:space="preserve">for </w:t>
      </w:r>
      <w:r w:rsidR="00110E00">
        <w:rPr>
          <w:rFonts w:ascii="Times New Roman" w:hAnsi="Times New Roman"/>
        </w:rPr>
        <w:t>deferred accounting treatment</w:t>
      </w:r>
      <w:r w:rsidR="004C359C">
        <w:rPr>
          <w:rFonts w:ascii="Times New Roman" w:hAnsi="Times New Roman"/>
        </w:rPr>
        <w:t xml:space="preserve"> of</w:t>
      </w:r>
      <w:r w:rsidR="007552A8" w:rsidRPr="00C51085">
        <w:rPr>
          <w:rFonts w:ascii="Times New Roman" w:hAnsi="Times New Roman"/>
        </w:rPr>
        <w:t>:</w:t>
      </w:r>
    </w:p>
    <w:p w14:paraId="70D84A74" w14:textId="32332492" w:rsidR="007552A8" w:rsidRPr="00C51085" w:rsidRDefault="00AC0D8E" w:rsidP="007552A8">
      <w:pPr>
        <w:pStyle w:val="ListParagraph"/>
        <w:numPr>
          <w:ilvl w:val="0"/>
          <w:numId w:val="1"/>
        </w:numPr>
        <w:rPr>
          <w:rFonts w:ascii="Times New Roman" w:hAnsi="Times New Roman"/>
        </w:rPr>
      </w:pPr>
      <w:r>
        <w:rPr>
          <w:rFonts w:ascii="Times New Roman" w:hAnsi="Times New Roman"/>
        </w:rPr>
        <w:t>T</w:t>
      </w:r>
      <w:r w:rsidR="005F731C" w:rsidRPr="00C51085">
        <w:rPr>
          <w:rFonts w:ascii="Times New Roman" w:hAnsi="Times New Roman"/>
        </w:rPr>
        <w:t xml:space="preserve">he revenue requirement related to the future deployment of its </w:t>
      </w:r>
      <w:r w:rsidR="00347BA5" w:rsidRPr="00C51085">
        <w:rPr>
          <w:rFonts w:ascii="Times New Roman" w:hAnsi="Times New Roman"/>
        </w:rPr>
        <w:t>Adv</w:t>
      </w:r>
      <w:r w:rsidR="007552A8" w:rsidRPr="00C51085">
        <w:rPr>
          <w:rFonts w:ascii="Times New Roman" w:hAnsi="Times New Roman"/>
        </w:rPr>
        <w:t>ance</w:t>
      </w:r>
      <w:r w:rsidR="00E021ED">
        <w:rPr>
          <w:rFonts w:ascii="Times New Roman" w:hAnsi="Times New Roman"/>
        </w:rPr>
        <w:t xml:space="preserve">d </w:t>
      </w:r>
      <w:r w:rsidR="007552A8" w:rsidRPr="00C51085">
        <w:rPr>
          <w:rFonts w:ascii="Times New Roman" w:hAnsi="Times New Roman"/>
        </w:rPr>
        <w:t>Metering Infrastructure (AMI).</w:t>
      </w:r>
    </w:p>
    <w:p w14:paraId="70D84A75" w14:textId="354E10C7" w:rsidR="00657DEE" w:rsidRPr="00C51085" w:rsidRDefault="00110E00" w:rsidP="007552A8">
      <w:pPr>
        <w:pStyle w:val="ListParagraph"/>
        <w:numPr>
          <w:ilvl w:val="0"/>
          <w:numId w:val="1"/>
        </w:numPr>
        <w:rPr>
          <w:rFonts w:ascii="Times New Roman" w:hAnsi="Times New Roman"/>
        </w:rPr>
      </w:pPr>
      <w:r>
        <w:rPr>
          <w:rFonts w:ascii="Times New Roman" w:hAnsi="Times New Roman"/>
        </w:rPr>
        <w:t>T</w:t>
      </w:r>
      <w:r w:rsidR="00347BA5" w:rsidRPr="00C51085">
        <w:rPr>
          <w:rFonts w:ascii="Times New Roman" w:hAnsi="Times New Roman"/>
        </w:rPr>
        <w:t xml:space="preserve">he undepreciated net book value of the </w:t>
      </w:r>
      <w:r w:rsidR="00A04246">
        <w:rPr>
          <w:rFonts w:ascii="Times New Roman" w:hAnsi="Times New Roman"/>
        </w:rPr>
        <w:t>c</w:t>
      </w:r>
      <w:r w:rsidR="00347BA5" w:rsidRPr="00C51085">
        <w:rPr>
          <w:rFonts w:ascii="Times New Roman" w:hAnsi="Times New Roman"/>
        </w:rPr>
        <w:t xml:space="preserve">ompany’s existing natural gas </w:t>
      </w:r>
      <w:r w:rsidR="00E021ED">
        <w:rPr>
          <w:rFonts w:ascii="Times New Roman" w:hAnsi="Times New Roman"/>
        </w:rPr>
        <w:t>communicating</w:t>
      </w:r>
      <w:r w:rsidR="00501DBC" w:rsidRPr="00C51085">
        <w:rPr>
          <w:rFonts w:ascii="Times New Roman" w:hAnsi="Times New Roman"/>
        </w:rPr>
        <w:t xml:space="preserve"> </w:t>
      </w:r>
      <w:r w:rsidR="00347BA5" w:rsidRPr="00C51085">
        <w:rPr>
          <w:rFonts w:ascii="Times New Roman" w:hAnsi="Times New Roman"/>
        </w:rPr>
        <w:t>modules.</w:t>
      </w:r>
    </w:p>
    <w:p w14:paraId="70D84A76" w14:textId="0EE676E4" w:rsidR="007552A8" w:rsidRPr="00C51085" w:rsidRDefault="007552A8" w:rsidP="007552A8">
      <w:pPr>
        <w:pStyle w:val="ListParagraph"/>
        <w:numPr>
          <w:ilvl w:val="0"/>
          <w:numId w:val="1"/>
        </w:numPr>
        <w:rPr>
          <w:rFonts w:ascii="Times New Roman" w:hAnsi="Times New Roman"/>
        </w:rPr>
      </w:pPr>
      <w:r w:rsidRPr="00C51085">
        <w:rPr>
          <w:rFonts w:ascii="Times New Roman" w:hAnsi="Times New Roman"/>
        </w:rPr>
        <w:t>A depreciable life of 12.5 years, with a depreciation rate of 8.0</w:t>
      </w:r>
      <w:r w:rsidR="00A04246">
        <w:rPr>
          <w:rFonts w:ascii="Times New Roman" w:hAnsi="Times New Roman"/>
        </w:rPr>
        <w:t xml:space="preserve"> percent</w:t>
      </w:r>
      <w:r w:rsidRPr="00C51085">
        <w:rPr>
          <w:rFonts w:ascii="Times New Roman" w:hAnsi="Times New Roman"/>
        </w:rPr>
        <w:t xml:space="preserve">, for the software component of the meter data management system of the </w:t>
      </w:r>
      <w:r w:rsidR="00E37DC6" w:rsidRPr="00C51085">
        <w:rPr>
          <w:rFonts w:ascii="Times New Roman" w:hAnsi="Times New Roman"/>
        </w:rPr>
        <w:t>AMI</w:t>
      </w:r>
      <w:r w:rsidRPr="00C51085">
        <w:rPr>
          <w:rFonts w:ascii="Times New Roman" w:hAnsi="Times New Roman"/>
        </w:rPr>
        <w:t xml:space="preserve"> project</w:t>
      </w:r>
      <w:r w:rsidR="00E021ED">
        <w:rPr>
          <w:rFonts w:ascii="Times New Roman" w:hAnsi="Times New Roman"/>
        </w:rPr>
        <w:t>.</w:t>
      </w:r>
    </w:p>
    <w:p w14:paraId="70D84A77" w14:textId="77777777" w:rsidR="00657DEE" w:rsidRPr="00C51085" w:rsidRDefault="00657DEE">
      <w:pPr>
        <w:rPr>
          <w:rFonts w:ascii="Times New Roman" w:hAnsi="Times New Roman"/>
        </w:rPr>
      </w:pPr>
    </w:p>
    <w:p w14:paraId="70D84A78" w14:textId="77777777" w:rsidR="00657DEE" w:rsidRPr="00C51085" w:rsidRDefault="00657DEE">
      <w:pPr>
        <w:rPr>
          <w:rFonts w:ascii="Times New Roman" w:hAnsi="Times New Roman"/>
          <w:b/>
          <w:u w:val="single"/>
        </w:rPr>
      </w:pPr>
      <w:r w:rsidRPr="00C51085">
        <w:rPr>
          <w:rFonts w:ascii="Times New Roman" w:hAnsi="Times New Roman"/>
          <w:b/>
          <w:u w:val="single"/>
        </w:rPr>
        <w:t>Discussion</w:t>
      </w:r>
    </w:p>
    <w:p w14:paraId="70D84A79" w14:textId="77777777" w:rsidR="00170726" w:rsidRPr="00C51085" w:rsidRDefault="00170726">
      <w:pPr>
        <w:rPr>
          <w:rFonts w:ascii="Times New Roman" w:hAnsi="Times New Roman"/>
        </w:rPr>
      </w:pPr>
    </w:p>
    <w:p w14:paraId="4C850BC1" w14:textId="05A1603D" w:rsidR="0098213D" w:rsidRDefault="0098213D">
      <w:pPr>
        <w:rPr>
          <w:rFonts w:ascii="Times New Roman" w:hAnsi="Times New Roman"/>
        </w:rPr>
      </w:pPr>
      <w:r w:rsidRPr="00C51085">
        <w:rPr>
          <w:rFonts w:ascii="Times New Roman" w:hAnsi="Times New Roman"/>
        </w:rPr>
        <w:t xml:space="preserve">Avista plans to deploy advanced metering </w:t>
      </w:r>
      <w:r>
        <w:rPr>
          <w:rFonts w:ascii="Times New Roman" w:hAnsi="Times New Roman"/>
        </w:rPr>
        <w:t>infrastructure to serve all of its customers in Washington</w:t>
      </w:r>
      <w:r w:rsidR="00D273EF">
        <w:rPr>
          <w:rFonts w:ascii="Times New Roman" w:hAnsi="Times New Roman"/>
        </w:rPr>
        <w:t xml:space="preserve"> which </w:t>
      </w:r>
      <w:r w:rsidR="00E25B33">
        <w:rPr>
          <w:rFonts w:ascii="Times New Roman" w:hAnsi="Times New Roman"/>
        </w:rPr>
        <w:t>encompasses</w:t>
      </w:r>
      <w:r w:rsidR="00D273EF">
        <w:rPr>
          <w:rFonts w:ascii="Times New Roman" w:hAnsi="Times New Roman"/>
        </w:rPr>
        <w:t xml:space="preserve"> approximately 250,000 electric </w:t>
      </w:r>
      <w:r w:rsidR="00E25B33">
        <w:rPr>
          <w:rFonts w:ascii="Times New Roman" w:hAnsi="Times New Roman"/>
        </w:rPr>
        <w:t>customers</w:t>
      </w:r>
      <w:r w:rsidR="00D273EF">
        <w:rPr>
          <w:rFonts w:ascii="Times New Roman" w:hAnsi="Times New Roman"/>
        </w:rPr>
        <w:t xml:space="preserve"> and 160,</w:t>
      </w:r>
      <w:r w:rsidR="00E25B33">
        <w:rPr>
          <w:rFonts w:ascii="Times New Roman" w:hAnsi="Times New Roman"/>
        </w:rPr>
        <w:t>0</w:t>
      </w:r>
      <w:r w:rsidR="00D273EF">
        <w:rPr>
          <w:rFonts w:ascii="Times New Roman" w:hAnsi="Times New Roman"/>
        </w:rPr>
        <w:t>00 natural gas customers</w:t>
      </w:r>
      <w:r>
        <w:rPr>
          <w:rFonts w:ascii="Times New Roman" w:hAnsi="Times New Roman"/>
        </w:rPr>
        <w:t xml:space="preserve">. This project </w:t>
      </w:r>
      <w:r w:rsidR="00D273EF">
        <w:rPr>
          <w:rFonts w:ascii="Times New Roman" w:hAnsi="Times New Roman"/>
        </w:rPr>
        <w:t xml:space="preserve">will require the placement of advanced metering devices at each customer premise </w:t>
      </w:r>
      <w:r>
        <w:rPr>
          <w:rFonts w:ascii="Times New Roman" w:hAnsi="Times New Roman"/>
        </w:rPr>
        <w:t>as well as required back office infrastructure</w:t>
      </w:r>
      <w:r w:rsidR="00D273EF">
        <w:rPr>
          <w:rFonts w:ascii="Times New Roman" w:hAnsi="Times New Roman"/>
        </w:rPr>
        <w:t>. The combination of back office infrastructure and advanced meters will provide a platform over which the company and its customers can better manage energy consumption and reduce certain operating costs associated with reading meters.</w:t>
      </w:r>
      <w:r w:rsidRPr="00C51085">
        <w:rPr>
          <w:rFonts w:ascii="Times New Roman" w:hAnsi="Times New Roman"/>
        </w:rPr>
        <w:t xml:space="preserve"> Avista expects to complete the full implementation by 2021. Avista estimates the full project capital expenditure costs to be $165.4 million for Washington.</w:t>
      </w:r>
    </w:p>
    <w:p w14:paraId="2FA0B145" w14:textId="77777777" w:rsidR="0098213D" w:rsidRDefault="0098213D">
      <w:pPr>
        <w:rPr>
          <w:rFonts w:ascii="Times New Roman" w:hAnsi="Times New Roman"/>
        </w:rPr>
      </w:pPr>
    </w:p>
    <w:p w14:paraId="70D84A7A" w14:textId="26CE1BE6" w:rsidR="00347BA5" w:rsidRPr="00C51085" w:rsidRDefault="001A75DA">
      <w:pPr>
        <w:rPr>
          <w:rFonts w:ascii="Times New Roman" w:hAnsi="Times New Roman"/>
        </w:rPr>
      </w:pPr>
      <w:r w:rsidRPr="00C51085">
        <w:rPr>
          <w:rFonts w:ascii="Times New Roman" w:hAnsi="Times New Roman"/>
        </w:rPr>
        <w:t xml:space="preserve">The </w:t>
      </w:r>
      <w:r w:rsidR="00A04246">
        <w:rPr>
          <w:rFonts w:ascii="Times New Roman" w:hAnsi="Times New Roman"/>
        </w:rPr>
        <w:t>c</w:t>
      </w:r>
      <w:r w:rsidR="00C83806" w:rsidRPr="00C51085">
        <w:rPr>
          <w:rFonts w:ascii="Times New Roman" w:hAnsi="Times New Roman"/>
        </w:rPr>
        <w:t xml:space="preserve">ompany requests the revenue requirement associated with </w:t>
      </w:r>
      <w:r w:rsidR="0098213D">
        <w:rPr>
          <w:rFonts w:ascii="Times New Roman" w:hAnsi="Times New Roman"/>
        </w:rPr>
        <w:t>prospective</w:t>
      </w:r>
      <w:r w:rsidR="00C83806" w:rsidRPr="00C51085">
        <w:rPr>
          <w:rFonts w:ascii="Times New Roman" w:hAnsi="Times New Roman"/>
        </w:rPr>
        <w:t xml:space="preserve"> investment</w:t>
      </w:r>
      <w:r w:rsidR="0098213D">
        <w:rPr>
          <w:rFonts w:ascii="Times New Roman" w:hAnsi="Times New Roman"/>
        </w:rPr>
        <w:t>s made</w:t>
      </w:r>
      <w:r w:rsidR="00C83806" w:rsidRPr="00C51085">
        <w:rPr>
          <w:rFonts w:ascii="Times New Roman" w:hAnsi="Times New Roman"/>
        </w:rPr>
        <w:t xml:space="preserve"> in AMI between </w:t>
      </w:r>
      <w:r w:rsidR="00347E4C" w:rsidRPr="00C51085">
        <w:rPr>
          <w:rFonts w:ascii="Times New Roman" w:hAnsi="Times New Roman"/>
        </w:rPr>
        <w:t>2017</w:t>
      </w:r>
      <w:r w:rsidR="00C83806" w:rsidRPr="00C51085">
        <w:rPr>
          <w:rFonts w:ascii="Times New Roman" w:hAnsi="Times New Roman"/>
        </w:rPr>
        <w:t xml:space="preserve"> and </w:t>
      </w:r>
      <w:r w:rsidR="00347E4C" w:rsidRPr="00C51085">
        <w:rPr>
          <w:rFonts w:ascii="Times New Roman" w:hAnsi="Times New Roman"/>
        </w:rPr>
        <w:t>20</w:t>
      </w:r>
      <w:r w:rsidR="00546627" w:rsidRPr="00C51085">
        <w:rPr>
          <w:rFonts w:ascii="Times New Roman" w:hAnsi="Times New Roman"/>
        </w:rPr>
        <w:t>21</w:t>
      </w:r>
      <w:r w:rsidR="00C83806" w:rsidRPr="00C51085">
        <w:rPr>
          <w:rFonts w:ascii="Times New Roman" w:hAnsi="Times New Roman"/>
        </w:rPr>
        <w:t xml:space="preserve">, would be deferred to preserve the opportunity for recovery in a future proceeding. </w:t>
      </w:r>
      <w:r w:rsidR="005431BB" w:rsidRPr="00C51085">
        <w:rPr>
          <w:rFonts w:ascii="Times New Roman" w:hAnsi="Times New Roman"/>
        </w:rPr>
        <w:t>In addition</w:t>
      </w:r>
      <w:r w:rsidR="00953C7D" w:rsidRPr="00C51085">
        <w:rPr>
          <w:rFonts w:ascii="Times New Roman" w:hAnsi="Times New Roman"/>
        </w:rPr>
        <w:t xml:space="preserve">, Avista also seeks to recover revenue requirement related to the depreciation expense and property taxes on the plant that </w:t>
      </w:r>
      <w:r w:rsidR="002048A1">
        <w:rPr>
          <w:rFonts w:ascii="Times New Roman" w:hAnsi="Times New Roman"/>
        </w:rPr>
        <w:t>will be</w:t>
      </w:r>
      <w:r w:rsidR="0098213D">
        <w:rPr>
          <w:rFonts w:ascii="Times New Roman" w:hAnsi="Times New Roman"/>
        </w:rPr>
        <w:t xml:space="preserve"> </w:t>
      </w:r>
      <w:r w:rsidR="00953C7D" w:rsidRPr="00C51085">
        <w:rPr>
          <w:rFonts w:ascii="Times New Roman" w:hAnsi="Times New Roman"/>
        </w:rPr>
        <w:t>in</w:t>
      </w:r>
      <w:r w:rsidR="00463210" w:rsidRPr="00C51085">
        <w:rPr>
          <w:rFonts w:ascii="Times New Roman" w:hAnsi="Times New Roman"/>
        </w:rPr>
        <w:t xml:space="preserve"> </w:t>
      </w:r>
      <w:r w:rsidR="00953C7D" w:rsidRPr="00C51085">
        <w:rPr>
          <w:rFonts w:ascii="Times New Roman" w:hAnsi="Times New Roman"/>
        </w:rPr>
        <w:t xml:space="preserve">service, the financing costs associated with the investment, and the related state and federal taxes. </w:t>
      </w:r>
    </w:p>
    <w:p w14:paraId="70D84A7B" w14:textId="77777777" w:rsidR="00347BA5" w:rsidRPr="00C51085" w:rsidRDefault="00347BA5">
      <w:pPr>
        <w:rPr>
          <w:rFonts w:ascii="Times New Roman" w:hAnsi="Times New Roman"/>
        </w:rPr>
      </w:pPr>
    </w:p>
    <w:p w14:paraId="70D84A7F" w14:textId="6AC39DD0" w:rsidR="00657DEE" w:rsidRPr="00C51085" w:rsidRDefault="001A75DA">
      <w:pPr>
        <w:rPr>
          <w:rFonts w:ascii="Times New Roman" w:hAnsi="Times New Roman"/>
        </w:rPr>
      </w:pPr>
      <w:r w:rsidRPr="00C51085">
        <w:rPr>
          <w:rFonts w:ascii="Times New Roman" w:hAnsi="Times New Roman"/>
        </w:rPr>
        <w:t xml:space="preserve">Avista’s request to defer revenue requirement violates regulatory </w:t>
      </w:r>
      <w:r w:rsidR="00B971D3" w:rsidRPr="00C51085">
        <w:rPr>
          <w:rFonts w:ascii="Times New Roman" w:hAnsi="Times New Roman"/>
        </w:rPr>
        <w:t>principles</w:t>
      </w:r>
      <w:r w:rsidRPr="00C51085">
        <w:rPr>
          <w:rFonts w:ascii="Times New Roman" w:hAnsi="Times New Roman"/>
        </w:rPr>
        <w:t xml:space="preserve"> and </w:t>
      </w:r>
      <w:r w:rsidR="0098213D">
        <w:rPr>
          <w:rFonts w:ascii="Times New Roman" w:hAnsi="Times New Roman"/>
        </w:rPr>
        <w:t xml:space="preserve">is a method to eliminate regulatory lag which frequently occurs with </w:t>
      </w:r>
      <w:r w:rsidR="00D273EF">
        <w:rPr>
          <w:rFonts w:ascii="Times New Roman" w:hAnsi="Times New Roman"/>
        </w:rPr>
        <w:t xml:space="preserve">most </w:t>
      </w:r>
      <w:r w:rsidR="0098213D">
        <w:rPr>
          <w:rFonts w:ascii="Times New Roman" w:hAnsi="Times New Roman"/>
        </w:rPr>
        <w:t>capital investment</w:t>
      </w:r>
      <w:r w:rsidR="00D273EF">
        <w:rPr>
          <w:rFonts w:ascii="Times New Roman" w:hAnsi="Times New Roman"/>
        </w:rPr>
        <w:t>s</w:t>
      </w:r>
      <w:r w:rsidR="0098213D">
        <w:rPr>
          <w:rFonts w:ascii="Times New Roman" w:hAnsi="Times New Roman"/>
        </w:rPr>
        <w:t xml:space="preserve"> made by utilities.</w:t>
      </w:r>
      <w:r w:rsidR="00501DBC" w:rsidRPr="00C51085">
        <w:rPr>
          <w:rFonts w:ascii="Times New Roman" w:hAnsi="Times New Roman"/>
        </w:rPr>
        <w:t xml:space="preserve"> Basically Avista’s plan allows it full recovery of the AMI system as of the first day the back office computers are in service and as each meter is in service.</w:t>
      </w:r>
    </w:p>
    <w:p w14:paraId="70D84A80" w14:textId="77777777" w:rsidR="005F731C" w:rsidRPr="00C51085" w:rsidRDefault="005F731C">
      <w:pPr>
        <w:rPr>
          <w:rFonts w:ascii="Times New Roman" w:hAnsi="Times New Roman"/>
        </w:rPr>
      </w:pPr>
    </w:p>
    <w:p w14:paraId="211D91E7" w14:textId="1EBEA624" w:rsidR="00B62814" w:rsidRDefault="008F5C7E">
      <w:pPr>
        <w:rPr>
          <w:rFonts w:ascii="Times New Roman" w:hAnsi="Times New Roman"/>
        </w:rPr>
      </w:pPr>
      <w:r w:rsidRPr="00C51085">
        <w:rPr>
          <w:rFonts w:ascii="Times New Roman" w:hAnsi="Times New Roman"/>
        </w:rPr>
        <w:t xml:space="preserve">Utilities regulated by the </w:t>
      </w:r>
      <w:r w:rsidR="00A04246">
        <w:rPr>
          <w:rFonts w:ascii="Times New Roman" w:hAnsi="Times New Roman"/>
        </w:rPr>
        <w:t xml:space="preserve">Washington Utilities and Transportation Commission (commission) </w:t>
      </w:r>
      <w:r w:rsidRPr="00C51085">
        <w:rPr>
          <w:rFonts w:ascii="Times New Roman" w:hAnsi="Times New Roman"/>
        </w:rPr>
        <w:t xml:space="preserve">must follow the Uniform System of Accounts prescribed by the Federal Energy Regulatory </w:t>
      </w:r>
      <w:r w:rsidRPr="00C51085">
        <w:rPr>
          <w:rFonts w:ascii="Times New Roman" w:hAnsi="Times New Roman"/>
        </w:rPr>
        <w:lastRenderedPageBreak/>
        <w:t>Commission (FERC)</w:t>
      </w:r>
      <w:r w:rsidR="00D65F12">
        <w:rPr>
          <w:rFonts w:ascii="Times New Roman" w:hAnsi="Times New Roman"/>
        </w:rPr>
        <w:t xml:space="preserve">. </w:t>
      </w:r>
      <w:r w:rsidRPr="00C51085">
        <w:rPr>
          <w:rFonts w:ascii="Times New Roman" w:hAnsi="Times New Roman"/>
        </w:rPr>
        <w:t xml:space="preserve"> </w:t>
      </w:r>
      <w:r w:rsidR="00D65F12">
        <w:rPr>
          <w:rFonts w:ascii="Times New Roman" w:hAnsi="Times New Roman"/>
        </w:rPr>
        <w:t>T</w:t>
      </w:r>
      <w:r w:rsidRPr="00C51085">
        <w:rPr>
          <w:rFonts w:ascii="Times New Roman" w:hAnsi="Times New Roman"/>
        </w:rPr>
        <w:t>he Code of Federal Regulations Title 18</w:t>
      </w:r>
      <w:r w:rsidR="00635A53">
        <w:rPr>
          <w:rFonts w:ascii="Times New Roman" w:hAnsi="Times New Roman"/>
        </w:rPr>
        <w:t>,</w:t>
      </w:r>
      <w:r w:rsidRPr="00C51085">
        <w:rPr>
          <w:rFonts w:ascii="Times New Roman" w:hAnsi="Times New Roman"/>
        </w:rPr>
        <w:t xml:space="preserve"> Subchapter C, Part 101</w:t>
      </w:r>
      <w:r w:rsidR="00D65F12">
        <w:rPr>
          <w:rFonts w:ascii="Times New Roman" w:hAnsi="Times New Roman"/>
        </w:rPr>
        <w:t>, Definition 31 states</w:t>
      </w:r>
      <w:r w:rsidR="00626F8E" w:rsidRPr="00C51085">
        <w:rPr>
          <w:rFonts w:ascii="Times New Roman" w:hAnsi="Times New Roman"/>
        </w:rPr>
        <w:t>:</w:t>
      </w:r>
      <w:r w:rsidRPr="00C51085">
        <w:rPr>
          <w:rFonts w:ascii="Times New Roman" w:hAnsi="Times New Roman"/>
        </w:rPr>
        <w:t xml:space="preserve"> </w:t>
      </w:r>
    </w:p>
    <w:p w14:paraId="33495984" w14:textId="77777777" w:rsidR="000A7626" w:rsidRPr="00C51085" w:rsidRDefault="000A7626">
      <w:pPr>
        <w:rPr>
          <w:rFonts w:ascii="Times New Roman" w:hAnsi="Times New Roman"/>
        </w:rPr>
      </w:pPr>
    </w:p>
    <w:p w14:paraId="70D84A82" w14:textId="59CC06DA" w:rsidR="00626F8E" w:rsidRPr="00C51085" w:rsidRDefault="00D65F12" w:rsidP="00C51085">
      <w:pPr>
        <w:ind w:left="720"/>
        <w:rPr>
          <w:rFonts w:ascii="Times New Roman" w:hAnsi="Times New Roman"/>
        </w:rPr>
      </w:pPr>
      <w:r w:rsidRPr="00C51085">
        <w:rPr>
          <w:rFonts w:ascii="Times New Roman" w:hAnsi="Times New Roman"/>
        </w:rPr>
        <w:t xml:space="preserve"> Regulatory Ass</w:t>
      </w:r>
      <w:r>
        <w:rPr>
          <w:rFonts w:ascii="Times New Roman" w:hAnsi="Times New Roman"/>
        </w:rPr>
        <w:t xml:space="preserve">ets and Liabilities are </w:t>
      </w:r>
      <w:r w:rsidR="008F5C7E" w:rsidRPr="00C51085">
        <w:rPr>
          <w:rFonts w:ascii="Times New Roman" w:hAnsi="Times New Roman"/>
        </w:rPr>
        <w:t xml:space="preserve">assets and liabilities that result from rate actions of regulatory agencies. Regulatory assets and liabilities arise from specific </w:t>
      </w:r>
      <w:r w:rsidR="00626F8E" w:rsidRPr="00C51085">
        <w:rPr>
          <w:rFonts w:ascii="Times New Roman" w:hAnsi="Times New Roman"/>
        </w:rPr>
        <w:t>revenues</w:t>
      </w:r>
      <w:r w:rsidR="008F5C7E" w:rsidRPr="00C51085">
        <w:rPr>
          <w:rFonts w:ascii="Times New Roman" w:hAnsi="Times New Roman"/>
        </w:rPr>
        <w:t>, expenses, gains or losses that would have been included in</w:t>
      </w:r>
      <w:r w:rsidR="00626F8E" w:rsidRPr="00C51085">
        <w:rPr>
          <w:rFonts w:ascii="Times New Roman" w:hAnsi="Times New Roman"/>
        </w:rPr>
        <w:t xml:space="preserve"> </w:t>
      </w:r>
      <w:r w:rsidR="008F5C7E" w:rsidRPr="00C51085">
        <w:rPr>
          <w:rFonts w:ascii="Times New Roman" w:hAnsi="Times New Roman"/>
        </w:rPr>
        <w:t>net income determinations in one period under the general requirements of the Uniform System of Accounts but for it being</w:t>
      </w:r>
      <w:r w:rsidR="00AF7585">
        <w:rPr>
          <w:rFonts w:ascii="Times New Roman" w:hAnsi="Times New Roman"/>
        </w:rPr>
        <w:t xml:space="preserve"> probable: </w:t>
      </w:r>
      <w:r w:rsidR="00626F8E" w:rsidRPr="00C51085">
        <w:rPr>
          <w:rFonts w:ascii="Times New Roman" w:hAnsi="Times New Roman"/>
        </w:rPr>
        <w:t>A. that such items will be included in a different period(s) for purposes of developing the rates the utility is authorized to charge for its utility services; or B. in the case of regulatory liabilities, that refunds to customers, not provided for in other accounts will be required.</w:t>
      </w:r>
    </w:p>
    <w:p w14:paraId="70D84A83" w14:textId="69ABF57E" w:rsidR="00626F8E" w:rsidRPr="00C51085" w:rsidRDefault="00626F8E">
      <w:pPr>
        <w:rPr>
          <w:rFonts w:ascii="Times New Roman" w:hAnsi="Times New Roman"/>
        </w:rPr>
      </w:pPr>
    </w:p>
    <w:p w14:paraId="70D84A84" w14:textId="3A6BBF14" w:rsidR="00657DEE" w:rsidRPr="00C51085" w:rsidRDefault="003F1737">
      <w:pPr>
        <w:rPr>
          <w:rFonts w:ascii="Times New Roman" w:hAnsi="Times New Roman"/>
        </w:rPr>
      </w:pPr>
      <w:r w:rsidRPr="00C51085">
        <w:rPr>
          <w:rFonts w:ascii="Times New Roman" w:hAnsi="Times New Roman"/>
        </w:rPr>
        <w:t xml:space="preserve">Companies must ask the </w:t>
      </w:r>
      <w:r w:rsidR="00025412">
        <w:rPr>
          <w:rFonts w:ascii="Times New Roman" w:hAnsi="Times New Roman"/>
        </w:rPr>
        <w:t>c</w:t>
      </w:r>
      <w:r w:rsidR="00C83806" w:rsidRPr="00C51085">
        <w:rPr>
          <w:rFonts w:ascii="Times New Roman" w:hAnsi="Times New Roman"/>
        </w:rPr>
        <w:t xml:space="preserve">ommission for permission for deferred accounting treatment of actual costs that </w:t>
      </w:r>
      <w:r w:rsidR="00626F8E" w:rsidRPr="00C51085">
        <w:rPr>
          <w:rFonts w:ascii="Times New Roman" w:hAnsi="Times New Roman"/>
        </w:rPr>
        <w:t xml:space="preserve">the company would like </w:t>
      </w:r>
      <w:r w:rsidR="00C83806" w:rsidRPr="00C51085">
        <w:rPr>
          <w:rFonts w:ascii="Times New Roman" w:hAnsi="Times New Roman"/>
        </w:rPr>
        <w:t xml:space="preserve">to recover in a future period. If a company is granted accounting treatment, it books the relevant expenses in a regulatory asset </w:t>
      </w:r>
      <w:r w:rsidR="004C359C">
        <w:rPr>
          <w:rFonts w:ascii="Times New Roman" w:hAnsi="Times New Roman"/>
        </w:rPr>
        <w:t xml:space="preserve">or </w:t>
      </w:r>
      <w:r w:rsidR="00E021ED">
        <w:rPr>
          <w:rFonts w:ascii="Times New Roman" w:hAnsi="Times New Roman"/>
        </w:rPr>
        <w:t xml:space="preserve">liability </w:t>
      </w:r>
      <w:r w:rsidR="00C83806" w:rsidRPr="00C51085">
        <w:rPr>
          <w:rFonts w:ascii="Times New Roman" w:hAnsi="Times New Roman"/>
        </w:rPr>
        <w:t>account.</w:t>
      </w:r>
    </w:p>
    <w:p w14:paraId="70D84A85" w14:textId="77777777" w:rsidR="003302F8" w:rsidRPr="00C51085" w:rsidRDefault="003302F8">
      <w:pPr>
        <w:rPr>
          <w:rFonts w:ascii="Times New Roman" w:hAnsi="Times New Roman"/>
        </w:rPr>
      </w:pPr>
    </w:p>
    <w:p w14:paraId="70D84A86" w14:textId="77777777" w:rsidR="003302F8" w:rsidRDefault="003302F8">
      <w:pPr>
        <w:rPr>
          <w:rFonts w:ascii="Times New Roman" w:hAnsi="Times New Roman"/>
          <w:b/>
          <w:bCs/>
        </w:rPr>
      </w:pPr>
      <w:r w:rsidRPr="00C51085">
        <w:rPr>
          <w:rFonts w:ascii="Times New Roman" w:hAnsi="Times New Roman"/>
        </w:rPr>
        <w:t xml:space="preserve">Furthermore, The Financial Accounting Standards Board states in the Accounting Standards Codification </w:t>
      </w:r>
      <w:r w:rsidRPr="004F4158">
        <w:rPr>
          <w:rFonts w:ascii="Times New Roman" w:hAnsi="Times New Roman"/>
          <w:bCs/>
        </w:rPr>
        <w:t>980-10-05-8:</w:t>
      </w:r>
      <w:r w:rsidRPr="00C51085">
        <w:rPr>
          <w:rFonts w:ascii="Times New Roman" w:hAnsi="Times New Roman"/>
          <w:b/>
          <w:bCs/>
        </w:rPr>
        <w:t>   </w:t>
      </w:r>
    </w:p>
    <w:p w14:paraId="70D84A87" w14:textId="77777777" w:rsidR="00E021ED" w:rsidRPr="00C51085" w:rsidRDefault="00E021ED">
      <w:pPr>
        <w:rPr>
          <w:rFonts w:ascii="Times New Roman" w:hAnsi="Times New Roman"/>
          <w:b/>
          <w:bCs/>
        </w:rPr>
      </w:pPr>
    </w:p>
    <w:p w14:paraId="70D84A88" w14:textId="341B62EA" w:rsidR="003302F8" w:rsidRPr="00C51085" w:rsidRDefault="003302F8" w:rsidP="000A7626">
      <w:pPr>
        <w:ind w:left="720"/>
        <w:rPr>
          <w:rFonts w:ascii="Times New Roman" w:hAnsi="Times New Roman"/>
        </w:rPr>
      </w:pPr>
      <w:r w:rsidRPr="00C51085">
        <w:rPr>
          <w:rStyle w:val="norm-text"/>
          <w:rFonts w:ascii="Times New Roman" w:hAnsi="Times New Roman"/>
        </w:rPr>
        <w:t xml:space="preserve">Unless an accounting order indicates the way a cost will be handled for rate-making purposes, it causes no economic effects that would justify deviation from the </w:t>
      </w:r>
      <w:r w:rsidR="001F41A0">
        <w:rPr>
          <w:rStyle w:val="norm-text"/>
          <w:rFonts w:ascii="Times New Roman" w:hAnsi="Times New Roman"/>
        </w:rPr>
        <w:t xml:space="preserve">generally accepted </w:t>
      </w:r>
      <w:r w:rsidR="009F4DE9">
        <w:rPr>
          <w:rStyle w:val="norm-text"/>
          <w:rFonts w:ascii="Times New Roman" w:hAnsi="Times New Roman"/>
        </w:rPr>
        <w:t>a</w:t>
      </w:r>
      <w:r w:rsidR="001F41A0">
        <w:rPr>
          <w:rStyle w:val="norm-text"/>
          <w:rFonts w:ascii="Times New Roman" w:hAnsi="Times New Roman"/>
        </w:rPr>
        <w:t>ccounting principles (</w:t>
      </w:r>
      <w:r w:rsidRPr="00C51085">
        <w:rPr>
          <w:rStyle w:val="norm-text"/>
          <w:rFonts w:ascii="Times New Roman" w:hAnsi="Times New Roman"/>
        </w:rPr>
        <w:t>GAAP</w:t>
      </w:r>
      <w:r w:rsidR="001F41A0">
        <w:rPr>
          <w:rStyle w:val="norm-text"/>
          <w:rFonts w:ascii="Times New Roman" w:hAnsi="Times New Roman"/>
        </w:rPr>
        <w:t>)</w:t>
      </w:r>
      <w:r w:rsidRPr="00C51085">
        <w:rPr>
          <w:rStyle w:val="norm-text"/>
          <w:rFonts w:ascii="Times New Roman" w:hAnsi="Times New Roman"/>
        </w:rPr>
        <w:t xml:space="preserve"> applicable to business entities in general. The mere issuance of an accounting order not tied to rate treatment does not change an entity's economic resources or obligations. In other words, the economic effect of regulatory decisions—not the mere existence of regulation—is the pervasive factor that determines the application of GAAP.</w:t>
      </w:r>
    </w:p>
    <w:p w14:paraId="70D84A89" w14:textId="77777777" w:rsidR="00C83806" w:rsidRPr="00C51085" w:rsidRDefault="00C83806">
      <w:pPr>
        <w:rPr>
          <w:rFonts w:ascii="Times New Roman" w:hAnsi="Times New Roman"/>
        </w:rPr>
      </w:pPr>
    </w:p>
    <w:p w14:paraId="70D84A8A" w14:textId="0849FD3E" w:rsidR="003302F8" w:rsidRPr="00C51085" w:rsidRDefault="003302F8">
      <w:pPr>
        <w:rPr>
          <w:rFonts w:ascii="Times New Roman" w:hAnsi="Times New Roman"/>
        </w:rPr>
      </w:pPr>
      <w:r w:rsidRPr="00C51085">
        <w:rPr>
          <w:rFonts w:ascii="Times New Roman" w:hAnsi="Times New Roman"/>
        </w:rPr>
        <w:t xml:space="preserve">Staff </w:t>
      </w:r>
      <w:r w:rsidR="0085696D" w:rsidRPr="00C51085">
        <w:rPr>
          <w:rFonts w:ascii="Times New Roman" w:hAnsi="Times New Roman"/>
        </w:rPr>
        <w:t>interprets</w:t>
      </w:r>
      <w:r w:rsidRPr="00C51085">
        <w:rPr>
          <w:rFonts w:ascii="Times New Roman" w:hAnsi="Times New Roman"/>
        </w:rPr>
        <w:t xml:space="preserve"> this to mean that without </w:t>
      </w:r>
      <w:r w:rsidR="0085696D" w:rsidRPr="00C51085">
        <w:rPr>
          <w:rFonts w:ascii="Times New Roman" w:hAnsi="Times New Roman"/>
        </w:rPr>
        <w:t>a</w:t>
      </w:r>
      <w:r w:rsidRPr="00C51085">
        <w:rPr>
          <w:rFonts w:ascii="Times New Roman" w:hAnsi="Times New Roman"/>
        </w:rPr>
        <w:t xml:space="preserve"> </w:t>
      </w:r>
      <w:r w:rsidR="00C61E42">
        <w:rPr>
          <w:rFonts w:ascii="Times New Roman" w:hAnsi="Times New Roman"/>
        </w:rPr>
        <w:t>c</w:t>
      </w:r>
      <w:r w:rsidRPr="00C51085">
        <w:rPr>
          <w:rFonts w:ascii="Times New Roman" w:hAnsi="Times New Roman"/>
        </w:rPr>
        <w:t>ommission statement of how the deferred cost will be recovered in rates</w:t>
      </w:r>
      <w:r w:rsidR="0085696D" w:rsidRPr="00C51085">
        <w:rPr>
          <w:rFonts w:ascii="Times New Roman" w:hAnsi="Times New Roman"/>
        </w:rPr>
        <w:t>, the utility must continue to adhere to the standard method of expensing a cost in the period of occurrence.</w:t>
      </w:r>
    </w:p>
    <w:p w14:paraId="70D84A8B" w14:textId="77777777" w:rsidR="0085696D" w:rsidRPr="00C51085" w:rsidRDefault="0085696D">
      <w:pPr>
        <w:rPr>
          <w:rFonts w:ascii="Times New Roman" w:hAnsi="Times New Roman"/>
        </w:rPr>
      </w:pPr>
    </w:p>
    <w:p w14:paraId="70D84A8C" w14:textId="1984D8D7" w:rsidR="003302F8" w:rsidRPr="00C51085" w:rsidRDefault="00C83806">
      <w:pPr>
        <w:rPr>
          <w:rFonts w:ascii="Times New Roman" w:hAnsi="Times New Roman"/>
        </w:rPr>
      </w:pPr>
      <w:r w:rsidRPr="00C51085">
        <w:rPr>
          <w:rFonts w:ascii="Times New Roman" w:hAnsi="Times New Roman"/>
        </w:rPr>
        <w:t>A</w:t>
      </w:r>
      <w:r w:rsidR="00C53E92" w:rsidRPr="00C51085">
        <w:rPr>
          <w:rFonts w:ascii="Times New Roman" w:hAnsi="Times New Roman"/>
        </w:rPr>
        <w:t>uthority</w:t>
      </w:r>
      <w:r w:rsidR="001A75DA" w:rsidRPr="00C51085">
        <w:rPr>
          <w:rFonts w:ascii="Times New Roman" w:hAnsi="Times New Roman"/>
        </w:rPr>
        <w:t xml:space="preserve"> to defer operating expenses</w:t>
      </w:r>
      <w:r w:rsidRPr="00C51085">
        <w:rPr>
          <w:rFonts w:ascii="Times New Roman" w:hAnsi="Times New Roman"/>
        </w:rPr>
        <w:t xml:space="preserve"> should be </w:t>
      </w:r>
      <w:r w:rsidR="00C53E92" w:rsidRPr="00C51085">
        <w:rPr>
          <w:rFonts w:ascii="Times New Roman" w:hAnsi="Times New Roman"/>
        </w:rPr>
        <w:t xml:space="preserve">granted </w:t>
      </w:r>
      <w:r w:rsidRPr="00C51085">
        <w:rPr>
          <w:rFonts w:ascii="Times New Roman" w:hAnsi="Times New Roman"/>
        </w:rPr>
        <w:t>only under specific circumstances</w:t>
      </w:r>
      <w:r w:rsidR="00C53E92" w:rsidRPr="00C51085">
        <w:rPr>
          <w:rFonts w:ascii="Times New Roman" w:hAnsi="Times New Roman"/>
        </w:rPr>
        <w:t xml:space="preserve"> and be material in financial impact</w:t>
      </w:r>
      <w:r w:rsidRPr="00C51085">
        <w:rPr>
          <w:rFonts w:ascii="Times New Roman" w:hAnsi="Times New Roman"/>
        </w:rPr>
        <w:t xml:space="preserve">. </w:t>
      </w:r>
      <w:r w:rsidR="001A75DA" w:rsidRPr="00C51085">
        <w:rPr>
          <w:rFonts w:ascii="Times New Roman" w:hAnsi="Times New Roman"/>
        </w:rPr>
        <w:t xml:space="preserve">This includes </w:t>
      </w:r>
      <w:r w:rsidR="00C53E92" w:rsidRPr="00C51085">
        <w:rPr>
          <w:rFonts w:ascii="Times New Roman" w:hAnsi="Times New Roman"/>
        </w:rPr>
        <w:t xml:space="preserve">expenses of a limited time </w:t>
      </w:r>
      <w:r w:rsidR="001A75DA" w:rsidRPr="00C51085">
        <w:rPr>
          <w:rFonts w:ascii="Times New Roman" w:hAnsi="Times New Roman"/>
        </w:rPr>
        <w:t xml:space="preserve">that </w:t>
      </w:r>
      <w:r w:rsidR="00C53E92" w:rsidRPr="00C51085">
        <w:rPr>
          <w:rFonts w:ascii="Times New Roman" w:hAnsi="Times New Roman"/>
        </w:rPr>
        <w:t>will benefit customer over longer periods of time</w:t>
      </w:r>
      <w:r w:rsidRPr="00C51085">
        <w:rPr>
          <w:rFonts w:ascii="Times New Roman" w:hAnsi="Times New Roman"/>
        </w:rPr>
        <w:t>, unexpected</w:t>
      </w:r>
      <w:r w:rsidR="00C53E92" w:rsidRPr="00C51085">
        <w:rPr>
          <w:rFonts w:ascii="Times New Roman" w:hAnsi="Times New Roman"/>
        </w:rPr>
        <w:t xml:space="preserve"> costs outside of the utilities control</w:t>
      </w:r>
      <w:r w:rsidRPr="00C51085">
        <w:rPr>
          <w:rFonts w:ascii="Times New Roman" w:hAnsi="Times New Roman"/>
        </w:rPr>
        <w:t xml:space="preserve">, or government required, </w:t>
      </w:r>
      <w:r w:rsidR="00C53E92" w:rsidRPr="00C51085">
        <w:rPr>
          <w:rFonts w:ascii="Times New Roman" w:hAnsi="Times New Roman"/>
        </w:rPr>
        <w:t xml:space="preserve">but </w:t>
      </w:r>
      <w:r w:rsidRPr="00C51085">
        <w:rPr>
          <w:rFonts w:ascii="Times New Roman" w:hAnsi="Times New Roman"/>
        </w:rPr>
        <w:t xml:space="preserve">significant </w:t>
      </w:r>
      <w:r w:rsidR="00C53E92" w:rsidRPr="00C51085">
        <w:rPr>
          <w:rFonts w:ascii="Times New Roman" w:hAnsi="Times New Roman"/>
        </w:rPr>
        <w:t>expense</w:t>
      </w:r>
      <w:r w:rsidRPr="00C51085">
        <w:rPr>
          <w:rFonts w:ascii="Times New Roman" w:hAnsi="Times New Roman"/>
        </w:rPr>
        <w:t xml:space="preserve">. </w:t>
      </w:r>
      <w:r w:rsidR="00C53E92" w:rsidRPr="00C51085">
        <w:rPr>
          <w:rFonts w:ascii="Times New Roman" w:hAnsi="Times New Roman"/>
        </w:rPr>
        <w:t xml:space="preserve">An unexpected expense is not sufficient reason to receive deferred treatment. Evidence must be presented that without </w:t>
      </w:r>
      <w:r w:rsidR="00C61E42">
        <w:rPr>
          <w:rFonts w:ascii="Times New Roman" w:hAnsi="Times New Roman"/>
        </w:rPr>
        <w:t>c</w:t>
      </w:r>
      <w:r w:rsidR="00C53E92" w:rsidRPr="00C51085">
        <w:rPr>
          <w:rFonts w:ascii="Times New Roman" w:hAnsi="Times New Roman"/>
        </w:rPr>
        <w:t xml:space="preserve">ommission authority to defer the cost irreparable financial harm will come to the utility. </w:t>
      </w:r>
    </w:p>
    <w:p w14:paraId="70D84A8D" w14:textId="77777777" w:rsidR="003302F8" w:rsidRPr="00C51085" w:rsidRDefault="003302F8">
      <w:pPr>
        <w:rPr>
          <w:rFonts w:ascii="Times New Roman" w:hAnsi="Times New Roman"/>
        </w:rPr>
      </w:pPr>
    </w:p>
    <w:p w14:paraId="70D84A8E" w14:textId="5B27D55F" w:rsidR="009F44E7" w:rsidRPr="00C51085" w:rsidRDefault="0085696D">
      <w:pPr>
        <w:rPr>
          <w:rFonts w:ascii="Times New Roman" w:hAnsi="Times New Roman"/>
        </w:rPr>
      </w:pPr>
      <w:r w:rsidRPr="00C51085">
        <w:rPr>
          <w:rFonts w:ascii="Times New Roman" w:hAnsi="Times New Roman"/>
        </w:rPr>
        <w:t>Avista requests the deferral of d</w:t>
      </w:r>
      <w:r w:rsidR="001A75DA" w:rsidRPr="00C51085">
        <w:rPr>
          <w:rFonts w:ascii="Times New Roman" w:hAnsi="Times New Roman"/>
        </w:rPr>
        <w:t>epreciation expense</w:t>
      </w:r>
      <w:r w:rsidR="00347E4C" w:rsidRPr="00C51085">
        <w:rPr>
          <w:rFonts w:ascii="Times New Roman" w:hAnsi="Times New Roman"/>
        </w:rPr>
        <w:t>, property tax</w:t>
      </w:r>
      <w:r w:rsidRPr="00C51085">
        <w:rPr>
          <w:rFonts w:ascii="Times New Roman" w:hAnsi="Times New Roman"/>
        </w:rPr>
        <w:t>es,</w:t>
      </w:r>
      <w:r w:rsidR="00B971D3" w:rsidRPr="00C51085">
        <w:rPr>
          <w:rFonts w:ascii="Times New Roman" w:hAnsi="Times New Roman"/>
        </w:rPr>
        <w:t xml:space="preserve"> and </w:t>
      </w:r>
      <w:r w:rsidR="009F44E7" w:rsidRPr="00C51085">
        <w:rPr>
          <w:rFonts w:ascii="Times New Roman" w:hAnsi="Times New Roman"/>
        </w:rPr>
        <w:t>the return on its AMI inve</w:t>
      </w:r>
      <w:r w:rsidR="00C854DE">
        <w:rPr>
          <w:rFonts w:ascii="Times New Roman" w:hAnsi="Times New Roman"/>
        </w:rPr>
        <w:t>stment as it goes into service.</w:t>
      </w:r>
      <w:r w:rsidR="009F44E7" w:rsidRPr="00C51085">
        <w:rPr>
          <w:rFonts w:ascii="Times New Roman" w:hAnsi="Times New Roman"/>
        </w:rPr>
        <w:t xml:space="preserve"> In other words, </w:t>
      </w:r>
      <w:r w:rsidR="00D273EF">
        <w:rPr>
          <w:rFonts w:ascii="Times New Roman" w:hAnsi="Times New Roman"/>
        </w:rPr>
        <w:t xml:space="preserve">when these elements are summed, Avista is requesting </w:t>
      </w:r>
      <w:r w:rsidR="009F44E7" w:rsidRPr="00C51085">
        <w:rPr>
          <w:rFonts w:ascii="Times New Roman" w:hAnsi="Times New Roman"/>
        </w:rPr>
        <w:t xml:space="preserve">recovery of the full </w:t>
      </w:r>
      <w:r w:rsidR="00B971D3" w:rsidRPr="00C51085">
        <w:rPr>
          <w:rFonts w:ascii="Times New Roman" w:hAnsi="Times New Roman"/>
        </w:rPr>
        <w:t xml:space="preserve">revenue requirement </w:t>
      </w:r>
      <w:r w:rsidR="00C61E42">
        <w:rPr>
          <w:rFonts w:ascii="Times New Roman" w:hAnsi="Times New Roman"/>
        </w:rPr>
        <w:t>of the AMI system costs</w:t>
      </w:r>
      <w:r w:rsidR="000E198D">
        <w:rPr>
          <w:rFonts w:ascii="Times New Roman" w:hAnsi="Times New Roman"/>
        </w:rPr>
        <w:t>, not just expenses which are typically the only category of costs that are captured in an accounting deferral</w:t>
      </w:r>
      <w:r w:rsidR="00C61E42">
        <w:rPr>
          <w:rFonts w:ascii="Times New Roman" w:hAnsi="Times New Roman"/>
        </w:rPr>
        <w:t xml:space="preserve">. </w:t>
      </w:r>
      <w:r w:rsidR="001A75DA" w:rsidRPr="00C51085">
        <w:rPr>
          <w:rFonts w:ascii="Times New Roman" w:hAnsi="Times New Roman"/>
        </w:rPr>
        <w:lastRenderedPageBreak/>
        <w:t xml:space="preserve">Moreover, </w:t>
      </w:r>
      <w:r w:rsidR="003302F8" w:rsidRPr="00C51085">
        <w:rPr>
          <w:rFonts w:ascii="Times New Roman" w:hAnsi="Times New Roman"/>
        </w:rPr>
        <w:t xml:space="preserve">capitalizing the purchase of long-term assets and the consequent </w:t>
      </w:r>
      <w:r w:rsidR="00B971D3" w:rsidRPr="00C51085">
        <w:rPr>
          <w:rFonts w:ascii="Times New Roman" w:hAnsi="Times New Roman"/>
        </w:rPr>
        <w:t xml:space="preserve">depreciation expense by its very nature is a natural form of </w:t>
      </w:r>
      <w:r w:rsidR="003302F8" w:rsidRPr="00C51085">
        <w:rPr>
          <w:rFonts w:ascii="Times New Roman" w:hAnsi="Times New Roman"/>
        </w:rPr>
        <w:t xml:space="preserve">deferred accounting </w:t>
      </w:r>
      <w:r w:rsidR="00B971D3" w:rsidRPr="00C51085">
        <w:rPr>
          <w:rFonts w:ascii="Times New Roman" w:hAnsi="Times New Roman"/>
        </w:rPr>
        <w:t xml:space="preserve">as the </w:t>
      </w:r>
      <w:r w:rsidR="00C854DE">
        <w:rPr>
          <w:rFonts w:ascii="Times New Roman" w:hAnsi="Times New Roman"/>
        </w:rPr>
        <w:t>c</w:t>
      </w:r>
      <w:r w:rsidR="00B971D3" w:rsidRPr="00C51085">
        <w:rPr>
          <w:rFonts w:ascii="Times New Roman" w:hAnsi="Times New Roman"/>
        </w:rPr>
        <w:t xml:space="preserve">ompany expenses its </w:t>
      </w:r>
      <w:r w:rsidR="008F44D1" w:rsidRPr="00C51085">
        <w:rPr>
          <w:rFonts w:ascii="Times New Roman" w:hAnsi="Times New Roman"/>
        </w:rPr>
        <w:t xml:space="preserve">upfront </w:t>
      </w:r>
      <w:r w:rsidR="00B971D3" w:rsidRPr="00C51085">
        <w:rPr>
          <w:rFonts w:ascii="Times New Roman" w:hAnsi="Times New Roman"/>
        </w:rPr>
        <w:t xml:space="preserve">investment over </w:t>
      </w:r>
      <w:r w:rsidR="008F44D1" w:rsidRPr="00C51085">
        <w:rPr>
          <w:rFonts w:ascii="Times New Roman" w:hAnsi="Times New Roman"/>
        </w:rPr>
        <w:t>the investment’s</w:t>
      </w:r>
      <w:r w:rsidR="00B971D3" w:rsidRPr="00C51085">
        <w:rPr>
          <w:rFonts w:ascii="Times New Roman" w:hAnsi="Times New Roman"/>
        </w:rPr>
        <w:t xml:space="preserve"> economic life. </w:t>
      </w:r>
    </w:p>
    <w:p w14:paraId="70D84A8F" w14:textId="77777777" w:rsidR="009F44E7" w:rsidRPr="00C51085" w:rsidRDefault="009F44E7">
      <w:pPr>
        <w:rPr>
          <w:rFonts w:ascii="Times New Roman" w:hAnsi="Times New Roman"/>
        </w:rPr>
      </w:pPr>
    </w:p>
    <w:p w14:paraId="70D84A90" w14:textId="532E3CC1" w:rsidR="00B971D3" w:rsidRDefault="008F44D1">
      <w:pPr>
        <w:rPr>
          <w:rFonts w:ascii="Times New Roman" w:hAnsi="Times New Roman"/>
        </w:rPr>
      </w:pPr>
      <w:r w:rsidRPr="00C51085">
        <w:rPr>
          <w:rFonts w:ascii="Times New Roman" w:hAnsi="Times New Roman"/>
        </w:rPr>
        <w:t>Avista is</w:t>
      </w:r>
      <w:r w:rsidR="00D15872" w:rsidRPr="00C51085">
        <w:rPr>
          <w:rFonts w:ascii="Times New Roman" w:hAnsi="Times New Roman"/>
        </w:rPr>
        <w:t xml:space="preserve"> essentially</w:t>
      </w:r>
      <w:r w:rsidRPr="00C51085">
        <w:rPr>
          <w:rFonts w:ascii="Times New Roman" w:hAnsi="Times New Roman"/>
        </w:rPr>
        <w:t xml:space="preserve"> asking the </w:t>
      </w:r>
      <w:r w:rsidR="00C854DE">
        <w:rPr>
          <w:rFonts w:ascii="Times New Roman" w:hAnsi="Times New Roman"/>
        </w:rPr>
        <w:t>c</w:t>
      </w:r>
      <w:r w:rsidRPr="00C51085">
        <w:rPr>
          <w:rFonts w:ascii="Times New Roman" w:hAnsi="Times New Roman"/>
        </w:rPr>
        <w:t xml:space="preserve">ommission to </w:t>
      </w:r>
      <w:r w:rsidR="00D15872" w:rsidRPr="00C51085">
        <w:rPr>
          <w:rFonts w:ascii="Times New Roman" w:hAnsi="Times New Roman"/>
        </w:rPr>
        <w:t>allow</w:t>
      </w:r>
      <w:r w:rsidRPr="00C51085">
        <w:rPr>
          <w:rFonts w:ascii="Times New Roman" w:hAnsi="Times New Roman"/>
        </w:rPr>
        <w:t xml:space="preserve"> it to defer </w:t>
      </w:r>
      <w:r w:rsidR="009F44E7" w:rsidRPr="00C51085">
        <w:rPr>
          <w:rFonts w:ascii="Times New Roman" w:hAnsi="Times New Roman"/>
        </w:rPr>
        <w:t xml:space="preserve">for </w:t>
      </w:r>
      <w:r w:rsidR="00D15872" w:rsidRPr="00C51085">
        <w:rPr>
          <w:rFonts w:ascii="Times New Roman" w:hAnsi="Times New Roman"/>
        </w:rPr>
        <w:t xml:space="preserve">recovery </w:t>
      </w:r>
      <w:r w:rsidR="009F44E7" w:rsidRPr="00C51085">
        <w:rPr>
          <w:rFonts w:ascii="Times New Roman" w:hAnsi="Times New Roman"/>
        </w:rPr>
        <w:t xml:space="preserve">in the future the full return of and return on </w:t>
      </w:r>
      <w:r w:rsidR="00D15872" w:rsidRPr="00C51085">
        <w:rPr>
          <w:rFonts w:ascii="Times New Roman" w:hAnsi="Times New Roman"/>
        </w:rPr>
        <w:t>its AMI investment</w:t>
      </w:r>
      <w:r w:rsidR="009F44E7" w:rsidRPr="00C51085">
        <w:rPr>
          <w:rFonts w:ascii="Times New Roman" w:hAnsi="Times New Roman"/>
        </w:rPr>
        <w:t xml:space="preserve"> plus its operating costs</w:t>
      </w:r>
      <w:r w:rsidR="00E60BC9" w:rsidRPr="00C51085">
        <w:rPr>
          <w:rFonts w:ascii="Times New Roman" w:hAnsi="Times New Roman"/>
        </w:rPr>
        <w:t xml:space="preserve">. </w:t>
      </w:r>
      <w:r w:rsidRPr="00C51085">
        <w:rPr>
          <w:rFonts w:ascii="Times New Roman" w:hAnsi="Times New Roman"/>
        </w:rPr>
        <w:t xml:space="preserve">This alone should give a reason for </w:t>
      </w:r>
      <w:r w:rsidR="00CC0C35" w:rsidRPr="00C51085">
        <w:rPr>
          <w:rFonts w:ascii="Times New Roman" w:hAnsi="Times New Roman"/>
        </w:rPr>
        <w:t>pause</w:t>
      </w:r>
      <w:r w:rsidRPr="00C51085">
        <w:rPr>
          <w:rFonts w:ascii="Times New Roman" w:hAnsi="Times New Roman"/>
        </w:rPr>
        <w:t>.</w:t>
      </w:r>
      <w:r w:rsidR="00DC474B" w:rsidRPr="00C51085">
        <w:rPr>
          <w:rFonts w:ascii="Times New Roman" w:hAnsi="Times New Roman"/>
        </w:rPr>
        <w:t xml:space="preserve"> </w:t>
      </w:r>
      <w:r w:rsidR="004C359C">
        <w:rPr>
          <w:rFonts w:ascii="Times New Roman" w:hAnsi="Times New Roman"/>
        </w:rPr>
        <w:t>It also</w:t>
      </w:r>
      <w:r w:rsidR="004C359C" w:rsidRPr="00C51085">
        <w:rPr>
          <w:rFonts w:ascii="Times New Roman" w:hAnsi="Times New Roman"/>
        </w:rPr>
        <w:t xml:space="preserve"> </w:t>
      </w:r>
      <w:r w:rsidR="00DC474B" w:rsidRPr="00C51085">
        <w:rPr>
          <w:rFonts w:ascii="Times New Roman" w:hAnsi="Times New Roman"/>
        </w:rPr>
        <w:t xml:space="preserve">does not meet the above specific circumstances to qualify to be deferred. These costs are expected and will grow over the course of several years. Avista has sufficient time to plan the timing of recovery without the need for deferred accounting. Yes, there is a lag between the in-service date of the investment and its inclusion in rates, but that is a natural fact of a regulated utility. There are other tools available to reduce regulatory lag, but it should not be eliminated through Avista’s </w:t>
      </w:r>
      <w:r w:rsidR="004C359C" w:rsidRPr="00C51085">
        <w:rPr>
          <w:rFonts w:ascii="Times New Roman" w:hAnsi="Times New Roman"/>
        </w:rPr>
        <w:t>deferr</w:t>
      </w:r>
      <w:r w:rsidR="004C359C">
        <w:rPr>
          <w:rFonts w:ascii="Times New Roman" w:hAnsi="Times New Roman"/>
        </w:rPr>
        <w:t>al of revenue requirement</w:t>
      </w:r>
      <w:r w:rsidR="00DC474B" w:rsidRPr="00C51085">
        <w:rPr>
          <w:rFonts w:ascii="Times New Roman" w:hAnsi="Times New Roman"/>
        </w:rPr>
        <w:t xml:space="preserve"> approach.</w:t>
      </w:r>
    </w:p>
    <w:p w14:paraId="258D4A8F" w14:textId="77777777" w:rsidR="009F4DE9" w:rsidRPr="00C51085" w:rsidRDefault="009F4DE9">
      <w:pPr>
        <w:rPr>
          <w:rFonts w:ascii="Times New Roman" w:hAnsi="Times New Roman"/>
        </w:rPr>
      </w:pPr>
    </w:p>
    <w:p w14:paraId="70D84A93" w14:textId="2FDD9194" w:rsidR="001A75DA" w:rsidRDefault="002757C1">
      <w:pPr>
        <w:rPr>
          <w:rFonts w:ascii="Times New Roman" w:hAnsi="Times New Roman"/>
        </w:rPr>
      </w:pPr>
      <w:r w:rsidRPr="00C51085">
        <w:rPr>
          <w:rFonts w:ascii="Times New Roman" w:hAnsi="Times New Roman"/>
        </w:rPr>
        <w:t xml:space="preserve">The </w:t>
      </w:r>
      <w:r w:rsidR="009F4DE9">
        <w:rPr>
          <w:rFonts w:ascii="Times New Roman" w:hAnsi="Times New Roman"/>
        </w:rPr>
        <w:t>c</w:t>
      </w:r>
      <w:r w:rsidR="003837D4" w:rsidRPr="00C51085">
        <w:rPr>
          <w:rFonts w:ascii="Times New Roman" w:hAnsi="Times New Roman"/>
        </w:rPr>
        <w:t xml:space="preserve">ommission already stated its preference with regard to Avista’s investment in AMI. </w:t>
      </w:r>
      <w:r w:rsidRPr="00C51085">
        <w:rPr>
          <w:rFonts w:ascii="Times New Roman" w:hAnsi="Times New Roman"/>
        </w:rPr>
        <w:t xml:space="preserve">First in </w:t>
      </w:r>
      <w:r w:rsidR="00C854DE">
        <w:rPr>
          <w:rFonts w:ascii="Times New Roman" w:hAnsi="Times New Roman"/>
        </w:rPr>
        <w:t>D</w:t>
      </w:r>
      <w:r w:rsidRPr="00C51085">
        <w:rPr>
          <w:rFonts w:ascii="Times New Roman" w:hAnsi="Times New Roman"/>
        </w:rPr>
        <w:t>ocket</w:t>
      </w:r>
      <w:r w:rsidR="00BA0B94">
        <w:rPr>
          <w:rFonts w:ascii="Times New Roman" w:hAnsi="Times New Roman"/>
        </w:rPr>
        <w:t>s</w:t>
      </w:r>
      <w:r w:rsidR="001A75DA" w:rsidRPr="00C51085">
        <w:rPr>
          <w:rFonts w:ascii="Times New Roman" w:hAnsi="Times New Roman"/>
        </w:rPr>
        <w:t xml:space="preserve"> </w:t>
      </w:r>
      <w:r w:rsidRPr="00C51085">
        <w:rPr>
          <w:rFonts w:ascii="Times New Roman" w:hAnsi="Times New Roman"/>
        </w:rPr>
        <w:t>UE-150204</w:t>
      </w:r>
      <w:r w:rsidR="00BA0B94">
        <w:rPr>
          <w:rFonts w:ascii="Times New Roman" w:hAnsi="Times New Roman"/>
        </w:rPr>
        <w:t>/</w:t>
      </w:r>
      <w:r w:rsidRPr="00C51085">
        <w:rPr>
          <w:rFonts w:ascii="Times New Roman" w:hAnsi="Times New Roman"/>
        </w:rPr>
        <w:t>UG-150205,</w:t>
      </w:r>
      <w:r w:rsidR="001A75DA" w:rsidRPr="00C51085">
        <w:rPr>
          <w:rFonts w:ascii="Times New Roman" w:hAnsi="Times New Roman"/>
        </w:rPr>
        <w:t xml:space="preserve"> Order</w:t>
      </w:r>
      <w:r w:rsidRPr="00C51085">
        <w:rPr>
          <w:rFonts w:ascii="Times New Roman" w:hAnsi="Times New Roman"/>
        </w:rPr>
        <w:t xml:space="preserve"> 05:</w:t>
      </w:r>
    </w:p>
    <w:p w14:paraId="422B4932" w14:textId="77777777" w:rsidR="00B62814" w:rsidRPr="00C51085" w:rsidRDefault="00B62814">
      <w:pPr>
        <w:rPr>
          <w:rFonts w:ascii="Times New Roman" w:hAnsi="Times New Roman"/>
        </w:rPr>
      </w:pPr>
    </w:p>
    <w:p w14:paraId="70D84A94" w14:textId="77777777" w:rsidR="002757C1" w:rsidRPr="00C51085" w:rsidRDefault="00AE3A15" w:rsidP="00293DC1">
      <w:pPr>
        <w:ind w:left="720"/>
        <w:rPr>
          <w:rFonts w:ascii="Times New Roman" w:hAnsi="Times New Roman"/>
        </w:rPr>
      </w:pPr>
      <w:r w:rsidRPr="00C51085">
        <w:rPr>
          <w:rFonts w:ascii="Times New Roman" w:hAnsi="Times New Roman"/>
        </w:rPr>
        <w:t xml:space="preserve">“We decline to rule on the prudency of Avista’s proposed advanced metering infrastructure in this case because the issue is not ripe for Commission determination. Should the Company choose to do so, it may file an accounting petition requesting deferred accounting treatment of </w:t>
      </w:r>
      <w:r w:rsidRPr="00C51085">
        <w:rPr>
          <w:rFonts w:ascii="Times New Roman" w:hAnsi="Times New Roman"/>
          <w:u w:val="single"/>
        </w:rPr>
        <w:t>metering costs</w:t>
      </w:r>
      <w:r w:rsidRPr="00C51085">
        <w:rPr>
          <w:rFonts w:ascii="Times New Roman" w:hAnsi="Times New Roman"/>
        </w:rPr>
        <w:t>” [emphases added].</w:t>
      </w:r>
      <w:r w:rsidRPr="00C51085">
        <w:rPr>
          <w:rStyle w:val="FootnoteReference"/>
          <w:rFonts w:ascii="Times New Roman" w:hAnsi="Times New Roman"/>
        </w:rPr>
        <w:footnoteReference w:id="1"/>
      </w:r>
      <w:r w:rsidR="00274010" w:rsidRPr="00C51085">
        <w:rPr>
          <w:rFonts w:ascii="Times New Roman" w:hAnsi="Times New Roman"/>
        </w:rPr>
        <w:t xml:space="preserve"> </w:t>
      </w:r>
    </w:p>
    <w:p w14:paraId="70D84A95" w14:textId="77777777" w:rsidR="004F68BD" w:rsidRPr="00C51085" w:rsidRDefault="004F68BD" w:rsidP="00293DC1">
      <w:pPr>
        <w:ind w:left="720"/>
        <w:rPr>
          <w:rFonts w:ascii="Times New Roman" w:hAnsi="Times New Roman"/>
        </w:rPr>
      </w:pPr>
    </w:p>
    <w:p w14:paraId="70D84A96" w14:textId="47AEE50A" w:rsidR="004F68BD" w:rsidRPr="00C51085" w:rsidRDefault="004F68BD" w:rsidP="00293DC1">
      <w:pPr>
        <w:ind w:left="720"/>
        <w:rPr>
          <w:rFonts w:ascii="Times New Roman" w:hAnsi="Times New Roman"/>
        </w:rPr>
      </w:pPr>
      <w:r w:rsidRPr="00C51085">
        <w:rPr>
          <w:rFonts w:ascii="Times New Roman" w:hAnsi="Times New Roman"/>
        </w:rPr>
        <w:t>“The Commission’s longstanding practice is to review the prudence of a utility’s investment in plant after that plant is placed in service and is used and useful</w:t>
      </w:r>
      <w:r w:rsidR="009F4DE9">
        <w:rPr>
          <w:rFonts w:ascii="Times New Roman" w:hAnsi="Times New Roman"/>
        </w:rPr>
        <w:t>.</w:t>
      </w:r>
      <w:r w:rsidRPr="00C51085">
        <w:rPr>
          <w:rFonts w:ascii="Times New Roman" w:hAnsi="Times New Roman"/>
        </w:rPr>
        <w:t>”</w:t>
      </w:r>
      <w:r w:rsidRPr="00C51085">
        <w:rPr>
          <w:rStyle w:val="FootnoteReference"/>
          <w:rFonts w:ascii="Times New Roman" w:hAnsi="Times New Roman"/>
        </w:rPr>
        <w:footnoteReference w:id="2"/>
      </w:r>
    </w:p>
    <w:p w14:paraId="70D84A97" w14:textId="77777777" w:rsidR="004F68BD" w:rsidRPr="00C51085" w:rsidRDefault="004F68BD" w:rsidP="00293DC1">
      <w:pPr>
        <w:ind w:left="720"/>
        <w:rPr>
          <w:rFonts w:ascii="Times New Roman" w:hAnsi="Times New Roman"/>
        </w:rPr>
      </w:pPr>
    </w:p>
    <w:p w14:paraId="70D84A98" w14:textId="77777777" w:rsidR="002757C1" w:rsidRPr="00C51085" w:rsidRDefault="002757C1">
      <w:pPr>
        <w:rPr>
          <w:rFonts w:ascii="Times New Roman" w:hAnsi="Times New Roman"/>
        </w:rPr>
      </w:pPr>
    </w:p>
    <w:p w14:paraId="70D84A99" w14:textId="6226AFF5" w:rsidR="001A75DA" w:rsidRPr="00C51085" w:rsidRDefault="00293DC1">
      <w:pPr>
        <w:rPr>
          <w:rFonts w:ascii="Times New Roman" w:hAnsi="Times New Roman"/>
        </w:rPr>
      </w:pPr>
      <w:r w:rsidRPr="00C51085">
        <w:rPr>
          <w:rFonts w:ascii="Times New Roman" w:hAnsi="Times New Roman"/>
        </w:rPr>
        <w:t>Again</w:t>
      </w:r>
      <w:r w:rsidR="000628DA" w:rsidRPr="00C51085">
        <w:rPr>
          <w:rFonts w:ascii="Times New Roman" w:hAnsi="Times New Roman"/>
        </w:rPr>
        <w:t xml:space="preserve"> the </w:t>
      </w:r>
      <w:r w:rsidR="00C854DE">
        <w:rPr>
          <w:rFonts w:ascii="Times New Roman" w:hAnsi="Times New Roman"/>
        </w:rPr>
        <w:t>c</w:t>
      </w:r>
      <w:r w:rsidR="000628DA" w:rsidRPr="00C51085">
        <w:rPr>
          <w:rFonts w:ascii="Times New Roman" w:hAnsi="Times New Roman"/>
        </w:rPr>
        <w:t xml:space="preserve">ommission provided guidance to Avista </w:t>
      </w:r>
      <w:r w:rsidR="002757C1" w:rsidRPr="00C51085">
        <w:rPr>
          <w:rFonts w:ascii="Times New Roman" w:hAnsi="Times New Roman"/>
        </w:rPr>
        <w:t xml:space="preserve">in </w:t>
      </w:r>
      <w:r w:rsidR="00C854DE">
        <w:rPr>
          <w:rFonts w:ascii="Times New Roman" w:hAnsi="Times New Roman"/>
        </w:rPr>
        <w:t>D</w:t>
      </w:r>
      <w:r w:rsidR="002757C1" w:rsidRPr="00C51085">
        <w:rPr>
          <w:rFonts w:ascii="Times New Roman" w:hAnsi="Times New Roman"/>
        </w:rPr>
        <w:t>ocket</w:t>
      </w:r>
      <w:r w:rsidR="00BA0B94">
        <w:rPr>
          <w:rFonts w:ascii="Times New Roman" w:hAnsi="Times New Roman"/>
        </w:rPr>
        <w:t>s</w:t>
      </w:r>
      <w:r w:rsidR="002757C1" w:rsidRPr="00C51085">
        <w:rPr>
          <w:rFonts w:ascii="Times New Roman" w:hAnsi="Times New Roman"/>
        </w:rPr>
        <w:t xml:space="preserve"> UE-160228</w:t>
      </w:r>
      <w:r w:rsidR="00BA0B94">
        <w:rPr>
          <w:rFonts w:ascii="Times New Roman" w:hAnsi="Times New Roman"/>
        </w:rPr>
        <w:t>/</w:t>
      </w:r>
      <w:r w:rsidR="002757C1" w:rsidRPr="00C51085">
        <w:rPr>
          <w:rFonts w:ascii="Times New Roman" w:hAnsi="Times New Roman"/>
        </w:rPr>
        <w:t>UG-160229, Order 0</w:t>
      </w:r>
      <w:r w:rsidRPr="00C51085">
        <w:rPr>
          <w:rFonts w:ascii="Times New Roman" w:hAnsi="Times New Roman"/>
        </w:rPr>
        <w:t>4</w:t>
      </w:r>
      <w:r w:rsidR="002757C1" w:rsidRPr="00C51085">
        <w:rPr>
          <w:rFonts w:ascii="Times New Roman" w:hAnsi="Times New Roman"/>
        </w:rPr>
        <w:t>:</w:t>
      </w:r>
    </w:p>
    <w:p w14:paraId="70D84A9A" w14:textId="77777777" w:rsidR="001A6608" w:rsidRPr="00C51085" w:rsidRDefault="001A6608">
      <w:pPr>
        <w:rPr>
          <w:rFonts w:ascii="Times New Roman" w:hAnsi="Times New Roman"/>
        </w:rPr>
      </w:pPr>
    </w:p>
    <w:p w14:paraId="70D84A9B" w14:textId="72F2C72B" w:rsidR="00293DC1" w:rsidRPr="00C51085" w:rsidRDefault="00293DC1" w:rsidP="00293DC1">
      <w:pPr>
        <w:ind w:left="720"/>
        <w:rPr>
          <w:rFonts w:ascii="Times New Roman" w:hAnsi="Times New Roman"/>
        </w:rPr>
      </w:pPr>
      <w:r w:rsidRPr="000561CC">
        <w:rPr>
          <w:rFonts w:ascii="Times New Roman" w:hAnsi="Times New Roman"/>
        </w:rPr>
        <w:t>“Indeed, the Commission discussed in its final order in Dockets UE-150204 and UG-150205 that “[i]f</w:t>
      </w:r>
      <w:r w:rsidRPr="00C51085">
        <w:rPr>
          <w:rFonts w:ascii="Times New Roman" w:hAnsi="Times New Roman"/>
        </w:rPr>
        <w:t xml:space="preserve"> the Company decides to procure a new metering system, it may file a well-supported accounting petition on a timely basis to avoid a write-off.”</w:t>
      </w:r>
      <w:r w:rsidRPr="00C51085">
        <w:rPr>
          <w:rStyle w:val="FootnoteReference"/>
          <w:rFonts w:ascii="Times New Roman" w:hAnsi="Times New Roman"/>
        </w:rPr>
        <w:footnoteReference w:id="3"/>
      </w:r>
      <w:r w:rsidR="009420F0">
        <w:rPr>
          <w:rFonts w:ascii="Times New Roman" w:hAnsi="Times New Roman"/>
        </w:rPr>
        <w:t xml:space="preserve"> </w:t>
      </w:r>
      <w:r w:rsidRPr="00C51085">
        <w:rPr>
          <w:rFonts w:ascii="Times New Roman" w:hAnsi="Times New Roman"/>
        </w:rPr>
        <w:t xml:space="preserve">While this referred to Avista’s request for deferred accounting for its net investment in meters that would be replaced as part of the AMI implementation, the discussion, and other </w:t>
      </w:r>
      <w:r w:rsidRPr="00C51085">
        <w:rPr>
          <w:rFonts w:ascii="Times New Roman" w:hAnsi="Times New Roman"/>
        </w:rPr>
        <w:lastRenderedPageBreak/>
        <w:t>discussion in Order 05, is equally applicable to the costs belatedly proposed for deferred accounting treatment in this general rate case</w:t>
      </w:r>
      <w:r w:rsidR="009F4DE9">
        <w:rPr>
          <w:rFonts w:ascii="Times New Roman" w:hAnsi="Times New Roman"/>
        </w:rPr>
        <w:t>.</w:t>
      </w:r>
      <w:r w:rsidRPr="00C51085">
        <w:rPr>
          <w:rFonts w:ascii="Times New Roman" w:hAnsi="Times New Roman"/>
        </w:rPr>
        <w:t>”</w:t>
      </w:r>
      <w:r w:rsidRPr="00C51085">
        <w:rPr>
          <w:rStyle w:val="FootnoteReference"/>
          <w:rFonts w:ascii="Times New Roman" w:hAnsi="Times New Roman"/>
        </w:rPr>
        <w:footnoteReference w:id="4"/>
      </w:r>
    </w:p>
    <w:p w14:paraId="70D84A9C" w14:textId="77777777" w:rsidR="001A75DA" w:rsidRPr="00C51085" w:rsidRDefault="001A75DA">
      <w:pPr>
        <w:rPr>
          <w:rFonts w:ascii="Times New Roman" w:hAnsi="Times New Roman"/>
        </w:rPr>
      </w:pPr>
      <w:r w:rsidRPr="00C51085">
        <w:rPr>
          <w:rFonts w:ascii="Times New Roman" w:hAnsi="Times New Roman"/>
        </w:rPr>
        <w:tab/>
      </w:r>
    </w:p>
    <w:p w14:paraId="70D84A9D" w14:textId="01393801" w:rsidR="00F8173F" w:rsidRPr="00C51085" w:rsidRDefault="00293DC1">
      <w:pPr>
        <w:rPr>
          <w:rFonts w:ascii="Times New Roman" w:hAnsi="Times New Roman"/>
        </w:rPr>
      </w:pPr>
      <w:r w:rsidRPr="00C51085">
        <w:rPr>
          <w:rFonts w:ascii="Times New Roman" w:hAnsi="Times New Roman"/>
        </w:rPr>
        <w:t xml:space="preserve">Also the </w:t>
      </w:r>
      <w:r w:rsidR="00C854DE">
        <w:rPr>
          <w:rFonts w:ascii="Times New Roman" w:hAnsi="Times New Roman"/>
        </w:rPr>
        <w:t>c</w:t>
      </w:r>
      <w:r w:rsidRPr="00C51085">
        <w:rPr>
          <w:rFonts w:ascii="Times New Roman" w:hAnsi="Times New Roman"/>
        </w:rPr>
        <w:t xml:space="preserve">ommission </w:t>
      </w:r>
      <w:r w:rsidR="009E395C" w:rsidRPr="00C51085">
        <w:rPr>
          <w:rFonts w:ascii="Times New Roman" w:hAnsi="Times New Roman"/>
        </w:rPr>
        <w:t>provided guidance</w:t>
      </w:r>
      <w:r w:rsidRPr="00C51085">
        <w:rPr>
          <w:rFonts w:ascii="Times New Roman" w:hAnsi="Times New Roman"/>
        </w:rPr>
        <w:t xml:space="preserve"> in </w:t>
      </w:r>
      <w:r w:rsidR="00C854DE">
        <w:rPr>
          <w:rFonts w:ascii="Times New Roman" w:hAnsi="Times New Roman"/>
        </w:rPr>
        <w:t>D</w:t>
      </w:r>
      <w:r w:rsidRPr="00C51085">
        <w:rPr>
          <w:rFonts w:ascii="Times New Roman" w:hAnsi="Times New Roman"/>
        </w:rPr>
        <w:t>ocket</w:t>
      </w:r>
      <w:r w:rsidR="00BA0B94">
        <w:rPr>
          <w:rFonts w:ascii="Times New Roman" w:hAnsi="Times New Roman"/>
        </w:rPr>
        <w:t>s</w:t>
      </w:r>
      <w:r w:rsidRPr="00C51085">
        <w:rPr>
          <w:rFonts w:ascii="Times New Roman" w:hAnsi="Times New Roman"/>
        </w:rPr>
        <w:t xml:space="preserve"> UE-160228</w:t>
      </w:r>
      <w:r w:rsidR="00BA0B94">
        <w:rPr>
          <w:rFonts w:ascii="Times New Roman" w:hAnsi="Times New Roman"/>
        </w:rPr>
        <w:t>/</w:t>
      </w:r>
      <w:r w:rsidRPr="00C51085">
        <w:rPr>
          <w:rFonts w:ascii="Times New Roman" w:hAnsi="Times New Roman"/>
        </w:rPr>
        <w:t>UG-160229, Order 05:</w:t>
      </w:r>
    </w:p>
    <w:p w14:paraId="70D84A9E" w14:textId="77777777" w:rsidR="001A6608" w:rsidRPr="00C51085" w:rsidRDefault="001A6608">
      <w:pPr>
        <w:rPr>
          <w:rFonts w:ascii="Times New Roman" w:hAnsi="Times New Roman"/>
        </w:rPr>
      </w:pPr>
    </w:p>
    <w:p w14:paraId="70D84A9F" w14:textId="094B6CBC" w:rsidR="00293DC1" w:rsidRPr="00C51085" w:rsidRDefault="00F8173F" w:rsidP="00F8173F">
      <w:pPr>
        <w:ind w:left="720"/>
        <w:rPr>
          <w:rFonts w:ascii="Times New Roman" w:hAnsi="Times New Roman"/>
        </w:rPr>
      </w:pPr>
      <w:r w:rsidRPr="00C51085">
        <w:rPr>
          <w:rFonts w:ascii="Times New Roman" w:hAnsi="Times New Roman"/>
        </w:rPr>
        <w:t>“We begin with the observation that Avista can file an accounting petition at any time asking for deferred accounting treatment of the ongoing expenses it continues to incur as it moves toward initial deployment of AMI in Washington. Were the Commission to rule favorably on such a petition, these costs could be included in FERC Account No. 182.3 or 186 and the Company’s opportunity to recover prudently incurred costs going forward would be protected until such time as Avista makes a timely request for rate recovery of all, or a portion of, its costs. The Commission discussed this very point in its final order in Dockets UE-150204 and UG-150205, Avista’s 2015 general rate case</w:t>
      </w:r>
      <w:r w:rsidR="009F4DE9">
        <w:rPr>
          <w:rFonts w:ascii="Times New Roman" w:hAnsi="Times New Roman"/>
        </w:rPr>
        <w:t>.</w:t>
      </w:r>
      <w:r w:rsidRPr="00C51085">
        <w:rPr>
          <w:rFonts w:ascii="Times New Roman" w:hAnsi="Times New Roman"/>
        </w:rPr>
        <w:t>”</w:t>
      </w:r>
      <w:r w:rsidR="0018585E" w:rsidRPr="00C51085">
        <w:rPr>
          <w:rStyle w:val="FootnoteReference"/>
          <w:rFonts w:ascii="Times New Roman" w:hAnsi="Times New Roman"/>
        </w:rPr>
        <w:footnoteReference w:id="5"/>
      </w:r>
    </w:p>
    <w:p w14:paraId="70D84AA0" w14:textId="77777777" w:rsidR="00E60BC9" w:rsidRPr="00C51085" w:rsidRDefault="00E60BC9" w:rsidP="00F8173F">
      <w:pPr>
        <w:ind w:left="720"/>
        <w:rPr>
          <w:rFonts w:ascii="Times New Roman" w:hAnsi="Times New Roman"/>
        </w:rPr>
      </w:pPr>
    </w:p>
    <w:p w14:paraId="70D84AA1" w14:textId="0B26245B" w:rsidR="00293DC1" w:rsidRPr="00C51085" w:rsidRDefault="00120965">
      <w:pPr>
        <w:rPr>
          <w:rFonts w:ascii="Times New Roman" w:hAnsi="Times New Roman"/>
        </w:rPr>
      </w:pPr>
      <w:r w:rsidRPr="00C51085">
        <w:rPr>
          <w:rFonts w:ascii="Times New Roman" w:hAnsi="Times New Roman"/>
        </w:rPr>
        <w:t xml:space="preserve">Although Avista did file </w:t>
      </w:r>
      <w:r w:rsidR="004F4158">
        <w:rPr>
          <w:rFonts w:ascii="Times New Roman" w:hAnsi="Times New Roman"/>
        </w:rPr>
        <w:t>this</w:t>
      </w:r>
      <w:r w:rsidR="004F4158" w:rsidRPr="00C51085">
        <w:rPr>
          <w:rFonts w:ascii="Times New Roman" w:hAnsi="Times New Roman"/>
        </w:rPr>
        <w:t xml:space="preserve"> </w:t>
      </w:r>
      <w:r w:rsidRPr="00C51085">
        <w:rPr>
          <w:rFonts w:ascii="Times New Roman" w:hAnsi="Times New Roman"/>
        </w:rPr>
        <w:t xml:space="preserve">accounting petition, its request is not what the </w:t>
      </w:r>
      <w:r w:rsidR="00AF7585">
        <w:rPr>
          <w:rFonts w:ascii="Times New Roman" w:hAnsi="Times New Roman"/>
        </w:rPr>
        <w:t>c</w:t>
      </w:r>
      <w:r w:rsidRPr="00C51085">
        <w:rPr>
          <w:rFonts w:ascii="Times New Roman" w:hAnsi="Times New Roman"/>
        </w:rPr>
        <w:t xml:space="preserve">ommission asked. Staff does not believe the </w:t>
      </w:r>
      <w:r w:rsidR="00AF7585">
        <w:rPr>
          <w:rFonts w:ascii="Times New Roman" w:hAnsi="Times New Roman"/>
        </w:rPr>
        <w:t>c</w:t>
      </w:r>
      <w:r w:rsidRPr="00C51085">
        <w:rPr>
          <w:rFonts w:ascii="Times New Roman" w:hAnsi="Times New Roman"/>
        </w:rPr>
        <w:t xml:space="preserve">ommission implied that Avista may file an accounting petition to defer revenue requirement. </w:t>
      </w:r>
      <w:r w:rsidR="003472F3" w:rsidRPr="00C51085">
        <w:rPr>
          <w:rFonts w:ascii="Times New Roman" w:hAnsi="Times New Roman"/>
        </w:rPr>
        <w:t>Avista still requests to defer revenue requirement e</w:t>
      </w:r>
      <w:r w:rsidR="00F8173F" w:rsidRPr="00C51085">
        <w:rPr>
          <w:rFonts w:ascii="Times New Roman" w:hAnsi="Times New Roman"/>
        </w:rPr>
        <w:t xml:space="preserve">ven though the </w:t>
      </w:r>
      <w:r w:rsidR="00AF7585">
        <w:rPr>
          <w:rFonts w:ascii="Times New Roman" w:hAnsi="Times New Roman"/>
        </w:rPr>
        <w:t>c</w:t>
      </w:r>
      <w:r w:rsidR="00F8173F" w:rsidRPr="00C51085">
        <w:rPr>
          <w:rFonts w:ascii="Times New Roman" w:hAnsi="Times New Roman"/>
        </w:rPr>
        <w:t xml:space="preserve">ommission </w:t>
      </w:r>
      <w:r w:rsidR="003472F3" w:rsidRPr="00C51085">
        <w:rPr>
          <w:rFonts w:ascii="Times New Roman" w:hAnsi="Times New Roman"/>
        </w:rPr>
        <w:t>told</w:t>
      </w:r>
      <w:r w:rsidR="00F8173F" w:rsidRPr="00C51085">
        <w:rPr>
          <w:rFonts w:ascii="Times New Roman" w:hAnsi="Times New Roman"/>
        </w:rPr>
        <w:t xml:space="preserve"> Avista</w:t>
      </w:r>
      <w:r w:rsidR="003472F3" w:rsidRPr="00C51085">
        <w:rPr>
          <w:rFonts w:ascii="Times New Roman" w:hAnsi="Times New Roman"/>
        </w:rPr>
        <w:t xml:space="preserve"> several times they can file an accounting petition to defer “ongoing expenses” related to moving forward with its AMI deployment.</w:t>
      </w:r>
      <w:r w:rsidR="00541040" w:rsidRPr="00C51085">
        <w:rPr>
          <w:rFonts w:ascii="Times New Roman" w:hAnsi="Times New Roman"/>
        </w:rPr>
        <w:t xml:space="preserve"> </w:t>
      </w:r>
      <w:r w:rsidR="00FD68C6" w:rsidRPr="00C51085">
        <w:rPr>
          <w:rFonts w:ascii="Times New Roman" w:hAnsi="Times New Roman"/>
        </w:rPr>
        <w:t>At some point the requests to defer revenue requirement must stop.</w:t>
      </w:r>
    </w:p>
    <w:p w14:paraId="70D84AA2" w14:textId="77777777" w:rsidR="00C83806" w:rsidRPr="00C51085" w:rsidRDefault="00C83806">
      <w:pPr>
        <w:rPr>
          <w:rFonts w:ascii="Times New Roman" w:hAnsi="Times New Roman"/>
        </w:rPr>
      </w:pPr>
    </w:p>
    <w:p w14:paraId="70D84AA3" w14:textId="586E8D4B" w:rsidR="00A5339E" w:rsidRPr="00C51085" w:rsidRDefault="00120965" w:rsidP="00A5339E">
      <w:pPr>
        <w:rPr>
          <w:rFonts w:ascii="Times New Roman" w:hAnsi="Times New Roman"/>
        </w:rPr>
      </w:pPr>
      <w:r w:rsidRPr="00C51085">
        <w:rPr>
          <w:rFonts w:ascii="Times New Roman" w:hAnsi="Times New Roman"/>
        </w:rPr>
        <w:t>S</w:t>
      </w:r>
      <w:r w:rsidR="00161708" w:rsidRPr="00C51085">
        <w:rPr>
          <w:rFonts w:ascii="Times New Roman" w:hAnsi="Times New Roman"/>
        </w:rPr>
        <w:t xml:space="preserve">taff </w:t>
      </w:r>
      <w:r w:rsidRPr="00C51085">
        <w:rPr>
          <w:rFonts w:ascii="Times New Roman" w:hAnsi="Times New Roman"/>
        </w:rPr>
        <w:t xml:space="preserve">could entertain </w:t>
      </w:r>
      <w:r w:rsidR="00161708" w:rsidRPr="00C51085">
        <w:rPr>
          <w:rFonts w:ascii="Times New Roman" w:hAnsi="Times New Roman"/>
        </w:rPr>
        <w:t xml:space="preserve">an accounting petition </w:t>
      </w:r>
      <w:r w:rsidRPr="00C51085">
        <w:rPr>
          <w:rFonts w:ascii="Times New Roman" w:hAnsi="Times New Roman"/>
        </w:rPr>
        <w:t xml:space="preserve">requesting deferral of </w:t>
      </w:r>
      <w:r w:rsidR="003472F3" w:rsidRPr="00C51085">
        <w:rPr>
          <w:rFonts w:ascii="Times New Roman" w:hAnsi="Times New Roman"/>
        </w:rPr>
        <w:t>ongoing</w:t>
      </w:r>
      <w:r w:rsidR="00161708" w:rsidRPr="00C51085">
        <w:rPr>
          <w:rFonts w:ascii="Times New Roman" w:hAnsi="Times New Roman"/>
        </w:rPr>
        <w:t xml:space="preserve"> operating </w:t>
      </w:r>
      <w:r w:rsidR="003472F3" w:rsidRPr="00C51085">
        <w:rPr>
          <w:rFonts w:ascii="Times New Roman" w:hAnsi="Times New Roman"/>
        </w:rPr>
        <w:t>expenses</w:t>
      </w:r>
      <w:r w:rsidR="004956DF" w:rsidRPr="00C51085">
        <w:rPr>
          <w:rFonts w:ascii="Times New Roman" w:hAnsi="Times New Roman"/>
        </w:rPr>
        <w:t xml:space="preserve"> </w:t>
      </w:r>
      <w:r w:rsidRPr="00C51085">
        <w:rPr>
          <w:rFonts w:ascii="Times New Roman" w:hAnsi="Times New Roman"/>
        </w:rPr>
        <w:t xml:space="preserve">if </w:t>
      </w:r>
      <w:r w:rsidR="004956DF" w:rsidRPr="00C51085">
        <w:rPr>
          <w:rFonts w:ascii="Times New Roman" w:hAnsi="Times New Roman"/>
        </w:rPr>
        <w:t>off</w:t>
      </w:r>
      <w:r w:rsidR="00161708" w:rsidRPr="00C51085">
        <w:rPr>
          <w:rFonts w:ascii="Times New Roman" w:hAnsi="Times New Roman"/>
        </w:rPr>
        <w:t>set</w:t>
      </w:r>
      <w:r w:rsidRPr="00C51085">
        <w:rPr>
          <w:rFonts w:ascii="Times New Roman" w:hAnsi="Times New Roman"/>
        </w:rPr>
        <w:t>s</w:t>
      </w:r>
      <w:r w:rsidR="00161708" w:rsidRPr="00C51085">
        <w:rPr>
          <w:rFonts w:ascii="Times New Roman" w:hAnsi="Times New Roman"/>
        </w:rPr>
        <w:t xml:space="preserve"> </w:t>
      </w:r>
      <w:r w:rsidRPr="00C51085">
        <w:rPr>
          <w:rFonts w:ascii="Times New Roman" w:hAnsi="Times New Roman"/>
        </w:rPr>
        <w:t>of</w:t>
      </w:r>
      <w:r w:rsidR="00161708" w:rsidRPr="00C51085">
        <w:rPr>
          <w:rFonts w:ascii="Times New Roman" w:hAnsi="Times New Roman"/>
        </w:rPr>
        <w:t xml:space="preserve"> </w:t>
      </w:r>
      <w:r w:rsidR="00FD68C6" w:rsidRPr="00C51085">
        <w:rPr>
          <w:rFonts w:ascii="Times New Roman" w:hAnsi="Times New Roman"/>
        </w:rPr>
        <w:t>operational cost savings</w:t>
      </w:r>
      <w:r w:rsidRPr="00C51085">
        <w:rPr>
          <w:rFonts w:ascii="Times New Roman" w:hAnsi="Times New Roman"/>
        </w:rPr>
        <w:t xml:space="preserve"> are included</w:t>
      </w:r>
      <w:r w:rsidR="00161708" w:rsidRPr="00C51085">
        <w:rPr>
          <w:rFonts w:ascii="Times New Roman" w:hAnsi="Times New Roman"/>
        </w:rPr>
        <w:t>.</w:t>
      </w:r>
      <w:r w:rsidR="00A5339E" w:rsidRPr="00C51085">
        <w:rPr>
          <w:rFonts w:ascii="Times New Roman" w:hAnsi="Times New Roman"/>
        </w:rPr>
        <w:t xml:space="preserve"> </w:t>
      </w:r>
      <w:r w:rsidRPr="00C51085">
        <w:rPr>
          <w:rFonts w:ascii="Times New Roman" w:hAnsi="Times New Roman"/>
        </w:rPr>
        <w:t xml:space="preserve">But </w:t>
      </w:r>
      <w:r w:rsidR="00AF7585">
        <w:rPr>
          <w:rFonts w:ascii="Times New Roman" w:hAnsi="Times New Roman"/>
        </w:rPr>
        <w:t>s</w:t>
      </w:r>
      <w:r w:rsidRPr="00C51085">
        <w:rPr>
          <w:rFonts w:ascii="Times New Roman" w:hAnsi="Times New Roman"/>
        </w:rPr>
        <w:t xml:space="preserve">taff offers no assurance of a positive recommendation. </w:t>
      </w:r>
      <w:r w:rsidR="00A5339E" w:rsidRPr="00C51085">
        <w:rPr>
          <w:rFonts w:ascii="Times New Roman" w:hAnsi="Times New Roman"/>
        </w:rPr>
        <w:t xml:space="preserve">As </w:t>
      </w:r>
      <w:r w:rsidR="00AF7585">
        <w:rPr>
          <w:rFonts w:ascii="Times New Roman" w:hAnsi="Times New Roman"/>
        </w:rPr>
        <w:t>s</w:t>
      </w:r>
      <w:r w:rsidR="00AA5075" w:rsidRPr="00C51085">
        <w:rPr>
          <w:rFonts w:ascii="Times New Roman" w:hAnsi="Times New Roman"/>
        </w:rPr>
        <w:t xml:space="preserve">taff </w:t>
      </w:r>
      <w:r w:rsidR="00A5339E" w:rsidRPr="00C51085">
        <w:rPr>
          <w:rFonts w:ascii="Times New Roman" w:hAnsi="Times New Roman"/>
        </w:rPr>
        <w:t>stated above, deferred accounting treatment should be reserved for unexpected</w:t>
      </w:r>
      <w:r w:rsidR="00FD68C6" w:rsidRPr="00C51085">
        <w:rPr>
          <w:rFonts w:ascii="Times New Roman" w:hAnsi="Times New Roman"/>
        </w:rPr>
        <w:t xml:space="preserve"> or</w:t>
      </w:r>
      <w:r w:rsidR="00A5339E" w:rsidRPr="00C51085">
        <w:rPr>
          <w:rFonts w:ascii="Times New Roman" w:hAnsi="Times New Roman"/>
        </w:rPr>
        <w:t xml:space="preserve"> </w:t>
      </w:r>
      <w:r w:rsidR="001A6608" w:rsidRPr="00C51085">
        <w:rPr>
          <w:rFonts w:ascii="Times New Roman" w:hAnsi="Times New Roman"/>
        </w:rPr>
        <w:t xml:space="preserve">extraordinary </w:t>
      </w:r>
      <w:r w:rsidR="00FD68C6" w:rsidRPr="00C51085">
        <w:rPr>
          <w:rFonts w:ascii="Times New Roman" w:hAnsi="Times New Roman"/>
        </w:rPr>
        <w:t>expense</w:t>
      </w:r>
      <w:r w:rsidR="00AA5075" w:rsidRPr="00C51085">
        <w:rPr>
          <w:rFonts w:ascii="Times New Roman" w:hAnsi="Times New Roman"/>
        </w:rPr>
        <w:t>s beyond the utility’s control; or for large expenses that provide benefits beyond the current period</w:t>
      </w:r>
      <w:r w:rsidR="00A5339E" w:rsidRPr="00C51085">
        <w:rPr>
          <w:rFonts w:ascii="Times New Roman" w:hAnsi="Times New Roman"/>
        </w:rPr>
        <w:t xml:space="preserve">. </w:t>
      </w:r>
      <w:r w:rsidR="00AA5075" w:rsidRPr="00C51085">
        <w:rPr>
          <w:rFonts w:ascii="Times New Roman" w:hAnsi="Times New Roman"/>
        </w:rPr>
        <w:t>Planned rate base additions are normal ongoing expenditures that accrue an allowance for funds used during construction. These are captured in rates after they are in service to the customers. The utility accepts the risk of a delay in capturing the return on this plant as a normal cost of doing business.</w:t>
      </w:r>
    </w:p>
    <w:p w14:paraId="70D84AA4" w14:textId="77777777" w:rsidR="00657DEE" w:rsidRPr="00C51085" w:rsidRDefault="00657DEE">
      <w:pPr>
        <w:rPr>
          <w:rFonts w:ascii="Times New Roman" w:hAnsi="Times New Roman"/>
        </w:rPr>
      </w:pPr>
    </w:p>
    <w:p w14:paraId="70D84AA5" w14:textId="77777777" w:rsidR="00657DEE" w:rsidRPr="00C51085" w:rsidRDefault="00657DEE">
      <w:pPr>
        <w:rPr>
          <w:rFonts w:ascii="Times New Roman" w:hAnsi="Times New Roman"/>
        </w:rPr>
      </w:pPr>
    </w:p>
    <w:p w14:paraId="70D84AA6" w14:textId="77777777" w:rsidR="00D60E7F" w:rsidRPr="00C51085" w:rsidRDefault="00D60E7F">
      <w:pPr>
        <w:rPr>
          <w:rFonts w:ascii="Times New Roman" w:hAnsi="Times New Roman"/>
          <w:b/>
          <w:u w:val="single"/>
        </w:rPr>
      </w:pPr>
      <w:r w:rsidRPr="00C51085">
        <w:rPr>
          <w:rFonts w:ascii="Times New Roman" w:hAnsi="Times New Roman"/>
          <w:b/>
          <w:u w:val="single"/>
        </w:rPr>
        <w:t>Conclusion</w:t>
      </w:r>
    </w:p>
    <w:p w14:paraId="70D84AA7" w14:textId="77777777" w:rsidR="00170726" w:rsidRPr="00C51085" w:rsidRDefault="00170726">
      <w:pPr>
        <w:rPr>
          <w:rFonts w:ascii="Times New Roman" w:hAnsi="Times New Roman"/>
        </w:rPr>
      </w:pPr>
    </w:p>
    <w:p w14:paraId="70D84AA8" w14:textId="051817DB" w:rsidR="00170726" w:rsidRPr="00C51085" w:rsidRDefault="005F731C">
      <w:pPr>
        <w:rPr>
          <w:rFonts w:ascii="Times New Roman" w:hAnsi="Times New Roman"/>
        </w:rPr>
      </w:pPr>
      <w:r w:rsidRPr="00C51085">
        <w:rPr>
          <w:rFonts w:ascii="Times New Roman" w:hAnsi="Times New Roman"/>
        </w:rPr>
        <w:t>Reject Avista Corp</w:t>
      </w:r>
      <w:r w:rsidR="00C854DE">
        <w:rPr>
          <w:rFonts w:ascii="Times New Roman" w:hAnsi="Times New Roman"/>
        </w:rPr>
        <w:t>oration’s</w:t>
      </w:r>
      <w:r w:rsidRPr="00C51085">
        <w:rPr>
          <w:rFonts w:ascii="Times New Roman" w:hAnsi="Times New Roman"/>
        </w:rPr>
        <w:t xml:space="preserve"> accounting petition to defer the revenue requirement related to the future deployment of its Advance</w:t>
      </w:r>
      <w:r w:rsidR="00FF5C71">
        <w:rPr>
          <w:rFonts w:ascii="Times New Roman" w:hAnsi="Times New Roman"/>
        </w:rPr>
        <w:t>d</w:t>
      </w:r>
      <w:r w:rsidRPr="00C51085">
        <w:rPr>
          <w:rFonts w:ascii="Times New Roman" w:hAnsi="Times New Roman"/>
        </w:rPr>
        <w:t xml:space="preserve"> Metering Infrastructure</w:t>
      </w:r>
      <w:r w:rsidR="00E37DC6" w:rsidRPr="00C51085">
        <w:rPr>
          <w:rFonts w:ascii="Times New Roman" w:hAnsi="Times New Roman"/>
        </w:rPr>
        <w:t xml:space="preserve">, </w:t>
      </w:r>
      <w:r w:rsidR="00AA5075" w:rsidRPr="00C51085">
        <w:rPr>
          <w:rFonts w:ascii="Times New Roman" w:hAnsi="Times New Roman"/>
        </w:rPr>
        <w:t xml:space="preserve">reject </w:t>
      </w:r>
      <w:r w:rsidR="00E37DC6" w:rsidRPr="00C51085">
        <w:rPr>
          <w:rFonts w:ascii="Times New Roman" w:hAnsi="Times New Roman"/>
        </w:rPr>
        <w:t xml:space="preserve">the deferred accounting treatment </w:t>
      </w:r>
      <w:r w:rsidR="00AA5075" w:rsidRPr="00C51085">
        <w:rPr>
          <w:rFonts w:ascii="Times New Roman" w:hAnsi="Times New Roman"/>
        </w:rPr>
        <w:t>requested for</w:t>
      </w:r>
      <w:r w:rsidR="00E37DC6" w:rsidRPr="00C51085">
        <w:rPr>
          <w:rFonts w:ascii="Times New Roman" w:hAnsi="Times New Roman"/>
        </w:rPr>
        <w:t xml:space="preserve"> the undepreciated net book value of the </w:t>
      </w:r>
      <w:r w:rsidR="00C854DE">
        <w:rPr>
          <w:rFonts w:ascii="Times New Roman" w:hAnsi="Times New Roman"/>
        </w:rPr>
        <w:t>c</w:t>
      </w:r>
      <w:r w:rsidR="00E37DC6" w:rsidRPr="00C51085">
        <w:rPr>
          <w:rFonts w:ascii="Times New Roman" w:hAnsi="Times New Roman"/>
        </w:rPr>
        <w:t>ompany’s existing natural gas communicating modules</w:t>
      </w:r>
      <w:r w:rsidR="00AA5075" w:rsidRPr="00C51085">
        <w:rPr>
          <w:rFonts w:ascii="Times New Roman" w:hAnsi="Times New Roman"/>
        </w:rPr>
        <w:t>,</w:t>
      </w:r>
      <w:r w:rsidR="00E37DC6" w:rsidRPr="00C51085">
        <w:rPr>
          <w:rFonts w:ascii="Times New Roman" w:hAnsi="Times New Roman"/>
        </w:rPr>
        <w:t xml:space="preserve"> and </w:t>
      </w:r>
      <w:r w:rsidR="00AA5075" w:rsidRPr="00C51085">
        <w:rPr>
          <w:rFonts w:ascii="Times New Roman" w:hAnsi="Times New Roman"/>
        </w:rPr>
        <w:t xml:space="preserve">reject </w:t>
      </w:r>
      <w:r w:rsidR="00E37DC6" w:rsidRPr="00C51085">
        <w:rPr>
          <w:rFonts w:ascii="Times New Roman" w:hAnsi="Times New Roman"/>
        </w:rPr>
        <w:t>the</w:t>
      </w:r>
      <w:r w:rsidR="00AA5075" w:rsidRPr="00C51085">
        <w:rPr>
          <w:rFonts w:ascii="Times New Roman" w:hAnsi="Times New Roman"/>
        </w:rPr>
        <w:t xml:space="preserve"> request to establish at this time a</w:t>
      </w:r>
      <w:r w:rsidR="00E37DC6" w:rsidRPr="00C51085">
        <w:rPr>
          <w:rFonts w:ascii="Times New Roman" w:hAnsi="Times New Roman"/>
        </w:rPr>
        <w:t xml:space="preserve"> depreciation rate of 8.0</w:t>
      </w:r>
      <w:r w:rsidR="00AA5075" w:rsidRPr="00C51085">
        <w:rPr>
          <w:rFonts w:ascii="Times New Roman" w:hAnsi="Times New Roman"/>
        </w:rPr>
        <w:t xml:space="preserve"> percent </w:t>
      </w:r>
      <w:r w:rsidR="00E37DC6" w:rsidRPr="00C51085">
        <w:rPr>
          <w:rFonts w:ascii="Times New Roman" w:hAnsi="Times New Roman"/>
        </w:rPr>
        <w:t>for the software component of the meter data management system of the AMI project.</w:t>
      </w:r>
    </w:p>
    <w:sectPr w:rsidR="00170726" w:rsidRPr="00C51085">
      <w:headerReference w:type="default" r:id="rId11"/>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84AAB" w14:textId="77777777" w:rsidR="00382C3C" w:rsidRDefault="00382C3C">
      <w:r>
        <w:separator/>
      </w:r>
    </w:p>
  </w:endnote>
  <w:endnote w:type="continuationSeparator" w:id="0">
    <w:p w14:paraId="70D84AAC" w14:textId="77777777" w:rsidR="00382C3C" w:rsidRDefault="003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84AA9" w14:textId="77777777" w:rsidR="00382C3C" w:rsidRDefault="00382C3C">
      <w:r>
        <w:separator/>
      </w:r>
    </w:p>
  </w:footnote>
  <w:footnote w:type="continuationSeparator" w:id="0">
    <w:p w14:paraId="70D84AAA" w14:textId="77777777" w:rsidR="00382C3C" w:rsidRDefault="00382C3C">
      <w:r>
        <w:continuationSeparator/>
      </w:r>
    </w:p>
  </w:footnote>
  <w:footnote w:id="1">
    <w:p w14:paraId="70D84AB5" w14:textId="77777777" w:rsidR="00AE3A15" w:rsidRDefault="00AE3A15">
      <w:pPr>
        <w:pStyle w:val="FootnoteText"/>
      </w:pPr>
      <w:r>
        <w:rPr>
          <w:rStyle w:val="FootnoteReference"/>
        </w:rPr>
        <w:footnoteRef/>
      </w:r>
      <w:r>
        <w:t xml:space="preserve"> </w:t>
      </w:r>
      <w:r w:rsidR="00C97C6F" w:rsidRPr="00C97C6F">
        <w:t xml:space="preserve">Wash. Utils. &amp; Transp. Comm’n v. </w:t>
      </w:r>
      <w:r w:rsidR="00C97C6F">
        <w:t>Avista Corporation</w:t>
      </w:r>
      <w:r w:rsidR="00C97C6F" w:rsidRPr="00C97C6F">
        <w:t>, Dockets UE-</w:t>
      </w:r>
      <w:r w:rsidR="00C97C6F">
        <w:t>150204</w:t>
      </w:r>
      <w:r w:rsidR="00C97C6F" w:rsidRPr="00C97C6F">
        <w:t xml:space="preserve"> and UG-</w:t>
      </w:r>
      <w:r w:rsidR="00C97C6F">
        <w:t>150205, Order 05</w:t>
      </w:r>
      <w:r w:rsidR="00274010">
        <w:t>, 3</w:t>
      </w:r>
      <w:r w:rsidR="00C97C6F" w:rsidRPr="00C97C6F">
        <w:t xml:space="preserve">, ¶ </w:t>
      </w:r>
      <w:r w:rsidR="00274010">
        <w:t>__ (January 6, 2016</w:t>
      </w:r>
      <w:r w:rsidR="00293DC1">
        <w:t>)</w:t>
      </w:r>
      <w:r w:rsidR="00C97C6F" w:rsidRPr="00C97C6F">
        <w:t>.</w:t>
      </w:r>
    </w:p>
  </w:footnote>
  <w:footnote w:id="2">
    <w:p w14:paraId="70D84AB6" w14:textId="77777777" w:rsidR="004F68BD" w:rsidRDefault="004F68BD">
      <w:pPr>
        <w:pStyle w:val="FootnoteText"/>
      </w:pPr>
      <w:r>
        <w:rPr>
          <w:rStyle w:val="FootnoteReference"/>
        </w:rPr>
        <w:footnoteRef/>
      </w:r>
      <w:r>
        <w:t xml:space="preserve"> </w:t>
      </w:r>
      <w:r w:rsidRPr="004F68BD">
        <w:t>Wash. Utils. &amp; Transp. Comm’n v. Avista Corporation, Dockets UE-1</w:t>
      </w:r>
      <w:r>
        <w:t>50204 and UG-150205, Order 05, 68</w:t>
      </w:r>
      <w:r w:rsidRPr="004F68BD">
        <w:t xml:space="preserve">, ¶ </w:t>
      </w:r>
      <w:r>
        <w:t>191</w:t>
      </w:r>
      <w:r w:rsidRPr="004F68BD">
        <w:t>(January 6, 2016).</w:t>
      </w:r>
    </w:p>
  </w:footnote>
  <w:footnote w:id="3">
    <w:p w14:paraId="70D84AB7" w14:textId="77777777" w:rsidR="00293DC1" w:rsidRDefault="00293DC1" w:rsidP="00293DC1">
      <w:pPr>
        <w:pStyle w:val="FootnoteText"/>
      </w:pPr>
      <w:r>
        <w:rPr>
          <w:rStyle w:val="FootnoteReference"/>
        </w:rPr>
        <w:footnoteRef/>
      </w:r>
      <w:r>
        <w:t xml:space="preserve"> </w:t>
      </w:r>
      <w:r w:rsidRPr="00293DC1">
        <w:t>Wash. Utils. &amp; Transp. Comm’n v. Avista, Dockets UE-150204 and UG-150205 (consolidated), Order 05 ¶199 (January 6, 2016).</w:t>
      </w:r>
    </w:p>
  </w:footnote>
  <w:footnote w:id="4">
    <w:p w14:paraId="70D84AB8" w14:textId="77777777" w:rsidR="00293DC1" w:rsidRDefault="00293DC1" w:rsidP="00293DC1">
      <w:pPr>
        <w:pStyle w:val="FootnoteText"/>
      </w:pPr>
      <w:r>
        <w:rPr>
          <w:rStyle w:val="FootnoteReference"/>
        </w:rPr>
        <w:footnoteRef/>
      </w:r>
      <w:r>
        <w:t xml:space="preserve"> </w:t>
      </w:r>
      <w:r w:rsidRPr="00293DC1">
        <w:t xml:space="preserve">Wash. Utils. &amp; Transp. Comm’n </w:t>
      </w:r>
      <w:r>
        <w:t xml:space="preserve">v. </w:t>
      </w:r>
      <w:r w:rsidRPr="00293DC1">
        <w:t>Avista Corporation, Dockets UE-</w:t>
      </w:r>
      <w:r>
        <w:t>160228</w:t>
      </w:r>
      <w:r w:rsidRPr="00293DC1">
        <w:t xml:space="preserve"> and UG-</w:t>
      </w:r>
      <w:r>
        <w:t>160229, Order 04</w:t>
      </w:r>
      <w:r w:rsidRPr="00293DC1">
        <w:t xml:space="preserve">, 3, ¶ </w:t>
      </w:r>
      <w:r>
        <w:t>13</w:t>
      </w:r>
      <w:r w:rsidRPr="00293DC1">
        <w:t xml:space="preserve"> (</w:t>
      </w:r>
      <w:r>
        <w:t>October 10, 2016</w:t>
      </w:r>
      <w:r w:rsidRPr="00293DC1">
        <w:t>).</w:t>
      </w:r>
    </w:p>
  </w:footnote>
  <w:footnote w:id="5">
    <w:p w14:paraId="70D84AB9" w14:textId="77777777" w:rsidR="0018585E" w:rsidRDefault="0018585E">
      <w:pPr>
        <w:pStyle w:val="FootnoteText"/>
      </w:pPr>
      <w:r>
        <w:rPr>
          <w:rStyle w:val="FootnoteReference"/>
        </w:rPr>
        <w:footnoteRef/>
      </w:r>
      <w:r>
        <w:t xml:space="preserve"> </w:t>
      </w:r>
      <w:r w:rsidRPr="0018585E">
        <w:t>Wash. Utils. &amp; Transp. Comm’n v. Avista Corporation, Dockets UE-1</w:t>
      </w:r>
      <w:r>
        <w:t>60228 and UG-160229, Order 04, 51</w:t>
      </w:r>
      <w:r w:rsidRPr="0018585E">
        <w:t xml:space="preserve">, ¶ </w:t>
      </w:r>
      <w:r>
        <w:t>86</w:t>
      </w:r>
      <w:r w:rsidRPr="0018585E">
        <w:t xml:space="preserve"> (</w:t>
      </w:r>
      <w:r>
        <w:t>December 15</w:t>
      </w:r>
      <w:r w:rsidRPr="0018585E">
        <w: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84AAD" w14:textId="77777777" w:rsidR="00744C90" w:rsidRPr="00777586" w:rsidRDefault="00744C90">
    <w:pPr>
      <w:pStyle w:val="Header"/>
      <w:rPr>
        <w:rFonts w:ascii="Times New Roman" w:hAnsi="Times New Roman"/>
        <w:sz w:val="20"/>
        <w:szCs w:val="20"/>
      </w:rPr>
    </w:pPr>
    <w:r w:rsidRPr="00777586">
      <w:rPr>
        <w:rFonts w:ascii="Times New Roman" w:hAnsi="Times New Roman"/>
        <w:sz w:val="20"/>
        <w:szCs w:val="20"/>
      </w:rPr>
      <w:t xml:space="preserve">DOCKET </w:t>
    </w:r>
    <w:r w:rsidR="002757C1">
      <w:rPr>
        <w:rFonts w:ascii="Times New Roman" w:hAnsi="Times New Roman"/>
        <w:sz w:val="20"/>
        <w:szCs w:val="20"/>
      </w:rPr>
      <w:t>UE-170327</w:t>
    </w:r>
  </w:p>
  <w:p w14:paraId="70D84AAE" w14:textId="77777777" w:rsidR="00744C90" w:rsidRPr="00777586" w:rsidRDefault="002757C1">
    <w:pPr>
      <w:pStyle w:val="Header"/>
      <w:rPr>
        <w:rFonts w:ascii="Times New Roman" w:hAnsi="Times New Roman"/>
        <w:sz w:val="20"/>
        <w:szCs w:val="20"/>
      </w:rPr>
    </w:pPr>
    <w:r>
      <w:rPr>
        <w:rFonts w:ascii="Times New Roman" w:hAnsi="Times New Roman"/>
        <w:sz w:val="20"/>
        <w:szCs w:val="20"/>
      </w:rPr>
      <w:t>July 27, 2017</w:t>
    </w:r>
  </w:p>
  <w:p w14:paraId="70D84AAF" w14:textId="77777777" w:rsidR="00744C90" w:rsidRPr="00777586" w:rsidRDefault="00744C90">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D40D6B">
      <w:rPr>
        <w:rStyle w:val="PageNumber"/>
        <w:rFonts w:ascii="Times New Roman" w:hAnsi="Times New Roman"/>
        <w:noProof/>
        <w:sz w:val="20"/>
        <w:szCs w:val="20"/>
      </w:rPr>
      <w:t>2</w:t>
    </w:r>
    <w:r w:rsidRPr="00777586">
      <w:rPr>
        <w:rStyle w:val="PageNumber"/>
        <w:rFonts w:ascii="Times New Roman" w:hAnsi="Times New Roman"/>
        <w:sz w:val="20"/>
        <w:szCs w:val="20"/>
      </w:rPr>
      <w:fldChar w:fldCharType="end"/>
    </w:r>
  </w:p>
  <w:p w14:paraId="70D84AB0" w14:textId="77777777" w:rsidR="00744C90" w:rsidRPr="00C61E42" w:rsidRDefault="00744C90">
    <w:pPr>
      <w:pStyle w:val="Header"/>
      <w:rPr>
        <w:rStyle w:val="PageNumber"/>
        <w:rFonts w:ascii="Times New Roman" w:hAnsi="Times New Roman"/>
        <w:sz w:val="20"/>
      </w:rPr>
    </w:pPr>
  </w:p>
  <w:p w14:paraId="70D84AB1" w14:textId="77777777" w:rsidR="00744C90" w:rsidRPr="00C61E42" w:rsidRDefault="00744C90">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327A7"/>
    <w:multiLevelType w:val="hybridMultilevel"/>
    <w:tmpl w:val="CBC0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25412"/>
    <w:rsid w:val="00041921"/>
    <w:rsid w:val="000561CC"/>
    <w:rsid w:val="000628DA"/>
    <w:rsid w:val="000A7626"/>
    <w:rsid w:val="000E198D"/>
    <w:rsid w:val="00110E00"/>
    <w:rsid w:val="00120965"/>
    <w:rsid w:val="00161708"/>
    <w:rsid w:val="00170726"/>
    <w:rsid w:val="0018585E"/>
    <w:rsid w:val="00192880"/>
    <w:rsid w:val="0019297A"/>
    <w:rsid w:val="001A6608"/>
    <w:rsid w:val="001A75DA"/>
    <w:rsid w:val="001E353B"/>
    <w:rsid w:val="001E4602"/>
    <w:rsid w:val="001F41A0"/>
    <w:rsid w:val="001F5226"/>
    <w:rsid w:val="002048A1"/>
    <w:rsid w:val="0020635F"/>
    <w:rsid w:val="0022715D"/>
    <w:rsid w:val="00242044"/>
    <w:rsid w:val="00247A93"/>
    <w:rsid w:val="00274010"/>
    <w:rsid w:val="002757C1"/>
    <w:rsid w:val="00293DC1"/>
    <w:rsid w:val="002B1513"/>
    <w:rsid w:val="002B157B"/>
    <w:rsid w:val="002C25C2"/>
    <w:rsid w:val="002C74B0"/>
    <w:rsid w:val="002C78BA"/>
    <w:rsid w:val="0031672A"/>
    <w:rsid w:val="00325654"/>
    <w:rsid w:val="003302F8"/>
    <w:rsid w:val="00330A67"/>
    <w:rsid w:val="003472F3"/>
    <w:rsid w:val="00347BA5"/>
    <w:rsid w:val="00347E4C"/>
    <w:rsid w:val="0035300F"/>
    <w:rsid w:val="003748B2"/>
    <w:rsid w:val="00382C3C"/>
    <w:rsid w:val="003837D4"/>
    <w:rsid w:val="003A683D"/>
    <w:rsid w:val="003B1108"/>
    <w:rsid w:val="003D7639"/>
    <w:rsid w:val="003F14DA"/>
    <w:rsid w:val="003F1737"/>
    <w:rsid w:val="003F3F12"/>
    <w:rsid w:val="00463210"/>
    <w:rsid w:val="00484373"/>
    <w:rsid w:val="004956DF"/>
    <w:rsid w:val="004C359C"/>
    <w:rsid w:val="004F4158"/>
    <w:rsid w:val="004F4D25"/>
    <w:rsid w:val="004F68BD"/>
    <w:rsid w:val="00501DBC"/>
    <w:rsid w:val="00514DF5"/>
    <w:rsid w:val="00521DDB"/>
    <w:rsid w:val="00524B4F"/>
    <w:rsid w:val="00541040"/>
    <w:rsid w:val="005431BB"/>
    <w:rsid w:val="00546627"/>
    <w:rsid w:val="00554FFE"/>
    <w:rsid w:val="00561789"/>
    <w:rsid w:val="00580D09"/>
    <w:rsid w:val="005F731C"/>
    <w:rsid w:val="00604214"/>
    <w:rsid w:val="00606841"/>
    <w:rsid w:val="00626F8E"/>
    <w:rsid w:val="00635A53"/>
    <w:rsid w:val="00657DEE"/>
    <w:rsid w:val="00671048"/>
    <w:rsid w:val="00675A30"/>
    <w:rsid w:val="00744C90"/>
    <w:rsid w:val="007552A8"/>
    <w:rsid w:val="00755B7B"/>
    <w:rsid w:val="00767FFB"/>
    <w:rsid w:val="00777586"/>
    <w:rsid w:val="00840D9F"/>
    <w:rsid w:val="00842F1A"/>
    <w:rsid w:val="0085696D"/>
    <w:rsid w:val="00862FFC"/>
    <w:rsid w:val="00864E7E"/>
    <w:rsid w:val="008F44D1"/>
    <w:rsid w:val="008F5C7E"/>
    <w:rsid w:val="009420F0"/>
    <w:rsid w:val="00947AAF"/>
    <w:rsid w:val="00953C7D"/>
    <w:rsid w:val="00962882"/>
    <w:rsid w:val="0098213D"/>
    <w:rsid w:val="0098761B"/>
    <w:rsid w:val="009D6358"/>
    <w:rsid w:val="009E395C"/>
    <w:rsid w:val="009F44E7"/>
    <w:rsid w:val="009F4DE9"/>
    <w:rsid w:val="00A04246"/>
    <w:rsid w:val="00A30CA5"/>
    <w:rsid w:val="00A32572"/>
    <w:rsid w:val="00A5339E"/>
    <w:rsid w:val="00A55C62"/>
    <w:rsid w:val="00A92BA7"/>
    <w:rsid w:val="00AA5075"/>
    <w:rsid w:val="00AA7641"/>
    <w:rsid w:val="00AC0D8E"/>
    <w:rsid w:val="00AD4D61"/>
    <w:rsid w:val="00AE3A15"/>
    <w:rsid w:val="00AF7585"/>
    <w:rsid w:val="00B33E84"/>
    <w:rsid w:val="00B62814"/>
    <w:rsid w:val="00B971D3"/>
    <w:rsid w:val="00BA0B94"/>
    <w:rsid w:val="00BB26E3"/>
    <w:rsid w:val="00BD6CA0"/>
    <w:rsid w:val="00BE0C7D"/>
    <w:rsid w:val="00BF5E4A"/>
    <w:rsid w:val="00C01083"/>
    <w:rsid w:val="00C31B25"/>
    <w:rsid w:val="00C51085"/>
    <w:rsid w:val="00C53E92"/>
    <w:rsid w:val="00C61E42"/>
    <w:rsid w:val="00C70601"/>
    <w:rsid w:val="00C83806"/>
    <w:rsid w:val="00C854DE"/>
    <w:rsid w:val="00C97C6F"/>
    <w:rsid w:val="00CC0C35"/>
    <w:rsid w:val="00CC41B3"/>
    <w:rsid w:val="00D15872"/>
    <w:rsid w:val="00D273EF"/>
    <w:rsid w:val="00D40D6B"/>
    <w:rsid w:val="00D60E7F"/>
    <w:rsid w:val="00D65F12"/>
    <w:rsid w:val="00D66B54"/>
    <w:rsid w:val="00D7123F"/>
    <w:rsid w:val="00D75CBC"/>
    <w:rsid w:val="00DC474B"/>
    <w:rsid w:val="00E00B77"/>
    <w:rsid w:val="00E021ED"/>
    <w:rsid w:val="00E25B33"/>
    <w:rsid w:val="00E37DC6"/>
    <w:rsid w:val="00E60BC9"/>
    <w:rsid w:val="00EC0B9D"/>
    <w:rsid w:val="00EF53BA"/>
    <w:rsid w:val="00F60149"/>
    <w:rsid w:val="00F8173F"/>
    <w:rsid w:val="00FB2A9C"/>
    <w:rsid w:val="00FC5ECC"/>
    <w:rsid w:val="00FD68C6"/>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0D84A67"/>
  <w15:chartTrackingRefBased/>
  <w15:docId w15:val="{E0EBFEA0-5AE9-45D6-BDE8-1EAC0EE9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E3"/>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rsid w:val="00BB26E3"/>
    <w:rPr>
      <w:rFonts w:ascii="Times New Roman" w:hAnsi="Times New Roman"/>
      <w:sz w:val="20"/>
      <w:szCs w:val="20"/>
    </w:rPr>
  </w:style>
  <w:style w:type="character" w:customStyle="1" w:styleId="FootnoteTextChar">
    <w:name w:val="Footnote Text Char"/>
    <w:basedOn w:val="DefaultParagraphFont"/>
    <w:link w:val="FootnoteText"/>
    <w:rsid w:val="00BB26E3"/>
  </w:style>
  <w:style w:type="character" w:styleId="FootnoteReference">
    <w:name w:val="footnote reference"/>
    <w:basedOn w:val="DefaultParagraphFont"/>
    <w:rsid w:val="00AE3A15"/>
    <w:rPr>
      <w:vertAlign w:val="superscript"/>
    </w:rPr>
  </w:style>
  <w:style w:type="paragraph" w:styleId="BalloonText">
    <w:name w:val="Balloon Text"/>
    <w:basedOn w:val="Normal"/>
    <w:link w:val="BalloonTextChar"/>
    <w:rsid w:val="0018585E"/>
    <w:rPr>
      <w:rFonts w:ascii="Segoe UI" w:hAnsi="Segoe UI" w:cs="Segoe UI"/>
      <w:sz w:val="18"/>
      <w:szCs w:val="18"/>
    </w:rPr>
  </w:style>
  <w:style w:type="character" w:customStyle="1" w:styleId="BalloonTextChar">
    <w:name w:val="Balloon Text Char"/>
    <w:basedOn w:val="DefaultParagraphFont"/>
    <w:link w:val="BalloonText"/>
    <w:rsid w:val="0018585E"/>
    <w:rPr>
      <w:rFonts w:ascii="Segoe UI" w:hAnsi="Segoe UI" w:cs="Segoe UI"/>
      <w:sz w:val="18"/>
      <w:szCs w:val="18"/>
    </w:rPr>
  </w:style>
  <w:style w:type="paragraph" w:styleId="ListParagraph">
    <w:name w:val="List Paragraph"/>
    <w:basedOn w:val="Normal"/>
    <w:uiPriority w:val="34"/>
    <w:qFormat/>
    <w:rsid w:val="007552A8"/>
    <w:pPr>
      <w:ind w:left="720"/>
      <w:contextualSpacing/>
    </w:pPr>
  </w:style>
  <w:style w:type="character" w:customStyle="1" w:styleId="HeaderChar">
    <w:name w:val="Header Char"/>
    <w:basedOn w:val="DefaultParagraphFont"/>
    <w:link w:val="Header"/>
    <w:uiPriority w:val="99"/>
    <w:rsid w:val="00CC0C35"/>
    <w:rPr>
      <w:rFonts w:ascii="Palatino Linotype" w:hAnsi="Palatino Linotype"/>
      <w:sz w:val="24"/>
      <w:szCs w:val="24"/>
    </w:rPr>
  </w:style>
  <w:style w:type="character" w:customStyle="1" w:styleId="norm-text">
    <w:name w:val="norm-text"/>
    <w:basedOn w:val="DefaultParagraphFont"/>
    <w:rsid w:val="003302F8"/>
  </w:style>
  <w:style w:type="character" w:styleId="CommentReference">
    <w:name w:val="annotation reference"/>
    <w:basedOn w:val="DefaultParagraphFont"/>
    <w:rsid w:val="00D273EF"/>
    <w:rPr>
      <w:sz w:val="16"/>
      <w:szCs w:val="16"/>
    </w:rPr>
  </w:style>
  <w:style w:type="paragraph" w:styleId="CommentText">
    <w:name w:val="annotation text"/>
    <w:basedOn w:val="Normal"/>
    <w:link w:val="CommentTextChar"/>
    <w:rsid w:val="00D273EF"/>
    <w:rPr>
      <w:sz w:val="20"/>
      <w:szCs w:val="20"/>
    </w:rPr>
  </w:style>
  <w:style w:type="character" w:customStyle="1" w:styleId="CommentTextChar">
    <w:name w:val="Comment Text Char"/>
    <w:basedOn w:val="DefaultParagraphFont"/>
    <w:link w:val="CommentText"/>
    <w:rsid w:val="00D273EF"/>
    <w:rPr>
      <w:rFonts w:ascii="Palatino Linotype" w:hAnsi="Palatino Linotype"/>
    </w:rPr>
  </w:style>
  <w:style w:type="paragraph" w:styleId="CommentSubject">
    <w:name w:val="annotation subject"/>
    <w:basedOn w:val="CommentText"/>
    <w:next w:val="CommentText"/>
    <w:link w:val="CommentSubjectChar"/>
    <w:rsid w:val="00D273EF"/>
    <w:rPr>
      <w:b/>
      <w:bCs/>
    </w:rPr>
  </w:style>
  <w:style w:type="character" w:customStyle="1" w:styleId="CommentSubjectChar">
    <w:name w:val="Comment Subject Char"/>
    <w:basedOn w:val="CommentTextChar"/>
    <w:link w:val="CommentSubject"/>
    <w:rsid w:val="00D273EF"/>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2017-05-01T07:00:00+00:00</OpenedDate>
    <Date1 xmlns="dc463f71-b30c-4ab2-9473-d307f9d35888">2017-07-27T07:00:00+00:00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170327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B45FDC401700499E3FD1377665C730" ma:contentTypeVersion="92" ma:contentTypeDescription="" ma:contentTypeScope="" ma:versionID="b7903622f7e4a99b8610dd8707e180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0F53429-7574-46D0-87CA-2DFC068085DA}">
  <ds:schemaRefs>
    <ds:schemaRef ds:uri="http://purl.org/dc/elements/1.1/"/>
    <ds:schemaRef ds:uri="751276d0-61bc-4dad-b75c-21dfd12630ad"/>
    <ds:schemaRef ds:uri="FB435683-A810-422F-8CC5-6D12CD63B98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8C1B6BE-6FA8-4E31-86D9-CCFD5C6F337C}">
  <ds:schemaRefs>
    <ds:schemaRef ds:uri="http://schemas.microsoft.com/sharepoint/v3/contenttype/forms"/>
  </ds:schemaRefs>
</ds:datastoreItem>
</file>

<file path=customXml/itemProps3.xml><?xml version="1.0" encoding="utf-8"?>
<ds:datastoreItem xmlns:ds="http://schemas.openxmlformats.org/officeDocument/2006/customXml" ds:itemID="{DD33E9AD-7678-450C-A0EC-14BB6315E8DE}"/>
</file>

<file path=customXml/itemProps4.xml><?xml version="1.0" encoding="utf-8"?>
<ds:datastoreItem xmlns:ds="http://schemas.openxmlformats.org/officeDocument/2006/customXml" ds:itemID="{17B4F733-2142-4BCF-8E7D-CEB989A76D12}">
  <ds:schemaRefs>
    <ds:schemaRef ds:uri="http://schemas.openxmlformats.org/officeDocument/2006/bibliography"/>
  </ds:schemaRefs>
</ds:datastoreItem>
</file>

<file path=customXml/itemProps5.xml><?xml version="1.0" encoding="utf-8"?>
<ds:datastoreItem xmlns:ds="http://schemas.openxmlformats.org/officeDocument/2006/customXml" ds:itemID="{6FED71E5-3C35-4965-B66D-2C0021448F9B}"/>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UE-170327 memo</vt:lpstr>
    </vt:vector>
  </TitlesOfParts>
  <Company>WUTC</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UE-170327 memo</dc:title>
  <dc:subject/>
  <dc:creator>VDeferia</dc:creator>
  <cp:keywords/>
  <dc:description/>
  <cp:lastModifiedBy>Wyse, Lisa (UTC)</cp:lastModifiedBy>
  <cp:revision>2</cp:revision>
  <cp:lastPrinted>2017-07-19T22:54:00Z</cp:lastPrinted>
  <dcterms:created xsi:type="dcterms:W3CDTF">2017-07-24T20:22:00Z</dcterms:created>
  <dcterms:modified xsi:type="dcterms:W3CDTF">2017-07-24T20:22:00Z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0x0101006E56B4D1795A2E4DB2F0B01679ED314A00D0B45FDC401700499E3FD1377665C730</vt:lpwstr>
  </property>
  <property fmtid="{D5CDD505-2E9C-101B-9397-08002B2CF9AE}" pid="3" name="_docset_NoMedatataSyncRequired">
    <vt:lpwstr>False</vt:lpwstr>
  </property>
  <property fmtid="{D5CDD505-2E9C-101B-9397-08002B2CF9AE}" pid="4" name="IsEFSEC">
    <vt:bool>false</vt:bool>
  </property>
</Properties>
</file>