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5D13A" w14:textId="57048C75" w:rsidR="00633FE5" w:rsidRPr="00474A0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r w:rsidRPr="00C9072F">
        <w:rPr>
          <w:rFonts w:ascii="Times New Roman" w:hAnsi="Times New Roman"/>
          <w:bCs/>
          <w:sz w:val="24"/>
        </w:rPr>
        <w:t>Agenda Date:</w:t>
      </w:r>
      <w:r w:rsidRPr="00474A0A">
        <w:rPr>
          <w:rFonts w:ascii="Times New Roman" w:hAnsi="Times New Roman"/>
          <w:b/>
          <w:bCs/>
          <w:sz w:val="24"/>
        </w:rPr>
        <w:tab/>
      </w:r>
      <w:r w:rsidRPr="00474A0A">
        <w:rPr>
          <w:rFonts w:ascii="Times New Roman" w:hAnsi="Times New Roman"/>
          <w:b/>
          <w:bCs/>
          <w:sz w:val="24"/>
        </w:rPr>
        <w:tab/>
      </w:r>
      <w:r w:rsidR="00A447BF" w:rsidRPr="00A447BF">
        <w:rPr>
          <w:rFonts w:ascii="Times New Roman" w:hAnsi="Times New Roman"/>
          <w:bCs/>
          <w:sz w:val="24"/>
        </w:rPr>
        <w:t>February 9</w:t>
      </w:r>
      <w:r w:rsidR="00A77552" w:rsidRPr="00A447BF">
        <w:rPr>
          <w:rFonts w:ascii="Times New Roman" w:hAnsi="Times New Roman"/>
          <w:bCs/>
          <w:sz w:val="24"/>
        </w:rPr>
        <w:t>, 201</w:t>
      </w:r>
      <w:r w:rsidR="004623C8" w:rsidRPr="00A447BF">
        <w:rPr>
          <w:rFonts w:ascii="Times New Roman" w:hAnsi="Times New Roman"/>
          <w:bCs/>
          <w:sz w:val="24"/>
        </w:rPr>
        <w:t>7</w:t>
      </w:r>
    </w:p>
    <w:p w14:paraId="04D5D13B" w14:textId="690183EA" w:rsidR="00633FE5" w:rsidRPr="004970DA" w:rsidRDefault="0094336B"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Item Number</w:t>
      </w:r>
      <w:r w:rsidR="00633FE5" w:rsidRPr="004970DA">
        <w:rPr>
          <w:rFonts w:ascii="Times New Roman" w:hAnsi="Times New Roman"/>
          <w:sz w:val="24"/>
        </w:rPr>
        <w:t>:</w:t>
      </w:r>
      <w:r w:rsidR="00633FE5" w:rsidRPr="004970DA">
        <w:rPr>
          <w:rFonts w:ascii="Times New Roman" w:hAnsi="Times New Roman"/>
          <w:sz w:val="24"/>
        </w:rPr>
        <w:tab/>
      </w:r>
      <w:r w:rsidR="00497E69" w:rsidRPr="00231020">
        <w:rPr>
          <w:rFonts w:ascii="Times New Roman" w:hAnsi="Times New Roman"/>
          <w:sz w:val="24"/>
        </w:rPr>
        <w:tab/>
      </w:r>
      <w:r w:rsidR="00231020" w:rsidRPr="00231020">
        <w:rPr>
          <w:rFonts w:ascii="Times New Roman" w:hAnsi="Times New Roman"/>
          <w:sz w:val="24"/>
        </w:rPr>
        <w:t>A</w:t>
      </w:r>
      <w:r w:rsidR="005D25C7">
        <w:rPr>
          <w:rFonts w:ascii="Times New Roman" w:hAnsi="Times New Roman"/>
          <w:sz w:val="24"/>
        </w:rPr>
        <w:t>2</w:t>
      </w:r>
    </w:p>
    <w:p w14:paraId="04D5D13C"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p>
    <w:p w14:paraId="04D5D13D" w14:textId="24D79CE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r w:rsidRPr="004970DA">
        <w:rPr>
          <w:rFonts w:ascii="Times New Roman" w:hAnsi="Times New Roman"/>
          <w:b/>
          <w:bCs/>
          <w:sz w:val="24"/>
        </w:rPr>
        <w:t xml:space="preserve">Docket: </w:t>
      </w:r>
      <w:r w:rsidRPr="004970DA">
        <w:rPr>
          <w:rFonts w:ascii="Times New Roman" w:hAnsi="Times New Roman"/>
          <w:b/>
          <w:bCs/>
          <w:sz w:val="24"/>
        </w:rPr>
        <w:tab/>
      </w:r>
      <w:r w:rsidRPr="004970DA">
        <w:rPr>
          <w:rFonts w:ascii="Times New Roman" w:hAnsi="Times New Roman"/>
          <w:b/>
          <w:bCs/>
          <w:sz w:val="24"/>
        </w:rPr>
        <w:tab/>
      </w:r>
      <w:r w:rsidR="0005340D" w:rsidRPr="004970DA">
        <w:rPr>
          <w:rFonts w:ascii="Times New Roman" w:hAnsi="Times New Roman"/>
          <w:b/>
          <w:bCs/>
          <w:sz w:val="24"/>
        </w:rPr>
        <w:t>U</w:t>
      </w:r>
      <w:r w:rsidR="0005340D">
        <w:rPr>
          <w:rFonts w:ascii="Times New Roman" w:hAnsi="Times New Roman"/>
          <w:b/>
          <w:bCs/>
          <w:sz w:val="24"/>
        </w:rPr>
        <w:t>E</w:t>
      </w:r>
      <w:r w:rsidR="0005340D" w:rsidRPr="004970DA">
        <w:rPr>
          <w:rFonts w:ascii="Times New Roman" w:hAnsi="Times New Roman"/>
          <w:b/>
          <w:bCs/>
          <w:sz w:val="24"/>
        </w:rPr>
        <w:t>-</w:t>
      </w:r>
      <w:r w:rsidR="004623C8">
        <w:rPr>
          <w:rFonts w:ascii="Times New Roman" w:hAnsi="Times New Roman"/>
          <w:b/>
          <w:bCs/>
          <w:sz w:val="24"/>
        </w:rPr>
        <w:t>161240</w:t>
      </w:r>
      <w:r w:rsidR="003F73F7">
        <w:rPr>
          <w:rFonts w:ascii="Times New Roman" w:hAnsi="Times New Roman"/>
          <w:b/>
          <w:bCs/>
          <w:sz w:val="24"/>
        </w:rPr>
        <w:t xml:space="preserve"> </w:t>
      </w:r>
    </w:p>
    <w:p w14:paraId="04D5D13E" w14:textId="6410FF4F"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Company Name:</w:t>
      </w:r>
      <w:r w:rsidRPr="004970DA">
        <w:rPr>
          <w:rFonts w:ascii="Times New Roman" w:hAnsi="Times New Roman"/>
          <w:sz w:val="24"/>
        </w:rPr>
        <w:tab/>
        <w:t>Puget Sound Energy</w:t>
      </w:r>
    </w:p>
    <w:p w14:paraId="04D5D13F"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bookmarkStart w:id="0" w:name="_GoBack"/>
      <w:bookmarkEnd w:id="0"/>
    </w:p>
    <w:p w14:paraId="04D5D141" w14:textId="287C0B31" w:rsidR="009B602E" w:rsidRPr="004970DA" w:rsidRDefault="004B3E22"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Pr>
          <w:rFonts w:ascii="Times New Roman" w:hAnsi="Times New Roman"/>
          <w:sz w:val="24"/>
          <w:u w:val="single"/>
        </w:rPr>
        <w:t>Staff</w:t>
      </w:r>
      <w:r w:rsidR="00633FE5" w:rsidRPr="004970DA">
        <w:rPr>
          <w:rFonts w:ascii="Times New Roman" w:hAnsi="Times New Roman"/>
          <w:sz w:val="24"/>
          <w:u w:val="single"/>
        </w:rPr>
        <w:t>:</w:t>
      </w:r>
      <w:r w:rsidR="00633FE5" w:rsidRPr="004970DA">
        <w:rPr>
          <w:rFonts w:ascii="Times New Roman" w:hAnsi="Times New Roman"/>
          <w:sz w:val="24"/>
        </w:rPr>
        <w:tab/>
      </w:r>
      <w:r w:rsidR="00633FE5" w:rsidRPr="004970DA">
        <w:rPr>
          <w:rFonts w:ascii="Times New Roman" w:hAnsi="Times New Roman"/>
          <w:sz w:val="24"/>
        </w:rPr>
        <w:tab/>
      </w:r>
      <w:r w:rsidR="00633FE5" w:rsidRPr="004970DA">
        <w:rPr>
          <w:rFonts w:ascii="Times New Roman" w:hAnsi="Times New Roman"/>
          <w:sz w:val="24"/>
        </w:rPr>
        <w:tab/>
      </w:r>
      <w:r w:rsidR="001458A5">
        <w:rPr>
          <w:rFonts w:ascii="Times New Roman" w:hAnsi="Times New Roman"/>
          <w:sz w:val="24"/>
        </w:rPr>
        <w:t>David Gomez,</w:t>
      </w:r>
      <w:r w:rsidR="00131690">
        <w:rPr>
          <w:rFonts w:ascii="Times New Roman" w:hAnsi="Times New Roman"/>
          <w:sz w:val="24"/>
        </w:rPr>
        <w:t xml:space="preserve"> Assistant Power Supply Manager</w:t>
      </w:r>
    </w:p>
    <w:p w14:paraId="04D5D142" w14:textId="77777777"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4" w14:textId="77777777" w:rsidR="00633FE5" w:rsidRPr="00025483" w:rsidRDefault="00633FE5" w:rsidP="00D956A1">
      <w:pPr>
        <w:pStyle w:val="Heading1"/>
        <w:spacing w:before="120" w:after="120"/>
        <w:rPr>
          <w:rStyle w:val="BookTitle"/>
        </w:rPr>
      </w:pPr>
      <w:r w:rsidRPr="00025483">
        <w:rPr>
          <w:rStyle w:val="BookTitle"/>
        </w:rPr>
        <w:t>Recommendation</w:t>
      </w:r>
    </w:p>
    <w:p w14:paraId="04D5D146" w14:textId="6B85DC2C" w:rsidR="00F273C6" w:rsidRPr="004970DA" w:rsidRDefault="00C86B68" w:rsidP="00D95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r>
        <w:rPr>
          <w:rFonts w:ascii="Times New Roman" w:hAnsi="Times New Roman"/>
          <w:sz w:val="24"/>
        </w:rPr>
        <w:t xml:space="preserve">Staff recommends the commission </w:t>
      </w:r>
      <w:r w:rsidR="003C0D22">
        <w:rPr>
          <w:rFonts w:ascii="Times New Roman" w:hAnsi="Times New Roman"/>
          <w:sz w:val="24"/>
        </w:rPr>
        <w:t>take no action</w:t>
      </w:r>
      <w:r w:rsidR="00CA36C9">
        <w:rPr>
          <w:rFonts w:ascii="Times New Roman" w:hAnsi="Times New Roman"/>
          <w:sz w:val="24"/>
        </w:rPr>
        <w:t>,</w:t>
      </w:r>
      <w:r w:rsidR="003C0D22">
        <w:rPr>
          <w:rFonts w:ascii="Times New Roman" w:hAnsi="Times New Roman"/>
          <w:sz w:val="24"/>
        </w:rPr>
        <w:t xml:space="preserve"> thereby</w:t>
      </w:r>
      <w:r w:rsidR="00CA36C9">
        <w:rPr>
          <w:rFonts w:ascii="Times New Roman" w:hAnsi="Times New Roman"/>
          <w:sz w:val="24"/>
        </w:rPr>
        <w:t>,</w:t>
      </w:r>
      <w:r w:rsidR="003C0D22">
        <w:rPr>
          <w:rFonts w:ascii="Times New Roman" w:hAnsi="Times New Roman"/>
          <w:sz w:val="24"/>
        </w:rPr>
        <w:t xml:space="preserve"> allowing the </w:t>
      </w:r>
      <w:r w:rsidR="00A801C5">
        <w:rPr>
          <w:rFonts w:ascii="Times New Roman" w:hAnsi="Times New Roman"/>
          <w:sz w:val="24"/>
        </w:rPr>
        <w:t xml:space="preserve">revisions </w:t>
      </w:r>
      <w:r>
        <w:rPr>
          <w:rFonts w:ascii="Times New Roman" w:hAnsi="Times New Roman"/>
          <w:sz w:val="24"/>
        </w:rPr>
        <w:t xml:space="preserve">to </w:t>
      </w:r>
      <w:r w:rsidR="00C83A1A">
        <w:rPr>
          <w:rFonts w:ascii="Times New Roman" w:hAnsi="Times New Roman"/>
          <w:sz w:val="24"/>
        </w:rPr>
        <w:t>Puget Sound Energy</w:t>
      </w:r>
      <w:r>
        <w:rPr>
          <w:rFonts w:ascii="Times New Roman" w:hAnsi="Times New Roman"/>
          <w:sz w:val="24"/>
        </w:rPr>
        <w:t xml:space="preserve">’s </w:t>
      </w:r>
      <w:r w:rsidRPr="00C86B68">
        <w:rPr>
          <w:rFonts w:ascii="Times New Roman" w:hAnsi="Times New Roman"/>
          <w:sz w:val="24"/>
        </w:rPr>
        <w:t>Tariff Schedule No. 91 – Cogeneration and Small Power Production</w:t>
      </w:r>
      <w:r w:rsidR="00C83A1A">
        <w:rPr>
          <w:rFonts w:ascii="Times New Roman" w:hAnsi="Times New Roman"/>
          <w:sz w:val="24"/>
        </w:rPr>
        <w:t>,</w:t>
      </w:r>
      <w:r w:rsidR="00A801C5">
        <w:rPr>
          <w:rFonts w:ascii="Times New Roman" w:hAnsi="Times New Roman"/>
          <w:sz w:val="24"/>
        </w:rPr>
        <w:t xml:space="preserve"> to go into effect by op</w:t>
      </w:r>
      <w:r w:rsidR="00C83A1A">
        <w:rPr>
          <w:rFonts w:ascii="Times New Roman" w:hAnsi="Times New Roman"/>
          <w:sz w:val="24"/>
        </w:rPr>
        <w:t>eration of law</w:t>
      </w:r>
      <w:r w:rsidR="00D73959">
        <w:rPr>
          <w:rFonts w:ascii="Times New Roman" w:hAnsi="Times New Roman"/>
          <w:sz w:val="24"/>
        </w:rPr>
        <w:t>.</w:t>
      </w:r>
      <w:r w:rsidR="009D1BB7">
        <w:rPr>
          <w:rFonts w:ascii="Times New Roman" w:hAnsi="Times New Roman"/>
          <w:sz w:val="24"/>
        </w:rPr>
        <w:t xml:space="preserve">  </w:t>
      </w:r>
    </w:p>
    <w:p w14:paraId="04D5D148" w14:textId="40B06DDD" w:rsidR="00633FE5" w:rsidRPr="00025483" w:rsidRDefault="00FD0147" w:rsidP="00D956A1">
      <w:pPr>
        <w:pStyle w:val="Heading1"/>
        <w:spacing w:before="120" w:after="120"/>
        <w:rPr>
          <w:rStyle w:val="BookTitle"/>
        </w:rPr>
      </w:pPr>
      <w:r>
        <w:rPr>
          <w:rStyle w:val="BookTitle"/>
        </w:rPr>
        <w:t>Background</w:t>
      </w:r>
      <w:r w:rsidR="006E0D51">
        <w:rPr>
          <w:rStyle w:val="BookTitle"/>
        </w:rPr>
        <w:t xml:space="preserve"> and Discussion</w:t>
      </w:r>
    </w:p>
    <w:p w14:paraId="59869A84" w14:textId="0517337A" w:rsidR="0018347E" w:rsidRDefault="00D5196F" w:rsidP="00B61D93">
      <w:pPr>
        <w:spacing w:before="120" w:after="120"/>
        <w:rPr>
          <w:rFonts w:ascii="Times New Roman" w:hAnsi="Times New Roman"/>
          <w:sz w:val="24"/>
        </w:rPr>
      </w:pPr>
      <w:r w:rsidRPr="00D5196F">
        <w:rPr>
          <w:rFonts w:ascii="Times New Roman" w:hAnsi="Times New Roman"/>
          <w:sz w:val="24"/>
        </w:rPr>
        <w:t xml:space="preserve">On </w:t>
      </w:r>
      <w:r w:rsidRPr="00D5196F">
        <w:rPr>
          <w:rFonts w:ascii="Times New Roman" w:hAnsi="Times New Roman"/>
          <w:sz w:val="24"/>
        </w:rPr>
        <w:fldChar w:fldCharType="begin"/>
      </w:r>
      <w:r w:rsidRPr="00D5196F">
        <w:rPr>
          <w:rFonts w:ascii="Times New Roman" w:hAnsi="Times New Roman"/>
          <w:sz w:val="24"/>
        </w:rPr>
        <w:instrText xml:space="preserve"> ask filing_date "Enter Filing Date" </w:instrText>
      </w:r>
      <w:r w:rsidRPr="00D5196F">
        <w:rPr>
          <w:rFonts w:ascii="Times New Roman" w:hAnsi="Times New Roman"/>
          <w:sz w:val="24"/>
        </w:rPr>
        <w:fldChar w:fldCharType="separate"/>
      </w:r>
      <w:bookmarkStart w:id="1" w:name="filing_date"/>
      <w:r w:rsidRPr="00D5196F">
        <w:rPr>
          <w:rFonts w:ascii="Times New Roman" w:hAnsi="Times New Roman"/>
          <w:sz w:val="24"/>
        </w:rPr>
        <w:t>March 31, 2014</w:t>
      </w:r>
      <w:bookmarkEnd w:id="1"/>
      <w:r w:rsidRPr="00D5196F">
        <w:rPr>
          <w:rFonts w:ascii="Times New Roman" w:hAnsi="Times New Roman"/>
          <w:sz w:val="24"/>
        </w:rPr>
        <w:fldChar w:fldCharType="end"/>
      </w:r>
      <w:r w:rsidR="00D80B64">
        <w:rPr>
          <w:rFonts w:ascii="Times New Roman" w:hAnsi="Times New Roman"/>
          <w:sz w:val="24"/>
        </w:rPr>
        <w:t>November 23</w:t>
      </w:r>
      <w:r w:rsidRPr="00D5196F">
        <w:rPr>
          <w:rFonts w:ascii="Times New Roman" w:hAnsi="Times New Roman"/>
          <w:sz w:val="24"/>
        </w:rPr>
        <w:t>, 2016,</w:t>
      </w:r>
      <w:r w:rsidRPr="00D5196F">
        <w:rPr>
          <w:rFonts w:ascii="Times New Roman" w:hAnsi="Times New Roman"/>
          <w:b/>
          <w:bCs/>
          <w:sz w:val="24"/>
        </w:rPr>
        <w:t xml:space="preserve"> </w:t>
      </w:r>
      <w:r w:rsidRPr="00D5196F">
        <w:rPr>
          <w:rFonts w:ascii="Times New Roman" w:hAnsi="Times New Roman"/>
          <w:bCs/>
          <w:sz w:val="24"/>
        </w:rPr>
        <w:t xml:space="preserve">Puget Sound Energy </w:t>
      </w:r>
      <w:r w:rsidR="004B3E22">
        <w:rPr>
          <w:rFonts w:ascii="Times New Roman" w:hAnsi="Times New Roman"/>
          <w:bCs/>
          <w:sz w:val="24"/>
        </w:rPr>
        <w:t xml:space="preserve">(PSE </w:t>
      </w:r>
      <w:r w:rsidRPr="00D5196F">
        <w:rPr>
          <w:rFonts w:ascii="Times New Roman" w:hAnsi="Times New Roman"/>
          <w:sz w:val="24"/>
        </w:rPr>
        <w:t xml:space="preserve">or </w:t>
      </w:r>
      <w:r w:rsidR="0042240E">
        <w:rPr>
          <w:rFonts w:ascii="Times New Roman" w:hAnsi="Times New Roman"/>
          <w:sz w:val="24"/>
        </w:rPr>
        <w:t>c</w:t>
      </w:r>
      <w:r w:rsidRPr="00D5196F">
        <w:rPr>
          <w:rFonts w:ascii="Times New Roman" w:hAnsi="Times New Roman"/>
          <w:sz w:val="24"/>
        </w:rPr>
        <w:t>ompany)</w:t>
      </w:r>
      <w:r w:rsidRPr="00D5196F">
        <w:rPr>
          <w:rFonts w:ascii="Times New Roman" w:hAnsi="Times New Roman"/>
          <w:b/>
          <w:bCs/>
          <w:sz w:val="24"/>
        </w:rPr>
        <w:t xml:space="preserve"> </w:t>
      </w:r>
      <w:r w:rsidRPr="00D5196F">
        <w:rPr>
          <w:rFonts w:ascii="Times New Roman" w:hAnsi="Times New Roman"/>
          <w:sz w:val="24"/>
        </w:rPr>
        <w:t xml:space="preserve">filed with the Washington Utilities and Transportation </w:t>
      </w:r>
      <w:r w:rsidR="004B3E22">
        <w:rPr>
          <w:rFonts w:ascii="Times New Roman" w:hAnsi="Times New Roman"/>
          <w:sz w:val="24"/>
        </w:rPr>
        <w:t>Commission</w:t>
      </w:r>
      <w:r w:rsidRPr="00D5196F">
        <w:rPr>
          <w:rFonts w:ascii="Times New Roman" w:hAnsi="Times New Roman"/>
          <w:sz w:val="24"/>
        </w:rPr>
        <w:t xml:space="preserve"> (</w:t>
      </w:r>
      <w:r w:rsidR="0034441D">
        <w:rPr>
          <w:rFonts w:ascii="Times New Roman" w:hAnsi="Times New Roman"/>
          <w:sz w:val="24"/>
        </w:rPr>
        <w:t>commission</w:t>
      </w:r>
      <w:r w:rsidRPr="00D5196F">
        <w:rPr>
          <w:rFonts w:ascii="Times New Roman" w:hAnsi="Times New Roman"/>
          <w:sz w:val="24"/>
        </w:rPr>
        <w:t xml:space="preserve">) </w:t>
      </w:r>
      <w:r w:rsidR="00145233">
        <w:rPr>
          <w:rFonts w:ascii="Times New Roman" w:hAnsi="Times New Roman"/>
          <w:sz w:val="24"/>
        </w:rPr>
        <w:t xml:space="preserve">its annual </w:t>
      </w:r>
      <w:r w:rsidR="00D80B64">
        <w:rPr>
          <w:rFonts w:ascii="Times New Roman" w:hAnsi="Times New Roman"/>
          <w:sz w:val="24"/>
        </w:rPr>
        <w:t xml:space="preserve">revision to its Tariff Schedule No. 91 </w:t>
      </w:r>
      <w:r w:rsidR="00D80B64" w:rsidRPr="00D80B64">
        <w:rPr>
          <w:rFonts w:ascii="Times New Roman" w:hAnsi="Times New Roman"/>
          <w:sz w:val="24"/>
        </w:rPr>
        <w:t>– Cogeneration and Small Power Production</w:t>
      </w:r>
      <w:r w:rsidR="00B8016B">
        <w:rPr>
          <w:rFonts w:ascii="Times New Roman" w:hAnsi="Times New Roman"/>
          <w:sz w:val="24"/>
        </w:rPr>
        <w:t xml:space="preserve"> (Schedule 91)</w:t>
      </w:r>
      <w:r w:rsidR="00C729FE">
        <w:rPr>
          <w:rFonts w:ascii="Times New Roman" w:hAnsi="Times New Roman"/>
          <w:sz w:val="24"/>
        </w:rPr>
        <w:t>.</w:t>
      </w:r>
      <w:r w:rsidR="00073894">
        <w:rPr>
          <w:rStyle w:val="FootnoteReference"/>
          <w:rFonts w:ascii="Times New Roman" w:hAnsi="Times New Roman"/>
          <w:sz w:val="24"/>
        </w:rPr>
        <w:footnoteReference w:id="1"/>
      </w:r>
      <w:r w:rsidR="00C729FE">
        <w:rPr>
          <w:rFonts w:ascii="Times New Roman" w:hAnsi="Times New Roman"/>
          <w:sz w:val="24"/>
        </w:rPr>
        <w:t xml:space="preserve"> </w:t>
      </w:r>
      <w:r w:rsidR="00D76CF3">
        <w:rPr>
          <w:rFonts w:ascii="Times New Roman" w:hAnsi="Times New Roman"/>
          <w:sz w:val="24"/>
        </w:rPr>
        <w:t>T</w:t>
      </w:r>
      <w:r w:rsidR="00B8016B">
        <w:rPr>
          <w:rFonts w:ascii="Times New Roman" w:hAnsi="Times New Roman"/>
          <w:sz w:val="24"/>
        </w:rPr>
        <w:t>he prop</w:t>
      </w:r>
      <w:r w:rsidR="00710EA9">
        <w:rPr>
          <w:rFonts w:ascii="Times New Roman" w:hAnsi="Times New Roman"/>
          <w:sz w:val="24"/>
        </w:rPr>
        <w:t>o</w:t>
      </w:r>
      <w:r w:rsidR="00B8016B">
        <w:rPr>
          <w:rFonts w:ascii="Times New Roman" w:hAnsi="Times New Roman"/>
          <w:sz w:val="24"/>
        </w:rPr>
        <w:t>sed revisions to Schedule 91</w:t>
      </w:r>
      <w:r w:rsidR="00710EA9">
        <w:rPr>
          <w:rFonts w:ascii="Times New Roman" w:hAnsi="Times New Roman"/>
          <w:sz w:val="24"/>
        </w:rPr>
        <w:t>:</w:t>
      </w:r>
      <w:r w:rsidR="00B8016B">
        <w:rPr>
          <w:rFonts w:ascii="Times New Roman" w:hAnsi="Times New Roman"/>
          <w:sz w:val="24"/>
        </w:rPr>
        <w:t xml:space="preserve"> </w:t>
      </w:r>
    </w:p>
    <w:p w14:paraId="238F4BC6" w14:textId="4A3D432D" w:rsidR="00B8016B" w:rsidRDefault="00CB3E81" w:rsidP="0018347E">
      <w:pPr>
        <w:pStyle w:val="ListParagraph"/>
        <w:numPr>
          <w:ilvl w:val="0"/>
          <w:numId w:val="9"/>
        </w:numPr>
        <w:spacing w:before="120" w:after="120"/>
        <w:contextualSpacing w:val="0"/>
        <w:rPr>
          <w:rFonts w:ascii="Times New Roman" w:hAnsi="Times New Roman"/>
          <w:sz w:val="24"/>
        </w:rPr>
      </w:pPr>
      <w:r>
        <w:rPr>
          <w:rFonts w:ascii="Times New Roman" w:hAnsi="Times New Roman"/>
          <w:sz w:val="24"/>
        </w:rPr>
        <w:t xml:space="preserve">Update the rates </w:t>
      </w:r>
      <w:r w:rsidR="00710EA9">
        <w:rPr>
          <w:rFonts w:ascii="Times New Roman" w:hAnsi="Times New Roman"/>
          <w:sz w:val="24"/>
        </w:rPr>
        <w:t xml:space="preserve">provided under </w:t>
      </w:r>
      <w:r>
        <w:rPr>
          <w:rFonts w:ascii="Times New Roman" w:hAnsi="Times New Roman"/>
          <w:sz w:val="24"/>
        </w:rPr>
        <w:t>the fixed-price option to</w:t>
      </w:r>
      <w:r w:rsidR="00D76CF3">
        <w:rPr>
          <w:rFonts w:ascii="Times New Roman" w:hAnsi="Times New Roman"/>
          <w:sz w:val="24"/>
        </w:rPr>
        <w:t xml:space="preserve"> reflect</w:t>
      </w:r>
      <w:r w:rsidR="00B8016B">
        <w:rPr>
          <w:rFonts w:ascii="Times New Roman" w:hAnsi="Times New Roman"/>
          <w:sz w:val="24"/>
        </w:rPr>
        <w:t>:</w:t>
      </w:r>
    </w:p>
    <w:p w14:paraId="2A45B4DB" w14:textId="55C8BF69" w:rsidR="0018347E" w:rsidRDefault="00D76CF3" w:rsidP="00B8016B">
      <w:pPr>
        <w:pStyle w:val="ListParagraph"/>
        <w:numPr>
          <w:ilvl w:val="1"/>
          <w:numId w:val="9"/>
        </w:numPr>
        <w:spacing w:before="120" w:after="120"/>
        <w:contextualSpacing w:val="0"/>
        <w:rPr>
          <w:rFonts w:ascii="Times New Roman" w:hAnsi="Times New Roman"/>
          <w:sz w:val="24"/>
        </w:rPr>
      </w:pPr>
      <w:r>
        <w:rPr>
          <w:rFonts w:ascii="Times New Roman" w:hAnsi="Times New Roman"/>
          <w:sz w:val="24"/>
        </w:rPr>
        <w:t>T</w:t>
      </w:r>
      <w:r w:rsidR="00CB3E81">
        <w:rPr>
          <w:rFonts w:ascii="Times New Roman" w:hAnsi="Times New Roman"/>
          <w:sz w:val="24"/>
        </w:rPr>
        <w:t xml:space="preserve">he </w:t>
      </w:r>
      <w:r>
        <w:rPr>
          <w:rFonts w:ascii="Times New Roman" w:hAnsi="Times New Roman"/>
          <w:sz w:val="24"/>
        </w:rPr>
        <w:t xml:space="preserve">company’s </w:t>
      </w:r>
      <w:r w:rsidR="00CB3E81">
        <w:rPr>
          <w:rFonts w:ascii="Times New Roman" w:hAnsi="Times New Roman"/>
          <w:sz w:val="24"/>
        </w:rPr>
        <w:t xml:space="preserve">most recent market prices for </w:t>
      </w:r>
      <w:r w:rsidR="00710EA9">
        <w:rPr>
          <w:rFonts w:ascii="Times New Roman" w:hAnsi="Times New Roman"/>
          <w:sz w:val="24"/>
        </w:rPr>
        <w:t xml:space="preserve">energy </w:t>
      </w:r>
      <w:r w:rsidR="00CB3E81">
        <w:rPr>
          <w:rFonts w:ascii="Times New Roman" w:hAnsi="Times New Roman"/>
          <w:sz w:val="24"/>
        </w:rPr>
        <w:t>and gas</w:t>
      </w:r>
      <w:r w:rsidR="00F031E2">
        <w:rPr>
          <w:rFonts w:ascii="Times New Roman" w:hAnsi="Times New Roman"/>
          <w:sz w:val="24"/>
        </w:rPr>
        <w:t>;</w:t>
      </w:r>
      <w:r>
        <w:rPr>
          <w:rFonts w:ascii="Times New Roman" w:hAnsi="Times New Roman"/>
          <w:sz w:val="24"/>
        </w:rPr>
        <w:t xml:space="preserve"> and</w:t>
      </w:r>
    </w:p>
    <w:p w14:paraId="205473A9" w14:textId="70A9018C" w:rsidR="00D76CF3" w:rsidRDefault="00D76CF3" w:rsidP="00B8016B">
      <w:pPr>
        <w:pStyle w:val="ListParagraph"/>
        <w:numPr>
          <w:ilvl w:val="1"/>
          <w:numId w:val="9"/>
        </w:numPr>
        <w:spacing w:before="120" w:after="120"/>
        <w:contextualSpacing w:val="0"/>
        <w:rPr>
          <w:rFonts w:ascii="Times New Roman" w:hAnsi="Times New Roman"/>
          <w:sz w:val="24"/>
        </w:rPr>
      </w:pPr>
      <w:r>
        <w:rPr>
          <w:rFonts w:ascii="Times New Roman" w:hAnsi="Times New Roman"/>
          <w:sz w:val="24"/>
        </w:rPr>
        <w:t>PSE’s change in methodology for calculating avoided capacity.</w:t>
      </w:r>
    </w:p>
    <w:p w14:paraId="778B1765" w14:textId="605AD4C8" w:rsidR="00C86B68" w:rsidRDefault="00D76CF3" w:rsidP="006E3B0A">
      <w:pPr>
        <w:pStyle w:val="ListParagraph"/>
        <w:numPr>
          <w:ilvl w:val="0"/>
          <w:numId w:val="9"/>
        </w:numPr>
        <w:spacing w:before="120" w:after="120"/>
        <w:contextualSpacing w:val="0"/>
        <w:rPr>
          <w:rFonts w:ascii="Times New Roman" w:hAnsi="Times New Roman"/>
          <w:sz w:val="24"/>
        </w:rPr>
      </w:pPr>
      <w:r>
        <w:rPr>
          <w:rFonts w:ascii="Times New Roman" w:hAnsi="Times New Roman"/>
          <w:sz w:val="24"/>
        </w:rPr>
        <w:t xml:space="preserve">Change </w:t>
      </w:r>
      <w:r w:rsidR="00C86B68" w:rsidRPr="00C86B68">
        <w:rPr>
          <w:rFonts w:ascii="Times New Roman" w:hAnsi="Times New Roman"/>
          <w:sz w:val="24"/>
        </w:rPr>
        <w:t xml:space="preserve">the threshold for </w:t>
      </w:r>
      <w:r w:rsidR="00C239E7" w:rsidRPr="00C86B68">
        <w:rPr>
          <w:rFonts w:ascii="Times New Roman" w:hAnsi="Times New Roman"/>
          <w:sz w:val="24"/>
        </w:rPr>
        <w:t xml:space="preserve">Schedule 91 </w:t>
      </w:r>
      <w:r w:rsidR="00FA786F" w:rsidRPr="00C86B68">
        <w:rPr>
          <w:rFonts w:ascii="Times New Roman" w:hAnsi="Times New Roman"/>
          <w:sz w:val="24"/>
        </w:rPr>
        <w:t xml:space="preserve">eligibility </w:t>
      </w:r>
      <w:r w:rsidR="0018347E" w:rsidRPr="00C86B68">
        <w:rPr>
          <w:rFonts w:ascii="Times New Roman" w:hAnsi="Times New Roman"/>
          <w:sz w:val="24"/>
        </w:rPr>
        <w:t xml:space="preserve">to </w:t>
      </w:r>
      <w:r w:rsidR="00D80B64" w:rsidRPr="00C86B68">
        <w:rPr>
          <w:rFonts w:ascii="Times New Roman" w:hAnsi="Times New Roman"/>
          <w:sz w:val="24"/>
        </w:rPr>
        <w:t>Qualifying Facilities (QFs)</w:t>
      </w:r>
      <w:r w:rsidR="00C729FE" w:rsidRPr="00C86B68">
        <w:rPr>
          <w:rFonts w:ascii="Times New Roman" w:hAnsi="Times New Roman"/>
          <w:sz w:val="24"/>
        </w:rPr>
        <w:t xml:space="preserve"> </w:t>
      </w:r>
      <w:r w:rsidR="0018347E" w:rsidRPr="00C86B68">
        <w:rPr>
          <w:rFonts w:ascii="Times New Roman" w:hAnsi="Times New Roman"/>
          <w:sz w:val="24"/>
        </w:rPr>
        <w:t>of less than five Megawatts</w:t>
      </w:r>
      <w:r w:rsidR="00F031E2" w:rsidRPr="00C86B68">
        <w:rPr>
          <w:rFonts w:ascii="Times New Roman" w:hAnsi="Times New Roman"/>
          <w:sz w:val="24"/>
        </w:rPr>
        <w:t xml:space="preserve">; </w:t>
      </w:r>
      <w:r>
        <w:rPr>
          <w:rFonts w:ascii="Times New Roman" w:hAnsi="Times New Roman"/>
          <w:sz w:val="24"/>
        </w:rPr>
        <w:t>and</w:t>
      </w:r>
    </w:p>
    <w:p w14:paraId="7D06D8E9" w14:textId="475AEB24" w:rsidR="00C86B68" w:rsidRPr="00D76CF3" w:rsidRDefault="00C86B68" w:rsidP="00FC2BC2">
      <w:pPr>
        <w:pStyle w:val="ListParagraph"/>
        <w:numPr>
          <w:ilvl w:val="0"/>
          <w:numId w:val="9"/>
        </w:numPr>
        <w:spacing w:before="120" w:after="120"/>
        <w:contextualSpacing w:val="0"/>
        <w:rPr>
          <w:rFonts w:ascii="Times New Roman" w:hAnsi="Times New Roman"/>
          <w:sz w:val="24"/>
        </w:rPr>
      </w:pPr>
      <w:r w:rsidRPr="00D76CF3">
        <w:rPr>
          <w:rFonts w:ascii="Times New Roman" w:hAnsi="Times New Roman"/>
          <w:sz w:val="24"/>
        </w:rPr>
        <w:t xml:space="preserve">Edited </w:t>
      </w:r>
      <w:r w:rsidR="00F031E2" w:rsidRPr="00D76CF3">
        <w:rPr>
          <w:rFonts w:ascii="Times New Roman" w:hAnsi="Times New Roman"/>
          <w:sz w:val="24"/>
        </w:rPr>
        <w:t xml:space="preserve">the language contained in Attachment A </w:t>
      </w:r>
      <w:r w:rsidR="00B8016B" w:rsidRPr="00D76CF3">
        <w:rPr>
          <w:rFonts w:ascii="Times New Roman" w:hAnsi="Times New Roman"/>
          <w:sz w:val="24"/>
        </w:rPr>
        <w:t xml:space="preserve">of the schedule </w:t>
      </w:r>
      <w:r w:rsidRPr="00D76CF3">
        <w:rPr>
          <w:rFonts w:ascii="Times New Roman" w:hAnsi="Times New Roman"/>
          <w:sz w:val="24"/>
        </w:rPr>
        <w:t>to r</w:t>
      </w:r>
      <w:r w:rsidR="00CD12D6" w:rsidRPr="00D76CF3">
        <w:rPr>
          <w:rFonts w:ascii="Times New Roman" w:hAnsi="Times New Roman"/>
          <w:sz w:val="24"/>
        </w:rPr>
        <w:t xml:space="preserve">eflect current </w:t>
      </w:r>
      <w:r w:rsidR="005F06EF" w:rsidRPr="00D76CF3">
        <w:rPr>
          <w:rFonts w:ascii="Times New Roman" w:hAnsi="Times New Roman"/>
          <w:sz w:val="24"/>
        </w:rPr>
        <w:t>insurance and financing</w:t>
      </w:r>
      <w:r w:rsidR="00CD12D6" w:rsidRPr="00D76CF3">
        <w:rPr>
          <w:rFonts w:ascii="Times New Roman" w:hAnsi="Times New Roman"/>
          <w:sz w:val="24"/>
        </w:rPr>
        <w:t xml:space="preserve"> practices</w:t>
      </w:r>
      <w:r w:rsidRPr="00D76CF3">
        <w:rPr>
          <w:rFonts w:ascii="Times New Roman" w:hAnsi="Times New Roman"/>
          <w:sz w:val="24"/>
        </w:rPr>
        <w:t>.</w:t>
      </w:r>
    </w:p>
    <w:p w14:paraId="626188A0" w14:textId="25548D0B" w:rsidR="002A7026" w:rsidRPr="002A7026" w:rsidRDefault="002A7026" w:rsidP="00F96072">
      <w:pPr>
        <w:spacing w:before="120" w:after="120"/>
        <w:rPr>
          <w:rFonts w:ascii="Times New Roman" w:hAnsi="Times New Roman"/>
          <w:sz w:val="24"/>
        </w:rPr>
      </w:pPr>
      <w:r w:rsidRPr="002A7026">
        <w:rPr>
          <w:rFonts w:ascii="Times New Roman" w:hAnsi="Times New Roman"/>
          <w:sz w:val="24"/>
        </w:rPr>
        <w:t>PSE</w:t>
      </w:r>
      <w:r w:rsidR="00F35452">
        <w:rPr>
          <w:rFonts w:ascii="Times New Roman" w:hAnsi="Times New Roman"/>
          <w:sz w:val="24"/>
        </w:rPr>
        <w:t>’s</w:t>
      </w:r>
      <w:r w:rsidR="00AF0DA4">
        <w:rPr>
          <w:rFonts w:ascii="Times New Roman" w:hAnsi="Times New Roman"/>
          <w:sz w:val="24"/>
        </w:rPr>
        <w:t xml:space="preserve"> </w:t>
      </w:r>
      <w:r w:rsidR="00F55F98">
        <w:rPr>
          <w:rFonts w:ascii="Times New Roman" w:hAnsi="Times New Roman"/>
          <w:sz w:val="24"/>
        </w:rPr>
        <w:t>initially proposed</w:t>
      </w:r>
      <w:r w:rsidR="00F35452" w:rsidRPr="00F35452">
        <w:rPr>
          <w:rFonts w:ascii="Times New Roman" w:hAnsi="Times New Roman"/>
          <w:sz w:val="24"/>
        </w:rPr>
        <w:t xml:space="preserve"> to eliminate the separate capacity component of its avoided cost rates </w:t>
      </w:r>
      <w:r w:rsidR="00F55F98" w:rsidRPr="002A7026">
        <w:rPr>
          <w:rFonts w:ascii="Times New Roman" w:hAnsi="Times New Roman"/>
          <w:sz w:val="24"/>
        </w:rPr>
        <w:t xml:space="preserve">where </w:t>
      </w:r>
      <w:r w:rsidR="00F55F98">
        <w:rPr>
          <w:rFonts w:ascii="Times New Roman" w:hAnsi="Times New Roman"/>
          <w:sz w:val="24"/>
        </w:rPr>
        <w:t>the company claim</w:t>
      </w:r>
      <w:r w:rsidR="00A32F8F">
        <w:rPr>
          <w:rFonts w:ascii="Times New Roman" w:hAnsi="Times New Roman"/>
          <w:sz w:val="24"/>
        </w:rPr>
        <w:t>ed</w:t>
      </w:r>
      <w:r w:rsidR="00F55F98">
        <w:rPr>
          <w:rFonts w:ascii="Times New Roman" w:hAnsi="Times New Roman"/>
          <w:sz w:val="24"/>
        </w:rPr>
        <w:t xml:space="preserve"> it d</w:t>
      </w:r>
      <w:r w:rsidR="00A32F8F">
        <w:rPr>
          <w:rFonts w:ascii="Times New Roman" w:hAnsi="Times New Roman"/>
          <w:sz w:val="24"/>
        </w:rPr>
        <w:t>id</w:t>
      </w:r>
      <w:r w:rsidR="00F55F98">
        <w:rPr>
          <w:rFonts w:ascii="Times New Roman" w:hAnsi="Times New Roman"/>
          <w:sz w:val="24"/>
        </w:rPr>
        <w:t xml:space="preserve"> not have a capacity need (2017-2021). Upon discussion with both commission and Regulatory Services staff, the company </w:t>
      </w:r>
      <w:r w:rsidR="000248D8">
        <w:rPr>
          <w:rFonts w:ascii="Times New Roman" w:hAnsi="Times New Roman"/>
          <w:sz w:val="24"/>
        </w:rPr>
        <w:t>restore</w:t>
      </w:r>
      <w:r w:rsidR="00E75DE9">
        <w:rPr>
          <w:rFonts w:ascii="Times New Roman" w:hAnsi="Times New Roman"/>
          <w:sz w:val="24"/>
        </w:rPr>
        <w:t>d</w:t>
      </w:r>
      <w:r w:rsidR="000248D8">
        <w:rPr>
          <w:rFonts w:ascii="Times New Roman" w:hAnsi="Times New Roman"/>
          <w:sz w:val="24"/>
        </w:rPr>
        <w:t xml:space="preserve"> </w:t>
      </w:r>
      <w:r w:rsidR="00A32F8F">
        <w:rPr>
          <w:rFonts w:ascii="Times New Roman" w:hAnsi="Times New Roman"/>
          <w:sz w:val="24"/>
        </w:rPr>
        <w:t xml:space="preserve">capacity payments for this period and also agreed to make other changes </w:t>
      </w:r>
      <w:r w:rsidR="000248D8">
        <w:rPr>
          <w:rFonts w:ascii="Times New Roman" w:hAnsi="Times New Roman"/>
          <w:sz w:val="24"/>
        </w:rPr>
        <w:t xml:space="preserve">to its proposed tariff </w:t>
      </w:r>
      <w:r w:rsidR="00A32F8F">
        <w:rPr>
          <w:rFonts w:ascii="Times New Roman" w:hAnsi="Times New Roman"/>
          <w:sz w:val="24"/>
        </w:rPr>
        <w:t>recommended by staff</w:t>
      </w:r>
      <w:r w:rsidR="00F55F98">
        <w:rPr>
          <w:rFonts w:ascii="Times New Roman" w:hAnsi="Times New Roman"/>
          <w:sz w:val="24"/>
        </w:rPr>
        <w:t>.</w:t>
      </w:r>
      <w:r w:rsidR="00A32F8F">
        <w:rPr>
          <w:rFonts w:ascii="Times New Roman" w:hAnsi="Times New Roman"/>
          <w:sz w:val="24"/>
        </w:rPr>
        <w:t xml:space="preserve"> On January 20, 2017, PSE filed replacement pages </w:t>
      </w:r>
      <w:proofErr w:type="spellStart"/>
      <w:r w:rsidR="00A32F8F">
        <w:rPr>
          <w:rFonts w:ascii="Times New Roman" w:hAnsi="Times New Roman"/>
          <w:sz w:val="24"/>
        </w:rPr>
        <w:t>refecting</w:t>
      </w:r>
      <w:proofErr w:type="spellEnd"/>
      <w:r w:rsidR="00A32F8F">
        <w:rPr>
          <w:rFonts w:ascii="Times New Roman" w:hAnsi="Times New Roman"/>
          <w:sz w:val="24"/>
        </w:rPr>
        <w:t xml:space="preserve"> these changes.</w:t>
      </w:r>
      <w:r w:rsidR="00F55F98">
        <w:rPr>
          <w:rFonts w:ascii="Times New Roman" w:hAnsi="Times New Roman"/>
          <w:sz w:val="24"/>
        </w:rPr>
        <w:t xml:space="preserve"> </w:t>
      </w:r>
    </w:p>
    <w:p w14:paraId="52235B05" w14:textId="7BDC3EDA" w:rsidR="002A7026" w:rsidRPr="00115A7B" w:rsidRDefault="00115A7B" w:rsidP="00C55705">
      <w:pPr>
        <w:spacing w:before="120" w:after="120"/>
        <w:rPr>
          <w:rFonts w:ascii="Times New Roman" w:hAnsi="Times New Roman"/>
          <w:i/>
          <w:sz w:val="24"/>
          <w:u w:val="single"/>
        </w:rPr>
      </w:pPr>
      <w:r w:rsidRPr="00115A7B">
        <w:rPr>
          <w:rFonts w:ascii="Times New Roman" w:hAnsi="Times New Roman"/>
          <w:i/>
          <w:sz w:val="24"/>
          <w:u w:val="single"/>
        </w:rPr>
        <w:t>Avoided Capacity</w:t>
      </w:r>
    </w:p>
    <w:p w14:paraId="0B007D5A" w14:textId="232CA047" w:rsidR="00B109C7" w:rsidRDefault="001914C3" w:rsidP="00B109C7">
      <w:pPr>
        <w:widowControl/>
        <w:autoSpaceDE/>
        <w:autoSpaceDN/>
        <w:adjustRightInd/>
        <w:spacing w:line="264" w:lineRule="auto"/>
        <w:rPr>
          <w:rFonts w:ascii="Times New Roman" w:hAnsi="Times New Roman"/>
          <w:sz w:val="24"/>
        </w:rPr>
      </w:pPr>
      <w:r>
        <w:rPr>
          <w:rFonts w:ascii="Times New Roman" w:hAnsi="Times New Roman"/>
          <w:sz w:val="24"/>
        </w:rPr>
        <w:t xml:space="preserve">Both </w:t>
      </w:r>
      <w:r w:rsidR="0034441D">
        <w:rPr>
          <w:rFonts w:ascii="Times New Roman" w:hAnsi="Times New Roman"/>
          <w:sz w:val="24"/>
        </w:rPr>
        <w:t xml:space="preserve">commission </w:t>
      </w:r>
      <w:r>
        <w:rPr>
          <w:rFonts w:ascii="Times New Roman" w:hAnsi="Times New Roman"/>
          <w:sz w:val="24"/>
        </w:rPr>
        <w:t xml:space="preserve">and Regulatory Services </w:t>
      </w:r>
      <w:r w:rsidR="0034441D">
        <w:rPr>
          <w:rFonts w:ascii="Times New Roman" w:hAnsi="Times New Roman"/>
          <w:sz w:val="24"/>
        </w:rPr>
        <w:t xml:space="preserve">staff </w:t>
      </w:r>
      <w:r>
        <w:rPr>
          <w:rFonts w:ascii="Times New Roman" w:hAnsi="Times New Roman"/>
          <w:sz w:val="24"/>
        </w:rPr>
        <w:t xml:space="preserve">met with the company </w:t>
      </w:r>
      <w:r w:rsidR="00542602">
        <w:rPr>
          <w:rFonts w:ascii="Times New Roman" w:hAnsi="Times New Roman"/>
          <w:sz w:val="24"/>
        </w:rPr>
        <w:t xml:space="preserve">on December 15, 2016, </w:t>
      </w:r>
      <w:r>
        <w:rPr>
          <w:rFonts w:ascii="Times New Roman" w:hAnsi="Times New Roman"/>
          <w:sz w:val="24"/>
        </w:rPr>
        <w:t xml:space="preserve">to </w:t>
      </w:r>
      <w:r w:rsidR="00073894">
        <w:rPr>
          <w:rFonts w:ascii="Times New Roman" w:hAnsi="Times New Roman"/>
          <w:sz w:val="24"/>
        </w:rPr>
        <w:t xml:space="preserve">go over </w:t>
      </w:r>
      <w:r>
        <w:rPr>
          <w:rFonts w:ascii="Times New Roman" w:hAnsi="Times New Roman"/>
          <w:sz w:val="24"/>
        </w:rPr>
        <w:t>PSE</w:t>
      </w:r>
      <w:r w:rsidR="004B3E22">
        <w:rPr>
          <w:rFonts w:ascii="Times New Roman" w:hAnsi="Times New Roman"/>
          <w:sz w:val="24"/>
        </w:rPr>
        <w:t>’</w:t>
      </w:r>
      <w:r>
        <w:rPr>
          <w:rFonts w:ascii="Times New Roman" w:hAnsi="Times New Roman"/>
          <w:sz w:val="24"/>
        </w:rPr>
        <w:t xml:space="preserve">s </w:t>
      </w:r>
      <w:r w:rsidR="00073894">
        <w:rPr>
          <w:rFonts w:ascii="Times New Roman" w:hAnsi="Times New Roman"/>
          <w:sz w:val="24"/>
        </w:rPr>
        <w:t xml:space="preserve">updated </w:t>
      </w:r>
      <w:r>
        <w:rPr>
          <w:rFonts w:ascii="Times New Roman" w:hAnsi="Times New Roman"/>
          <w:sz w:val="24"/>
        </w:rPr>
        <w:t xml:space="preserve">methodology </w:t>
      </w:r>
      <w:r w:rsidR="0094204F">
        <w:rPr>
          <w:rFonts w:ascii="Times New Roman" w:hAnsi="Times New Roman"/>
          <w:sz w:val="24"/>
        </w:rPr>
        <w:t xml:space="preserve">for calculating its avoided cost for capacity. </w:t>
      </w:r>
      <w:r w:rsidR="004B3E22">
        <w:rPr>
          <w:rFonts w:ascii="Times New Roman" w:hAnsi="Times New Roman"/>
          <w:sz w:val="24"/>
        </w:rPr>
        <w:t>Staff</w:t>
      </w:r>
      <w:r w:rsidR="0094204F">
        <w:rPr>
          <w:rFonts w:ascii="Times New Roman" w:hAnsi="Times New Roman"/>
          <w:sz w:val="24"/>
        </w:rPr>
        <w:t xml:space="preserve"> </w:t>
      </w:r>
      <w:r w:rsidR="00003F9F">
        <w:rPr>
          <w:rFonts w:ascii="Times New Roman" w:hAnsi="Times New Roman"/>
          <w:sz w:val="24"/>
        </w:rPr>
        <w:t xml:space="preserve">also </w:t>
      </w:r>
      <w:r w:rsidR="00073894">
        <w:rPr>
          <w:rFonts w:ascii="Times New Roman" w:hAnsi="Times New Roman"/>
          <w:sz w:val="24"/>
        </w:rPr>
        <w:t>took the opportunity at this meeting to review w</w:t>
      </w:r>
      <w:r w:rsidR="0094204F">
        <w:rPr>
          <w:rFonts w:ascii="Times New Roman" w:hAnsi="Times New Roman"/>
          <w:sz w:val="24"/>
        </w:rPr>
        <w:t xml:space="preserve">ith the company </w:t>
      </w:r>
      <w:r w:rsidR="00336CCC">
        <w:rPr>
          <w:rFonts w:ascii="Times New Roman" w:hAnsi="Times New Roman"/>
          <w:sz w:val="24"/>
        </w:rPr>
        <w:t xml:space="preserve">the </w:t>
      </w:r>
      <w:r w:rsidR="0034441D">
        <w:rPr>
          <w:rFonts w:ascii="Times New Roman" w:hAnsi="Times New Roman"/>
          <w:sz w:val="24"/>
        </w:rPr>
        <w:t xml:space="preserve">commission’s </w:t>
      </w:r>
      <w:r w:rsidR="00FC6C5B">
        <w:rPr>
          <w:rFonts w:ascii="Times New Roman" w:hAnsi="Times New Roman"/>
          <w:sz w:val="24"/>
        </w:rPr>
        <w:t xml:space="preserve">recent order </w:t>
      </w:r>
      <w:r w:rsidR="000E073C">
        <w:rPr>
          <w:rFonts w:ascii="Times New Roman" w:hAnsi="Times New Roman"/>
          <w:sz w:val="24"/>
        </w:rPr>
        <w:t>in a</w:t>
      </w:r>
      <w:r w:rsidR="00003F9F">
        <w:rPr>
          <w:rFonts w:ascii="Times New Roman" w:hAnsi="Times New Roman"/>
          <w:sz w:val="24"/>
        </w:rPr>
        <w:t xml:space="preserve"> </w:t>
      </w:r>
      <w:r w:rsidR="00DA5502" w:rsidRPr="00DA5502">
        <w:rPr>
          <w:rFonts w:ascii="Times New Roman" w:hAnsi="Times New Roman"/>
          <w:sz w:val="24"/>
        </w:rPr>
        <w:t>Pacific Power &amp; Light Company</w:t>
      </w:r>
      <w:r w:rsidR="0094204F">
        <w:rPr>
          <w:rFonts w:ascii="Times New Roman" w:hAnsi="Times New Roman"/>
          <w:sz w:val="24"/>
        </w:rPr>
        <w:t xml:space="preserve"> </w:t>
      </w:r>
      <w:r w:rsidR="00DA5502">
        <w:rPr>
          <w:rFonts w:ascii="Times New Roman" w:hAnsi="Times New Roman"/>
          <w:sz w:val="24"/>
        </w:rPr>
        <w:t xml:space="preserve">(Pacific) </w:t>
      </w:r>
      <w:r w:rsidR="00003F9F">
        <w:rPr>
          <w:rFonts w:ascii="Times New Roman" w:hAnsi="Times New Roman"/>
          <w:sz w:val="24"/>
        </w:rPr>
        <w:t xml:space="preserve">case regarding </w:t>
      </w:r>
      <w:r w:rsidR="00CA7E6F">
        <w:rPr>
          <w:rFonts w:ascii="Times New Roman" w:hAnsi="Times New Roman"/>
          <w:sz w:val="24"/>
        </w:rPr>
        <w:t>avoided capacity payments</w:t>
      </w:r>
      <w:r w:rsidR="009D632C">
        <w:rPr>
          <w:rFonts w:ascii="Times New Roman" w:hAnsi="Times New Roman"/>
          <w:sz w:val="24"/>
        </w:rPr>
        <w:t xml:space="preserve"> to QFs</w:t>
      </w:r>
      <w:r w:rsidR="00CA7E6F">
        <w:rPr>
          <w:rFonts w:ascii="Times New Roman" w:hAnsi="Times New Roman"/>
          <w:sz w:val="24"/>
        </w:rPr>
        <w:t>.</w:t>
      </w:r>
      <w:r w:rsidR="00073894">
        <w:rPr>
          <w:rStyle w:val="FootnoteReference"/>
          <w:rFonts w:ascii="Times New Roman" w:hAnsi="Times New Roman"/>
          <w:sz w:val="24"/>
        </w:rPr>
        <w:footnoteReference w:id="2"/>
      </w:r>
      <w:r w:rsidR="00073894">
        <w:rPr>
          <w:rFonts w:ascii="Times New Roman" w:hAnsi="Times New Roman"/>
          <w:sz w:val="24"/>
        </w:rPr>
        <w:t xml:space="preserve"> </w:t>
      </w:r>
      <w:r w:rsidR="009D632C">
        <w:rPr>
          <w:rFonts w:ascii="Times New Roman" w:hAnsi="Times New Roman"/>
          <w:sz w:val="24"/>
        </w:rPr>
        <w:t xml:space="preserve">In the </w:t>
      </w:r>
      <w:r w:rsidR="00B109C7">
        <w:rPr>
          <w:rFonts w:ascii="Times New Roman" w:hAnsi="Times New Roman"/>
          <w:sz w:val="24"/>
        </w:rPr>
        <w:t xml:space="preserve">Pacific </w:t>
      </w:r>
      <w:r w:rsidR="009D632C">
        <w:rPr>
          <w:rFonts w:ascii="Times New Roman" w:hAnsi="Times New Roman"/>
          <w:sz w:val="24"/>
        </w:rPr>
        <w:t xml:space="preserve">case, staff’s initial brief </w:t>
      </w:r>
      <w:r w:rsidR="00B109C7">
        <w:rPr>
          <w:rFonts w:ascii="Times New Roman" w:hAnsi="Times New Roman"/>
          <w:sz w:val="24"/>
        </w:rPr>
        <w:t xml:space="preserve">and the </w:t>
      </w:r>
      <w:proofErr w:type="spellStart"/>
      <w:r w:rsidR="00B109C7">
        <w:rPr>
          <w:rFonts w:ascii="Times New Roman" w:hAnsi="Times New Roman"/>
          <w:sz w:val="24"/>
        </w:rPr>
        <w:t>comission’s</w:t>
      </w:r>
      <w:proofErr w:type="spellEnd"/>
      <w:r w:rsidR="00B109C7">
        <w:rPr>
          <w:rFonts w:ascii="Times New Roman" w:hAnsi="Times New Roman"/>
          <w:sz w:val="24"/>
        </w:rPr>
        <w:t xml:space="preserve"> final order </w:t>
      </w:r>
      <w:r w:rsidR="009D632C">
        <w:rPr>
          <w:rFonts w:ascii="Times New Roman" w:hAnsi="Times New Roman"/>
          <w:sz w:val="24"/>
        </w:rPr>
        <w:t xml:space="preserve">describe the utility’s obligations </w:t>
      </w:r>
      <w:r w:rsidR="00DD0CF3">
        <w:rPr>
          <w:rFonts w:ascii="Times New Roman" w:hAnsi="Times New Roman"/>
          <w:sz w:val="24"/>
        </w:rPr>
        <w:t xml:space="preserve">to purchase </w:t>
      </w:r>
      <w:r w:rsidR="00E75DE9">
        <w:rPr>
          <w:rFonts w:ascii="Times New Roman" w:hAnsi="Times New Roman"/>
          <w:sz w:val="24"/>
        </w:rPr>
        <w:t>Qualifying Facility (</w:t>
      </w:r>
      <w:r w:rsidR="00DD0CF3">
        <w:rPr>
          <w:rFonts w:ascii="Times New Roman" w:hAnsi="Times New Roman"/>
          <w:sz w:val="24"/>
        </w:rPr>
        <w:t>QF</w:t>
      </w:r>
      <w:r w:rsidR="00E75DE9">
        <w:rPr>
          <w:rFonts w:ascii="Times New Roman" w:hAnsi="Times New Roman"/>
          <w:sz w:val="24"/>
        </w:rPr>
        <w:t>)</w:t>
      </w:r>
      <w:r w:rsidR="00DD0CF3">
        <w:rPr>
          <w:rFonts w:ascii="Times New Roman" w:hAnsi="Times New Roman"/>
          <w:sz w:val="24"/>
        </w:rPr>
        <w:t xml:space="preserve"> power </w:t>
      </w:r>
      <w:r w:rsidR="009D632C">
        <w:rPr>
          <w:rFonts w:ascii="Times New Roman" w:hAnsi="Times New Roman"/>
          <w:sz w:val="24"/>
        </w:rPr>
        <w:t xml:space="preserve">under </w:t>
      </w:r>
      <w:r w:rsidR="0063184F">
        <w:rPr>
          <w:rFonts w:ascii="Times New Roman" w:hAnsi="Times New Roman"/>
          <w:sz w:val="24"/>
        </w:rPr>
        <w:t xml:space="preserve">the Public </w:t>
      </w:r>
      <w:r w:rsidR="009D632C">
        <w:rPr>
          <w:rFonts w:ascii="Times New Roman" w:hAnsi="Times New Roman"/>
          <w:sz w:val="24"/>
        </w:rPr>
        <w:t>Utility Regulatory Policy Act (PURPA)</w:t>
      </w:r>
      <w:r w:rsidR="00B109C7">
        <w:rPr>
          <w:rFonts w:ascii="Times New Roman" w:hAnsi="Times New Roman"/>
          <w:sz w:val="24"/>
        </w:rPr>
        <w:t xml:space="preserve">, </w:t>
      </w:r>
      <w:r w:rsidR="0063184F">
        <w:rPr>
          <w:rFonts w:ascii="Times New Roman" w:hAnsi="Times New Roman"/>
          <w:sz w:val="24"/>
        </w:rPr>
        <w:t>FERC rules</w:t>
      </w:r>
      <w:r w:rsidR="00B109C7">
        <w:rPr>
          <w:rFonts w:ascii="Times New Roman" w:hAnsi="Times New Roman"/>
          <w:sz w:val="24"/>
        </w:rPr>
        <w:t xml:space="preserve"> and rules adopted by the </w:t>
      </w:r>
      <w:r w:rsidR="00D526EF">
        <w:rPr>
          <w:rFonts w:ascii="Times New Roman" w:hAnsi="Times New Roman"/>
          <w:sz w:val="24"/>
        </w:rPr>
        <w:t>commission:</w:t>
      </w:r>
      <w:r w:rsidR="0063184F">
        <w:rPr>
          <w:rFonts w:ascii="Times New Roman" w:hAnsi="Times New Roman"/>
          <w:sz w:val="24"/>
        </w:rPr>
        <w:t xml:space="preserve"> </w:t>
      </w:r>
    </w:p>
    <w:p w14:paraId="4C04C51A" w14:textId="77777777" w:rsidR="001041B4" w:rsidRPr="001041B4" w:rsidRDefault="0063184F" w:rsidP="001041B4">
      <w:pPr>
        <w:pStyle w:val="ListParagraph"/>
        <w:widowControl/>
        <w:numPr>
          <w:ilvl w:val="0"/>
          <w:numId w:val="13"/>
        </w:numPr>
        <w:autoSpaceDE/>
        <w:autoSpaceDN/>
        <w:adjustRightInd/>
        <w:spacing w:before="120" w:after="120" w:line="264" w:lineRule="auto"/>
        <w:rPr>
          <w:rFonts w:ascii="Times New Roman" w:hAnsi="Times New Roman"/>
          <w:sz w:val="24"/>
        </w:rPr>
      </w:pPr>
      <w:r w:rsidRPr="001041B4">
        <w:rPr>
          <w:rFonts w:ascii="Times New Roman" w:hAnsi="Times New Roman"/>
          <w:sz w:val="24"/>
        </w:rPr>
        <w:lastRenderedPageBreak/>
        <w:t>PURPA requires utilities, like PSE, to purchase power produced by QFs at rates that: (1) are just and reasonable to electric customers; (2) do not discriminate against QFs; and (3) do not exceed the incremental cost to the utility of alternative electric energy.</w:t>
      </w:r>
      <w:r w:rsidRPr="0063184F">
        <w:rPr>
          <w:vertAlign w:val="superscript"/>
        </w:rPr>
        <w:footnoteReference w:id="3"/>
      </w:r>
      <w:r w:rsidR="00DD0CF3" w:rsidRPr="001041B4">
        <w:rPr>
          <w:rFonts w:ascii="Times New Roman" w:hAnsi="Times New Roman"/>
          <w:sz w:val="24"/>
        </w:rPr>
        <w:t xml:space="preserve"> </w:t>
      </w:r>
    </w:p>
    <w:p w14:paraId="03F02180" w14:textId="77777777" w:rsidR="001041B4" w:rsidRDefault="00DD0CF3" w:rsidP="001041B4">
      <w:pPr>
        <w:pStyle w:val="ListParagraph"/>
        <w:widowControl/>
        <w:numPr>
          <w:ilvl w:val="0"/>
          <w:numId w:val="13"/>
        </w:numPr>
        <w:autoSpaceDE/>
        <w:autoSpaceDN/>
        <w:adjustRightInd/>
        <w:spacing w:before="120" w:after="120" w:line="264" w:lineRule="auto"/>
        <w:rPr>
          <w:rFonts w:ascii="Times New Roman" w:hAnsi="Times New Roman"/>
          <w:sz w:val="24"/>
        </w:rPr>
      </w:pPr>
      <w:r w:rsidRPr="001041B4">
        <w:rPr>
          <w:rFonts w:ascii="Times New Roman" w:hAnsi="Times New Roman"/>
          <w:sz w:val="24"/>
        </w:rPr>
        <w:t>FERC rules require utilities to purchase QF power at rates that equal the utility’s “full avoided cost” — that is, the cost the utility avoids by not having to generate itself or purchase electricity from another source.</w:t>
      </w:r>
      <w:r w:rsidR="0063184F" w:rsidRPr="001041B4">
        <w:rPr>
          <w:rFonts w:ascii="Times New Roman" w:hAnsi="Times New Roman"/>
          <w:sz w:val="24"/>
        </w:rPr>
        <w:t xml:space="preserve"> T</w:t>
      </w:r>
      <w:r w:rsidRPr="001041B4">
        <w:rPr>
          <w:rFonts w:ascii="Times New Roman" w:hAnsi="Times New Roman"/>
          <w:sz w:val="24"/>
        </w:rPr>
        <w:t>he full avoided cost must account for the value of both the energy costs and the capacity costs that the utility avoids by purchasing QF power.</w:t>
      </w:r>
      <w:r w:rsidR="0063184F">
        <w:rPr>
          <w:rStyle w:val="FootnoteReference"/>
          <w:rFonts w:ascii="Times New Roman" w:hAnsi="Times New Roman"/>
          <w:sz w:val="24"/>
        </w:rPr>
        <w:footnoteReference w:id="4"/>
      </w:r>
      <w:r w:rsidR="0063184F" w:rsidRPr="001041B4">
        <w:rPr>
          <w:rFonts w:ascii="Times New Roman" w:hAnsi="Times New Roman"/>
          <w:sz w:val="24"/>
        </w:rPr>
        <w:t xml:space="preserve"> Under </w:t>
      </w:r>
      <w:r w:rsidRPr="001041B4">
        <w:rPr>
          <w:rFonts w:ascii="Times New Roman" w:hAnsi="Times New Roman"/>
          <w:sz w:val="24"/>
        </w:rPr>
        <w:t>the full avoided cost standard, rates for QF power must include a value for capacity, unless the purchasing utility can demonstrate that it does not need capacity over its ten-year planning horizon.</w:t>
      </w:r>
      <w:r w:rsidR="0063184F">
        <w:rPr>
          <w:rStyle w:val="FootnoteReference"/>
          <w:rFonts w:ascii="Times New Roman" w:hAnsi="Times New Roman"/>
          <w:sz w:val="24"/>
        </w:rPr>
        <w:footnoteReference w:id="5"/>
      </w:r>
      <w:r w:rsidRPr="001041B4">
        <w:rPr>
          <w:rFonts w:ascii="Times New Roman" w:hAnsi="Times New Roman"/>
          <w:sz w:val="24"/>
        </w:rPr>
        <w:t xml:space="preserve"> </w:t>
      </w:r>
      <w:r w:rsidR="00B109C7" w:rsidRPr="001041B4">
        <w:rPr>
          <w:rFonts w:ascii="Times New Roman" w:hAnsi="Times New Roman"/>
          <w:sz w:val="24"/>
        </w:rPr>
        <w:t xml:space="preserve">FERC regulations </w:t>
      </w:r>
      <w:r w:rsidR="001041B4">
        <w:rPr>
          <w:rFonts w:ascii="Times New Roman" w:hAnsi="Times New Roman"/>
          <w:sz w:val="24"/>
        </w:rPr>
        <w:t xml:space="preserve">also </w:t>
      </w:r>
      <w:r w:rsidR="00B109C7" w:rsidRPr="001041B4">
        <w:rPr>
          <w:rFonts w:ascii="Times New Roman" w:hAnsi="Times New Roman"/>
          <w:sz w:val="24"/>
        </w:rPr>
        <w:t>require utilities to maintain a schedule of their avoided costs for energy and capacity on file with their state regulatory authority, and to provide regular updates to that schedule.</w:t>
      </w:r>
      <w:r w:rsidR="00B109C7" w:rsidRPr="00B109C7">
        <w:rPr>
          <w:vertAlign w:val="superscript"/>
        </w:rPr>
        <w:footnoteReference w:id="6"/>
      </w:r>
      <w:r w:rsidR="00B109C7" w:rsidRPr="001041B4">
        <w:rPr>
          <w:rFonts w:ascii="Times New Roman" w:hAnsi="Times New Roman"/>
          <w:sz w:val="24"/>
        </w:rPr>
        <w:t xml:space="preserve"> </w:t>
      </w:r>
    </w:p>
    <w:p w14:paraId="5F6182D9" w14:textId="2E41D95C" w:rsidR="00B109C7" w:rsidRPr="001041B4" w:rsidRDefault="00B109C7" w:rsidP="001041B4">
      <w:pPr>
        <w:pStyle w:val="ListParagraph"/>
        <w:widowControl/>
        <w:numPr>
          <w:ilvl w:val="0"/>
          <w:numId w:val="13"/>
        </w:numPr>
        <w:autoSpaceDE/>
        <w:autoSpaceDN/>
        <w:adjustRightInd/>
        <w:spacing w:before="120" w:after="120" w:line="264" w:lineRule="auto"/>
        <w:rPr>
          <w:rFonts w:ascii="Times New Roman" w:hAnsi="Times New Roman"/>
          <w:sz w:val="24"/>
        </w:rPr>
      </w:pPr>
      <w:r w:rsidRPr="001041B4">
        <w:rPr>
          <w:rFonts w:ascii="Times New Roman" w:hAnsi="Times New Roman"/>
          <w:sz w:val="24"/>
        </w:rPr>
        <w:t>The Commission has adopted rules that require utilities to update their avoided cost schedule at least once per year,</w:t>
      </w:r>
      <w:r w:rsidRPr="00B109C7">
        <w:rPr>
          <w:vertAlign w:val="superscript"/>
        </w:rPr>
        <w:footnoteReference w:id="7"/>
      </w:r>
      <w:r w:rsidRPr="001041B4">
        <w:rPr>
          <w:rFonts w:ascii="Times New Roman" w:hAnsi="Times New Roman"/>
          <w:sz w:val="24"/>
        </w:rPr>
        <w:t xml:space="preserve"> and to file a standard tariff for purchases from small QFs.</w:t>
      </w:r>
      <w:r w:rsidRPr="001041B4">
        <w:rPr>
          <w:rFonts w:ascii="Times New Roman" w:hAnsi="Times New Roman"/>
          <w:vertAlign w:val="superscript"/>
        </w:rPr>
        <w:footnoteReference w:id="8"/>
      </w:r>
    </w:p>
    <w:p w14:paraId="497589E6" w14:textId="0F7E60C7" w:rsidR="009D632C" w:rsidRDefault="00B109C7" w:rsidP="001914C3">
      <w:pPr>
        <w:spacing w:before="120" w:after="120"/>
        <w:rPr>
          <w:rFonts w:ascii="Times New Roman" w:hAnsi="Times New Roman"/>
          <w:sz w:val="24"/>
        </w:rPr>
      </w:pPr>
      <w:r>
        <w:rPr>
          <w:rFonts w:ascii="Times New Roman" w:hAnsi="Times New Roman"/>
          <w:sz w:val="24"/>
        </w:rPr>
        <w:t xml:space="preserve">In </w:t>
      </w:r>
      <w:r w:rsidR="001267C0">
        <w:rPr>
          <w:rFonts w:ascii="Times New Roman" w:hAnsi="Times New Roman"/>
          <w:sz w:val="24"/>
        </w:rPr>
        <w:t xml:space="preserve">its decision, </w:t>
      </w:r>
      <w:r>
        <w:rPr>
          <w:rFonts w:ascii="Times New Roman" w:hAnsi="Times New Roman"/>
          <w:sz w:val="24"/>
        </w:rPr>
        <w:t xml:space="preserve">the commission reaffirmed these requirements and rejected </w:t>
      </w:r>
      <w:r w:rsidR="00DA5502">
        <w:rPr>
          <w:rFonts w:ascii="Times New Roman" w:hAnsi="Times New Roman"/>
          <w:sz w:val="24"/>
        </w:rPr>
        <w:t xml:space="preserve">Pacific’s </w:t>
      </w:r>
      <w:r w:rsidR="00DA5502" w:rsidRPr="00DA5502">
        <w:rPr>
          <w:rFonts w:ascii="Times New Roman" w:hAnsi="Times New Roman"/>
          <w:sz w:val="24"/>
        </w:rPr>
        <w:t>revised tariff sheets</w:t>
      </w:r>
      <w:r w:rsidR="00DA5502">
        <w:rPr>
          <w:rFonts w:ascii="Times New Roman" w:hAnsi="Times New Roman"/>
          <w:sz w:val="24"/>
        </w:rPr>
        <w:t xml:space="preserve"> because it </w:t>
      </w:r>
      <w:r w:rsidR="00DA5502" w:rsidRPr="00DA5502">
        <w:rPr>
          <w:rFonts w:ascii="Times New Roman" w:hAnsi="Times New Roman"/>
          <w:sz w:val="24"/>
        </w:rPr>
        <w:t>failed to carry its burden to show its proposal to eliminate the separate capacity component of its avoided cost rates produces results that are fair, just, reasonable and sufficient.</w:t>
      </w:r>
      <w:r w:rsidR="00DC1954">
        <w:rPr>
          <w:rFonts w:ascii="Times New Roman" w:hAnsi="Times New Roman"/>
          <w:sz w:val="24"/>
        </w:rPr>
        <w:t xml:space="preserve"> PSE’s initial filing suffered from this same malady</w:t>
      </w:r>
      <w:r w:rsidR="00AC6F04">
        <w:rPr>
          <w:rFonts w:ascii="Times New Roman" w:hAnsi="Times New Roman"/>
          <w:sz w:val="24"/>
        </w:rPr>
        <w:t xml:space="preserve"> which </w:t>
      </w:r>
      <w:r w:rsidR="000248D8">
        <w:rPr>
          <w:rFonts w:ascii="Times New Roman" w:hAnsi="Times New Roman"/>
          <w:sz w:val="24"/>
        </w:rPr>
        <w:t xml:space="preserve">the company has since </w:t>
      </w:r>
      <w:r w:rsidR="00AC6F04">
        <w:rPr>
          <w:rFonts w:ascii="Times New Roman" w:hAnsi="Times New Roman"/>
          <w:sz w:val="24"/>
        </w:rPr>
        <w:t>corrected in its replacement pages</w:t>
      </w:r>
      <w:r w:rsidR="000248D8">
        <w:rPr>
          <w:rFonts w:ascii="Times New Roman" w:hAnsi="Times New Roman"/>
          <w:sz w:val="24"/>
        </w:rPr>
        <w:t xml:space="preserve"> filed on January 20, 2017</w:t>
      </w:r>
      <w:r w:rsidR="00DC1954">
        <w:rPr>
          <w:rFonts w:ascii="Times New Roman" w:hAnsi="Times New Roman"/>
          <w:sz w:val="24"/>
        </w:rPr>
        <w:t>.</w:t>
      </w:r>
    </w:p>
    <w:p w14:paraId="1D9A5A61" w14:textId="458A0771" w:rsidR="00AC6F04" w:rsidRPr="00AC6F04" w:rsidRDefault="00AC6F04" w:rsidP="001914C3">
      <w:pPr>
        <w:spacing w:before="120" w:after="120"/>
        <w:rPr>
          <w:rFonts w:ascii="Times New Roman" w:hAnsi="Times New Roman"/>
          <w:i/>
          <w:sz w:val="24"/>
          <w:u w:val="single"/>
        </w:rPr>
      </w:pPr>
      <w:r>
        <w:rPr>
          <w:rFonts w:ascii="Times New Roman" w:hAnsi="Times New Roman"/>
          <w:i/>
          <w:sz w:val="24"/>
          <w:u w:val="single"/>
        </w:rPr>
        <w:t>Interested parties</w:t>
      </w:r>
    </w:p>
    <w:p w14:paraId="3009D070" w14:textId="521C364E" w:rsidR="00AC6F04" w:rsidRDefault="00E75DE9" w:rsidP="001914C3">
      <w:pPr>
        <w:spacing w:before="120" w:after="120"/>
        <w:rPr>
          <w:rFonts w:ascii="Times New Roman" w:hAnsi="Times New Roman"/>
          <w:sz w:val="24"/>
        </w:rPr>
      </w:pPr>
      <w:r>
        <w:rPr>
          <w:rFonts w:ascii="Times New Roman" w:hAnsi="Times New Roman"/>
          <w:sz w:val="24"/>
        </w:rPr>
        <w:t xml:space="preserve">Tables 1 and 2 illustrate the change in </w:t>
      </w:r>
      <w:r w:rsidR="00F47068">
        <w:rPr>
          <w:rFonts w:ascii="Times New Roman" w:hAnsi="Times New Roman"/>
          <w:sz w:val="24"/>
        </w:rPr>
        <w:t>rates</w:t>
      </w:r>
      <w:r>
        <w:rPr>
          <w:rFonts w:ascii="Times New Roman" w:hAnsi="Times New Roman"/>
          <w:sz w:val="24"/>
        </w:rPr>
        <w:t xml:space="preserve"> offered by the company as payment for QFs who qualify under the tariff and who select the Fixed Price option. </w:t>
      </w:r>
      <w:r w:rsidR="0005584D">
        <w:rPr>
          <w:rFonts w:ascii="Times New Roman" w:hAnsi="Times New Roman"/>
          <w:sz w:val="24"/>
        </w:rPr>
        <w:t xml:space="preserve">The change in the rate offered is driven primarily by gas costs and market prices for power. </w:t>
      </w:r>
      <w:r w:rsidR="000248D8">
        <w:rPr>
          <w:rFonts w:ascii="Times New Roman" w:hAnsi="Times New Roman"/>
          <w:sz w:val="24"/>
        </w:rPr>
        <w:t xml:space="preserve"> </w:t>
      </w:r>
    </w:p>
    <w:tbl>
      <w:tblPr>
        <w:tblW w:w="8160" w:type="dxa"/>
        <w:tblInd w:w="602" w:type="dxa"/>
        <w:tblLook w:val="04A0" w:firstRow="1" w:lastRow="0" w:firstColumn="1" w:lastColumn="0" w:noHBand="0" w:noVBand="1"/>
      </w:tblPr>
      <w:tblGrid>
        <w:gridCol w:w="960"/>
        <w:gridCol w:w="960"/>
        <w:gridCol w:w="960"/>
        <w:gridCol w:w="960"/>
        <w:gridCol w:w="960"/>
        <w:gridCol w:w="960"/>
        <w:gridCol w:w="1200"/>
        <w:gridCol w:w="1200"/>
      </w:tblGrid>
      <w:tr w:rsidR="000248D8" w:rsidRPr="00791B68" w14:paraId="17CE7F7E" w14:textId="77777777" w:rsidTr="0073261A">
        <w:trPr>
          <w:trHeight w:val="250"/>
        </w:trPr>
        <w:tc>
          <w:tcPr>
            <w:tcW w:w="960" w:type="dxa"/>
            <w:tcBorders>
              <w:top w:val="single" w:sz="8" w:space="0" w:color="auto"/>
              <w:left w:val="single" w:sz="8" w:space="0" w:color="auto"/>
              <w:bottom w:val="single" w:sz="4" w:space="0" w:color="auto"/>
              <w:right w:val="single" w:sz="4" w:space="0" w:color="auto"/>
            </w:tcBorders>
            <w:shd w:val="clear" w:color="000000" w:fill="CCFFCC"/>
            <w:noWrap/>
            <w:vAlign w:val="bottom"/>
            <w:hideMark/>
          </w:tcPr>
          <w:p w14:paraId="270DA777"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2016</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51DE3B46"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2017</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5594CB5D"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2018</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484A8DF2"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2019</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6F344A9D"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2020</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441F50BC"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2021</w:t>
            </w:r>
          </w:p>
        </w:tc>
        <w:tc>
          <w:tcPr>
            <w:tcW w:w="1200" w:type="dxa"/>
            <w:tcBorders>
              <w:top w:val="single" w:sz="8" w:space="0" w:color="auto"/>
              <w:left w:val="nil"/>
              <w:bottom w:val="single" w:sz="4" w:space="0" w:color="auto"/>
              <w:right w:val="single" w:sz="4" w:space="0" w:color="auto"/>
            </w:tcBorders>
            <w:shd w:val="clear" w:color="000000" w:fill="CCFFCC"/>
            <w:noWrap/>
            <w:vAlign w:val="bottom"/>
            <w:hideMark/>
          </w:tcPr>
          <w:p w14:paraId="00692520"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2022</w:t>
            </w:r>
          </w:p>
        </w:tc>
        <w:tc>
          <w:tcPr>
            <w:tcW w:w="1200" w:type="dxa"/>
            <w:tcBorders>
              <w:top w:val="single" w:sz="8" w:space="0" w:color="auto"/>
              <w:left w:val="nil"/>
              <w:bottom w:val="single" w:sz="4" w:space="0" w:color="auto"/>
              <w:right w:val="single" w:sz="8" w:space="0" w:color="auto"/>
            </w:tcBorders>
            <w:shd w:val="clear" w:color="000000" w:fill="CCFFCC"/>
            <w:noWrap/>
            <w:vAlign w:val="bottom"/>
            <w:hideMark/>
          </w:tcPr>
          <w:p w14:paraId="5CC1F485"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2023</w:t>
            </w:r>
          </w:p>
        </w:tc>
      </w:tr>
      <w:tr w:rsidR="000248D8" w:rsidRPr="00791B68" w14:paraId="7309501E" w14:textId="77777777" w:rsidTr="0073261A">
        <w:trPr>
          <w:trHeight w:val="25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FDB939" w14:textId="2004D061"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$61.19</w:t>
            </w:r>
          </w:p>
        </w:tc>
        <w:tc>
          <w:tcPr>
            <w:tcW w:w="960" w:type="dxa"/>
            <w:tcBorders>
              <w:top w:val="nil"/>
              <w:left w:val="nil"/>
              <w:bottom w:val="single" w:sz="4" w:space="0" w:color="auto"/>
              <w:right w:val="single" w:sz="4" w:space="0" w:color="auto"/>
            </w:tcBorders>
            <w:shd w:val="clear" w:color="auto" w:fill="auto"/>
            <w:noWrap/>
            <w:vAlign w:val="bottom"/>
            <w:hideMark/>
          </w:tcPr>
          <w:p w14:paraId="0BB79F3E" w14:textId="73BAEFC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$62.72</w:t>
            </w:r>
          </w:p>
        </w:tc>
        <w:tc>
          <w:tcPr>
            <w:tcW w:w="960" w:type="dxa"/>
            <w:tcBorders>
              <w:top w:val="nil"/>
              <w:left w:val="nil"/>
              <w:bottom w:val="single" w:sz="4" w:space="0" w:color="auto"/>
              <w:right w:val="single" w:sz="4" w:space="0" w:color="auto"/>
            </w:tcBorders>
            <w:shd w:val="clear" w:color="auto" w:fill="auto"/>
            <w:noWrap/>
            <w:vAlign w:val="bottom"/>
            <w:hideMark/>
          </w:tcPr>
          <w:p w14:paraId="1E64D7B4" w14:textId="658D9DA0"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$64.29</w:t>
            </w:r>
          </w:p>
        </w:tc>
        <w:tc>
          <w:tcPr>
            <w:tcW w:w="960" w:type="dxa"/>
            <w:tcBorders>
              <w:top w:val="nil"/>
              <w:left w:val="nil"/>
              <w:bottom w:val="single" w:sz="4" w:space="0" w:color="auto"/>
              <w:right w:val="single" w:sz="4" w:space="0" w:color="auto"/>
            </w:tcBorders>
            <w:shd w:val="clear" w:color="auto" w:fill="auto"/>
            <w:noWrap/>
            <w:vAlign w:val="bottom"/>
            <w:hideMark/>
          </w:tcPr>
          <w:p w14:paraId="1DB3E77D" w14:textId="04E4F88B"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$65.89</w:t>
            </w:r>
          </w:p>
        </w:tc>
        <w:tc>
          <w:tcPr>
            <w:tcW w:w="960" w:type="dxa"/>
            <w:tcBorders>
              <w:top w:val="nil"/>
              <w:left w:val="nil"/>
              <w:bottom w:val="single" w:sz="4" w:space="0" w:color="auto"/>
              <w:right w:val="single" w:sz="4" w:space="0" w:color="auto"/>
            </w:tcBorders>
            <w:shd w:val="clear" w:color="auto" w:fill="auto"/>
            <w:noWrap/>
            <w:vAlign w:val="bottom"/>
            <w:hideMark/>
          </w:tcPr>
          <w:p w14:paraId="19C46ABF" w14:textId="5F1F91CF"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$67.54</w:t>
            </w:r>
          </w:p>
        </w:tc>
        <w:tc>
          <w:tcPr>
            <w:tcW w:w="960" w:type="dxa"/>
            <w:tcBorders>
              <w:top w:val="nil"/>
              <w:left w:val="nil"/>
              <w:bottom w:val="single" w:sz="4" w:space="0" w:color="auto"/>
              <w:right w:val="single" w:sz="4" w:space="0" w:color="auto"/>
            </w:tcBorders>
            <w:shd w:val="clear" w:color="auto" w:fill="auto"/>
            <w:noWrap/>
            <w:vAlign w:val="bottom"/>
            <w:hideMark/>
          </w:tcPr>
          <w:p w14:paraId="1F3FEE0A" w14:textId="59299D92"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$69.23</w:t>
            </w:r>
          </w:p>
        </w:tc>
        <w:tc>
          <w:tcPr>
            <w:tcW w:w="1200" w:type="dxa"/>
            <w:tcBorders>
              <w:top w:val="nil"/>
              <w:left w:val="nil"/>
              <w:bottom w:val="single" w:sz="4" w:space="0" w:color="auto"/>
              <w:right w:val="single" w:sz="4" w:space="0" w:color="auto"/>
            </w:tcBorders>
            <w:shd w:val="clear" w:color="auto" w:fill="auto"/>
            <w:noWrap/>
            <w:vAlign w:val="bottom"/>
            <w:hideMark/>
          </w:tcPr>
          <w:p w14:paraId="729BC880" w14:textId="2C8ECF0B"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$70.96</w:t>
            </w:r>
          </w:p>
        </w:tc>
        <w:tc>
          <w:tcPr>
            <w:tcW w:w="1200" w:type="dxa"/>
            <w:tcBorders>
              <w:top w:val="nil"/>
              <w:left w:val="nil"/>
              <w:bottom w:val="single" w:sz="4" w:space="0" w:color="auto"/>
              <w:right w:val="single" w:sz="8" w:space="0" w:color="auto"/>
            </w:tcBorders>
            <w:shd w:val="clear" w:color="auto" w:fill="auto"/>
            <w:noWrap/>
            <w:vAlign w:val="bottom"/>
            <w:hideMark/>
          </w:tcPr>
          <w:p w14:paraId="5D67D2A8" w14:textId="7DA9AD23"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$72.73</w:t>
            </w:r>
          </w:p>
        </w:tc>
      </w:tr>
      <w:tr w:rsidR="000248D8" w:rsidRPr="00791B68" w14:paraId="6B7A8C0E" w14:textId="77777777" w:rsidTr="0073261A">
        <w:trPr>
          <w:trHeight w:val="260"/>
        </w:trPr>
        <w:tc>
          <w:tcPr>
            <w:tcW w:w="8160"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14:paraId="47538DFA" w14:textId="7164173D" w:rsidR="000248D8" w:rsidRPr="00791B68" w:rsidRDefault="000248D8" w:rsidP="0073261A">
            <w:pPr>
              <w:widowControl/>
              <w:autoSpaceDE/>
              <w:autoSpaceDN/>
              <w:adjustRightInd/>
              <w:jc w:val="center"/>
              <w:rPr>
                <w:rFonts w:ascii="Times New Roman" w:hAnsi="Times New Roman"/>
                <w:sz w:val="22"/>
                <w:szCs w:val="22"/>
              </w:rPr>
            </w:pPr>
          </w:p>
        </w:tc>
      </w:tr>
      <w:tr w:rsidR="000248D8" w:rsidRPr="00791B68" w14:paraId="5DB92A6F" w14:textId="77777777" w:rsidTr="0073261A">
        <w:trPr>
          <w:trHeight w:val="260"/>
        </w:trPr>
        <w:tc>
          <w:tcPr>
            <w:tcW w:w="960" w:type="dxa"/>
            <w:tcBorders>
              <w:top w:val="nil"/>
              <w:left w:val="single" w:sz="8" w:space="0" w:color="auto"/>
              <w:bottom w:val="single" w:sz="4" w:space="0" w:color="auto"/>
              <w:right w:val="single" w:sz="4" w:space="0" w:color="auto"/>
            </w:tcBorders>
            <w:shd w:val="clear" w:color="000000" w:fill="CCFFCC"/>
            <w:noWrap/>
            <w:vAlign w:val="bottom"/>
            <w:hideMark/>
          </w:tcPr>
          <w:p w14:paraId="575BE5ED"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2024</w:t>
            </w:r>
          </w:p>
        </w:tc>
        <w:tc>
          <w:tcPr>
            <w:tcW w:w="960" w:type="dxa"/>
            <w:tcBorders>
              <w:top w:val="nil"/>
              <w:left w:val="nil"/>
              <w:bottom w:val="single" w:sz="4" w:space="0" w:color="auto"/>
              <w:right w:val="single" w:sz="4" w:space="0" w:color="auto"/>
            </w:tcBorders>
            <w:shd w:val="clear" w:color="000000" w:fill="CCFFCC"/>
            <w:noWrap/>
            <w:vAlign w:val="bottom"/>
            <w:hideMark/>
          </w:tcPr>
          <w:p w14:paraId="7B90A437"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2025</w:t>
            </w:r>
          </w:p>
        </w:tc>
        <w:tc>
          <w:tcPr>
            <w:tcW w:w="960" w:type="dxa"/>
            <w:tcBorders>
              <w:top w:val="nil"/>
              <w:left w:val="nil"/>
              <w:bottom w:val="single" w:sz="4" w:space="0" w:color="auto"/>
              <w:right w:val="single" w:sz="4" w:space="0" w:color="auto"/>
            </w:tcBorders>
            <w:shd w:val="clear" w:color="000000" w:fill="CCFFCC"/>
            <w:noWrap/>
            <w:vAlign w:val="bottom"/>
            <w:hideMark/>
          </w:tcPr>
          <w:p w14:paraId="76F8BA21"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2026</w:t>
            </w:r>
          </w:p>
        </w:tc>
        <w:tc>
          <w:tcPr>
            <w:tcW w:w="960" w:type="dxa"/>
            <w:tcBorders>
              <w:top w:val="nil"/>
              <w:left w:val="nil"/>
              <w:bottom w:val="single" w:sz="4" w:space="0" w:color="auto"/>
              <w:right w:val="single" w:sz="4" w:space="0" w:color="auto"/>
            </w:tcBorders>
            <w:shd w:val="clear" w:color="000000" w:fill="CCFFCC"/>
            <w:noWrap/>
            <w:vAlign w:val="bottom"/>
            <w:hideMark/>
          </w:tcPr>
          <w:p w14:paraId="3F097069"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2027</w:t>
            </w:r>
          </w:p>
        </w:tc>
        <w:tc>
          <w:tcPr>
            <w:tcW w:w="960" w:type="dxa"/>
            <w:tcBorders>
              <w:top w:val="nil"/>
              <w:left w:val="nil"/>
              <w:bottom w:val="single" w:sz="4" w:space="0" w:color="auto"/>
              <w:right w:val="single" w:sz="4" w:space="0" w:color="auto"/>
            </w:tcBorders>
            <w:shd w:val="clear" w:color="000000" w:fill="CCFFCC"/>
            <w:noWrap/>
            <w:vAlign w:val="bottom"/>
            <w:hideMark/>
          </w:tcPr>
          <w:p w14:paraId="682A3FB0"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2028</w:t>
            </w:r>
          </w:p>
        </w:tc>
        <w:tc>
          <w:tcPr>
            <w:tcW w:w="960" w:type="dxa"/>
            <w:tcBorders>
              <w:top w:val="nil"/>
              <w:left w:val="nil"/>
              <w:bottom w:val="single" w:sz="4" w:space="0" w:color="auto"/>
              <w:right w:val="single" w:sz="4" w:space="0" w:color="auto"/>
            </w:tcBorders>
            <w:shd w:val="clear" w:color="000000" w:fill="CCFFCC"/>
            <w:noWrap/>
            <w:vAlign w:val="bottom"/>
            <w:hideMark/>
          </w:tcPr>
          <w:p w14:paraId="37DA3115"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2029</w:t>
            </w:r>
          </w:p>
        </w:tc>
        <w:tc>
          <w:tcPr>
            <w:tcW w:w="1200" w:type="dxa"/>
            <w:tcBorders>
              <w:top w:val="nil"/>
              <w:left w:val="nil"/>
              <w:bottom w:val="single" w:sz="4" w:space="0" w:color="auto"/>
              <w:right w:val="single" w:sz="4" w:space="0" w:color="auto"/>
            </w:tcBorders>
            <w:shd w:val="clear" w:color="000000" w:fill="CCFFCC"/>
            <w:noWrap/>
            <w:vAlign w:val="bottom"/>
            <w:hideMark/>
          </w:tcPr>
          <w:p w14:paraId="4899CCEB" w14:textId="7777777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2030</w:t>
            </w:r>
          </w:p>
        </w:tc>
        <w:tc>
          <w:tcPr>
            <w:tcW w:w="1200" w:type="dxa"/>
            <w:tcBorders>
              <w:top w:val="nil"/>
              <w:left w:val="nil"/>
              <w:bottom w:val="single" w:sz="4" w:space="0" w:color="auto"/>
              <w:right w:val="single" w:sz="8" w:space="0" w:color="auto"/>
            </w:tcBorders>
            <w:shd w:val="clear" w:color="000000" w:fill="CCFFCC"/>
            <w:noWrap/>
            <w:vAlign w:val="bottom"/>
            <w:hideMark/>
          </w:tcPr>
          <w:p w14:paraId="4F57287D" w14:textId="27DC855C" w:rsidR="000248D8" w:rsidRPr="00791B68" w:rsidRDefault="000248D8" w:rsidP="0073261A">
            <w:pPr>
              <w:widowControl/>
              <w:autoSpaceDE/>
              <w:autoSpaceDN/>
              <w:adjustRightInd/>
              <w:jc w:val="center"/>
              <w:rPr>
                <w:rFonts w:ascii="Times New Roman" w:hAnsi="Times New Roman"/>
                <w:sz w:val="22"/>
                <w:szCs w:val="22"/>
              </w:rPr>
            </w:pPr>
          </w:p>
        </w:tc>
      </w:tr>
      <w:tr w:rsidR="000248D8" w:rsidRPr="00791B68" w14:paraId="689B3AE4" w14:textId="77777777" w:rsidTr="0073261A">
        <w:trPr>
          <w:trHeight w:val="26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39DDB2A" w14:textId="51F4DA2F"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$74.55</w:t>
            </w:r>
          </w:p>
        </w:tc>
        <w:tc>
          <w:tcPr>
            <w:tcW w:w="960" w:type="dxa"/>
            <w:tcBorders>
              <w:top w:val="nil"/>
              <w:left w:val="nil"/>
              <w:bottom w:val="single" w:sz="8" w:space="0" w:color="auto"/>
              <w:right w:val="single" w:sz="4" w:space="0" w:color="auto"/>
            </w:tcBorders>
            <w:shd w:val="clear" w:color="auto" w:fill="auto"/>
            <w:noWrap/>
            <w:vAlign w:val="bottom"/>
            <w:hideMark/>
          </w:tcPr>
          <w:p w14:paraId="79ED90E1" w14:textId="39632D05"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$76.42</w:t>
            </w:r>
          </w:p>
        </w:tc>
        <w:tc>
          <w:tcPr>
            <w:tcW w:w="960" w:type="dxa"/>
            <w:tcBorders>
              <w:top w:val="nil"/>
              <w:left w:val="nil"/>
              <w:bottom w:val="single" w:sz="8" w:space="0" w:color="auto"/>
              <w:right w:val="single" w:sz="4" w:space="0" w:color="auto"/>
            </w:tcBorders>
            <w:shd w:val="clear" w:color="auto" w:fill="auto"/>
            <w:noWrap/>
            <w:vAlign w:val="bottom"/>
            <w:hideMark/>
          </w:tcPr>
          <w:p w14:paraId="29DBF18A" w14:textId="2CC2DA88"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$78.33</w:t>
            </w:r>
          </w:p>
        </w:tc>
        <w:tc>
          <w:tcPr>
            <w:tcW w:w="960" w:type="dxa"/>
            <w:tcBorders>
              <w:top w:val="nil"/>
              <w:left w:val="nil"/>
              <w:bottom w:val="single" w:sz="8" w:space="0" w:color="auto"/>
              <w:right w:val="single" w:sz="4" w:space="0" w:color="auto"/>
            </w:tcBorders>
            <w:shd w:val="clear" w:color="auto" w:fill="auto"/>
            <w:noWrap/>
            <w:vAlign w:val="bottom"/>
            <w:hideMark/>
          </w:tcPr>
          <w:p w14:paraId="75CE00E3" w14:textId="4A465259"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$80.29</w:t>
            </w:r>
          </w:p>
        </w:tc>
        <w:tc>
          <w:tcPr>
            <w:tcW w:w="960" w:type="dxa"/>
            <w:tcBorders>
              <w:top w:val="nil"/>
              <w:left w:val="nil"/>
              <w:bottom w:val="single" w:sz="8" w:space="0" w:color="auto"/>
              <w:right w:val="single" w:sz="4" w:space="0" w:color="auto"/>
            </w:tcBorders>
            <w:shd w:val="clear" w:color="auto" w:fill="auto"/>
            <w:noWrap/>
            <w:vAlign w:val="bottom"/>
            <w:hideMark/>
          </w:tcPr>
          <w:p w14:paraId="7B0508C9" w14:textId="06D1E9FE"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$82.29</w:t>
            </w:r>
          </w:p>
        </w:tc>
        <w:tc>
          <w:tcPr>
            <w:tcW w:w="960" w:type="dxa"/>
            <w:tcBorders>
              <w:top w:val="nil"/>
              <w:left w:val="nil"/>
              <w:bottom w:val="single" w:sz="8" w:space="0" w:color="auto"/>
              <w:right w:val="single" w:sz="4" w:space="0" w:color="auto"/>
            </w:tcBorders>
            <w:shd w:val="clear" w:color="auto" w:fill="auto"/>
            <w:noWrap/>
            <w:vAlign w:val="bottom"/>
            <w:hideMark/>
          </w:tcPr>
          <w:p w14:paraId="0B2EFED5" w14:textId="3E0A5797"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$84.35</w:t>
            </w:r>
          </w:p>
        </w:tc>
        <w:tc>
          <w:tcPr>
            <w:tcW w:w="1200" w:type="dxa"/>
            <w:tcBorders>
              <w:top w:val="nil"/>
              <w:left w:val="nil"/>
              <w:bottom w:val="single" w:sz="8" w:space="0" w:color="auto"/>
              <w:right w:val="single" w:sz="4" w:space="0" w:color="auto"/>
            </w:tcBorders>
            <w:shd w:val="clear" w:color="auto" w:fill="auto"/>
            <w:noWrap/>
            <w:vAlign w:val="bottom"/>
            <w:hideMark/>
          </w:tcPr>
          <w:p w14:paraId="24F2F5F1" w14:textId="2DCF1D0A" w:rsidR="000248D8" w:rsidRPr="00791B68" w:rsidRDefault="000248D8" w:rsidP="0073261A">
            <w:pPr>
              <w:widowControl/>
              <w:autoSpaceDE/>
              <w:autoSpaceDN/>
              <w:adjustRightInd/>
              <w:jc w:val="center"/>
              <w:rPr>
                <w:rFonts w:ascii="Times New Roman" w:hAnsi="Times New Roman"/>
                <w:sz w:val="22"/>
                <w:szCs w:val="22"/>
              </w:rPr>
            </w:pPr>
            <w:r w:rsidRPr="00791B68">
              <w:rPr>
                <w:rFonts w:ascii="Times New Roman" w:hAnsi="Times New Roman"/>
                <w:sz w:val="22"/>
                <w:szCs w:val="22"/>
              </w:rPr>
              <w:t>$86.46</w:t>
            </w:r>
          </w:p>
        </w:tc>
        <w:tc>
          <w:tcPr>
            <w:tcW w:w="1200" w:type="dxa"/>
            <w:tcBorders>
              <w:top w:val="nil"/>
              <w:left w:val="nil"/>
              <w:bottom w:val="single" w:sz="8" w:space="0" w:color="auto"/>
              <w:right w:val="single" w:sz="8" w:space="0" w:color="auto"/>
            </w:tcBorders>
            <w:shd w:val="clear" w:color="auto" w:fill="auto"/>
            <w:noWrap/>
            <w:vAlign w:val="bottom"/>
            <w:hideMark/>
          </w:tcPr>
          <w:p w14:paraId="17D1D9BF" w14:textId="7D99D2A9" w:rsidR="000248D8" w:rsidRPr="00791B68" w:rsidRDefault="000248D8" w:rsidP="0073261A">
            <w:pPr>
              <w:keepNext/>
              <w:widowControl/>
              <w:autoSpaceDE/>
              <w:autoSpaceDN/>
              <w:adjustRightInd/>
              <w:jc w:val="center"/>
              <w:rPr>
                <w:rFonts w:ascii="Times New Roman" w:hAnsi="Times New Roman"/>
                <w:sz w:val="22"/>
                <w:szCs w:val="22"/>
              </w:rPr>
            </w:pPr>
          </w:p>
        </w:tc>
      </w:tr>
    </w:tbl>
    <w:p w14:paraId="074C3ADC" w14:textId="7A06733F" w:rsidR="000248D8" w:rsidRPr="00791B68" w:rsidRDefault="000248D8" w:rsidP="000248D8">
      <w:pPr>
        <w:pStyle w:val="Caption"/>
        <w:spacing w:before="120"/>
        <w:jc w:val="center"/>
        <w:rPr>
          <w:rFonts w:ascii="Times New Roman" w:hAnsi="Times New Roman"/>
          <w:sz w:val="24"/>
        </w:rPr>
      </w:pPr>
      <w:r w:rsidRPr="00791B68">
        <w:rPr>
          <w:rFonts w:ascii="Times New Roman" w:hAnsi="Times New Roman"/>
        </w:rPr>
        <w:t xml:space="preserve">Table </w:t>
      </w:r>
      <w:r w:rsidRPr="00791B68">
        <w:rPr>
          <w:rFonts w:ascii="Times New Roman" w:hAnsi="Times New Roman"/>
        </w:rPr>
        <w:fldChar w:fldCharType="begin"/>
      </w:r>
      <w:r w:rsidRPr="00791B68">
        <w:rPr>
          <w:rFonts w:ascii="Times New Roman" w:hAnsi="Times New Roman"/>
        </w:rPr>
        <w:instrText xml:space="preserve"> SEQ Table \* ARABIC </w:instrText>
      </w:r>
      <w:r w:rsidRPr="00791B68">
        <w:rPr>
          <w:rFonts w:ascii="Times New Roman" w:hAnsi="Times New Roman"/>
        </w:rPr>
        <w:fldChar w:fldCharType="separate"/>
      </w:r>
      <w:r w:rsidR="00E75DE9" w:rsidRPr="00791B68">
        <w:rPr>
          <w:rFonts w:ascii="Times New Roman" w:hAnsi="Times New Roman"/>
          <w:noProof/>
        </w:rPr>
        <w:t>1</w:t>
      </w:r>
      <w:r w:rsidRPr="00791B68">
        <w:rPr>
          <w:rFonts w:ascii="Times New Roman" w:hAnsi="Times New Roman"/>
        </w:rPr>
        <w:fldChar w:fldCharType="end"/>
      </w:r>
      <w:r w:rsidRPr="00791B68">
        <w:rPr>
          <w:rFonts w:ascii="Times New Roman" w:hAnsi="Times New Roman"/>
        </w:rPr>
        <w:t>; Rates In effect for Energy and Capacity; Schedule 91</w:t>
      </w:r>
    </w:p>
    <w:tbl>
      <w:tblPr>
        <w:tblW w:w="8160" w:type="dxa"/>
        <w:tblInd w:w="602" w:type="dxa"/>
        <w:tblLook w:val="04A0" w:firstRow="1" w:lastRow="0" w:firstColumn="1" w:lastColumn="0" w:noHBand="0" w:noVBand="1"/>
      </w:tblPr>
      <w:tblGrid>
        <w:gridCol w:w="960"/>
        <w:gridCol w:w="960"/>
        <w:gridCol w:w="960"/>
        <w:gridCol w:w="960"/>
        <w:gridCol w:w="960"/>
        <w:gridCol w:w="960"/>
        <w:gridCol w:w="1200"/>
        <w:gridCol w:w="1200"/>
      </w:tblGrid>
      <w:tr w:rsidR="000248D8" w:rsidRPr="00791B68" w14:paraId="3B5CAAE0" w14:textId="77777777" w:rsidTr="0073261A">
        <w:trPr>
          <w:trHeight w:val="250"/>
        </w:trPr>
        <w:tc>
          <w:tcPr>
            <w:tcW w:w="960" w:type="dxa"/>
            <w:tcBorders>
              <w:top w:val="single" w:sz="8" w:space="0" w:color="auto"/>
              <w:left w:val="single" w:sz="8" w:space="0" w:color="auto"/>
              <w:bottom w:val="single" w:sz="4" w:space="0" w:color="auto"/>
              <w:right w:val="single" w:sz="4" w:space="0" w:color="auto"/>
            </w:tcBorders>
            <w:shd w:val="clear" w:color="000000" w:fill="CCFFCC"/>
            <w:noWrap/>
            <w:vAlign w:val="bottom"/>
            <w:hideMark/>
          </w:tcPr>
          <w:p w14:paraId="5C8D395E"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2017</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30DEA237"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2018</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6801F45D"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2019</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2E089291"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2020</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19EB850B"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2021</w:t>
            </w:r>
          </w:p>
        </w:tc>
        <w:tc>
          <w:tcPr>
            <w:tcW w:w="960" w:type="dxa"/>
            <w:tcBorders>
              <w:top w:val="single" w:sz="8" w:space="0" w:color="auto"/>
              <w:left w:val="nil"/>
              <w:bottom w:val="single" w:sz="4" w:space="0" w:color="auto"/>
              <w:right w:val="single" w:sz="4" w:space="0" w:color="auto"/>
            </w:tcBorders>
            <w:shd w:val="clear" w:color="000000" w:fill="CCFFCC"/>
            <w:noWrap/>
            <w:vAlign w:val="bottom"/>
            <w:hideMark/>
          </w:tcPr>
          <w:p w14:paraId="7B5BAB98"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2022</w:t>
            </w:r>
          </w:p>
        </w:tc>
        <w:tc>
          <w:tcPr>
            <w:tcW w:w="1200" w:type="dxa"/>
            <w:tcBorders>
              <w:top w:val="single" w:sz="8" w:space="0" w:color="auto"/>
              <w:left w:val="nil"/>
              <w:bottom w:val="single" w:sz="4" w:space="0" w:color="auto"/>
              <w:right w:val="single" w:sz="4" w:space="0" w:color="auto"/>
            </w:tcBorders>
            <w:shd w:val="clear" w:color="000000" w:fill="CCFFCC"/>
            <w:noWrap/>
            <w:vAlign w:val="bottom"/>
            <w:hideMark/>
          </w:tcPr>
          <w:p w14:paraId="06D2D3B1"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2023</w:t>
            </w:r>
          </w:p>
        </w:tc>
        <w:tc>
          <w:tcPr>
            <w:tcW w:w="1200" w:type="dxa"/>
            <w:tcBorders>
              <w:top w:val="single" w:sz="8" w:space="0" w:color="auto"/>
              <w:left w:val="nil"/>
              <w:bottom w:val="single" w:sz="4" w:space="0" w:color="auto"/>
              <w:right w:val="single" w:sz="8" w:space="0" w:color="auto"/>
            </w:tcBorders>
            <w:shd w:val="clear" w:color="000000" w:fill="CCFFCC"/>
            <w:noWrap/>
            <w:vAlign w:val="bottom"/>
            <w:hideMark/>
          </w:tcPr>
          <w:p w14:paraId="610FEF50"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2024</w:t>
            </w:r>
          </w:p>
        </w:tc>
      </w:tr>
      <w:tr w:rsidR="000248D8" w:rsidRPr="00791B68" w14:paraId="2E0003B3" w14:textId="77777777" w:rsidTr="0073261A">
        <w:trPr>
          <w:trHeight w:val="25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1432E8"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$44.54 </w:t>
            </w:r>
          </w:p>
        </w:tc>
        <w:tc>
          <w:tcPr>
            <w:tcW w:w="960" w:type="dxa"/>
            <w:tcBorders>
              <w:top w:val="nil"/>
              <w:left w:val="nil"/>
              <w:bottom w:val="single" w:sz="4" w:space="0" w:color="auto"/>
              <w:right w:val="single" w:sz="4" w:space="0" w:color="auto"/>
            </w:tcBorders>
            <w:shd w:val="clear" w:color="auto" w:fill="auto"/>
            <w:noWrap/>
            <w:vAlign w:val="bottom"/>
            <w:hideMark/>
          </w:tcPr>
          <w:p w14:paraId="3AF1DED3"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$45.65 </w:t>
            </w:r>
          </w:p>
        </w:tc>
        <w:tc>
          <w:tcPr>
            <w:tcW w:w="960" w:type="dxa"/>
            <w:tcBorders>
              <w:top w:val="nil"/>
              <w:left w:val="nil"/>
              <w:bottom w:val="single" w:sz="4" w:space="0" w:color="auto"/>
              <w:right w:val="single" w:sz="4" w:space="0" w:color="auto"/>
            </w:tcBorders>
            <w:shd w:val="clear" w:color="auto" w:fill="auto"/>
            <w:noWrap/>
            <w:vAlign w:val="bottom"/>
            <w:hideMark/>
          </w:tcPr>
          <w:p w14:paraId="6BFE17E5"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$46.79 </w:t>
            </w:r>
          </w:p>
        </w:tc>
        <w:tc>
          <w:tcPr>
            <w:tcW w:w="960" w:type="dxa"/>
            <w:tcBorders>
              <w:top w:val="nil"/>
              <w:left w:val="nil"/>
              <w:bottom w:val="single" w:sz="4" w:space="0" w:color="auto"/>
              <w:right w:val="single" w:sz="4" w:space="0" w:color="auto"/>
            </w:tcBorders>
            <w:shd w:val="clear" w:color="auto" w:fill="auto"/>
            <w:noWrap/>
            <w:vAlign w:val="bottom"/>
            <w:hideMark/>
          </w:tcPr>
          <w:p w14:paraId="0DE7A4D4"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$47.96 </w:t>
            </w:r>
          </w:p>
        </w:tc>
        <w:tc>
          <w:tcPr>
            <w:tcW w:w="960" w:type="dxa"/>
            <w:tcBorders>
              <w:top w:val="nil"/>
              <w:left w:val="nil"/>
              <w:bottom w:val="single" w:sz="4" w:space="0" w:color="auto"/>
              <w:right w:val="single" w:sz="4" w:space="0" w:color="auto"/>
            </w:tcBorders>
            <w:shd w:val="clear" w:color="auto" w:fill="auto"/>
            <w:noWrap/>
            <w:vAlign w:val="bottom"/>
            <w:hideMark/>
          </w:tcPr>
          <w:p w14:paraId="0AAB1D94"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$49.16 </w:t>
            </w:r>
          </w:p>
        </w:tc>
        <w:tc>
          <w:tcPr>
            <w:tcW w:w="960" w:type="dxa"/>
            <w:tcBorders>
              <w:top w:val="nil"/>
              <w:left w:val="nil"/>
              <w:bottom w:val="single" w:sz="4" w:space="0" w:color="auto"/>
              <w:right w:val="single" w:sz="4" w:space="0" w:color="auto"/>
            </w:tcBorders>
            <w:shd w:val="clear" w:color="auto" w:fill="auto"/>
            <w:noWrap/>
            <w:vAlign w:val="bottom"/>
            <w:hideMark/>
          </w:tcPr>
          <w:p w14:paraId="619A71F5"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$50.39 </w:t>
            </w:r>
          </w:p>
        </w:tc>
        <w:tc>
          <w:tcPr>
            <w:tcW w:w="1200" w:type="dxa"/>
            <w:tcBorders>
              <w:top w:val="nil"/>
              <w:left w:val="nil"/>
              <w:bottom w:val="single" w:sz="4" w:space="0" w:color="auto"/>
              <w:right w:val="single" w:sz="4" w:space="0" w:color="auto"/>
            </w:tcBorders>
            <w:shd w:val="clear" w:color="auto" w:fill="auto"/>
            <w:noWrap/>
            <w:vAlign w:val="bottom"/>
            <w:hideMark/>
          </w:tcPr>
          <w:p w14:paraId="7D12B0DF"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$51.65 </w:t>
            </w:r>
          </w:p>
        </w:tc>
        <w:tc>
          <w:tcPr>
            <w:tcW w:w="1200" w:type="dxa"/>
            <w:tcBorders>
              <w:top w:val="nil"/>
              <w:left w:val="nil"/>
              <w:bottom w:val="single" w:sz="4" w:space="0" w:color="auto"/>
              <w:right w:val="single" w:sz="8" w:space="0" w:color="auto"/>
            </w:tcBorders>
            <w:shd w:val="clear" w:color="auto" w:fill="auto"/>
            <w:noWrap/>
            <w:vAlign w:val="bottom"/>
            <w:hideMark/>
          </w:tcPr>
          <w:p w14:paraId="5118584B"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$52.94 </w:t>
            </w:r>
          </w:p>
        </w:tc>
      </w:tr>
      <w:tr w:rsidR="000248D8" w:rsidRPr="00791B68" w14:paraId="349EC3C4" w14:textId="77777777" w:rsidTr="0073261A">
        <w:trPr>
          <w:trHeight w:val="250"/>
        </w:trPr>
        <w:tc>
          <w:tcPr>
            <w:tcW w:w="8160"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14:paraId="519AA452" w14:textId="77777777" w:rsidR="000248D8" w:rsidRPr="00791B68" w:rsidRDefault="000248D8" w:rsidP="000248D8">
            <w:pPr>
              <w:widowControl/>
              <w:autoSpaceDE/>
              <w:autoSpaceDN/>
              <w:adjustRightInd/>
              <w:jc w:val="center"/>
              <w:rPr>
                <w:rFonts w:ascii="Times New Roman" w:hAnsi="Times New Roman"/>
                <w:sz w:val="22"/>
                <w:szCs w:val="22"/>
              </w:rPr>
            </w:pPr>
            <w:r w:rsidRPr="00791B68">
              <w:rPr>
                <w:rFonts w:ascii="Times New Roman" w:hAnsi="Times New Roman"/>
                <w:sz w:val="22"/>
                <w:szCs w:val="22"/>
              </w:rPr>
              <w:t> </w:t>
            </w:r>
          </w:p>
        </w:tc>
      </w:tr>
      <w:tr w:rsidR="000248D8" w:rsidRPr="00791B68" w14:paraId="7837664F" w14:textId="77777777" w:rsidTr="0073261A">
        <w:trPr>
          <w:trHeight w:val="250"/>
        </w:trPr>
        <w:tc>
          <w:tcPr>
            <w:tcW w:w="960" w:type="dxa"/>
            <w:tcBorders>
              <w:top w:val="nil"/>
              <w:left w:val="single" w:sz="8" w:space="0" w:color="auto"/>
              <w:bottom w:val="single" w:sz="4" w:space="0" w:color="auto"/>
              <w:right w:val="single" w:sz="4" w:space="0" w:color="auto"/>
            </w:tcBorders>
            <w:shd w:val="clear" w:color="000000" w:fill="CCFFCC"/>
            <w:noWrap/>
            <w:vAlign w:val="bottom"/>
            <w:hideMark/>
          </w:tcPr>
          <w:p w14:paraId="49C91836"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2025</w:t>
            </w:r>
          </w:p>
        </w:tc>
        <w:tc>
          <w:tcPr>
            <w:tcW w:w="960" w:type="dxa"/>
            <w:tcBorders>
              <w:top w:val="nil"/>
              <w:left w:val="nil"/>
              <w:bottom w:val="single" w:sz="4" w:space="0" w:color="auto"/>
              <w:right w:val="single" w:sz="4" w:space="0" w:color="auto"/>
            </w:tcBorders>
            <w:shd w:val="clear" w:color="000000" w:fill="CCFFCC"/>
            <w:noWrap/>
            <w:vAlign w:val="bottom"/>
            <w:hideMark/>
          </w:tcPr>
          <w:p w14:paraId="42B29992"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2026</w:t>
            </w:r>
          </w:p>
        </w:tc>
        <w:tc>
          <w:tcPr>
            <w:tcW w:w="960" w:type="dxa"/>
            <w:tcBorders>
              <w:top w:val="nil"/>
              <w:left w:val="nil"/>
              <w:bottom w:val="single" w:sz="4" w:space="0" w:color="auto"/>
              <w:right w:val="single" w:sz="4" w:space="0" w:color="auto"/>
            </w:tcBorders>
            <w:shd w:val="clear" w:color="000000" w:fill="CCFFCC"/>
            <w:noWrap/>
            <w:vAlign w:val="bottom"/>
            <w:hideMark/>
          </w:tcPr>
          <w:p w14:paraId="58BA5A97"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2027</w:t>
            </w:r>
          </w:p>
        </w:tc>
        <w:tc>
          <w:tcPr>
            <w:tcW w:w="960" w:type="dxa"/>
            <w:tcBorders>
              <w:top w:val="nil"/>
              <w:left w:val="nil"/>
              <w:bottom w:val="single" w:sz="4" w:space="0" w:color="auto"/>
              <w:right w:val="single" w:sz="4" w:space="0" w:color="auto"/>
            </w:tcBorders>
            <w:shd w:val="clear" w:color="000000" w:fill="CCFFCC"/>
            <w:noWrap/>
            <w:vAlign w:val="bottom"/>
            <w:hideMark/>
          </w:tcPr>
          <w:p w14:paraId="003249EC"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2028</w:t>
            </w:r>
          </w:p>
        </w:tc>
        <w:tc>
          <w:tcPr>
            <w:tcW w:w="960" w:type="dxa"/>
            <w:tcBorders>
              <w:top w:val="nil"/>
              <w:left w:val="nil"/>
              <w:bottom w:val="single" w:sz="4" w:space="0" w:color="auto"/>
              <w:right w:val="single" w:sz="4" w:space="0" w:color="auto"/>
            </w:tcBorders>
            <w:shd w:val="clear" w:color="000000" w:fill="CCFFCC"/>
            <w:noWrap/>
            <w:vAlign w:val="bottom"/>
            <w:hideMark/>
          </w:tcPr>
          <w:p w14:paraId="244A87E7"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2029</w:t>
            </w:r>
          </w:p>
        </w:tc>
        <w:tc>
          <w:tcPr>
            <w:tcW w:w="960" w:type="dxa"/>
            <w:tcBorders>
              <w:top w:val="nil"/>
              <w:left w:val="nil"/>
              <w:bottom w:val="single" w:sz="4" w:space="0" w:color="auto"/>
              <w:right w:val="single" w:sz="4" w:space="0" w:color="auto"/>
            </w:tcBorders>
            <w:shd w:val="clear" w:color="000000" w:fill="CCFFCC"/>
            <w:noWrap/>
            <w:vAlign w:val="bottom"/>
            <w:hideMark/>
          </w:tcPr>
          <w:p w14:paraId="5A4C5FFE"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2030</w:t>
            </w:r>
          </w:p>
        </w:tc>
        <w:tc>
          <w:tcPr>
            <w:tcW w:w="1200" w:type="dxa"/>
            <w:tcBorders>
              <w:top w:val="nil"/>
              <w:left w:val="nil"/>
              <w:bottom w:val="single" w:sz="4" w:space="0" w:color="auto"/>
              <w:right w:val="single" w:sz="4" w:space="0" w:color="auto"/>
            </w:tcBorders>
            <w:shd w:val="clear" w:color="000000" w:fill="CCFFCC"/>
            <w:noWrap/>
            <w:vAlign w:val="bottom"/>
            <w:hideMark/>
          </w:tcPr>
          <w:p w14:paraId="3F0B688B"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2031</w:t>
            </w:r>
          </w:p>
        </w:tc>
        <w:tc>
          <w:tcPr>
            <w:tcW w:w="1200" w:type="dxa"/>
            <w:tcBorders>
              <w:top w:val="nil"/>
              <w:left w:val="nil"/>
              <w:bottom w:val="single" w:sz="4" w:space="0" w:color="auto"/>
              <w:right w:val="single" w:sz="8" w:space="0" w:color="auto"/>
            </w:tcBorders>
            <w:shd w:val="clear" w:color="000000" w:fill="CCFFCC"/>
            <w:noWrap/>
            <w:vAlign w:val="bottom"/>
            <w:hideMark/>
          </w:tcPr>
          <w:p w14:paraId="33B66B19"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2032</w:t>
            </w:r>
          </w:p>
        </w:tc>
      </w:tr>
      <w:tr w:rsidR="000248D8" w:rsidRPr="00791B68" w14:paraId="14710D75" w14:textId="77777777" w:rsidTr="0073261A">
        <w:trPr>
          <w:trHeight w:val="26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05CE8CD"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$54.26 </w:t>
            </w:r>
          </w:p>
        </w:tc>
        <w:tc>
          <w:tcPr>
            <w:tcW w:w="960" w:type="dxa"/>
            <w:tcBorders>
              <w:top w:val="nil"/>
              <w:left w:val="nil"/>
              <w:bottom w:val="single" w:sz="8" w:space="0" w:color="auto"/>
              <w:right w:val="single" w:sz="4" w:space="0" w:color="auto"/>
            </w:tcBorders>
            <w:shd w:val="clear" w:color="auto" w:fill="auto"/>
            <w:noWrap/>
            <w:vAlign w:val="bottom"/>
            <w:hideMark/>
          </w:tcPr>
          <w:p w14:paraId="075BBCF2"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$55.62 </w:t>
            </w:r>
          </w:p>
        </w:tc>
        <w:tc>
          <w:tcPr>
            <w:tcW w:w="960" w:type="dxa"/>
            <w:tcBorders>
              <w:top w:val="nil"/>
              <w:left w:val="nil"/>
              <w:bottom w:val="single" w:sz="8" w:space="0" w:color="auto"/>
              <w:right w:val="single" w:sz="4" w:space="0" w:color="auto"/>
            </w:tcBorders>
            <w:shd w:val="clear" w:color="auto" w:fill="auto"/>
            <w:noWrap/>
            <w:vAlign w:val="bottom"/>
            <w:hideMark/>
          </w:tcPr>
          <w:p w14:paraId="656C336E"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$57.01 </w:t>
            </w:r>
          </w:p>
        </w:tc>
        <w:tc>
          <w:tcPr>
            <w:tcW w:w="960" w:type="dxa"/>
            <w:tcBorders>
              <w:top w:val="nil"/>
              <w:left w:val="nil"/>
              <w:bottom w:val="single" w:sz="8" w:space="0" w:color="auto"/>
              <w:right w:val="single" w:sz="4" w:space="0" w:color="auto"/>
            </w:tcBorders>
            <w:shd w:val="clear" w:color="auto" w:fill="auto"/>
            <w:noWrap/>
            <w:vAlign w:val="bottom"/>
            <w:hideMark/>
          </w:tcPr>
          <w:p w14:paraId="02FDEEED"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$58.44 </w:t>
            </w:r>
          </w:p>
        </w:tc>
        <w:tc>
          <w:tcPr>
            <w:tcW w:w="960" w:type="dxa"/>
            <w:tcBorders>
              <w:top w:val="nil"/>
              <w:left w:val="nil"/>
              <w:bottom w:val="single" w:sz="8" w:space="0" w:color="auto"/>
              <w:right w:val="single" w:sz="4" w:space="0" w:color="auto"/>
            </w:tcBorders>
            <w:shd w:val="clear" w:color="auto" w:fill="auto"/>
            <w:noWrap/>
            <w:vAlign w:val="bottom"/>
            <w:hideMark/>
          </w:tcPr>
          <w:p w14:paraId="62C3BAD5"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$59.90 </w:t>
            </w:r>
          </w:p>
        </w:tc>
        <w:tc>
          <w:tcPr>
            <w:tcW w:w="960" w:type="dxa"/>
            <w:tcBorders>
              <w:top w:val="nil"/>
              <w:left w:val="nil"/>
              <w:bottom w:val="single" w:sz="8" w:space="0" w:color="auto"/>
              <w:right w:val="single" w:sz="4" w:space="0" w:color="auto"/>
            </w:tcBorders>
            <w:shd w:val="clear" w:color="auto" w:fill="auto"/>
            <w:noWrap/>
            <w:vAlign w:val="bottom"/>
            <w:hideMark/>
          </w:tcPr>
          <w:p w14:paraId="09E37B31"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$61.39 </w:t>
            </w:r>
          </w:p>
        </w:tc>
        <w:tc>
          <w:tcPr>
            <w:tcW w:w="1200" w:type="dxa"/>
            <w:tcBorders>
              <w:top w:val="nil"/>
              <w:left w:val="nil"/>
              <w:bottom w:val="single" w:sz="8" w:space="0" w:color="auto"/>
              <w:right w:val="single" w:sz="4" w:space="0" w:color="auto"/>
            </w:tcBorders>
            <w:shd w:val="clear" w:color="auto" w:fill="auto"/>
            <w:noWrap/>
            <w:vAlign w:val="bottom"/>
            <w:hideMark/>
          </w:tcPr>
          <w:p w14:paraId="76F9A9F0" w14:textId="77777777" w:rsidR="000248D8" w:rsidRPr="00791B68" w:rsidRDefault="000248D8" w:rsidP="000248D8">
            <w:pPr>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$62.93 </w:t>
            </w:r>
          </w:p>
        </w:tc>
        <w:tc>
          <w:tcPr>
            <w:tcW w:w="1200" w:type="dxa"/>
            <w:tcBorders>
              <w:top w:val="nil"/>
              <w:left w:val="nil"/>
              <w:bottom w:val="single" w:sz="8" w:space="0" w:color="auto"/>
              <w:right w:val="single" w:sz="8" w:space="0" w:color="auto"/>
            </w:tcBorders>
            <w:shd w:val="clear" w:color="auto" w:fill="auto"/>
            <w:noWrap/>
            <w:vAlign w:val="bottom"/>
            <w:hideMark/>
          </w:tcPr>
          <w:p w14:paraId="62F963A8" w14:textId="77777777" w:rsidR="000248D8" w:rsidRPr="00791B68" w:rsidRDefault="000248D8" w:rsidP="00E75DE9">
            <w:pPr>
              <w:keepNext/>
              <w:widowControl/>
              <w:autoSpaceDE/>
              <w:autoSpaceDN/>
              <w:adjustRightInd/>
              <w:jc w:val="right"/>
              <w:rPr>
                <w:rFonts w:ascii="Times New Roman" w:hAnsi="Times New Roman"/>
                <w:sz w:val="22"/>
                <w:szCs w:val="22"/>
              </w:rPr>
            </w:pPr>
            <w:r w:rsidRPr="00791B68">
              <w:rPr>
                <w:rFonts w:ascii="Times New Roman" w:hAnsi="Times New Roman"/>
                <w:sz w:val="22"/>
                <w:szCs w:val="22"/>
              </w:rPr>
              <w:t xml:space="preserve">$64.50 </w:t>
            </w:r>
          </w:p>
        </w:tc>
      </w:tr>
    </w:tbl>
    <w:p w14:paraId="15FAE443" w14:textId="222D1F2A" w:rsidR="000248D8" w:rsidRPr="00791B68" w:rsidRDefault="00E75DE9" w:rsidP="00E75DE9">
      <w:pPr>
        <w:pStyle w:val="Caption"/>
        <w:spacing w:before="120"/>
        <w:jc w:val="center"/>
        <w:rPr>
          <w:rFonts w:ascii="Times New Roman" w:hAnsi="Times New Roman"/>
        </w:rPr>
      </w:pPr>
      <w:r w:rsidRPr="00791B68">
        <w:rPr>
          <w:rFonts w:ascii="Times New Roman" w:hAnsi="Times New Roman"/>
        </w:rPr>
        <w:t xml:space="preserve">Table </w:t>
      </w:r>
      <w:r w:rsidRPr="00791B68">
        <w:rPr>
          <w:rFonts w:ascii="Times New Roman" w:hAnsi="Times New Roman"/>
        </w:rPr>
        <w:fldChar w:fldCharType="begin"/>
      </w:r>
      <w:r w:rsidRPr="00791B68">
        <w:rPr>
          <w:rFonts w:ascii="Times New Roman" w:hAnsi="Times New Roman"/>
        </w:rPr>
        <w:instrText xml:space="preserve"> SEQ Table \* ARABIC </w:instrText>
      </w:r>
      <w:r w:rsidRPr="00791B68">
        <w:rPr>
          <w:rFonts w:ascii="Times New Roman" w:hAnsi="Times New Roman"/>
        </w:rPr>
        <w:fldChar w:fldCharType="separate"/>
      </w:r>
      <w:r w:rsidRPr="00791B68">
        <w:rPr>
          <w:rFonts w:ascii="Times New Roman" w:hAnsi="Times New Roman"/>
        </w:rPr>
        <w:t>2</w:t>
      </w:r>
      <w:r w:rsidRPr="00791B68">
        <w:rPr>
          <w:rFonts w:ascii="Times New Roman" w:hAnsi="Times New Roman"/>
        </w:rPr>
        <w:fldChar w:fldCharType="end"/>
      </w:r>
      <w:r w:rsidRPr="00791B68">
        <w:rPr>
          <w:rFonts w:ascii="Times New Roman" w:hAnsi="Times New Roman"/>
        </w:rPr>
        <w:t xml:space="preserve">; Proposed Rates for Energy and Capacity; </w:t>
      </w:r>
      <w:proofErr w:type="spellStart"/>
      <w:r w:rsidRPr="00791B68">
        <w:rPr>
          <w:rFonts w:ascii="Times New Roman" w:hAnsi="Times New Roman"/>
        </w:rPr>
        <w:t>Scehdule</w:t>
      </w:r>
      <w:proofErr w:type="spellEnd"/>
      <w:r w:rsidRPr="00791B68">
        <w:rPr>
          <w:rFonts w:ascii="Times New Roman" w:hAnsi="Times New Roman"/>
        </w:rPr>
        <w:t xml:space="preserve"> 91</w:t>
      </w:r>
    </w:p>
    <w:p w14:paraId="3EA04048" w14:textId="1AF6FDFF" w:rsidR="0060122A" w:rsidRDefault="0005584D" w:rsidP="00791B68">
      <w:pPr>
        <w:spacing w:before="120" w:after="120"/>
        <w:ind w:right="-180"/>
        <w:rPr>
          <w:rFonts w:ascii="Times New Roman" w:hAnsi="Times New Roman"/>
          <w:sz w:val="24"/>
        </w:rPr>
      </w:pPr>
      <w:r>
        <w:rPr>
          <w:rFonts w:ascii="Times New Roman" w:hAnsi="Times New Roman"/>
          <w:sz w:val="24"/>
        </w:rPr>
        <w:lastRenderedPageBreak/>
        <w:t xml:space="preserve">Staff was contacted by a number of QF developers whose initial </w:t>
      </w:r>
      <w:r w:rsidR="00F47068">
        <w:rPr>
          <w:rFonts w:ascii="Times New Roman" w:hAnsi="Times New Roman"/>
          <w:sz w:val="24"/>
        </w:rPr>
        <w:t>comments</w:t>
      </w:r>
      <w:r>
        <w:rPr>
          <w:rFonts w:ascii="Times New Roman" w:hAnsi="Times New Roman"/>
          <w:sz w:val="24"/>
        </w:rPr>
        <w:t xml:space="preserve"> centered </w:t>
      </w:r>
      <w:proofErr w:type="gramStart"/>
      <w:r>
        <w:rPr>
          <w:rFonts w:ascii="Times New Roman" w:hAnsi="Times New Roman"/>
          <w:sz w:val="24"/>
        </w:rPr>
        <w:t>around</w:t>
      </w:r>
      <w:proofErr w:type="gramEnd"/>
      <w:r>
        <w:rPr>
          <w:rFonts w:ascii="Times New Roman" w:hAnsi="Times New Roman"/>
          <w:sz w:val="24"/>
        </w:rPr>
        <w:t xml:space="preserve"> the issue of capacity pay</w:t>
      </w:r>
      <w:r w:rsidR="00F47068">
        <w:rPr>
          <w:rFonts w:ascii="Times New Roman" w:hAnsi="Times New Roman"/>
          <w:sz w:val="24"/>
        </w:rPr>
        <w:t>m</w:t>
      </w:r>
      <w:r>
        <w:rPr>
          <w:rFonts w:ascii="Times New Roman" w:hAnsi="Times New Roman"/>
          <w:sz w:val="24"/>
        </w:rPr>
        <w:t xml:space="preserve">ents but also extended into the methodology employed by the company to calculate </w:t>
      </w:r>
      <w:r w:rsidR="00F47068">
        <w:rPr>
          <w:rFonts w:ascii="Times New Roman" w:hAnsi="Times New Roman"/>
          <w:sz w:val="24"/>
        </w:rPr>
        <w:t xml:space="preserve">its </w:t>
      </w:r>
      <w:r>
        <w:rPr>
          <w:rFonts w:ascii="Times New Roman" w:hAnsi="Times New Roman"/>
          <w:sz w:val="24"/>
        </w:rPr>
        <w:t>Schedule 91 rates. Staff has extensively reviewed the company’s model and is satisfied that the resulting rates</w:t>
      </w:r>
      <w:r w:rsidR="001267C0">
        <w:rPr>
          <w:rFonts w:ascii="Times New Roman" w:hAnsi="Times New Roman"/>
          <w:sz w:val="24"/>
        </w:rPr>
        <w:t>,</w:t>
      </w:r>
      <w:r>
        <w:rPr>
          <w:rFonts w:ascii="Times New Roman" w:hAnsi="Times New Roman"/>
          <w:sz w:val="24"/>
        </w:rPr>
        <w:t xml:space="preserve"> reflected in the company’s replacement pages filed on January 20, 2017</w:t>
      </w:r>
      <w:r w:rsidR="00F47068">
        <w:rPr>
          <w:rFonts w:ascii="Times New Roman" w:hAnsi="Times New Roman"/>
          <w:sz w:val="24"/>
        </w:rPr>
        <w:t>,</w:t>
      </w:r>
      <w:r>
        <w:rPr>
          <w:rFonts w:ascii="Times New Roman" w:hAnsi="Times New Roman"/>
          <w:sz w:val="24"/>
        </w:rPr>
        <w:t xml:space="preserve"> are reasonable. Staff has also provided interested parties with copies </w:t>
      </w:r>
      <w:r w:rsidR="0060122A">
        <w:rPr>
          <w:rFonts w:ascii="Times New Roman" w:hAnsi="Times New Roman"/>
          <w:sz w:val="24"/>
        </w:rPr>
        <w:t xml:space="preserve">of the model along with the company’s responses to data requests not marked confidential. </w:t>
      </w:r>
    </w:p>
    <w:p w14:paraId="73ED929E" w14:textId="107AE745" w:rsidR="0005584D" w:rsidRPr="0005584D" w:rsidRDefault="0060122A" w:rsidP="00791B68">
      <w:pPr>
        <w:spacing w:before="120" w:after="120"/>
        <w:ind w:right="-90"/>
        <w:rPr>
          <w:rFonts w:ascii="Times New Roman" w:hAnsi="Times New Roman"/>
          <w:sz w:val="24"/>
        </w:rPr>
      </w:pPr>
      <w:r>
        <w:rPr>
          <w:rFonts w:ascii="Times New Roman" w:hAnsi="Times New Roman"/>
          <w:sz w:val="24"/>
        </w:rPr>
        <w:t>Besides the rate issue</w:t>
      </w:r>
      <w:r w:rsidR="00F47068">
        <w:rPr>
          <w:rFonts w:ascii="Times New Roman" w:hAnsi="Times New Roman"/>
          <w:sz w:val="24"/>
        </w:rPr>
        <w:t xml:space="preserve"> above</w:t>
      </w:r>
      <w:r>
        <w:rPr>
          <w:rFonts w:ascii="Times New Roman" w:hAnsi="Times New Roman"/>
          <w:sz w:val="24"/>
        </w:rPr>
        <w:t xml:space="preserve">, interested parties also commented on changes they would like to see </w:t>
      </w:r>
      <w:r w:rsidR="00F47068">
        <w:rPr>
          <w:rFonts w:ascii="Times New Roman" w:hAnsi="Times New Roman"/>
          <w:sz w:val="24"/>
        </w:rPr>
        <w:t xml:space="preserve">made </w:t>
      </w:r>
      <w:r>
        <w:rPr>
          <w:rFonts w:ascii="Times New Roman" w:hAnsi="Times New Roman"/>
          <w:sz w:val="24"/>
        </w:rPr>
        <w:t xml:space="preserve">to the tariff which goes beyond the scope of what can be accomplished through this tariff revision. The commission, in Order 04 of the Pacific case mentioned above, indicated its desire to engage stakeholders and the companies in a broader discussion of </w:t>
      </w:r>
      <w:r w:rsidR="0073261A">
        <w:rPr>
          <w:rFonts w:ascii="Times New Roman" w:hAnsi="Times New Roman"/>
          <w:sz w:val="24"/>
        </w:rPr>
        <w:t>QF policy later this year.</w:t>
      </w:r>
      <w:r w:rsidR="001267C0">
        <w:rPr>
          <w:rStyle w:val="FootnoteReference"/>
          <w:rFonts w:ascii="Times New Roman" w:hAnsi="Times New Roman"/>
          <w:sz w:val="24"/>
        </w:rPr>
        <w:footnoteReference w:id="9"/>
      </w:r>
      <w:r w:rsidR="0073261A">
        <w:rPr>
          <w:rFonts w:ascii="Times New Roman" w:hAnsi="Times New Roman"/>
          <w:sz w:val="24"/>
        </w:rPr>
        <w:t xml:space="preserve"> </w:t>
      </w:r>
      <w:r w:rsidR="0005584D">
        <w:rPr>
          <w:rFonts w:ascii="Times New Roman" w:hAnsi="Times New Roman"/>
          <w:sz w:val="24"/>
        </w:rPr>
        <w:t xml:space="preserve"> </w:t>
      </w:r>
    </w:p>
    <w:p w14:paraId="27630D19" w14:textId="23DB624D" w:rsidR="006E0D51" w:rsidRPr="006E0D51" w:rsidRDefault="006E0D51" w:rsidP="00C71369">
      <w:pPr>
        <w:spacing w:before="120" w:after="120"/>
        <w:rPr>
          <w:rFonts w:ascii="Times New Roman" w:hAnsi="Times New Roman"/>
          <w:b/>
          <w:sz w:val="24"/>
          <w:u w:val="single"/>
        </w:rPr>
      </w:pPr>
      <w:r>
        <w:rPr>
          <w:rFonts w:ascii="Times New Roman" w:hAnsi="Times New Roman"/>
          <w:b/>
          <w:sz w:val="24"/>
          <w:u w:val="single"/>
        </w:rPr>
        <w:t>Conclusion</w:t>
      </w:r>
    </w:p>
    <w:p w14:paraId="26D97A73" w14:textId="3F14E071" w:rsidR="00DB78AC" w:rsidRDefault="004B3E22" w:rsidP="00DB78AC">
      <w:pPr>
        <w:spacing w:before="120" w:after="120"/>
        <w:rPr>
          <w:rFonts w:ascii="Times New Roman" w:hAnsi="Times New Roman"/>
          <w:sz w:val="24"/>
        </w:rPr>
      </w:pPr>
      <w:r>
        <w:rPr>
          <w:rFonts w:ascii="Times New Roman" w:hAnsi="Times New Roman"/>
          <w:sz w:val="24"/>
        </w:rPr>
        <w:t>Staff</w:t>
      </w:r>
      <w:r w:rsidR="006E0D51">
        <w:rPr>
          <w:rFonts w:ascii="Times New Roman" w:hAnsi="Times New Roman"/>
          <w:sz w:val="24"/>
        </w:rPr>
        <w:t xml:space="preserve"> recommends the </w:t>
      </w:r>
      <w:r w:rsidR="00703AEF">
        <w:rPr>
          <w:rFonts w:ascii="Times New Roman" w:hAnsi="Times New Roman"/>
          <w:sz w:val="24"/>
        </w:rPr>
        <w:t xml:space="preserve">commission </w:t>
      </w:r>
      <w:r w:rsidR="00406FE3">
        <w:rPr>
          <w:rFonts w:ascii="Times New Roman" w:hAnsi="Times New Roman"/>
          <w:sz w:val="24"/>
        </w:rPr>
        <w:t>take no action</w:t>
      </w:r>
      <w:r w:rsidR="001267C0">
        <w:rPr>
          <w:rFonts w:ascii="Times New Roman" w:hAnsi="Times New Roman"/>
          <w:sz w:val="24"/>
        </w:rPr>
        <w:t xml:space="preserve">, thereby allowing </w:t>
      </w:r>
      <w:r w:rsidR="00F47068">
        <w:rPr>
          <w:rFonts w:ascii="Times New Roman" w:hAnsi="Times New Roman"/>
          <w:sz w:val="24"/>
        </w:rPr>
        <w:t xml:space="preserve">the tariff revisions </w:t>
      </w:r>
      <w:r w:rsidR="00406FE3">
        <w:rPr>
          <w:rFonts w:ascii="Times New Roman" w:hAnsi="Times New Roman"/>
          <w:sz w:val="24"/>
        </w:rPr>
        <w:t>to go into effect by operation of law</w:t>
      </w:r>
      <w:r w:rsidR="00DB78AC">
        <w:rPr>
          <w:rFonts w:ascii="Times New Roman" w:hAnsi="Times New Roman"/>
          <w:sz w:val="24"/>
        </w:rPr>
        <w:t>.</w:t>
      </w:r>
      <w:r w:rsidR="009C3A8B" w:rsidRPr="009C3A8B">
        <w:rPr>
          <w:rFonts w:ascii="Times New Roman" w:hAnsi="Times New Roman"/>
          <w:sz w:val="24"/>
        </w:rPr>
        <w:t xml:space="preserve"> </w:t>
      </w:r>
    </w:p>
    <w:sectPr w:rsidR="00DB78AC" w:rsidSect="004B3E22">
      <w:headerReference w:type="default" r:id="rId11"/>
      <w:type w:val="continuous"/>
      <w:pgSz w:w="12240" w:h="15840"/>
      <w:pgMar w:top="117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7B9B" w14:textId="77777777" w:rsidR="002324DA" w:rsidRDefault="002324DA" w:rsidP="00446BE3">
      <w:r>
        <w:separator/>
      </w:r>
    </w:p>
  </w:endnote>
  <w:endnote w:type="continuationSeparator" w:id="0">
    <w:p w14:paraId="1C1EB289" w14:textId="77777777" w:rsidR="002324DA" w:rsidRDefault="002324DA"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0F6A" w14:textId="77777777" w:rsidR="002324DA" w:rsidRDefault="002324DA" w:rsidP="00446BE3">
      <w:r>
        <w:separator/>
      </w:r>
    </w:p>
  </w:footnote>
  <w:footnote w:type="continuationSeparator" w:id="0">
    <w:p w14:paraId="5CA81911" w14:textId="77777777" w:rsidR="002324DA" w:rsidRDefault="002324DA" w:rsidP="00446BE3">
      <w:r>
        <w:continuationSeparator/>
      </w:r>
    </w:p>
  </w:footnote>
  <w:footnote w:id="1">
    <w:p w14:paraId="40CA05B1" w14:textId="0A42E462" w:rsidR="00073894" w:rsidRPr="00073894" w:rsidRDefault="00073894">
      <w:pPr>
        <w:pStyle w:val="FootnoteText"/>
        <w:rPr>
          <w:rFonts w:ascii="Times New Roman" w:hAnsi="Times New Roman"/>
        </w:rPr>
      </w:pPr>
      <w:r w:rsidRPr="00CB5F13">
        <w:rPr>
          <w:rStyle w:val="FootnoteReference"/>
          <w:rFonts w:ascii="Times New Roman" w:hAnsi="Times New Roman"/>
          <w:sz w:val="22"/>
        </w:rPr>
        <w:footnoteRef/>
      </w:r>
      <w:r w:rsidRPr="00073894">
        <w:rPr>
          <w:rFonts w:ascii="Times New Roman" w:hAnsi="Times New Roman"/>
        </w:rPr>
        <w:t xml:space="preserve"> WAC 480-107-055(1) requires investor-owned utilities to make an annual filing of their avoided capacity and energy costs.</w:t>
      </w:r>
    </w:p>
  </w:footnote>
  <w:footnote w:id="2">
    <w:p w14:paraId="7B0416E0" w14:textId="77777777" w:rsidR="00073894" w:rsidRPr="0094204F" w:rsidRDefault="00073894" w:rsidP="00073894">
      <w:pPr>
        <w:pStyle w:val="FootnoteText"/>
        <w:rPr>
          <w:rStyle w:val="FootnoteReference"/>
          <w:rFonts w:ascii="Times New Roman" w:hAnsi="Times New Roman"/>
        </w:rPr>
      </w:pPr>
      <w:r w:rsidRPr="00CB5F13">
        <w:rPr>
          <w:rStyle w:val="FootnoteReference"/>
          <w:rFonts w:ascii="Times New Roman" w:hAnsi="Times New Roman"/>
          <w:sz w:val="22"/>
          <w:szCs w:val="22"/>
        </w:rPr>
        <w:footnoteRef/>
      </w:r>
      <w:r w:rsidRPr="00CB5F13">
        <w:rPr>
          <w:rStyle w:val="FootnoteReference"/>
          <w:rFonts w:ascii="Times New Roman" w:hAnsi="Times New Roman"/>
          <w:sz w:val="22"/>
          <w:szCs w:val="22"/>
        </w:rPr>
        <w:t xml:space="preserve"> </w:t>
      </w:r>
      <w:r w:rsidRPr="00EE57F4">
        <w:rPr>
          <w:rFonts w:ascii="Times New Roman" w:hAnsi="Times New Roman"/>
        </w:rPr>
        <w:t xml:space="preserve">In </w:t>
      </w:r>
      <w:r w:rsidRPr="00EE57F4">
        <w:rPr>
          <w:rFonts w:ascii="Times New Roman" w:hAnsi="Times New Roman"/>
          <w:i/>
        </w:rPr>
        <w:t xml:space="preserve">WUTC </w:t>
      </w:r>
      <w:proofErr w:type="spellStart"/>
      <w:r w:rsidRPr="00EE57F4">
        <w:rPr>
          <w:rFonts w:ascii="Times New Roman" w:hAnsi="Times New Roman"/>
          <w:i/>
        </w:rPr>
        <w:t>v.</w:t>
      </w:r>
      <w:r>
        <w:rPr>
          <w:rFonts w:ascii="Times New Roman" w:hAnsi="Times New Roman"/>
          <w:i/>
        </w:rPr>
        <w:t>Pacific</w:t>
      </w:r>
      <w:proofErr w:type="spellEnd"/>
      <w:r>
        <w:rPr>
          <w:rFonts w:ascii="Times New Roman" w:hAnsi="Times New Roman"/>
          <w:i/>
        </w:rPr>
        <w:t xml:space="preserve"> Power &amp; Light Company</w:t>
      </w:r>
      <w:r>
        <w:rPr>
          <w:rFonts w:ascii="Times New Roman" w:hAnsi="Times New Roman"/>
        </w:rPr>
        <w:t>, Docket UE-144160, Order 04 (November 12, 2015).</w:t>
      </w:r>
    </w:p>
  </w:footnote>
  <w:footnote w:id="3">
    <w:p w14:paraId="5A4D30D5" w14:textId="77777777" w:rsidR="0063184F" w:rsidRPr="0063184F" w:rsidRDefault="0063184F" w:rsidP="0063184F">
      <w:pPr>
        <w:pStyle w:val="FootnoteText"/>
        <w:rPr>
          <w:rFonts w:ascii="Times New Roman" w:hAnsi="Times New Roman"/>
        </w:rPr>
      </w:pPr>
      <w:r w:rsidRPr="00CB5F13">
        <w:rPr>
          <w:rStyle w:val="FootnoteReference"/>
          <w:rFonts w:ascii="Times New Roman" w:hAnsi="Times New Roman"/>
          <w:sz w:val="22"/>
        </w:rPr>
        <w:footnoteRef/>
      </w:r>
      <w:r w:rsidRPr="00CB5F13">
        <w:rPr>
          <w:rFonts w:ascii="Times New Roman" w:hAnsi="Times New Roman"/>
        </w:rPr>
        <w:t xml:space="preserve"> </w:t>
      </w:r>
      <w:r w:rsidRPr="0063184F">
        <w:rPr>
          <w:rFonts w:ascii="Times New Roman" w:hAnsi="Times New Roman"/>
        </w:rPr>
        <w:t>16 U.S.C. § 824a-3(b).</w:t>
      </w:r>
    </w:p>
  </w:footnote>
  <w:footnote w:id="4">
    <w:p w14:paraId="529A4370" w14:textId="418ABFD8" w:rsidR="0063184F" w:rsidRPr="0063184F" w:rsidRDefault="0063184F">
      <w:pPr>
        <w:pStyle w:val="FootnoteText"/>
        <w:rPr>
          <w:rFonts w:ascii="Times New Roman" w:hAnsi="Times New Roman"/>
        </w:rPr>
      </w:pPr>
      <w:r w:rsidRPr="00CB5F13">
        <w:rPr>
          <w:rStyle w:val="FootnoteReference"/>
          <w:rFonts w:ascii="Times New Roman" w:hAnsi="Times New Roman"/>
          <w:sz w:val="22"/>
        </w:rPr>
        <w:footnoteRef/>
      </w:r>
      <w:r w:rsidRPr="0063184F">
        <w:rPr>
          <w:rFonts w:ascii="Times New Roman" w:hAnsi="Times New Roman"/>
        </w:rPr>
        <w:t xml:space="preserve"> 18 CFR § 292.304(b</w:t>
      </w:r>
      <w:proofErr w:type="gramStart"/>
      <w:r w:rsidRPr="0063184F">
        <w:rPr>
          <w:rFonts w:ascii="Times New Roman" w:hAnsi="Times New Roman"/>
        </w:rPr>
        <w:t>)(</w:t>
      </w:r>
      <w:proofErr w:type="gramEnd"/>
      <w:r w:rsidRPr="0063184F">
        <w:rPr>
          <w:rFonts w:ascii="Times New Roman" w:hAnsi="Times New Roman"/>
        </w:rPr>
        <w:t>2)</w:t>
      </w:r>
      <w:r>
        <w:rPr>
          <w:rFonts w:ascii="Times New Roman" w:hAnsi="Times New Roman"/>
        </w:rPr>
        <w:t>.</w:t>
      </w:r>
    </w:p>
  </w:footnote>
  <w:footnote w:id="5">
    <w:p w14:paraId="2ECB4202" w14:textId="2B9D1EB8" w:rsidR="0063184F" w:rsidRPr="0063184F" w:rsidRDefault="0063184F">
      <w:pPr>
        <w:pStyle w:val="FootnoteText"/>
        <w:rPr>
          <w:rStyle w:val="FootnoteReference"/>
          <w:rFonts w:ascii="Times New Roman" w:hAnsi="Times New Roman"/>
          <w:vertAlign w:val="baseline"/>
        </w:rPr>
      </w:pPr>
      <w:r w:rsidRPr="00CB5F13">
        <w:rPr>
          <w:rStyle w:val="FootnoteReference"/>
          <w:rFonts w:ascii="Times New Roman" w:hAnsi="Times New Roman"/>
          <w:sz w:val="22"/>
        </w:rPr>
        <w:footnoteRef/>
      </w:r>
      <w:r w:rsidRPr="0063184F">
        <w:rPr>
          <w:rStyle w:val="FootnoteReference"/>
          <w:rFonts w:ascii="Times New Roman" w:hAnsi="Times New Roman"/>
          <w:vertAlign w:val="baseline"/>
        </w:rPr>
        <w:t xml:space="preserve"> See 18 C.F.R. § 292.304; see also FERC Order No. 69 at 12225-6.</w:t>
      </w:r>
    </w:p>
  </w:footnote>
  <w:footnote w:id="6">
    <w:p w14:paraId="3AE599CC" w14:textId="77777777" w:rsidR="00B109C7" w:rsidRPr="001041B4" w:rsidRDefault="00B109C7" w:rsidP="001041B4">
      <w:pPr>
        <w:pStyle w:val="FootnoteText"/>
        <w:rPr>
          <w:rStyle w:val="FootnoteReference"/>
          <w:rFonts w:ascii="Times New Roman" w:hAnsi="Times New Roman"/>
          <w:vertAlign w:val="baseline"/>
        </w:rPr>
      </w:pPr>
      <w:r w:rsidRPr="001041B4">
        <w:rPr>
          <w:rStyle w:val="FootnoteReference"/>
          <w:rFonts w:ascii="Times New Roman" w:hAnsi="Times New Roman"/>
          <w:sz w:val="22"/>
        </w:rPr>
        <w:footnoteRef/>
      </w:r>
      <w:r w:rsidRPr="001041B4">
        <w:rPr>
          <w:rStyle w:val="FootnoteReference"/>
          <w:rFonts w:ascii="Times New Roman" w:hAnsi="Times New Roman"/>
        </w:rPr>
        <w:t xml:space="preserve"> </w:t>
      </w:r>
      <w:r w:rsidRPr="001041B4">
        <w:rPr>
          <w:rStyle w:val="FootnoteReference"/>
          <w:rFonts w:ascii="Times New Roman" w:hAnsi="Times New Roman"/>
          <w:vertAlign w:val="baseline"/>
        </w:rPr>
        <w:t>Twitchell Declaration ¶ 8 (citing 18 C.F.R. § 292.302(b)).</w:t>
      </w:r>
    </w:p>
  </w:footnote>
  <w:footnote w:id="7">
    <w:p w14:paraId="1549EE38" w14:textId="77777777" w:rsidR="00B109C7" w:rsidRPr="001041B4" w:rsidRDefault="00B109C7" w:rsidP="001041B4">
      <w:pPr>
        <w:pStyle w:val="FootnoteText"/>
        <w:rPr>
          <w:rStyle w:val="FootnoteReference"/>
          <w:rFonts w:ascii="Times New Roman" w:hAnsi="Times New Roman"/>
          <w:vertAlign w:val="baseline"/>
        </w:rPr>
      </w:pPr>
      <w:r w:rsidRPr="001041B4">
        <w:rPr>
          <w:rStyle w:val="FootnoteReference"/>
          <w:rFonts w:ascii="Times New Roman" w:hAnsi="Times New Roman"/>
          <w:sz w:val="22"/>
        </w:rPr>
        <w:footnoteRef/>
      </w:r>
      <w:r w:rsidRPr="001041B4">
        <w:rPr>
          <w:rStyle w:val="FootnoteReference"/>
          <w:rFonts w:ascii="Times New Roman" w:hAnsi="Times New Roman"/>
        </w:rPr>
        <w:t xml:space="preserve"> </w:t>
      </w:r>
      <w:r w:rsidRPr="001041B4">
        <w:rPr>
          <w:rStyle w:val="FootnoteReference"/>
          <w:rFonts w:ascii="Times New Roman" w:hAnsi="Times New Roman"/>
          <w:vertAlign w:val="baseline"/>
        </w:rPr>
        <w:t>See WAC 480-107-055(1).</w:t>
      </w:r>
    </w:p>
  </w:footnote>
  <w:footnote w:id="8">
    <w:p w14:paraId="50449C48" w14:textId="77777777" w:rsidR="00B109C7" w:rsidRPr="001041B4" w:rsidRDefault="00B109C7" w:rsidP="001041B4">
      <w:pPr>
        <w:pStyle w:val="FootnoteText"/>
        <w:rPr>
          <w:rStyle w:val="FootnoteReference"/>
          <w:rFonts w:ascii="Times New Roman" w:hAnsi="Times New Roman"/>
          <w:vertAlign w:val="baseline"/>
        </w:rPr>
      </w:pPr>
      <w:r w:rsidRPr="001041B4">
        <w:rPr>
          <w:rStyle w:val="FootnoteReference"/>
          <w:rFonts w:ascii="Times New Roman" w:hAnsi="Times New Roman"/>
          <w:sz w:val="22"/>
        </w:rPr>
        <w:footnoteRef/>
      </w:r>
      <w:r w:rsidRPr="001041B4">
        <w:rPr>
          <w:rStyle w:val="FootnoteReference"/>
          <w:rFonts w:ascii="Times New Roman" w:hAnsi="Times New Roman"/>
        </w:rPr>
        <w:t xml:space="preserve"> </w:t>
      </w:r>
      <w:r w:rsidRPr="001041B4">
        <w:rPr>
          <w:rStyle w:val="FootnoteReference"/>
          <w:rFonts w:ascii="Times New Roman" w:hAnsi="Times New Roman"/>
          <w:vertAlign w:val="baseline"/>
        </w:rPr>
        <w:t>See WAC 480-107-095(2).</w:t>
      </w:r>
    </w:p>
  </w:footnote>
  <w:footnote w:id="9">
    <w:p w14:paraId="56070E6B" w14:textId="32381FA1" w:rsidR="001267C0" w:rsidRPr="001267C0" w:rsidRDefault="001267C0">
      <w:pPr>
        <w:pStyle w:val="FootnoteText"/>
        <w:rPr>
          <w:rFonts w:ascii="Times New Roman" w:hAnsi="Times New Roman"/>
        </w:rPr>
      </w:pPr>
      <w:r w:rsidRPr="001267C0">
        <w:rPr>
          <w:rFonts w:ascii="Times New Roman" w:hAnsi="Times New Roman"/>
          <w:vertAlign w:val="superscript"/>
        </w:rPr>
        <w:footnoteRef/>
      </w:r>
      <w:r w:rsidRPr="001267C0">
        <w:rPr>
          <w:rFonts w:ascii="Times New Roman" w:hAnsi="Times New Roman"/>
        </w:rPr>
        <w:t xml:space="preserve"> UE-144160, Order 04,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D1CC" w14:textId="2887D244" w:rsidR="00BE4528" w:rsidRPr="006E5DA4" w:rsidRDefault="00BE4528" w:rsidP="00D4342A">
    <w:pPr>
      <w:rPr>
        <w:rFonts w:ascii="Times New Roman" w:hAnsi="Times New Roman"/>
        <w:szCs w:val="20"/>
      </w:rPr>
    </w:pPr>
    <w:r w:rsidRPr="006E5DA4">
      <w:rPr>
        <w:rFonts w:ascii="Times New Roman" w:hAnsi="Times New Roman"/>
        <w:szCs w:val="20"/>
      </w:rPr>
      <w:t>Docket U</w:t>
    </w:r>
    <w:r w:rsidR="00F413D9">
      <w:rPr>
        <w:rFonts w:ascii="Times New Roman" w:hAnsi="Times New Roman"/>
        <w:szCs w:val="20"/>
      </w:rPr>
      <w:t>E-161240</w:t>
    </w:r>
  </w:p>
  <w:p w14:paraId="04D5D1CD" w14:textId="07C6D4BE" w:rsidR="00BE4528" w:rsidRPr="006E5DA4" w:rsidRDefault="00C83A1A" w:rsidP="00D4342A">
    <w:pPr>
      <w:rPr>
        <w:rFonts w:ascii="Times New Roman" w:hAnsi="Times New Roman"/>
        <w:szCs w:val="20"/>
      </w:rPr>
    </w:pPr>
    <w:r>
      <w:rPr>
        <w:rFonts w:ascii="Times New Roman" w:hAnsi="Times New Roman"/>
        <w:szCs w:val="20"/>
      </w:rPr>
      <w:t>February 9</w:t>
    </w:r>
    <w:r w:rsidR="00BE4528" w:rsidRPr="006E5DA4">
      <w:rPr>
        <w:rFonts w:ascii="Times New Roman" w:hAnsi="Times New Roman"/>
        <w:szCs w:val="20"/>
      </w:rPr>
      <w:t>, 201</w:t>
    </w:r>
    <w:r w:rsidR="00F413D9">
      <w:rPr>
        <w:rFonts w:ascii="Times New Roman" w:hAnsi="Times New Roman"/>
        <w:szCs w:val="20"/>
      </w:rPr>
      <w:t>7</w:t>
    </w:r>
  </w:p>
  <w:p w14:paraId="04D5D1CE" w14:textId="77777777" w:rsidR="00BE4528" w:rsidRPr="006E5DA4" w:rsidRDefault="00BE4528" w:rsidP="00D4342A">
    <w:pPr>
      <w:rPr>
        <w:rFonts w:ascii="Times New Roman" w:hAnsi="Times New Roman"/>
        <w:szCs w:val="20"/>
      </w:rPr>
    </w:pPr>
    <w:r w:rsidRPr="006E5DA4">
      <w:rPr>
        <w:rFonts w:ascii="Times New Roman" w:hAnsi="Times New Roman"/>
        <w:szCs w:val="20"/>
      </w:rPr>
      <w:t xml:space="preserve">Page </w:t>
    </w:r>
    <w:r w:rsidRPr="006E5DA4">
      <w:rPr>
        <w:rFonts w:ascii="Times New Roman" w:hAnsi="Times New Roman"/>
        <w:szCs w:val="20"/>
      </w:rPr>
      <w:fldChar w:fldCharType="begin"/>
    </w:r>
    <w:r w:rsidRPr="006E5DA4">
      <w:rPr>
        <w:rFonts w:ascii="Times New Roman" w:hAnsi="Times New Roman"/>
        <w:szCs w:val="20"/>
      </w:rPr>
      <w:instrText xml:space="preserve">PAGE </w:instrText>
    </w:r>
    <w:r w:rsidRPr="006E5DA4">
      <w:rPr>
        <w:rFonts w:ascii="Times New Roman" w:hAnsi="Times New Roman"/>
        <w:szCs w:val="20"/>
      </w:rPr>
      <w:fldChar w:fldCharType="separate"/>
    </w:r>
    <w:r w:rsidR="002B02F4">
      <w:rPr>
        <w:rFonts w:ascii="Times New Roman" w:hAnsi="Times New Roman"/>
        <w:noProof/>
        <w:szCs w:val="20"/>
      </w:rPr>
      <w:t>3</w:t>
    </w:r>
    <w:r w:rsidRPr="006E5DA4">
      <w:rPr>
        <w:rFonts w:ascii="Times New Roman" w:hAnsi="Times New Roman"/>
        <w:szCs w:val="20"/>
      </w:rPr>
      <w:fldChar w:fldCharType="end"/>
    </w:r>
  </w:p>
  <w:p w14:paraId="04D5D1CF" w14:textId="77777777" w:rsidR="00BE4528" w:rsidRPr="00D4342A" w:rsidRDefault="00BE4528"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D07CE7"/>
    <w:multiLevelType w:val="hybridMultilevel"/>
    <w:tmpl w:val="62CE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6D7D"/>
    <w:multiLevelType w:val="hybridMultilevel"/>
    <w:tmpl w:val="6A0A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A20"/>
    <w:multiLevelType w:val="hybridMultilevel"/>
    <w:tmpl w:val="63A4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664A5"/>
    <w:multiLevelType w:val="hybridMultilevel"/>
    <w:tmpl w:val="DAA2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77285"/>
    <w:multiLevelType w:val="hybridMultilevel"/>
    <w:tmpl w:val="0A804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D1108"/>
    <w:multiLevelType w:val="hybridMultilevel"/>
    <w:tmpl w:val="104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D6978"/>
    <w:multiLevelType w:val="hybridMultilevel"/>
    <w:tmpl w:val="FE1C39C2"/>
    <w:lvl w:ilvl="0" w:tplc="EF1CA70C">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BF7E64"/>
    <w:multiLevelType w:val="hybridMultilevel"/>
    <w:tmpl w:val="518CE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82819"/>
    <w:multiLevelType w:val="hybridMultilevel"/>
    <w:tmpl w:val="F76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611AA"/>
    <w:multiLevelType w:val="hybridMultilevel"/>
    <w:tmpl w:val="D90AF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5"/>
  </w:num>
  <w:num w:numId="5">
    <w:abstractNumId w:val="4"/>
  </w:num>
  <w:num w:numId="6">
    <w:abstractNumId w:val="7"/>
  </w:num>
  <w:num w:numId="7">
    <w:abstractNumId w:val="8"/>
  </w:num>
  <w:num w:numId="8">
    <w:abstractNumId w:val="11"/>
  </w:num>
  <w:num w:numId="9">
    <w:abstractNumId w:val="12"/>
  </w:num>
  <w:num w:numId="10">
    <w:abstractNumId w:val="2"/>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E5"/>
    <w:rsid w:val="00003F9F"/>
    <w:rsid w:val="00011EC2"/>
    <w:rsid w:val="00015E80"/>
    <w:rsid w:val="000248D8"/>
    <w:rsid w:val="00025483"/>
    <w:rsid w:val="00025A51"/>
    <w:rsid w:val="00025E1E"/>
    <w:rsid w:val="00026A37"/>
    <w:rsid w:val="00027C7F"/>
    <w:rsid w:val="0003441F"/>
    <w:rsid w:val="00043193"/>
    <w:rsid w:val="00045EB2"/>
    <w:rsid w:val="00046C04"/>
    <w:rsid w:val="0004736C"/>
    <w:rsid w:val="00053286"/>
    <w:rsid w:val="0005340D"/>
    <w:rsid w:val="0005502D"/>
    <w:rsid w:val="0005584D"/>
    <w:rsid w:val="00061D09"/>
    <w:rsid w:val="00065A4B"/>
    <w:rsid w:val="00066E1D"/>
    <w:rsid w:val="00073894"/>
    <w:rsid w:val="00087684"/>
    <w:rsid w:val="0009020A"/>
    <w:rsid w:val="000950C5"/>
    <w:rsid w:val="00095AAD"/>
    <w:rsid w:val="000A0B56"/>
    <w:rsid w:val="000A3A72"/>
    <w:rsid w:val="000A681F"/>
    <w:rsid w:val="000A704B"/>
    <w:rsid w:val="000B2FCA"/>
    <w:rsid w:val="000C43B9"/>
    <w:rsid w:val="000D3226"/>
    <w:rsid w:val="000D358A"/>
    <w:rsid w:val="000D4B69"/>
    <w:rsid w:val="000E073C"/>
    <w:rsid w:val="000E3636"/>
    <w:rsid w:val="000E640C"/>
    <w:rsid w:val="000F18DC"/>
    <w:rsid w:val="000F2DC4"/>
    <w:rsid w:val="000F3DB5"/>
    <w:rsid w:val="000F593B"/>
    <w:rsid w:val="000F6B99"/>
    <w:rsid w:val="001041B4"/>
    <w:rsid w:val="00115A7B"/>
    <w:rsid w:val="00117B59"/>
    <w:rsid w:val="001267C0"/>
    <w:rsid w:val="00127EB7"/>
    <w:rsid w:val="00131690"/>
    <w:rsid w:val="001355C9"/>
    <w:rsid w:val="00136AB8"/>
    <w:rsid w:val="00136D36"/>
    <w:rsid w:val="00145233"/>
    <w:rsid w:val="001458A5"/>
    <w:rsid w:val="00156C69"/>
    <w:rsid w:val="0016002B"/>
    <w:rsid w:val="00160690"/>
    <w:rsid w:val="00162DFE"/>
    <w:rsid w:val="001655BD"/>
    <w:rsid w:val="0017037D"/>
    <w:rsid w:val="00170537"/>
    <w:rsid w:val="001724EB"/>
    <w:rsid w:val="00177632"/>
    <w:rsid w:val="0018347E"/>
    <w:rsid w:val="00186A7F"/>
    <w:rsid w:val="001914C3"/>
    <w:rsid w:val="001A1CE8"/>
    <w:rsid w:val="001A6722"/>
    <w:rsid w:val="001A6FE3"/>
    <w:rsid w:val="001B0861"/>
    <w:rsid w:val="001B1BCD"/>
    <w:rsid w:val="001B3F82"/>
    <w:rsid w:val="001B4E77"/>
    <w:rsid w:val="001B6212"/>
    <w:rsid w:val="001C0159"/>
    <w:rsid w:val="001C374F"/>
    <w:rsid w:val="001C5AB1"/>
    <w:rsid w:val="001D094C"/>
    <w:rsid w:val="001D1631"/>
    <w:rsid w:val="001D1C3D"/>
    <w:rsid w:val="001D2123"/>
    <w:rsid w:val="001D79D8"/>
    <w:rsid w:val="001E1FC2"/>
    <w:rsid w:val="001E274F"/>
    <w:rsid w:val="001E28D7"/>
    <w:rsid w:val="001F0360"/>
    <w:rsid w:val="00214099"/>
    <w:rsid w:val="00215D0C"/>
    <w:rsid w:val="00223A6B"/>
    <w:rsid w:val="002276ED"/>
    <w:rsid w:val="00231020"/>
    <w:rsid w:val="002324DA"/>
    <w:rsid w:val="00234488"/>
    <w:rsid w:val="002346FC"/>
    <w:rsid w:val="002352C4"/>
    <w:rsid w:val="00243FF5"/>
    <w:rsid w:val="00244C2B"/>
    <w:rsid w:val="00251495"/>
    <w:rsid w:val="00253377"/>
    <w:rsid w:val="00256B1E"/>
    <w:rsid w:val="00260B9E"/>
    <w:rsid w:val="00261E32"/>
    <w:rsid w:val="00280D8C"/>
    <w:rsid w:val="002816EB"/>
    <w:rsid w:val="002867F5"/>
    <w:rsid w:val="0028770C"/>
    <w:rsid w:val="00290FB9"/>
    <w:rsid w:val="00293961"/>
    <w:rsid w:val="002A0770"/>
    <w:rsid w:val="002A20B6"/>
    <w:rsid w:val="002A31D5"/>
    <w:rsid w:val="002A5CB5"/>
    <w:rsid w:val="002A61FE"/>
    <w:rsid w:val="002A7026"/>
    <w:rsid w:val="002B02F4"/>
    <w:rsid w:val="002B0984"/>
    <w:rsid w:val="002B0A91"/>
    <w:rsid w:val="002C039A"/>
    <w:rsid w:val="002C1456"/>
    <w:rsid w:val="002C304F"/>
    <w:rsid w:val="002C41D3"/>
    <w:rsid w:val="002C5EEA"/>
    <w:rsid w:val="002D293F"/>
    <w:rsid w:val="002D433E"/>
    <w:rsid w:val="002D7AD0"/>
    <w:rsid w:val="002E50EA"/>
    <w:rsid w:val="002E5D7F"/>
    <w:rsid w:val="002F2D25"/>
    <w:rsid w:val="002F4908"/>
    <w:rsid w:val="0030204A"/>
    <w:rsid w:val="00304468"/>
    <w:rsid w:val="00306A5C"/>
    <w:rsid w:val="00311379"/>
    <w:rsid w:val="003116AC"/>
    <w:rsid w:val="00312FE6"/>
    <w:rsid w:val="00317CE1"/>
    <w:rsid w:val="00321DC4"/>
    <w:rsid w:val="00321FDC"/>
    <w:rsid w:val="00323FC4"/>
    <w:rsid w:val="00324DA6"/>
    <w:rsid w:val="00336CCC"/>
    <w:rsid w:val="00343023"/>
    <w:rsid w:val="0034441D"/>
    <w:rsid w:val="00346234"/>
    <w:rsid w:val="003527B7"/>
    <w:rsid w:val="00353151"/>
    <w:rsid w:val="003716A9"/>
    <w:rsid w:val="00372469"/>
    <w:rsid w:val="00373110"/>
    <w:rsid w:val="00375900"/>
    <w:rsid w:val="0038333D"/>
    <w:rsid w:val="0038636A"/>
    <w:rsid w:val="003944FB"/>
    <w:rsid w:val="00397FC9"/>
    <w:rsid w:val="003A175C"/>
    <w:rsid w:val="003B1B16"/>
    <w:rsid w:val="003B3214"/>
    <w:rsid w:val="003B77FD"/>
    <w:rsid w:val="003C0D22"/>
    <w:rsid w:val="003C7604"/>
    <w:rsid w:val="003D0731"/>
    <w:rsid w:val="003D3006"/>
    <w:rsid w:val="003D56BE"/>
    <w:rsid w:val="003D619F"/>
    <w:rsid w:val="003E1196"/>
    <w:rsid w:val="003E328C"/>
    <w:rsid w:val="003E34F5"/>
    <w:rsid w:val="003F2075"/>
    <w:rsid w:val="003F35C6"/>
    <w:rsid w:val="003F5625"/>
    <w:rsid w:val="003F6D63"/>
    <w:rsid w:val="003F73F7"/>
    <w:rsid w:val="003F7E5A"/>
    <w:rsid w:val="00400AF9"/>
    <w:rsid w:val="004019AD"/>
    <w:rsid w:val="00401A79"/>
    <w:rsid w:val="00406FE3"/>
    <w:rsid w:val="00410126"/>
    <w:rsid w:val="00416205"/>
    <w:rsid w:val="00420096"/>
    <w:rsid w:val="0042210D"/>
    <w:rsid w:val="0042240E"/>
    <w:rsid w:val="0043262C"/>
    <w:rsid w:val="004333D0"/>
    <w:rsid w:val="00433581"/>
    <w:rsid w:val="00436E8C"/>
    <w:rsid w:val="00442DA4"/>
    <w:rsid w:val="00444EA3"/>
    <w:rsid w:val="00445411"/>
    <w:rsid w:val="004466C4"/>
    <w:rsid w:val="00446BE3"/>
    <w:rsid w:val="00446FFA"/>
    <w:rsid w:val="00447C71"/>
    <w:rsid w:val="0045769A"/>
    <w:rsid w:val="004623C8"/>
    <w:rsid w:val="0047045A"/>
    <w:rsid w:val="00474076"/>
    <w:rsid w:val="00474A0A"/>
    <w:rsid w:val="00475D2B"/>
    <w:rsid w:val="004776F4"/>
    <w:rsid w:val="00477AF0"/>
    <w:rsid w:val="004806E9"/>
    <w:rsid w:val="004822D5"/>
    <w:rsid w:val="00482CCC"/>
    <w:rsid w:val="00492A07"/>
    <w:rsid w:val="004936EB"/>
    <w:rsid w:val="00493B04"/>
    <w:rsid w:val="004959F2"/>
    <w:rsid w:val="004963FC"/>
    <w:rsid w:val="00496B89"/>
    <w:rsid w:val="004970DA"/>
    <w:rsid w:val="00497895"/>
    <w:rsid w:val="00497DB8"/>
    <w:rsid w:val="00497E69"/>
    <w:rsid w:val="004A38B4"/>
    <w:rsid w:val="004A466B"/>
    <w:rsid w:val="004B3D34"/>
    <w:rsid w:val="004B3E22"/>
    <w:rsid w:val="004B5AC2"/>
    <w:rsid w:val="004C06A2"/>
    <w:rsid w:val="004C0754"/>
    <w:rsid w:val="004C2FE9"/>
    <w:rsid w:val="004C3883"/>
    <w:rsid w:val="004C4AE6"/>
    <w:rsid w:val="004C6331"/>
    <w:rsid w:val="004D01F3"/>
    <w:rsid w:val="004D76A5"/>
    <w:rsid w:val="004E5439"/>
    <w:rsid w:val="004E650E"/>
    <w:rsid w:val="004F59FD"/>
    <w:rsid w:val="004F5A55"/>
    <w:rsid w:val="005033EA"/>
    <w:rsid w:val="00511448"/>
    <w:rsid w:val="0051297F"/>
    <w:rsid w:val="00521240"/>
    <w:rsid w:val="005255A7"/>
    <w:rsid w:val="00526128"/>
    <w:rsid w:val="00527D0C"/>
    <w:rsid w:val="005304A4"/>
    <w:rsid w:val="00531152"/>
    <w:rsid w:val="00536629"/>
    <w:rsid w:val="00537004"/>
    <w:rsid w:val="00537D65"/>
    <w:rsid w:val="00542602"/>
    <w:rsid w:val="005432F7"/>
    <w:rsid w:val="00544395"/>
    <w:rsid w:val="00552600"/>
    <w:rsid w:val="00554668"/>
    <w:rsid w:val="00556C01"/>
    <w:rsid w:val="005604DD"/>
    <w:rsid w:val="005619B4"/>
    <w:rsid w:val="00562894"/>
    <w:rsid w:val="0056751A"/>
    <w:rsid w:val="00570090"/>
    <w:rsid w:val="0057059C"/>
    <w:rsid w:val="00570EB7"/>
    <w:rsid w:val="00571FC9"/>
    <w:rsid w:val="00573514"/>
    <w:rsid w:val="00581D3A"/>
    <w:rsid w:val="00582D68"/>
    <w:rsid w:val="00593AAA"/>
    <w:rsid w:val="00593F87"/>
    <w:rsid w:val="00595887"/>
    <w:rsid w:val="00597DC7"/>
    <w:rsid w:val="005A4915"/>
    <w:rsid w:val="005A6C74"/>
    <w:rsid w:val="005A6D66"/>
    <w:rsid w:val="005B3892"/>
    <w:rsid w:val="005C1410"/>
    <w:rsid w:val="005C1FF7"/>
    <w:rsid w:val="005C4C0D"/>
    <w:rsid w:val="005D25C7"/>
    <w:rsid w:val="005E159D"/>
    <w:rsid w:val="005F06EF"/>
    <w:rsid w:val="005F4DF5"/>
    <w:rsid w:val="0060122A"/>
    <w:rsid w:val="00602735"/>
    <w:rsid w:val="006059C6"/>
    <w:rsid w:val="00606F0A"/>
    <w:rsid w:val="00610A36"/>
    <w:rsid w:val="006112E4"/>
    <w:rsid w:val="006117F0"/>
    <w:rsid w:val="00612125"/>
    <w:rsid w:val="0061324B"/>
    <w:rsid w:val="006169C1"/>
    <w:rsid w:val="0062117C"/>
    <w:rsid w:val="00623164"/>
    <w:rsid w:val="00625830"/>
    <w:rsid w:val="00630E22"/>
    <w:rsid w:val="0063184F"/>
    <w:rsid w:val="00631B8B"/>
    <w:rsid w:val="0063230B"/>
    <w:rsid w:val="00633FE5"/>
    <w:rsid w:val="006415D5"/>
    <w:rsid w:val="006424FC"/>
    <w:rsid w:val="00642B4F"/>
    <w:rsid w:val="00643835"/>
    <w:rsid w:val="00646C36"/>
    <w:rsid w:val="00660A93"/>
    <w:rsid w:val="00660E58"/>
    <w:rsid w:val="00670678"/>
    <w:rsid w:val="00672F7B"/>
    <w:rsid w:val="00674A41"/>
    <w:rsid w:val="00680B28"/>
    <w:rsid w:val="00683411"/>
    <w:rsid w:val="00687B64"/>
    <w:rsid w:val="006A1AE1"/>
    <w:rsid w:val="006A388D"/>
    <w:rsid w:val="006A40CF"/>
    <w:rsid w:val="006A41EE"/>
    <w:rsid w:val="006A4FF8"/>
    <w:rsid w:val="006A61BF"/>
    <w:rsid w:val="006B16D9"/>
    <w:rsid w:val="006B2EC9"/>
    <w:rsid w:val="006B74E9"/>
    <w:rsid w:val="006C2E3A"/>
    <w:rsid w:val="006C3BE5"/>
    <w:rsid w:val="006D6651"/>
    <w:rsid w:val="006D7178"/>
    <w:rsid w:val="006E0D51"/>
    <w:rsid w:val="006E0F13"/>
    <w:rsid w:val="006E1137"/>
    <w:rsid w:val="006E5DA4"/>
    <w:rsid w:val="006E6F73"/>
    <w:rsid w:val="006F092C"/>
    <w:rsid w:val="00703AEF"/>
    <w:rsid w:val="00706239"/>
    <w:rsid w:val="00706886"/>
    <w:rsid w:val="00710EA9"/>
    <w:rsid w:val="0071468B"/>
    <w:rsid w:val="00717B32"/>
    <w:rsid w:val="0072386F"/>
    <w:rsid w:val="00725EE2"/>
    <w:rsid w:val="00732295"/>
    <w:rsid w:val="0073261A"/>
    <w:rsid w:val="00736648"/>
    <w:rsid w:val="00751478"/>
    <w:rsid w:val="00755346"/>
    <w:rsid w:val="00762422"/>
    <w:rsid w:val="00763B1B"/>
    <w:rsid w:val="007667EA"/>
    <w:rsid w:val="00772B5A"/>
    <w:rsid w:val="00773D19"/>
    <w:rsid w:val="00775521"/>
    <w:rsid w:val="00776EA5"/>
    <w:rsid w:val="007805C1"/>
    <w:rsid w:val="007842F2"/>
    <w:rsid w:val="00787371"/>
    <w:rsid w:val="007905DD"/>
    <w:rsid w:val="00791B68"/>
    <w:rsid w:val="007A1EF0"/>
    <w:rsid w:val="007A2709"/>
    <w:rsid w:val="007A3638"/>
    <w:rsid w:val="007A4774"/>
    <w:rsid w:val="007B4200"/>
    <w:rsid w:val="007C13B4"/>
    <w:rsid w:val="007D0C69"/>
    <w:rsid w:val="007D6104"/>
    <w:rsid w:val="007E31BF"/>
    <w:rsid w:val="007E5FA3"/>
    <w:rsid w:val="007E7A4F"/>
    <w:rsid w:val="007E7F9F"/>
    <w:rsid w:val="007F490D"/>
    <w:rsid w:val="007F51DC"/>
    <w:rsid w:val="008007AF"/>
    <w:rsid w:val="00800C37"/>
    <w:rsid w:val="0080254B"/>
    <w:rsid w:val="00807CA3"/>
    <w:rsid w:val="008130B1"/>
    <w:rsid w:val="0082369F"/>
    <w:rsid w:val="008259E6"/>
    <w:rsid w:val="00827D29"/>
    <w:rsid w:val="00835F23"/>
    <w:rsid w:val="008375B6"/>
    <w:rsid w:val="008404F8"/>
    <w:rsid w:val="00844156"/>
    <w:rsid w:val="0085688D"/>
    <w:rsid w:val="00857931"/>
    <w:rsid w:val="0086360F"/>
    <w:rsid w:val="008650F8"/>
    <w:rsid w:val="008666CE"/>
    <w:rsid w:val="00873905"/>
    <w:rsid w:val="00881976"/>
    <w:rsid w:val="0088779F"/>
    <w:rsid w:val="0089773C"/>
    <w:rsid w:val="008A0305"/>
    <w:rsid w:val="008A1477"/>
    <w:rsid w:val="008A15C8"/>
    <w:rsid w:val="008A5545"/>
    <w:rsid w:val="008A6E77"/>
    <w:rsid w:val="008B28B6"/>
    <w:rsid w:val="008B6BFE"/>
    <w:rsid w:val="008C0679"/>
    <w:rsid w:val="008C7845"/>
    <w:rsid w:val="008D53ED"/>
    <w:rsid w:val="008D7C95"/>
    <w:rsid w:val="008E1357"/>
    <w:rsid w:val="008E2494"/>
    <w:rsid w:val="008E2647"/>
    <w:rsid w:val="008E5104"/>
    <w:rsid w:val="008E7EF1"/>
    <w:rsid w:val="008F0C7B"/>
    <w:rsid w:val="008F4FFA"/>
    <w:rsid w:val="008F67A0"/>
    <w:rsid w:val="00901EBE"/>
    <w:rsid w:val="009110FB"/>
    <w:rsid w:val="0091287C"/>
    <w:rsid w:val="00914865"/>
    <w:rsid w:val="0091518A"/>
    <w:rsid w:val="009262E9"/>
    <w:rsid w:val="0093223E"/>
    <w:rsid w:val="00934319"/>
    <w:rsid w:val="009362ED"/>
    <w:rsid w:val="00936647"/>
    <w:rsid w:val="0093702A"/>
    <w:rsid w:val="00942041"/>
    <w:rsid w:val="0094204F"/>
    <w:rsid w:val="00942F43"/>
    <w:rsid w:val="0094336B"/>
    <w:rsid w:val="00943A95"/>
    <w:rsid w:val="009444D6"/>
    <w:rsid w:val="009467D6"/>
    <w:rsid w:val="00950485"/>
    <w:rsid w:val="00953B32"/>
    <w:rsid w:val="009624C1"/>
    <w:rsid w:val="009647E0"/>
    <w:rsid w:val="00971300"/>
    <w:rsid w:val="00972BC9"/>
    <w:rsid w:val="009814BE"/>
    <w:rsid w:val="009A34AD"/>
    <w:rsid w:val="009B1957"/>
    <w:rsid w:val="009B58B4"/>
    <w:rsid w:val="009B602E"/>
    <w:rsid w:val="009B6106"/>
    <w:rsid w:val="009C35AA"/>
    <w:rsid w:val="009C3A8B"/>
    <w:rsid w:val="009C405D"/>
    <w:rsid w:val="009D0734"/>
    <w:rsid w:val="009D1BB7"/>
    <w:rsid w:val="009D632C"/>
    <w:rsid w:val="009E01C5"/>
    <w:rsid w:val="009E7EB8"/>
    <w:rsid w:val="009F2BC7"/>
    <w:rsid w:val="00A04507"/>
    <w:rsid w:val="00A05DF7"/>
    <w:rsid w:val="00A1066B"/>
    <w:rsid w:val="00A106C0"/>
    <w:rsid w:val="00A11266"/>
    <w:rsid w:val="00A11972"/>
    <w:rsid w:val="00A219C9"/>
    <w:rsid w:val="00A229B6"/>
    <w:rsid w:val="00A260E8"/>
    <w:rsid w:val="00A30587"/>
    <w:rsid w:val="00A32F8F"/>
    <w:rsid w:val="00A33C31"/>
    <w:rsid w:val="00A356FE"/>
    <w:rsid w:val="00A40A31"/>
    <w:rsid w:val="00A41805"/>
    <w:rsid w:val="00A447BF"/>
    <w:rsid w:val="00A50430"/>
    <w:rsid w:val="00A55E57"/>
    <w:rsid w:val="00A61E54"/>
    <w:rsid w:val="00A6374E"/>
    <w:rsid w:val="00A71A44"/>
    <w:rsid w:val="00A71DE6"/>
    <w:rsid w:val="00A77552"/>
    <w:rsid w:val="00A801C5"/>
    <w:rsid w:val="00A84C2A"/>
    <w:rsid w:val="00A851C3"/>
    <w:rsid w:val="00A875DB"/>
    <w:rsid w:val="00AA42A8"/>
    <w:rsid w:val="00AA6CE5"/>
    <w:rsid w:val="00AB0E66"/>
    <w:rsid w:val="00AB3160"/>
    <w:rsid w:val="00AC5861"/>
    <w:rsid w:val="00AC5A84"/>
    <w:rsid w:val="00AC6F04"/>
    <w:rsid w:val="00AD3312"/>
    <w:rsid w:val="00AE587E"/>
    <w:rsid w:val="00AF0DA4"/>
    <w:rsid w:val="00AF1934"/>
    <w:rsid w:val="00AF3EDE"/>
    <w:rsid w:val="00B00AA5"/>
    <w:rsid w:val="00B01E97"/>
    <w:rsid w:val="00B04CEE"/>
    <w:rsid w:val="00B109C7"/>
    <w:rsid w:val="00B1167C"/>
    <w:rsid w:val="00B13041"/>
    <w:rsid w:val="00B205F9"/>
    <w:rsid w:val="00B24E22"/>
    <w:rsid w:val="00B25220"/>
    <w:rsid w:val="00B265D0"/>
    <w:rsid w:val="00B32CA3"/>
    <w:rsid w:val="00B37B17"/>
    <w:rsid w:val="00B42F12"/>
    <w:rsid w:val="00B45B59"/>
    <w:rsid w:val="00B5062F"/>
    <w:rsid w:val="00B61D93"/>
    <w:rsid w:val="00B64984"/>
    <w:rsid w:val="00B67E07"/>
    <w:rsid w:val="00B7671F"/>
    <w:rsid w:val="00B7730B"/>
    <w:rsid w:val="00B7740B"/>
    <w:rsid w:val="00B8016B"/>
    <w:rsid w:val="00B84FA9"/>
    <w:rsid w:val="00B8693D"/>
    <w:rsid w:val="00B90E39"/>
    <w:rsid w:val="00B92EA8"/>
    <w:rsid w:val="00B94F05"/>
    <w:rsid w:val="00B96D4D"/>
    <w:rsid w:val="00BA190B"/>
    <w:rsid w:val="00BB0B52"/>
    <w:rsid w:val="00BB2F89"/>
    <w:rsid w:val="00BB33C1"/>
    <w:rsid w:val="00BB5C00"/>
    <w:rsid w:val="00BC030F"/>
    <w:rsid w:val="00BD7BB1"/>
    <w:rsid w:val="00BE4528"/>
    <w:rsid w:val="00BE5DA3"/>
    <w:rsid w:val="00BE6FD8"/>
    <w:rsid w:val="00BF2FD8"/>
    <w:rsid w:val="00C00B7C"/>
    <w:rsid w:val="00C02A6A"/>
    <w:rsid w:val="00C05119"/>
    <w:rsid w:val="00C1202D"/>
    <w:rsid w:val="00C1335C"/>
    <w:rsid w:val="00C140CB"/>
    <w:rsid w:val="00C14DFE"/>
    <w:rsid w:val="00C21276"/>
    <w:rsid w:val="00C239E7"/>
    <w:rsid w:val="00C31230"/>
    <w:rsid w:val="00C31843"/>
    <w:rsid w:val="00C34013"/>
    <w:rsid w:val="00C34664"/>
    <w:rsid w:val="00C34A65"/>
    <w:rsid w:val="00C52710"/>
    <w:rsid w:val="00C5349A"/>
    <w:rsid w:val="00C55705"/>
    <w:rsid w:val="00C622DD"/>
    <w:rsid w:val="00C71369"/>
    <w:rsid w:val="00C729FE"/>
    <w:rsid w:val="00C7355F"/>
    <w:rsid w:val="00C7723A"/>
    <w:rsid w:val="00C8039D"/>
    <w:rsid w:val="00C833FA"/>
    <w:rsid w:val="00C83A1A"/>
    <w:rsid w:val="00C86B68"/>
    <w:rsid w:val="00C9072F"/>
    <w:rsid w:val="00C93991"/>
    <w:rsid w:val="00C94743"/>
    <w:rsid w:val="00CA34F4"/>
    <w:rsid w:val="00CA36C9"/>
    <w:rsid w:val="00CA7E6F"/>
    <w:rsid w:val="00CB3E81"/>
    <w:rsid w:val="00CB4BCB"/>
    <w:rsid w:val="00CB5CA7"/>
    <w:rsid w:val="00CB5F13"/>
    <w:rsid w:val="00CC06BE"/>
    <w:rsid w:val="00CC26F0"/>
    <w:rsid w:val="00CD12D6"/>
    <w:rsid w:val="00CD29F3"/>
    <w:rsid w:val="00CD2AB9"/>
    <w:rsid w:val="00CD34D2"/>
    <w:rsid w:val="00CE057D"/>
    <w:rsid w:val="00CE5628"/>
    <w:rsid w:val="00CE7873"/>
    <w:rsid w:val="00CE7A07"/>
    <w:rsid w:val="00CE7F89"/>
    <w:rsid w:val="00CF3E1D"/>
    <w:rsid w:val="00CF4D6B"/>
    <w:rsid w:val="00D01560"/>
    <w:rsid w:val="00D04716"/>
    <w:rsid w:val="00D07C39"/>
    <w:rsid w:val="00D104E1"/>
    <w:rsid w:val="00D16ACD"/>
    <w:rsid w:val="00D178DC"/>
    <w:rsid w:val="00D23A2C"/>
    <w:rsid w:val="00D315CF"/>
    <w:rsid w:val="00D35C06"/>
    <w:rsid w:val="00D4342A"/>
    <w:rsid w:val="00D50F51"/>
    <w:rsid w:val="00D5196F"/>
    <w:rsid w:val="00D526EF"/>
    <w:rsid w:val="00D535C4"/>
    <w:rsid w:val="00D6053A"/>
    <w:rsid w:val="00D61C6A"/>
    <w:rsid w:val="00D6438C"/>
    <w:rsid w:val="00D71D8B"/>
    <w:rsid w:val="00D72599"/>
    <w:rsid w:val="00D73959"/>
    <w:rsid w:val="00D7549F"/>
    <w:rsid w:val="00D76CF3"/>
    <w:rsid w:val="00D80B64"/>
    <w:rsid w:val="00D8206F"/>
    <w:rsid w:val="00D847DD"/>
    <w:rsid w:val="00D86E98"/>
    <w:rsid w:val="00D87876"/>
    <w:rsid w:val="00D92559"/>
    <w:rsid w:val="00D956A1"/>
    <w:rsid w:val="00DA04B9"/>
    <w:rsid w:val="00DA1B86"/>
    <w:rsid w:val="00DA3352"/>
    <w:rsid w:val="00DA5502"/>
    <w:rsid w:val="00DB48A9"/>
    <w:rsid w:val="00DB78AC"/>
    <w:rsid w:val="00DC0318"/>
    <w:rsid w:val="00DC06DD"/>
    <w:rsid w:val="00DC1954"/>
    <w:rsid w:val="00DC2821"/>
    <w:rsid w:val="00DC6F23"/>
    <w:rsid w:val="00DD0CF3"/>
    <w:rsid w:val="00DD2A47"/>
    <w:rsid w:val="00DD7760"/>
    <w:rsid w:val="00DE0917"/>
    <w:rsid w:val="00DE5070"/>
    <w:rsid w:val="00DE56EC"/>
    <w:rsid w:val="00DF7341"/>
    <w:rsid w:val="00E009B6"/>
    <w:rsid w:val="00E041FB"/>
    <w:rsid w:val="00E161A6"/>
    <w:rsid w:val="00E2042D"/>
    <w:rsid w:val="00E26449"/>
    <w:rsid w:val="00E37D98"/>
    <w:rsid w:val="00E42EAC"/>
    <w:rsid w:val="00E462B8"/>
    <w:rsid w:val="00E54512"/>
    <w:rsid w:val="00E55ACA"/>
    <w:rsid w:val="00E6143F"/>
    <w:rsid w:val="00E62FFA"/>
    <w:rsid w:val="00E75DE9"/>
    <w:rsid w:val="00E84693"/>
    <w:rsid w:val="00E852DF"/>
    <w:rsid w:val="00E9378E"/>
    <w:rsid w:val="00EA706C"/>
    <w:rsid w:val="00EB108F"/>
    <w:rsid w:val="00EB2A69"/>
    <w:rsid w:val="00EB5440"/>
    <w:rsid w:val="00EB55D8"/>
    <w:rsid w:val="00EC12A3"/>
    <w:rsid w:val="00ED1CAD"/>
    <w:rsid w:val="00ED30B9"/>
    <w:rsid w:val="00ED3745"/>
    <w:rsid w:val="00EE1F73"/>
    <w:rsid w:val="00EE4CB2"/>
    <w:rsid w:val="00EE57F4"/>
    <w:rsid w:val="00EE6D76"/>
    <w:rsid w:val="00EF1488"/>
    <w:rsid w:val="00EF46DD"/>
    <w:rsid w:val="00F01702"/>
    <w:rsid w:val="00F031E2"/>
    <w:rsid w:val="00F04357"/>
    <w:rsid w:val="00F10EAE"/>
    <w:rsid w:val="00F12260"/>
    <w:rsid w:val="00F13195"/>
    <w:rsid w:val="00F17B8C"/>
    <w:rsid w:val="00F17BAF"/>
    <w:rsid w:val="00F21B68"/>
    <w:rsid w:val="00F221A5"/>
    <w:rsid w:val="00F23E93"/>
    <w:rsid w:val="00F273C6"/>
    <w:rsid w:val="00F2778F"/>
    <w:rsid w:val="00F32252"/>
    <w:rsid w:val="00F34D07"/>
    <w:rsid w:val="00F34D7A"/>
    <w:rsid w:val="00F35132"/>
    <w:rsid w:val="00F35452"/>
    <w:rsid w:val="00F3615C"/>
    <w:rsid w:val="00F36F91"/>
    <w:rsid w:val="00F37A05"/>
    <w:rsid w:val="00F413D9"/>
    <w:rsid w:val="00F41EB2"/>
    <w:rsid w:val="00F43C68"/>
    <w:rsid w:val="00F44145"/>
    <w:rsid w:val="00F47068"/>
    <w:rsid w:val="00F55F98"/>
    <w:rsid w:val="00F565EB"/>
    <w:rsid w:val="00F578AF"/>
    <w:rsid w:val="00F6296C"/>
    <w:rsid w:val="00F64A81"/>
    <w:rsid w:val="00F67982"/>
    <w:rsid w:val="00F77709"/>
    <w:rsid w:val="00F82E57"/>
    <w:rsid w:val="00F8550C"/>
    <w:rsid w:val="00F9114C"/>
    <w:rsid w:val="00F96072"/>
    <w:rsid w:val="00F973E3"/>
    <w:rsid w:val="00FA1A33"/>
    <w:rsid w:val="00FA21BC"/>
    <w:rsid w:val="00FA436A"/>
    <w:rsid w:val="00FA621A"/>
    <w:rsid w:val="00FA6590"/>
    <w:rsid w:val="00FA786F"/>
    <w:rsid w:val="00FB2E5A"/>
    <w:rsid w:val="00FB5C5D"/>
    <w:rsid w:val="00FC1315"/>
    <w:rsid w:val="00FC1328"/>
    <w:rsid w:val="00FC6C5B"/>
    <w:rsid w:val="00FD0147"/>
    <w:rsid w:val="00FD22A1"/>
    <w:rsid w:val="00FD3C14"/>
    <w:rsid w:val="00FD6C2B"/>
    <w:rsid w:val="00FE3ABA"/>
    <w:rsid w:val="00FE64CF"/>
    <w:rsid w:val="00FF0054"/>
    <w:rsid w:val="00FF1909"/>
    <w:rsid w:val="00FF3C46"/>
    <w:rsid w:val="00FF4CF7"/>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4D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25483"/>
    <w:pPr>
      <w:outlineLvl w:val="0"/>
    </w:pPr>
  </w:style>
  <w:style w:type="paragraph" w:styleId="Heading2">
    <w:name w:val="heading 2"/>
    <w:basedOn w:val="Normal"/>
    <w:next w:val="Normal"/>
    <w:link w:val="Heading2Char"/>
    <w:unhideWhenUsed/>
    <w:qFormat/>
    <w:rsid w:val="00025483"/>
    <w:pPr>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83"/>
    <w:rPr>
      <w:rFonts w:ascii="Courier" w:eastAsia="Times New Roman" w:hAnsi="Courier" w:cs="Times New Roman"/>
      <w:sz w:val="20"/>
      <w:szCs w:val="24"/>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D104E1"/>
    <w:rPr>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D104E1"/>
    <w:rPr>
      <w:rFonts w:ascii="Courier" w:eastAsia="Times New Roman" w:hAnsi="Courier" w:cs="Times New Roman"/>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unhideWhenUsed/>
    <w:qFormat/>
    <w:rsid w:val="00D104E1"/>
    <w:rPr>
      <w:vertAlign w:val="superscript"/>
    </w:rPr>
  </w:style>
  <w:style w:type="character" w:customStyle="1" w:styleId="Heading2Char">
    <w:name w:val="Heading 2 Char"/>
    <w:basedOn w:val="DefaultParagraphFont"/>
    <w:link w:val="Heading2"/>
    <w:rsid w:val="0002548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474A0A"/>
    <w:rPr>
      <w:rFonts w:ascii="Times New Roman" w:hAnsi="Times New Roman"/>
      <w:b/>
      <w:sz w:val="24"/>
      <w:u w:val="single"/>
    </w:rPr>
  </w:style>
  <w:style w:type="character" w:styleId="Hyperlink">
    <w:name w:val="Hyperlink"/>
    <w:basedOn w:val="DefaultParagraphFont"/>
    <w:uiPriority w:val="99"/>
    <w:unhideWhenUsed/>
    <w:rsid w:val="00186A7F"/>
    <w:rPr>
      <w:color w:val="0000FF" w:themeColor="hyperlink"/>
      <w:u w:val="single"/>
    </w:rPr>
  </w:style>
  <w:style w:type="table" w:styleId="TableGrid">
    <w:name w:val="Table Grid"/>
    <w:basedOn w:val="TableNormal"/>
    <w:rsid w:val="002E5D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490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22831">
      <w:bodyDiv w:val="1"/>
      <w:marLeft w:val="0"/>
      <w:marRight w:val="0"/>
      <w:marTop w:val="0"/>
      <w:marBottom w:val="0"/>
      <w:divBdr>
        <w:top w:val="none" w:sz="0" w:space="0" w:color="auto"/>
        <w:left w:val="none" w:sz="0" w:space="0" w:color="auto"/>
        <w:bottom w:val="none" w:sz="0" w:space="0" w:color="auto"/>
        <w:right w:val="none" w:sz="0" w:space="0" w:color="auto"/>
      </w:divBdr>
    </w:div>
    <w:div w:id="893127599">
      <w:bodyDiv w:val="1"/>
      <w:marLeft w:val="0"/>
      <w:marRight w:val="0"/>
      <w:marTop w:val="0"/>
      <w:marBottom w:val="0"/>
      <w:divBdr>
        <w:top w:val="none" w:sz="0" w:space="0" w:color="auto"/>
        <w:left w:val="none" w:sz="0" w:space="0" w:color="auto"/>
        <w:bottom w:val="none" w:sz="0" w:space="0" w:color="auto"/>
        <w:right w:val="none" w:sz="0" w:space="0" w:color="auto"/>
      </w:divBdr>
    </w:div>
    <w:div w:id="1165391732">
      <w:bodyDiv w:val="1"/>
      <w:marLeft w:val="0"/>
      <w:marRight w:val="0"/>
      <w:marTop w:val="0"/>
      <w:marBottom w:val="0"/>
      <w:divBdr>
        <w:top w:val="none" w:sz="0" w:space="0" w:color="auto"/>
        <w:left w:val="none" w:sz="0" w:space="0" w:color="auto"/>
        <w:bottom w:val="none" w:sz="0" w:space="0" w:color="auto"/>
        <w:right w:val="none" w:sz="0" w:space="0" w:color="auto"/>
      </w:divBdr>
    </w:div>
    <w:div w:id="15006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Pending</CaseStatus>
    <OpenedDate xmlns="dc463f71-b30c-4ab2-9473-d307f9d35888">2016-11-23T08:00:00+00:00</OpenedDate>
    <Date1 xmlns="dc463f71-b30c-4ab2-9473-d307f9d35888">2017-02-06T08:00:00+00:00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161240</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B79948-C4A0-4641-B77F-6EE0998DDBFC}">
  <ds:schemaRefs>
    <ds:schemaRef ds:uri="http://schemas.microsoft.com/sharepoint/v3/contenttype/forms"/>
  </ds:schemaRefs>
</ds:datastoreItem>
</file>

<file path=customXml/itemProps2.xml><?xml version="1.0" encoding="utf-8"?>
<ds:datastoreItem xmlns:ds="http://schemas.openxmlformats.org/officeDocument/2006/customXml" ds:itemID="{49E491FE-7D48-45EB-8528-7EFE6C382E32}">
  <ds:schemaRefs>
    <ds:schemaRef ds:uri="http://purl.org/dc/dcmitype/"/>
    <ds:schemaRef ds:uri="DC949865-19B9-44BE-BDA3-55E2530C1CFA"/>
    <ds:schemaRef ds:uri="http://purl.org/dc/elements/1.1/"/>
    <ds:schemaRef ds:uri="751276d0-61bc-4dad-b75c-21dfd12630ad"/>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530A19-A407-440A-A146-BD1C41086988}"/>
</file>

<file path=customXml/itemProps4.xml><?xml version="1.0" encoding="utf-8"?>
<ds:datastoreItem xmlns:ds="http://schemas.openxmlformats.org/officeDocument/2006/customXml" ds:itemID="{7D9C3473-81BE-400D-ABA8-E13F411232D3}">
  <ds:schemaRefs>
    <ds:schemaRef ds:uri="http://schemas.openxmlformats.org/officeDocument/2006/bibliography"/>
  </ds:schemaRefs>
</ds:datastoreItem>
</file>

<file path=customXml/itemProps5.xml><?xml version="1.0" encoding="utf-8"?>
<ds:datastoreItem xmlns:ds="http://schemas.openxmlformats.org/officeDocument/2006/customXml" ds:itemID="{1FE2D102-1BE7-4682-B5AB-CB11F0795E39}"/>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UE-161240 Memo</vt:lpstr>
    </vt:vector>
  </TitlesOfParts>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UE-161240 Memo</dc:title>
  <dc:creator/>
  <cp:lastModifiedBy/>
  <cp:revision>1</cp:revision>
  <dcterms:created xsi:type="dcterms:W3CDTF">2017-01-19T17:21:00Z</dcterms:created>
  <dcterms:modified xsi:type="dcterms:W3CDTF">2017-02-06T21:45:00Z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y fmtid="{D5CDD505-2E9C-101B-9397-08002B2CF9AE}" pid="4" name="IsEFSEC">
    <vt:bool>false</vt:bool>
  </property>
</Properties>
</file>