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5ACFD" w14:textId="77777777" w:rsidR="00D8495A" w:rsidRPr="00D2094F" w:rsidRDefault="00D8495A" w:rsidP="00D8495A">
      <w:pPr>
        <w:pStyle w:val="BodyText"/>
        <w:rPr>
          <w:rFonts w:ascii="Times New Roman" w:hAnsi="Times New Roman" w:cs="Times New Roman"/>
          <w:b/>
          <w:bCs/>
        </w:rPr>
      </w:pPr>
      <w:r w:rsidRPr="00D2094F">
        <w:rPr>
          <w:rFonts w:ascii="Times New Roman" w:hAnsi="Times New Roman" w:cs="Times New Roman"/>
          <w:b/>
          <w:bCs/>
        </w:rPr>
        <w:t>BEFORE THE WASHINGTON</w:t>
      </w:r>
    </w:p>
    <w:p w14:paraId="2875ACFE" w14:textId="77777777" w:rsidR="00D8495A" w:rsidRPr="00D2094F" w:rsidRDefault="00D8495A" w:rsidP="00D8495A">
      <w:pPr>
        <w:pStyle w:val="BodyText"/>
        <w:rPr>
          <w:rFonts w:ascii="Times New Roman" w:hAnsi="Times New Roman" w:cs="Times New Roman"/>
        </w:rPr>
      </w:pPr>
      <w:r w:rsidRPr="00D2094F">
        <w:rPr>
          <w:rFonts w:ascii="Times New Roman" w:hAnsi="Times New Roman" w:cs="Times New Roman"/>
          <w:b/>
          <w:bCs/>
        </w:rPr>
        <w:t>UTILITIES AND TRANSPORTATION COMMISSION</w:t>
      </w:r>
    </w:p>
    <w:p w14:paraId="2875ACFF" w14:textId="77777777" w:rsidR="00D8495A" w:rsidRPr="00D2094F" w:rsidRDefault="00D8495A" w:rsidP="007B7AD2"/>
    <w:p w14:paraId="2875AD00" w14:textId="77777777" w:rsidR="00D8495A" w:rsidRPr="00D2094F" w:rsidRDefault="00D8495A" w:rsidP="00D8495A"/>
    <w:tbl>
      <w:tblPr>
        <w:tblW w:w="9180" w:type="dxa"/>
        <w:tblInd w:w="124" w:type="dxa"/>
        <w:tblLayout w:type="fixed"/>
        <w:tblCellMar>
          <w:left w:w="124" w:type="dxa"/>
          <w:right w:w="124" w:type="dxa"/>
        </w:tblCellMar>
        <w:tblLook w:val="0000" w:firstRow="0" w:lastRow="0" w:firstColumn="0" w:lastColumn="0" w:noHBand="0" w:noVBand="0"/>
      </w:tblPr>
      <w:tblGrid>
        <w:gridCol w:w="4188"/>
        <w:gridCol w:w="4992"/>
      </w:tblGrid>
      <w:tr w:rsidR="00D8495A" w:rsidRPr="00D2094F" w14:paraId="2875AD0B" w14:textId="77777777" w:rsidTr="000342A8">
        <w:tc>
          <w:tcPr>
            <w:tcW w:w="4188" w:type="dxa"/>
            <w:tcBorders>
              <w:top w:val="single" w:sz="6" w:space="0" w:color="FFFFFF"/>
              <w:left w:val="single" w:sz="6" w:space="0" w:color="FFFFFF"/>
              <w:bottom w:val="single" w:sz="6" w:space="0" w:color="000000"/>
              <w:right w:val="single" w:sz="6" w:space="0" w:color="FFFFFF"/>
            </w:tcBorders>
          </w:tcPr>
          <w:p w14:paraId="7F36A3DA" w14:textId="77777777" w:rsidR="00D06108" w:rsidRPr="00401D3C" w:rsidRDefault="00D06108" w:rsidP="00D06108">
            <w:pPr>
              <w:spacing w:line="288" w:lineRule="auto"/>
              <w:rPr>
                <w:bCs/>
              </w:rPr>
            </w:pPr>
            <w:r w:rsidRPr="00401D3C">
              <w:rPr>
                <w:bCs/>
              </w:rPr>
              <w:t xml:space="preserve">In the Matter of a Penalty Assessment Against </w:t>
            </w:r>
          </w:p>
          <w:p w14:paraId="6E38DE0D" w14:textId="77777777" w:rsidR="00D06108" w:rsidRPr="00401D3C" w:rsidRDefault="00D06108" w:rsidP="00D06108">
            <w:pPr>
              <w:spacing w:line="288" w:lineRule="auto"/>
              <w:rPr>
                <w:bCs/>
              </w:rPr>
            </w:pPr>
          </w:p>
          <w:p w14:paraId="16AB7C4E" w14:textId="67565EFE" w:rsidR="00D06108" w:rsidRPr="00401D3C" w:rsidRDefault="00BD7A1D" w:rsidP="00D06108">
            <w:pPr>
              <w:spacing w:line="288" w:lineRule="auto"/>
              <w:rPr>
                <w:bCs/>
              </w:rPr>
            </w:pPr>
            <w:r>
              <w:rPr>
                <w:bCs/>
              </w:rPr>
              <w:t>SOLMAR WATER SYSTEM, INC</w:t>
            </w:r>
            <w:r w:rsidR="00754BF3">
              <w:rPr>
                <w:bCs/>
              </w:rPr>
              <w:t>.</w:t>
            </w:r>
          </w:p>
          <w:p w14:paraId="4BCC7F3F" w14:textId="77777777" w:rsidR="00D06108" w:rsidRPr="00401D3C" w:rsidRDefault="00D06108" w:rsidP="00D06108">
            <w:pPr>
              <w:spacing w:line="288" w:lineRule="auto"/>
              <w:rPr>
                <w:bCs/>
              </w:rPr>
            </w:pPr>
          </w:p>
          <w:p w14:paraId="7F3A7597" w14:textId="77777777" w:rsidR="00D06108" w:rsidRPr="00401D3C" w:rsidRDefault="00D06108" w:rsidP="00D06108">
            <w:pPr>
              <w:spacing w:line="288" w:lineRule="auto"/>
            </w:pPr>
            <w:r w:rsidRPr="00401D3C">
              <w:rPr>
                <w:bCs/>
              </w:rPr>
              <w:t>in the amount of $</w:t>
            </w:r>
            <w:r>
              <w:rPr>
                <w:bCs/>
              </w:rPr>
              <w:t>1,000</w:t>
            </w:r>
          </w:p>
          <w:p w14:paraId="2875AD05" w14:textId="2C4B2E85" w:rsidR="00D8495A" w:rsidRPr="00D2094F" w:rsidRDefault="00D8495A" w:rsidP="00F006A1">
            <w:pPr>
              <w:widowControl w:val="0"/>
              <w:autoSpaceDE w:val="0"/>
              <w:autoSpaceDN w:val="0"/>
              <w:adjustRightInd w:val="0"/>
              <w:spacing w:line="288" w:lineRule="auto"/>
            </w:pPr>
          </w:p>
        </w:tc>
        <w:tc>
          <w:tcPr>
            <w:tcW w:w="4992" w:type="dxa"/>
            <w:tcBorders>
              <w:top w:val="single" w:sz="6" w:space="0" w:color="FFFFFF"/>
              <w:left w:val="single" w:sz="6" w:space="0" w:color="000000"/>
              <w:bottom w:val="single" w:sz="6" w:space="0" w:color="FFFFFF"/>
              <w:right w:val="single" w:sz="6" w:space="0" w:color="FFFFFF"/>
            </w:tcBorders>
          </w:tcPr>
          <w:p w14:paraId="2875AD06" w14:textId="16CF1FA7" w:rsidR="00D8495A" w:rsidRPr="00D2094F" w:rsidRDefault="00D8495A" w:rsidP="000342A8">
            <w:pPr>
              <w:widowControl w:val="0"/>
              <w:autoSpaceDE w:val="0"/>
              <w:autoSpaceDN w:val="0"/>
              <w:adjustRightInd w:val="0"/>
              <w:spacing w:line="288" w:lineRule="auto"/>
              <w:ind w:firstLine="236"/>
            </w:pPr>
            <w:r w:rsidRPr="00D2094F">
              <w:t xml:space="preserve">DOCKET </w:t>
            </w:r>
            <w:r w:rsidR="00D06108">
              <w:t>U</w:t>
            </w:r>
            <w:r w:rsidR="00BD7A1D">
              <w:t>W-160533</w:t>
            </w:r>
          </w:p>
          <w:p w14:paraId="2875AD07" w14:textId="77777777" w:rsidR="00D8495A" w:rsidRPr="00D2094F" w:rsidRDefault="00D8495A" w:rsidP="005C33DC">
            <w:pPr>
              <w:widowControl w:val="0"/>
              <w:autoSpaceDE w:val="0"/>
              <w:autoSpaceDN w:val="0"/>
              <w:adjustRightInd w:val="0"/>
              <w:spacing w:line="288" w:lineRule="auto"/>
            </w:pPr>
          </w:p>
          <w:p w14:paraId="2875AD08" w14:textId="10D7BBE8" w:rsidR="00D8495A" w:rsidRPr="00D2094F" w:rsidRDefault="00D8495A" w:rsidP="000342A8">
            <w:pPr>
              <w:widowControl w:val="0"/>
              <w:autoSpaceDE w:val="0"/>
              <w:autoSpaceDN w:val="0"/>
              <w:adjustRightInd w:val="0"/>
              <w:spacing w:line="288" w:lineRule="auto"/>
              <w:ind w:firstLine="236"/>
            </w:pPr>
            <w:r w:rsidRPr="00D2094F">
              <w:t>ORDER 0</w:t>
            </w:r>
            <w:r w:rsidR="000F3C90">
              <w:t>2</w:t>
            </w:r>
          </w:p>
          <w:p w14:paraId="2875AD09" w14:textId="77777777" w:rsidR="00D8495A" w:rsidRPr="00D2094F" w:rsidRDefault="00D8495A" w:rsidP="000342A8">
            <w:pPr>
              <w:widowControl w:val="0"/>
              <w:autoSpaceDE w:val="0"/>
              <w:autoSpaceDN w:val="0"/>
              <w:adjustRightInd w:val="0"/>
              <w:spacing w:line="288" w:lineRule="auto"/>
              <w:ind w:firstLine="236"/>
            </w:pPr>
          </w:p>
          <w:p w14:paraId="2875AD0A" w14:textId="2CC194BA" w:rsidR="00D8495A" w:rsidRPr="00D2094F" w:rsidRDefault="000F3C90" w:rsidP="00CE1327">
            <w:pPr>
              <w:widowControl w:val="0"/>
              <w:autoSpaceDE w:val="0"/>
              <w:autoSpaceDN w:val="0"/>
              <w:adjustRightInd w:val="0"/>
              <w:spacing w:line="288" w:lineRule="auto"/>
              <w:ind w:left="236"/>
            </w:pPr>
            <w:r>
              <w:t>FINAL ORDER</w:t>
            </w:r>
          </w:p>
        </w:tc>
      </w:tr>
    </w:tbl>
    <w:p w14:paraId="2875AD0C" w14:textId="77777777" w:rsidR="00D8495A" w:rsidRPr="00D2094F" w:rsidRDefault="00D8495A" w:rsidP="00D8495A">
      <w:pPr>
        <w:spacing w:line="288" w:lineRule="auto"/>
      </w:pPr>
    </w:p>
    <w:p w14:paraId="25F83091" w14:textId="77777777" w:rsidR="00D06108" w:rsidRPr="00401D3C" w:rsidRDefault="00D06108" w:rsidP="00096B12">
      <w:pPr>
        <w:pStyle w:val="Heading1"/>
      </w:pPr>
      <w:r w:rsidRPr="00096B12">
        <w:t>BACKGROUND</w:t>
      </w:r>
    </w:p>
    <w:p w14:paraId="08AC0684" w14:textId="515DAF6C" w:rsidR="00D06108" w:rsidRPr="000F3C90" w:rsidRDefault="000F3C90" w:rsidP="00096B12">
      <w:pPr>
        <w:numPr>
          <w:ilvl w:val="0"/>
          <w:numId w:val="3"/>
        </w:numPr>
        <w:tabs>
          <w:tab w:val="clear" w:pos="1080"/>
          <w:tab w:val="left" w:pos="0"/>
        </w:tabs>
        <w:spacing w:after="240" w:line="288" w:lineRule="auto"/>
        <w:ind w:left="0" w:hanging="720"/>
        <w:rPr>
          <w:rStyle w:val="CommentReference"/>
          <w:bCs/>
          <w:sz w:val="24"/>
          <w:szCs w:val="24"/>
        </w:rPr>
      </w:pPr>
      <w:r>
        <w:rPr>
          <w:bCs/>
        </w:rPr>
        <w:t xml:space="preserve">Washington Administrative Code (WAC) </w:t>
      </w:r>
      <w:r w:rsidRPr="00012344">
        <w:rPr>
          <w:bCs/>
        </w:rPr>
        <w:t>480-1</w:t>
      </w:r>
      <w:r>
        <w:rPr>
          <w:bCs/>
        </w:rPr>
        <w:t>10</w:t>
      </w:r>
      <w:r w:rsidRPr="00012344">
        <w:rPr>
          <w:bCs/>
        </w:rPr>
        <w:t>-</w:t>
      </w:r>
      <w:r>
        <w:rPr>
          <w:bCs/>
        </w:rPr>
        <w:t xml:space="preserve">505 </w:t>
      </w:r>
      <w:r w:rsidRPr="00401D3C">
        <w:rPr>
          <w:bCs/>
        </w:rPr>
        <w:t xml:space="preserve">requires </w:t>
      </w:r>
      <w:r w:rsidRPr="00012344">
        <w:rPr>
          <w:bCs/>
        </w:rPr>
        <w:t xml:space="preserve">regulated </w:t>
      </w:r>
      <w:r>
        <w:rPr>
          <w:bCs/>
        </w:rPr>
        <w:t xml:space="preserve">water </w:t>
      </w:r>
      <w:r w:rsidRPr="00012344">
        <w:rPr>
          <w:bCs/>
        </w:rPr>
        <w:t>companies</w:t>
      </w:r>
      <w:r w:rsidRPr="00401D3C">
        <w:t xml:space="preserve"> to file annual reports and pay regulatory fees by May 1 of each year</w:t>
      </w:r>
      <w:r>
        <w:t>, or the first business day thereafter</w:t>
      </w:r>
      <w:r w:rsidRPr="00401D3C">
        <w:t>.</w:t>
      </w:r>
      <w:r>
        <w:rPr>
          <w:bCs/>
        </w:rPr>
        <w:t xml:space="preserve"> </w:t>
      </w:r>
      <w:r w:rsidR="00BD7A1D" w:rsidRPr="000F3C90">
        <w:rPr>
          <w:bCs/>
        </w:rPr>
        <w:t>Solmar Water System, Inc</w:t>
      </w:r>
      <w:r w:rsidR="00754BF3" w:rsidRPr="000F3C90">
        <w:rPr>
          <w:bCs/>
        </w:rPr>
        <w:t>.</w:t>
      </w:r>
      <w:r w:rsidR="00BD7A1D" w:rsidRPr="000F3C90">
        <w:rPr>
          <w:bCs/>
        </w:rPr>
        <w:t xml:space="preserve"> (Solmar</w:t>
      </w:r>
      <w:r w:rsidR="00D06108" w:rsidRPr="000F3C90">
        <w:rPr>
          <w:bCs/>
        </w:rPr>
        <w:t xml:space="preserve"> or Company) </w:t>
      </w:r>
      <w:r w:rsidR="00754BF3" w:rsidRPr="000F3C90">
        <w:rPr>
          <w:bCs/>
        </w:rPr>
        <w:t>did not file its annual report on May 2</w:t>
      </w:r>
      <w:r w:rsidR="00B329A9" w:rsidRPr="000F3C90">
        <w:rPr>
          <w:bCs/>
        </w:rPr>
        <w:t xml:space="preserve">, 2016, and had not made </w:t>
      </w:r>
      <w:r w:rsidR="00754BF3" w:rsidRPr="000F3C90">
        <w:rPr>
          <w:bCs/>
        </w:rPr>
        <w:t>that</w:t>
      </w:r>
      <w:r w:rsidR="00B329A9" w:rsidRPr="000F3C90">
        <w:rPr>
          <w:bCs/>
        </w:rPr>
        <w:t xml:space="preserve"> filing by</w:t>
      </w:r>
      <w:r w:rsidR="00D06108" w:rsidRPr="000F3C90">
        <w:rPr>
          <w:bCs/>
        </w:rPr>
        <w:t xml:space="preserve"> May 16. On </w:t>
      </w:r>
      <w:r w:rsidR="004D163E" w:rsidRPr="000F3C90">
        <w:rPr>
          <w:bCs/>
        </w:rPr>
        <w:t>June 1</w:t>
      </w:r>
      <w:r w:rsidR="00754BF3" w:rsidRPr="000F3C90">
        <w:rPr>
          <w:bCs/>
        </w:rPr>
        <w:t>3</w:t>
      </w:r>
      <w:r w:rsidR="00D06108" w:rsidRPr="000F3C90">
        <w:rPr>
          <w:bCs/>
        </w:rPr>
        <w:t xml:space="preserve">, the Commission assessed a penalty of $1,000 against </w:t>
      </w:r>
      <w:r w:rsidR="00BD7A1D" w:rsidRPr="000F3C90">
        <w:rPr>
          <w:bCs/>
        </w:rPr>
        <w:t>Solmar</w:t>
      </w:r>
      <w:r w:rsidR="00D06108" w:rsidRPr="000F3C90">
        <w:rPr>
          <w:bCs/>
        </w:rPr>
        <w:t>,</w:t>
      </w:r>
      <w:r w:rsidR="00D06108" w:rsidRPr="000F3C90">
        <w:rPr>
          <w:rStyle w:val="CommentReference"/>
          <w:sz w:val="24"/>
          <w:szCs w:val="24"/>
        </w:rPr>
        <w:t xml:space="preserve"> calculated as $100 per business day from May 2 to May 16.</w:t>
      </w:r>
    </w:p>
    <w:p w14:paraId="3B0CC6D3" w14:textId="77777777" w:rsidR="00107AD3" w:rsidRDefault="00D06108" w:rsidP="00096B12">
      <w:pPr>
        <w:numPr>
          <w:ilvl w:val="0"/>
          <w:numId w:val="3"/>
        </w:numPr>
        <w:tabs>
          <w:tab w:val="clear" w:pos="1080"/>
          <w:tab w:val="left" w:pos="0"/>
        </w:tabs>
        <w:spacing w:after="240" w:line="288" w:lineRule="auto"/>
        <w:ind w:left="0" w:hanging="720"/>
      </w:pPr>
      <w:r w:rsidRPr="00401D3C">
        <w:t xml:space="preserve">On </w:t>
      </w:r>
      <w:r>
        <w:t xml:space="preserve">June </w:t>
      </w:r>
      <w:r w:rsidR="00BD7A1D">
        <w:t>24</w:t>
      </w:r>
      <w:r w:rsidRPr="00401D3C">
        <w:t>,</w:t>
      </w:r>
      <w:r>
        <w:t xml:space="preserve"> </w:t>
      </w:r>
      <w:r w:rsidR="000F3C90">
        <w:t xml:space="preserve">2016, </w:t>
      </w:r>
      <w:r w:rsidR="00BD7A1D">
        <w:t>Solmar</w:t>
      </w:r>
      <w:r w:rsidR="00754BF3" w:rsidRPr="00401D3C">
        <w:t xml:space="preserve"> </w:t>
      </w:r>
      <w:r w:rsidR="00DA4CCC" w:rsidRPr="00401D3C">
        <w:t>responded to the Commission’s penalty assessment</w:t>
      </w:r>
      <w:r w:rsidR="00DA4CCC">
        <w:t>, requesting a hearing and disputing the violations.</w:t>
      </w:r>
      <w:r>
        <w:t xml:space="preserve"> </w:t>
      </w:r>
      <w:r w:rsidRPr="00401D3C">
        <w:t xml:space="preserve">The Company explained </w:t>
      </w:r>
      <w:r>
        <w:t xml:space="preserve">that </w:t>
      </w:r>
      <w:r w:rsidR="00E4473C">
        <w:t xml:space="preserve">it </w:t>
      </w:r>
      <w:r w:rsidR="00DA4CCC">
        <w:t>attempted to file its annual report electronically on April 29, but was unable to verify that the report was received. The Company criticized the Commission’s “substandard” electronic filing system</w:t>
      </w:r>
      <w:r w:rsidR="008D5B73">
        <w:t>,</w:t>
      </w:r>
      <w:r w:rsidR="00DA4CCC">
        <w:t xml:space="preserve"> and </w:t>
      </w:r>
      <w:r w:rsidR="00ED233D">
        <w:t>argued that</w:t>
      </w:r>
      <w:r w:rsidR="00DA4CCC">
        <w:t xml:space="preserve"> its report was timely filed.</w:t>
      </w:r>
      <w:r w:rsidR="000F3C90">
        <w:t xml:space="preserve"> </w:t>
      </w:r>
    </w:p>
    <w:p w14:paraId="73CF3924" w14:textId="743455B4" w:rsidR="000B0F09" w:rsidRPr="000F3C90" w:rsidRDefault="00DA4CCC" w:rsidP="00096B12">
      <w:pPr>
        <w:numPr>
          <w:ilvl w:val="0"/>
          <w:numId w:val="3"/>
        </w:numPr>
        <w:tabs>
          <w:tab w:val="clear" w:pos="1080"/>
          <w:tab w:val="left" w:pos="0"/>
        </w:tabs>
        <w:spacing w:after="240" w:line="288" w:lineRule="auto"/>
        <w:ind w:left="0" w:hanging="720"/>
      </w:pPr>
      <w:r>
        <w:t>On July</w:t>
      </w:r>
      <w:r w:rsidR="00D06108" w:rsidRPr="00401D3C">
        <w:t xml:space="preserve"> </w:t>
      </w:r>
      <w:r>
        <w:t>7</w:t>
      </w:r>
      <w:r w:rsidR="00D06108">
        <w:t>, 2016</w:t>
      </w:r>
      <w:r w:rsidR="00D06108" w:rsidRPr="00401D3C">
        <w:t xml:space="preserve">, </w:t>
      </w:r>
      <w:r w:rsidR="00D06108">
        <w:t>Commission s</w:t>
      </w:r>
      <w:r w:rsidR="00D06108" w:rsidRPr="00401D3C">
        <w:t xml:space="preserve">taff (Staff) filed a response </w:t>
      </w:r>
      <w:r w:rsidR="00754BF3">
        <w:t>recommending</w:t>
      </w:r>
      <w:r w:rsidR="00D06108" w:rsidRPr="00401D3C">
        <w:t xml:space="preserve"> </w:t>
      </w:r>
      <w:r w:rsidR="00B329A9">
        <w:t>the Commission assess a reduced penalty of</w:t>
      </w:r>
      <w:r w:rsidR="00D06108" w:rsidRPr="00401D3C">
        <w:t xml:space="preserve"> $</w:t>
      </w:r>
      <w:r>
        <w:t xml:space="preserve">25 </w:t>
      </w:r>
      <w:r w:rsidR="00D06108">
        <w:t>per day, or $</w:t>
      </w:r>
      <w:r>
        <w:t>250, because</w:t>
      </w:r>
      <w:r w:rsidRPr="00401D3C">
        <w:t xml:space="preserve"> the C</w:t>
      </w:r>
      <w:r>
        <w:t xml:space="preserve">ompany has </w:t>
      </w:r>
      <w:r w:rsidRPr="00401D3C">
        <w:t>no prior violations of</w:t>
      </w:r>
      <w:r>
        <w:t xml:space="preserve"> </w:t>
      </w:r>
      <w:r w:rsidRPr="000F3C90">
        <w:rPr>
          <w:bCs/>
        </w:rPr>
        <w:t>480-110-505. Staff noted that the Company filed only a “request for company electronic contact information” and paid its regulatory fee on April 29. The Company’s annual report was neither filed nor received by the Commission until June 15.</w:t>
      </w:r>
    </w:p>
    <w:p w14:paraId="1701A933" w14:textId="309333B7" w:rsidR="000F3C90" w:rsidRDefault="000F3C90" w:rsidP="00096B12">
      <w:pPr>
        <w:numPr>
          <w:ilvl w:val="0"/>
          <w:numId w:val="3"/>
        </w:numPr>
        <w:tabs>
          <w:tab w:val="clear" w:pos="1080"/>
          <w:tab w:val="left" w:pos="0"/>
        </w:tabs>
        <w:spacing w:after="240" w:line="288" w:lineRule="auto"/>
        <w:ind w:left="0" w:hanging="720"/>
      </w:pPr>
      <w:r>
        <w:t>On July 13, 2016, the Commission issued Order 01 denying the Company’s request for hearing and the Company’s contest of violations because the Company did not file its annual report until June 15. The Commission granted the Company’s request for mitigation, in part, and assessed a reduced penalty of $25 per day, or $250.</w:t>
      </w:r>
    </w:p>
    <w:p w14:paraId="4F43B1E9" w14:textId="22FFABD4" w:rsidR="000F3C90" w:rsidRDefault="000F3C90" w:rsidP="00096B12">
      <w:pPr>
        <w:numPr>
          <w:ilvl w:val="0"/>
          <w:numId w:val="3"/>
        </w:numPr>
        <w:tabs>
          <w:tab w:val="clear" w:pos="1080"/>
          <w:tab w:val="left" w:pos="0"/>
        </w:tabs>
        <w:spacing w:after="240" w:line="288" w:lineRule="auto"/>
        <w:ind w:left="0" w:hanging="720"/>
      </w:pPr>
      <w:r>
        <w:t xml:space="preserve">On July 27, 2016, Solmar filed with the Commission a petition requesting a hearing and review of Order 01 (Petition). In its </w:t>
      </w:r>
      <w:r w:rsidR="00107AD3">
        <w:t>Petition</w:t>
      </w:r>
      <w:r>
        <w:t xml:space="preserve">, the Company </w:t>
      </w:r>
      <w:r w:rsidR="00ED233D">
        <w:t>argues that the Commission</w:t>
      </w:r>
      <w:r w:rsidR="00190D9B">
        <w:t>’s</w:t>
      </w:r>
      <w:r w:rsidR="00ED233D">
        <w:t xml:space="preserve"> </w:t>
      </w:r>
      <w:r w:rsidR="00190D9B">
        <w:lastRenderedPageBreak/>
        <w:t>web</w:t>
      </w:r>
      <w:r w:rsidR="0047464D">
        <w:t xml:space="preserve"> portal</w:t>
      </w:r>
      <w:r w:rsidR="00190D9B">
        <w:t xml:space="preserve">, which allows for documents to be “submitted,” but not “filed,” </w:t>
      </w:r>
      <w:r w:rsidR="00ED233D">
        <w:t>violate</w:t>
      </w:r>
      <w:r w:rsidR="00190D9B">
        <w:t>s</w:t>
      </w:r>
      <w:r w:rsidR="00ED233D">
        <w:t xml:space="preserve"> WAC 480-07-140(1)(a)</w:t>
      </w:r>
      <w:r w:rsidR="00190D9B">
        <w:t>.</w:t>
      </w:r>
      <w:r w:rsidR="00190D9B">
        <w:rPr>
          <w:rStyle w:val="FootnoteReference"/>
        </w:rPr>
        <w:footnoteReference w:id="1"/>
      </w:r>
      <w:r w:rsidR="00ED233D">
        <w:t xml:space="preserve"> </w:t>
      </w:r>
      <w:r w:rsidR="0066212F">
        <w:t xml:space="preserve">The Company requests the Commission create an electronic filing system that allows companies to file annual reports electronically and </w:t>
      </w:r>
      <w:r w:rsidR="00892151">
        <w:t>provides verification of receipt</w:t>
      </w:r>
      <w:r w:rsidR="0066212F">
        <w:t>.</w:t>
      </w:r>
      <w:r w:rsidR="00ED233D">
        <w:t xml:space="preserve"> </w:t>
      </w:r>
    </w:p>
    <w:p w14:paraId="0453DAA1" w14:textId="04E58FE6" w:rsidR="000F3C90" w:rsidRDefault="000F3C90" w:rsidP="00096B12">
      <w:pPr>
        <w:numPr>
          <w:ilvl w:val="0"/>
          <w:numId w:val="3"/>
        </w:numPr>
        <w:tabs>
          <w:tab w:val="clear" w:pos="1080"/>
          <w:tab w:val="left" w:pos="0"/>
        </w:tabs>
        <w:spacing w:after="240" w:line="288" w:lineRule="auto"/>
        <w:ind w:left="0" w:hanging="720"/>
      </w:pPr>
      <w:r>
        <w:t xml:space="preserve">On August 19, 2016, the Commission issued a Notice of Opportunity to Respond </w:t>
      </w:r>
      <w:r w:rsidR="00892151">
        <w:t xml:space="preserve">to </w:t>
      </w:r>
      <w:r>
        <w:t xml:space="preserve">Request for Review, which permitted Staff to file </w:t>
      </w:r>
      <w:r w:rsidR="00AE1183">
        <w:t>a response</w:t>
      </w:r>
      <w:r>
        <w:t xml:space="preserve"> to the Company’s Petition. </w:t>
      </w:r>
    </w:p>
    <w:p w14:paraId="7899FBF9" w14:textId="75CE194F" w:rsidR="00E451EC" w:rsidRDefault="000F3C90" w:rsidP="00096B12">
      <w:pPr>
        <w:numPr>
          <w:ilvl w:val="0"/>
          <w:numId w:val="3"/>
        </w:numPr>
        <w:tabs>
          <w:tab w:val="clear" w:pos="1080"/>
          <w:tab w:val="left" w:pos="0"/>
        </w:tabs>
        <w:spacing w:after="240" w:line="288" w:lineRule="auto"/>
        <w:ind w:left="0" w:hanging="720"/>
      </w:pPr>
      <w:r>
        <w:t xml:space="preserve">On August 22, 2016, Staff filed a </w:t>
      </w:r>
      <w:r w:rsidR="00AE1183">
        <w:t>r</w:t>
      </w:r>
      <w:r>
        <w:t>es</w:t>
      </w:r>
      <w:r w:rsidR="0066212F">
        <w:t>ponse to the Company’s Petition opposing the Company’s request for a hearing</w:t>
      </w:r>
      <w:r w:rsidR="00E451EC">
        <w:t>. Staff notes that</w:t>
      </w:r>
      <w:r w:rsidR="0066212F">
        <w:t xml:space="preserve"> </w:t>
      </w:r>
      <w:r w:rsidR="00892151">
        <w:t xml:space="preserve">because </w:t>
      </w:r>
      <w:r w:rsidR="00E451EC">
        <w:t xml:space="preserve">Commission records show </w:t>
      </w:r>
      <w:r w:rsidR="0066212F">
        <w:t>the Company</w:t>
      </w:r>
      <w:r w:rsidR="00E451EC">
        <w:t>’s annual report was not received until June 15</w:t>
      </w:r>
      <w:r w:rsidR="0066212F">
        <w:t xml:space="preserve">, </w:t>
      </w:r>
      <w:r w:rsidR="00892151">
        <w:t>no issue of law o</w:t>
      </w:r>
      <w:r w:rsidR="00AE1183">
        <w:t>r</w:t>
      </w:r>
      <w:r w:rsidR="00892151">
        <w:t xml:space="preserve"> fact is in dispute</w:t>
      </w:r>
      <w:r w:rsidR="00AE1183">
        <w:t>, and a hearing is unnecessary</w:t>
      </w:r>
      <w:r w:rsidR="00892151">
        <w:t>. Moreover,</w:t>
      </w:r>
      <w:r w:rsidR="0066212F">
        <w:t xml:space="preserve"> the Company did not provide any new information in its </w:t>
      </w:r>
      <w:r w:rsidR="004356F6">
        <w:t>Petition</w:t>
      </w:r>
      <w:r w:rsidR="0066212F">
        <w:t xml:space="preserve"> for the Commission to consider. </w:t>
      </w:r>
    </w:p>
    <w:p w14:paraId="0A8E3A04" w14:textId="5885CC33" w:rsidR="00D06108" w:rsidRPr="0066212F" w:rsidRDefault="0066212F" w:rsidP="00096B12">
      <w:pPr>
        <w:numPr>
          <w:ilvl w:val="0"/>
          <w:numId w:val="3"/>
        </w:numPr>
        <w:tabs>
          <w:tab w:val="clear" w:pos="1080"/>
          <w:tab w:val="left" w:pos="0"/>
        </w:tabs>
        <w:spacing w:after="240" w:line="288" w:lineRule="auto"/>
        <w:ind w:left="0" w:hanging="720"/>
      </w:pPr>
      <w:r>
        <w:t xml:space="preserve">With respect to the Company’s allegation that the Commission is violating WAC 480-07-140(1)(a) by only accepting electronic </w:t>
      </w:r>
      <w:r w:rsidR="00E451EC">
        <w:t>“</w:t>
      </w:r>
      <w:r>
        <w:t>submissions</w:t>
      </w:r>
      <w:r w:rsidR="00E451EC">
        <w:t>”</w:t>
      </w:r>
      <w:r>
        <w:t xml:space="preserve"> </w:t>
      </w:r>
      <w:r w:rsidR="00E451EC">
        <w:t>but</w:t>
      </w:r>
      <w:r>
        <w:t xml:space="preserve"> not electronic </w:t>
      </w:r>
      <w:r w:rsidR="00E451EC">
        <w:t>“</w:t>
      </w:r>
      <w:r>
        <w:t>filings,</w:t>
      </w:r>
      <w:r w:rsidR="00E451EC">
        <w:t>”</w:t>
      </w:r>
      <w:r>
        <w:t xml:space="preserve"> Staff notes that more than 280 companies electronically filed annual reports using the Commission’s web portal this year. </w:t>
      </w:r>
      <w:r w:rsidR="00E451EC">
        <w:t xml:space="preserve">When a company “submits” its annual report through the web portal, it has effectively “filed” its report with the Commission. In addition, the Commission’s web portal sends an email confirming receipt of the e-filing that provides both a confirmation number and a summary of the documents received. </w:t>
      </w:r>
    </w:p>
    <w:p w14:paraId="1E05901D" w14:textId="77777777" w:rsidR="00B11162" w:rsidRPr="007F5EDF" w:rsidRDefault="00B11162" w:rsidP="00096B12">
      <w:pPr>
        <w:pStyle w:val="Heading1"/>
      </w:pPr>
      <w:r w:rsidRPr="007F5EDF">
        <w:t>DISCUSSION</w:t>
      </w:r>
    </w:p>
    <w:p w14:paraId="1A99F861" w14:textId="7DE85786" w:rsidR="00B11162" w:rsidRDefault="00B11162" w:rsidP="00096B12">
      <w:pPr>
        <w:numPr>
          <w:ilvl w:val="0"/>
          <w:numId w:val="3"/>
        </w:numPr>
        <w:tabs>
          <w:tab w:val="clear" w:pos="1080"/>
          <w:tab w:val="left" w:pos="0"/>
        </w:tabs>
        <w:spacing w:after="240" w:line="288" w:lineRule="auto"/>
        <w:ind w:left="0" w:hanging="720"/>
      </w:pPr>
      <w:r>
        <w:t xml:space="preserve">As a preliminary matter, we deny the Company’s request for hearing. In Order 01, the Commission denied the Company’s request for hearing because there are no issues of law or fact that require consideration of evidence and resolution in hearing. That remains true despite the Company’s </w:t>
      </w:r>
      <w:r w:rsidR="00892151">
        <w:t xml:space="preserve">repeated </w:t>
      </w:r>
      <w:r w:rsidR="00E451EC">
        <w:t xml:space="preserve">attempt to blame its late filing on the </w:t>
      </w:r>
      <w:r w:rsidR="00F669AB">
        <w:t xml:space="preserve">alleged failure of the </w:t>
      </w:r>
      <w:r w:rsidR="00E451EC">
        <w:t>Commission’s electronic filing system</w:t>
      </w:r>
      <w:r>
        <w:t xml:space="preserve">. The undisputed facts demonstrate that the Commission received the Company’s annual report on </w:t>
      </w:r>
      <w:r w:rsidR="00E451EC">
        <w:t>June 15, 2016</w:t>
      </w:r>
      <w:r w:rsidRPr="004174B7">
        <w:t>,</w:t>
      </w:r>
      <w:r>
        <w:t xml:space="preserve"> well past the May </w:t>
      </w:r>
      <w:r w:rsidR="00E451EC">
        <w:t>2</w:t>
      </w:r>
      <w:r>
        <w:t xml:space="preserve"> deadline. </w:t>
      </w:r>
    </w:p>
    <w:p w14:paraId="16D0F811" w14:textId="1A33D33E" w:rsidR="00B11162" w:rsidRPr="00C63FC4" w:rsidRDefault="00B11162" w:rsidP="00096B12">
      <w:pPr>
        <w:numPr>
          <w:ilvl w:val="0"/>
          <w:numId w:val="3"/>
        </w:numPr>
        <w:tabs>
          <w:tab w:val="clear" w:pos="1080"/>
          <w:tab w:val="left" w:pos="0"/>
        </w:tabs>
        <w:spacing w:after="240" w:line="288" w:lineRule="auto"/>
        <w:ind w:left="0" w:hanging="720"/>
      </w:pPr>
      <w:r>
        <w:t xml:space="preserve">We also uphold the findings in Order 01 related to mitigation of the penalty. </w:t>
      </w:r>
      <w:r w:rsidRPr="00EE4C3C">
        <w:rPr>
          <w:bCs/>
        </w:rPr>
        <w:t xml:space="preserve">In its initial request for mitigation, the Company stated it </w:t>
      </w:r>
      <w:r w:rsidR="00892151">
        <w:rPr>
          <w:bCs/>
        </w:rPr>
        <w:t xml:space="preserve">attempted to electronically file its annual </w:t>
      </w:r>
      <w:r w:rsidR="00892151">
        <w:rPr>
          <w:bCs/>
        </w:rPr>
        <w:lastRenderedPageBreak/>
        <w:t xml:space="preserve">report on April 29, 2016, but was unable to verify that the filing was received. Staff noted in its </w:t>
      </w:r>
      <w:r w:rsidR="004356F6">
        <w:rPr>
          <w:bCs/>
        </w:rPr>
        <w:t>initial</w:t>
      </w:r>
      <w:r w:rsidR="00892151">
        <w:rPr>
          <w:bCs/>
        </w:rPr>
        <w:t xml:space="preserve"> response that the Company filed only a “request for company electronic contact information” on April 29, and that no report was received until June 15.</w:t>
      </w:r>
      <w:r w:rsidRPr="00EE4C3C">
        <w:rPr>
          <w:bCs/>
        </w:rPr>
        <w:t xml:space="preserve"> In its </w:t>
      </w:r>
      <w:r w:rsidR="00E451EC">
        <w:rPr>
          <w:bCs/>
        </w:rPr>
        <w:t>Petition</w:t>
      </w:r>
      <w:r w:rsidR="00892151">
        <w:rPr>
          <w:bCs/>
        </w:rPr>
        <w:t xml:space="preserve">, the Company again alleges that it is impossible to </w:t>
      </w:r>
      <w:r w:rsidR="0080096A">
        <w:rPr>
          <w:bCs/>
        </w:rPr>
        <w:t xml:space="preserve">electronically </w:t>
      </w:r>
      <w:r w:rsidR="00892151">
        <w:rPr>
          <w:bCs/>
        </w:rPr>
        <w:t>file annual report</w:t>
      </w:r>
      <w:r w:rsidR="0080096A">
        <w:rPr>
          <w:bCs/>
        </w:rPr>
        <w:t>s</w:t>
      </w:r>
      <w:r w:rsidR="00892151">
        <w:rPr>
          <w:bCs/>
        </w:rPr>
        <w:t>. As Staff noted in its response to the Petition, that allegation is false.</w:t>
      </w:r>
      <w:r w:rsidR="0080096A">
        <w:rPr>
          <w:bCs/>
        </w:rPr>
        <w:t xml:space="preserve"> Moreover, the Company had other means to file its annual report, including via email, US mail, overnight delivery, or in-person at the Commission’s headquarters. </w:t>
      </w:r>
      <w:r w:rsidR="0080096A">
        <w:t xml:space="preserve">In light of these factors and absent </w:t>
      </w:r>
      <w:r>
        <w:t xml:space="preserve">the introduction of </w:t>
      </w:r>
      <w:r w:rsidR="00892151">
        <w:t>new</w:t>
      </w:r>
      <w:r w:rsidR="0080096A">
        <w:t xml:space="preserve"> and</w:t>
      </w:r>
      <w:r w:rsidR="00892151">
        <w:t xml:space="preserve"> </w:t>
      </w:r>
      <w:r>
        <w:t>compelling circumstances, there is no evidentiary basis to reverse our earlier decision</w:t>
      </w:r>
      <w:r w:rsidRPr="00EE4C3C">
        <w:rPr>
          <w:bCs/>
        </w:rPr>
        <w:t>.</w:t>
      </w:r>
    </w:p>
    <w:p w14:paraId="6FB54AFD" w14:textId="513BAA3E" w:rsidR="00B11162" w:rsidRPr="007F5EDF" w:rsidRDefault="00B11162" w:rsidP="00096B12">
      <w:pPr>
        <w:numPr>
          <w:ilvl w:val="0"/>
          <w:numId w:val="3"/>
        </w:numPr>
        <w:tabs>
          <w:tab w:val="clear" w:pos="1080"/>
          <w:tab w:val="left" w:pos="0"/>
        </w:tabs>
        <w:spacing w:after="240" w:line="288" w:lineRule="auto"/>
        <w:ind w:left="0" w:hanging="720"/>
      </w:pPr>
      <w:r>
        <w:t xml:space="preserve">Neither do we believe that Order 01 is unjust. </w:t>
      </w:r>
      <w:r w:rsidR="0080096A">
        <w:t xml:space="preserve">The Company failed to submit a complete annual report until June 15, </w:t>
      </w:r>
      <w:r w:rsidR="0023464B">
        <w:t xml:space="preserve">2016, </w:t>
      </w:r>
      <w:r w:rsidR="0080096A">
        <w:t>despite being notified via email on April 29 that its filing</w:t>
      </w:r>
      <w:r w:rsidR="0023464B">
        <w:t xml:space="preserve"> was not received</w:t>
      </w:r>
      <w:r w:rsidR="0080096A">
        <w:t xml:space="preserve">. </w:t>
      </w:r>
      <w:r w:rsidR="0023464B">
        <w:t>The</w:t>
      </w:r>
      <w:r w:rsidR="0080096A">
        <w:t xml:space="preserve"> </w:t>
      </w:r>
      <w:r>
        <w:t>Commission</w:t>
      </w:r>
      <w:r w:rsidR="0023464B">
        <w:t xml:space="preserve"> nevertheless</w:t>
      </w:r>
      <w:r>
        <w:t xml:space="preserve"> </w:t>
      </w:r>
      <w:r w:rsidR="0080096A">
        <w:t xml:space="preserve">exercised its discretion to </w:t>
      </w:r>
      <w:r w:rsidR="004356F6">
        <w:t>assess</w:t>
      </w:r>
      <w:r w:rsidR="0080096A">
        <w:t xml:space="preserve"> a reduced penalty of $250 based on the Company’s history of compliance</w:t>
      </w:r>
      <w:r w:rsidR="0023464B">
        <w:t xml:space="preserve"> and the fact that </w:t>
      </w:r>
      <w:r w:rsidR="00F669AB">
        <w:t>the Company</w:t>
      </w:r>
      <w:r w:rsidR="0023464B">
        <w:t xml:space="preserve"> had since come into compliance</w:t>
      </w:r>
      <w:r w:rsidR="0080096A">
        <w:t xml:space="preserve">. </w:t>
      </w:r>
      <w:r w:rsidR="0023464B">
        <w:t>We</w:t>
      </w:r>
      <w:r>
        <w:t xml:space="preserve"> concur with the finding in Order 01 that </w:t>
      </w:r>
      <w:r w:rsidRPr="007F5EDF">
        <w:t xml:space="preserve">the </w:t>
      </w:r>
      <w:r w:rsidRPr="00EE4C3C">
        <w:rPr>
          <w:bCs/>
        </w:rPr>
        <w:t>$</w:t>
      </w:r>
      <w:r>
        <w:rPr>
          <w:bCs/>
        </w:rPr>
        <w:t>250</w:t>
      </w:r>
      <w:r w:rsidRPr="00EE4C3C">
        <w:rPr>
          <w:bCs/>
        </w:rPr>
        <w:t xml:space="preserve"> penalty </w:t>
      </w:r>
      <w:r>
        <w:rPr>
          <w:bCs/>
        </w:rPr>
        <w:t>is</w:t>
      </w:r>
      <w:r w:rsidRPr="00EE4C3C">
        <w:rPr>
          <w:bCs/>
        </w:rPr>
        <w:t xml:space="preserve"> appropriate </w:t>
      </w:r>
      <w:r w:rsidR="0023464B">
        <w:rPr>
          <w:bCs/>
        </w:rPr>
        <w:t>in light of these factors</w:t>
      </w:r>
      <w:r w:rsidRPr="00EE4C3C">
        <w:rPr>
          <w:bCs/>
        </w:rPr>
        <w:t xml:space="preserve">. </w:t>
      </w:r>
    </w:p>
    <w:p w14:paraId="369FDF43" w14:textId="77777777" w:rsidR="00B11162" w:rsidRPr="007F5EDF" w:rsidRDefault="00B11162" w:rsidP="00096B12">
      <w:pPr>
        <w:pStyle w:val="Heading1"/>
      </w:pPr>
      <w:r w:rsidRPr="007F5EDF">
        <w:t>ORDER</w:t>
      </w:r>
    </w:p>
    <w:p w14:paraId="2237FA79" w14:textId="77777777" w:rsidR="00B11162" w:rsidRDefault="00B11162" w:rsidP="00096B12">
      <w:pPr>
        <w:spacing w:after="240" w:line="288" w:lineRule="auto"/>
      </w:pPr>
      <w:r w:rsidRPr="007F5EDF">
        <w:t>THE COMMISSION ORDERS</w:t>
      </w:r>
      <w:r>
        <w:t xml:space="preserve"> That Order 01 in this Docket is AFFIRMED.</w:t>
      </w:r>
    </w:p>
    <w:p w14:paraId="4536E829" w14:textId="0F2630CC" w:rsidR="00B11162" w:rsidRPr="007F5EDF" w:rsidRDefault="00B11162" w:rsidP="00096B12">
      <w:pPr>
        <w:spacing w:after="240" w:line="288" w:lineRule="auto"/>
      </w:pPr>
      <w:r w:rsidRPr="007F5EDF">
        <w:t xml:space="preserve">DATED at Olympia, Washington, and effective </w:t>
      </w:r>
      <w:r w:rsidR="00E74331">
        <w:t>August 26</w:t>
      </w:r>
      <w:r w:rsidR="00816449">
        <w:t>, 2016</w:t>
      </w:r>
      <w:r w:rsidRPr="007F5EDF">
        <w:t>.</w:t>
      </w:r>
    </w:p>
    <w:p w14:paraId="3EB10EBE" w14:textId="77777777" w:rsidR="00B11162" w:rsidRPr="007F5EDF" w:rsidRDefault="00B11162" w:rsidP="00096B12">
      <w:pPr>
        <w:spacing w:after="840" w:line="288" w:lineRule="auto"/>
        <w:jc w:val="center"/>
      </w:pPr>
      <w:r w:rsidRPr="007F5EDF">
        <w:t>WASHINGTON UTILITIES AND TRANSPORTATION COMMISSION</w:t>
      </w:r>
    </w:p>
    <w:p w14:paraId="11EF91FC" w14:textId="77777777" w:rsidR="00B11162" w:rsidRPr="000477E5" w:rsidRDefault="00B11162" w:rsidP="00096B12">
      <w:pPr>
        <w:pStyle w:val="BodyText3"/>
        <w:spacing w:after="840"/>
        <w:ind w:left="3600" w:firstLine="720"/>
        <w:rPr>
          <w:sz w:val="24"/>
          <w:szCs w:val="24"/>
        </w:rPr>
      </w:pPr>
      <w:r w:rsidRPr="000477E5">
        <w:rPr>
          <w:sz w:val="24"/>
          <w:szCs w:val="24"/>
        </w:rPr>
        <w:t>DAVID W. DANNER, Chairman</w:t>
      </w:r>
    </w:p>
    <w:p w14:paraId="2875AD9A" w14:textId="17D73BCD" w:rsidR="002C039A" w:rsidRPr="00D2094F" w:rsidRDefault="00B11162" w:rsidP="00E74331">
      <w:pPr>
        <w:spacing w:line="264" w:lineRule="auto"/>
        <w:ind w:firstLine="4320"/>
      </w:pPr>
      <w:r w:rsidRPr="000477E5">
        <w:t>ANN E. RENDAHL, Commissioner</w:t>
      </w:r>
    </w:p>
    <w:sectPr w:rsidR="002C039A" w:rsidRPr="00D2094F" w:rsidSect="00B8451B">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29C56" w14:textId="77777777" w:rsidR="0019071B" w:rsidRDefault="0019071B" w:rsidP="00D8495A">
      <w:r>
        <w:separator/>
      </w:r>
    </w:p>
  </w:endnote>
  <w:endnote w:type="continuationSeparator" w:id="0">
    <w:p w14:paraId="552AD8F0" w14:textId="77777777" w:rsidR="0019071B" w:rsidRDefault="0019071B" w:rsidP="00D8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31F2A" w14:textId="77777777" w:rsidR="0050509E" w:rsidRDefault="005050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EFD8A" w14:textId="77777777" w:rsidR="0050509E" w:rsidRDefault="005050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4" w14:textId="77777777" w:rsidR="00975152" w:rsidRPr="00DB0710" w:rsidRDefault="009827D3" w:rsidP="006A1198">
    <w:pPr>
      <w:pStyle w:val="Footer"/>
      <w:tabs>
        <w:tab w:val="clear" w:pos="8640"/>
        <w:tab w:val="right" w:pos="846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DBFB2" w14:textId="77777777" w:rsidR="0019071B" w:rsidRDefault="0019071B" w:rsidP="00D8495A">
      <w:r>
        <w:separator/>
      </w:r>
    </w:p>
  </w:footnote>
  <w:footnote w:type="continuationSeparator" w:id="0">
    <w:p w14:paraId="25951B5F" w14:textId="77777777" w:rsidR="0019071B" w:rsidRDefault="0019071B" w:rsidP="00D8495A">
      <w:r>
        <w:continuationSeparator/>
      </w:r>
    </w:p>
  </w:footnote>
  <w:footnote w:id="1">
    <w:p w14:paraId="7BF2D8A9" w14:textId="55729941" w:rsidR="00190D9B" w:rsidRDefault="00190D9B">
      <w:pPr>
        <w:pStyle w:val="FootnoteText"/>
      </w:pPr>
      <w:r w:rsidRPr="00201AD0">
        <w:rPr>
          <w:rStyle w:val="FootnoteReference"/>
          <w:sz w:val="22"/>
        </w:rPr>
        <w:footnoteRef/>
      </w:r>
      <w:r w:rsidRPr="00201AD0">
        <w:rPr>
          <w:sz w:val="22"/>
        </w:rPr>
        <w:t xml:space="preserve"> WAC 480-07-140(1)(a) provides that, “[y]ou may </w:t>
      </w:r>
      <w:r w:rsidRPr="00201AD0">
        <w:rPr>
          <w:b/>
          <w:i/>
          <w:sz w:val="22"/>
        </w:rPr>
        <w:t>file</w:t>
      </w:r>
      <w:r w:rsidRPr="00201AD0">
        <w:rPr>
          <w:sz w:val="22"/>
        </w:rPr>
        <w:t xml:space="preserve"> documents electronically using the commission’s records center web portal</w:t>
      </w:r>
      <w:r w:rsidR="0047464D" w:rsidRPr="00201AD0">
        <w:rPr>
          <w:sz w:val="22"/>
        </w:rPr>
        <w:t xml:space="preserve"> (see WAC 480-07-125) if you are submitting documents that are not part of an adjudicative proceeding.” (Emphasis in original).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2AF9B" w14:textId="77777777" w:rsidR="0050509E" w:rsidRDefault="005050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9F" w14:textId="66C354B2" w:rsidR="00975152" w:rsidRPr="00AC0E30" w:rsidRDefault="009827D3">
    <w:pPr>
      <w:tabs>
        <w:tab w:val="left" w:pos="7740"/>
      </w:tabs>
      <w:rPr>
        <w:b/>
        <w:bCs/>
        <w:sz w:val="20"/>
      </w:rPr>
    </w:pPr>
    <w:r w:rsidRPr="00AC0E30">
      <w:rPr>
        <w:b/>
        <w:bCs/>
        <w:sz w:val="20"/>
      </w:rPr>
      <w:t>DOCKET</w:t>
    </w:r>
    <w:r>
      <w:rPr>
        <w:b/>
        <w:bCs/>
        <w:sz w:val="20"/>
      </w:rPr>
      <w:t xml:space="preserve"> </w:t>
    </w:r>
    <w:r w:rsidR="00DA4CCC">
      <w:rPr>
        <w:b/>
        <w:bCs/>
        <w:sz w:val="20"/>
      </w:rPr>
      <w:t>UW-160533</w:t>
    </w:r>
    <w:r w:rsidRPr="00AC0E30">
      <w:rPr>
        <w:b/>
        <w:bCs/>
        <w:sz w:val="20"/>
      </w:rPr>
      <w:tab/>
      <w:t xml:space="preserve">PAGE </w:t>
    </w:r>
    <w:r w:rsidRPr="00AC0E30">
      <w:rPr>
        <w:b/>
        <w:bCs/>
        <w:sz w:val="20"/>
      </w:rPr>
      <w:pgNum/>
    </w:r>
  </w:p>
  <w:p w14:paraId="2875ADA0" w14:textId="0AA4BFFE" w:rsidR="00975152" w:rsidRPr="00AC0E30" w:rsidRDefault="00430E26">
    <w:pPr>
      <w:tabs>
        <w:tab w:val="left" w:pos="7740"/>
      </w:tabs>
      <w:rPr>
        <w:b/>
        <w:bCs/>
        <w:sz w:val="20"/>
      </w:rPr>
    </w:pPr>
    <w:r>
      <w:rPr>
        <w:b/>
        <w:bCs/>
        <w:sz w:val="20"/>
      </w:rPr>
      <w:t>ORDER 02</w:t>
    </w:r>
  </w:p>
  <w:p w14:paraId="2875ADA1" w14:textId="77777777" w:rsidR="00975152" w:rsidRDefault="0050509E">
    <w:pPr>
      <w:tabs>
        <w:tab w:val="left" w:pos="7740"/>
      </w:tabs>
      <w:rPr>
        <w:b/>
        <w:bCs/>
        <w:sz w:val="20"/>
      </w:rPr>
    </w:pPr>
  </w:p>
  <w:p w14:paraId="2875ADA2" w14:textId="77777777" w:rsidR="00975152" w:rsidRPr="00AC0E30" w:rsidRDefault="0050509E">
    <w:pPr>
      <w:tabs>
        <w:tab w:val="left" w:pos="7740"/>
      </w:tabs>
      <w:rPr>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ADA3" w14:textId="3CBA8785" w:rsidR="00975152" w:rsidRPr="00521EA1" w:rsidRDefault="009827D3" w:rsidP="006A1198">
    <w:pPr>
      <w:pStyle w:val="Header"/>
      <w:tabs>
        <w:tab w:val="clear" w:pos="4320"/>
        <w:tab w:val="clear" w:pos="8640"/>
        <w:tab w:val="right" w:pos="8460"/>
      </w:tabs>
      <w:rPr>
        <w:b/>
        <w:sz w:val="20"/>
        <w:szCs w:val="20"/>
      </w:rPr>
    </w:pPr>
    <w:r>
      <w:tab/>
    </w:r>
    <w:r w:rsidR="0050509E">
      <w:t>Service Date: August 26, 2016</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0416"/>
    <w:multiLevelType w:val="hybridMultilevel"/>
    <w:tmpl w:val="FBDCB810"/>
    <w:lvl w:ilvl="0" w:tplc="FFFFFFFF">
      <w:start w:val="1"/>
      <w:numFmt w:val="decimal"/>
      <w:lvlText w:val="%1"/>
      <w:lvlJc w:val="lef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93C3C26"/>
    <w:multiLevelType w:val="hybridMultilevel"/>
    <w:tmpl w:val="F2FEC412"/>
    <w:lvl w:ilvl="0" w:tplc="320C7612">
      <w:start w:val="1"/>
      <w:numFmt w:val="decimal"/>
      <w:lvlText w:val="%1"/>
      <w:lvlJc w:val="righ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32F70F3"/>
    <w:multiLevelType w:val="hybridMultilevel"/>
    <w:tmpl w:val="B986FF96"/>
    <w:lvl w:ilvl="0" w:tplc="A2284182">
      <w:start w:val="1"/>
      <w:numFmt w:val="decimal"/>
      <w:pStyle w:val="FindingsConclusions"/>
      <w:lvlText w:val="%1"/>
      <w:lvlJc w:val="righ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5A"/>
    <w:rsid w:val="000218E0"/>
    <w:rsid w:val="00022571"/>
    <w:rsid w:val="000325AB"/>
    <w:rsid w:val="000342A8"/>
    <w:rsid w:val="00082958"/>
    <w:rsid w:val="00096B12"/>
    <w:rsid w:val="000B0F09"/>
    <w:rsid w:val="000C3D49"/>
    <w:rsid w:val="000D0002"/>
    <w:rsid w:val="000E640C"/>
    <w:rsid w:val="000F0AF4"/>
    <w:rsid w:val="000F3C90"/>
    <w:rsid w:val="00107AD3"/>
    <w:rsid w:val="00107ADD"/>
    <w:rsid w:val="00167E48"/>
    <w:rsid w:val="00184767"/>
    <w:rsid w:val="0019071B"/>
    <w:rsid w:val="00190D9B"/>
    <w:rsid w:val="001C4CA4"/>
    <w:rsid w:val="001C5AB1"/>
    <w:rsid w:val="001E1D7A"/>
    <w:rsid w:val="001F2A3C"/>
    <w:rsid w:val="00201AD0"/>
    <w:rsid w:val="00214B9D"/>
    <w:rsid w:val="0023464B"/>
    <w:rsid w:val="00271AA9"/>
    <w:rsid w:val="00275C6E"/>
    <w:rsid w:val="0029058C"/>
    <w:rsid w:val="002B0980"/>
    <w:rsid w:val="002C039A"/>
    <w:rsid w:val="002D32B7"/>
    <w:rsid w:val="00303B37"/>
    <w:rsid w:val="003212F6"/>
    <w:rsid w:val="00364B64"/>
    <w:rsid w:val="00366187"/>
    <w:rsid w:val="00373203"/>
    <w:rsid w:val="0038014A"/>
    <w:rsid w:val="00413942"/>
    <w:rsid w:val="00430E26"/>
    <w:rsid w:val="00431C8D"/>
    <w:rsid w:val="004356F6"/>
    <w:rsid w:val="00437D8B"/>
    <w:rsid w:val="00443FE3"/>
    <w:rsid w:val="0047464D"/>
    <w:rsid w:val="0048646C"/>
    <w:rsid w:val="004A3890"/>
    <w:rsid w:val="004B22B7"/>
    <w:rsid w:val="004D163E"/>
    <w:rsid w:val="004E25CC"/>
    <w:rsid w:val="0050509E"/>
    <w:rsid w:val="00512420"/>
    <w:rsid w:val="00517082"/>
    <w:rsid w:val="00536BA9"/>
    <w:rsid w:val="00552600"/>
    <w:rsid w:val="00575486"/>
    <w:rsid w:val="005852E2"/>
    <w:rsid w:val="005A226F"/>
    <w:rsid w:val="005A6C74"/>
    <w:rsid w:val="005B0C0C"/>
    <w:rsid w:val="005C70B9"/>
    <w:rsid w:val="005E1CC2"/>
    <w:rsid w:val="005F591C"/>
    <w:rsid w:val="00606618"/>
    <w:rsid w:val="006216CC"/>
    <w:rsid w:val="0066212F"/>
    <w:rsid w:val="006627E8"/>
    <w:rsid w:val="00672F7B"/>
    <w:rsid w:val="00680787"/>
    <w:rsid w:val="00680EC4"/>
    <w:rsid w:val="00686B4A"/>
    <w:rsid w:val="006A0DC5"/>
    <w:rsid w:val="006A41EE"/>
    <w:rsid w:val="006B2EF6"/>
    <w:rsid w:val="006C2ACC"/>
    <w:rsid w:val="006F691E"/>
    <w:rsid w:val="00702042"/>
    <w:rsid w:val="007177AB"/>
    <w:rsid w:val="0072368A"/>
    <w:rsid w:val="007329E5"/>
    <w:rsid w:val="00752B7B"/>
    <w:rsid w:val="00754BF3"/>
    <w:rsid w:val="00762332"/>
    <w:rsid w:val="007B7AD2"/>
    <w:rsid w:val="0080096A"/>
    <w:rsid w:val="00811AE6"/>
    <w:rsid w:val="00816449"/>
    <w:rsid w:val="00870622"/>
    <w:rsid w:val="00874F82"/>
    <w:rsid w:val="00892151"/>
    <w:rsid w:val="008A0338"/>
    <w:rsid w:val="008B1CCC"/>
    <w:rsid w:val="008D5B73"/>
    <w:rsid w:val="00912BB8"/>
    <w:rsid w:val="0093427D"/>
    <w:rsid w:val="0093574D"/>
    <w:rsid w:val="00955F4A"/>
    <w:rsid w:val="009776BD"/>
    <w:rsid w:val="009827D3"/>
    <w:rsid w:val="00984F33"/>
    <w:rsid w:val="009A13D3"/>
    <w:rsid w:val="00A270D4"/>
    <w:rsid w:val="00A46518"/>
    <w:rsid w:val="00A754BC"/>
    <w:rsid w:val="00A84C2A"/>
    <w:rsid w:val="00A939A9"/>
    <w:rsid w:val="00AD3312"/>
    <w:rsid w:val="00AE1183"/>
    <w:rsid w:val="00AE15F8"/>
    <w:rsid w:val="00AE273E"/>
    <w:rsid w:val="00B074C3"/>
    <w:rsid w:val="00B11162"/>
    <w:rsid w:val="00B13041"/>
    <w:rsid w:val="00B329A9"/>
    <w:rsid w:val="00B53763"/>
    <w:rsid w:val="00B7622A"/>
    <w:rsid w:val="00B838B1"/>
    <w:rsid w:val="00B869E1"/>
    <w:rsid w:val="00BA67C5"/>
    <w:rsid w:val="00BC5753"/>
    <w:rsid w:val="00BD3A3E"/>
    <w:rsid w:val="00BD7A1D"/>
    <w:rsid w:val="00C528A4"/>
    <w:rsid w:val="00C6277B"/>
    <w:rsid w:val="00C809F5"/>
    <w:rsid w:val="00C8287D"/>
    <w:rsid w:val="00C9305D"/>
    <w:rsid w:val="00CE1327"/>
    <w:rsid w:val="00D06108"/>
    <w:rsid w:val="00D124AF"/>
    <w:rsid w:val="00D2094F"/>
    <w:rsid w:val="00D312EF"/>
    <w:rsid w:val="00D3249C"/>
    <w:rsid w:val="00D43DE5"/>
    <w:rsid w:val="00D5174A"/>
    <w:rsid w:val="00D723B4"/>
    <w:rsid w:val="00D8495A"/>
    <w:rsid w:val="00DA1B86"/>
    <w:rsid w:val="00DA2CDD"/>
    <w:rsid w:val="00DA4CCC"/>
    <w:rsid w:val="00DD2A47"/>
    <w:rsid w:val="00DE203F"/>
    <w:rsid w:val="00E03CE0"/>
    <w:rsid w:val="00E246E7"/>
    <w:rsid w:val="00E33589"/>
    <w:rsid w:val="00E40D1F"/>
    <w:rsid w:val="00E4473C"/>
    <w:rsid w:val="00E451EC"/>
    <w:rsid w:val="00E74331"/>
    <w:rsid w:val="00E76657"/>
    <w:rsid w:val="00EB1DDF"/>
    <w:rsid w:val="00EC15B3"/>
    <w:rsid w:val="00ED233D"/>
    <w:rsid w:val="00EE30D9"/>
    <w:rsid w:val="00EE39AB"/>
    <w:rsid w:val="00EF0ADE"/>
    <w:rsid w:val="00F006A1"/>
    <w:rsid w:val="00F21B68"/>
    <w:rsid w:val="00F3284A"/>
    <w:rsid w:val="00F522F7"/>
    <w:rsid w:val="00F669AB"/>
    <w:rsid w:val="00F70074"/>
    <w:rsid w:val="00F9296C"/>
    <w:rsid w:val="00FB7338"/>
    <w:rsid w:val="00FB74B3"/>
    <w:rsid w:val="00FF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5ACFD"/>
  <w15:chartTrackingRefBased/>
  <w15:docId w15:val="{30FD46C9-816B-4088-850A-7AE7D9BC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95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96B12"/>
    <w:pPr>
      <w:keepNext/>
      <w:spacing w:after="240" w:line="288" w:lineRule="auto"/>
      <w:jc w:val="center"/>
      <w:outlineLvl w:val="0"/>
    </w:pPr>
    <w:rPr>
      <w:b/>
    </w:rPr>
  </w:style>
  <w:style w:type="paragraph" w:styleId="Heading2">
    <w:name w:val="heading 2"/>
    <w:basedOn w:val="Normal"/>
    <w:next w:val="Normal"/>
    <w:link w:val="Heading2Char"/>
    <w:uiPriority w:val="9"/>
    <w:semiHidden/>
    <w:unhideWhenUsed/>
    <w:qFormat/>
    <w:rsid w:val="00F006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B12"/>
    <w:rPr>
      <w:rFonts w:ascii="Times New Roman" w:eastAsia="Times New Roman" w:hAnsi="Times New Roman" w:cs="Times New Roman"/>
      <w:b/>
      <w:sz w:val="24"/>
      <w:szCs w:val="24"/>
    </w:rPr>
  </w:style>
  <w:style w:type="paragraph" w:styleId="BodyText">
    <w:name w:val="Body Text"/>
    <w:basedOn w:val="Normal"/>
    <w:link w:val="BodyTextChar"/>
    <w:rsid w:val="00D8495A"/>
    <w:pPr>
      <w:jc w:val="center"/>
    </w:pPr>
    <w:rPr>
      <w:rFonts w:ascii="Arial" w:hAnsi="Arial" w:cs="Arial"/>
    </w:rPr>
  </w:style>
  <w:style w:type="character" w:customStyle="1" w:styleId="BodyTextChar">
    <w:name w:val="Body Text Char"/>
    <w:basedOn w:val="DefaultParagraphFont"/>
    <w:link w:val="BodyText"/>
    <w:rsid w:val="00D8495A"/>
    <w:rPr>
      <w:rFonts w:ascii="Arial" w:eastAsia="Times New Roman" w:hAnsi="Arial" w:cs="Arial"/>
      <w:sz w:val="24"/>
      <w:szCs w:val="24"/>
    </w:rPr>
  </w:style>
  <w:style w:type="paragraph" w:styleId="Header">
    <w:name w:val="header"/>
    <w:basedOn w:val="Normal"/>
    <w:link w:val="HeaderChar"/>
    <w:rsid w:val="00D8495A"/>
    <w:pPr>
      <w:tabs>
        <w:tab w:val="center" w:pos="4320"/>
        <w:tab w:val="right" w:pos="8640"/>
      </w:tabs>
    </w:pPr>
  </w:style>
  <w:style w:type="character" w:customStyle="1" w:styleId="HeaderChar">
    <w:name w:val="Header Char"/>
    <w:basedOn w:val="DefaultParagraphFont"/>
    <w:link w:val="Header"/>
    <w:rsid w:val="00D8495A"/>
    <w:rPr>
      <w:rFonts w:ascii="Times New Roman" w:eastAsia="Times New Roman" w:hAnsi="Times New Roman" w:cs="Times New Roman"/>
      <w:sz w:val="24"/>
      <w:szCs w:val="24"/>
    </w:rPr>
  </w:style>
  <w:style w:type="paragraph" w:styleId="Footer">
    <w:name w:val="footer"/>
    <w:basedOn w:val="Normal"/>
    <w:link w:val="FooterChar"/>
    <w:rsid w:val="00D8495A"/>
    <w:pPr>
      <w:tabs>
        <w:tab w:val="center" w:pos="4320"/>
        <w:tab w:val="right" w:pos="8640"/>
      </w:tabs>
    </w:pPr>
  </w:style>
  <w:style w:type="character" w:customStyle="1" w:styleId="FooterChar">
    <w:name w:val="Footer Char"/>
    <w:basedOn w:val="DefaultParagraphFont"/>
    <w:link w:val="Footer"/>
    <w:rsid w:val="00D8495A"/>
    <w:rPr>
      <w:rFonts w:ascii="Times New Roman" w:eastAsia="Times New Roman" w:hAnsi="Times New Roman" w:cs="Times New Roman"/>
      <w:sz w:val="24"/>
      <w:szCs w:val="24"/>
    </w:rPr>
  </w:style>
  <w:style w:type="paragraph" w:styleId="FootnoteText">
    <w:name w:val="footnote text"/>
    <w:basedOn w:val="Normal"/>
    <w:link w:val="FootnoteTextChar"/>
    <w:rsid w:val="00D8495A"/>
    <w:rPr>
      <w:sz w:val="20"/>
      <w:szCs w:val="20"/>
    </w:rPr>
  </w:style>
  <w:style w:type="character" w:customStyle="1" w:styleId="FootnoteTextChar">
    <w:name w:val="Footnote Text Char"/>
    <w:basedOn w:val="DefaultParagraphFont"/>
    <w:link w:val="FootnoteText"/>
    <w:rsid w:val="00D8495A"/>
    <w:rPr>
      <w:rFonts w:ascii="Times New Roman" w:eastAsia="Times New Roman" w:hAnsi="Times New Roman" w:cs="Times New Roman"/>
      <w:sz w:val="20"/>
      <w:szCs w:val="20"/>
    </w:rPr>
  </w:style>
  <w:style w:type="character" w:styleId="FootnoteReference">
    <w:name w:val="footnote reference"/>
    <w:rsid w:val="00D8495A"/>
    <w:rPr>
      <w:vertAlign w:val="superscript"/>
    </w:rPr>
  </w:style>
  <w:style w:type="paragraph" w:styleId="BodyText3">
    <w:name w:val="Body Text 3"/>
    <w:basedOn w:val="Normal"/>
    <w:link w:val="BodyText3Char"/>
    <w:rsid w:val="00D8495A"/>
    <w:pPr>
      <w:spacing w:after="120"/>
    </w:pPr>
    <w:rPr>
      <w:sz w:val="16"/>
      <w:szCs w:val="16"/>
    </w:rPr>
  </w:style>
  <w:style w:type="character" w:customStyle="1" w:styleId="BodyText3Char">
    <w:name w:val="Body Text 3 Char"/>
    <w:basedOn w:val="DefaultParagraphFont"/>
    <w:link w:val="BodyText3"/>
    <w:rsid w:val="00D8495A"/>
    <w:rPr>
      <w:rFonts w:ascii="Times New Roman" w:eastAsia="Times New Roman" w:hAnsi="Times New Roman" w:cs="Times New Roman"/>
      <w:sz w:val="16"/>
      <w:szCs w:val="16"/>
    </w:rPr>
  </w:style>
  <w:style w:type="paragraph" w:styleId="ListParagraph">
    <w:name w:val="List Paragraph"/>
    <w:basedOn w:val="Normal"/>
    <w:uiPriority w:val="34"/>
    <w:qFormat/>
    <w:rsid w:val="00D8495A"/>
    <w:pPr>
      <w:ind w:left="720"/>
      <w:contextualSpacing/>
    </w:pPr>
  </w:style>
  <w:style w:type="paragraph" w:styleId="BalloonText">
    <w:name w:val="Balloon Text"/>
    <w:basedOn w:val="Normal"/>
    <w:link w:val="BalloonTextChar"/>
    <w:uiPriority w:val="99"/>
    <w:semiHidden/>
    <w:unhideWhenUsed/>
    <w:rsid w:val="00F929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96C"/>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F006A1"/>
    <w:rPr>
      <w:rFonts w:asciiTheme="majorHAnsi" w:eastAsiaTheme="majorEastAsia" w:hAnsiTheme="majorHAnsi" w:cstheme="majorBidi"/>
      <w:color w:val="365F91" w:themeColor="accent1" w:themeShade="BF"/>
      <w:sz w:val="26"/>
      <w:szCs w:val="26"/>
    </w:rPr>
  </w:style>
  <w:style w:type="paragraph" w:customStyle="1" w:styleId="FindingsConclusions">
    <w:name w:val="Findings &amp; Conclusions"/>
    <w:basedOn w:val="Normal"/>
    <w:autoRedefine/>
    <w:rsid w:val="00F006A1"/>
    <w:pPr>
      <w:numPr>
        <w:numId w:val="2"/>
      </w:numPr>
      <w:spacing w:line="288" w:lineRule="auto"/>
    </w:pPr>
  </w:style>
  <w:style w:type="character" w:styleId="CommentReference">
    <w:name w:val="annotation reference"/>
    <w:basedOn w:val="DefaultParagraphFont"/>
    <w:unhideWhenUsed/>
    <w:rsid w:val="00EE39AB"/>
    <w:rPr>
      <w:sz w:val="16"/>
      <w:szCs w:val="16"/>
    </w:rPr>
  </w:style>
  <w:style w:type="paragraph" w:styleId="CommentText">
    <w:name w:val="annotation text"/>
    <w:basedOn w:val="Normal"/>
    <w:link w:val="CommentTextChar"/>
    <w:uiPriority w:val="99"/>
    <w:semiHidden/>
    <w:unhideWhenUsed/>
    <w:rsid w:val="00EE39AB"/>
    <w:rPr>
      <w:sz w:val="20"/>
      <w:szCs w:val="20"/>
    </w:rPr>
  </w:style>
  <w:style w:type="character" w:customStyle="1" w:styleId="CommentTextChar">
    <w:name w:val="Comment Text Char"/>
    <w:basedOn w:val="DefaultParagraphFont"/>
    <w:link w:val="CommentText"/>
    <w:uiPriority w:val="99"/>
    <w:semiHidden/>
    <w:rsid w:val="00EE39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39AB"/>
    <w:rPr>
      <w:b/>
      <w:bCs/>
    </w:rPr>
  </w:style>
  <w:style w:type="character" w:customStyle="1" w:styleId="CommentSubjectChar">
    <w:name w:val="Comment Subject Char"/>
    <w:basedOn w:val="CommentTextChar"/>
    <w:link w:val="CommentSubject"/>
    <w:uiPriority w:val="99"/>
    <w:semiHidden/>
    <w:rsid w:val="00EE39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Order - Final</DocumentSetType>
    <IsConfidential xmlns="dc463f71-b30c-4ab2-9473-d307f9d35888">false</IsConfidential>
    <AgendaOrder xmlns="dc463f71-b30c-4ab2-9473-d307f9d35888">false</AgendaOrder>
    <CaseType xmlns="dc463f71-b30c-4ab2-9473-d307f9d35888">Assessment (penalty)</CaseType>
    <IndustryCode xmlns="dc463f71-b30c-4ab2-9473-d307f9d35888">160</IndustryCode>
    <CaseStatus xmlns="dc463f71-b30c-4ab2-9473-d307f9d35888">Closed</CaseStatus>
    <OpenedDate xmlns="dc463f71-b30c-4ab2-9473-d307f9d35888">2016-05-23T07:00:00+00:00</OpenedDate>
    <Date1 xmlns="dc463f71-b30c-4ab2-9473-d307f9d35888">2016-08-26T07:00:00+00:00</Date1>
    <IsDocumentOrder xmlns="dc463f71-b30c-4ab2-9473-d307f9d35888">true</IsDocumentOrder>
    <IsHighlyConfidential xmlns="dc463f71-b30c-4ab2-9473-d307f9d35888">false</IsHighlyConfidential>
    <CaseCompanyNames xmlns="dc463f71-b30c-4ab2-9473-d307f9d35888">Solmar Water System, Inc.</CaseCompanyNames>
    <DocketNumber xmlns="dc463f71-b30c-4ab2-9473-d307f9d35888">160533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44320DF192C6E4DB681CF4AF54BDB62" ma:contentTypeVersion="104" ma:contentTypeDescription="" ma:contentTypeScope="" ma:versionID="55905dab9418b6aaf9b5e08f33b12fe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C17D26-67BC-4204-B8A2-70494FCB6B90}"/>
</file>

<file path=customXml/itemProps2.xml><?xml version="1.0" encoding="utf-8"?>
<ds:datastoreItem xmlns:ds="http://schemas.openxmlformats.org/officeDocument/2006/customXml" ds:itemID="{82CD3234-DBA4-473B-B5FD-3FF184EA534E}"/>
</file>

<file path=customXml/itemProps3.xml><?xml version="1.0" encoding="utf-8"?>
<ds:datastoreItem xmlns:ds="http://schemas.openxmlformats.org/officeDocument/2006/customXml" ds:itemID="{DF8A36CF-62CB-4CC9-A01E-CB0BD050C90D}"/>
</file>

<file path=customXml/itemProps4.xml><?xml version="1.0" encoding="utf-8"?>
<ds:datastoreItem xmlns:ds="http://schemas.openxmlformats.org/officeDocument/2006/customXml" ds:itemID="{E15297CC-FEE6-47AA-B292-75DF4C74C017}"/>
</file>

<file path=customXml/itemProps5.xml><?xml version="1.0" encoding="utf-8"?>
<ds:datastoreItem xmlns:ds="http://schemas.openxmlformats.org/officeDocument/2006/customXml" ds:itemID="{0764E45D-6FBC-4480-91AB-8140C34848C4}"/>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4811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5644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Order </dc:title>
  <dc:subject/>
  <dc:creator>Pearson, Rayne (UTC)</dc:creator>
  <cp:keywords/>
  <dc:description/>
  <cp:lastModifiedBy>Doyle, Paige (UTC)</cp:lastModifiedBy>
  <cp:revision>2</cp:revision>
  <cp:lastPrinted>2016-08-26T16:02:00Z</cp:lastPrinted>
  <dcterms:created xsi:type="dcterms:W3CDTF">2016-08-26T16:10:00Z</dcterms:created>
  <dcterms:modified xsi:type="dcterms:W3CDTF">2016-08-26T16:10:00Z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0x0101006E56B4D1795A2E4DB2F0B01679ED314A00944320DF192C6E4DB681CF4AF54BDB62</vt:lpwstr>
  </property>
  <property fmtid="{D5CDD505-2E9C-101B-9397-08002B2CF9AE}" pid="3" name="_docset_NoMedatataSyncRequired">
    <vt:lpwstr>False</vt:lpwstr>
  </property>
</Properties>
</file>