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458AE" w14:textId="77777777" w:rsidR="00AA41D6" w:rsidRPr="00EA48DD" w:rsidRDefault="00AA41D6" w:rsidP="002F3630">
      <w:pPr>
        <w:spacing w:line="264" w:lineRule="auto"/>
        <w:jc w:val="center"/>
        <w:rPr>
          <w:b/>
        </w:rPr>
      </w:pPr>
      <w:r w:rsidRPr="00EA48DD">
        <w:rPr>
          <w:b/>
        </w:rPr>
        <w:t>BEFORE THE WASHINGTON</w:t>
      </w:r>
    </w:p>
    <w:p w14:paraId="35FADF48" w14:textId="77777777" w:rsidR="00AA41D6" w:rsidRDefault="00AA41D6" w:rsidP="002F3630">
      <w:pPr>
        <w:spacing w:line="264" w:lineRule="auto"/>
        <w:jc w:val="center"/>
        <w:rPr>
          <w:b/>
        </w:rPr>
      </w:pPr>
      <w:r w:rsidRPr="00EA48DD">
        <w:rPr>
          <w:b/>
        </w:rPr>
        <w:t>UTILITIES AND TRANSPORTATION COMMISSION</w:t>
      </w:r>
    </w:p>
    <w:p w14:paraId="36CA304E" w14:textId="77777777" w:rsidR="00A5637C" w:rsidRDefault="00A5637C" w:rsidP="002F3630">
      <w:pPr>
        <w:spacing w:line="264" w:lineRule="auto"/>
        <w:jc w:val="center"/>
        <w:rPr>
          <w:b/>
        </w:rPr>
      </w:pPr>
    </w:p>
    <w:p w14:paraId="31224819" w14:textId="77777777" w:rsidR="00A5637C" w:rsidRDefault="00A5637C" w:rsidP="002F3630">
      <w:pPr>
        <w:spacing w:line="264" w:lineRule="auto"/>
        <w:jc w:val="center"/>
        <w:rPr>
          <w:b/>
        </w:rPr>
      </w:pPr>
      <w:bookmarkStart w:id="0" w:name="_GoBack"/>
      <w:bookmarkEnd w:id="0"/>
    </w:p>
    <w:tbl>
      <w:tblPr>
        <w:tblW w:w="9196" w:type="dxa"/>
        <w:tblBorders>
          <w:insideH w:val="single" w:sz="4" w:space="0" w:color="auto"/>
        </w:tblBorders>
        <w:tblLook w:val="0000" w:firstRow="0" w:lastRow="0" w:firstColumn="0" w:lastColumn="0" w:noHBand="0" w:noVBand="0"/>
      </w:tblPr>
      <w:tblGrid>
        <w:gridCol w:w="4708"/>
        <w:gridCol w:w="500"/>
        <w:gridCol w:w="3988"/>
      </w:tblGrid>
      <w:tr w:rsidR="00AA41D6" w:rsidRPr="00EA48DD" w14:paraId="4BA191BD" w14:textId="77777777" w:rsidTr="00DF4CBC">
        <w:tc>
          <w:tcPr>
            <w:tcW w:w="4708" w:type="dxa"/>
            <w:tcBorders>
              <w:bottom w:val="single" w:sz="4" w:space="0" w:color="auto"/>
              <w:right w:val="single" w:sz="4" w:space="0" w:color="auto"/>
            </w:tcBorders>
          </w:tcPr>
          <w:p w14:paraId="4EC8BD3E" w14:textId="77777777" w:rsidR="00A7114B" w:rsidRPr="00EA48DD" w:rsidRDefault="00A7114B" w:rsidP="002F3630">
            <w:pPr>
              <w:spacing w:line="264" w:lineRule="auto"/>
            </w:pPr>
            <w:r w:rsidRPr="00EA48DD">
              <w:t>WASHINGTON UTILITIES AND TRANSPORTATION COMMISSION,</w:t>
            </w:r>
          </w:p>
          <w:p w14:paraId="0610C1FA" w14:textId="77777777" w:rsidR="00A7114B" w:rsidRPr="00EA48DD" w:rsidRDefault="00A7114B" w:rsidP="002F3630">
            <w:pPr>
              <w:spacing w:line="264" w:lineRule="auto"/>
            </w:pPr>
          </w:p>
          <w:p w14:paraId="4BEE4E1D" w14:textId="77777777" w:rsidR="00A7114B" w:rsidRPr="00EA48DD" w:rsidRDefault="00A7114B" w:rsidP="002F3630">
            <w:pPr>
              <w:tabs>
                <w:tab w:val="left" w:pos="2160"/>
              </w:tabs>
              <w:spacing w:line="264" w:lineRule="auto"/>
            </w:pPr>
            <w:r w:rsidRPr="00EA48DD">
              <w:tab/>
              <w:t>Complainant,</w:t>
            </w:r>
          </w:p>
          <w:p w14:paraId="10379484" w14:textId="77777777" w:rsidR="00A7114B" w:rsidRPr="00EA48DD" w:rsidRDefault="00A7114B" w:rsidP="002F3630">
            <w:pPr>
              <w:tabs>
                <w:tab w:val="left" w:pos="2160"/>
              </w:tabs>
              <w:spacing w:line="264" w:lineRule="auto"/>
            </w:pPr>
          </w:p>
          <w:p w14:paraId="3F494799" w14:textId="77777777" w:rsidR="00A7114B" w:rsidRPr="00EA48DD" w:rsidRDefault="00A7114B" w:rsidP="002F3630">
            <w:pPr>
              <w:tabs>
                <w:tab w:val="left" w:pos="2160"/>
              </w:tabs>
              <w:spacing w:line="264" w:lineRule="auto"/>
            </w:pPr>
            <w:proofErr w:type="gramStart"/>
            <w:r w:rsidRPr="00EA48DD">
              <w:t>v</w:t>
            </w:r>
            <w:proofErr w:type="gramEnd"/>
            <w:r w:rsidRPr="00EA48DD">
              <w:t>.</w:t>
            </w:r>
          </w:p>
          <w:p w14:paraId="794C8288" w14:textId="77777777" w:rsidR="00A7114B" w:rsidRPr="00EA48DD" w:rsidRDefault="00A7114B" w:rsidP="002F3630">
            <w:pPr>
              <w:tabs>
                <w:tab w:val="left" w:pos="2160"/>
              </w:tabs>
              <w:spacing w:line="264" w:lineRule="auto"/>
            </w:pPr>
          </w:p>
          <w:p w14:paraId="0738A654" w14:textId="35134E6D" w:rsidR="00A7114B" w:rsidRPr="00EA48DD" w:rsidRDefault="00634B3A" w:rsidP="002F3630">
            <w:pPr>
              <w:spacing w:line="264" w:lineRule="auto"/>
              <w:rPr>
                <w:bCs/>
              </w:rPr>
            </w:pPr>
            <w:r w:rsidRPr="002F3630">
              <w:t>CASCADE NATURAL GAS CORPORATION</w:t>
            </w:r>
            <w:r>
              <w:rPr>
                <w:bCs/>
              </w:rPr>
              <w:t>,</w:t>
            </w:r>
          </w:p>
          <w:p w14:paraId="23518F01" w14:textId="77777777" w:rsidR="00A7114B" w:rsidRPr="00EA48DD" w:rsidRDefault="00A7114B" w:rsidP="002F3630">
            <w:pPr>
              <w:tabs>
                <w:tab w:val="left" w:pos="2160"/>
              </w:tabs>
              <w:spacing w:line="264" w:lineRule="auto"/>
            </w:pPr>
          </w:p>
          <w:p w14:paraId="0AE7CC78" w14:textId="77777777" w:rsidR="00672178" w:rsidRPr="00EA48DD" w:rsidRDefault="00A7114B" w:rsidP="002F3630">
            <w:pPr>
              <w:tabs>
                <w:tab w:val="left" w:pos="2160"/>
              </w:tabs>
              <w:spacing w:line="264" w:lineRule="auto"/>
            </w:pPr>
            <w:r w:rsidRPr="00EA48DD">
              <w:tab/>
              <w:t>Respondent.</w:t>
            </w:r>
          </w:p>
          <w:p w14:paraId="799BC66C" w14:textId="16BD507F" w:rsidR="00AA41D6" w:rsidRPr="00EA48DD" w:rsidRDefault="00AA41D6" w:rsidP="00DF4CBC">
            <w:pPr>
              <w:keepLines/>
              <w:spacing w:line="264" w:lineRule="auto"/>
              <w:ind w:right="-278"/>
            </w:pPr>
          </w:p>
        </w:tc>
        <w:tc>
          <w:tcPr>
            <w:tcW w:w="500" w:type="dxa"/>
            <w:tcBorders>
              <w:top w:val="nil"/>
              <w:left w:val="single" w:sz="4" w:space="0" w:color="auto"/>
              <w:bottom w:val="nil"/>
            </w:tcBorders>
          </w:tcPr>
          <w:p w14:paraId="3DFE82F2" w14:textId="3DE53BDA" w:rsidR="00672178" w:rsidRPr="00EA48DD" w:rsidRDefault="00672178" w:rsidP="002F3630">
            <w:pPr>
              <w:keepLines/>
              <w:spacing w:line="264" w:lineRule="auto"/>
            </w:pPr>
          </w:p>
        </w:tc>
        <w:tc>
          <w:tcPr>
            <w:tcW w:w="3988" w:type="dxa"/>
            <w:tcBorders>
              <w:top w:val="nil"/>
              <w:bottom w:val="nil"/>
            </w:tcBorders>
          </w:tcPr>
          <w:p w14:paraId="67F24B76" w14:textId="134644A7" w:rsidR="00AA41D6" w:rsidRPr="00EA48DD" w:rsidRDefault="00AA41D6" w:rsidP="002F3630">
            <w:pPr>
              <w:keepLines/>
              <w:spacing w:line="264" w:lineRule="auto"/>
            </w:pPr>
            <w:r w:rsidRPr="004329E0">
              <w:t xml:space="preserve">DOCKET </w:t>
            </w:r>
            <w:r w:rsidR="00634B3A" w:rsidRPr="004329E0">
              <w:t>PG-</w:t>
            </w:r>
            <w:r w:rsidR="004329E0" w:rsidRPr="004329E0">
              <w:t>150120</w:t>
            </w:r>
          </w:p>
          <w:p w14:paraId="42FFA4C2" w14:textId="77777777" w:rsidR="00EF505A" w:rsidRDefault="00EF505A" w:rsidP="002F3630">
            <w:pPr>
              <w:keepLines/>
              <w:spacing w:line="264" w:lineRule="auto"/>
            </w:pPr>
          </w:p>
          <w:p w14:paraId="3012A1C0" w14:textId="1A18BB87" w:rsidR="006E21DA" w:rsidRPr="00EA48DD" w:rsidRDefault="00EF505A" w:rsidP="002F3630">
            <w:pPr>
              <w:keepLines/>
              <w:spacing w:line="264" w:lineRule="auto"/>
            </w:pPr>
            <w:r>
              <w:t>COMPLAINT</w:t>
            </w:r>
          </w:p>
          <w:p w14:paraId="43C730A2" w14:textId="2D65FE64" w:rsidR="0003199B" w:rsidRPr="0003199B" w:rsidRDefault="0003199B" w:rsidP="002F3630">
            <w:pPr>
              <w:pStyle w:val="Header"/>
              <w:keepLines/>
              <w:tabs>
                <w:tab w:val="clear" w:pos="4320"/>
                <w:tab w:val="clear" w:pos="8640"/>
              </w:tabs>
              <w:spacing w:line="264" w:lineRule="auto"/>
              <w:rPr>
                <w:b/>
              </w:rPr>
            </w:pPr>
          </w:p>
        </w:tc>
      </w:tr>
    </w:tbl>
    <w:p w14:paraId="1060E62A" w14:textId="77777777" w:rsidR="00AA41D6" w:rsidRDefault="00AA41D6" w:rsidP="002F3630">
      <w:pPr>
        <w:pStyle w:val="FindingsConclusions"/>
        <w:numPr>
          <w:ilvl w:val="0"/>
          <w:numId w:val="0"/>
        </w:numPr>
        <w:spacing w:line="264" w:lineRule="auto"/>
      </w:pPr>
    </w:p>
    <w:p w14:paraId="456EB9E5" w14:textId="195BEBF2" w:rsidR="00AA41D6" w:rsidRDefault="00AA41D6" w:rsidP="00635C3F">
      <w:pPr>
        <w:pStyle w:val="Complaint"/>
      </w:pPr>
      <w:r w:rsidRPr="00EA48DD">
        <w:t>The Washington Utilities and Transportation Commission (Commission) on its own motion, and through its Staff, alleges as follows:</w:t>
      </w:r>
    </w:p>
    <w:p w14:paraId="471C4D4D" w14:textId="1350A0C6" w:rsidR="0040069A" w:rsidRPr="00EA48DD" w:rsidRDefault="0040069A" w:rsidP="003426EE">
      <w:pPr>
        <w:pStyle w:val="Heading1"/>
      </w:pPr>
      <w:r w:rsidRPr="00EA48DD">
        <w:t>I.</w:t>
      </w:r>
      <w:r w:rsidRPr="00EA48DD">
        <w:tab/>
      </w:r>
      <w:r w:rsidR="00F160C6" w:rsidRPr="003426EE">
        <w:t>PARTIES</w:t>
      </w:r>
    </w:p>
    <w:p w14:paraId="7A6A38B2" w14:textId="6A05351D" w:rsidR="00F160C6" w:rsidRDefault="00F160C6" w:rsidP="00635C3F">
      <w:pPr>
        <w:pStyle w:val="Complaint"/>
      </w:pPr>
      <w:r w:rsidRPr="00EA48DD">
        <w:t xml:space="preserve">The </w:t>
      </w:r>
      <w:r>
        <w:t xml:space="preserve">Commission is an agency of </w:t>
      </w:r>
      <w:r w:rsidRPr="00EA48DD">
        <w:t>Washington</w:t>
      </w:r>
      <w:r w:rsidR="00E438E6">
        <w:t xml:space="preserve"> </w:t>
      </w:r>
      <w:r w:rsidR="00DA26FF">
        <w:t>S</w:t>
      </w:r>
      <w:r>
        <w:t>tate</w:t>
      </w:r>
      <w:r w:rsidRPr="00EA48DD">
        <w:t xml:space="preserve"> </w:t>
      </w:r>
      <w:r w:rsidR="00DA26FF" w:rsidRPr="00DA26FF">
        <w:t xml:space="preserve">authorized </w:t>
      </w:r>
      <w:r w:rsidR="00460D5A">
        <w:t>under RCW 81.88 to regulate pipeline companies</w:t>
      </w:r>
      <w:r w:rsidR="00DA26FF" w:rsidRPr="00DA26FF">
        <w:t>.</w:t>
      </w:r>
    </w:p>
    <w:p w14:paraId="2D30E692" w14:textId="2461EA9F" w:rsidR="00F160C6" w:rsidRDefault="00DA26FF" w:rsidP="00635C3F">
      <w:pPr>
        <w:pStyle w:val="Complaint"/>
      </w:pPr>
      <w:r>
        <w:t>Cascade Natural Gas Corporation (Cascade</w:t>
      </w:r>
      <w:r w:rsidR="00385391">
        <w:t xml:space="preserve"> or </w:t>
      </w:r>
      <w:r w:rsidR="004E3B6C">
        <w:t>C</w:t>
      </w:r>
      <w:r w:rsidR="00385391">
        <w:t>ompany</w:t>
      </w:r>
      <w:r>
        <w:t>) is a corporation that</w:t>
      </w:r>
      <w:r w:rsidR="008231F9">
        <w:t xml:space="preserve"> </w:t>
      </w:r>
      <w:r w:rsidR="00096526">
        <w:t>owns, maintains, and operates</w:t>
      </w:r>
      <w:r>
        <w:t xml:space="preserve"> natural gas </w:t>
      </w:r>
      <w:r w:rsidR="00096526">
        <w:t>pipelines and appurtenances</w:t>
      </w:r>
      <w:r>
        <w:t xml:space="preserve"> in Washington State.</w:t>
      </w:r>
    </w:p>
    <w:p w14:paraId="28B08888" w14:textId="5581FD00" w:rsidR="008231F9" w:rsidRPr="00EA48DD" w:rsidRDefault="008231F9" w:rsidP="003426EE">
      <w:pPr>
        <w:pStyle w:val="Heading1"/>
      </w:pPr>
      <w:r w:rsidRPr="00EA48DD">
        <w:t>I</w:t>
      </w:r>
      <w:r>
        <w:t>I</w:t>
      </w:r>
      <w:r w:rsidRPr="00EA48DD">
        <w:t>.</w:t>
      </w:r>
      <w:r w:rsidRPr="00EA48DD">
        <w:tab/>
        <w:t>JURISDICTION</w:t>
      </w:r>
    </w:p>
    <w:p w14:paraId="17729516" w14:textId="36086AED" w:rsidR="008231F9" w:rsidRDefault="008231F9" w:rsidP="00635C3F">
      <w:pPr>
        <w:pStyle w:val="Complaint"/>
      </w:pPr>
      <w:r w:rsidRPr="00EA48DD">
        <w:t xml:space="preserve">The Commission has </w:t>
      </w:r>
      <w:r>
        <w:t xml:space="preserve">jurisdiction </w:t>
      </w:r>
      <w:r w:rsidRPr="00B834DD">
        <w:t>ov</w:t>
      </w:r>
      <w:r>
        <w:t>er Cascade because Cascade is a “gas pipeline company” withi</w:t>
      </w:r>
      <w:r w:rsidR="00227B94">
        <w:t>n the meaning of RCW 81.88.010(4</w:t>
      </w:r>
      <w:r>
        <w:t>)</w:t>
      </w:r>
      <w:r w:rsidR="00410CEC">
        <w:t>, WAC 480-93-005(13),</w:t>
      </w:r>
      <w:r>
        <w:t xml:space="preserve"> and WAC 480-93-223.</w:t>
      </w:r>
      <w:r w:rsidR="00096526">
        <w:t xml:space="preserve"> Under RCW 81.88.020, the Commission regulates Cascade to the same extent as other public service corporatio</w:t>
      </w:r>
      <w:r w:rsidR="002F3630">
        <w:t xml:space="preserve">ns. </w:t>
      </w:r>
      <w:r w:rsidR="000D3C39">
        <w:t xml:space="preserve">Under RCW 81.88.030, Cascade is a “common carrier” within the meaning of Title 81. </w:t>
      </w:r>
      <w:r w:rsidR="002F3630">
        <w:t>The Commission brings this C</w:t>
      </w:r>
      <w:r w:rsidR="00096526">
        <w:t>omplaint under RCW 81.04.110.</w:t>
      </w:r>
    </w:p>
    <w:p w14:paraId="3432895B" w14:textId="6535A183" w:rsidR="00AA41D6" w:rsidRPr="00EA48DD" w:rsidRDefault="002A0067" w:rsidP="003426EE">
      <w:pPr>
        <w:pStyle w:val="Heading1"/>
      </w:pPr>
      <w:r>
        <w:t>I</w:t>
      </w:r>
      <w:r w:rsidR="00AA41D6" w:rsidRPr="00EA48DD">
        <w:t>I</w:t>
      </w:r>
      <w:r w:rsidR="002F0389">
        <w:t>I</w:t>
      </w:r>
      <w:r w:rsidR="00AA41D6" w:rsidRPr="00EA48DD">
        <w:t>.</w:t>
      </w:r>
      <w:r w:rsidR="00AA41D6" w:rsidRPr="00EA48DD">
        <w:tab/>
      </w:r>
      <w:r w:rsidR="00F160C6">
        <w:t>BACKGROUND</w:t>
      </w:r>
    </w:p>
    <w:p w14:paraId="3E1C0D0E" w14:textId="331C004E" w:rsidR="00A12575" w:rsidRDefault="00A12575" w:rsidP="00635C3F">
      <w:pPr>
        <w:pStyle w:val="Complaint"/>
      </w:pPr>
      <w:r>
        <w:t xml:space="preserve">The following allegations are based on the Staff Investigation Report filed in this docket. </w:t>
      </w:r>
    </w:p>
    <w:p w14:paraId="4839C472" w14:textId="055DBB5F" w:rsidR="00026882" w:rsidRDefault="00CB5FCF" w:rsidP="00635C3F">
      <w:pPr>
        <w:pStyle w:val="Complaint"/>
      </w:pPr>
      <w:r>
        <w:lastRenderedPageBreak/>
        <w:t>In</w:t>
      </w:r>
      <w:r w:rsidR="00FF25C5">
        <w:t xml:space="preserve"> 2013,</w:t>
      </w:r>
      <w:r w:rsidR="00F315E0">
        <w:t xml:space="preserve"> </w:t>
      </w:r>
      <w:r w:rsidR="0061558E">
        <w:t>Commission Staff conducted s</w:t>
      </w:r>
      <w:r w:rsidR="00F315E0">
        <w:t>tandard natural gas pipeline inspections</w:t>
      </w:r>
      <w:r w:rsidR="0061558E">
        <w:t xml:space="preserve"> </w:t>
      </w:r>
      <w:r w:rsidR="00460D5A">
        <w:t xml:space="preserve">in Cascade’s </w:t>
      </w:r>
      <w:r w:rsidR="00096526">
        <w:t>Washington service territory</w:t>
      </w:r>
      <w:r w:rsidR="00460D5A">
        <w:t>.</w:t>
      </w:r>
      <w:r w:rsidR="00096526">
        <w:t xml:space="preserve"> During these inspections, </w:t>
      </w:r>
      <w:r w:rsidR="00FF25C5">
        <w:t xml:space="preserve">Staff </w:t>
      </w:r>
      <w:r w:rsidR="00460D5A">
        <w:t>requested that</w:t>
      </w:r>
      <w:r w:rsidR="00FF25C5">
        <w:t xml:space="preserve"> Cascade provide documentation sufficient to confirm the Maximum Allowable Operating Pressure (MAOP) of randomly-selected high pressure pipeline</w:t>
      </w:r>
      <w:r w:rsidR="00460D5A">
        <w:t xml:space="preserve"> segments</w:t>
      </w:r>
      <w:r w:rsidR="00C660AE">
        <w:t xml:space="preserve">. </w:t>
      </w:r>
      <w:r w:rsidR="00FF25C5">
        <w:t xml:space="preserve">Cascade </w:t>
      </w:r>
      <w:r w:rsidR="00A5637C">
        <w:t>failed</w:t>
      </w:r>
      <w:r w:rsidR="00FF25C5">
        <w:t xml:space="preserve"> to provide sufficient documentation for </w:t>
      </w:r>
      <w:r w:rsidR="00410CEC">
        <w:t>all</w:t>
      </w:r>
      <w:r w:rsidR="00FF25C5">
        <w:t xml:space="preserve"> of the randomly-selected </w:t>
      </w:r>
      <w:r w:rsidR="00460D5A">
        <w:t>segments</w:t>
      </w:r>
      <w:r w:rsidR="00FF25C5">
        <w:t>.</w:t>
      </w:r>
    </w:p>
    <w:p w14:paraId="3D14E521" w14:textId="2A24E47C" w:rsidR="00C371B4" w:rsidRDefault="00C660AE" w:rsidP="00635C3F">
      <w:pPr>
        <w:pStyle w:val="Complaint"/>
      </w:pPr>
      <w:r>
        <w:t xml:space="preserve">As a result of </w:t>
      </w:r>
      <w:r w:rsidR="00C371B4">
        <w:t>Cascade’s</w:t>
      </w:r>
      <w:r>
        <w:t xml:space="preserve"> failure</w:t>
      </w:r>
      <w:r w:rsidR="00C371B4">
        <w:t xml:space="preserve"> to confirm MAOP for randomly-selected high-pressure pipeline</w:t>
      </w:r>
      <w:r w:rsidR="002F3630">
        <w:t xml:space="preserve"> segments</w:t>
      </w:r>
      <w:r>
        <w:t xml:space="preserve">, Staff </w:t>
      </w:r>
      <w:r w:rsidR="00FF25C5">
        <w:t xml:space="preserve">requested </w:t>
      </w:r>
      <w:r w:rsidR="002F3630">
        <w:t xml:space="preserve">that Cascade provide </w:t>
      </w:r>
      <w:r w:rsidR="008231F9">
        <w:t xml:space="preserve">a </w:t>
      </w:r>
      <w:r w:rsidR="00FF25C5">
        <w:t xml:space="preserve">list of all high pressure pipelines in the </w:t>
      </w:r>
      <w:r w:rsidR="002F3630">
        <w:t>C</w:t>
      </w:r>
      <w:r w:rsidR="00FF25C5">
        <w:t>ompany’s Washington service territory for which</w:t>
      </w:r>
      <w:r w:rsidR="00385391">
        <w:t xml:space="preserve"> the </w:t>
      </w:r>
      <w:r w:rsidR="002F3630">
        <w:t>C</w:t>
      </w:r>
      <w:r w:rsidR="00385391">
        <w:t>ompany lacked</w:t>
      </w:r>
      <w:r w:rsidR="00FF25C5">
        <w:t xml:space="preserve"> </w:t>
      </w:r>
      <w:r w:rsidR="002F3630">
        <w:t xml:space="preserve">sufficient </w:t>
      </w:r>
      <w:r w:rsidR="00FF25C5">
        <w:t>MAOP</w:t>
      </w:r>
      <w:r w:rsidR="005675A7">
        <w:t>-</w:t>
      </w:r>
      <w:r w:rsidR="004E3B6C">
        <w:t>confirming documentation</w:t>
      </w:r>
      <w:r w:rsidR="00FF25C5">
        <w:t xml:space="preserve">. </w:t>
      </w:r>
      <w:r w:rsidR="0003188A">
        <w:t xml:space="preserve">In April </w:t>
      </w:r>
      <w:r w:rsidR="00C371B4">
        <w:t>2014</w:t>
      </w:r>
      <w:r w:rsidR="0003188A">
        <w:t xml:space="preserve">, Cascade provided </w:t>
      </w:r>
      <w:r w:rsidR="004E3B6C">
        <w:t xml:space="preserve">documentation </w:t>
      </w:r>
      <w:r w:rsidR="00096526">
        <w:t>acknowledging</w:t>
      </w:r>
      <w:r w:rsidR="004E3B6C">
        <w:t xml:space="preserve"> that the Company lacked </w:t>
      </w:r>
      <w:r w:rsidR="002F3630">
        <w:t xml:space="preserve">sufficient </w:t>
      </w:r>
      <w:r w:rsidR="005675A7">
        <w:t>MAOP-</w:t>
      </w:r>
      <w:r w:rsidR="004E3B6C">
        <w:t xml:space="preserve">confirming documentation for </w:t>
      </w:r>
      <w:r w:rsidR="00096526">
        <w:t>98</w:t>
      </w:r>
      <w:r w:rsidR="004E3B6C">
        <w:t xml:space="preserve"> </w:t>
      </w:r>
      <w:r w:rsidR="002F3630">
        <w:t xml:space="preserve">high pressure </w:t>
      </w:r>
      <w:r w:rsidR="004E3B6C">
        <w:t>pipeline segments</w:t>
      </w:r>
      <w:r w:rsidR="00C371B4">
        <w:t>.</w:t>
      </w:r>
    </w:p>
    <w:p w14:paraId="772BCBA9" w14:textId="6A5E4A2A" w:rsidR="00A36E58" w:rsidRDefault="004E3B6C" w:rsidP="00635C3F">
      <w:pPr>
        <w:pStyle w:val="Complaint"/>
      </w:pPr>
      <w:r>
        <w:t>On February 2, 2015,</w:t>
      </w:r>
      <w:r w:rsidR="008A7B8D">
        <w:t xml:space="preserve"> </w:t>
      </w:r>
      <w:r w:rsidR="004F55D5">
        <w:t xml:space="preserve">Staff and Cascade </w:t>
      </w:r>
      <w:r w:rsidR="00096526">
        <w:t>executed</w:t>
      </w:r>
      <w:r w:rsidR="004F55D5">
        <w:t xml:space="preserve"> a Stipulated Agreement under which the </w:t>
      </w:r>
      <w:r>
        <w:t>C</w:t>
      </w:r>
      <w:r w:rsidR="004F55D5">
        <w:t>ompany agreed to “submit to the Commission a written plan that Cascade intends to implement for the purpose of determining the MAOP of all its high pressure pipelines in Washington for which there is insufficient documentation to confirm the current MAOP.”</w:t>
      </w:r>
      <w:r w:rsidR="004F55D5">
        <w:rPr>
          <w:rStyle w:val="FootnoteReference"/>
        </w:rPr>
        <w:footnoteReference w:id="1"/>
      </w:r>
      <w:r>
        <w:t xml:space="preserve"> </w:t>
      </w:r>
      <w:r w:rsidR="006706D8">
        <w:t>The Commission approved the Stipulated Agreement on February 12, 2015, in Order 01 in Docket PG-150120. Pursuant to Order 01, Cascade was required to submit its MAOP comp</w:t>
      </w:r>
      <w:r w:rsidR="00096526">
        <w:t>liance plan by August 12, 2015.</w:t>
      </w:r>
    </w:p>
    <w:p w14:paraId="09E75981" w14:textId="77777777" w:rsidR="00F2634C" w:rsidRDefault="00B65FF3" w:rsidP="00635C3F">
      <w:pPr>
        <w:pStyle w:val="Complaint"/>
      </w:pPr>
      <w:r>
        <w:t xml:space="preserve">Cascade failed to submit its </w:t>
      </w:r>
      <w:r w:rsidR="006706D8">
        <w:t xml:space="preserve">MAOP compliance </w:t>
      </w:r>
      <w:r w:rsidR="00C31929">
        <w:t>plan by the August 12, 2015 deadline.</w:t>
      </w:r>
    </w:p>
    <w:p w14:paraId="445162AA" w14:textId="5BAC40C5" w:rsidR="00597C6F" w:rsidRDefault="00C31929" w:rsidP="00635C3F">
      <w:pPr>
        <w:pStyle w:val="Complaint"/>
      </w:pPr>
      <w:r>
        <w:t xml:space="preserve">On January 29, 2016, Cascade submitted </w:t>
      </w:r>
      <w:r w:rsidR="006706D8">
        <w:t xml:space="preserve">its initial MAOP </w:t>
      </w:r>
      <w:r w:rsidR="00096526">
        <w:t>Determination &amp; Validation Plan</w:t>
      </w:r>
      <w:r w:rsidR="006706D8">
        <w:t xml:space="preserve">. Staff </w:t>
      </w:r>
      <w:r w:rsidR="00410CEC">
        <w:t>could not accept</w:t>
      </w:r>
      <w:r w:rsidR="006706D8">
        <w:t xml:space="preserve"> the plan because it failed to comply with the requirements of the Stipulated Agreement.</w:t>
      </w:r>
    </w:p>
    <w:p w14:paraId="2DB5321C" w14:textId="264CF980" w:rsidR="006706D8" w:rsidRDefault="00770CE1" w:rsidP="00635C3F">
      <w:pPr>
        <w:pStyle w:val="Complaint"/>
      </w:pPr>
      <w:r>
        <w:t xml:space="preserve">On April 29, 2016, after addressing the initial plan’s deficiencies, Cascade submitted </w:t>
      </w:r>
      <w:r w:rsidR="00096526">
        <w:t>a</w:t>
      </w:r>
      <w:r>
        <w:t xml:space="preserve"> </w:t>
      </w:r>
      <w:r w:rsidR="00096526">
        <w:t xml:space="preserve">revised </w:t>
      </w:r>
      <w:r>
        <w:t xml:space="preserve">MAOP </w:t>
      </w:r>
      <w:r w:rsidR="00096526">
        <w:t>Determination &amp; Validation Plan</w:t>
      </w:r>
      <w:r>
        <w:t>.</w:t>
      </w:r>
      <w:r w:rsidR="00DB637B">
        <w:t xml:space="preserve"> </w:t>
      </w:r>
      <w:r w:rsidR="002F3630">
        <w:t>The</w:t>
      </w:r>
      <w:r w:rsidR="00096526">
        <w:t xml:space="preserve"> Company </w:t>
      </w:r>
      <w:r w:rsidR="002F3630">
        <w:t xml:space="preserve">now </w:t>
      </w:r>
      <w:r w:rsidR="00096526">
        <w:t xml:space="preserve">acknowledged that it was operating </w:t>
      </w:r>
      <w:r w:rsidR="002F3630">
        <w:t>116</w:t>
      </w:r>
      <w:r w:rsidR="00096526">
        <w:t xml:space="preserve"> </w:t>
      </w:r>
      <w:r w:rsidR="002F3630">
        <w:t xml:space="preserve">high pressure </w:t>
      </w:r>
      <w:r w:rsidR="00096526">
        <w:t xml:space="preserve">pipeline segments </w:t>
      </w:r>
      <w:r w:rsidR="002F3630">
        <w:t>without sufficient</w:t>
      </w:r>
      <w:r w:rsidR="00096526">
        <w:t xml:space="preserve"> MAOP</w:t>
      </w:r>
      <w:r w:rsidR="005675A7">
        <w:t>-</w:t>
      </w:r>
      <w:r w:rsidR="00096526">
        <w:t>confirming</w:t>
      </w:r>
      <w:r w:rsidR="00F11782">
        <w:t xml:space="preserve"> documentation. As of the date of this Complaint, Staff continues to review </w:t>
      </w:r>
      <w:r w:rsidR="002F3630">
        <w:t>Cascade’s</w:t>
      </w:r>
      <w:r w:rsidR="00F11782">
        <w:t xml:space="preserve"> revised plan to determine whether it complies with the requirements of the Stipulated Agreement.</w:t>
      </w:r>
    </w:p>
    <w:p w14:paraId="6C2EAE99" w14:textId="0FEC9BCB" w:rsidR="00AA41D6" w:rsidRPr="00EA48DD" w:rsidRDefault="00451133" w:rsidP="003426EE">
      <w:pPr>
        <w:pStyle w:val="Heading1"/>
      </w:pPr>
      <w:r>
        <w:t>I</w:t>
      </w:r>
      <w:r w:rsidR="00AA41D6" w:rsidRPr="00EA48DD">
        <w:t>V.</w:t>
      </w:r>
      <w:r w:rsidR="00AA41D6" w:rsidRPr="00EA48DD">
        <w:tab/>
        <w:t>APPLICABLE LAW</w:t>
      </w:r>
      <w:r w:rsidR="00FE77FF">
        <w:t>S</w:t>
      </w:r>
      <w:r w:rsidR="00AA41D6" w:rsidRPr="00EA48DD">
        <w:t xml:space="preserve"> AND REGULATION</w:t>
      </w:r>
      <w:r w:rsidR="00FE77FF">
        <w:t>S</w:t>
      </w:r>
    </w:p>
    <w:p w14:paraId="6F96F85B" w14:textId="4B9FD53D" w:rsidR="004B1ED4" w:rsidRDefault="005A1285" w:rsidP="001A09CC">
      <w:pPr>
        <w:pStyle w:val="Complaint"/>
        <w:numPr>
          <w:ilvl w:val="0"/>
          <w:numId w:val="0"/>
        </w:numPr>
      </w:pPr>
      <w:r>
        <w:t>WAC 480-93-223 provides, “</w:t>
      </w:r>
      <w:r w:rsidR="001D771B" w:rsidRPr="001D771B">
        <w:t xml:space="preserve">Any gas pipeline company that violates any pipeline safety provision of any commission order, or any rule in this chapter including those rules adopted by reference, or chapter 81.88 RCW is subject to a civil penalty not to exceed </w:t>
      </w:r>
      <w:r w:rsidR="001D771B" w:rsidRPr="001D771B">
        <w:lastRenderedPageBreak/>
        <w:t xml:space="preserve">two hundred thousand dollars </w:t>
      </w:r>
      <w:r w:rsidR="005675A7">
        <w:t xml:space="preserve">[$200,000] </w:t>
      </w:r>
      <w:r w:rsidR="001D771B" w:rsidRPr="001D771B">
        <w:t>for each violation for each day that the violation persists. The maximum civil penalty under this subsection for a related series of vi</w:t>
      </w:r>
      <w:r w:rsidR="001D771B">
        <w:t>olations is two million dollars</w:t>
      </w:r>
      <w:r w:rsidRPr="005A1285">
        <w:t>.</w:t>
      </w:r>
      <w:r>
        <w:t>”</w:t>
      </w:r>
    </w:p>
    <w:p w14:paraId="0DC2B592" w14:textId="45BB35A2" w:rsidR="004B1ED4" w:rsidRDefault="004B1ED4" w:rsidP="00635C3F">
      <w:pPr>
        <w:pStyle w:val="Complaint"/>
      </w:pPr>
      <w:r>
        <w:t>WAC 480-93-018(1) provides, “</w:t>
      </w:r>
      <w:r w:rsidRPr="004B1ED4">
        <w:t>Each gas pipeline company must maintain records sufficient to demonstrate compliance with all requirements of 49 C.F.R. §§ 191, 192 and chapter 480-93 WAC.</w:t>
      </w:r>
      <w:r>
        <w:t>”</w:t>
      </w:r>
    </w:p>
    <w:p w14:paraId="2EEC58DB" w14:textId="108EE376" w:rsidR="005442C2" w:rsidRDefault="005442C2" w:rsidP="00635C3F">
      <w:pPr>
        <w:pStyle w:val="Complaint"/>
      </w:pPr>
      <w:r>
        <w:t>49 C.F.R. § 192.13</w:t>
      </w:r>
      <w:r w:rsidR="00670DD6">
        <w:t>(a)</w:t>
      </w:r>
      <w:r>
        <w:t xml:space="preserve"> provides</w:t>
      </w:r>
      <w:r w:rsidR="00372B7D">
        <w:t>, in relevant part, that no person may operate any pipeline readied for service after March 12, 1971</w:t>
      </w:r>
      <w:r w:rsidR="00B928E2">
        <w:t>,</w:t>
      </w:r>
      <w:r w:rsidR="00372B7D">
        <w:t xml:space="preserve"> unless the pipeline has been “</w:t>
      </w:r>
      <w:r w:rsidRPr="008E6853">
        <w:t>designed, installed, constructed, initially inspected, and initially tested in accordance with this part</w:t>
      </w:r>
      <w:r w:rsidR="00B928E2">
        <w:t xml:space="preserve"> [192]</w:t>
      </w:r>
      <w:r w:rsidR="00670DD6">
        <w:t>,</w:t>
      </w:r>
      <w:r w:rsidR="00B928E2">
        <w:t xml:space="preserve">” or the pipeline is </w:t>
      </w:r>
      <w:r w:rsidR="00670DD6">
        <w:t>“</w:t>
      </w:r>
      <w:r w:rsidR="00B928E2">
        <w:t>converted to service</w:t>
      </w:r>
      <w:r w:rsidR="00670DD6">
        <w:t>”</w:t>
      </w:r>
      <w:r w:rsidRPr="008E6853">
        <w:t xml:space="preserve"> </w:t>
      </w:r>
      <w:r w:rsidR="00670DD6">
        <w:t>under</w:t>
      </w:r>
      <w:r w:rsidR="00B928E2">
        <w:t xml:space="preserve"> § 192.14, which requires the operator, among other obligations, to test the pipeline to substantiate MAOP.</w:t>
      </w:r>
      <w:r w:rsidR="00670DD6">
        <w:t xml:space="preserve"> Section 192.13(b) further provides, in relevant part, that no person may operate a pipeline that has been replaced, relocated, or otherwise changed after November 12, 1970, “unless </w:t>
      </w:r>
      <w:r w:rsidR="00670DD6" w:rsidRPr="00670DD6">
        <w:rPr>
          <w:lang w:val="en"/>
        </w:rPr>
        <w:t>the replacement, relocation or change has been made according to the requirements in this part [192].” Finally, section 192.13(c) provides, “</w:t>
      </w:r>
      <w:r w:rsidRPr="002C039B">
        <w:t>Each operator shall maintain, modify as appropriate, and follow the plans, procedures, and programs that it is required to establish under this part</w:t>
      </w:r>
      <w:r w:rsidR="00670DD6">
        <w:t xml:space="preserve"> [192]</w:t>
      </w:r>
      <w:r w:rsidRPr="002C039B">
        <w:t>.</w:t>
      </w:r>
      <w:r w:rsidR="00670DD6">
        <w:t>”</w:t>
      </w:r>
    </w:p>
    <w:p w14:paraId="571B6F61" w14:textId="77777777" w:rsidR="001D771B" w:rsidRDefault="001D771B" w:rsidP="00635C3F">
      <w:pPr>
        <w:pStyle w:val="Complaint"/>
      </w:pPr>
      <w:r w:rsidRPr="00E854AC">
        <w:t>49 C.F.R. § 192.503(a) provides, “No person may operate a new segment of pipeline, or return to service a segment of pipeline</w:t>
      </w:r>
      <w:r>
        <w:t xml:space="preserve"> that has been relocated or replaced until—(1)</w:t>
      </w:r>
      <w:r w:rsidRPr="00E854AC">
        <w:t xml:space="preserve"> It has been tested in accordance with this subpart and § 192.619 to substantiate the maximum allowable operating pressure; and </w:t>
      </w:r>
      <w:r>
        <w:t xml:space="preserve">(2) </w:t>
      </w:r>
      <w:r w:rsidRPr="00E854AC">
        <w:t>Each potentially hazardous leak has been located and eliminated.</w:t>
      </w:r>
      <w:r>
        <w:t>”</w:t>
      </w:r>
    </w:p>
    <w:p w14:paraId="7072E019" w14:textId="7E9BE2CB" w:rsidR="00C83ABC" w:rsidRPr="00E854AC" w:rsidRDefault="00C83ABC" w:rsidP="00635C3F">
      <w:pPr>
        <w:pStyle w:val="Complaint"/>
      </w:pPr>
      <w:r w:rsidRPr="00E854AC">
        <w:t xml:space="preserve">49 C.F.R. §§ </w:t>
      </w:r>
      <w:r w:rsidRPr="00C83ABC">
        <w:t xml:space="preserve">192.517 and 192.603 require that </w:t>
      </w:r>
      <w:r>
        <w:t>operators maintain</w:t>
      </w:r>
      <w:r w:rsidRPr="00C83ABC">
        <w:t xml:space="preserve"> </w:t>
      </w:r>
      <w:r>
        <w:t xml:space="preserve">MAOP </w:t>
      </w:r>
      <w:r w:rsidRPr="00C83ABC">
        <w:t>records for the life of the pipeline.</w:t>
      </w:r>
    </w:p>
    <w:p w14:paraId="7D3A3787" w14:textId="4F4EF123" w:rsidR="001D771B" w:rsidRPr="00E854AC" w:rsidRDefault="001D771B" w:rsidP="00635C3F">
      <w:pPr>
        <w:pStyle w:val="Complaint"/>
      </w:pPr>
      <w:r w:rsidRPr="00E854AC">
        <w:t xml:space="preserve">49 C.F.R. § 192.603(a) </w:t>
      </w:r>
      <w:r w:rsidR="00C83ABC">
        <w:t xml:space="preserve">further </w:t>
      </w:r>
      <w:r w:rsidRPr="00E854AC">
        <w:t>provides, “No person may operate a segment of pipeline unless it is operated in accordance with this subpart [§§ 192.601-192.631].”</w:t>
      </w:r>
    </w:p>
    <w:p w14:paraId="503DF974" w14:textId="19DC1377" w:rsidR="005442C2" w:rsidRDefault="001D771B" w:rsidP="00635C3F">
      <w:pPr>
        <w:pStyle w:val="Complaint"/>
      </w:pPr>
      <w:r w:rsidRPr="00E854AC">
        <w:t>49 C.F.R. § 192.619(a) provides, “No person may operate a segment of steel or plastic pipeline at a pressure that exceeds a maximum allowable operating pressure determined [using a met</w:t>
      </w:r>
      <w:r w:rsidR="00E800AB">
        <w:t>hod approved in this section].”</w:t>
      </w:r>
    </w:p>
    <w:p w14:paraId="4106BF0A" w14:textId="259A9362" w:rsidR="000D270B" w:rsidRDefault="005442C2" w:rsidP="003426EE">
      <w:pPr>
        <w:pStyle w:val="Heading1"/>
      </w:pPr>
      <w:r>
        <w:br w:type="page"/>
      </w:r>
      <w:r w:rsidR="00AA41D6" w:rsidRPr="00EA48DD">
        <w:lastRenderedPageBreak/>
        <w:t>V.</w:t>
      </w:r>
      <w:r w:rsidR="000D270B">
        <w:tab/>
      </w:r>
      <w:r w:rsidR="00A77DB8">
        <w:t>CAUSE</w:t>
      </w:r>
      <w:r w:rsidR="004B1ED4">
        <w:t>S</w:t>
      </w:r>
      <w:r w:rsidR="000D270B">
        <w:t xml:space="preserve"> OF ACTION</w:t>
      </w:r>
    </w:p>
    <w:p w14:paraId="4558B800" w14:textId="7F60ECFB" w:rsidR="005960D7" w:rsidRDefault="002D0318" w:rsidP="003426EE">
      <w:pPr>
        <w:pStyle w:val="Heading2"/>
      </w:pPr>
      <w:r>
        <w:t xml:space="preserve">FIRST </w:t>
      </w:r>
      <w:r w:rsidRPr="003426EE">
        <w:t>CAUSE</w:t>
      </w:r>
      <w:r>
        <w:t xml:space="preserve"> OF </w:t>
      </w:r>
      <w:proofErr w:type="gramStart"/>
      <w:r>
        <w:t>ACTION</w:t>
      </w:r>
      <w:proofErr w:type="gramEnd"/>
      <w:r w:rsidR="00635C3F">
        <w:br/>
      </w:r>
      <w:r w:rsidR="004B1ED4">
        <w:t>(</w:t>
      </w:r>
      <w:r w:rsidR="00D70598">
        <w:t xml:space="preserve">Violation of </w:t>
      </w:r>
      <w:r w:rsidR="005960D7">
        <w:t>Order</w:t>
      </w:r>
      <w:r w:rsidR="00D70598">
        <w:t xml:space="preserve"> 01 in Docket PG-150120</w:t>
      </w:r>
      <w:r w:rsidR="004B1ED4">
        <w:t>)</w:t>
      </w:r>
    </w:p>
    <w:p w14:paraId="4BBDAAE5" w14:textId="0A515A9A" w:rsidR="00B15E65" w:rsidRDefault="00A5637C" w:rsidP="00635C3F">
      <w:pPr>
        <w:pStyle w:val="Complaint"/>
      </w:pPr>
      <w:r>
        <w:t>Cascade</w:t>
      </w:r>
      <w:r w:rsidR="00086F52">
        <w:t xml:space="preserve"> </w:t>
      </w:r>
      <w:r w:rsidR="00B60E5D">
        <w:t xml:space="preserve">violated Order 01 in </w:t>
      </w:r>
      <w:r w:rsidR="00E800AB">
        <w:t>this docket (</w:t>
      </w:r>
      <w:r w:rsidR="00B60E5D">
        <w:t>PG</w:t>
      </w:r>
      <w:r w:rsidR="00B60E5D">
        <w:noBreakHyphen/>
        <w:t>150120</w:t>
      </w:r>
      <w:r w:rsidR="00E800AB">
        <w:t>)</w:t>
      </w:r>
      <w:r w:rsidR="00B60E5D">
        <w:t xml:space="preserve"> by </w:t>
      </w:r>
      <w:r w:rsidR="00A36E58">
        <w:t xml:space="preserve">failing to submit </w:t>
      </w:r>
      <w:r w:rsidR="005960D7">
        <w:t>the</w:t>
      </w:r>
      <w:r w:rsidR="00A36E58">
        <w:t xml:space="preserve"> </w:t>
      </w:r>
      <w:r w:rsidR="00DB637B">
        <w:t>MAOP compliance</w:t>
      </w:r>
      <w:r w:rsidR="00A36E58">
        <w:t xml:space="preserve"> plan required by the Stipulated Agreement by the August 12, 2015 deadline.</w:t>
      </w:r>
    </w:p>
    <w:p w14:paraId="322B7481" w14:textId="36914CAE" w:rsidR="006044BC" w:rsidRDefault="005960D7" w:rsidP="00635C3F">
      <w:pPr>
        <w:pStyle w:val="Complaint"/>
      </w:pPr>
      <w:r>
        <w:t xml:space="preserve">This violation continued until, at the earliest, </w:t>
      </w:r>
      <w:r w:rsidR="00DB637B">
        <w:t>April 29</w:t>
      </w:r>
      <w:r>
        <w:t xml:space="preserve">, 2016, when Cascade submitted </w:t>
      </w:r>
      <w:r w:rsidR="00DB637B">
        <w:t xml:space="preserve">its </w:t>
      </w:r>
      <w:r w:rsidR="00D70598">
        <w:t>revised</w:t>
      </w:r>
      <w:r w:rsidR="00DB637B">
        <w:t xml:space="preserve"> MAOP compliance plan. </w:t>
      </w:r>
      <w:r w:rsidR="00E870B6">
        <w:t xml:space="preserve">There are </w:t>
      </w:r>
      <w:r w:rsidR="00DB637B">
        <w:t>261</w:t>
      </w:r>
      <w:r w:rsidR="00E870B6">
        <w:t xml:space="preserve"> days between August 12, 2015, and </w:t>
      </w:r>
      <w:r w:rsidR="00DB637B">
        <w:t>April</w:t>
      </w:r>
      <w:r w:rsidR="00E870B6">
        <w:t xml:space="preserve"> 29, 2016. Cascade’s violation therefore continued for a minimum of </w:t>
      </w:r>
      <w:r w:rsidR="00D70598">
        <w:t>261</w:t>
      </w:r>
      <w:r w:rsidR="00E870B6">
        <w:t xml:space="preserve"> days.</w:t>
      </w:r>
    </w:p>
    <w:p w14:paraId="16F553DD" w14:textId="38701038" w:rsidR="005960D7" w:rsidRDefault="005960D7" w:rsidP="00635C3F">
      <w:pPr>
        <w:pStyle w:val="Complaint"/>
      </w:pPr>
      <w:r>
        <w:t>The Commission alleges</w:t>
      </w:r>
      <w:r w:rsidR="00662BB6">
        <w:t xml:space="preserve"> a minimum of</w:t>
      </w:r>
      <w:r w:rsidR="001D771B">
        <w:t xml:space="preserve"> </w:t>
      </w:r>
      <w:r w:rsidR="006B1711">
        <w:t>261</w:t>
      </w:r>
      <w:r>
        <w:t xml:space="preserve"> violations of Order 01 in Docket PG-150120.</w:t>
      </w:r>
    </w:p>
    <w:p w14:paraId="21FE076F" w14:textId="3A134E74" w:rsidR="002D0318" w:rsidRDefault="002D0318" w:rsidP="003426EE">
      <w:pPr>
        <w:pStyle w:val="Heading2"/>
      </w:pPr>
      <w:r>
        <w:t xml:space="preserve">SECOND CAUSE OF </w:t>
      </w:r>
      <w:proofErr w:type="gramStart"/>
      <w:r>
        <w:t>ACTION</w:t>
      </w:r>
      <w:proofErr w:type="gramEnd"/>
      <w:r w:rsidR="00635C3F">
        <w:br/>
      </w:r>
      <w:r>
        <w:t>(</w:t>
      </w:r>
      <w:r w:rsidR="00D70598">
        <w:t>F</w:t>
      </w:r>
      <w:r w:rsidR="00F11782">
        <w:t xml:space="preserve">ailure to </w:t>
      </w:r>
      <w:r w:rsidR="00662BB6">
        <w:t xml:space="preserve">Establish and/or </w:t>
      </w:r>
      <w:r w:rsidR="00F11782">
        <w:t>Document MAOP</w:t>
      </w:r>
      <w:r>
        <w:t>)</w:t>
      </w:r>
    </w:p>
    <w:p w14:paraId="03BF515E" w14:textId="502328A2" w:rsidR="002D0318" w:rsidRDefault="00D70598" w:rsidP="00635C3F">
      <w:pPr>
        <w:pStyle w:val="Complaint"/>
      </w:pPr>
      <w:r>
        <w:t xml:space="preserve">Cascade failed to maintain records </w:t>
      </w:r>
      <w:r w:rsidR="00C83ABC">
        <w:t xml:space="preserve">or documentation </w:t>
      </w:r>
      <w:r>
        <w:t>sufficient to establish</w:t>
      </w:r>
      <w:r w:rsidR="00E800AB">
        <w:t xml:space="preserve">, confirm, </w:t>
      </w:r>
      <w:r>
        <w:t xml:space="preserve">or validate the MAOP of at least </w:t>
      </w:r>
      <w:r w:rsidR="00C83ABC">
        <w:t>116 pipeline segments</w:t>
      </w:r>
      <w:r>
        <w:t xml:space="preserve">, in violation of WAC 480-93-018(1), </w:t>
      </w:r>
      <w:r w:rsidR="005442C2">
        <w:t>49 C.F.R. §</w:t>
      </w:r>
      <w:r w:rsidR="00C83ABC">
        <w:t> </w:t>
      </w:r>
      <w:r w:rsidR="005442C2">
        <w:t xml:space="preserve">192.13, </w:t>
      </w:r>
      <w:r>
        <w:t>49</w:t>
      </w:r>
      <w:r w:rsidR="005442C2">
        <w:t> </w:t>
      </w:r>
      <w:r>
        <w:t xml:space="preserve">C.F.R. </w:t>
      </w:r>
      <w:r w:rsidRPr="00E854AC">
        <w:t>§ 192.503(a)</w:t>
      </w:r>
      <w:r>
        <w:t xml:space="preserve">, </w:t>
      </w:r>
      <w:r w:rsidR="00C83ABC">
        <w:t>49 C.F.R.</w:t>
      </w:r>
      <w:r w:rsidR="00C83ABC" w:rsidRPr="00C83ABC">
        <w:t xml:space="preserve"> </w:t>
      </w:r>
      <w:r w:rsidR="00C83ABC" w:rsidRPr="00E854AC">
        <w:t>§</w:t>
      </w:r>
      <w:r w:rsidR="00C83ABC">
        <w:t xml:space="preserve"> 517, </w:t>
      </w:r>
      <w:r w:rsidRPr="00E854AC">
        <w:t>49 C.F.R. §</w:t>
      </w:r>
      <w:r w:rsidR="00C83ABC">
        <w:t> </w:t>
      </w:r>
      <w:r w:rsidRPr="00E854AC">
        <w:t>192.603</w:t>
      </w:r>
      <w:r>
        <w:t>, and</w:t>
      </w:r>
      <w:r w:rsidR="005442C2">
        <w:t>/or</w:t>
      </w:r>
      <w:r>
        <w:t xml:space="preserve"> </w:t>
      </w:r>
      <w:r w:rsidRPr="00E854AC">
        <w:t>49 C.F.R. §</w:t>
      </w:r>
      <w:r w:rsidR="00C83ABC">
        <w:t> </w:t>
      </w:r>
      <w:r w:rsidRPr="00E854AC">
        <w:t>192.619(a)</w:t>
      </w:r>
      <w:r>
        <w:t>.</w:t>
      </w:r>
    </w:p>
    <w:p w14:paraId="1BED09CC" w14:textId="53D1DE7E" w:rsidR="00662BB6" w:rsidRDefault="00662BB6" w:rsidP="00635C3F">
      <w:pPr>
        <w:pStyle w:val="Complaint"/>
      </w:pPr>
      <w:r w:rsidRPr="00662BB6">
        <w:t>For administrative ease, Staff determines that this violation commenced on April 29, 2016, the date Cascade submitted its revised MAOP Determination &amp; Validation Plan</w:t>
      </w:r>
      <w:r w:rsidR="005675A7">
        <w:t xml:space="preserve">. </w:t>
      </w:r>
      <w:r w:rsidRPr="00662BB6">
        <w:t>Cascade admitted in Ta</w:t>
      </w:r>
      <w:r>
        <w:t xml:space="preserve">ble 1 </w:t>
      </w:r>
      <w:r w:rsidR="005675A7">
        <w:t xml:space="preserve">to the plan </w:t>
      </w:r>
      <w:r>
        <w:t>that it was operating 116</w:t>
      </w:r>
      <w:r w:rsidRPr="00662BB6">
        <w:t xml:space="preserve"> pipeline segments with “data currently insufficient to demonstrate and confirm MAOP.”</w:t>
      </w:r>
      <w:r>
        <w:rPr>
          <w:rStyle w:val="FootnoteReference"/>
        </w:rPr>
        <w:footnoteReference w:id="2"/>
      </w:r>
    </w:p>
    <w:p w14:paraId="1BDFC912" w14:textId="5FA3A329" w:rsidR="00662BB6" w:rsidRDefault="00662BB6" w:rsidP="00635C3F">
      <w:pPr>
        <w:pStyle w:val="Complaint"/>
      </w:pPr>
      <w:r>
        <w:t xml:space="preserve">This violation continues as of the date of this Complaint. There are </w:t>
      </w:r>
      <w:r w:rsidR="00E74183">
        <w:t>74</w:t>
      </w:r>
      <w:r>
        <w:t xml:space="preserve"> days between April 29, 2016, and the date of this Complaint.</w:t>
      </w:r>
    </w:p>
    <w:p w14:paraId="4E98F60C" w14:textId="2D076D7F" w:rsidR="00662BB6" w:rsidRDefault="00662BB6" w:rsidP="00635C3F">
      <w:pPr>
        <w:pStyle w:val="Complaint"/>
      </w:pPr>
      <w:r>
        <w:t xml:space="preserve">The Commission alleges a minimum of </w:t>
      </w:r>
      <w:r w:rsidR="00E74183">
        <w:t>74</w:t>
      </w:r>
      <w:r w:rsidR="00742D80">
        <w:t xml:space="preserve"> violations of WAC 480-93-018(1), 49 C.F.R. </w:t>
      </w:r>
      <w:r w:rsidR="00742D80" w:rsidRPr="00E854AC">
        <w:t>§ 192.503(a)</w:t>
      </w:r>
      <w:r w:rsidR="00742D80">
        <w:t xml:space="preserve">, </w:t>
      </w:r>
      <w:r w:rsidR="00742D80" w:rsidRPr="00E854AC">
        <w:t>49 C.F.R. § 192.603(a)</w:t>
      </w:r>
      <w:r w:rsidR="00742D80">
        <w:t xml:space="preserve">, and </w:t>
      </w:r>
      <w:r w:rsidR="00742D80" w:rsidRPr="00E854AC">
        <w:t>49 C.F.R. § 192.619(a)</w:t>
      </w:r>
      <w:r w:rsidR="00742D80">
        <w:t>.</w:t>
      </w:r>
    </w:p>
    <w:p w14:paraId="26AA9F75" w14:textId="0A3C9019" w:rsidR="00AA41D6" w:rsidRPr="00EA48DD" w:rsidRDefault="00AA41D6" w:rsidP="003426EE">
      <w:pPr>
        <w:pStyle w:val="Heading1"/>
      </w:pPr>
      <w:r w:rsidRPr="00EA48DD">
        <w:t>V</w:t>
      </w:r>
      <w:r w:rsidR="00903D29">
        <w:t>I</w:t>
      </w:r>
      <w:r w:rsidRPr="00EA48DD">
        <w:t>.</w:t>
      </w:r>
      <w:r w:rsidRPr="00EA48DD">
        <w:tab/>
        <w:t>REQUEST FOR RELIEF</w:t>
      </w:r>
    </w:p>
    <w:p w14:paraId="7AB40A4A" w14:textId="2020B3F6" w:rsidR="00AA41D6" w:rsidRDefault="00C26082" w:rsidP="00635C3F">
      <w:pPr>
        <w:pStyle w:val="Complaint"/>
      </w:pPr>
      <w:r>
        <w:t>Pursuant to WAC 480-93-223, Staff requests that the Commission impose a penalty of up to $200,000 for each of the violations alleged above, up to the maximum penalty of two million dollars per category of violation</w:t>
      </w:r>
      <w:r w:rsidR="00742D80">
        <w:t>.</w:t>
      </w:r>
    </w:p>
    <w:p w14:paraId="32C42BA6" w14:textId="7BE9B05C" w:rsidR="000D3C39" w:rsidRDefault="000D3C39" w:rsidP="00635C3F">
      <w:pPr>
        <w:pStyle w:val="Complaint"/>
      </w:pPr>
      <w:r>
        <w:t xml:space="preserve">Pursuant to RCW 81.88.020, RCW 81.88.030, RCW 81.88.065, </w:t>
      </w:r>
      <w:r w:rsidR="00ED1B1D">
        <w:t xml:space="preserve">and RCW 80.01.040, Staff further requests that the Commission authorize any other just and lawful form of </w:t>
      </w:r>
      <w:proofErr w:type="gramStart"/>
      <w:r w:rsidR="00ED1B1D">
        <w:lastRenderedPageBreak/>
        <w:t>relief</w:t>
      </w:r>
      <w:proofErr w:type="gramEnd"/>
      <w:r w:rsidR="00ED1B1D">
        <w:t xml:space="preserve">, including, but not limited to, an order requiring </w:t>
      </w:r>
      <w:r w:rsidR="00E800AB">
        <w:t>Cascade to develop and follow a new or</w:t>
      </w:r>
      <w:r w:rsidR="00ED1B1D">
        <w:t xml:space="preserve"> </w:t>
      </w:r>
      <w:r w:rsidR="005675A7">
        <w:t>updated</w:t>
      </w:r>
      <w:r w:rsidR="00ED1B1D">
        <w:t xml:space="preserve"> MAOP compliance plan.</w:t>
      </w:r>
    </w:p>
    <w:p w14:paraId="1A30B663" w14:textId="3F14E244" w:rsidR="001E3DAC" w:rsidRDefault="001E3DAC" w:rsidP="003426EE">
      <w:pPr>
        <w:pStyle w:val="Heading1"/>
      </w:pPr>
      <w:r>
        <w:t>VII</w:t>
      </w:r>
      <w:r w:rsidRPr="00EA48DD">
        <w:t>.</w:t>
      </w:r>
      <w:r w:rsidRPr="00EA48DD">
        <w:tab/>
        <w:t>PROBABLE CAUSE</w:t>
      </w:r>
    </w:p>
    <w:p w14:paraId="6EF1C27C" w14:textId="18116559" w:rsidR="001E3DAC" w:rsidRDefault="00A5637C" w:rsidP="00635C3F">
      <w:pPr>
        <w:pStyle w:val="Complaint"/>
      </w:pPr>
      <w:r>
        <w:t>In accordance</w:t>
      </w:r>
      <w:r w:rsidR="001E3DAC" w:rsidRPr="00EA48DD">
        <w:t xml:space="preserve"> with RCW 80.01.060</w:t>
      </w:r>
      <w:r w:rsidR="001E3DAC">
        <w:t xml:space="preserve"> </w:t>
      </w:r>
      <w:r w:rsidR="001E3DAC" w:rsidRPr="00BE6ABB">
        <w:t>and WAC 480</w:t>
      </w:r>
      <w:r w:rsidR="001E3DAC" w:rsidRPr="00BE6ABB">
        <w:noBreakHyphen/>
        <w:t>07</w:t>
      </w:r>
      <w:r w:rsidR="001E3DAC" w:rsidRPr="00BE6ABB">
        <w:noBreakHyphen/>
        <w:t>307</w:t>
      </w:r>
      <w:r w:rsidR="001E3DAC" w:rsidRPr="00EA48DD">
        <w:t xml:space="preserve">, the Commission finds probable cause to issue this Complaint. </w:t>
      </w:r>
    </w:p>
    <w:p w14:paraId="358E8F08" w14:textId="2179AC1A" w:rsidR="00AA41D6" w:rsidRDefault="00AA41D6" w:rsidP="002F3630">
      <w:pPr>
        <w:spacing w:after="240" w:line="264" w:lineRule="auto"/>
      </w:pPr>
      <w:r w:rsidRPr="00EA48DD">
        <w:t xml:space="preserve">DATED at Olympia, Washington, and effective </w:t>
      </w:r>
      <w:r w:rsidR="00635C3F">
        <w:t xml:space="preserve">July </w:t>
      </w:r>
      <w:r w:rsidR="00E74183">
        <w:t>12</w:t>
      </w:r>
      <w:r w:rsidR="00635C3F">
        <w:t>,</w:t>
      </w:r>
      <w:r w:rsidR="00B27476">
        <w:t xml:space="preserve"> 201</w:t>
      </w:r>
      <w:r w:rsidR="00A77DB8">
        <w:t>6</w:t>
      </w:r>
      <w:r w:rsidRPr="00EA48DD">
        <w:t>.</w:t>
      </w:r>
    </w:p>
    <w:p w14:paraId="391207B1" w14:textId="77777777" w:rsidR="00AA41D6" w:rsidRPr="00EA48DD" w:rsidRDefault="00AA41D6" w:rsidP="00635C3F">
      <w:pPr>
        <w:spacing w:after="720" w:line="264" w:lineRule="auto"/>
        <w:jc w:val="center"/>
      </w:pPr>
      <w:r w:rsidRPr="00EA48DD">
        <w:t>WASHINGTON UTILITIES AND TRANSPORTATION COMMISSION</w:t>
      </w:r>
    </w:p>
    <w:p w14:paraId="2AE1F732" w14:textId="56DB7E28" w:rsidR="00AA41D6" w:rsidRDefault="00635C3F" w:rsidP="00635C3F">
      <w:pPr>
        <w:spacing w:after="240" w:line="264" w:lineRule="auto"/>
        <w:ind w:left="4320"/>
      </w:pPr>
      <w:r>
        <w:t>Gregory J. Kopta</w:t>
      </w:r>
      <w:r>
        <w:br/>
      </w:r>
      <w:r w:rsidR="00AA41D6" w:rsidRPr="00EA48DD">
        <w:t xml:space="preserve">Administrative Law Judge </w:t>
      </w:r>
    </w:p>
    <w:p w14:paraId="39D4FE8C" w14:textId="77777777" w:rsidR="00AA41D6" w:rsidRPr="00EA48DD" w:rsidRDefault="00AA41D6" w:rsidP="002F3630">
      <w:pPr>
        <w:spacing w:after="240" w:line="264" w:lineRule="auto"/>
      </w:pPr>
      <w:r w:rsidRPr="00EA48DD">
        <w:t>Inquiries may be addressed to:</w:t>
      </w:r>
    </w:p>
    <w:p w14:paraId="7F2376A7" w14:textId="3A175B4A" w:rsidR="00B27476" w:rsidRPr="00EA48DD" w:rsidRDefault="00AA41D6" w:rsidP="00635C3F">
      <w:pPr>
        <w:pStyle w:val="Header"/>
        <w:tabs>
          <w:tab w:val="clear" w:pos="4320"/>
          <w:tab w:val="clear" w:pos="8640"/>
        </w:tabs>
        <w:spacing w:line="264" w:lineRule="auto"/>
        <w:rPr>
          <w:b/>
        </w:rPr>
      </w:pPr>
      <w:r w:rsidRPr="00EA48DD">
        <w:t xml:space="preserve">Executive </w:t>
      </w:r>
      <w:r w:rsidR="009165BF">
        <w:t>Director</w:t>
      </w:r>
      <w:r w:rsidR="00026882">
        <w:t xml:space="preserve"> and Secretary</w:t>
      </w:r>
      <w:r w:rsidR="00635C3F">
        <w:br/>
      </w:r>
      <w:r w:rsidRPr="00EA48DD">
        <w:t>Washington Utilities and</w:t>
      </w:r>
      <w:r w:rsidR="004864DD">
        <w:t xml:space="preserve"> </w:t>
      </w:r>
      <w:r w:rsidRPr="00EA48DD">
        <w:t>Transportation Commission</w:t>
      </w:r>
      <w:r w:rsidR="00635C3F">
        <w:br/>
      </w:r>
      <w:r w:rsidR="00F72E32" w:rsidRPr="00EA48DD">
        <w:t xml:space="preserve">Richard </w:t>
      </w:r>
      <w:proofErr w:type="spellStart"/>
      <w:r w:rsidR="00F72E32" w:rsidRPr="00EA48DD">
        <w:t>Hemstad</w:t>
      </w:r>
      <w:proofErr w:type="spellEnd"/>
      <w:r w:rsidRPr="00EA48DD">
        <w:t xml:space="preserve"> Building</w:t>
      </w:r>
      <w:r w:rsidR="00635C3F">
        <w:br/>
      </w:r>
      <w:r w:rsidRPr="00EA48DD">
        <w:t>1300 S. Evergreen Park Drive S.W</w:t>
      </w:r>
      <w:proofErr w:type="gramStart"/>
      <w:r w:rsidRPr="00EA48DD">
        <w:t>.</w:t>
      </w:r>
      <w:proofErr w:type="gramEnd"/>
      <w:r w:rsidR="00635C3F">
        <w:br/>
      </w:r>
      <w:r w:rsidRPr="00EA48DD">
        <w:t>P. O. Box 47250</w:t>
      </w:r>
      <w:r w:rsidR="00635C3F">
        <w:br/>
      </w:r>
      <w:r w:rsidRPr="00EA48DD">
        <w:t>Olympia, WA 98504-7250</w:t>
      </w:r>
      <w:r w:rsidR="00635C3F">
        <w:br/>
      </w:r>
      <w:r w:rsidRPr="00EA48DD">
        <w:t>(360) 664-1160</w:t>
      </w:r>
    </w:p>
    <w:sectPr w:rsidR="00B27476" w:rsidRPr="00EA48DD" w:rsidSect="00A5637C">
      <w:headerReference w:type="default" r:id="rId11"/>
      <w:headerReference w:type="first" r:id="rId12"/>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E82A4" w14:textId="77777777" w:rsidR="006C3BC0" w:rsidRDefault="006C3BC0">
      <w:r>
        <w:separator/>
      </w:r>
    </w:p>
  </w:endnote>
  <w:endnote w:type="continuationSeparator" w:id="0">
    <w:p w14:paraId="11090537" w14:textId="77777777" w:rsidR="006C3BC0" w:rsidRDefault="006C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D7A26" w14:textId="77777777" w:rsidR="006C3BC0" w:rsidRDefault="006C3BC0">
      <w:r>
        <w:separator/>
      </w:r>
    </w:p>
  </w:footnote>
  <w:footnote w:type="continuationSeparator" w:id="0">
    <w:p w14:paraId="0AFDB03D" w14:textId="77777777" w:rsidR="006C3BC0" w:rsidRDefault="006C3BC0">
      <w:r>
        <w:continuationSeparator/>
      </w:r>
    </w:p>
  </w:footnote>
  <w:footnote w:id="1">
    <w:p w14:paraId="1A493D6D" w14:textId="799DAD40" w:rsidR="004F55D5" w:rsidRPr="004F55D5" w:rsidRDefault="004F55D5" w:rsidP="00635C3F">
      <w:pPr>
        <w:pStyle w:val="FootnoteText"/>
        <w:ind w:left="-720"/>
      </w:pPr>
      <w:r>
        <w:rPr>
          <w:rStyle w:val="FootnoteReference"/>
        </w:rPr>
        <w:footnoteRef/>
      </w:r>
      <w:r>
        <w:t xml:space="preserve"> </w:t>
      </w:r>
      <w:r w:rsidR="004E3B6C" w:rsidRPr="004E3B6C">
        <w:rPr>
          <w:i/>
        </w:rPr>
        <w:t>In the Matter of the Investigation of the Gas Pipeline System of Cascade Natural Gas Corporation</w:t>
      </w:r>
      <w:r w:rsidR="004E3B6C">
        <w:t>, Docket PG-150120, Order 01, Order Accepting Agreement and Closing Docket, Attachment A (“Stipulated Agreement”) (Feb. 12, 2015).</w:t>
      </w:r>
    </w:p>
  </w:footnote>
  <w:footnote w:id="2">
    <w:p w14:paraId="0C742D58" w14:textId="017D5A72" w:rsidR="00662BB6" w:rsidRDefault="00662BB6" w:rsidP="00635C3F">
      <w:pPr>
        <w:pStyle w:val="FootnoteText"/>
        <w:ind w:left="-720"/>
      </w:pPr>
      <w:r>
        <w:rPr>
          <w:rStyle w:val="FootnoteReference"/>
        </w:rPr>
        <w:footnoteRef/>
      </w:r>
      <w:r>
        <w:t xml:space="preserve"> Staff Investigation Report, Appendix 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044D8" w14:textId="1639AE6D" w:rsidR="004E37CC" w:rsidRPr="00026882" w:rsidRDefault="004E37CC">
    <w:pPr>
      <w:pStyle w:val="Header"/>
      <w:tabs>
        <w:tab w:val="clear" w:pos="4320"/>
        <w:tab w:val="clear" w:pos="8640"/>
        <w:tab w:val="right" w:pos="8500"/>
      </w:tabs>
      <w:rPr>
        <w:rStyle w:val="PageNumber"/>
        <w:b/>
        <w:sz w:val="20"/>
        <w:lang w:val="fr-FR"/>
      </w:rPr>
    </w:pPr>
    <w:r w:rsidRPr="00026882">
      <w:rPr>
        <w:b/>
        <w:sz w:val="20"/>
      </w:rPr>
      <w:t xml:space="preserve">DOCKET </w:t>
    </w:r>
    <w:r w:rsidR="00E36355">
      <w:rPr>
        <w:b/>
        <w:sz w:val="20"/>
        <w:lang w:val="fr-FR"/>
      </w:rPr>
      <w:t>PG</w:t>
    </w:r>
    <w:r w:rsidRPr="00026882">
      <w:rPr>
        <w:b/>
        <w:sz w:val="20"/>
        <w:lang w:val="fr-FR"/>
      </w:rPr>
      <w:t>-</w:t>
    </w:r>
    <w:r w:rsidR="00E36355">
      <w:rPr>
        <w:b/>
        <w:sz w:val="20"/>
        <w:lang w:val="fr-FR"/>
      </w:rPr>
      <w:t>150120</w:t>
    </w:r>
    <w:r w:rsidRPr="00026882">
      <w:rPr>
        <w:b/>
        <w:sz w:val="20"/>
        <w:lang w:val="fr-FR"/>
      </w:rPr>
      <w:tab/>
      <w:t xml:space="preserve">PAGE </w:t>
    </w:r>
    <w:r w:rsidRPr="00026882">
      <w:rPr>
        <w:rStyle w:val="PageNumber"/>
        <w:b/>
        <w:sz w:val="20"/>
      </w:rPr>
      <w:fldChar w:fldCharType="begin"/>
    </w:r>
    <w:r w:rsidRPr="00026882">
      <w:rPr>
        <w:rStyle w:val="PageNumber"/>
        <w:b/>
        <w:sz w:val="20"/>
        <w:lang w:val="fr-FR"/>
      </w:rPr>
      <w:instrText xml:space="preserve"> PAGE </w:instrText>
    </w:r>
    <w:r w:rsidRPr="00026882">
      <w:rPr>
        <w:rStyle w:val="PageNumber"/>
        <w:b/>
        <w:sz w:val="20"/>
      </w:rPr>
      <w:fldChar w:fldCharType="separate"/>
    </w:r>
    <w:r w:rsidR="00F845E9">
      <w:rPr>
        <w:rStyle w:val="PageNumber"/>
        <w:b/>
        <w:noProof/>
        <w:sz w:val="20"/>
        <w:lang w:val="fr-FR"/>
      </w:rPr>
      <w:t>5</w:t>
    </w:r>
    <w:r w:rsidRPr="00026882">
      <w:rPr>
        <w:rStyle w:val="PageNumber"/>
        <w:b/>
        <w:sz w:val="20"/>
      </w:rPr>
      <w:fldChar w:fldCharType="end"/>
    </w:r>
  </w:p>
  <w:p w14:paraId="7F6DD4B4" w14:textId="77777777" w:rsidR="004E37CC" w:rsidRPr="00026882" w:rsidRDefault="004E37CC">
    <w:pPr>
      <w:pStyle w:val="Header"/>
      <w:tabs>
        <w:tab w:val="left" w:pos="7000"/>
      </w:tabs>
      <w:rPr>
        <w:rStyle w:val="PageNumber"/>
        <w:b/>
        <w:sz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629F5" w14:textId="2B8EABED" w:rsidR="004E37CC" w:rsidRDefault="00ED740E">
    <w:pPr>
      <w:pStyle w:val="Header"/>
      <w:rPr>
        <w:b/>
        <w:sz w:val="20"/>
        <w:szCs w:val="20"/>
      </w:rPr>
    </w:pPr>
    <w:r>
      <w:rPr>
        <w:b/>
        <w:sz w:val="20"/>
        <w:szCs w:val="20"/>
      </w:rPr>
      <w:tab/>
    </w:r>
    <w:r>
      <w:rPr>
        <w:b/>
        <w:sz w:val="20"/>
        <w:szCs w:val="20"/>
      </w:rPr>
      <w:tab/>
    </w:r>
    <w:r w:rsidR="00F845E9">
      <w:rPr>
        <w:b/>
        <w:sz w:val="20"/>
        <w:szCs w:val="20"/>
      </w:rPr>
      <w:t>Service Date: July 12, 2016</w:t>
    </w:r>
  </w:p>
  <w:p w14:paraId="6CED2E13" w14:textId="77777777" w:rsidR="0084576A" w:rsidRDefault="0084576A">
    <w:pPr>
      <w:pStyle w:val="Header"/>
      <w:rPr>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64204C"/>
    <w:multiLevelType w:val="hybridMultilevel"/>
    <w:tmpl w:val="85385DE6"/>
    <w:lvl w:ilvl="0" w:tplc="F1DE8E36">
      <w:start w:val="1"/>
      <w:numFmt w:val="decimal"/>
      <w:pStyle w:val="FindingsConclusions"/>
      <w:lvlText w:val="%1"/>
      <w:lvlJc w:val="left"/>
      <w:pPr>
        <w:tabs>
          <w:tab w:val="num" w:pos="0"/>
        </w:tabs>
        <w:ind w:left="0" w:hanging="1080"/>
      </w:pPr>
      <w:rPr>
        <w:rFonts w:hint="default"/>
        <w:b w:val="0"/>
        <w:i/>
        <w:sz w:val="20"/>
      </w:rPr>
    </w:lvl>
    <w:lvl w:ilvl="1" w:tplc="3F6ECA58">
      <w:start w:val="4"/>
      <w:numFmt w:val="decimal"/>
      <w:lvlText w:val="%2."/>
      <w:lvlJc w:val="left"/>
      <w:pPr>
        <w:tabs>
          <w:tab w:val="num" w:pos="1800"/>
        </w:tabs>
        <w:ind w:left="1800" w:hanging="720"/>
      </w:pPr>
      <w:rPr>
        <w:rFonts w:hint="default"/>
      </w:rPr>
    </w:lvl>
    <w:lvl w:ilvl="2" w:tplc="4AE23048">
      <w:start w:val="5"/>
      <w:numFmt w:val="bullet"/>
      <w:lvlText w:val=""/>
      <w:lvlJc w:val="left"/>
      <w:pPr>
        <w:tabs>
          <w:tab w:val="num" w:pos="2340"/>
        </w:tabs>
        <w:ind w:left="2340" w:hanging="360"/>
      </w:pPr>
      <w:rPr>
        <w:rFonts w:ascii="Symbol" w:eastAsia="Times New Roman" w:hAnsi="Symbol" w:cs="Times New Roman" w:hint="default"/>
      </w:rPr>
    </w:lvl>
    <w:lvl w:ilvl="3" w:tplc="A9140692" w:tentative="1">
      <w:start w:val="1"/>
      <w:numFmt w:val="decimal"/>
      <w:lvlText w:val="%4."/>
      <w:lvlJc w:val="left"/>
      <w:pPr>
        <w:tabs>
          <w:tab w:val="num" w:pos="2880"/>
        </w:tabs>
        <w:ind w:left="2880" w:hanging="360"/>
      </w:pPr>
    </w:lvl>
    <w:lvl w:ilvl="4" w:tplc="597439A2" w:tentative="1">
      <w:start w:val="1"/>
      <w:numFmt w:val="lowerLetter"/>
      <w:lvlText w:val="%5."/>
      <w:lvlJc w:val="left"/>
      <w:pPr>
        <w:tabs>
          <w:tab w:val="num" w:pos="3600"/>
        </w:tabs>
        <w:ind w:left="3600" w:hanging="360"/>
      </w:pPr>
    </w:lvl>
    <w:lvl w:ilvl="5" w:tplc="497804AC" w:tentative="1">
      <w:start w:val="1"/>
      <w:numFmt w:val="lowerRoman"/>
      <w:lvlText w:val="%6."/>
      <w:lvlJc w:val="right"/>
      <w:pPr>
        <w:tabs>
          <w:tab w:val="num" w:pos="4320"/>
        </w:tabs>
        <w:ind w:left="4320" w:hanging="180"/>
      </w:pPr>
    </w:lvl>
    <w:lvl w:ilvl="6" w:tplc="BC5CAB56" w:tentative="1">
      <w:start w:val="1"/>
      <w:numFmt w:val="decimal"/>
      <w:lvlText w:val="%7."/>
      <w:lvlJc w:val="left"/>
      <w:pPr>
        <w:tabs>
          <w:tab w:val="num" w:pos="5040"/>
        </w:tabs>
        <w:ind w:left="5040" w:hanging="360"/>
      </w:pPr>
    </w:lvl>
    <w:lvl w:ilvl="7" w:tplc="90DCE5F6" w:tentative="1">
      <w:start w:val="1"/>
      <w:numFmt w:val="lowerLetter"/>
      <w:lvlText w:val="%8."/>
      <w:lvlJc w:val="left"/>
      <w:pPr>
        <w:tabs>
          <w:tab w:val="num" w:pos="5760"/>
        </w:tabs>
        <w:ind w:left="5760" w:hanging="360"/>
      </w:pPr>
    </w:lvl>
    <w:lvl w:ilvl="8" w:tplc="A43043E0" w:tentative="1">
      <w:start w:val="1"/>
      <w:numFmt w:val="lowerRoman"/>
      <w:lvlText w:val="%9."/>
      <w:lvlJc w:val="right"/>
      <w:pPr>
        <w:tabs>
          <w:tab w:val="num" w:pos="6480"/>
        </w:tabs>
        <w:ind w:left="6480" w:hanging="180"/>
      </w:pPr>
    </w:lvl>
  </w:abstractNum>
  <w:abstractNum w:abstractNumId="11">
    <w:nsid w:val="25833C73"/>
    <w:multiLevelType w:val="hybridMultilevel"/>
    <w:tmpl w:val="2EDE47F6"/>
    <w:lvl w:ilvl="0" w:tplc="25B29CE8">
      <w:start w:val="1"/>
      <w:numFmt w:val="decimal"/>
      <w:pStyle w:val="Complaint"/>
      <w:lvlText w:val="%1"/>
      <w:lvlJc w:val="left"/>
      <w:pPr>
        <w:tabs>
          <w:tab w:val="num" w:pos="720"/>
        </w:tabs>
        <w:ind w:left="0" w:hanging="720"/>
      </w:pPr>
      <w:rPr>
        <w:rFonts w:hint="default"/>
        <w:b w:val="0"/>
        <w:i/>
        <w:sz w:val="20"/>
        <w:vertAlign w:val="baseline"/>
      </w:rPr>
    </w:lvl>
    <w:lvl w:ilvl="1" w:tplc="D098E78E">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DC8C8740" w:tentative="1">
      <w:start w:val="1"/>
      <w:numFmt w:val="lowerRoman"/>
      <w:lvlText w:val="%3."/>
      <w:lvlJc w:val="right"/>
      <w:pPr>
        <w:tabs>
          <w:tab w:val="num" w:pos="3240"/>
        </w:tabs>
        <w:ind w:left="3240" w:hanging="180"/>
      </w:pPr>
    </w:lvl>
    <w:lvl w:ilvl="3" w:tplc="4878B3CE" w:tentative="1">
      <w:start w:val="1"/>
      <w:numFmt w:val="decimal"/>
      <w:lvlText w:val="%4."/>
      <w:lvlJc w:val="left"/>
      <w:pPr>
        <w:tabs>
          <w:tab w:val="num" w:pos="3960"/>
        </w:tabs>
        <w:ind w:left="3960" w:hanging="360"/>
      </w:pPr>
    </w:lvl>
    <w:lvl w:ilvl="4" w:tplc="94EA3BEE" w:tentative="1">
      <w:start w:val="1"/>
      <w:numFmt w:val="lowerLetter"/>
      <w:lvlText w:val="%5."/>
      <w:lvlJc w:val="left"/>
      <w:pPr>
        <w:tabs>
          <w:tab w:val="num" w:pos="4680"/>
        </w:tabs>
        <w:ind w:left="4680" w:hanging="360"/>
      </w:pPr>
    </w:lvl>
    <w:lvl w:ilvl="5" w:tplc="9A845452" w:tentative="1">
      <w:start w:val="1"/>
      <w:numFmt w:val="lowerRoman"/>
      <w:lvlText w:val="%6."/>
      <w:lvlJc w:val="right"/>
      <w:pPr>
        <w:tabs>
          <w:tab w:val="num" w:pos="5400"/>
        </w:tabs>
        <w:ind w:left="5400" w:hanging="180"/>
      </w:pPr>
    </w:lvl>
    <w:lvl w:ilvl="6" w:tplc="2336204A" w:tentative="1">
      <w:start w:val="1"/>
      <w:numFmt w:val="decimal"/>
      <w:lvlText w:val="%7."/>
      <w:lvlJc w:val="left"/>
      <w:pPr>
        <w:tabs>
          <w:tab w:val="num" w:pos="6120"/>
        </w:tabs>
        <w:ind w:left="6120" w:hanging="360"/>
      </w:pPr>
    </w:lvl>
    <w:lvl w:ilvl="7" w:tplc="119CE0A6" w:tentative="1">
      <w:start w:val="1"/>
      <w:numFmt w:val="lowerLetter"/>
      <w:lvlText w:val="%8."/>
      <w:lvlJc w:val="left"/>
      <w:pPr>
        <w:tabs>
          <w:tab w:val="num" w:pos="6840"/>
        </w:tabs>
        <w:ind w:left="6840" w:hanging="360"/>
      </w:pPr>
    </w:lvl>
    <w:lvl w:ilvl="8" w:tplc="D6146ACE" w:tentative="1">
      <w:start w:val="1"/>
      <w:numFmt w:val="lowerRoman"/>
      <w:lvlText w:val="%9."/>
      <w:lvlJc w:val="right"/>
      <w:pPr>
        <w:tabs>
          <w:tab w:val="num" w:pos="7560"/>
        </w:tabs>
        <w:ind w:left="756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0"/>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633"/>
    <w:rsid w:val="000164C7"/>
    <w:rsid w:val="00020E8A"/>
    <w:rsid w:val="00026882"/>
    <w:rsid w:val="0003188A"/>
    <w:rsid w:val="0003199B"/>
    <w:rsid w:val="00036EE0"/>
    <w:rsid w:val="00055103"/>
    <w:rsid w:val="0007384E"/>
    <w:rsid w:val="0007734D"/>
    <w:rsid w:val="00086F52"/>
    <w:rsid w:val="00093671"/>
    <w:rsid w:val="00096526"/>
    <w:rsid w:val="000B648F"/>
    <w:rsid w:val="000B7AB6"/>
    <w:rsid w:val="000C3D46"/>
    <w:rsid w:val="000C71D5"/>
    <w:rsid w:val="000D270B"/>
    <w:rsid w:val="000D3C39"/>
    <w:rsid w:val="000E4CAB"/>
    <w:rsid w:val="000E5A72"/>
    <w:rsid w:val="00111682"/>
    <w:rsid w:val="00121F8D"/>
    <w:rsid w:val="00122582"/>
    <w:rsid w:val="001501E2"/>
    <w:rsid w:val="001711D2"/>
    <w:rsid w:val="001852C4"/>
    <w:rsid w:val="001A4CC6"/>
    <w:rsid w:val="001C0620"/>
    <w:rsid w:val="001C2075"/>
    <w:rsid w:val="001C2A79"/>
    <w:rsid w:val="001C6706"/>
    <w:rsid w:val="001D6387"/>
    <w:rsid w:val="001D771B"/>
    <w:rsid w:val="001E3DAC"/>
    <w:rsid w:val="001F0F50"/>
    <w:rsid w:val="001F2237"/>
    <w:rsid w:val="002053AD"/>
    <w:rsid w:val="00213813"/>
    <w:rsid w:val="00215AEC"/>
    <w:rsid w:val="00227B94"/>
    <w:rsid w:val="002375D6"/>
    <w:rsid w:val="00244285"/>
    <w:rsid w:val="0025668D"/>
    <w:rsid w:val="002606C1"/>
    <w:rsid w:val="00264A2A"/>
    <w:rsid w:val="0026505D"/>
    <w:rsid w:val="0027113B"/>
    <w:rsid w:val="00280855"/>
    <w:rsid w:val="00285A90"/>
    <w:rsid w:val="002875D0"/>
    <w:rsid w:val="002A0067"/>
    <w:rsid w:val="002A40F6"/>
    <w:rsid w:val="002A69D9"/>
    <w:rsid w:val="002A6A6A"/>
    <w:rsid w:val="002D0318"/>
    <w:rsid w:val="002D5B74"/>
    <w:rsid w:val="002E68B3"/>
    <w:rsid w:val="002E73E0"/>
    <w:rsid w:val="002F0389"/>
    <w:rsid w:val="002F3630"/>
    <w:rsid w:val="002F564C"/>
    <w:rsid w:val="002F7556"/>
    <w:rsid w:val="0030381A"/>
    <w:rsid w:val="003426EE"/>
    <w:rsid w:val="00342A10"/>
    <w:rsid w:val="00347B25"/>
    <w:rsid w:val="003619CC"/>
    <w:rsid w:val="00372B7D"/>
    <w:rsid w:val="00375CE9"/>
    <w:rsid w:val="003809B3"/>
    <w:rsid w:val="00381B8F"/>
    <w:rsid w:val="00385391"/>
    <w:rsid w:val="003B24E1"/>
    <w:rsid w:val="003C05A1"/>
    <w:rsid w:val="003D3B6D"/>
    <w:rsid w:val="003D6EE6"/>
    <w:rsid w:val="003D7372"/>
    <w:rsid w:val="003E03E5"/>
    <w:rsid w:val="003F3132"/>
    <w:rsid w:val="0040069A"/>
    <w:rsid w:val="004060BF"/>
    <w:rsid w:val="00410CEC"/>
    <w:rsid w:val="00417AA7"/>
    <w:rsid w:val="00421C59"/>
    <w:rsid w:val="00422F43"/>
    <w:rsid w:val="004329E0"/>
    <w:rsid w:val="00435286"/>
    <w:rsid w:val="0043600A"/>
    <w:rsid w:val="00436F0C"/>
    <w:rsid w:val="00442317"/>
    <w:rsid w:val="0044445C"/>
    <w:rsid w:val="00446A35"/>
    <w:rsid w:val="00451133"/>
    <w:rsid w:val="00460D5A"/>
    <w:rsid w:val="004661E1"/>
    <w:rsid w:val="00476EB6"/>
    <w:rsid w:val="004864DD"/>
    <w:rsid w:val="004B1ED4"/>
    <w:rsid w:val="004C779C"/>
    <w:rsid w:val="004D0ADA"/>
    <w:rsid w:val="004E37CC"/>
    <w:rsid w:val="004E3B6C"/>
    <w:rsid w:val="004E4430"/>
    <w:rsid w:val="004F48FB"/>
    <w:rsid w:val="004F55D5"/>
    <w:rsid w:val="00501F1F"/>
    <w:rsid w:val="00502DB2"/>
    <w:rsid w:val="0053001A"/>
    <w:rsid w:val="005442C2"/>
    <w:rsid w:val="005457EA"/>
    <w:rsid w:val="00555590"/>
    <w:rsid w:val="00557A88"/>
    <w:rsid w:val="005630AE"/>
    <w:rsid w:val="00563C40"/>
    <w:rsid w:val="00564974"/>
    <w:rsid w:val="005675A7"/>
    <w:rsid w:val="00575CD8"/>
    <w:rsid w:val="00577DD1"/>
    <w:rsid w:val="00593185"/>
    <w:rsid w:val="005960D7"/>
    <w:rsid w:val="00597C6F"/>
    <w:rsid w:val="005A1285"/>
    <w:rsid w:val="005C1AF9"/>
    <w:rsid w:val="005E3EDA"/>
    <w:rsid w:val="005F2D6F"/>
    <w:rsid w:val="006044BC"/>
    <w:rsid w:val="00605B56"/>
    <w:rsid w:val="0061558E"/>
    <w:rsid w:val="006277F7"/>
    <w:rsid w:val="00630718"/>
    <w:rsid w:val="00630FB0"/>
    <w:rsid w:val="00634B3A"/>
    <w:rsid w:val="00635C3F"/>
    <w:rsid w:val="00640502"/>
    <w:rsid w:val="0064461E"/>
    <w:rsid w:val="006522B3"/>
    <w:rsid w:val="00653D36"/>
    <w:rsid w:val="00662BB6"/>
    <w:rsid w:val="0066733C"/>
    <w:rsid w:val="006706D8"/>
    <w:rsid w:val="00670DD6"/>
    <w:rsid w:val="00672178"/>
    <w:rsid w:val="00685A4D"/>
    <w:rsid w:val="006A2133"/>
    <w:rsid w:val="006A4953"/>
    <w:rsid w:val="006B1711"/>
    <w:rsid w:val="006B5265"/>
    <w:rsid w:val="006B5724"/>
    <w:rsid w:val="006B7A2E"/>
    <w:rsid w:val="006C3BC0"/>
    <w:rsid w:val="006E00E4"/>
    <w:rsid w:val="006E11C3"/>
    <w:rsid w:val="006E21DA"/>
    <w:rsid w:val="006F1681"/>
    <w:rsid w:val="006F3E6D"/>
    <w:rsid w:val="007016DB"/>
    <w:rsid w:val="00704417"/>
    <w:rsid w:val="00712479"/>
    <w:rsid w:val="00713F53"/>
    <w:rsid w:val="007272F1"/>
    <w:rsid w:val="00742D80"/>
    <w:rsid w:val="00746FC5"/>
    <w:rsid w:val="00770BD5"/>
    <w:rsid w:val="00770CE1"/>
    <w:rsid w:val="0077309F"/>
    <w:rsid w:val="007A49A2"/>
    <w:rsid w:val="007A5C0C"/>
    <w:rsid w:val="007B15DC"/>
    <w:rsid w:val="007B72C0"/>
    <w:rsid w:val="007C0C07"/>
    <w:rsid w:val="007C5C99"/>
    <w:rsid w:val="007D0F29"/>
    <w:rsid w:val="007E0505"/>
    <w:rsid w:val="007E2524"/>
    <w:rsid w:val="007E46D3"/>
    <w:rsid w:val="00806062"/>
    <w:rsid w:val="008231F9"/>
    <w:rsid w:val="00831179"/>
    <w:rsid w:val="00832792"/>
    <w:rsid w:val="00842C9C"/>
    <w:rsid w:val="0084576A"/>
    <w:rsid w:val="008643B4"/>
    <w:rsid w:val="00870D1D"/>
    <w:rsid w:val="00896DDE"/>
    <w:rsid w:val="008A4A79"/>
    <w:rsid w:val="008A5141"/>
    <w:rsid w:val="008A7B8D"/>
    <w:rsid w:val="008C2A08"/>
    <w:rsid w:val="008D1605"/>
    <w:rsid w:val="008E3938"/>
    <w:rsid w:val="008F102B"/>
    <w:rsid w:val="008F2633"/>
    <w:rsid w:val="008F5BBE"/>
    <w:rsid w:val="009018AD"/>
    <w:rsid w:val="00903D29"/>
    <w:rsid w:val="009165BF"/>
    <w:rsid w:val="0092649F"/>
    <w:rsid w:val="00931EF7"/>
    <w:rsid w:val="00932D86"/>
    <w:rsid w:val="00934178"/>
    <w:rsid w:val="00950CA7"/>
    <w:rsid w:val="0096615F"/>
    <w:rsid w:val="00973AA0"/>
    <w:rsid w:val="00977754"/>
    <w:rsid w:val="00987E07"/>
    <w:rsid w:val="00990B44"/>
    <w:rsid w:val="0099339D"/>
    <w:rsid w:val="00996867"/>
    <w:rsid w:val="009A049F"/>
    <w:rsid w:val="009C0BD1"/>
    <w:rsid w:val="009C3B37"/>
    <w:rsid w:val="009C4371"/>
    <w:rsid w:val="009E20A0"/>
    <w:rsid w:val="00A07FD6"/>
    <w:rsid w:val="00A12575"/>
    <w:rsid w:val="00A20E28"/>
    <w:rsid w:val="00A3396C"/>
    <w:rsid w:val="00A3507F"/>
    <w:rsid w:val="00A36E58"/>
    <w:rsid w:val="00A4650E"/>
    <w:rsid w:val="00A5637C"/>
    <w:rsid w:val="00A614CE"/>
    <w:rsid w:val="00A7114B"/>
    <w:rsid w:val="00A77DB8"/>
    <w:rsid w:val="00A81F7F"/>
    <w:rsid w:val="00A840AD"/>
    <w:rsid w:val="00A93A8A"/>
    <w:rsid w:val="00AA086B"/>
    <w:rsid w:val="00AA41D6"/>
    <w:rsid w:val="00AA7558"/>
    <w:rsid w:val="00AB34EB"/>
    <w:rsid w:val="00AD2A98"/>
    <w:rsid w:val="00B0507D"/>
    <w:rsid w:val="00B10002"/>
    <w:rsid w:val="00B135CA"/>
    <w:rsid w:val="00B15E65"/>
    <w:rsid w:val="00B25B62"/>
    <w:rsid w:val="00B26B52"/>
    <w:rsid w:val="00B27476"/>
    <w:rsid w:val="00B36A22"/>
    <w:rsid w:val="00B560E5"/>
    <w:rsid w:val="00B60E5D"/>
    <w:rsid w:val="00B61103"/>
    <w:rsid w:val="00B65FF3"/>
    <w:rsid w:val="00B72E30"/>
    <w:rsid w:val="00B72EF1"/>
    <w:rsid w:val="00B739DD"/>
    <w:rsid w:val="00B8038C"/>
    <w:rsid w:val="00B834DD"/>
    <w:rsid w:val="00B928E2"/>
    <w:rsid w:val="00BB7F96"/>
    <w:rsid w:val="00BD5078"/>
    <w:rsid w:val="00BE6762"/>
    <w:rsid w:val="00C26082"/>
    <w:rsid w:val="00C31929"/>
    <w:rsid w:val="00C371B4"/>
    <w:rsid w:val="00C515FE"/>
    <w:rsid w:val="00C60441"/>
    <w:rsid w:val="00C6121A"/>
    <w:rsid w:val="00C62270"/>
    <w:rsid w:val="00C64490"/>
    <w:rsid w:val="00C64879"/>
    <w:rsid w:val="00C660AE"/>
    <w:rsid w:val="00C839D3"/>
    <w:rsid w:val="00C83ABC"/>
    <w:rsid w:val="00C9048E"/>
    <w:rsid w:val="00C95BCA"/>
    <w:rsid w:val="00CA31D5"/>
    <w:rsid w:val="00CB29BD"/>
    <w:rsid w:val="00CB5FCF"/>
    <w:rsid w:val="00D21A41"/>
    <w:rsid w:val="00D3231D"/>
    <w:rsid w:val="00D36B0E"/>
    <w:rsid w:val="00D52632"/>
    <w:rsid w:val="00D56356"/>
    <w:rsid w:val="00D56969"/>
    <w:rsid w:val="00D70598"/>
    <w:rsid w:val="00D831DC"/>
    <w:rsid w:val="00DA26FF"/>
    <w:rsid w:val="00DA51FD"/>
    <w:rsid w:val="00DB04F0"/>
    <w:rsid w:val="00DB637B"/>
    <w:rsid w:val="00DD16BE"/>
    <w:rsid w:val="00DE6784"/>
    <w:rsid w:val="00DF2961"/>
    <w:rsid w:val="00DF4CBC"/>
    <w:rsid w:val="00E04B47"/>
    <w:rsid w:val="00E35108"/>
    <w:rsid w:val="00E36355"/>
    <w:rsid w:val="00E438E6"/>
    <w:rsid w:val="00E45A15"/>
    <w:rsid w:val="00E547E3"/>
    <w:rsid w:val="00E54E3A"/>
    <w:rsid w:val="00E57800"/>
    <w:rsid w:val="00E64C5F"/>
    <w:rsid w:val="00E71356"/>
    <w:rsid w:val="00E74183"/>
    <w:rsid w:val="00E800AB"/>
    <w:rsid w:val="00E870B6"/>
    <w:rsid w:val="00E955CF"/>
    <w:rsid w:val="00EA48DD"/>
    <w:rsid w:val="00EB55B6"/>
    <w:rsid w:val="00EC58BD"/>
    <w:rsid w:val="00ED1B1D"/>
    <w:rsid w:val="00ED740E"/>
    <w:rsid w:val="00EE655B"/>
    <w:rsid w:val="00EF505A"/>
    <w:rsid w:val="00F04154"/>
    <w:rsid w:val="00F11782"/>
    <w:rsid w:val="00F14879"/>
    <w:rsid w:val="00F160C6"/>
    <w:rsid w:val="00F17AD3"/>
    <w:rsid w:val="00F24DA8"/>
    <w:rsid w:val="00F2634C"/>
    <w:rsid w:val="00F315E0"/>
    <w:rsid w:val="00F33206"/>
    <w:rsid w:val="00F33601"/>
    <w:rsid w:val="00F47B61"/>
    <w:rsid w:val="00F51910"/>
    <w:rsid w:val="00F56328"/>
    <w:rsid w:val="00F654A1"/>
    <w:rsid w:val="00F71C0E"/>
    <w:rsid w:val="00F72E32"/>
    <w:rsid w:val="00F7745B"/>
    <w:rsid w:val="00F77EF6"/>
    <w:rsid w:val="00F8329B"/>
    <w:rsid w:val="00F845E9"/>
    <w:rsid w:val="00FB6A16"/>
    <w:rsid w:val="00FC6B83"/>
    <w:rsid w:val="00FD00FC"/>
    <w:rsid w:val="00FD2C19"/>
    <w:rsid w:val="00FE77FF"/>
    <w:rsid w:val="00FF0941"/>
    <w:rsid w:val="00FF25C5"/>
    <w:rsid w:val="00FF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416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FindingsConclusions"/>
    <w:next w:val="Normal"/>
    <w:qFormat/>
    <w:rsid w:val="003426EE"/>
    <w:pPr>
      <w:keepNext/>
      <w:numPr>
        <w:numId w:val="0"/>
      </w:numPr>
      <w:spacing w:after="240" w:line="264" w:lineRule="auto"/>
      <w:ind w:left="-720"/>
      <w:jc w:val="center"/>
      <w:outlineLvl w:val="0"/>
    </w:pPr>
    <w:rPr>
      <w:b/>
    </w:rPr>
  </w:style>
  <w:style w:type="paragraph" w:styleId="Heading2">
    <w:name w:val="heading 2"/>
    <w:basedOn w:val="FindingsConclusions"/>
    <w:next w:val="Normal"/>
    <w:qFormat/>
    <w:rsid w:val="003426EE"/>
    <w:pPr>
      <w:keepNext/>
      <w:numPr>
        <w:numId w:val="0"/>
      </w:numPr>
      <w:spacing w:after="240" w:line="264" w:lineRule="auto"/>
      <w:ind w:left="-450"/>
      <w:jc w:val="center"/>
      <w:outlineLvl w:val="1"/>
    </w:pPr>
    <w:rPr>
      <w:b/>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keepLines/>
      <w:jc w:val="center"/>
      <w:outlineLvl w:val="3"/>
    </w:pPr>
    <w:rPr>
      <w:b/>
      <w:bCs/>
      <w:color w:val="000000"/>
    </w:rPr>
  </w:style>
  <w:style w:type="paragraph" w:styleId="Heading5">
    <w:name w:val="heading 5"/>
    <w:basedOn w:val="Normal"/>
    <w:next w:val="Normal"/>
    <w:qFormat/>
    <w:pPr>
      <w:keepNext/>
      <w:keepLines/>
      <w:jc w:val="center"/>
      <w:outlineLvl w:val="4"/>
    </w:pPr>
    <w:rPr>
      <w:b/>
      <w:bCs/>
      <w:color w:val="000000"/>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Indent">
    <w:name w:val="Body Text Indent"/>
    <w:basedOn w:val="Normal"/>
    <w:pPr>
      <w:ind w:firstLine="720"/>
    </w:pPr>
  </w:style>
  <w:style w:type="paragraph" w:customStyle="1" w:styleId="FindingsConclusions">
    <w:name w:val="Findings &amp; Conclusions"/>
    <w:basedOn w:val="Normal"/>
    <w:link w:val="FindingsConclusionsChar"/>
    <w:pPr>
      <w:numPr>
        <w:numId w:val="1"/>
      </w:numPr>
    </w:pPr>
  </w:style>
  <w:style w:type="paragraph" w:styleId="BodyText2">
    <w:name w:val="Body Text 2"/>
    <w:basedOn w:val="Normal"/>
    <w:pPr>
      <w:autoSpaceDE w:val="0"/>
      <w:autoSpaceDN w:val="0"/>
      <w:adjustRightInd w:val="0"/>
      <w:spacing w:line="240" w:lineRule="atLeast"/>
    </w:pPr>
    <w:rPr>
      <w:color w:val="000000"/>
    </w:rPr>
  </w:style>
  <w:style w:type="paragraph" w:styleId="BodyText3">
    <w:name w:val="Body Text 3"/>
    <w:basedOn w:val="Normal"/>
    <w:rPr>
      <w:b/>
      <w:bC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character" w:styleId="FootnoteReference">
    <w:name w:val="footnote reference"/>
    <w:rsid w:val="00EA48DD"/>
    <w:rPr>
      <w:vertAlign w:val="superscript"/>
    </w:rPr>
  </w:style>
  <w:style w:type="character" w:styleId="Hyperlink">
    <w:name w:val="Hyperlink"/>
    <w:rsid w:val="00EA48DD"/>
    <w:rPr>
      <w:color w:val="0563C1"/>
      <w:u w:val="single"/>
    </w:rPr>
  </w:style>
  <w:style w:type="paragraph" w:styleId="NoSpacing">
    <w:name w:val="No Spacing"/>
    <w:uiPriority w:val="1"/>
    <w:qFormat/>
    <w:rsid w:val="00026882"/>
    <w:rPr>
      <w:sz w:val="24"/>
      <w:szCs w:val="24"/>
    </w:rPr>
  </w:style>
  <w:style w:type="character" w:customStyle="1" w:styleId="HeaderChar">
    <w:name w:val="Header Char"/>
    <w:link w:val="Header"/>
    <w:rsid w:val="004864DD"/>
    <w:rPr>
      <w:sz w:val="24"/>
      <w:szCs w:val="24"/>
    </w:rPr>
  </w:style>
  <w:style w:type="character" w:customStyle="1" w:styleId="enumxml1">
    <w:name w:val="enumxml1"/>
    <w:rsid w:val="005442C2"/>
    <w:rPr>
      <w:b/>
      <w:bCs/>
    </w:rPr>
  </w:style>
  <w:style w:type="character" w:customStyle="1" w:styleId="ptext-14">
    <w:name w:val="ptext-14"/>
    <w:rsid w:val="005442C2"/>
  </w:style>
  <w:style w:type="paragraph" w:customStyle="1" w:styleId="Complaint">
    <w:name w:val="Complaint"/>
    <w:basedOn w:val="FindingsConclusions"/>
    <w:link w:val="ComplaintChar"/>
    <w:qFormat/>
    <w:rsid w:val="00635C3F"/>
    <w:pPr>
      <w:numPr>
        <w:numId w:val="2"/>
      </w:numPr>
      <w:tabs>
        <w:tab w:val="clear" w:pos="720"/>
        <w:tab w:val="num" w:pos="0"/>
      </w:tabs>
      <w:spacing w:after="240" w:line="264" w:lineRule="auto"/>
    </w:pPr>
  </w:style>
  <w:style w:type="character" w:customStyle="1" w:styleId="FindingsConclusionsChar">
    <w:name w:val="Findings &amp; Conclusions Char"/>
    <w:basedOn w:val="DefaultParagraphFont"/>
    <w:link w:val="FindingsConclusions"/>
    <w:rsid w:val="00635C3F"/>
    <w:rPr>
      <w:sz w:val="24"/>
      <w:szCs w:val="24"/>
    </w:rPr>
  </w:style>
  <w:style w:type="character" w:customStyle="1" w:styleId="ComplaintChar">
    <w:name w:val="Complaint Char"/>
    <w:basedOn w:val="FindingsConclusionsChar"/>
    <w:link w:val="Complaint"/>
    <w:rsid w:val="00635C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Order - Other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015</IndustryCode>
    <CaseStatus xmlns="dc463f71-b30c-4ab2-9473-d307f9d35888">Closed</CaseStatus>
    <OpenedDate xmlns="dc463f71-b30c-4ab2-9473-d307f9d35888">2015-01-22T08:00:00+00:00</OpenedDate>
    <Date1 xmlns="dc463f71-b30c-4ab2-9473-d307f9d35888">2016-07-12T07:00:00+00:00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150120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088D043ADB6D40B38EC7A4D2FE1737" ma:contentTypeVersion="119" ma:contentTypeDescription="" ma:contentTypeScope="" ma:versionID="2779f7843b1dfbfc9a4a36828712b8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BC586-BB09-49BD-B77D-FE5A49543DBA}"/>
</file>

<file path=customXml/itemProps2.xml><?xml version="1.0" encoding="utf-8"?>
<ds:datastoreItem xmlns:ds="http://schemas.openxmlformats.org/officeDocument/2006/customXml" ds:itemID="{4334ACCF-13F9-4352-AC28-36EDCC65B5CA}"/>
</file>

<file path=customXml/itemProps3.xml><?xml version="1.0" encoding="utf-8"?>
<ds:datastoreItem xmlns:ds="http://schemas.openxmlformats.org/officeDocument/2006/customXml" ds:itemID="{C35368C9-68FD-402D-802C-2AB027631C51}"/>
</file>

<file path=customXml/itemProps4.xml><?xml version="1.0" encoding="utf-8"?>
<ds:datastoreItem xmlns:ds="http://schemas.openxmlformats.org/officeDocument/2006/customXml" ds:itemID="{7ACA3E40-A65A-453A-A208-84D5E436A1F1}"/>
</file>

<file path=customXml/itemProps5.xml><?xml version="1.0" encoding="utf-8"?>
<ds:datastoreItem xmlns:ds="http://schemas.openxmlformats.org/officeDocument/2006/customXml" ds:itemID="{F96AEB06-87CE-4895-A802-58287A4FAC6B}"/>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Complaint</vt:lpstr>
    </vt:vector>
  </TitlesOfParts>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dc:title>
  <dc:subject/>
  <dc:creator/>
  <cp:keywords/>
  <dc:description/>
  <cp:lastModifiedBy/>
  <cp:revision>1</cp:revision>
  <dcterms:created xsi:type="dcterms:W3CDTF">2016-07-06T19:02:00Z</dcterms:created>
  <dcterms:modified xsi:type="dcterms:W3CDTF">2016-07-12T16:20:00Z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0x0101006E56B4D1795A2E4DB2F0B01679ED314A00A3088D043ADB6D40B38EC7A4D2FE1737</vt:lpwstr>
  </property>
  <property fmtid="{D5CDD505-2E9C-101B-9397-08002B2CF9AE}" pid="3" name="_docset_NoMedatataSyncRequired">
    <vt:lpwstr>False</vt:lpwstr>
  </property>
</Properties>
</file>