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D2881" w14:textId="77777777" w:rsidR="00BE6DF1" w:rsidRPr="00832C5A" w:rsidRDefault="00BE6DF1" w:rsidP="00832C5A">
      <w:pPr>
        <w:pStyle w:val="BodyText"/>
        <w:keepLines/>
        <w:tabs>
          <w:tab w:val="clear" w:pos="4680"/>
        </w:tabs>
      </w:pPr>
      <w:r w:rsidRPr="00832C5A">
        <w:t>BEFORE THE WASHINGTON UTILITIES AND TRANSPORTATION COMMISSION</w:t>
      </w:r>
    </w:p>
    <w:p w14:paraId="2AB7B954" w14:textId="77777777" w:rsidR="004943B1" w:rsidRPr="00832C5A" w:rsidRDefault="004943B1" w:rsidP="008F2AD4">
      <w:pPr>
        <w:pStyle w:val="BodyText"/>
        <w:keepLines/>
      </w:pPr>
    </w:p>
    <w:tbl>
      <w:tblPr>
        <w:tblW w:w="13770" w:type="dxa"/>
        <w:tblInd w:w="124" w:type="dxa"/>
        <w:tblLayout w:type="fixed"/>
        <w:tblCellMar>
          <w:left w:w="124" w:type="dxa"/>
          <w:right w:w="124" w:type="dxa"/>
        </w:tblCellMar>
        <w:tblLook w:val="0000" w:firstRow="0" w:lastRow="0" w:firstColumn="0" w:lastColumn="0" w:noHBand="0" w:noVBand="0"/>
      </w:tblPr>
      <w:tblGrid>
        <w:gridCol w:w="4590"/>
        <w:gridCol w:w="268"/>
        <w:gridCol w:w="8912"/>
      </w:tblGrid>
      <w:tr w:rsidR="00793B11" w:rsidRPr="00832C5A" w14:paraId="3FE12C52" w14:textId="77777777" w:rsidTr="00793B11">
        <w:tc>
          <w:tcPr>
            <w:tcW w:w="4590" w:type="dxa"/>
            <w:tcBorders>
              <w:top w:val="single" w:sz="6" w:space="0" w:color="FFFFFF"/>
              <w:left w:val="single" w:sz="6" w:space="0" w:color="FFFFFF"/>
              <w:bottom w:val="single" w:sz="7" w:space="0" w:color="000000"/>
              <w:right w:val="single" w:sz="6" w:space="0" w:color="FFFFFF"/>
            </w:tcBorders>
          </w:tcPr>
          <w:p w14:paraId="35DBC50E" w14:textId="77777777" w:rsidR="00793B11" w:rsidRPr="00D84517" w:rsidRDefault="00793B11" w:rsidP="00793B11">
            <w:pPr>
              <w:keepLines/>
              <w:spacing w:line="264" w:lineRule="auto"/>
              <w:rPr>
                <w:sz w:val="25"/>
                <w:szCs w:val="25"/>
              </w:rPr>
            </w:pPr>
            <w:r w:rsidRPr="00D84517">
              <w:rPr>
                <w:caps/>
                <w:sz w:val="25"/>
                <w:szCs w:val="25"/>
              </w:rPr>
              <w:t>Washington Utilities and Transportation Commission</w:t>
            </w:r>
            <w:r w:rsidRPr="00D84517">
              <w:rPr>
                <w:sz w:val="25"/>
                <w:szCs w:val="25"/>
              </w:rPr>
              <w:t>,</w:t>
            </w:r>
          </w:p>
          <w:p w14:paraId="4B236C3F" w14:textId="77777777" w:rsidR="00793B11" w:rsidRPr="00D84517" w:rsidRDefault="00793B11" w:rsidP="00793B11">
            <w:pPr>
              <w:keepLines/>
              <w:spacing w:line="264" w:lineRule="auto"/>
              <w:rPr>
                <w:sz w:val="25"/>
                <w:szCs w:val="25"/>
              </w:rPr>
            </w:pPr>
          </w:p>
          <w:p w14:paraId="28FC95A3" w14:textId="77777777" w:rsidR="00793B11" w:rsidRPr="00D84517" w:rsidRDefault="00793B11" w:rsidP="00793B11">
            <w:pPr>
              <w:keepLines/>
              <w:tabs>
                <w:tab w:val="left" w:pos="2100"/>
              </w:tabs>
              <w:spacing w:line="264" w:lineRule="auto"/>
              <w:rPr>
                <w:sz w:val="25"/>
                <w:szCs w:val="25"/>
              </w:rPr>
            </w:pPr>
            <w:r w:rsidRPr="00D84517">
              <w:rPr>
                <w:sz w:val="25"/>
                <w:szCs w:val="25"/>
              </w:rPr>
              <w:tab/>
              <w:t>Complainant,</w:t>
            </w:r>
          </w:p>
          <w:p w14:paraId="7D056581" w14:textId="77777777" w:rsidR="00793B11" w:rsidRPr="00D84517" w:rsidRDefault="00793B11" w:rsidP="00793B11">
            <w:pPr>
              <w:keepLines/>
              <w:rPr>
                <w:sz w:val="25"/>
                <w:szCs w:val="25"/>
              </w:rPr>
            </w:pPr>
          </w:p>
          <w:p w14:paraId="5313F727" w14:textId="77777777" w:rsidR="00793B11" w:rsidRPr="00D84517" w:rsidRDefault="00793B11" w:rsidP="00793B11">
            <w:pPr>
              <w:keepLines/>
              <w:spacing w:line="264" w:lineRule="auto"/>
              <w:rPr>
                <w:sz w:val="25"/>
                <w:szCs w:val="25"/>
              </w:rPr>
            </w:pPr>
            <w:r w:rsidRPr="00D84517">
              <w:rPr>
                <w:sz w:val="25"/>
                <w:szCs w:val="25"/>
              </w:rPr>
              <w:t>v.</w:t>
            </w:r>
          </w:p>
          <w:p w14:paraId="3FFD8595" w14:textId="77777777" w:rsidR="00793B11" w:rsidRPr="00D84517" w:rsidRDefault="00793B11" w:rsidP="00793B11">
            <w:pPr>
              <w:keepLines/>
              <w:spacing w:line="264" w:lineRule="auto"/>
              <w:rPr>
                <w:sz w:val="25"/>
                <w:szCs w:val="25"/>
              </w:rPr>
            </w:pPr>
          </w:p>
          <w:p w14:paraId="7BFA8CFA" w14:textId="77777777" w:rsidR="00793B11" w:rsidRPr="00064E6B" w:rsidRDefault="00793B11" w:rsidP="00793B11">
            <w:pPr>
              <w:pStyle w:val="Header"/>
              <w:keepLines/>
              <w:tabs>
                <w:tab w:val="clear" w:pos="4320"/>
                <w:tab w:val="clear" w:pos="8640"/>
              </w:tabs>
              <w:spacing w:line="264" w:lineRule="auto"/>
              <w:rPr>
                <w:color w:val="000000"/>
                <w:sz w:val="25"/>
                <w:szCs w:val="25"/>
              </w:rPr>
            </w:pPr>
            <w:r>
              <w:rPr>
                <w:color w:val="000000"/>
                <w:sz w:val="25"/>
                <w:szCs w:val="25"/>
              </w:rPr>
              <w:t>PELICAN POINT WATER COMPANY,</w:t>
            </w:r>
          </w:p>
          <w:p w14:paraId="55FF4995" w14:textId="77777777" w:rsidR="00793B11" w:rsidRPr="00064E6B" w:rsidRDefault="00793B11" w:rsidP="00793B11">
            <w:pPr>
              <w:pStyle w:val="Header"/>
              <w:keepLines/>
              <w:tabs>
                <w:tab w:val="clear" w:pos="4320"/>
                <w:tab w:val="clear" w:pos="8640"/>
              </w:tabs>
              <w:spacing w:line="264" w:lineRule="auto"/>
              <w:rPr>
                <w:sz w:val="25"/>
                <w:szCs w:val="25"/>
              </w:rPr>
            </w:pPr>
          </w:p>
          <w:p w14:paraId="3DB6AF39" w14:textId="77777777" w:rsidR="00793B11" w:rsidRDefault="00793B11" w:rsidP="00793B11">
            <w:pPr>
              <w:rPr>
                <w:sz w:val="25"/>
                <w:szCs w:val="25"/>
              </w:rPr>
            </w:pPr>
            <w:r w:rsidRPr="00064E6B">
              <w:rPr>
                <w:sz w:val="25"/>
                <w:szCs w:val="25"/>
              </w:rPr>
              <w:tab/>
            </w:r>
            <w:r>
              <w:rPr>
                <w:sz w:val="25"/>
                <w:szCs w:val="25"/>
              </w:rPr>
              <w:t xml:space="preserve">                       </w:t>
            </w:r>
            <w:r w:rsidRPr="00064E6B">
              <w:rPr>
                <w:sz w:val="25"/>
                <w:szCs w:val="25"/>
              </w:rPr>
              <w:t>Respondent</w:t>
            </w:r>
            <w:r w:rsidRPr="00D84517">
              <w:rPr>
                <w:sz w:val="25"/>
                <w:szCs w:val="25"/>
              </w:rPr>
              <w:t>.</w:t>
            </w:r>
          </w:p>
          <w:p w14:paraId="755E09E9" w14:textId="77777777" w:rsidR="00793B11" w:rsidRPr="00793B11" w:rsidRDefault="00793B11" w:rsidP="00793B11">
            <w:pPr>
              <w:spacing w:after="19"/>
              <w:rPr>
                <w:sz w:val="25"/>
                <w:szCs w:val="25"/>
              </w:rPr>
            </w:pPr>
          </w:p>
        </w:tc>
        <w:tc>
          <w:tcPr>
            <w:tcW w:w="268" w:type="dxa"/>
            <w:tcBorders>
              <w:top w:val="single" w:sz="6" w:space="0" w:color="FFFFFF"/>
              <w:left w:val="single" w:sz="6" w:space="0" w:color="FFFFFF"/>
              <w:bottom w:val="single" w:sz="7" w:space="0" w:color="000000"/>
              <w:right w:val="single" w:sz="6" w:space="0" w:color="FFFFFF"/>
            </w:tcBorders>
          </w:tcPr>
          <w:p w14:paraId="475501B2" w14:textId="4A1DD415" w:rsidR="00793B11" w:rsidRPr="00793B11" w:rsidRDefault="00793B11" w:rsidP="00793B11">
            <w:pPr>
              <w:spacing w:after="19"/>
              <w:rPr>
                <w:sz w:val="25"/>
                <w:szCs w:val="25"/>
              </w:rPr>
            </w:pPr>
          </w:p>
        </w:tc>
        <w:tc>
          <w:tcPr>
            <w:tcW w:w="8912" w:type="dxa"/>
            <w:tcBorders>
              <w:top w:val="single" w:sz="6" w:space="0" w:color="FFFFFF"/>
              <w:left w:val="single" w:sz="7" w:space="0" w:color="000000"/>
              <w:bottom w:val="single" w:sz="6" w:space="0" w:color="FFFFFF"/>
              <w:right w:val="single" w:sz="6" w:space="0" w:color="FFFFFF"/>
            </w:tcBorders>
          </w:tcPr>
          <w:p w14:paraId="79E73E9A" w14:textId="77777777" w:rsidR="00793B11" w:rsidRPr="00793B11" w:rsidRDefault="00793B11" w:rsidP="00793B11">
            <w:pPr>
              <w:ind w:left="720" w:hanging="34"/>
              <w:rPr>
                <w:bCs/>
              </w:rPr>
            </w:pPr>
            <w:r w:rsidRPr="00793B11">
              <w:t xml:space="preserve">DOCKETS </w:t>
            </w:r>
            <w:r w:rsidRPr="00793B11">
              <w:rPr>
                <w:bCs/>
              </w:rPr>
              <w:t xml:space="preserve">UW-143980 and </w:t>
            </w:r>
          </w:p>
          <w:p w14:paraId="375980BF" w14:textId="77777777" w:rsidR="00793B11" w:rsidRPr="00793B11" w:rsidRDefault="00793B11" w:rsidP="00793B11">
            <w:pPr>
              <w:ind w:left="720" w:hanging="34"/>
              <w:rPr>
                <w:bCs/>
              </w:rPr>
            </w:pPr>
            <w:r w:rsidRPr="00793B11">
              <w:rPr>
                <w:bCs/>
              </w:rPr>
              <w:t>UW-150548  (</w:t>
            </w:r>
            <w:r w:rsidRPr="00793B11">
              <w:rPr>
                <w:bCs/>
                <w:i/>
              </w:rPr>
              <w:t>Consolidated</w:t>
            </w:r>
            <w:r w:rsidRPr="00793B11">
              <w:rPr>
                <w:bCs/>
              </w:rPr>
              <w:t xml:space="preserve">) </w:t>
            </w:r>
          </w:p>
          <w:p w14:paraId="59B513B5" w14:textId="77777777" w:rsidR="00793B11" w:rsidRPr="00832C5A" w:rsidRDefault="00793B11" w:rsidP="00793B11">
            <w:pPr>
              <w:ind w:left="686"/>
            </w:pPr>
          </w:p>
          <w:p w14:paraId="12C1D9DA" w14:textId="77777777" w:rsidR="00793B11" w:rsidRPr="00832C5A" w:rsidRDefault="00793B11" w:rsidP="00793B11">
            <w:pPr>
              <w:ind w:left="686"/>
            </w:pPr>
          </w:p>
          <w:p w14:paraId="30EB2925" w14:textId="77777777" w:rsidR="00793B11" w:rsidRDefault="00793B11" w:rsidP="00793B11">
            <w:pPr>
              <w:spacing w:after="19"/>
              <w:ind w:left="686"/>
            </w:pPr>
            <w:r w:rsidRPr="00832C5A">
              <w:t xml:space="preserve">NARRATIVE SUPPORTING </w:t>
            </w:r>
          </w:p>
          <w:p w14:paraId="7784E20E" w14:textId="489643E9" w:rsidR="00793B11" w:rsidRPr="00832C5A" w:rsidRDefault="00793B11" w:rsidP="00793B11">
            <w:pPr>
              <w:spacing w:after="19"/>
              <w:ind w:left="686"/>
            </w:pPr>
            <w:r w:rsidRPr="00832C5A">
              <w:t xml:space="preserve">SETTLEMENT AGREEMENT </w:t>
            </w:r>
          </w:p>
        </w:tc>
      </w:tr>
      <w:tr w:rsidR="00793B11" w:rsidRPr="00832C5A" w14:paraId="14889A08" w14:textId="77777777" w:rsidTr="00793B11">
        <w:tc>
          <w:tcPr>
            <w:tcW w:w="4590" w:type="dxa"/>
            <w:tcBorders>
              <w:top w:val="single" w:sz="6" w:space="0" w:color="FFFFFF"/>
              <w:left w:val="single" w:sz="6" w:space="0" w:color="FFFFFF"/>
              <w:bottom w:val="single" w:sz="7" w:space="0" w:color="000000"/>
              <w:right w:val="single" w:sz="6" w:space="0" w:color="FFFFFF"/>
            </w:tcBorders>
          </w:tcPr>
          <w:p w14:paraId="5789DEC0" w14:textId="77777777" w:rsidR="00793B11" w:rsidRDefault="00793B11" w:rsidP="00793B11">
            <w:pPr>
              <w:keepLines/>
              <w:spacing w:line="264" w:lineRule="auto"/>
              <w:rPr>
                <w:caps/>
                <w:sz w:val="25"/>
                <w:szCs w:val="25"/>
              </w:rPr>
            </w:pPr>
          </w:p>
          <w:p w14:paraId="5F334E47" w14:textId="77777777" w:rsidR="00793B11" w:rsidRPr="00D84517" w:rsidRDefault="00793B11" w:rsidP="00793B11">
            <w:pPr>
              <w:keepLines/>
              <w:spacing w:line="264" w:lineRule="auto"/>
              <w:rPr>
                <w:sz w:val="25"/>
                <w:szCs w:val="25"/>
              </w:rPr>
            </w:pPr>
            <w:r w:rsidRPr="00D84517">
              <w:rPr>
                <w:caps/>
                <w:sz w:val="25"/>
                <w:szCs w:val="25"/>
              </w:rPr>
              <w:t>Washington Utilities and Transportation Commission</w:t>
            </w:r>
            <w:r w:rsidRPr="00D84517">
              <w:rPr>
                <w:sz w:val="25"/>
                <w:szCs w:val="25"/>
              </w:rPr>
              <w:t>,</w:t>
            </w:r>
          </w:p>
          <w:p w14:paraId="4E4EF486" w14:textId="77777777" w:rsidR="00793B11" w:rsidRPr="00D84517" w:rsidRDefault="00793B11" w:rsidP="00793B11">
            <w:pPr>
              <w:keepLines/>
              <w:spacing w:line="264" w:lineRule="auto"/>
              <w:rPr>
                <w:sz w:val="25"/>
                <w:szCs w:val="25"/>
              </w:rPr>
            </w:pPr>
          </w:p>
          <w:p w14:paraId="4607A6C0" w14:textId="77777777" w:rsidR="00793B11" w:rsidRPr="00D84517" w:rsidRDefault="00793B11" w:rsidP="00793B11">
            <w:pPr>
              <w:keepLines/>
              <w:tabs>
                <w:tab w:val="left" w:pos="2100"/>
              </w:tabs>
              <w:spacing w:line="264" w:lineRule="auto"/>
              <w:rPr>
                <w:sz w:val="25"/>
                <w:szCs w:val="25"/>
              </w:rPr>
            </w:pPr>
            <w:r w:rsidRPr="00D84517">
              <w:rPr>
                <w:sz w:val="25"/>
                <w:szCs w:val="25"/>
              </w:rPr>
              <w:tab/>
              <w:t>Complainant,</w:t>
            </w:r>
          </w:p>
          <w:p w14:paraId="2E94E712" w14:textId="77777777" w:rsidR="00793B11" w:rsidRPr="00D84517" w:rsidRDefault="00793B11" w:rsidP="00793B11">
            <w:pPr>
              <w:keepLines/>
              <w:rPr>
                <w:sz w:val="25"/>
                <w:szCs w:val="25"/>
              </w:rPr>
            </w:pPr>
          </w:p>
          <w:p w14:paraId="217176C8" w14:textId="77777777" w:rsidR="00793B11" w:rsidRPr="00D84517" w:rsidRDefault="00793B11" w:rsidP="00793B11">
            <w:pPr>
              <w:keepLines/>
              <w:spacing w:line="264" w:lineRule="auto"/>
              <w:rPr>
                <w:sz w:val="25"/>
                <w:szCs w:val="25"/>
              </w:rPr>
            </w:pPr>
            <w:r w:rsidRPr="00D84517">
              <w:rPr>
                <w:sz w:val="25"/>
                <w:szCs w:val="25"/>
              </w:rPr>
              <w:t>v.</w:t>
            </w:r>
          </w:p>
          <w:p w14:paraId="18E696F3" w14:textId="77777777" w:rsidR="00793B11" w:rsidRPr="00FB6D6F" w:rsidRDefault="00793B11" w:rsidP="00793B11">
            <w:pPr>
              <w:pStyle w:val="Header"/>
              <w:keepLines/>
              <w:tabs>
                <w:tab w:val="clear" w:pos="4320"/>
                <w:tab w:val="clear" w:pos="8640"/>
              </w:tabs>
              <w:spacing w:line="264" w:lineRule="auto"/>
              <w:rPr>
                <w:color w:val="000000"/>
                <w:sz w:val="25"/>
                <w:szCs w:val="25"/>
                <w:highlight w:val="yellow"/>
              </w:rPr>
            </w:pPr>
          </w:p>
          <w:p w14:paraId="613995E8" w14:textId="77777777" w:rsidR="00793B11" w:rsidRPr="00696EB9" w:rsidRDefault="00793B11" w:rsidP="00793B11">
            <w:pPr>
              <w:pStyle w:val="Header"/>
              <w:keepLines/>
              <w:tabs>
                <w:tab w:val="clear" w:pos="4320"/>
                <w:tab w:val="clear" w:pos="8640"/>
              </w:tabs>
              <w:spacing w:line="264" w:lineRule="auto"/>
              <w:rPr>
                <w:caps/>
                <w:color w:val="000000"/>
                <w:sz w:val="25"/>
                <w:szCs w:val="25"/>
              </w:rPr>
            </w:pPr>
            <w:r w:rsidRPr="00696EB9">
              <w:rPr>
                <w:color w:val="000000"/>
                <w:sz w:val="25"/>
                <w:szCs w:val="25"/>
              </w:rPr>
              <w:t>JILL GOODRICH,</w:t>
            </w:r>
          </w:p>
          <w:p w14:paraId="7938D6DF" w14:textId="77777777" w:rsidR="00793B11" w:rsidRPr="00696EB9" w:rsidRDefault="00793B11" w:rsidP="00793B11">
            <w:pPr>
              <w:pStyle w:val="Header"/>
              <w:keepLines/>
              <w:tabs>
                <w:tab w:val="clear" w:pos="4320"/>
                <w:tab w:val="clear" w:pos="8640"/>
              </w:tabs>
              <w:spacing w:line="264" w:lineRule="auto"/>
              <w:rPr>
                <w:sz w:val="25"/>
                <w:szCs w:val="25"/>
              </w:rPr>
            </w:pPr>
          </w:p>
          <w:p w14:paraId="149810F1" w14:textId="77777777" w:rsidR="00793B11" w:rsidRDefault="00793B11" w:rsidP="00793B11">
            <w:pPr>
              <w:keepLines/>
              <w:tabs>
                <w:tab w:val="left" w:pos="2100"/>
              </w:tabs>
              <w:spacing w:line="264" w:lineRule="auto"/>
              <w:rPr>
                <w:sz w:val="25"/>
                <w:szCs w:val="25"/>
              </w:rPr>
            </w:pPr>
            <w:r w:rsidRPr="00696EB9">
              <w:rPr>
                <w:sz w:val="25"/>
                <w:szCs w:val="25"/>
              </w:rPr>
              <w:tab/>
              <w:t>Respondent</w:t>
            </w:r>
            <w:r w:rsidRPr="00D84517">
              <w:rPr>
                <w:sz w:val="25"/>
                <w:szCs w:val="25"/>
              </w:rPr>
              <w:t>.</w:t>
            </w:r>
          </w:p>
          <w:p w14:paraId="541422B8" w14:textId="77777777" w:rsidR="00793B11" w:rsidRPr="00D84517" w:rsidRDefault="00793B11" w:rsidP="00793B11">
            <w:pPr>
              <w:keepLines/>
              <w:spacing w:line="264" w:lineRule="auto"/>
              <w:rPr>
                <w:caps/>
                <w:sz w:val="25"/>
                <w:szCs w:val="25"/>
              </w:rPr>
            </w:pPr>
          </w:p>
        </w:tc>
        <w:tc>
          <w:tcPr>
            <w:tcW w:w="268" w:type="dxa"/>
            <w:tcBorders>
              <w:top w:val="single" w:sz="6" w:space="0" w:color="FFFFFF"/>
              <w:left w:val="single" w:sz="6" w:space="0" w:color="FFFFFF"/>
              <w:bottom w:val="single" w:sz="7" w:space="0" w:color="000000"/>
              <w:right w:val="single" w:sz="6" w:space="0" w:color="FFFFFF"/>
            </w:tcBorders>
          </w:tcPr>
          <w:p w14:paraId="2384CA48" w14:textId="77777777" w:rsidR="00793B11" w:rsidRPr="00793B11" w:rsidRDefault="00793B11" w:rsidP="00793B11">
            <w:pPr>
              <w:spacing w:after="19"/>
              <w:rPr>
                <w:sz w:val="25"/>
                <w:szCs w:val="25"/>
              </w:rPr>
            </w:pPr>
          </w:p>
        </w:tc>
        <w:tc>
          <w:tcPr>
            <w:tcW w:w="8912" w:type="dxa"/>
            <w:tcBorders>
              <w:top w:val="single" w:sz="6" w:space="0" w:color="FFFFFF"/>
              <w:left w:val="single" w:sz="7" w:space="0" w:color="000000"/>
              <w:bottom w:val="single" w:sz="6" w:space="0" w:color="FFFFFF"/>
              <w:right w:val="single" w:sz="6" w:space="0" w:color="FFFFFF"/>
            </w:tcBorders>
          </w:tcPr>
          <w:p w14:paraId="3850F30A" w14:textId="77777777" w:rsidR="00793B11" w:rsidRPr="00832C5A" w:rsidRDefault="00793B11" w:rsidP="00793B11">
            <w:pPr>
              <w:ind w:left="720" w:hanging="34"/>
            </w:pPr>
          </w:p>
        </w:tc>
      </w:tr>
    </w:tbl>
    <w:p w14:paraId="3C6E1BBB" w14:textId="77777777" w:rsidR="00D9488E" w:rsidRPr="00832C5A" w:rsidRDefault="00D9488E">
      <w:pPr>
        <w:pStyle w:val="BodyTextIndent2"/>
        <w:spacing w:line="240" w:lineRule="auto"/>
      </w:pPr>
    </w:p>
    <w:p w14:paraId="672ABBE2" w14:textId="7D47C426" w:rsidR="009177A1" w:rsidRPr="00832C5A" w:rsidRDefault="009177A1" w:rsidP="009177A1">
      <w:pPr>
        <w:pStyle w:val="HeadingRomanAllCap"/>
        <w:tabs>
          <w:tab w:val="clear" w:pos="3960"/>
        </w:tabs>
      </w:pPr>
      <w:r w:rsidRPr="00832C5A">
        <w:t>INTRODUCTION</w:t>
      </w:r>
    </w:p>
    <w:p w14:paraId="6D76BCF8" w14:textId="77777777" w:rsidR="00150332" w:rsidRPr="00832C5A" w:rsidRDefault="00150332" w:rsidP="00150332">
      <w:pPr>
        <w:pStyle w:val="HeadingRomanAllCap"/>
        <w:numPr>
          <w:ilvl w:val="0"/>
          <w:numId w:val="0"/>
        </w:numPr>
        <w:jc w:val="left"/>
      </w:pPr>
    </w:p>
    <w:p w14:paraId="48EA28F4" w14:textId="5751858D" w:rsidR="009177A1" w:rsidRPr="00832C5A" w:rsidRDefault="009177A1" w:rsidP="00FB58F4">
      <w:pPr>
        <w:pStyle w:val="ListParagraph"/>
        <w:numPr>
          <w:ilvl w:val="0"/>
          <w:numId w:val="32"/>
        </w:numPr>
        <w:spacing w:line="480" w:lineRule="auto"/>
        <w:ind w:left="0"/>
        <w:rPr>
          <w:rFonts w:ascii="Times New Roman" w:hAnsi="Times New Roman" w:cs="Times New Roman"/>
          <w:sz w:val="24"/>
          <w:szCs w:val="24"/>
        </w:rPr>
      </w:pPr>
      <w:r w:rsidRPr="00832C5A">
        <w:rPr>
          <w:rFonts w:ascii="Times New Roman" w:hAnsi="Times New Roman" w:cs="Times New Roman"/>
          <w:sz w:val="24"/>
          <w:szCs w:val="24"/>
        </w:rPr>
        <w:t xml:space="preserve"> </w:t>
      </w:r>
      <w:r w:rsidRPr="00832C5A">
        <w:rPr>
          <w:rFonts w:ascii="Times New Roman" w:hAnsi="Times New Roman" w:cs="Times New Roman"/>
          <w:sz w:val="24"/>
          <w:szCs w:val="24"/>
        </w:rPr>
        <w:tab/>
      </w:r>
      <w:r w:rsidR="00FB58F4" w:rsidRPr="00832C5A">
        <w:rPr>
          <w:rFonts w:ascii="Times New Roman" w:hAnsi="Times New Roman" w:cs="Times New Roman"/>
          <w:sz w:val="24"/>
          <w:szCs w:val="24"/>
        </w:rPr>
        <w:t xml:space="preserve">This Narrative Supporting Settlement Agreement (“Narrative”) is filed pursuant to WAC 480-07-740(2)(a) on behalf of </w:t>
      </w:r>
      <w:r w:rsidR="00793B11" w:rsidRPr="00793B11">
        <w:rPr>
          <w:rFonts w:ascii="Times New Roman" w:hAnsi="Times New Roman" w:cs="Times New Roman"/>
          <w:sz w:val="24"/>
          <w:szCs w:val="24"/>
        </w:rPr>
        <w:t xml:space="preserve">Pelican Point Water Company (“Pelican” or the “Company”), Jill Goodrich, </w:t>
      </w:r>
      <w:r w:rsidR="00FB58F4" w:rsidRPr="00832C5A">
        <w:rPr>
          <w:rFonts w:ascii="Times New Roman" w:hAnsi="Times New Roman" w:cs="Times New Roman"/>
          <w:sz w:val="24"/>
          <w:szCs w:val="24"/>
        </w:rPr>
        <w:t>and staff of the Washington Utilities and Transportation Commission (“Staff”) (hereinafter collectively referred to as “Parties” a</w:t>
      </w:r>
      <w:r w:rsidR="00960D8A" w:rsidRPr="00832C5A">
        <w:rPr>
          <w:rFonts w:ascii="Times New Roman" w:hAnsi="Times New Roman" w:cs="Times New Roman"/>
          <w:sz w:val="24"/>
          <w:szCs w:val="24"/>
        </w:rPr>
        <w:t xml:space="preserve">nd individually as  “Party”). </w:t>
      </w:r>
      <w:r w:rsidR="00FB58F4" w:rsidRPr="00832C5A">
        <w:rPr>
          <w:rFonts w:ascii="Times New Roman" w:hAnsi="Times New Roman" w:cs="Times New Roman"/>
          <w:sz w:val="24"/>
          <w:szCs w:val="24"/>
        </w:rPr>
        <w:t>This Narrative summarizes the Settlement Agreement (“Set</w:t>
      </w:r>
      <w:r w:rsidR="00960D8A" w:rsidRPr="00832C5A">
        <w:rPr>
          <w:rFonts w:ascii="Times New Roman" w:hAnsi="Times New Roman" w:cs="Times New Roman"/>
          <w:sz w:val="24"/>
          <w:szCs w:val="24"/>
        </w:rPr>
        <w:t>tlement”); i</w:t>
      </w:r>
      <w:r w:rsidR="00FB58F4" w:rsidRPr="00832C5A">
        <w:rPr>
          <w:rFonts w:ascii="Times New Roman" w:hAnsi="Times New Roman" w:cs="Times New Roman"/>
          <w:sz w:val="24"/>
          <w:szCs w:val="24"/>
        </w:rPr>
        <w:t xml:space="preserve">t </w:t>
      </w:r>
      <w:r w:rsidR="00960D8A" w:rsidRPr="00832C5A">
        <w:rPr>
          <w:rFonts w:ascii="Times New Roman" w:hAnsi="Times New Roman" w:cs="Times New Roman"/>
          <w:sz w:val="24"/>
          <w:szCs w:val="24"/>
        </w:rPr>
        <w:t>does not</w:t>
      </w:r>
      <w:r w:rsidR="00FB58F4" w:rsidRPr="00832C5A">
        <w:rPr>
          <w:rFonts w:ascii="Times New Roman" w:hAnsi="Times New Roman" w:cs="Times New Roman"/>
          <w:sz w:val="24"/>
          <w:szCs w:val="24"/>
        </w:rPr>
        <w:t xml:space="preserve"> modify any terms of the Settlement.</w:t>
      </w:r>
    </w:p>
    <w:p w14:paraId="0A6C806D" w14:textId="33DC6C06" w:rsidR="00FB58F4" w:rsidRPr="00832C5A" w:rsidRDefault="00FB58F4" w:rsidP="00C22594">
      <w:pPr>
        <w:pStyle w:val="HeadingRomanAllCap"/>
        <w:tabs>
          <w:tab w:val="clear" w:pos="3960"/>
        </w:tabs>
      </w:pPr>
      <w:r w:rsidRPr="00832C5A">
        <w:t>PROPOSALS FOR REVIEW PROCEDURE</w:t>
      </w:r>
    </w:p>
    <w:p w14:paraId="46B7C6CF" w14:textId="77777777" w:rsidR="003F4B34" w:rsidRPr="00832C5A" w:rsidRDefault="003F4B34" w:rsidP="00C22594">
      <w:pPr>
        <w:pStyle w:val="NoSpacing"/>
        <w:keepNext/>
        <w:spacing w:line="264" w:lineRule="auto"/>
      </w:pPr>
    </w:p>
    <w:p w14:paraId="5E644575" w14:textId="29D74099" w:rsidR="005B25CC" w:rsidRPr="00832C5A" w:rsidRDefault="003F4B34" w:rsidP="00C22594">
      <w:pPr>
        <w:pStyle w:val="Numberedparagraph"/>
        <w:keepNext/>
        <w:numPr>
          <w:ilvl w:val="0"/>
          <w:numId w:val="32"/>
        </w:numPr>
        <w:spacing w:after="0" w:line="480" w:lineRule="auto"/>
      </w:pPr>
      <w:r w:rsidRPr="00832C5A">
        <w:lastRenderedPageBreak/>
        <w:t xml:space="preserve"> </w:t>
      </w:r>
      <w:r w:rsidRPr="00832C5A">
        <w:tab/>
      </w:r>
      <w:r w:rsidR="00FB58F4" w:rsidRPr="00832C5A">
        <w:rPr>
          <w:color w:val="000000"/>
        </w:rPr>
        <w:t>The Parties do not request a hearing to present the Settlement. The Parties instead respectfully request a streamlined review of the proposed Settlement on a paper record. If the Commission requires a hearing, the Parties are prepared to present one or more witnesses to testify in support of the Settlement</w:t>
      </w:r>
      <w:r w:rsidR="0029362D" w:rsidRPr="00832C5A">
        <w:rPr>
          <w:color w:val="000000"/>
        </w:rPr>
        <w:t>.</w:t>
      </w:r>
    </w:p>
    <w:p w14:paraId="682FBC93" w14:textId="190C23B0" w:rsidR="00FB58F4" w:rsidRPr="00832C5A" w:rsidRDefault="00FB58F4" w:rsidP="00FB58F4">
      <w:pPr>
        <w:pStyle w:val="HeadingRomanAllCap"/>
        <w:tabs>
          <w:tab w:val="clear" w:pos="3960"/>
        </w:tabs>
        <w:spacing w:line="480" w:lineRule="auto"/>
      </w:pPr>
      <w:r w:rsidRPr="00832C5A">
        <w:t>SCOPE OF THE UNDERLYING DISPUTE</w:t>
      </w:r>
    </w:p>
    <w:p w14:paraId="067DC1FC" w14:textId="19E35009" w:rsidR="0012055B" w:rsidRPr="00832C5A" w:rsidRDefault="0029362D" w:rsidP="0012055B">
      <w:pPr>
        <w:numPr>
          <w:ilvl w:val="0"/>
          <w:numId w:val="32"/>
        </w:numPr>
        <w:spacing w:line="480" w:lineRule="auto"/>
      </w:pPr>
      <w:r w:rsidRPr="00832C5A">
        <w:t xml:space="preserve">  </w:t>
      </w:r>
      <w:r w:rsidRPr="00832C5A">
        <w:tab/>
      </w:r>
      <w:r w:rsidR="0012055B" w:rsidRPr="00832C5A">
        <w:t xml:space="preserve">The underlying dispute concerns </w:t>
      </w:r>
      <w:r w:rsidR="00793B11">
        <w:t>Pelican</w:t>
      </w:r>
      <w:r w:rsidR="0012055B" w:rsidRPr="00832C5A">
        <w:t xml:space="preserve">’s failure to file annual reports and pay regulatory fees for the </w:t>
      </w:r>
      <w:r w:rsidR="00960D8A" w:rsidRPr="00832C5A">
        <w:t xml:space="preserve">2012 and 2013 reporting years. </w:t>
      </w:r>
      <w:r w:rsidR="0012055B" w:rsidRPr="00832C5A">
        <w:t xml:space="preserve">Every </w:t>
      </w:r>
      <w:r w:rsidR="00793B11">
        <w:t>water</w:t>
      </w:r>
      <w:r w:rsidR="0012055B" w:rsidRPr="00832C5A">
        <w:t xml:space="preserve"> company that operates in Washington State must file an annual report and pay regulatory fees to the Washington Utilities and Transportation Commission (“Commission”) each year by May 1. </w:t>
      </w:r>
      <w:r w:rsidR="00793B11" w:rsidRPr="00793B11">
        <w:t>WAC 480-110-505</w:t>
      </w:r>
      <w:r w:rsidR="0012055B" w:rsidRPr="00832C5A">
        <w:t xml:space="preserve">. </w:t>
      </w:r>
    </w:p>
    <w:p w14:paraId="10E65709" w14:textId="77777777" w:rsidR="00793B11" w:rsidRPr="009507F2" w:rsidRDefault="0012055B" w:rsidP="00793B11">
      <w:pPr>
        <w:pStyle w:val="Numberedparagraph"/>
        <w:numPr>
          <w:ilvl w:val="0"/>
          <w:numId w:val="32"/>
        </w:numPr>
        <w:spacing w:after="0" w:line="480" w:lineRule="auto"/>
      </w:pPr>
      <w:r w:rsidRPr="00832C5A">
        <w:t xml:space="preserve"> </w:t>
      </w:r>
      <w:r w:rsidRPr="00832C5A">
        <w:tab/>
      </w:r>
      <w:r w:rsidR="00793B11">
        <w:t>Pelican</w:t>
      </w:r>
      <w:r w:rsidR="00793B11" w:rsidRPr="009507F2">
        <w:t xml:space="preserve"> did not file an annual report or pay regulatory fees, as required by </w:t>
      </w:r>
      <w:r w:rsidR="00793B11" w:rsidRPr="00746508">
        <w:t>WAC 480-110-505</w:t>
      </w:r>
      <w:r w:rsidR="00793B11" w:rsidRPr="009507F2">
        <w:t>, for the 2012 and 2013 reporting years. In 2013 and 2014, the Commission assessed a penalty against the Company for violating the filing and regulatory fee requirements. The Company paid both penalty assessments, but did not file its annual report or pay its regulatory fees for either the 2012 or 2013 reporting years.</w:t>
      </w:r>
    </w:p>
    <w:p w14:paraId="6FA5B17C" w14:textId="77777777" w:rsidR="00793B11" w:rsidRPr="009507F2" w:rsidRDefault="00793B11" w:rsidP="00793B11">
      <w:pPr>
        <w:pStyle w:val="Numberedparagraph"/>
        <w:numPr>
          <w:ilvl w:val="0"/>
          <w:numId w:val="32"/>
        </w:numPr>
        <w:spacing w:after="0" w:line="480" w:lineRule="auto"/>
      </w:pPr>
      <w:r w:rsidRPr="009507F2">
        <w:t xml:space="preserve"> </w:t>
      </w:r>
      <w:r w:rsidRPr="009507F2">
        <w:tab/>
        <w:t xml:space="preserve">On October 15, 2014, the Commission mailed a Notice of Noncompliance to the Company detailing its failure to comply with </w:t>
      </w:r>
      <w:r w:rsidRPr="00746508">
        <w:t>WAC 480-110-505</w:t>
      </w:r>
      <w:r w:rsidRPr="009507F2">
        <w:t xml:space="preserve">. The notice stated that the Company had until November 15, 2014, to file its delinquent reports and pay its delinquent regulatory fees to avoid enforcement action. The Commission did not receive the delinquent filings, fees, or any other response to the notice.  </w:t>
      </w:r>
    </w:p>
    <w:p w14:paraId="4296CB3F" w14:textId="5D318DB7" w:rsidR="00793B11" w:rsidRPr="009507F2" w:rsidRDefault="00793B11" w:rsidP="00793B11">
      <w:pPr>
        <w:pStyle w:val="Numberedparagraph"/>
        <w:numPr>
          <w:ilvl w:val="0"/>
          <w:numId w:val="32"/>
        </w:numPr>
        <w:spacing w:after="0" w:line="480" w:lineRule="auto"/>
      </w:pPr>
      <w:r w:rsidRPr="009507F2">
        <w:t xml:space="preserve"> </w:t>
      </w:r>
      <w:r w:rsidRPr="009507F2">
        <w:tab/>
        <w:t xml:space="preserve">On </w:t>
      </w:r>
      <w:r>
        <w:t>April</w:t>
      </w:r>
      <w:r w:rsidRPr="009507F2">
        <w:t xml:space="preserve"> 2</w:t>
      </w:r>
      <w:r>
        <w:t>3</w:t>
      </w:r>
      <w:r w:rsidRPr="009507F2">
        <w:t xml:space="preserve">, 2015, the Commission served </w:t>
      </w:r>
      <w:r>
        <w:t>Pelican and Jill Goodrich</w:t>
      </w:r>
      <w:r w:rsidRPr="009507F2">
        <w:t xml:space="preserve"> with a Complaint for Penalties and Notice of Brief Adjudicative Proceeding, set for </w:t>
      </w:r>
      <w:r>
        <w:t>June</w:t>
      </w:r>
      <w:r w:rsidRPr="009507F2">
        <w:t xml:space="preserve"> 2</w:t>
      </w:r>
      <w:r>
        <w:t>, 2015, at 1</w:t>
      </w:r>
      <w:r w:rsidRPr="009507F2">
        <w:t xml:space="preserve">:30 </w:t>
      </w:r>
      <w:r>
        <w:t>p</w:t>
      </w:r>
      <w:r w:rsidRPr="009507F2">
        <w:t xml:space="preserve">.m. (the “Complaint”). The Complaint alleged that </w:t>
      </w:r>
      <w:r>
        <w:t>Pelican and Ms. Goodrich each</w:t>
      </w:r>
      <w:r w:rsidRPr="009507F2">
        <w:t xml:space="preserve"> committed 1,360 separate and distinct violations of </w:t>
      </w:r>
      <w:r w:rsidRPr="00F540A3">
        <w:t>WAC 480-110-505</w:t>
      </w:r>
      <w:r w:rsidR="00C22594">
        <w:t xml:space="preserve"> </w:t>
      </w:r>
      <w:r>
        <w:t>—</w:t>
      </w:r>
      <w:r w:rsidR="00C22594">
        <w:t xml:space="preserve"> </w:t>
      </w:r>
      <w:r w:rsidRPr="009507F2">
        <w:t xml:space="preserve">680 violations for failing to file </w:t>
      </w:r>
      <w:r w:rsidR="0004529A">
        <w:t>the Company’s</w:t>
      </w:r>
      <w:r w:rsidRPr="009507F2">
        <w:t xml:space="preserve"> 2012 and 2013 annual reports, and another 680 violations for failing to pay its 2012 and 2013 regulatory fees. </w:t>
      </w:r>
      <w:r w:rsidRPr="00F540A3">
        <w:t xml:space="preserve">On the same date, the Commission issued a Subpoena and Subpoena Duces Tecum </w:t>
      </w:r>
      <w:r>
        <w:t>f</w:t>
      </w:r>
      <w:r w:rsidRPr="00F540A3">
        <w:t>or Production of Documents (</w:t>
      </w:r>
      <w:r>
        <w:t>“</w:t>
      </w:r>
      <w:r w:rsidRPr="00F540A3">
        <w:t>Subpoena</w:t>
      </w:r>
      <w:r>
        <w:t>”</w:t>
      </w:r>
      <w:r w:rsidRPr="00F540A3">
        <w:t xml:space="preserve">) to </w:t>
      </w:r>
      <w:r w:rsidR="005A5CD9">
        <w:t xml:space="preserve">Ms. Goodrich </w:t>
      </w:r>
      <w:r w:rsidRPr="00F540A3">
        <w:t xml:space="preserve">to appear before the Commission at the Brief Adjudicative Proceeding </w:t>
      </w:r>
      <w:r>
        <w:t>(“</w:t>
      </w:r>
      <w:r w:rsidRPr="00F540A3">
        <w:t>BAP</w:t>
      </w:r>
      <w:r>
        <w:t>”)</w:t>
      </w:r>
      <w:r w:rsidRPr="00F540A3">
        <w:t xml:space="preserve"> scheduled for June 2, 2015, and to bring the documents specified in the Subpoena.</w:t>
      </w:r>
      <w:r>
        <w:t xml:space="preserve">  </w:t>
      </w:r>
    </w:p>
    <w:p w14:paraId="2E000AA0" w14:textId="5D94BEA5" w:rsidR="00793B11" w:rsidRDefault="00793B11" w:rsidP="00793B11">
      <w:pPr>
        <w:pStyle w:val="Numberedparagraph"/>
        <w:numPr>
          <w:ilvl w:val="0"/>
          <w:numId w:val="32"/>
        </w:numPr>
        <w:spacing w:after="0" w:line="480" w:lineRule="auto"/>
      </w:pPr>
      <w:r w:rsidRPr="009507F2">
        <w:t xml:space="preserve"> </w:t>
      </w:r>
      <w:r w:rsidRPr="009507F2">
        <w:tab/>
      </w:r>
      <w:r w:rsidRPr="00423265">
        <w:rPr>
          <w:sz w:val="23"/>
          <w:szCs w:val="23"/>
        </w:rPr>
        <w:t xml:space="preserve">On May 22, 2015, Pelican and Ms. Goodrich requested that the BAP be continued to June 25, 2015, at 1:30 p.m., and the deadline for the production of documents be extended to June 18, 2015. Staff notified the Commission that it did not object to the continuance. </w:t>
      </w:r>
      <w:r w:rsidRPr="00423265">
        <w:t xml:space="preserve">The Commission issued a Notice of Continuance of Brief Adjudicative Proceeding on May 26, 2015, stating that the Commission </w:t>
      </w:r>
      <w:r w:rsidR="005A5CD9">
        <w:t>would</w:t>
      </w:r>
      <w:r w:rsidRPr="00423265">
        <w:t xml:space="preserve"> continue the BAP to a date to be determined in the near future.</w:t>
      </w:r>
      <w:r>
        <w:t xml:space="preserve"> </w:t>
      </w:r>
      <w:r w:rsidRPr="00423265">
        <w:t xml:space="preserve">On June 23, 2015, the </w:t>
      </w:r>
      <w:r w:rsidR="005A5CD9" w:rsidRPr="005A5CD9">
        <w:t xml:space="preserve">Parties notified the Commission that they </w:t>
      </w:r>
      <w:r w:rsidRPr="00423265">
        <w:t>had reached a mutually agreeable date of Thursday, August 27, 2015, at 1:30 p.m., for the rescheduled BAP and August 20, 2015, as the deadline for the production of documents.</w:t>
      </w:r>
      <w:r>
        <w:t xml:space="preserve"> The Commission issued a Notice Rescheduling Brief Adjudicative Proceed</w:t>
      </w:r>
      <w:r w:rsidR="005A5CD9">
        <w:t>ing</w:t>
      </w:r>
      <w:r>
        <w:t xml:space="preserve"> that same day, which set the BAP for August 27, 2014, at 1:30 p.m.</w:t>
      </w:r>
    </w:p>
    <w:p w14:paraId="4066811A" w14:textId="75C89CF2" w:rsidR="0012055B" w:rsidRPr="00832C5A" w:rsidRDefault="00793B11" w:rsidP="00793B11">
      <w:pPr>
        <w:pStyle w:val="Numberedparagraph"/>
        <w:numPr>
          <w:ilvl w:val="0"/>
          <w:numId w:val="32"/>
        </w:numPr>
        <w:spacing w:after="0" w:line="480" w:lineRule="auto"/>
      </w:pPr>
      <w:r>
        <w:t xml:space="preserve"> </w:t>
      </w:r>
      <w:r>
        <w:tab/>
      </w:r>
      <w:r w:rsidRPr="009507F2">
        <w:t xml:space="preserve">The Parties subsequently engaged in settlement discussions, which resulted in a full settlement. On </w:t>
      </w:r>
      <w:r>
        <w:t>August</w:t>
      </w:r>
      <w:r w:rsidRPr="009507F2">
        <w:t xml:space="preserve"> </w:t>
      </w:r>
      <w:r>
        <w:t>19</w:t>
      </w:r>
      <w:r w:rsidRPr="009507F2">
        <w:t xml:space="preserve">, 2015, Staff </w:t>
      </w:r>
      <w:r>
        <w:t>requested, on behalf of both parties, that the Commission temporarily suspend the procedural schedule because the Parties were actively engaged in settlement negotiations, and hoped to arrive at an agreement without the need for a hearing</w:t>
      </w:r>
      <w:r w:rsidR="005A5CD9">
        <w:t xml:space="preserve">. </w:t>
      </w:r>
      <w:r>
        <w:t xml:space="preserve">The Commission granted the request that same day, and instructed the parties to </w:t>
      </w:r>
      <w:r w:rsidRPr="003168D7">
        <w:t>file either a settlement agreement and supporting documentation or a report on the status of their settlement negotiations by September 2, 2015.</w:t>
      </w:r>
    </w:p>
    <w:p w14:paraId="6BA76E54" w14:textId="6795BF31" w:rsidR="00D46E14" w:rsidRPr="00832C5A" w:rsidRDefault="0012055B" w:rsidP="0012055B">
      <w:pPr>
        <w:numPr>
          <w:ilvl w:val="0"/>
          <w:numId w:val="32"/>
        </w:numPr>
        <w:spacing w:line="480" w:lineRule="auto"/>
      </w:pPr>
      <w:r w:rsidRPr="00832C5A">
        <w:lastRenderedPageBreak/>
        <w:t xml:space="preserve"> </w:t>
      </w:r>
      <w:r w:rsidRPr="00832C5A">
        <w:tab/>
        <w:t>The Parties’ full settlement agreement is reflected in the Settlement Agreement, which was entered into voluntarily to resolve all matters that were in dispute</w:t>
      </w:r>
      <w:r w:rsidR="00960D8A" w:rsidRPr="00832C5A">
        <w:t>.</w:t>
      </w:r>
    </w:p>
    <w:p w14:paraId="64E545E8" w14:textId="2123C205" w:rsidR="0012055B" w:rsidRPr="00832C5A" w:rsidRDefault="0012055B" w:rsidP="0012055B">
      <w:pPr>
        <w:pStyle w:val="HeadingRomanAllCap"/>
        <w:tabs>
          <w:tab w:val="clear" w:pos="3960"/>
        </w:tabs>
        <w:spacing w:line="480" w:lineRule="auto"/>
      </w:pPr>
      <w:r w:rsidRPr="00832C5A">
        <w:t>SUMMARY OF PROPOSED SETTLEMENT</w:t>
      </w:r>
      <w:r w:rsidR="00170839" w:rsidRPr="00832C5A">
        <w:tab/>
      </w:r>
    </w:p>
    <w:p w14:paraId="6B1CA1CD" w14:textId="6E268CC5" w:rsidR="0012055B" w:rsidRPr="00832C5A" w:rsidRDefault="0012055B" w:rsidP="007B51BF">
      <w:pPr>
        <w:numPr>
          <w:ilvl w:val="0"/>
          <w:numId w:val="32"/>
        </w:numPr>
        <w:spacing w:line="480" w:lineRule="auto"/>
      </w:pPr>
      <w:r w:rsidRPr="00832C5A">
        <w:t xml:space="preserve"> </w:t>
      </w:r>
      <w:r w:rsidRPr="00832C5A">
        <w:tab/>
      </w:r>
      <w:r w:rsidR="00D211B7" w:rsidRPr="00832C5A">
        <w:t xml:space="preserve">The </w:t>
      </w:r>
      <w:r w:rsidRPr="00832C5A">
        <w:t>Settlement resolves all of the issues i</w:t>
      </w:r>
      <w:r w:rsidR="00960D8A" w:rsidRPr="00832C5A">
        <w:t xml:space="preserve">n dispute between the Parties. </w:t>
      </w:r>
      <w:r w:rsidR="00793B11" w:rsidRPr="00793B11">
        <w:t>The Parties agree that the Commission should dismiss the allegations in the Complaint that Jill Goodrich, as owner and authorized agent of Pelican, committed 1,360 violations of WAC 480-110-505.</w:t>
      </w:r>
      <w:r w:rsidR="00793B11">
        <w:t xml:space="preserve">  Pelican</w:t>
      </w:r>
      <w:r w:rsidRPr="00832C5A">
        <w:t xml:space="preserve"> admits that it committed 1,360 violations of WAC </w:t>
      </w:r>
      <w:r w:rsidR="00793B11" w:rsidRPr="00793B11">
        <w:t>480-110-505</w:t>
      </w:r>
      <w:r w:rsidRPr="00832C5A">
        <w:t xml:space="preserve">, as alleged in the Complaint. The Parties agree that </w:t>
      </w:r>
      <w:r w:rsidR="00793B11">
        <w:t>Pelican</w:t>
      </w:r>
      <w:r w:rsidRPr="00832C5A">
        <w:t xml:space="preserve"> shall file its annual reports and pay its regulatory fees for the </w:t>
      </w:r>
      <w:r w:rsidR="005A5CD9" w:rsidRPr="005A5CD9">
        <w:t xml:space="preserve">2010, 2011, 2012, 2013, </w:t>
      </w:r>
      <w:r w:rsidR="00DB78A3" w:rsidRPr="00832C5A">
        <w:t>and 2014</w:t>
      </w:r>
      <w:r w:rsidRPr="00832C5A">
        <w:t xml:space="preserve"> reporting years—</w:t>
      </w:r>
      <w:r w:rsidR="00793B11">
        <w:t>Pelican</w:t>
      </w:r>
      <w:r w:rsidRPr="00832C5A">
        <w:t xml:space="preserve"> already filed these annual reports, and has </w:t>
      </w:r>
      <w:r w:rsidR="00793B11">
        <w:t xml:space="preserve">paid its </w:t>
      </w:r>
      <w:r w:rsidRPr="00832C5A">
        <w:t>balance for</w:t>
      </w:r>
      <w:r w:rsidR="00B138CD" w:rsidRPr="00832C5A">
        <w:t xml:space="preserve"> its past due regulatory fees of</w:t>
      </w:r>
      <w:r w:rsidRPr="00832C5A">
        <w:t xml:space="preserve"> $</w:t>
      </w:r>
      <w:r w:rsidR="005A5CD9" w:rsidRPr="005A5CD9">
        <w:t>2,938.52</w:t>
      </w:r>
      <w:r w:rsidRPr="00832C5A">
        <w:t xml:space="preserve">. The Parties agree that the Commission should assess </w:t>
      </w:r>
      <w:r w:rsidR="00793B11">
        <w:t>Pelican</w:t>
      </w:r>
      <w:r w:rsidRPr="00832C5A">
        <w:t xml:space="preserve"> with </w:t>
      </w:r>
      <w:r w:rsidR="00793B11">
        <w:t>a total penalty assessment of $</w:t>
      </w:r>
      <w:r w:rsidRPr="00832C5A">
        <w:t>3</w:t>
      </w:r>
      <w:r w:rsidR="00793B11">
        <w:t>4</w:t>
      </w:r>
      <w:r w:rsidRPr="00832C5A">
        <w:t xml:space="preserve">,000, and that </w:t>
      </w:r>
      <w:r w:rsidR="00793B11">
        <w:t>Pelican</w:t>
      </w:r>
      <w:r w:rsidRPr="00832C5A">
        <w:t xml:space="preserve"> shall pay $</w:t>
      </w:r>
      <w:r w:rsidR="00793B11">
        <w:t>2,500</w:t>
      </w:r>
      <w:r w:rsidRPr="00832C5A">
        <w:t xml:space="preserve"> of the penalty assessment, and that the remaining $</w:t>
      </w:r>
      <w:r w:rsidR="00793B11">
        <w:t>31</w:t>
      </w:r>
      <w:r w:rsidRPr="00832C5A">
        <w:t>,</w:t>
      </w:r>
      <w:r w:rsidR="00793B11">
        <w:t>5</w:t>
      </w:r>
      <w:r w:rsidRPr="00832C5A">
        <w:t xml:space="preserve">00 shall be suspended for, and waived after June 30, 2017, provided that the Company: (1) meets its annual reporting and regulatory fee requirements for the 2015 and 2016 reporting years, and (2) </w:t>
      </w:r>
      <w:r w:rsidR="00793B11" w:rsidRPr="00793B11">
        <w:t>pays the $2,500 penalty amount</w:t>
      </w:r>
      <w:r w:rsidR="00960D8A" w:rsidRPr="00832C5A">
        <w:t xml:space="preserve">. </w:t>
      </w:r>
      <w:r w:rsidR="00793B11" w:rsidRPr="009507F2">
        <w:t>If the Company fails to meet either of these two conditions, the suspended penalty amount and any remaining past due balance shall beco</w:t>
      </w:r>
      <w:r w:rsidR="00793B11">
        <w:t>me due and payable immediately</w:t>
      </w:r>
      <w:r w:rsidR="00793B11" w:rsidRPr="009507F2">
        <w:t>.</w:t>
      </w:r>
    </w:p>
    <w:p w14:paraId="4DB978C2" w14:textId="02F15BE0" w:rsidR="0012055B" w:rsidRPr="00832C5A" w:rsidRDefault="0012055B" w:rsidP="00E71FB1">
      <w:pPr>
        <w:pStyle w:val="HeadingRomanAllCap"/>
        <w:tabs>
          <w:tab w:val="clear" w:pos="3960"/>
        </w:tabs>
      </w:pPr>
      <w:r w:rsidRPr="00832C5A">
        <w:t>STATEMENT OF THE PARTIES THAT THE</w:t>
      </w:r>
      <w:r w:rsidR="00E71FB1">
        <w:t xml:space="preserve"> </w:t>
      </w:r>
      <w:r w:rsidRPr="00832C5A">
        <w:t>SETTLEMENT AGREEMENT SATISFIES THEIR INTERESTS AND THE PUBLIC INTEREST</w:t>
      </w:r>
    </w:p>
    <w:p w14:paraId="4478148F" w14:textId="77777777" w:rsidR="0012055B" w:rsidRPr="00832C5A" w:rsidRDefault="0012055B" w:rsidP="00D211B7"/>
    <w:p w14:paraId="28A4BA8F" w14:textId="005E4505" w:rsidR="0012055B" w:rsidRPr="00832C5A" w:rsidRDefault="0012055B" w:rsidP="0012055B">
      <w:pPr>
        <w:numPr>
          <w:ilvl w:val="0"/>
          <w:numId w:val="32"/>
        </w:numPr>
        <w:spacing w:line="480" w:lineRule="auto"/>
      </w:pPr>
      <w:r w:rsidRPr="00832C5A">
        <w:t xml:space="preserve"> </w:t>
      </w:r>
      <w:r w:rsidRPr="00832C5A">
        <w:tab/>
        <w:t>The Settlement represents a compromise of the positions of the Parties. The Parties find it is in their best interests to avoid the expense, inconvenience, uncertainty, and delay inherent in a litigated outcome. Likewise, the public interest is served by concluding this dispute without the further expenditure of public res</w:t>
      </w:r>
      <w:r w:rsidR="00960D8A" w:rsidRPr="00832C5A">
        <w:t>ources on litigation expenses.</w:t>
      </w:r>
    </w:p>
    <w:p w14:paraId="5295CE79" w14:textId="1F4AC492" w:rsidR="0012055B" w:rsidRPr="00832C5A" w:rsidRDefault="0012055B" w:rsidP="000C6B38">
      <w:pPr>
        <w:numPr>
          <w:ilvl w:val="0"/>
          <w:numId w:val="32"/>
        </w:numPr>
        <w:spacing w:line="480" w:lineRule="auto"/>
      </w:pPr>
      <w:r w:rsidRPr="00832C5A">
        <w:t xml:space="preserve"> </w:t>
      </w:r>
      <w:r w:rsidRPr="00832C5A">
        <w:tab/>
        <w:t xml:space="preserve">The Settlement satisfies both Staff’s interest and the public interest because </w:t>
      </w:r>
      <w:r w:rsidR="00793B11">
        <w:t>Pelican</w:t>
      </w:r>
      <w:r w:rsidRPr="00832C5A">
        <w:t xml:space="preserve"> admits to its violations, and </w:t>
      </w:r>
      <w:r w:rsidR="004C7C5F">
        <w:t xml:space="preserve">because </w:t>
      </w:r>
      <w:r w:rsidR="007F43E8">
        <w:t>it filed</w:t>
      </w:r>
      <w:r w:rsidRPr="00832C5A">
        <w:t xml:space="preserve"> its annual reports and </w:t>
      </w:r>
      <w:r w:rsidR="007F43E8">
        <w:t>paid</w:t>
      </w:r>
      <w:r w:rsidRPr="00832C5A">
        <w:t xml:space="preserve"> </w:t>
      </w:r>
      <w:r w:rsidR="00960D8A" w:rsidRPr="00832C5A">
        <w:t>its past due regulatory fees</w:t>
      </w:r>
      <w:r w:rsidR="005A343C">
        <w:t xml:space="preserve"> for </w:t>
      </w:r>
      <w:r w:rsidR="005A343C" w:rsidRPr="005A343C">
        <w:t>the 2010, 2011, 2012, 2013, and 2014 reporting years</w:t>
      </w:r>
      <w:r w:rsidR="00960D8A" w:rsidRPr="00832C5A">
        <w:t xml:space="preserve">. </w:t>
      </w:r>
      <w:r w:rsidRPr="00832C5A">
        <w:t>The Commission will receive the $</w:t>
      </w:r>
      <w:r w:rsidR="007F43E8">
        <w:t>2</w:t>
      </w:r>
      <w:r w:rsidRPr="00832C5A">
        <w:t>,</w:t>
      </w:r>
      <w:r w:rsidR="007F43E8">
        <w:t>5</w:t>
      </w:r>
      <w:r w:rsidRPr="00832C5A">
        <w:t>00 penalty amount without expending fu</w:t>
      </w:r>
      <w:r w:rsidR="00960D8A" w:rsidRPr="00832C5A">
        <w:t xml:space="preserve">rther resources on litigation. </w:t>
      </w:r>
      <w:r w:rsidRPr="00832C5A">
        <w:t>Further, the $</w:t>
      </w:r>
      <w:r w:rsidR="007F43E8">
        <w:t>31</w:t>
      </w:r>
      <w:r w:rsidRPr="00832C5A">
        <w:t>,</w:t>
      </w:r>
      <w:r w:rsidR="007F43E8">
        <w:t>5</w:t>
      </w:r>
      <w:r w:rsidRPr="00832C5A">
        <w:t xml:space="preserve">00 suspended penalty amount provides a significant incentive for the Company to meet its annual reporting and regulatory fee requirements </w:t>
      </w:r>
      <w:r w:rsidR="00403877" w:rsidRPr="00832C5A">
        <w:t>going forward</w:t>
      </w:r>
      <w:r w:rsidR="00960D8A" w:rsidRPr="00832C5A">
        <w:t>.</w:t>
      </w:r>
      <w:r w:rsidR="005A343C">
        <w:t xml:space="preserve"> </w:t>
      </w:r>
    </w:p>
    <w:p w14:paraId="6E314624" w14:textId="77777777" w:rsidR="004C7C5F" w:rsidRDefault="0012055B" w:rsidP="0012055B">
      <w:pPr>
        <w:numPr>
          <w:ilvl w:val="0"/>
          <w:numId w:val="32"/>
        </w:numPr>
        <w:spacing w:line="480" w:lineRule="auto"/>
      </w:pPr>
      <w:r w:rsidRPr="00832C5A">
        <w:t xml:space="preserve"> </w:t>
      </w:r>
      <w:r w:rsidRPr="00832C5A">
        <w:tab/>
        <w:t xml:space="preserve">The Settlement also satisfies the public interest and the interests of the Parties because </w:t>
      </w:r>
      <w:r w:rsidR="007F43E8">
        <w:t>Pelican</w:t>
      </w:r>
      <w:r w:rsidRPr="00832C5A">
        <w:t xml:space="preserve"> has taken steps to conform </w:t>
      </w:r>
      <w:r w:rsidR="004C7C5F">
        <w:t xml:space="preserve">to state laws and regulations. </w:t>
      </w:r>
      <w:r w:rsidRPr="00832C5A">
        <w:t xml:space="preserve">The Company </w:t>
      </w:r>
      <w:r w:rsidR="00403877" w:rsidRPr="00832C5A">
        <w:t xml:space="preserve">has </w:t>
      </w:r>
      <w:r w:rsidRPr="00832C5A">
        <w:t>engaged in technical assistance discussions with Staff to ensure it understands its annual report</w:t>
      </w:r>
      <w:r w:rsidR="00960D8A" w:rsidRPr="00832C5A">
        <w:t>ing</w:t>
      </w:r>
      <w:r w:rsidRPr="00832C5A">
        <w:t xml:space="preserve"> and regulatory fee obligations</w:t>
      </w:r>
      <w:r w:rsidR="0010321B">
        <w:t xml:space="preserve">. </w:t>
      </w:r>
      <w:r w:rsidR="00960D8A" w:rsidRPr="00832C5A">
        <w:t>The Company</w:t>
      </w:r>
      <w:r w:rsidRPr="00832C5A">
        <w:t xml:space="preserve"> has already filed all of its past due reports</w:t>
      </w:r>
      <w:r w:rsidR="007F43E8">
        <w:t xml:space="preserve"> and paid its past due regulatory fees</w:t>
      </w:r>
      <w:r w:rsidR="0010321B">
        <w:t>—including for three compliance year</w:t>
      </w:r>
      <w:r w:rsidR="004C7C5F">
        <w:t>s</w:t>
      </w:r>
      <w:r w:rsidR="0010321B">
        <w:t xml:space="preserve"> that fell outside the scope of the Complaint</w:t>
      </w:r>
      <w:r w:rsidRPr="00832C5A">
        <w:t xml:space="preserve">. </w:t>
      </w:r>
      <w:r w:rsidR="0010321B">
        <w:t>Pelican</w:t>
      </w:r>
      <w:r w:rsidR="00403877" w:rsidRPr="00832C5A">
        <w:t xml:space="preserve"> also </w:t>
      </w:r>
      <w:r w:rsidR="007F43E8">
        <w:t>retained an accountant and legal counsel to</w:t>
      </w:r>
      <w:r w:rsidR="00403877" w:rsidRPr="00832C5A">
        <w:t xml:space="preserve"> ensure that the Company remains in compliance with state laws and Commission rules</w:t>
      </w:r>
      <w:r w:rsidR="007F43E8">
        <w:t xml:space="preserve"> going forward</w:t>
      </w:r>
      <w:r w:rsidR="00403877" w:rsidRPr="00832C5A">
        <w:t>.</w:t>
      </w:r>
      <w:r w:rsidR="0010321B">
        <w:t xml:space="preserve"> </w:t>
      </w:r>
    </w:p>
    <w:p w14:paraId="581EDF95" w14:textId="3FF68541" w:rsidR="0012055B" w:rsidRPr="00832C5A" w:rsidRDefault="004C7C5F" w:rsidP="0012055B">
      <w:pPr>
        <w:numPr>
          <w:ilvl w:val="0"/>
          <w:numId w:val="32"/>
        </w:numPr>
        <w:spacing w:line="480" w:lineRule="auto"/>
      </w:pPr>
      <w:r>
        <w:t xml:space="preserve"> </w:t>
      </w:r>
      <w:r>
        <w:tab/>
      </w:r>
      <w:r w:rsidR="0010321B">
        <w:t xml:space="preserve">Staff </w:t>
      </w:r>
      <w:r>
        <w:t>finds</w:t>
      </w:r>
      <w:r w:rsidR="0010321B">
        <w:t xml:space="preserve"> that the Commission is justified in dismissing the allegations in the Complaint against Ms. Goodrich because th</w:t>
      </w:r>
      <w:r>
        <w:t xml:space="preserve">e Company: (a) admits to its violations; (b) will pay a penalty assessment; (c) </w:t>
      </w:r>
      <w:r w:rsidR="0010321B">
        <w:t xml:space="preserve">quickly filed all past due reports and paid all past due regulatory fees (even for compliance years that fell outside the scope </w:t>
      </w:r>
      <w:r>
        <w:t>of the Complaint);</w:t>
      </w:r>
      <w:r w:rsidR="0010321B">
        <w:t xml:space="preserve"> and</w:t>
      </w:r>
      <w:r>
        <w:t xml:space="preserve"> (d) it</w:t>
      </w:r>
      <w:r w:rsidR="0010321B">
        <w:t xml:space="preserve"> retained an accountant to help ensure that </w:t>
      </w:r>
      <w:r>
        <w:t>it</w:t>
      </w:r>
      <w:r w:rsidR="0010321B">
        <w:t xml:space="preserve"> remains in compliance going forward.  </w:t>
      </w:r>
    </w:p>
    <w:p w14:paraId="2031A965" w14:textId="63BEABAD" w:rsidR="0012055B" w:rsidRPr="00832C5A" w:rsidRDefault="0012055B" w:rsidP="0012055B">
      <w:pPr>
        <w:numPr>
          <w:ilvl w:val="0"/>
          <w:numId w:val="32"/>
        </w:numPr>
        <w:spacing w:line="480" w:lineRule="auto"/>
      </w:pPr>
      <w:r w:rsidRPr="00832C5A">
        <w:t xml:space="preserve"> </w:t>
      </w:r>
      <w:r w:rsidRPr="00832C5A">
        <w:tab/>
        <w:t>For these reasons, the Settlement as a whole is in the public interest, as well as</w:t>
      </w:r>
      <w:r w:rsidR="00960D8A" w:rsidRPr="00832C5A">
        <w:t xml:space="preserve"> the interests of the Parties. </w:t>
      </w:r>
      <w:r w:rsidRPr="00832C5A">
        <w:t xml:space="preserve">Staff and </w:t>
      </w:r>
      <w:r w:rsidR="007F43E8">
        <w:t>Pelican</w:t>
      </w:r>
      <w:r w:rsidRPr="00832C5A">
        <w:t>, therefore, recommend that the Commission approve the Settlement in its entirety</w:t>
      </w:r>
    </w:p>
    <w:p w14:paraId="75456382" w14:textId="5C9D2F7A" w:rsidR="00563C92" w:rsidRPr="00832C5A" w:rsidRDefault="0012055B" w:rsidP="00563C92">
      <w:pPr>
        <w:pStyle w:val="HeadingRomanAllCap"/>
        <w:tabs>
          <w:tab w:val="clear" w:pos="3960"/>
        </w:tabs>
        <w:spacing w:line="480" w:lineRule="auto"/>
      </w:pPr>
      <w:r w:rsidRPr="00832C5A">
        <w:t>LEGAL POINTS THAT BEAR ON PROPOSED SETTLEMENT</w:t>
      </w:r>
    </w:p>
    <w:p w14:paraId="7E794940" w14:textId="63E6247E" w:rsidR="0012055B" w:rsidRPr="00832C5A" w:rsidRDefault="0012055B" w:rsidP="0012055B">
      <w:pPr>
        <w:numPr>
          <w:ilvl w:val="0"/>
          <w:numId w:val="32"/>
        </w:numPr>
        <w:spacing w:line="480" w:lineRule="auto"/>
      </w:pPr>
      <w:r w:rsidRPr="00832C5A">
        <w:tab/>
        <w:t>In WAC 480-07-700, the Commission states its support for parties’ informal efforts to resolve disputes without the need for contested hearings when doing so is lawful and consis</w:t>
      </w:r>
      <w:r w:rsidR="00960D8A" w:rsidRPr="00832C5A">
        <w:t xml:space="preserve">tent with the public interest. </w:t>
      </w:r>
      <w:r w:rsidRPr="00832C5A">
        <w:t>The Parties have resolved all of the issues in dispute between them, and their resolution complies with Commission rules and, as explained above, is consistent with the public interest.</w:t>
      </w:r>
    </w:p>
    <w:p w14:paraId="2FF7C5A4" w14:textId="77777777" w:rsidR="00563C92" w:rsidRPr="00832C5A" w:rsidRDefault="00563C92" w:rsidP="00563C92">
      <w:pPr>
        <w:pStyle w:val="HeadingRomanAllCap"/>
        <w:tabs>
          <w:tab w:val="clear" w:pos="3960"/>
        </w:tabs>
        <w:spacing w:line="480" w:lineRule="auto"/>
      </w:pPr>
      <w:r w:rsidRPr="00832C5A">
        <w:t xml:space="preserve">CONCLUSION </w:t>
      </w:r>
    </w:p>
    <w:p w14:paraId="2C3C4908" w14:textId="7BA73813" w:rsidR="0012055B" w:rsidRPr="00832C5A" w:rsidRDefault="00563C92" w:rsidP="00D211B7">
      <w:pPr>
        <w:numPr>
          <w:ilvl w:val="0"/>
          <w:numId w:val="32"/>
        </w:numPr>
        <w:spacing w:line="480" w:lineRule="auto"/>
      </w:pPr>
      <w:r w:rsidRPr="00832C5A">
        <w:t xml:space="preserve"> </w:t>
      </w:r>
      <w:r w:rsidRPr="00832C5A">
        <w:tab/>
        <w:t xml:space="preserve">Because the Parties have negotiated a compromise on all of the issues in this dispute and because the </w:t>
      </w:r>
      <w:r w:rsidR="00403877" w:rsidRPr="00832C5A">
        <w:t>S</w:t>
      </w:r>
      <w:r w:rsidRPr="00832C5A">
        <w:t xml:space="preserve">ettlement is in the public interest, </w:t>
      </w:r>
      <w:r w:rsidR="00960D8A" w:rsidRPr="00832C5A">
        <w:t>the</w:t>
      </w:r>
      <w:r w:rsidRPr="00832C5A">
        <w:t xml:space="preserve"> Parties request that the Commission issue an order approving the Settlement in full. </w:t>
      </w:r>
    </w:p>
    <w:p w14:paraId="56F7211B" w14:textId="480E0819" w:rsidR="00A53978" w:rsidRPr="00832C5A" w:rsidRDefault="00587DF0" w:rsidP="00D211B7">
      <w:pPr>
        <w:spacing w:line="480" w:lineRule="auto"/>
      </w:pPr>
      <w:r>
        <w:tab/>
      </w:r>
      <w:r w:rsidR="0012055B" w:rsidRPr="00832C5A">
        <w:t xml:space="preserve">Respectfully submitted this _____ day of </w:t>
      </w:r>
      <w:r w:rsidR="006B1356">
        <w:t>September</w:t>
      </w:r>
      <w:r w:rsidR="0012055B" w:rsidRPr="00832C5A">
        <w:t>, 2015.</w:t>
      </w:r>
    </w:p>
    <w:p w14:paraId="279304C6" w14:textId="77777777" w:rsidR="00563C92" w:rsidRPr="00832C5A" w:rsidRDefault="00563C92" w:rsidP="00D211B7">
      <w:pPr>
        <w:spacing w:line="480" w:lineRule="auto"/>
      </w:pPr>
    </w:p>
    <w:tbl>
      <w:tblPr>
        <w:tblW w:w="9378" w:type="dxa"/>
        <w:tblLook w:val="00A0" w:firstRow="1" w:lastRow="0" w:firstColumn="1" w:lastColumn="0" w:noHBand="0" w:noVBand="0"/>
      </w:tblPr>
      <w:tblGrid>
        <w:gridCol w:w="4878"/>
        <w:gridCol w:w="4500"/>
      </w:tblGrid>
      <w:tr w:rsidR="00964937" w:rsidRPr="00832C5A" w14:paraId="7AACA55D" w14:textId="77777777" w:rsidTr="00EB44D3">
        <w:tc>
          <w:tcPr>
            <w:tcW w:w="4878" w:type="dxa"/>
          </w:tcPr>
          <w:p w14:paraId="61BDDBC1" w14:textId="77777777" w:rsidR="00964937" w:rsidRPr="00832C5A" w:rsidRDefault="00964937" w:rsidP="004943B1">
            <w:r w:rsidRPr="00832C5A">
              <w:t>WASHINGTON UTILITIES AND</w:t>
            </w:r>
          </w:p>
          <w:p w14:paraId="4BA457E0" w14:textId="77777777" w:rsidR="00964937" w:rsidRPr="00832C5A" w:rsidRDefault="00964937" w:rsidP="004943B1">
            <w:r w:rsidRPr="00832C5A">
              <w:t>TRANSPORTATION COMMISSION</w:t>
            </w:r>
          </w:p>
          <w:p w14:paraId="7ACC0144" w14:textId="77777777" w:rsidR="00964937" w:rsidRPr="00832C5A" w:rsidRDefault="00964937" w:rsidP="004943B1"/>
        </w:tc>
        <w:tc>
          <w:tcPr>
            <w:tcW w:w="4500" w:type="dxa"/>
          </w:tcPr>
          <w:p w14:paraId="2759F8BC" w14:textId="77777777" w:rsidR="007F43E8" w:rsidRPr="007F43E8" w:rsidRDefault="007F43E8" w:rsidP="007F43E8">
            <w:pPr>
              <w:pStyle w:val="Header"/>
              <w:rPr>
                <w:caps/>
                <w:color w:val="000000"/>
              </w:rPr>
            </w:pPr>
            <w:r w:rsidRPr="007F43E8">
              <w:rPr>
                <w:caps/>
                <w:color w:val="000000"/>
              </w:rPr>
              <w:t>PELICAN POINT WATER COMPANY and Jill Goodrich</w:t>
            </w:r>
          </w:p>
          <w:p w14:paraId="287DBC47" w14:textId="77777777" w:rsidR="00964937" w:rsidRPr="00832C5A" w:rsidRDefault="00964937" w:rsidP="00EB44D3">
            <w:pPr>
              <w:keepLines/>
              <w:rPr>
                <w:caps/>
              </w:rPr>
            </w:pPr>
          </w:p>
        </w:tc>
      </w:tr>
      <w:tr w:rsidR="005D2420" w:rsidRPr="00832C5A" w14:paraId="22737E75" w14:textId="77777777" w:rsidTr="00EB44D3">
        <w:tc>
          <w:tcPr>
            <w:tcW w:w="4878" w:type="dxa"/>
          </w:tcPr>
          <w:p w14:paraId="4C50DC1E" w14:textId="77777777" w:rsidR="005D2420" w:rsidRPr="00832C5A" w:rsidRDefault="005D2420" w:rsidP="005D2420">
            <w:r w:rsidRPr="00832C5A">
              <w:t>ROBERT W. FERGUSON</w:t>
            </w:r>
          </w:p>
          <w:p w14:paraId="55194423" w14:textId="77777777" w:rsidR="005D2420" w:rsidRPr="00832C5A" w:rsidRDefault="005D2420" w:rsidP="005D2420">
            <w:r w:rsidRPr="00832C5A">
              <w:t>Attorney General</w:t>
            </w:r>
          </w:p>
          <w:p w14:paraId="4557D95E" w14:textId="77777777" w:rsidR="005D2420" w:rsidRPr="00832C5A" w:rsidRDefault="005D2420" w:rsidP="005D2420"/>
          <w:p w14:paraId="563ABF24" w14:textId="77777777" w:rsidR="005D2420" w:rsidRPr="00832C5A" w:rsidRDefault="005D2420" w:rsidP="005D2420"/>
          <w:p w14:paraId="26C3B9AC" w14:textId="35D31886" w:rsidR="00EB44D3" w:rsidRPr="00832C5A" w:rsidRDefault="00EB44D3" w:rsidP="00EB44D3">
            <w:r w:rsidRPr="00832C5A">
              <w:t>___</w:t>
            </w:r>
            <w:r w:rsidR="00403877" w:rsidRPr="00832C5A">
              <w:t>_______________________________</w:t>
            </w:r>
            <w:r w:rsidRPr="00832C5A">
              <w:tab/>
            </w:r>
          </w:p>
          <w:p w14:paraId="3DB6BD0C" w14:textId="77777777" w:rsidR="00EB44D3" w:rsidRPr="00832C5A" w:rsidRDefault="00EB44D3" w:rsidP="00EB44D3">
            <w:r w:rsidRPr="00832C5A">
              <w:t>CHRISTOPHER M. CASEY</w:t>
            </w:r>
          </w:p>
          <w:p w14:paraId="267F4CBA" w14:textId="77777777" w:rsidR="00EB44D3" w:rsidRPr="00832C5A" w:rsidRDefault="00EB44D3" w:rsidP="00EB44D3">
            <w:r w:rsidRPr="00832C5A">
              <w:t>Assistant Attorney General</w:t>
            </w:r>
          </w:p>
          <w:p w14:paraId="7CAF4D77" w14:textId="77777777" w:rsidR="00EB44D3" w:rsidRPr="00832C5A" w:rsidRDefault="00EB44D3" w:rsidP="00EB44D3">
            <w:r w:rsidRPr="00832C5A">
              <w:t xml:space="preserve">Counsel for the Utilities and </w:t>
            </w:r>
          </w:p>
          <w:p w14:paraId="6C3BBC86" w14:textId="77777777" w:rsidR="00EB44D3" w:rsidRPr="00832C5A" w:rsidRDefault="00EB44D3" w:rsidP="00EB44D3">
            <w:r w:rsidRPr="00832C5A">
              <w:t>Transportation Commission Staff</w:t>
            </w:r>
          </w:p>
          <w:p w14:paraId="4ABC48E8" w14:textId="77777777" w:rsidR="00EB44D3" w:rsidRPr="00832C5A" w:rsidRDefault="00EB44D3" w:rsidP="00EB44D3"/>
          <w:p w14:paraId="38B3D905" w14:textId="0CFF8100" w:rsidR="00C814AD" w:rsidRPr="00832C5A" w:rsidRDefault="00EB44D3" w:rsidP="005D2420">
            <w:r w:rsidRPr="00832C5A">
              <w:t>Dated: ___________________, 2015</w:t>
            </w:r>
            <w:bookmarkStart w:id="0" w:name="_GoBack"/>
            <w:bookmarkEnd w:id="0"/>
          </w:p>
          <w:p w14:paraId="66996F67" w14:textId="77777777" w:rsidR="00C814AD" w:rsidRPr="00832C5A" w:rsidRDefault="00C814AD" w:rsidP="005D2420"/>
        </w:tc>
        <w:tc>
          <w:tcPr>
            <w:tcW w:w="4500" w:type="dxa"/>
          </w:tcPr>
          <w:p w14:paraId="2753B369" w14:textId="77777777" w:rsidR="006845AD" w:rsidRPr="00832C5A" w:rsidRDefault="006845AD" w:rsidP="005D2420"/>
          <w:p w14:paraId="5E612F14" w14:textId="77777777" w:rsidR="00170083" w:rsidRPr="00832C5A" w:rsidRDefault="00170083" w:rsidP="005D2420"/>
          <w:p w14:paraId="5157F911" w14:textId="77777777" w:rsidR="00170083" w:rsidRPr="00832C5A" w:rsidRDefault="00170083" w:rsidP="005D2420"/>
          <w:p w14:paraId="36FAE31C" w14:textId="77777777" w:rsidR="00170083" w:rsidRPr="00832C5A" w:rsidRDefault="00170083" w:rsidP="005D2420"/>
          <w:p w14:paraId="511699B0" w14:textId="77777777" w:rsidR="00EB44D3" w:rsidRPr="00832C5A" w:rsidRDefault="00EB44D3" w:rsidP="005D2420">
            <w:r w:rsidRPr="00832C5A">
              <w:t>___________________________________</w:t>
            </w:r>
          </w:p>
          <w:p w14:paraId="7CAEE68C" w14:textId="77777777" w:rsidR="007F43E8" w:rsidRPr="007F43E8" w:rsidRDefault="007F43E8" w:rsidP="007F43E8">
            <w:r w:rsidRPr="007F43E8">
              <w:t>JEFFREY EARL</w:t>
            </w:r>
          </w:p>
          <w:p w14:paraId="5306A19D" w14:textId="77777777" w:rsidR="007F43E8" w:rsidRPr="007F43E8" w:rsidRDefault="007F43E8" w:rsidP="007F43E8">
            <w:r w:rsidRPr="007F43E8">
              <w:t xml:space="preserve">Counsel for Pelican Point Water Company and Jill Goodrich </w:t>
            </w:r>
          </w:p>
          <w:p w14:paraId="06D1B812" w14:textId="362D2335" w:rsidR="0037779B" w:rsidRPr="00832C5A" w:rsidRDefault="0037779B" w:rsidP="00EB44D3"/>
          <w:p w14:paraId="51E76C28" w14:textId="127FE2FF" w:rsidR="00170083" w:rsidRPr="00832C5A" w:rsidRDefault="007F43E8" w:rsidP="00EB44D3">
            <w:r>
              <w:t xml:space="preserve"> </w:t>
            </w:r>
          </w:p>
          <w:p w14:paraId="31C2E2B6" w14:textId="5CB7F924" w:rsidR="006845AD" w:rsidRPr="00832C5A" w:rsidRDefault="00EB44D3" w:rsidP="00EB44D3">
            <w:r w:rsidRPr="00832C5A">
              <w:t>Dated: ___________________, 2015</w:t>
            </w:r>
          </w:p>
          <w:p w14:paraId="24566BD5" w14:textId="169672DE" w:rsidR="006845AD" w:rsidRPr="00832C5A" w:rsidRDefault="006845AD" w:rsidP="006845AD"/>
        </w:tc>
      </w:tr>
    </w:tbl>
    <w:p w14:paraId="43C70B32" w14:textId="77777777" w:rsidR="00BE6DF1" w:rsidRPr="00832C5A" w:rsidRDefault="00BE6DF1"/>
    <w:sectPr w:rsidR="00BE6DF1" w:rsidRPr="00832C5A" w:rsidSect="00832C5A">
      <w:footerReference w:type="default" r:id="rId12"/>
      <w:pgSz w:w="12240" w:h="15840" w:code="1"/>
      <w:pgMar w:top="1440" w:right="1440" w:bottom="1440" w:left="1872"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A9E4E" w14:textId="77777777" w:rsidR="00A259BA" w:rsidRDefault="00A259BA">
      <w:r>
        <w:separator/>
      </w:r>
    </w:p>
  </w:endnote>
  <w:endnote w:type="continuationSeparator" w:id="0">
    <w:p w14:paraId="0678F6EA" w14:textId="77777777" w:rsidR="00A259BA" w:rsidRDefault="00A2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A096" w14:textId="77777777" w:rsidR="009D6AB2" w:rsidRDefault="009D6AB2">
    <w:pPr>
      <w:pStyle w:val="Footer"/>
      <w:rPr>
        <w:sz w:val="22"/>
        <w:szCs w:val="22"/>
      </w:rPr>
    </w:pPr>
  </w:p>
  <w:p w14:paraId="47BC9620" w14:textId="737129C9" w:rsidR="009D6AB2" w:rsidRDefault="00563C92">
    <w:pPr>
      <w:pStyle w:val="Footer"/>
      <w:rPr>
        <w:rStyle w:val="PageNumber"/>
        <w:sz w:val="22"/>
        <w:szCs w:val="22"/>
      </w:rPr>
    </w:pPr>
    <w:r w:rsidRPr="00563C92">
      <w:rPr>
        <w:sz w:val="22"/>
        <w:szCs w:val="22"/>
      </w:rPr>
      <w:t xml:space="preserve">NARRATIVE SUPPORTING </w:t>
    </w:r>
    <w:r w:rsidR="009D6AB2" w:rsidRPr="00530582">
      <w:rPr>
        <w:sz w:val="22"/>
        <w:szCs w:val="22"/>
      </w:rPr>
      <w:t xml:space="preserve">SETTLEMENT AGREEMENT - Page </w:t>
    </w:r>
    <w:r w:rsidR="009D6AB2" w:rsidRPr="00530582">
      <w:rPr>
        <w:rStyle w:val="PageNumber"/>
        <w:sz w:val="22"/>
        <w:szCs w:val="22"/>
      </w:rPr>
      <w:fldChar w:fldCharType="begin"/>
    </w:r>
    <w:r w:rsidR="009D6AB2" w:rsidRPr="00530582">
      <w:rPr>
        <w:rStyle w:val="PageNumber"/>
        <w:sz w:val="22"/>
        <w:szCs w:val="22"/>
      </w:rPr>
      <w:instrText xml:space="preserve"> PAGE </w:instrText>
    </w:r>
    <w:r w:rsidR="009D6AB2" w:rsidRPr="00530582">
      <w:rPr>
        <w:rStyle w:val="PageNumber"/>
        <w:sz w:val="22"/>
        <w:szCs w:val="22"/>
      </w:rPr>
      <w:fldChar w:fldCharType="separate"/>
    </w:r>
    <w:r w:rsidR="00C22594">
      <w:rPr>
        <w:rStyle w:val="PageNumber"/>
        <w:noProof/>
        <w:sz w:val="22"/>
        <w:szCs w:val="22"/>
      </w:rPr>
      <w:t>6</w:t>
    </w:r>
    <w:r w:rsidR="009D6AB2" w:rsidRPr="00530582">
      <w:rPr>
        <w:rStyle w:val="PageNumber"/>
        <w:sz w:val="22"/>
        <w:szCs w:val="22"/>
      </w:rPr>
      <w:fldChar w:fldCharType="end"/>
    </w:r>
    <w:r w:rsidR="009D6AB2" w:rsidRPr="00530582">
      <w:rPr>
        <w:rStyle w:val="PageNumber"/>
        <w:sz w:val="22"/>
        <w:szCs w:val="22"/>
      </w:rPr>
      <w:t xml:space="preserve"> of </w:t>
    </w:r>
    <w:r w:rsidR="009D6AB2" w:rsidRPr="00530582">
      <w:rPr>
        <w:rStyle w:val="PageNumber"/>
        <w:sz w:val="22"/>
        <w:szCs w:val="22"/>
      </w:rPr>
      <w:fldChar w:fldCharType="begin"/>
    </w:r>
    <w:r w:rsidR="009D6AB2" w:rsidRPr="00530582">
      <w:rPr>
        <w:rStyle w:val="PageNumber"/>
        <w:sz w:val="22"/>
        <w:szCs w:val="22"/>
      </w:rPr>
      <w:instrText xml:space="preserve"> NUMPAGES </w:instrText>
    </w:r>
    <w:r w:rsidR="009D6AB2" w:rsidRPr="00530582">
      <w:rPr>
        <w:rStyle w:val="PageNumber"/>
        <w:sz w:val="22"/>
        <w:szCs w:val="22"/>
      </w:rPr>
      <w:fldChar w:fldCharType="separate"/>
    </w:r>
    <w:r w:rsidR="00C22594">
      <w:rPr>
        <w:rStyle w:val="PageNumber"/>
        <w:noProof/>
        <w:sz w:val="22"/>
        <w:szCs w:val="22"/>
      </w:rPr>
      <w:t>6</w:t>
    </w:r>
    <w:r w:rsidR="009D6AB2" w:rsidRPr="00530582">
      <w:rPr>
        <w:rStyle w:val="PageNumber"/>
        <w:sz w:val="22"/>
        <w:szCs w:val="22"/>
      </w:rPr>
      <w:fldChar w:fldCharType="end"/>
    </w:r>
  </w:p>
  <w:p w14:paraId="28D81860" w14:textId="77777777" w:rsidR="009D6AB2" w:rsidRDefault="009D6AB2" w:rsidP="00AF6067">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06400" w14:textId="77777777" w:rsidR="00A259BA" w:rsidRDefault="00A259BA">
      <w:r>
        <w:separator/>
      </w:r>
    </w:p>
  </w:footnote>
  <w:footnote w:type="continuationSeparator" w:id="0">
    <w:p w14:paraId="2A3D7CD5" w14:textId="77777777" w:rsidR="00A259BA" w:rsidRDefault="00A25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C3A25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2E74"/>
    <w:multiLevelType w:val="hybridMultilevel"/>
    <w:tmpl w:val="C77469F4"/>
    <w:lvl w:ilvl="0" w:tplc="1AF6BC30">
      <w:start w:val="1"/>
      <w:numFmt w:val="upperLetter"/>
      <w:pStyle w:val="Headingtitlecase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B1DE2"/>
    <w:multiLevelType w:val="hybridMultilevel"/>
    <w:tmpl w:val="D49E43E8"/>
    <w:lvl w:ilvl="0" w:tplc="E32CAA6E">
      <w:start w:val="1"/>
      <w:numFmt w:val="decimal"/>
      <w:lvlText w:val="%1"/>
      <w:lvlJc w:val="left"/>
      <w:pPr>
        <w:ind w:left="0" w:hanging="72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D450C6"/>
    <w:multiLevelType w:val="hybridMultilevel"/>
    <w:tmpl w:val="0FCC4978"/>
    <w:lvl w:ilvl="0" w:tplc="E1C26B6C">
      <w:start w:val="1"/>
      <w:numFmt w:val="decimal"/>
      <w:lvlText w:val="%1"/>
      <w:lvlJc w:val="left"/>
      <w:pPr>
        <w:ind w:hanging="720"/>
      </w:pPr>
      <w:rPr>
        <w:rFonts w:ascii="Times New Roman" w:hAnsi="Times New Roman" w:cs="Times New Roman" w:hint="default"/>
        <w:b w:val="0"/>
        <w:i/>
        <w:sz w:val="22"/>
        <w:szCs w:val="22"/>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2897415"/>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1A75CEB"/>
    <w:multiLevelType w:val="hybridMultilevel"/>
    <w:tmpl w:val="7F1CE4F0"/>
    <w:lvl w:ilvl="0" w:tplc="92BA89B0">
      <w:start w:val="1"/>
      <w:numFmt w:val="decimal"/>
      <w:lvlText w:val="%1"/>
      <w:lvlJc w:val="left"/>
      <w:pPr>
        <w:ind w:left="720" w:hanging="360"/>
      </w:pPr>
      <w:rPr>
        <w:rFonts w:ascii="Times New Roman" w:hAnsi="Times New Roman" w:cs="Times New Roman" w:hint="default"/>
        <w:b w:val="0"/>
        <w: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7E0338"/>
    <w:multiLevelType w:val="hybridMultilevel"/>
    <w:tmpl w:val="132E1BE4"/>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233295"/>
    <w:multiLevelType w:val="hybridMultilevel"/>
    <w:tmpl w:val="8A9C0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273508E"/>
    <w:multiLevelType w:val="hybridMultilevel"/>
    <w:tmpl w:val="5A90BAF6"/>
    <w:lvl w:ilvl="0" w:tplc="09FC8DE8">
      <w:start w:val="1"/>
      <w:numFmt w:val="upperRoman"/>
      <w:pStyle w:val="HeadingRomanAllCap"/>
      <w:lvlText w:val="%1."/>
      <w:lvlJc w:val="left"/>
      <w:pPr>
        <w:tabs>
          <w:tab w:val="num" w:pos="3960"/>
        </w:tabs>
        <w:ind w:left="396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401FDB"/>
    <w:multiLevelType w:val="hybridMultilevel"/>
    <w:tmpl w:val="8886F40E"/>
    <w:lvl w:ilvl="0" w:tplc="4C3E5E0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B043FCF"/>
    <w:multiLevelType w:val="hybridMultilevel"/>
    <w:tmpl w:val="4420D8D4"/>
    <w:lvl w:ilvl="0" w:tplc="DD905C02">
      <w:start w:val="1"/>
      <w:numFmt w:val="decimal"/>
      <w:pStyle w:val="Numberedparagraph"/>
      <w:lvlText w:val="%1"/>
      <w:lvlJc w:val="left"/>
      <w:pPr>
        <w:tabs>
          <w:tab w:val="num" w:pos="0"/>
        </w:tabs>
        <w:ind w:left="0" w:hanging="720"/>
      </w:pPr>
      <w:rPr>
        <w:rFonts w:ascii="Times New Roman" w:hAnsi="Times New Roman" w:hint="default"/>
        <w:b w:val="0"/>
        <w:i/>
        <w:sz w:val="22"/>
        <w:szCs w:val="22"/>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AA5FAC"/>
    <w:multiLevelType w:val="hybridMultilevel"/>
    <w:tmpl w:val="27DA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7"/>
  </w:num>
  <w:num w:numId="3">
    <w:abstractNumId w:val="30"/>
  </w:num>
  <w:num w:numId="4">
    <w:abstractNumId w:val="7"/>
  </w:num>
  <w:num w:numId="5">
    <w:abstractNumId w:val="13"/>
  </w:num>
  <w:num w:numId="6">
    <w:abstractNumId w:val="10"/>
  </w:num>
  <w:num w:numId="7">
    <w:abstractNumId w:val="8"/>
  </w:num>
  <w:num w:numId="8">
    <w:abstractNumId w:val="14"/>
  </w:num>
  <w:num w:numId="9">
    <w:abstractNumId w:val="24"/>
  </w:num>
  <w:num w:numId="10">
    <w:abstractNumId w:val="29"/>
  </w:num>
  <w:num w:numId="11">
    <w:abstractNumId w:val="6"/>
  </w:num>
  <w:num w:numId="12">
    <w:abstractNumId w:val="5"/>
  </w:num>
  <w:num w:numId="13">
    <w:abstractNumId w:val="9"/>
  </w:num>
  <w:num w:numId="14">
    <w:abstractNumId w:val="23"/>
  </w:num>
  <w:num w:numId="15">
    <w:abstractNumId w:val="26"/>
  </w:num>
  <w:num w:numId="16">
    <w:abstractNumId w:val="28"/>
  </w:num>
  <w:num w:numId="17">
    <w:abstractNumId w:val="25"/>
  </w:num>
  <w:num w:numId="18">
    <w:abstractNumId w:val="21"/>
  </w:num>
  <w:num w:numId="19">
    <w:abstractNumId w:val="20"/>
  </w:num>
  <w:num w:numId="20">
    <w:abstractNumId w:val="19"/>
  </w:num>
  <w:num w:numId="21">
    <w:abstractNumId w:val="11"/>
  </w:num>
  <w:num w:numId="22">
    <w:abstractNumId w:val="1"/>
  </w:num>
  <w:num w:numId="23">
    <w:abstractNumId w:val="27"/>
  </w:num>
  <w:num w:numId="24">
    <w:abstractNumId w:val="31"/>
  </w:num>
  <w:num w:numId="25">
    <w:abstractNumId w:val="12"/>
  </w:num>
  <w:num w:numId="26">
    <w:abstractNumId w:val="3"/>
  </w:num>
  <w:num w:numId="27">
    <w:abstractNumId w:val="2"/>
  </w:num>
  <w:num w:numId="28">
    <w:abstractNumId w:val="18"/>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74"/>
    <w:rsid w:val="00006201"/>
    <w:rsid w:val="000066F4"/>
    <w:rsid w:val="00012979"/>
    <w:rsid w:val="000155B7"/>
    <w:rsid w:val="00021833"/>
    <w:rsid w:val="000245F0"/>
    <w:rsid w:val="00026370"/>
    <w:rsid w:val="0003682E"/>
    <w:rsid w:val="00041AB1"/>
    <w:rsid w:val="00041BF8"/>
    <w:rsid w:val="0004529A"/>
    <w:rsid w:val="00045D08"/>
    <w:rsid w:val="00046335"/>
    <w:rsid w:val="00047CD3"/>
    <w:rsid w:val="0005368D"/>
    <w:rsid w:val="000549E3"/>
    <w:rsid w:val="00055E0E"/>
    <w:rsid w:val="00060A03"/>
    <w:rsid w:val="000621AE"/>
    <w:rsid w:val="000668B2"/>
    <w:rsid w:val="00067379"/>
    <w:rsid w:val="0007411A"/>
    <w:rsid w:val="00074440"/>
    <w:rsid w:val="00085416"/>
    <w:rsid w:val="000922E2"/>
    <w:rsid w:val="00095D41"/>
    <w:rsid w:val="000A1F7A"/>
    <w:rsid w:val="000A6498"/>
    <w:rsid w:val="000A6B9F"/>
    <w:rsid w:val="000A7096"/>
    <w:rsid w:val="000C0F97"/>
    <w:rsid w:val="000C3CFE"/>
    <w:rsid w:val="000C569E"/>
    <w:rsid w:val="000E08E3"/>
    <w:rsid w:val="000E09E8"/>
    <w:rsid w:val="000E1F88"/>
    <w:rsid w:val="000E327C"/>
    <w:rsid w:val="000E37B9"/>
    <w:rsid w:val="000E6B02"/>
    <w:rsid w:val="000F2AEC"/>
    <w:rsid w:val="001024DF"/>
    <w:rsid w:val="0010321B"/>
    <w:rsid w:val="00107C95"/>
    <w:rsid w:val="001101D0"/>
    <w:rsid w:val="001129EF"/>
    <w:rsid w:val="00113228"/>
    <w:rsid w:val="00114A08"/>
    <w:rsid w:val="0012055B"/>
    <w:rsid w:val="0012120F"/>
    <w:rsid w:val="00126DC1"/>
    <w:rsid w:val="00135465"/>
    <w:rsid w:val="00135551"/>
    <w:rsid w:val="00144C09"/>
    <w:rsid w:val="00150332"/>
    <w:rsid w:val="00151034"/>
    <w:rsid w:val="00156B9F"/>
    <w:rsid w:val="001644C2"/>
    <w:rsid w:val="00170083"/>
    <w:rsid w:val="00170839"/>
    <w:rsid w:val="0017480F"/>
    <w:rsid w:val="00176BE7"/>
    <w:rsid w:val="001806A0"/>
    <w:rsid w:val="00183745"/>
    <w:rsid w:val="0018375F"/>
    <w:rsid w:val="00185A2F"/>
    <w:rsid w:val="00193878"/>
    <w:rsid w:val="00196F38"/>
    <w:rsid w:val="001A0D96"/>
    <w:rsid w:val="001A4EF9"/>
    <w:rsid w:val="001A5485"/>
    <w:rsid w:val="001A6D20"/>
    <w:rsid w:val="001A7FB6"/>
    <w:rsid w:val="001B4607"/>
    <w:rsid w:val="001B6E07"/>
    <w:rsid w:val="001B746D"/>
    <w:rsid w:val="001C18E9"/>
    <w:rsid w:val="001C517C"/>
    <w:rsid w:val="001D1C69"/>
    <w:rsid w:val="001D3046"/>
    <w:rsid w:val="001D4EBF"/>
    <w:rsid w:val="001D6912"/>
    <w:rsid w:val="001E25D5"/>
    <w:rsid w:val="001E3D52"/>
    <w:rsid w:val="001E51AC"/>
    <w:rsid w:val="001F1DF8"/>
    <w:rsid w:val="002175F5"/>
    <w:rsid w:val="00231F91"/>
    <w:rsid w:val="002327CC"/>
    <w:rsid w:val="00233BB9"/>
    <w:rsid w:val="00237664"/>
    <w:rsid w:val="002403A1"/>
    <w:rsid w:val="00242465"/>
    <w:rsid w:val="00257D01"/>
    <w:rsid w:val="002705B7"/>
    <w:rsid w:val="002803EC"/>
    <w:rsid w:val="002811F5"/>
    <w:rsid w:val="002832E3"/>
    <w:rsid w:val="0029362D"/>
    <w:rsid w:val="002A3268"/>
    <w:rsid w:val="002A354B"/>
    <w:rsid w:val="002B1DE7"/>
    <w:rsid w:val="002B2883"/>
    <w:rsid w:val="002B3B66"/>
    <w:rsid w:val="002B3E85"/>
    <w:rsid w:val="002C314B"/>
    <w:rsid w:val="002C41CD"/>
    <w:rsid w:val="002D4DA6"/>
    <w:rsid w:val="002D5D7B"/>
    <w:rsid w:val="002F0A01"/>
    <w:rsid w:val="002F253F"/>
    <w:rsid w:val="002F3B9B"/>
    <w:rsid w:val="002F47C9"/>
    <w:rsid w:val="00301F57"/>
    <w:rsid w:val="003046AD"/>
    <w:rsid w:val="0031329E"/>
    <w:rsid w:val="003156E2"/>
    <w:rsid w:val="00317152"/>
    <w:rsid w:val="00320BB4"/>
    <w:rsid w:val="003215C4"/>
    <w:rsid w:val="00323831"/>
    <w:rsid w:val="00330089"/>
    <w:rsid w:val="00345D81"/>
    <w:rsid w:val="00347919"/>
    <w:rsid w:val="0035420B"/>
    <w:rsid w:val="003566B5"/>
    <w:rsid w:val="00365EB7"/>
    <w:rsid w:val="00371A45"/>
    <w:rsid w:val="00375222"/>
    <w:rsid w:val="0037779B"/>
    <w:rsid w:val="003816A3"/>
    <w:rsid w:val="00382E6C"/>
    <w:rsid w:val="003833D9"/>
    <w:rsid w:val="003850BA"/>
    <w:rsid w:val="003A0799"/>
    <w:rsid w:val="003B5C54"/>
    <w:rsid w:val="003C1E14"/>
    <w:rsid w:val="003C661A"/>
    <w:rsid w:val="003C7002"/>
    <w:rsid w:val="003D2C41"/>
    <w:rsid w:val="003D2C9A"/>
    <w:rsid w:val="003D3B72"/>
    <w:rsid w:val="003D3C30"/>
    <w:rsid w:val="003D4830"/>
    <w:rsid w:val="003D6596"/>
    <w:rsid w:val="003D74B6"/>
    <w:rsid w:val="003E0334"/>
    <w:rsid w:val="003E22E6"/>
    <w:rsid w:val="003F21B8"/>
    <w:rsid w:val="003F26A3"/>
    <w:rsid w:val="003F2CC2"/>
    <w:rsid w:val="003F4B34"/>
    <w:rsid w:val="003F5A8F"/>
    <w:rsid w:val="00401710"/>
    <w:rsid w:val="00402FCB"/>
    <w:rsid w:val="00403877"/>
    <w:rsid w:val="004049C8"/>
    <w:rsid w:val="00406E61"/>
    <w:rsid w:val="00407DAA"/>
    <w:rsid w:val="00411780"/>
    <w:rsid w:val="00413267"/>
    <w:rsid w:val="00413B95"/>
    <w:rsid w:val="00414913"/>
    <w:rsid w:val="00414E58"/>
    <w:rsid w:val="004247E9"/>
    <w:rsid w:val="00425BA0"/>
    <w:rsid w:val="00425C05"/>
    <w:rsid w:val="00425FB0"/>
    <w:rsid w:val="004310E9"/>
    <w:rsid w:val="00432556"/>
    <w:rsid w:val="00437912"/>
    <w:rsid w:val="00442A6A"/>
    <w:rsid w:val="00444FA0"/>
    <w:rsid w:val="00452C47"/>
    <w:rsid w:val="00456D94"/>
    <w:rsid w:val="00471433"/>
    <w:rsid w:val="00472890"/>
    <w:rsid w:val="00473218"/>
    <w:rsid w:val="00473B9B"/>
    <w:rsid w:val="00480570"/>
    <w:rsid w:val="00481E35"/>
    <w:rsid w:val="004943B1"/>
    <w:rsid w:val="004A3099"/>
    <w:rsid w:val="004A393F"/>
    <w:rsid w:val="004A53AB"/>
    <w:rsid w:val="004A5A61"/>
    <w:rsid w:val="004B0829"/>
    <w:rsid w:val="004C0A11"/>
    <w:rsid w:val="004C1835"/>
    <w:rsid w:val="004C7C5F"/>
    <w:rsid w:val="004D0BE1"/>
    <w:rsid w:val="004D4E4B"/>
    <w:rsid w:val="004D66D4"/>
    <w:rsid w:val="004E0688"/>
    <w:rsid w:val="004E5B35"/>
    <w:rsid w:val="0050033F"/>
    <w:rsid w:val="005005B7"/>
    <w:rsid w:val="00500E37"/>
    <w:rsid w:val="00503464"/>
    <w:rsid w:val="00505552"/>
    <w:rsid w:val="00513DB3"/>
    <w:rsid w:val="0052052B"/>
    <w:rsid w:val="00530514"/>
    <w:rsid w:val="00530582"/>
    <w:rsid w:val="0053623A"/>
    <w:rsid w:val="005362D0"/>
    <w:rsid w:val="005403A5"/>
    <w:rsid w:val="00541484"/>
    <w:rsid w:val="00546FCB"/>
    <w:rsid w:val="00550DF5"/>
    <w:rsid w:val="0055414E"/>
    <w:rsid w:val="00555D23"/>
    <w:rsid w:val="005613AF"/>
    <w:rsid w:val="005633B0"/>
    <w:rsid w:val="00563C92"/>
    <w:rsid w:val="00567FCB"/>
    <w:rsid w:val="005710F2"/>
    <w:rsid w:val="0057529C"/>
    <w:rsid w:val="005853F5"/>
    <w:rsid w:val="00587DF0"/>
    <w:rsid w:val="00590F10"/>
    <w:rsid w:val="00593428"/>
    <w:rsid w:val="00596066"/>
    <w:rsid w:val="005A343C"/>
    <w:rsid w:val="005A3632"/>
    <w:rsid w:val="005A545D"/>
    <w:rsid w:val="005A5CD9"/>
    <w:rsid w:val="005B25CC"/>
    <w:rsid w:val="005B34B4"/>
    <w:rsid w:val="005B3EB3"/>
    <w:rsid w:val="005B4D21"/>
    <w:rsid w:val="005C0CA2"/>
    <w:rsid w:val="005C21ED"/>
    <w:rsid w:val="005D2420"/>
    <w:rsid w:val="005E0634"/>
    <w:rsid w:val="005E40E6"/>
    <w:rsid w:val="005E5700"/>
    <w:rsid w:val="005F4652"/>
    <w:rsid w:val="00603C94"/>
    <w:rsid w:val="00607DAD"/>
    <w:rsid w:val="0062571C"/>
    <w:rsid w:val="00630323"/>
    <w:rsid w:val="00630565"/>
    <w:rsid w:val="006313AB"/>
    <w:rsid w:val="00637453"/>
    <w:rsid w:val="0065354D"/>
    <w:rsid w:val="00654654"/>
    <w:rsid w:val="0067633F"/>
    <w:rsid w:val="00681ED6"/>
    <w:rsid w:val="006845AD"/>
    <w:rsid w:val="00684DB7"/>
    <w:rsid w:val="00690D4A"/>
    <w:rsid w:val="006919C8"/>
    <w:rsid w:val="006A33EC"/>
    <w:rsid w:val="006A3B41"/>
    <w:rsid w:val="006A51BE"/>
    <w:rsid w:val="006B1356"/>
    <w:rsid w:val="006B142D"/>
    <w:rsid w:val="006B2015"/>
    <w:rsid w:val="006B399B"/>
    <w:rsid w:val="006B570F"/>
    <w:rsid w:val="006B588B"/>
    <w:rsid w:val="006C3E8D"/>
    <w:rsid w:val="006C430B"/>
    <w:rsid w:val="006D4510"/>
    <w:rsid w:val="006E0CFA"/>
    <w:rsid w:val="006E2F3B"/>
    <w:rsid w:val="006F0C93"/>
    <w:rsid w:val="006F187B"/>
    <w:rsid w:val="006F1CCE"/>
    <w:rsid w:val="006F36BA"/>
    <w:rsid w:val="006F4422"/>
    <w:rsid w:val="006F77B3"/>
    <w:rsid w:val="00701278"/>
    <w:rsid w:val="00712251"/>
    <w:rsid w:val="00713EAC"/>
    <w:rsid w:val="00717074"/>
    <w:rsid w:val="007201F1"/>
    <w:rsid w:val="00721AB6"/>
    <w:rsid w:val="0072306B"/>
    <w:rsid w:val="00726E63"/>
    <w:rsid w:val="00732B90"/>
    <w:rsid w:val="007339AD"/>
    <w:rsid w:val="00735F37"/>
    <w:rsid w:val="00744EF7"/>
    <w:rsid w:val="00746426"/>
    <w:rsid w:val="00747021"/>
    <w:rsid w:val="007476CA"/>
    <w:rsid w:val="00752C85"/>
    <w:rsid w:val="00753733"/>
    <w:rsid w:val="00756DA0"/>
    <w:rsid w:val="0076051E"/>
    <w:rsid w:val="00761123"/>
    <w:rsid w:val="00772C93"/>
    <w:rsid w:val="00776A14"/>
    <w:rsid w:val="007802B7"/>
    <w:rsid w:val="007821BA"/>
    <w:rsid w:val="00786AD1"/>
    <w:rsid w:val="00792D6E"/>
    <w:rsid w:val="00793B11"/>
    <w:rsid w:val="007951E6"/>
    <w:rsid w:val="00796A85"/>
    <w:rsid w:val="00796E58"/>
    <w:rsid w:val="00796F6A"/>
    <w:rsid w:val="007A1128"/>
    <w:rsid w:val="007A315C"/>
    <w:rsid w:val="007A4064"/>
    <w:rsid w:val="007A50C8"/>
    <w:rsid w:val="007A67D1"/>
    <w:rsid w:val="007B0FF2"/>
    <w:rsid w:val="007B1490"/>
    <w:rsid w:val="007B5666"/>
    <w:rsid w:val="007C343F"/>
    <w:rsid w:val="007C3763"/>
    <w:rsid w:val="007C55EE"/>
    <w:rsid w:val="007D1107"/>
    <w:rsid w:val="007D1B6E"/>
    <w:rsid w:val="007D5002"/>
    <w:rsid w:val="007D5D10"/>
    <w:rsid w:val="007D7911"/>
    <w:rsid w:val="007E4FAF"/>
    <w:rsid w:val="007E7701"/>
    <w:rsid w:val="007F43E8"/>
    <w:rsid w:val="008114CF"/>
    <w:rsid w:val="00816425"/>
    <w:rsid w:val="0082584E"/>
    <w:rsid w:val="00825B0E"/>
    <w:rsid w:val="0083193E"/>
    <w:rsid w:val="00832C5A"/>
    <w:rsid w:val="00837676"/>
    <w:rsid w:val="008417A7"/>
    <w:rsid w:val="00842A43"/>
    <w:rsid w:val="0085203E"/>
    <w:rsid w:val="00856755"/>
    <w:rsid w:val="008644B2"/>
    <w:rsid w:val="00871CD8"/>
    <w:rsid w:val="00875E86"/>
    <w:rsid w:val="0087758A"/>
    <w:rsid w:val="00883BF1"/>
    <w:rsid w:val="0088441D"/>
    <w:rsid w:val="008851A1"/>
    <w:rsid w:val="0088521F"/>
    <w:rsid w:val="008916D1"/>
    <w:rsid w:val="00894E4F"/>
    <w:rsid w:val="0089643E"/>
    <w:rsid w:val="00896E44"/>
    <w:rsid w:val="008A0F54"/>
    <w:rsid w:val="008B23D2"/>
    <w:rsid w:val="008B3832"/>
    <w:rsid w:val="008C31A8"/>
    <w:rsid w:val="008C7905"/>
    <w:rsid w:val="008C7C40"/>
    <w:rsid w:val="008D4539"/>
    <w:rsid w:val="008E00C9"/>
    <w:rsid w:val="008E30AA"/>
    <w:rsid w:val="008E56A5"/>
    <w:rsid w:val="008F1737"/>
    <w:rsid w:val="008F2AD4"/>
    <w:rsid w:val="009055CC"/>
    <w:rsid w:val="00911947"/>
    <w:rsid w:val="0091251B"/>
    <w:rsid w:val="00914C1E"/>
    <w:rsid w:val="009177A1"/>
    <w:rsid w:val="009264D0"/>
    <w:rsid w:val="00926D6F"/>
    <w:rsid w:val="009275A8"/>
    <w:rsid w:val="009314D4"/>
    <w:rsid w:val="00942FFE"/>
    <w:rsid w:val="009520E1"/>
    <w:rsid w:val="00954745"/>
    <w:rsid w:val="00960D8A"/>
    <w:rsid w:val="009618DF"/>
    <w:rsid w:val="00962B0A"/>
    <w:rsid w:val="00964937"/>
    <w:rsid w:val="0097086B"/>
    <w:rsid w:val="00971135"/>
    <w:rsid w:val="009761E6"/>
    <w:rsid w:val="00980FB6"/>
    <w:rsid w:val="00981ECF"/>
    <w:rsid w:val="00983F16"/>
    <w:rsid w:val="009858E5"/>
    <w:rsid w:val="009925E5"/>
    <w:rsid w:val="00997202"/>
    <w:rsid w:val="009A131D"/>
    <w:rsid w:val="009A19B3"/>
    <w:rsid w:val="009A33D9"/>
    <w:rsid w:val="009A3F8B"/>
    <w:rsid w:val="009B0743"/>
    <w:rsid w:val="009B5710"/>
    <w:rsid w:val="009B5EB7"/>
    <w:rsid w:val="009B681E"/>
    <w:rsid w:val="009C1C62"/>
    <w:rsid w:val="009C43A2"/>
    <w:rsid w:val="009C446E"/>
    <w:rsid w:val="009C44C8"/>
    <w:rsid w:val="009C5DFE"/>
    <w:rsid w:val="009D5820"/>
    <w:rsid w:val="009D6AB2"/>
    <w:rsid w:val="009D7C35"/>
    <w:rsid w:val="009F7EE6"/>
    <w:rsid w:val="00A00B00"/>
    <w:rsid w:val="00A0367E"/>
    <w:rsid w:val="00A04687"/>
    <w:rsid w:val="00A051D0"/>
    <w:rsid w:val="00A1190D"/>
    <w:rsid w:val="00A14BE4"/>
    <w:rsid w:val="00A15378"/>
    <w:rsid w:val="00A1618C"/>
    <w:rsid w:val="00A17E65"/>
    <w:rsid w:val="00A2249A"/>
    <w:rsid w:val="00A23258"/>
    <w:rsid w:val="00A259BA"/>
    <w:rsid w:val="00A33F8D"/>
    <w:rsid w:val="00A40410"/>
    <w:rsid w:val="00A4561F"/>
    <w:rsid w:val="00A47567"/>
    <w:rsid w:val="00A53978"/>
    <w:rsid w:val="00A6701D"/>
    <w:rsid w:val="00A6727F"/>
    <w:rsid w:val="00A70C48"/>
    <w:rsid w:val="00A728D3"/>
    <w:rsid w:val="00A75406"/>
    <w:rsid w:val="00A763A8"/>
    <w:rsid w:val="00A76A17"/>
    <w:rsid w:val="00A84F22"/>
    <w:rsid w:val="00A851BC"/>
    <w:rsid w:val="00A87016"/>
    <w:rsid w:val="00A87284"/>
    <w:rsid w:val="00A96C3B"/>
    <w:rsid w:val="00A97024"/>
    <w:rsid w:val="00A9736D"/>
    <w:rsid w:val="00AB1274"/>
    <w:rsid w:val="00AB2680"/>
    <w:rsid w:val="00AC05B0"/>
    <w:rsid w:val="00AC1217"/>
    <w:rsid w:val="00AC2281"/>
    <w:rsid w:val="00AD0406"/>
    <w:rsid w:val="00AD0B5A"/>
    <w:rsid w:val="00AD161D"/>
    <w:rsid w:val="00AD2894"/>
    <w:rsid w:val="00AE111E"/>
    <w:rsid w:val="00AE1B14"/>
    <w:rsid w:val="00AE340A"/>
    <w:rsid w:val="00AE3DF7"/>
    <w:rsid w:val="00AE6EAA"/>
    <w:rsid w:val="00AF220A"/>
    <w:rsid w:val="00AF57CD"/>
    <w:rsid w:val="00AF6067"/>
    <w:rsid w:val="00AF764B"/>
    <w:rsid w:val="00B015EA"/>
    <w:rsid w:val="00B04F2B"/>
    <w:rsid w:val="00B04FCF"/>
    <w:rsid w:val="00B0574C"/>
    <w:rsid w:val="00B10226"/>
    <w:rsid w:val="00B115BB"/>
    <w:rsid w:val="00B138CD"/>
    <w:rsid w:val="00B21B1D"/>
    <w:rsid w:val="00B23781"/>
    <w:rsid w:val="00B2429E"/>
    <w:rsid w:val="00B2572C"/>
    <w:rsid w:val="00B25874"/>
    <w:rsid w:val="00B270E6"/>
    <w:rsid w:val="00B315A7"/>
    <w:rsid w:val="00B412A5"/>
    <w:rsid w:val="00B429BE"/>
    <w:rsid w:val="00B4646E"/>
    <w:rsid w:val="00B465D1"/>
    <w:rsid w:val="00B46616"/>
    <w:rsid w:val="00B50E06"/>
    <w:rsid w:val="00B5156F"/>
    <w:rsid w:val="00B57F1D"/>
    <w:rsid w:val="00B61269"/>
    <w:rsid w:val="00B6150B"/>
    <w:rsid w:val="00B643A8"/>
    <w:rsid w:val="00B73DB4"/>
    <w:rsid w:val="00B83628"/>
    <w:rsid w:val="00B85BB7"/>
    <w:rsid w:val="00BA13A1"/>
    <w:rsid w:val="00BA21F5"/>
    <w:rsid w:val="00BB1C2E"/>
    <w:rsid w:val="00BB2529"/>
    <w:rsid w:val="00BB366C"/>
    <w:rsid w:val="00BC2A59"/>
    <w:rsid w:val="00BD4037"/>
    <w:rsid w:val="00BD5C78"/>
    <w:rsid w:val="00BD77B8"/>
    <w:rsid w:val="00BE1A22"/>
    <w:rsid w:val="00BE1E3F"/>
    <w:rsid w:val="00BE6DF1"/>
    <w:rsid w:val="00BF1A9A"/>
    <w:rsid w:val="00BF3813"/>
    <w:rsid w:val="00C01D26"/>
    <w:rsid w:val="00C04E55"/>
    <w:rsid w:val="00C0511A"/>
    <w:rsid w:val="00C107F6"/>
    <w:rsid w:val="00C11D21"/>
    <w:rsid w:val="00C122E3"/>
    <w:rsid w:val="00C16C56"/>
    <w:rsid w:val="00C20B1A"/>
    <w:rsid w:val="00C22594"/>
    <w:rsid w:val="00C2455C"/>
    <w:rsid w:val="00C24FA6"/>
    <w:rsid w:val="00C306D4"/>
    <w:rsid w:val="00C37D69"/>
    <w:rsid w:val="00C459C5"/>
    <w:rsid w:val="00C474E1"/>
    <w:rsid w:val="00C506D8"/>
    <w:rsid w:val="00C52C5B"/>
    <w:rsid w:val="00C63170"/>
    <w:rsid w:val="00C63523"/>
    <w:rsid w:val="00C65ED5"/>
    <w:rsid w:val="00C72846"/>
    <w:rsid w:val="00C764C5"/>
    <w:rsid w:val="00C80F30"/>
    <w:rsid w:val="00C814AD"/>
    <w:rsid w:val="00C85BD8"/>
    <w:rsid w:val="00C86CA0"/>
    <w:rsid w:val="00C919B5"/>
    <w:rsid w:val="00C92249"/>
    <w:rsid w:val="00C92348"/>
    <w:rsid w:val="00C92F68"/>
    <w:rsid w:val="00C93FF9"/>
    <w:rsid w:val="00C957B1"/>
    <w:rsid w:val="00CA1A45"/>
    <w:rsid w:val="00CA7B6A"/>
    <w:rsid w:val="00CB5CF1"/>
    <w:rsid w:val="00CC2E08"/>
    <w:rsid w:val="00CD59B5"/>
    <w:rsid w:val="00CD6AF9"/>
    <w:rsid w:val="00CE5BA5"/>
    <w:rsid w:val="00CF0B7A"/>
    <w:rsid w:val="00CF0F9F"/>
    <w:rsid w:val="00CF4D8D"/>
    <w:rsid w:val="00CF6C6F"/>
    <w:rsid w:val="00D00641"/>
    <w:rsid w:val="00D02F5F"/>
    <w:rsid w:val="00D03446"/>
    <w:rsid w:val="00D04941"/>
    <w:rsid w:val="00D0677E"/>
    <w:rsid w:val="00D11E7C"/>
    <w:rsid w:val="00D12A55"/>
    <w:rsid w:val="00D14541"/>
    <w:rsid w:val="00D20574"/>
    <w:rsid w:val="00D211B7"/>
    <w:rsid w:val="00D22085"/>
    <w:rsid w:val="00D24D7D"/>
    <w:rsid w:val="00D26EB7"/>
    <w:rsid w:val="00D35BE3"/>
    <w:rsid w:val="00D43B8D"/>
    <w:rsid w:val="00D46E14"/>
    <w:rsid w:val="00D51018"/>
    <w:rsid w:val="00D575D9"/>
    <w:rsid w:val="00D60086"/>
    <w:rsid w:val="00D61F32"/>
    <w:rsid w:val="00D61F9E"/>
    <w:rsid w:val="00D628C1"/>
    <w:rsid w:val="00D6698D"/>
    <w:rsid w:val="00D722D2"/>
    <w:rsid w:val="00D728C4"/>
    <w:rsid w:val="00D72CF1"/>
    <w:rsid w:val="00D80C2B"/>
    <w:rsid w:val="00D8127B"/>
    <w:rsid w:val="00D902D0"/>
    <w:rsid w:val="00D93AFD"/>
    <w:rsid w:val="00D9488E"/>
    <w:rsid w:val="00D954EF"/>
    <w:rsid w:val="00DA2223"/>
    <w:rsid w:val="00DA297F"/>
    <w:rsid w:val="00DA6268"/>
    <w:rsid w:val="00DA7A94"/>
    <w:rsid w:val="00DB46F4"/>
    <w:rsid w:val="00DB5129"/>
    <w:rsid w:val="00DB78A3"/>
    <w:rsid w:val="00DB79BF"/>
    <w:rsid w:val="00DE27B5"/>
    <w:rsid w:val="00DE292A"/>
    <w:rsid w:val="00DE52FF"/>
    <w:rsid w:val="00DF02B5"/>
    <w:rsid w:val="00E052A6"/>
    <w:rsid w:val="00E058CD"/>
    <w:rsid w:val="00E14251"/>
    <w:rsid w:val="00E16D4A"/>
    <w:rsid w:val="00E1762F"/>
    <w:rsid w:val="00E30E79"/>
    <w:rsid w:val="00E32F30"/>
    <w:rsid w:val="00E3496E"/>
    <w:rsid w:val="00E47A3E"/>
    <w:rsid w:val="00E52255"/>
    <w:rsid w:val="00E55617"/>
    <w:rsid w:val="00E60D81"/>
    <w:rsid w:val="00E662B3"/>
    <w:rsid w:val="00E71FB1"/>
    <w:rsid w:val="00E758B9"/>
    <w:rsid w:val="00E822AE"/>
    <w:rsid w:val="00E8470A"/>
    <w:rsid w:val="00E86C23"/>
    <w:rsid w:val="00E938B3"/>
    <w:rsid w:val="00E93B08"/>
    <w:rsid w:val="00EA181B"/>
    <w:rsid w:val="00EA3E79"/>
    <w:rsid w:val="00EB12E8"/>
    <w:rsid w:val="00EB4250"/>
    <w:rsid w:val="00EB44D3"/>
    <w:rsid w:val="00EB7168"/>
    <w:rsid w:val="00EC1E2F"/>
    <w:rsid w:val="00EC7B50"/>
    <w:rsid w:val="00ED1528"/>
    <w:rsid w:val="00EE030F"/>
    <w:rsid w:val="00EE0AEB"/>
    <w:rsid w:val="00EE37D6"/>
    <w:rsid w:val="00EF503C"/>
    <w:rsid w:val="00EF7D04"/>
    <w:rsid w:val="00F04412"/>
    <w:rsid w:val="00F05462"/>
    <w:rsid w:val="00F14F28"/>
    <w:rsid w:val="00F16E3D"/>
    <w:rsid w:val="00F2134C"/>
    <w:rsid w:val="00F244C4"/>
    <w:rsid w:val="00F27CE7"/>
    <w:rsid w:val="00F329C1"/>
    <w:rsid w:val="00F3396C"/>
    <w:rsid w:val="00F33F13"/>
    <w:rsid w:val="00F37998"/>
    <w:rsid w:val="00F4626D"/>
    <w:rsid w:val="00F51BB3"/>
    <w:rsid w:val="00F55239"/>
    <w:rsid w:val="00F57151"/>
    <w:rsid w:val="00F61702"/>
    <w:rsid w:val="00F633CA"/>
    <w:rsid w:val="00F65557"/>
    <w:rsid w:val="00F74F97"/>
    <w:rsid w:val="00F90FF6"/>
    <w:rsid w:val="00F924B9"/>
    <w:rsid w:val="00FA2B46"/>
    <w:rsid w:val="00FB58F4"/>
    <w:rsid w:val="00FC434A"/>
    <w:rsid w:val="00FD17BF"/>
    <w:rsid w:val="00FE2661"/>
    <w:rsid w:val="00FE61F2"/>
    <w:rsid w:val="00FE629A"/>
    <w:rsid w:val="00FE6AEE"/>
    <w:rsid w:val="00FF4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2059061"/>
  <w15:docId w15:val="{7C55C1E0-A366-4CC0-8DDE-05385F17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link w:val="HeaderChar"/>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semiHidden/>
    <w:rsid w:val="00ED1528"/>
    <w:rPr>
      <w:vertAlign w:val="superscript"/>
    </w:rPr>
  </w:style>
  <w:style w:type="paragraph" w:styleId="BodyTextIndent3">
    <w:name w:val="Body Text Indent 3"/>
    <w:basedOn w:val="Normal"/>
    <w:rsid w:val="00ED1528"/>
    <w:pPr>
      <w:ind w:left="1440"/>
    </w:pPr>
  </w:style>
  <w:style w:type="paragraph" w:customStyle="1" w:styleId="LightGrid-Accent31">
    <w:name w:val="Light Grid - Accent 31"/>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spacing w:after="24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spacing w:line="240" w:lineRule="auto"/>
      <w:ind w:left="0" w:firstLine="0"/>
    </w:pPr>
  </w:style>
  <w:style w:type="character" w:styleId="CommentReference">
    <w:name w:val="annotation reference"/>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link w:val="CommentSubject"/>
    <w:rsid w:val="00701278"/>
    <w:rPr>
      <w:b/>
      <w:bCs/>
    </w:rPr>
  </w:style>
  <w:style w:type="character" w:customStyle="1" w:styleId="zzmpTrailerItem">
    <w:name w:val="zzmpTrailerItem"/>
    <w:rsid w:val="00AF6067"/>
    <w:rPr>
      <w:rFonts w:ascii="Arial" w:hAnsi="Arial" w:cs="Times New Roman"/>
      <w:dstrike w:val="0"/>
      <w:noProof/>
      <w:color w:val="auto"/>
      <w:spacing w:val="0"/>
      <w:position w:val="0"/>
      <w:sz w:val="16"/>
      <w:szCs w:val="16"/>
      <w:u w:val="none"/>
      <w:effect w:val="none"/>
      <w:vertAlign w:val="baseline"/>
    </w:rPr>
  </w:style>
  <w:style w:type="character" w:customStyle="1" w:styleId="HeaderChar">
    <w:name w:val="Header Char"/>
    <w:link w:val="Header"/>
    <w:rsid w:val="00135551"/>
    <w:rPr>
      <w:sz w:val="24"/>
      <w:szCs w:val="24"/>
    </w:rPr>
  </w:style>
  <w:style w:type="paragraph" w:styleId="NoSpacing">
    <w:name w:val="No Spacing"/>
    <w:uiPriority w:val="1"/>
    <w:qFormat/>
    <w:rsid w:val="005B25CC"/>
    <w:rPr>
      <w:sz w:val="24"/>
      <w:szCs w:val="24"/>
    </w:rPr>
  </w:style>
  <w:style w:type="paragraph" w:styleId="ListParagraph">
    <w:name w:val="List Paragraph"/>
    <w:basedOn w:val="Normal"/>
    <w:uiPriority w:val="99"/>
    <w:qFormat/>
    <w:rsid w:val="009177A1"/>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9473">
      <w:bodyDiv w:val="1"/>
      <w:marLeft w:val="0"/>
      <w:marRight w:val="0"/>
      <w:marTop w:val="0"/>
      <w:marBottom w:val="0"/>
      <w:divBdr>
        <w:top w:val="none" w:sz="0" w:space="0" w:color="auto"/>
        <w:left w:val="none" w:sz="0" w:space="0" w:color="auto"/>
        <w:bottom w:val="none" w:sz="0" w:space="0" w:color="auto"/>
        <w:right w:val="none" w:sz="0" w:space="0" w:color="auto"/>
      </w:divBdr>
    </w:div>
    <w:div w:id="650869056">
      <w:bodyDiv w:val="1"/>
      <w:marLeft w:val="0"/>
      <w:marRight w:val="0"/>
      <w:marTop w:val="0"/>
      <w:marBottom w:val="0"/>
      <w:divBdr>
        <w:top w:val="none" w:sz="0" w:space="0" w:color="auto"/>
        <w:left w:val="none" w:sz="0" w:space="0" w:color="auto"/>
        <w:bottom w:val="none" w:sz="0" w:space="0" w:color="auto"/>
        <w:right w:val="none" w:sz="0" w:space="0" w:color="auto"/>
      </w:divBdr>
    </w:div>
    <w:div w:id="796879420">
      <w:bodyDiv w:val="1"/>
      <w:marLeft w:val="0"/>
      <w:marRight w:val="0"/>
      <w:marTop w:val="0"/>
      <w:marBottom w:val="0"/>
      <w:divBdr>
        <w:top w:val="none" w:sz="0" w:space="0" w:color="auto"/>
        <w:left w:val="none" w:sz="0" w:space="0" w:color="auto"/>
        <w:bottom w:val="none" w:sz="0" w:space="0" w:color="auto"/>
        <w:right w:val="none" w:sz="0" w:space="0" w:color="auto"/>
      </w:divBdr>
    </w:div>
    <w:div w:id="906720304">
      <w:bodyDiv w:val="1"/>
      <w:marLeft w:val="0"/>
      <w:marRight w:val="0"/>
      <w:marTop w:val="0"/>
      <w:marBottom w:val="0"/>
      <w:divBdr>
        <w:top w:val="none" w:sz="0" w:space="0" w:color="auto"/>
        <w:left w:val="none" w:sz="0" w:space="0" w:color="auto"/>
        <w:bottom w:val="none" w:sz="0" w:space="0" w:color="auto"/>
        <w:right w:val="none" w:sz="0" w:space="0" w:color="auto"/>
      </w:divBdr>
    </w:div>
    <w:div w:id="1143353941">
      <w:bodyDiv w:val="1"/>
      <w:marLeft w:val="0"/>
      <w:marRight w:val="0"/>
      <w:marTop w:val="0"/>
      <w:marBottom w:val="0"/>
      <w:divBdr>
        <w:top w:val="none" w:sz="0" w:space="0" w:color="auto"/>
        <w:left w:val="none" w:sz="0" w:space="0" w:color="auto"/>
        <w:bottom w:val="none" w:sz="0" w:space="0" w:color="auto"/>
        <w:right w:val="none" w:sz="0" w:space="0" w:color="auto"/>
      </w:divBdr>
    </w:div>
    <w:div w:id="1598757711">
      <w:bodyDiv w:val="1"/>
      <w:marLeft w:val="0"/>
      <w:marRight w:val="0"/>
      <w:marTop w:val="0"/>
      <w:marBottom w:val="0"/>
      <w:divBdr>
        <w:top w:val="none" w:sz="0" w:space="0" w:color="auto"/>
        <w:left w:val="none" w:sz="0" w:space="0" w:color="auto"/>
        <w:bottom w:val="none" w:sz="0" w:space="0" w:color="auto"/>
        <w:right w:val="none" w:sz="0" w:space="0" w:color="auto"/>
      </w:divBdr>
    </w:div>
    <w:div w:id="197652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Agreement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2014-11-24T08:00:00+00:00</OpenedDate>
    <Date1 xmlns="dc463f71-b30c-4ab2-9473-d307f9d35888">2015-09-01T23:14:31+00:00</Date1>
    <IsDocumentOrder xmlns="dc463f71-b30c-4ab2-9473-d307f9d35888" xsi:nil="true"/>
    <IsHighlyConfidential xmlns="dc463f71-b30c-4ab2-9473-d307f9d35888">false</IsHighlyConfidential>
    <CaseCompanyNames xmlns="dc463f71-b30c-4ab2-9473-d307f9d35888">Pelican Point Water Company</CaseCompanyNames>
    <DocketNumber xmlns="dc463f71-b30c-4ab2-9473-d307f9d35888">143980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71251AAE203447BAFF4EFCECA00E12" ma:contentTypeVersion="175" ma:contentTypeDescription="" ma:contentTypeScope="" ma:versionID="f6f478fdf80ec116b742964f28c51d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B81AE-126B-4E09-8544-DB57AEC0F0FC}"/>
</file>

<file path=customXml/itemProps2.xml><?xml version="1.0" encoding="utf-8"?>
<ds:datastoreItem xmlns:ds="http://schemas.openxmlformats.org/officeDocument/2006/customXml" ds:itemID="{03ED9F0C-4FB4-494C-B24B-88128C12F3FB}"/>
</file>

<file path=customXml/itemProps3.xml><?xml version="1.0" encoding="utf-8"?>
<ds:datastoreItem xmlns:ds="http://schemas.openxmlformats.org/officeDocument/2006/customXml" ds:itemID="{884A5E25-D7A8-4E15-BB26-D2FDD95B4FC8}"/>
</file>

<file path=customXml/itemProps4.xml><?xml version="1.0" encoding="utf-8"?>
<ds:datastoreItem xmlns:ds="http://schemas.openxmlformats.org/officeDocument/2006/customXml" ds:itemID="{25C7CEED-C73B-4274-B973-52A4E9F3F60E}"/>
</file>

<file path=customXml/itemProps5.xml><?xml version="1.0" encoding="utf-8"?>
<ds:datastoreItem xmlns:ds="http://schemas.openxmlformats.org/officeDocument/2006/customXml" ds:itemID="{71F71916-642D-4965-9529-532C865BB524}"/>
</file>

<file path=customXml/itemProps6.xml><?xml version="1.0" encoding="utf-8"?>
<ds:datastoreItem xmlns:ds="http://schemas.openxmlformats.org/officeDocument/2006/customXml" ds:itemID="{88AC2808-B4E3-4C2F-8C0E-421D6F044CA1}"/>
</file>

<file path=docProps/app.xml><?xml version="1.0" encoding="utf-8"?>
<Properties xmlns="http://schemas.openxmlformats.org/officeDocument/2006/extended-properties" xmlns:vt="http://schemas.openxmlformats.org/officeDocument/2006/docPropsVTypes">
  <Template>Normal.dotm</Template>
  <TotalTime>46</TotalTime>
  <Pages>6</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Graham &amp; Dunn</Company>
  <LinksUpToDate>false</LinksUpToDate>
  <CharactersWithSpaces>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Young, Betty (UTC)</dc:creator>
  <cp:keywords> </cp:keywords>
  <dc:description/>
  <cp:lastModifiedBy>DeMarco, Betsy (UTC)</cp:lastModifiedBy>
  <cp:revision>8</cp:revision>
  <cp:lastPrinted>2015-08-28T16:13:00Z</cp:lastPrinted>
  <dcterms:created xsi:type="dcterms:W3CDTF">2015-08-27T23:41:00Z</dcterms:created>
  <dcterms:modified xsi:type="dcterms:W3CDTF">2015-08-28T22:48:00Z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sAAAE34RQVAK31kghHf/uhccKWed0ch1kQzDCsw6ufXTfNQ=</vt:lpwstr>
  </property>
  <property fmtid="{D5CDD505-2E9C-101B-9397-08002B2CF9AE}" pid="3" name="MAIL_MSG_ID1">
    <vt:lpwstr>sAAAE34RQVAK31nQC3xE/vcxIEbihGzYi5WIRNTNk5INNJs=</vt:lpwstr>
  </property>
  <property fmtid="{D5CDD505-2E9C-101B-9397-08002B2CF9AE}" pid="4" name="EMAIL_OWNER_ADDRESS">
    <vt:lpwstr>sAAAE34RQVAK31m+OrUq6tBc4Iak7Nh5EZSf/siWEMcLYuU=</vt:lpwstr>
  </property>
  <property fmtid="{D5CDD505-2E9C-101B-9397-08002B2CF9AE}" pid="5" name="EmailFrom">
    <vt:lpwstr/>
  </property>
  <property fmtid="{D5CDD505-2E9C-101B-9397-08002B2CF9AE}" pid="6" name="display_urn:schemas-microsoft-com:office:office#Editor">
    <vt:lpwstr>Young, Betty (UTC)</vt:lpwstr>
  </property>
  <property fmtid="{D5CDD505-2E9C-101B-9397-08002B2CF9AE}" pid="7" name="display_urn:schemas-microsoft-com:office:office#Author">
    <vt:lpwstr>Young, Betty (UTC)</vt:lpwstr>
  </property>
  <property fmtid="{D5CDD505-2E9C-101B-9397-08002B2CF9AE}" pid="8" name="EmailSender">
    <vt:lpwstr/>
  </property>
  <property fmtid="{D5CDD505-2E9C-101B-9397-08002B2CF9AE}" pid="9" name="EmailTo">
    <vt:lpwstr/>
  </property>
  <property fmtid="{D5CDD505-2E9C-101B-9397-08002B2CF9AE}" pid="10" name="EmailCc">
    <vt:lpwstr/>
  </property>
  <property fmtid="{D5CDD505-2E9C-101B-9397-08002B2CF9AE}" pid="11" name="EmailSubject">
    <vt:lpwstr/>
  </property>
  <property fmtid="{D5CDD505-2E9C-101B-9397-08002B2CF9AE}" pid="12" name="IsHighlyConfidential">
    <vt:lpwstr>0</vt:lpwstr>
  </property>
  <property fmtid="{D5CDD505-2E9C-101B-9397-08002B2CF9AE}" pid="13" name="IsConfidential">
    <vt:lpwstr>0</vt:lpwstr>
  </property>
  <property fmtid="{D5CDD505-2E9C-101B-9397-08002B2CF9AE}" pid="14" name="_docset_NoMedatataSyncRequired">
    <vt:lpwstr>False</vt:lpwstr>
  </property>
  <property fmtid="{D5CDD505-2E9C-101B-9397-08002B2CF9AE}" pid="15" name="DocumentSetType">
    <vt:lpwstr>Document</vt:lpwstr>
  </property>
  <property fmtid="{D5CDD505-2E9C-101B-9397-08002B2CF9AE}" pid="16" name="DocketNumber">
    <vt:lpwstr>141380</vt:lpwstr>
  </property>
  <property fmtid="{D5CDD505-2E9C-101B-9397-08002B2CF9AE}" pid="17" name="Date1">
    <vt:lpwstr>2014-10-03T14:18:22Z</vt:lpwstr>
  </property>
  <property fmtid="{D5CDD505-2E9C-101B-9397-08002B2CF9AE}" pid="18" name="CaseType">
    <vt:lpwstr>Staff Investigation</vt:lpwstr>
  </property>
  <property fmtid="{D5CDD505-2E9C-101B-9397-08002B2CF9AE}" pid="19" name="OpenedDate">
    <vt:lpwstr>2014-07-03T00:00:00Z</vt:lpwstr>
  </property>
  <property fmtid="{D5CDD505-2E9C-101B-9397-08002B2CF9AE}" pid="20" name="Prefix">
    <vt:lpwstr>TG</vt:lpwstr>
  </property>
  <property fmtid="{D5CDD505-2E9C-101B-9397-08002B2CF9AE}" pid="21" name="CaseCompanyNames">
    <vt:lpwstr>PRICE, DARRELL</vt:lpwstr>
  </property>
  <property fmtid="{D5CDD505-2E9C-101B-9397-08002B2CF9AE}" pid="22" name="IndustryCode">
    <vt:lpwstr>227</vt:lpwstr>
  </property>
  <property fmtid="{D5CDD505-2E9C-101B-9397-08002B2CF9AE}" pid="23" name="CaseStatus">
    <vt:lpwstr>Closed</vt:lpwstr>
  </property>
  <property fmtid="{D5CDD505-2E9C-101B-9397-08002B2CF9AE}" pid="24" name="AgendaOrder">
    <vt:lpwstr>0</vt:lpwstr>
  </property>
  <property fmtid="{D5CDD505-2E9C-101B-9397-08002B2CF9AE}" pid="25" name="IsDocumentOrder">
    <vt:lpwstr>0</vt:lpwstr>
  </property>
  <property fmtid="{D5CDD505-2E9C-101B-9397-08002B2CF9AE}" pid="26" name="DelegatedOrder">
    <vt:lpwstr>0</vt:lpwstr>
  </property>
  <property fmtid="{D5CDD505-2E9C-101B-9397-08002B2CF9AE}" pid="27" name="DocType">
    <vt:lpwstr/>
  </property>
  <property fmtid="{D5CDD505-2E9C-101B-9397-08002B2CF9AE}" pid="28" name="ContentTypeId">
    <vt:lpwstr>0x0101006E56B4D1795A2E4DB2F0B01679ED314A000F71251AAE203447BAFF4EFCECA00E12</vt:lpwstr>
  </property>
</Properties>
</file>