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5B6E5E" w:rsidP="005B6E5E">
      <w:pPr>
        <w:pStyle w:val="Venue"/>
        <w:rPr>
          <w:b/>
        </w:rPr>
      </w:pPr>
      <w:r>
        <w:rPr>
          <w:b/>
        </w:rPr>
        <w:t>BEFORE THE</w:t>
      </w:r>
      <w:r w:rsidRPr="00DC7851" w:rsidR="00DC7851">
        <w:rPr>
          <w:b/>
        </w:rPr>
        <w:t xml:space="preserve"> </w:t>
      </w:r>
      <w:r w:rsidR="00DC7851">
        <w:rPr>
          <w:b/>
        </w:rPr>
        <w:t>WASHINGTON</w:t>
      </w:r>
    </w:p>
    <w:p w:rsidR="005B6E5E" w:rsidRPr="00E53A09" w:rsidP="005B6E5E">
      <w:pPr>
        <w:pStyle w:val="Venue"/>
        <w:rPr>
          <w:b/>
        </w:rPr>
      </w:pPr>
      <w:r>
        <w:rPr>
          <w:b/>
        </w:rPr>
        <w:t>UTILITIES AND TRANSPORTATION COMMISSION</w:t>
      </w:r>
    </w:p>
    <w:p w:rsidR="005B6E5E" w:rsidP="005B6E5E"/>
    <w:tbl>
      <w:tblPr>
        <w:tblW w:w="9360" w:type="dxa"/>
        <w:tblLayout w:type="fixed"/>
        <w:tblCellMar>
          <w:left w:w="0" w:type="dxa"/>
          <w:right w:w="0" w:type="dxa"/>
        </w:tblCellMar>
        <w:tblLook w:val="0000"/>
      </w:tblPr>
      <w:tblGrid>
        <w:gridCol w:w="4680"/>
        <w:gridCol w:w="180"/>
        <w:gridCol w:w="4500"/>
      </w:tblGrid>
      <w:tr w:rsidTr="00220621">
        <w:tblPrEx>
          <w:tblW w:w="9360" w:type="dxa"/>
          <w:tblLayout w:type="fixed"/>
          <w:tblCellMar>
            <w:left w:w="0" w:type="dxa"/>
            <w:right w:w="0" w:type="dxa"/>
          </w:tblCellMar>
          <w:tblLook w:val="0000"/>
        </w:tblPrEx>
        <w:trPr>
          <w:trHeight w:hRule="exact" w:val="20"/>
        </w:trPr>
        <w:tc>
          <w:tcPr>
            <w:tcW w:w="4680" w:type="dxa"/>
            <w:shd w:val="clear" w:color="auto" w:fill="auto"/>
          </w:tcPr>
          <w:p w:rsidR="005B6E5E" w:rsidP="00220621">
            <w:pPr>
              <w:pStyle w:val="PartyContents"/>
              <w:spacing w:after="20"/>
            </w:pPr>
          </w:p>
        </w:tc>
        <w:tc>
          <w:tcPr>
            <w:tcW w:w="180" w:type="dxa"/>
            <w:shd w:val="clear" w:color="auto" w:fill="auto"/>
          </w:tcPr>
          <w:p w:rsidR="005B6E5E" w:rsidP="00220621">
            <w:pPr>
              <w:spacing w:after="20"/>
            </w:pPr>
          </w:p>
        </w:tc>
        <w:tc>
          <w:tcPr>
            <w:tcW w:w="4500" w:type="dxa"/>
            <w:shd w:val="clear" w:color="auto" w:fill="auto"/>
          </w:tcPr>
          <w:p w:rsidR="005B6E5E" w:rsidP="00220621">
            <w:pPr>
              <w:pStyle w:val="Caption"/>
              <w:spacing w:after="20"/>
              <w:ind w:left="180"/>
            </w:pPr>
          </w:p>
        </w:tc>
      </w:tr>
      <w:tr w:rsidTr="00DC7851">
        <w:tblPrEx>
          <w:tblW w:w="9360" w:type="dxa"/>
          <w:tblLayout w:type="fixed"/>
          <w:tblCellMar>
            <w:left w:w="0" w:type="dxa"/>
            <w:right w:w="0" w:type="dxa"/>
          </w:tblCellMar>
          <w:tblLook w:val="0000"/>
        </w:tblPrEx>
        <w:trPr>
          <w:trHeight w:val="2412"/>
        </w:trPr>
        <w:tc>
          <w:tcPr>
            <w:tcW w:w="4680" w:type="dxa"/>
            <w:tcBorders>
              <w:right w:val="single" w:sz="4" w:space="0" w:color="auto"/>
            </w:tcBorders>
            <w:shd w:val="clear" w:color="auto" w:fill="auto"/>
          </w:tcPr>
          <w:p w:rsidR="005B6E5E" w:rsidP="00220621">
            <w:pPr>
              <w:pStyle w:val="PartyContents"/>
            </w:pPr>
            <w:sdt>
              <w:sdtPr>
                <w:alias w:val="Edit field"/>
                <w:tag w:val="SWILI1ContentsA"/>
                <w:id w:val="-489786360"/>
                <w:placeholder>
                  <w:docPart w:val="67FF476E7BF34705A01204643B614942"/>
                </w:placeholder>
                <w:richText/>
              </w:sdtPr>
              <w:sdtContent>
                <w:r>
                  <w:t xml:space="preserve">In the Matter of the Petition of </w:t>
                </w:r>
                <w:r>
                  <w:br/>
                </w:r>
              </w:sdtContent>
            </w:sdt>
            <w:r>
              <w:t xml:space="preserve"> </w:t>
            </w:r>
          </w:p>
          <w:p w:rsidR="005B6E5E" w:rsidP="00220621">
            <w:pPr>
              <w:pStyle w:val="Versus"/>
            </w:pPr>
            <w:sdt>
              <w:sdtPr>
                <w:alias w:val="Edit field"/>
                <w:tag w:val="SWILI1VersusA"/>
                <w:id w:val="-1336522355"/>
                <w:placeholder>
                  <w:docPart w:val="44ABD386D7B64FA78358E9D76F5B6471"/>
                </w:placeholder>
                <w:showingPlcHdr/>
                <w:comboBox>
                  <w:listItem w:value="v." w:displayText="v."/>
                  <w:listItem w:value="vs." w:displayText="vs."/>
                  <w:listItem w:value="versus" w:displayText="versus"/>
                  <w:listItem w:value="against" w:displayText="against"/>
                  <w:listItem w:value="-against-" w:displayText="-against-"/>
                </w:comboBox>
              </w:sdtPr>
              <w:sdtContent/>
            </w:sdt>
            <w:r>
              <w:t xml:space="preserve"> </w:t>
            </w:r>
          </w:p>
          <w:p w:rsidR="00DC7851" w:rsidP="00220621">
            <w:pPr>
              <w:pStyle w:val="Caption"/>
            </w:pPr>
            <w:r w:rsidRPr="00DC7851">
              <w:t xml:space="preserve">JAMES AND CLIFFORD </w:t>
            </w:r>
          </w:p>
          <w:p w:rsidR="005B6E5E" w:rsidRPr="00DC7851" w:rsidP="00220621">
            <w:pPr>
              <w:pStyle w:val="Caption"/>
            </w:pPr>
            <w:r w:rsidRPr="00DC7851">
              <w:t>COURTNEY</w:t>
            </w:r>
          </w:p>
          <w:p w:rsidR="005B6E5E" w:rsidP="00220621">
            <w:pPr>
              <w:pStyle w:val="PartyContents"/>
            </w:pPr>
            <w:sdt>
              <w:sdtPr>
                <w:alias w:val="Edit field"/>
                <w:tag w:val="SWILI1ContentsB"/>
                <w:id w:val="-1552529440"/>
                <w:placeholder>
                  <w:docPart w:val="771BD2912B0E408A87965FC9A128AA91"/>
                </w:placeholder>
                <w:showingPlcHdr/>
                <w:richText/>
              </w:sdtPr>
              <w:sdtContent/>
            </w:sdt>
            <w:r>
              <w:t xml:space="preserve"> </w:t>
            </w:r>
          </w:p>
          <w:p w:rsidR="00DC7851" w:rsidP="00220621">
            <w:pPr>
              <w:pStyle w:val="Caption"/>
            </w:pPr>
            <w:r>
              <w:t>f</w:t>
            </w:r>
            <w:r w:rsidR="005B6E5E">
              <w:t xml:space="preserve">or a Declaratory Order on the </w:t>
            </w:r>
          </w:p>
          <w:p w:rsidR="00DC7851" w:rsidP="00DC7851">
            <w:pPr>
              <w:pStyle w:val="Caption"/>
            </w:pPr>
            <w:r>
              <w:t xml:space="preserve">Applicability of </w:t>
            </w:r>
            <w:r>
              <w:t>RCW</w:t>
            </w:r>
            <w:r>
              <w:t xml:space="preserve"> 81.84.010(1) and </w:t>
            </w:r>
          </w:p>
          <w:p w:rsidR="005B6E5E" w:rsidRPr="00DD1146" w:rsidP="00DC7851">
            <w:pPr>
              <w:pStyle w:val="Caption"/>
            </w:pPr>
            <w:r>
              <w:t>WAC</w:t>
            </w:r>
            <w:r>
              <w:t xml:space="preserve"> 480-51-025(2)</w:t>
            </w:r>
          </w:p>
          <w:p w:rsidR="005B6E5E" w:rsidP="00220621">
            <w:pPr>
              <w:pStyle w:val="PartyName"/>
            </w:pPr>
          </w:p>
        </w:tc>
        <w:tc>
          <w:tcPr>
            <w:tcW w:w="180" w:type="dxa"/>
            <w:tcBorders>
              <w:left w:val="single" w:sz="4" w:space="0" w:color="auto"/>
            </w:tcBorders>
            <w:shd w:val="clear" w:color="auto" w:fill="auto"/>
          </w:tcPr>
          <w:p w:rsidR="005B6E5E" w:rsidP="00220621">
            <w:pPr>
              <w:spacing w:after="20"/>
            </w:pPr>
          </w:p>
        </w:tc>
        <w:tc>
          <w:tcPr>
            <w:tcW w:w="4500" w:type="dxa"/>
            <w:shd w:val="clear" w:color="auto" w:fill="auto"/>
          </w:tcPr>
          <w:p w:rsidR="005B6E5E" w:rsidP="00220621">
            <w:pPr>
              <w:pStyle w:val="Caption"/>
              <w:ind w:left="180"/>
            </w:pPr>
          </w:p>
          <w:p w:rsidR="005B6E5E" w:rsidP="00220621">
            <w:pPr>
              <w:pStyle w:val="Caption"/>
              <w:ind w:left="180"/>
            </w:pPr>
            <w:r>
              <w:t>Docket No. 143612</w:t>
            </w:r>
          </w:p>
          <w:p w:rsidR="005B6E5E" w:rsidP="00220621">
            <w:pPr>
              <w:pStyle w:val="Title"/>
              <w:rPr>
                <w:rFonts w:cs="Times New Roman"/>
                <w:bCs w:val="0"/>
                <w:szCs w:val="20"/>
              </w:rPr>
            </w:pPr>
          </w:p>
          <w:p w:rsidR="005B6E5E" w:rsidRPr="00DC7851" w:rsidP="00B15AD5">
            <w:pPr>
              <w:pStyle w:val="Title"/>
              <w:jc w:val="left"/>
              <w:rPr>
                <w:rFonts w:ascii="Times New Roman" w:hAnsi="Times New Roman" w:cs="Times New Roman"/>
                <w:b w:val="0"/>
                <w:sz w:val="24"/>
                <w:szCs w:val="24"/>
              </w:rPr>
            </w:pPr>
            <w:r w:rsidRPr="00DC7851">
              <w:rPr>
                <w:rFonts w:ascii="Times New Roman" w:hAnsi="Times New Roman" w:cs="Times New Roman"/>
                <w:b w:val="0"/>
                <w:bCs w:val="0"/>
                <w:sz w:val="24"/>
                <w:szCs w:val="24"/>
              </w:rPr>
              <w:t xml:space="preserve">STATEMENT OF FACTS AND LAW ON BEHALF OF ARROW LAUNCH SERVICES, </w:t>
            </w:r>
            <w:r w:rsidRPr="00DC7851">
              <w:rPr>
                <w:rFonts w:ascii="Times New Roman" w:hAnsi="Times New Roman" w:cs="Times New Roman"/>
                <w:b w:val="0"/>
                <w:bCs w:val="0"/>
                <w:sz w:val="24"/>
                <w:szCs w:val="24"/>
              </w:rPr>
              <w:t>INC</w:t>
            </w:r>
            <w:r w:rsidRPr="00DC7851" w:rsidR="00B15AD5">
              <w:rPr>
                <w:rFonts w:ascii="Times New Roman" w:hAnsi="Times New Roman" w:cs="Times New Roman"/>
                <w:b w:val="0"/>
                <w:bCs w:val="0"/>
                <w:sz w:val="24"/>
                <w:szCs w:val="24"/>
              </w:rPr>
              <w:t>,</w:t>
            </w:r>
            <w:r w:rsidRPr="00DC7851">
              <w:rPr>
                <w:rFonts w:ascii="Times New Roman" w:hAnsi="Times New Roman" w:cs="Times New Roman"/>
                <w:b w:val="0"/>
                <w:sz w:val="24"/>
                <w:szCs w:val="24"/>
              </w:rPr>
              <w:t xml:space="preserve"> BC-97</w:t>
            </w:r>
          </w:p>
        </w:tc>
      </w:tr>
      <w:tr w:rsidTr="00220621">
        <w:tblPrEx>
          <w:tblW w:w="9360" w:type="dxa"/>
          <w:tblLayout w:type="fixed"/>
          <w:tblCellMar>
            <w:left w:w="0" w:type="dxa"/>
            <w:right w:w="0" w:type="dxa"/>
          </w:tblCellMar>
          <w:tblLook w:val="0000"/>
        </w:tblPrEx>
        <w:trPr>
          <w:trHeight w:hRule="exact" w:val="20"/>
        </w:trPr>
        <w:tc>
          <w:tcPr>
            <w:tcW w:w="4680" w:type="dxa"/>
            <w:tcBorders>
              <w:bottom w:val="single" w:sz="4" w:space="0" w:color="auto"/>
            </w:tcBorders>
            <w:shd w:val="clear" w:color="auto" w:fill="auto"/>
          </w:tcPr>
          <w:p w:rsidR="005B6E5E" w:rsidP="00220621">
            <w:pPr>
              <w:pStyle w:val="PartyContents"/>
              <w:spacing w:after="20"/>
            </w:pPr>
          </w:p>
        </w:tc>
        <w:tc>
          <w:tcPr>
            <w:tcW w:w="180" w:type="dxa"/>
            <w:shd w:val="clear" w:color="auto" w:fill="auto"/>
          </w:tcPr>
          <w:p w:rsidR="005B6E5E" w:rsidP="00220621">
            <w:pPr>
              <w:spacing w:after="20"/>
            </w:pPr>
          </w:p>
        </w:tc>
        <w:tc>
          <w:tcPr>
            <w:tcW w:w="4500" w:type="dxa"/>
            <w:shd w:val="clear" w:color="auto" w:fill="auto"/>
          </w:tcPr>
          <w:p w:rsidR="005B6E5E" w:rsidP="00220621">
            <w:pPr>
              <w:pStyle w:val="Caption"/>
              <w:spacing w:after="20"/>
              <w:ind w:left="180"/>
            </w:pPr>
          </w:p>
        </w:tc>
      </w:tr>
    </w:tbl>
    <w:p w:rsidR="005B6E5E" w:rsidP="005B6E5E"/>
    <w:p w:rsidR="005B6E5E" w:rsidRPr="00056EB9" w:rsidP="00CB0091">
      <w:pPr>
        <w:pStyle w:val="Heading1"/>
      </w:pPr>
      <w:r w:rsidRPr="00056EB9">
        <w:t>PRELIMINARY STATEMENT</w:t>
      </w:r>
    </w:p>
    <w:p w:rsidR="005B6E5E" w:rsidP="00CB0091">
      <w:pPr>
        <w:pStyle w:val="ListParagraph"/>
        <w:tabs>
          <w:tab w:val="clear" w:pos="2160"/>
        </w:tabs>
        <w:ind w:left="0" w:hanging="720"/>
        <w:contextualSpacing w:val="0"/>
        <w:rPr>
          <w:b/>
        </w:rPr>
      </w:pPr>
      <w:r>
        <w:tab/>
      </w:r>
      <w:r w:rsidRPr="00B15AD5">
        <w:t>On or about October 2, 2014</w:t>
      </w:r>
      <w:r w:rsidRPr="00B15AD5" w:rsidR="00B15AD5">
        <w:t>,</w:t>
      </w:r>
      <w:r w:rsidRPr="00B15AD5">
        <w:t xml:space="preserve"> James and Clifford Courtney (</w:t>
      </w:r>
      <w:r w:rsidRPr="00B15AD5" w:rsidR="00B15AD5">
        <w:t>“</w:t>
      </w:r>
      <w:r w:rsidRPr="00B15AD5">
        <w:t>Petitioners</w:t>
      </w:r>
      <w:r w:rsidRPr="00B15AD5" w:rsidR="00B15AD5">
        <w:t>”</w:t>
      </w:r>
      <w:r w:rsidRPr="00B15AD5">
        <w:t xml:space="preserve">) jointly filed with the WUTC a Petition for Declaratory Order as to the Applicability of the Certificate of Public Convenience and Necessity Requirement in RCW 81.84.010(1) and WAC 480-51-025(2) to boat transportation service on Lake Chelan “for customers or patrons of specific businesses or group of businesses.” </w:t>
      </w:r>
    </w:p>
    <w:p w:rsidR="00056EB9" w:rsidP="00CB0091">
      <w:pPr>
        <w:pStyle w:val="ListParagraph"/>
        <w:tabs>
          <w:tab w:val="clear" w:pos="2160"/>
        </w:tabs>
        <w:ind w:left="0" w:hanging="720"/>
        <w:contextualSpacing w:val="0"/>
      </w:pPr>
      <w:r>
        <w:tab/>
      </w:r>
      <w:r>
        <w:t>On October 3, 2014</w:t>
      </w:r>
      <w:r w:rsidR="00B15AD5">
        <w:t>,</w:t>
      </w:r>
      <w:r>
        <w:t xml:space="preserve"> Commission issued a Notice of Receipt of the Petition and requested that all interested parties present a Statement of Facts and Law on the issues raised in the Petition by October 20, 2014 which date has been extended to Arrow Launch Service </w:t>
      </w:r>
      <w:r w:rsidR="004925CF">
        <w:t>to 5</w:t>
      </w:r>
      <w:r>
        <w:t xml:space="preserve"> p.m.</w:t>
      </w:r>
      <w:r w:rsidR="00220621">
        <w:t>,</w:t>
      </w:r>
      <w:r>
        <w:t xml:space="preserve"> Wednesday, October 22, 2014 under a letter from the Secretary of the Commission dated October 17, 2014</w:t>
      </w:r>
      <w:r w:rsidR="00AC38BE">
        <w:t>,</w:t>
      </w:r>
      <w:r w:rsidR="00C15B14">
        <w:t xml:space="preserve"> and now subsequently by request of the Attorney General’s Office</w:t>
      </w:r>
      <w:r w:rsidR="00AC38BE">
        <w:t>,</w:t>
      </w:r>
      <w:r w:rsidR="00C15B14">
        <w:t xml:space="preserve"> until November 7, 2014.</w:t>
      </w:r>
    </w:p>
    <w:p w:rsidR="00056EB9" w:rsidP="000355EF">
      <w:pPr>
        <w:pStyle w:val="ListParagraph"/>
        <w:tabs>
          <w:tab w:val="clear" w:pos="2160"/>
        </w:tabs>
        <w:ind w:left="0" w:hanging="720"/>
        <w:contextualSpacing w:val="0"/>
      </w:pPr>
      <w:r>
        <w:tab/>
      </w:r>
      <w:r>
        <w:t>Arrow Launch Service, Inc, (“Arrow”</w:t>
      </w:r>
      <w:r w:rsidR="00C15B14">
        <w:t>/</w:t>
      </w:r>
      <w:r w:rsidR="00B15AD5">
        <w:t>“ALS”</w:t>
      </w:r>
      <w:r>
        <w:t>)</w:t>
      </w:r>
      <w:r w:rsidR="00B15AD5">
        <w:t>,</w:t>
      </w:r>
      <w:r>
        <w:t xml:space="preserve"> </w:t>
      </w:r>
      <w:r w:rsidR="00220621">
        <w:t>by virtue of its long</w:t>
      </w:r>
      <w:r>
        <w:t>standing commercial ferry vessel launch service</w:t>
      </w:r>
      <w:r w:rsidR="00220621">
        <w:t xml:space="preserve"> operating</w:t>
      </w:r>
      <w:r>
        <w:t xml:space="preserve"> under Commission jurisdiction</w:t>
      </w:r>
      <w:r w:rsidR="00220621">
        <w:t xml:space="preserve"> on Washington w</w:t>
      </w:r>
      <w:r w:rsidR="00B15AD5">
        <w:t>aterways</w:t>
      </w:r>
      <w:r w:rsidR="003A3F2F">
        <w:t>,</w:t>
      </w:r>
      <w:r>
        <w:t xml:space="preserve"> is an interested party and submits the following in response to the Commission</w:t>
      </w:r>
      <w:r w:rsidR="00B15AD5">
        <w:t>’s request:</w:t>
      </w:r>
    </w:p>
    <w:p w:rsidR="00056EB9" w:rsidP="00CB0091">
      <w:pPr>
        <w:pStyle w:val="Heading1"/>
      </w:pPr>
      <w:r>
        <w:t>arrow</w:t>
      </w:r>
      <w:r w:rsidR="00B15AD5">
        <w:t>’s</w:t>
      </w:r>
      <w:r>
        <w:t xml:space="preserve"> statement of underlying </w:t>
      </w:r>
      <w:r w:rsidR="00756E22">
        <w:t>facts surrounding</w:t>
      </w:r>
      <w:r>
        <w:t xml:space="preserve"> petition</w:t>
      </w:r>
    </w:p>
    <w:p w:rsidR="00756E22" w:rsidP="000355EF">
      <w:pPr>
        <w:pStyle w:val="ListParagraph"/>
        <w:tabs>
          <w:tab w:val="clear" w:pos="2160"/>
        </w:tabs>
        <w:ind w:left="0" w:hanging="720"/>
        <w:contextualSpacing w:val="0"/>
      </w:pPr>
      <w:r>
        <w:tab/>
      </w:r>
      <w:r>
        <w:t xml:space="preserve">The factual backdrop as generally set forth in Petitioners’ Petition at </w:t>
      </w:r>
      <w:r w:rsidR="00B15AD5">
        <w:t>¶</w:t>
      </w:r>
      <w:r w:rsidR="00220621">
        <w:t>¶</w:t>
      </w:r>
      <w:r w:rsidR="00B15AD5">
        <w:t xml:space="preserve"> </w:t>
      </w:r>
      <w:r>
        <w:t xml:space="preserve"> 25-30, </w:t>
      </w:r>
      <w:r w:rsidR="00B15AD5">
        <w:t>¶</w:t>
      </w:r>
      <w:r w:rsidR="00220621">
        <w:t>¶</w:t>
      </w:r>
      <w:r>
        <w:t xml:space="preserve"> 32-38, and </w:t>
      </w:r>
      <w:r w:rsidR="00B15AD5">
        <w:t>¶</w:t>
      </w:r>
      <w:r w:rsidR="00220621">
        <w:t>¶</w:t>
      </w:r>
      <w:r w:rsidR="00B15AD5">
        <w:t xml:space="preserve"> </w:t>
      </w:r>
      <w:r>
        <w:t xml:space="preserve"> 39-47 are well-known to the Commission and reflected in the various hearing records and files surrounding the Petitioners’ </w:t>
      </w:r>
      <w:r w:rsidR="00B15AD5">
        <w:t xml:space="preserve">prior </w:t>
      </w:r>
      <w:r>
        <w:t>putative atte</w:t>
      </w:r>
      <w:r w:rsidR="006456CE">
        <w:t>mpts to either obtain a c</w:t>
      </w:r>
      <w:r>
        <w:t xml:space="preserve">ertificate of </w:t>
      </w:r>
      <w:r w:rsidR="006456CE">
        <w:t>public convenience and n</w:t>
      </w:r>
      <w:r>
        <w:t>ecessity to serve Lake Chelan or a formal or informal Commission</w:t>
      </w:r>
      <w:r w:rsidR="00220621">
        <w:t xml:space="preserve"> or</w:t>
      </w:r>
      <w:r>
        <w:t xml:space="preserve"> Staff ruling that would exempt certain evolving service proposals </w:t>
      </w:r>
      <w:r w:rsidR="00C15B14">
        <w:t xml:space="preserve">on Lake Chelan </w:t>
      </w:r>
      <w:r>
        <w:t>by the Petitioners.</w:t>
      </w:r>
    </w:p>
    <w:p w:rsidR="00B15AD5" w:rsidP="000355EF">
      <w:pPr>
        <w:pStyle w:val="ListParagraph"/>
        <w:tabs>
          <w:tab w:val="clear" w:pos="2160"/>
        </w:tabs>
        <w:ind w:left="0" w:hanging="720"/>
        <w:contextualSpacing w:val="0"/>
      </w:pPr>
      <w:r>
        <w:tab/>
      </w:r>
      <w:r>
        <w:t xml:space="preserve">Following at least temporary </w:t>
      </w:r>
      <w:r w:rsidR="00220621">
        <w:t>disposition of these attempts in 2009,</w:t>
      </w:r>
      <w:r>
        <w:t xml:space="preserve"> i</w:t>
      </w:r>
      <w:r w:rsidR="00756E22">
        <w:t>n 2011, James</w:t>
      </w:r>
      <w:r>
        <w:t xml:space="preserve"> and Clifford Courtney filed a federal rights law</w:t>
      </w:r>
      <w:r w:rsidR="00756E22">
        <w:t xml:space="preserve">suit in the United States District Court </w:t>
      </w:r>
      <w:r w:rsidR="00C15B14">
        <w:t>for Eastern Washington seeking d</w:t>
      </w:r>
      <w:r w:rsidR="00756E22">
        <w:t xml:space="preserve">eclaratory and </w:t>
      </w:r>
      <w:r w:rsidR="00C15B14">
        <w:t>i</w:t>
      </w:r>
      <w:r w:rsidR="00756E22">
        <w:t xml:space="preserve">njunctive </w:t>
      </w:r>
      <w:r w:rsidR="007B10A1">
        <w:t>r</w:t>
      </w:r>
      <w:r w:rsidR="00756E22">
        <w:t>elief against the Commission and asking that the Court find the requirement of RCW 81.84.010(1) as applied to the Courtneys</w:t>
      </w:r>
      <w:r w:rsidR="007B10A1">
        <w:t>,</w:t>
      </w:r>
      <w:r>
        <w:t xml:space="preserve"> violates their c</w:t>
      </w:r>
      <w:r w:rsidR="00756E22">
        <w:t xml:space="preserve">onstitutional </w:t>
      </w:r>
      <w:r>
        <w:t>r</w:t>
      </w:r>
      <w:r w:rsidR="00756E22">
        <w:t>ights</w:t>
      </w:r>
      <w:r w:rsidR="00220621">
        <w:t>.</w:t>
      </w:r>
      <w:r w:rsidR="00756E22">
        <w:t xml:space="preserve">  As noted at Page 13 of the Petitioners’ filing here, the Courtney</w:t>
      </w:r>
      <w:r>
        <w:t>s subsequently appealed a d</w:t>
      </w:r>
      <w:r w:rsidR="00756E22">
        <w:t xml:space="preserve">ismissal of their </w:t>
      </w:r>
      <w:r>
        <w:t>a</w:t>
      </w:r>
      <w:r w:rsidR="00756E22">
        <w:t xml:space="preserve">ction to the </w:t>
      </w:r>
      <w:r>
        <w:t>United States</w:t>
      </w:r>
      <w:r w:rsidR="00756E22">
        <w:t xml:space="preserve"> Circuit Court of Appeals for the Ninth Circuit.  </w:t>
      </w:r>
    </w:p>
    <w:p w:rsidR="00756E22" w:rsidP="00F13521">
      <w:pPr>
        <w:pStyle w:val="ListParagraph"/>
        <w:tabs>
          <w:tab w:val="clear" w:pos="2160"/>
        </w:tabs>
        <w:ind w:left="0" w:hanging="720"/>
        <w:contextualSpacing w:val="0"/>
        <w:rPr>
          <w:bCs/>
        </w:rPr>
      </w:pPr>
      <w:r>
        <w:tab/>
      </w:r>
      <w:r>
        <w:t>Arrow was an Amicus</w:t>
      </w:r>
      <w:r w:rsidR="00C3497A">
        <w:t xml:space="preserve"> Curiae on behalf of the respondent Commission in that action and filed its brief on October 15, 2012</w:t>
      </w:r>
      <w:r w:rsidR="00220621">
        <w:t>,</w:t>
      </w:r>
      <w:r w:rsidR="00C3497A">
        <w:t xml:space="preserve"> which</w:t>
      </w:r>
      <w:r w:rsidR="007B10A1">
        <w:t>, for the Commission’s reference,</w:t>
      </w:r>
      <w:r w:rsidR="00FB0C05">
        <w:t xml:space="preserve"> is attached hereto as Exhibit 1,</w:t>
      </w:r>
      <w:r w:rsidR="00C3497A">
        <w:t xml:space="preserve"> setting forth its various arguments and positions on the Courtney </w:t>
      </w:r>
      <w:r w:rsidR="00FB0C05">
        <w:t>a</w:t>
      </w:r>
      <w:r w:rsidR="00C3497A">
        <w:t>ppeal.  As noted at page 14 of Petitioners’ pleading, the Courtneys</w:t>
      </w:r>
      <w:r w:rsidR="004925CF">
        <w:t>,</w:t>
      </w:r>
      <w:r w:rsidR="00C3497A">
        <w:t xml:space="preserve"> following the Ninth Circuit</w:t>
      </w:r>
      <w:r w:rsidR="00220621">
        <w:t xml:space="preserve"> decision</w:t>
      </w:r>
      <w:r w:rsidR="004925CF">
        <w:t>,</w:t>
      </w:r>
      <w:r w:rsidR="00C3497A">
        <w:t xml:space="preserve"> requested and were subsequently denied </w:t>
      </w:r>
      <w:r w:rsidR="004925CF">
        <w:rPr>
          <w:bCs/>
        </w:rPr>
        <w:t>c</w:t>
      </w:r>
      <w:r w:rsidRPr="00C3497A" w:rsidR="00C3497A">
        <w:rPr>
          <w:bCs/>
        </w:rPr>
        <w:t>ertiorari</w:t>
      </w:r>
      <w:r w:rsidR="00C3497A">
        <w:rPr>
          <w:bCs/>
        </w:rPr>
        <w:t xml:space="preserve"> by the United States Supreme Court in June, 2014.  </w:t>
      </w:r>
      <w:r w:rsidR="001D1437">
        <w:rPr>
          <w:bCs/>
        </w:rPr>
        <w:t>T</w:t>
      </w:r>
      <w:r w:rsidR="00C3497A">
        <w:rPr>
          <w:bCs/>
        </w:rPr>
        <w:t>he United States District Court for Eastern Washington</w:t>
      </w:r>
      <w:r w:rsidR="00FB0C05">
        <w:rPr>
          <w:bCs/>
        </w:rPr>
        <w:t xml:space="preserve"> on partial remand </w:t>
      </w:r>
      <w:r w:rsidR="00C3497A">
        <w:rPr>
          <w:bCs/>
        </w:rPr>
        <w:t xml:space="preserve">retains jurisdiction over the second claim of the Courtneys and the Courtneys have now duly filed a Petition for Declaratory Order </w:t>
      </w:r>
      <w:r w:rsidR="00FB0C05">
        <w:rPr>
          <w:bCs/>
        </w:rPr>
        <w:t>under RCW 34.05.240</w:t>
      </w:r>
      <w:r w:rsidR="003A3F2F">
        <w:rPr>
          <w:bCs/>
        </w:rPr>
        <w:t>,</w:t>
      </w:r>
      <w:r w:rsidR="00FB0C05">
        <w:rPr>
          <w:bCs/>
        </w:rPr>
        <w:t xml:space="preserve"> </w:t>
      </w:r>
      <w:r w:rsidR="00220621">
        <w:rPr>
          <w:bCs/>
        </w:rPr>
        <w:t xml:space="preserve">positing </w:t>
      </w:r>
      <w:r w:rsidR="00C3497A">
        <w:rPr>
          <w:bCs/>
        </w:rPr>
        <w:t xml:space="preserve">whether the featured service requires a </w:t>
      </w:r>
      <w:r w:rsidR="00C15B14">
        <w:rPr>
          <w:bCs/>
        </w:rPr>
        <w:t>c</w:t>
      </w:r>
      <w:r w:rsidR="00C3497A">
        <w:rPr>
          <w:bCs/>
        </w:rPr>
        <w:t xml:space="preserve">ertificate of </w:t>
      </w:r>
      <w:r w:rsidR="00C15B14">
        <w:rPr>
          <w:bCs/>
        </w:rPr>
        <w:t>public convenience and n</w:t>
      </w:r>
      <w:r w:rsidR="00C3497A">
        <w:rPr>
          <w:bCs/>
        </w:rPr>
        <w:t>ecessity.</w:t>
      </w:r>
    </w:p>
    <w:p w:rsidR="00C3497A" w:rsidP="00F13521">
      <w:pPr>
        <w:pStyle w:val="ListParagraph"/>
        <w:tabs>
          <w:tab w:val="clear" w:pos="2160"/>
        </w:tabs>
        <w:ind w:left="0" w:hanging="720"/>
        <w:contextualSpacing w:val="0"/>
        <w:rPr>
          <w:bCs/>
        </w:rPr>
      </w:pPr>
      <w:r>
        <w:rPr>
          <w:bCs/>
        </w:rPr>
        <w:tab/>
      </w:r>
      <w:r>
        <w:rPr>
          <w:bCs/>
        </w:rPr>
        <w:t>At the outset of this Statement</w:t>
      </w:r>
      <w:r w:rsidR="00FB0C05">
        <w:rPr>
          <w:bCs/>
        </w:rPr>
        <w:t>,</w:t>
      </w:r>
      <w:r>
        <w:rPr>
          <w:bCs/>
        </w:rPr>
        <w:t xml:space="preserve"> Arrow would acknowledge that it does not hold </w:t>
      </w:r>
      <w:r w:rsidR="00C15B14">
        <w:rPr>
          <w:bCs/>
        </w:rPr>
        <w:t>a c</w:t>
      </w:r>
      <w:r>
        <w:rPr>
          <w:bCs/>
        </w:rPr>
        <w:t xml:space="preserve">ertificate </w:t>
      </w:r>
      <w:r w:rsidR="00FB0C05">
        <w:rPr>
          <w:bCs/>
        </w:rPr>
        <w:t xml:space="preserve">from the Commission </w:t>
      </w:r>
      <w:r>
        <w:rPr>
          <w:bCs/>
        </w:rPr>
        <w:t xml:space="preserve">to serve any points on Lake Chelan.  As such, it is not an </w:t>
      </w:r>
      <w:r w:rsidR="00FB0C05">
        <w:rPr>
          <w:bCs/>
        </w:rPr>
        <w:t>“</w:t>
      </w:r>
      <w:r>
        <w:rPr>
          <w:bCs/>
        </w:rPr>
        <w:t>overlapping service provider</w:t>
      </w:r>
      <w:r w:rsidR="00FB0C05">
        <w:rPr>
          <w:bCs/>
        </w:rPr>
        <w:t>”</w:t>
      </w:r>
      <w:r>
        <w:rPr>
          <w:bCs/>
        </w:rPr>
        <w:t xml:space="preserve"> or a contemporaneous applicant for such service which would enable a protest under WAC 480-51-040 were this to be converted into an adjudication.  However, by virtue of its Certificate BC-97, attached hereto for reference as Exhibit 2, it is a </w:t>
      </w:r>
      <w:r w:rsidR="001A1354">
        <w:rPr>
          <w:bCs/>
        </w:rPr>
        <w:t>longstanding</w:t>
      </w:r>
      <w:r>
        <w:rPr>
          <w:bCs/>
        </w:rPr>
        <w:t xml:space="preserve"> </w:t>
      </w:r>
      <w:r w:rsidR="00FB0C05">
        <w:rPr>
          <w:bCs/>
        </w:rPr>
        <w:t>commercial ferry c</w:t>
      </w:r>
      <w:r>
        <w:rPr>
          <w:bCs/>
        </w:rPr>
        <w:t>ertificate holder who would seek to intervene in any subsequent adjudicative process pursuant to WAC 480-</w:t>
      </w:r>
      <w:r w:rsidR="007B10A1">
        <w:rPr>
          <w:bCs/>
        </w:rPr>
        <w:t>07-340(3)(f) and WAC 480-07-355.</w:t>
      </w:r>
    </w:p>
    <w:p w:rsidR="00756E22" w:rsidP="00F13521">
      <w:pPr>
        <w:pStyle w:val="ListParagraph"/>
        <w:tabs>
          <w:tab w:val="clear" w:pos="2160"/>
        </w:tabs>
        <w:ind w:left="0" w:hanging="720"/>
        <w:contextualSpacing w:val="0"/>
        <w:rPr>
          <w:bCs/>
        </w:rPr>
      </w:pPr>
      <w:r>
        <w:rPr>
          <w:bCs/>
        </w:rPr>
        <w:tab/>
      </w:r>
      <w:r w:rsidR="005D48DA">
        <w:rPr>
          <w:bCs/>
        </w:rPr>
        <w:t xml:space="preserve">The </w:t>
      </w:r>
      <w:r w:rsidR="003A3F2F">
        <w:rPr>
          <w:bCs/>
        </w:rPr>
        <w:t xml:space="preserve">dispositive </w:t>
      </w:r>
      <w:r w:rsidR="005D48DA">
        <w:rPr>
          <w:bCs/>
        </w:rPr>
        <w:t xml:space="preserve">issue </w:t>
      </w:r>
      <w:r w:rsidR="006008B2">
        <w:rPr>
          <w:bCs/>
        </w:rPr>
        <w:t xml:space="preserve">rather </w:t>
      </w:r>
      <w:r w:rsidR="006008B2">
        <w:rPr>
          <w:bCs/>
        </w:rPr>
        <w:t>inartfully</w:t>
      </w:r>
      <w:r w:rsidR="006008B2">
        <w:rPr>
          <w:bCs/>
        </w:rPr>
        <w:t xml:space="preserve"> </w:t>
      </w:r>
      <w:r w:rsidR="005D48DA">
        <w:rPr>
          <w:bCs/>
        </w:rPr>
        <w:t xml:space="preserve">framed by the Petitioners has also been </w:t>
      </w:r>
      <w:r w:rsidR="000F119E">
        <w:rPr>
          <w:bCs/>
        </w:rPr>
        <w:t xml:space="preserve">described </w:t>
      </w:r>
      <w:r w:rsidR="003A3F2F">
        <w:rPr>
          <w:bCs/>
        </w:rPr>
        <w:t>in</w:t>
      </w:r>
      <w:r w:rsidR="005D48DA">
        <w:rPr>
          <w:bCs/>
        </w:rPr>
        <w:t xml:space="preserve"> </w:t>
      </w:r>
      <w:r w:rsidR="00FB0C05">
        <w:rPr>
          <w:bCs/>
        </w:rPr>
        <w:t xml:space="preserve">a </w:t>
      </w:r>
      <w:r w:rsidR="005D48DA">
        <w:rPr>
          <w:bCs/>
        </w:rPr>
        <w:t xml:space="preserve">lengthy </w:t>
      </w:r>
      <w:r w:rsidR="00FB0C05">
        <w:rPr>
          <w:bCs/>
        </w:rPr>
        <w:t xml:space="preserve">formal </w:t>
      </w:r>
      <w:r w:rsidR="005D48DA">
        <w:rPr>
          <w:bCs/>
        </w:rPr>
        <w:t xml:space="preserve">study by the Commission pursuant </w:t>
      </w:r>
      <w:r w:rsidR="00FB0C05">
        <w:rPr>
          <w:bCs/>
        </w:rPr>
        <w:t>to</w:t>
      </w:r>
      <w:r w:rsidR="005D48DA">
        <w:rPr>
          <w:bCs/>
        </w:rPr>
        <w:t xml:space="preserve"> legislative mandate and which is entitled</w:t>
      </w:r>
      <w:r w:rsidR="00220621">
        <w:rPr>
          <w:bCs/>
        </w:rPr>
        <w:t>,</w:t>
      </w:r>
      <w:r w:rsidR="005D48DA">
        <w:rPr>
          <w:bCs/>
        </w:rPr>
        <w:t xml:space="preserve"> “Appropriateness of Rate and Service Regulation of Commercial Ferries Operating on Lake Chelan, (January 14, 2010</w:t>
      </w:r>
      <w:r w:rsidR="003A3F2F">
        <w:rPr>
          <w:bCs/>
        </w:rPr>
        <w:t>,</w:t>
      </w:r>
      <w:r w:rsidR="005D48DA">
        <w:rPr>
          <w:bCs/>
        </w:rPr>
        <w:t xml:space="preserve"> “The Ferry Report”).  As the Commission is well aware</w:t>
      </w:r>
      <w:r w:rsidR="004C6084">
        <w:rPr>
          <w:bCs/>
        </w:rPr>
        <w:t>,</w:t>
      </w:r>
      <w:r w:rsidR="005D48DA">
        <w:rPr>
          <w:bCs/>
        </w:rPr>
        <w:t xml:space="preserve"> that document exhaustively analyzed operating conditions on Lake Chelan</w:t>
      </w:r>
      <w:r w:rsidR="00220621">
        <w:rPr>
          <w:bCs/>
        </w:rPr>
        <w:t>,</w:t>
      </w:r>
      <w:r w:rsidR="005D48DA">
        <w:rPr>
          <w:bCs/>
        </w:rPr>
        <w:t xml:space="preserve"> the viability of </w:t>
      </w:r>
      <w:r w:rsidR="00220621">
        <w:rPr>
          <w:bCs/>
        </w:rPr>
        <w:t xml:space="preserve">a </w:t>
      </w:r>
      <w:r w:rsidR="005D48DA">
        <w:rPr>
          <w:bCs/>
        </w:rPr>
        <w:t>single regulated service</w:t>
      </w:r>
      <w:r w:rsidR="00220621">
        <w:rPr>
          <w:bCs/>
        </w:rPr>
        <w:t xml:space="preserve"> provider</w:t>
      </w:r>
      <w:r w:rsidR="005D48DA">
        <w:rPr>
          <w:bCs/>
        </w:rPr>
        <w:t xml:space="preserve"> and discussed alternative scenarios such as that </w:t>
      </w:r>
      <w:r w:rsidR="00FB0C05">
        <w:rPr>
          <w:bCs/>
        </w:rPr>
        <w:t xml:space="preserve">generally </w:t>
      </w:r>
      <w:r w:rsidR="00C15B14">
        <w:rPr>
          <w:bCs/>
        </w:rPr>
        <w:t xml:space="preserve">alluded to </w:t>
      </w:r>
      <w:r w:rsidR="00CA2585">
        <w:rPr>
          <w:bCs/>
        </w:rPr>
        <w:t xml:space="preserve">by the Petitioners here under which the </w:t>
      </w:r>
      <w:r w:rsidR="005D48DA">
        <w:rPr>
          <w:bCs/>
        </w:rPr>
        <w:t>Commission would or could find</w:t>
      </w:r>
      <w:r w:rsidR="003A3F2F">
        <w:rPr>
          <w:bCs/>
        </w:rPr>
        <w:t>,</w:t>
      </w:r>
      <w:r w:rsidR="005D48DA">
        <w:rPr>
          <w:bCs/>
        </w:rPr>
        <w:t xml:space="preserve"> under certain facts</w:t>
      </w:r>
      <w:r w:rsidR="003A3F2F">
        <w:rPr>
          <w:bCs/>
        </w:rPr>
        <w:t>,</w:t>
      </w:r>
      <w:r w:rsidR="005D48DA">
        <w:rPr>
          <w:bCs/>
        </w:rPr>
        <w:t xml:space="preserve"> </w:t>
      </w:r>
      <w:r w:rsidR="00220621">
        <w:rPr>
          <w:bCs/>
        </w:rPr>
        <w:t xml:space="preserve">a </w:t>
      </w:r>
      <w:r w:rsidR="00CA2585">
        <w:rPr>
          <w:bCs/>
        </w:rPr>
        <w:t xml:space="preserve">specific </w:t>
      </w:r>
      <w:r w:rsidR="005D48DA">
        <w:rPr>
          <w:bCs/>
        </w:rPr>
        <w:t xml:space="preserve">proposal exempt from Public Convenience and Necessity regulation.  </w:t>
      </w:r>
    </w:p>
    <w:p w:rsidR="005D48DA" w:rsidP="00C15B14">
      <w:pPr>
        <w:pStyle w:val="heading10"/>
        <w:numPr>
          <w:ilvl w:val="0"/>
          <w:numId w:val="0"/>
        </w:numPr>
        <w:ind w:left="180"/>
      </w:pPr>
      <w:r>
        <w:t xml:space="preserve">iii.  </w:t>
      </w:r>
      <w:r w:rsidR="003A3F2F">
        <w:t>discussion of facts</w:t>
      </w:r>
      <w:r>
        <w:t xml:space="preserve"> </w:t>
      </w:r>
      <w:r w:rsidR="00043344">
        <w:t xml:space="preserve">and law </w:t>
      </w:r>
      <w:r>
        <w:t>underpinning the question posed by the petition for declaratory order</w:t>
      </w:r>
    </w:p>
    <w:p w:rsidR="00CF3931" w:rsidP="00F13521">
      <w:pPr>
        <w:pStyle w:val="ListParagraph"/>
        <w:tabs>
          <w:tab w:val="clear" w:pos="2160"/>
        </w:tabs>
        <w:ind w:left="0" w:hanging="720"/>
        <w:contextualSpacing w:val="0"/>
      </w:pPr>
      <w:r>
        <w:tab/>
      </w:r>
      <w:r w:rsidRPr="00F13521" w:rsidR="005D48DA">
        <w:rPr>
          <w:bCs/>
        </w:rPr>
        <w:t>According</w:t>
      </w:r>
      <w:r w:rsidR="005D48DA">
        <w:t xml:space="preserve"> to the </w:t>
      </w:r>
      <w:r w:rsidR="001A1354">
        <w:t>Courtneys</w:t>
      </w:r>
      <w:r w:rsidR="005D48DA">
        <w:t>, the question to be resolved by their Petition is “whether a PCN certificate is necessary to provide boat transportation service on Lake Chelan for customers or patrons of specific busi</w:t>
      </w:r>
      <w:r w:rsidR="00220621">
        <w:t>nesses or a group of businesses,</w:t>
      </w:r>
      <w:r w:rsidR="005D48DA">
        <w:t>”</w:t>
      </w:r>
      <w:r>
        <w:rPr>
          <w:rStyle w:val="FootnoteReference"/>
        </w:rPr>
        <w:footnoteReference w:id="2"/>
      </w:r>
      <w:r w:rsidR="005D48DA">
        <w:t xml:space="preserve">  Indeed, the </w:t>
      </w:r>
      <w:r w:rsidR="001A1354">
        <w:t>Courtneys</w:t>
      </w:r>
      <w:r w:rsidR="005D48DA">
        <w:t xml:space="preserve"> expressly ar</w:t>
      </w:r>
      <w:r w:rsidR="00C15B14">
        <w:t>gue</w:t>
      </w:r>
      <w:r w:rsidR="005D48DA">
        <w:t xml:space="preserve"> that “[t]he WUTC should issue a Declaratory Order explaining the PCN certificate is not necessary to provide boat transportation service on Lake Chelan for customers or patrons of specific businesses or a group of businesses.</w:t>
      </w:r>
      <w:r>
        <w:rPr>
          <w:rStyle w:val="FootnoteReference"/>
        </w:rPr>
        <w:footnoteReference w:id="3"/>
      </w:r>
      <w:r w:rsidR="005D48DA">
        <w:t xml:space="preserve"> </w:t>
      </w:r>
    </w:p>
    <w:p w:rsidR="005D48DA" w:rsidP="00F13521">
      <w:pPr>
        <w:pStyle w:val="ListParagraph"/>
        <w:tabs>
          <w:tab w:val="clear" w:pos="2160"/>
        </w:tabs>
        <w:ind w:left="0" w:hanging="720"/>
        <w:contextualSpacing w:val="0"/>
      </w:pPr>
      <w:r>
        <w:tab/>
      </w:r>
      <w:r w:rsidR="00220621">
        <w:t>In Arrow’s view</w:t>
      </w:r>
      <w:r w:rsidR="003A3F2F">
        <w:t>,</w:t>
      </w:r>
      <w:r w:rsidR="00220621">
        <w:t xml:space="preserve"> this </w:t>
      </w:r>
      <w:r w:rsidR="00CF3931">
        <w:t xml:space="preserve">rather stark question simply </w:t>
      </w:r>
      <w:r w:rsidR="00CA2585">
        <w:t xml:space="preserve">cannot and </w:t>
      </w:r>
      <w:r w:rsidR="00CF3931">
        <w:t>should not be resolved on the basis of a Petition for Declaratory Order</w:t>
      </w:r>
      <w:r w:rsidR="00CA2585">
        <w:t xml:space="preserve"> without any subsequent hearing</w:t>
      </w:r>
      <w:r w:rsidR="00CF3931">
        <w:t xml:space="preserve">.  While the Petitioner </w:t>
      </w:r>
      <w:r w:rsidR="007B10A1">
        <w:t>argues</w:t>
      </w:r>
      <w:r w:rsidR="006008B2">
        <w:t>, under RCW 34.05.240(1</w:t>
      </w:r>
      <w:r w:rsidR="006008B2">
        <w:t>)(</w:t>
      </w:r>
      <w:r w:rsidR="006008B2">
        <w:t>d),</w:t>
      </w:r>
      <w:r w:rsidR="007B10A1">
        <w:t xml:space="preserve"> </w:t>
      </w:r>
      <w:r w:rsidR="00CF3931">
        <w:t xml:space="preserve">that </w:t>
      </w:r>
      <w:r w:rsidR="007B10A1">
        <w:t xml:space="preserve">the importance and </w:t>
      </w:r>
      <w:r w:rsidR="00CF3931">
        <w:t xml:space="preserve">resolution of the question </w:t>
      </w:r>
      <w:r w:rsidR="007B10A1">
        <w:t xml:space="preserve">for the Petitioners </w:t>
      </w:r>
      <w:r w:rsidR="00CA2585">
        <w:t xml:space="preserve">outweighs </w:t>
      </w:r>
      <w:r w:rsidR="00CF3931">
        <w:t xml:space="preserve">any adverse effects </w:t>
      </w:r>
      <w:r w:rsidR="006008B2">
        <w:t xml:space="preserve">likely to arise </w:t>
      </w:r>
      <w:r w:rsidR="00CF3931">
        <w:t>on others or the general public, Arrow Launch Service</w:t>
      </w:r>
      <w:r w:rsidR="00040C57">
        <w:t>,</w:t>
      </w:r>
      <w:r w:rsidR="00CF3931">
        <w:t xml:space="preserve"> in its existing certificate-holder</w:t>
      </w:r>
      <w:r w:rsidR="003A3F2F">
        <w:t xml:space="preserve"> circumstance</w:t>
      </w:r>
      <w:r w:rsidR="004C6084">
        <w:t>,</w:t>
      </w:r>
      <w:r w:rsidR="00CF3931">
        <w:t xml:space="preserve"> strongly </w:t>
      </w:r>
      <w:r w:rsidR="0097211C">
        <w:t xml:space="preserve">disagrees with </w:t>
      </w:r>
      <w:r w:rsidR="00CF3931">
        <w:t xml:space="preserve">such sentiment.  </w:t>
      </w:r>
    </w:p>
    <w:p w:rsidR="00040C57" w:rsidP="00F13521">
      <w:pPr>
        <w:pStyle w:val="ListParagraph"/>
        <w:tabs>
          <w:tab w:val="clear" w:pos="2160"/>
        </w:tabs>
        <w:ind w:left="0" w:hanging="720"/>
        <w:contextualSpacing w:val="0"/>
      </w:pPr>
      <w:r>
        <w:tab/>
      </w:r>
      <w:r w:rsidR="00CF3931">
        <w:t>First of all, AL</w:t>
      </w:r>
      <w:r w:rsidR="00CA2585">
        <w:t>S</w:t>
      </w:r>
      <w:r w:rsidR="0097211C">
        <w:t xml:space="preserve"> itself</w:t>
      </w:r>
      <w:r w:rsidR="00CA2585">
        <w:t xml:space="preserve"> </w:t>
      </w:r>
      <w:r w:rsidR="0097211C">
        <w:t>“</w:t>
      </w:r>
      <w:r w:rsidR="00CA2585">
        <w:t>has no</w:t>
      </w:r>
      <w:r w:rsidR="00CF3931">
        <w:t>t experienced uncertainty about its understanding</w:t>
      </w:r>
      <w:r w:rsidR="0097211C">
        <w:t>”</w:t>
      </w:r>
      <w:r w:rsidR="00CF3931">
        <w:t xml:space="preserve"> of when a certificate is required.  Here, asking the Commission</w:t>
      </w:r>
      <w:r>
        <w:t>,</w:t>
      </w:r>
      <w:r w:rsidR="00CF3931">
        <w:t xml:space="preserve"> as the Petitioners do, to broadly interpret the public convenience and necessity requirement without a formative adjudicative record or </w:t>
      </w:r>
      <w:r w:rsidR="00CF3931">
        <w:t>simply on the basis of colorable claims and arguments raised by Petit</w:t>
      </w:r>
      <w:r w:rsidR="00C15B14">
        <w:t>ioners is not what either RCW 34</w:t>
      </w:r>
      <w:r w:rsidR="00CF3931">
        <w:t xml:space="preserve">.05.240 </w:t>
      </w:r>
      <w:r w:rsidR="00CA2585">
        <w:t xml:space="preserve">portends </w:t>
      </w:r>
      <w:r w:rsidR="00CF3931">
        <w:t xml:space="preserve">or </w:t>
      </w:r>
      <w:r>
        <w:t xml:space="preserve">to which </w:t>
      </w:r>
      <w:r w:rsidR="00CF3931">
        <w:t xml:space="preserve">RCW 81.84.010 is directed.  </w:t>
      </w:r>
      <w:r w:rsidR="0097211C">
        <w:t>U</w:t>
      </w:r>
      <w:r w:rsidR="00CF3931">
        <w:t>nquestionably an interested</w:t>
      </w:r>
      <w:r w:rsidR="00220621">
        <w:t xml:space="preserve"> stake</w:t>
      </w:r>
      <w:r w:rsidR="00CF3931">
        <w:t xml:space="preserve">holder whose underlying certificate rights could be broadly affected by the construction of the </w:t>
      </w:r>
      <w:r>
        <w:t>s</w:t>
      </w:r>
      <w:r w:rsidR="00CF3931">
        <w:t xml:space="preserve">tatute in a factual vacuum, Arrow believes simply issuing a Declaratory Order </w:t>
      </w:r>
      <w:r w:rsidR="0097211C">
        <w:t xml:space="preserve">now, </w:t>
      </w:r>
      <w:r>
        <w:t>even if</w:t>
      </w:r>
      <w:r w:rsidR="00CF3931">
        <w:t xml:space="preserve"> </w:t>
      </w:r>
      <w:r w:rsidR="004C6084">
        <w:t>the Commission</w:t>
      </w:r>
      <w:r w:rsidR="00CF3931">
        <w:t xml:space="preserve"> </w:t>
      </w:r>
      <w:r>
        <w:t xml:space="preserve">somehow </w:t>
      </w:r>
      <w:r w:rsidR="00CF3931">
        <w:t>agree</w:t>
      </w:r>
      <w:r>
        <w:t>s</w:t>
      </w:r>
      <w:r w:rsidR="00CF3931">
        <w:t xml:space="preserve"> with Petitioners’ argument</w:t>
      </w:r>
      <w:r w:rsidR="0097211C">
        <w:t>,</w:t>
      </w:r>
      <w:r w:rsidR="00CF3931">
        <w:t xml:space="preserve"> would be detrimental to all commercial ferry certificate holders</w:t>
      </w:r>
      <w:r w:rsidR="000F26F6">
        <w:t xml:space="preserve"> operating in the state.  </w:t>
      </w:r>
    </w:p>
    <w:p w:rsidR="00040C57" w:rsidP="00F13521">
      <w:pPr>
        <w:pStyle w:val="ListParagraph"/>
        <w:tabs>
          <w:tab w:val="clear" w:pos="2160"/>
        </w:tabs>
        <w:ind w:left="0" w:hanging="720"/>
        <w:contextualSpacing w:val="0"/>
      </w:pPr>
      <w:r>
        <w:tab/>
      </w:r>
      <w:r w:rsidR="000F26F6">
        <w:t xml:space="preserve">Because a broad </w:t>
      </w:r>
      <w:r w:rsidR="007B10A1">
        <w:t xml:space="preserve">declaratory request </w:t>
      </w:r>
      <w:r w:rsidR="000F26F6">
        <w:t xml:space="preserve">that no certificate is required for customers or patrons of </w:t>
      </w:r>
      <w:r w:rsidR="00CA2585">
        <w:t>“</w:t>
      </w:r>
      <w:r w:rsidR="000F26F6">
        <w:t>specific business or group of businesses</w:t>
      </w:r>
      <w:r w:rsidR="00CA2585">
        <w:t>” is</w:t>
      </w:r>
      <w:r w:rsidR="00AB3384">
        <w:t xml:space="preserve"> also</w:t>
      </w:r>
      <w:r w:rsidR="00CA2585">
        <w:t xml:space="preserve"> </w:t>
      </w:r>
      <w:r w:rsidR="00C15B14">
        <w:t xml:space="preserve">a </w:t>
      </w:r>
      <w:r w:rsidR="000F26F6">
        <w:t>vague</w:t>
      </w:r>
      <w:r w:rsidR="007B10A1">
        <w:t xml:space="preserve"> inquiry</w:t>
      </w:r>
      <w:r w:rsidR="00CA2585">
        <w:t>,</w:t>
      </w:r>
      <w:r w:rsidR="000F26F6">
        <w:t xml:space="preserve"> Petitioners’ efforts here suggest </w:t>
      </w:r>
      <w:r w:rsidR="00CA2585">
        <w:t xml:space="preserve">they </w:t>
      </w:r>
      <w:r w:rsidR="000F26F6">
        <w:t xml:space="preserve">are </w:t>
      </w:r>
      <w:r w:rsidR="007B10A1">
        <w:t xml:space="preserve">in effect </w:t>
      </w:r>
      <w:r w:rsidR="000F26F6">
        <w:t xml:space="preserve">seeking to obtain an advisory opinion from </w:t>
      </w:r>
      <w:r w:rsidR="007B10A1">
        <w:t xml:space="preserve">the </w:t>
      </w:r>
      <w:r w:rsidR="000F26F6">
        <w:t xml:space="preserve">agency asking it to sanction </w:t>
      </w:r>
      <w:r w:rsidR="00AB3384">
        <w:t>unspecified</w:t>
      </w:r>
      <w:r>
        <w:t xml:space="preserve"> </w:t>
      </w:r>
      <w:r w:rsidR="000F26F6">
        <w:t>service to an almost unlimited segment of the traveling or shipping public which might singularly</w:t>
      </w:r>
      <w:r>
        <w:t>,</w:t>
      </w:r>
      <w:r w:rsidR="000F26F6">
        <w:t xml:space="preserve"> or </w:t>
      </w:r>
      <w:r w:rsidR="004C6084">
        <w:t>by</w:t>
      </w:r>
      <w:r w:rsidR="000F26F6">
        <w:t xml:space="preserve"> group</w:t>
      </w:r>
      <w:r>
        <w:t>,</w:t>
      </w:r>
      <w:r w:rsidR="000F26F6">
        <w:t xml:space="preserve"> request for-hire service</w:t>
      </w:r>
      <w:r>
        <w:t>s</w:t>
      </w:r>
      <w:r w:rsidR="000F26F6">
        <w:t xml:space="preserve"> from a </w:t>
      </w:r>
      <w:r w:rsidR="0097211C">
        <w:t>vessel operator</w:t>
      </w:r>
      <w:r w:rsidR="000F26F6">
        <w:t>.  While the Ninth Circuit Opinion noted in a footnote that the “</w:t>
      </w:r>
      <w:r>
        <w:t>…</w:t>
      </w:r>
      <w:r w:rsidR="000F26F6">
        <w:t xml:space="preserve">services proposed by the </w:t>
      </w:r>
      <w:r w:rsidR="001A1354">
        <w:t>Courtneys</w:t>
      </w:r>
      <w:r w:rsidR="000F26F6">
        <w:t xml:space="preserve"> would be pertinent to their Stehekin-based businesses and presumably be operated solely for patrons of those businesses</w:t>
      </w:r>
      <w:r>
        <w:t>,</w:t>
      </w:r>
      <w:r w:rsidR="004C6084">
        <w:t>”</w:t>
      </w:r>
      <w:r w:rsidR="000F26F6">
        <w:t xml:space="preserve"> 736 F. 3d 1152, 11</w:t>
      </w:r>
      <w:r w:rsidR="00CA2585">
        <w:t>64</w:t>
      </w:r>
      <w:r w:rsidR="00BF3655">
        <w:t>,</w:t>
      </w:r>
      <w:r w:rsidR="000F26F6">
        <w:t xml:space="preserve"> 9</w:t>
      </w:r>
      <w:r w:rsidRPr="000F26F6" w:rsidR="000F26F6">
        <w:rPr>
          <w:vertAlign w:val="superscript"/>
        </w:rPr>
        <w:t>th</w:t>
      </w:r>
      <w:r w:rsidR="000F26F6">
        <w:t xml:space="preserve"> Cir, (2</w:t>
      </w:r>
      <w:r w:rsidR="004C6084">
        <w:t>014),</w:t>
      </w:r>
      <w:r w:rsidR="000F26F6">
        <w:t xml:space="preserve"> the Petitioners have not so limited their Petition here and at </w:t>
      </w:r>
      <w:r w:rsidR="00CA2585">
        <w:t>¶</w:t>
      </w:r>
      <w:r w:rsidR="000F26F6">
        <w:t xml:space="preserve"> 76 of their Petition</w:t>
      </w:r>
      <w:r w:rsidR="007B10A1">
        <w:t xml:space="preserve"> and</w:t>
      </w:r>
      <w:r w:rsidR="000F26F6">
        <w:t xml:space="preserve"> have </w:t>
      </w:r>
      <w:r w:rsidR="00AB3384">
        <w:t xml:space="preserve">instead </w:t>
      </w:r>
      <w:r w:rsidR="007B10A1">
        <w:t xml:space="preserve">boldly </w:t>
      </w:r>
      <w:r w:rsidR="000F26F6">
        <w:t>argued that the Commission should issue a Declarator</w:t>
      </w:r>
      <w:r w:rsidR="006456CE">
        <w:t>y Order “explaining that a PCN c</w:t>
      </w:r>
      <w:r w:rsidR="000F26F6">
        <w:t xml:space="preserve">ertificate is not necessary to provide boat transportation service on Lake Chelan for customers or patrons of specific businesses or a group of businesses.”  </w:t>
      </w:r>
    </w:p>
    <w:p w:rsidR="00C9541C" w:rsidP="00F13521">
      <w:pPr>
        <w:pStyle w:val="ListParagraph"/>
        <w:tabs>
          <w:tab w:val="clear" w:pos="2160"/>
        </w:tabs>
        <w:ind w:left="0" w:hanging="720"/>
        <w:contextualSpacing w:val="0"/>
      </w:pPr>
      <w:r>
        <w:tab/>
      </w:r>
      <w:r w:rsidR="000F26F6">
        <w:t>Arrow Launch Service currently provides daily regulated commercial ferr</w:t>
      </w:r>
      <w:r>
        <w:t>y services to “customers or groups of patrons of specific businesses or a group of businesses</w:t>
      </w:r>
      <w:r w:rsidR="0097211C">
        <w:t>.</w:t>
      </w:r>
      <w:r>
        <w:t>”</w:t>
      </w:r>
      <w:r w:rsidR="00CA2585">
        <w:t xml:space="preserve"> </w:t>
      </w:r>
      <w:r w:rsidR="0097211C">
        <w:t xml:space="preserve"> B</w:t>
      </w:r>
      <w:r w:rsidR="00CA2585">
        <w:t xml:space="preserve">roadly exempting a certificate requirement </w:t>
      </w:r>
      <w:r w:rsidR="00040C57">
        <w:t xml:space="preserve">for </w:t>
      </w:r>
      <w:r w:rsidR="00CA2585">
        <w:t>such service from RCW 81.84.010 would be entirely contrary to</w:t>
      </w:r>
      <w:r w:rsidR="00AB3384">
        <w:t xml:space="preserve"> Arrow’s</w:t>
      </w:r>
      <w:r w:rsidR="00CA2585">
        <w:t xml:space="preserve"> understanding of the laws and rules of this Commission</w:t>
      </w:r>
      <w:r w:rsidR="0097211C">
        <w:t xml:space="preserve"> and to the public interest</w:t>
      </w:r>
      <w:r w:rsidR="00CA2585">
        <w:t>.</w:t>
      </w:r>
      <w:r w:rsidR="00AB3384">
        <w:t xml:space="preserve">  </w:t>
      </w:r>
      <w:r w:rsidR="00CA2585">
        <w:t xml:space="preserve">Indeed, </w:t>
      </w:r>
      <w:r>
        <w:t>“</w:t>
      </w:r>
      <w:r w:rsidR="00CA2585">
        <w:t>c</w:t>
      </w:r>
      <w:r>
        <w:t>ustomers or patrons of specific busine</w:t>
      </w:r>
      <w:r w:rsidR="00040C57">
        <w:t>sses or a group of businesses” c</w:t>
      </w:r>
      <w:r w:rsidR="0097211C">
        <w:t xml:space="preserve">ould constitute largely Arrow’s </w:t>
      </w:r>
      <w:r>
        <w:t xml:space="preserve">entire existing customer base which is comprised of shipping agents, oil and grain companies, provisioners, suppliers, et al. which </w:t>
      </w:r>
      <w:r w:rsidR="00CA2585">
        <w:t xml:space="preserve">would appear to qualify as </w:t>
      </w:r>
      <w:r>
        <w:t xml:space="preserve"> “customers…of specific businesses or a group of business</w:t>
      </w:r>
      <w:r w:rsidR="007B10A1">
        <w:t>es</w:t>
      </w:r>
      <w:r>
        <w:t>.”</w:t>
      </w:r>
    </w:p>
    <w:p w:rsidR="00C9541C" w:rsidP="00F13521">
      <w:pPr>
        <w:pStyle w:val="ListParagraph"/>
        <w:tabs>
          <w:tab w:val="clear" w:pos="2160"/>
        </w:tabs>
        <w:ind w:left="0" w:hanging="720"/>
        <w:contextualSpacing w:val="0"/>
      </w:pPr>
      <w:r>
        <w:tab/>
      </w:r>
      <w:r w:rsidR="00040C57">
        <w:t xml:space="preserve">Removing </w:t>
      </w:r>
      <w:r>
        <w:t xml:space="preserve">such conventional intrastate commercial ferry service from a requirement to obtain a certificate to transport passengers and freight for hire between fixed termini, including ships at anchor in ports, </w:t>
      </w:r>
      <w:r w:rsidR="00CA2585">
        <w:t>again</w:t>
      </w:r>
      <w:r w:rsidR="00040C57">
        <w:t>,</w:t>
      </w:r>
      <w:r w:rsidR="00CA2585">
        <w:t xml:space="preserve"> </w:t>
      </w:r>
      <w:r>
        <w:t xml:space="preserve">would remove the </w:t>
      </w:r>
      <w:r w:rsidR="00CA2585">
        <w:t xml:space="preserve">heart </w:t>
      </w:r>
      <w:r>
        <w:t xml:space="preserve">of Arrow Launch Service’s operations from Commission jurisdiction.  It would </w:t>
      </w:r>
      <w:r w:rsidR="00CA2585">
        <w:t xml:space="preserve">also </w:t>
      </w:r>
      <w:r>
        <w:t xml:space="preserve">simultaneously </w:t>
      </w:r>
      <w:r w:rsidR="00CA2585">
        <w:t xml:space="preserve">jeopardize </w:t>
      </w:r>
      <w:r>
        <w:t xml:space="preserve">almost three decades of infrastructure and personnel investment to serve the shipping public in various ports named in its certificate and potentially eviscerate or otherwise eliminate </w:t>
      </w:r>
      <w:r w:rsidR="007B10A1">
        <w:t xml:space="preserve">recognized </w:t>
      </w:r>
      <w:r>
        <w:t>Arrow’s common carrier obligation to serve the shipping public in various Puget Sound ports</w:t>
      </w:r>
      <w:r w:rsidR="0097211C">
        <w:t>,</w:t>
      </w:r>
      <w:r>
        <w:t xml:space="preserve"> 24 hours a day, 365 days a year.  Additionally</w:t>
      </w:r>
      <w:r w:rsidR="00CA2585">
        <w:t>,</w:t>
      </w:r>
      <w:r>
        <w:t xml:space="preserve"> it would put at risk the company’s ability and viability to staff smaller ports and termini while opening up the overall marketplace to any provider who</w:t>
      </w:r>
      <w:r w:rsidR="00CA2585">
        <w:t xml:space="preserve"> simply</w:t>
      </w:r>
      <w:r>
        <w:t xml:space="preserve"> wished to operate a vessel in service</w:t>
      </w:r>
      <w:r w:rsidR="00040C57">
        <w:t xml:space="preserve"> at whim</w:t>
      </w:r>
      <w:r w:rsidR="007B10A1">
        <w:t>,</w:t>
      </w:r>
      <w:r w:rsidR="00AB3384">
        <w:t xml:space="preserve"> for whatever interval that provider wanted</w:t>
      </w:r>
      <w:r w:rsidR="007B10A1">
        <w:t>,</w:t>
      </w:r>
      <w:r>
        <w:t xml:space="preserve"> to customer</w:t>
      </w:r>
      <w:r w:rsidR="001E3CD4">
        <w:t>s</w:t>
      </w:r>
      <w:r w:rsidR="004C6084">
        <w:t xml:space="preserve"> </w:t>
      </w:r>
      <w:r w:rsidR="001E3CD4">
        <w:t>of “any business or group of businesses.”</w:t>
      </w:r>
    </w:p>
    <w:p w:rsidR="0097211C" w:rsidP="00F13521">
      <w:pPr>
        <w:pStyle w:val="ListParagraph"/>
        <w:tabs>
          <w:tab w:val="clear" w:pos="2160"/>
        </w:tabs>
        <w:ind w:left="0" w:hanging="720"/>
        <w:contextualSpacing w:val="0"/>
      </w:pPr>
      <w:r>
        <w:tab/>
      </w:r>
      <w:r w:rsidR="000306AC">
        <w:t>S</w:t>
      </w:r>
      <w:r w:rsidR="001E3CD4">
        <w:t xml:space="preserve">uch a </w:t>
      </w:r>
      <w:r>
        <w:t xml:space="preserve">sweeping </w:t>
      </w:r>
      <w:r w:rsidR="001E3CD4">
        <w:t xml:space="preserve">threshold exemption </w:t>
      </w:r>
      <w:r w:rsidR="00040C57">
        <w:t xml:space="preserve">from </w:t>
      </w:r>
      <w:r w:rsidR="001E3CD4">
        <w:t xml:space="preserve">the certificate requirement </w:t>
      </w:r>
      <w:r w:rsidR="000306AC">
        <w:t xml:space="preserve">for </w:t>
      </w:r>
      <w:r w:rsidR="001E3CD4">
        <w:t>an entity which seeks to serve “customers or patrons of specific businesses or a group of businesses” would also</w:t>
      </w:r>
      <w:r w:rsidR="007B10A1">
        <w:t>, for instance,</w:t>
      </w:r>
      <w:r w:rsidR="001E3CD4">
        <w:t xml:space="preserve"> neutralize </w:t>
      </w:r>
      <w:r w:rsidR="007B10A1">
        <w:t xml:space="preserve">the applicability of </w:t>
      </w:r>
      <w:r w:rsidR="00040C57">
        <w:t xml:space="preserve">any </w:t>
      </w:r>
      <w:r w:rsidR="001E3CD4">
        <w:t>requirements of WAC 480-51-075 and WAC 480-51-070 which proscribe vessel safety certification requirements and liability and insurance limits for all regulated operators.</w:t>
      </w:r>
    </w:p>
    <w:p w:rsidR="00857DEA" w:rsidP="00F13521">
      <w:pPr>
        <w:pStyle w:val="ListParagraph"/>
        <w:tabs>
          <w:tab w:val="clear" w:pos="2160"/>
        </w:tabs>
        <w:ind w:left="0" w:hanging="720"/>
        <w:contextualSpacing w:val="0"/>
      </w:pPr>
      <w:r>
        <w:tab/>
      </w:r>
      <w:r w:rsidR="001E3CD4">
        <w:t>The</w:t>
      </w:r>
      <w:r>
        <w:t xml:space="preserve"> broad, </w:t>
      </w:r>
      <w:r w:rsidR="001E3CD4">
        <w:t xml:space="preserve">formal declaratory ruling construing </w:t>
      </w:r>
      <w:r w:rsidR="00040C57">
        <w:t xml:space="preserve">the </w:t>
      </w:r>
      <w:r w:rsidR="001E3CD4">
        <w:t xml:space="preserve">applicable statute and regulations Petitioners here seek would </w:t>
      </w:r>
      <w:r w:rsidR="00AB3384">
        <w:t xml:space="preserve">thus </w:t>
      </w:r>
      <w:r w:rsidR="001E3CD4">
        <w:t>deprive Arrow Launch Service and other commercial companies not only of their reference</w:t>
      </w:r>
      <w:r w:rsidR="00040C57">
        <w:t>d</w:t>
      </w:r>
      <w:r w:rsidR="001E3CD4">
        <w:t xml:space="preserve"> </w:t>
      </w:r>
      <w:r w:rsidR="00AC38BE">
        <w:t>certificated property</w:t>
      </w:r>
      <w:r w:rsidR="001E3CD4">
        <w:t xml:space="preserve"> rights and</w:t>
      </w:r>
      <w:r w:rsidR="00040C57">
        <w:t xml:space="preserve"> </w:t>
      </w:r>
      <w:r w:rsidR="00AC38BE">
        <w:t>dilute infrastructure</w:t>
      </w:r>
      <w:r w:rsidR="00040C57">
        <w:t xml:space="preserve"> investments in service to the public,</w:t>
      </w:r>
      <w:r w:rsidR="001E3CD4">
        <w:t xml:space="preserve"> but </w:t>
      </w:r>
      <w:r w:rsidR="00040C57">
        <w:t xml:space="preserve">would </w:t>
      </w:r>
      <w:r w:rsidR="001E3CD4">
        <w:t>also enable a loosely-framed, unspecific and hypothetical servic</w:t>
      </w:r>
      <w:r>
        <w:t xml:space="preserve">e premise to effectively trump </w:t>
      </w:r>
      <w:r w:rsidR="001D1437">
        <w:t>past</w:t>
      </w:r>
      <w:r w:rsidR="00ED4E7B">
        <w:t xml:space="preserve"> </w:t>
      </w:r>
      <w:r>
        <w:t>o</w:t>
      </w:r>
      <w:r w:rsidR="001E3CD4">
        <w:t>rders of this Commission</w:t>
      </w:r>
      <w:r>
        <w:t xml:space="preserve"> under Title 81.84</w:t>
      </w:r>
      <w:r w:rsidR="00BF3655">
        <w:t xml:space="preserve"> RCW</w:t>
      </w:r>
      <w:r w:rsidR="00ED4E7B">
        <w:t xml:space="preserve">.  </w:t>
      </w:r>
      <w:r w:rsidR="000306AC">
        <w:t>In so doing</w:t>
      </w:r>
      <w:r w:rsidR="007B10A1">
        <w:t>,</w:t>
      </w:r>
      <w:r w:rsidR="000306AC">
        <w:t xml:space="preserve"> it</w:t>
      </w:r>
      <w:r w:rsidR="00ED4E7B">
        <w:t xml:space="preserve"> would invite</w:t>
      </w:r>
      <w:r w:rsidR="001E3CD4">
        <w:t xml:space="preserve"> a statutory pronouncement in a factual vacuum while also depriving interested parties of substantive due process by </w:t>
      </w:r>
      <w:r>
        <w:t xml:space="preserve">precluding </w:t>
      </w:r>
      <w:r w:rsidR="00AB3384">
        <w:t>their</w:t>
      </w:r>
      <w:r w:rsidR="001E3CD4">
        <w:t xml:space="preserve"> right to be thoroughly heard on a fully developed adjudicative record which would test and evaluate the service proposal and any and all </w:t>
      </w:r>
      <w:r>
        <w:t xml:space="preserve">factual and legal </w:t>
      </w:r>
      <w:r w:rsidR="001E3CD4">
        <w:t>assumptions accompany</w:t>
      </w:r>
      <w:r w:rsidR="00ED4E7B">
        <w:t>ing</w:t>
      </w:r>
      <w:r w:rsidR="001E3CD4">
        <w:t xml:space="preserve"> it.</w:t>
      </w:r>
    </w:p>
    <w:p w:rsidR="001E3CD4" w:rsidP="00F13521">
      <w:pPr>
        <w:pStyle w:val="ListParagraph"/>
        <w:tabs>
          <w:tab w:val="clear" w:pos="2160"/>
        </w:tabs>
        <w:ind w:left="0" w:hanging="720"/>
        <w:contextualSpacing w:val="0"/>
      </w:pPr>
      <w:r>
        <w:tab/>
      </w:r>
      <w:r>
        <w:t xml:space="preserve">The Petitioners’ attempt to distinguish the admittedly vague service proposal featured in </w:t>
      </w:r>
      <w:r w:rsidR="0097211C">
        <w:t xml:space="preserve">their </w:t>
      </w:r>
      <w:r>
        <w:t xml:space="preserve">Declaratory Order </w:t>
      </w:r>
      <w:r w:rsidR="0097211C">
        <w:t xml:space="preserve">Petition </w:t>
      </w:r>
      <w:r w:rsidR="007B10A1">
        <w:t xml:space="preserve">also </w:t>
      </w:r>
      <w:r w:rsidR="0097211C">
        <w:t>appear</w:t>
      </w:r>
      <w:r w:rsidR="000306AC">
        <w:t xml:space="preserve">s to rely on </w:t>
      </w:r>
      <w:r>
        <w:t>definitions of “private ferry service” from other jurisdictions (i.e. the Michigan case</w:t>
      </w:r>
      <w:r w:rsidR="0097211C">
        <w:t xml:space="preserve"> they</w:t>
      </w:r>
      <w:r>
        <w:t xml:space="preserve"> cite and the 1871 Georgia case </w:t>
      </w:r>
      <w:r w:rsidR="0097211C">
        <w:t xml:space="preserve">they </w:t>
      </w:r>
      <w:r w:rsidR="000306AC">
        <w:t xml:space="preserve">rely </w:t>
      </w:r>
      <w:r w:rsidR="0097211C">
        <w:t>upon</w:t>
      </w:r>
      <w:r>
        <w:t>)</w:t>
      </w:r>
      <w:r w:rsidR="00857DEA">
        <w:t>.</w:t>
      </w:r>
      <w:r>
        <w:rPr>
          <w:rStyle w:val="FootnoteReference"/>
        </w:rPr>
        <w:footnoteReference w:id="4"/>
      </w:r>
      <w:r w:rsidR="00857DEA">
        <w:t xml:space="preserve"> </w:t>
      </w:r>
      <w:r w:rsidR="00D90DA8">
        <w:t xml:space="preserve"> T</w:t>
      </w:r>
      <w:r>
        <w:t xml:space="preserve">here </w:t>
      </w:r>
      <w:r w:rsidR="00ED4E7B">
        <w:t xml:space="preserve">appears to be </w:t>
      </w:r>
      <w:r>
        <w:t xml:space="preserve">no </w:t>
      </w:r>
      <w:r w:rsidR="00ED4E7B">
        <w:t xml:space="preserve">similar </w:t>
      </w:r>
      <w:r>
        <w:t>exemption for private carriage in RCW 81.84 nor do the</w:t>
      </w:r>
      <w:r w:rsidR="004436F6">
        <w:t xml:space="preserve"> Washington</w:t>
      </w:r>
      <w:r>
        <w:t xml:space="preserve"> commercial ferry statutes </w:t>
      </w:r>
      <w:r w:rsidR="00ED4E7B">
        <w:t xml:space="preserve">contain </w:t>
      </w:r>
      <w:r>
        <w:t xml:space="preserve">the broader type of “private carrier” exemption such as </w:t>
      </w:r>
      <w:r w:rsidR="00ED4E7B">
        <w:t xml:space="preserve">found </w:t>
      </w:r>
      <w:r>
        <w:t>in other Title 81 RCW provision</w:t>
      </w:r>
      <w:r w:rsidR="00DB7C30">
        <w:t>s</w:t>
      </w:r>
      <w:r w:rsidR="004436F6">
        <w:t>,</w:t>
      </w:r>
      <w:r>
        <w:t xml:space="preserve"> </w:t>
      </w:r>
      <w:r w:rsidR="004436F6">
        <w:t>i.e.,</w:t>
      </w:r>
      <w:r>
        <w:t xml:space="preserve"> the auto transportation statute cited by the Petitioner or, for</w:t>
      </w:r>
      <w:r w:rsidR="00DB7C30">
        <w:t xml:space="preserve"> instance, the exemptions in RCW</w:t>
      </w:r>
      <w:r>
        <w:t xml:space="preserve"> 81.</w:t>
      </w:r>
      <w:r w:rsidR="00DB7C30">
        <w:t>77 for solid waste transportation private carriage</w:t>
      </w:r>
      <w:r>
        <w:t xml:space="preserve"> </w:t>
      </w:r>
      <w:r w:rsidR="00DB7C30">
        <w:t>set forth at RCW 81.77.010(5)</w:t>
      </w:r>
      <w:r w:rsidR="00ED4E7B">
        <w:t>,</w:t>
      </w:r>
      <w:r w:rsidR="00DB7C30">
        <w:t xml:space="preserve"> which speaks of transportation “…purely as an incidental adjunct to some other established private business owned or operated by the person in good faith.”  While the Courtneys clearly seek to engraft such an analogous definition onto RCW 81.84 here, there is </w:t>
      </w:r>
      <w:r w:rsidR="007B10A1">
        <w:t xml:space="preserve">again, </w:t>
      </w:r>
      <w:r w:rsidR="00DB7C30">
        <w:t>no such express exception nor would transportation to a “customer or patrons of specific businesses or a group of businesses” necessarily qualify as “private carriage” under any existing statutory scenario.</w:t>
      </w:r>
    </w:p>
    <w:p w:rsidR="00DB7C30" w:rsidP="00F13521">
      <w:pPr>
        <w:pStyle w:val="ListParagraph"/>
        <w:tabs>
          <w:tab w:val="clear" w:pos="2160"/>
        </w:tabs>
        <w:ind w:left="0" w:hanging="720"/>
        <w:contextualSpacing w:val="0"/>
      </w:pPr>
      <w:r>
        <w:tab/>
      </w:r>
      <w:r w:rsidR="007B10A1">
        <w:t>Additionally, b</w:t>
      </w:r>
      <w:r w:rsidR="00ED4E7B">
        <w:t>ased on their Petition, P</w:t>
      </w:r>
      <w:r>
        <w:t xml:space="preserve">etitioners </w:t>
      </w:r>
      <w:r w:rsidR="00AB3384">
        <w:t xml:space="preserve">hold </w:t>
      </w:r>
      <w:r>
        <w:t>an unspecified but presumably narrow concept of “public use for hire</w:t>
      </w:r>
      <w:r w:rsidR="00ED4E7B">
        <w:t>,</w:t>
      </w:r>
      <w:r>
        <w:t>” which, if accepted, would</w:t>
      </w:r>
      <w:r w:rsidR="00ED4E7B">
        <w:t xml:space="preserve"> also</w:t>
      </w:r>
      <w:r>
        <w:t xml:space="preserve"> appear to contravene the broad outlines and understandings of the common carrier obligation which is the hallmark of a public service company under RCW 81.04, RCW 81.84 and RCW 81.28</w:t>
      </w:r>
      <w:r w:rsidR="007F61D1">
        <w:t>.010, and which also proscribe</w:t>
      </w:r>
      <w:r w:rsidR="007B10A1">
        <w:t>s</w:t>
      </w:r>
      <w:r w:rsidR="007F61D1">
        <w:t xml:space="preserve"> a regulated service provider from unilaterally discriminating amongst customers or classes of customers at will. </w:t>
      </w:r>
    </w:p>
    <w:p w:rsidR="007F61D1" w:rsidP="00F13521">
      <w:pPr>
        <w:pStyle w:val="ListParagraph"/>
        <w:tabs>
          <w:tab w:val="clear" w:pos="2160"/>
        </w:tabs>
        <w:ind w:left="0" w:hanging="720"/>
        <w:contextualSpacing w:val="0"/>
      </w:pPr>
      <w:r>
        <w:tab/>
      </w:r>
      <w:r>
        <w:t>Finally, taken as a whole</w:t>
      </w:r>
      <w:r w:rsidR="0097211C">
        <w:t>,</w:t>
      </w:r>
      <w:r>
        <w:t xml:space="preserve"> the Courtneys’ Petition appears </w:t>
      </w:r>
      <w:r w:rsidR="007B10A1">
        <w:t xml:space="preserve">to ALS </w:t>
      </w:r>
      <w:r>
        <w:t xml:space="preserve">to be asking </w:t>
      </w:r>
      <w:r w:rsidR="004436F6">
        <w:t>the Commission to construe the c</w:t>
      </w:r>
      <w:r>
        <w:t>onstitutio</w:t>
      </w:r>
      <w:r w:rsidR="004436F6">
        <w:t>nality of the law it administers</w:t>
      </w:r>
      <w:r>
        <w:t>, RCW 81.84.010</w:t>
      </w:r>
      <w:r w:rsidR="004436F6">
        <w:t>,</w:t>
      </w:r>
      <w:r w:rsidR="007B10A1">
        <w:t xml:space="preserve"> as applied</w:t>
      </w:r>
      <w:r>
        <w:t xml:space="preserve"> to the rather esoteric</w:t>
      </w:r>
      <w:r w:rsidR="00ED4E7B">
        <w:t>,</w:t>
      </w:r>
      <w:r>
        <w:t xml:space="preserve"> broadly-outlined service proposal </w:t>
      </w:r>
      <w:r w:rsidR="0097211C">
        <w:t xml:space="preserve">they describe </w:t>
      </w:r>
      <w:r>
        <w:t xml:space="preserve">on Lake Chelan.  As the Commission has previously noted in </w:t>
      </w:r>
      <w:r w:rsidR="000306AC">
        <w:t xml:space="preserve">other </w:t>
      </w:r>
      <w:r>
        <w:t xml:space="preserve">cases, a challenge to the </w:t>
      </w:r>
      <w:r w:rsidR="004436F6">
        <w:t>c</w:t>
      </w:r>
      <w:r>
        <w:t xml:space="preserve">onstitutionality of a </w:t>
      </w:r>
      <w:r w:rsidR="004436F6">
        <w:t xml:space="preserve">state </w:t>
      </w:r>
      <w:r>
        <w:t xml:space="preserve">statute governing an administrative agency’s actions may not be determined by </w:t>
      </w:r>
      <w:r w:rsidR="004436F6">
        <w:t xml:space="preserve">the </w:t>
      </w:r>
      <w:r>
        <w:t>agency.</w:t>
      </w:r>
      <w:r>
        <w:rPr>
          <w:rStyle w:val="FootnoteReference"/>
        </w:rPr>
        <w:footnoteReference w:id="5"/>
      </w:r>
      <w:r>
        <w:t xml:space="preserve">  </w:t>
      </w:r>
      <w:r>
        <w:t xml:space="preserve">Such questions are solely within the province of the Court. </w:t>
      </w:r>
      <w:r>
        <w:rPr>
          <w:i/>
        </w:rPr>
        <w:t>Bare v. Gor</w:t>
      </w:r>
      <w:r w:rsidR="003A3F2F">
        <w:rPr>
          <w:i/>
        </w:rPr>
        <w:t>t</w:t>
      </w:r>
      <w:r w:rsidR="000306AC">
        <w:rPr>
          <w:i/>
        </w:rPr>
        <w:t>on,</w:t>
      </w:r>
      <w:r>
        <w:rPr>
          <w:i/>
        </w:rPr>
        <w:t xml:space="preserve"> </w:t>
      </w:r>
      <w:r w:rsidRPr="007F61D1">
        <w:t>84 Wn 2d 380, 526 P 2d 379 (1974).</w:t>
      </w:r>
    </w:p>
    <w:p w:rsidR="007F61D1" w:rsidP="00F13521">
      <w:pPr>
        <w:pStyle w:val="ListParagraph"/>
        <w:tabs>
          <w:tab w:val="clear" w:pos="2160"/>
        </w:tabs>
        <w:ind w:left="0" w:hanging="720"/>
        <w:contextualSpacing w:val="0"/>
      </w:pPr>
      <w:r>
        <w:tab/>
      </w:r>
      <w:r>
        <w:t>While the Petitioners have attempted to couch their Petition in a fashion which seeks to qualify their action as a Petition for Declaratory Order</w:t>
      </w:r>
      <w:r w:rsidR="004436F6">
        <w:t>,</w:t>
      </w:r>
      <w:r>
        <w:t xml:space="preserve"> th</w:t>
      </w:r>
      <w:r w:rsidR="00ED4E7B">
        <w:t>e construction of the question they</w:t>
      </w:r>
      <w:r>
        <w:t xml:space="preserve"> </w:t>
      </w:r>
      <w:r w:rsidR="004436F6">
        <w:t xml:space="preserve">formulate </w:t>
      </w:r>
      <w:r>
        <w:t xml:space="preserve">as framed here would </w:t>
      </w:r>
      <w:r w:rsidR="0097211C">
        <w:t xml:space="preserve">appear to </w:t>
      </w:r>
      <w:r>
        <w:t xml:space="preserve">involve the weighing of </w:t>
      </w:r>
      <w:r w:rsidR="004436F6">
        <w:t>c</w:t>
      </w:r>
      <w:r>
        <w:t>onstitutional theories on the underlying premise of t</w:t>
      </w:r>
      <w:r w:rsidR="0097211C">
        <w:t>he commercial ferry PCN statute</w:t>
      </w:r>
      <w:r>
        <w:t xml:space="preserve">.  </w:t>
      </w:r>
    </w:p>
    <w:p w:rsidR="00AF2721" w:rsidP="00F13521">
      <w:pPr>
        <w:pStyle w:val="ListParagraph"/>
        <w:tabs>
          <w:tab w:val="clear" w:pos="2160"/>
        </w:tabs>
        <w:ind w:left="0" w:hanging="720"/>
        <w:contextualSpacing w:val="0"/>
      </w:pPr>
      <w:r>
        <w:tab/>
      </w:r>
      <w:r w:rsidR="007F61D1">
        <w:t xml:space="preserve">Ultimately then, Petitioners </w:t>
      </w:r>
      <w:r w:rsidR="004436F6">
        <w:t xml:space="preserve">may in fact be </w:t>
      </w:r>
      <w:r w:rsidR="007F61D1">
        <w:t xml:space="preserve">seeking an advisory opinion on a hypothetical factual scenario implicating </w:t>
      </w:r>
      <w:r w:rsidR="004436F6">
        <w:t>c</w:t>
      </w:r>
      <w:r w:rsidR="007F61D1">
        <w:t>onstitutional arguments on the application of the statute in question to proposed/precatory actions contemplated by the</w:t>
      </w:r>
      <w:r w:rsidR="004436F6">
        <w:t>m</w:t>
      </w:r>
      <w:r w:rsidR="007F61D1">
        <w:t>.  Ironically</w:t>
      </w:r>
      <w:r w:rsidR="00BF3655">
        <w:t xml:space="preserve"> then</w:t>
      </w:r>
      <w:r w:rsidR="007F61D1">
        <w:t xml:space="preserve">, the uncertainty that exists </w:t>
      </w:r>
      <w:r>
        <w:t xml:space="preserve">most prominently here </w:t>
      </w:r>
      <w:r w:rsidR="007F61D1">
        <w:t xml:space="preserve">is that surrounding </w:t>
      </w:r>
      <w:r w:rsidR="004925CF">
        <w:t>what the Petitioners precisely propose, whom they will specifically serve</w:t>
      </w:r>
      <w:r>
        <w:t>,</w:t>
      </w:r>
      <w:r w:rsidR="004925CF">
        <w:t xml:space="preserve"> under what route or operational conditions and </w:t>
      </w:r>
      <w:r w:rsidR="00ED4E7B">
        <w:t xml:space="preserve">truly </w:t>
      </w:r>
      <w:r w:rsidR="004925CF">
        <w:t xml:space="preserve">the entirety of the scope of the proposed service.  Such questions are </w:t>
      </w:r>
      <w:r>
        <w:t xml:space="preserve">undoubtedly </w:t>
      </w:r>
      <w:r w:rsidR="004925CF">
        <w:t>best addressed in an adjudicative proceeding with the right to cross</w:t>
      </w:r>
      <w:r>
        <w:t>-</w:t>
      </w:r>
      <w:r w:rsidR="004925CF">
        <w:t xml:space="preserve">examine proponent and opponent witnesses and to test statutory and regulatory </w:t>
      </w:r>
      <w:r>
        <w:t xml:space="preserve">theories </w:t>
      </w:r>
      <w:r w:rsidR="004925CF">
        <w:t>against specific facts adduced</w:t>
      </w:r>
      <w:r w:rsidR="00ED4E7B">
        <w:t xml:space="preserve"> on such</w:t>
      </w:r>
      <w:r w:rsidR="004925CF">
        <w:t xml:space="preserve"> record.</w:t>
      </w:r>
    </w:p>
    <w:p w:rsidR="007F61D1" w:rsidP="000306AC">
      <w:pPr>
        <w:pStyle w:val="heading10"/>
        <w:numPr>
          <w:ilvl w:val="0"/>
          <w:numId w:val="0"/>
        </w:numPr>
        <w:ind w:left="180"/>
      </w:pPr>
      <w:r>
        <w:t xml:space="preserve">iv.  </w:t>
      </w:r>
      <w:r w:rsidR="004925CF">
        <w:t xml:space="preserve"> </w:t>
      </w:r>
      <w:r w:rsidR="00AF2721">
        <w:t>prayer for relief</w:t>
      </w:r>
    </w:p>
    <w:p w:rsidR="004925CF" w:rsidP="00F13521">
      <w:pPr>
        <w:pStyle w:val="ListParagraph"/>
        <w:tabs>
          <w:tab w:val="clear" w:pos="2160"/>
        </w:tabs>
        <w:ind w:left="0" w:hanging="720"/>
        <w:contextualSpacing w:val="0"/>
      </w:pPr>
      <w:r>
        <w:tab/>
      </w:r>
      <w:r>
        <w:t>The Courtneys have failed</w:t>
      </w:r>
      <w:r w:rsidR="00AF2721">
        <w:t xml:space="preserve"> ultimately</w:t>
      </w:r>
      <w:r>
        <w:t xml:space="preserve"> to establish the conditions under RCW 34.05.240(1)</w:t>
      </w:r>
      <w:r w:rsidR="00ED4E7B">
        <w:t>,</w:t>
      </w:r>
      <w:r>
        <w:t xml:space="preserve"> meriting the issuance of a Declaratory Order</w:t>
      </w:r>
      <w:r w:rsidR="00ED4E7B">
        <w:t>.</w:t>
      </w:r>
      <w:r>
        <w:rPr>
          <w:rStyle w:val="FootnoteReference"/>
        </w:rPr>
        <w:footnoteReference w:id="6"/>
      </w:r>
      <w:r w:rsidR="00ED4E7B">
        <w:t xml:space="preserve"> </w:t>
      </w:r>
      <w:r w:rsidR="00AF09BA">
        <w:t xml:space="preserve"> </w:t>
      </w:r>
      <w:r w:rsidR="00ED4E7B">
        <w:t>F</w:t>
      </w:r>
      <w:r>
        <w:t>or all of the above reasons</w:t>
      </w:r>
      <w:r w:rsidR="00ED4E7B">
        <w:t xml:space="preserve"> then,</w:t>
      </w:r>
      <w:r w:rsidR="00AF2721">
        <w:t xml:space="preserve"> </w:t>
      </w:r>
      <w:r>
        <w:t xml:space="preserve">Arrow Launch </w:t>
      </w:r>
      <w:r w:rsidR="00AF2721">
        <w:t xml:space="preserve">Service, </w:t>
      </w:r>
      <w:r>
        <w:t xml:space="preserve">Inc. asks that the Petition for Declaratory Order either be dismissed, or </w:t>
      </w:r>
      <w:r w:rsidR="007B10A1">
        <w:t>alternatively</w:t>
      </w:r>
      <w:r>
        <w:t>, be se</w:t>
      </w:r>
      <w:r w:rsidR="00F230DC">
        <w:t>t for hearing pursuant to RCW 34</w:t>
      </w:r>
      <w:r>
        <w:t>.05.240 and WAC 480-07-930(5)(d), to allow the necessary and indispensable development of a record so that the fundamental questions raised under law and rule can be examined</w:t>
      </w:r>
      <w:r w:rsidR="00ED4E7B">
        <w:t>,</w:t>
      </w:r>
      <w:r>
        <w:t xml:space="preserve"> and ultimately</w:t>
      </w:r>
      <w:r w:rsidR="00ED4E7B">
        <w:t>,</w:t>
      </w:r>
      <w:r>
        <w:t xml:space="preserve"> a reasoned decision on the issues raised by Petitioners be fairly </w:t>
      </w:r>
      <w:r w:rsidR="00AF2721">
        <w:t xml:space="preserve">and comprehensively </w:t>
      </w:r>
      <w:r>
        <w:t>resolved.</w:t>
      </w:r>
    </w:p>
    <w:p w:rsidR="000306AC" w:rsidP="000306AC">
      <w:pPr>
        <w:pStyle w:val="ListParagraph"/>
        <w:numPr>
          <w:ilvl w:val="0"/>
          <w:numId w:val="0"/>
        </w:numPr>
        <w:ind w:left="1440"/>
      </w:pPr>
    </w:p>
    <w:p w:rsidR="000306AC" w:rsidP="000306AC">
      <w:pPr>
        <w:pStyle w:val="ListParagraph"/>
        <w:numPr>
          <w:ilvl w:val="0"/>
          <w:numId w:val="0"/>
        </w:numPr>
        <w:ind w:left="1440"/>
      </w:pPr>
      <w:r>
        <w:t xml:space="preserve">DATED this </w:t>
      </w:r>
      <w:r>
        <w:softHyphen/>
      </w:r>
      <w:r>
        <w:softHyphen/>
      </w:r>
      <w:r>
        <w:softHyphen/>
      </w:r>
      <w:r>
        <w:softHyphen/>
      </w:r>
      <w:r>
        <w:softHyphen/>
      </w:r>
      <w:r w:rsidR="0044095C">
        <w:t>22</w:t>
      </w:r>
      <w:r w:rsidRPr="0044095C" w:rsidR="0044095C">
        <w:rPr>
          <w:vertAlign w:val="superscript"/>
        </w:rPr>
        <w:t>nd</w:t>
      </w:r>
      <w:r w:rsidR="0044095C">
        <w:t xml:space="preserve"> </w:t>
      </w:r>
      <w:bookmarkStart w:id="0" w:name="_GoBack"/>
      <w:bookmarkEnd w:id="0"/>
      <w:r>
        <w:t>day of October, 2014.</w:t>
      </w:r>
    </w:p>
    <w:p w:rsidR="002248AA" w:rsidP="002248AA">
      <w:pPr>
        <w:keepNext/>
        <w:keepLines/>
        <w:ind w:left="2880"/>
        <w:rPr>
          <w:caps/>
          <w:szCs w:val="24"/>
        </w:rPr>
      </w:pPr>
    </w:p>
    <w:tbl>
      <w:tblPr>
        <w:tblW w:w="0" w:type="auto"/>
        <w:tblLayout w:type="fixed"/>
        <w:tblLook w:val="0000"/>
      </w:tblPr>
      <w:tblGrid>
        <w:gridCol w:w="4698"/>
        <w:gridCol w:w="4860"/>
      </w:tblGrid>
      <w:tr w:rsidTr="00F76BE3">
        <w:tblPrEx>
          <w:tblW w:w="0" w:type="auto"/>
          <w:tblLayout w:type="fixed"/>
          <w:tblLook w:val="0000"/>
        </w:tblPrEx>
        <w:trPr>
          <w:cantSplit/>
        </w:trPr>
        <w:tc>
          <w:tcPr>
            <w:tcW w:w="4698" w:type="dxa"/>
          </w:tcPr>
          <w:p w:rsidR="000306AC" w:rsidRPr="00DD2273" w:rsidP="00F76BE3">
            <w:pPr>
              <w:keepNext/>
              <w:keepLines/>
              <w:tabs>
                <w:tab w:val="left" w:pos="432"/>
              </w:tabs>
            </w:pPr>
          </w:p>
        </w:tc>
        <w:tc>
          <w:tcPr>
            <w:tcW w:w="4860" w:type="dxa"/>
          </w:tcPr>
          <w:p w:rsidR="000306AC" w:rsidP="00F76BE3">
            <w:pPr>
              <w:keepNext/>
              <w:keepLines/>
              <w:rPr>
                <w:caps/>
              </w:rPr>
            </w:pPr>
            <w:r>
              <w:rPr>
                <w:caps/>
              </w:rPr>
              <w:t>R</w:t>
            </w:r>
            <w:r>
              <w:t>espectfully</w:t>
            </w:r>
            <w:r>
              <w:rPr>
                <w:caps/>
              </w:rPr>
              <w:t xml:space="preserve"> s</w:t>
            </w:r>
            <w:r>
              <w:t>ubmitted</w:t>
            </w:r>
            <w:r>
              <w:rPr>
                <w:caps/>
              </w:rPr>
              <w:t>,</w:t>
            </w:r>
          </w:p>
          <w:p w:rsidR="000306AC" w:rsidP="00F76BE3">
            <w:pPr>
              <w:keepNext/>
              <w:keepLines/>
              <w:rPr>
                <w:caps/>
              </w:rPr>
            </w:pPr>
          </w:p>
          <w:p w:rsidR="000306AC" w:rsidRPr="00DD2273" w:rsidP="00F76BE3">
            <w:pPr>
              <w:keepNext/>
              <w:keepLines/>
              <w:rPr>
                <w:caps/>
              </w:rPr>
            </w:pPr>
            <w:r w:rsidRPr="00DD2273">
              <w:rPr>
                <w:caps/>
              </w:rPr>
              <w:t>Williams, Kastner &amp; Gibbs PLLC</w:t>
            </w:r>
          </w:p>
          <w:p w:rsidR="000306AC" w:rsidRPr="00DD2273" w:rsidP="00F76BE3">
            <w:pPr>
              <w:keepNext/>
              <w:keepLines/>
            </w:pPr>
          </w:p>
          <w:p w:rsidR="000306AC" w:rsidRPr="00DD2273" w:rsidP="00F76BE3">
            <w:pPr>
              <w:keepNext/>
              <w:keepLines/>
            </w:pPr>
          </w:p>
          <w:p w:rsidR="000306AC" w:rsidRPr="00DD2273" w:rsidP="00F76BE3">
            <w:pPr>
              <w:keepNext/>
              <w:keepLines/>
            </w:pPr>
          </w:p>
          <w:p w:rsidR="000306AC" w:rsidRPr="00DD2273" w:rsidP="00F76BE3">
            <w:pPr>
              <w:keepNext/>
              <w:keepLines/>
              <w:tabs>
                <w:tab w:val="right" w:pos="4572"/>
              </w:tabs>
              <w:rPr>
                <w:u w:val="single"/>
              </w:rPr>
            </w:pPr>
            <w:r w:rsidRPr="00DD2273">
              <w:t xml:space="preserve">By </w:t>
            </w:r>
            <w:r w:rsidRPr="00DD2273">
              <w:rPr>
                <w:u w:val="single"/>
              </w:rPr>
              <w:tab/>
            </w:r>
          </w:p>
          <w:p w:rsidR="000306AC" w:rsidP="00F76BE3">
            <w:pPr>
              <w:keepNext/>
              <w:keepLines/>
              <w:tabs>
                <w:tab w:val="left" w:pos="432"/>
                <w:tab w:val="right" w:pos="4932"/>
              </w:tabs>
              <w:ind w:left="342"/>
            </w:pPr>
            <w:r w:rsidRPr="00DD2273">
              <w:t>David W. Wiley, WSBA #08614</w:t>
            </w:r>
          </w:p>
          <w:p w:rsidR="000306AC" w:rsidRPr="003A2E37" w:rsidP="00F76BE3">
            <w:pPr>
              <w:keepNext/>
              <w:keepLines/>
              <w:tabs>
                <w:tab w:val="left" w:pos="432"/>
                <w:tab w:val="right" w:pos="4932"/>
              </w:tabs>
              <w:ind w:left="342"/>
            </w:pPr>
            <w:r w:rsidRPr="003A2E37">
              <w:rPr>
                <w:rStyle w:val="Hyperlink"/>
              </w:rPr>
              <w:t>dwiley@williamskastner.com</w:t>
            </w:r>
            <w:r w:rsidRPr="003A2E37">
              <w:t xml:space="preserve"> </w:t>
            </w:r>
          </w:p>
          <w:p w:rsidR="000306AC" w:rsidRPr="00DD2273" w:rsidP="00F76BE3">
            <w:pPr>
              <w:keepNext/>
              <w:keepLines/>
            </w:pPr>
            <w:r w:rsidRPr="00DD2273">
              <w:t>Attorneys for Waste Control, Inc.</w:t>
            </w:r>
          </w:p>
        </w:tc>
      </w:tr>
    </w:tbl>
    <w:p w:rsidR="00EE2A2C">
      <w:pPr>
        <w:spacing w:line="240" w:lineRule="auto"/>
      </w:pPr>
      <w:r>
        <w:br w:type="page"/>
      </w:r>
    </w:p>
    <w:p w:rsidR="005C66F2" w:rsidP="005C66F2">
      <w:pPr>
        <w:pStyle w:val="COSTitle"/>
        <w:spacing w:line="240" w:lineRule="exact"/>
      </w:pPr>
      <w:r>
        <w:t>CERTIFICATE OF SERVICE</w:t>
      </w:r>
    </w:p>
    <w:p w:rsidR="005C66F2" w:rsidP="00727043">
      <w:pPr>
        <w:pStyle w:val="BodyText2"/>
        <w:spacing w:line="240" w:lineRule="auto"/>
      </w:pPr>
      <w:r>
        <w:t>I hereby certify that on June 23, 2014, I caused to be served the original and twelve copies of the foregoing document to the following address via first class mail, postage prepaid to:</w:t>
      </w:r>
    </w:p>
    <w:p w:rsidR="00727043" w:rsidP="00727043">
      <w:pPr>
        <w:pStyle w:val="BodyText2"/>
        <w:spacing w:line="240" w:lineRule="auto"/>
      </w:pPr>
    </w:p>
    <w:tbl>
      <w:tblPr>
        <w:tblStyle w:val="TableGrid"/>
        <w:tblW w:w="0" w:type="auto"/>
        <w:tblLook w:val="04A0"/>
      </w:tblPr>
      <w:tblGrid>
        <w:gridCol w:w="5688"/>
      </w:tblGrid>
      <w:tr w:rsidTr="00F76BE3">
        <w:tblPrEx>
          <w:tblW w:w="0" w:type="auto"/>
          <w:tblLook w:val="04A0"/>
        </w:tblPrEx>
        <w:tc>
          <w:tcPr>
            <w:tcW w:w="5688" w:type="dxa"/>
          </w:tcPr>
          <w:p w:rsidR="00643262" w:rsidP="00F76BE3">
            <w:pPr>
              <w:rPr>
                <w:szCs w:val="22"/>
              </w:rPr>
            </w:pPr>
            <w:r>
              <w:rPr>
                <w:szCs w:val="22"/>
              </w:rPr>
              <w:t>Steven V. King, Executive Director and Secretary</w:t>
            </w:r>
          </w:p>
          <w:p w:rsidR="00643262" w:rsidP="00F76BE3">
            <w:pPr>
              <w:rPr>
                <w:szCs w:val="22"/>
              </w:rPr>
            </w:pPr>
            <w:r>
              <w:rPr>
                <w:szCs w:val="22"/>
              </w:rPr>
              <w:t>Washington Utilities and Transportation Commission</w:t>
            </w:r>
          </w:p>
          <w:p w:rsidR="00643262" w:rsidP="00F76BE3">
            <w:pPr>
              <w:rPr>
                <w:szCs w:val="22"/>
              </w:rPr>
            </w:pPr>
            <w:r>
              <w:rPr>
                <w:szCs w:val="22"/>
              </w:rPr>
              <w:t>Attention:  Records Center</w:t>
            </w:r>
          </w:p>
          <w:p w:rsidR="00643262" w:rsidP="00F76BE3">
            <w:pPr>
              <w:rPr>
                <w:szCs w:val="22"/>
              </w:rPr>
            </w:pPr>
            <w:r>
              <w:rPr>
                <w:szCs w:val="22"/>
              </w:rPr>
              <w:t>P.O. Box 47250</w:t>
            </w:r>
          </w:p>
          <w:p w:rsidR="00643262" w:rsidP="00F76BE3">
            <w:pPr>
              <w:rPr>
                <w:szCs w:val="22"/>
              </w:rPr>
            </w:pPr>
            <w:r>
              <w:rPr>
                <w:szCs w:val="22"/>
              </w:rPr>
              <w:t>1300 S. Evergreen Park Dr. SW</w:t>
            </w:r>
          </w:p>
          <w:p w:rsidR="00643262" w:rsidP="00F76BE3">
            <w:pPr>
              <w:rPr>
                <w:szCs w:val="22"/>
              </w:rPr>
            </w:pPr>
            <w:r>
              <w:rPr>
                <w:szCs w:val="22"/>
              </w:rPr>
              <w:t>Olympia, WA 98504-7250</w:t>
            </w:r>
          </w:p>
          <w:p w:rsidR="00643262" w:rsidP="00F76BE3">
            <w:pPr>
              <w:rPr>
                <w:szCs w:val="22"/>
              </w:rPr>
            </w:pPr>
            <w:r w:rsidRPr="00F955F0">
              <w:rPr>
                <w:rStyle w:val="Hyperlink"/>
                <w:szCs w:val="22"/>
              </w:rPr>
              <w:t>records@utc.wa.gov</w:t>
            </w:r>
          </w:p>
          <w:p w:rsidR="00643262" w:rsidRPr="00C43697" w:rsidP="00F76BE3">
            <w:pPr>
              <w:rPr>
                <w:szCs w:val="22"/>
              </w:rPr>
            </w:pPr>
          </w:p>
        </w:tc>
      </w:tr>
    </w:tbl>
    <w:p w:rsidR="005C66F2" w:rsidP="005C66F2"/>
    <w:p w:rsidR="005C66F2" w:rsidP="00727043">
      <w:pPr>
        <w:pStyle w:val="BodyText2"/>
        <w:spacing w:line="240" w:lineRule="auto"/>
      </w:pPr>
      <w:r>
        <w:t>I certify I have also provided to the Washington Utilities and Transportation Commission’s Secretary an official electronic file containing the foregoing document via email to:</w:t>
      </w:r>
    </w:p>
    <w:p w:rsidR="00727043" w:rsidP="00727043">
      <w:pPr>
        <w:pStyle w:val="BodyText2"/>
        <w:spacing w:line="240" w:lineRule="auto"/>
      </w:pPr>
      <w:r w:rsidRPr="005036B3">
        <w:rPr>
          <w:rStyle w:val="Hyperlink"/>
        </w:rPr>
        <w:t>records@utc.wa.gov</w:t>
      </w:r>
    </w:p>
    <w:p w:rsidR="00727043" w:rsidP="00727043">
      <w:pPr>
        <w:pStyle w:val="BodyText2"/>
        <w:spacing w:line="240" w:lineRule="auto"/>
      </w:pPr>
    </w:p>
    <w:p w:rsidR="00727043" w:rsidP="00727043">
      <w:pPr>
        <w:pStyle w:val="BodyText2"/>
        <w:spacing w:line="240" w:lineRule="auto"/>
      </w:pPr>
      <w:r>
        <w:t>and</w:t>
      </w:r>
      <w:r>
        <w:t xml:space="preserve"> an electronic copy via email and first class mail, postage prepaid, to:</w:t>
      </w:r>
    </w:p>
    <w:p w:rsidR="00727043" w:rsidP="00727043">
      <w:pPr>
        <w:pStyle w:val="BodyText2"/>
        <w:spacing w:line="240" w:lineRule="auto"/>
      </w:pPr>
    </w:p>
    <w:tbl>
      <w:tblPr>
        <w:tblStyle w:val="TableGrid"/>
        <w:tblW w:w="0" w:type="auto"/>
        <w:tblLook w:val="04A0"/>
      </w:tblPr>
      <w:tblGrid>
        <w:gridCol w:w="5688"/>
      </w:tblGrid>
      <w:tr w:rsidTr="00F76BE3">
        <w:tblPrEx>
          <w:tblW w:w="0" w:type="auto"/>
          <w:tblLook w:val="04A0"/>
        </w:tblPrEx>
        <w:tc>
          <w:tcPr>
            <w:tcW w:w="5688" w:type="dxa"/>
          </w:tcPr>
          <w:p w:rsidR="00727043" w:rsidP="00F76BE3">
            <w:pPr>
              <w:rPr>
                <w:szCs w:val="22"/>
              </w:rPr>
            </w:pPr>
            <w:r>
              <w:rPr>
                <w:szCs w:val="22"/>
              </w:rPr>
              <w:t xml:space="preserve">Michael </w:t>
            </w:r>
            <w:r>
              <w:rPr>
                <w:szCs w:val="22"/>
              </w:rPr>
              <w:t>Bindas</w:t>
            </w:r>
          </w:p>
          <w:p w:rsidR="00727043" w:rsidP="00F76BE3">
            <w:pPr>
              <w:rPr>
                <w:szCs w:val="22"/>
              </w:rPr>
            </w:pPr>
            <w:r>
              <w:rPr>
                <w:szCs w:val="22"/>
              </w:rPr>
              <w:t>Institute for Justice</w:t>
            </w:r>
          </w:p>
          <w:p w:rsidR="00727043" w:rsidP="00F76BE3">
            <w:pPr>
              <w:rPr>
                <w:szCs w:val="22"/>
              </w:rPr>
            </w:pPr>
            <w:r>
              <w:rPr>
                <w:szCs w:val="22"/>
              </w:rPr>
              <w:t>10500 NE 8</w:t>
            </w:r>
            <w:r w:rsidRPr="00C43697">
              <w:rPr>
                <w:szCs w:val="22"/>
                <w:vertAlign w:val="superscript"/>
              </w:rPr>
              <w:t>th</w:t>
            </w:r>
            <w:r>
              <w:rPr>
                <w:szCs w:val="22"/>
              </w:rPr>
              <w:t xml:space="preserve"> Street, Suite 1760</w:t>
            </w:r>
          </w:p>
          <w:p w:rsidR="00727043" w:rsidP="00F76BE3">
            <w:pPr>
              <w:rPr>
                <w:szCs w:val="22"/>
              </w:rPr>
            </w:pPr>
            <w:r>
              <w:rPr>
                <w:szCs w:val="22"/>
              </w:rPr>
              <w:t>Bellevue, WA 98004</w:t>
            </w:r>
          </w:p>
          <w:p w:rsidR="00727043" w:rsidP="00F76BE3">
            <w:pPr>
              <w:rPr>
                <w:szCs w:val="22"/>
              </w:rPr>
            </w:pPr>
            <w:r>
              <w:rPr>
                <w:szCs w:val="22"/>
              </w:rPr>
              <w:t>Phone: (425) 646-9300</w:t>
            </w:r>
          </w:p>
          <w:p w:rsidR="00727043" w:rsidP="00B96E17">
            <w:pPr>
              <w:rPr>
                <w:szCs w:val="22"/>
              </w:rPr>
            </w:pPr>
            <w:r>
              <w:rPr>
                <w:szCs w:val="22"/>
              </w:rPr>
              <w:t xml:space="preserve">E-mail: </w:t>
            </w:r>
            <w:r w:rsidRPr="005036B3">
              <w:rPr>
                <w:rStyle w:val="Hyperlink"/>
                <w:szCs w:val="22"/>
              </w:rPr>
              <w:t>mbindas@ij.org</w:t>
            </w:r>
          </w:p>
          <w:p w:rsidR="00727043" w:rsidRPr="00B96E17" w:rsidP="00B96E17">
            <w:pPr>
              <w:rPr>
                <w:szCs w:val="22"/>
              </w:rPr>
            </w:pPr>
          </w:p>
        </w:tc>
      </w:tr>
      <w:tr w:rsidTr="00F76BE3">
        <w:tblPrEx>
          <w:tblW w:w="0" w:type="auto"/>
          <w:tblLook w:val="04A0"/>
        </w:tblPrEx>
        <w:tc>
          <w:tcPr>
            <w:tcW w:w="5688" w:type="dxa"/>
          </w:tcPr>
          <w:p w:rsidR="00727043" w:rsidP="00F76BE3">
            <w:pPr>
              <w:rPr>
                <w:szCs w:val="22"/>
              </w:rPr>
            </w:pPr>
            <w:r>
              <w:rPr>
                <w:szCs w:val="22"/>
              </w:rPr>
              <w:t>Julian Beattie, WSBA #45586</w:t>
            </w:r>
          </w:p>
          <w:p w:rsidR="00727043" w:rsidP="00F76BE3">
            <w:pPr>
              <w:rPr>
                <w:szCs w:val="22"/>
              </w:rPr>
            </w:pPr>
            <w:r>
              <w:rPr>
                <w:szCs w:val="22"/>
              </w:rPr>
              <w:t>Assistant Attorney General</w:t>
            </w:r>
          </w:p>
          <w:p w:rsidR="00727043" w:rsidP="00F76BE3">
            <w:pPr>
              <w:rPr>
                <w:szCs w:val="22"/>
              </w:rPr>
            </w:pPr>
            <w:r>
              <w:rPr>
                <w:szCs w:val="22"/>
              </w:rPr>
              <w:t>Counsel for Staff of the Washington</w:t>
            </w:r>
          </w:p>
          <w:p w:rsidR="00727043" w:rsidP="00F76BE3">
            <w:pPr>
              <w:rPr>
                <w:szCs w:val="22"/>
              </w:rPr>
            </w:pPr>
            <w:r>
              <w:rPr>
                <w:szCs w:val="22"/>
              </w:rPr>
              <w:t>Utilities and Transportation Commission</w:t>
            </w:r>
          </w:p>
          <w:p w:rsidR="00727043" w:rsidP="00F76BE3">
            <w:pPr>
              <w:rPr>
                <w:szCs w:val="22"/>
              </w:rPr>
            </w:pPr>
            <w:r>
              <w:rPr>
                <w:szCs w:val="22"/>
              </w:rPr>
              <w:t>Phone: # (360) 664-1125</w:t>
            </w:r>
          </w:p>
          <w:p w:rsidR="00727043" w:rsidP="00F76BE3">
            <w:pPr>
              <w:rPr>
                <w:szCs w:val="22"/>
              </w:rPr>
            </w:pPr>
            <w:r>
              <w:rPr>
                <w:szCs w:val="22"/>
              </w:rPr>
              <w:t xml:space="preserve">Email: </w:t>
            </w:r>
            <w:r w:rsidRPr="005036B3">
              <w:rPr>
                <w:rStyle w:val="Hyperlink"/>
                <w:szCs w:val="22"/>
              </w:rPr>
              <w:t>jbeattie@utc.wa.gov</w:t>
            </w:r>
          </w:p>
          <w:p w:rsidR="00727043" w:rsidP="00F76BE3">
            <w:pPr>
              <w:rPr>
                <w:szCs w:val="22"/>
              </w:rPr>
            </w:pPr>
          </w:p>
        </w:tc>
      </w:tr>
    </w:tbl>
    <w:p w:rsidR="005C66F2" w:rsidP="005C66F2">
      <w:pPr>
        <w:spacing w:before="240"/>
      </w:pPr>
    </w:p>
    <w:p w:rsidR="005C66F2" w:rsidP="005C66F2"/>
    <w:p w:rsidR="005C66F2" w:rsidP="005C66F2">
      <w:pPr>
        <w:keepNext/>
        <w:spacing w:after="240"/>
        <w:ind w:firstLine="720"/>
      </w:pPr>
      <w:r>
        <w:t xml:space="preserve">Signed at Seattle, Washington this </w:t>
      </w:r>
      <w:r w:rsidR="0044095C">
        <w:t>22</w:t>
      </w:r>
      <w:r w:rsidRPr="0044095C" w:rsidR="0044095C">
        <w:rPr>
          <w:vertAlign w:val="superscript"/>
        </w:rPr>
        <w:t>nd</w:t>
      </w:r>
      <w:r w:rsidR="0044095C">
        <w:t xml:space="preserve"> </w:t>
      </w:r>
      <w:r>
        <w:t xml:space="preserve"> day</w:t>
      </w:r>
      <w:r>
        <w:t xml:space="preserve"> of October, 2014.</w:t>
      </w:r>
    </w:p>
    <w:p w:rsidR="005C66F2" w:rsidP="005C66F2">
      <w:pPr>
        <w:keepNext/>
        <w:spacing w:after="240"/>
        <w:ind w:firstLine="720"/>
      </w:pPr>
    </w:p>
    <w:tbl>
      <w:tblPr>
        <w:tblStyle w:val="TableGrid"/>
        <w:tblW w:w="0" w:type="auto"/>
        <w:tblInd w:w="288" w:type="dxa"/>
        <w:tblBorders>
          <w:top w:val="nil"/>
          <w:left w:val="nil"/>
          <w:bottom w:val="nil"/>
          <w:right w:val="nil"/>
          <w:insideH w:val="nil"/>
          <w:insideV w:val="nil"/>
        </w:tblBorders>
        <w:tblLook w:val="01E0"/>
      </w:tblPr>
      <w:tblGrid>
        <w:gridCol w:w="4428"/>
        <w:gridCol w:w="4428"/>
      </w:tblGrid>
      <w:tr w:rsidTr="00F76BE3">
        <w:tblPrEx>
          <w:tblW w:w="0" w:type="auto"/>
          <w:tblInd w:w="288" w:type="dxa"/>
          <w:tblBorders>
            <w:top w:val="nil"/>
            <w:left w:val="nil"/>
            <w:bottom w:val="nil"/>
            <w:right w:val="nil"/>
            <w:insideH w:val="nil"/>
            <w:insideV w:val="nil"/>
          </w:tblBorders>
          <w:tblLook w:val="01E0"/>
        </w:tblPrEx>
        <w:trPr>
          <w:cantSplit/>
        </w:trPr>
        <w:tc>
          <w:tcPr>
            <w:tcW w:w="4428" w:type="dxa"/>
          </w:tcPr>
          <w:p w:rsidR="005C66F2" w:rsidP="00F76BE3"/>
        </w:tc>
        <w:tc>
          <w:tcPr>
            <w:tcW w:w="4428" w:type="dxa"/>
          </w:tcPr>
          <w:p w:rsidR="005C66F2" w:rsidRPr="00256318" w:rsidP="00F76BE3">
            <w:pPr>
              <w:tabs>
                <w:tab w:val="right" w:pos="4025"/>
              </w:tabs>
              <w:rPr>
                <w:u w:val="single"/>
              </w:rPr>
            </w:pPr>
            <w:r w:rsidRPr="00256318">
              <w:rPr>
                <w:u w:val="single"/>
              </w:rPr>
              <w:tab/>
            </w:r>
          </w:p>
          <w:p w:rsidR="005C66F2" w:rsidRPr="00BE1ACE" w:rsidP="00F76BE3">
            <w:r>
              <w:t>Maggi Gruber</w:t>
            </w:r>
            <w:r w:rsidRPr="00BE1ACE">
              <w:t xml:space="preserve">, </w:t>
            </w:r>
            <w:r>
              <w:t xml:space="preserve"> Legal Assistant</w:t>
            </w:r>
          </w:p>
          <w:p w:rsidR="005C66F2" w:rsidP="00F76BE3">
            <w:r>
              <w:t>For David W. Wiley</w:t>
            </w:r>
          </w:p>
          <w:p w:rsidR="005C66F2" w:rsidP="00F76BE3">
            <w:r>
              <w:t>Williams Kastner &amp; Gibbs PLLC</w:t>
            </w:r>
          </w:p>
          <w:p w:rsidR="005C66F2" w:rsidRPr="00BE1ACE" w:rsidP="00F76BE3">
            <w:r>
              <w:t>Attorneys for Arrow Launch Service, Inc.</w:t>
            </w:r>
          </w:p>
          <w:p w:rsidR="005C66F2" w:rsidRPr="00BE1ACE" w:rsidP="00F76BE3"/>
        </w:tc>
      </w:tr>
    </w:tbl>
    <w:p w:rsidR="005C66F2" w:rsidP="005C66F2">
      <w:pPr>
        <w:ind w:left="2880"/>
      </w:pPr>
    </w:p>
    <w:p w:rsidR="006D7AB4" w:rsidP="00AF2721">
      <w:pPr>
        <w:ind w:left="2880"/>
      </w:pPr>
    </w:p>
    <w:sectPr w:rsidSect="00D220F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262" w:other="2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7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621">
    <w:pPr>
      <w:pStyle w:val="Footer"/>
      <w:rPr>
        <w:bCs/>
        <w:sz w:val="20"/>
      </w:rPr>
    </w:pPr>
    <w:r w:rsidRPr="00D220F2">
      <w:rPr>
        <w:bCs/>
        <w:sz w:val="20"/>
      </w:rPr>
      <w:softHyphen/>
      <w:t xml:space="preserve">STATEMENT OF FACTS AND LAW </w:t>
    </w:r>
  </w:p>
  <w:p w:rsidR="00BC028B">
    <w:pPr>
      <w:pStyle w:val="Footer"/>
      <w:rPr>
        <w:sz w:val="20"/>
      </w:rPr>
    </w:pPr>
    <w:r w:rsidRPr="00D220F2">
      <w:rPr>
        <w:bCs/>
        <w:sz w:val="20"/>
      </w:rPr>
      <w:t>ON BEHALF OF ARROW LAUNCH SERVICES, INC</w:t>
    </w:r>
    <w:r w:rsidRPr="00D220F2">
      <w:rPr>
        <w:sz w:val="20"/>
      </w:rPr>
      <w:t>. BC-97</w:t>
    </w:r>
  </w:p>
  <w:p w:rsidR="00220621">
    <w:pPr>
      <w:pStyle w:val="Footer"/>
      <w:rPr>
        <w:sz w:val="20"/>
      </w:rPr>
    </w:pPr>
    <w:r>
      <w:rPr>
        <w:sz w:val="20"/>
      </w:rPr>
      <w:t>Page</w:t>
    </w:r>
    <w:r>
      <w:rPr>
        <w:sz w:val="20"/>
      </w:rPr>
      <w:t xml:space="preserve"> - </w:t>
    </w:r>
    <w:r>
      <w:rPr>
        <w:sz w:val="20"/>
      </w:rPr>
      <w:fldChar w:fldCharType="begin"/>
    </w:r>
    <w:r>
      <w:rPr>
        <w:sz w:val="20"/>
      </w:rPr>
      <w:instrText xml:space="preserve"> PAGE  \* Arabic  \* MERGEFORMAT </w:instrText>
    </w:r>
    <w:r>
      <w:rPr>
        <w:sz w:val="20"/>
      </w:rPr>
      <w:fldChar w:fldCharType="separate"/>
    </w:r>
    <w:r w:rsidR="0044095C">
      <w:rPr>
        <w:noProof/>
        <w:sz w:val="20"/>
      </w:rPr>
      <w:t>9</w:t>
    </w:r>
    <w:r>
      <w:rPr>
        <w:sz w:val="20"/>
      </w:rPr>
      <w:fldChar w:fldCharType="end"/>
    </w:r>
  </w:p>
  <w:p w:rsidR="00220621" w:rsidRPr="00D220F2" w:rsidP="006D5A1F">
    <w:pPr>
      <w:pStyle w:val="Footer"/>
      <w:rPr>
        <w:bCs/>
        <w:sz w:val="20"/>
      </w:rPr>
    </w:pPr>
    <w:r>
      <w:rPr>
        <w:bCs/>
        <w:sz w:val="16"/>
      </w:rPr>
      <w:fldChar w:fldCharType="begin"/>
    </w:r>
    <w:r>
      <w:rPr>
        <w:bCs/>
        <w:sz w:val="16"/>
      </w:rPr>
      <w:instrText xml:space="preserve"> </w:instrText>
    </w:r>
    <w:r w:rsidRPr="006D5A1F">
      <w:rPr>
        <w:bCs/>
        <w:sz w:val="16"/>
      </w:rPr>
      <w:instrText>IF "</w:instrText>
    </w:r>
    <w:r w:rsidRPr="006D5A1F">
      <w:rPr>
        <w:bCs/>
        <w:sz w:val="16"/>
      </w:rPr>
      <w:instrText>1</w:instrText>
    </w:r>
    <w:r w:rsidRPr="006D5A1F">
      <w:rPr>
        <w:bCs/>
        <w:sz w:val="16"/>
      </w:rPr>
      <w:instrText>" = "1" "</w:instrText>
    </w:r>
    <w:r w:rsidRPr="006D5A1F">
      <w:rPr>
        <w:bCs/>
        <w:sz w:val="16"/>
      </w:rPr>
      <w:fldChar w:fldCharType="begin"/>
    </w:r>
    <w:r w:rsidRPr="006D5A1F">
      <w:rPr>
        <w:bCs/>
        <w:sz w:val="16"/>
      </w:rPr>
      <w:instrText xml:space="preserve"> DOCPROPERTY "SWDocID" </w:instrText>
    </w:r>
    <w:r w:rsidRPr="006D5A1F">
      <w:rPr>
        <w:bCs/>
        <w:sz w:val="16"/>
      </w:rPr>
      <w:fldChar w:fldCharType="separate"/>
    </w:r>
    <w:r w:rsidRPr="006D5A1F">
      <w:rPr>
        <w:bCs/>
        <w:sz w:val="16"/>
      </w:rPr>
      <w:instrText xml:space="preserve"> 5181734.1</w:instrText>
    </w:r>
    <w:r w:rsidRPr="006D5A1F">
      <w:rPr>
        <w:bCs/>
        <w:sz w:val="16"/>
      </w:rPr>
      <w:fldChar w:fldCharType="end"/>
    </w:r>
    <w:r w:rsidRPr="006D5A1F">
      <w:rPr>
        <w:bCs/>
        <w:sz w:val="16"/>
      </w:rPr>
      <w:instrText>" ""</w:instrText>
    </w:r>
    <w:r>
      <w:rPr>
        <w:bCs/>
        <w:sz w:val="16"/>
      </w:rPr>
      <w:instrText xml:space="preserve"> </w:instrText>
    </w:r>
    <w:r>
      <w:rPr>
        <w:bCs/>
        <w:sz w:val="16"/>
      </w:rPr>
      <w:fldChar w:fldCharType="separate"/>
    </w:r>
    <w:r w:rsidRPr="006D5A1F">
      <w:rPr>
        <w:bCs/>
        <w:sz w:val="16"/>
      </w:rPr>
      <w:t xml:space="preserve"> 5181734.1</w:t>
    </w:r>
    <w:r>
      <w:rPr>
        <w:b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7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0621">
      <w:r>
        <w:separator/>
      </w:r>
    </w:p>
  </w:footnote>
  <w:footnote w:type="continuationSeparator" w:id="1">
    <w:p w:rsidR="00220621">
      <w:r>
        <w:continuationSeparator/>
      </w:r>
    </w:p>
  </w:footnote>
  <w:footnote w:id="2">
    <w:p w:rsidR="003A3F2F">
      <w:pPr>
        <w:pStyle w:val="FootnoteText"/>
      </w:pPr>
      <w:r>
        <w:rPr>
          <w:rStyle w:val="FootnoteReference"/>
        </w:rPr>
        <w:footnoteRef/>
      </w:r>
      <w:r>
        <w:t xml:space="preserve"> Petition for Declaratory Order</w:t>
      </w:r>
      <w:r w:rsidR="000F119E">
        <w:t xml:space="preserve"> </w:t>
      </w:r>
      <w:r w:rsidR="000F119E">
        <w:t xml:space="preserve">¶ </w:t>
      </w:r>
      <w:r w:rsidR="000F119E">
        <w:t xml:space="preserve">72 </w:t>
      </w:r>
      <w:r>
        <w:t xml:space="preserve"> at</w:t>
      </w:r>
      <w:r>
        <w:t xml:space="preserve"> page 15.</w:t>
      </w:r>
    </w:p>
  </w:footnote>
  <w:footnote w:id="3">
    <w:p w:rsidR="00220621">
      <w:pPr>
        <w:pStyle w:val="FootnoteText"/>
      </w:pPr>
      <w:r>
        <w:rPr>
          <w:rStyle w:val="FootnoteReference"/>
        </w:rPr>
        <w:footnoteRef/>
      </w:r>
      <w:r>
        <w:t xml:space="preserve"> </w:t>
      </w:r>
      <w:r>
        <w:t>Petition for Declaratory ¶ 76, page 17.</w:t>
      </w:r>
    </w:p>
  </w:footnote>
  <w:footnote w:id="4">
    <w:p w:rsidR="00ED4E7B">
      <w:pPr>
        <w:pStyle w:val="FootnoteText"/>
      </w:pPr>
      <w:r>
        <w:rPr>
          <w:rStyle w:val="FootnoteReference"/>
        </w:rPr>
        <w:footnoteRef/>
      </w:r>
      <w:r>
        <w:t xml:space="preserve"> </w:t>
      </w:r>
      <w:r>
        <w:t>Petition for Declaratory Order ¶ 78, page 18.</w:t>
      </w:r>
    </w:p>
  </w:footnote>
  <w:footnote w:id="5">
    <w:p w:rsidR="00220621" w:rsidRPr="004436F6">
      <w:pPr>
        <w:pStyle w:val="FootnoteText"/>
        <w:rPr>
          <w:u w:val="single"/>
        </w:rPr>
      </w:pPr>
      <w:r>
        <w:rPr>
          <w:rStyle w:val="FootnoteReference"/>
        </w:rPr>
        <w:footnoteRef/>
      </w:r>
      <w:r>
        <w:t xml:space="preserve"> </w:t>
      </w:r>
      <w:r>
        <w:rPr>
          <w:i/>
        </w:rPr>
        <w:t>See</w:t>
      </w:r>
      <w:r>
        <w:t xml:space="preserve"> i.e., Order M. V. G. No 1402, </w:t>
      </w:r>
      <w:r w:rsidRPr="004436F6">
        <w:rPr>
          <w:i/>
          <w:u w:val="single"/>
        </w:rPr>
        <w:t xml:space="preserve">In re: </w:t>
      </w:r>
      <w:r w:rsidRPr="004436F6">
        <w:rPr>
          <w:i/>
          <w:u w:val="single"/>
        </w:rPr>
        <w:t>RS</w:t>
      </w:r>
      <w:r>
        <w:rPr>
          <w:i/>
          <w:u w:val="single"/>
        </w:rPr>
        <w:t>T</w:t>
      </w:r>
      <w:r w:rsidRPr="004436F6">
        <w:rPr>
          <w:i/>
          <w:u w:val="single"/>
        </w:rPr>
        <w:t xml:space="preserve"> Disposal Company, Inc. d/b/a Tri-Star Dispos</w:t>
      </w:r>
      <w:r>
        <w:rPr>
          <w:i/>
          <w:u w:val="single"/>
        </w:rPr>
        <w:t>al Company</w:t>
      </w:r>
      <w:r>
        <w:t xml:space="preserve">, </w:t>
      </w:r>
      <w:r w:rsidRPr="004436F6">
        <w:t>GA-845,</w:t>
      </w:r>
      <w:r>
        <w:rPr>
          <w:i/>
          <w:u w:val="single"/>
        </w:rPr>
        <w:t xml:space="preserve"> Seattle Disposal Company d/b/a Rabanco Companies</w:t>
      </w:r>
      <w:r w:rsidRPr="004436F6">
        <w:t xml:space="preserve">, </w:t>
      </w:r>
      <w:r>
        <w:t xml:space="preserve"> GA-851 (July 1989).</w:t>
      </w:r>
    </w:p>
  </w:footnote>
  <w:footnote w:id="6">
    <w:p w:rsidR="00AF09BA" w:rsidRPr="00AF09BA" w:rsidP="00AF09BA">
      <w:pPr>
        <w:pStyle w:val="BodyText"/>
        <w:rPr>
          <w:sz w:val="20"/>
        </w:rPr>
      </w:pPr>
      <w:r>
        <w:rPr>
          <w:rStyle w:val="FootnoteReference"/>
        </w:rPr>
        <w:footnoteRef/>
      </w:r>
      <w:r>
        <w:t xml:space="preserve"> </w:t>
      </w:r>
      <w:r w:rsidRPr="00AF09BA">
        <w:rPr>
          <w:sz w:val="20"/>
        </w:rPr>
        <w:t>Arrow also believes the Petition for Declaratory Order is legally</w:t>
      </w:r>
      <w:r w:rsidR="000F119E">
        <w:rPr>
          <w:sz w:val="20"/>
        </w:rPr>
        <w:t xml:space="preserve"> </w:t>
      </w:r>
      <w:r w:rsidRPr="00AF09BA">
        <w:rPr>
          <w:sz w:val="20"/>
        </w:rPr>
        <w:t>deficient under RCW 34.05.240(7), to the extent that the existing certificate holder on Lake Chelan</w:t>
      </w:r>
      <w:r w:rsidR="00FD6477">
        <w:rPr>
          <w:sz w:val="20"/>
        </w:rPr>
        <w:t>,</w:t>
      </w:r>
      <w:r w:rsidRPr="00AF09BA">
        <w:rPr>
          <w:sz w:val="20"/>
        </w:rPr>
        <w:t xml:space="preserve"> as Petitioner</w:t>
      </w:r>
      <w:r w:rsidR="000F119E">
        <w:rPr>
          <w:sz w:val="20"/>
        </w:rPr>
        <w:t>s</w:t>
      </w:r>
      <w:r w:rsidRPr="00AF09BA">
        <w:rPr>
          <w:sz w:val="20"/>
        </w:rPr>
        <w:t xml:space="preserve"> </w:t>
      </w:r>
      <w:r w:rsidR="000F119E">
        <w:rPr>
          <w:sz w:val="20"/>
        </w:rPr>
        <w:t>themselves</w:t>
      </w:r>
      <w:r w:rsidRPr="00AF09BA" w:rsidR="000F119E">
        <w:rPr>
          <w:sz w:val="20"/>
        </w:rPr>
        <w:t xml:space="preserve"> </w:t>
      </w:r>
      <w:r w:rsidRPr="00AF09BA">
        <w:rPr>
          <w:sz w:val="20"/>
        </w:rPr>
        <w:t>anticipated</w:t>
      </w:r>
      <w:r w:rsidR="007B10A1">
        <w:rPr>
          <w:sz w:val="20"/>
        </w:rPr>
        <w:t xml:space="preserve"> in federal court</w:t>
      </w:r>
      <w:r w:rsidRPr="00AF09BA">
        <w:rPr>
          <w:sz w:val="20"/>
        </w:rPr>
        <w:t xml:space="preserve">, has not consented in writing to the determination of the matter by </w:t>
      </w:r>
      <w:r w:rsidR="00FD6477">
        <w:rPr>
          <w:sz w:val="20"/>
        </w:rPr>
        <w:t xml:space="preserve">a </w:t>
      </w:r>
      <w:r w:rsidRPr="00AF09BA">
        <w:rPr>
          <w:sz w:val="20"/>
        </w:rPr>
        <w:t>declaratory order proceeding.  As also noted, due to the potential breadth of the application of the declaratory order as premised</w:t>
      </w:r>
      <w:r w:rsidR="006008B2">
        <w:rPr>
          <w:sz w:val="20"/>
        </w:rPr>
        <w:t>,</w:t>
      </w:r>
      <w:r w:rsidRPr="00AF09BA">
        <w:rPr>
          <w:sz w:val="20"/>
        </w:rPr>
        <w:t xml:space="preserve"> </w:t>
      </w:r>
      <w:r w:rsidR="00FD6477">
        <w:rPr>
          <w:sz w:val="20"/>
        </w:rPr>
        <w:t xml:space="preserve">it </w:t>
      </w:r>
      <w:r w:rsidRPr="00AF09BA">
        <w:rPr>
          <w:sz w:val="20"/>
        </w:rPr>
        <w:t xml:space="preserve">would also impact other commercial ferry certificate holders who </w:t>
      </w:r>
      <w:r w:rsidR="007B10A1">
        <w:rPr>
          <w:sz w:val="20"/>
        </w:rPr>
        <w:t xml:space="preserve">would </w:t>
      </w:r>
      <w:r w:rsidRPr="00AF09BA">
        <w:rPr>
          <w:sz w:val="20"/>
        </w:rPr>
        <w:t>ostensibly need to consent in writing as well.</w:t>
      </w:r>
    </w:p>
    <w:p w:rsidR="00AF09B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7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621" w:rsidRPr="00EB48DD" w:rsidP="00EB48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7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7F15B55"/>
    <w:multiLevelType w:val="hybridMultilevel"/>
    <w:tmpl w:val="3DDC8A8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BAB6215"/>
    <w:multiLevelType w:val="multilevel"/>
    <w:tmpl w:val="5BF06458"/>
    <w:lvl w:ilvl="0">
      <w:start w:val="1"/>
      <w:numFmt w:val="upperRoman"/>
      <w:pStyle w:val="Heading1"/>
      <w:suff w:val="nothing"/>
      <w:lvlText w:val="%1.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none"/>
      <w:pStyle w:val="Heading2"/>
      <w:suff w:val="nothing"/>
      <w:lvlJc w:val="left"/>
      <w:pPr>
        <w:tabs>
          <w:tab w:val="num" w:pos="0"/>
        </w:tabs>
        <w:ind w:left="72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2">
      <w:start w:val="1"/>
      <w:numFmt w:val="none"/>
      <w:pStyle w:val="Heading3"/>
      <w:suff w:val="nothing"/>
      <w:lvlJc w:val="left"/>
      <w:pPr>
        <w:tabs>
          <w:tab w:val="num" w:pos="0"/>
        </w:tabs>
        <w:ind w:left="144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3">
      <w:start w:val="1"/>
      <w:numFmt w:val="none"/>
      <w:pStyle w:val="Heading4"/>
      <w:suff w:val="nothing"/>
      <w:lvlJc w:val="left"/>
      <w:pPr>
        <w:tabs>
          <w:tab w:val="num" w:pos="0"/>
        </w:tabs>
        <w:ind w:left="216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4">
      <w:start w:val="1"/>
      <w:numFmt w:val="none"/>
      <w:pStyle w:val="Heading5"/>
      <w:suff w:val="nothing"/>
      <w:lvlJc w:val="left"/>
      <w:pPr>
        <w:tabs>
          <w:tab w:val="num" w:pos="0"/>
        </w:tabs>
        <w:ind w:left="288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5">
      <w:start w:val="1"/>
      <w:numFmt w:val="none"/>
      <w:pStyle w:val="Heading6"/>
      <w:suff w:val="nothing"/>
      <w:lvlJc w:val="left"/>
      <w:pPr>
        <w:tabs>
          <w:tab w:val="num" w:pos="0"/>
        </w:tabs>
        <w:ind w:left="360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Jc w:val="left"/>
      <w:pPr>
        <w:tabs>
          <w:tab w:val="num" w:pos="0"/>
        </w:tabs>
        <w:ind w:left="432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Jc w:val="left"/>
      <w:pPr>
        <w:tabs>
          <w:tab w:val="num" w:pos="0"/>
        </w:tabs>
        <w:ind w:left="504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Jc w:val="left"/>
      <w:pPr>
        <w:tabs>
          <w:tab w:val="num" w:pos="0"/>
        </w:tabs>
        <w:ind w:left="5760" w:hanging="720"/>
      </w:pPr>
      <w:rPr>
        <w:rFonts w:ascii="9999999" w:hAnsi="9999999"/>
        <w:b w:val="0"/>
        <w:i w:val="0"/>
        <w:caps w:val="0"/>
        <w:strike w:val="0"/>
        <w:dstrike w:val="0"/>
        <w:outline w:val="0"/>
        <w:shadow w:val="0"/>
        <w:emboss w:val="0"/>
        <w:imprint w:val="0"/>
        <w:vanish w:val="0"/>
        <w:color w:val="000000"/>
        <w:sz w:val="24"/>
        <w:u w:val="none"/>
        <w:effect w:val="none"/>
        <w:vertAlign w:val="baseline"/>
      </w:rPr>
    </w:lvl>
  </w:abstractNum>
  <w:abstractNum w:abstractNumId="12">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7765641"/>
    <w:multiLevelType w:val="multilevel"/>
    <w:tmpl w:val="702CAEE0"/>
    <w:lvl w:ilvl="0">
      <w:start w:val="1"/>
      <w:numFmt w:val="upperRoman"/>
      <w:pStyle w:val="heading10"/>
      <w:suff w:val="nothing"/>
      <w:lvlText w:val="%1.  "/>
      <w:lvlJc w:val="left"/>
      <w:pPr>
        <w:ind w:left="180" w:firstLine="0"/>
      </w:pPr>
      <w:rPr>
        <w:rFonts w:ascii="Times New Roman" w:hAnsi="Times New Roman" w:cs="Times New Roman"/>
        <w:b/>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upperLetter"/>
      <w:lvlText w:val="%2."/>
      <w:lvlJc w:val="left"/>
      <w:pPr>
        <w:ind w:left="90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decimal"/>
      <w:lvlText w:val="%3."/>
      <w:lvlJc w:val="left"/>
      <w:pPr>
        <w:ind w:left="162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lowerLetter"/>
      <w:lvlText w:val="%4."/>
      <w:lvlJc w:val="left"/>
      <w:pPr>
        <w:ind w:left="234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decimal"/>
      <w:lvlText w:val="(%5)"/>
      <w:lvlJc w:val="left"/>
      <w:pPr>
        <w:ind w:left="306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lowerLetter"/>
      <w:lvlText w:val="(%6)"/>
      <w:lvlJc w:val="left"/>
      <w:pPr>
        <w:ind w:left="378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lowerRoman"/>
      <w:lvlText w:val="(%7)"/>
      <w:lvlJc w:val="left"/>
      <w:pPr>
        <w:ind w:left="450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lowerLetter"/>
      <w:lvlText w:val="(%8)"/>
      <w:lvlJc w:val="left"/>
      <w:pPr>
        <w:ind w:left="522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lowerRoman"/>
      <w:lvlText w:val="(%9)"/>
      <w:lvlJc w:val="left"/>
      <w:pPr>
        <w:ind w:left="594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5">
    <w:nsid w:val="57FD56FA"/>
    <w:multiLevelType w:val="hybridMultilevel"/>
    <w:tmpl w:val="E7043E3A"/>
    <w:lvl w:ilvl="0">
      <w:start w:val="1"/>
      <w:numFmt w:val="decimal"/>
      <w:pStyle w:val="ListParagraph"/>
      <w:lvlText w:val="%1"/>
      <w:lvlJc w:val="left"/>
      <w:pPr>
        <w:ind w:left="1440" w:hanging="360"/>
      </w:pPr>
      <w:rPr>
        <w:rFonts w:ascii="Times New Roman" w:hAnsi="Times New Roman" w:hint="default"/>
        <w:b w:val="0"/>
        <w:i/>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0"/>
  </w:num>
  <w:num w:numId="16">
    <w:abstractNumId w:val="15"/>
  </w:num>
  <w:num w:numId="17">
    <w:abstractNumId w:val="15"/>
  </w:num>
  <w:num w:numId="18">
    <w:abstractNumId w:val="15"/>
  </w:num>
  <w:num w:numId="19">
    <w:abstractNumId w:val="11"/>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footnotePr>
    <w:footnote w:id="0"/>
    <w:footnote w:id="1"/>
  </w:foot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B6E5E"/>
    <w:pPr>
      <w:spacing w:line="240" w:lineRule="exact"/>
    </w:pPr>
    <w:rPr>
      <w:sz w:val="24"/>
    </w:rPr>
  </w:style>
  <w:style w:type="paragraph" w:styleId="Heading1">
    <w:name w:val="heading 1"/>
    <w:basedOn w:val="Normal"/>
    <w:next w:val="BodyText2"/>
    <w:link w:val="Heading1Char"/>
    <w:qFormat/>
    <w:rsid w:val="00CB0091"/>
    <w:pPr>
      <w:keepNext/>
      <w:numPr>
        <w:numId w:val="19"/>
      </w:numPr>
      <w:tabs>
        <w:tab w:val="clear" w:pos="0"/>
      </w:tabs>
      <w:spacing w:after="240"/>
      <w:jc w:val="center"/>
      <w:outlineLvl w:val="0"/>
    </w:pPr>
    <w:rPr>
      <w:rFonts w:cs="Arial"/>
      <w:b/>
      <w:bCs/>
      <w:caps/>
      <w:szCs w:val="32"/>
    </w:rPr>
  </w:style>
  <w:style w:type="paragraph" w:styleId="Heading2">
    <w:name w:val="heading 2"/>
    <w:basedOn w:val="Normal"/>
    <w:next w:val="BodyText2"/>
    <w:qFormat/>
    <w:rsid w:val="00CB0091"/>
    <w:pPr>
      <w:keepNext/>
      <w:numPr>
        <w:ilvl w:val="1"/>
        <w:numId w:val="19"/>
      </w:numPr>
      <w:tabs>
        <w:tab w:val="clear" w:pos="0"/>
      </w:tabs>
      <w:spacing w:after="240"/>
      <w:outlineLvl w:val="1"/>
    </w:pPr>
    <w:rPr>
      <w:rFonts w:cs="Arial"/>
      <w:b/>
      <w:bCs/>
      <w:iCs/>
      <w:szCs w:val="28"/>
    </w:rPr>
  </w:style>
  <w:style w:type="paragraph" w:styleId="Heading3">
    <w:name w:val="heading 3"/>
    <w:basedOn w:val="Normal"/>
    <w:next w:val="BodyText2"/>
    <w:qFormat/>
    <w:rsid w:val="00CB0091"/>
    <w:pPr>
      <w:keepNext/>
      <w:numPr>
        <w:ilvl w:val="2"/>
        <w:numId w:val="19"/>
      </w:numPr>
      <w:tabs>
        <w:tab w:val="clear" w:pos="0"/>
      </w:tabs>
      <w:spacing w:after="240"/>
      <w:outlineLvl w:val="2"/>
    </w:pPr>
    <w:rPr>
      <w:rFonts w:cs="Arial"/>
      <w:b/>
      <w:bCs/>
      <w:szCs w:val="26"/>
    </w:rPr>
  </w:style>
  <w:style w:type="paragraph" w:styleId="Heading4">
    <w:name w:val="heading 4"/>
    <w:basedOn w:val="Normal"/>
    <w:next w:val="BodyText2"/>
    <w:unhideWhenUsed/>
    <w:rsid w:val="00CB0091"/>
    <w:pPr>
      <w:keepNext/>
      <w:numPr>
        <w:ilvl w:val="3"/>
        <w:numId w:val="19"/>
      </w:numPr>
      <w:tabs>
        <w:tab w:val="clear" w:pos="0"/>
      </w:tabs>
      <w:spacing w:before="240" w:after="60"/>
      <w:outlineLvl w:val="3"/>
    </w:pPr>
    <w:rPr>
      <w:b/>
      <w:bCs/>
      <w:sz w:val="28"/>
      <w:szCs w:val="28"/>
    </w:rPr>
  </w:style>
  <w:style w:type="paragraph" w:styleId="Heading5">
    <w:name w:val="heading 5"/>
    <w:basedOn w:val="Normal"/>
    <w:next w:val="BodyText2"/>
    <w:unhideWhenUsed/>
    <w:rsid w:val="00CB0091"/>
    <w:pPr>
      <w:numPr>
        <w:ilvl w:val="4"/>
        <w:numId w:val="19"/>
      </w:numPr>
      <w:tabs>
        <w:tab w:val="clear" w:pos="0"/>
      </w:tabs>
      <w:spacing w:before="240" w:after="60"/>
      <w:outlineLvl w:val="4"/>
    </w:pPr>
    <w:rPr>
      <w:b/>
      <w:bCs/>
      <w:i/>
      <w:iCs/>
      <w:sz w:val="26"/>
      <w:szCs w:val="26"/>
    </w:rPr>
  </w:style>
  <w:style w:type="paragraph" w:styleId="Heading6">
    <w:name w:val="heading 6"/>
    <w:basedOn w:val="Normal"/>
    <w:next w:val="BodyText2"/>
    <w:unhideWhenUsed/>
    <w:rsid w:val="00CB0091"/>
    <w:pPr>
      <w:numPr>
        <w:ilvl w:val="5"/>
        <w:numId w:val="19"/>
      </w:numPr>
      <w:tabs>
        <w:tab w:val="clear" w:pos="0"/>
      </w:tabs>
      <w:spacing w:before="240" w:after="60"/>
      <w:outlineLvl w:val="5"/>
    </w:pPr>
    <w:rPr>
      <w:b/>
      <w:bCs/>
      <w:sz w:val="22"/>
      <w:szCs w:val="22"/>
    </w:rPr>
  </w:style>
  <w:style w:type="paragraph" w:styleId="Heading7">
    <w:name w:val="heading 7"/>
    <w:basedOn w:val="Normal"/>
    <w:next w:val="BodyText2"/>
    <w:unhideWhenUsed/>
    <w:rsid w:val="00CB0091"/>
    <w:pPr>
      <w:numPr>
        <w:ilvl w:val="6"/>
        <w:numId w:val="19"/>
      </w:numPr>
      <w:tabs>
        <w:tab w:val="clear" w:pos="0"/>
      </w:tabs>
      <w:spacing w:before="240" w:after="60"/>
      <w:outlineLvl w:val="6"/>
    </w:pPr>
  </w:style>
  <w:style w:type="paragraph" w:styleId="Heading8">
    <w:name w:val="heading 8"/>
    <w:basedOn w:val="Normal"/>
    <w:next w:val="BodyText2"/>
    <w:unhideWhenUsed/>
    <w:rsid w:val="00CB0091"/>
    <w:pPr>
      <w:numPr>
        <w:ilvl w:val="7"/>
        <w:numId w:val="19"/>
      </w:numPr>
      <w:tabs>
        <w:tab w:val="clear" w:pos="0"/>
      </w:tabs>
      <w:spacing w:before="240" w:after="60"/>
      <w:outlineLvl w:val="7"/>
    </w:pPr>
    <w:rPr>
      <w:i/>
      <w:iCs/>
    </w:rPr>
  </w:style>
  <w:style w:type="paragraph" w:styleId="Heading9">
    <w:name w:val="heading 9"/>
    <w:basedOn w:val="Normal"/>
    <w:next w:val="BodyText2"/>
    <w:unhideWhenUsed/>
    <w:rsid w:val="00CB0091"/>
    <w:pPr>
      <w:numPr>
        <w:ilvl w:val="8"/>
        <w:numId w:val="19"/>
      </w:numPr>
      <w:tabs>
        <w:tab w:val="clear"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B15AD5"/>
    <w:pPr>
      <w:spacing w:before="240" w:after="240" w:line="480" w:lineRule="exact"/>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5B6E5E"/>
    <w:pPr>
      <w:spacing w:line="480" w:lineRule="auto"/>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paragraph" w:styleId="Caption">
    <w:name w:val="caption"/>
    <w:basedOn w:val="Normal"/>
    <w:next w:val="Normal"/>
    <w:semiHidden/>
    <w:rsid w:val="005B6E5E"/>
    <w:rPr>
      <w:bCs/>
    </w:rPr>
  </w:style>
  <w:style w:type="paragraph" w:customStyle="1" w:styleId="PartyName">
    <w:name w:val="Party Name"/>
    <w:basedOn w:val="Normal"/>
    <w:semiHidden/>
    <w:rsid w:val="005B6E5E"/>
    <w:pPr>
      <w:ind w:left="1440"/>
    </w:pPr>
  </w:style>
  <w:style w:type="paragraph" w:customStyle="1" w:styleId="PartyContents">
    <w:name w:val="Party Contents"/>
    <w:basedOn w:val="Normal"/>
    <w:semiHidden/>
    <w:rsid w:val="005B6E5E"/>
  </w:style>
  <w:style w:type="paragraph" w:customStyle="1" w:styleId="Versus">
    <w:name w:val="Versus"/>
    <w:basedOn w:val="Normal"/>
    <w:semiHidden/>
    <w:rsid w:val="005B6E5E"/>
    <w:pPr>
      <w:ind w:left="720"/>
    </w:pPr>
  </w:style>
  <w:style w:type="paragraph" w:customStyle="1" w:styleId="Venue">
    <w:name w:val="Venue"/>
    <w:basedOn w:val="Normal"/>
    <w:semiHidden/>
    <w:rsid w:val="005B6E5E"/>
    <w:pPr>
      <w:jc w:val="center"/>
    </w:pPr>
    <w:rPr>
      <w:caps/>
      <w:szCs w:val="24"/>
    </w:rPr>
  </w:style>
  <w:style w:type="character" w:customStyle="1" w:styleId="BodyText2Char">
    <w:name w:val="Body Text 2 Char"/>
    <w:basedOn w:val="DefaultParagraphFont"/>
    <w:link w:val="BodyText2"/>
    <w:rsid w:val="005B6E5E"/>
    <w:rPr>
      <w:sz w:val="24"/>
    </w:rPr>
  </w:style>
  <w:style w:type="paragraph" w:customStyle="1" w:styleId="heading10">
    <w:name w:val="heading1"/>
    <w:basedOn w:val="Heading1"/>
    <w:next w:val="StyleTextAfterQuoteFirstline056"/>
    <w:link w:val="heading1Char0"/>
    <w:qFormat/>
    <w:rsid w:val="00056EB9"/>
    <w:pPr>
      <w:keepLines/>
      <w:widowControl w:val="0"/>
      <w:numPr>
        <w:numId w:val="14"/>
      </w:numPr>
    </w:pPr>
  </w:style>
  <w:style w:type="paragraph" w:customStyle="1" w:styleId="StyleTextAfterQuoteFirstline056">
    <w:name w:val="Style TextAfterQuote + First line:  0.56&quot;"/>
    <w:basedOn w:val="TextAfterQuote"/>
    <w:rsid w:val="00056EB9"/>
    <w:pPr>
      <w:ind w:firstLine="810"/>
    </w:pPr>
  </w:style>
  <w:style w:type="character" w:customStyle="1" w:styleId="Heading1Char">
    <w:name w:val="Heading 1 Char"/>
    <w:basedOn w:val="DefaultParagraphFont"/>
    <w:link w:val="Heading1"/>
    <w:rsid w:val="00CB0091"/>
    <w:rPr>
      <w:rFonts w:cs="Arial"/>
      <w:b/>
      <w:bCs/>
      <w:caps/>
      <w:sz w:val="24"/>
      <w:szCs w:val="32"/>
    </w:rPr>
  </w:style>
  <w:style w:type="character" w:customStyle="1" w:styleId="heading1Char0">
    <w:name w:val="heading1 Char"/>
    <w:basedOn w:val="Heading1Char"/>
    <w:link w:val="heading10"/>
    <w:rsid w:val="00056EB9"/>
    <w:rPr>
      <w:rFonts w:cs="Arial"/>
      <w:b/>
      <w:bCs/>
      <w:caps/>
      <w:sz w:val="24"/>
      <w:szCs w:val="32"/>
    </w:rPr>
  </w:style>
  <w:style w:type="paragraph" w:styleId="BalloonText">
    <w:name w:val="Balloon Text"/>
    <w:basedOn w:val="Normal"/>
    <w:link w:val="BalloonTextChar"/>
    <w:semiHidden/>
    <w:unhideWhenUsed/>
    <w:rsid w:val="00B15A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5AD5"/>
    <w:rPr>
      <w:rFonts w:ascii="Tahoma" w:hAnsi="Tahoma" w:cs="Tahoma"/>
      <w:sz w:val="16"/>
      <w:szCs w:val="16"/>
    </w:rPr>
  </w:style>
  <w:style w:type="paragraph" w:styleId="Bibliography">
    <w:name w:val="Bibliography"/>
    <w:basedOn w:val="Normal"/>
    <w:next w:val="Normal"/>
    <w:uiPriority w:val="37"/>
    <w:semiHidden/>
    <w:rsid w:val="00B15AD5"/>
  </w:style>
  <w:style w:type="paragraph" w:styleId="CommentText">
    <w:name w:val="annotation text"/>
    <w:basedOn w:val="Normal"/>
    <w:link w:val="CommentTextChar"/>
    <w:semiHidden/>
    <w:unhideWhenUsed/>
    <w:rsid w:val="00B15AD5"/>
    <w:pPr>
      <w:spacing w:line="240" w:lineRule="auto"/>
    </w:pPr>
    <w:rPr>
      <w:sz w:val="20"/>
    </w:rPr>
  </w:style>
  <w:style w:type="character" w:customStyle="1" w:styleId="CommentTextChar">
    <w:name w:val="Comment Text Char"/>
    <w:basedOn w:val="DefaultParagraphFont"/>
    <w:link w:val="CommentText"/>
    <w:semiHidden/>
    <w:rsid w:val="00B15AD5"/>
  </w:style>
  <w:style w:type="paragraph" w:styleId="CommentSubject">
    <w:name w:val="annotation subject"/>
    <w:basedOn w:val="CommentText"/>
    <w:next w:val="CommentText"/>
    <w:link w:val="CommentSubjectChar"/>
    <w:semiHidden/>
    <w:unhideWhenUsed/>
    <w:rsid w:val="00B15AD5"/>
    <w:rPr>
      <w:b/>
      <w:bCs/>
    </w:rPr>
  </w:style>
  <w:style w:type="character" w:customStyle="1" w:styleId="CommentSubjectChar">
    <w:name w:val="Comment Subject Char"/>
    <w:basedOn w:val="CommentTextChar"/>
    <w:link w:val="CommentSubject"/>
    <w:semiHidden/>
    <w:rsid w:val="00B15AD5"/>
    <w:rPr>
      <w:b/>
      <w:bCs/>
    </w:rPr>
  </w:style>
  <w:style w:type="paragraph" w:styleId="DocumentMap">
    <w:name w:val="Document Map"/>
    <w:basedOn w:val="Normal"/>
    <w:link w:val="DocumentMapChar"/>
    <w:semiHidden/>
    <w:rsid w:val="00B15A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B15AD5"/>
    <w:rPr>
      <w:rFonts w:ascii="Tahoma" w:hAnsi="Tahoma" w:cs="Tahoma"/>
      <w:sz w:val="16"/>
      <w:szCs w:val="16"/>
    </w:rPr>
  </w:style>
  <w:style w:type="paragraph" w:styleId="EndnoteText">
    <w:name w:val="endnote text"/>
    <w:basedOn w:val="Normal"/>
    <w:link w:val="EndnoteTextChar"/>
    <w:semiHidden/>
    <w:unhideWhenUsed/>
    <w:rsid w:val="00B15AD5"/>
    <w:pPr>
      <w:spacing w:line="240" w:lineRule="auto"/>
    </w:pPr>
    <w:rPr>
      <w:sz w:val="20"/>
    </w:rPr>
  </w:style>
  <w:style w:type="character" w:customStyle="1" w:styleId="EndnoteTextChar">
    <w:name w:val="Endnote Text Char"/>
    <w:basedOn w:val="DefaultParagraphFont"/>
    <w:link w:val="EndnoteText"/>
    <w:semiHidden/>
    <w:rsid w:val="00B15AD5"/>
  </w:style>
  <w:style w:type="paragraph" w:styleId="Index1">
    <w:name w:val="index 1"/>
    <w:basedOn w:val="Normal"/>
    <w:next w:val="Normal"/>
    <w:autoRedefine/>
    <w:semiHidden/>
    <w:rsid w:val="00B15AD5"/>
    <w:pPr>
      <w:spacing w:line="240" w:lineRule="auto"/>
      <w:ind w:left="240" w:hanging="240"/>
    </w:pPr>
  </w:style>
  <w:style w:type="paragraph" w:styleId="Index2">
    <w:name w:val="index 2"/>
    <w:basedOn w:val="Normal"/>
    <w:next w:val="Normal"/>
    <w:autoRedefine/>
    <w:semiHidden/>
    <w:rsid w:val="00B15AD5"/>
    <w:pPr>
      <w:spacing w:line="240" w:lineRule="auto"/>
      <w:ind w:left="480" w:hanging="240"/>
    </w:pPr>
  </w:style>
  <w:style w:type="paragraph" w:styleId="Index3">
    <w:name w:val="index 3"/>
    <w:basedOn w:val="Normal"/>
    <w:next w:val="Normal"/>
    <w:autoRedefine/>
    <w:semiHidden/>
    <w:rsid w:val="00B15AD5"/>
    <w:pPr>
      <w:spacing w:line="240" w:lineRule="auto"/>
      <w:ind w:left="720" w:hanging="240"/>
    </w:pPr>
  </w:style>
  <w:style w:type="paragraph" w:styleId="Index4">
    <w:name w:val="index 4"/>
    <w:basedOn w:val="Normal"/>
    <w:next w:val="Normal"/>
    <w:autoRedefine/>
    <w:semiHidden/>
    <w:rsid w:val="00B15AD5"/>
    <w:pPr>
      <w:spacing w:line="240" w:lineRule="auto"/>
      <w:ind w:left="960" w:hanging="240"/>
    </w:pPr>
  </w:style>
  <w:style w:type="paragraph" w:styleId="Index5">
    <w:name w:val="index 5"/>
    <w:basedOn w:val="Normal"/>
    <w:next w:val="Normal"/>
    <w:autoRedefine/>
    <w:semiHidden/>
    <w:rsid w:val="00B15AD5"/>
    <w:pPr>
      <w:spacing w:line="240" w:lineRule="auto"/>
      <w:ind w:left="1200" w:hanging="240"/>
    </w:pPr>
  </w:style>
  <w:style w:type="paragraph" w:styleId="Index6">
    <w:name w:val="index 6"/>
    <w:basedOn w:val="Normal"/>
    <w:next w:val="Normal"/>
    <w:autoRedefine/>
    <w:semiHidden/>
    <w:rsid w:val="00B15AD5"/>
    <w:pPr>
      <w:spacing w:line="240" w:lineRule="auto"/>
      <w:ind w:left="1440" w:hanging="240"/>
    </w:pPr>
  </w:style>
  <w:style w:type="paragraph" w:styleId="Index7">
    <w:name w:val="index 7"/>
    <w:basedOn w:val="Normal"/>
    <w:next w:val="Normal"/>
    <w:autoRedefine/>
    <w:semiHidden/>
    <w:rsid w:val="00B15AD5"/>
    <w:pPr>
      <w:spacing w:line="240" w:lineRule="auto"/>
      <w:ind w:left="1680" w:hanging="240"/>
    </w:pPr>
  </w:style>
  <w:style w:type="paragraph" w:styleId="Index8">
    <w:name w:val="index 8"/>
    <w:basedOn w:val="Normal"/>
    <w:next w:val="Normal"/>
    <w:autoRedefine/>
    <w:semiHidden/>
    <w:rsid w:val="00B15AD5"/>
    <w:pPr>
      <w:spacing w:line="240" w:lineRule="auto"/>
      <w:ind w:left="1920" w:hanging="240"/>
    </w:pPr>
  </w:style>
  <w:style w:type="paragraph" w:styleId="Index9">
    <w:name w:val="index 9"/>
    <w:basedOn w:val="Normal"/>
    <w:next w:val="Normal"/>
    <w:autoRedefine/>
    <w:semiHidden/>
    <w:rsid w:val="00B15AD5"/>
    <w:pPr>
      <w:spacing w:line="240" w:lineRule="auto"/>
      <w:ind w:left="2160" w:hanging="240"/>
    </w:pPr>
  </w:style>
  <w:style w:type="paragraph" w:styleId="IndexHeading">
    <w:name w:val="index heading"/>
    <w:basedOn w:val="Normal"/>
    <w:next w:val="Index1"/>
    <w:semiHidden/>
    <w:rsid w:val="00B15AD5"/>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15A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15AD5"/>
    <w:rPr>
      <w:b/>
      <w:bCs/>
      <w:i/>
      <w:iCs/>
      <w:color w:val="4F81BD" w:themeColor="accent1"/>
      <w:sz w:val="24"/>
    </w:rPr>
  </w:style>
  <w:style w:type="paragraph" w:styleId="Macro">
    <w:name w:val="macro"/>
    <w:link w:val="MacroTextChar"/>
    <w:semiHidden/>
    <w:rsid w:val="00B15AD5"/>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rPr>
  </w:style>
  <w:style w:type="character" w:customStyle="1" w:styleId="MacroTextChar">
    <w:name w:val="Macro Text Char"/>
    <w:basedOn w:val="DefaultParagraphFont"/>
    <w:link w:val="Macro"/>
    <w:semiHidden/>
    <w:rsid w:val="00B15AD5"/>
    <w:rPr>
      <w:rFonts w:ascii="Consolas" w:hAnsi="Consolas" w:cs="Consolas"/>
    </w:rPr>
  </w:style>
  <w:style w:type="paragraph" w:styleId="NoSpacing">
    <w:name w:val="No Spacing"/>
    <w:uiPriority w:val="1"/>
    <w:semiHidden/>
    <w:qFormat/>
    <w:rsid w:val="00B15AD5"/>
    <w:rPr>
      <w:sz w:val="24"/>
    </w:rPr>
  </w:style>
  <w:style w:type="paragraph" w:styleId="TableofAuthorities">
    <w:name w:val="table of authorities"/>
    <w:basedOn w:val="Normal"/>
    <w:next w:val="Normal"/>
    <w:semiHidden/>
    <w:unhideWhenUsed/>
    <w:rsid w:val="00B15AD5"/>
    <w:pPr>
      <w:ind w:left="240" w:hanging="240"/>
    </w:pPr>
  </w:style>
  <w:style w:type="paragraph" w:styleId="TableofFigures">
    <w:name w:val="table of figures"/>
    <w:basedOn w:val="Normal"/>
    <w:next w:val="Normal"/>
    <w:semiHidden/>
    <w:unhideWhenUsed/>
    <w:rsid w:val="00B15AD5"/>
  </w:style>
  <w:style w:type="paragraph" w:styleId="TOAHeading">
    <w:name w:val="toa heading"/>
    <w:basedOn w:val="Normal"/>
    <w:next w:val="Normal"/>
    <w:semiHidden/>
    <w:unhideWhenUsed/>
    <w:rsid w:val="00B15AD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B15AD5"/>
    <w:pPr>
      <w:spacing w:after="100"/>
    </w:pPr>
  </w:style>
  <w:style w:type="paragraph" w:styleId="TOC2">
    <w:name w:val="toc 2"/>
    <w:basedOn w:val="Normal"/>
    <w:next w:val="Normal"/>
    <w:autoRedefine/>
    <w:semiHidden/>
    <w:unhideWhenUsed/>
    <w:rsid w:val="00B15AD5"/>
    <w:pPr>
      <w:spacing w:after="100"/>
      <w:ind w:left="240"/>
    </w:pPr>
  </w:style>
  <w:style w:type="paragraph" w:styleId="TOC3">
    <w:name w:val="toc 3"/>
    <w:basedOn w:val="Normal"/>
    <w:next w:val="Normal"/>
    <w:autoRedefine/>
    <w:semiHidden/>
    <w:rsid w:val="00B15AD5"/>
    <w:pPr>
      <w:spacing w:after="100"/>
      <w:ind w:left="480"/>
    </w:pPr>
  </w:style>
  <w:style w:type="paragraph" w:styleId="TOC4">
    <w:name w:val="toc 4"/>
    <w:basedOn w:val="Normal"/>
    <w:next w:val="Normal"/>
    <w:autoRedefine/>
    <w:semiHidden/>
    <w:rsid w:val="00B15AD5"/>
    <w:pPr>
      <w:spacing w:after="100"/>
      <w:ind w:left="720"/>
    </w:pPr>
  </w:style>
  <w:style w:type="paragraph" w:styleId="TOC5">
    <w:name w:val="toc 5"/>
    <w:basedOn w:val="Normal"/>
    <w:next w:val="Normal"/>
    <w:autoRedefine/>
    <w:semiHidden/>
    <w:rsid w:val="00B15AD5"/>
    <w:pPr>
      <w:spacing w:after="100"/>
      <w:ind w:left="960"/>
    </w:pPr>
  </w:style>
  <w:style w:type="paragraph" w:styleId="TOC6">
    <w:name w:val="toc 6"/>
    <w:basedOn w:val="Normal"/>
    <w:next w:val="Normal"/>
    <w:autoRedefine/>
    <w:semiHidden/>
    <w:rsid w:val="00B15AD5"/>
    <w:pPr>
      <w:spacing w:after="100"/>
      <w:ind w:left="1200"/>
    </w:pPr>
  </w:style>
  <w:style w:type="paragraph" w:styleId="TOC7">
    <w:name w:val="toc 7"/>
    <w:basedOn w:val="Normal"/>
    <w:next w:val="Normal"/>
    <w:autoRedefine/>
    <w:semiHidden/>
    <w:rsid w:val="00B15AD5"/>
    <w:pPr>
      <w:spacing w:after="100"/>
      <w:ind w:left="1440"/>
    </w:pPr>
  </w:style>
  <w:style w:type="paragraph" w:styleId="TOC8">
    <w:name w:val="toc 8"/>
    <w:basedOn w:val="Normal"/>
    <w:next w:val="Normal"/>
    <w:autoRedefine/>
    <w:semiHidden/>
    <w:rsid w:val="00B15AD5"/>
    <w:pPr>
      <w:spacing w:after="100"/>
      <w:ind w:left="1680"/>
    </w:pPr>
  </w:style>
  <w:style w:type="paragraph" w:styleId="TOC9">
    <w:name w:val="toc 9"/>
    <w:basedOn w:val="Normal"/>
    <w:next w:val="Normal"/>
    <w:autoRedefine/>
    <w:semiHidden/>
    <w:rsid w:val="00B15AD5"/>
    <w:pPr>
      <w:spacing w:after="100"/>
      <w:ind w:left="1920"/>
    </w:pPr>
  </w:style>
  <w:style w:type="paragraph" w:styleId="TOCHeading">
    <w:name w:val="TOC Heading"/>
    <w:basedOn w:val="Heading1"/>
    <w:next w:val="Normal"/>
    <w:uiPriority w:val="39"/>
    <w:semiHidden/>
    <w:qFormat/>
    <w:rsid w:val="00B15AD5"/>
    <w:pPr>
      <w:keepLines/>
      <w:spacing w:before="480" w:after="0"/>
      <w:jc w:val="left"/>
      <w:outlineLvl w:val="9"/>
    </w:pPr>
    <w:rPr>
      <w:rFonts w:asciiTheme="majorHAnsi" w:eastAsiaTheme="majorEastAsia" w:hAnsiTheme="majorHAnsi" w:cstheme="majorBidi"/>
      <w:caps w:val="0"/>
      <w:color w:val="365F91" w:themeColor="accent1" w:themeShade="BF"/>
      <w:sz w:val="28"/>
      <w:szCs w:val="28"/>
    </w:rPr>
  </w:style>
  <w:style w:type="paragraph" w:customStyle="1" w:styleId="COSTitle">
    <w:name w:val="COS Title"/>
    <w:basedOn w:val="Normal"/>
    <w:semiHidden/>
    <w:rsid w:val="006D7AB4"/>
    <w:pPr>
      <w:spacing w:after="240" w:line="240" w:lineRule="atLeast"/>
      <w:jc w:val="center"/>
    </w:pPr>
    <w:rPr>
      <w:b/>
      <w:szCs w:val="24"/>
      <w:u w:val="single"/>
    </w:rPr>
  </w:style>
  <w:style w:type="paragraph" w:styleId="ListParagraph">
    <w:name w:val="List Paragraph"/>
    <w:basedOn w:val="Normal"/>
    <w:uiPriority w:val="34"/>
    <w:qFormat/>
    <w:rsid w:val="00CB0091"/>
    <w:pPr>
      <w:numPr>
        <w:numId w:val="16"/>
      </w:numPr>
      <w:tabs>
        <w:tab w:val="left" w:pos="720"/>
        <w:tab w:val="left" w:pos="1440"/>
        <w:tab w:val="left" w:pos="2160"/>
      </w:tabs>
      <w:spacing w:line="480" w:lineRule="exact"/>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glossaryDocument" Target="glossary/document.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3.xml"/></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7FF476E7BF34705A01204643B614942"/>
        <w:category>
          <w:name w:val="General"/>
          <w:gallery w:val="placeholder"/>
        </w:category>
        <w:types>
          <w:type w:val="bbPlcHdr"/>
        </w:types>
        <w:behaviors>
          <w:behavior w:val="content"/>
        </w:behaviors>
        <w:guid w:val="{55CA23D1-A17A-4D6E-BADB-05739F6539B2}"/>
      </w:docPartPr>
      <w:docPartBody>
        <w:p w:rsidR="00D53D64"/>
      </w:docPartBody>
    </w:docPart>
    <w:docPart>
      <w:docPartPr>
        <w:name w:val="44ABD386D7B64FA78358E9D76F5B6471"/>
        <w:category>
          <w:name w:val="General"/>
          <w:gallery w:val="placeholder"/>
        </w:category>
        <w:types>
          <w:type w:val="bbPlcHdr"/>
        </w:types>
        <w:behaviors>
          <w:behavior w:val="content"/>
        </w:behaviors>
        <w:guid w:val="{073D3C0C-34E1-4747-B39F-326507573FBD}"/>
      </w:docPartPr>
      <w:docPartBody>
        <w:p w:rsidR="00D53D64"/>
      </w:docPartBody>
    </w:docPart>
    <w:docPart>
      <w:docPartPr>
        <w:name w:val="771BD2912B0E408A87965FC9A128AA91"/>
        <w:category>
          <w:name w:val="General"/>
          <w:gallery w:val="placeholder"/>
        </w:category>
        <w:types>
          <w:type w:val="bbPlcHdr"/>
        </w:types>
        <w:behaviors>
          <w:behavior w:val="content"/>
        </w:behaviors>
        <w:guid w:val="{DBA5A03D-53F9-4DA4-B32A-A9C40A929D15}"/>
      </w:docPartPr>
      <w:docPartBody>
        <w:p w:rsidR="00D53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0" w:formatting="0" w:inkAnnotations="1" w:insDel="1" w:markup="1"/>
  <w:defaultTabStop w:val="720"/>
  <w:characterSpacingControl w:val="doNotCompress"/>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DEEC231B405343B062A13880075A8C" ma:contentTypeVersion="175" ma:contentTypeDescription="" ma:contentTypeScope="" ma:versionID="331cecf5fb1a561d6efeb8465a62e4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216</IndustryCode>
    <CaseStatus xmlns="dc463f71-b30c-4ab2-9473-d307f9d35888">Closed</CaseStatus>
    <OpenedDate xmlns="dc463f71-b30c-4ab2-9473-d307f9d35888">2014-10-02T07:00:00+00:00</OpenedDate>
    <Date1 xmlns="dc463f71-b30c-4ab2-9473-d307f9d35888">2014-10-22T07:00:00+00:00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E312E4-2D2E-437B-BFE0-4400855EF572}"/>
</file>

<file path=customXml/itemProps2.xml><?xml version="1.0" encoding="utf-8"?>
<ds:datastoreItem xmlns:ds="http://schemas.openxmlformats.org/officeDocument/2006/customXml" ds:itemID="{81D39428-F906-4505-91F6-2FD61B882FED}"/>
</file>

<file path=customXml/itemProps3.xml><?xml version="1.0" encoding="utf-8"?>
<ds:datastoreItem xmlns:ds="http://schemas.openxmlformats.org/officeDocument/2006/customXml" ds:itemID="{5847C00A-463C-40DB-81C7-DA0BABB0709F}"/>
</file>

<file path=customXml/itemProps4.xml><?xml version="1.0" encoding="utf-8"?>
<ds:datastoreItem xmlns:ds="http://schemas.openxmlformats.org/officeDocument/2006/customXml" ds:itemID="{F31F29AA-EA6A-4934-9588-FCF2FF81F1BD}"/>
</file>

<file path=docProps/app.xml><?xml version="1.0" encoding="utf-8"?>
<Properties xmlns="http://schemas.openxmlformats.org/officeDocument/2006/extended-properties" xmlns:vt="http://schemas.openxmlformats.org/officeDocument/2006/docPropsVTypes">
  <Template>WKNormal.dotx</Template>
  <TotalTime>0</TotalTime>
  <Pages>9</Pages>
  <Words>2425</Words>
  <Characters>13534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2014-10-22T23:28:44Z</dcterms:created>
  <dcterms:modified xsi:type="dcterms:W3CDTF">2014-10-22T23:28:44Z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5181734.1</vt:lpwstr>
  </property>
  <property fmtid="{D5CDD505-2E9C-101B-9397-08002B2CF9AE}" pid="3" name="ContentTypeId">
    <vt:lpwstr>0x0101006E56B4D1795A2E4DB2F0B01679ED314A0007DEEC231B405343B062A13880075A8C</vt:lpwstr>
  </property>
  <property fmtid="{D5CDD505-2E9C-101B-9397-08002B2CF9AE}" pid="4" name="_docset_NoMedatataSyncRequired">
    <vt:lpwstr>False</vt:lpwstr>
  </property>
</Properties>
</file>