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364"/>
      </w:tblGrid>
      <w:tr w:rsidR="00047F15" w:rsidRPr="00770E9A" w:rsidTr="00D84C6D">
        <w:trPr>
          <w:trHeight w:hRule="exac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(N)</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(N)</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p>
        </w:tc>
      </w:tr>
    </w:tbl>
    <w:p w:rsidR="00047F15" w:rsidRDefault="00047F15" w:rsidP="00B64632">
      <w:pPr>
        <w:spacing w:after="0" w:line="240" w:lineRule="auto"/>
        <w:rPr>
          <w:rFonts w:ascii="Arial" w:hAnsi="Arial" w:cs="Arial"/>
        </w:rPr>
      </w:pPr>
    </w:p>
    <w:p w:rsidR="00047F15" w:rsidRDefault="00047F15" w:rsidP="00B64632">
      <w:pPr>
        <w:spacing w:after="0" w:line="240" w:lineRule="auto"/>
        <w:rPr>
          <w:rFonts w:ascii="Arial" w:hAnsi="Arial" w:cs="Arial"/>
        </w:rPr>
        <w:sectPr w:rsidR="00047F15" w:rsidSect="00D37F3B">
          <w:headerReference w:type="default" r:id="rId7"/>
          <w:footerReference w:type="default" r:id="rId8"/>
          <w:type w:val="continuous"/>
          <w:pgSz w:w="12240" w:h="15840" w:code="1"/>
          <w:pgMar w:top="1440" w:right="720" w:bottom="432" w:left="1440" w:header="720" w:footer="720" w:gutter="0"/>
          <w:cols w:space="720"/>
          <w:docGrid w:linePitch="360"/>
        </w:sectPr>
      </w:pPr>
    </w:p>
    <w:tbl>
      <w:tblPr>
        <w:tblW w:w="0" w:type="auto"/>
        <w:tblLook w:val="00A0"/>
      </w:tblPr>
      <w:tblGrid>
        <w:gridCol w:w="8748"/>
      </w:tblGrid>
      <w:tr w:rsidR="00047F15" w:rsidTr="000B0A51">
        <w:tc>
          <w:tcPr>
            <w:tcW w:w="8748" w:type="dxa"/>
          </w:tcPr>
          <w:p w:rsidR="00047F15" w:rsidRPr="007D5E7E" w:rsidRDefault="00047F15" w:rsidP="007D5E7E">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jc w:val="center"/>
              <w:rPr>
                <w:rFonts w:ascii="Arial" w:hAnsi="Arial"/>
              </w:rPr>
            </w:pPr>
            <w:r>
              <w:rPr>
                <w:rFonts w:ascii="Arial" w:hAnsi="Arial"/>
              </w:rPr>
              <w:t>PUGET SOUND ENERGY, INC</w:t>
            </w:r>
          </w:p>
        </w:tc>
      </w:tr>
      <w:tr w:rsidR="00047F15" w:rsidTr="000B0A51">
        <w:tc>
          <w:tcPr>
            <w:tcW w:w="8748" w:type="dxa"/>
          </w:tcPr>
          <w:p w:rsidR="00047F15" w:rsidRPr="00A574D3" w:rsidRDefault="00047F15" w:rsidP="007D5E7E">
            <w:pPr>
              <w:tabs>
                <w:tab w:val="left" w:pos="8370"/>
              </w:tabs>
              <w:spacing w:after="0" w:line="286" w:lineRule="exact"/>
              <w:jc w:val="center"/>
              <w:rPr>
                <w:rFonts w:ascii="Arial" w:hAnsi="Arial" w:cs="Arial"/>
                <w:b/>
                <w:color w:val="000000"/>
              </w:rPr>
            </w:pPr>
            <w:r>
              <w:rPr>
                <w:rFonts w:ascii="Arial" w:hAnsi="Arial"/>
              </w:rPr>
              <w:t>NATURAL GAS SUPPLEMENTAL SCHEDULE NO. 140</w:t>
            </w:r>
          </w:p>
        </w:tc>
      </w:tr>
      <w:tr w:rsidR="00047F15" w:rsidTr="000B0A51">
        <w:tc>
          <w:tcPr>
            <w:tcW w:w="8748" w:type="dxa"/>
          </w:tcPr>
          <w:p w:rsidR="00047F15" w:rsidRPr="007D5E7E" w:rsidRDefault="00047F15" w:rsidP="007D5E7E">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jc w:val="center"/>
              <w:rPr>
                <w:rStyle w:val="Custom1"/>
                <w:b w:val="0"/>
              </w:rPr>
            </w:pPr>
            <w:r>
              <w:rPr>
                <w:rStyle w:val="Custom1"/>
                <w:b w:val="0"/>
              </w:rPr>
              <w:t>Property Tax Tracker</w:t>
            </w:r>
          </w:p>
        </w:tc>
      </w:tr>
      <w:tr w:rsidR="00047F15" w:rsidTr="000B0A51">
        <w:tc>
          <w:tcPr>
            <w:tcW w:w="8748" w:type="dxa"/>
          </w:tcPr>
          <w:p w:rsidR="00047F15" w:rsidRPr="007D5E7E" w:rsidRDefault="00047F15" w:rsidP="007D5E7E">
            <w:pPr>
              <w:tabs>
                <w:tab w:val="left" w:pos="8370"/>
              </w:tabs>
              <w:spacing w:after="0" w:line="286" w:lineRule="exact"/>
              <w:jc w:val="center"/>
              <w:rPr>
                <w:rStyle w:val="Custom1"/>
                <w:b w:val="0"/>
              </w:rPr>
            </w:pPr>
          </w:p>
        </w:tc>
      </w:tr>
    </w:tbl>
    <w:p w:rsidR="00047F15" w:rsidRDefault="00047F15" w:rsidP="007D5E7E">
      <w:pPr>
        <w:tabs>
          <w:tab w:val="left" w:pos="360"/>
          <w:tab w:val="left" w:pos="1152"/>
          <w:tab w:val="left" w:pos="2304"/>
          <w:tab w:val="left" w:pos="3456"/>
          <w:tab w:val="left" w:pos="4608"/>
          <w:tab w:val="left" w:pos="5760"/>
          <w:tab w:val="left" w:pos="6912"/>
          <w:tab w:val="left" w:pos="8064"/>
          <w:tab w:val="left" w:pos="9216"/>
        </w:tabs>
        <w:jc w:val="center"/>
        <w:rPr>
          <w:rFonts w:ascii="Arial" w:hAnsi="Arial"/>
        </w:rPr>
      </w:pPr>
      <w:r w:rsidRPr="00743304">
        <w:rPr>
          <w:rFonts w:ascii="Arial" w:hAnsi="Arial"/>
        </w:rPr>
        <w:t xml:space="preserve">Section 1: </w:t>
      </w:r>
      <w:r>
        <w:rPr>
          <w:rFonts w:ascii="Arial" w:hAnsi="Arial"/>
        </w:rPr>
        <w:t>Applicability</w:t>
      </w:r>
    </w:p>
    <w:p w:rsidR="00047F15" w:rsidRDefault="00047F15" w:rsidP="000B0A51">
      <w:pPr>
        <w:spacing w:after="0" w:line="286" w:lineRule="exact"/>
        <w:rPr>
          <w:rFonts w:ascii="Arial" w:hAnsi="Arial" w:cs="Arial"/>
        </w:rPr>
      </w:pPr>
      <w:r>
        <w:rPr>
          <w:rFonts w:ascii="Arial" w:hAnsi="Arial" w:cs="Arial"/>
        </w:rPr>
        <w:t>This rate is applicable to all Customers of the Company and will be applied to all bills to Customers with energy usage during a month when this schedule is effective.</w:t>
      </w:r>
    </w:p>
    <w:p w:rsidR="00047F15" w:rsidRDefault="00047F15" w:rsidP="008D4BE1">
      <w:pPr>
        <w:spacing w:after="0" w:line="286" w:lineRule="exact"/>
        <w:ind w:left="360"/>
        <w:rPr>
          <w:rFonts w:ascii="Arial" w:hAnsi="Arial" w:cs="Arial"/>
        </w:rPr>
      </w:pPr>
    </w:p>
    <w:p w:rsidR="00047F15" w:rsidRPr="000B0A51" w:rsidRDefault="00047F15" w:rsidP="000B0A51">
      <w:pPr>
        <w:tabs>
          <w:tab w:val="left" w:pos="360"/>
          <w:tab w:val="left" w:pos="1152"/>
          <w:tab w:val="left" w:pos="2304"/>
          <w:tab w:val="left" w:pos="3456"/>
          <w:tab w:val="left" w:pos="4608"/>
          <w:tab w:val="left" w:pos="5760"/>
          <w:tab w:val="left" w:pos="6912"/>
          <w:tab w:val="left" w:pos="8064"/>
          <w:tab w:val="left" w:pos="9216"/>
        </w:tabs>
        <w:jc w:val="center"/>
        <w:rPr>
          <w:rFonts w:ascii="Arial" w:hAnsi="Arial"/>
        </w:rPr>
      </w:pPr>
      <w:r>
        <w:rPr>
          <w:rFonts w:ascii="Arial" w:hAnsi="Arial"/>
        </w:rPr>
        <w:t>Section 2</w:t>
      </w:r>
      <w:r w:rsidRPr="00743304">
        <w:rPr>
          <w:rFonts w:ascii="Arial" w:hAnsi="Arial"/>
        </w:rPr>
        <w:t xml:space="preserve">: </w:t>
      </w:r>
      <w:r>
        <w:rPr>
          <w:rFonts w:ascii="Arial" w:hAnsi="Arial"/>
        </w:rPr>
        <w:t>Purpose</w:t>
      </w:r>
    </w:p>
    <w:p w:rsidR="00047F15" w:rsidRDefault="00047F15" w:rsidP="000B0A51">
      <w:pPr>
        <w:spacing w:after="0" w:line="286" w:lineRule="exact"/>
        <w:rPr>
          <w:rStyle w:val="Custom2"/>
          <w:rFonts w:cs="Arial"/>
        </w:rPr>
      </w:pPr>
      <w:r>
        <w:rPr>
          <w:rStyle w:val="Custom2"/>
          <w:rFonts w:cs="Arial"/>
        </w:rPr>
        <w:t xml:space="preserve">The purpose of this schedule is to pass through the cost of all property taxes incurred by the Company.  </w:t>
      </w:r>
    </w:p>
    <w:p w:rsidR="00047F15" w:rsidRDefault="00047F15" w:rsidP="008D4BE1">
      <w:pPr>
        <w:spacing w:after="0" w:line="286" w:lineRule="exact"/>
        <w:ind w:left="360"/>
        <w:rPr>
          <w:rStyle w:val="Custom2"/>
          <w:rFonts w:cs="Arial"/>
        </w:rPr>
      </w:pPr>
    </w:p>
    <w:p w:rsidR="00047F15" w:rsidRPr="000B0A51" w:rsidRDefault="00047F15" w:rsidP="000B0A51">
      <w:pPr>
        <w:tabs>
          <w:tab w:val="left" w:pos="360"/>
          <w:tab w:val="left" w:pos="1152"/>
          <w:tab w:val="left" w:pos="2304"/>
          <w:tab w:val="left" w:pos="3456"/>
          <w:tab w:val="left" w:pos="4608"/>
          <w:tab w:val="left" w:pos="5760"/>
          <w:tab w:val="left" w:pos="6912"/>
          <w:tab w:val="left" w:pos="8064"/>
          <w:tab w:val="left" w:pos="9216"/>
        </w:tabs>
        <w:jc w:val="center"/>
        <w:rPr>
          <w:rStyle w:val="Custom2"/>
        </w:rPr>
      </w:pPr>
      <w:r>
        <w:rPr>
          <w:rFonts w:ascii="Arial" w:hAnsi="Arial"/>
        </w:rPr>
        <w:t>Section 3</w:t>
      </w:r>
      <w:r w:rsidRPr="00743304">
        <w:rPr>
          <w:rFonts w:ascii="Arial" w:hAnsi="Arial"/>
        </w:rPr>
        <w:t xml:space="preserve">: </w:t>
      </w:r>
      <w:r>
        <w:rPr>
          <w:rFonts w:ascii="Arial" w:hAnsi="Arial"/>
        </w:rPr>
        <w:t>Mechanism</w:t>
      </w:r>
    </w:p>
    <w:p w:rsidR="00047F15" w:rsidRDefault="00047F15" w:rsidP="00CB25A8">
      <w:pPr>
        <w:pStyle w:val="ListParagraph"/>
        <w:numPr>
          <w:ilvl w:val="0"/>
          <w:numId w:val="8"/>
        </w:numPr>
        <w:spacing w:after="0" w:line="286" w:lineRule="exact"/>
        <w:rPr>
          <w:rStyle w:val="Custom2"/>
          <w:rFonts w:cs="Arial"/>
        </w:rPr>
      </w:pPr>
      <w:r>
        <w:rPr>
          <w:rStyle w:val="Custom2"/>
          <w:rFonts w:cs="Arial"/>
        </w:rPr>
        <w:t xml:space="preserve">To implement the mechanism in April, 2013, property taxes will be removed from general rates by reducing the energy component or per unit rate for street lights and </w:t>
      </w:r>
      <w:r w:rsidRPr="00693BBD">
        <w:rPr>
          <w:rStyle w:val="Custom2"/>
          <w:rFonts w:cs="Arial"/>
        </w:rPr>
        <w:t xml:space="preserve">rentals </w:t>
      </w:r>
      <w:r>
        <w:rPr>
          <w:rStyle w:val="Custom2"/>
          <w:rFonts w:cs="Arial"/>
        </w:rPr>
        <w:t>for the amount of the property taxes included in Docket Nos. UE-111048 and UG-111049 and those same costs will be included as an energy component rate, or a per unit component rate, in the Schedule 140 tracker. For billing purposes the Schedule 140 rates will be included with the general rate tariff billing resulting in a zero overall impact.</w:t>
      </w:r>
    </w:p>
    <w:p w:rsidR="00047F15" w:rsidRPr="00CB25A8" w:rsidRDefault="00047F15" w:rsidP="00CB25A8">
      <w:pPr>
        <w:pStyle w:val="ListParagraph"/>
        <w:numPr>
          <w:ilvl w:val="0"/>
          <w:numId w:val="8"/>
        </w:numPr>
        <w:spacing w:after="0" w:line="286" w:lineRule="exact"/>
        <w:rPr>
          <w:rStyle w:val="Custom2"/>
          <w:rFonts w:cs="Arial"/>
        </w:rPr>
      </w:pPr>
      <w:r>
        <w:rPr>
          <w:rStyle w:val="Custom2"/>
          <w:rFonts w:cs="Arial"/>
        </w:rPr>
        <w:t xml:space="preserve">Following this initial implementation </w:t>
      </w:r>
      <w:r w:rsidRPr="00D749A0">
        <w:rPr>
          <w:rStyle w:val="Custom2"/>
          <w:rFonts w:cs="Arial"/>
        </w:rPr>
        <w:t>the mec</w:t>
      </w:r>
      <w:r>
        <w:rPr>
          <w:rStyle w:val="Custom2"/>
          <w:rFonts w:cs="Arial"/>
        </w:rPr>
        <w:t>hanism will a</w:t>
      </w:r>
      <w:r w:rsidRPr="00D749A0">
        <w:rPr>
          <w:rStyle w:val="Custom2"/>
          <w:rFonts w:cs="Arial"/>
        </w:rPr>
        <w:t xml:space="preserve">ct as a tracker rate schedule wherein it will collect the total amount of property taxes assessed, as billed by counties or states from the last property tax cycle (“Assessed Property Taxes”). </w:t>
      </w:r>
      <w:r>
        <w:rPr>
          <w:rStyle w:val="Custom2"/>
          <w:rFonts w:cs="Arial"/>
        </w:rPr>
        <w:t xml:space="preserve"> Where the Company has not received a bill for property taxes from any given county (“Delayed Billing County”) Assessed Property Taxes shall include an estimate of taxes equal to the prior year’s tax assessed by the Delayed Billing County. </w:t>
      </w:r>
      <w:r w:rsidRPr="00D749A0">
        <w:rPr>
          <w:rStyle w:val="Custom2"/>
          <w:rFonts w:cs="Arial"/>
        </w:rPr>
        <w:t xml:space="preserve"> A property tax cycle is approximately sixteen months, from January 1</w:t>
      </w:r>
      <w:r w:rsidRPr="00D749A0">
        <w:rPr>
          <w:rStyle w:val="Custom2"/>
          <w:rFonts w:cs="Arial"/>
          <w:vertAlign w:val="superscript"/>
        </w:rPr>
        <w:t>st</w:t>
      </w:r>
      <w:r w:rsidRPr="00D749A0">
        <w:rPr>
          <w:rStyle w:val="Custom2"/>
          <w:rFonts w:cs="Arial"/>
        </w:rPr>
        <w:t xml:space="preserve"> of every year, when the taxing authorities obtain the right to tax the Company’s property, until April the following year when information </w:t>
      </w:r>
      <w:r>
        <w:rPr>
          <w:rStyle w:val="Custom2"/>
          <w:rFonts w:cs="Arial"/>
        </w:rPr>
        <w:t xml:space="preserve">provided by the states and counties provides the actual </w:t>
      </w:r>
      <w:r w:rsidRPr="00D749A0">
        <w:rPr>
          <w:rStyle w:val="Custom2"/>
          <w:rFonts w:cs="Arial"/>
        </w:rPr>
        <w:t>property taxes</w:t>
      </w:r>
      <w:r>
        <w:rPr>
          <w:rStyle w:val="Custom2"/>
          <w:rFonts w:cs="Arial"/>
        </w:rPr>
        <w:t xml:space="preserve"> owed</w:t>
      </w:r>
      <w:r w:rsidRPr="000C7848">
        <w:rPr>
          <w:rStyle w:val="Custom2"/>
          <w:rFonts w:cs="Arial"/>
        </w:rPr>
        <w:t>.</w:t>
      </w:r>
    </w:p>
    <w:p w:rsidR="00047F15" w:rsidRPr="00D749A0" w:rsidRDefault="00047F15" w:rsidP="00CB25A8">
      <w:pPr>
        <w:pStyle w:val="ListParagraph"/>
        <w:numPr>
          <w:ilvl w:val="0"/>
          <w:numId w:val="8"/>
        </w:numPr>
        <w:spacing w:after="0" w:line="286" w:lineRule="exact"/>
        <w:rPr>
          <w:rStyle w:val="Custom2"/>
          <w:rFonts w:cs="Arial"/>
        </w:rPr>
      </w:pPr>
      <w:r>
        <w:rPr>
          <w:rStyle w:val="Custom2"/>
          <w:rFonts w:cs="Arial"/>
        </w:rPr>
        <w:t xml:space="preserve">With implementation of this tracker mechanism, in addition to removing the cost of all property taxes from general rates as described, the </w:t>
      </w:r>
      <w:r w:rsidRPr="00BA4EDC">
        <w:rPr>
          <w:rStyle w:val="Custom2"/>
          <w:rFonts w:cs="Arial"/>
        </w:rPr>
        <w:t>tracker</w:t>
      </w:r>
      <w:r>
        <w:rPr>
          <w:rStyle w:val="Custom2"/>
          <w:rFonts w:cs="Arial"/>
        </w:rPr>
        <w:t xml:space="preserve"> will be adjusted each year in May based on that year’s Assessed Property Taxes.  For example, if property taxes for April 2013 exceed that for April 2012, this difference will be positive and will, if the true-up described in section 3.d. of this schedule is zero, result in an overall increase to customer rates.  If this difference is negative it will, if the true-up described in section 3.d. of this schedule is zero, result in an overall decrease to customer rates.  </w:t>
      </w:r>
    </w:p>
    <w:p w:rsidR="00047F15" w:rsidRPr="00D749A0" w:rsidRDefault="00047F15" w:rsidP="00CB25A8">
      <w:pPr>
        <w:pStyle w:val="ListParagraph"/>
        <w:spacing w:after="0" w:line="286" w:lineRule="exact"/>
        <w:rPr>
          <w:rStyle w:val="Custom2"/>
          <w:rFonts w:cs="Arial"/>
        </w:rPr>
      </w:pPr>
    </w:p>
    <w:sectPr w:rsidR="00047F15" w:rsidRPr="00D749A0"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F15" w:rsidRDefault="00047F15" w:rsidP="00B963E0">
      <w:pPr>
        <w:spacing w:after="0" w:line="240" w:lineRule="auto"/>
      </w:pPr>
      <w:r>
        <w:separator/>
      </w:r>
    </w:p>
  </w:endnote>
  <w:endnote w:type="continuationSeparator" w:id="0">
    <w:p w:rsidR="00047F15" w:rsidRDefault="00047F15"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15" w:rsidRDefault="00047F15" w:rsidP="006E75FB">
    <w:pPr>
      <w:pStyle w:val="Footer"/>
      <w:ind w:left="-720"/>
      <w:rPr>
        <w:rFonts w:ascii="Arial" w:hAnsi="Arial" w:cs="Arial"/>
        <w:b/>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047F15" w:rsidRDefault="00047F15"/>
            </w:txbxContent>
          </v:textbox>
        </v:shape>
      </w:pict>
    </w:r>
  </w:p>
  <w:p w:rsidR="00047F15" w:rsidRDefault="00047F15" w:rsidP="006E75FB">
    <w:pPr>
      <w:pStyle w:val="Footer"/>
      <w:ind w:left="-720"/>
      <w:rPr>
        <w:rFonts w:ascii="Arial" w:hAnsi="Arial" w:cs="Arial"/>
      </w:rPr>
    </w:pPr>
    <w:r>
      <w:rPr>
        <w:rFonts w:ascii="Arial" w:hAnsi="Arial" w:cs="Arial"/>
        <w:b/>
      </w:rPr>
      <w:t xml:space="preserve">           Issued:  </w:t>
    </w:r>
    <w:r>
      <w:rPr>
        <w:rFonts w:ascii="Arial" w:hAnsi="Arial" w:cs="Arial"/>
      </w:rPr>
      <w:t>MONTH XX, 2013</w:t>
    </w:r>
    <w:r>
      <w:rPr>
        <w:rFonts w:ascii="Arial" w:hAnsi="Arial" w:cs="Arial"/>
      </w:rPr>
      <w:tab/>
    </w:r>
    <w:r>
      <w:rPr>
        <w:rFonts w:ascii="Arial" w:hAnsi="Arial" w:cs="Arial"/>
      </w:rPr>
      <w:tab/>
    </w:r>
    <w:r>
      <w:rPr>
        <w:rFonts w:ascii="Arial" w:hAnsi="Arial" w:cs="Arial"/>
        <w:b/>
      </w:rPr>
      <w:t>Effective:</w:t>
    </w:r>
    <w:r>
      <w:rPr>
        <w:rFonts w:ascii="Arial" w:hAnsi="Arial" w:cs="Arial"/>
      </w:rPr>
      <w:t xml:space="preserve">  Month XX, 2013</w:t>
    </w:r>
  </w:p>
  <w:p w:rsidR="00047F15" w:rsidRDefault="00047F15" w:rsidP="006E75FB">
    <w:pPr>
      <w:pStyle w:val="Footer"/>
      <w:ind w:left="-720"/>
      <w:rPr>
        <w:rFonts w:ascii="Arial" w:hAnsi="Arial" w:cs="Arial"/>
      </w:rPr>
    </w:pPr>
    <w:r>
      <w:rPr>
        <w:rFonts w:ascii="Arial" w:hAnsi="Arial" w:cs="Arial"/>
        <w:b/>
      </w:rPr>
      <w:t xml:space="preserve">           Advice No.:</w:t>
    </w:r>
    <w:r>
      <w:rPr>
        <w:rFonts w:ascii="Arial" w:hAnsi="Arial" w:cs="Arial"/>
      </w:rPr>
      <w:t xml:space="preserve">  2013-XX</w:t>
    </w:r>
  </w:p>
  <w:p w:rsidR="00047F15" w:rsidRDefault="00047F15" w:rsidP="008A742D">
    <w:pPr>
      <w:pStyle w:val="Footer"/>
      <w:ind w:left="-720"/>
      <w:jc w:val="center"/>
      <w:rPr>
        <w:rFonts w:ascii="Arial" w:hAnsi="Arial" w:cs="Arial"/>
        <w:b/>
      </w:rPr>
    </w:pPr>
  </w:p>
  <w:p w:rsidR="00047F15" w:rsidRDefault="00047F15" w:rsidP="008A742D">
    <w:pPr>
      <w:pStyle w:val="Footer"/>
      <w:ind w:left="-720"/>
      <w:jc w:val="center"/>
      <w:rPr>
        <w:rFonts w:ascii="Arial" w:hAnsi="Arial" w:cs="Arial"/>
        <w:b/>
      </w:rPr>
    </w:pPr>
    <w:r>
      <w:rPr>
        <w:rFonts w:ascii="Arial" w:hAnsi="Arial" w:cs="Arial"/>
        <w:b/>
      </w:rPr>
      <w:t>Issued By Puget Sound Energy, Inc.</w:t>
    </w:r>
  </w:p>
  <w:tbl>
    <w:tblPr>
      <w:tblW w:w="0" w:type="auto"/>
      <w:tblLook w:val="00A0"/>
    </w:tblPr>
    <w:tblGrid>
      <w:gridCol w:w="558"/>
      <w:gridCol w:w="2700"/>
      <w:gridCol w:w="6660"/>
    </w:tblGrid>
    <w:tr w:rsidR="00047F15" w:rsidRPr="007D434A" w:rsidTr="00AF5FD0">
      <w:trPr>
        <w:trHeight w:val="422"/>
      </w:trPr>
      <w:tc>
        <w:tcPr>
          <w:tcW w:w="558" w:type="dxa"/>
          <w:vAlign w:val="center"/>
        </w:tcPr>
        <w:p w:rsidR="00047F15" w:rsidRPr="007D434A" w:rsidRDefault="00047F15" w:rsidP="00AF5FD0">
          <w:pPr>
            <w:pStyle w:val="Footer"/>
            <w:rPr>
              <w:rFonts w:ascii="Arial" w:hAnsi="Arial" w:cs="Arial"/>
            </w:rPr>
          </w:pPr>
          <w:r w:rsidRPr="007D434A">
            <w:rPr>
              <w:rFonts w:ascii="Arial" w:hAnsi="Arial" w:cs="Arial"/>
            </w:rPr>
            <w:t>By:</w:t>
          </w:r>
        </w:p>
      </w:tc>
      <w:tc>
        <w:tcPr>
          <w:tcW w:w="2700" w:type="dxa"/>
          <w:tcBorders>
            <w:bottom w:val="single" w:sz="4" w:space="0" w:color="auto"/>
          </w:tcBorders>
          <w:vAlign w:val="center"/>
        </w:tcPr>
        <w:p w:rsidR="00047F15" w:rsidRPr="007D434A" w:rsidRDefault="00047F15" w:rsidP="00AF5FD0">
          <w:pPr>
            <w:pStyle w:val="Footer"/>
            <w:rPr>
              <w:rFonts w:ascii="Arial" w:hAnsi="Arial" w:cs="Arial"/>
              <w:b/>
            </w:rPr>
          </w:pPr>
        </w:p>
      </w:tc>
      <w:tc>
        <w:tcPr>
          <w:tcW w:w="6660" w:type="dxa"/>
          <w:vAlign w:val="center"/>
        </w:tcPr>
        <w:p w:rsidR="00047F15" w:rsidRPr="007D434A" w:rsidRDefault="00047F15" w:rsidP="00AF5FD0">
          <w:pPr>
            <w:pStyle w:val="Footer"/>
            <w:rPr>
              <w:rFonts w:ascii="Arial" w:hAnsi="Arial" w:cs="Arial"/>
              <w:b/>
            </w:rPr>
          </w:pPr>
          <w:r>
            <w:rPr>
              <w:rFonts w:ascii="Arial" w:hAnsi="Arial" w:cs="Arial"/>
            </w:rPr>
            <w:t>Ken Johnson</w:t>
          </w:r>
          <w:r w:rsidRPr="007D434A">
            <w:rPr>
              <w:rFonts w:ascii="Arial" w:hAnsi="Arial" w:cs="Arial"/>
              <w:b/>
            </w:rPr>
            <w:t xml:space="preserve">           Title:  </w:t>
          </w:r>
          <w:r>
            <w:rPr>
              <w:rFonts w:ascii="Arial" w:hAnsi="Arial" w:cs="Arial"/>
            </w:rPr>
            <w:t xml:space="preserve">Director, </w:t>
          </w:r>
          <w:r w:rsidRPr="007D434A">
            <w:rPr>
              <w:rFonts w:ascii="Arial" w:hAnsi="Arial" w:cs="Arial"/>
            </w:rPr>
            <w:t>State Regulatory Affairs</w:t>
          </w:r>
        </w:p>
      </w:tc>
    </w:tr>
  </w:tbl>
  <w:p w:rsidR="00047F15" w:rsidRPr="006E75FB" w:rsidRDefault="00047F15">
    <w:pPr>
      <w:pStyle w:val="Footer"/>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F15" w:rsidRDefault="00047F15" w:rsidP="00B963E0">
      <w:pPr>
        <w:spacing w:after="0" w:line="240" w:lineRule="auto"/>
      </w:pPr>
      <w:r>
        <w:separator/>
      </w:r>
    </w:p>
  </w:footnote>
  <w:footnote w:type="continuationSeparator" w:id="0">
    <w:p w:rsidR="00047F15" w:rsidRDefault="00047F15"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15"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Pr>
        <w:rFonts w:ascii="Arial" w:hAnsi="Arial"/>
        <w:b/>
      </w:rPr>
      <w:t>WN U-2</w:t>
    </w:r>
  </w:p>
  <w:p w:rsidR="00047F15"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rPr>
    </w:pPr>
  </w:p>
  <w:p w:rsidR="00047F15"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rPr>
    </w:pPr>
  </w:p>
  <w:p w:rsidR="00047F15" w:rsidRPr="007D5E7E"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rPr>
    </w:pPr>
    <w:r>
      <w:rPr>
        <w:rFonts w:ascii="Arial" w:hAnsi="Arial"/>
      </w:rPr>
      <w:t>Original Sheet No. 1140</w:t>
    </w:r>
  </w:p>
  <w:p w:rsidR="00047F15" w:rsidRPr="00B64632" w:rsidRDefault="00047F15"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v:textbox>
            <w:txbxContent>
              <w:p w:rsidR="00047F15" w:rsidRDefault="00047F15"/>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546A5C"/>
    <w:multiLevelType w:val="hybridMultilevel"/>
    <w:tmpl w:val="622A7DE6"/>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0E669B34"/>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AC4A84"/>
    <w:multiLevelType w:val="hybridMultilevel"/>
    <w:tmpl w:val="5B80A1C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E1915F3"/>
    <w:multiLevelType w:val="hybridMultilevel"/>
    <w:tmpl w:val="B82E6B3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22ABD"/>
    <w:rsid w:val="0003601D"/>
    <w:rsid w:val="00047F15"/>
    <w:rsid w:val="00051281"/>
    <w:rsid w:val="00053192"/>
    <w:rsid w:val="00060533"/>
    <w:rsid w:val="000636ED"/>
    <w:rsid w:val="0008711D"/>
    <w:rsid w:val="0009579F"/>
    <w:rsid w:val="000A01BC"/>
    <w:rsid w:val="000A1DBB"/>
    <w:rsid w:val="000B0263"/>
    <w:rsid w:val="000B0A51"/>
    <w:rsid w:val="000C04B8"/>
    <w:rsid w:val="000C7848"/>
    <w:rsid w:val="000D2886"/>
    <w:rsid w:val="000F642C"/>
    <w:rsid w:val="00104A70"/>
    <w:rsid w:val="0013127F"/>
    <w:rsid w:val="00133D1D"/>
    <w:rsid w:val="001351A6"/>
    <w:rsid w:val="0013620E"/>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0216"/>
    <w:rsid w:val="002643DE"/>
    <w:rsid w:val="002646D9"/>
    <w:rsid w:val="00264C96"/>
    <w:rsid w:val="00273F94"/>
    <w:rsid w:val="00277173"/>
    <w:rsid w:val="00282FCF"/>
    <w:rsid w:val="00284F0A"/>
    <w:rsid w:val="002A4238"/>
    <w:rsid w:val="002C09C5"/>
    <w:rsid w:val="002C78EC"/>
    <w:rsid w:val="002E7037"/>
    <w:rsid w:val="002F56BC"/>
    <w:rsid w:val="002F7B88"/>
    <w:rsid w:val="0030525B"/>
    <w:rsid w:val="003457D3"/>
    <w:rsid w:val="00350702"/>
    <w:rsid w:val="00350A9F"/>
    <w:rsid w:val="003930FE"/>
    <w:rsid w:val="003A5EFC"/>
    <w:rsid w:val="003B4C91"/>
    <w:rsid w:val="003D5068"/>
    <w:rsid w:val="003D6A10"/>
    <w:rsid w:val="003D6A6F"/>
    <w:rsid w:val="003F48BD"/>
    <w:rsid w:val="00401C8E"/>
    <w:rsid w:val="00425F15"/>
    <w:rsid w:val="004553C0"/>
    <w:rsid w:val="00466466"/>
    <w:rsid w:val="00466546"/>
    <w:rsid w:val="00466A71"/>
    <w:rsid w:val="0047056F"/>
    <w:rsid w:val="00495137"/>
    <w:rsid w:val="00495C75"/>
    <w:rsid w:val="004A7502"/>
    <w:rsid w:val="004E1523"/>
    <w:rsid w:val="005141B1"/>
    <w:rsid w:val="005241EE"/>
    <w:rsid w:val="00526E52"/>
    <w:rsid w:val="005427D5"/>
    <w:rsid w:val="00543EA4"/>
    <w:rsid w:val="00573C18"/>
    <w:rsid w:val="005743AB"/>
    <w:rsid w:val="005746B6"/>
    <w:rsid w:val="00594EC7"/>
    <w:rsid w:val="00596AA0"/>
    <w:rsid w:val="005C3044"/>
    <w:rsid w:val="005C6924"/>
    <w:rsid w:val="005D0CCA"/>
    <w:rsid w:val="005D4AAD"/>
    <w:rsid w:val="005E09BA"/>
    <w:rsid w:val="006108C0"/>
    <w:rsid w:val="00615AFD"/>
    <w:rsid w:val="00693BBD"/>
    <w:rsid w:val="006A72BD"/>
    <w:rsid w:val="006C27C7"/>
    <w:rsid w:val="006D2365"/>
    <w:rsid w:val="006E75FB"/>
    <w:rsid w:val="00703E53"/>
    <w:rsid w:val="00707DF4"/>
    <w:rsid w:val="00716A97"/>
    <w:rsid w:val="007223EE"/>
    <w:rsid w:val="00743304"/>
    <w:rsid w:val="007462E6"/>
    <w:rsid w:val="00757C64"/>
    <w:rsid w:val="00770E9A"/>
    <w:rsid w:val="00772DD8"/>
    <w:rsid w:val="00784841"/>
    <w:rsid w:val="00792A5C"/>
    <w:rsid w:val="00795847"/>
    <w:rsid w:val="007A48CC"/>
    <w:rsid w:val="007B3F61"/>
    <w:rsid w:val="007D11B1"/>
    <w:rsid w:val="007D21EC"/>
    <w:rsid w:val="007D434A"/>
    <w:rsid w:val="007D5E7E"/>
    <w:rsid w:val="007E6230"/>
    <w:rsid w:val="007F3BEC"/>
    <w:rsid w:val="0080589E"/>
    <w:rsid w:val="00817AE7"/>
    <w:rsid w:val="008312C9"/>
    <w:rsid w:val="00861B5D"/>
    <w:rsid w:val="00880B8E"/>
    <w:rsid w:val="008A3E31"/>
    <w:rsid w:val="008A742D"/>
    <w:rsid w:val="008B3592"/>
    <w:rsid w:val="008C1F4D"/>
    <w:rsid w:val="008D4BE1"/>
    <w:rsid w:val="008E58E7"/>
    <w:rsid w:val="008E6871"/>
    <w:rsid w:val="00920CBC"/>
    <w:rsid w:val="00921E5F"/>
    <w:rsid w:val="009342D5"/>
    <w:rsid w:val="00941F3E"/>
    <w:rsid w:val="00957A0B"/>
    <w:rsid w:val="0099361B"/>
    <w:rsid w:val="009B003C"/>
    <w:rsid w:val="009B0E25"/>
    <w:rsid w:val="009B1D7A"/>
    <w:rsid w:val="009E797C"/>
    <w:rsid w:val="00A0363D"/>
    <w:rsid w:val="00A1049A"/>
    <w:rsid w:val="00A42F11"/>
    <w:rsid w:val="00A460CB"/>
    <w:rsid w:val="00A55507"/>
    <w:rsid w:val="00A574D3"/>
    <w:rsid w:val="00A67969"/>
    <w:rsid w:val="00A742E6"/>
    <w:rsid w:val="00A839AA"/>
    <w:rsid w:val="00AA55FC"/>
    <w:rsid w:val="00AB4028"/>
    <w:rsid w:val="00AB5920"/>
    <w:rsid w:val="00AE0831"/>
    <w:rsid w:val="00AF5FD0"/>
    <w:rsid w:val="00B06DD9"/>
    <w:rsid w:val="00B0749D"/>
    <w:rsid w:val="00B22669"/>
    <w:rsid w:val="00B248DC"/>
    <w:rsid w:val="00B30E8E"/>
    <w:rsid w:val="00B42E7C"/>
    <w:rsid w:val="00B60AD9"/>
    <w:rsid w:val="00B64632"/>
    <w:rsid w:val="00B70BA0"/>
    <w:rsid w:val="00B83558"/>
    <w:rsid w:val="00B963E0"/>
    <w:rsid w:val="00BA1F04"/>
    <w:rsid w:val="00BA4EDC"/>
    <w:rsid w:val="00BC7E42"/>
    <w:rsid w:val="00BE40BB"/>
    <w:rsid w:val="00BE428A"/>
    <w:rsid w:val="00C06D5B"/>
    <w:rsid w:val="00C070F6"/>
    <w:rsid w:val="00C07562"/>
    <w:rsid w:val="00C15DA6"/>
    <w:rsid w:val="00C27AA6"/>
    <w:rsid w:val="00C33152"/>
    <w:rsid w:val="00C34647"/>
    <w:rsid w:val="00C42132"/>
    <w:rsid w:val="00C4664E"/>
    <w:rsid w:val="00C67B1F"/>
    <w:rsid w:val="00C701FF"/>
    <w:rsid w:val="00C850A3"/>
    <w:rsid w:val="00CA2E7B"/>
    <w:rsid w:val="00CB25A8"/>
    <w:rsid w:val="00CB422B"/>
    <w:rsid w:val="00CB7B61"/>
    <w:rsid w:val="00CD0114"/>
    <w:rsid w:val="00CE40EB"/>
    <w:rsid w:val="00CE71D5"/>
    <w:rsid w:val="00CF3A26"/>
    <w:rsid w:val="00D02C25"/>
    <w:rsid w:val="00D075B2"/>
    <w:rsid w:val="00D07D10"/>
    <w:rsid w:val="00D11CE5"/>
    <w:rsid w:val="00D11EBD"/>
    <w:rsid w:val="00D261F2"/>
    <w:rsid w:val="00D37F3B"/>
    <w:rsid w:val="00D4002E"/>
    <w:rsid w:val="00D408AA"/>
    <w:rsid w:val="00D5139F"/>
    <w:rsid w:val="00D6353E"/>
    <w:rsid w:val="00D712C1"/>
    <w:rsid w:val="00D73293"/>
    <w:rsid w:val="00D736F2"/>
    <w:rsid w:val="00D749A0"/>
    <w:rsid w:val="00D768B3"/>
    <w:rsid w:val="00D80755"/>
    <w:rsid w:val="00D81917"/>
    <w:rsid w:val="00D84C6D"/>
    <w:rsid w:val="00DB3D30"/>
    <w:rsid w:val="00DB60D7"/>
    <w:rsid w:val="00DC040E"/>
    <w:rsid w:val="00DC2AAE"/>
    <w:rsid w:val="00DC752A"/>
    <w:rsid w:val="00DD0343"/>
    <w:rsid w:val="00DD48BB"/>
    <w:rsid w:val="00DF04B6"/>
    <w:rsid w:val="00DF1818"/>
    <w:rsid w:val="00E002F2"/>
    <w:rsid w:val="00E07D30"/>
    <w:rsid w:val="00E12B4A"/>
    <w:rsid w:val="00E3704D"/>
    <w:rsid w:val="00E526ED"/>
    <w:rsid w:val="00E61AEC"/>
    <w:rsid w:val="00E74A20"/>
    <w:rsid w:val="00E845E1"/>
    <w:rsid w:val="00E84B31"/>
    <w:rsid w:val="00E9001F"/>
    <w:rsid w:val="00E93944"/>
    <w:rsid w:val="00E94710"/>
    <w:rsid w:val="00EC4414"/>
    <w:rsid w:val="00ED3D71"/>
    <w:rsid w:val="00ED6D74"/>
    <w:rsid w:val="00EF663C"/>
    <w:rsid w:val="00F468B3"/>
    <w:rsid w:val="00F518C8"/>
    <w:rsid w:val="00F53FC2"/>
    <w:rsid w:val="00F57C21"/>
    <w:rsid w:val="00F67BBA"/>
    <w:rsid w:val="00F86A24"/>
    <w:rsid w:val="00FA1B13"/>
    <w:rsid w:val="00FA2990"/>
    <w:rsid w:val="00FD1AE9"/>
    <w:rsid w:val="00FE31E5"/>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0"/>
      <w:szCs w:val="20"/>
    </w:r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rPr>
      <w:sz w:val="20"/>
      <w:szCs w:val="20"/>
    </w:rPr>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 w:type="character" w:styleId="CommentReference">
    <w:name w:val="annotation reference"/>
    <w:basedOn w:val="DefaultParagraphFont"/>
    <w:uiPriority w:val="99"/>
    <w:semiHidden/>
    <w:rsid w:val="00DD0343"/>
    <w:rPr>
      <w:rFonts w:cs="Times New Roman"/>
      <w:sz w:val="16"/>
      <w:szCs w:val="16"/>
    </w:rPr>
  </w:style>
  <w:style w:type="paragraph" w:styleId="CommentText">
    <w:name w:val="annotation text"/>
    <w:basedOn w:val="Normal"/>
    <w:link w:val="CommentTextChar"/>
    <w:uiPriority w:val="99"/>
    <w:semiHidden/>
    <w:rsid w:val="00DD0343"/>
    <w:pPr>
      <w:spacing w:line="240" w:lineRule="auto"/>
    </w:pPr>
  </w:style>
  <w:style w:type="character" w:customStyle="1" w:styleId="CommentTextChar">
    <w:name w:val="Comment Text Char"/>
    <w:basedOn w:val="DefaultParagraphFont"/>
    <w:link w:val="CommentText"/>
    <w:uiPriority w:val="99"/>
    <w:semiHidden/>
    <w:locked/>
    <w:rsid w:val="00DD0343"/>
    <w:rPr>
      <w:rFonts w:cs="Times New Roman"/>
    </w:rPr>
  </w:style>
  <w:style w:type="paragraph" w:styleId="CommentSubject">
    <w:name w:val="annotation subject"/>
    <w:basedOn w:val="CommentText"/>
    <w:next w:val="CommentText"/>
    <w:link w:val="CommentSubjectChar"/>
    <w:uiPriority w:val="99"/>
    <w:semiHidden/>
    <w:rsid w:val="00DD0343"/>
    <w:rPr>
      <w:b/>
      <w:bCs/>
    </w:rPr>
  </w:style>
  <w:style w:type="character" w:customStyle="1" w:styleId="CommentSubjectChar">
    <w:name w:val="Comment Subject Char"/>
    <w:basedOn w:val="CommentTextChar"/>
    <w:link w:val="CommentSubject"/>
    <w:uiPriority w:val="99"/>
    <w:semiHidden/>
    <w:locked/>
    <w:rsid w:val="00DD03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4C7CD2-FDC4-48ED-A302-0EB7C2B70569}"/>
</file>

<file path=customXml/itemProps2.xml><?xml version="1.0" encoding="utf-8"?>
<ds:datastoreItem xmlns:ds="http://schemas.openxmlformats.org/officeDocument/2006/customXml" ds:itemID="{0EDEF2E5-69AF-41D0-9C0F-8AD3B7785226}"/>
</file>

<file path=customXml/itemProps3.xml><?xml version="1.0" encoding="utf-8"?>
<ds:datastoreItem xmlns:ds="http://schemas.openxmlformats.org/officeDocument/2006/customXml" ds:itemID="{6BAF8092-0CD2-4A8A-8C15-14543C1E0D44}"/>
</file>

<file path=customXml/itemProps4.xml><?xml version="1.0" encoding="utf-8"?>
<ds:datastoreItem xmlns:ds="http://schemas.openxmlformats.org/officeDocument/2006/customXml" ds:itemID="{C8E34248-A41E-44D4-87CF-4D35D95D5DBC}"/>
</file>

<file path=docProps/app.xml><?xml version="1.0" encoding="utf-8"?>
<Properties xmlns="http://schemas.openxmlformats.org/officeDocument/2006/extended-properties" xmlns:vt="http://schemas.openxmlformats.org/officeDocument/2006/docPropsVTypes">
  <Pages>2</Pages>
  <Words>433</Words>
  <Characters>2034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oFAAC41Wbh9etaUfc4YCZS5f1YmCw8VJqOZSXWIhK5JCVtehBs9YWoG49hEgWySGlZRZGnZmT22ZWg2mvJRkoIqGvOrnt/noNNZKConfPU8GR3fB7XSNg60KJHO5Q/iOy27Pr6qKFOwa5nUXrDgg8OAS/nyRo24nQjc9PHF21sSrXpPH4ITJticMM9YTlkScW9T71HCUt6dwoYu53q/8xbU7+De3vCSJ7Bwdve6J0Xk0UAqnLWe8/8lNb</vt:lpwstr>
  </property>
  <property fmtid="{D5CDD505-2E9C-101B-9397-08002B2CF9AE}" pid="3" name="MAIL_MSG_ID2">
    <vt:lpwstr>uoSdDB0gs7ipLJI0W2DEsunDNpljf1GNIf6GXXPigc90Dwa/kTRr1C0yp08rgSxjaqMEcl8SIyP9hS5WaBvDeoAckvDOq/IlF/vLCOYzZxh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0x0101006E56B4D1795A2E4DB2F0B01679ED314A005CE7F24A893EF748851A04A63F8286CB</vt:lpwstr>
  </property>
  <property fmtid="{D5CDD505-2E9C-101B-9397-08002B2CF9AE}" pid="7" name="_docset_NoMedatataSyncRequired">
    <vt:lpwstr>False</vt:lpwstr>
  </property>
</Properties>
</file>