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953B9F" w:rsidP="005172AD">
      <w:pPr>
        <w:rPr>
          <w:rFonts w:ascii="Times New Roman" w:hAnsi="Times New Roman"/>
        </w:rPr>
      </w:pPr>
      <w:r>
        <w:rPr>
          <w:rFonts w:ascii="Times New Roman" w:hAnsi="Times New Roman"/>
        </w:rPr>
        <w:t>August 2</w:t>
      </w:r>
      <w:r w:rsidR="007E18F8">
        <w:rPr>
          <w:rFonts w:ascii="Times New Roman" w:hAnsi="Times New Roman"/>
        </w:rPr>
        <w:t>,</w:t>
      </w:r>
      <w:r w:rsidR="00B90CFC">
        <w:rPr>
          <w:rFonts w:ascii="Times New Roman" w:hAnsi="Times New Roman"/>
        </w:rPr>
        <w:t xml:space="preserve"> 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D870FC" w:rsidRDefault="00964072" w:rsidP="00964072">
      <w:pPr>
        <w:jc w:val="both"/>
        <w:rPr>
          <w:rFonts w:ascii="Times New Roman" w:hAnsi="Times New Roman"/>
        </w:rPr>
      </w:pPr>
    </w:p>
    <w:p w:rsidR="00EC4DD1" w:rsidRDefault="00964072" w:rsidP="00EC4DD1">
      <w:pPr>
        <w:pStyle w:val="NoSpacing"/>
        <w:rPr>
          <w:rFonts w:ascii="Times New Roman" w:hAnsi="Times New Roman" w:cs="Times New Roman"/>
          <w:b/>
          <w:sz w:val="24"/>
          <w:szCs w:val="24"/>
        </w:rPr>
      </w:pPr>
      <w:r w:rsidRPr="003F18B3">
        <w:rPr>
          <w:rFonts w:ascii="Times New Roman" w:hAnsi="Times New Roman"/>
          <w:b/>
        </w:rPr>
        <w:t>RE:</w:t>
      </w:r>
      <w:r w:rsidRPr="003F18B3">
        <w:rPr>
          <w:rFonts w:ascii="Times New Roman" w:hAnsi="Times New Roman"/>
          <w:b/>
        </w:rPr>
        <w:tab/>
      </w:r>
      <w:r w:rsidR="007E18F8" w:rsidRPr="0066295E">
        <w:rPr>
          <w:rFonts w:ascii="Times New Roman" w:hAnsi="Times New Roman" w:cs="Times New Roman"/>
          <w:b/>
          <w:sz w:val="24"/>
          <w:szCs w:val="24"/>
        </w:rPr>
        <w:t>Docket No. U</w:t>
      </w:r>
      <w:r w:rsidR="00EC4DD1">
        <w:rPr>
          <w:rFonts w:ascii="Times New Roman" w:hAnsi="Times New Roman" w:cs="Times New Roman"/>
          <w:b/>
          <w:sz w:val="24"/>
          <w:szCs w:val="24"/>
        </w:rPr>
        <w:t>E</w:t>
      </w:r>
      <w:r w:rsidR="007E18F8" w:rsidRPr="0066295E">
        <w:rPr>
          <w:rFonts w:ascii="Times New Roman" w:hAnsi="Times New Roman" w:cs="Times New Roman"/>
          <w:b/>
          <w:sz w:val="24"/>
          <w:szCs w:val="24"/>
        </w:rPr>
        <w:t>-</w:t>
      </w:r>
      <w:r w:rsidR="007E18F8">
        <w:rPr>
          <w:rFonts w:ascii="Times New Roman" w:hAnsi="Times New Roman" w:cs="Times New Roman"/>
          <w:b/>
          <w:sz w:val="24"/>
          <w:szCs w:val="24"/>
        </w:rPr>
        <w:t>12</w:t>
      </w:r>
      <w:r w:rsidR="00EC4DD1">
        <w:rPr>
          <w:rFonts w:ascii="Times New Roman" w:hAnsi="Times New Roman" w:cs="Times New Roman"/>
          <w:b/>
          <w:sz w:val="24"/>
          <w:szCs w:val="24"/>
        </w:rPr>
        <w:t>0813</w:t>
      </w:r>
      <w:r w:rsidR="007E18F8" w:rsidRPr="0066295E">
        <w:rPr>
          <w:rFonts w:ascii="Times New Roman" w:hAnsi="Times New Roman" w:cs="Times New Roman"/>
          <w:b/>
          <w:sz w:val="24"/>
          <w:szCs w:val="24"/>
        </w:rPr>
        <w:t xml:space="preserve"> – </w:t>
      </w:r>
      <w:r w:rsidR="00A2112D">
        <w:rPr>
          <w:rFonts w:ascii="Times New Roman" w:hAnsi="Times New Roman" w:cs="Times New Roman"/>
          <w:b/>
          <w:sz w:val="24"/>
          <w:szCs w:val="24"/>
        </w:rPr>
        <w:t>PacifiCorp June 1, 2012 Renewable Report</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D870FC" w:rsidRDefault="00964072" w:rsidP="00964072">
      <w:pPr>
        <w:jc w:val="both"/>
        <w:rPr>
          <w:rFonts w:ascii="Times New Roman" w:hAnsi="Times New Roman"/>
        </w:rPr>
      </w:pPr>
    </w:p>
    <w:p w:rsidR="00563105" w:rsidRDefault="007E18F8" w:rsidP="007E18F8">
      <w:pPr>
        <w:pStyle w:val="NoSpacing"/>
        <w:jc w:val="both"/>
        <w:rPr>
          <w:rFonts w:ascii="Times New Roman" w:hAnsi="Times New Roman" w:cs="Times New Roman"/>
          <w:sz w:val="24"/>
          <w:szCs w:val="24"/>
        </w:rPr>
      </w:pPr>
      <w:r w:rsidRPr="0066295E">
        <w:rPr>
          <w:rFonts w:ascii="Times New Roman" w:hAnsi="Times New Roman" w:cs="Times New Roman"/>
          <w:sz w:val="24"/>
          <w:szCs w:val="24"/>
        </w:rPr>
        <w:t xml:space="preserve">PacifiCorp d.b.a. Pacific Power </w:t>
      </w:r>
      <w:r w:rsidR="003A7138">
        <w:rPr>
          <w:rFonts w:ascii="Times New Roman" w:hAnsi="Times New Roman" w:cs="Times New Roman"/>
          <w:sz w:val="24"/>
          <w:szCs w:val="24"/>
        </w:rPr>
        <w:t xml:space="preserve">&amp; Light Company </w:t>
      </w:r>
      <w:r w:rsidRPr="0066295E">
        <w:rPr>
          <w:rFonts w:ascii="Times New Roman" w:hAnsi="Times New Roman" w:cs="Times New Roman"/>
          <w:sz w:val="24"/>
          <w:szCs w:val="24"/>
        </w:rPr>
        <w:t xml:space="preserve">(PacifiCorp or Company) submits the following </w:t>
      </w:r>
      <w:r w:rsidR="00EC4DD1">
        <w:rPr>
          <w:rFonts w:ascii="Times New Roman" w:hAnsi="Times New Roman" w:cs="Times New Roman"/>
          <w:sz w:val="24"/>
          <w:szCs w:val="24"/>
        </w:rPr>
        <w:t>comments</w:t>
      </w:r>
      <w:r w:rsidR="00A2112D">
        <w:rPr>
          <w:rFonts w:ascii="Times New Roman" w:hAnsi="Times New Roman" w:cs="Times New Roman"/>
          <w:sz w:val="24"/>
          <w:szCs w:val="24"/>
        </w:rPr>
        <w:t xml:space="preserve"> </w:t>
      </w:r>
      <w:r w:rsidR="00563105">
        <w:rPr>
          <w:rFonts w:ascii="Times New Roman" w:hAnsi="Times New Roman" w:cs="Times New Roman"/>
          <w:sz w:val="24"/>
          <w:szCs w:val="24"/>
        </w:rPr>
        <w:t xml:space="preserve">in response to discussion held at the Washington Utilities and Transportation Commission (Commission) at its July 27, 2012 open meeting </w:t>
      </w:r>
      <w:r w:rsidR="00933E9F">
        <w:rPr>
          <w:rFonts w:ascii="Times New Roman" w:hAnsi="Times New Roman" w:cs="Times New Roman"/>
          <w:sz w:val="24"/>
          <w:szCs w:val="24"/>
        </w:rPr>
        <w:t xml:space="preserve">regarding the Company’s June 1, 2012 Renewable Report (Renewable Report). </w:t>
      </w:r>
      <w:r w:rsidR="00563105">
        <w:rPr>
          <w:rFonts w:ascii="Times New Roman" w:hAnsi="Times New Roman" w:cs="Times New Roman"/>
          <w:sz w:val="24"/>
          <w:szCs w:val="24"/>
        </w:rPr>
        <w:t xml:space="preserve"> </w:t>
      </w:r>
      <w:r w:rsidR="00B46836">
        <w:rPr>
          <w:rFonts w:ascii="Times New Roman" w:hAnsi="Times New Roman" w:cs="Times New Roman"/>
          <w:sz w:val="24"/>
          <w:szCs w:val="24"/>
        </w:rPr>
        <w:t>T</w:t>
      </w:r>
      <w:r w:rsidR="00563105">
        <w:rPr>
          <w:rFonts w:ascii="Times New Roman" w:hAnsi="Times New Roman" w:cs="Times New Roman"/>
          <w:sz w:val="24"/>
          <w:szCs w:val="24"/>
        </w:rPr>
        <w:t>he</w:t>
      </w:r>
      <w:r w:rsidR="00C50836">
        <w:rPr>
          <w:rFonts w:ascii="Times New Roman" w:hAnsi="Times New Roman" w:cs="Times New Roman"/>
          <w:sz w:val="24"/>
          <w:szCs w:val="24"/>
        </w:rPr>
        <w:t>se</w:t>
      </w:r>
      <w:r w:rsidR="00563105">
        <w:rPr>
          <w:rFonts w:ascii="Times New Roman" w:hAnsi="Times New Roman" w:cs="Times New Roman"/>
          <w:sz w:val="24"/>
          <w:szCs w:val="24"/>
        </w:rPr>
        <w:t xml:space="preserve"> comments are also responsive to comments filed on July 16, 2012 by Commission Staff (Staff) and joint comments by the Northwest Energy Coalition (NWEC) and Renewable Northwest Project (RNP).</w:t>
      </w:r>
    </w:p>
    <w:p w:rsidR="00563105" w:rsidRDefault="00563105" w:rsidP="007E18F8">
      <w:pPr>
        <w:pStyle w:val="NoSpacing"/>
        <w:jc w:val="both"/>
        <w:rPr>
          <w:rFonts w:ascii="Times New Roman" w:hAnsi="Times New Roman" w:cs="Times New Roman"/>
          <w:sz w:val="24"/>
          <w:szCs w:val="24"/>
        </w:rPr>
      </w:pPr>
    </w:p>
    <w:p w:rsidR="00986F95" w:rsidRDefault="00986F95" w:rsidP="00986F95">
      <w:pPr>
        <w:pStyle w:val="NoSpacing"/>
        <w:numPr>
          <w:ilvl w:val="0"/>
          <w:numId w:val="22"/>
        </w:numPr>
        <w:ind w:left="0" w:firstLine="0"/>
        <w:jc w:val="both"/>
        <w:rPr>
          <w:rFonts w:ascii="Times New Roman" w:hAnsi="Times New Roman" w:cs="Times New Roman"/>
          <w:b/>
          <w:sz w:val="24"/>
          <w:szCs w:val="24"/>
        </w:rPr>
      </w:pPr>
      <w:r>
        <w:rPr>
          <w:rFonts w:ascii="Times New Roman" w:hAnsi="Times New Roman" w:cs="Times New Roman"/>
          <w:b/>
          <w:sz w:val="24"/>
          <w:szCs w:val="24"/>
        </w:rPr>
        <w:t>Introduction and Summary</w:t>
      </w:r>
    </w:p>
    <w:p w:rsidR="00986F95" w:rsidRDefault="00986F95" w:rsidP="00986F95">
      <w:pPr>
        <w:pStyle w:val="NoSpacing"/>
        <w:jc w:val="both"/>
        <w:rPr>
          <w:rFonts w:ascii="Times New Roman" w:hAnsi="Times New Roman" w:cs="Times New Roman"/>
          <w:b/>
          <w:sz w:val="24"/>
          <w:szCs w:val="24"/>
        </w:rPr>
      </w:pPr>
    </w:p>
    <w:p w:rsidR="00986F95" w:rsidRDefault="00986F95" w:rsidP="00986F95">
      <w:pPr>
        <w:pStyle w:val="NoSpacing"/>
        <w:jc w:val="both"/>
        <w:rPr>
          <w:rFonts w:ascii="Times New Roman" w:hAnsi="Times New Roman" w:cs="Times New Roman"/>
          <w:sz w:val="24"/>
          <w:szCs w:val="24"/>
        </w:rPr>
      </w:pPr>
      <w:r>
        <w:rPr>
          <w:rFonts w:ascii="Times New Roman" w:hAnsi="Times New Roman" w:cs="Times New Roman"/>
          <w:sz w:val="24"/>
          <w:szCs w:val="24"/>
        </w:rPr>
        <w:t>Following the July 27, 2012 open meeting, interested parties developed a list of issues associated with utilities’ filings of their renewable and conservation achievement reports under the energy independence act (EIA), RCW 19.285 and WAC 480-109.  Staff requested that parties address in their comments whether each issue needs to be addressed by the Commission now, prior to issuing an order, or could be resolved at</w:t>
      </w:r>
      <w:r w:rsidR="00D003C2">
        <w:rPr>
          <w:rFonts w:ascii="Times New Roman" w:hAnsi="Times New Roman" w:cs="Times New Roman"/>
          <w:sz w:val="24"/>
          <w:szCs w:val="24"/>
        </w:rPr>
        <w:t xml:space="preserve"> a</w:t>
      </w:r>
      <w:r>
        <w:rPr>
          <w:rFonts w:ascii="Times New Roman" w:hAnsi="Times New Roman" w:cs="Times New Roman"/>
          <w:sz w:val="24"/>
          <w:szCs w:val="24"/>
        </w:rPr>
        <w:t xml:space="preserve"> later time.  In addition, Staff requested comment on what process should be utilized in order to address issues to be resolved at a later time.  </w:t>
      </w:r>
    </w:p>
    <w:p w:rsidR="00986F95" w:rsidRDefault="00986F95" w:rsidP="00986F95">
      <w:pPr>
        <w:pStyle w:val="NoSpacing"/>
        <w:jc w:val="both"/>
        <w:rPr>
          <w:rFonts w:ascii="Times New Roman" w:hAnsi="Times New Roman" w:cs="Times New Roman"/>
          <w:b/>
          <w:sz w:val="24"/>
          <w:szCs w:val="24"/>
        </w:rPr>
      </w:pPr>
    </w:p>
    <w:p w:rsidR="003A7138" w:rsidRDefault="00E8451B">
      <w:pPr>
        <w:rPr>
          <w:rFonts w:ascii="Times New Roman" w:eastAsiaTheme="minorHAnsi" w:hAnsi="Times New Roman"/>
          <w:szCs w:val="24"/>
        </w:rPr>
      </w:pPr>
      <w:r>
        <w:rPr>
          <w:rFonts w:ascii="Times New Roman" w:hAnsi="Times New Roman"/>
          <w:szCs w:val="24"/>
        </w:rPr>
        <w:t xml:space="preserve">In general, the Company agrees with Staff and other parties that there are numerous issues that remain unresolved with respect to the </w:t>
      </w:r>
      <w:r w:rsidR="00E77E2D">
        <w:rPr>
          <w:rFonts w:ascii="Times New Roman" w:hAnsi="Times New Roman"/>
          <w:szCs w:val="24"/>
        </w:rPr>
        <w:t>renewable portfolio standard (RPS)</w:t>
      </w:r>
      <w:r>
        <w:rPr>
          <w:rFonts w:ascii="Times New Roman" w:hAnsi="Times New Roman"/>
          <w:szCs w:val="24"/>
        </w:rPr>
        <w:t xml:space="preserve"> compliance and reporting requirements.  However, none of the issues raised by Staff or other parties </w:t>
      </w:r>
      <w:r w:rsidR="00E77E2D">
        <w:rPr>
          <w:rFonts w:ascii="Times New Roman" w:hAnsi="Times New Roman"/>
          <w:szCs w:val="24"/>
        </w:rPr>
        <w:t>should</w:t>
      </w:r>
      <w:r>
        <w:rPr>
          <w:rFonts w:ascii="Times New Roman" w:hAnsi="Times New Roman"/>
          <w:szCs w:val="24"/>
        </w:rPr>
        <w:t xml:space="preserve"> prevent the Commission from approving the </w:t>
      </w:r>
      <w:r w:rsidR="00E77E2D">
        <w:rPr>
          <w:rFonts w:ascii="Times New Roman" w:hAnsi="Times New Roman"/>
          <w:szCs w:val="24"/>
        </w:rPr>
        <w:t xml:space="preserve">Company’s </w:t>
      </w:r>
      <w:r>
        <w:rPr>
          <w:rFonts w:ascii="Times New Roman" w:hAnsi="Times New Roman"/>
          <w:szCs w:val="24"/>
        </w:rPr>
        <w:t xml:space="preserve">Renewable Report as filed.  The Company requests that the Commission issue an order in this docket approving the Renewable Report as consistent with relevant reporting requirements.  The Company also urges the Commission to provide further guidance with respect to many of the issues listed below, but solely as it applies to future reports.  </w:t>
      </w:r>
      <w:r w:rsidR="003A7138">
        <w:rPr>
          <w:rFonts w:ascii="Times New Roman" w:hAnsi="Times New Roman"/>
          <w:szCs w:val="24"/>
        </w:rPr>
        <w:br w:type="page"/>
      </w:r>
    </w:p>
    <w:p w:rsidR="00986F95" w:rsidRDefault="00986F95" w:rsidP="00986F95">
      <w:pPr>
        <w:pStyle w:val="NoSpacing"/>
        <w:numPr>
          <w:ilvl w:val="0"/>
          <w:numId w:val="22"/>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Response to List of Issues</w:t>
      </w:r>
    </w:p>
    <w:p w:rsidR="00986F95" w:rsidRDefault="00986F95" w:rsidP="00986F95">
      <w:pPr>
        <w:pStyle w:val="NoSpacing"/>
        <w:ind w:left="720"/>
        <w:jc w:val="both"/>
        <w:rPr>
          <w:rFonts w:ascii="Times New Roman" w:hAnsi="Times New Roman" w:cs="Times New Roman"/>
          <w:b/>
          <w:i/>
          <w:sz w:val="24"/>
          <w:szCs w:val="24"/>
        </w:rPr>
      </w:pPr>
    </w:p>
    <w:p w:rsidR="00A2112D" w:rsidRPr="005754DD" w:rsidRDefault="005754DD" w:rsidP="00986F95">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 xml:space="preserve">Two-step </w:t>
      </w:r>
      <w:r w:rsidR="008C183A">
        <w:rPr>
          <w:rFonts w:ascii="Times New Roman" w:hAnsi="Times New Roman" w:cs="Times New Roman"/>
          <w:b/>
          <w:i/>
          <w:sz w:val="24"/>
          <w:szCs w:val="24"/>
        </w:rPr>
        <w:t>c</w:t>
      </w:r>
      <w:r>
        <w:rPr>
          <w:rFonts w:ascii="Times New Roman" w:hAnsi="Times New Roman" w:cs="Times New Roman"/>
          <w:b/>
          <w:i/>
          <w:sz w:val="24"/>
          <w:szCs w:val="24"/>
        </w:rPr>
        <w:t xml:space="preserve">ompliance </w:t>
      </w:r>
    </w:p>
    <w:p w:rsidR="005754DD" w:rsidRDefault="005754DD" w:rsidP="007E18F8">
      <w:pPr>
        <w:pStyle w:val="NoSpacing"/>
        <w:jc w:val="both"/>
        <w:rPr>
          <w:rFonts w:ascii="Times New Roman" w:hAnsi="Times New Roman" w:cs="Times New Roman"/>
          <w:sz w:val="24"/>
          <w:szCs w:val="24"/>
        </w:rPr>
      </w:pPr>
    </w:p>
    <w:p w:rsidR="00D96DE0" w:rsidRDefault="005754DD" w:rsidP="007E18F8">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noted at the July 27, 2012 </w:t>
      </w:r>
      <w:r w:rsidR="003A7138">
        <w:rPr>
          <w:rFonts w:ascii="Times New Roman" w:hAnsi="Times New Roman" w:cs="Times New Roman"/>
          <w:sz w:val="24"/>
          <w:szCs w:val="24"/>
        </w:rPr>
        <w:t xml:space="preserve">open </w:t>
      </w:r>
      <w:r>
        <w:rPr>
          <w:rFonts w:ascii="Times New Roman" w:hAnsi="Times New Roman" w:cs="Times New Roman"/>
          <w:sz w:val="24"/>
          <w:szCs w:val="24"/>
        </w:rPr>
        <w:t xml:space="preserve">meeting and in Staff comments, it will be difficult for the Commission to </w:t>
      </w:r>
      <w:r w:rsidR="00563105">
        <w:rPr>
          <w:rFonts w:ascii="Times New Roman" w:hAnsi="Times New Roman" w:cs="Times New Roman"/>
          <w:sz w:val="24"/>
          <w:szCs w:val="24"/>
        </w:rPr>
        <w:t xml:space="preserve">evaluate compliance with the </w:t>
      </w:r>
      <w:r w:rsidR="00E77E2D">
        <w:rPr>
          <w:rFonts w:ascii="Times New Roman" w:hAnsi="Times New Roman" w:cs="Times New Roman"/>
          <w:sz w:val="24"/>
          <w:szCs w:val="24"/>
        </w:rPr>
        <w:t>RPS</w:t>
      </w:r>
      <w:r w:rsidR="00563105">
        <w:rPr>
          <w:rFonts w:ascii="Times New Roman" w:hAnsi="Times New Roman" w:cs="Times New Roman"/>
          <w:sz w:val="24"/>
          <w:szCs w:val="24"/>
        </w:rPr>
        <w:t xml:space="preserve"> </w:t>
      </w:r>
      <w:r w:rsidR="0068565F">
        <w:rPr>
          <w:rFonts w:ascii="Times New Roman" w:hAnsi="Times New Roman" w:cs="Times New Roman"/>
          <w:sz w:val="24"/>
          <w:szCs w:val="24"/>
        </w:rPr>
        <w:t>2012 annual target</w:t>
      </w:r>
      <w:r w:rsidR="00563105">
        <w:rPr>
          <w:rFonts w:ascii="Times New Roman" w:hAnsi="Times New Roman" w:cs="Times New Roman"/>
          <w:sz w:val="24"/>
          <w:szCs w:val="24"/>
        </w:rPr>
        <w:t xml:space="preserve"> set forth in RCW 19.285.</w:t>
      </w:r>
      <w:r w:rsidR="0068565F">
        <w:rPr>
          <w:rFonts w:ascii="Times New Roman" w:hAnsi="Times New Roman" w:cs="Times New Roman"/>
          <w:sz w:val="24"/>
          <w:szCs w:val="24"/>
        </w:rPr>
        <w:t>040(2)(a)(i)</w:t>
      </w:r>
      <w:r>
        <w:rPr>
          <w:rFonts w:ascii="Times New Roman" w:hAnsi="Times New Roman" w:cs="Times New Roman"/>
          <w:sz w:val="24"/>
          <w:szCs w:val="24"/>
        </w:rPr>
        <w:t xml:space="preserve"> at this time because compliance for any given </w:t>
      </w:r>
      <w:r w:rsidR="0068565F">
        <w:rPr>
          <w:rFonts w:ascii="Times New Roman" w:hAnsi="Times New Roman" w:cs="Times New Roman"/>
          <w:sz w:val="24"/>
          <w:szCs w:val="24"/>
        </w:rPr>
        <w:t xml:space="preserve">target </w:t>
      </w:r>
      <w:r>
        <w:rPr>
          <w:rFonts w:ascii="Times New Roman" w:hAnsi="Times New Roman" w:cs="Times New Roman"/>
          <w:sz w:val="24"/>
          <w:szCs w:val="24"/>
        </w:rPr>
        <w:t xml:space="preserve">year </w:t>
      </w:r>
      <w:r w:rsidR="0068565F">
        <w:rPr>
          <w:rFonts w:ascii="Times New Roman" w:hAnsi="Times New Roman" w:cs="Times New Roman"/>
          <w:sz w:val="24"/>
          <w:szCs w:val="24"/>
        </w:rPr>
        <w:t>can</w:t>
      </w:r>
      <w:r>
        <w:rPr>
          <w:rFonts w:ascii="Times New Roman" w:hAnsi="Times New Roman" w:cs="Times New Roman"/>
          <w:sz w:val="24"/>
          <w:szCs w:val="24"/>
        </w:rPr>
        <w:t>not be determined until subsequent years.</w:t>
      </w:r>
      <w:r w:rsidR="0068565F">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68565F">
        <w:rPr>
          <w:rFonts w:ascii="Times New Roman" w:hAnsi="Times New Roman" w:cs="Times New Roman"/>
          <w:sz w:val="24"/>
          <w:szCs w:val="24"/>
        </w:rPr>
        <w:t>This is because u</w:t>
      </w:r>
      <w:r>
        <w:rPr>
          <w:rFonts w:ascii="Times New Roman" w:hAnsi="Times New Roman" w:cs="Times New Roman"/>
          <w:sz w:val="24"/>
          <w:szCs w:val="24"/>
        </w:rPr>
        <w:t>nder RCW 19.285</w:t>
      </w:r>
      <w:r w:rsidR="0054722C">
        <w:rPr>
          <w:rFonts w:ascii="Times New Roman" w:hAnsi="Times New Roman" w:cs="Times New Roman"/>
          <w:sz w:val="24"/>
          <w:szCs w:val="24"/>
        </w:rPr>
        <w:t>.040(2)(e)</w:t>
      </w:r>
      <w:r>
        <w:rPr>
          <w:rFonts w:ascii="Times New Roman" w:hAnsi="Times New Roman" w:cs="Times New Roman"/>
          <w:sz w:val="24"/>
          <w:szCs w:val="24"/>
        </w:rPr>
        <w:t xml:space="preserve">, </w:t>
      </w:r>
      <w:r w:rsidR="0054722C">
        <w:rPr>
          <w:rFonts w:ascii="Times New Roman" w:hAnsi="Times New Roman" w:cs="Times New Roman"/>
          <w:sz w:val="24"/>
          <w:szCs w:val="24"/>
        </w:rPr>
        <w:t xml:space="preserve">the annual target can be met with </w:t>
      </w:r>
      <w:r>
        <w:rPr>
          <w:rFonts w:ascii="Times New Roman" w:hAnsi="Times New Roman" w:cs="Times New Roman"/>
          <w:sz w:val="24"/>
          <w:szCs w:val="24"/>
        </w:rPr>
        <w:t xml:space="preserve">renewable energy credits (RECs) </w:t>
      </w:r>
      <w:r w:rsidR="003A7138">
        <w:rPr>
          <w:rFonts w:ascii="Times New Roman" w:hAnsi="Times New Roman" w:cs="Times New Roman"/>
          <w:sz w:val="24"/>
          <w:szCs w:val="24"/>
        </w:rPr>
        <w:t xml:space="preserve">produced </w:t>
      </w:r>
      <w:r w:rsidR="0054722C">
        <w:rPr>
          <w:rFonts w:ascii="Times New Roman" w:hAnsi="Times New Roman" w:cs="Times New Roman"/>
          <w:sz w:val="24"/>
          <w:szCs w:val="24"/>
        </w:rPr>
        <w:t xml:space="preserve">during that year, the preceding year, or the subsequent year.  This means that compliance for target year 2012 </w:t>
      </w:r>
      <w:r w:rsidR="003A7138">
        <w:rPr>
          <w:rFonts w:ascii="Times New Roman" w:hAnsi="Times New Roman" w:cs="Times New Roman"/>
          <w:sz w:val="24"/>
          <w:szCs w:val="24"/>
        </w:rPr>
        <w:t>can</w:t>
      </w:r>
      <w:r w:rsidR="0054722C">
        <w:rPr>
          <w:rFonts w:ascii="Times New Roman" w:hAnsi="Times New Roman" w:cs="Times New Roman"/>
          <w:sz w:val="24"/>
          <w:szCs w:val="24"/>
        </w:rPr>
        <w:t xml:space="preserve">not be fully assessed until 2014.  </w:t>
      </w:r>
      <w:r w:rsidR="0068565F">
        <w:rPr>
          <w:rFonts w:ascii="Times New Roman" w:hAnsi="Times New Roman" w:cs="Times New Roman"/>
          <w:sz w:val="24"/>
          <w:szCs w:val="24"/>
        </w:rPr>
        <w:t>As suggested by NWEC at the July 27, 2012 open meeting, o</w:t>
      </w:r>
      <w:r w:rsidR="0054722C">
        <w:rPr>
          <w:rFonts w:ascii="Times New Roman" w:hAnsi="Times New Roman" w:cs="Times New Roman"/>
          <w:sz w:val="24"/>
          <w:szCs w:val="24"/>
        </w:rPr>
        <w:t xml:space="preserve">ne way to address this issue would be for the Commission to </w:t>
      </w:r>
      <w:r w:rsidR="0068565F">
        <w:rPr>
          <w:rFonts w:ascii="Times New Roman" w:hAnsi="Times New Roman" w:cs="Times New Roman"/>
          <w:sz w:val="24"/>
          <w:szCs w:val="24"/>
        </w:rPr>
        <w:t xml:space="preserve">issue an order with </w:t>
      </w:r>
      <w:r w:rsidR="0054722C">
        <w:rPr>
          <w:rFonts w:ascii="Times New Roman" w:hAnsi="Times New Roman" w:cs="Times New Roman"/>
          <w:sz w:val="24"/>
          <w:szCs w:val="24"/>
        </w:rPr>
        <w:t xml:space="preserve">a preliminary determination </w:t>
      </w:r>
      <w:r w:rsidR="0068565F">
        <w:rPr>
          <w:rFonts w:ascii="Times New Roman" w:hAnsi="Times New Roman" w:cs="Times New Roman"/>
          <w:sz w:val="24"/>
          <w:szCs w:val="24"/>
        </w:rPr>
        <w:t>on</w:t>
      </w:r>
      <w:r w:rsidR="003A7138">
        <w:rPr>
          <w:rFonts w:ascii="Times New Roman" w:hAnsi="Times New Roman" w:cs="Times New Roman"/>
          <w:sz w:val="24"/>
          <w:szCs w:val="24"/>
        </w:rPr>
        <w:t xml:space="preserve"> each utility’s</w:t>
      </w:r>
      <w:r w:rsidR="0068565F">
        <w:rPr>
          <w:rFonts w:ascii="Times New Roman" w:hAnsi="Times New Roman" w:cs="Times New Roman"/>
          <w:sz w:val="24"/>
          <w:szCs w:val="24"/>
        </w:rPr>
        <w:t xml:space="preserve"> </w:t>
      </w:r>
      <w:r w:rsidR="008C183A">
        <w:rPr>
          <w:rFonts w:ascii="Times New Roman" w:hAnsi="Times New Roman" w:cs="Times New Roman"/>
          <w:sz w:val="24"/>
          <w:szCs w:val="24"/>
        </w:rPr>
        <w:t>progress toward meeting the annual target</w:t>
      </w:r>
      <w:r w:rsidR="0068565F">
        <w:rPr>
          <w:rFonts w:ascii="Times New Roman" w:hAnsi="Times New Roman" w:cs="Times New Roman"/>
          <w:sz w:val="24"/>
          <w:szCs w:val="24"/>
        </w:rPr>
        <w:t xml:space="preserve"> following the submission of the annual report</w:t>
      </w:r>
      <w:r w:rsidR="001E5650">
        <w:rPr>
          <w:rFonts w:ascii="Times New Roman" w:hAnsi="Times New Roman" w:cs="Times New Roman"/>
          <w:sz w:val="24"/>
          <w:szCs w:val="24"/>
        </w:rPr>
        <w:t xml:space="preserve">.  A final determination of compliance </w:t>
      </w:r>
      <w:r w:rsidR="0068565F">
        <w:rPr>
          <w:rFonts w:ascii="Times New Roman" w:hAnsi="Times New Roman" w:cs="Times New Roman"/>
          <w:sz w:val="24"/>
          <w:szCs w:val="24"/>
        </w:rPr>
        <w:t>c</w:t>
      </w:r>
      <w:r w:rsidR="001E5650">
        <w:rPr>
          <w:rFonts w:ascii="Times New Roman" w:hAnsi="Times New Roman" w:cs="Times New Roman"/>
          <w:sz w:val="24"/>
          <w:szCs w:val="24"/>
        </w:rPr>
        <w:t xml:space="preserve">ould then be made at such </w:t>
      </w:r>
      <w:r w:rsidR="0068565F">
        <w:rPr>
          <w:rFonts w:ascii="Times New Roman" w:hAnsi="Times New Roman" w:cs="Times New Roman"/>
          <w:sz w:val="24"/>
          <w:szCs w:val="24"/>
        </w:rPr>
        <w:t>later</w:t>
      </w:r>
      <w:r w:rsidR="001E5650">
        <w:rPr>
          <w:rFonts w:ascii="Times New Roman" w:hAnsi="Times New Roman" w:cs="Times New Roman"/>
          <w:sz w:val="24"/>
          <w:szCs w:val="24"/>
        </w:rPr>
        <w:t xml:space="preserve"> time that compliance may be demonstrated</w:t>
      </w:r>
      <w:r w:rsidR="0068565F">
        <w:rPr>
          <w:rFonts w:ascii="Times New Roman" w:hAnsi="Times New Roman" w:cs="Times New Roman"/>
          <w:sz w:val="24"/>
          <w:szCs w:val="24"/>
        </w:rPr>
        <w:t xml:space="preserve"> i.e., for the 2012 target year, compliance could be demonstrated in 2014</w:t>
      </w:r>
      <w:r w:rsidR="001E5650">
        <w:rPr>
          <w:rFonts w:ascii="Times New Roman" w:hAnsi="Times New Roman" w:cs="Times New Roman"/>
          <w:sz w:val="24"/>
          <w:szCs w:val="24"/>
        </w:rPr>
        <w:t xml:space="preserve">.  </w:t>
      </w:r>
      <w:r w:rsidR="00D96DE0">
        <w:rPr>
          <w:rFonts w:ascii="Times New Roman" w:hAnsi="Times New Roman" w:cs="Times New Roman"/>
          <w:sz w:val="24"/>
          <w:szCs w:val="24"/>
        </w:rPr>
        <w:t>T</w:t>
      </w:r>
      <w:r w:rsidR="001E5650">
        <w:rPr>
          <w:rFonts w:ascii="Times New Roman" w:hAnsi="Times New Roman" w:cs="Times New Roman"/>
          <w:sz w:val="24"/>
          <w:szCs w:val="24"/>
        </w:rPr>
        <w:t xml:space="preserve">his approach is acceptable to </w:t>
      </w:r>
      <w:r w:rsidR="00D96DE0">
        <w:rPr>
          <w:rFonts w:ascii="Times New Roman" w:hAnsi="Times New Roman" w:cs="Times New Roman"/>
          <w:sz w:val="24"/>
          <w:szCs w:val="24"/>
        </w:rPr>
        <w:t>the Company</w:t>
      </w:r>
      <w:r w:rsidR="0068565F">
        <w:rPr>
          <w:rFonts w:ascii="Times New Roman" w:hAnsi="Times New Roman" w:cs="Times New Roman"/>
          <w:sz w:val="24"/>
          <w:szCs w:val="24"/>
        </w:rPr>
        <w:t>.</w:t>
      </w:r>
      <w:r w:rsidR="001E5650">
        <w:rPr>
          <w:rFonts w:ascii="Times New Roman" w:hAnsi="Times New Roman" w:cs="Times New Roman"/>
          <w:sz w:val="24"/>
          <w:szCs w:val="24"/>
        </w:rPr>
        <w:t xml:space="preserve"> </w:t>
      </w:r>
      <w:r w:rsidR="0068565F">
        <w:rPr>
          <w:rFonts w:ascii="Times New Roman" w:hAnsi="Times New Roman" w:cs="Times New Roman"/>
          <w:sz w:val="24"/>
          <w:szCs w:val="24"/>
        </w:rPr>
        <w:t xml:space="preserve"> </w:t>
      </w:r>
    </w:p>
    <w:p w:rsidR="00D96DE0" w:rsidRDefault="00D96DE0" w:rsidP="007E18F8">
      <w:pPr>
        <w:pStyle w:val="NoSpacing"/>
        <w:jc w:val="both"/>
        <w:rPr>
          <w:rFonts w:ascii="Times New Roman" w:hAnsi="Times New Roman" w:cs="Times New Roman"/>
          <w:sz w:val="24"/>
          <w:szCs w:val="24"/>
        </w:rPr>
      </w:pPr>
    </w:p>
    <w:p w:rsidR="00D96DE0" w:rsidRDefault="008C183A" w:rsidP="007E18F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issue should be </w:t>
      </w:r>
      <w:r w:rsidR="00D96DE0">
        <w:rPr>
          <w:rFonts w:ascii="Times New Roman" w:hAnsi="Times New Roman" w:cs="Times New Roman"/>
          <w:sz w:val="24"/>
          <w:szCs w:val="24"/>
        </w:rPr>
        <w:t xml:space="preserve">addressed now as the June 1, 2012 </w:t>
      </w:r>
      <w:r>
        <w:rPr>
          <w:rFonts w:ascii="Times New Roman" w:hAnsi="Times New Roman" w:cs="Times New Roman"/>
          <w:sz w:val="24"/>
          <w:szCs w:val="24"/>
        </w:rPr>
        <w:t>annual reports are currently before the Commission and certainty is needed with respect to how the Commission will assess the reports</w:t>
      </w:r>
      <w:r w:rsidR="00D96DE0">
        <w:rPr>
          <w:rFonts w:ascii="Times New Roman" w:hAnsi="Times New Roman" w:cs="Times New Roman"/>
          <w:sz w:val="24"/>
          <w:szCs w:val="24"/>
        </w:rPr>
        <w:t>.</w:t>
      </w:r>
    </w:p>
    <w:p w:rsidR="00D96DE0" w:rsidRDefault="00D96DE0" w:rsidP="007E18F8">
      <w:pPr>
        <w:pStyle w:val="NoSpacing"/>
        <w:jc w:val="both"/>
        <w:rPr>
          <w:rFonts w:ascii="Times New Roman" w:hAnsi="Times New Roman" w:cs="Times New Roman"/>
          <w:sz w:val="24"/>
          <w:szCs w:val="24"/>
        </w:rPr>
      </w:pPr>
    </w:p>
    <w:p w:rsidR="00D63806" w:rsidRDefault="00D63806"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Reporting year information: current or preceding year</w:t>
      </w:r>
    </w:p>
    <w:p w:rsidR="00DE54E6" w:rsidRPr="005754DD" w:rsidRDefault="00DE54E6"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January 1 required actions for compliance</w:t>
      </w:r>
    </w:p>
    <w:p w:rsidR="002827AD" w:rsidRDefault="002827AD" w:rsidP="007E18F8">
      <w:pPr>
        <w:pStyle w:val="NoSpacing"/>
        <w:jc w:val="both"/>
        <w:rPr>
          <w:rFonts w:ascii="Times New Roman" w:hAnsi="Times New Roman" w:cs="Times New Roman"/>
          <w:sz w:val="24"/>
          <w:szCs w:val="24"/>
        </w:rPr>
      </w:pPr>
    </w:p>
    <w:p w:rsidR="00DE766D" w:rsidRDefault="00DE766D" w:rsidP="00DE76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Company has worked with Staff and parties to supply the information and documentation requested as part of its Renewable Report.  As discussed below, the statute and rules are neither consistent nor clear on what is required in the annual June 1 renewable report.  Therefore, as its highest priority </w:t>
      </w:r>
      <w:r w:rsidR="00BD308C">
        <w:rPr>
          <w:rFonts w:ascii="Times New Roman" w:hAnsi="Times New Roman" w:cs="Times New Roman"/>
          <w:sz w:val="24"/>
          <w:szCs w:val="24"/>
        </w:rPr>
        <w:t xml:space="preserve">going forward </w:t>
      </w:r>
      <w:r>
        <w:rPr>
          <w:rFonts w:ascii="Times New Roman" w:hAnsi="Times New Roman" w:cs="Times New Roman"/>
          <w:sz w:val="24"/>
          <w:szCs w:val="24"/>
        </w:rPr>
        <w:t xml:space="preserve">the Company requests certainty regarding what should and should not be included in the annual report.  </w:t>
      </w:r>
      <w:r w:rsidR="00E77E2D">
        <w:rPr>
          <w:rFonts w:ascii="Times New Roman" w:hAnsi="Times New Roman" w:cs="Times New Roman"/>
          <w:sz w:val="24"/>
          <w:szCs w:val="24"/>
        </w:rPr>
        <w:t>G</w:t>
      </w:r>
      <w:r>
        <w:rPr>
          <w:rFonts w:ascii="Times New Roman" w:hAnsi="Times New Roman" w:cs="Times New Roman"/>
          <w:sz w:val="24"/>
          <w:szCs w:val="24"/>
        </w:rPr>
        <w:t xml:space="preserve">iven the ambiguity in the statute and rules, and because the Company supplied information consistent with Staff’s requests and guidance, the Commission should accept or approve the </w:t>
      </w:r>
      <w:r w:rsidR="00BD308C">
        <w:rPr>
          <w:rFonts w:ascii="Times New Roman" w:hAnsi="Times New Roman" w:cs="Times New Roman"/>
          <w:sz w:val="24"/>
          <w:szCs w:val="24"/>
        </w:rPr>
        <w:t xml:space="preserve">current </w:t>
      </w:r>
      <w:r>
        <w:rPr>
          <w:rFonts w:ascii="Times New Roman" w:hAnsi="Times New Roman" w:cs="Times New Roman"/>
          <w:sz w:val="24"/>
          <w:szCs w:val="24"/>
        </w:rPr>
        <w:t xml:space="preserve">Renewable Report as filed.  </w:t>
      </w:r>
    </w:p>
    <w:p w:rsidR="00DE766D" w:rsidRDefault="00DE766D" w:rsidP="007E18F8">
      <w:pPr>
        <w:pStyle w:val="NoSpacing"/>
        <w:jc w:val="both"/>
        <w:rPr>
          <w:rFonts w:ascii="Times New Roman" w:hAnsi="Times New Roman" w:cs="Times New Roman"/>
          <w:sz w:val="24"/>
          <w:szCs w:val="24"/>
        </w:rPr>
      </w:pPr>
    </w:p>
    <w:p w:rsidR="00A3236C" w:rsidRDefault="008C183A" w:rsidP="007E18F8">
      <w:pPr>
        <w:pStyle w:val="NoSpacing"/>
        <w:jc w:val="both"/>
        <w:rPr>
          <w:rFonts w:ascii="Times New Roman" w:hAnsi="Times New Roman" w:cs="Times New Roman"/>
          <w:sz w:val="24"/>
          <w:szCs w:val="24"/>
        </w:rPr>
      </w:pPr>
      <w:r>
        <w:rPr>
          <w:rFonts w:ascii="Times New Roman" w:hAnsi="Times New Roman" w:cs="Times New Roman"/>
          <w:sz w:val="24"/>
          <w:szCs w:val="24"/>
        </w:rPr>
        <w:t xml:space="preserve">RCW 19.285.070 states that “on or before June 1, 2012, and annually thereafter, each qualifying utility shall report to the department on its progress in the </w:t>
      </w:r>
      <w:r w:rsidRPr="001E5650">
        <w:rPr>
          <w:rFonts w:ascii="Times New Roman" w:hAnsi="Times New Roman" w:cs="Times New Roman"/>
          <w:i/>
          <w:sz w:val="24"/>
          <w:szCs w:val="24"/>
        </w:rPr>
        <w:t>preceding year</w:t>
      </w:r>
      <w:r>
        <w:rPr>
          <w:rFonts w:ascii="Times New Roman" w:hAnsi="Times New Roman" w:cs="Times New Roman"/>
          <w:sz w:val="24"/>
          <w:szCs w:val="24"/>
        </w:rPr>
        <w:t xml:space="preserve"> in meeting the targets established….” (emphasis added).  While it is clear that the first report is due June 1, 2012, it </w:t>
      </w:r>
      <w:r w:rsidR="00FC124E">
        <w:rPr>
          <w:rFonts w:ascii="Times New Roman" w:hAnsi="Times New Roman" w:cs="Times New Roman"/>
          <w:sz w:val="24"/>
          <w:szCs w:val="24"/>
        </w:rPr>
        <w:t xml:space="preserve">is </w:t>
      </w:r>
      <w:r>
        <w:rPr>
          <w:rFonts w:ascii="Times New Roman" w:hAnsi="Times New Roman" w:cs="Times New Roman"/>
          <w:sz w:val="24"/>
          <w:szCs w:val="24"/>
        </w:rPr>
        <w:t>unclear as to what is required in that report because there is no annual target set for the “preceding year” i.e. 2011.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F76D77">
        <w:rPr>
          <w:rFonts w:ascii="Times New Roman" w:hAnsi="Times New Roman" w:cs="Times New Roman"/>
          <w:sz w:val="24"/>
          <w:szCs w:val="24"/>
        </w:rPr>
        <w:t xml:space="preserve">Therefore, it is unclear what “progress in the preceding year” means </w:t>
      </w:r>
      <w:r w:rsidR="00F76D77">
        <w:rPr>
          <w:rFonts w:ascii="Times New Roman" w:hAnsi="Times New Roman" w:cs="Times New Roman"/>
          <w:sz w:val="24"/>
          <w:szCs w:val="24"/>
        </w:rPr>
        <w:lastRenderedPageBreak/>
        <w:t xml:space="preserve">with respect to the 2012 annual report.  </w:t>
      </w:r>
      <w:r w:rsidR="00E77E2D">
        <w:rPr>
          <w:rFonts w:ascii="Times New Roman" w:hAnsi="Times New Roman" w:cs="Times New Roman"/>
          <w:sz w:val="24"/>
          <w:szCs w:val="24"/>
        </w:rPr>
        <w:t xml:space="preserve">Further, </w:t>
      </w:r>
      <w:r w:rsidR="00F76D77">
        <w:rPr>
          <w:rFonts w:ascii="Times New Roman" w:hAnsi="Times New Roman" w:cs="Times New Roman"/>
          <w:sz w:val="24"/>
          <w:szCs w:val="24"/>
        </w:rPr>
        <w:t xml:space="preserve">WAC 480-109-040(1)(d) </w:t>
      </w:r>
      <w:r w:rsidR="009060D9">
        <w:rPr>
          <w:rFonts w:ascii="Times New Roman" w:hAnsi="Times New Roman" w:cs="Times New Roman"/>
          <w:sz w:val="24"/>
          <w:szCs w:val="24"/>
        </w:rPr>
        <w:t xml:space="preserve">requires the Company </w:t>
      </w:r>
      <w:r w:rsidR="00F76D77">
        <w:rPr>
          <w:rFonts w:ascii="Times New Roman" w:hAnsi="Times New Roman" w:cs="Times New Roman"/>
          <w:sz w:val="24"/>
          <w:szCs w:val="24"/>
        </w:rPr>
        <w:t xml:space="preserve">to “describe the steps the utility is taking to meet the renewable resource requirements in the </w:t>
      </w:r>
      <w:r w:rsidR="00F76D77" w:rsidRPr="00F76D77">
        <w:rPr>
          <w:rFonts w:ascii="Times New Roman" w:hAnsi="Times New Roman" w:cs="Times New Roman"/>
          <w:i/>
          <w:sz w:val="24"/>
          <w:szCs w:val="24"/>
        </w:rPr>
        <w:t>current year</w:t>
      </w:r>
      <w:r w:rsidR="00F76D77">
        <w:rPr>
          <w:rFonts w:ascii="Times New Roman" w:hAnsi="Times New Roman" w:cs="Times New Roman"/>
          <w:sz w:val="24"/>
          <w:szCs w:val="24"/>
        </w:rPr>
        <w:t>.”  (emphasis added).  RNP/NWEC argue that “current year” means the next target</w:t>
      </w:r>
      <w:r w:rsidR="00FC124E">
        <w:rPr>
          <w:rFonts w:ascii="Times New Roman" w:hAnsi="Times New Roman" w:cs="Times New Roman"/>
          <w:sz w:val="24"/>
          <w:szCs w:val="24"/>
        </w:rPr>
        <w:t xml:space="preserve"> date</w:t>
      </w:r>
      <w:r w:rsidR="00F76D77">
        <w:rPr>
          <w:rFonts w:ascii="Times New Roman" w:hAnsi="Times New Roman" w:cs="Times New Roman"/>
          <w:sz w:val="24"/>
          <w:szCs w:val="24"/>
        </w:rPr>
        <w:t xml:space="preserve"> (</w:t>
      </w:r>
      <w:r w:rsidR="00F76D77">
        <w:rPr>
          <w:rFonts w:ascii="Times New Roman" w:hAnsi="Times New Roman" w:cs="Times New Roman"/>
          <w:i/>
          <w:sz w:val="24"/>
          <w:szCs w:val="24"/>
        </w:rPr>
        <w:t>i.e.</w:t>
      </w:r>
      <w:r w:rsidR="00F76D77">
        <w:rPr>
          <w:rFonts w:ascii="Times New Roman" w:hAnsi="Times New Roman" w:cs="Times New Roman"/>
          <w:sz w:val="24"/>
          <w:szCs w:val="24"/>
        </w:rPr>
        <w:t>, 1/1/2013).</w:t>
      </w:r>
      <w:r w:rsidR="00A3236C">
        <w:rPr>
          <w:rStyle w:val="FootnoteReference"/>
          <w:rFonts w:ascii="Times New Roman" w:hAnsi="Times New Roman" w:cs="Times New Roman"/>
          <w:sz w:val="24"/>
          <w:szCs w:val="24"/>
        </w:rPr>
        <w:footnoteReference w:id="3"/>
      </w:r>
      <w:r w:rsidR="00F76D77">
        <w:rPr>
          <w:rFonts w:ascii="Times New Roman" w:hAnsi="Times New Roman" w:cs="Times New Roman"/>
          <w:sz w:val="24"/>
          <w:szCs w:val="24"/>
        </w:rPr>
        <w:t xml:space="preserve">  </w:t>
      </w:r>
    </w:p>
    <w:p w:rsidR="00A3236C" w:rsidRDefault="00A3236C" w:rsidP="007E18F8">
      <w:pPr>
        <w:pStyle w:val="NoSpacing"/>
        <w:jc w:val="both"/>
        <w:rPr>
          <w:rFonts w:ascii="Times New Roman" w:hAnsi="Times New Roman" w:cs="Times New Roman"/>
          <w:sz w:val="24"/>
          <w:szCs w:val="24"/>
        </w:rPr>
      </w:pPr>
    </w:p>
    <w:p w:rsidR="00F76D77" w:rsidRPr="00F76D77" w:rsidRDefault="00A3236C" w:rsidP="007E18F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Company understands that this is an attempt to give some meaning to the January 1 target date.  However, it is a strain of the statutory language and rules to interpret “preceding year” as current year and “current year” as next year.  Such a strained interpretation is simply not necessary because, as already discussed, it is simply not possible to actually demonstrate compliance </w:t>
      </w:r>
      <w:r w:rsidR="00C26D46">
        <w:rPr>
          <w:rFonts w:ascii="Times New Roman" w:hAnsi="Times New Roman" w:cs="Times New Roman"/>
          <w:sz w:val="24"/>
          <w:szCs w:val="24"/>
        </w:rPr>
        <w:t xml:space="preserve">for 2012 </w:t>
      </w:r>
      <w:r>
        <w:rPr>
          <w:rFonts w:ascii="Times New Roman" w:hAnsi="Times New Roman" w:cs="Times New Roman"/>
          <w:sz w:val="24"/>
          <w:szCs w:val="24"/>
        </w:rPr>
        <w:t xml:space="preserve">until 2014.  Until 2014, the June 1 annual report is necessarily a progress report because compliance cannot be fully verified until two years following the target year.  </w:t>
      </w:r>
    </w:p>
    <w:p w:rsidR="00F76D77" w:rsidRDefault="00F76D77" w:rsidP="007E18F8">
      <w:pPr>
        <w:pStyle w:val="NoSpacing"/>
        <w:jc w:val="both"/>
        <w:rPr>
          <w:rFonts w:ascii="Times New Roman" w:hAnsi="Times New Roman" w:cs="Times New Roman"/>
          <w:sz w:val="24"/>
          <w:szCs w:val="24"/>
        </w:rPr>
      </w:pPr>
    </w:p>
    <w:p w:rsidR="00DE54E6" w:rsidRDefault="00A3236C" w:rsidP="008E35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issue has become unnecessarily complicated.  The Company requests that the Commission issue an order </w:t>
      </w:r>
      <w:r w:rsidR="00DE766D">
        <w:rPr>
          <w:rFonts w:ascii="Times New Roman" w:hAnsi="Times New Roman" w:cs="Times New Roman"/>
          <w:sz w:val="24"/>
          <w:szCs w:val="24"/>
        </w:rPr>
        <w:t>accepting or approving the Renewable Report and clarifying</w:t>
      </w:r>
      <w:r>
        <w:rPr>
          <w:rFonts w:ascii="Times New Roman" w:hAnsi="Times New Roman" w:cs="Times New Roman"/>
          <w:sz w:val="24"/>
          <w:szCs w:val="24"/>
        </w:rPr>
        <w:t xml:space="preserve"> </w:t>
      </w:r>
      <w:r w:rsidR="00DE766D">
        <w:rPr>
          <w:rFonts w:ascii="Times New Roman" w:hAnsi="Times New Roman" w:cs="Times New Roman"/>
          <w:sz w:val="24"/>
          <w:szCs w:val="24"/>
        </w:rPr>
        <w:t xml:space="preserve">how </w:t>
      </w:r>
      <w:r>
        <w:rPr>
          <w:rFonts w:ascii="Times New Roman" w:hAnsi="Times New Roman" w:cs="Times New Roman"/>
          <w:sz w:val="24"/>
          <w:szCs w:val="24"/>
        </w:rPr>
        <w:t xml:space="preserve">progress toward the </w:t>
      </w:r>
      <w:r w:rsidR="00DE766D">
        <w:rPr>
          <w:rFonts w:ascii="Times New Roman" w:hAnsi="Times New Roman" w:cs="Times New Roman"/>
          <w:sz w:val="24"/>
          <w:szCs w:val="24"/>
        </w:rPr>
        <w:t xml:space="preserve">2012, </w:t>
      </w:r>
      <w:r>
        <w:rPr>
          <w:rFonts w:ascii="Times New Roman" w:hAnsi="Times New Roman" w:cs="Times New Roman"/>
          <w:sz w:val="24"/>
          <w:szCs w:val="24"/>
        </w:rPr>
        <w:t>2013</w:t>
      </w:r>
      <w:r w:rsidR="00DE766D">
        <w:rPr>
          <w:rFonts w:ascii="Times New Roman" w:hAnsi="Times New Roman" w:cs="Times New Roman"/>
          <w:sz w:val="24"/>
          <w:szCs w:val="24"/>
        </w:rPr>
        <w:t>, and 2014</w:t>
      </w:r>
      <w:r>
        <w:rPr>
          <w:rFonts w:ascii="Times New Roman" w:hAnsi="Times New Roman" w:cs="Times New Roman"/>
          <w:sz w:val="24"/>
          <w:szCs w:val="24"/>
        </w:rPr>
        <w:t xml:space="preserve"> annual targets </w:t>
      </w:r>
      <w:r w:rsidR="00DE766D">
        <w:rPr>
          <w:rFonts w:ascii="Times New Roman" w:hAnsi="Times New Roman" w:cs="Times New Roman"/>
          <w:sz w:val="24"/>
          <w:szCs w:val="24"/>
        </w:rPr>
        <w:t>should be demonstrated, if at all, in the 2013</w:t>
      </w:r>
      <w:r w:rsidR="000F3EDC">
        <w:rPr>
          <w:rFonts w:ascii="Times New Roman" w:hAnsi="Times New Roman" w:cs="Times New Roman"/>
          <w:sz w:val="24"/>
          <w:szCs w:val="24"/>
        </w:rPr>
        <w:t xml:space="preserve"> </w:t>
      </w:r>
      <w:r w:rsidR="00DE766D">
        <w:rPr>
          <w:rFonts w:ascii="Times New Roman" w:hAnsi="Times New Roman" w:cs="Times New Roman"/>
          <w:sz w:val="24"/>
          <w:szCs w:val="24"/>
        </w:rPr>
        <w:t xml:space="preserve">annual report.  </w:t>
      </w:r>
    </w:p>
    <w:p w:rsidR="00AC27F1" w:rsidRDefault="00AC27F1" w:rsidP="008E3571">
      <w:pPr>
        <w:pStyle w:val="NoSpacing"/>
        <w:jc w:val="both"/>
        <w:rPr>
          <w:rFonts w:ascii="Times New Roman" w:hAnsi="Times New Roman" w:cs="Times New Roman"/>
          <w:sz w:val="24"/>
          <w:szCs w:val="24"/>
        </w:rPr>
      </w:pPr>
    </w:p>
    <w:p w:rsidR="00AC27F1" w:rsidRDefault="00AC27F1" w:rsidP="00AC27F1">
      <w:pPr>
        <w:pStyle w:val="NoSpacing"/>
        <w:rPr>
          <w:rFonts w:ascii="Times New Roman" w:hAnsi="Times New Roman" w:cs="Times New Roman"/>
          <w:sz w:val="24"/>
          <w:szCs w:val="24"/>
        </w:rPr>
      </w:pPr>
      <w:r>
        <w:rPr>
          <w:rFonts w:ascii="Times New Roman" w:hAnsi="Times New Roman" w:cs="Times New Roman"/>
          <w:sz w:val="24"/>
          <w:szCs w:val="24"/>
        </w:rPr>
        <w:t xml:space="preserve">NWEC/RNP also raise an issue associated with the fact that the Company </w:t>
      </w:r>
      <w:r w:rsidR="00F966C7">
        <w:rPr>
          <w:rFonts w:ascii="Times New Roman" w:hAnsi="Times New Roman" w:cs="Times New Roman"/>
          <w:sz w:val="24"/>
          <w:szCs w:val="24"/>
        </w:rPr>
        <w:t>“</w:t>
      </w:r>
      <w:r>
        <w:rPr>
          <w:rFonts w:ascii="Times New Roman" w:hAnsi="Times New Roman" w:cs="Times New Roman"/>
          <w:sz w:val="24"/>
          <w:szCs w:val="24"/>
        </w:rPr>
        <w:t>only reported enough qualifying electricity to round up to meet the three percent target.</w:t>
      </w:r>
      <w:r w:rsidR="00F966C7">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As noted in the Renewable Report, most of the RECs identified for meeting the 2012 annual target were generated in the prior year.  Because the RECs were already generated, there is no risk of underperformance.  Only a small amount of generation (less than two 2 percent) will be used from eligible renewable resources generated in the 2012 target year.  To the extent that underperformance of assets becomes an issue in future target years, the Company will include this information in its annual report.</w:t>
      </w:r>
    </w:p>
    <w:p w:rsidR="00DE766D" w:rsidRDefault="00DE766D" w:rsidP="008E3571">
      <w:pPr>
        <w:pStyle w:val="NoSpacing"/>
        <w:jc w:val="both"/>
        <w:rPr>
          <w:rFonts w:ascii="Times New Roman" w:hAnsi="Times New Roman" w:cs="Times New Roman"/>
          <w:sz w:val="24"/>
          <w:szCs w:val="24"/>
        </w:rPr>
      </w:pPr>
    </w:p>
    <w:p w:rsidR="00DE54E6" w:rsidRDefault="00DE54E6"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 xml:space="preserve">Resource eligibility determination </w:t>
      </w:r>
    </w:p>
    <w:p w:rsidR="00DE54E6" w:rsidRPr="00DE54E6" w:rsidRDefault="00DE54E6" w:rsidP="00DE54E6">
      <w:pPr>
        <w:pStyle w:val="NoSpacing"/>
        <w:jc w:val="both"/>
        <w:rPr>
          <w:rFonts w:ascii="Times New Roman" w:hAnsi="Times New Roman" w:cs="Times New Roman"/>
          <w:b/>
          <w:sz w:val="24"/>
          <w:szCs w:val="24"/>
        </w:rPr>
      </w:pPr>
    </w:p>
    <w:p w:rsidR="00AA034D" w:rsidRDefault="00AA034D" w:rsidP="008E35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 ensure certainty that it will meet Washington RPS requirements, it is important to the Company that it receives formal verification that the resources it intends to apply toward Washington RPS compliance are qualifying eligible renewable resources.  </w:t>
      </w:r>
      <w:r w:rsidR="0081442A">
        <w:rPr>
          <w:rFonts w:ascii="Times New Roman" w:hAnsi="Times New Roman" w:cs="Times New Roman"/>
          <w:sz w:val="24"/>
          <w:szCs w:val="24"/>
        </w:rPr>
        <w:t>The Company</w:t>
      </w:r>
      <w:r w:rsidR="00DE54E6" w:rsidRPr="00DE54E6">
        <w:rPr>
          <w:rFonts w:ascii="Times New Roman" w:hAnsi="Times New Roman" w:cs="Times New Roman"/>
          <w:sz w:val="24"/>
          <w:szCs w:val="24"/>
        </w:rPr>
        <w:t xml:space="preserve"> requests that the </w:t>
      </w:r>
      <w:r w:rsidR="0081442A">
        <w:rPr>
          <w:rFonts w:ascii="Times New Roman" w:hAnsi="Times New Roman" w:cs="Times New Roman"/>
          <w:sz w:val="24"/>
          <w:szCs w:val="24"/>
        </w:rPr>
        <w:t>Commission</w:t>
      </w:r>
      <w:r w:rsidR="00DE54E6" w:rsidRPr="00DE54E6">
        <w:rPr>
          <w:rFonts w:ascii="Times New Roman" w:hAnsi="Times New Roman" w:cs="Times New Roman"/>
          <w:sz w:val="24"/>
          <w:szCs w:val="24"/>
        </w:rPr>
        <w:t xml:space="preserve"> </w:t>
      </w:r>
      <w:r w:rsidR="0081442A">
        <w:rPr>
          <w:rFonts w:ascii="Times New Roman" w:hAnsi="Times New Roman" w:cs="Times New Roman"/>
          <w:sz w:val="24"/>
          <w:szCs w:val="24"/>
        </w:rPr>
        <w:t>issue an order that includes</w:t>
      </w:r>
      <w:r w:rsidR="00DE54E6" w:rsidRPr="00DE54E6">
        <w:rPr>
          <w:rFonts w:ascii="Times New Roman" w:hAnsi="Times New Roman" w:cs="Times New Roman"/>
          <w:sz w:val="24"/>
          <w:szCs w:val="24"/>
        </w:rPr>
        <w:t xml:space="preserve"> a determination on eligibility of resou</w:t>
      </w:r>
      <w:r w:rsidR="00DE54E6" w:rsidRPr="0081442A">
        <w:rPr>
          <w:rFonts w:ascii="Times New Roman" w:hAnsi="Times New Roman" w:cs="Times New Roman"/>
          <w:sz w:val="24"/>
          <w:szCs w:val="24"/>
        </w:rPr>
        <w:t>rces</w:t>
      </w:r>
      <w:r w:rsidR="0081442A" w:rsidRPr="0081442A">
        <w:rPr>
          <w:rFonts w:ascii="Times New Roman" w:hAnsi="Times New Roman" w:cs="Times New Roman"/>
          <w:sz w:val="24"/>
          <w:szCs w:val="24"/>
        </w:rPr>
        <w:t xml:space="preserve"> for RPS compliance.  </w:t>
      </w:r>
      <w:r w:rsidR="0081442A">
        <w:rPr>
          <w:rFonts w:ascii="Times New Roman" w:hAnsi="Times New Roman" w:cs="Times New Roman"/>
          <w:sz w:val="24"/>
          <w:szCs w:val="24"/>
        </w:rPr>
        <w:t>The Company requests that this issue be</w:t>
      </w:r>
      <w:r w:rsidR="00DE54E6">
        <w:rPr>
          <w:rFonts w:ascii="Times New Roman" w:hAnsi="Times New Roman" w:cs="Times New Roman"/>
          <w:sz w:val="24"/>
          <w:szCs w:val="24"/>
        </w:rPr>
        <w:t xml:space="preserve"> addressed now as the June 1, 2012 report contains sufficient information for the Commission to determine whether or not resources are eligible under the </w:t>
      </w:r>
      <w:r w:rsidR="0081442A">
        <w:rPr>
          <w:rFonts w:ascii="Times New Roman" w:hAnsi="Times New Roman" w:cs="Times New Roman"/>
          <w:sz w:val="24"/>
          <w:szCs w:val="24"/>
        </w:rPr>
        <w:t>Washington RPS</w:t>
      </w:r>
      <w:r w:rsidR="00F30470">
        <w:rPr>
          <w:rFonts w:ascii="Times New Roman" w:hAnsi="Times New Roman" w:cs="Times New Roman"/>
          <w:sz w:val="24"/>
          <w:szCs w:val="24"/>
        </w:rPr>
        <w:t xml:space="preserve"> program</w:t>
      </w:r>
      <w:r w:rsidR="00DE54E6">
        <w:rPr>
          <w:rFonts w:ascii="Times New Roman" w:hAnsi="Times New Roman" w:cs="Times New Roman"/>
          <w:sz w:val="24"/>
          <w:szCs w:val="24"/>
        </w:rPr>
        <w:t xml:space="preserve">.  </w:t>
      </w:r>
      <w:r>
        <w:rPr>
          <w:rFonts w:ascii="Times New Roman" w:hAnsi="Times New Roman" w:cs="Times New Roman"/>
          <w:sz w:val="24"/>
          <w:szCs w:val="24"/>
        </w:rPr>
        <w:t xml:space="preserve">The Company proposes that verifying renewable resources as eligible as part of the annual reporting process is simpler and much more straightforward than the current alternative option, which is </w:t>
      </w:r>
      <w:r w:rsidR="00233F30">
        <w:rPr>
          <w:rFonts w:ascii="Times New Roman" w:hAnsi="Times New Roman" w:cs="Times New Roman"/>
          <w:sz w:val="24"/>
          <w:szCs w:val="24"/>
        </w:rPr>
        <w:t xml:space="preserve">to </w:t>
      </w:r>
      <w:r>
        <w:rPr>
          <w:rFonts w:ascii="Times New Roman" w:hAnsi="Times New Roman" w:cs="Times New Roman"/>
          <w:sz w:val="24"/>
          <w:szCs w:val="24"/>
        </w:rPr>
        <w:t>petition the Commission for a declaratory order.  Given the relatively straightforward eligibility criteria for most renewable resources, a petition for declaratory order is a more cumbersome process than seems necessary.</w:t>
      </w:r>
    </w:p>
    <w:p w:rsidR="00AA034D" w:rsidRDefault="00AA034D" w:rsidP="008E3571">
      <w:pPr>
        <w:pStyle w:val="NoSpacing"/>
        <w:jc w:val="both"/>
        <w:rPr>
          <w:rFonts w:ascii="Times New Roman" w:hAnsi="Times New Roman" w:cs="Times New Roman"/>
          <w:sz w:val="24"/>
          <w:szCs w:val="24"/>
        </w:rPr>
      </w:pPr>
    </w:p>
    <w:p w:rsidR="004534AD" w:rsidRDefault="004534AD"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Incremental hydro</w:t>
      </w:r>
    </w:p>
    <w:p w:rsidR="009D52E1" w:rsidRDefault="009D52E1" w:rsidP="009D52E1">
      <w:pPr>
        <w:pStyle w:val="NoSpacing"/>
        <w:ind w:left="720"/>
        <w:jc w:val="both"/>
        <w:rPr>
          <w:rFonts w:ascii="Times New Roman" w:hAnsi="Times New Roman" w:cs="Times New Roman"/>
          <w:b/>
          <w:i/>
          <w:sz w:val="24"/>
          <w:szCs w:val="24"/>
        </w:rPr>
      </w:pPr>
    </w:p>
    <w:p w:rsidR="009D52E1" w:rsidRDefault="009D52E1" w:rsidP="00E8451B">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Method review</w:t>
      </w:r>
    </w:p>
    <w:p w:rsidR="009D52E1" w:rsidRDefault="009D52E1" w:rsidP="00E8451B">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 xml:space="preserve">Method approval/selection </w:t>
      </w:r>
    </w:p>
    <w:p w:rsidR="00DE54E6" w:rsidRDefault="00DE54E6" w:rsidP="008E3571">
      <w:pPr>
        <w:pStyle w:val="NoSpacing"/>
        <w:jc w:val="both"/>
        <w:rPr>
          <w:rFonts w:ascii="Times New Roman" w:hAnsi="Times New Roman" w:cs="Times New Roman"/>
          <w:sz w:val="24"/>
          <w:szCs w:val="24"/>
        </w:rPr>
      </w:pPr>
    </w:p>
    <w:p w:rsidR="00C200C8" w:rsidRDefault="00C200C8" w:rsidP="008E35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statute and rules do not include a method for calculating incremental hydro for purposes of RPS eligibility.  </w:t>
      </w:r>
      <w:r w:rsidR="0081442A">
        <w:rPr>
          <w:rFonts w:ascii="Times New Roman" w:hAnsi="Times New Roman" w:cs="Times New Roman"/>
          <w:sz w:val="24"/>
          <w:szCs w:val="24"/>
        </w:rPr>
        <w:t>They</w:t>
      </w:r>
      <w:r>
        <w:rPr>
          <w:rFonts w:ascii="Times New Roman" w:hAnsi="Times New Roman" w:cs="Times New Roman"/>
          <w:sz w:val="24"/>
          <w:szCs w:val="24"/>
        </w:rPr>
        <w:t xml:space="preserve"> also do not include </w:t>
      </w:r>
      <w:r w:rsidR="0081442A">
        <w:rPr>
          <w:rFonts w:ascii="Times New Roman" w:hAnsi="Times New Roman" w:cs="Times New Roman"/>
          <w:sz w:val="24"/>
          <w:szCs w:val="24"/>
        </w:rPr>
        <w:t xml:space="preserve">the </w:t>
      </w:r>
      <w:r>
        <w:rPr>
          <w:rFonts w:ascii="Times New Roman" w:hAnsi="Times New Roman" w:cs="Times New Roman"/>
          <w:sz w:val="24"/>
          <w:szCs w:val="24"/>
        </w:rPr>
        <w:t xml:space="preserve">requirement that a single method be applied to all utilities.  While </w:t>
      </w:r>
      <w:r w:rsidR="0081442A">
        <w:rPr>
          <w:rFonts w:ascii="Times New Roman" w:hAnsi="Times New Roman" w:cs="Times New Roman"/>
          <w:sz w:val="24"/>
          <w:szCs w:val="24"/>
        </w:rPr>
        <w:t>the Company</w:t>
      </w:r>
      <w:r>
        <w:rPr>
          <w:rFonts w:ascii="Times New Roman" w:hAnsi="Times New Roman" w:cs="Times New Roman"/>
          <w:sz w:val="24"/>
          <w:szCs w:val="24"/>
        </w:rPr>
        <w:t xml:space="preserve"> understands a desire for consistency with respect to calculating incremental hydro, it is important in this context to consider that utilities </w:t>
      </w:r>
      <w:r w:rsidR="00AE35CB">
        <w:rPr>
          <w:rFonts w:ascii="Times New Roman" w:hAnsi="Times New Roman" w:cs="Times New Roman"/>
          <w:sz w:val="24"/>
          <w:szCs w:val="24"/>
        </w:rPr>
        <w:t xml:space="preserve">and </w:t>
      </w:r>
      <w:r w:rsidR="001F7637">
        <w:rPr>
          <w:rFonts w:ascii="Times New Roman" w:hAnsi="Times New Roman" w:cs="Times New Roman"/>
          <w:sz w:val="24"/>
          <w:szCs w:val="24"/>
        </w:rPr>
        <w:t xml:space="preserve">their </w:t>
      </w:r>
      <w:r w:rsidR="00AE35CB">
        <w:rPr>
          <w:rFonts w:ascii="Times New Roman" w:hAnsi="Times New Roman" w:cs="Times New Roman"/>
          <w:sz w:val="24"/>
          <w:szCs w:val="24"/>
        </w:rPr>
        <w:t xml:space="preserve">hydro facilities </w:t>
      </w:r>
      <w:r>
        <w:rPr>
          <w:rFonts w:ascii="Times New Roman" w:hAnsi="Times New Roman" w:cs="Times New Roman"/>
          <w:sz w:val="24"/>
          <w:szCs w:val="24"/>
        </w:rPr>
        <w:t>are differently situated</w:t>
      </w:r>
      <w:r w:rsidR="0081442A">
        <w:rPr>
          <w:rFonts w:ascii="Times New Roman" w:hAnsi="Times New Roman" w:cs="Times New Roman"/>
          <w:sz w:val="24"/>
          <w:szCs w:val="24"/>
        </w:rPr>
        <w:t xml:space="preserve"> and therefore it may be appropriate for different methodologies to be applied</w:t>
      </w:r>
      <w:r>
        <w:rPr>
          <w:rFonts w:ascii="Times New Roman" w:hAnsi="Times New Roman" w:cs="Times New Roman"/>
          <w:sz w:val="24"/>
          <w:szCs w:val="24"/>
        </w:rPr>
        <w:t xml:space="preserve">.  </w:t>
      </w:r>
      <w:r w:rsidR="006116D2">
        <w:rPr>
          <w:rFonts w:ascii="Times New Roman" w:hAnsi="Times New Roman" w:cs="Times New Roman"/>
          <w:sz w:val="24"/>
          <w:szCs w:val="24"/>
        </w:rPr>
        <w:t xml:space="preserve">It may not be sensible, or even possible, for </w:t>
      </w:r>
      <w:r w:rsidR="0081442A">
        <w:rPr>
          <w:rFonts w:ascii="Times New Roman" w:hAnsi="Times New Roman" w:cs="Times New Roman"/>
          <w:sz w:val="24"/>
          <w:szCs w:val="24"/>
        </w:rPr>
        <w:t>the Company</w:t>
      </w:r>
      <w:r w:rsidR="006116D2">
        <w:rPr>
          <w:rFonts w:ascii="Times New Roman" w:hAnsi="Times New Roman" w:cs="Times New Roman"/>
          <w:sz w:val="24"/>
          <w:szCs w:val="24"/>
        </w:rPr>
        <w:t xml:space="preserve"> to apply the same method to its incremental hydro as one designed specifically for another utility’s hydro resources.  </w:t>
      </w:r>
    </w:p>
    <w:p w:rsidR="00C200C8" w:rsidRDefault="00C200C8" w:rsidP="008E3571">
      <w:pPr>
        <w:pStyle w:val="NoSpacing"/>
        <w:jc w:val="both"/>
        <w:rPr>
          <w:rFonts w:ascii="Times New Roman" w:hAnsi="Times New Roman" w:cs="Times New Roman"/>
          <w:sz w:val="24"/>
          <w:szCs w:val="24"/>
        </w:rPr>
      </w:pPr>
    </w:p>
    <w:p w:rsidR="0081442A" w:rsidRDefault="0081442A" w:rsidP="008E3571">
      <w:pPr>
        <w:pStyle w:val="NoSpacing"/>
        <w:jc w:val="both"/>
        <w:rPr>
          <w:rFonts w:ascii="Times New Roman" w:hAnsi="Times New Roman" w:cs="Times New Roman"/>
          <w:sz w:val="24"/>
          <w:szCs w:val="24"/>
        </w:rPr>
      </w:pPr>
      <w:r>
        <w:rPr>
          <w:rFonts w:ascii="Times New Roman" w:hAnsi="Times New Roman" w:cs="Times New Roman"/>
          <w:sz w:val="24"/>
          <w:szCs w:val="24"/>
        </w:rPr>
        <w:t>The Company</w:t>
      </w:r>
      <w:r w:rsidR="00C200C8">
        <w:rPr>
          <w:rFonts w:ascii="Times New Roman" w:hAnsi="Times New Roman" w:cs="Times New Roman"/>
          <w:sz w:val="24"/>
          <w:szCs w:val="24"/>
        </w:rPr>
        <w:t xml:space="preserve"> is willing to work with Staff to facilitate </w:t>
      </w:r>
      <w:r w:rsidR="006116D2">
        <w:rPr>
          <w:rFonts w:ascii="Times New Roman" w:hAnsi="Times New Roman" w:cs="Times New Roman"/>
          <w:sz w:val="24"/>
          <w:szCs w:val="24"/>
        </w:rPr>
        <w:t>further review of its proposed methodology –</w:t>
      </w:r>
      <w:r w:rsidR="00D003C2">
        <w:rPr>
          <w:rFonts w:ascii="Times New Roman" w:hAnsi="Times New Roman" w:cs="Times New Roman"/>
          <w:sz w:val="24"/>
          <w:szCs w:val="24"/>
        </w:rPr>
        <w:t xml:space="preserve"> </w:t>
      </w:r>
      <w:r w:rsidR="006116D2">
        <w:rPr>
          <w:rFonts w:ascii="Times New Roman" w:hAnsi="Times New Roman" w:cs="Times New Roman"/>
          <w:sz w:val="24"/>
          <w:szCs w:val="24"/>
        </w:rPr>
        <w:t xml:space="preserve">developed </w:t>
      </w:r>
      <w:r w:rsidR="00AE35CB">
        <w:rPr>
          <w:rFonts w:ascii="Times New Roman" w:hAnsi="Times New Roman" w:cs="Times New Roman"/>
          <w:sz w:val="24"/>
          <w:szCs w:val="24"/>
        </w:rPr>
        <w:t xml:space="preserve">under the guidance of </w:t>
      </w:r>
      <w:r w:rsidR="006116D2">
        <w:rPr>
          <w:rFonts w:ascii="Times New Roman" w:hAnsi="Times New Roman" w:cs="Times New Roman"/>
          <w:sz w:val="24"/>
          <w:szCs w:val="24"/>
        </w:rPr>
        <w:t>the Oregon Department of Energy</w:t>
      </w:r>
      <w:r>
        <w:rPr>
          <w:rFonts w:ascii="Times New Roman" w:hAnsi="Times New Roman" w:cs="Times New Roman"/>
          <w:sz w:val="24"/>
          <w:szCs w:val="24"/>
        </w:rPr>
        <w:t xml:space="preserve"> (ODOE)</w:t>
      </w:r>
      <w:r w:rsidR="006116D2">
        <w:rPr>
          <w:rFonts w:ascii="Times New Roman" w:hAnsi="Times New Roman" w:cs="Times New Roman"/>
          <w:sz w:val="24"/>
          <w:szCs w:val="24"/>
        </w:rPr>
        <w:t>.  However, PacifiCorp requests that if another state</w:t>
      </w:r>
      <w:r>
        <w:rPr>
          <w:rFonts w:ascii="Times New Roman" w:hAnsi="Times New Roman" w:cs="Times New Roman"/>
          <w:sz w:val="24"/>
          <w:szCs w:val="24"/>
        </w:rPr>
        <w:t xml:space="preserve"> </w:t>
      </w:r>
      <w:r w:rsidR="006116D2">
        <w:rPr>
          <w:rFonts w:ascii="Times New Roman" w:hAnsi="Times New Roman" w:cs="Times New Roman"/>
          <w:sz w:val="24"/>
          <w:szCs w:val="24"/>
        </w:rPr>
        <w:t>has approved a hydro facility upgrade as eligible for incremental hydro</w:t>
      </w:r>
      <w:r>
        <w:rPr>
          <w:rFonts w:ascii="Times New Roman" w:hAnsi="Times New Roman" w:cs="Times New Roman"/>
          <w:sz w:val="24"/>
          <w:szCs w:val="24"/>
        </w:rPr>
        <w:t xml:space="preserve"> for that state’s RPS purposes</w:t>
      </w:r>
      <w:r w:rsidR="006116D2">
        <w:rPr>
          <w:rFonts w:ascii="Times New Roman" w:hAnsi="Times New Roman" w:cs="Times New Roman"/>
          <w:sz w:val="24"/>
          <w:szCs w:val="24"/>
        </w:rPr>
        <w:t xml:space="preserve">, the Commission </w:t>
      </w:r>
      <w:r w:rsidR="009060D9">
        <w:rPr>
          <w:rFonts w:ascii="Times New Roman" w:hAnsi="Times New Roman" w:cs="Times New Roman"/>
          <w:sz w:val="24"/>
          <w:szCs w:val="24"/>
        </w:rPr>
        <w:t xml:space="preserve">should </w:t>
      </w:r>
      <w:r w:rsidR="006116D2">
        <w:rPr>
          <w:rFonts w:ascii="Times New Roman" w:hAnsi="Times New Roman" w:cs="Times New Roman"/>
          <w:sz w:val="24"/>
          <w:szCs w:val="24"/>
        </w:rPr>
        <w:t xml:space="preserve">consider accepting </w:t>
      </w:r>
      <w:r>
        <w:rPr>
          <w:rFonts w:ascii="Times New Roman" w:hAnsi="Times New Roman" w:cs="Times New Roman"/>
          <w:sz w:val="24"/>
          <w:szCs w:val="24"/>
        </w:rPr>
        <w:t xml:space="preserve">that facility upgrade as eligible for </w:t>
      </w:r>
      <w:r w:rsidR="00AA034D">
        <w:rPr>
          <w:rFonts w:ascii="Times New Roman" w:hAnsi="Times New Roman" w:cs="Times New Roman"/>
          <w:sz w:val="24"/>
          <w:szCs w:val="24"/>
        </w:rPr>
        <w:t xml:space="preserve">the </w:t>
      </w:r>
      <w:r>
        <w:rPr>
          <w:rFonts w:ascii="Times New Roman" w:hAnsi="Times New Roman" w:cs="Times New Roman"/>
          <w:sz w:val="24"/>
          <w:szCs w:val="24"/>
        </w:rPr>
        <w:t>W</w:t>
      </w:r>
      <w:r w:rsidR="00AA034D">
        <w:rPr>
          <w:rFonts w:ascii="Times New Roman" w:hAnsi="Times New Roman" w:cs="Times New Roman"/>
          <w:sz w:val="24"/>
          <w:szCs w:val="24"/>
        </w:rPr>
        <w:t xml:space="preserve">ashington </w:t>
      </w:r>
      <w:r>
        <w:rPr>
          <w:rFonts w:ascii="Times New Roman" w:hAnsi="Times New Roman" w:cs="Times New Roman"/>
          <w:sz w:val="24"/>
          <w:szCs w:val="24"/>
        </w:rPr>
        <w:t>RPS</w:t>
      </w:r>
      <w:r w:rsidR="006116D2">
        <w:rPr>
          <w:rFonts w:ascii="Times New Roman" w:hAnsi="Times New Roman" w:cs="Times New Roman"/>
          <w:sz w:val="24"/>
          <w:szCs w:val="24"/>
        </w:rPr>
        <w:t>.  This is sensible</w:t>
      </w:r>
      <w:r w:rsidR="00CF22DE">
        <w:rPr>
          <w:rFonts w:ascii="Times New Roman" w:hAnsi="Times New Roman" w:cs="Times New Roman"/>
          <w:sz w:val="24"/>
          <w:szCs w:val="24"/>
        </w:rPr>
        <w:t>,</w:t>
      </w:r>
      <w:r w:rsidR="006116D2">
        <w:rPr>
          <w:rFonts w:ascii="Times New Roman" w:hAnsi="Times New Roman" w:cs="Times New Roman"/>
          <w:sz w:val="24"/>
          <w:szCs w:val="24"/>
        </w:rPr>
        <w:t xml:space="preserve"> particular</w:t>
      </w:r>
      <w:r w:rsidR="009060D9">
        <w:rPr>
          <w:rFonts w:ascii="Times New Roman" w:hAnsi="Times New Roman" w:cs="Times New Roman"/>
          <w:sz w:val="24"/>
          <w:szCs w:val="24"/>
        </w:rPr>
        <w:t>ly</w:t>
      </w:r>
      <w:r w:rsidR="006116D2">
        <w:rPr>
          <w:rFonts w:ascii="Times New Roman" w:hAnsi="Times New Roman" w:cs="Times New Roman"/>
          <w:sz w:val="24"/>
          <w:szCs w:val="24"/>
        </w:rPr>
        <w:t xml:space="preserve"> in light of the fact that </w:t>
      </w:r>
      <w:r w:rsidR="00F30470">
        <w:rPr>
          <w:rFonts w:ascii="Times New Roman" w:hAnsi="Times New Roman" w:cs="Times New Roman"/>
          <w:sz w:val="24"/>
          <w:szCs w:val="24"/>
        </w:rPr>
        <w:t xml:space="preserve">less than </w:t>
      </w:r>
      <w:r w:rsidR="006116D2">
        <w:rPr>
          <w:rFonts w:ascii="Times New Roman" w:hAnsi="Times New Roman" w:cs="Times New Roman"/>
          <w:sz w:val="24"/>
          <w:szCs w:val="24"/>
        </w:rPr>
        <w:t xml:space="preserve">two percent of </w:t>
      </w:r>
      <w:r>
        <w:rPr>
          <w:rFonts w:ascii="Times New Roman" w:hAnsi="Times New Roman" w:cs="Times New Roman"/>
          <w:sz w:val="24"/>
          <w:szCs w:val="24"/>
        </w:rPr>
        <w:t xml:space="preserve">the Company’s 2012 annual target will be met by incremental hydro.  This percentage will only go down as the annual targets increase.  It is therefore unlikely that it will be cost-effective to develop and apply a new methodology specific to </w:t>
      </w:r>
      <w:r w:rsidR="009060D9">
        <w:rPr>
          <w:rFonts w:ascii="Times New Roman" w:hAnsi="Times New Roman" w:cs="Times New Roman"/>
          <w:sz w:val="24"/>
          <w:szCs w:val="24"/>
        </w:rPr>
        <w:t>PacifiCorp</w:t>
      </w:r>
      <w:r>
        <w:rPr>
          <w:rFonts w:ascii="Times New Roman" w:hAnsi="Times New Roman" w:cs="Times New Roman"/>
          <w:sz w:val="24"/>
          <w:szCs w:val="24"/>
        </w:rPr>
        <w:t xml:space="preserve">’s Washington RPS incremental hydro upgrades.  </w:t>
      </w:r>
    </w:p>
    <w:p w:rsidR="0081442A" w:rsidRDefault="0081442A" w:rsidP="008E3571">
      <w:pPr>
        <w:pStyle w:val="NoSpacing"/>
        <w:jc w:val="both"/>
        <w:rPr>
          <w:rFonts w:ascii="Times New Roman" w:hAnsi="Times New Roman" w:cs="Times New Roman"/>
          <w:sz w:val="24"/>
          <w:szCs w:val="24"/>
        </w:rPr>
      </w:pPr>
    </w:p>
    <w:p w:rsidR="006116D2" w:rsidRDefault="009060D9" w:rsidP="008E3571">
      <w:pPr>
        <w:pStyle w:val="NoSpacing"/>
        <w:jc w:val="both"/>
        <w:rPr>
          <w:rFonts w:ascii="Times New Roman" w:hAnsi="Times New Roman" w:cs="Times New Roman"/>
          <w:sz w:val="24"/>
          <w:szCs w:val="24"/>
        </w:rPr>
      </w:pPr>
      <w:r>
        <w:rPr>
          <w:rFonts w:ascii="Times New Roman" w:hAnsi="Times New Roman" w:cs="Times New Roman"/>
          <w:sz w:val="24"/>
          <w:szCs w:val="24"/>
        </w:rPr>
        <w:t>PacifiCorp’s calculation of incremental hydro</w:t>
      </w:r>
      <w:r w:rsidR="006116D2">
        <w:rPr>
          <w:rFonts w:ascii="Times New Roman" w:hAnsi="Times New Roman" w:cs="Times New Roman"/>
          <w:sz w:val="24"/>
          <w:szCs w:val="24"/>
        </w:rPr>
        <w:t xml:space="preserve"> should be resolved prior to the retirement of RECs and the final determination of compliance for the 2012 target year.  </w:t>
      </w:r>
      <w:r w:rsidR="0081442A">
        <w:rPr>
          <w:rFonts w:ascii="Times New Roman" w:hAnsi="Times New Roman" w:cs="Times New Roman"/>
          <w:sz w:val="24"/>
          <w:szCs w:val="24"/>
        </w:rPr>
        <w:t xml:space="preserve">The Company proposes that </w:t>
      </w:r>
      <w:r w:rsidR="00AE35CB">
        <w:rPr>
          <w:rFonts w:ascii="Times New Roman" w:hAnsi="Times New Roman" w:cs="Times New Roman"/>
          <w:sz w:val="24"/>
          <w:szCs w:val="24"/>
        </w:rPr>
        <w:t xml:space="preserve">this issue </w:t>
      </w:r>
      <w:r w:rsidR="006116D2">
        <w:rPr>
          <w:rFonts w:ascii="Times New Roman" w:hAnsi="Times New Roman" w:cs="Times New Roman"/>
          <w:sz w:val="24"/>
          <w:szCs w:val="24"/>
        </w:rPr>
        <w:t xml:space="preserve">could be resolved through informal workshops.  </w:t>
      </w:r>
      <w:r w:rsidR="0081442A">
        <w:rPr>
          <w:rFonts w:ascii="Times New Roman" w:hAnsi="Times New Roman" w:cs="Times New Roman"/>
          <w:sz w:val="24"/>
          <w:szCs w:val="24"/>
        </w:rPr>
        <w:t>I</w:t>
      </w:r>
      <w:r w:rsidR="006116D2">
        <w:rPr>
          <w:rFonts w:ascii="Times New Roman" w:hAnsi="Times New Roman" w:cs="Times New Roman"/>
          <w:sz w:val="24"/>
          <w:szCs w:val="24"/>
        </w:rPr>
        <w:t>f informal workshops continue in docket UE-</w:t>
      </w:r>
      <w:r w:rsidR="0081442A">
        <w:rPr>
          <w:rFonts w:ascii="Times New Roman" w:hAnsi="Times New Roman" w:cs="Times New Roman"/>
          <w:sz w:val="24"/>
          <w:szCs w:val="24"/>
        </w:rPr>
        <w:t>110523</w:t>
      </w:r>
      <w:r w:rsidR="006116D2">
        <w:rPr>
          <w:rFonts w:ascii="Times New Roman" w:hAnsi="Times New Roman" w:cs="Times New Roman"/>
          <w:sz w:val="24"/>
          <w:szCs w:val="24"/>
        </w:rPr>
        <w:t xml:space="preserve">, </w:t>
      </w:r>
      <w:r w:rsidR="0081442A">
        <w:rPr>
          <w:rFonts w:ascii="Times New Roman" w:hAnsi="Times New Roman" w:cs="Times New Roman"/>
          <w:sz w:val="24"/>
          <w:szCs w:val="24"/>
        </w:rPr>
        <w:t>the Company</w:t>
      </w:r>
      <w:r w:rsidR="006116D2">
        <w:rPr>
          <w:rFonts w:ascii="Times New Roman" w:hAnsi="Times New Roman" w:cs="Times New Roman"/>
          <w:sz w:val="24"/>
          <w:szCs w:val="24"/>
        </w:rPr>
        <w:t xml:space="preserve"> proposes that the Commission </w:t>
      </w:r>
      <w:r w:rsidR="004B0E03">
        <w:rPr>
          <w:rFonts w:ascii="Times New Roman" w:hAnsi="Times New Roman" w:cs="Times New Roman"/>
          <w:sz w:val="24"/>
          <w:szCs w:val="24"/>
        </w:rPr>
        <w:t xml:space="preserve">retain some ability to review and approve or modify the output of the informal workshops.  In this way, the parties may gain necessary </w:t>
      </w:r>
      <w:r w:rsidR="006116D2">
        <w:rPr>
          <w:rFonts w:ascii="Times New Roman" w:hAnsi="Times New Roman" w:cs="Times New Roman"/>
          <w:sz w:val="24"/>
          <w:szCs w:val="24"/>
        </w:rPr>
        <w:t>certainty that items agreed upon during workshops will not change</w:t>
      </w:r>
      <w:r w:rsidR="004B0E03">
        <w:rPr>
          <w:rFonts w:ascii="Times New Roman" w:hAnsi="Times New Roman" w:cs="Times New Roman"/>
          <w:sz w:val="24"/>
          <w:szCs w:val="24"/>
        </w:rPr>
        <w:t xml:space="preserve"> without warning or further Commission action</w:t>
      </w:r>
      <w:r w:rsidR="006116D2">
        <w:rPr>
          <w:rFonts w:ascii="Times New Roman" w:hAnsi="Times New Roman" w:cs="Times New Roman"/>
          <w:sz w:val="24"/>
          <w:szCs w:val="24"/>
        </w:rPr>
        <w:t>.</w:t>
      </w:r>
    </w:p>
    <w:p w:rsidR="004534AD" w:rsidRDefault="004534AD" w:rsidP="008E3571">
      <w:pPr>
        <w:pStyle w:val="NoSpacing"/>
        <w:jc w:val="both"/>
        <w:rPr>
          <w:rFonts w:ascii="Times New Roman" w:hAnsi="Times New Roman" w:cs="Times New Roman"/>
          <w:sz w:val="24"/>
          <w:szCs w:val="24"/>
        </w:rPr>
      </w:pPr>
    </w:p>
    <w:p w:rsidR="00C200C8" w:rsidRDefault="00C200C8" w:rsidP="00E8451B">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Potential double-counting of RECs in other states</w:t>
      </w:r>
    </w:p>
    <w:p w:rsidR="004534AD" w:rsidRDefault="004534AD" w:rsidP="008E3571">
      <w:pPr>
        <w:pStyle w:val="NoSpacing"/>
        <w:jc w:val="both"/>
        <w:rPr>
          <w:rFonts w:ascii="Times New Roman" w:hAnsi="Times New Roman" w:cs="Times New Roman"/>
          <w:sz w:val="24"/>
          <w:szCs w:val="24"/>
        </w:rPr>
      </w:pPr>
    </w:p>
    <w:p w:rsidR="006116D2" w:rsidRDefault="00695FFE" w:rsidP="006116D2">
      <w:pPr>
        <w:pStyle w:val="NoSpacing"/>
        <w:jc w:val="both"/>
        <w:rPr>
          <w:rFonts w:ascii="Times New Roman" w:hAnsi="Times New Roman" w:cs="Times New Roman"/>
          <w:sz w:val="24"/>
          <w:szCs w:val="24"/>
        </w:rPr>
      </w:pPr>
      <w:r>
        <w:rPr>
          <w:rFonts w:ascii="Times New Roman" w:hAnsi="Times New Roman" w:cs="Times New Roman"/>
          <w:sz w:val="24"/>
          <w:szCs w:val="24"/>
        </w:rPr>
        <w:t>In its comments, Staff raises a concern that incremental hydro resources may be double counted between Washington and Oregon by PacifiCorp</w:t>
      </w:r>
      <w:r w:rsidR="00AE35CB">
        <w:rPr>
          <w:rFonts w:ascii="Times New Roman" w:hAnsi="Times New Roman" w:cs="Times New Roman"/>
          <w:sz w:val="24"/>
          <w:szCs w:val="24"/>
        </w:rPr>
        <w:t xml:space="preserve"> </w:t>
      </w:r>
      <w:r>
        <w:rPr>
          <w:rFonts w:ascii="Times New Roman" w:hAnsi="Times New Roman" w:cs="Times New Roman"/>
          <w:sz w:val="24"/>
          <w:szCs w:val="24"/>
        </w:rPr>
        <w:t>because incremental hydro does not generate RECs eligible for use in Washington, but RECs may be used to meet Oregon or other states’ requirements.</w:t>
      </w:r>
      <w:r w:rsidR="00783957">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concern is no</w:t>
      </w:r>
      <w:r w:rsidR="00783957">
        <w:rPr>
          <w:rFonts w:ascii="Times New Roman" w:hAnsi="Times New Roman" w:cs="Times New Roman"/>
          <w:sz w:val="24"/>
          <w:szCs w:val="24"/>
        </w:rPr>
        <w:t>t</w:t>
      </w:r>
      <w:r>
        <w:rPr>
          <w:rFonts w:ascii="Times New Roman" w:hAnsi="Times New Roman" w:cs="Times New Roman"/>
          <w:sz w:val="24"/>
          <w:szCs w:val="24"/>
        </w:rPr>
        <w:t xml:space="preserve"> warranted.  Notwithstanding the fact that </w:t>
      </w:r>
      <w:r w:rsidR="006116D2">
        <w:rPr>
          <w:rFonts w:ascii="Times New Roman" w:hAnsi="Times New Roman" w:cs="Times New Roman"/>
          <w:sz w:val="24"/>
          <w:szCs w:val="24"/>
        </w:rPr>
        <w:t>PacifiCorp</w:t>
      </w:r>
      <w:r w:rsidR="00FC0249">
        <w:rPr>
          <w:rFonts w:ascii="Times New Roman" w:hAnsi="Times New Roman" w:cs="Times New Roman"/>
          <w:sz w:val="24"/>
          <w:szCs w:val="24"/>
        </w:rPr>
        <w:t xml:space="preserve">’s </w:t>
      </w:r>
      <w:r w:rsidR="007D15B4">
        <w:rPr>
          <w:rFonts w:ascii="Times New Roman" w:hAnsi="Times New Roman" w:cs="Times New Roman"/>
          <w:sz w:val="24"/>
          <w:szCs w:val="24"/>
        </w:rPr>
        <w:t xml:space="preserve">utility-owned </w:t>
      </w:r>
      <w:r w:rsidR="00FC0249">
        <w:rPr>
          <w:rFonts w:ascii="Times New Roman" w:hAnsi="Times New Roman" w:cs="Times New Roman"/>
          <w:sz w:val="24"/>
          <w:szCs w:val="24"/>
        </w:rPr>
        <w:t xml:space="preserve">eligible incremental hydro resources </w:t>
      </w:r>
      <w:r>
        <w:rPr>
          <w:rFonts w:ascii="Times New Roman" w:hAnsi="Times New Roman" w:cs="Times New Roman"/>
          <w:sz w:val="24"/>
          <w:szCs w:val="24"/>
        </w:rPr>
        <w:t xml:space="preserve">do not generate RECs eligible for use in Washington, the resources </w:t>
      </w:r>
      <w:r w:rsidR="00FC0249">
        <w:rPr>
          <w:rFonts w:ascii="Times New Roman" w:hAnsi="Times New Roman" w:cs="Times New Roman"/>
          <w:sz w:val="24"/>
          <w:szCs w:val="24"/>
        </w:rPr>
        <w:t xml:space="preserve">are </w:t>
      </w:r>
      <w:r>
        <w:rPr>
          <w:rFonts w:ascii="Times New Roman" w:hAnsi="Times New Roman" w:cs="Times New Roman"/>
          <w:sz w:val="24"/>
          <w:szCs w:val="24"/>
        </w:rPr>
        <w:t xml:space="preserve">nonetheless </w:t>
      </w:r>
      <w:r w:rsidR="00FC0249">
        <w:rPr>
          <w:rFonts w:ascii="Times New Roman" w:hAnsi="Times New Roman" w:cs="Times New Roman"/>
          <w:sz w:val="24"/>
          <w:szCs w:val="24"/>
        </w:rPr>
        <w:t xml:space="preserve">registered with </w:t>
      </w:r>
      <w:r w:rsidR="001F7637">
        <w:rPr>
          <w:rFonts w:ascii="Times New Roman" w:hAnsi="Times New Roman" w:cs="Times New Roman"/>
          <w:sz w:val="24"/>
          <w:szCs w:val="24"/>
        </w:rPr>
        <w:t>the Western Renewable Energy Generation Information System (</w:t>
      </w:r>
      <w:r w:rsidR="00FC0249">
        <w:rPr>
          <w:rFonts w:ascii="Times New Roman" w:hAnsi="Times New Roman" w:cs="Times New Roman"/>
          <w:sz w:val="24"/>
          <w:szCs w:val="24"/>
        </w:rPr>
        <w:t>WREGIS</w:t>
      </w:r>
      <w:r w:rsidR="001F7637">
        <w:rPr>
          <w:rFonts w:ascii="Times New Roman" w:hAnsi="Times New Roman" w:cs="Times New Roman"/>
          <w:sz w:val="24"/>
          <w:szCs w:val="24"/>
        </w:rPr>
        <w:t>)</w:t>
      </w:r>
      <w:r w:rsidR="00FC0249">
        <w:rPr>
          <w:rFonts w:ascii="Times New Roman" w:hAnsi="Times New Roman" w:cs="Times New Roman"/>
          <w:sz w:val="24"/>
          <w:szCs w:val="24"/>
        </w:rPr>
        <w:t xml:space="preserve"> and </w:t>
      </w:r>
      <w:r w:rsidR="00783957">
        <w:rPr>
          <w:rFonts w:ascii="Times New Roman" w:hAnsi="Times New Roman" w:cs="Times New Roman"/>
          <w:sz w:val="24"/>
          <w:szCs w:val="24"/>
        </w:rPr>
        <w:t>the generation from those resources is tracked in WREGIS</w:t>
      </w:r>
      <w:r w:rsidR="00FC0249">
        <w:rPr>
          <w:rFonts w:ascii="Times New Roman" w:hAnsi="Times New Roman" w:cs="Times New Roman"/>
          <w:sz w:val="24"/>
          <w:szCs w:val="24"/>
        </w:rPr>
        <w:t xml:space="preserve">.  </w:t>
      </w:r>
      <w:r w:rsidR="00783957">
        <w:rPr>
          <w:rFonts w:ascii="Times New Roman" w:hAnsi="Times New Roman" w:cs="Times New Roman"/>
          <w:sz w:val="24"/>
          <w:szCs w:val="24"/>
        </w:rPr>
        <w:t>Even though these RECs will not technically be applied to compliance with the Washington RPS</w:t>
      </w:r>
      <w:r w:rsidR="00AC27F1">
        <w:rPr>
          <w:rFonts w:ascii="Times New Roman" w:hAnsi="Times New Roman" w:cs="Times New Roman"/>
          <w:sz w:val="24"/>
          <w:szCs w:val="24"/>
        </w:rPr>
        <w:t>,</w:t>
      </w:r>
      <w:r w:rsidR="00783957">
        <w:rPr>
          <w:rFonts w:ascii="Times New Roman" w:hAnsi="Times New Roman" w:cs="Times New Roman"/>
          <w:sz w:val="24"/>
          <w:szCs w:val="24"/>
        </w:rPr>
        <w:t xml:space="preserve"> </w:t>
      </w:r>
      <w:r w:rsidR="00AE35CB">
        <w:rPr>
          <w:rFonts w:ascii="Times New Roman" w:hAnsi="Times New Roman" w:cs="Times New Roman"/>
          <w:sz w:val="24"/>
          <w:szCs w:val="24"/>
        </w:rPr>
        <w:t>PacifiCorp could</w:t>
      </w:r>
      <w:r w:rsidR="00783957">
        <w:rPr>
          <w:rFonts w:ascii="Times New Roman" w:hAnsi="Times New Roman" w:cs="Times New Roman"/>
          <w:sz w:val="24"/>
          <w:szCs w:val="24"/>
        </w:rPr>
        <w:t xml:space="preserve"> retire</w:t>
      </w:r>
      <w:r w:rsidR="00AE35CB">
        <w:rPr>
          <w:rFonts w:ascii="Times New Roman" w:hAnsi="Times New Roman" w:cs="Times New Roman"/>
          <w:sz w:val="24"/>
          <w:szCs w:val="24"/>
        </w:rPr>
        <w:t xml:space="preserve"> the certificates</w:t>
      </w:r>
      <w:r w:rsidR="00783957">
        <w:rPr>
          <w:rFonts w:ascii="Times New Roman" w:hAnsi="Times New Roman" w:cs="Times New Roman"/>
          <w:sz w:val="24"/>
          <w:szCs w:val="24"/>
        </w:rPr>
        <w:t xml:space="preserve"> in WREGIS in order to ensure there is no possibility of double counting.  </w:t>
      </w:r>
      <w:r w:rsidR="007D15B4">
        <w:rPr>
          <w:rFonts w:ascii="Times New Roman" w:hAnsi="Times New Roman" w:cs="Times New Roman"/>
          <w:sz w:val="24"/>
          <w:szCs w:val="24"/>
        </w:rPr>
        <w:t xml:space="preserve">The potential for double-counting </w:t>
      </w:r>
      <w:r w:rsidR="00783957">
        <w:rPr>
          <w:rFonts w:ascii="Times New Roman" w:hAnsi="Times New Roman" w:cs="Times New Roman"/>
          <w:sz w:val="24"/>
          <w:szCs w:val="24"/>
        </w:rPr>
        <w:t>is</w:t>
      </w:r>
      <w:r w:rsidR="007D15B4">
        <w:rPr>
          <w:rFonts w:ascii="Times New Roman" w:hAnsi="Times New Roman" w:cs="Times New Roman"/>
          <w:sz w:val="24"/>
          <w:szCs w:val="24"/>
        </w:rPr>
        <w:t xml:space="preserve"> eliminated </w:t>
      </w:r>
      <w:r w:rsidR="00F30470">
        <w:rPr>
          <w:rFonts w:ascii="Times New Roman" w:hAnsi="Times New Roman" w:cs="Times New Roman"/>
          <w:sz w:val="24"/>
          <w:szCs w:val="24"/>
        </w:rPr>
        <w:t>once</w:t>
      </w:r>
      <w:r w:rsidR="007D15B4">
        <w:rPr>
          <w:rFonts w:ascii="Times New Roman" w:hAnsi="Times New Roman" w:cs="Times New Roman"/>
          <w:sz w:val="24"/>
          <w:szCs w:val="24"/>
        </w:rPr>
        <w:t xml:space="preserve"> a </w:t>
      </w:r>
      <w:r w:rsidR="00783957">
        <w:rPr>
          <w:rFonts w:ascii="Times New Roman" w:hAnsi="Times New Roman" w:cs="Times New Roman"/>
          <w:sz w:val="24"/>
          <w:szCs w:val="24"/>
        </w:rPr>
        <w:t>REC</w:t>
      </w:r>
      <w:r w:rsidR="007D15B4">
        <w:rPr>
          <w:rFonts w:ascii="Times New Roman" w:hAnsi="Times New Roman" w:cs="Times New Roman"/>
          <w:sz w:val="24"/>
          <w:szCs w:val="24"/>
        </w:rPr>
        <w:t xml:space="preserve"> is retired in WREGIS</w:t>
      </w:r>
      <w:r w:rsidR="00FC0249">
        <w:rPr>
          <w:rFonts w:ascii="Times New Roman" w:hAnsi="Times New Roman" w:cs="Times New Roman"/>
          <w:sz w:val="24"/>
          <w:szCs w:val="24"/>
        </w:rPr>
        <w:t>.</w:t>
      </w:r>
    </w:p>
    <w:p w:rsidR="00FC0249" w:rsidRDefault="00FC0249" w:rsidP="006116D2">
      <w:pPr>
        <w:pStyle w:val="NoSpacing"/>
        <w:jc w:val="both"/>
        <w:rPr>
          <w:rFonts w:ascii="Times New Roman" w:hAnsi="Times New Roman" w:cs="Times New Roman"/>
          <w:sz w:val="24"/>
          <w:szCs w:val="24"/>
        </w:rPr>
      </w:pPr>
    </w:p>
    <w:p w:rsidR="00FC0249" w:rsidRPr="00C200C8" w:rsidRDefault="00FC0249" w:rsidP="00E8451B">
      <w:pPr>
        <w:pStyle w:val="NoSpacing"/>
        <w:numPr>
          <w:ilvl w:val="1"/>
          <w:numId w:val="23"/>
        </w:numPr>
        <w:jc w:val="both"/>
        <w:rPr>
          <w:rFonts w:ascii="Times New Roman" w:hAnsi="Times New Roman" w:cs="Times New Roman"/>
          <w:sz w:val="24"/>
          <w:szCs w:val="24"/>
        </w:rPr>
      </w:pPr>
      <w:r w:rsidRPr="00C200C8">
        <w:rPr>
          <w:rFonts w:ascii="Times New Roman" w:hAnsi="Times New Roman" w:cs="Times New Roman"/>
          <w:sz w:val="24"/>
          <w:szCs w:val="24"/>
        </w:rPr>
        <w:t>Using incremental hydro in the year it was generated</w:t>
      </w:r>
    </w:p>
    <w:p w:rsidR="00FC0249" w:rsidRDefault="00FC0249" w:rsidP="006116D2">
      <w:pPr>
        <w:pStyle w:val="NoSpacing"/>
        <w:jc w:val="both"/>
        <w:rPr>
          <w:rFonts w:ascii="Times New Roman" w:hAnsi="Times New Roman" w:cs="Times New Roman"/>
          <w:sz w:val="24"/>
          <w:szCs w:val="24"/>
        </w:rPr>
      </w:pPr>
    </w:p>
    <w:p w:rsidR="007D15B4" w:rsidRDefault="007D15B4" w:rsidP="007D15B4">
      <w:pPr>
        <w:pStyle w:val="NoSpacing"/>
        <w:jc w:val="both"/>
        <w:rPr>
          <w:rFonts w:ascii="Times New Roman" w:hAnsi="Times New Roman" w:cs="Times New Roman"/>
          <w:sz w:val="24"/>
          <w:szCs w:val="24"/>
        </w:rPr>
      </w:pPr>
      <w:r>
        <w:rPr>
          <w:rFonts w:ascii="Times New Roman" w:hAnsi="Times New Roman" w:cs="Times New Roman"/>
          <w:sz w:val="24"/>
          <w:szCs w:val="24"/>
        </w:rPr>
        <w:t>The company has no comment on this issue at this time.</w:t>
      </w:r>
    </w:p>
    <w:p w:rsidR="00FC0249" w:rsidRDefault="00FC0249" w:rsidP="006116D2">
      <w:pPr>
        <w:pStyle w:val="NoSpacing"/>
        <w:jc w:val="both"/>
        <w:rPr>
          <w:rFonts w:ascii="Times New Roman" w:hAnsi="Times New Roman" w:cs="Times New Roman"/>
          <w:sz w:val="24"/>
          <w:szCs w:val="24"/>
        </w:rPr>
      </w:pPr>
    </w:p>
    <w:p w:rsidR="00FC0249" w:rsidRDefault="00FC0249"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 xml:space="preserve">Confidentiality </w:t>
      </w:r>
    </w:p>
    <w:p w:rsidR="00FC0249" w:rsidRDefault="00FC0249" w:rsidP="006116D2">
      <w:pPr>
        <w:pStyle w:val="NoSpacing"/>
        <w:jc w:val="both"/>
        <w:rPr>
          <w:rFonts w:ascii="Times New Roman" w:hAnsi="Times New Roman" w:cs="Times New Roman"/>
          <w:sz w:val="24"/>
          <w:szCs w:val="24"/>
        </w:rPr>
      </w:pPr>
    </w:p>
    <w:p w:rsidR="006116D2" w:rsidRDefault="00FC0249" w:rsidP="006116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While </w:t>
      </w:r>
      <w:r w:rsidR="004B0E03">
        <w:rPr>
          <w:rFonts w:ascii="Times New Roman" w:hAnsi="Times New Roman" w:cs="Times New Roman"/>
          <w:sz w:val="24"/>
          <w:szCs w:val="24"/>
        </w:rPr>
        <w:t>the Company</w:t>
      </w:r>
      <w:r>
        <w:rPr>
          <w:rFonts w:ascii="Times New Roman" w:hAnsi="Times New Roman" w:cs="Times New Roman"/>
          <w:sz w:val="24"/>
          <w:szCs w:val="24"/>
        </w:rPr>
        <w:t xml:space="preserve"> is willing to continue the </w:t>
      </w:r>
      <w:r w:rsidR="004B0E03">
        <w:rPr>
          <w:rFonts w:ascii="Times New Roman" w:hAnsi="Times New Roman" w:cs="Times New Roman"/>
          <w:sz w:val="24"/>
          <w:szCs w:val="24"/>
        </w:rPr>
        <w:t xml:space="preserve">existing </w:t>
      </w:r>
      <w:r>
        <w:rPr>
          <w:rFonts w:ascii="Times New Roman" w:hAnsi="Times New Roman" w:cs="Times New Roman"/>
          <w:sz w:val="24"/>
          <w:szCs w:val="24"/>
        </w:rPr>
        <w:t xml:space="preserve">process of entering into bilateral confidentiality agreements with intervenors in order to protect confidential information, this is </w:t>
      </w:r>
      <w:r w:rsidR="004B0E03">
        <w:rPr>
          <w:rFonts w:ascii="Times New Roman" w:hAnsi="Times New Roman" w:cs="Times New Roman"/>
          <w:sz w:val="24"/>
          <w:szCs w:val="24"/>
        </w:rPr>
        <w:t xml:space="preserve">cumbersome and </w:t>
      </w:r>
      <w:r>
        <w:rPr>
          <w:rFonts w:ascii="Times New Roman" w:hAnsi="Times New Roman" w:cs="Times New Roman"/>
          <w:sz w:val="24"/>
          <w:szCs w:val="24"/>
        </w:rPr>
        <w:t xml:space="preserve">not the optimal solution for protecting confidential data.  Instead, the </w:t>
      </w:r>
      <w:r w:rsidR="004B0E03">
        <w:rPr>
          <w:rFonts w:ascii="Times New Roman" w:hAnsi="Times New Roman" w:cs="Times New Roman"/>
          <w:sz w:val="24"/>
          <w:szCs w:val="24"/>
        </w:rPr>
        <w:t xml:space="preserve">Company requests that the </w:t>
      </w:r>
      <w:r>
        <w:rPr>
          <w:rFonts w:ascii="Times New Roman" w:hAnsi="Times New Roman" w:cs="Times New Roman"/>
          <w:sz w:val="24"/>
          <w:szCs w:val="24"/>
        </w:rPr>
        <w:t xml:space="preserve">Commission allow parties to request a protective order in dockets opened to review </w:t>
      </w:r>
      <w:r w:rsidR="004B0E03">
        <w:rPr>
          <w:rFonts w:ascii="Times New Roman" w:hAnsi="Times New Roman" w:cs="Times New Roman"/>
          <w:sz w:val="24"/>
          <w:szCs w:val="24"/>
        </w:rPr>
        <w:t>renewable</w:t>
      </w:r>
      <w:r>
        <w:rPr>
          <w:rFonts w:ascii="Times New Roman" w:hAnsi="Times New Roman" w:cs="Times New Roman"/>
          <w:sz w:val="24"/>
          <w:szCs w:val="24"/>
        </w:rPr>
        <w:t xml:space="preserve"> and conservation reports.  This allows for greater transparency and is </w:t>
      </w:r>
      <w:r w:rsidR="004B0E03">
        <w:rPr>
          <w:rFonts w:ascii="Times New Roman" w:hAnsi="Times New Roman" w:cs="Times New Roman"/>
          <w:sz w:val="24"/>
          <w:szCs w:val="24"/>
        </w:rPr>
        <w:t xml:space="preserve">significantly </w:t>
      </w:r>
      <w:r w:rsidR="00F02DDD">
        <w:rPr>
          <w:rFonts w:ascii="Times New Roman" w:hAnsi="Times New Roman" w:cs="Times New Roman"/>
          <w:sz w:val="24"/>
          <w:szCs w:val="24"/>
        </w:rPr>
        <w:t xml:space="preserve">less </w:t>
      </w:r>
      <w:r>
        <w:rPr>
          <w:rFonts w:ascii="Times New Roman" w:hAnsi="Times New Roman" w:cs="Times New Roman"/>
          <w:sz w:val="24"/>
          <w:szCs w:val="24"/>
        </w:rPr>
        <w:t xml:space="preserve">administratively </w:t>
      </w:r>
      <w:r w:rsidR="00F02DDD">
        <w:rPr>
          <w:rFonts w:ascii="Times New Roman" w:hAnsi="Times New Roman" w:cs="Times New Roman"/>
          <w:sz w:val="24"/>
          <w:szCs w:val="24"/>
        </w:rPr>
        <w:t>burdensome</w:t>
      </w:r>
      <w:r>
        <w:rPr>
          <w:rFonts w:ascii="Times New Roman" w:hAnsi="Times New Roman" w:cs="Times New Roman"/>
          <w:sz w:val="24"/>
          <w:szCs w:val="24"/>
        </w:rPr>
        <w:t xml:space="preserve"> than negotiating multiple bilateral agreements.</w:t>
      </w:r>
      <w:r w:rsidR="00BD418D">
        <w:rPr>
          <w:rFonts w:ascii="Times New Roman" w:hAnsi="Times New Roman" w:cs="Times New Roman"/>
          <w:sz w:val="24"/>
          <w:szCs w:val="24"/>
        </w:rPr>
        <w:t xml:space="preserve">  </w:t>
      </w:r>
      <w:r w:rsidR="004B0E03">
        <w:rPr>
          <w:rFonts w:ascii="Times New Roman" w:hAnsi="Times New Roman" w:cs="Times New Roman"/>
          <w:sz w:val="24"/>
          <w:szCs w:val="24"/>
        </w:rPr>
        <w:t xml:space="preserve">The Company </w:t>
      </w:r>
      <w:r w:rsidR="00F2412F">
        <w:rPr>
          <w:rFonts w:ascii="Times New Roman" w:hAnsi="Times New Roman" w:cs="Times New Roman"/>
          <w:sz w:val="24"/>
          <w:szCs w:val="24"/>
        </w:rPr>
        <w:t xml:space="preserve">is not aware of an administrative rule that precludes the </w:t>
      </w:r>
      <w:r w:rsidR="00BD418D">
        <w:rPr>
          <w:rFonts w:ascii="Times New Roman" w:hAnsi="Times New Roman" w:cs="Times New Roman"/>
          <w:sz w:val="24"/>
          <w:szCs w:val="24"/>
        </w:rPr>
        <w:t xml:space="preserve">Commission </w:t>
      </w:r>
      <w:r w:rsidR="00F2412F">
        <w:rPr>
          <w:rFonts w:ascii="Times New Roman" w:hAnsi="Times New Roman" w:cs="Times New Roman"/>
          <w:sz w:val="24"/>
          <w:szCs w:val="24"/>
        </w:rPr>
        <w:t xml:space="preserve">from issuing </w:t>
      </w:r>
      <w:r w:rsidR="001F7637">
        <w:rPr>
          <w:rFonts w:ascii="Times New Roman" w:hAnsi="Times New Roman" w:cs="Times New Roman"/>
          <w:sz w:val="24"/>
          <w:szCs w:val="24"/>
        </w:rPr>
        <w:t xml:space="preserve">a </w:t>
      </w:r>
      <w:r w:rsidR="00F2412F">
        <w:rPr>
          <w:rFonts w:ascii="Times New Roman" w:hAnsi="Times New Roman" w:cs="Times New Roman"/>
          <w:sz w:val="24"/>
          <w:szCs w:val="24"/>
        </w:rPr>
        <w:t>protective order</w:t>
      </w:r>
      <w:r w:rsidR="00BD418D">
        <w:rPr>
          <w:rFonts w:ascii="Times New Roman" w:hAnsi="Times New Roman" w:cs="Times New Roman"/>
          <w:sz w:val="24"/>
          <w:szCs w:val="24"/>
        </w:rPr>
        <w:t xml:space="preserve"> in </w:t>
      </w:r>
      <w:r w:rsidR="00F2412F">
        <w:rPr>
          <w:rFonts w:ascii="Times New Roman" w:hAnsi="Times New Roman" w:cs="Times New Roman"/>
          <w:sz w:val="24"/>
          <w:szCs w:val="24"/>
        </w:rPr>
        <w:t xml:space="preserve">a </w:t>
      </w:r>
      <w:r w:rsidR="00BD418D">
        <w:rPr>
          <w:rFonts w:ascii="Times New Roman" w:hAnsi="Times New Roman" w:cs="Times New Roman"/>
          <w:sz w:val="24"/>
          <w:szCs w:val="24"/>
        </w:rPr>
        <w:t>non-adjudicat</w:t>
      </w:r>
      <w:r w:rsidR="00F2412F">
        <w:rPr>
          <w:rFonts w:ascii="Times New Roman" w:hAnsi="Times New Roman" w:cs="Times New Roman"/>
          <w:sz w:val="24"/>
          <w:szCs w:val="24"/>
        </w:rPr>
        <w:t>ive proceeding</w:t>
      </w:r>
      <w:r w:rsidR="00BD418D">
        <w:rPr>
          <w:rFonts w:ascii="Times New Roman" w:hAnsi="Times New Roman" w:cs="Times New Roman"/>
          <w:sz w:val="24"/>
          <w:szCs w:val="24"/>
        </w:rPr>
        <w:t>.</w:t>
      </w:r>
    </w:p>
    <w:p w:rsidR="00BD418D" w:rsidRDefault="00BD418D" w:rsidP="006116D2">
      <w:pPr>
        <w:pStyle w:val="NoSpacing"/>
        <w:jc w:val="both"/>
        <w:rPr>
          <w:rFonts w:ascii="Times New Roman" w:hAnsi="Times New Roman" w:cs="Times New Roman"/>
          <w:sz w:val="24"/>
          <w:szCs w:val="24"/>
        </w:rPr>
      </w:pPr>
    </w:p>
    <w:p w:rsidR="00BD418D" w:rsidRDefault="00BD418D" w:rsidP="006116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issue should be addressed now by the Commission so that parties may have some certainty when filing subsequent reports.  </w:t>
      </w:r>
    </w:p>
    <w:p w:rsidR="00BD418D" w:rsidRDefault="00BD418D" w:rsidP="006116D2">
      <w:pPr>
        <w:pStyle w:val="NoSpacing"/>
        <w:jc w:val="both"/>
        <w:rPr>
          <w:rFonts w:ascii="Times New Roman" w:hAnsi="Times New Roman" w:cs="Times New Roman"/>
          <w:sz w:val="24"/>
          <w:szCs w:val="24"/>
        </w:rPr>
      </w:pPr>
    </w:p>
    <w:p w:rsidR="00BD418D" w:rsidRDefault="00BD418D"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Incremental cost</w:t>
      </w:r>
    </w:p>
    <w:p w:rsidR="00BD418D" w:rsidRDefault="00BD418D" w:rsidP="006116D2">
      <w:pPr>
        <w:pStyle w:val="NoSpacing"/>
        <w:jc w:val="both"/>
        <w:rPr>
          <w:rFonts w:ascii="Times New Roman" w:hAnsi="Times New Roman" w:cs="Times New Roman"/>
          <w:sz w:val="24"/>
          <w:szCs w:val="24"/>
        </w:rPr>
      </w:pPr>
    </w:p>
    <w:p w:rsidR="00480078" w:rsidRDefault="00BD418D" w:rsidP="0048007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is very little detail in the statute and rules regarding how to calculate incremental cost.  As fully described in its report, </w:t>
      </w:r>
      <w:r w:rsidR="00F2412F">
        <w:rPr>
          <w:rFonts w:ascii="Times New Roman" w:hAnsi="Times New Roman" w:cs="Times New Roman"/>
          <w:sz w:val="24"/>
          <w:szCs w:val="24"/>
        </w:rPr>
        <w:t>the Company</w:t>
      </w:r>
      <w:r>
        <w:rPr>
          <w:rFonts w:ascii="Times New Roman" w:hAnsi="Times New Roman" w:cs="Times New Roman"/>
          <w:sz w:val="24"/>
          <w:szCs w:val="24"/>
        </w:rPr>
        <w:t xml:space="preserve"> calculated incremental cost in a manner consistent with the statute and rules.  </w:t>
      </w:r>
      <w:r w:rsidR="00783957">
        <w:rPr>
          <w:rFonts w:ascii="Times New Roman" w:hAnsi="Times New Roman" w:cs="Times New Roman"/>
          <w:sz w:val="24"/>
          <w:szCs w:val="24"/>
        </w:rPr>
        <w:t>In comments</w:t>
      </w:r>
      <w:r w:rsidR="001F7637">
        <w:rPr>
          <w:rFonts w:ascii="Times New Roman" w:hAnsi="Times New Roman" w:cs="Times New Roman"/>
          <w:sz w:val="24"/>
          <w:szCs w:val="24"/>
        </w:rPr>
        <w:t>,</w:t>
      </w:r>
      <w:r w:rsidR="00783957">
        <w:rPr>
          <w:rFonts w:ascii="Times New Roman" w:hAnsi="Times New Roman" w:cs="Times New Roman"/>
          <w:sz w:val="24"/>
          <w:szCs w:val="24"/>
        </w:rPr>
        <w:t xml:space="preserve"> both Staff and NWEC/RNP take issue with the Company’s use of market prices to calculate incremental cost.  Both sets of comments assert that this is not consistent with the requirement in RCW 19.285.050(1)(b) that the resources being compared have the same contract length or facility life.</w:t>
      </w:r>
      <w:r w:rsidR="00783957">
        <w:rPr>
          <w:rStyle w:val="FootnoteReference"/>
          <w:rFonts w:ascii="Times New Roman" w:hAnsi="Times New Roman" w:cs="Times New Roman"/>
          <w:sz w:val="24"/>
          <w:szCs w:val="24"/>
        </w:rPr>
        <w:footnoteReference w:id="6"/>
      </w:r>
      <w:r w:rsidR="00783957">
        <w:rPr>
          <w:rFonts w:ascii="Times New Roman" w:hAnsi="Times New Roman" w:cs="Times New Roman"/>
          <w:sz w:val="24"/>
          <w:szCs w:val="24"/>
        </w:rPr>
        <w:t xml:space="preserve">  </w:t>
      </w:r>
      <w:r w:rsidR="00BA0C5F">
        <w:rPr>
          <w:rFonts w:ascii="Times New Roman" w:hAnsi="Times New Roman" w:cs="Times New Roman"/>
          <w:sz w:val="24"/>
          <w:szCs w:val="24"/>
        </w:rPr>
        <w:t xml:space="preserve">The use of market prices is consistent with the statutory requirement and with how the Company evaluates resource acquisitions.  </w:t>
      </w:r>
    </w:p>
    <w:p w:rsidR="00623C7D" w:rsidRDefault="00623C7D">
      <w:pPr>
        <w:pStyle w:val="NoSpacing"/>
        <w:jc w:val="both"/>
        <w:rPr>
          <w:rFonts w:ascii="Times New Roman" w:hAnsi="Times New Roman" w:cs="Times New Roman"/>
          <w:sz w:val="24"/>
          <w:szCs w:val="24"/>
        </w:rPr>
      </w:pPr>
    </w:p>
    <w:p w:rsidR="00480078" w:rsidRDefault="006E5CAC" w:rsidP="00F2412F">
      <w:pPr>
        <w:pStyle w:val="NoSpacing"/>
        <w:jc w:val="both"/>
        <w:rPr>
          <w:rFonts w:ascii="Times New Roman" w:hAnsi="Times New Roman" w:cs="Times New Roman"/>
          <w:sz w:val="24"/>
          <w:szCs w:val="24"/>
        </w:rPr>
      </w:pPr>
      <w:r>
        <w:rPr>
          <w:rFonts w:ascii="Times New Roman" w:hAnsi="Times New Roman" w:cs="Times New Roman"/>
          <w:sz w:val="24"/>
          <w:szCs w:val="24"/>
        </w:rPr>
        <w:t>Staff and NWEC/RNP also note the Company’s use of a zero incremental cost where an eligible renewable resource is estimated to cost less than the comparable resource.</w:t>
      </w:r>
      <w:r>
        <w:rPr>
          <w:rStyle w:val="FootnoteReference"/>
          <w:rFonts w:ascii="Times New Roman" w:hAnsi="Times New Roman" w:cs="Times New Roman"/>
          <w:sz w:val="24"/>
          <w:szCs w:val="24"/>
        </w:rPr>
        <w:footnoteReference w:id="7"/>
      </w:r>
      <w:r w:rsidR="009C3726">
        <w:rPr>
          <w:rFonts w:ascii="Times New Roman" w:hAnsi="Times New Roman" w:cs="Times New Roman"/>
          <w:sz w:val="24"/>
          <w:szCs w:val="24"/>
        </w:rPr>
        <w:t xml:space="preserve">  Staff states that it believes that PacifiCorp should report the negative incremental cost instead of reporting it as zero, so that this information can appropriately </w:t>
      </w:r>
      <w:r w:rsidR="00293C62">
        <w:rPr>
          <w:rFonts w:ascii="Times New Roman" w:hAnsi="Times New Roman" w:cs="Times New Roman"/>
          <w:sz w:val="24"/>
          <w:szCs w:val="24"/>
        </w:rPr>
        <w:t>“</w:t>
      </w:r>
      <w:r w:rsidR="009C3726">
        <w:rPr>
          <w:rFonts w:ascii="Times New Roman" w:hAnsi="Times New Roman" w:cs="Times New Roman"/>
          <w:sz w:val="24"/>
          <w:szCs w:val="24"/>
        </w:rPr>
        <w:t>inform ratemaking procedures.</w:t>
      </w:r>
      <w:r w:rsidR="00293C62">
        <w:rPr>
          <w:rFonts w:ascii="Times New Roman" w:hAnsi="Times New Roman" w:cs="Times New Roman"/>
          <w:sz w:val="24"/>
          <w:szCs w:val="24"/>
        </w:rPr>
        <w:t>”</w:t>
      </w:r>
      <w:r w:rsidR="00293C62">
        <w:rPr>
          <w:rStyle w:val="FootnoteReference"/>
          <w:rFonts w:ascii="Times New Roman" w:hAnsi="Times New Roman" w:cs="Times New Roman"/>
          <w:sz w:val="24"/>
          <w:szCs w:val="24"/>
        </w:rPr>
        <w:footnoteReference w:id="8"/>
      </w:r>
      <w:r w:rsidR="009C3726">
        <w:rPr>
          <w:rFonts w:ascii="Times New Roman" w:hAnsi="Times New Roman" w:cs="Times New Roman"/>
          <w:sz w:val="24"/>
          <w:szCs w:val="24"/>
        </w:rPr>
        <w:t xml:space="preserve">  NWEC/RNP does not appear to take a position on PacifiCorp’s use of a zero incremental cost.  The Company does not understand Staff’s comment that the incremental cost should not be reported as zero so that the information can appropriate</w:t>
      </w:r>
      <w:r w:rsidR="00DA04B2">
        <w:rPr>
          <w:rFonts w:ascii="Times New Roman" w:hAnsi="Times New Roman" w:cs="Times New Roman"/>
          <w:sz w:val="24"/>
          <w:szCs w:val="24"/>
        </w:rPr>
        <w:t>ly</w:t>
      </w:r>
      <w:r w:rsidR="009C3726">
        <w:rPr>
          <w:rFonts w:ascii="Times New Roman" w:hAnsi="Times New Roman" w:cs="Times New Roman"/>
          <w:sz w:val="24"/>
          <w:szCs w:val="24"/>
        </w:rPr>
        <w:t xml:space="preserve"> inform ratemaking procedures.  The Company requests clarification from Staff or the Commission as to how the incremental cost calculation will inform ratemaking procedures. </w:t>
      </w:r>
      <w:r w:rsidR="00AE35CB">
        <w:rPr>
          <w:rFonts w:ascii="Times New Roman" w:hAnsi="Times New Roman" w:cs="Times New Roman"/>
          <w:sz w:val="24"/>
          <w:szCs w:val="24"/>
        </w:rPr>
        <w:t xml:space="preserve">Additionally, </w:t>
      </w:r>
      <w:r w:rsidR="001F6D24">
        <w:rPr>
          <w:rFonts w:ascii="Times New Roman" w:hAnsi="Times New Roman" w:cs="Times New Roman"/>
          <w:sz w:val="24"/>
          <w:szCs w:val="24"/>
        </w:rPr>
        <w:t xml:space="preserve">it should be noted that </w:t>
      </w:r>
      <w:r w:rsidR="00AE35CB">
        <w:rPr>
          <w:rFonts w:ascii="Times New Roman" w:hAnsi="Times New Roman" w:cs="Times New Roman"/>
          <w:sz w:val="24"/>
          <w:szCs w:val="24"/>
        </w:rPr>
        <w:t xml:space="preserve">the hydro efficiency upgrades occurred in the past and the costs associated with these upgrades have already been included in the rates for Washington customers. </w:t>
      </w:r>
    </w:p>
    <w:p w:rsidR="00480078" w:rsidRDefault="00480078" w:rsidP="00F2412F">
      <w:pPr>
        <w:pStyle w:val="NoSpacing"/>
        <w:jc w:val="both"/>
        <w:rPr>
          <w:rFonts w:ascii="Times New Roman" w:hAnsi="Times New Roman" w:cs="Times New Roman"/>
          <w:sz w:val="24"/>
          <w:szCs w:val="24"/>
        </w:rPr>
      </w:pPr>
    </w:p>
    <w:p w:rsidR="009C3726" w:rsidRDefault="009C3726" w:rsidP="00F2412F">
      <w:pPr>
        <w:pStyle w:val="NoSpacing"/>
        <w:jc w:val="both"/>
        <w:rPr>
          <w:rFonts w:ascii="Times New Roman" w:hAnsi="Times New Roman" w:cs="Times New Roman"/>
          <w:sz w:val="24"/>
          <w:szCs w:val="24"/>
        </w:rPr>
      </w:pPr>
      <w:r>
        <w:rPr>
          <w:rFonts w:ascii="Times New Roman" w:hAnsi="Times New Roman" w:cs="Times New Roman"/>
          <w:sz w:val="24"/>
          <w:szCs w:val="24"/>
        </w:rPr>
        <w:t>Incremental cost</w:t>
      </w:r>
      <w:r w:rsidR="00480078">
        <w:rPr>
          <w:rFonts w:ascii="Times New Roman" w:hAnsi="Times New Roman" w:cs="Times New Roman"/>
          <w:sz w:val="24"/>
          <w:szCs w:val="24"/>
        </w:rPr>
        <w:t xml:space="preserve"> of renewable resources</w:t>
      </w:r>
      <w:r>
        <w:rPr>
          <w:rFonts w:ascii="Times New Roman" w:hAnsi="Times New Roman" w:cs="Times New Roman"/>
          <w:sz w:val="24"/>
          <w:szCs w:val="24"/>
        </w:rPr>
        <w:t xml:space="preserve">, </w:t>
      </w:r>
      <w:r w:rsidR="00480078">
        <w:rPr>
          <w:rFonts w:ascii="Times New Roman" w:hAnsi="Times New Roman" w:cs="Times New Roman"/>
          <w:sz w:val="24"/>
          <w:szCs w:val="24"/>
        </w:rPr>
        <w:t>as defined in the statute</w:t>
      </w:r>
      <w:r>
        <w:rPr>
          <w:rFonts w:ascii="Times New Roman" w:hAnsi="Times New Roman" w:cs="Times New Roman"/>
          <w:sz w:val="24"/>
          <w:szCs w:val="24"/>
        </w:rPr>
        <w:t xml:space="preserve">, cannot be negative.  If it is less costly to generate electricity from a renewable resource than a comparable resource, the utility will not acquire the comparable resource but rather generate electricity from renewable resources.  </w:t>
      </w:r>
      <w:r w:rsidR="00480078">
        <w:rPr>
          <w:rFonts w:ascii="Times New Roman" w:hAnsi="Times New Roman" w:cs="Times New Roman"/>
          <w:sz w:val="24"/>
          <w:szCs w:val="24"/>
        </w:rPr>
        <w:t xml:space="preserve">Thus, </w:t>
      </w:r>
      <w:r>
        <w:rPr>
          <w:rFonts w:ascii="Times New Roman" w:hAnsi="Times New Roman" w:cs="Times New Roman"/>
          <w:sz w:val="24"/>
          <w:szCs w:val="24"/>
        </w:rPr>
        <w:t>the incremental cost of complian</w:t>
      </w:r>
      <w:r w:rsidR="00480078">
        <w:rPr>
          <w:rFonts w:ascii="Times New Roman" w:hAnsi="Times New Roman" w:cs="Times New Roman"/>
          <w:sz w:val="24"/>
          <w:szCs w:val="24"/>
        </w:rPr>
        <w:t xml:space="preserve">ce is zero.  </w:t>
      </w:r>
    </w:p>
    <w:p w:rsidR="00480078" w:rsidRDefault="00480078" w:rsidP="00F2412F">
      <w:pPr>
        <w:pStyle w:val="NoSpacing"/>
        <w:jc w:val="both"/>
        <w:rPr>
          <w:rFonts w:ascii="Times New Roman" w:hAnsi="Times New Roman" w:cs="Times New Roman"/>
          <w:sz w:val="24"/>
          <w:szCs w:val="24"/>
        </w:rPr>
      </w:pPr>
    </w:p>
    <w:p w:rsidR="00F2412F" w:rsidRDefault="00783957" w:rsidP="00F2412F">
      <w:pPr>
        <w:pStyle w:val="NoSpacing"/>
        <w:jc w:val="both"/>
        <w:rPr>
          <w:rFonts w:ascii="Times New Roman" w:hAnsi="Times New Roman" w:cs="Times New Roman"/>
          <w:sz w:val="24"/>
          <w:szCs w:val="24"/>
        </w:rPr>
      </w:pPr>
      <w:r>
        <w:rPr>
          <w:rFonts w:ascii="Times New Roman" w:hAnsi="Times New Roman" w:cs="Times New Roman"/>
          <w:sz w:val="24"/>
          <w:szCs w:val="24"/>
        </w:rPr>
        <w:t>G</w:t>
      </w:r>
      <w:r w:rsidR="00F2412F">
        <w:rPr>
          <w:rFonts w:ascii="Times New Roman" w:hAnsi="Times New Roman" w:cs="Times New Roman"/>
          <w:sz w:val="24"/>
          <w:szCs w:val="24"/>
        </w:rPr>
        <w:t xml:space="preserve">iven the lack of detail in the statute and rules, and because the Company supplied information consistent with Staff’s requests and guidance, the Commission should accept or approve the Renewable Report as filed without requiring modification to the </w:t>
      </w:r>
      <w:r w:rsidR="006E5CAC">
        <w:rPr>
          <w:rFonts w:ascii="Times New Roman" w:hAnsi="Times New Roman" w:cs="Times New Roman"/>
          <w:sz w:val="24"/>
          <w:szCs w:val="24"/>
        </w:rPr>
        <w:t xml:space="preserve">current </w:t>
      </w:r>
      <w:r w:rsidR="00F2412F">
        <w:rPr>
          <w:rFonts w:ascii="Times New Roman" w:hAnsi="Times New Roman" w:cs="Times New Roman"/>
          <w:sz w:val="24"/>
          <w:szCs w:val="24"/>
        </w:rPr>
        <w:t xml:space="preserve">incremental cost calculation.  </w:t>
      </w:r>
    </w:p>
    <w:p w:rsidR="00BD418D" w:rsidRDefault="00BD418D" w:rsidP="006116D2">
      <w:pPr>
        <w:pStyle w:val="NoSpacing"/>
        <w:jc w:val="both"/>
        <w:rPr>
          <w:rFonts w:ascii="Times New Roman" w:hAnsi="Times New Roman" w:cs="Times New Roman"/>
          <w:sz w:val="24"/>
          <w:szCs w:val="24"/>
        </w:rPr>
      </w:pPr>
    </w:p>
    <w:p w:rsidR="00F2412F" w:rsidRDefault="00BD418D" w:rsidP="00BD418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complicated issue is likely to take some time to resolve and may only be resolved after several iterations of annual compliance reports.  </w:t>
      </w:r>
      <w:r w:rsidR="001F6D24">
        <w:rPr>
          <w:rFonts w:ascii="Times New Roman" w:hAnsi="Times New Roman" w:cs="Times New Roman"/>
          <w:sz w:val="24"/>
          <w:szCs w:val="24"/>
        </w:rPr>
        <w:t xml:space="preserve">As the Company recommended above concerning incremental hydro, this issue </w:t>
      </w:r>
      <w:r>
        <w:rPr>
          <w:rFonts w:ascii="Times New Roman" w:hAnsi="Times New Roman" w:cs="Times New Roman"/>
          <w:sz w:val="24"/>
          <w:szCs w:val="24"/>
        </w:rPr>
        <w:t xml:space="preserve">could </w:t>
      </w:r>
      <w:r w:rsidR="00E6272B">
        <w:rPr>
          <w:rFonts w:ascii="Times New Roman" w:hAnsi="Times New Roman" w:cs="Times New Roman"/>
          <w:sz w:val="24"/>
          <w:szCs w:val="24"/>
        </w:rPr>
        <w:t xml:space="preserve">also </w:t>
      </w:r>
      <w:r>
        <w:rPr>
          <w:rFonts w:ascii="Times New Roman" w:hAnsi="Times New Roman" w:cs="Times New Roman"/>
          <w:sz w:val="24"/>
          <w:szCs w:val="24"/>
        </w:rPr>
        <w:t xml:space="preserve">be resolved </w:t>
      </w:r>
      <w:bookmarkStart w:id="0" w:name="_GoBack"/>
      <w:bookmarkEnd w:id="0"/>
      <w:r>
        <w:rPr>
          <w:rFonts w:ascii="Times New Roman" w:hAnsi="Times New Roman" w:cs="Times New Roman"/>
          <w:sz w:val="24"/>
          <w:szCs w:val="24"/>
        </w:rPr>
        <w:t xml:space="preserve">through informal workshops.  </w:t>
      </w:r>
      <w:r w:rsidR="00F2412F">
        <w:rPr>
          <w:rFonts w:ascii="Times New Roman" w:hAnsi="Times New Roman" w:cs="Times New Roman"/>
          <w:sz w:val="24"/>
          <w:szCs w:val="24"/>
        </w:rPr>
        <w:t>If informal workshops continue in docket UE-110523, the Company proposes that the Commission retain some ability to review and approve or modify the output of the informal workshops.  In this way, the parties may gain necessary certainty that items agreed upon during workshops will not change without warning or further Commission action.</w:t>
      </w:r>
    </w:p>
    <w:p w:rsidR="00F2412F" w:rsidRDefault="00F2412F" w:rsidP="00BD418D">
      <w:pPr>
        <w:pStyle w:val="NoSpacing"/>
        <w:jc w:val="both"/>
        <w:rPr>
          <w:rFonts w:ascii="Times New Roman" w:hAnsi="Times New Roman" w:cs="Times New Roman"/>
          <w:sz w:val="24"/>
          <w:szCs w:val="24"/>
        </w:rPr>
      </w:pPr>
    </w:p>
    <w:p w:rsidR="00BD418D" w:rsidRDefault="00BD418D" w:rsidP="00E8451B">
      <w:pPr>
        <w:pStyle w:val="NoSpacing"/>
        <w:numPr>
          <w:ilvl w:val="0"/>
          <w:numId w:val="23"/>
        </w:numPr>
        <w:jc w:val="both"/>
        <w:rPr>
          <w:rFonts w:ascii="Times New Roman" w:hAnsi="Times New Roman" w:cs="Times New Roman"/>
          <w:b/>
          <w:i/>
          <w:sz w:val="24"/>
          <w:szCs w:val="24"/>
        </w:rPr>
      </w:pPr>
      <w:r>
        <w:rPr>
          <w:rFonts w:ascii="Times New Roman" w:hAnsi="Times New Roman" w:cs="Times New Roman"/>
          <w:b/>
          <w:i/>
          <w:sz w:val="24"/>
          <w:szCs w:val="24"/>
        </w:rPr>
        <w:t>WREGIS</w:t>
      </w:r>
      <w:r w:rsidR="00724BAD">
        <w:rPr>
          <w:rFonts w:ascii="Times New Roman" w:hAnsi="Times New Roman" w:cs="Times New Roman"/>
          <w:b/>
          <w:i/>
          <w:sz w:val="24"/>
          <w:szCs w:val="24"/>
        </w:rPr>
        <w:t xml:space="preserve"> Administrator</w:t>
      </w:r>
    </w:p>
    <w:p w:rsidR="00BD418D" w:rsidRDefault="00BD418D" w:rsidP="00BD418D">
      <w:pPr>
        <w:pStyle w:val="NoSpacing"/>
        <w:jc w:val="both"/>
        <w:rPr>
          <w:rFonts w:ascii="Times New Roman" w:hAnsi="Times New Roman" w:cs="Times New Roman"/>
          <w:sz w:val="24"/>
          <w:szCs w:val="24"/>
        </w:rPr>
      </w:pPr>
    </w:p>
    <w:p w:rsidR="00635FD4" w:rsidRPr="00480078" w:rsidRDefault="00480078" w:rsidP="00480078">
      <w:pPr>
        <w:pStyle w:val="NoSpacing"/>
        <w:rPr>
          <w:rFonts w:ascii="Times New Roman" w:hAnsi="Times New Roman" w:cs="Times New Roman"/>
          <w:sz w:val="24"/>
          <w:szCs w:val="24"/>
        </w:rPr>
      </w:pPr>
      <w:r>
        <w:rPr>
          <w:rFonts w:ascii="Times New Roman" w:hAnsi="Times New Roman" w:cs="Times New Roman"/>
          <w:sz w:val="24"/>
          <w:szCs w:val="24"/>
        </w:rPr>
        <w:t xml:space="preserve">In its comments, Staff states that there is an </w:t>
      </w:r>
      <w:r w:rsidR="007D15B4" w:rsidRPr="00480078">
        <w:rPr>
          <w:rFonts w:ascii="Times New Roman" w:hAnsi="Times New Roman" w:cs="Times New Roman"/>
          <w:sz w:val="24"/>
          <w:szCs w:val="24"/>
        </w:rPr>
        <w:t xml:space="preserve">unresolved issue with respect to determining compliance in Washington </w:t>
      </w:r>
      <w:r w:rsidR="00AE35CB">
        <w:rPr>
          <w:rFonts w:ascii="Times New Roman" w:hAnsi="Times New Roman" w:cs="Times New Roman"/>
          <w:sz w:val="24"/>
          <w:szCs w:val="24"/>
        </w:rPr>
        <w:t xml:space="preserve">because there </w:t>
      </w:r>
      <w:r w:rsidR="007D15B4" w:rsidRPr="00480078">
        <w:rPr>
          <w:rFonts w:ascii="Times New Roman" w:hAnsi="Times New Roman" w:cs="Times New Roman"/>
          <w:sz w:val="24"/>
          <w:szCs w:val="24"/>
        </w:rPr>
        <w:t xml:space="preserve">is </w:t>
      </w:r>
      <w:r w:rsidR="00DA04B2">
        <w:rPr>
          <w:rFonts w:ascii="Times New Roman" w:hAnsi="Times New Roman" w:cs="Times New Roman"/>
          <w:sz w:val="24"/>
          <w:szCs w:val="24"/>
        </w:rPr>
        <w:t>no</w:t>
      </w:r>
      <w:r w:rsidR="007D15B4" w:rsidRPr="00480078">
        <w:rPr>
          <w:rFonts w:ascii="Times New Roman" w:hAnsi="Times New Roman" w:cs="Times New Roman"/>
          <w:sz w:val="24"/>
          <w:szCs w:val="24"/>
        </w:rPr>
        <w:t xml:space="preserve"> Washington WREGIS administrator who can verify that a particular </w:t>
      </w:r>
      <w:r w:rsidR="00AE35CB">
        <w:rPr>
          <w:rFonts w:ascii="Times New Roman" w:hAnsi="Times New Roman" w:cs="Times New Roman"/>
          <w:sz w:val="24"/>
          <w:szCs w:val="24"/>
        </w:rPr>
        <w:t>resource</w:t>
      </w:r>
      <w:r w:rsidR="00AE35CB" w:rsidRPr="00480078">
        <w:rPr>
          <w:rFonts w:ascii="Times New Roman" w:hAnsi="Times New Roman" w:cs="Times New Roman"/>
          <w:sz w:val="24"/>
          <w:szCs w:val="24"/>
        </w:rPr>
        <w:t xml:space="preserve"> </w:t>
      </w:r>
      <w:r w:rsidR="007D15B4" w:rsidRPr="00480078">
        <w:rPr>
          <w:rFonts w:ascii="Times New Roman" w:hAnsi="Times New Roman" w:cs="Times New Roman"/>
          <w:sz w:val="24"/>
          <w:szCs w:val="24"/>
        </w:rPr>
        <w:t>in the WREGIS system satisfies the requirements of RCW Chapter 19.285.</w:t>
      </w:r>
      <w:r w:rsidRPr="00480078">
        <w:rPr>
          <w:rStyle w:val="FootnoteReference"/>
          <w:rFonts w:ascii="Times New Roman" w:hAnsi="Times New Roman" w:cs="Times New Roman"/>
          <w:sz w:val="24"/>
          <w:szCs w:val="24"/>
        </w:rPr>
        <w:t xml:space="preserve"> </w:t>
      </w:r>
      <w:r w:rsidRPr="00480078">
        <w:rPr>
          <w:rStyle w:val="FootnoteReference"/>
          <w:rFonts w:ascii="Times New Roman" w:hAnsi="Times New Roman" w:cs="Times New Roman"/>
          <w:sz w:val="24"/>
          <w:szCs w:val="24"/>
        </w:rPr>
        <w:footnoteReference w:id="9"/>
      </w:r>
      <w:r w:rsidR="007D15B4" w:rsidRPr="00480078">
        <w:rPr>
          <w:rFonts w:ascii="Times New Roman" w:hAnsi="Times New Roman" w:cs="Times New Roman"/>
          <w:sz w:val="24"/>
          <w:szCs w:val="24"/>
        </w:rPr>
        <w:t xml:space="preserve"> </w:t>
      </w:r>
      <w:r>
        <w:rPr>
          <w:rFonts w:ascii="Times New Roman" w:hAnsi="Times New Roman" w:cs="Times New Roman"/>
          <w:sz w:val="24"/>
          <w:szCs w:val="24"/>
        </w:rPr>
        <w:t xml:space="preserve"> Staff then notes that l</w:t>
      </w:r>
      <w:r w:rsidR="007D15B4" w:rsidRPr="00480078">
        <w:rPr>
          <w:rFonts w:ascii="Times New Roman" w:hAnsi="Times New Roman" w:cs="Times New Roman"/>
          <w:sz w:val="24"/>
          <w:szCs w:val="24"/>
        </w:rPr>
        <w:t>egislation enacted in 2012 may enable the Washington Department of Commerce to take on that role.</w:t>
      </w:r>
    </w:p>
    <w:p w:rsidR="007D15B4" w:rsidRDefault="007D15B4" w:rsidP="00BD418D">
      <w:pPr>
        <w:pStyle w:val="NoSpacing"/>
        <w:rPr>
          <w:rFonts w:ascii="Times New Roman" w:hAnsi="Times New Roman" w:cs="Times New Roman"/>
          <w:sz w:val="24"/>
          <w:szCs w:val="24"/>
        </w:rPr>
      </w:pPr>
    </w:p>
    <w:p w:rsidR="007D15B4" w:rsidRDefault="007D15B4" w:rsidP="00BD418D">
      <w:pPr>
        <w:pStyle w:val="NoSpacing"/>
        <w:rPr>
          <w:rFonts w:ascii="Times New Roman" w:hAnsi="Times New Roman" w:cs="Times New Roman"/>
          <w:sz w:val="24"/>
          <w:szCs w:val="24"/>
        </w:rPr>
      </w:pPr>
      <w:r>
        <w:rPr>
          <w:rFonts w:ascii="Times New Roman" w:hAnsi="Times New Roman" w:cs="Times New Roman"/>
          <w:sz w:val="24"/>
          <w:szCs w:val="24"/>
        </w:rPr>
        <w:t xml:space="preserve">It is yet to be </w:t>
      </w:r>
      <w:r w:rsidR="0006054B">
        <w:rPr>
          <w:rFonts w:ascii="Times New Roman" w:hAnsi="Times New Roman" w:cs="Times New Roman"/>
          <w:sz w:val="24"/>
          <w:szCs w:val="24"/>
        </w:rPr>
        <w:t>determined</w:t>
      </w:r>
      <w:r>
        <w:rPr>
          <w:rFonts w:ascii="Times New Roman" w:hAnsi="Times New Roman" w:cs="Times New Roman"/>
          <w:sz w:val="24"/>
          <w:szCs w:val="24"/>
        </w:rPr>
        <w:t xml:space="preserve"> if </w:t>
      </w:r>
      <w:r w:rsidRPr="007D15B4">
        <w:rPr>
          <w:rFonts w:ascii="Times New Roman" w:hAnsi="Times New Roman" w:cs="Times New Roman"/>
          <w:sz w:val="24"/>
          <w:szCs w:val="24"/>
        </w:rPr>
        <w:t xml:space="preserve">Senate Bill </w:t>
      </w:r>
      <w:r w:rsidR="00480078">
        <w:rPr>
          <w:rFonts w:ascii="Times New Roman" w:hAnsi="Times New Roman" w:cs="Times New Roman"/>
          <w:sz w:val="24"/>
          <w:szCs w:val="24"/>
        </w:rPr>
        <w:t xml:space="preserve">(SB) </w:t>
      </w:r>
      <w:r w:rsidRPr="007D15B4">
        <w:rPr>
          <w:rFonts w:ascii="Times New Roman" w:hAnsi="Times New Roman" w:cs="Times New Roman"/>
          <w:sz w:val="24"/>
          <w:szCs w:val="24"/>
        </w:rPr>
        <w:t>6414</w:t>
      </w:r>
      <w:r w:rsidR="00480078">
        <w:rPr>
          <w:rFonts w:ascii="Times New Roman" w:hAnsi="Times New Roman" w:cs="Times New Roman"/>
          <w:sz w:val="24"/>
          <w:szCs w:val="24"/>
        </w:rPr>
        <w:t>, which</w:t>
      </w:r>
      <w:r w:rsidRPr="007D15B4">
        <w:rPr>
          <w:rFonts w:ascii="Times New Roman" w:hAnsi="Times New Roman" w:cs="Times New Roman"/>
          <w:sz w:val="24"/>
          <w:szCs w:val="24"/>
        </w:rPr>
        <w:t xml:space="preserve"> authorizes </w:t>
      </w:r>
      <w:r>
        <w:rPr>
          <w:rFonts w:ascii="Times New Roman" w:hAnsi="Times New Roman" w:cs="Times New Roman"/>
          <w:sz w:val="24"/>
          <w:szCs w:val="24"/>
        </w:rPr>
        <w:t xml:space="preserve">the Washington Department of </w:t>
      </w:r>
      <w:r w:rsidRPr="007D15B4">
        <w:rPr>
          <w:rFonts w:ascii="Times New Roman" w:hAnsi="Times New Roman" w:cs="Times New Roman"/>
          <w:sz w:val="24"/>
          <w:szCs w:val="24"/>
        </w:rPr>
        <w:t xml:space="preserve">Commerce to create the EIA advisory opinion process to determine whether a proposed electric generation project or conservation resource qualifies to meet a target under RCW 19.285.040 for consumer-owned utilities </w:t>
      </w:r>
      <w:r w:rsidR="0006054B" w:rsidRPr="0006054B">
        <w:rPr>
          <w:rFonts w:ascii="Times New Roman" w:hAnsi="Times New Roman" w:cs="Times New Roman"/>
          <w:sz w:val="24"/>
          <w:szCs w:val="24"/>
        </w:rPr>
        <w:t>or individuals proposing an electric generation project or conservation resource in Washington State</w:t>
      </w:r>
      <w:r>
        <w:rPr>
          <w:rFonts w:ascii="Times New Roman" w:hAnsi="Times New Roman" w:cs="Times New Roman"/>
          <w:sz w:val="24"/>
          <w:szCs w:val="24"/>
        </w:rPr>
        <w:t xml:space="preserve">. </w:t>
      </w:r>
      <w:r w:rsidR="00480078">
        <w:rPr>
          <w:rFonts w:ascii="Times New Roman" w:hAnsi="Times New Roman" w:cs="Times New Roman"/>
          <w:sz w:val="24"/>
          <w:szCs w:val="24"/>
        </w:rPr>
        <w:t xml:space="preserve"> At this time, the </w:t>
      </w:r>
      <w:r w:rsidR="0006054B">
        <w:rPr>
          <w:rFonts w:ascii="Times New Roman" w:hAnsi="Times New Roman" w:cs="Times New Roman"/>
          <w:sz w:val="24"/>
          <w:szCs w:val="24"/>
        </w:rPr>
        <w:t xml:space="preserve">EIA advisory opinion process is only an advisory opinion. </w:t>
      </w:r>
      <w:r w:rsidR="00480078">
        <w:rPr>
          <w:rFonts w:ascii="Times New Roman" w:hAnsi="Times New Roman" w:cs="Times New Roman"/>
          <w:sz w:val="24"/>
          <w:szCs w:val="24"/>
        </w:rPr>
        <w:t xml:space="preserve"> The only current option available to</w:t>
      </w:r>
      <w:r w:rsidR="0006054B">
        <w:rPr>
          <w:rFonts w:ascii="Times New Roman" w:hAnsi="Times New Roman" w:cs="Times New Roman"/>
          <w:sz w:val="24"/>
          <w:szCs w:val="24"/>
        </w:rPr>
        <w:t xml:space="preserve"> i</w:t>
      </w:r>
      <w:r w:rsidRPr="007D15B4">
        <w:rPr>
          <w:rFonts w:ascii="Times New Roman" w:hAnsi="Times New Roman" w:cs="Times New Roman"/>
          <w:sz w:val="24"/>
          <w:szCs w:val="24"/>
        </w:rPr>
        <w:t xml:space="preserve">nvestor-owned utilities </w:t>
      </w:r>
      <w:r w:rsidR="00480078">
        <w:rPr>
          <w:rFonts w:ascii="Times New Roman" w:hAnsi="Times New Roman" w:cs="Times New Roman"/>
          <w:sz w:val="24"/>
          <w:szCs w:val="24"/>
        </w:rPr>
        <w:t>to receive</w:t>
      </w:r>
      <w:r w:rsidR="00480078" w:rsidRPr="007D15B4">
        <w:rPr>
          <w:rFonts w:ascii="Times New Roman" w:hAnsi="Times New Roman" w:cs="Times New Roman"/>
          <w:sz w:val="24"/>
          <w:szCs w:val="24"/>
        </w:rPr>
        <w:t xml:space="preserve"> </w:t>
      </w:r>
      <w:r w:rsidRPr="007D15B4">
        <w:rPr>
          <w:rFonts w:ascii="Times New Roman" w:hAnsi="Times New Roman" w:cs="Times New Roman"/>
          <w:sz w:val="24"/>
          <w:szCs w:val="24"/>
        </w:rPr>
        <w:t xml:space="preserve">a formal opinion </w:t>
      </w:r>
      <w:r w:rsidR="00DA04B2">
        <w:rPr>
          <w:rFonts w:ascii="Times New Roman" w:hAnsi="Times New Roman" w:cs="Times New Roman"/>
          <w:sz w:val="24"/>
          <w:szCs w:val="24"/>
        </w:rPr>
        <w:t>is to</w:t>
      </w:r>
      <w:r w:rsidR="00DA04B2" w:rsidRPr="007D15B4">
        <w:rPr>
          <w:rFonts w:ascii="Times New Roman" w:hAnsi="Times New Roman" w:cs="Times New Roman"/>
          <w:sz w:val="24"/>
          <w:szCs w:val="24"/>
        </w:rPr>
        <w:t xml:space="preserve"> </w:t>
      </w:r>
      <w:r w:rsidRPr="007D15B4">
        <w:rPr>
          <w:rFonts w:ascii="Times New Roman" w:hAnsi="Times New Roman" w:cs="Times New Roman"/>
          <w:sz w:val="24"/>
          <w:szCs w:val="24"/>
        </w:rPr>
        <w:t>petition the Commission for a declaratory order</w:t>
      </w:r>
      <w:r w:rsidR="0006054B">
        <w:rPr>
          <w:rFonts w:ascii="Times New Roman" w:hAnsi="Times New Roman" w:cs="Times New Roman"/>
          <w:sz w:val="24"/>
          <w:szCs w:val="24"/>
        </w:rPr>
        <w:t>.</w:t>
      </w:r>
    </w:p>
    <w:p w:rsidR="007D15B4" w:rsidRDefault="007D15B4" w:rsidP="00BD418D">
      <w:pPr>
        <w:pStyle w:val="NoSpacing"/>
        <w:rPr>
          <w:rFonts w:ascii="Times New Roman" w:hAnsi="Times New Roman" w:cs="Times New Roman"/>
          <w:sz w:val="24"/>
          <w:szCs w:val="24"/>
        </w:rPr>
      </w:pPr>
    </w:p>
    <w:p w:rsidR="00DF39FA" w:rsidRDefault="0006054B" w:rsidP="00BD418D">
      <w:pPr>
        <w:pStyle w:val="NoSpacing"/>
        <w:rPr>
          <w:rFonts w:ascii="Times New Roman" w:hAnsi="Times New Roman" w:cs="Times New Roman"/>
          <w:sz w:val="24"/>
          <w:szCs w:val="24"/>
        </w:rPr>
      </w:pPr>
      <w:r>
        <w:rPr>
          <w:rFonts w:ascii="Times New Roman" w:hAnsi="Times New Roman" w:cs="Times New Roman"/>
          <w:sz w:val="24"/>
          <w:szCs w:val="24"/>
        </w:rPr>
        <w:t xml:space="preserve">The key responsibility of the WREGIS </w:t>
      </w:r>
      <w:r w:rsidR="00DA04B2">
        <w:rPr>
          <w:rFonts w:ascii="Times New Roman" w:hAnsi="Times New Roman" w:cs="Times New Roman"/>
          <w:sz w:val="24"/>
          <w:szCs w:val="24"/>
        </w:rPr>
        <w:t>a</w:t>
      </w:r>
      <w:r>
        <w:rPr>
          <w:rFonts w:ascii="Times New Roman" w:hAnsi="Times New Roman" w:cs="Times New Roman"/>
          <w:sz w:val="24"/>
          <w:szCs w:val="24"/>
        </w:rPr>
        <w:t xml:space="preserve">dministrator would be to determine </w:t>
      </w:r>
      <w:r w:rsidR="00AE35CB">
        <w:rPr>
          <w:rFonts w:ascii="Times New Roman" w:hAnsi="Times New Roman" w:cs="Times New Roman"/>
          <w:sz w:val="24"/>
          <w:szCs w:val="24"/>
        </w:rPr>
        <w:t xml:space="preserve">resource </w:t>
      </w:r>
      <w:r>
        <w:rPr>
          <w:rFonts w:ascii="Times New Roman" w:hAnsi="Times New Roman" w:cs="Times New Roman"/>
          <w:sz w:val="24"/>
          <w:szCs w:val="24"/>
        </w:rPr>
        <w:t xml:space="preserve">eligibility for the Washington </w:t>
      </w:r>
      <w:r w:rsidR="00724BAD">
        <w:rPr>
          <w:rFonts w:ascii="Times New Roman" w:hAnsi="Times New Roman" w:cs="Times New Roman"/>
          <w:sz w:val="24"/>
          <w:szCs w:val="24"/>
        </w:rPr>
        <w:t>RPS</w:t>
      </w:r>
      <w:r>
        <w:rPr>
          <w:rFonts w:ascii="Times New Roman" w:hAnsi="Times New Roman" w:cs="Times New Roman"/>
          <w:sz w:val="24"/>
          <w:szCs w:val="24"/>
        </w:rPr>
        <w:t xml:space="preserve"> program. If the </w:t>
      </w:r>
      <w:r w:rsidR="00BD418D">
        <w:rPr>
          <w:rFonts w:ascii="Times New Roman" w:hAnsi="Times New Roman" w:cs="Times New Roman"/>
          <w:sz w:val="24"/>
          <w:szCs w:val="24"/>
        </w:rPr>
        <w:t>Commission</w:t>
      </w:r>
      <w:r w:rsidR="00BD418D" w:rsidRPr="00BD418D">
        <w:rPr>
          <w:rFonts w:ascii="Times New Roman" w:hAnsi="Times New Roman" w:cs="Times New Roman"/>
          <w:sz w:val="24"/>
          <w:szCs w:val="24"/>
        </w:rPr>
        <w:t xml:space="preserve"> make</w:t>
      </w:r>
      <w:r w:rsidR="00BD418D">
        <w:rPr>
          <w:rFonts w:ascii="Times New Roman" w:hAnsi="Times New Roman" w:cs="Times New Roman"/>
          <w:sz w:val="24"/>
          <w:szCs w:val="24"/>
        </w:rPr>
        <w:t>s</w:t>
      </w:r>
      <w:r w:rsidR="00BD418D" w:rsidRPr="00BD418D">
        <w:rPr>
          <w:rFonts w:ascii="Times New Roman" w:hAnsi="Times New Roman" w:cs="Times New Roman"/>
          <w:sz w:val="24"/>
          <w:szCs w:val="24"/>
        </w:rPr>
        <w:t xml:space="preserve"> a determination </w:t>
      </w:r>
      <w:r w:rsidR="00BD418D">
        <w:rPr>
          <w:rFonts w:ascii="Times New Roman" w:hAnsi="Times New Roman" w:cs="Times New Roman"/>
          <w:sz w:val="24"/>
          <w:szCs w:val="24"/>
        </w:rPr>
        <w:t>regarding</w:t>
      </w:r>
      <w:r w:rsidR="00BD418D" w:rsidRPr="00BD418D">
        <w:rPr>
          <w:rFonts w:ascii="Times New Roman" w:hAnsi="Times New Roman" w:cs="Times New Roman"/>
          <w:sz w:val="24"/>
          <w:szCs w:val="24"/>
        </w:rPr>
        <w:t xml:space="preserve"> resource eligibility</w:t>
      </w:r>
      <w:r w:rsidR="00BD418D">
        <w:rPr>
          <w:rFonts w:ascii="Times New Roman" w:hAnsi="Times New Roman" w:cs="Times New Roman"/>
          <w:sz w:val="24"/>
          <w:szCs w:val="24"/>
        </w:rPr>
        <w:t xml:space="preserve"> </w:t>
      </w:r>
      <w:r w:rsidR="00F30470">
        <w:rPr>
          <w:rFonts w:ascii="Times New Roman" w:hAnsi="Times New Roman" w:cs="Times New Roman"/>
          <w:sz w:val="24"/>
          <w:szCs w:val="24"/>
        </w:rPr>
        <w:t xml:space="preserve">associated with the resources in </w:t>
      </w:r>
      <w:r>
        <w:rPr>
          <w:rFonts w:ascii="Times New Roman" w:hAnsi="Times New Roman" w:cs="Times New Roman"/>
          <w:sz w:val="24"/>
          <w:szCs w:val="24"/>
        </w:rPr>
        <w:t>the Renewable Report</w:t>
      </w:r>
      <w:r w:rsidR="00BD418D" w:rsidRPr="00BD418D">
        <w:rPr>
          <w:rFonts w:ascii="Times New Roman" w:hAnsi="Times New Roman" w:cs="Times New Roman"/>
          <w:sz w:val="24"/>
          <w:szCs w:val="24"/>
        </w:rPr>
        <w:t xml:space="preserve">, the WREGIS </w:t>
      </w:r>
      <w:r w:rsidR="00DA04B2">
        <w:rPr>
          <w:rFonts w:ascii="Times New Roman" w:hAnsi="Times New Roman" w:cs="Times New Roman"/>
          <w:sz w:val="24"/>
          <w:szCs w:val="24"/>
        </w:rPr>
        <w:t>a</w:t>
      </w:r>
      <w:r w:rsidR="00BD418D" w:rsidRPr="00BD418D">
        <w:rPr>
          <w:rFonts w:ascii="Times New Roman" w:hAnsi="Times New Roman" w:cs="Times New Roman"/>
          <w:sz w:val="24"/>
          <w:szCs w:val="24"/>
        </w:rPr>
        <w:t xml:space="preserve">dministrator issue </w:t>
      </w:r>
      <w:r w:rsidR="00F2412F">
        <w:rPr>
          <w:rFonts w:ascii="Times New Roman" w:hAnsi="Times New Roman" w:cs="Times New Roman"/>
          <w:sz w:val="24"/>
          <w:szCs w:val="24"/>
        </w:rPr>
        <w:t>may be addressed</w:t>
      </w:r>
      <w:r w:rsidR="00BD418D" w:rsidRPr="00BD418D">
        <w:rPr>
          <w:rFonts w:ascii="Times New Roman" w:hAnsi="Times New Roman" w:cs="Times New Roman"/>
          <w:sz w:val="24"/>
          <w:szCs w:val="24"/>
        </w:rPr>
        <w:t xml:space="preserve"> later.</w:t>
      </w:r>
      <w:r>
        <w:rPr>
          <w:rFonts w:ascii="Times New Roman" w:hAnsi="Times New Roman" w:cs="Times New Roman"/>
          <w:sz w:val="24"/>
          <w:szCs w:val="24"/>
        </w:rPr>
        <w:t xml:space="preserve"> </w:t>
      </w:r>
    </w:p>
    <w:p w:rsidR="00DF39FA" w:rsidRDefault="00DF39FA" w:rsidP="00BD418D">
      <w:pPr>
        <w:pStyle w:val="NoSpacing"/>
        <w:rPr>
          <w:rFonts w:ascii="Times New Roman" w:hAnsi="Times New Roman" w:cs="Times New Roman"/>
          <w:sz w:val="24"/>
          <w:szCs w:val="24"/>
        </w:rPr>
      </w:pPr>
    </w:p>
    <w:p w:rsidR="007E18F8" w:rsidRPr="00E8451B" w:rsidRDefault="00E8451B" w:rsidP="00CF22DE">
      <w:pPr>
        <w:pStyle w:val="NoSpacing"/>
        <w:numPr>
          <w:ilvl w:val="0"/>
          <w:numId w:val="22"/>
        </w:numPr>
        <w:ind w:left="0" w:firstLine="0"/>
        <w:jc w:val="both"/>
        <w:rPr>
          <w:rFonts w:ascii="Times New Roman" w:hAnsi="Times New Roman" w:cs="Times New Roman"/>
          <w:b/>
          <w:sz w:val="24"/>
          <w:szCs w:val="24"/>
        </w:rPr>
      </w:pPr>
      <w:r>
        <w:rPr>
          <w:rFonts w:ascii="Times New Roman" w:hAnsi="Times New Roman" w:cs="Times New Roman"/>
          <w:b/>
          <w:sz w:val="24"/>
          <w:szCs w:val="24"/>
        </w:rPr>
        <w:t>Conclusion</w:t>
      </w:r>
    </w:p>
    <w:p w:rsidR="007E18F8" w:rsidRDefault="007E18F8" w:rsidP="007E18F8">
      <w:pPr>
        <w:pStyle w:val="NoSpacing"/>
        <w:jc w:val="both"/>
        <w:rPr>
          <w:rFonts w:ascii="Times New Roman" w:hAnsi="Times New Roman" w:cs="Times New Roman"/>
          <w:sz w:val="24"/>
          <w:szCs w:val="24"/>
        </w:rPr>
      </w:pPr>
    </w:p>
    <w:p w:rsidR="007E18F8" w:rsidRDefault="00E8451B" w:rsidP="000636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the foregoing reasons, as well as those set forth in the Renewable Report, the Company requests that the Commission approve the Company’s Renewable Report as consistent with the applicable reporting requirements.  The Company appreciates the opportunity to submit these comments.  </w:t>
      </w:r>
      <w:r w:rsidR="007E18F8" w:rsidRPr="00664B79">
        <w:rPr>
          <w:rFonts w:ascii="Times New Roman" w:hAnsi="Times New Roman" w:cs="Times New Roman"/>
          <w:sz w:val="24"/>
          <w:szCs w:val="24"/>
        </w:rPr>
        <w:t>If you have any questions regarding these comments, ple</w:t>
      </w:r>
      <w:r w:rsidR="007E18F8">
        <w:rPr>
          <w:rFonts w:ascii="Times New Roman" w:hAnsi="Times New Roman" w:cs="Times New Roman"/>
          <w:sz w:val="24"/>
          <w:szCs w:val="24"/>
        </w:rPr>
        <w:t>ase contact Carla Bird at (503) 813-5269</w:t>
      </w:r>
      <w:r w:rsidR="007E18F8" w:rsidRPr="00664B79">
        <w:rPr>
          <w:rFonts w:ascii="Times New Roman" w:hAnsi="Times New Roman" w:cs="Times New Roman"/>
          <w:sz w:val="24"/>
          <w:szCs w:val="24"/>
        </w:rPr>
        <w:t>.</w:t>
      </w:r>
    </w:p>
    <w:p w:rsidR="000636B1" w:rsidRDefault="000636B1" w:rsidP="000636B1">
      <w:pPr>
        <w:pStyle w:val="NoSpacing"/>
        <w:jc w:val="both"/>
        <w:rPr>
          <w:rFonts w:ascii="Times New Roman" w:hAnsi="Times New Roman" w:cs="Times New Roman"/>
          <w:sz w:val="24"/>
          <w:szCs w:val="24"/>
        </w:rPr>
      </w:pPr>
    </w:p>
    <w:p w:rsidR="000636B1" w:rsidRDefault="000636B1" w:rsidP="000636B1">
      <w:pPr>
        <w:pStyle w:val="NoSpacing"/>
        <w:jc w:val="both"/>
        <w:rPr>
          <w:rFonts w:ascii="Times New Roman" w:hAnsi="Times New Roman"/>
          <w:szCs w:val="24"/>
        </w:rPr>
      </w:pPr>
    </w:p>
    <w:p w:rsidR="007E18F8" w:rsidRPr="00664B79" w:rsidRDefault="007E18F8" w:rsidP="007E18F8">
      <w:pPr>
        <w:pStyle w:val="NoSpacing"/>
        <w:rPr>
          <w:rFonts w:ascii="Times New Roman" w:hAnsi="Times New Roman" w:cs="Times New Roman"/>
          <w:sz w:val="24"/>
          <w:szCs w:val="24"/>
        </w:rPr>
      </w:pPr>
      <w:r w:rsidRPr="00664B79">
        <w:rPr>
          <w:rFonts w:ascii="Times New Roman" w:hAnsi="Times New Roman" w:cs="Times New Roman"/>
          <w:sz w:val="24"/>
          <w:szCs w:val="24"/>
        </w:rPr>
        <w:t>Sincerely,</w:t>
      </w:r>
    </w:p>
    <w:p w:rsidR="007E18F8" w:rsidRPr="00664B79" w:rsidRDefault="007E18F8" w:rsidP="007E18F8">
      <w:pPr>
        <w:pStyle w:val="NoSpacing"/>
        <w:rPr>
          <w:rFonts w:ascii="Times New Roman" w:hAnsi="Times New Roman" w:cs="Times New Roman"/>
          <w:sz w:val="24"/>
          <w:szCs w:val="24"/>
        </w:rPr>
      </w:pPr>
    </w:p>
    <w:p w:rsidR="007E18F8" w:rsidRDefault="007E18F8" w:rsidP="007E18F8">
      <w:pPr>
        <w:pStyle w:val="NoSpacing"/>
        <w:rPr>
          <w:rFonts w:ascii="Times New Roman" w:hAnsi="Times New Roman" w:cs="Times New Roman"/>
          <w:sz w:val="24"/>
          <w:szCs w:val="24"/>
        </w:rPr>
      </w:pPr>
    </w:p>
    <w:p w:rsidR="00F9088B" w:rsidRPr="00664B79" w:rsidRDefault="00F9088B" w:rsidP="007E18F8">
      <w:pPr>
        <w:pStyle w:val="NoSpacing"/>
        <w:rPr>
          <w:rFonts w:ascii="Times New Roman" w:hAnsi="Times New Roman" w:cs="Times New Roman"/>
          <w:sz w:val="24"/>
          <w:szCs w:val="24"/>
        </w:rPr>
      </w:pPr>
    </w:p>
    <w:p w:rsidR="007E18F8" w:rsidRPr="00664B79" w:rsidRDefault="007E18F8" w:rsidP="007E18F8">
      <w:pPr>
        <w:pStyle w:val="NoSpacing"/>
        <w:rPr>
          <w:rFonts w:ascii="Times New Roman" w:hAnsi="Times New Roman" w:cs="Times New Roman"/>
          <w:sz w:val="24"/>
          <w:szCs w:val="24"/>
        </w:rPr>
      </w:pPr>
      <w:r>
        <w:rPr>
          <w:rFonts w:ascii="Times New Roman" w:hAnsi="Times New Roman" w:cs="Times New Roman"/>
          <w:sz w:val="24"/>
          <w:szCs w:val="24"/>
        </w:rPr>
        <w:t>William R. Griffith</w:t>
      </w:r>
    </w:p>
    <w:p w:rsidR="007E18F8" w:rsidRPr="00664B79" w:rsidRDefault="007E18F8" w:rsidP="007E18F8">
      <w:pPr>
        <w:pStyle w:val="NoSpacing"/>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7E18F8" w:rsidRPr="00664B79" w:rsidRDefault="007E18F8" w:rsidP="007E18F8">
      <w:pPr>
        <w:pStyle w:val="NoSpacing"/>
        <w:rPr>
          <w:rFonts w:ascii="Times New Roman" w:hAnsi="Times New Roman" w:cs="Times New Roman"/>
          <w:sz w:val="24"/>
          <w:szCs w:val="24"/>
        </w:rPr>
      </w:pPr>
    </w:p>
    <w:p w:rsidR="00F9088B" w:rsidRDefault="00F9088B" w:rsidP="007E18F8">
      <w:pPr>
        <w:pStyle w:val="NoSpacing"/>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Deborah Reynolds, WUTC</w:t>
      </w:r>
    </w:p>
    <w:p w:rsidR="00F9088B" w:rsidRDefault="00F9088B" w:rsidP="007E18F8">
      <w:pPr>
        <w:pStyle w:val="NoSpacing"/>
        <w:rPr>
          <w:rFonts w:ascii="Times New Roman" w:hAnsi="Times New Roman" w:cs="Times New Roman"/>
          <w:sz w:val="24"/>
          <w:szCs w:val="24"/>
        </w:rPr>
      </w:pPr>
      <w:r>
        <w:rPr>
          <w:rFonts w:ascii="Times New Roman" w:hAnsi="Times New Roman" w:cs="Times New Roman"/>
          <w:sz w:val="24"/>
          <w:szCs w:val="24"/>
        </w:rPr>
        <w:tab/>
        <w:t>Lea Daeschel, Attorney General’s Office</w:t>
      </w:r>
    </w:p>
    <w:p w:rsidR="00F9088B" w:rsidRDefault="00F9088B" w:rsidP="007E18F8">
      <w:pPr>
        <w:pStyle w:val="NoSpacing"/>
        <w:rPr>
          <w:rFonts w:ascii="Times New Roman" w:hAnsi="Times New Roman" w:cs="Times New Roman"/>
          <w:sz w:val="24"/>
          <w:szCs w:val="24"/>
        </w:rPr>
      </w:pPr>
      <w:r>
        <w:rPr>
          <w:rFonts w:ascii="Times New Roman" w:hAnsi="Times New Roman" w:cs="Times New Roman"/>
          <w:sz w:val="24"/>
          <w:szCs w:val="24"/>
        </w:rPr>
        <w:tab/>
        <w:t>Megan Decker, Renewable Northwest Project</w:t>
      </w:r>
    </w:p>
    <w:p w:rsidR="00F9088B" w:rsidRDefault="00F9088B" w:rsidP="007E18F8">
      <w:pPr>
        <w:pStyle w:val="NoSpacing"/>
        <w:rPr>
          <w:rFonts w:ascii="Times New Roman" w:hAnsi="Times New Roman" w:cs="Times New Roman"/>
          <w:sz w:val="24"/>
          <w:szCs w:val="24"/>
        </w:rPr>
      </w:pPr>
      <w:r>
        <w:rPr>
          <w:rFonts w:ascii="Times New Roman" w:hAnsi="Times New Roman" w:cs="Times New Roman"/>
          <w:sz w:val="24"/>
          <w:szCs w:val="24"/>
        </w:rPr>
        <w:tab/>
        <w:t>Rachel Simshak, Renewable Northwest Project</w:t>
      </w:r>
    </w:p>
    <w:p w:rsidR="00F9088B" w:rsidRDefault="00F9088B" w:rsidP="007E18F8">
      <w:pPr>
        <w:pStyle w:val="NoSpacing"/>
        <w:rPr>
          <w:rFonts w:ascii="Times New Roman" w:hAnsi="Times New Roman" w:cs="Times New Roman"/>
          <w:sz w:val="24"/>
          <w:szCs w:val="24"/>
        </w:rPr>
      </w:pPr>
      <w:r>
        <w:rPr>
          <w:rFonts w:ascii="Times New Roman" w:hAnsi="Times New Roman" w:cs="Times New Roman"/>
          <w:sz w:val="24"/>
          <w:szCs w:val="24"/>
        </w:rPr>
        <w:tab/>
        <w:t>Danielle Dixon, NW Energy Coalition</w:t>
      </w:r>
    </w:p>
    <w:p w:rsidR="00F9088B" w:rsidRDefault="00F9088B" w:rsidP="007E18F8">
      <w:pPr>
        <w:pStyle w:val="NoSpacing"/>
        <w:rPr>
          <w:rFonts w:ascii="Times New Roman" w:hAnsi="Times New Roman" w:cs="Times New Roman"/>
          <w:sz w:val="24"/>
          <w:szCs w:val="24"/>
        </w:rPr>
      </w:pPr>
      <w:r>
        <w:rPr>
          <w:rFonts w:ascii="Times New Roman" w:hAnsi="Times New Roman" w:cs="Times New Roman"/>
          <w:sz w:val="24"/>
          <w:szCs w:val="24"/>
        </w:rPr>
        <w:tab/>
        <w:t>Nancy Hirsh, NW Energy Coalition</w:t>
      </w:r>
    </w:p>
    <w:p w:rsidR="00F9088B" w:rsidRDefault="00F9088B" w:rsidP="007E18F8">
      <w:pPr>
        <w:pStyle w:val="NoSpacing"/>
        <w:rPr>
          <w:rFonts w:ascii="Times New Roman" w:hAnsi="Times New Roman" w:cs="Times New Roman"/>
          <w:sz w:val="24"/>
          <w:szCs w:val="24"/>
        </w:rPr>
      </w:pPr>
    </w:p>
    <w:p w:rsidR="00A30233" w:rsidRDefault="00A30233" w:rsidP="00964072">
      <w:pPr>
        <w:jc w:val="both"/>
        <w:rPr>
          <w:rFonts w:ascii="Times New Roman" w:hAnsi="Times New Roman"/>
        </w:rPr>
      </w:pPr>
    </w:p>
    <w:p w:rsidR="00964072" w:rsidRPr="00D870FC" w:rsidRDefault="00964072" w:rsidP="00964072">
      <w:pPr>
        <w:jc w:val="both"/>
        <w:rPr>
          <w:rFonts w:ascii="Times New Roman" w:hAnsi="Times New Roman"/>
        </w:rPr>
      </w:pPr>
    </w:p>
    <w:sectPr w:rsidR="00964072" w:rsidRPr="00D870FC" w:rsidSect="007E18F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AD4" w:rsidRDefault="00F36AD4" w:rsidP="00964072">
      <w:r>
        <w:separator/>
      </w:r>
    </w:p>
  </w:endnote>
  <w:endnote w:type="continuationSeparator" w:id="0">
    <w:p w:rsidR="00F36AD4" w:rsidRDefault="00F36AD4" w:rsidP="00964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CA" w:rsidRDefault="00435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CA" w:rsidRDefault="00435E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CA" w:rsidRDefault="00435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AD4" w:rsidRDefault="00F36AD4" w:rsidP="00964072">
      <w:r>
        <w:separator/>
      </w:r>
    </w:p>
  </w:footnote>
  <w:footnote w:type="continuationSeparator" w:id="0">
    <w:p w:rsidR="00F36AD4" w:rsidRDefault="00F36AD4" w:rsidP="00964072">
      <w:r>
        <w:continuationSeparator/>
      </w:r>
    </w:p>
  </w:footnote>
  <w:footnote w:id="1">
    <w:p w:rsidR="00DD5C31" w:rsidRPr="00CB6666" w:rsidRDefault="00DD5C31">
      <w:pPr>
        <w:pStyle w:val="FootnoteText"/>
        <w:rPr>
          <w:rFonts w:ascii="Times New Roman" w:hAnsi="Times New Roman" w:cs="Times New Roman"/>
        </w:rPr>
      </w:pPr>
      <w:r w:rsidRPr="00CB6666">
        <w:rPr>
          <w:rStyle w:val="FootnoteReference"/>
          <w:rFonts w:ascii="Times New Roman" w:hAnsi="Times New Roman" w:cs="Times New Roman"/>
        </w:rPr>
        <w:footnoteRef/>
      </w:r>
      <w:r w:rsidRPr="00CB6666">
        <w:rPr>
          <w:rFonts w:ascii="Times New Roman" w:hAnsi="Times New Roman" w:cs="Times New Roman"/>
        </w:rPr>
        <w:t xml:space="preserve"> Both Staff and NWEC/RNP acknowledge this in their comments; </w:t>
      </w:r>
      <w:r w:rsidRPr="00CB6666">
        <w:rPr>
          <w:rFonts w:ascii="Times New Roman" w:hAnsi="Times New Roman" w:cs="Times New Roman"/>
          <w:i/>
        </w:rPr>
        <w:t xml:space="preserve">see </w:t>
      </w:r>
      <w:r w:rsidRPr="00CB6666">
        <w:rPr>
          <w:rFonts w:ascii="Times New Roman" w:hAnsi="Times New Roman" w:cs="Times New Roman"/>
        </w:rPr>
        <w:t>comments of RNP and NWEC at p.3; Staff comments at p. 19.</w:t>
      </w:r>
    </w:p>
  </w:footnote>
  <w:footnote w:id="2">
    <w:p w:rsidR="00DD5C31" w:rsidRDefault="00DD5C31">
      <w:pPr>
        <w:pStyle w:val="FootnoteText"/>
      </w:pPr>
      <w:r w:rsidRPr="00CB6666">
        <w:rPr>
          <w:rStyle w:val="FootnoteReference"/>
          <w:rFonts w:ascii="Times New Roman" w:hAnsi="Times New Roman" w:cs="Times New Roman"/>
        </w:rPr>
        <w:footnoteRef/>
      </w:r>
      <w:r w:rsidRPr="00CB6666">
        <w:rPr>
          <w:rFonts w:ascii="Times New Roman" w:hAnsi="Times New Roman" w:cs="Times New Roman"/>
        </w:rPr>
        <w:t xml:space="preserve"> RCW 19.285.040(2)(a) states, in relevant part, that each qualifying utility must meet the following annual targets: (i) At least three percent of </w:t>
      </w:r>
      <w:r w:rsidR="0090718F" w:rsidRPr="00CB6666">
        <w:rPr>
          <w:rFonts w:ascii="Times New Roman" w:hAnsi="Times New Roman" w:cs="Times New Roman"/>
        </w:rPr>
        <w:t>its</w:t>
      </w:r>
      <w:r w:rsidRPr="00CB6666">
        <w:rPr>
          <w:rFonts w:ascii="Times New Roman" w:hAnsi="Times New Roman" w:cs="Times New Roman"/>
        </w:rPr>
        <w:t xml:space="preserve"> load by January 1, 2012, and each year thereafter through December 31, 2015; WAC 180-109-020(1) states, in relevant part, that each utility must meet the following annual targets: (a) By January 1 of each year </w:t>
      </w:r>
      <w:r w:rsidRPr="00CB6666">
        <w:rPr>
          <w:rFonts w:ascii="Times New Roman" w:hAnsi="Times New Roman" w:cs="Times New Roman"/>
          <w:i/>
        </w:rPr>
        <w:t>beginning in 2012</w:t>
      </w:r>
      <w:r w:rsidRPr="00CB6666">
        <w:rPr>
          <w:rFonts w:ascii="Times New Roman" w:hAnsi="Times New Roman" w:cs="Times New Roman"/>
        </w:rPr>
        <w:t xml:space="preserve"> and continuing through 2015, each utility must use sufficient eligible renewable resources, acquire equivalent renewable energy credits, </w:t>
      </w:r>
      <w:r w:rsidR="0090718F" w:rsidRPr="00CB6666">
        <w:rPr>
          <w:rFonts w:ascii="Times New Roman" w:hAnsi="Times New Roman" w:cs="Times New Roman"/>
        </w:rPr>
        <w:t>or</w:t>
      </w:r>
      <w:r w:rsidR="00FC124E" w:rsidRPr="00CB6666">
        <w:rPr>
          <w:rFonts w:ascii="Times New Roman" w:hAnsi="Times New Roman" w:cs="Times New Roman"/>
        </w:rPr>
        <w:t xml:space="preserve"> </w:t>
      </w:r>
      <w:r w:rsidRPr="00CB6666">
        <w:rPr>
          <w:rFonts w:ascii="Times New Roman" w:hAnsi="Times New Roman" w:cs="Times New Roman"/>
        </w:rPr>
        <w:t xml:space="preserve">a combination of both, to supply at least three percent of its load for the remainder of each year.  (emphasis added).  </w:t>
      </w:r>
    </w:p>
  </w:footnote>
  <w:footnote w:id="3">
    <w:p w:rsidR="00DD5C31" w:rsidRDefault="00DD5C31">
      <w:pPr>
        <w:pStyle w:val="FootnoteText"/>
      </w:pPr>
      <w:r>
        <w:rPr>
          <w:rStyle w:val="FootnoteReference"/>
        </w:rPr>
        <w:footnoteRef/>
      </w:r>
      <w:r>
        <w:t xml:space="preserve"> Comments of RNP and NWEC at p.5.</w:t>
      </w:r>
    </w:p>
  </w:footnote>
  <w:footnote w:id="4">
    <w:p w:rsidR="00AC27F1" w:rsidRDefault="00AC27F1" w:rsidP="00AC27F1">
      <w:pPr>
        <w:pStyle w:val="FootnoteText"/>
      </w:pPr>
      <w:r>
        <w:rPr>
          <w:rStyle w:val="FootnoteReference"/>
        </w:rPr>
        <w:footnoteRef/>
      </w:r>
      <w:r>
        <w:t xml:space="preserve"> Comments of NWEC/RNP at p. 5.</w:t>
      </w:r>
    </w:p>
  </w:footnote>
  <w:footnote w:id="5">
    <w:p w:rsidR="00783957" w:rsidRDefault="00783957">
      <w:pPr>
        <w:pStyle w:val="FootnoteText"/>
      </w:pPr>
      <w:r>
        <w:rPr>
          <w:rStyle w:val="FootnoteReference"/>
        </w:rPr>
        <w:footnoteRef/>
      </w:r>
      <w:r>
        <w:t xml:space="preserve"> Staff comments at p.18.</w:t>
      </w:r>
    </w:p>
  </w:footnote>
  <w:footnote w:id="6">
    <w:p w:rsidR="00783957" w:rsidRDefault="00783957">
      <w:pPr>
        <w:pStyle w:val="FootnoteText"/>
      </w:pPr>
      <w:r>
        <w:rPr>
          <w:rStyle w:val="FootnoteReference"/>
        </w:rPr>
        <w:footnoteRef/>
      </w:r>
      <w:r>
        <w:t xml:space="preserve"> Staff comments at p.21; Comments of NWEC/RNP at p. 6.</w:t>
      </w:r>
    </w:p>
  </w:footnote>
  <w:footnote w:id="7">
    <w:p w:rsidR="006E5CAC" w:rsidRDefault="006E5CAC">
      <w:pPr>
        <w:pStyle w:val="FootnoteText"/>
      </w:pPr>
      <w:r>
        <w:rPr>
          <w:rStyle w:val="FootnoteReference"/>
        </w:rPr>
        <w:footnoteRef/>
      </w:r>
      <w:r>
        <w:t xml:space="preserve"> Staff comments at p. 21; Comments of NWEC/RNP at p.5.</w:t>
      </w:r>
    </w:p>
  </w:footnote>
  <w:footnote w:id="8">
    <w:p w:rsidR="00293C62" w:rsidRPr="00293C62" w:rsidRDefault="00293C62">
      <w:pPr>
        <w:pStyle w:val="FootnoteText"/>
      </w:pPr>
      <w:r>
        <w:rPr>
          <w:rStyle w:val="FootnoteReference"/>
        </w:rPr>
        <w:footnoteRef/>
      </w:r>
      <w:r>
        <w:t xml:space="preserve"> Staff comments at p.21.</w:t>
      </w:r>
    </w:p>
  </w:footnote>
  <w:footnote w:id="9">
    <w:p w:rsidR="00480078" w:rsidRDefault="00480078" w:rsidP="00480078">
      <w:pPr>
        <w:pStyle w:val="FootnoteText"/>
      </w:pPr>
      <w:r>
        <w:rPr>
          <w:rStyle w:val="FootnoteReference"/>
        </w:rPr>
        <w:footnoteRef/>
      </w:r>
      <w:r>
        <w:t xml:space="preserve"> Staff Comments at p.7</w:t>
      </w:r>
      <w:r w:rsidR="00CB6666">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CA" w:rsidRDefault="00435E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31" w:rsidRDefault="00DD5C31">
    <w:pPr>
      <w:pStyle w:val="Header"/>
    </w:pPr>
    <w:r>
      <w:t>Washington Utilities and Transportation Commission</w:t>
    </w:r>
  </w:p>
  <w:p w:rsidR="00DD5C31" w:rsidRDefault="004C6AC8">
    <w:pPr>
      <w:pStyle w:val="Header"/>
    </w:pPr>
    <w:r>
      <w:t>August 2</w:t>
    </w:r>
    <w:r w:rsidR="00DD5C31">
      <w:t>, 2012</w:t>
    </w:r>
  </w:p>
  <w:p w:rsidR="00DD5C31" w:rsidRDefault="00DD5C31">
    <w:pPr>
      <w:pStyle w:val="Header"/>
    </w:pPr>
    <w:r>
      <w:t xml:space="preserve">Page </w:t>
    </w:r>
    <w:r w:rsidR="001C0AC3">
      <w:fldChar w:fldCharType="begin"/>
    </w:r>
    <w:r w:rsidR="001D06C3">
      <w:instrText xml:space="preserve"> PAGE   \* MERGEFORMAT </w:instrText>
    </w:r>
    <w:r w:rsidR="001C0AC3">
      <w:fldChar w:fldCharType="separate"/>
    </w:r>
    <w:r w:rsidR="00417317">
      <w:rPr>
        <w:noProof/>
      </w:rPr>
      <w:t>2</w:t>
    </w:r>
    <w:r w:rsidR="001C0AC3">
      <w:rPr>
        <w:noProof/>
      </w:rPr>
      <w:fldChar w:fldCharType="end"/>
    </w:r>
  </w:p>
  <w:p w:rsidR="00DD5C31" w:rsidRDefault="00DD5C31">
    <w:pPr>
      <w:pStyle w:val="Header"/>
    </w:pPr>
  </w:p>
  <w:p w:rsidR="00DD5C31" w:rsidRDefault="00DD5C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CA" w:rsidRDefault="00435E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E10"/>
    <w:multiLevelType w:val="hybridMultilevel"/>
    <w:tmpl w:val="0116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B55E4"/>
    <w:multiLevelType w:val="hybridMultilevel"/>
    <w:tmpl w:val="C21E9FD2"/>
    <w:lvl w:ilvl="0" w:tplc="4E00DF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761EBE"/>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67B97"/>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DC66A3"/>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603C0"/>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328F2"/>
    <w:multiLevelType w:val="hybridMultilevel"/>
    <w:tmpl w:val="1292B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AC3AF9"/>
    <w:multiLevelType w:val="hybridMultilevel"/>
    <w:tmpl w:val="54ACA8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AE6A33"/>
    <w:multiLevelType w:val="hybridMultilevel"/>
    <w:tmpl w:val="FB1E48F6"/>
    <w:lvl w:ilvl="0" w:tplc="AD8A2C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B12EB"/>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A0850"/>
    <w:multiLevelType w:val="hybridMultilevel"/>
    <w:tmpl w:val="A8C64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662AA"/>
    <w:multiLevelType w:val="hybridMultilevel"/>
    <w:tmpl w:val="C696E31A"/>
    <w:lvl w:ilvl="0" w:tplc="E25C9A3C">
      <w:start w:val="1"/>
      <w:numFmt w:val="upperLetter"/>
      <w:lvlText w:val="%1."/>
      <w:lvlJc w:val="left"/>
      <w:pPr>
        <w:ind w:left="1080" w:hanging="360"/>
      </w:pPr>
      <w:rPr>
        <w:rFonts w:hint="default"/>
      </w:rPr>
    </w:lvl>
    <w:lvl w:ilvl="1" w:tplc="0E2C1A16">
      <w:start w:val="1"/>
      <w:numFmt w:val="lowerRoman"/>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47513A"/>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B526E"/>
    <w:multiLevelType w:val="hybridMultilevel"/>
    <w:tmpl w:val="B5E00A62"/>
    <w:lvl w:ilvl="0" w:tplc="7A10260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B134B"/>
    <w:multiLevelType w:val="hybridMultilevel"/>
    <w:tmpl w:val="9AD4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FC20B6"/>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D3248"/>
    <w:multiLevelType w:val="hybridMultilevel"/>
    <w:tmpl w:val="FB1E48F6"/>
    <w:lvl w:ilvl="0" w:tplc="AD8A2C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0606A"/>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F17E4"/>
    <w:multiLevelType w:val="hybridMultilevel"/>
    <w:tmpl w:val="9FBC5B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012EFB"/>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B002B5"/>
    <w:multiLevelType w:val="hybridMultilevel"/>
    <w:tmpl w:val="FB1E48F6"/>
    <w:lvl w:ilvl="0" w:tplc="AD8A2C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AF38CB"/>
    <w:multiLevelType w:val="hybridMultilevel"/>
    <w:tmpl w:val="D33E74EA"/>
    <w:lvl w:ilvl="0" w:tplc="CD605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0"/>
  </w:num>
  <w:num w:numId="4">
    <w:abstractNumId w:val="15"/>
  </w:num>
  <w:num w:numId="5">
    <w:abstractNumId w:val="17"/>
  </w:num>
  <w:num w:numId="6">
    <w:abstractNumId w:val="11"/>
  </w:num>
  <w:num w:numId="7">
    <w:abstractNumId w:val="3"/>
  </w:num>
  <w:num w:numId="8">
    <w:abstractNumId w:val="6"/>
  </w:num>
  <w:num w:numId="9">
    <w:abstractNumId w:val="10"/>
  </w:num>
  <w:num w:numId="10">
    <w:abstractNumId w:val="13"/>
  </w:num>
  <w:num w:numId="11">
    <w:abstractNumId w:val="7"/>
  </w:num>
  <w:num w:numId="12">
    <w:abstractNumId w:val="8"/>
  </w:num>
  <w:num w:numId="13">
    <w:abstractNumId w:val="2"/>
  </w:num>
  <w:num w:numId="14">
    <w:abstractNumId w:val="18"/>
  </w:num>
  <w:num w:numId="15">
    <w:abstractNumId w:val="21"/>
  </w:num>
  <w:num w:numId="16">
    <w:abstractNumId w:val="5"/>
  </w:num>
  <w:num w:numId="17">
    <w:abstractNumId w:val="16"/>
  </w:num>
  <w:num w:numId="18">
    <w:abstractNumId w:val="14"/>
  </w:num>
  <w:num w:numId="19">
    <w:abstractNumId w:val="19"/>
  </w:num>
  <w:num w:numId="20">
    <w:abstractNumId w:val="9"/>
  </w:num>
  <w:num w:numId="21">
    <w:abstractNumId w:val="22"/>
  </w:num>
  <w:num w:numId="22">
    <w:abstractNumId w:val="23"/>
  </w:num>
  <w:num w:numId="23">
    <w:abstractNumId w:val="1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11D90"/>
    <w:rsid w:val="0006054B"/>
    <w:rsid w:val="000614C8"/>
    <w:rsid w:val="000636B1"/>
    <w:rsid w:val="00087031"/>
    <w:rsid w:val="000B679C"/>
    <w:rsid w:val="000D424B"/>
    <w:rsid w:val="000D6421"/>
    <w:rsid w:val="000E52A3"/>
    <w:rsid w:val="000E7892"/>
    <w:rsid w:val="000F0C65"/>
    <w:rsid w:val="000F3EDC"/>
    <w:rsid w:val="00126069"/>
    <w:rsid w:val="00146750"/>
    <w:rsid w:val="001544F1"/>
    <w:rsid w:val="00166C83"/>
    <w:rsid w:val="001810B6"/>
    <w:rsid w:val="00183B5E"/>
    <w:rsid w:val="001A5A5F"/>
    <w:rsid w:val="001A72A7"/>
    <w:rsid w:val="001C0AC3"/>
    <w:rsid w:val="001D06C3"/>
    <w:rsid w:val="001D5E3E"/>
    <w:rsid w:val="001E5650"/>
    <w:rsid w:val="001E7A07"/>
    <w:rsid w:val="001F6D24"/>
    <w:rsid w:val="001F7637"/>
    <w:rsid w:val="00204C32"/>
    <w:rsid w:val="00233F30"/>
    <w:rsid w:val="002732B3"/>
    <w:rsid w:val="002827AD"/>
    <w:rsid w:val="00293C62"/>
    <w:rsid w:val="002D4B38"/>
    <w:rsid w:val="002D566A"/>
    <w:rsid w:val="002E0E13"/>
    <w:rsid w:val="00310766"/>
    <w:rsid w:val="00313C11"/>
    <w:rsid w:val="00325851"/>
    <w:rsid w:val="00326CD9"/>
    <w:rsid w:val="0033267F"/>
    <w:rsid w:val="003668AF"/>
    <w:rsid w:val="00366956"/>
    <w:rsid w:val="00377FAF"/>
    <w:rsid w:val="003A7138"/>
    <w:rsid w:val="003B670F"/>
    <w:rsid w:val="003C0961"/>
    <w:rsid w:val="003C3A72"/>
    <w:rsid w:val="003F18B3"/>
    <w:rsid w:val="003F1BF1"/>
    <w:rsid w:val="003F2980"/>
    <w:rsid w:val="003F46BF"/>
    <w:rsid w:val="00416F66"/>
    <w:rsid w:val="00417317"/>
    <w:rsid w:val="004251F1"/>
    <w:rsid w:val="00430A5B"/>
    <w:rsid w:val="00433F8F"/>
    <w:rsid w:val="00435ECA"/>
    <w:rsid w:val="004534AD"/>
    <w:rsid w:val="004604F2"/>
    <w:rsid w:val="00461F6B"/>
    <w:rsid w:val="00463C24"/>
    <w:rsid w:val="00480078"/>
    <w:rsid w:val="00480F23"/>
    <w:rsid w:val="004864BC"/>
    <w:rsid w:val="004A2CB1"/>
    <w:rsid w:val="004B08A4"/>
    <w:rsid w:val="004B0E03"/>
    <w:rsid w:val="004C0652"/>
    <w:rsid w:val="004C6AC8"/>
    <w:rsid w:val="005172AD"/>
    <w:rsid w:val="0052574E"/>
    <w:rsid w:val="0054722C"/>
    <w:rsid w:val="00563105"/>
    <w:rsid w:val="00570932"/>
    <w:rsid w:val="005754DD"/>
    <w:rsid w:val="00595EE2"/>
    <w:rsid w:val="005A5616"/>
    <w:rsid w:val="005B0AD0"/>
    <w:rsid w:val="005C7B60"/>
    <w:rsid w:val="005D31B6"/>
    <w:rsid w:val="005F0E68"/>
    <w:rsid w:val="006116D2"/>
    <w:rsid w:val="00623C7D"/>
    <w:rsid w:val="006256E3"/>
    <w:rsid w:val="0062691B"/>
    <w:rsid w:val="00635FD4"/>
    <w:rsid w:val="006624B1"/>
    <w:rsid w:val="00673C0D"/>
    <w:rsid w:val="0068565F"/>
    <w:rsid w:val="00686A8F"/>
    <w:rsid w:val="00695FFE"/>
    <w:rsid w:val="006970F0"/>
    <w:rsid w:val="006D155B"/>
    <w:rsid w:val="006E5CAC"/>
    <w:rsid w:val="006F2795"/>
    <w:rsid w:val="00707CB4"/>
    <w:rsid w:val="00724BAD"/>
    <w:rsid w:val="00727F23"/>
    <w:rsid w:val="00740321"/>
    <w:rsid w:val="00750FF6"/>
    <w:rsid w:val="00765F30"/>
    <w:rsid w:val="00783957"/>
    <w:rsid w:val="0078640D"/>
    <w:rsid w:val="007B6E7D"/>
    <w:rsid w:val="007B7BE5"/>
    <w:rsid w:val="007D15B4"/>
    <w:rsid w:val="007E18F8"/>
    <w:rsid w:val="007E2AA1"/>
    <w:rsid w:val="007E5F59"/>
    <w:rsid w:val="007F669E"/>
    <w:rsid w:val="00810188"/>
    <w:rsid w:val="0081263F"/>
    <w:rsid w:val="00813422"/>
    <w:rsid w:val="0081442A"/>
    <w:rsid w:val="00874DFF"/>
    <w:rsid w:val="008806A0"/>
    <w:rsid w:val="00881054"/>
    <w:rsid w:val="008924CD"/>
    <w:rsid w:val="008A048F"/>
    <w:rsid w:val="008C16AB"/>
    <w:rsid w:val="008C183A"/>
    <w:rsid w:val="008C4F0C"/>
    <w:rsid w:val="008E3571"/>
    <w:rsid w:val="008E44E7"/>
    <w:rsid w:val="009060D9"/>
    <w:rsid w:val="0090718F"/>
    <w:rsid w:val="009100EA"/>
    <w:rsid w:val="00921099"/>
    <w:rsid w:val="00924ACC"/>
    <w:rsid w:val="00933E9F"/>
    <w:rsid w:val="00943FAF"/>
    <w:rsid w:val="00953B9F"/>
    <w:rsid w:val="00964072"/>
    <w:rsid w:val="009739FC"/>
    <w:rsid w:val="00986F95"/>
    <w:rsid w:val="009B35AF"/>
    <w:rsid w:val="009B4F02"/>
    <w:rsid w:val="009C3726"/>
    <w:rsid w:val="009D52E1"/>
    <w:rsid w:val="00A2112D"/>
    <w:rsid w:val="00A2184D"/>
    <w:rsid w:val="00A23F5F"/>
    <w:rsid w:val="00A30233"/>
    <w:rsid w:val="00A3236C"/>
    <w:rsid w:val="00A536FE"/>
    <w:rsid w:val="00A67103"/>
    <w:rsid w:val="00A86A08"/>
    <w:rsid w:val="00AA034D"/>
    <w:rsid w:val="00AB392E"/>
    <w:rsid w:val="00AC27F1"/>
    <w:rsid w:val="00AC3ABD"/>
    <w:rsid w:val="00AC713D"/>
    <w:rsid w:val="00AD5D2A"/>
    <w:rsid w:val="00AE35CB"/>
    <w:rsid w:val="00AE3851"/>
    <w:rsid w:val="00AF150B"/>
    <w:rsid w:val="00B104EF"/>
    <w:rsid w:val="00B26711"/>
    <w:rsid w:val="00B46836"/>
    <w:rsid w:val="00B53C4E"/>
    <w:rsid w:val="00B614BD"/>
    <w:rsid w:val="00B90CFC"/>
    <w:rsid w:val="00BA0C5F"/>
    <w:rsid w:val="00BA4CEE"/>
    <w:rsid w:val="00BD308C"/>
    <w:rsid w:val="00BD418D"/>
    <w:rsid w:val="00C200C8"/>
    <w:rsid w:val="00C219B7"/>
    <w:rsid w:val="00C26D46"/>
    <w:rsid w:val="00C37219"/>
    <w:rsid w:val="00C50836"/>
    <w:rsid w:val="00C52A4A"/>
    <w:rsid w:val="00C56CB3"/>
    <w:rsid w:val="00C90214"/>
    <w:rsid w:val="00CB6666"/>
    <w:rsid w:val="00CB7DAC"/>
    <w:rsid w:val="00CE3E12"/>
    <w:rsid w:val="00CE50BD"/>
    <w:rsid w:val="00CF22DE"/>
    <w:rsid w:val="00D003C2"/>
    <w:rsid w:val="00D0390D"/>
    <w:rsid w:val="00D1350C"/>
    <w:rsid w:val="00D24AAA"/>
    <w:rsid w:val="00D510AE"/>
    <w:rsid w:val="00D51F0D"/>
    <w:rsid w:val="00D57F9B"/>
    <w:rsid w:val="00D63806"/>
    <w:rsid w:val="00D650AE"/>
    <w:rsid w:val="00D96DE0"/>
    <w:rsid w:val="00DA04B2"/>
    <w:rsid w:val="00DA3AED"/>
    <w:rsid w:val="00DC0191"/>
    <w:rsid w:val="00DC1648"/>
    <w:rsid w:val="00DD322E"/>
    <w:rsid w:val="00DD5C31"/>
    <w:rsid w:val="00DE54E6"/>
    <w:rsid w:val="00DE73AA"/>
    <w:rsid w:val="00DE766D"/>
    <w:rsid w:val="00DF39FA"/>
    <w:rsid w:val="00E621E9"/>
    <w:rsid w:val="00E6272B"/>
    <w:rsid w:val="00E77E2D"/>
    <w:rsid w:val="00E8451B"/>
    <w:rsid w:val="00EC13EE"/>
    <w:rsid w:val="00EC4DD1"/>
    <w:rsid w:val="00ED3559"/>
    <w:rsid w:val="00ED36BE"/>
    <w:rsid w:val="00ED434E"/>
    <w:rsid w:val="00F02DDD"/>
    <w:rsid w:val="00F15499"/>
    <w:rsid w:val="00F2412F"/>
    <w:rsid w:val="00F30470"/>
    <w:rsid w:val="00F33D3C"/>
    <w:rsid w:val="00F36AD4"/>
    <w:rsid w:val="00F4002C"/>
    <w:rsid w:val="00F57DFB"/>
    <w:rsid w:val="00F61D02"/>
    <w:rsid w:val="00F63A42"/>
    <w:rsid w:val="00F76D77"/>
    <w:rsid w:val="00F9088B"/>
    <w:rsid w:val="00F966C7"/>
    <w:rsid w:val="00FA4115"/>
    <w:rsid w:val="00FC0249"/>
    <w:rsid w:val="00FC124E"/>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paragraph" w:styleId="NoSpacing">
    <w:name w:val="No Spacing"/>
    <w:uiPriority w:val="1"/>
    <w:qFormat/>
    <w:rsid w:val="007E18F8"/>
    <w:rPr>
      <w:rFonts w:asciiTheme="minorHAnsi" w:eastAsiaTheme="minorHAnsi" w:hAnsiTheme="minorHAnsi" w:cstheme="minorBidi"/>
      <w:sz w:val="22"/>
      <w:szCs w:val="22"/>
    </w:rPr>
  </w:style>
  <w:style w:type="paragraph" w:styleId="ListParagraph">
    <w:name w:val="List Paragraph"/>
    <w:basedOn w:val="Normal"/>
    <w:uiPriority w:val="34"/>
    <w:qFormat/>
    <w:rsid w:val="005754DD"/>
    <w:pPr>
      <w:spacing w:after="200" w:line="276" w:lineRule="auto"/>
      <w:ind w:left="720"/>
      <w:contextualSpacing/>
    </w:pPr>
    <w:rPr>
      <w:rFonts w:asciiTheme="minorHAnsi" w:eastAsiaTheme="minorHAnsi" w:hAnsiTheme="minorHAnsi" w:cstheme="minorBidi"/>
      <w:sz w:val="22"/>
      <w:szCs w:val="22"/>
    </w:rPr>
  </w:style>
  <w:style w:type="character" w:customStyle="1" w:styleId="st1">
    <w:name w:val="st1"/>
    <w:basedOn w:val="DefaultParagraphFont"/>
    <w:rsid w:val="0081442A"/>
  </w:style>
  <w:style w:type="character" w:styleId="CommentReference">
    <w:name w:val="annotation reference"/>
    <w:basedOn w:val="DefaultParagraphFont"/>
    <w:uiPriority w:val="99"/>
    <w:semiHidden/>
    <w:unhideWhenUsed/>
    <w:rsid w:val="00DD5C31"/>
    <w:rPr>
      <w:sz w:val="16"/>
      <w:szCs w:val="16"/>
    </w:rPr>
  </w:style>
  <w:style w:type="paragraph" w:styleId="CommentText">
    <w:name w:val="annotation text"/>
    <w:basedOn w:val="Normal"/>
    <w:link w:val="CommentTextChar"/>
    <w:uiPriority w:val="99"/>
    <w:semiHidden/>
    <w:unhideWhenUsed/>
    <w:rsid w:val="00DD5C31"/>
    <w:rPr>
      <w:sz w:val="20"/>
    </w:rPr>
  </w:style>
  <w:style w:type="character" w:customStyle="1" w:styleId="CommentTextChar">
    <w:name w:val="Comment Text Char"/>
    <w:basedOn w:val="DefaultParagraphFont"/>
    <w:link w:val="CommentText"/>
    <w:uiPriority w:val="99"/>
    <w:semiHidden/>
    <w:rsid w:val="00DD5C31"/>
  </w:style>
  <w:style w:type="paragraph" w:styleId="CommentSubject">
    <w:name w:val="annotation subject"/>
    <w:basedOn w:val="CommentText"/>
    <w:next w:val="CommentText"/>
    <w:link w:val="CommentSubjectChar"/>
    <w:uiPriority w:val="99"/>
    <w:semiHidden/>
    <w:unhideWhenUsed/>
    <w:rsid w:val="00DD5C31"/>
    <w:rPr>
      <w:b/>
      <w:bCs/>
    </w:rPr>
  </w:style>
  <w:style w:type="character" w:customStyle="1" w:styleId="CommentSubjectChar">
    <w:name w:val="Comment Subject Char"/>
    <w:basedOn w:val="CommentTextChar"/>
    <w:link w:val="CommentSubject"/>
    <w:uiPriority w:val="99"/>
    <w:semiHidden/>
    <w:rsid w:val="00DD5C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F2302067FF0243A99C112EF0AC294C" ma:contentTypeVersion="139" ma:contentTypeDescription="" ma:contentTypeScope="" ma:versionID="0dbbe7b6649ab7d9ab602b6d47296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71A48-724D-4AC0-AB08-0FC13A946303}"/>
</file>

<file path=customXml/itemProps2.xml><?xml version="1.0" encoding="utf-8"?>
<ds:datastoreItem xmlns:ds="http://schemas.openxmlformats.org/officeDocument/2006/customXml" ds:itemID="{1D7FC1C3-40D1-4099-B64A-835A59C09B18}"/>
</file>

<file path=customXml/itemProps3.xml><?xml version="1.0" encoding="utf-8"?>
<ds:datastoreItem xmlns:ds="http://schemas.openxmlformats.org/officeDocument/2006/customXml" ds:itemID="{6998EC52-BC09-41DF-8FE1-13C9C1FADA0B}"/>
</file>

<file path=customXml/itemProps4.xml><?xml version="1.0" encoding="utf-8"?>
<ds:datastoreItem xmlns:ds="http://schemas.openxmlformats.org/officeDocument/2006/customXml" ds:itemID="{8CADFB1C-26B1-4049-8029-7200D3418B11}"/>
</file>

<file path=docProps/app.xml><?xml version="1.0" encoding="utf-8"?>
<Properties xmlns="http://schemas.openxmlformats.org/officeDocument/2006/extended-properties" xmlns:vt="http://schemas.openxmlformats.org/officeDocument/2006/docPropsVTypes">
  <Template>Normal.dotm</Template>
  <TotalTime>0</TotalTime>
  <Pages>7</Pages>
  <Words>2528</Words>
  <Characters>14092</Characters>
  <Application>Microsoft Office Word</Application>
  <DocSecurity>0</DocSecurity>
  <Lines>117</Lines>
  <Paragraphs>33</Paragraphs>
  <ScaleCrop>false</ScaleCrop>
  <Company/>
  <LinksUpToDate>false</LinksUpToDate>
  <CharactersWithSpaces>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2012-08-02T21:39:00Z</dcterms:created>
  <dcterms:modified xsi:type="dcterms:W3CDTF">2012-08-02T22:01:00Z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0x0101006E56B4D1795A2E4DB2F0B01679ED314A00A1F2302067FF0243A99C112EF0AC294C</vt:lpwstr>
  </property>
  <property fmtid="{D5CDD505-2E9C-101B-9397-08002B2CF9AE}" pid="4" name="_docset_NoMedatataSyncRequired">
    <vt:lpwstr>False</vt:lpwstr>
  </property>
</Properties>
</file>