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  <w:trHeight w:val="323"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CA67D7">
              <w:rPr>
                <w:noProof/>
                <w:szCs w:val="24"/>
              </w:rPr>
              <w:t>bshearer</w:t>
            </w:r>
            <w:r>
              <w:rPr>
                <w:noProof/>
                <w:szCs w:val="24"/>
              </w:rPr>
              <w:t>@utc.wa.gov)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5B6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(aoconnel@utc.wa.gov)</w:t>
            </w:r>
            <w:r>
              <w:rPr>
                <w:noProof/>
                <w:szCs w:val="24"/>
              </w:rPr>
              <w:br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>) (bdemarco@utc.wa.gov)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CA67D7">
              <w:rPr>
                <w:szCs w:val="24"/>
              </w:rPr>
              <w:t>(Lisaw4@atg.wa.gov)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F843CD">
              <w:rPr>
                <w:szCs w:val="24"/>
              </w:rPr>
              <w:t>xx</w:t>
            </w:r>
            <w:r>
              <w:rPr>
                <w:szCs w:val="24"/>
              </w:rPr>
              <w:t xml:space="preserve"> x </w:t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 w:rsidP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(simonf@atg.wa.gov)</w:t>
            </w:r>
            <w:r w:rsidRPr="00E37756">
              <w:rPr>
                <w:szCs w:val="24"/>
              </w:rPr>
              <w:t xml:space="preserve"> </w:t>
            </w:r>
            <w:r w:rsidR="00F843CD" w:rsidRPr="00E37756">
              <w:rPr>
                <w:szCs w:val="24"/>
              </w:rPr>
              <w:t>(lead@atg.wa.gov)</w:t>
            </w:r>
            <w:r w:rsidR="00F843CD" w:rsidRPr="00E37756">
              <w:rPr>
                <w:szCs w:val="24"/>
              </w:rPr>
              <w:br/>
              <w:t>(</w:t>
            </w:r>
            <w:r>
              <w:rPr>
                <w:szCs w:val="24"/>
              </w:rPr>
              <w:t>kymh</w:t>
            </w:r>
            <w:r w:rsidR="00F843CD" w:rsidRPr="00E37756">
              <w:rPr>
                <w:szCs w:val="24"/>
              </w:rPr>
              <w:t>@atg.wa.gov)</w:t>
            </w:r>
            <w:r w:rsidR="00F843CD" w:rsidRPr="00E37756">
              <w:rPr>
                <w:szCs w:val="24"/>
              </w:rPr>
              <w:br/>
              <w:t>(</w:t>
            </w:r>
            <w:hyperlink r:id="rId8" w:history="1">
              <w:r w:rsidR="00F843CD" w:rsidRPr="00E37756">
                <w:rPr>
                  <w:rStyle w:val="Hyperlink"/>
                  <w:color w:val="auto"/>
                  <w:szCs w:val="24"/>
                  <w:u w:val="none"/>
                </w:rPr>
                <w:t>chandam@atg.wa.gov</w:t>
              </w:r>
            </w:hyperlink>
            <w:r w:rsidR="00F843CD" w:rsidRPr="00E37756">
              <w:rPr>
                <w:szCs w:val="24"/>
              </w:rPr>
              <w:t>)</w:t>
            </w:r>
            <w:r w:rsidR="00F843CD" w:rsidRPr="00E37756">
              <w:rPr>
                <w:szCs w:val="24"/>
              </w:rPr>
              <w:br/>
            </w:r>
            <w:r>
              <w:rPr>
                <w:szCs w:val="24"/>
              </w:rPr>
              <w:t>(stefaniej@atg.wa.gov)</w:t>
            </w:r>
          </w:p>
        </w:tc>
      </w:tr>
    </w:tbl>
    <w:p w:rsidR="005B6609" w:rsidRDefault="005B6609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Chad Stokes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Cable Huston </w:t>
            </w:r>
            <w:r>
              <w:rPr>
                <w:szCs w:val="24"/>
              </w:rPr>
              <w:t>LLP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1001 SW Fifth Avenue, Suite</w:t>
            </w:r>
            <w:r w:rsidRPr="00B63A36">
              <w:rPr>
                <w:szCs w:val="24"/>
              </w:rPr>
              <w:t xml:space="preserve"> 2000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Portland, OR 97204-1136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(cstokes@cablehuston.com)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xxx </w:t>
            </w:r>
          </w:p>
        </w:tc>
        <w:tc>
          <w:tcPr>
            <w:tcW w:w="4050" w:type="dxa"/>
          </w:tcPr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skimmel@cablehuston.com</w:t>
            </w:r>
            <w:r>
              <w:rPr>
                <w:noProof/>
                <w:szCs w:val="24"/>
              </w:rPr>
              <w:t>)</w:t>
            </w:r>
          </w:p>
          <w:p w:rsidR="00CA67D7" w:rsidRPr="00E37756" w:rsidRDefault="00CA67D7" w:rsidP="005B6609">
            <w:pPr>
              <w:rPr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mgorman@consultbai.com</w:t>
            </w:r>
            <w:r>
              <w:rPr>
                <w:noProof/>
                <w:szCs w:val="24"/>
              </w:rPr>
              <w:t>)</w:t>
            </w:r>
          </w:p>
        </w:tc>
      </w:tr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Edward A. </w:t>
            </w:r>
            <w:proofErr w:type="spellStart"/>
            <w:r w:rsidRPr="00B63A36">
              <w:rPr>
                <w:szCs w:val="24"/>
              </w:rPr>
              <w:t>Finklea</w:t>
            </w:r>
            <w:proofErr w:type="spellEnd"/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Executive Director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Northwest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545 Grandview Drive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Ashland, OR  97520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D11C61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CA67D7" w:rsidRDefault="00CA67D7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D11C61">
              <w:rPr>
                <w:szCs w:val="24"/>
              </w:rPr>
              <w:t>efinklea@nwigu.org</w:t>
            </w:r>
            <w:r>
              <w:rPr>
                <w:szCs w:val="24"/>
              </w:rPr>
              <w:t>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D11C61">
              <w:rPr>
                <w:b/>
                <w:i/>
                <w:szCs w:val="24"/>
              </w:rPr>
              <w:t>The Energy Project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Brad Purdy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Attorney At Law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2019 N. 17</w:t>
            </w:r>
            <w:r w:rsidRPr="00D11C61">
              <w:rPr>
                <w:szCs w:val="24"/>
              </w:rPr>
              <w:t>th</w:t>
            </w:r>
            <w:r w:rsidRPr="00B63A36">
              <w:rPr>
                <w:szCs w:val="24"/>
              </w:rPr>
              <w:t xml:space="preserve"> Street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Boise, ID 83702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5B6609" w:rsidTr="004A6EF1">
        <w:trPr>
          <w:cantSplit/>
          <w:trHeight w:val="562"/>
        </w:trPr>
        <w:tc>
          <w:tcPr>
            <w:tcW w:w="5220" w:type="dxa"/>
            <w:vMerge/>
            <w:vAlign w:val="center"/>
          </w:tcPr>
          <w:p w:rsidR="005B6609" w:rsidRDefault="005B660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5B6609" w:rsidRDefault="005B6609" w:rsidP="005B6609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5B6609" w:rsidRDefault="005B6609" w:rsidP="005B660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(bmpurdy@hotmail.com)</w:t>
            </w:r>
          </w:p>
        </w:tc>
      </w:tr>
      <w:tr w:rsidR="00D11C61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D11C61" w:rsidRPr="005B6609" w:rsidRDefault="00D11C61" w:rsidP="00D11C61">
            <w:pPr>
              <w:rPr>
                <w:b/>
                <w:i/>
                <w:szCs w:val="24"/>
              </w:rPr>
            </w:pPr>
            <w:r w:rsidRPr="005B6609">
              <w:rPr>
                <w:b/>
                <w:i/>
                <w:szCs w:val="24"/>
              </w:rPr>
              <w:t xml:space="preserve">Washington Utilities &amp; Transportation Commission </w:t>
            </w:r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Greg</w:t>
            </w:r>
            <w:r w:rsidR="00BB58B1">
              <w:rPr>
                <w:szCs w:val="24"/>
              </w:rPr>
              <w:t>ory J.</w:t>
            </w:r>
            <w:r w:rsidRPr="00D11C61">
              <w:rPr>
                <w:szCs w:val="24"/>
              </w:rPr>
              <w:t xml:space="preserve"> </w:t>
            </w:r>
            <w:proofErr w:type="spellStart"/>
            <w:r w:rsidRPr="00D11C61">
              <w:rPr>
                <w:szCs w:val="24"/>
              </w:rPr>
              <w:t>Kopta</w:t>
            </w:r>
            <w:proofErr w:type="spellEnd"/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Administrative Law Judge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1300 S Evergreen Park Drive SW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PO Box 47250</w:t>
            </w:r>
          </w:p>
          <w:p w:rsidR="00D11C61" w:rsidRDefault="00D11C61" w:rsidP="00D11C61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Olympia, WA 98504-7250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  <w:trHeight w:val="274"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D11C61" w:rsidP="008C2C6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D11C61" w:rsidRDefault="00D11C61" w:rsidP="008C2C60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BB58B1" w:rsidRPr="00BB58B1">
              <w:rPr>
                <w:bCs/>
              </w:rPr>
              <w:t>gkopta@utc.wa.gov</w:t>
            </w:r>
            <w:r>
              <w:rPr>
                <w:szCs w:val="24"/>
              </w:rPr>
              <w:t>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 w:val="restart"/>
          </w:tcPr>
          <w:p w:rsidR="00D11C61" w:rsidRDefault="00D11C61" w:rsidP="00D11C6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Cascade Natural Gas Corp.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BB5A03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8C52D7">
              <w:rPr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D11C61" w:rsidRDefault="00BB5A03" w:rsidP="00D11C6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B5A03">
              <w:rPr>
                <w:szCs w:val="24"/>
              </w:rPr>
              <w:t>pamela.archer@cngc.com</w:t>
            </w:r>
            <w:r>
              <w:rPr>
                <w:szCs w:val="24"/>
              </w:rPr>
              <w:t>)</w:t>
            </w:r>
          </w:p>
          <w:p w:rsidR="00BB5A03" w:rsidRDefault="00BB5A03" w:rsidP="00BB5A03">
            <w:pPr>
              <w:rPr>
                <w:szCs w:val="24"/>
              </w:rPr>
            </w:pPr>
            <w:r>
              <w:rPr>
                <w:szCs w:val="24"/>
              </w:rPr>
              <w:t>(maryalice.roseales@cngc.com)</w:t>
            </w:r>
          </w:p>
        </w:tc>
      </w:tr>
    </w:tbl>
    <w:p w:rsidR="00130A2B" w:rsidRDefault="00130A2B">
      <w:pPr>
        <w:rPr>
          <w:szCs w:val="24"/>
        </w:rPr>
      </w:pPr>
    </w:p>
    <w:p w:rsidR="005B6609" w:rsidRDefault="005B6609">
      <w:pPr>
        <w:rPr>
          <w:szCs w:val="24"/>
        </w:rPr>
      </w:pPr>
      <w:r>
        <w:rPr>
          <w:szCs w:val="24"/>
        </w:rPr>
        <w:br w:type="page"/>
      </w: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lastRenderedPageBreak/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</w:t>
      </w:r>
      <w:bookmarkStart w:id="0" w:name="_GoBack"/>
      <w:bookmarkEnd w:id="0"/>
      <w:r w:rsidR="000B54D8">
        <w:rPr>
          <w:szCs w:val="24"/>
        </w:rPr>
        <w:t>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at Portland, Oregon.</w:t>
      </w: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0B54D8"/>
    <w:rsid w:val="00130A2B"/>
    <w:rsid w:val="003C617E"/>
    <w:rsid w:val="004A6EF1"/>
    <w:rsid w:val="005A42A5"/>
    <w:rsid w:val="005B6609"/>
    <w:rsid w:val="00642372"/>
    <w:rsid w:val="00793A42"/>
    <w:rsid w:val="00812136"/>
    <w:rsid w:val="008C52D7"/>
    <w:rsid w:val="00982C88"/>
    <w:rsid w:val="009A1779"/>
    <w:rsid w:val="00B92CC7"/>
    <w:rsid w:val="00BB58B1"/>
    <w:rsid w:val="00BB5A03"/>
    <w:rsid w:val="00CA67D7"/>
    <w:rsid w:val="00D11C61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61"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am@atg.wa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050A3D-053F-4DCE-9696-AB1F82D6FA5C}"/>
</file>

<file path=customXml/itemProps2.xml><?xml version="1.0" encoding="utf-8"?>
<ds:datastoreItem xmlns:ds="http://schemas.openxmlformats.org/officeDocument/2006/customXml" ds:itemID="{6EA288D1-D0E4-4CE6-A34F-E729D4169BB4}"/>
</file>

<file path=customXml/itemProps3.xml><?xml version="1.0" encoding="utf-8"?>
<ds:datastoreItem xmlns:ds="http://schemas.openxmlformats.org/officeDocument/2006/customXml" ds:itemID="{59586558-4DFD-4CDA-8643-BE32FD55ABBC}"/>
</file>

<file path=customXml/itemProps4.xml><?xml version="1.0" encoding="utf-8"?>
<ds:datastoreItem xmlns:ds="http://schemas.openxmlformats.org/officeDocument/2006/customXml" ds:itemID="{577F392F-16BF-4BBD-845F-CC722AAC9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2016-01-28T19:41:00Z</dcterms:created>
  <dcterms:modified xsi:type="dcterms:W3CDTF">2016-02-26T00:29:00Z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