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D6A" w:rsidRPr="00376EF7" w:rsidRDefault="00A17D6A" w:rsidP="00A17D6A">
      <w:pPr>
        <w:pStyle w:val="Title"/>
        <w:rPr>
          <w:sz w:val="24"/>
          <w:szCs w:val="24"/>
        </w:rPr>
      </w:pPr>
      <w:r w:rsidRPr="00376EF7">
        <w:rPr>
          <w:sz w:val="24"/>
          <w:szCs w:val="24"/>
        </w:rPr>
        <w:t xml:space="preserve">BEFORE THE </w:t>
      </w:r>
      <w:r>
        <w:rPr>
          <w:sz w:val="24"/>
          <w:szCs w:val="24"/>
        </w:rPr>
        <w:t xml:space="preserve">WASHINGTON UTILITIES AND </w:t>
      </w:r>
    </w:p>
    <w:p w:rsidR="00A17D6A" w:rsidRDefault="00A17D6A" w:rsidP="00A17D6A">
      <w:pPr>
        <w:jc w:val="center"/>
        <w:rPr>
          <w:b/>
          <w:bCs/>
          <w:szCs w:val="24"/>
        </w:rPr>
      </w:pPr>
    </w:p>
    <w:p w:rsidR="00A17D6A" w:rsidRPr="00376EF7" w:rsidRDefault="00A17D6A" w:rsidP="00A17D6A">
      <w:pPr>
        <w:jc w:val="center"/>
        <w:rPr>
          <w:b/>
          <w:bCs/>
          <w:szCs w:val="24"/>
        </w:rPr>
      </w:pPr>
      <w:r>
        <w:rPr>
          <w:b/>
          <w:bCs/>
          <w:szCs w:val="24"/>
        </w:rPr>
        <w:t xml:space="preserve">TRANSPORTATION COMMISSION </w:t>
      </w:r>
    </w:p>
    <w:p w:rsidR="00A17D6A" w:rsidRDefault="00A17D6A" w:rsidP="00A17D6A">
      <w:pPr>
        <w:jc w:val="center"/>
        <w:rPr>
          <w:szCs w:val="24"/>
        </w:rPr>
      </w:pPr>
    </w:p>
    <w:p w:rsidR="00A17D6A" w:rsidRPr="00376EF7" w:rsidRDefault="00A17D6A" w:rsidP="00A17D6A">
      <w:pPr>
        <w:pStyle w:val="Heading1"/>
        <w:rPr>
          <w:sz w:val="24"/>
          <w:szCs w:val="24"/>
        </w:rPr>
      </w:pPr>
      <w:r>
        <w:rPr>
          <w:sz w:val="24"/>
          <w:szCs w:val="24"/>
        </w:rPr>
        <w:t>A-130355</w:t>
      </w:r>
    </w:p>
    <w:tbl>
      <w:tblPr>
        <w:tblW w:w="0" w:type="auto"/>
        <w:tblLayout w:type="fixed"/>
        <w:tblCellMar>
          <w:left w:w="0" w:type="dxa"/>
          <w:right w:w="0" w:type="dxa"/>
        </w:tblCellMar>
        <w:tblLook w:val="0000" w:firstRow="0" w:lastRow="0" w:firstColumn="0" w:lastColumn="0" w:noHBand="0" w:noVBand="0"/>
      </w:tblPr>
      <w:tblGrid>
        <w:gridCol w:w="4508"/>
        <w:gridCol w:w="310"/>
        <w:gridCol w:w="4542"/>
      </w:tblGrid>
      <w:tr w:rsidR="00A17D6A" w:rsidTr="003471BB">
        <w:trPr>
          <w:trHeight w:val="2223"/>
        </w:trPr>
        <w:tc>
          <w:tcPr>
            <w:tcW w:w="4508" w:type="dxa"/>
            <w:tcBorders>
              <w:bottom w:val="single" w:sz="4" w:space="0" w:color="auto"/>
            </w:tcBorders>
          </w:tcPr>
          <w:p w:rsidR="00A17D6A" w:rsidRDefault="00A17D6A" w:rsidP="003471BB">
            <w:pPr>
              <w:tabs>
                <w:tab w:val="left" w:pos="1456"/>
              </w:tabs>
              <w:autoSpaceDE w:val="0"/>
              <w:autoSpaceDN w:val="0"/>
              <w:adjustRightInd w:val="0"/>
            </w:pPr>
          </w:p>
          <w:p w:rsidR="00A17D6A" w:rsidRDefault="00A17D6A" w:rsidP="003471BB">
            <w:pPr>
              <w:tabs>
                <w:tab w:val="left" w:pos="1456"/>
              </w:tabs>
              <w:autoSpaceDE w:val="0"/>
              <w:autoSpaceDN w:val="0"/>
              <w:adjustRightInd w:val="0"/>
            </w:pPr>
            <w:r>
              <w:t>In the Matter of</w:t>
            </w:r>
          </w:p>
          <w:p w:rsidR="00A17D6A" w:rsidRDefault="00A17D6A" w:rsidP="003471BB">
            <w:pPr>
              <w:tabs>
                <w:tab w:val="left" w:pos="1456"/>
              </w:tabs>
              <w:autoSpaceDE w:val="0"/>
              <w:autoSpaceDN w:val="0"/>
              <w:adjustRightInd w:val="0"/>
            </w:pPr>
          </w:p>
          <w:p w:rsidR="00A17D6A" w:rsidRDefault="00A17D6A" w:rsidP="003471BB">
            <w:pPr>
              <w:tabs>
                <w:tab w:val="left" w:pos="1456"/>
              </w:tabs>
              <w:autoSpaceDE w:val="0"/>
              <w:autoSpaceDN w:val="0"/>
              <w:adjustRightInd w:val="0"/>
            </w:pPr>
            <w:r>
              <w:t>Rulemaking to Consider Possible Correction</w:t>
            </w:r>
            <w:r w:rsidR="00B07778">
              <w:t>s</w:t>
            </w:r>
            <w:r>
              <w:t xml:space="preserve"> and Changes in Rules in WAC 480-07, Relating to Procedural Rules</w:t>
            </w:r>
          </w:p>
          <w:p w:rsidR="00A17D6A" w:rsidRDefault="00A17D6A" w:rsidP="003471BB">
            <w:pPr>
              <w:tabs>
                <w:tab w:val="left" w:pos="1456"/>
              </w:tabs>
              <w:autoSpaceDE w:val="0"/>
              <w:autoSpaceDN w:val="0"/>
              <w:adjustRightInd w:val="0"/>
            </w:pPr>
          </w:p>
          <w:p w:rsidR="00A17D6A" w:rsidRPr="00625777" w:rsidRDefault="00A17D6A" w:rsidP="003471BB">
            <w:pPr>
              <w:autoSpaceDE w:val="0"/>
              <w:autoSpaceDN w:val="0"/>
              <w:adjustRightInd w:val="0"/>
              <w:rPr>
                <w:color w:val="000000"/>
              </w:rPr>
            </w:pPr>
          </w:p>
        </w:tc>
        <w:tc>
          <w:tcPr>
            <w:tcW w:w="310" w:type="dxa"/>
          </w:tcPr>
          <w:p w:rsidR="00A17D6A" w:rsidRDefault="00A17D6A" w:rsidP="003471BB">
            <w:pPr>
              <w:pStyle w:val="SingleSpacing"/>
              <w:spacing w:line="240" w:lineRule="auto"/>
            </w:pPr>
          </w:p>
          <w:p w:rsidR="00A17D6A" w:rsidRDefault="00A17D6A" w:rsidP="003471BB">
            <w:pPr>
              <w:pStyle w:val="SingleSpacing"/>
              <w:spacing w:line="240" w:lineRule="auto"/>
            </w:pPr>
            <w:r>
              <w:t>)</w:t>
            </w:r>
          </w:p>
          <w:p w:rsidR="00A17D6A" w:rsidRDefault="00A17D6A" w:rsidP="003471BB">
            <w:pPr>
              <w:pStyle w:val="SingleSpacing"/>
              <w:spacing w:line="240" w:lineRule="auto"/>
            </w:pPr>
            <w:r>
              <w:t>)</w:t>
            </w:r>
          </w:p>
          <w:p w:rsidR="00A17D6A" w:rsidRDefault="00A17D6A" w:rsidP="003471BB">
            <w:pPr>
              <w:pStyle w:val="SingleSpacing"/>
              <w:spacing w:line="240" w:lineRule="auto"/>
            </w:pPr>
            <w:r>
              <w:t>)</w:t>
            </w:r>
          </w:p>
          <w:p w:rsidR="00A17D6A" w:rsidRDefault="00A17D6A" w:rsidP="003471BB">
            <w:pPr>
              <w:pStyle w:val="SingleSpacing"/>
              <w:spacing w:line="240" w:lineRule="auto"/>
            </w:pPr>
            <w:r>
              <w:t>)</w:t>
            </w:r>
          </w:p>
          <w:p w:rsidR="00A17D6A" w:rsidRDefault="00A17D6A" w:rsidP="003471BB">
            <w:pPr>
              <w:pStyle w:val="SingleSpacing"/>
              <w:spacing w:line="240" w:lineRule="auto"/>
            </w:pPr>
            <w:r>
              <w:t>)</w:t>
            </w:r>
          </w:p>
          <w:p w:rsidR="00A17D6A" w:rsidRDefault="00A17D6A" w:rsidP="003471BB">
            <w:pPr>
              <w:pStyle w:val="SingleSpacing"/>
              <w:spacing w:line="240" w:lineRule="auto"/>
            </w:pPr>
            <w:r>
              <w:t>)</w:t>
            </w:r>
          </w:p>
          <w:p w:rsidR="00A17D6A" w:rsidRPr="00340346" w:rsidRDefault="00A17D6A" w:rsidP="003471BB">
            <w:r>
              <w:t>)</w:t>
            </w:r>
          </w:p>
        </w:tc>
        <w:tc>
          <w:tcPr>
            <w:tcW w:w="4542" w:type="dxa"/>
          </w:tcPr>
          <w:p w:rsidR="00A17D6A" w:rsidRDefault="00A17D6A" w:rsidP="003471BB">
            <w:pPr>
              <w:pStyle w:val="SingleSpacing"/>
              <w:spacing w:line="240" w:lineRule="auto"/>
            </w:pPr>
            <w:bookmarkStart w:id="0" w:name="CaseNumber"/>
            <w:bookmarkEnd w:id="0"/>
          </w:p>
          <w:p w:rsidR="00A17D6A" w:rsidRDefault="00A17D6A" w:rsidP="003471BB">
            <w:pPr>
              <w:pStyle w:val="SingleSpacing"/>
              <w:spacing w:line="240" w:lineRule="auto"/>
            </w:pPr>
          </w:p>
          <w:p w:rsidR="00A17D6A" w:rsidRPr="00FA693A" w:rsidRDefault="00A17D6A" w:rsidP="003471BB">
            <w:pPr>
              <w:pStyle w:val="BodyText2"/>
              <w:ind w:left="410"/>
              <w:rPr>
                <w:b w:val="0"/>
                <w:bCs w:val="0"/>
                <w:sz w:val="24"/>
              </w:rPr>
            </w:pPr>
            <w:r>
              <w:rPr>
                <w:b w:val="0"/>
                <w:bCs w:val="0"/>
                <w:sz w:val="24"/>
              </w:rPr>
              <w:t>COMMENTS OF THE INDUSTRIAL CUSTOMERS OF NORTHWEST UTILITIES</w:t>
            </w:r>
            <w:r w:rsidR="00442E6D">
              <w:rPr>
                <w:b w:val="0"/>
                <w:bCs w:val="0"/>
                <w:sz w:val="24"/>
              </w:rPr>
              <w:t xml:space="preserve"> </w:t>
            </w:r>
            <w:r w:rsidR="00442E6D" w:rsidRPr="001A7B97">
              <w:rPr>
                <w:b w:val="0"/>
                <w:bCs w:val="0"/>
                <w:sz w:val="24"/>
              </w:rPr>
              <w:t>REGARDING PROPOS</w:t>
            </w:r>
            <w:r w:rsidR="00A16A40" w:rsidRPr="001A7B97">
              <w:rPr>
                <w:b w:val="0"/>
                <w:bCs w:val="0"/>
                <w:sz w:val="24"/>
              </w:rPr>
              <w:t>ED CHANGES TO WAC</w:t>
            </w:r>
            <w:r w:rsidR="005A4726" w:rsidRPr="001A7B97">
              <w:rPr>
                <w:b w:val="0"/>
                <w:bCs w:val="0"/>
                <w:sz w:val="24"/>
              </w:rPr>
              <w:t xml:space="preserve"> </w:t>
            </w:r>
            <w:r w:rsidR="00442C21">
              <w:rPr>
                <w:b w:val="0"/>
                <w:bCs w:val="0"/>
                <w:sz w:val="24"/>
              </w:rPr>
              <w:t>CHAPTER</w:t>
            </w:r>
            <w:r w:rsidR="00F80EF3">
              <w:rPr>
                <w:b w:val="0"/>
                <w:bCs w:val="0"/>
                <w:sz w:val="24"/>
              </w:rPr>
              <w:t xml:space="preserve"> 480-07</w:t>
            </w:r>
          </w:p>
          <w:p w:rsidR="00A17D6A" w:rsidRPr="00FA693A" w:rsidRDefault="00A17D6A" w:rsidP="003471BB">
            <w:pPr>
              <w:pStyle w:val="BodyText2"/>
              <w:ind w:left="410"/>
              <w:rPr>
                <w:b w:val="0"/>
                <w:bCs w:val="0"/>
                <w:sz w:val="24"/>
              </w:rPr>
            </w:pPr>
          </w:p>
        </w:tc>
      </w:tr>
    </w:tbl>
    <w:p w:rsidR="00A17D6A" w:rsidRDefault="00A17D6A" w:rsidP="00A17D6A"/>
    <w:p w:rsidR="00A17D6A" w:rsidRPr="0059652A" w:rsidRDefault="00A17D6A" w:rsidP="00A17D6A">
      <w:pPr>
        <w:spacing w:line="480" w:lineRule="auto"/>
        <w:jc w:val="center"/>
        <w:rPr>
          <w:b/>
        </w:rPr>
      </w:pPr>
      <w:r>
        <w:rPr>
          <w:b/>
        </w:rPr>
        <w:t>I.</w:t>
      </w:r>
      <w:r>
        <w:rPr>
          <w:b/>
        </w:rPr>
        <w:tab/>
        <w:t>INTRODUCTION</w:t>
      </w:r>
    </w:p>
    <w:p w:rsidR="00A17D6A" w:rsidRDefault="00BA4911" w:rsidP="00BA4911">
      <w:pPr>
        <w:pStyle w:val="WUTCParagraph"/>
      </w:pPr>
      <w:r>
        <w:tab/>
      </w:r>
      <w:r w:rsidR="00442E6D">
        <w:t xml:space="preserve">On </w:t>
      </w:r>
      <w:r w:rsidR="000342E0">
        <w:t>December 7</w:t>
      </w:r>
      <w:r w:rsidR="00600C0F">
        <w:t>, 2016</w:t>
      </w:r>
      <w:r w:rsidR="00442E6D">
        <w:t xml:space="preserve">, </w:t>
      </w:r>
      <w:r w:rsidR="00610A96">
        <w:t>t</w:t>
      </w:r>
      <w:r w:rsidR="00527D43">
        <w:t>he Washington Utilities and Transportation Commissi</w:t>
      </w:r>
      <w:r w:rsidR="00442E6D">
        <w:t>on (</w:t>
      </w:r>
      <w:r w:rsidR="00280394">
        <w:t xml:space="preserve">“WUTC” or </w:t>
      </w:r>
      <w:r w:rsidR="00442E6D">
        <w:t xml:space="preserve">the </w:t>
      </w:r>
      <w:r w:rsidR="00BA557E">
        <w:t>“Commission”</w:t>
      </w:r>
      <w:r w:rsidR="0036387C">
        <w:t>) issu</w:t>
      </w:r>
      <w:r w:rsidR="00442E6D">
        <w:t>ed notice that</w:t>
      </w:r>
      <w:r w:rsidR="00367567">
        <w:t xml:space="preserve"> it would receive</w:t>
      </w:r>
      <w:r w:rsidR="00442E6D">
        <w:t xml:space="preserve"> comments regarding proposed revisions to </w:t>
      </w:r>
      <w:r w:rsidR="0036387C">
        <w:t>Part</w:t>
      </w:r>
      <w:r w:rsidR="000342E0">
        <w:t>s I, II, and</w:t>
      </w:r>
      <w:r w:rsidR="002355C8">
        <w:t xml:space="preserve"> III</w:t>
      </w:r>
      <w:r w:rsidR="000342E0">
        <w:t xml:space="preserve">, Subpart </w:t>
      </w:r>
      <w:r w:rsidR="003D75A5">
        <w:t>A</w:t>
      </w:r>
      <w:r w:rsidR="006A6767">
        <w:t xml:space="preserve"> of </w:t>
      </w:r>
      <w:r w:rsidR="00442E6D">
        <w:t xml:space="preserve">Washington Administrative Code </w:t>
      </w:r>
      <w:r w:rsidR="000342E0">
        <w:t xml:space="preserve">(“WAC”) </w:t>
      </w:r>
      <w:r w:rsidR="006A6767">
        <w:t>Chapter 480-07.</w:t>
      </w:r>
      <w:r w:rsidR="00527D43">
        <w:t xml:space="preserve">  The </w:t>
      </w:r>
      <w:r w:rsidR="00A17D6A">
        <w:t xml:space="preserve">Industrial Customers of Northwest Utilities (“ICNU”) </w:t>
      </w:r>
      <w:r w:rsidR="00397538">
        <w:t xml:space="preserve">appreciates the </w:t>
      </w:r>
      <w:r w:rsidR="00957AAA">
        <w:t>invitation</w:t>
      </w:r>
      <w:r w:rsidR="00397538">
        <w:t xml:space="preserve"> to</w:t>
      </w:r>
      <w:r w:rsidR="0036387C">
        <w:t xml:space="preserve"> participate in this rulemaking docket</w:t>
      </w:r>
      <w:r w:rsidR="002355C8">
        <w:t xml:space="preserve"> and submits</w:t>
      </w:r>
      <w:r w:rsidR="00957AAA">
        <w:t xml:space="preserve"> these c</w:t>
      </w:r>
      <w:r w:rsidR="006A6767">
        <w:t xml:space="preserve">omments </w:t>
      </w:r>
      <w:r w:rsidR="00FE52C5">
        <w:t xml:space="preserve">regarding </w:t>
      </w:r>
      <w:r w:rsidR="000342E0">
        <w:t xml:space="preserve">the </w:t>
      </w:r>
      <w:r w:rsidR="0036387C">
        <w:t>revised draft rule proposals</w:t>
      </w:r>
      <w:r w:rsidR="006A6767">
        <w:t xml:space="preserve">.  </w:t>
      </w:r>
    </w:p>
    <w:p w:rsidR="00A17D6A" w:rsidRDefault="00A17D6A" w:rsidP="00A17D6A">
      <w:pPr>
        <w:spacing w:line="480" w:lineRule="auto"/>
        <w:jc w:val="center"/>
        <w:rPr>
          <w:b/>
        </w:rPr>
      </w:pPr>
      <w:r>
        <w:rPr>
          <w:b/>
        </w:rPr>
        <w:t>II.</w:t>
      </w:r>
      <w:r>
        <w:rPr>
          <w:b/>
        </w:rPr>
        <w:tab/>
      </w:r>
      <w:r w:rsidR="003471BB">
        <w:rPr>
          <w:b/>
        </w:rPr>
        <w:t>COMMENTS</w:t>
      </w:r>
    </w:p>
    <w:p w:rsidR="00066E79" w:rsidRDefault="0036387C" w:rsidP="0036387C">
      <w:pPr>
        <w:pStyle w:val="WUTCParagraph"/>
      </w:pPr>
      <w:r>
        <w:tab/>
      </w:r>
      <w:r w:rsidR="00C07345">
        <w:t xml:space="preserve">The most recent rule proposals make a considerable number of additional revisions which should notably benefit the Commission and stakeholders in future WUTC process.  </w:t>
      </w:r>
      <w:r w:rsidR="006B668F">
        <w:t>Moreover, Staff’s narrative recommendations and summary presentation of all stakeholder comments have been very helpful as ICNU reviews the latest revision proposals</w:t>
      </w:r>
      <w:r w:rsidR="00957AAA">
        <w:t>.  T</w:t>
      </w:r>
      <w:r w:rsidR="006B668F">
        <w:t xml:space="preserve">he following comments address </w:t>
      </w:r>
      <w:r w:rsidR="00230CE1">
        <w:t>certain</w:t>
      </w:r>
      <w:r w:rsidR="006B668F">
        <w:t xml:space="preserve"> issues which ICNU hopes the Commission </w:t>
      </w:r>
      <w:r w:rsidR="008A3694">
        <w:t>will consider</w:t>
      </w:r>
      <w:r w:rsidR="006001D9">
        <w:t>,</w:t>
      </w:r>
      <w:r w:rsidR="008A3694">
        <w:t xml:space="preserve"> prior to the proposed rule adoption hearing on January 30, 2017.  </w:t>
      </w:r>
    </w:p>
    <w:p w:rsidR="0036387C" w:rsidRPr="0036387C" w:rsidRDefault="00066E79" w:rsidP="0036387C">
      <w:pPr>
        <w:pStyle w:val="WUTCParagraph"/>
      </w:pPr>
      <w:r>
        <w:lastRenderedPageBreak/>
        <w:tab/>
        <w:t xml:space="preserve">Moreover, even if not expressly noted below (in the interests of brevity and to avoid </w:t>
      </w:r>
      <w:r w:rsidR="00371573">
        <w:t>continual</w:t>
      </w:r>
      <w:r>
        <w:t xml:space="preserve"> restatement), ICNU hopes that the Commission will consider ICNU’s prior comments suggesting outcomes that may not always align with Staff’s recommendations.  ICNU has devoted a significant amount of resources to this proceeding, given the importance of the procedural rules to virtually all practice before the Commission.  Accordingly, with a span of nearly four years</w:t>
      </w:r>
      <w:r w:rsidR="00E30E89">
        <w:t xml:space="preserve"> for this docket</w:t>
      </w:r>
      <w:r>
        <w:t>, ICNU and many other stakeholders have raised quite a number of issues and concerns wor</w:t>
      </w:r>
      <w:r w:rsidR="00E30E89">
        <w:t>thy of</w:t>
      </w:r>
      <w:r w:rsidR="0087100B">
        <w:t xml:space="preserve"> full </w:t>
      </w:r>
      <w:r>
        <w:t>consideration.</w:t>
      </w:r>
    </w:p>
    <w:p w:rsidR="0004086D" w:rsidRPr="00AF5BE8" w:rsidRDefault="0036387C" w:rsidP="00AF5BE8">
      <w:pPr>
        <w:spacing w:line="480" w:lineRule="auto"/>
        <w:rPr>
          <w:b/>
        </w:rPr>
      </w:pPr>
      <w:r>
        <w:rPr>
          <w:b/>
        </w:rPr>
        <w:t>A.</w:t>
      </w:r>
      <w:r>
        <w:rPr>
          <w:b/>
        </w:rPr>
        <w:tab/>
        <w:t>Part I</w:t>
      </w:r>
      <w:r w:rsidR="00957AAA">
        <w:rPr>
          <w:b/>
        </w:rPr>
        <w:t>, General Provisions</w:t>
      </w:r>
    </w:p>
    <w:p w:rsidR="002812B2" w:rsidRPr="00536622" w:rsidRDefault="0036387C" w:rsidP="00536622">
      <w:pPr>
        <w:spacing w:line="480" w:lineRule="auto"/>
        <w:rPr>
          <w:b/>
        </w:rPr>
      </w:pPr>
      <w:r w:rsidRPr="00536622">
        <w:rPr>
          <w:b/>
        </w:rPr>
        <w:tab/>
      </w:r>
      <w:r w:rsidR="00384E62" w:rsidRPr="00536622">
        <w:rPr>
          <w:b/>
        </w:rPr>
        <w:t>480-07-110(1</w:t>
      </w:r>
      <w:r w:rsidR="008577CF" w:rsidRPr="00536622">
        <w:rPr>
          <w:b/>
        </w:rPr>
        <w:t>)</w:t>
      </w:r>
    </w:p>
    <w:p w:rsidR="00386ADD" w:rsidRDefault="0097482B" w:rsidP="001B342B">
      <w:pPr>
        <w:pStyle w:val="WUTCParagraph"/>
        <w:tabs>
          <w:tab w:val="clear" w:pos="0"/>
        </w:tabs>
      </w:pPr>
      <w:r>
        <w:tab/>
      </w:r>
      <w:r w:rsidR="00257410">
        <w:t xml:space="preserve">ICNU appreciates Staff’s </w:t>
      </w:r>
      <w:r w:rsidR="00902203">
        <w:t xml:space="preserve">proposed </w:t>
      </w:r>
      <w:r w:rsidR="00257410">
        <w:t>clarification</w:t>
      </w:r>
      <w:r w:rsidR="00902203">
        <w:t xml:space="preserve"> to this subsection,</w:t>
      </w:r>
      <w:r w:rsidR="00257410">
        <w:t xml:space="preserve"> stating that Commission-initiated rule modifications will be </w:t>
      </w:r>
      <w:r w:rsidR="008D0743">
        <w:t xml:space="preserve">effected in a manner </w:t>
      </w:r>
      <w:r w:rsidR="00257410">
        <w:t>consistent with both due process and the public interest.</w:t>
      </w:r>
      <w:r w:rsidR="0087100B" w:rsidRPr="0087100B">
        <w:rPr>
          <w:u w:val="single"/>
          <w:vertAlign w:val="superscript"/>
        </w:rPr>
        <w:footnoteReference w:id="1"/>
      </w:r>
      <w:r w:rsidR="0087100B" w:rsidRPr="0087100B">
        <w:rPr>
          <w:vertAlign w:val="superscript"/>
        </w:rPr>
        <w:t>/</w:t>
      </w:r>
      <w:r w:rsidR="00257410">
        <w:t xml:space="preserve"> </w:t>
      </w:r>
      <w:r w:rsidR="00CE5E11">
        <w:t xml:space="preserve"> This</w:t>
      </w:r>
      <w:r w:rsidR="00A033EC">
        <w:t xml:space="preserve"> newly proposed clarification seems to address prior ICNU concerns </w:t>
      </w:r>
      <w:r w:rsidR="008D0743">
        <w:t>regarding due process in relation</w:t>
      </w:r>
      <w:r w:rsidR="00A033EC">
        <w:t xml:space="preserve"> to this rule </w:t>
      </w:r>
      <w:r w:rsidR="00AE2213">
        <w:t>sub</w:t>
      </w:r>
      <w:r w:rsidR="00A033EC">
        <w:t>section.</w:t>
      </w:r>
      <w:r w:rsidR="00257410">
        <w:t xml:space="preserve">  </w:t>
      </w:r>
      <w:r>
        <w:tab/>
      </w:r>
    </w:p>
    <w:p w:rsidR="00293667" w:rsidRPr="001B342B" w:rsidRDefault="00293667" w:rsidP="001B342B">
      <w:pPr>
        <w:spacing w:line="480" w:lineRule="auto"/>
        <w:rPr>
          <w:b/>
        </w:rPr>
      </w:pPr>
      <w:r>
        <w:rPr>
          <w:b/>
        </w:rPr>
        <w:t>B.</w:t>
      </w:r>
      <w:r>
        <w:rPr>
          <w:b/>
        </w:rPr>
        <w:tab/>
        <w:t>Part III, Subpart A, Rules of General Applicability in Adjudicative Proceedings</w:t>
      </w:r>
      <w:r w:rsidR="003B3D24">
        <w:t xml:space="preserve"> </w:t>
      </w:r>
    </w:p>
    <w:p w:rsidR="008274D9" w:rsidRPr="00691A42" w:rsidRDefault="001C3EE4" w:rsidP="00691A42">
      <w:pPr>
        <w:spacing w:line="480" w:lineRule="auto"/>
        <w:ind w:left="720"/>
        <w:rPr>
          <w:b/>
        </w:rPr>
      </w:pPr>
      <w:r>
        <w:rPr>
          <w:b/>
        </w:rPr>
        <w:t>4</w:t>
      </w:r>
      <w:r w:rsidR="00AE2213">
        <w:rPr>
          <w:b/>
        </w:rPr>
        <w:t>80-07-355(2</w:t>
      </w:r>
      <w:r w:rsidR="008274D9" w:rsidRPr="00691A42">
        <w:rPr>
          <w:b/>
        </w:rPr>
        <w:t>)</w:t>
      </w:r>
    </w:p>
    <w:p w:rsidR="00212492" w:rsidRDefault="00AE2213" w:rsidP="00280394">
      <w:pPr>
        <w:pStyle w:val="WUTCParagraph"/>
      </w:pPr>
      <w:r>
        <w:tab/>
        <w:t xml:space="preserve">There may have been a misunderstanding regarding </w:t>
      </w:r>
      <w:r w:rsidR="0097482B">
        <w:tab/>
      </w:r>
      <w:r>
        <w:t xml:space="preserve">ICNU’s proposal to modify the last sentence of this subsection, concerning the allowable period for a </w:t>
      </w:r>
      <w:r w:rsidRPr="00AE2213">
        <w:rPr>
          <w:i/>
        </w:rPr>
        <w:t>response</w:t>
      </w:r>
      <w:r>
        <w:t xml:space="preserve"> to </w:t>
      </w:r>
      <w:r w:rsidR="00902203">
        <w:t xml:space="preserve">a </w:t>
      </w:r>
      <w:r>
        <w:t xml:space="preserve">written petition to intervene.  Specifically, citing to rule paragraph </w:t>
      </w:r>
      <w:r w:rsidR="001078D9">
        <w:t>-</w:t>
      </w:r>
      <w:r>
        <w:t xml:space="preserve">355(1)(a), Staff described ICNU’s </w:t>
      </w:r>
      <w:r w:rsidR="00212492">
        <w:t xml:space="preserve">recommendation as a proposal </w:t>
      </w:r>
      <w:r w:rsidR="00C864A2">
        <w:t xml:space="preserve">to </w:t>
      </w:r>
      <w:r>
        <w:t>“[r]</w:t>
      </w:r>
      <w:proofErr w:type="spellStart"/>
      <w:r>
        <w:t>equire</w:t>
      </w:r>
      <w:proofErr w:type="spellEnd"/>
      <w:r>
        <w:t xml:space="preserve"> petitions to intervene to be filed within 20 days or </w:t>
      </w:r>
      <w:r>
        <w:lastRenderedPageBreak/>
        <w:t>two business days, whichever is less.”</w:t>
      </w:r>
      <w:r w:rsidRPr="00AE2213">
        <w:rPr>
          <w:u w:val="single"/>
          <w:vertAlign w:val="superscript"/>
        </w:rPr>
        <w:footnoteReference w:id="2"/>
      </w:r>
      <w:r w:rsidRPr="00AE2213">
        <w:rPr>
          <w:vertAlign w:val="superscript"/>
        </w:rPr>
        <w:t>/</w:t>
      </w:r>
      <w:r>
        <w:t xml:space="preserve">  </w:t>
      </w:r>
      <w:r w:rsidR="00212492">
        <w:t xml:space="preserve">ICNU agrees that, if such a </w:t>
      </w:r>
      <w:r w:rsidR="00C864A2">
        <w:t xml:space="preserve">nonsensical </w:t>
      </w:r>
      <w:r w:rsidR="00212492">
        <w:t xml:space="preserve">proposal had been made, it should have been rejected.  Likewise, had ICNU’s proposal </w:t>
      </w:r>
      <w:r w:rsidR="00902203">
        <w:t xml:space="preserve">actually </w:t>
      </w:r>
      <w:r w:rsidR="00212492">
        <w:t xml:space="preserve">concerned the timing of </w:t>
      </w:r>
      <w:r w:rsidR="00212492" w:rsidRPr="001078D9">
        <w:rPr>
          <w:i/>
        </w:rPr>
        <w:t>petition</w:t>
      </w:r>
      <w:r w:rsidR="00212492">
        <w:t xml:space="preserve"> filings, rat</w:t>
      </w:r>
      <w:r w:rsidR="001078D9">
        <w:t xml:space="preserve">her than the timing of </w:t>
      </w:r>
      <w:r w:rsidR="001078D9" w:rsidRPr="001078D9">
        <w:rPr>
          <w:i/>
        </w:rPr>
        <w:t>response</w:t>
      </w:r>
      <w:r w:rsidR="00212492" w:rsidRPr="001078D9">
        <w:rPr>
          <w:i/>
        </w:rPr>
        <w:t>s</w:t>
      </w:r>
      <w:r w:rsidR="00212492">
        <w:t xml:space="preserve"> to petition filings</w:t>
      </w:r>
      <w:r w:rsidR="001078D9">
        <w:t xml:space="preserve"> under </w:t>
      </w:r>
      <w:r w:rsidR="00902203">
        <w:t xml:space="preserve">subsection </w:t>
      </w:r>
      <w:r w:rsidR="00902203">
        <w:noBreakHyphen/>
      </w:r>
      <w:r w:rsidR="001078D9">
        <w:t>355(2)</w:t>
      </w:r>
      <w:r w:rsidR="00212492">
        <w:t>, it would be difficult to argue against Staff’s recommendation: “Staff sees no reason to require petitions to intervene to be filed more or less than three business days prior to the initial hearing or prehearing conference as currently required.”</w:t>
      </w:r>
      <w:r w:rsidR="00212492" w:rsidRPr="00212492">
        <w:rPr>
          <w:u w:val="single"/>
          <w:vertAlign w:val="superscript"/>
        </w:rPr>
        <w:footnoteReference w:id="3"/>
      </w:r>
      <w:r w:rsidR="00212492" w:rsidRPr="00212492">
        <w:rPr>
          <w:vertAlign w:val="superscript"/>
        </w:rPr>
        <w:t>/</w:t>
      </w:r>
    </w:p>
    <w:p w:rsidR="00212492" w:rsidRDefault="00212492" w:rsidP="00212492">
      <w:pPr>
        <w:pStyle w:val="WUTCParagraph"/>
      </w:pPr>
      <w:r>
        <w:tab/>
        <w:t xml:space="preserve">Notwithstanding, ICNU hopes that the Commission will consider ICNU’s </w:t>
      </w:r>
      <w:r w:rsidR="001078D9">
        <w:t xml:space="preserve">originally stated </w:t>
      </w:r>
      <w:r>
        <w:t>proposal</w:t>
      </w:r>
      <w:r w:rsidR="001078D9">
        <w:t>,</w:t>
      </w:r>
      <w:r>
        <w:t xml:space="preserve"> in the context of rule subsection -355(2).</w:t>
      </w:r>
      <w:r w:rsidR="00902203" w:rsidRPr="00902203">
        <w:rPr>
          <w:u w:val="single"/>
          <w:vertAlign w:val="superscript"/>
        </w:rPr>
        <w:footnoteReference w:id="4"/>
      </w:r>
      <w:r w:rsidR="00902203" w:rsidRPr="00902203">
        <w:rPr>
          <w:vertAlign w:val="superscript"/>
        </w:rPr>
        <w:t>/</w:t>
      </w:r>
      <w:r>
        <w:t xml:space="preserve">  </w:t>
      </w:r>
      <w:r w:rsidR="00C864A2">
        <w:t>In particular</w:t>
      </w:r>
      <w:r>
        <w:t xml:space="preserve">, ICNU proposes the following modifications to the last sentence of Staff’s proposed text in this subsection: </w:t>
      </w:r>
    </w:p>
    <w:p w:rsidR="00C864A2" w:rsidRDefault="00212492" w:rsidP="00D700B3">
      <w:pPr>
        <w:pStyle w:val="WUTCParagraph"/>
        <w:numPr>
          <w:ilvl w:val="0"/>
          <w:numId w:val="0"/>
        </w:numPr>
        <w:spacing w:after="240" w:line="240" w:lineRule="auto"/>
        <w:ind w:left="720" w:right="720"/>
        <w:jc w:val="both"/>
      </w:pPr>
      <w:r>
        <w:t>A party’</w:t>
      </w:r>
      <w:r w:rsidRPr="00E3284E">
        <w:t>s written response to a timely filed wr</w:t>
      </w:r>
      <w:r w:rsidR="00C864A2">
        <w:t>itten petition to intervene should</w:t>
      </w:r>
      <w:r w:rsidRPr="00E3284E">
        <w:t xml:space="preserve"> be filed and served </w:t>
      </w:r>
      <w:r>
        <w:rPr>
          <w:u w:val="single"/>
        </w:rPr>
        <w:t>within 20 days or</w:t>
      </w:r>
      <w:r w:rsidRPr="00EE04AE">
        <w:t xml:space="preserve"> </w:t>
      </w:r>
      <w:r w:rsidRPr="00E3284E">
        <w:t xml:space="preserve">at least two business days before the prehearing conference or hearing at which the commission will consider the petition, </w:t>
      </w:r>
      <w:r>
        <w:rPr>
          <w:u w:val="single"/>
        </w:rPr>
        <w:t>whichever time is less,</w:t>
      </w:r>
      <w:r>
        <w:t xml:space="preserve"> </w:t>
      </w:r>
      <w:r w:rsidRPr="00E3284E">
        <w:rPr>
          <w:strike/>
        </w:rPr>
        <w:t xml:space="preserve">or at such other time </w:t>
      </w:r>
      <w:proofErr w:type="spellStart"/>
      <w:r w:rsidRPr="00E3284E">
        <w:rPr>
          <w:strike/>
        </w:rPr>
        <w:t>as</w:t>
      </w:r>
      <w:r>
        <w:rPr>
          <w:u w:val="single"/>
        </w:rPr>
        <w:t>unless</w:t>
      </w:r>
      <w:proofErr w:type="spellEnd"/>
      <w:r w:rsidRPr="00EE04AE">
        <w:t xml:space="preserve"> </w:t>
      </w:r>
      <w:r w:rsidRPr="00E3284E">
        <w:t xml:space="preserve">the commission </w:t>
      </w:r>
      <w:r w:rsidRPr="00E3284E">
        <w:rPr>
          <w:strike/>
        </w:rPr>
        <w:t xml:space="preserve">may </w:t>
      </w:r>
      <w:r w:rsidRPr="00E3284E">
        <w:t>establish</w:t>
      </w:r>
      <w:r w:rsidRPr="00EE04AE">
        <w:t xml:space="preserve">es </w:t>
      </w:r>
      <w:r>
        <w:rPr>
          <w:u w:val="single"/>
        </w:rPr>
        <w:t>a different time</w:t>
      </w:r>
      <w:r w:rsidRPr="00E3284E">
        <w:t xml:space="preserve"> by notice</w:t>
      </w:r>
      <w:r>
        <w:t>.</w:t>
      </w:r>
    </w:p>
    <w:p w:rsidR="009D4D78" w:rsidRDefault="00C864A2" w:rsidP="00D33CA1">
      <w:pPr>
        <w:pStyle w:val="WUTCParagraph"/>
      </w:pPr>
      <w:r>
        <w:tab/>
      </w:r>
      <w:r w:rsidR="00D700B3" w:rsidRPr="00D700B3">
        <w:t>Since the proposed maximum response period of 20 days, barring a specially established exception, is consistent with general rules applicable to a “response to a petition,”</w:t>
      </w:r>
      <w:r w:rsidR="00D700B3" w:rsidRPr="00D700B3">
        <w:rPr>
          <w:u w:val="single"/>
          <w:vertAlign w:val="superscript"/>
        </w:rPr>
        <w:footnoteReference w:id="5"/>
      </w:r>
      <w:r w:rsidR="00D700B3" w:rsidRPr="00D700B3">
        <w:rPr>
          <w:vertAlign w:val="superscript"/>
        </w:rPr>
        <w:t>/</w:t>
      </w:r>
      <w:r w:rsidR="00D700B3" w:rsidRPr="00D700B3">
        <w:t xml:space="preserve"> ICNU does not believe </w:t>
      </w:r>
      <w:r w:rsidR="00D700B3">
        <w:t xml:space="preserve">that </w:t>
      </w:r>
      <w:r w:rsidR="00E14BD4">
        <w:t>any potential party</w:t>
      </w:r>
      <w:r w:rsidR="00D700B3" w:rsidRPr="00D700B3">
        <w:t xml:space="preserve"> would be adversely affected by this proposed rule modification.  </w:t>
      </w:r>
      <w:r w:rsidR="0089321B" w:rsidRPr="00D700B3">
        <w:t xml:space="preserve">Also, aligning sections -355 and -370 would </w:t>
      </w:r>
      <w:r w:rsidR="00D700B3" w:rsidRPr="00D700B3">
        <w:t xml:space="preserve">accord with </w:t>
      </w:r>
      <w:r w:rsidR="0089321B" w:rsidRPr="00D700B3">
        <w:t xml:space="preserve">Staff’s </w:t>
      </w:r>
      <w:r w:rsidR="00D700B3" w:rsidRPr="00D700B3">
        <w:t xml:space="preserve">apparent </w:t>
      </w:r>
      <w:r w:rsidR="0089321B" w:rsidRPr="00D700B3">
        <w:t>view that rules governing petitions should</w:t>
      </w:r>
      <w:r w:rsidR="00D700B3" w:rsidRPr="00D700B3">
        <w:t xml:space="preserve"> be interpreted consistently </w:t>
      </w:r>
      <w:r w:rsidR="00E14BD4">
        <w:t>throughout</w:t>
      </w:r>
      <w:r w:rsidR="00D700B3" w:rsidRPr="00D700B3">
        <w:t xml:space="preserve"> the Commission’s procedural rules.  That is, Staff recommended against retaining current rule </w:t>
      </w:r>
      <w:r w:rsidR="00D700B3" w:rsidRPr="00D700B3">
        <w:lastRenderedPageBreak/>
        <w:t xml:space="preserve">paragraph </w:t>
      </w:r>
      <w:r w:rsidR="00D700B3" w:rsidRPr="00D700B3">
        <w:noBreakHyphen/>
        <w:t xml:space="preserve">110(2)(d), which states that “[t]he commission will enter an order granting or denying [a] petition [requesting a rule exemption or modification], or setting it for hearing,” </w:t>
      </w:r>
      <w:r w:rsidR="00E14BD4">
        <w:t>by reasoning</w:t>
      </w:r>
      <w:r w:rsidR="00D700B3" w:rsidRPr="00D700B3">
        <w:t xml:space="preserve"> that “[t]he disposition of petitions for rule waiver or modification is </w:t>
      </w:r>
      <w:r w:rsidR="00D700B3" w:rsidRPr="00D700B3">
        <w:rPr>
          <w:i/>
        </w:rPr>
        <w:t>the same as any other petition</w:t>
      </w:r>
      <w:r w:rsidR="00D700B3" w:rsidRPr="00D700B3">
        <w:t>, and this subsection is unnecessary.”</w:t>
      </w:r>
      <w:r w:rsidR="00D700B3" w:rsidRPr="00D700B3">
        <w:rPr>
          <w:u w:val="single"/>
          <w:vertAlign w:val="superscript"/>
        </w:rPr>
        <w:footnoteReference w:id="6"/>
      </w:r>
      <w:r w:rsidR="00D700B3" w:rsidRPr="00D700B3">
        <w:rPr>
          <w:vertAlign w:val="superscript"/>
        </w:rPr>
        <w:t>/</w:t>
      </w:r>
      <w:r w:rsidR="00D33CA1">
        <w:t xml:space="preserve">  Conversely</w:t>
      </w:r>
      <w:r w:rsidR="00107CA6">
        <w:t xml:space="preserve">, if subsection -355(2) is not amended </w:t>
      </w:r>
      <w:r w:rsidR="001078D9">
        <w:t xml:space="preserve">in some fashion </w:t>
      </w:r>
      <w:r w:rsidR="00107CA6">
        <w:t xml:space="preserve">along the lines of ICNU’s proposal, then disposition of petitions </w:t>
      </w:r>
      <w:r w:rsidR="001078D9">
        <w:t>might not</w:t>
      </w:r>
      <w:r w:rsidR="00107CA6">
        <w:t xml:space="preserve"> be the same in all circumstances</w:t>
      </w:r>
      <w:r>
        <w:t>.  For instance, under subsection -355(2)</w:t>
      </w:r>
      <w:r w:rsidR="001078D9">
        <w:t xml:space="preserve"> </w:t>
      </w:r>
      <w:r>
        <w:t xml:space="preserve">as presently comprised, </w:t>
      </w:r>
      <w:r w:rsidR="001078D9">
        <w:t>and so long as a</w:t>
      </w:r>
      <w:r w:rsidR="001078D9" w:rsidRPr="001078D9">
        <w:t xml:space="preserve"> res</w:t>
      </w:r>
      <w:r w:rsidR="00D33CA1">
        <w:t>ponse i</w:t>
      </w:r>
      <w:r w:rsidR="001078D9" w:rsidRPr="001078D9">
        <w:t>s filed two business days prior to a prehearing conference</w:t>
      </w:r>
      <w:r w:rsidR="001078D9">
        <w:t xml:space="preserve">, </w:t>
      </w:r>
      <w:r>
        <w:t xml:space="preserve">a party could file a written response to a petition to intervene well after </w:t>
      </w:r>
      <w:r w:rsidR="009718B3">
        <w:t>the</w:t>
      </w:r>
      <w:r>
        <w:t xml:space="preserve"> </w:t>
      </w:r>
      <w:r w:rsidR="00D94556">
        <w:t>twenty-</w:t>
      </w:r>
      <w:r>
        <w:t xml:space="preserve">day period allowed for </w:t>
      </w:r>
      <w:r w:rsidR="007B2A35">
        <w:t xml:space="preserve">such </w:t>
      </w:r>
      <w:r>
        <w:t xml:space="preserve">a response under </w:t>
      </w:r>
      <w:r w:rsidR="007B2A35">
        <w:t xml:space="preserve">proposed </w:t>
      </w:r>
      <w:r>
        <w:t>paragraph -370(4)(b)</w:t>
      </w:r>
      <w:r w:rsidR="001078D9">
        <w:t xml:space="preserve">.  </w:t>
      </w:r>
    </w:p>
    <w:p w:rsidR="00F06E2D" w:rsidRPr="00691A42" w:rsidRDefault="00AA52F8" w:rsidP="00F06E2D">
      <w:pPr>
        <w:spacing w:line="480" w:lineRule="auto"/>
        <w:ind w:left="720"/>
        <w:rPr>
          <w:b/>
        </w:rPr>
      </w:pPr>
      <w:r>
        <w:t xml:space="preserve"> </w:t>
      </w:r>
      <w:r w:rsidR="00537BFF">
        <w:rPr>
          <w:b/>
        </w:rPr>
        <w:t>480-07-410</w:t>
      </w:r>
      <w:r w:rsidR="00F026CC">
        <w:rPr>
          <w:b/>
        </w:rPr>
        <w:t>(4)</w:t>
      </w:r>
    </w:p>
    <w:p w:rsidR="00AA52F8" w:rsidRDefault="005760F3" w:rsidP="00FF79B5">
      <w:pPr>
        <w:pStyle w:val="WUTCParagraph"/>
      </w:pPr>
      <w:r>
        <w:tab/>
        <w:t xml:space="preserve">ICNU </w:t>
      </w:r>
      <w:r w:rsidR="00F026CC">
        <w:t xml:space="preserve">appreciates Staff’s clarification as to the purpose behind the deletion of the </w:t>
      </w:r>
      <w:r w:rsidR="00F026CC" w:rsidRPr="00F026CC">
        <w:t xml:space="preserve">following </w:t>
      </w:r>
      <w:r w:rsidR="00F026CC">
        <w:t>sentence within this subsection: “A party may use a deposition to impeach a witness.”  As ICNU surmised, Staff had taken the view “that this sentence is superfluous, since subsection (4) already provides that depositions may be used ‘for any lawful purpose.’”</w:t>
      </w:r>
      <w:r w:rsidR="00F026CC" w:rsidRPr="00F026CC">
        <w:rPr>
          <w:u w:val="single"/>
          <w:vertAlign w:val="superscript"/>
        </w:rPr>
        <w:footnoteReference w:id="7"/>
      </w:r>
      <w:r w:rsidR="00F026CC" w:rsidRPr="00F026CC">
        <w:rPr>
          <w:vertAlign w:val="superscript"/>
        </w:rPr>
        <w:t>/</w:t>
      </w:r>
      <w:r w:rsidR="00F026CC">
        <w:t xml:space="preserve"> </w:t>
      </w:r>
      <w:r w:rsidR="00E75B47">
        <w:t xml:space="preserve"> </w:t>
      </w:r>
      <w:r w:rsidR="00F026CC">
        <w:t xml:space="preserve">Thus, ICNU’s </w:t>
      </w:r>
      <w:r w:rsidR="00472642">
        <w:t xml:space="preserve">potential </w:t>
      </w:r>
      <w:r w:rsidR="00F026CC">
        <w:t xml:space="preserve">concerns </w:t>
      </w:r>
      <w:r w:rsidR="00472642">
        <w:t>have been</w:t>
      </w:r>
      <w:r w:rsidR="00F026CC">
        <w:t xml:space="preserve"> allayed by Staff’s confirmation that impeaching a witness via deposition “is a lawful purpose and need not be separately specified.”</w:t>
      </w:r>
      <w:r w:rsidR="00F026CC" w:rsidRPr="00F026CC">
        <w:rPr>
          <w:u w:val="single"/>
          <w:vertAlign w:val="superscript"/>
        </w:rPr>
        <w:footnoteReference w:id="8"/>
      </w:r>
      <w:r w:rsidR="00F026CC" w:rsidRPr="00F026CC">
        <w:rPr>
          <w:vertAlign w:val="superscript"/>
        </w:rPr>
        <w:t>/</w:t>
      </w:r>
      <w:r w:rsidR="00F06E2D">
        <w:tab/>
      </w:r>
    </w:p>
    <w:p w:rsidR="004173CB" w:rsidRPr="00691A42" w:rsidRDefault="00FF79B5" w:rsidP="004173CB">
      <w:pPr>
        <w:spacing w:line="480" w:lineRule="auto"/>
        <w:ind w:left="720"/>
        <w:rPr>
          <w:b/>
        </w:rPr>
      </w:pPr>
      <w:r>
        <w:rPr>
          <w:b/>
        </w:rPr>
        <w:t>480-07-460(1)(a</w:t>
      </w:r>
      <w:r w:rsidR="00211734">
        <w:rPr>
          <w:b/>
        </w:rPr>
        <w:t>)</w:t>
      </w:r>
    </w:p>
    <w:p w:rsidR="00AC080C" w:rsidRDefault="00AA659F" w:rsidP="004173CB">
      <w:pPr>
        <w:pStyle w:val="WUTCParagraph"/>
      </w:pPr>
      <w:r>
        <w:tab/>
        <w:t>Apparently on its own initiative, “Staff has revised the language [in this paragraph] to eliminate</w:t>
      </w:r>
      <w:r w:rsidR="00AC080C">
        <w:t xml:space="preserve"> [the]</w:t>
      </w:r>
      <w:r>
        <w:t xml:space="preserve"> subsection on revising </w:t>
      </w:r>
      <w:proofErr w:type="spellStart"/>
      <w:r>
        <w:t>prefiled</w:t>
      </w:r>
      <w:proofErr w:type="spellEnd"/>
      <w:r>
        <w:t xml:space="preserve"> testimony to correct mistakes of </w:t>
      </w:r>
      <w:r>
        <w:lastRenderedPageBreak/>
        <w:t>fact.”</w:t>
      </w:r>
      <w:r w:rsidRPr="00AA659F">
        <w:rPr>
          <w:u w:val="single"/>
          <w:vertAlign w:val="superscript"/>
        </w:rPr>
        <w:footnoteReference w:id="9"/>
      </w:r>
      <w:r w:rsidRPr="00AA659F">
        <w:rPr>
          <w:vertAlign w:val="superscript"/>
        </w:rPr>
        <w:t>/</w:t>
      </w:r>
      <w:r>
        <w:t xml:space="preserve">  ICNU does not necessarily oppose this suggested revision—in fact, much like </w:t>
      </w:r>
      <w:r w:rsidR="00AC080C">
        <w:t xml:space="preserve">many of </w:t>
      </w:r>
      <w:r w:rsidR="002533C8">
        <w:t xml:space="preserve">the </w:t>
      </w:r>
      <w:r>
        <w:t>revisions Staff has proposed, the intent of Staff’s deletion may simply be to streamline procedural rules by eliminating duplicative or superfluous provisions.  In other words, the ability of parties to make “substantive changes</w:t>
      </w:r>
      <w:r w:rsidR="00AC080C">
        <w:t xml:space="preserve">,” under what would now be styled as subparagraph </w:t>
      </w:r>
      <w:r w:rsidR="00AC080C">
        <w:noBreakHyphen/>
        <w:t>460(1)(a)(</w:t>
      </w:r>
      <w:proofErr w:type="spellStart"/>
      <w:r w:rsidR="00AC080C">
        <w:t>i</w:t>
      </w:r>
      <w:proofErr w:type="spellEnd"/>
      <w:r w:rsidR="00AC080C">
        <w:t xml:space="preserve">), </w:t>
      </w:r>
      <w:r>
        <w:t xml:space="preserve">could be interpreted as sufficient to encompass the ability to make “substantive </w:t>
      </w:r>
      <w:r w:rsidR="00AC080C">
        <w:t>corrections,” including “</w:t>
      </w:r>
      <w:r w:rsidR="002533C8">
        <w:t>mistakes of fact,</w:t>
      </w:r>
      <w:r w:rsidR="00AC080C">
        <w:t>”</w:t>
      </w:r>
      <w:r w:rsidR="002533C8">
        <w:t xml:space="preserve"> thereby eliminating the need for express recognition of the latter.</w:t>
      </w:r>
    </w:p>
    <w:p w:rsidR="009A7F73" w:rsidRPr="002812B2" w:rsidRDefault="00AC080C" w:rsidP="00755EBA">
      <w:pPr>
        <w:pStyle w:val="WUTCParagraph"/>
      </w:pPr>
      <w:r>
        <w:tab/>
        <w:t>Nevertheless, ICNU is unsure as to Staff’s actual rationale for this proposed revision.  If ICNU’s assumption that the proposed deletion is based on the elimination of duplicative provisions</w:t>
      </w:r>
      <w:r w:rsidR="007000E9">
        <w:t xml:space="preserve"> is incorrect</w:t>
      </w:r>
      <w:r>
        <w:t xml:space="preserve">, then party procedural rights might be significantly curtailed by Staff’s recommendation.  </w:t>
      </w:r>
      <w:r w:rsidR="00CE6893">
        <w:t xml:space="preserve">Moreover, Staff recommended </w:t>
      </w:r>
      <w:r w:rsidR="008425FF">
        <w:t xml:space="preserve">rule modifications elsewhere, based on an express recognition of “duplicative” features within the </w:t>
      </w:r>
      <w:r w:rsidR="008425FF" w:rsidRPr="008425FF">
        <w:t xml:space="preserve">existing </w:t>
      </w:r>
      <w:r w:rsidR="008425FF">
        <w:t>rules, meaning that the lack of such explanation here may signal some different rationale on the part of Staff.</w:t>
      </w:r>
      <w:r w:rsidR="008425FF" w:rsidRPr="008425FF">
        <w:rPr>
          <w:u w:val="single"/>
          <w:vertAlign w:val="superscript"/>
        </w:rPr>
        <w:footnoteReference w:id="10"/>
      </w:r>
      <w:r w:rsidR="008425FF" w:rsidRPr="008425FF">
        <w:rPr>
          <w:vertAlign w:val="superscript"/>
        </w:rPr>
        <w:t>/</w:t>
      </w:r>
      <w:r w:rsidR="008425FF" w:rsidRPr="008425FF">
        <w:t xml:space="preserve"> </w:t>
      </w:r>
      <w:r w:rsidR="008425FF">
        <w:t xml:space="preserve">  </w:t>
      </w:r>
      <w:r>
        <w:t>Therefore, ICNU requests that the Commission inquire into and consider the rationale behind this proposed deletion before making any determination.</w:t>
      </w:r>
      <w:r w:rsidR="009A7F73" w:rsidRPr="00755EBA">
        <w:rPr>
          <w:u w:val="single"/>
        </w:rPr>
        <w:t xml:space="preserve"> </w:t>
      </w:r>
      <w:r w:rsidR="009A7F73" w:rsidRPr="005E1C56">
        <w:t xml:space="preserve">  </w:t>
      </w:r>
    </w:p>
    <w:p w:rsidR="003471BB" w:rsidRPr="00B64EF8" w:rsidRDefault="00B64EF8" w:rsidP="00B64EF8">
      <w:pPr>
        <w:spacing w:line="480" w:lineRule="auto"/>
        <w:jc w:val="center"/>
        <w:rPr>
          <w:b/>
        </w:rPr>
      </w:pPr>
      <w:r>
        <w:rPr>
          <w:b/>
        </w:rPr>
        <w:t>III.</w:t>
      </w:r>
      <w:r>
        <w:rPr>
          <w:b/>
        </w:rPr>
        <w:tab/>
        <w:t>CONCLUSION</w:t>
      </w:r>
    </w:p>
    <w:p w:rsidR="003471BB" w:rsidRPr="004355F2" w:rsidRDefault="00B67AF1" w:rsidP="004355F2">
      <w:pPr>
        <w:pStyle w:val="WUTCParagraph"/>
      </w:pPr>
      <w:r>
        <w:tab/>
      </w:r>
      <w:r w:rsidR="00CD7D7D" w:rsidRPr="004355F2">
        <w:t xml:space="preserve">ICNU appreciates the opportunity to submit </w:t>
      </w:r>
      <w:r w:rsidR="009E07D0">
        <w:t>these c</w:t>
      </w:r>
      <w:r w:rsidR="00F622D5">
        <w:t xml:space="preserve">omments regarding </w:t>
      </w:r>
      <w:r w:rsidR="009E07D0" w:rsidRPr="009E07D0">
        <w:t xml:space="preserve">proposed revisions to </w:t>
      </w:r>
      <w:r w:rsidR="00755EBA">
        <w:t>the Commission’s procedural rules within</w:t>
      </w:r>
      <w:r w:rsidR="00CD7D7D" w:rsidRPr="004355F2">
        <w:t xml:space="preserve"> WAC</w:t>
      </w:r>
      <w:r w:rsidR="00B642FC">
        <w:t xml:space="preserve"> </w:t>
      </w:r>
      <w:r w:rsidR="009E07D0">
        <w:t>Chapter</w:t>
      </w:r>
      <w:r w:rsidR="00FC628D">
        <w:t xml:space="preserve"> 480-07.</w:t>
      </w:r>
      <w:r w:rsidR="00CD7D7D" w:rsidRPr="004355F2">
        <w:t xml:space="preserve"> </w:t>
      </w:r>
      <w:r w:rsidR="00B07778">
        <w:t xml:space="preserve"> </w:t>
      </w:r>
      <w:r w:rsidR="009F1088">
        <w:t xml:space="preserve">ICNU respectfully </w:t>
      </w:r>
      <w:r w:rsidR="009F1088">
        <w:lastRenderedPageBreak/>
        <w:t>requests that the Commission and Staff consider making further modifications to the proposed ruled based on the points discussed</w:t>
      </w:r>
      <w:r w:rsidR="00EF308D">
        <w:t>.</w:t>
      </w:r>
      <w:r w:rsidR="009E07D0">
        <w:t xml:space="preserve"> </w:t>
      </w:r>
    </w:p>
    <w:p w:rsidR="00176110" w:rsidRDefault="002355C8" w:rsidP="00EE36C9">
      <w:pPr>
        <w:keepNext/>
        <w:spacing w:line="480" w:lineRule="auto"/>
        <w:ind w:firstLine="1426"/>
        <w:rPr>
          <w:szCs w:val="24"/>
        </w:rPr>
      </w:pPr>
      <w:r>
        <w:rPr>
          <w:szCs w:val="24"/>
        </w:rPr>
        <w:tab/>
      </w:r>
      <w:r>
        <w:rPr>
          <w:szCs w:val="24"/>
        </w:rPr>
        <w:tab/>
      </w:r>
      <w:r w:rsidR="009D55AD">
        <w:rPr>
          <w:szCs w:val="24"/>
        </w:rPr>
        <w:t xml:space="preserve">Dated this </w:t>
      </w:r>
      <w:r w:rsidR="00A40AC4">
        <w:rPr>
          <w:szCs w:val="24"/>
        </w:rPr>
        <w:t>13</w:t>
      </w:r>
      <w:r w:rsidR="00CB0C0C">
        <w:rPr>
          <w:szCs w:val="24"/>
        </w:rPr>
        <w:t>th</w:t>
      </w:r>
      <w:r w:rsidR="009D55AD" w:rsidRPr="009D55AD">
        <w:rPr>
          <w:szCs w:val="24"/>
        </w:rPr>
        <w:t xml:space="preserve"> day of </w:t>
      </w:r>
      <w:r w:rsidR="00A40AC4">
        <w:rPr>
          <w:szCs w:val="24"/>
        </w:rPr>
        <w:t>January</w:t>
      </w:r>
      <w:r w:rsidR="009D55AD" w:rsidRPr="009D55AD">
        <w:rPr>
          <w:szCs w:val="24"/>
        </w:rPr>
        <w:t>,</w:t>
      </w:r>
      <w:r w:rsidR="00A40AC4">
        <w:rPr>
          <w:szCs w:val="24"/>
        </w:rPr>
        <w:t xml:space="preserve"> 2017</w:t>
      </w:r>
      <w:r w:rsidR="009D55AD" w:rsidRPr="009D55AD">
        <w:rPr>
          <w:szCs w:val="24"/>
        </w:rPr>
        <w:t>.</w:t>
      </w:r>
    </w:p>
    <w:p w:rsidR="0037105B" w:rsidRPr="00FE1A24" w:rsidRDefault="00A34F75" w:rsidP="00FE1A24">
      <w:pPr>
        <w:spacing w:line="480" w:lineRule="auto"/>
        <w:ind w:left="2880" w:firstLine="720"/>
        <w:rPr>
          <w:szCs w:val="24"/>
        </w:rPr>
      </w:pPr>
      <w:r>
        <w:rPr>
          <w:szCs w:val="24"/>
        </w:rPr>
        <w:t>R</w:t>
      </w:r>
      <w:r w:rsidR="009D55AD" w:rsidRPr="009D55AD">
        <w:rPr>
          <w:szCs w:val="24"/>
        </w:rPr>
        <w:t>espectfully submitted,</w:t>
      </w:r>
      <w:r w:rsidR="009D55AD" w:rsidRPr="009D55AD">
        <w:rPr>
          <w:szCs w:val="24"/>
        </w:rPr>
        <w:tab/>
      </w:r>
      <w:r w:rsidR="009D55AD" w:rsidRPr="009D55AD">
        <w:rPr>
          <w:szCs w:val="24"/>
        </w:rPr>
        <w:tab/>
      </w:r>
      <w:r w:rsidR="009D55AD" w:rsidRPr="009D55AD">
        <w:rPr>
          <w:szCs w:val="24"/>
        </w:rPr>
        <w:tab/>
      </w:r>
      <w:r w:rsidR="009D55AD" w:rsidRPr="009D55AD">
        <w:rPr>
          <w:szCs w:val="24"/>
        </w:rPr>
        <w:tab/>
        <w:t>DAVISON VAN CLEVE, P.C.</w:t>
      </w:r>
    </w:p>
    <w:p w:rsidR="00B666CF" w:rsidRDefault="00B666CF" w:rsidP="0037105B">
      <w:pPr>
        <w:ind w:left="2880" w:firstLine="720"/>
        <w:jc w:val="both"/>
        <w:rPr>
          <w:i/>
          <w:u w:val="single"/>
        </w:rPr>
      </w:pPr>
    </w:p>
    <w:p w:rsidR="00F80EF3" w:rsidRDefault="00F80EF3" w:rsidP="00F80EF3">
      <w:pPr>
        <w:keepNext/>
        <w:ind w:firstLine="3600"/>
        <w:rPr>
          <w:u w:val="single"/>
        </w:rPr>
      </w:pPr>
      <w:r>
        <w:rPr>
          <w:i/>
          <w:u w:val="single"/>
        </w:rPr>
        <w:t>/s/ Jesse E. Cowell</w:t>
      </w:r>
    </w:p>
    <w:p w:rsidR="00F80EF3" w:rsidRDefault="00F80EF3" w:rsidP="00F80EF3">
      <w:pPr>
        <w:keepNext/>
        <w:ind w:firstLine="3600"/>
      </w:pPr>
      <w:r>
        <w:t>Jesse E. Cowell</w:t>
      </w:r>
    </w:p>
    <w:p w:rsidR="00F80EF3" w:rsidRDefault="00F80EF3" w:rsidP="00F80EF3">
      <w:pPr>
        <w:keepNext/>
        <w:ind w:firstLine="3600"/>
      </w:pPr>
      <w:r>
        <w:t>333 S.W. Taylor, Suite 400</w:t>
      </w:r>
    </w:p>
    <w:p w:rsidR="00F80EF3" w:rsidRDefault="00F80EF3" w:rsidP="00F80EF3">
      <w:pPr>
        <w:keepNext/>
        <w:ind w:firstLine="3600"/>
      </w:pPr>
      <w:r>
        <w:t>Portland, Oregon 97204</w:t>
      </w:r>
    </w:p>
    <w:p w:rsidR="00F80EF3" w:rsidRDefault="00F80EF3" w:rsidP="00F80EF3">
      <w:pPr>
        <w:keepNext/>
        <w:ind w:firstLine="3600"/>
      </w:pPr>
      <w:r>
        <w:t xml:space="preserve">(503) 241-7242 </w:t>
      </w:r>
      <w:r w:rsidR="00FB1098">
        <w:t>(</w:t>
      </w:r>
      <w:r>
        <w:t>phone</w:t>
      </w:r>
      <w:r w:rsidR="00FB1098">
        <w:t>)</w:t>
      </w:r>
    </w:p>
    <w:p w:rsidR="00F80EF3" w:rsidRDefault="00F80EF3" w:rsidP="00F80EF3">
      <w:pPr>
        <w:keepNext/>
        <w:ind w:firstLine="3600"/>
      </w:pPr>
      <w:r>
        <w:t xml:space="preserve">(503) 241-8160 </w:t>
      </w:r>
      <w:r w:rsidR="00FB1098">
        <w:t>(</w:t>
      </w:r>
      <w:r>
        <w:t>facsimile</w:t>
      </w:r>
      <w:r w:rsidR="00FB1098">
        <w:t>)</w:t>
      </w:r>
      <w:bookmarkStart w:id="1" w:name="_GoBack"/>
      <w:bookmarkEnd w:id="1"/>
    </w:p>
    <w:p w:rsidR="00F80EF3" w:rsidRDefault="00F80EF3" w:rsidP="00F80EF3">
      <w:pPr>
        <w:keepNext/>
        <w:ind w:left="2912" w:firstLine="688"/>
      </w:pPr>
      <w:r>
        <w:t>jec@dvclaw.com</w:t>
      </w:r>
    </w:p>
    <w:p w:rsidR="00F80EF3" w:rsidRDefault="00F80EF3" w:rsidP="00F80EF3">
      <w:pPr>
        <w:keepNext/>
        <w:ind w:left="3600"/>
      </w:pPr>
      <w:r>
        <w:t>Of Attorneys for Industrial Customers of Northwest Utilities</w:t>
      </w:r>
    </w:p>
    <w:p w:rsidR="00257819" w:rsidRDefault="00257819" w:rsidP="003471BB">
      <w:pPr>
        <w:spacing w:line="480" w:lineRule="auto"/>
      </w:pPr>
    </w:p>
    <w:sectPr w:rsidR="00257819" w:rsidSect="0036756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BF7" w:rsidRDefault="00713BF7" w:rsidP="003471BB">
      <w:r>
        <w:separator/>
      </w:r>
    </w:p>
  </w:endnote>
  <w:endnote w:type="continuationSeparator" w:id="0">
    <w:p w:rsidR="00713BF7" w:rsidRDefault="00713BF7" w:rsidP="0034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57" w:rsidRPr="003471BB" w:rsidRDefault="00621A57" w:rsidP="003471BB">
    <w:pPr>
      <w:pStyle w:val="Footer"/>
    </w:pPr>
  </w:p>
  <w:p w:rsidR="00621A57" w:rsidRPr="006F3E31" w:rsidRDefault="00621A57" w:rsidP="003471BB">
    <w:pPr>
      <w:pStyle w:val="Footer"/>
    </w:pPr>
    <w:r w:rsidRPr="006F3E31">
      <w:t xml:space="preserve">PAGE </w:t>
    </w:r>
    <w:r w:rsidRPr="006F3E31">
      <w:rPr>
        <w:rStyle w:val="PageNumber"/>
      </w:rPr>
      <w:fldChar w:fldCharType="begin"/>
    </w:r>
    <w:r w:rsidRPr="006F3E31">
      <w:rPr>
        <w:rStyle w:val="PageNumber"/>
      </w:rPr>
      <w:instrText xml:space="preserve"> PAGE </w:instrText>
    </w:r>
    <w:r w:rsidRPr="006F3E31">
      <w:rPr>
        <w:rStyle w:val="PageNumber"/>
      </w:rPr>
      <w:fldChar w:fldCharType="separate"/>
    </w:r>
    <w:r w:rsidR="00FB1098">
      <w:rPr>
        <w:rStyle w:val="PageNumber"/>
        <w:noProof/>
      </w:rPr>
      <w:t>1</w:t>
    </w:r>
    <w:r w:rsidRPr="006F3E31">
      <w:rPr>
        <w:rStyle w:val="PageNumber"/>
      </w:rPr>
      <w:fldChar w:fldCharType="end"/>
    </w:r>
    <w:r w:rsidRPr="006F3E31">
      <w:t xml:space="preserve"> – ICNU COMMENTS </w:t>
    </w:r>
  </w:p>
  <w:p w:rsidR="00621A57" w:rsidRPr="006F3E31" w:rsidRDefault="00621A57" w:rsidP="003471BB">
    <w:pPr>
      <w:pStyle w:val="Footer"/>
    </w:pPr>
  </w:p>
  <w:p w:rsidR="00621A57" w:rsidRPr="006F3E31" w:rsidRDefault="00621A57" w:rsidP="003471BB">
    <w:pPr>
      <w:jc w:val="center"/>
      <w:rPr>
        <w:sz w:val="14"/>
      </w:rPr>
    </w:pPr>
    <w:r w:rsidRPr="006F3E31">
      <w:rPr>
        <w:sz w:val="14"/>
      </w:rPr>
      <w:t>DAVISON VAN CLEVE, P.C.</w:t>
    </w:r>
  </w:p>
  <w:p w:rsidR="00621A57" w:rsidRPr="006F3E31" w:rsidRDefault="00621A57" w:rsidP="003471BB">
    <w:pPr>
      <w:tabs>
        <w:tab w:val="center" w:pos="4680"/>
      </w:tabs>
      <w:rPr>
        <w:sz w:val="14"/>
      </w:rPr>
    </w:pPr>
    <w:r w:rsidRPr="006F3E31">
      <w:rPr>
        <w:sz w:val="14"/>
      </w:rPr>
      <w:tab/>
      <w:t xml:space="preserve">333 S.W. Taylor, </w:t>
    </w:r>
    <w:smartTag w:uri="urn:schemas-microsoft-com:office:smarttags" w:element="address">
      <w:smartTag w:uri="urn:schemas-microsoft-com:office:smarttags" w:element="Street">
        <w:r w:rsidRPr="006F3E31">
          <w:rPr>
            <w:sz w:val="14"/>
          </w:rPr>
          <w:t>Suite</w:t>
        </w:r>
      </w:smartTag>
      <w:r w:rsidRPr="006F3E31">
        <w:rPr>
          <w:sz w:val="14"/>
        </w:rPr>
        <w:t xml:space="preserve"> 400</w:t>
      </w:r>
    </w:smartTag>
  </w:p>
  <w:p w:rsidR="00621A57" w:rsidRPr="006F3E31" w:rsidRDefault="00621A57" w:rsidP="003471BB">
    <w:pPr>
      <w:tabs>
        <w:tab w:val="center" w:pos="4680"/>
      </w:tabs>
      <w:rPr>
        <w:sz w:val="14"/>
      </w:rPr>
    </w:pPr>
    <w:r w:rsidRPr="006F3E31">
      <w:rPr>
        <w:sz w:val="14"/>
      </w:rPr>
      <w:tab/>
    </w:r>
    <w:smartTag w:uri="urn:schemas-microsoft-com:office:smarttags" w:element="place">
      <w:smartTag w:uri="urn:schemas-microsoft-com:office:smarttags" w:element="City">
        <w:r w:rsidRPr="006F3E31">
          <w:rPr>
            <w:sz w:val="14"/>
          </w:rPr>
          <w:t>Portland</w:t>
        </w:r>
      </w:smartTag>
      <w:r w:rsidRPr="006F3E31">
        <w:rPr>
          <w:sz w:val="14"/>
        </w:rPr>
        <w:t xml:space="preserve">, </w:t>
      </w:r>
      <w:smartTag w:uri="urn:schemas-microsoft-com:office:smarttags" w:element="State">
        <w:r w:rsidRPr="006F3E31">
          <w:rPr>
            <w:sz w:val="14"/>
          </w:rPr>
          <w:t>OR</w:t>
        </w:r>
      </w:smartTag>
      <w:r w:rsidRPr="006F3E31">
        <w:rPr>
          <w:sz w:val="14"/>
        </w:rPr>
        <w:t xml:space="preserve"> </w:t>
      </w:r>
      <w:smartTag w:uri="urn:schemas-microsoft-com:office:smarttags" w:element="PostalCode">
        <w:r w:rsidRPr="006F3E31">
          <w:rPr>
            <w:sz w:val="14"/>
          </w:rPr>
          <w:t>97204</w:t>
        </w:r>
      </w:smartTag>
    </w:smartTag>
  </w:p>
  <w:p w:rsidR="00621A57" w:rsidRPr="006F3E31" w:rsidRDefault="00621A57" w:rsidP="003471BB">
    <w:pPr>
      <w:pStyle w:val="Footer"/>
      <w:jc w:val="center"/>
      <w:rPr>
        <w:sz w:val="14"/>
      </w:rPr>
    </w:pPr>
    <w:r w:rsidRPr="006F3E31">
      <w:rPr>
        <w:sz w:val="14"/>
      </w:rPr>
      <w:t>Telephone:  (503) 241-7242</w:t>
    </w:r>
  </w:p>
  <w:p w:rsidR="00621A57" w:rsidRDefault="00621A57" w:rsidP="003471BB">
    <w:pPr>
      <w:pStyle w:val="Footer"/>
    </w:pPr>
  </w:p>
  <w:p w:rsidR="00621A57" w:rsidRDefault="00621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BF7" w:rsidRDefault="00713BF7" w:rsidP="003471BB">
      <w:r>
        <w:separator/>
      </w:r>
    </w:p>
  </w:footnote>
  <w:footnote w:type="continuationSeparator" w:id="0">
    <w:p w:rsidR="00713BF7" w:rsidRDefault="00713BF7" w:rsidP="003471BB">
      <w:r>
        <w:continuationSeparator/>
      </w:r>
    </w:p>
  </w:footnote>
  <w:footnote w:id="1">
    <w:p w:rsidR="0087100B" w:rsidRPr="009E605D" w:rsidRDefault="0087100B" w:rsidP="0087100B">
      <w:pPr>
        <w:pStyle w:val="FootnoteText"/>
        <w:ind w:left="720" w:hanging="720"/>
        <w:rPr>
          <w:u w:val="single"/>
        </w:rPr>
      </w:pPr>
      <w:r w:rsidRPr="009E605D">
        <w:rPr>
          <w:rStyle w:val="FootnoteReference"/>
          <w:u w:val="single"/>
        </w:rPr>
        <w:footnoteRef/>
      </w:r>
      <w:r>
        <w:rPr>
          <w:vertAlign w:val="superscript"/>
        </w:rPr>
        <w:t>/</w:t>
      </w:r>
      <w:r w:rsidRPr="009E605D">
        <w:t xml:space="preserve"> </w:t>
      </w:r>
      <w:r w:rsidRPr="009E605D">
        <w:tab/>
      </w:r>
      <w:r>
        <w:t xml:space="preserve">Summary of Comments on Proposed Revisions to Rules in Parts I and IIIA at 1 (Jan. 10, 2017).  </w:t>
      </w:r>
    </w:p>
  </w:footnote>
  <w:footnote w:id="2">
    <w:p w:rsidR="00AE2213" w:rsidRPr="009E605D" w:rsidRDefault="00AE2213" w:rsidP="00AE2213">
      <w:pPr>
        <w:pStyle w:val="FootnoteText"/>
        <w:ind w:left="720" w:hanging="720"/>
        <w:rPr>
          <w:u w:val="single"/>
        </w:rPr>
      </w:pPr>
      <w:r w:rsidRPr="009E605D">
        <w:rPr>
          <w:rStyle w:val="FootnoteReference"/>
          <w:u w:val="single"/>
        </w:rPr>
        <w:footnoteRef/>
      </w:r>
      <w:r>
        <w:rPr>
          <w:vertAlign w:val="superscript"/>
        </w:rPr>
        <w:t>/</w:t>
      </w:r>
      <w:r w:rsidRPr="009E605D">
        <w:t xml:space="preserve"> </w:t>
      </w:r>
      <w:r w:rsidRPr="009E605D">
        <w:tab/>
      </w:r>
      <w:r>
        <w:t xml:space="preserve">Summary of Comments on Proposed Revisions to Rules in Parts I and IIIA at 9.  </w:t>
      </w:r>
    </w:p>
  </w:footnote>
  <w:footnote w:id="3">
    <w:p w:rsidR="00212492" w:rsidRPr="009E605D" w:rsidRDefault="00212492" w:rsidP="00212492">
      <w:pPr>
        <w:pStyle w:val="FootnoteText"/>
        <w:ind w:left="720" w:hanging="720"/>
        <w:rPr>
          <w:u w:val="single"/>
        </w:rPr>
      </w:pPr>
      <w:r w:rsidRPr="009E605D">
        <w:rPr>
          <w:rStyle w:val="FootnoteReference"/>
          <w:u w:val="single"/>
        </w:rPr>
        <w:footnoteRef/>
      </w:r>
      <w:r>
        <w:rPr>
          <w:vertAlign w:val="superscript"/>
        </w:rPr>
        <w:t>/</w:t>
      </w:r>
      <w:r w:rsidRPr="009E605D">
        <w:t xml:space="preserve"> </w:t>
      </w:r>
      <w:r w:rsidRPr="009E605D">
        <w:tab/>
      </w:r>
      <w:r>
        <w:t xml:space="preserve">Summary of Comments on Proposed Revisions to Rules in Parts I and IIIA at 9.  </w:t>
      </w:r>
    </w:p>
  </w:footnote>
  <w:footnote w:id="4">
    <w:p w:rsidR="00902203" w:rsidRPr="009E605D" w:rsidRDefault="00902203" w:rsidP="00902203">
      <w:pPr>
        <w:pStyle w:val="FootnoteText"/>
        <w:ind w:left="720" w:hanging="720"/>
        <w:rPr>
          <w:u w:val="single"/>
        </w:rPr>
      </w:pPr>
      <w:r w:rsidRPr="009E605D">
        <w:rPr>
          <w:rStyle w:val="FootnoteReference"/>
          <w:u w:val="single"/>
        </w:rPr>
        <w:footnoteRef/>
      </w:r>
      <w:r>
        <w:rPr>
          <w:vertAlign w:val="superscript"/>
        </w:rPr>
        <w:t>/</w:t>
      </w:r>
      <w:r w:rsidRPr="009E605D">
        <w:t xml:space="preserve"> </w:t>
      </w:r>
      <w:r w:rsidRPr="009E605D">
        <w:tab/>
      </w:r>
      <w:r w:rsidR="00D46FE3" w:rsidRPr="00D46FE3">
        <w:rPr>
          <w:u w:val="single"/>
        </w:rPr>
        <w:t>See</w:t>
      </w:r>
      <w:r w:rsidR="00D46FE3">
        <w:t xml:space="preserve"> </w:t>
      </w:r>
      <w:r>
        <w:t xml:space="preserve">ICNU Comments at ¶ 31 (June 30, 2016).  </w:t>
      </w:r>
    </w:p>
  </w:footnote>
  <w:footnote w:id="5">
    <w:p w:rsidR="00D700B3" w:rsidRPr="009E605D" w:rsidRDefault="00D700B3" w:rsidP="00D700B3">
      <w:pPr>
        <w:pStyle w:val="FootnoteText"/>
        <w:ind w:left="720" w:hanging="720"/>
        <w:rPr>
          <w:u w:val="single"/>
        </w:rPr>
      </w:pPr>
      <w:r w:rsidRPr="009E605D">
        <w:rPr>
          <w:rStyle w:val="FootnoteReference"/>
          <w:u w:val="single"/>
        </w:rPr>
        <w:footnoteRef/>
      </w:r>
      <w:r>
        <w:rPr>
          <w:vertAlign w:val="superscript"/>
        </w:rPr>
        <w:t>/</w:t>
      </w:r>
      <w:r w:rsidRPr="009E605D">
        <w:t xml:space="preserve"> </w:t>
      </w:r>
      <w:r w:rsidRPr="009E605D">
        <w:tab/>
      </w:r>
      <w:r w:rsidRPr="0089321B">
        <w:t>WAC § 480</w:t>
      </w:r>
      <w:r>
        <w:t xml:space="preserve">-07-370(4)(b) (using the numbering of the currently proposed rule revision).  </w:t>
      </w:r>
    </w:p>
  </w:footnote>
  <w:footnote w:id="6">
    <w:p w:rsidR="00D700B3" w:rsidRPr="009E605D" w:rsidRDefault="00D700B3" w:rsidP="00D700B3">
      <w:pPr>
        <w:pStyle w:val="FootnoteText"/>
        <w:ind w:left="720" w:hanging="720"/>
        <w:rPr>
          <w:u w:val="single"/>
        </w:rPr>
      </w:pPr>
      <w:r w:rsidRPr="009E605D">
        <w:rPr>
          <w:rStyle w:val="FootnoteReference"/>
          <w:u w:val="single"/>
        </w:rPr>
        <w:footnoteRef/>
      </w:r>
      <w:r>
        <w:rPr>
          <w:vertAlign w:val="superscript"/>
        </w:rPr>
        <w:t>/</w:t>
      </w:r>
      <w:r w:rsidRPr="009E605D">
        <w:t xml:space="preserve"> </w:t>
      </w:r>
      <w:r w:rsidRPr="009E605D">
        <w:tab/>
      </w:r>
      <w:r>
        <w:t xml:space="preserve">Summary of Comments on Proposed Revisions to Rules in Parts I and IIIA at 1 (emphasis added).  </w:t>
      </w:r>
    </w:p>
  </w:footnote>
  <w:footnote w:id="7">
    <w:p w:rsidR="00F026CC" w:rsidRPr="009E605D" w:rsidRDefault="00F026CC" w:rsidP="00F026CC">
      <w:pPr>
        <w:pStyle w:val="FootnoteText"/>
        <w:ind w:left="720" w:hanging="720"/>
        <w:rPr>
          <w:u w:val="single"/>
        </w:rPr>
      </w:pPr>
      <w:r w:rsidRPr="009E605D">
        <w:rPr>
          <w:rStyle w:val="FootnoteReference"/>
          <w:u w:val="single"/>
        </w:rPr>
        <w:footnoteRef/>
      </w:r>
      <w:r>
        <w:rPr>
          <w:vertAlign w:val="superscript"/>
        </w:rPr>
        <w:t>/</w:t>
      </w:r>
      <w:r w:rsidRPr="009E605D">
        <w:t xml:space="preserve"> </w:t>
      </w:r>
      <w:r w:rsidRPr="009E605D">
        <w:tab/>
      </w:r>
      <w:r>
        <w:t xml:space="preserve">ICNU Comments at </w:t>
      </w:r>
      <w:r w:rsidR="00902203">
        <w:t>¶ 54</w:t>
      </w:r>
      <w:r>
        <w:t xml:space="preserve"> (June 30, 2016).  </w:t>
      </w:r>
    </w:p>
  </w:footnote>
  <w:footnote w:id="8">
    <w:p w:rsidR="00F026CC" w:rsidRPr="009E605D" w:rsidRDefault="00F026CC" w:rsidP="00F026CC">
      <w:pPr>
        <w:pStyle w:val="FootnoteText"/>
        <w:ind w:left="720" w:hanging="720"/>
        <w:rPr>
          <w:u w:val="single"/>
        </w:rPr>
      </w:pPr>
      <w:r w:rsidRPr="009E605D">
        <w:rPr>
          <w:rStyle w:val="FootnoteReference"/>
          <w:u w:val="single"/>
        </w:rPr>
        <w:footnoteRef/>
      </w:r>
      <w:r>
        <w:rPr>
          <w:vertAlign w:val="superscript"/>
        </w:rPr>
        <w:t>/</w:t>
      </w:r>
      <w:r w:rsidRPr="009E605D">
        <w:t xml:space="preserve"> </w:t>
      </w:r>
      <w:r w:rsidRPr="009E605D">
        <w:tab/>
      </w:r>
      <w:r>
        <w:t xml:space="preserve">Summary of Comments on Proposed Revisions to Rules in Parts I and IIIA at 12.  </w:t>
      </w:r>
    </w:p>
  </w:footnote>
  <w:footnote w:id="9">
    <w:p w:rsidR="00AA659F" w:rsidRPr="009E605D" w:rsidRDefault="00AA659F" w:rsidP="00AA659F">
      <w:pPr>
        <w:pStyle w:val="FootnoteText"/>
        <w:ind w:left="720" w:hanging="720"/>
        <w:rPr>
          <w:u w:val="single"/>
        </w:rPr>
      </w:pPr>
      <w:r w:rsidRPr="009E605D">
        <w:rPr>
          <w:rStyle w:val="FootnoteReference"/>
          <w:u w:val="single"/>
        </w:rPr>
        <w:footnoteRef/>
      </w:r>
      <w:r>
        <w:rPr>
          <w:vertAlign w:val="superscript"/>
        </w:rPr>
        <w:t>/</w:t>
      </w:r>
      <w:r w:rsidRPr="009E605D">
        <w:t xml:space="preserve"> </w:t>
      </w:r>
      <w:r w:rsidRPr="009E605D">
        <w:tab/>
      </w:r>
      <w:r>
        <w:t xml:space="preserve">Summary of Comments on Proposed Revisions to Rules in Parts I and IIIA at 12 (recommending this revision without notation of comments by any other stakeholders on the issue).  </w:t>
      </w:r>
    </w:p>
  </w:footnote>
  <w:footnote w:id="10">
    <w:p w:rsidR="008425FF" w:rsidRPr="009E605D" w:rsidRDefault="008425FF" w:rsidP="008425FF">
      <w:pPr>
        <w:pStyle w:val="FootnoteText"/>
        <w:ind w:left="720" w:hanging="720"/>
        <w:rPr>
          <w:u w:val="single"/>
        </w:rPr>
      </w:pPr>
      <w:r w:rsidRPr="009E605D">
        <w:rPr>
          <w:rStyle w:val="FootnoteReference"/>
          <w:u w:val="single"/>
        </w:rPr>
        <w:footnoteRef/>
      </w:r>
      <w:r>
        <w:rPr>
          <w:vertAlign w:val="superscript"/>
        </w:rPr>
        <w:t>/</w:t>
      </w:r>
      <w:r w:rsidRPr="009E605D">
        <w:t xml:space="preserve"> </w:t>
      </w:r>
      <w:r w:rsidRPr="009E605D">
        <w:tab/>
      </w:r>
      <w:r w:rsidR="00C05AFD" w:rsidRPr="00C05AFD">
        <w:rPr>
          <w:u w:val="single"/>
        </w:rPr>
        <w:t>See</w:t>
      </w:r>
      <w:r w:rsidR="00C05AFD">
        <w:t xml:space="preserve"> </w:t>
      </w:r>
      <w:r>
        <w:t>Summary of Comments on Proposed Revisions to Rules in Parts I and IIIA at 13 (</w:t>
      </w:r>
      <w:r w:rsidR="00C05AFD">
        <w:t xml:space="preserve">recommending </w:t>
      </w:r>
      <w:r w:rsidR="0069502C">
        <w:t>deletions within two different subsections because such provisions were “duplicative”)</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931D5B"/>
    <w:multiLevelType w:val="hybridMultilevel"/>
    <w:tmpl w:val="B6DCB7FA"/>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D6A"/>
    <w:rsid w:val="00012677"/>
    <w:rsid w:val="000342E0"/>
    <w:rsid w:val="0004086D"/>
    <w:rsid w:val="00041D32"/>
    <w:rsid w:val="00043765"/>
    <w:rsid w:val="00066E79"/>
    <w:rsid w:val="00067C04"/>
    <w:rsid w:val="00084999"/>
    <w:rsid w:val="000C0275"/>
    <w:rsid w:val="000C55AF"/>
    <w:rsid w:val="000D4259"/>
    <w:rsid w:val="000D4D17"/>
    <w:rsid w:val="000E004A"/>
    <w:rsid w:val="000E05E4"/>
    <w:rsid w:val="000F64E1"/>
    <w:rsid w:val="000F79AF"/>
    <w:rsid w:val="001044F3"/>
    <w:rsid w:val="001078D9"/>
    <w:rsid w:val="00107CA6"/>
    <w:rsid w:val="0011722B"/>
    <w:rsid w:val="00123BF1"/>
    <w:rsid w:val="001314C5"/>
    <w:rsid w:val="00142CD7"/>
    <w:rsid w:val="001575D1"/>
    <w:rsid w:val="0017420D"/>
    <w:rsid w:val="00176110"/>
    <w:rsid w:val="00190FF9"/>
    <w:rsid w:val="001941AC"/>
    <w:rsid w:val="001A7B97"/>
    <w:rsid w:val="001B02F8"/>
    <w:rsid w:val="001B2717"/>
    <w:rsid w:val="001B2BD1"/>
    <w:rsid w:val="001B342B"/>
    <w:rsid w:val="001C3EE4"/>
    <w:rsid w:val="001C4E0E"/>
    <w:rsid w:val="001C6714"/>
    <w:rsid w:val="001D031F"/>
    <w:rsid w:val="001D38C9"/>
    <w:rsid w:val="001F7945"/>
    <w:rsid w:val="0020722D"/>
    <w:rsid w:val="00211734"/>
    <w:rsid w:val="00212492"/>
    <w:rsid w:val="00216B2D"/>
    <w:rsid w:val="00220D38"/>
    <w:rsid w:val="00226D2A"/>
    <w:rsid w:val="00230CE1"/>
    <w:rsid w:val="002355C8"/>
    <w:rsid w:val="0023699F"/>
    <w:rsid w:val="00251B67"/>
    <w:rsid w:val="002533C8"/>
    <w:rsid w:val="002547A4"/>
    <w:rsid w:val="00255C2E"/>
    <w:rsid w:val="00257410"/>
    <w:rsid w:val="00257819"/>
    <w:rsid w:val="00257D5D"/>
    <w:rsid w:val="0026128E"/>
    <w:rsid w:val="002674E9"/>
    <w:rsid w:val="002777ED"/>
    <w:rsid w:val="00280394"/>
    <w:rsid w:val="002812B2"/>
    <w:rsid w:val="002846E4"/>
    <w:rsid w:val="002876C9"/>
    <w:rsid w:val="00291FD2"/>
    <w:rsid w:val="00292DE4"/>
    <w:rsid w:val="00293667"/>
    <w:rsid w:val="002C7A44"/>
    <w:rsid w:val="002E0C11"/>
    <w:rsid w:val="002F4A22"/>
    <w:rsid w:val="003053ED"/>
    <w:rsid w:val="00310F1E"/>
    <w:rsid w:val="00321429"/>
    <w:rsid w:val="003255BA"/>
    <w:rsid w:val="00326E36"/>
    <w:rsid w:val="003334B0"/>
    <w:rsid w:val="003457A8"/>
    <w:rsid w:val="003471BB"/>
    <w:rsid w:val="00353371"/>
    <w:rsid w:val="00362F71"/>
    <w:rsid w:val="0036387C"/>
    <w:rsid w:val="00366C7C"/>
    <w:rsid w:val="00367567"/>
    <w:rsid w:val="00367CAC"/>
    <w:rsid w:val="0037105B"/>
    <w:rsid w:val="00371573"/>
    <w:rsid w:val="003748FE"/>
    <w:rsid w:val="00384E62"/>
    <w:rsid w:val="00386ADD"/>
    <w:rsid w:val="00387357"/>
    <w:rsid w:val="00397538"/>
    <w:rsid w:val="003A0A48"/>
    <w:rsid w:val="003B1D54"/>
    <w:rsid w:val="003B3D24"/>
    <w:rsid w:val="003C34D4"/>
    <w:rsid w:val="003C62BF"/>
    <w:rsid w:val="003C6528"/>
    <w:rsid w:val="003D75A5"/>
    <w:rsid w:val="003D796F"/>
    <w:rsid w:val="003E6C79"/>
    <w:rsid w:val="003F3BD2"/>
    <w:rsid w:val="00402F14"/>
    <w:rsid w:val="00404F09"/>
    <w:rsid w:val="0041595D"/>
    <w:rsid w:val="004173CB"/>
    <w:rsid w:val="00421E44"/>
    <w:rsid w:val="00431E31"/>
    <w:rsid w:val="00431F3F"/>
    <w:rsid w:val="004355F2"/>
    <w:rsid w:val="004423D5"/>
    <w:rsid w:val="00442C21"/>
    <w:rsid w:val="00442E6D"/>
    <w:rsid w:val="004476F2"/>
    <w:rsid w:val="00450328"/>
    <w:rsid w:val="004579C8"/>
    <w:rsid w:val="00465CCC"/>
    <w:rsid w:val="00466713"/>
    <w:rsid w:val="00472642"/>
    <w:rsid w:val="00477395"/>
    <w:rsid w:val="00481625"/>
    <w:rsid w:val="00483657"/>
    <w:rsid w:val="00483BDA"/>
    <w:rsid w:val="00493092"/>
    <w:rsid w:val="004A05EF"/>
    <w:rsid w:val="004A42EE"/>
    <w:rsid w:val="004B2AFD"/>
    <w:rsid w:val="004B3830"/>
    <w:rsid w:val="004B6FCA"/>
    <w:rsid w:val="004C7139"/>
    <w:rsid w:val="004D6E0D"/>
    <w:rsid w:val="004E268B"/>
    <w:rsid w:val="004E64C6"/>
    <w:rsid w:val="004F06B5"/>
    <w:rsid w:val="0050375B"/>
    <w:rsid w:val="00505265"/>
    <w:rsid w:val="0051309F"/>
    <w:rsid w:val="00517742"/>
    <w:rsid w:val="00521CF6"/>
    <w:rsid w:val="00522BCE"/>
    <w:rsid w:val="0052733D"/>
    <w:rsid w:val="00527D43"/>
    <w:rsid w:val="00530E0C"/>
    <w:rsid w:val="00535593"/>
    <w:rsid w:val="00535B67"/>
    <w:rsid w:val="005364A3"/>
    <w:rsid w:val="00536622"/>
    <w:rsid w:val="00537BFF"/>
    <w:rsid w:val="00550549"/>
    <w:rsid w:val="00553ECD"/>
    <w:rsid w:val="00561C81"/>
    <w:rsid w:val="00575F5E"/>
    <w:rsid w:val="005760F3"/>
    <w:rsid w:val="00581D69"/>
    <w:rsid w:val="00584E7B"/>
    <w:rsid w:val="0059129B"/>
    <w:rsid w:val="00596E11"/>
    <w:rsid w:val="005A17C2"/>
    <w:rsid w:val="005A441A"/>
    <w:rsid w:val="005A4726"/>
    <w:rsid w:val="005B411D"/>
    <w:rsid w:val="005B6FE5"/>
    <w:rsid w:val="005C0188"/>
    <w:rsid w:val="005C0AFD"/>
    <w:rsid w:val="005D02C0"/>
    <w:rsid w:val="005E1C56"/>
    <w:rsid w:val="005E7540"/>
    <w:rsid w:val="005F3916"/>
    <w:rsid w:val="005F6243"/>
    <w:rsid w:val="006001D9"/>
    <w:rsid w:val="00600C0F"/>
    <w:rsid w:val="00605D97"/>
    <w:rsid w:val="00610A96"/>
    <w:rsid w:val="00611D3A"/>
    <w:rsid w:val="00612212"/>
    <w:rsid w:val="00621A57"/>
    <w:rsid w:val="00630074"/>
    <w:rsid w:val="006362D1"/>
    <w:rsid w:val="00636AE7"/>
    <w:rsid w:val="0064478C"/>
    <w:rsid w:val="00654FDC"/>
    <w:rsid w:val="00656CE5"/>
    <w:rsid w:val="00666214"/>
    <w:rsid w:val="00674B00"/>
    <w:rsid w:val="00686348"/>
    <w:rsid w:val="00691A42"/>
    <w:rsid w:val="0069502C"/>
    <w:rsid w:val="006A51E4"/>
    <w:rsid w:val="006A6767"/>
    <w:rsid w:val="006B0846"/>
    <w:rsid w:val="006B591A"/>
    <w:rsid w:val="006B668F"/>
    <w:rsid w:val="006C7BB4"/>
    <w:rsid w:val="006D3E4E"/>
    <w:rsid w:val="006D703D"/>
    <w:rsid w:val="006D7708"/>
    <w:rsid w:val="006D7821"/>
    <w:rsid w:val="006E05E3"/>
    <w:rsid w:val="006E4460"/>
    <w:rsid w:val="006F3E31"/>
    <w:rsid w:val="006F4ACF"/>
    <w:rsid w:val="006F5D68"/>
    <w:rsid w:val="006F68A6"/>
    <w:rsid w:val="007000E9"/>
    <w:rsid w:val="007055D7"/>
    <w:rsid w:val="00706137"/>
    <w:rsid w:val="00707082"/>
    <w:rsid w:val="00713BF7"/>
    <w:rsid w:val="007148FF"/>
    <w:rsid w:val="0071572C"/>
    <w:rsid w:val="00735AFB"/>
    <w:rsid w:val="00741E55"/>
    <w:rsid w:val="00742116"/>
    <w:rsid w:val="00743C5A"/>
    <w:rsid w:val="007540F7"/>
    <w:rsid w:val="00755EBA"/>
    <w:rsid w:val="00771DB9"/>
    <w:rsid w:val="007732B3"/>
    <w:rsid w:val="00777CFD"/>
    <w:rsid w:val="00783761"/>
    <w:rsid w:val="00787C2C"/>
    <w:rsid w:val="007A101F"/>
    <w:rsid w:val="007A7D0E"/>
    <w:rsid w:val="007B1B7B"/>
    <w:rsid w:val="007B2A35"/>
    <w:rsid w:val="007C6B5A"/>
    <w:rsid w:val="007D3A22"/>
    <w:rsid w:val="007E5A1E"/>
    <w:rsid w:val="007E61F3"/>
    <w:rsid w:val="007F0371"/>
    <w:rsid w:val="008117B4"/>
    <w:rsid w:val="00817D4D"/>
    <w:rsid w:val="00826465"/>
    <w:rsid w:val="008274D9"/>
    <w:rsid w:val="0084094C"/>
    <w:rsid w:val="008425FF"/>
    <w:rsid w:val="00846BB8"/>
    <w:rsid w:val="008533E8"/>
    <w:rsid w:val="008577CF"/>
    <w:rsid w:val="0086103B"/>
    <w:rsid w:val="00866BC4"/>
    <w:rsid w:val="0087100B"/>
    <w:rsid w:val="008730E2"/>
    <w:rsid w:val="0089321B"/>
    <w:rsid w:val="00894885"/>
    <w:rsid w:val="008A005B"/>
    <w:rsid w:val="008A3694"/>
    <w:rsid w:val="008D0743"/>
    <w:rsid w:val="008E32B0"/>
    <w:rsid w:val="008F0AD7"/>
    <w:rsid w:val="008F3D09"/>
    <w:rsid w:val="008F5791"/>
    <w:rsid w:val="008F7EB5"/>
    <w:rsid w:val="0090044C"/>
    <w:rsid w:val="009007C4"/>
    <w:rsid w:val="00902203"/>
    <w:rsid w:val="00905569"/>
    <w:rsid w:val="00915C46"/>
    <w:rsid w:val="009211E5"/>
    <w:rsid w:val="0092342C"/>
    <w:rsid w:val="00923FA6"/>
    <w:rsid w:val="00955664"/>
    <w:rsid w:val="00957AAA"/>
    <w:rsid w:val="009718B3"/>
    <w:rsid w:val="00971A04"/>
    <w:rsid w:val="0097482B"/>
    <w:rsid w:val="00974A28"/>
    <w:rsid w:val="009869F0"/>
    <w:rsid w:val="00994BEB"/>
    <w:rsid w:val="009A01FB"/>
    <w:rsid w:val="009A7F73"/>
    <w:rsid w:val="009B0461"/>
    <w:rsid w:val="009B6BDE"/>
    <w:rsid w:val="009C4A5C"/>
    <w:rsid w:val="009C58B9"/>
    <w:rsid w:val="009C6038"/>
    <w:rsid w:val="009D2C25"/>
    <w:rsid w:val="009D3FC3"/>
    <w:rsid w:val="009D4D78"/>
    <w:rsid w:val="009D55AD"/>
    <w:rsid w:val="009E07D0"/>
    <w:rsid w:val="009E605D"/>
    <w:rsid w:val="009F1088"/>
    <w:rsid w:val="00A033EC"/>
    <w:rsid w:val="00A14ED7"/>
    <w:rsid w:val="00A16A40"/>
    <w:rsid w:val="00A1729D"/>
    <w:rsid w:val="00A17D6A"/>
    <w:rsid w:val="00A21816"/>
    <w:rsid w:val="00A34F75"/>
    <w:rsid w:val="00A40AC4"/>
    <w:rsid w:val="00A47798"/>
    <w:rsid w:val="00A5005E"/>
    <w:rsid w:val="00A6116D"/>
    <w:rsid w:val="00A61F2A"/>
    <w:rsid w:val="00A66EFF"/>
    <w:rsid w:val="00A735DF"/>
    <w:rsid w:val="00A75A52"/>
    <w:rsid w:val="00A77FEF"/>
    <w:rsid w:val="00A87E05"/>
    <w:rsid w:val="00A943F9"/>
    <w:rsid w:val="00AA52F8"/>
    <w:rsid w:val="00AA576D"/>
    <w:rsid w:val="00AA659F"/>
    <w:rsid w:val="00AC080C"/>
    <w:rsid w:val="00AD370D"/>
    <w:rsid w:val="00AE2213"/>
    <w:rsid w:val="00AE3249"/>
    <w:rsid w:val="00AE4439"/>
    <w:rsid w:val="00AE5D2C"/>
    <w:rsid w:val="00AF039B"/>
    <w:rsid w:val="00AF5BE8"/>
    <w:rsid w:val="00B07778"/>
    <w:rsid w:val="00B355F7"/>
    <w:rsid w:val="00B4047B"/>
    <w:rsid w:val="00B43F01"/>
    <w:rsid w:val="00B642FC"/>
    <w:rsid w:val="00B64EF8"/>
    <w:rsid w:val="00B666CF"/>
    <w:rsid w:val="00B67AF1"/>
    <w:rsid w:val="00B814B6"/>
    <w:rsid w:val="00B8286D"/>
    <w:rsid w:val="00B90180"/>
    <w:rsid w:val="00B95CCD"/>
    <w:rsid w:val="00B97BCD"/>
    <w:rsid w:val="00BA2C8E"/>
    <w:rsid w:val="00BA2E85"/>
    <w:rsid w:val="00BA47C4"/>
    <w:rsid w:val="00BA4911"/>
    <w:rsid w:val="00BA557E"/>
    <w:rsid w:val="00BC6CDF"/>
    <w:rsid w:val="00BE2D98"/>
    <w:rsid w:val="00BE6812"/>
    <w:rsid w:val="00BF61AD"/>
    <w:rsid w:val="00BF6DD7"/>
    <w:rsid w:val="00C05AFD"/>
    <w:rsid w:val="00C07345"/>
    <w:rsid w:val="00C0793A"/>
    <w:rsid w:val="00C1012D"/>
    <w:rsid w:val="00C1125A"/>
    <w:rsid w:val="00C12D6D"/>
    <w:rsid w:val="00C16EA1"/>
    <w:rsid w:val="00C27998"/>
    <w:rsid w:val="00C36B7D"/>
    <w:rsid w:val="00C377C0"/>
    <w:rsid w:val="00C45121"/>
    <w:rsid w:val="00C5126B"/>
    <w:rsid w:val="00C51D95"/>
    <w:rsid w:val="00C53888"/>
    <w:rsid w:val="00C5698E"/>
    <w:rsid w:val="00C63C4B"/>
    <w:rsid w:val="00C66EBC"/>
    <w:rsid w:val="00C83BED"/>
    <w:rsid w:val="00C864A2"/>
    <w:rsid w:val="00CA2A2F"/>
    <w:rsid w:val="00CA6E54"/>
    <w:rsid w:val="00CB0C0C"/>
    <w:rsid w:val="00CB2A75"/>
    <w:rsid w:val="00CD3F6A"/>
    <w:rsid w:val="00CD7D7D"/>
    <w:rsid w:val="00CE5E11"/>
    <w:rsid w:val="00CE5FC4"/>
    <w:rsid w:val="00CE6893"/>
    <w:rsid w:val="00CF0BCB"/>
    <w:rsid w:val="00D032C7"/>
    <w:rsid w:val="00D23313"/>
    <w:rsid w:val="00D23456"/>
    <w:rsid w:val="00D33CA1"/>
    <w:rsid w:val="00D37DA6"/>
    <w:rsid w:val="00D46FE3"/>
    <w:rsid w:val="00D5011E"/>
    <w:rsid w:val="00D5565F"/>
    <w:rsid w:val="00D60F13"/>
    <w:rsid w:val="00D64F52"/>
    <w:rsid w:val="00D6700F"/>
    <w:rsid w:val="00D700B3"/>
    <w:rsid w:val="00D76312"/>
    <w:rsid w:val="00D777FE"/>
    <w:rsid w:val="00D85034"/>
    <w:rsid w:val="00D94556"/>
    <w:rsid w:val="00D966BA"/>
    <w:rsid w:val="00D97D21"/>
    <w:rsid w:val="00DA2921"/>
    <w:rsid w:val="00DA4882"/>
    <w:rsid w:val="00DA7684"/>
    <w:rsid w:val="00DA7687"/>
    <w:rsid w:val="00DB03E8"/>
    <w:rsid w:val="00DC2A33"/>
    <w:rsid w:val="00DF0620"/>
    <w:rsid w:val="00DF31EC"/>
    <w:rsid w:val="00DF4BC9"/>
    <w:rsid w:val="00E03E49"/>
    <w:rsid w:val="00E11F25"/>
    <w:rsid w:val="00E14BD4"/>
    <w:rsid w:val="00E15482"/>
    <w:rsid w:val="00E26D5E"/>
    <w:rsid w:val="00E30E89"/>
    <w:rsid w:val="00E3284E"/>
    <w:rsid w:val="00E33B8F"/>
    <w:rsid w:val="00E40417"/>
    <w:rsid w:val="00E51EF8"/>
    <w:rsid w:val="00E602A3"/>
    <w:rsid w:val="00E75B47"/>
    <w:rsid w:val="00E778A7"/>
    <w:rsid w:val="00E77C50"/>
    <w:rsid w:val="00E81E9A"/>
    <w:rsid w:val="00E9536F"/>
    <w:rsid w:val="00EB5540"/>
    <w:rsid w:val="00EC193E"/>
    <w:rsid w:val="00EE04AE"/>
    <w:rsid w:val="00EE09D6"/>
    <w:rsid w:val="00EE36C9"/>
    <w:rsid w:val="00EF308D"/>
    <w:rsid w:val="00F01029"/>
    <w:rsid w:val="00F026CC"/>
    <w:rsid w:val="00F0285A"/>
    <w:rsid w:val="00F06E2D"/>
    <w:rsid w:val="00F55755"/>
    <w:rsid w:val="00F61737"/>
    <w:rsid w:val="00F622D5"/>
    <w:rsid w:val="00F74B7D"/>
    <w:rsid w:val="00F80EF3"/>
    <w:rsid w:val="00F852AC"/>
    <w:rsid w:val="00F858E5"/>
    <w:rsid w:val="00FB1098"/>
    <w:rsid w:val="00FB63DB"/>
    <w:rsid w:val="00FC24EF"/>
    <w:rsid w:val="00FC2B6E"/>
    <w:rsid w:val="00FC6221"/>
    <w:rsid w:val="00FC628D"/>
    <w:rsid w:val="00FD2B86"/>
    <w:rsid w:val="00FE010C"/>
    <w:rsid w:val="00FE1A24"/>
    <w:rsid w:val="00FE52C5"/>
    <w:rsid w:val="00FF354F"/>
    <w:rsid w:val="00FF79B5"/>
    <w:rsid w:val="00FF7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4097"/>
    <o:shapelayout v:ext="edit">
      <o:idmap v:ext="edit" data="1"/>
    </o:shapelayout>
  </w:shapeDefaults>
  <w:decimalSymbol w:val="."/>
  <w:listSeparator w:val=","/>
  <w14:docId w14:val="472A4E2F"/>
  <w15:docId w15:val="{39FBD74B-C0AF-4EF1-BD0A-8FC461AFF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17D6A"/>
    <w:pPr>
      <w:spacing w:after="0"/>
    </w:pPr>
    <w:rPr>
      <w:rFonts w:eastAsia="Times New Roman" w:cs="Times New Roman"/>
      <w:szCs w:val="20"/>
    </w:rPr>
  </w:style>
  <w:style w:type="paragraph" w:styleId="Heading1">
    <w:name w:val="heading 1"/>
    <w:basedOn w:val="Normal"/>
    <w:next w:val="Normal"/>
    <w:link w:val="Heading1Char"/>
    <w:qFormat/>
    <w:rsid w:val="00A17D6A"/>
    <w:pPr>
      <w:keepNext/>
      <w:jc w:val="center"/>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7D6A"/>
    <w:rPr>
      <w:rFonts w:eastAsia="Times New Roman" w:cs="Times New Roman"/>
      <w:b/>
      <w:bCs/>
      <w:sz w:val="20"/>
      <w:szCs w:val="20"/>
    </w:rPr>
  </w:style>
  <w:style w:type="paragraph" w:styleId="Title">
    <w:name w:val="Title"/>
    <w:basedOn w:val="Normal"/>
    <w:link w:val="TitleChar"/>
    <w:qFormat/>
    <w:rsid w:val="00A17D6A"/>
    <w:pPr>
      <w:jc w:val="center"/>
    </w:pPr>
    <w:rPr>
      <w:b/>
      <w:bCs/>
      <w:sz w:val="20"/>
    </w:rPr>
  </w:style>
  <w:style w:type="character" w:customStyle="1" w:styleId="TitleChar">
    <w:name w:val="Title Char"/>
    <w:basedOn w:val="DefaultParagraphFont"/>
    <w:link w:val="Title"/>
    <w:rsid w:val="00A17D6A"/>
    <w:rPr>
      <w:rFonts w:eastAsia="Times New Roman" w:cs="Times New Roman"/>
      <w:b/>
      <w:bCs/>
      <w:sz w:val="20"/>
      <w:szCs w:val="20"/>
    </w:rPr>
  </w:style>
  <w:style w:type="paragraph" w:styleId="Subtitle">
    <w:name w:val="Subtitle"/>
    <w:basedOn w:val="Normal"/>
    <w:link w:val="SubtitleChar"/>
    <w:qFormat/>
    <w:rsid w:val="00A17D6A"/>
    <w:pPr>
      <w:jc w:val="center"/>
    </w:pPr>
    <w:rPr>
      <w:b/>
      <w:bCs/>
      <w:sz w:val="20"/>
    </w:rPr>
  </w:style>
  <w:style w:type="character" w:customStyle="1" w:styleId="SubtitleChar">
    <w:name w:val="Subtitle Char"/>
    <w:basedOn w:val="DefaultParagraphFont"/>
    <w:link w:val="Subtitle"/>
    <w:rsid w:val="00A17D6A"/>
    <w:rPr>
      <w:rFonts w:eastAsia="Times New Roman" w:cs="Times New Roman"/>
      <w:b/>
      <w:bCs/>
      <w:sz w:val="20"/>
      <w:szCs w:val="20"/>
    </w:rPr>
  </w:style>
  <w:style w:type="paragraph" w:customStyle="1" w:styleId="SingleSpacing">
    <w:name w:val="Single Spacing"/>
    <w:basedOn w:val="Normal"/>
    <w:rsid w:val="00A17D6A"/>
    <w:pPr>
      <w:spacing w:line="254" w:lineRule="exact"/>
    </w:pPr>
  </w:style>
  <w:style w:type="paragraph" w:styleId="BodyText2">
    <w:name w:val="Body Text 2"/>
    <w:basedOn w:val="Normal"/>
    <w:link w:val="BodyText2Char"/>
    <w:rsid w:val="00A17D6A"/>
    <w:rPr>
      <w:b/>
      <w:bCs/>
      <w:sz w:val="20"/>
    </w:rPr>
  </w:style>
  <w:style w:type="character" w:customStyle="1" w:styleId="BodyText2Char">
    <w:name w:val="Body Text 2 Char"/>
    <w:basedOn w:val="DefaultParagraphFont"/>
    <w:link w:val="BodyText2"/>
    <w:rsid w:val="00A17D6A"/>
    <w:rPr>
      <w:rFonts w:eastAsia="Times New Roman" w:cs="Times New Roman"/>
      <w:b/>
      <w:bCs/>
      <w:sz w:val="20"/>
      <w:szCs w:val="20"/>
    </w:rPr>
  </w:style>
  <w:style w:type="paragraph" w:styleId="Header">
    <w:name w:val="header"/>
    <w:basedOn w:val="Normal"/>
    <w:link w:val="HeaderChar"/>
    <w:uiPriority w:val="99"/>
    <w:unhideWhenUsed/>
    <w:rsid w:val="003471BB"/>
    <w:pPr>
      <w:tabs>
        <w:tab w:val="center" w:pos="4680"/>
        <w:tab w:val="right" w:pos="9360"/>
      </w:tabs>
    </w:pPr>
  </w:style>
  <w:style w:type="character" w:customStyle="1" w:styleId="HeaderChar">
    <w:name w:val="Header Char"/>
    <w:basedOn w:val="DefaultParagraphFont"/>
    <w:link w:val="Header"/>
    <w:uiPriority w:val="99"/>
    <w:rsid w:val="003471BB"/>
    <w:rPr>
      <w:rFonts w:eastAsia="Times New Roman" w:cs="Times New Roman"/>
      <w:szCs w:val="20"/>
    </w:rPr>
  </w:style>
  <w:style w:type="paragraph" w:styleId="Footer">
    <w:name w:val="footer"/>
    <w:basedOn w:val="Normal"/>
    <w:link w:val="FooterChar"/>
    <w:unhideWhenUsed/>
    <w:rsid w:val="003471BB"/>
    <w:pPr>
      <w:tabs>
        <w:tab w:val="center" w:pos="4680"/>
        <w:tab w:val="right" w:pos="9360"/>
      </w:tabs>
    </w:pPr>
  </w:style>
  <w:style w:type="character" w:customStyle="1" w:styleId="FooterChar">
    <w:name w:val="Footer Char"/>
    <w:basedOn w:val="DefaultParagraphFont"/>
    <w:link w:val="Footer"/>
    <w:rsid w:val="003471BB"/>
    <w:rPr>
      <w:rFonts w:eastAsia="Times New Roman" w:cs="Times New Roman"/>
      <w:szCs w:val="20"/>
    </w:rPr>
  </w:style>
  <w:style w:type="character" w:styleId="PageNumber">
    <w:name w:val="page number"/>
    <w:basedOn w:val="DefaultParagraphFont"/>
    <w:rsid w:val="003471BB"/>
  </w:style>
  <w:style w:type="character" w:styleId="Hyperlink">
    <w:name w:val="Hyperlink"/>
    <w:basedOn w:val="DefaultParagraphFont"/>
    <w:uiPriority w:val="99"/>
    <w:unhideWhenUsed/>
    <w:rsid w:val="004E268B"/>
    <w:rPr>
      <w:color w:val="0000FF"/>
      <w:u w:val="single"/>
    </w:rPr>
  </w:style>
  <w:style w:type="paragraph" w:styleId="BalloonText">
    <w:name w:val="Balloon Text"/>
    <w:basedOn w:val="Normal"/>
    <w:link w:val="BalloonTextChar"/>
    <w:uiPriority w:val="99"/>
    <w:semiHidden/>
    <w:unhideWhenUsed/>
    <w:rsid w:val="006B591A"/>
    <w:rPr>
      <w:rFonts w:ascii="Tahoma" w:hAnsi="Tahoma" w:cs="Tahoma"/>
      <w:sz w:val="16"/>
      <w:szCs w:val="16"/>
    </w:rPr>
  </w:style>
  <w:style w:type="character" w:customStyle="1" w:styleId="BalloonTextChar">
    <w:name w:val="Balloon Text Char"/>
    <w:basedOn w:val="DefaultParagraphFont"/>
    <w:link w:val="BalloonText"/>
    <w:uiPriority w:val="99"/>
    <w:semiHidden/>
    <w:rsid w:val="006B591A"/>
    <w:rPr>
      <w:rFonts w:ascii="Tahoma" w:eastAsia="Times New Roman" w:hAnsi="Tahoma" w:cs="Tahoma"/>
      <w:sz w:val="16"/>
      <w:szCs w:val="16"/>
    </w:rPr>
  </w:style>
  <w:style w:type="paragraph" w:customStyle="1" w:styleId="WUTCParagraph">
    <w:name w:val="WUTC Paragraph"/>
    <w:basedOn w:val="Normal"/>
    <w:qFormat/>
    <w:rsid w:val="00BA4911"/>
    <w:pPr>
      <w:numPr>
        <w:numId w:val="1"/>
      </w:numPr>
      <w:tabs>
        <w:tab w:val="left" w:pos="1440"/>
      </w:tabs>
      <w:spacing w:line="480" w:lineRule="auto"/>
    </w:pPr>
    <w:rPr>
      <w:color w:val="000000"/>
    </w:rPr>
  </w:style>
  <w:style w:type="paragraph" w:styleId="FootnoteText">
    <w:name w:val="footnote text"/>
    <w:basedOn w:val="Normal"/>
    <w:link w:val="FootnoteTextChar"/>
    <w:uiPriority w:val="99"/>
    <w:semiHidden/>
    <w:unhideWhenUsed/>
    <w:rsid w:val="00666214"/>
    <w:rPr>
      <w:sz w:val="20"/>
    </w:rPr>
  </w:style>
  <w:style w:type="character" w:customStyle="1" w:styleId="FootnoteTextChar">
    <w:name w:val="Footnote Text Char"/>
    <w:basedOn w:val="DefaultParagraphFont"/>
    <w:link w:val="FootnoteText"/>
    <w:uiPriority w:val="99"/>
    <w:semiHidden/>
    <w:rsid w:val="00666214"/>
    <w:rPr>
      <w:rFonts w:eastAsia="Times New Roman" w:cs="Times New Roman"/>
      <w:sz w:val="20"/>
      <w:szCs w:val="20"/>
    </w:rPr>
  </w:style>
  <w:style w:type="character" w:styleId="FootnoteReference">
    <w:name w:val="footnote reference"/>
    <w:basedOn w:val="DefaultParagraphFont"/>
    <w:uiPriority w:val="99"/>
    <w:semiHidden/>
    <w:unhideWhenUsed/>
    <w:rsid w:val="00666214"/>
    <w:rPr>
      <w:vertAlign w:val="superscript"/>
    </w:rPr>
  </w:style>
  <w:style w:type="character" w:styleId="CommentReference">
    <w:name w:val="annotation reference"/>
    <w:basedOn w:val="DefaultParagraphFont"/>
    <w:uiPriority w:val="99"/>
    <w:semiHidden/>
    <w:unhideWhenUsed/>
    <w:rsid w:val="00610A96"/>
    <w:rPr>
      <w:sz w:val="16"/>
      <w:szCs w:val="16"/>
    </w:rPr>
  </w:style>
  <w:style w:type="paragraph" w:styleId="CommentText">
    <w:name w:val="annotation text"/>
    <w:basedOn w:val="Normal"/>
    <w:link w:val="CommentTextChar"/>
    <w:uiPriority w:val="99"/>
    <w:semiHidden/>
    <w:unhideWhenUsed/>
    <w:rsid w:val="00610A96"/>
    <w:rPr>
      <w:sz w:val="20"/>
    </w:rPr>
  </w:style>
  <w:style w:type="character" w:customStyle="1" w:styleId="CommentTextChar">
    <w:name w:val="Comment Text Char"/>
    <w:basedOn w:val="DefaultParagraphFont"/>
    <w:link w:val="CommentText"/>
    <w:uiPriority w:val="99"/>
    <w:semiHidden/>
    <w:rsid w:val="00610A9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0A96"/>
    <w:rPr>
      <w:b/>
      <w:bCs/>
    </w:rPr>
  </w:style>
  <w:style w:type="character" w:customStyle="1" w:styleId="CommentSubjectChar">
    <w:name w:val="Comment Subject Char"/>
    <w:basedOn w:val="CommentTextChar"/>
    <w:link w:val="CommentSubject"/>
    <w:uiPriority w:val="99"/>
    <w:semiHidden/>
    <w:rsid w:val="00610A96"/>
    <w:rPr>
      <w:rFonts w:eastAsia="Times New Roman" w:cs="Times New Roman"/>
      <w:b/>
      <w:bCs/>
      <w:sz w:val="20"/>
      <w:szCs w:val="20"/>
    </w:rPr>
  </w:style>
  <w:style w:type="paragraph" w:styleId="ListParagraph">
    <w:name w:val="List Paragraph"/>
    <w:basedOn w:val="Normal"/>
    <w:uiPriority w:val="34"/>
    <w:qFormat/>
    <w:rsid w:val="00363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101446">
      <w:bodyDiv w:val="1"/>
      <w:marLeft w:val="0"/>
      <w:marRight w:val="0"/>
      <w:marTop w:val="0"/>
      <w:marBottom w:val="0"/>
      <w:divBdr>
        <w:top w:val="none" w:sz="0" w:space="0" w:color="auto"/>
        <w:left w:val="none" w:sz="0" w:space="0" w:color="auto"/>
        <w:bottom w:val="none" w:sz="0" w:space="0" w:color="auto"/>
        <w:right w:val="none" w:sz="0" w:space="0" w:color="auto"/>
      </w:divBdr>
      <w:divsChild>
        <w:div w:id="483815064">
          <w:marLeft w:val="0"/>
          <w:marRight w:val="0"/>
          <w:marTop w:val="0"/>
          <w:marBottom w:val="0"/>
          <w:divBdr>
            <w:top w:val="none" w:sz="0" w:space="0" w:color="auto"/>
            <w:left w:val="none" w:sz="0" w:space="0" w:color="auto"/>
            <w:bottom w:val="none" w:sz="0" w:space="0" w:color="auto"/>
            <w:right w:val="none" w:sz="0" w:space="0" w:color="auto"/>
          </w:divBdr>
        </w:div>
        <w:div w:id="1560362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646EE6BD3DCD449D83A8777965FB75" ma:contentTypeVersion="135" ma:contentTypeDescription="" ma:contentTypeScope="" ma:versionID="06b914707586abd0f1efeab881c4bb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Rulemaking</CaseType>
    <IndustryCode xmlns="dc463f71-b30c-4ab2-9473-d307f9d35888">499</IndustryCode>
    <CaseStatus xmlns="dc463f71-b30c-4ab2-9473-d307f9d35888">Closed</CaseStatus>
    <OpenedDate xmlns="dc463f71-b30c-4ab2-9473-d307f9d35888">2013-03-12T07:00:00+00:00</OpenedDate>
    <Date1 xmlns="dc463f71-b30c-4ab2-9473-d307f9d35888">2017-01-13T08:00:00+00:00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130355</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8EC6EFBC-1EF7-4726-83AC-37917C97A927}">
  <ds:schemaRefs>
    <ds:schemaRef ds:uri="http://schemas.openxmlformats.org/officeDocument/2006/bibliography"/>
  </ds:schemaRefs>
</ds:datastoreItem>
</file>

<file path=customXml/itemProps2.xml><?xml version="1.0" encoding="utf-8"?>
<ds:datastoreItem xmlns:ds="http://schemas.openxmlformats.org/officeDocument/2006/customXml" ds:itemID="{6A919D47-F62B-42C5-8EAD-D45095AC77B1}"/>
</file>

<file path=customXml/itemProps3.xml><?xml version="1.0" encoding="utf-8"?>
<ds:datastoreItem xmlns:ds="http://schemas.openxmlformats.org/officeDocument/2006/customXml" ds:itemID="{B89E6E34-3530-407A-879E-DA699F3CF10E}"/>
</file>

<file path=customXml/itemProps4.xml><?xml version="1.0" encoding="utf-8"?>
<ds:datastoreItem xmlns:ds="http://schemas.openxmlformats.org/officeDocument/2006/customXml" ds:itemID="{1B8069AA-1931-4A68-A361-6A82CE0B6098}"/>
</file>

<file path=customXml/itemProps5.xml><?xml version="1.0" encoding="utf-8"?>
<ds:datastoreItem xmlns:ds="http://schemas.openxmlformats.org/officeDocument/2006/customXml" ds:itemID="{4069E27D-28AF-472C-A9AD-5C22B0CEA6A8}"/>
</file>

<file path=docProps/app.xml><?xml version="1.0" encoding="utf-8"?>
<Properties xmlns="http://schemas.openxmlformats.org/officeDocument/2006/extended-properties" xmlns:vt="http://schemas.openxmlformats.org/officeDocument/2006/docPropsVTypes">
  <Template>Normal</Template>
  <TotalTime>13</TotalTime>
  <Pages>6</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Irion A. Sanger</dc:creator>
  <cp:lastModifiedBy>Jesse O. Gorsuch</cp:lastModifiedBy>
  <cp:revision>3</cp:revision>
  <cp:lastPrinted>2017-01-13T18:41:00Z</cp:lastPrinted>
  <dcterms:created xsi:type="dcterms:W3CDTF">2017-01-13T22:36:00Z</dcterms:created>
  <dcterms:modified xsi:type="dcterms:W3CDTF">2017-01-13T23:04:00Z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0x0101006E56B4D1795A2E4DB2F0B01679ED314A00BF646EE6BD3DCD449D83A8777965FB75</vt:lpwstr>
  </property>
  <property fmtid="{D5CDD505-2E9C-101B-9397-08002B2CF9AE}" pid="3" name="_docset_NoMedatataSyncRequired">
    <vt:lpwstr>False</vt:lpwstr>
  </property>
  <property fmtid="{D5CDD505-2E9C-101B-9397-08002B2CF9AE}" pid="4" name="IsEFSEC">
    <vt:bool>false</vt:bool>
  </property>
</Properties>
</file>