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E6" w:rsidRPr="00C67B9A" w:rsidRDefault="00C67B9A" w:rsidP="005718E6">
      <w:pPr>
        <w:pStyle w:val="NoSpacing"/>
        <w:spacing w:line="264" w:lineRule="auto"/>
        <w:rPr>
          <w:b/>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ab/>
      </w:r>
      <w:r w:rsidRPr="00C67B9A">
        <w:rPr>
          <w:b/>
          <w:sz w:val="20"/>
          <w:szCs w:val="20"/>
        </w:rPr>
        <w:t>[Service Date August 29, 2011]</w:t>
      </w:r>
    </w:p>
    <w:p w:rsidR="002A4895" w:rsidRPr="00CE400E" w:rsidRDefault="002A4895" w:rsidP="005718E6">
      <w:pPr>
        <w:pStyle w:val="NoSpacing"/>
        <w:spacing w:line="264" w:lineRule="auto"/>
        <w:rPr>
          <w:sz w:val="24"/>
          <w:szCs w:val="24"/>
        </w:rPr>
      </w:pPr>
    </w:p>
    <w:p w:rsidR="002A4895" w:rsidRPr="00CE400E" w:rsidRDefault="002A4895" w:rsidP="005718E6">
      <w:pPr>
        <w:pStyle w:val="NoSpacing"/>
        <w:spacing w:line="264" w:lineRule="auto"/>
        <w:rPr>
          <w:sz w:val="24"/>
          <w:szCs w:val="24"/>
        </w:rPr>
      </w:pPr>
    </w:p>
    <w:p w:rsidR="002A4895" w:rsidRPr="00CE400E" w:rsidRDefault="002A4895" w:rsidP="005718E6">
      <w:pPr>
        <w:pStyle w:val="NoSpacing"/>
        <w:spacing w:line="264" w:lineRule="auto"/>
        <w:rPr>
          <w:sz w:val="24"/>
          <w:szCs w:val="24"/>
        </w:rPr>
      </w:pPr>
    </w:p>
    <w:p w:rsidR="002A4895" w:rsidRPr="00CE400E" w:rsidRDefault="002A4895" w:rsidP="005718E6">
      <w:pPr>
        <w:pStyle w:val="NoSpacing"/>
        <w:spacing w:line="264" w:lineRule="auto"/>
        <w:rPr>
          <w:sz w:val="24"/>
          <w:szCs w:val="24"/>
        </w:rPr>
      </w:pPr>
    </w:p>
    <w:p w:rsidR="005718E6" w:rsidRPr="00CE400E" w:rsidRDefault="005718E6" w:rsidP="005718E6">
      <w:pPr>
        <w:pStyle w:val="NoSpacing"/>
        <w:spacing w:line="264" w:lineRule="auto"/>
        <w:rPr>
          <w:sz w:val="24"/>
          <w:szCs w:val="24"/>
        </w:rPr>
      </w:pPr>
    </w:p>
    <w:p w:rsidR="005718E6" w:rsidRPr="00CE400E" w:rsidRDefault="005718E6" w:rsidP="005718E6">
      <w:pPr>
        <w:pStyle w:val="NoSpacing"/>
        <w:spacing w:line="264" w:lineRule="auto"/>
        <w:rPr>
          <w:sz w:val="24"/>
          <w:szCs w:val="24"/>
        </w:rPr>
      </w:pPr>
      <w:r w:rsidRPr="00CE400E">
        <w:rPr>
          <w:sz w:val="24"/>
          <w:szCs w:val="24"/>
        </w:rPr>
        <w:t xml:space="preserve">August </w:t>
      </w:r>
      <w:r w:rsidR="002A4895" w:rsidRPr="00CE400E">
        <w:rPr>
          <w:sz w:val="24"/>
          <w:szCs w:val="24"/>
        </w:rPr>
        <w:t>29</w:t>
      </w:r>
      <w:r w:rsidRPr="00CE400E">
        <w:rPr>
          <w:sz w:val="24"/>
          <w:szCs w:val="24"/>
        </w:rPr>
        <w:t>, 2011</w:t>
      </w:r>
    </w:p>
    <w:p w:rsidR="005718E6" w:rsidRPr="00CE400E" w:rsidRDefault="005718E6" w:rsidP="005718E6">
      <w:pPr>
        <w:pStyle w:val="NoSpacing"/>
        <w:spacing w:line="264" w:lineRule="auto"/>
        <w:rPr>
          <w:sz w:val="24"/>
          <w:szCs w:val="24"/>
        </w:rPr>
      </w:pPr>
    </w:p>
    <w:p w:rsidR="00CE400E" w:rsidRPr="00CE400E" w:rsidRDefault="00CE400E" w:rsidP="005718E6">
      <w:pPr>
        <w:pStyle w:val="NoSpacing"/>
        <w:spacing w:line="264" w:lineRule="auto"/>
        <w:rPr>
          <w:sz w:val="24"/>
          <w:szCs w:val="24"/>
        </w:rPr>
      </w:pPr>
    </w:p>
    <w:p w:rsidR="005718E6" w:rsidRPr="00CE400E" w:rsidRDefault="000D19B0" w:rsidP="005718E6">
      <w:pPr>
        <w:pStyle w:val="NoSpacing"/>
        <w:spacing w:line="264" w:lineRule="auto"/>
        <w:rPr>
          <w:sz w:val="24"/>
          <w:szCs w:val="24"/>
        </w:rPr>
      </w:pPr>
      <w:r w:rsidRPr="00CE400E">
        <w:rPr>
          <w:sz w:val="24"/>
          <w:szCs w:val="24"/>
        </w:rPr>
        <w:t>Sarah A. Shifley</w:t>
      </w:r>
    </w:p>
    <w:p w:rsidR="000D19B0" w:rsidRPr="00CE400E" w:rsidRDefault="000D19B0" w:rsidP="005718E6">
      <w:pPr>
        <w:pStyle w:val="NoSpacing"/>
        <w:spacing w:line="264" w:lineRule="auto"/>
        <w:rPr>
          <w:sz w:val="24"/>
          <w:szCs w:val="24"/>
        </w:rPr>
      </w:pPr>
      <w:r w:rsidRPr="00CE400E">
        <w:rPr>
          <w:sz w:val="24"/>
          <w:szCs w:val="24"/>
        </w:rPr>
        <w:t>Assistant Attorney General</w:t>
      </w:r>
    </w:p>
    <w:p w:rsidR="000D19B0" w:rsidRPr="00CE400E" w:rsidRDefault="000D19B0" w:rsidP="005718E6">
      <w:pPr>
        <w:pStyle w:val="NoSpacing"/>
        <w:spacing w:line="264" w:lineRule="auto"/>
        <w:rPr>
          <w:sz w:val="24"/>
          <w:szCs w:val="24"/>
        </w:rPr>
      </w:pPr>
      <w:r w:rsidRPr="00CE400E">
        <w:rPr>
          <w:sz w:val="24"/>
          <w:szCs w:val="24"/>
        </w:rPr>
        <w:t>Public Counsel Section</w:t>
      </w:r>
    </w:p>
    <w:p w:rsidR="005718E6" w:rsidRPr="00CE400E" w:rsidRDefault="000D19B0" w:rsidP="005718E6">
      <w:pPr>
        <w:pStyle w:val="NoSpacing"/>
        <w:spacing w:line="264" w:lineRule="auto"/>
        <w:rPr>
          <w:sz w:val="24"/>
          <w:szCs w:val="24"/>
        </w:rPr>
      </w:pPr>
      <w:r w:rsidRPr="00CE400E">
        <w:rPr>
          <w:sz w:val="24"/>
          <w:szCs w:val="24"/>
        </w:rPr>
        <w:t>Office of the Attorney General</w:t>
      </w:r>
    </w:p>
    <w:p w:rsidR="005718E6" w:rsidRPr="00CE400E" w:rsidRDefault="000D19B0" w:rsidP="005718E6">
      <w:pPr>
        <w:pStyle w:val="NoSpacing"/>
        <w:spacing w:line="264" w:lineRule="auto"/>
        <w:rPr>
          <w:sz w:val="24"/>
          <w:szCs w:val="24"/>
        </w:rPr>
      </w:pPr>
      <w:r w:rsidRPr="00CE400E">
        <w:rPr>
          <w:sz w:val="24"/>
          <w:szCs w:val="24"/>
        </w:rPr>
        <w:t>800 Fifth Avenue, Suite 2000</w:t>
      </w:r>
    </w:p>
    <w:p w:rsidR="005718E6" w:rsidRPr="00CE400E" w:rsidRDefault="005718E6" w:rsidP="005718E6">
      <w:pPr>
        <w:pStyle w:val="NoSpacing"/>
        <w:spacing w:line="264" w:lineRule="auto"/>
        <w:rPr>
          <w:sz w:val="24"/>
          <w:szCs w:val="24"/>
        </w:rPr>
      </w:pPr>
      <w:r w:rsidRPr="00CE400E">
        <w:rPr>
          <w:sz w:val="24"/>
          <w:szCs w:val="24"/>
        </w:rPr>
        <w:t>Seattle, WA  981</w:t>
      </w:r>
      <w:r w:rsidR="000D19B0" w:rsidRPr="00CE400E">
        <w:rPr>
          <w:sz w:val="24"/>
          <w:szCs w:val="24"/>
        </w:rPr>
        <w:t>04-3188</w:t>
      </w:r>
    </w:p>
    <w:p w:rsidR="005718E6" w:rsidRPr="00CE400E" w:rsidRDefault="005718E6" w:rsidP="005718E6">
      <w:pPr>
        <w:pStyle w:val="NoSpacing"/>
        <w:spacing w:line="264" w:lineRule="auto"/>
        <w:rPr>
          <w:sz w:val="24"/>
          <w:szCs w:val="24"/>
        </w:rPr>
      </w:pPr>
    </w:p>
    <w:p w:rsidR="005718E6" w:rsidRPr="00CE400E" w:rsidRDefault="005718E6" w:rsidP="00234FA6">
      <w:pPr>
        <w:pStyle w:val="NoSpacing"/>
        <w:spacing w:line="264" w:lineRule="auto"/>
        <w:ind w:left="720" w:hanging="720"/>
        <w:rPr>
          <w:sz w:val="24"/>
          <w:szCs w:val="24"/>
        </w:rPr>
      </w:pPr>
      <w:r w:rsidRPr="00CE400E">
        <w:rPr>
          <w:sz w:val="24"/>
          <w:szCs w:val="24"/>
        </w:rPr>
        <w:t>RE:</w:t>
      </w:r>
      <w:r w:rsidRPr="00CE400E">
        <w:rPr>
          <w:sz w:val="24"/>
          <w:szCs w:val="24"/>
        </w:rPr>
        <w:tab/>
      </w:r>
      <w:r w:rsidR="000D19B0" w:rsidRPr="00CE400E">
        <w:rPr>
          <w:sz w:val="24"/>
          <w:szCs w:val="24"/>
        </w:rPr>
        <w:t>Letter from Sarah A. Shifley, Assistant Attorney General, dated August 17, 2011, in Dockets UE-110876 and UG-110877</w:t>
      </w:r>
    </w:p>
    <w:p w:rsidR="005718E6" w:rsidRPr="00CE400E" w:rsidRDefault="005718E6" w:rsidP="005718E6">
      <w:pPr>
        <w:pStyle w:val="NoSpacing"/>
        <w:spacing w:line="264" w:lineRule="auto"/>
        <w:rPr>
          <w:sz w:val="24"/>
          <w:szCs w:val="24"/>
        </w:rPr>
      </w:pPr>
    </w:p>
    <w:p w:rsidR="005718E6" w:rsidRPr="00CE400E" w:rsidRDefault="005718E6" w:rsidP="005718E6">
      <w:pPr>
        <w:pStyle w:val="NoSpacing"/>
        <w:spacing w:line="264" w:lineRule="auto"/>
        <w:rPr>
          <w:sz w:val="24"/>
          <w:szCs w:val="24"/>
        </w:rPr>
      </w:pPr>
      <w:r w:rsidRPr="00CE400E">
        <w:rPr>
          <w:sz w:val="24"/>
          <w:szCs w:val="24"/>
        </w:rPr>
        <w:t xml:space="preserve">Dear Ms. </w:t>
      </w:r>
      <w:r w:rsidR="000D19B0" w:rsidRPr="00CE400E">
        <w:rPr>
          <w:sz w:val="24"/>
          <w:szCs w:val="24"/>
        </w:rPr>
        <w:t>Shifley</w:t>
      </w:r>
      <w:r w:rsidRPr="00CE400E">
        <w:rPr>
          <w:sz w:val="24"/>
          <w:szCs w:val="24"/>
        </w:rPr>
        <w:t>:</w:t>
      </w:r>
    </w:p>
    <w:p w:rsidR="005718E6" w:rsidRPr="00CE400E" w:rsidRDefault="005718E6" w:rsidP="005718E6">
      <w:pPr>
        <w:pStyle w:val="NoSpacing"/>
        <w:spacing w:line="264" w:lineRule="auto"/>
        <w:rPr>
          <w:sz w:val="24"/>
          <w:szCs w:val="24"/>
        </w:rPr>
      </w:pPr>
    </w:p>
    <w:p w:rsidR="000A34DE" w:rsidRPr="00CE400E" w:rsidRDefault="00D31F7D" w:rsidP="000D19B0">
      <w:pPr>
        <w:pStyle w:val="NoSpacing"/>
        <w:spacing w:line="264" w:lineRule="auto"/>
        <w:rPr>
          <w:sz w:val="24"/>
          <w:szCs w:val="24"/>
        </w:rPr>
      </w:pPr>
      <w:r w:rsidRPr="00CE400E">
        <w:rPr>
          <w:sz w:val="24"/>
          <w:szCs w:val="24"/>
        </w:rPr>
        <w:t xml:space="preserve">On </w:t>
      </w:r>
      <w:r w:rsidR="000D19B0" w:rsidRPr="00CE400E">
        <w:rPr>
          <w:sz w:val="24"/>
          <w:szCs w:val="24"/>
        </w:rPr>
        <w:t>August 17</w:t>
      </w:r>
      <w:r w:rsidRPr="00CE400E">
        <w:rPr>
          <w:sz w:val="24"/>
          <w:szCs w:val="24"/>
        </w:rPr>
        <w:t xml:space="preserve">, 2011, the Washington Utilities and Transportation Commission (Commission) received </w:t>
      </w:r>
      <w:r w:rsidR="000D19B0" w:rsidRPr="00CE400E">
        <w:rPr>
          <w:sz w:val="24"/>
          <w:szCs w:val="24"/>
        </w:rPr>
        <w:t xml:space="preserve">your letter in response to the Commission’s </w:t>
      </w:r>
      <w:r w:rsidR="002C0786" w:rsidRPr="00CE400E">
        <w:rPr>
          <w:sz w:val="24"/>
          <w:szCs w:val="24"/>
        </w:rPr>
        <w:t xml:space="preserve">August 4, 2011, </w:t>
      </w:r>
      <w:r w:rsidR="000D19B0" w:rsidRPr="00CE400E">
        <w:rPr>
          <w:sz w:val="24"/>
          <w:szCs w:val="24"/>
        </w:rPr>
        <w:t xml:space="preserve">Notice of Ex Parte Communications.  In that letter, </w:t>
      </w:r>
      <w:r w:rsidR="002D66C8" w:rsidRPr="00CE400E">
        <w:rPr>
          <w:sz w:val="24"/>
          <w:szCs w:val="24"/>
        </w:rPr>
        <w:t>Public Counsel</w:t>
      </w:r>
      <w:r w:rsidR="000D19B0" w:rsidRPr="00CE400E">
        <w:rPr>
          <w:sz w:val="24"/>
          <w:szCs w:val="24"/>
        </w:rPr>
        <w:t xml:space="preserve"> state</w:t>
      </w:r>
      <w:r w:rsidR="002D66C8" w:rsidRPr="00CE400E">
        <w:rPr>
          <w:sz w:val="24"/>
          <w:szCs w:val="24"/>
        </w:rPr>
        <w:t>s</w:t>
      </w:r>
      <w:r w:rsidR="000D19B0" w:rsidRPr="00CE400E">
        <w:rPr>
          <w:sz w:val="24"/>
          <w:szCs w:val="24"/>
        </w:rPr>
        <w:t xml:space="preserve"> that </w:t>
      </w:r>
      <w:r w:rsidR="00253A04" w:rsidRPr="00CE400E">
        <w:rPr>
          <w:sz w:val="24"/>
          <w:szCs w:val="24"/>
        </w:rPr>
        <w:t xml:space="preserve">the Commission’s continued participation in smart grid policy </w:t>
      </w:r>
      <w:r w:rsidR="003958DD" w:rsidRPr="00CE400E">
        <w:rPr>
          <w:sz w:val="24"/>
          <w:szCs w:val="24"/>
        </w:rPr>
        <w:t>brief</w:t>
      </w:r>
      <w:r w:rsidR="00253A04" w:rsidRPr="00CE400E">
        <w:rPr>
          <w:sz w:val="24"/>
          <w:szCs w:val="24"/>
        </w:rPr>
        <w:t>ings with Avista Corporation (Avista) “creates a precedent which threatens the integrity of the Commission’s rate making process … [</w:t>
      </w:r>
      <w:r w:rsidR="002D66C8" w:rsidRPr="00CE400E">
        <w:rPr>
          <w:sz w:val="24"/>
          <w:szCs w:val="24"/>
        </w:rPr>
        <w:t>and</w:t>
      </w:r>
      <w:r w:rsidR="00253A04" w:rsidRPr="00CE400E">
        <w:rPr>
          <w:sz w:val="24"/>
          <w:szCs w:val="24"/>
        </w:rPr>
        <w:t xml:space="preserve"> </w:t>
      </w:r>
      <w:r w:rsidR="002D66C8" w:rsidRPr="00CE400E">
        <w:rPr>
          <w:sz w:val="24"/>
          <w:szCs w:val="24"/>
        </w:rPr>
        <w:t>creates</w:t>
      </w:r>
      <w:r w:rsidR="00253A04" w:rsidRPr="00CE400E">
        <w:rPr>
          <w:sz w:val="24"/>
          <w:szCs w:val="24"/>
        </w:rPr>
        <w:t>] a significant risk that contested issues, integral to the current rate case, will also be under discussion in a parallel, informal forum.”</w:t>
      </w:r>
      <w:r w:rsidR="00253A04" w:rsidRPr="00CE400E">
        <w:rPr>
          <w:rStyle w:val="FootnoteReference"/>
          <w:sz w:val="24"/>
          <w:szCs w:val="24"/>
        </w:rPr>
        <w:footnoteReference w:id="1"/>
      </w:r>
      <w:r w:rsidR="003958DD" w:rsidRPr="00CE400E">
        <w:rPr>
          <w:sz w:val="24"/>
          <w:szCs w:val="24"/>
        </w:rPr>
        <w:t xml:space="preserve">  </w:t>
      </w:r>
      <w:r w:rsidR="002D66C8" w:rsidRPr="00CE400E">
        <w:rPr>
          <w:sz w:val="24"/>
          <w:szCs w:val="24"/>
        </w:rPr>
        <w:t>Public Counsel further</w:t>
      </w:r>
      <w:r w:rsidR="003958DD" w:rsidRPr="00CE400E">
        <w:rPr>
          <w:sz w:val="24"/>
          <w:szCs w:val="24"/>
        </w:rPr>
        <w:t xml:space="preserve"> assert</w:t>
      </w:r>
      <w:r w:rsidR="002D66C8" w:rsidRPr="00CE400E">
        <w:rPr>
          <w:sz w:val="24"/>
          <w:szCs w:val="24"/>
        </w:rPr>
        <w:t>s</w:t>
      </w:r>
      <w:r w:rsidR="003958DD" w:rsidRPr="00CE400E">
        <w:rPr>
          <w:sz w:val="24"/>
          <w:szCs w:val="24"/>
        </w:rPr>
        <w:t xml:space="preserve"> that the </w:t>
      </w:r>
      <w:r w:rsidR="007F2E9E" w:rsidRPr="00CE400E">
        <w:rPr>
          <w:sz w:val="24"/>
          <w:szCs w:val="24"/>
        </w:rPr>
        <w:t xml:space="preserve">Commission’s </w:t>
      </w:r>
      <w:r w:rsidR="003958DD" w:rsidRPr="00CE400E">
        <w:rPr>
          <w:sz w:val="24"/>
          <w:szCs w:val="24"/>
        </w:rPr>
        <w:t>invitation to attend the smart grid policy briefings</w:t>
      </w:r>
      <w:r w:rsidR="007F2E9E" w:rsidRPr="00CE400E">
        <w:rPr>
          <w:sz w:val="24"/>
          <w:szCs w:val="24"/>
        </w:rPr>
        <w:t xml:space="preserve">, extended to the parties in Dockets UE-110876 and UG-110877, presents several problems including “due process protections applicable to the rate case </w:t>
      </w:r>
      <w:r w:rsidR="002D66C8" w:rsidRPr="00CE400E">
        <w:rPr>
          <w:sz w:val="24"/>
          <w:szCs w:val="24"/>
        </w:rPr>
        <w:t>[not applying]</w:t>
      </w:r>
      <w:r w:rsidR="007F2E9E" w:rsidRPr="00CE400E">
        <w:rPr>
          <w:sz w:val="24"/>
          <w:szCs w:val="24"/>
        </w:rPr>
        <w:t xml:space="preserve"> to informal discussions and briefings” and the burden </w:t>
      </w:r>
      <w:r w:rsidR="002D66C8" w:rsidRPr="00CE400E">
        <w:rPr>
          <w:sz w:val="24"/>
          <w:szCs w:val="24"/>
        </w:rPr>
        <w:t xml:space="preserve">of </w:t>
      </w:r>
      <w:r w:rsidR="007F2E9E" w:rsidRPr="00CE400E">
        <w:rPr>
          <w:sz w:val="24"/>
          <w:szCs w:val="24"/>
        </w:rPr>
        <w:t>attendance place</w:t>
      </w:r>
      <w:r w:rsidR="002D66C8" w:rsidRPr="00CE400E">
        <w:rPr>
          <w:sz w:val="24"/>
          <w:szCs w:val="24"/>
        </w:rPr>
        <w:t>d</w:t>
      </w:r>
      <w:r w:rsidR="007F2E9E" w:rsidRPr="00CE400E">
        <w:rPr>
          <w:sz w:val="24"/>
          <w:szCs w:val="24"/>
        </w:rPr>
        <w:t xml:space="preserve"> on the parties.</w:t>
      </w:r>
      <w:r w:rsidR="007F2E9E" w:rsidRPr="00CE400E">
        <w:rPr>
          <w:rStyle w:val="FootnoteReference"/>
          <w:sz w:val="24"/>
          <w:szCs w:val="24"/>
        </w:rPr>
        <w:footnoteReference w:id="2"/>
      </w:r>
      <w:r w:rsidR="007F2E9E" w:rsidRPr="00CE400E">
        <w:rPr>
          <w:sz w:val="24"/>
          <w:szCs w:val="24"/>
        </w:rPr>
        <w:t xml:space="preserve">  As an alternative, you suggest that the Commission cancel all smart grid briefings until Avista’s rate case is concluded and</w:t>
      </w:r>
      <w:r w:rsidR="00B15B6B">
        <w:rPr>
          <w:sz w:val="24"/>
          <w:szCs w:val="24"/>
        </w:rPr>
        <w:t>,</w:t>
      </w:r>
      <w:r w:rsidR="007F2E9E" w:rsidRPr="00CE400E">
        <w:rPr>
          <w:sz w:val="24"/>
          <w:szCs w:val="24"/>
        </w:rPr>
        <w:t xml:space="preserve"> thereafter</w:t>
      </w:r>
      <w:r w:rsidR="00B15B6B">
        <w:rPr>
          <w:sz w:val="24"/>
          <w:szCs w:val="24"/>
        </w:rPr>
        <w:t>,</w:t>
      </w:r>
      <w:r w:rsidR="007F2E9E" w:rsidRPr="00CE400E">
        <w:rPr>
          <w:sz w:val="24"/>
          <w:szCs w:val="24"/>
        </w:rPr>
        <w:t xml:space="preserve"> that the Commission schedule the briefings during an open meeting or a stakeholder working group.</w:t>
      </w:r>
      <w:r w:rsidR="002D66C8" w:rsidRPr="00CE400E">
        <w:rPr>
          <w:rStyle w:val="FootnoteReference"/>
          <w:sz w:val="24"/>
          <w:szCs w:val="24"/>
        </w:rPr>
        <w:footnoteReference w:id="3"/>
      </w:r>
    </w:p>
    <w:p w:rsidR="007F2E9E" w:rsidRPr="00CE400E" w:rsidRDefault="007F2E9E" w:rsidP="000D19B0">
      <w:pPr>
        <w:pStyle w:val="NoSpacing"/>
        <w:spacing w:line="264" w:lineRule="auto"/>
        <w:rPr>
          <w:sz w:val="24"/>
          <w:szCs w:val="24"/>
        </w:rPr>
      </w:pPr>
    </w:p>
    <w:p w:rsidR="007F2E9E" w:rsidRPr="00CE400E" w:rsidRDefault="002C0786" w:rsidP="000D19B0">
      <w:pPr>
        <w:pStyle w:val="NoSpacing"/>
        <w:spacing w:line="264" w:lineRule="auto"/>
        <w:rPr>
          <w:rFonts w:eastAsia="Times New Roman" w:cs="Times New Roman"/>
          <w:sz w:val="24"/>
          <w:szCs w:val="24"/>
        </w:rPr>
      </w:pPr>
      <w:r w:rsidRPr="00CE400E">
        <w:rPr>
          <w:rFonts w:eastAsia="Times New Roman" w:cs="Times New Roman"/>
          <w:sz w:val="24"/>
          <w:szCs w:val="24"/>
        </w:rPr>
        <w:t xml:space="preserve">As you know, the </w:t>
      </w:r>
      <w:r w:rsidR="006E5A0C" w:rsidRPr="00CE400E">
        <w:rPr>
          <w:rFonts w:eastAsia="Times New Roman" w:cs="Times New Roman"/>
          <w:sz w:val="24"/>
          <w:szCs w:val="24"/>
        </w:rPr>
        <w:t>Commission’s responsibility to the public include</w:t>
      </w:r>
      <w:r w:rsidR="002D66C8" w:rsidRPr="00CE400E">
        <w:rPr>
          <w:rFonts w:eastAsia="Times New Roman" w:cs="Times New Roman"/>
          <w:sz w:val="24"/>
          <w:szCs w:val="24"/>
        </w:rPr>
        <w:t>s</w:t>
      </w:r>
      <w:r w:rsidRPr="00CE400E">
        <w:rPr>
          <w:rFonts w:eastAsia="Times New Roman" w:cs="Times New Roman"/>
          <w:sz w:val="24"/>
          <w:szCs w:val="24"/>
        </w:rPr>
        <w:t xml:space="preserve"> both quasi-judicial and </w:t>
      </w:r>
      <w:r w:rsidR="006E5A0C" w:rsidRPr="00CE400E">
        <w:rPr>
          <w:rFonts w:eastAsia="Times New Roman" w:cs="Times New Roman"/>
          <w:sz w:val="24"/>
          <w:szCs w:val="24"/>
        </w:rPr>
        <w:t>quasi-legislative function</w:t>
      </w:r>
      <w:r w:rsidRPr="00CE400E">
        <w:rPr>
          <w:rFonts w:eastAsia="Times New Roman" w:cs="Times New Roman"/>
          <w:sz w:val="24"/>
          <w:szCs w:val="24"/>
        </w:rPr>
        <w:t>s</w:t>
      </w:r>
      <w:r w:rsidR="006E5A0C" w:rsidRPr="00CE400E">
        <w:rPr>
          <w:rFonts w:eastAsia="Times New Roman" w:cs="Times New Roman"/>
          <w:sz w:val="24"/>
          <w:szCs w:val="24"/>
        </w:rPr>
        <w:t xml:space="preserve">.  </w:t>
      </w:r>
      <w:r w:rsidR="002D66C8" w:rsidRPr="00CE400E">
        <w:rPr>
          <w:rFonts w:eastAsia="Times New Roman" w:cs="Times New Roman"/>
          <w:sz w:val="24"/>
          <w:szCs w:val="24"/>
        </w:rPr>
        <w:t>The Commission is</w:t>
      </w:r>
      <w:r w:rsidR="006E5A0C" w:rsidRPr="00CE400E">
        <w:rPr>
          <w:rFonts w:eastAsia="Times New Roman" w:cs="Times New Roman"/>
          <w:sz w:val="24"/>
          <w:szCs w:val="24"/>
        </w:rPr>
        <w:t xml:space="preserve"> frequently called upon by members of the State Legislature as well as the Governor to provide policy guidance and technical support on rapidly evolving </w:t>
      </w:r>
      <w:r w:rsidR="00376B89" w:rsidRPr="00CE400E">
        <w:rPr>
          <w:rFonts w:eastAsia="Times New Roman" w:cs="Times New Roman"/>
          <w:sz w:val="24"/>
          <w:szCs w:val="24"/>
        </w:rPr>
        <w:t xml:space="preserve">national and regional </w:t>
      </w:r>
      <w:r w:rsidR="006E5A0C" w:rsidRPr="00CE400E">
        <w:rPr>
          <w:rFonts w:eastAsia="Times New Roman" w:cs="Times New Roman"/>
          <w:sz w:val="24"/>
          <w:szCs w:val="24"/>
        </w:rPr>
        <w:t xml:space="preserve">issues.  Smart grid technology, safety, and security are just a few of the subjects </w:t>
      </w:r>
      <w:r w:rsidR="00CE400E" w:rsidRPr="00CE400E">
        <w:rPr>
          <w:rFonts w:eastAsia="Times New Roman" w:cs="Times New Roman"/>
          <w:sz w:val="24"/>
          <w:szCs w:val="24"/>
        </w:rPr>
        <w:t xml:space="preserve">of which </w:t>
      </w:r>
      <w:r w:rsidR="006E5A0C" w:rsidRPr="00CE400E">
        <w:rPr>
          <w:rFonts w:eastAsia="Times New Roman" w:cs="Times New Roman"/>
          <w:sz w:val="24"/>
          <w:szCs w:val="24"/>
        </w:rPr>
        <w:t xml:space="preserve">the Commissioners must remain apprised to do their jobs.  Were they to </w:t>
      </w:r>
      <w:r w:rsidR="002D66C8" w:rsidRPr="00CE400E">
        <w:rPr>
          <w:rFonts w:eastAsia="Times New Roman" w:cs="Times New Roman"/>
          <w:sz w:val="24"/>
          <w:szCs w:val="24"/>
        </w:rPr>
        <w:t>abst</w:t>
      </w:r>
      <w:r w:rsidR="006E5A0C" w:rsidRPr="00CE400E">
        <w:rPr>
          <w:rFonts w:eastAsia="Times New Roman" w:cs="Times New Roman"/>
          <w:sz w:val="24"/>
          <w:szCs w:val="24"/>
        </w:rPr>
        <w:t xml:space="preserve">ain from examining these or </w:t>
      </w:r>
      <w:r w:rsidR="00CE400E" w:rsidRPr="00CE400E">
        <w:rPr>
          <w:rFonts w:eastAsia="Times New Roman" w:cs="Times New Roman"/>
          <w:sz w:val="24"/>
          <w:szCs w:val="24"/>
        </w:rPr>
        <w:t>other policy</w:t>
      </w:r>
      <w:r w:rsidR="006E5A0C" w:rsidRPr="00CE400E">
        <w:rPr>
          <w:rFonts w:eastAsia="Times New Roman" w:cs="Times New Roman"/>
          <w:sz w:val="24"/>
          <w:szCs w:val="24"/>
        </w:rPr>
        <w:t xml:space="preserve"> topics until the conclusion of the various rate cases</w:t>
      </w:r>
      <w:r w:rsidR="00CE400E" w:rsidRPr="00CE400E">
        <w:rPr>
          <w:rFonts w:eastAsia="Times New Roman" w:cs="Times New Roman"/>
          <w:sz w:val="24"/>
          <w:szCs w:val="24"/>
        </w:rPr>
        <w:t>,</w:t>
      </w:r>
      <w:r w:rsidR="006E5A0C" w:rsidRPr="00CE400E">
        <w:rPr>
          <w:rFonts w:eastAsia="Times New Roman" w:cs="Times New Roman"/>
          <w:sz w:val="24"/>
          <w:szCs w:val="24"/>
        </w:rPr>
        <w:t xml:space="preserve"> </w:t>
      </w:r>
      <w:r w:rsidR="002D66C8" w:rsidRPr="00CE400E">
        <w:rPr>
          <w:rFonts w:eastAsia="Times New Roman" w:cs="Times New Roman"/>
          <w:sz w:val="24"/>
          <w:szCs w:val="24"/>
        </w:rPr>
        <w:t>it</w:t>
      </w:r>
      <w:r w:rsidR="006E5A0C" w:rsidRPr="00CE400E">
        <w:rPr>
          <w:rFonts w:eastAsia="Times New Roman" w:cs="Times New Roman"/>
          <w:sz w:val="24"/>
          <w:szCs w:val="24"/>
        </w:rPr>
        <w:t xml:space="preserve"> would </w:t>
      </w:r>
      <w:r w:rsidR="00CD0DFB" w:rsidRPr="00CE400E">
        <w:rPr>
          <w:rFonts w:eastAsia="Times New Roman" w:cs="Times New Roman"/>
          <w:sz w:val="24"/>
          <w:szCs w:val="24"/>
        </w:rPr>
        <w:t xml:space="preserve">be almost impossible to </w:t>
      </w:r>
      <w:r w:rsidR="006E5A0C" w:rsidRPr="00CE400E">
        <w:rPr>
          <w:rFonts w:eastAsia="Times New Roman" w:cs="Times New Roman"/>
          <w:sz w:val="24"/>
          <w:szCs w:val="24"/>
        </w:rPr>
        <w:t>hold any brief</w:t>
      </w:r>
      <w:r w:rsidR="002D66C8" w:rsidRPr="00CE400E">
        <w:rPr>
          <w:rFonts w:eastAsia="Times New Roman" w:cs="Times New Roman"/>
          <w:sz w:val="24"/>
          <w:szCs w:val="24"/>
        </w:rPr>
        <w:t>ings</w:t>
      </w:r>
      <w:r w:rsidR="004F2456" w:rsidRPr="00CE400E">
        <w:rPr>
          <w:rFonts w:eastAsia="Times New Roman" w:cs="Times New Roman"/>
          <w:sz w:val="24"/>
          <w:szCs w:val="24"/>
        </w:rPr>
        <w:t xml:space="preserve"> or have informal meetings with many stakeholders on many issues</w:t>
      </w:r>
      <w:r w:rsidR="00CE400E" w:rsidRPr="00CE400E">
        <w:rPr>
          <w:rFonts w:eastAsia="Times New Roman" w:cs="Times New Roman"/>
          <w:sz w:val="24"/>
          <w:szCs w:val="24"/>
        </w:rPr>
        <w:t>, and the</w:t>
      </w:r>
      <w:r w:rsidR="00CD0DFB" w:rsidRPr="00CE400E">
        <w:rPr>
          <w:rFonts w:eastAsia="Times New Roman" w:cs="Times New Roman"/>
          <w:sz w:val="24"/>
          <w:szCs w:val="24"/>
        </w:rPr>
        <w:t xml:space="preserve"> Commission </w:t>
      </w:r>
      <w:r w:rsidR="006E5A0C" w:rsidRPr="00CE400E">
        <w:rPr>
          <w:rFonts w:eastAsia="Times New Roman" w:cs="Times New Roman"/>
          <w:sz w:val="24"/>
          <w:szCs w:val="24"/>
        </w:rPr>
        <w:t>would fail to fulfill</w:t>
      </w:r>
      <w:r w:rsidR="004F2456" w:rsidRPr="00CE400E">
        <w:rPr>
          <w:rFonts w:eastAsia="Times New Roman" w:cs="Times New Roman"/>
          <w:sz w:val="24"/>
          <w:szCs w:val="24"/>
        </w:rPr>
        <w:t xml:space="preserve"> </w:t>
      </w:r>
      <w:r w:rsidR="00CE400E" w:rsidRPr="00CE400E">
        <w:rPr>
          <w:rFonts w:eastAsia="Times New Roman" w:cs="Times New Roman"/>
          <w:sz w:val="24"/>
          <w:szCs w:val="24"/>
        </w:rPr>
        <w:t>its quasi-legislative duties.</w:t>
      </w:r>
      <w:r w:rsidR="00B172A9" w:rsidRPr="00CE400E">
        <w:rPr>
          <w:rFonts w:eastAsia="Times New Roman" w:cs="Times New Roman"/>
          <w:sz w:val="24"/>
          <w:szCs w:val="24"/>
        </w:rPr>
        <w:t xml:space="preserve">  </w:t>
      </w:r>
    </w:p>
    <w:p w:rsidR="006E5A0C" w:rsidRPr="00CE400E" w:rsidRDefault="006E5A0C" w:rsidP="000D19B0">
      <w:pPr>
        <w:pStyle w:val="NoSpacing"/>
        <w:spacing w:line="264" w:lineRule="auto"/>
        <w:rPr>
          <w:rFonts w:eastAsia="Times New Roman" w:cs="Times New Roman"/>
          <w:sz w:val="24"/>
          <w:szCs w:val="24"/>
        </w:rPr>
      </w:pPr>
    </w:p>
    <w:p w:rsidR="00521A61" w:rsidRPr="00CE400E" w:rsidRDefault="00376B89" w:rsidP="000D19B0">
      <w:pPr>
        <w:pStyle w:val="NoSpacing"/>
        <w:spacing w:line="264" w:lineRule="auto"/>
        <w:rPr>
          <w:rFonts w:eastAsia="Times New Roman" w:cs="Times New Roman"/>
          <w:sz w:val="24"/>
          <w:szCs w:val="24"/>
        </w:rPr>
      </w:pPr>
      <w:r w:rsidRPr="00CE400E">
        <w:rPr>
          <w:rFonts w:eastAsia="Times New Roman" w:cs="Times New Roman"/>
          <w:sz w:val="24"/>
          <w:szCs w:val="24"/>
        </w:rPr>
        <w:t>The Commission judiciously separates its policy and adjudicative functions and</w:t>
      </w:r>
      <w:r w:rsidR="00B172A9" w:rsidRPr="00CE400E">
        <w:rPr>
          <w:rFonts w:eastAsia="Times New Roman" w:cs="Times New Roman"/>
          <w:sz w:val="24"/>
          <w:szCs w:val="24"/>
        </w:rPr>
        <w:t xml:space="preserve"> diligently complies with the Administrative Procedure Act (the APA), the </w:t>
      </w:r>
      <w:r w:rsidR="00B172A9" w:rsidRPr="00CE400E">
        <w:rPr>
          <w:sz w:val="24"/>
          <w:szCs w:val="24"/>
        </w:rPr>
        <w:t>Open Public Meetings Act,</w:t>
      </w:r>
      <w:r w:rsidR="00B172A9" w:rsidRPr="00CE400E">
        <w:rPr>
          <w:rStyle w:val="FootnoteReference"/>
          <w:sz w:val="24"/>
          <w:szCs w:val="24"/>
        </w:rPr>
        <w:footnoteReference w:id="4"/>
      </w:r>
      <w:r w:rsidR="00B172A9" w:rsidRPr="00CE400E">
        <w:rPr>
          <w:sz w:val="24"/>
          <w:szCs w:val="24"/>
        </w:rPr>
        <w:t xml:space="preserve"> and the Appearance of Fairness Doctrine. </w:t>
      </w:r>
      <w:r w:rsidR="002A4895" w:rsidRPr="00CE400E">
        <w:rPr>
          <w:sz w:val="24"/>
          <w:szCs w:val="24"/>
        </w:rPr>
        <w:t xml:space="preserve"> </w:t>
      </w:r>
      <w:r w:rsidR="00B172A9" w:rsidRPr="00CE400E">
        <w:rPr>
          <w:sz w:val="24"/>
          <w:szCs w:val="24"/>
        </w:rPr>
        <w:t>I</w:t>
      </w:r>
      <w:r w:rsidRPr="00CE400E">
        <w:rPr>
          <w:rFonts w:eastAsia="Times New Roman" w:cs="Times New Roman"/>
          <w:sz w:val="24"/>
          <w:szCs w:val="24"/>
        </w:rPr>
        <w:t xml:space="preserve">n the unusual situation where an </w:t>
      </w:r>
      <w:r w:rsidRPr="00CE400E">
        <w:rPr>
          <w:rFonts w:eastAsia="Times New Roman" w:cs="Times New Roman"/>
          <w:i/>
          <w:sz w:val="24"/>
          <w:szCs w:val="24"/>
        </w:rPr>
        <w:t xml:space="preserve">ex parte </w:t>
      </w:r>
      <w:r w:rsidRPr="00CE400E">
        <w:rPr>
          <w:rFonts w:eastAsia="Times New Roman" w:cs="Times New Roman"/>
          <w:sz w:val="24"/>
          <w:szCs w:val="24"/>
        </w:rPr>
        <w:t xml:space="preserve">communication has occurred, we cure it according to the procedures outlined in the Administrative Procedure Act.  </w:t>
      </w:r>
      <w:r w:rsidR="002C783D" w:rsidRPr="00CE400E">
        <w:rPr>
          <w:rFonts w:eastAsia="Times New Roman" w:cs="Times New Roman"/>
          <w:sz w:val="24"/>
          <w:szCs w:val="24"/>
        </w:rPr>
        <w:t>In fact,</w:t>
      </w:r>
      <w:r w:rsidR="00CD0DFB" w:rsidRPr="00CE400E">
        <w:rPr>
          <w:rFonts w:eastAsia="Times New Roman" w:cs="Times New Roman"/>
          <w:sz w:val="24"/>
          <w:szCs w:val="24"/>
        </w:rPr>
        <w:t xml:space="preserve"> in an abundance of caution,</w:t>
      </w:r>
      <w:r w:rsidR="002C783D" w:rsidRPr="00CE400E">
        <w:rPr>
          <w:rFonts w:eastAsia="Times New Roman" w:cs="Times New Roman"/>
          <w:sz w:val="24"/>
          <w:szCs w:val="24"/>
        </w:rPr>
        <w:t xml:space="preserve"> this is the process that was followed in the Notice of Ex Parte Communications</w:t>
      </w:r>
      <w:r w:rsidR="00CE400E" w:rsidRPr="00CE400E">
        <w:rPr>
          <w:rFonts w:eastAsia="Times New Roman" w:cs="Times New Roman"/>
          <w:sz w:val="24"/>
          <w:szCs w:val="24"/>
        </w:rPr>
        <w:t>.</w:t>
      </w:r>
      <w:r w:rsidR="002C783D" w:rsidRPr="00CE400E">
        <w:rPr>
          <w:rFonts w:eastAsia="Times New Roman" w:cs="Times New Roman"/>
          <w:sz w:val="24"/>
          <w:szCs w:val="24"/>
        </w:rPr>
        <w:t xml:space="preserve">  Contrary to your assertion, all parties to Avista’s rate case did have the opportunity to respond to the communications and file rebuttal statements.  It is unclear what additional “due process protections” you </w:t>
      </w:r>
      <w:r w:rsidR="002D66C8" w:rsidRPr="00CE400E">
        <w:rPr>
          <w:rFonts w:eastAsia="Times New Roman" w:cs="Times New Roman"/>
          <w:sz w:val="24"/>
          <w:szCs w:val="24"/>
        </w:rPr>
        <w:t>deem necessary</w:t>
      </w:r>
      <w:r w:rsidR="002C783D" w:rsidRPr="00CE400E">
        <w:rPr>
          <w:rFonts w:eastAsia="Times New Roman" w:cs="Times New Roman"/>
          <w:sz w:val="24"/>
          <w:szCs w:val="24"/>
        </w:rPr>
        <w:t xml:space="preserve"> which </w:t>
      </w:r>
      <w:r w:rsidR="002D66C8" w:rsidRPr="00CE400E">
        <w:rPr>
          <w:rFonts w:eastAsia="Times New Roman" w:cs="Times New Roman"/>
          <w:sz w:val="24"/>
          <w:szCs w:val="24"/>
        </w:rPr>
        <w:t>have</w:t>
      </w:r>
      <w:r w:rsidR="002C783D" w:rsidRPr="00CE400E">
        <w:rPr>
          <w:rFonts w:eastAsia="Times New Roman" w:cs="Times New Roman"/>
          <w:sz w:val="24"/>
          <w:szCs w:val="24"/>
        </w:rPr>
        <w:t xml:space="preserve"> not </w:t>
      </w:r>
      <w:r w:rsidR="002D66C8" w:rsidRPr="00CE400E">
        <w:rPr>
          <w:rFonts w:eastAsia="Times New Roman" w:cs="Times New Roman"/>
          <w:sz w:val="24"/>
          <w:szCs w:val="24"/>
        </w:rPr>
        <w:t>been</w:t>
      </w:r>
      <w:r w:rsidR="002C783D" w:rsidRPr="00CE400E">
        <w:rPr>
          <w:rFonts w:eastAsia="Times New Roman" w:cs="Times New Roman"/>
          <w:sz w:val="24"/>
          <w:szCs w:val="24"/>
        </w:rPr>
        <w:t xml:space="preserve"> </w:t>
      </w:r>
      <w:r w:rsidR="002D66C8" w:rsidRPr="00CE400E">
        <w:rPr>
          <w:rFonts w:eastAsia="Times New Roman" w:cs="Times New Roman"/>
          <w:sz w:val="24"/>
          <w:szCs w:val="24"/>
        </w:rPr>
        <w:t>provided for</w:t>
      </w:r>
      <w:r w:rsidR="002C783D" w:rsidRPr="00CE400E">
        <w:rPr>
          <w:rFonts w:eastAsia="Times New Roman" w:cs="Times New Roman"/>
          <w:sz w:val="24"/>
          <w:szCs w:val="24"/>
        </w:rPr>
        <w:t xml:space="preserve"> </w:t>
      </w:r>
      <w:r w:rsidR="002D66C8" w:rsidRPr="00CE400E">
        <w:rPr>
          <w:rFonts w:eastAsia="Times New Roman" w:cs="Times New Roman"/>
          <w:sz w:val="24"/>
          <w:szCs w:val="24"/>
        </w:rPr>
        <w:t>in</w:t>
      </w:r>
      <w:r w:rsidR="002C783D" w:rsidRPr="00CE400E">
        <w:rPr>
          <w:rFonts w:eastAsia="Times New Roman" w:cs="Times New Roman"/>
          <w:sz w:val="24"/>
          <w:szCs w:val="24"/>
        </w:rPr>
        <w:t xml:space="preserve"> the Administrative Procedure Act.</w:t>
      </w:r>
    </w:p>
    <w:p w:rsidR="00521A61" w:rsidRPr="00CE400E" w:rsidRDefault="00521A61" w:rsidP="000D19B0">
      <w:pPr>
        <w:pStyle w:val="NoSpacing"/>
        <w:spacing w:line="264" w:lineRule="auto"/>
        <w:rPr>
          <w:rFonts w:eastAsia="Times New Roman" w:cs="Times New Roman"/>
          <w:sz w:val="24"/>
          <w:szCs w:val="24"/>
        </w:rPr>
      </w:pPr>
    </w:p>
    <w:p w:rsidR="002C783D" w:rsidRPr="00CE400E" w:rsidRDefault="002C783D" w:rsidP="000D19B0">
      <w:pPr>
        <w:pStyle w:val="NoSpacing"/>
        <w:spacing w:line="264" w:lineRule="auto"/>
        <w:rPr>
          <w:rFonts w:eastAsia="Times New Roman" w:cs="Times New Roman"/>
          <w:sz w:val="24"/>
          <w:szCs w:val="24"/>
        </w:rPr>
      </w:pPr>
      <w:r w:rsidRPr="00CE400E">
        <w:rPr>
          <w:rFonts w:eastAsia="Times New Roman" w:cs="Times New Roman"/>
          <w:sz w:val="24"/>
          <w:szCs w:val="24"/>
        </w:rPr>
        <w:t xml:space="preserve">Further, opening up the smart grid briefings to the parties does not obligate them to attend.  If, as you state, this places “a substantial burden on the parties” to attend, it is </w:t>
      </w:r>
      <w:r w:rsidR="00521A61" w:rsidRPr="00CE400E">
        <w:rPr>
          <w:rFonts w:eastAsia="Times New Roman" w:cs="Times New Roman"/>
          <w:sz w:val="24"/>
          <w:szCs w:val="24"/>
        </w:rPr>
        <w:t xml:space="preserve">certainly </w:t>
      </w:r>
      <w:r w:rsidRPr="00CE400E">
        <w:rPr>
          <w:rFonts w:eastAsia="Times New Roman" w:cs="Times New Roman"/>
          <w:sz w:val="24"/>
          <w:szCs w:val="24"/>
        </w:rPr>
        <w:t>your prerogative to decline</w:t>
      </w:r>
      <w:r w:rsidR="00521A61" w:rsidRPr="00CE400E">
        <w:rPr>
          <w:rFonts w:eastAsia="Times New Roman" w:cs="Times New Roman"/>
          <w:sz w:val="24"/>
          <w:szCs w:val="24"/>
        </w:rPr>
        <w:t xml:space="preserve"> to do so</w:t>
      </w:r>
      <w:r w:rsidRPr="00CE400E">
        <w:rPr>
          <w:rFonts w:eastAsia="Times New Roman" w:cs="Times New Roman"/>
          <w:sz w:val="24"/>
          <w:szCs w:val="24"/>
        </w:rPr>
        <w:t>.</w:t>
      </w:r>
    </w:p>
    <w:p w:rsidR="002C783D" w:rsidRPr="00CE400E" w:rsidRDefault="002C783D" w:rsidP="000D19B0">
      <w:pPr>
        <w:pStyle w:val="NoSpacing"/>
        <w:spacing w:line="264" w:lineRule="auto"/>
        <w:rPr>
          <w:rFonts w:eastAsia="Times New Roman" w:cs="Times New Roman"/>
          <w:sz w:val="24"/>
          <w:szCs w:val="24"/>
        </w:rPr>
      </w:pPr>
    </w:p>
    <w:p w:rsidR="006E5A0C" w:rsidRPr="00CE400E" w:rsidRDefault="002C783D" w:rsidP="000D19B0">
      <w:pPr>
        <w:pStyle w:val="NoSpacing"/>
        <w:spacing w:line="264" w:lineRule="auto"/>
        <w:rPr>
          <w:rFonts w:eastAsia="Times New Roman" w:cs="Times New Roman"/>
          <w:sz w:val="24"/>
          <w:szCs w:val="24"/>
        </w:rPr>
      </w:pPr>
      <w:r w:rsidRPr="00CE400E">
        <w:rPr>
          <w:rFonts w:eastAsia="Times New Roman" w:cs="Times New Roman"/>
          <w:sz w:val="24"/>
          <w:szCs w:val="24"/>
        </w:rPr>
        <w:t xml:space="preserve">While the Commission does not view its prior invitation </w:t>
      </w:r>
      <w:r w:rsidR="00521A61" w:rsidRPr="00CE400E">
        <w:rPr>
          <w:rFonts w:eastAsia="Times New Roman" w:cs="Times New Roman"/>
          <w:sz w:val="24"/>
          <w:szCs w:val="24"/>
        </w:rPr>
        <w:t>to the parties improper</w:t>
      </w:r>
      <w:r w:rsidRPr="00CE400E">
        <w:rPr>
          <w:rFonts w:eastAsia="Times New Roman" w:cs="Times New Roman"/>
          <w:sz w:val="24"/>
          <w:szCs w:val="24"/>
        </w:rPr>
        <w:t xml:space="preserve">, the Commission has decided to hold </w:t>
      </w:r>
      <w:r w:rsidR="00521A61" w:rsidRPr="00CE400E">
        <w:rPr>
          <w:rFonts w:eastAsia="Times New Roman" w:cs="Times New Roman"/>
          <w:sz w:val="24"/>
          <w:szCs w:val="24"/>
        </w:rPr>
        <w:t>the next smart grid briefing during an open meeting with the specific date to be determined later.  It is the Commission’s hope that this puts Public Counsel’s concerns to rest</w:t>
      </w:r>
      <w:r w:rsidR="002A4895" w:rsidRPr="00CE400E">
        <w:rPr>
          <w:rFonts w:eastAsia="Times New Roman" w:cs="Times New Roman"/>
          <w:sz w:val="24"/>
          <w:szCs w:val="24"/>
        </w:rPr>
        <w:t>.</w:t>
      </w:r>
    </w:p>
    <w:p w:rsidR="005718E6" w:rsidRPr="00CE400E" w:rsidRDefault="005718E6" w:rsidP="005718E6">
      <w:pPr>
        <w:pStyle w:val="NoSpacing"/>
        <w:spacing w:line="264" w:lineRule="auto"/>
        <w:rPr>
          <w:sz w:val="24"/>
          <w:szCs w:val="24"/>
        </w:rPr>
      </w:pPr>
    </w:p>
    <w:p w:rsidR="005718E6" w:rsidRPr="00CE400E" w:rsidRDefault="005718E6" w:rsidP="005718E6">
      <w:pPr>
        <w:pStyle w:val="NoSpacing"/>
        <w:spacing w:line="264" w:lineRule="auto"/>
        <w:rPr>
          <w:sz w:val="24"/>
          <w:szCs w:val="24"/>
        </w:rPr>
      </w:pPr>
      <w:r w:rsidRPr="00CE400E">
        <w:rPr>
          <w:sz w:val="24"/>
          <w:szCs w:val="24"/>
        </w:rPr>
        <w:t>Sincerely,</w:t>
      </w:r>
    </w:p>
    <w:p w:rsidR="005718E6" w:rsidRPr="00CE400E" w:rsidRDefault="005718E6" w:rsidP="005718E6">
      <w:pPr>
        <w:pStyle w:val="NoSpacing"/>
        <w:spacing w:line="264" w:lineRule="auto"/>
        <w:rPr>
          <w:sz w:val="24"/>
          <w:szCs w:val="24"/>
        </w:rPr>
      </w:pPr>
    </w:p>
    <w:p w:rsidR="005718E6" w:rsidRPr="00CE400E" w:rsidRDefault="005718E6" w:rsidP="005718E6">
      <w:pPr>
        <w:pStyle w:val="NoSpacing"/>
        <w:spacing w:line="264" w:lineRule="auto"/>
        <w:rPr>
          <w:sz w:val="24"/>
          <w:szCs w:val="24"/>
        </w:rPr>
      </w:pPr>
    </w:p>
    <w:p w:rsidR="005718E6" w:rsidRPr="00CE400E" w:rsidRDefault="005718E6" w:rsidP="005718E6">
      <w:pPr>
        <w:pStyle w:val="NoSpacing"/>
        <w:spacing w:line="264" w:lineRule="auto"/>
        <w:rPr>
          <w:sz w:val="24"/>
          <w:szCs w:val="24"/>
        </w:rPr>
      </w:pPr>
    </w:p>
    <w:p w:rsidR="005718E6" w:rsidRPr="00CE400E" w:rsidRDefault="005718E6" w:rsidP="005718E6">
      <w:pPr>
        <w:pStyle w:val="NoSpacing"/>
        <w:spacing w:line="264" w:lineRule="auto"/>
        <w:rPr>
          <w:sz w:val="24"/>
          <w:szCs w:val="24"/>
        </w:rPr>
      </w:pPr>
      <w:r w:rsidRPr="00CE400E">
        <w:rPr>
          <w:sz w:val="24"/>
          <w:szCs w:val="24"/>
        </w:rPr>
        <w:t>DAVID W. DANNER</w:t>
      </w:r>
    </w:p>
    <w:p w:rsidR="005718E6" w:rsidRPr="00CE400E" w:rsidRDefault="005718E6" w:rsidP="005718E6">
      <w:pPr>
        <w:pStyle w:val="NoSpacing"/>
        <w:spacing w:line="264" w:lineRule="auto"/>
        <w:rPr>
          <w:sz w:val="24"/>
          <w:szCs w:val="24"/>
        </w:rPr>
      </w:pPr>
      <w:r w:rsidRPr="00CE400E">
        <w:rPr>
          <w:sz w:val="24"/>
          <w:szCs w:val="24"/>
        </w:rPr>
        <w:t>Executive Director and Secretary</w:t>
      </w:r>
    </w:p>
    <w:p w:rsidR="004F2456" w:rsidRPr="00CE400E" w:rsidRDefault="004F2456" w:rsidP="005718E6">
      <w:pPr>
        <w:pStyle w:val="NoSpacing"/>
        <w:spacing w:line="264" w:lineRule="auto"/>
        <w:rPr>
          <w:sz w:val="24"/>
          <w:szCs w:val="24"/>
        </w:rPr>
      </w:pPr>
    </w:p>
    <w:p w:rsidR="005718E6" w:rsidRPr="00CE400E" w:rsidRDefault="002A4895" w:rsidP="005718E6">
      <w:pPr>
        <w:pStyle w:val="NoSpacing"/>
        <w:spacing w:line="264" w:lineRule="auto"/>
        <w:rPr>
          <w:sz w:val="24"/>
          <w:szCs w:val="24"/>
        </w:rPr>
      </w:pPr>
      <w:r w:rsidRPr="00CE400E">
        <w:rPr>
          <w:sz w:val="24"/>
          <w:szCs w:val="24"/>
        </w:rPr>
        <w:t>c</w:t>
      </w:r>
      <w:r w:rsidR="004F2456" w:rsidRPr="00CE400E">
        <w:rPr>
          <w:sz w:val="24"/>
          <w:szCs w:val="24"/>
        </w:rPr>
        <w:t>c:</w:t>
      </w:r>
      <w:r w:rsidR="004F2456" w:rsidRPr="00CE400E">
        <w:rPr>
          <w:sz w:val="24"/>
          <w:szCs w:val="24"/>
        </w:rPr>
        <w:tab/>
        <w:t xml:space="preserve">All </w:t>
      </w:r>
      <w:r w:rsidRPr="00CE400E">
        <w:rPr>
          <w:sz w:val="24"/>
          <w:szCs w:val="24"/>
        </w:rPr>
        <w:t>P</w:t>
      </w:r>
      <w:r w:rsidR="004F2456" w:rsidRPr="00CE400E">
        <w:rPr>
          <w:sz w:val="24"/>
          <w:szCs w:val="24"/>
        </w:rPr>
        <w:t>arties</w:t>
      </w:r>
    </w:p>
    <w:sectPr w:rsidR="005718E6" w:rsidRPr="00CE400E" w:rsidSect="00A10BC3">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86" w:rsidRDefault="002C0786" w:rsidP="00C958F3">
      <w:pPr>
        <w:spacing w:line="240" w:lineRule="auto"/>
      </w:pPr>
      <w:r>
        <w:separator/>
      </w:r>
    </w:p>
  </w:endnote>
  <w:endnote w:type="continuationSeparator" w:id="0">
    <w:p w:rsidR="002C0786" w:rsidRDefault="002C0786" w:rsidP="00C95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86" w:rsidRDefault="002C0786" w:rsidP="00C958F3">
      <w:pPr>
        <w:spacing w:line="240" w:lineRule="auto"/>
      </w:pPr>
      <w:r>
        <w:separator/>
      </w:r>
    </w:p>
  </w:footnote>
  <w:footnote w:type="continuationSeparator" w:id="0">
    <w:p w:rsidR="002C0786" w:rsidRDefault="002C0786" w:rsidP="00C958F3">
      <w:pPr>
        <w:spacing w:line="240" w:lineRule="auto"/>
      </w:pPr>
      <w:r>
        <w:continuationSeparator/>
      </w:r>
    </w:p>
  </w:footnote>
  <w:footnote w:id="1">
    <w:p w:rsidR="002C0786" w:rsidRDefault="002C0786">
      <w:pPr>
        <w:pStyle w:val="FootnoteText"/>
        <w:rPr>
          <w:sz w:val="22"/>
        </w:rPr>
      </w:pPr>
      <w:r w:rsidRPr="00253A04">
        <w:rPr>
          <w:rStyle w:val="FootnoteReference"/>
          <w:sz w:val="22"/>
        </w:rPr>
        <w:footnoteRef/>
      </w:r>
      <w:r w:rsidRPr="00253A04">
        <w:rPr>
          <w:sz w:val="22"/>
        </w:rPr>
        <w:t xml:space="preserve"> </w:t>
      </w:r>
      <w:r>
        <w:rPr>
          <w:sz w:val="22"/>
        </w:rPr>
        <w:t xml:space="preserve">Letter from Sarah A. Shifley, Assistant Attorney General, Public Counsel Section of the Washington State Attorney General’s Office, to David Danner, Executive Director and Secretary, </w:t>
      </w:r>
      <w:r w:rsidRPr="003958DD">
        <w:rPr>
          <w:sz w:val="22"/>
        </w:rPr>
        <w:t>Washington Utilities and Transportation Commission</w:t>
      </w:r>
      <w:r>
        <w:rPr>
          <w:sz w:val="22"/>
        </w:rPr>
        <w:t xml:space="preserve"> (August 17, 2011) (on file with the Commission).</w:t>
      </w:r>
    </w:p>
    <w:p w:rsidR="002C0786" w:rsidRPr="00253A04" w:rsidRDefault="002C0786">
      <w:pPr>
        <w:pStyle w:val="FootnoteText"/>
        <w:rPr>
          <w:sz w:val="22"/>
        </w:rPr>
      </w:pPr>
    </w:p>
  </w:footnote>
  <w:footnote w:id="2">
    <w:p w:rsidR="002C0786" w:rsidRDefault="002C0786">
      <w:pPr>
        <w:pStyle w:val="FootnoteText"/>
        <w:rPr>
          <w:i/>
          <w:sz w:val="22"/>
        </w:rPr>
      </w:pPr>
      <w:r w:rsidRPr="007F2E9E">
        <w:rPr>
          <w:rStyle w:val="FootnoteReference"/>
          <w:sz w:val="22"/>
        </w:rPr>
        <w:footnoteRef/>
      </w:r>
      <w:r w:rsidRPr="007F2E9E">
        <w:rPr>
          <w:sz w:val="22"/>
        </w:rPr>
        <w:t xml:space="preserve"> </w:t>
      </w:r>
      <w:r>
        <w:rPr>
          <w:i/>
          <w:sz w:val="22"/>
        </w:rPr>
        <w:t>Id.</w:t>
      </w:r>
    </w:p>
    <w:p w:rsidR="002C0786" w:rsidRPr="007F2E9E" w:rsidRDefault="002C0786">
      <w:pPr>
        <w:pStyle w:val="FootnoteText"/>
        <w:rPr>
          <w:i/>
          <w:sz w:val="22"/>
        </w:rPr>
      </w:pPr>
    </w:p>
  </w:footnote>
  <w:footnote w:id="3">
    <w:p w:rsidR="002C0786" w:rsidRDefault="002C0786">
      <w:pPr>
        <w:pStyle w:val="FootnoteText"/>
        <w:rPr>
          <w:i/>
          <w:sz w:val="22"/>
        </w:rPr>
      </w:pPr>
      <w:r w:rsidRPr="002D66C8">
        <w:rPr>
          <w:rStyle w:val="FootnoteReference"/>
          <w:sz w:val="22"/>
        </w:rPr>
        <w:footnoteRef/>
      </w:r>
      <w:r w:rsidRPr="002D66C8">
        <w:rPr>
          <w:sz w:val="22"/>
        </w:rPr>
        <w:t xml:space="preserve"> </w:t>
      </w:r>
      <w:r>
        <w:rPr>
          <w:i/>
          <w:sz w:val="22"/>
        </w:rPr>
        <w:t>Id.</w:t>
      </w:r>
    </w:p>
    <w:p w:rsidR="002C0786" w:rsidRPr="002D66C8" w:rsidRDefault="002C0786">
      <w:pPr>
        <w:pStyle w:val="FootnoteText"/>
        <w:rPr>
          <w:i/>
          <w:sz w:val="22"/>
        </w:rPr>
      </w:pPr>
    </w:p>
  </w:footnote>
  <w:footnote w:id="4">
    <w:p w:rsidR="002C0786" w:rsidRDefault="002C0786" w:rsidP="00B172A9">
      <w:pPr>
        <w:pStyle w:val="FootnoteText"/>
        <w:rPr>
          <w:i/>
          <w:sz w:val="22"/>
        </w:rPr>
      </w:pPr>
      <w:r w:rsidRPr="00EC0D23">
        <w:rPr>
          <w:rStyle w:val="FootnoteReference"/>
          <w:sz w:val="22"/>
        </w:rPr>
        <w:footnoteRef/>
      </w:r>
      <w:r w:rsidRPr="00EC0D23">
        <w:rPr>
          <w:sz w:val="22"/>
        </w:rPr>
        <w:t xml:space="preserve"> </w:t>
      </w:r>
      <w:r>
        <w:rPr>
          <w:sz w:val="22"/>
        </w:rPr>
        <w:t xml:space="preserve">RCW 42.30.010, </w:t>
      </w:r>
      <w:r>
        <w:rPr>
          <w:i/>
          <w:sz w:val="22"/>
        </w:rPr>
        <w:t>et seq.</w:t>
      </w:r>
    </w:p>
    <w:p w:rsidR="002C0786" w:rsidRPr="00EC0D23" w:rsidRDefault="002C0786" w:rsidP="00B172A9">
      <w:pPr>
        <w:pStyle w:val="FootnoteText"/>
        <w:rPr>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86" w:rsidRPr="00C958F3" w:rsidRDefault="002C0786" w:rsidP="00C958F3">
    <w:pPr>
      <w:pStyle w:val="Header"/>
      <w:tabs>
        <w:tab w:val="clear" w:pos="9360"/>
        <w:tab w:val="right" w:pos="8730"/>
      </w:tabs>
      <w:rPr>
        <w:b/>
        <w:noProof/>
        <w:sz w:val="20"/>
        <w:szCs w:val="20"/>
      </w:rPr>
    </w:pPr>
    <w:r w:rsidRPr="00C958F3">
      <w:rPr>
        <w:b/>
        <w:sz w:val="20"/>
        <w:szCs w:val="20"/>
      </w:rPr>
      <w:t xml:space="preserve">DOCKETS </w:t>
    </w:r>
    <w:r>
      <w:rPr>
        <w:b/>
        <w:sz w:val="20"/>
        <w:szCs w:val="20"/>
      </w:rPr>
      <w:t xml:space="preserve">UE-110876 and UG-110877 </w:t>
    </w:r>
    <w:r w:rsidRPr="002A4895">
      <w:rPr>
        <w:b/>
        <w:i/>
        <w:sz w:val="20"/>
        <w:szCs w:val="20"/>
      </w:rPr>
      <w:t>(consolidated)</w:t>
    </w:r>
    <w:r w:rsidRPr="00C958F3">
      <w:rPr>
        <w:b/>
        <w:sz w:val="20"/>
        <w:szCs w:val="20"/>
      </w:rPr>
      <w:t xml:space="preserve"> </w:t>
    </w:r>
    <w:r w:rsidRPr="00C958F3">
      <w:rPr>
        <w:b/>
        <w:sz w:val="20"/>
        <w:szCs w:val="20"/>
      </w:rPr>
      <w:tab/>
    </w:r>
    <w:r w:rsidRPr="00C958F3">
      <w:rPr>
        <w:b/>
        <w:sz w:val="20"/>
        <w:szCs w:val="20"/>
      </w:rPr>
      <w:tab/>
      <w:t xml:space="preserve">PAGE </w:t>
    </w:r>
    <w:r w:rsidRPr="00C958F3">
      <w:rPr>
        <w:b/>
        <w:sz w:val="20"/>
        <w:szCs w:val="20"/>
      </w:rPr>
      <w:fldChar w:fldCharType="begin"/>
    </w:r>
    <w:r w:rsidRPr="00C958F3">
      <w:rPr>
        <w:b/>
        <w:sz w:val="20"/>
        <w:szCs w:val="20"/>
      </w:rPr>
      <w:instrText xml:space="preserve"> PAGE   \* MERGEFORMAT </w:instrText>
    </w:r>
    <w:r w:rsidRPr="00C958F3">
      <w:rPr>
        <w:b/>
        <w:sz w:val="20"/>
        <w:szCs w:val="20"/>
      </w:rPr>
      <w:fldChar w:fldCharType="separate"/>
    </w:r>
    <w:r w:rsidR="00C67B9A">
      <w:rPr>
        <w:b/>
        <w:noProof/>
        <w:sz w:val="20"/>
        <w:szCs w:val="20"/>
      </w:rPr>
      <w:t>2</w:t>
    </w:r>
    <w:r w:rsidRPr="00C958F3">
      <w:rPr>
        <w:b/>
        <w:noProof/>
        <w:sz w:val="20"/>
        <w:szCs w:val="20"/>
      </w:rPr>
      <w:fldChar w:fldCharType="end"/>
    </w:r>
  </w:p>
  <w:p w:rsidR="002C0786" w:rsidRDefault="002C0786" w:rsidP="00C958F3">
    <w:pPr>
      <w:pStyle w:val="Header"/>
      <w:tabs>
        <w:tab w:val="clear" w:pos="9360"/>
        <w:tab w:val="right" w:pos="87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E6"/>
    <w:rsid w:val="00000817"/>
    <w:rsid w:val="00000D94"/>
    <w:rsid w:val="00010C8C"/>
    <w:rsid w:val="00024FCC"/>
    <w:rsid w:val="00054580"/>
    <w:rsid w:val="000704AF"/>
    <w:rsid w:val="000A34DE"/>
    <w:rsid w:val="000A4CFE"/>
    <w:rsid w:val="000C0CA8"/>
    <w:rsid w:val="000C159F"/>
    <w:rsid w:val="000D19B0"/>
    <w:rsid w:val="000F4FEE"/>
    <w:rsid w:val="000F629A"/>
    <w:rsid w:val="00110896"/>
    <w:rsid w:val="001140DB"/>
    <w:rsid w:val="00124765"/>
    <w:rsid w:val="00125DE3"/>
    <w:rsid w:val="0012797D"/>
    <w:rsid w:val="00134F21"/>
    <w:rsid w:val="001605B2"/>
    <w:rsid w:val="001703EB"/>
    <w:rsid w:val="001723BF"/>
    <w:rsid w:val="00196394"/>
    <w:rsid w:val="00234FA6"/>
    <w:rsid w:val="00253A04"/>
    <w:rsid w:val="0025477A"/>
    <w:rsid w:val="00262124"/>
    <w:rsid w:val="00270B6C"/>
    <w:rsid w:val="00281C9A"/>
    <w:rsid w:val="002861A1"/>
    <w:rsid w:val="002A4895"/>
    <w:rsid w:val="002C0786"/>
    <w:rsid w:val="002C783D"/>
    <w:rsid w:val="002D66C8"/>
    <w:rsid w:val="002E5203"/>
    <w:rsid w:val="003004E6"/>
    <w:rsid w:val="003159A6"/>
    <w:rsid w:val="00320272"/>
    <w:rsid w:val="00326C72"/>
    <w:rsid w:val="00331826"/>
    <w:rsid w:val="00331DBD"/>
    <w:rsid w:val="0035370C"/>
    <w:rsid w:val="00376B89"/>
    <w:rsid w:val="003958DD"/>
    <w:rsid w:val="003F118C"/>
    <w:rsid w:val="003F43F9"/>
    <w:rsid w:val="00400A04"/>
    <w:rsid w:val="004275F1"/>
    <w:rsid w:val="00430DED"/>
    <w:rsid w:val="004470D6"/>
    <w:rsid w:val="00466587"/>
    <w:rsid w:val="00497485"/>
    <w:rsid w:val="004B13DF"/>
    <w:rsid w:val="004D03CC"/>
    <w:rsid w:val="004D16B9"/>
    <w:rsid w:val="004D5E7A"/>
    <w:rsid w:val="004F2456"/>
    <w:rsid w:val="00521A61"/>
    <w:rsid w:val="00546385"/>
    <w:rsid w:val="005718E6"/>
    <w:rsid w:val="00571C63"/>
    <w:rsid w:val="0057556D"/>
    <w:rsid w:val="005811C7"/>
    <w:rsid w:val="005963E1"/>
    <w:rsid w:val="005970BC"/>
    <w:rsid w:val="005A4601"/>
    <w:rsid w:val="005E662A"/>
    <w:rsid w:val="005F6CB0"/>
    <w:rsid w:val="00625F87"/>
    <w:rsid w:val="006328EE"/>
    <w:rsid w:val="00636DA8"/>
    <w:rsid w:val="00637028"/>
    <w:rsid w:val="00647468"/>
    <w:rsid w:val="00671E79"/>
    <w:rsid w:val="006725EB"/>
    <w:rsid w:val="00682AAC"/>
    <w:rsid w:val="006B51AE"/>
    <w:rsid w:val="006C391D"/>
    <w:rsid w:val="006E57AA"/>
    <w:rsid w:val="006E5A0C"/>
    <w:rsid w:val="00751967"/>
    <w:rsid w:val="00772BFD"/>
    <w:rsid w:val="007D026E"/>
    <w:rsid w:val="007E4058"/>
    <w:rsid w:val="007E6723"/>
    <w:rsid w:val="007F2E9E"/>
    <w:rsid w:val="008221C4"/>
    <w:rsid w:val="008312B2"/>
    <w:rsid w:val="008530CE"/>
    <w:rsid w:val="00857614"/>
    <w:rsid w:val="00860D9F"/>
    <w:rsid w:val="00885F8D"/>
    <w:rsid w:val="008927D2"/>
    <w:rsid w:val="00894053"/>
    <w:rsid w:val="008A0BC8"/>
    <w:rsid w:val="008A2759"/>
    <w:rsid w:val="008C4198"/>
    <w:rsid w:val="008E71A6"/>
    <w:rsid w:val="008F56B3"/>
    <w:rsid w:val="0091303D"/>
    <w:rsid w:val="00950B86"/>
    <w:rsid w:val="00956140"/>
    <w:rsid w:val="00976A7E"/>
    <w:rsid w:val="009931C1"/>
    <w:rsid w:val="009A5465"/>
    <w:rsid w:val="009A68EE"/>
    <w:rsid w:val="009F2B54"/>
    <w:rsid w:val="00A10BC3"/>
    <w:rsid w:val="00A13853"/>
    <w:rsid w:val="00A25D45"/>
    <w:rsid w:val="00A35B1C"/>
    <w:rsid w:val="00A530DD"/>
    <w:rsid w:val="00A6640F"/>
    <w:rsid w:val="00A82346"/>
    <w:rsid w:val="00A84C01"/>
    <w:rsid w:val="00AB33FE"/>
    <w:rsid w:val="00B15B6B"/>
    <w:rsid w:val="00B172A9"/>
    <w:rsid w:val="00B4193F"/>
    <w:rsid w:val="00B6469B"/>
    <w:rsid w:val="00B72B76"/>
    <w:rsid w:val="00BC18E9"/>
    <w:rsid w:val="00BD4460"/>
    <w:rsid w:val="00C02040"/>
    <w:rsid w:val="00C227FD"/>
    <w:rsid w:val="00C32100"/>
    <w:rsid w:val="00C3532A"/>
    <w:rsid w:val="00C55CFC"/>
    <w:rsid w:val="00C67B9A"/>
    <w:rsid w:val="00C93A82"/>
    <w:rsid w:val="00C958F3"/>
    <w:rsid w:val="00CB2C63"/>
    <w:rsid w:val="00CB7F41"/>
    <w:rsid w:val="00CD0DFB"/>
    <w:rsid w:val="00CE400E"/>
    <w:rsid w:val="00D0056C"/>
    <w:rsid w:val="00D167FA"/>
    <w:rsid w:val="00D31F7D"/>
    <w:rsid w:val="00D36495"/>
    <w:rsid w:val="00D417B8"/>
    <w:rsid w:val="00D5254D"/>
    <w:rsid w:val="00D6592D"/>
    <w:rsid w:val="00D87DE9"/>
    <w:rsid w:val="00D955D2"/>
    <w:rsid w:val="00D968B5"/>
    <w:rsid w:val="00DA4DDA"/>
    <w:rsid w:val="00DB12F0"/>
    <w:rsid w:val="00DB53EA"/>
    <w:rsid w:val="00DE758E"/>
    <w:rsid w:val="00DF16E1"/>
    <w:rsid w:val="00E005E8"/>
    <w:rsid w:val="00E43AD9"/>
    <w:rsid w:val="00E64B91"/>
    <w:rsid w:val="00E94DEF"/>
    <w:rsid w:val="00E95080"/>
    <w:rsid w:val="00EA64C0"/>
    <w:rsid w:val="00ED5278"/>
    <w:rsid w:val="00EE4F4B"/>
    <w:rsid w:val="00F35267"/>
    <w:rsid w:val="00F50B69"/>
    <w:rsid w:val="00F54581"/>
    <w:rsid w:val="00F558A0"/>
    <w:rsid w:val="00F75379"/>
    <w:rsid w:val="00F763FB"/>
    <w:rsid w:val="00F80CD0"/>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253A04"/>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253A04"/>
    <w:rPr>
      <w:sz w:val="20"/>
      <w:szCs w:val="20"/>
    </w:rPr>
  </w:style>
  <w:style w:type="character" w:styleId="FootnoteReference">
    <w:name w:val="footnote reference"/>
    <w:basedOn w:val="DefaultParagraphFont"/>
    <w:unhideWhenUsed/>
    <w:rsid w:val="00253A04"/>
    <w:rPr>
      <w:vertAlign w:val="superscript"/>
    </w:rPr>
  </w:style>
  <w:style w:type="character" w:styleId="CommentReference">
    <w:name w:val="annotation reference"/>
    <w:basedOn w:val="DefaultParagraphFont"/>
    <w:uiPriority w:val="99"/>
    <w:semiHidden/>
    <w:unhideWhenUsed/>
    <w:rsid w:val="00CD0DFB"/>
    <w:rPr>
      <w:sz w:val="16"/>
      <w:szCs w:val="16"/>
    </w:rPr>
  </w:style>
  <w:style w:type="paragraph" w:styleId="CommentText">
    <w:name w:val="annotation text"/>
    <w:basedOn w:val="Normal"/>
    <w:link w:val="CommentTextChar"/>
    <w:uiPriority w:val="99"/>
    <w:semiHidden/>
    <w:unhideWhenUsed/>
    <w:rsid w:val="00CD0DFB"/>
    <w:pPr>
      <w:spacing w:line="240" w:lineRule="auto"/>
    </w:pPr>
    <w:rPr>
      <w:sz w:val="20"/>
      <w:szCs w:val="20"/>
    </w:rPr>
  </w:style>
  <w:style w:type="character" w:customStyle="1" w:styleId="CommentTextChar">
    <w:name w:val="Comment Text Char"/>
    <w:basedOn w:val="DefaultParagraphFont"/>
    <w:link w:val="CommentText"/>
    <w:uiPriority w:val="99"/>
    <w:semiHidden/>
    <w:rsid w:val="00CD0DFB"/>
    <w:rPr>
      <w:sz w:val="20"/>
      <w:szCs w:val="20"/>
    </w:rPr>
  </w:style>
  <w:style w:type="paragraph" w:styleId="CommentSubject">
    <w:name w:val="annotation subject"/>
    <w:basedOn w:val="CommentText"/>
    <w:next w:val="CommentText"/>
    <w:link w:val="CommentSubjectChar"/>
    <w:uiPriority w:val="99"/>
    <w:semiHidden/>
    <w:unhideWhenUsed/>
    <w:rsid w:val="00CD0DFB"/>
    <w:rPr>
      <w:b/>
      <w:bCs/>
    </w:rPr>
  </w:style>
  <w:style w:type="character" w:customStyle="1" w:styleId="CommentSubjectChar">
    <w:name w:val="Comment Subject Char"/>
    <w:basedOn w:val="CommentTextChar"/>
    <w:link w:val="CommentSubject"/>
    <w:uiPriority w:val="99"/>
    <w:semiHidden/>
    <w:rsid w:val="00CD0DFB"/>
    <w:rPr>
      <w:b/>
      <w:bCs/>
      <w:sz w:val="20"/>
      <w:szCs w:val="20"/>
    </w:rPr>
  </w:style>
  <w:style w:type="paragraph" w:styleId="BalloonText">
    <w:name w:val="Balloon Text"/>
    <w:basedOn w:val="Normal"/>
    <w:link w:val="BalloonTextChar"/>
    <w:uiPriority w:val="99"/>
    <w:semiHidden/>
    <w:unhideWhenUsed/>
    <w:rsid w:val="00CD0D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253A04"/>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253A04"/>
    <w:rPr>
      <w:sz w:val="20"/>
      <w:szCs w:val="20"/>
    </w:rPr>
  </w:style>
  <w:style w:type="character" w:styleId="FootnoteReference">
    <w:name w:val="footnote reference"/>
    <w:basedOn w:val="DefaultParagraphFont"/>
    <w:unhideWhenUsed/>
    <w:rsid w:val="00253A04"/>
    <w:rPr>
      <w:vertAlign w:val="superscript"/>
    </w:rPr>
  </w:style>
  <w:style w:type="character" w:styleId="CommentReference">
    <w:name w:val="annotation reference"/>
    <w:basedOn w:val="DefaultParagraphFont"/>
    <w:uiPriority w:val="99"/>
    <w:semiHidden/>
    <w:unhideWhenUsed/>
    <w:rsid w:val="00CD0DFB"/>
    <w:rPr>
      <w:sz w:val="16"/>
      <w:szCs w:val="16"/>
    </w:rPr>
  </w:style>
  <w:style w:type="paragraph" w:styleId="CommentText">
    <w:name w:val="annotation text"/>
    <w:basedOn w:val="Normal"/>
    <w:link w:val="CommentTextChar"/>
    <w:uiPriority w:val="99"/>
    <w:semiHidden/>
    <w:unhideWhenUsed/>
    <w:rsid w:val="00CD0DFB"/>
    <w:pPr>
      <w:spacing w:line="240" w:lineRule="auto"/>
    </w:pPr>
    <w:rPr>
      <w:sz w:val="20"/>
      <w:szCs w:val="20"/>
    </w:rPr>
  </w:style>
  <w:style w:type="character" w:customStyle="1" w:styleId="CommentTextChar">
    <w:name w:val="Comment Text Char"/>
    <w:basedOn w:val="DefaultParagraphFont"/>
    <w:link w:val="CommentText"/>
    <w:uiPriority w:val="99"/>
    <w:semiHidden/>
    <w:rsid w:val="00CD0DFB"/>
    <w:rPr>
      <w:sz w:val="20"/>
      <w:szCs w:val="20"/>
    </w:rPr>
  </w:style>
  <w:style w:type="paragraph" w:styleId="CommentSubject">
    <w:name w:val="annotation subject"/>
    <w:basedOn w:val="CommentText"/>
    <w:next w:val="CommentText"/>
    <w:link w:val="CommentSubjectChar"/>
    <w:uiPriority w:val="99"/>
    <w:semiHidden/>
    <w:unhideWhenUsed/>
    <w:rsid w:val="00CD0DFB"/>
    <w:rPr>
      <w:b/>
      <w:bCs/>
    </w:rPr>
  </w:style>
  <w:style w:type="character" w:customStyle="1" w:styleId="CommentSubjectChar">
    <w:name w:val="Comment Subject Char"/>
    <w:basedOn w:val="CommentTextChar"/>
    <w:link w:val="CommentSubject"/>
    <w:uiPriority w:val="99"/>
    <w:semiHidden/>
    <w:rsid w:val="00CD0DFB"/>
    <w:rPr>
      <w:b/>
      <w:bCs/>
      <w:sz w:val="20"/>
      <w:szCs w:val="20"/>
    </w:rPr>
  </w:style>
  <w:style w:type="paragraph" w:styleId="BalloonText">
    <w:name w:val="Balloon Text"/>
    <w:basedOn w:val="Normal"/>
    <w:link w:val="BalloonTextChar"/>
    <w:uiPriority w:val="99"/>
    <w:semiHidden/>
    <w:unhideWhenUsed/>
    <w:rsid w:val="00CD0D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2011-08-29T07:00:00+00:00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EB0835-25FE-4BE7-B659-8DB7E6682A9C}"/>
</file>

<file path=customXml/itemProps2.xml><?xml version="1.0" encoding="utf-8"?>
<ds:datastoreItem xmlns:ds="http://schemas.openxmlformats.org/officeDocument/2006/customXml" ds:itemID="{41968C42-BE8E-46B6-88C4-D05737CB8634}"/>
</file>

<file path=customXml/itemProps3.xml><?xml version="1.0" encoding="utf-8"?>
<ds:datastoreItem xmlns:ds="http://schemas.openxmlformats.org/officeDocument/2006/customXml" ds:itemID="{F04ADE61-836F-468D-A8B4-4FB6919DDF12}"/>
</file>

<file path=customXml/itemProps4.xml><?xml version="1.0" encoding="utf-8"?>
<ds:datastoreItem xmlns:ds="http://schemas.openxmlformats.org/officeDocument/2006/customXml" ds:itemID="{AA297888-9A17-458F-B6DD-22EE5687977B}"/>
</file>

<file path=customXml/itemProps5.xml><?xml version="1.0" encoding="utf-8"?>
<ds:datastoreItem xmlns:ds="http://schemas.openxmlformats.org/officeDocument/2006/customXml" ds:itemID="{455C9DB5-9A75-420E-AA4A-EA64A4C3C7F2}"/>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2011-08-26T18:02:00Z</dcterms:created>
  <dcterms:modified xsi:type="dcterms:W3CDTF">2011-08-29T21:01:00Z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