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361" w:rsidRDefault="00F01361" w:rsidP="00B870EE">
      <w:pPr>
        <w:jc w:val="center"/>
        <w:rPr>
          <w:b/>
          <w:szCs w:val="24"/>
        </w:rPr>
      </w:pPr>
      <w:bookmarkStart w:id="0" w:name="_GoBack"/>
      <w:bookmarkEnd w:id="0"/>
      <w:r>
        <w:rPr>
          <w:b/>
          <w:szCs w:val="24"/>
        </w:rPr>
        <w:t>BEFORE THE WASHINGTON</w:t>
      </w:r>
      <w:r>
        <w:rPr>
          <w:b/>
          <w:szCs w:val="24"/>
        </w:rPr>
        <w:br/>
        <w:t>UTILITIES AND TRANSPORTATION COMMISSION</w:t>
      </w:r>
    </w:p>
    <w:p w:rsidR="00F01361" w:rsidRDefault="00F01361" w:rsidP="00B870EE">
      <w:pPr>
        <w:jc w:val="center"/>
        <w:rPr>
          <w:b/>
          <w:szCs w:val="24"/>
        </w:rPr>
      </w:pPr>
    </w:p>
    <w:p w:rsidR="00F01361" w:rsidRDefault="00F01361" w:rsidP="00B870EE">
      <w:pPr>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4331"/>
      </w:tblGrid>
      <w:tr w:rsidR="00F01361" w:rsidTr="00F01361">
        <w:trPr>
          <w:jc w:val="center"/>
        </w:trPr>
        <w:tc>
          <w:tcPr>
            <w:tcW w:w="4698" w:type="dxa"/>
            <w:tcBorders>
              <w:top w:val="nil"/>
              <w:left w:val="nil"/>
              <w:bottom w:val="single" w:sz="4" w:space="0" w:color="auto"/>
              <w:right w:val="single" w:sz="4" w:space="0" w:color="auto"/>
            </w:tcBorders>
          </w:tcPr>
          <w:p w:rsidR="00F01361" w:rsidRDefault="00F01361" w:rsidP="00B870EE">
            <w:pPr>
              <w:pStyle w:val="Parties"/>
            </w:pPr>
            <w:bookmarkStart w:id="1" w:name="Plaintiff"/>
            <w:r>
              <w:t>THE WALLA WALLA COUNTRY CLUB</w:t>
            </w:r>
            <w:bookmarkEnd w:id="1"/>
            <w:r>
              <w:t>,</w:t>
            </w:r>
          </w:p>
          <w:p w:rsidR="00F01361" w:rsidRDefault="00F01361" w:rsidP="00B870EE">
            <w:pPr>
              <w:pStyle w:val="Parties"/>
            </w:pPr>
          </w:p>
          <w:p w:rsidR="00F01361" w:rsidRDefault="00F01361" w:rsidP="00B870EE">
            <w:pPr>
              <w:pStyle w:val="PartyType"/>
            </w:pPr>
            <w:bookmarkStart w:id="2" w:name="Party1"/>
            <w:r>
              <w:t>Complainant</w:t>
            </w:r>
            <w:bookmarkEnd w:id="2"/>
            <w:r>
              <w:t>,</w:t>
            </w:r>
          </w:p>
          <w:p w:rsidR="00F01361" w:rsidRDefault="00F01361" w:rsidP="00B870EE">
            <w:pPr>
              <w:pStyle w:val="Parties"/>
            </w:pPr>
          </w:p>
          <w:p w:rsidR="00F01361" w:rsidRDefault="00F01361" w:rsidP="00B870EE">
            <w:pPr>
              <w:pStyle w:val="versus"/>
            </w:pPr>
            <w:bookmarkStart w:id="3" w:name="lblVersus"/>
            <w:r>
              <w:t>vs.</w:t>
            </w:r>
            <w:bookmarkEnd w:id="3"/>
          </w:p>
          <w:p w:rsidR="00F01361" w:rsidRDefault="00F01361" w:rsidP="00B870EE">
            <w:pPr>
              <w:pStyle w:val="Parties"/>
            </w:pPr>
          </w:p>
          <w:p w:rsidR="00F01361" w:rsidRDefault="00F01361" w:rsidP="00B870EE">
            <w:pPr>
              <w:pStyle w:val="Parties"/>
            </w:pPr>
            <w:bookmarkStart w:id="4" w:name="Defendant"/>
            <w:r>
              <w:t>PACIFIC POWER &amp; LIGHT COMPANY,</w:t>
            </w:r>
            <w:bookmarkEnd w:id="4"/>
          </w:p>
          <w:p w:rsidR="00F01361" w:rsidRDefault="00F01361" w:rsidP="00B870EE">
            <w:pPr>
              <w:pStyle w:val="Parties"/>
            </w:pPr>
          </w:p>
          <w:p w:rsidR="00F01361" w:rsidRDefault="00F01361" w:rsidP="00B870EE">
            <w:pPr>
              <w:ind w:right="-108"/>
              <w:rPr>
                <w:szCs w:val="24"/>
              </w:rPr>
            </w:pPr>
            <w:bookmarkStart w:id="5" w:name="Party2"/>
            <w:r>
              <w:t xml:space="preserve">                               Respondent</w:t>
            </w:r>
            <w:bookmarkEnd w:id="5"/>
            <w:r>
              <w:t>.</w:t>
            </w:r>
          </w:p>
        </w:tc>
        <w:tc>
          <w:tcPr>
            <w:tcW w:w="4770" w:type="dxa"/>
            <w:tcBorders>
              <w:top w:val="nil"/>
              <w:left w:val="single" w:sz="4" w:space="0" w:color="auto"/>
              <w:bottom w:val="nil"/>
              <w:right w:val="nil"/>
            </w:tcBorders>
          </w:tcPr>
          <w:p w:rsidR="00F01361" w:rsidRDefault="00F01361" w:rsidP="00B870EE">
            <w:pPr>
              <w:rPr>
                <w:b/>
                <w:szCs w:val="24"/>
              </w:rPr>
            </w:pPr>
          </w:p>
          <w:p w:rsidR="00F01361" w:rsidRDefault="00F01361" w:rsidP="00B870EE">
            <w:pPr>
              <w:rPr>
                <w:b/>
                <w:szCs w:val="24"/>
              </w:rPr>
            </w:pPr>
          </w:p>
          <w:p w:rsidR="00F01361" w:rsidRDefault="00F01361" w:rsidP="00B870EE">
            <w:pPr>
              <w:rPr>
                <w:b/>
                <w:szCs w:val="24"/>
              </w:rPr>
            </w:pPr>
            <w:r>
              <w:rPr>
                <w:b/>
                <w:szCs w:val="24"/>
              </w:rPr>
              <w:t xml:space="preserve">         DOCKET UE-143932</w:t>
            </w:r>
          </w:p>
          <w:p w:rsidR="00F01361" w:rsidRDefault="00F01361" w:rsidP="00B870EE">
            <w:pPr>
              <w:rPr>
                <w:b/>
                <w:szCs w:val="24"/>
              </w:rPr>
            </w:pPr>
          </w:p>
          <w:p w:rsidR="00F01361" w:rsidRDefault="00F01361" w:rsidP="00B870EE">
            <w:pPr>
              <w:rPr>
                <w:szCs w:val="24"/>
              </w:rPr>
            </w:pPr>
          </w:p>
        </w:tc>
      </w:tr>
    </w:tbl>
    <w:p w:rsidR="00F01361" w:rsidRDefault="00F01361" w:rsidP="00B870EE">
      <w:pPr>
        <w:pStyle w:val="H1"/>
        <w:numPr>
          <w:ilvl w:val="0"/>
          <w:numId w:val="0"/>
        </w:numPr>
        <w:ind w:left="3420"/>
        <w:rPr>
          <w:snapToGrid w:val="0"/>
          <w:color w:val="000000"/>
          <w:w w:val="0"/>
          <w:szCs w:val="0"/>
          <w:highlight w:val="lightGray"/>
        </w:rPr>
      </w:pPr>
    </w:p>
    <w:p w:rsidR="00F01361" w:rsidRDefault="00F01361" w:rsidP="00B870EE">
      <w:pPr>
        <w:jc w:val="center"/>
        <w:rPr>
          <w:snapToGrid w:val="0"/>
          <w:color w:val="000000"/>
          <w:w w:val="0"/>
          <w:szCs w:val="0"/>
          <w:highlight w:val="lightGray"/>
        </w:rPr>
      </w:pPr>
    </w:p>
    <w:p w:rsidR="00541744" w:rsidRDefault="00541744" w:rsidP="00B870EE">
      <w:pPr>
        <w:jc w:val="center"/>
        <w:rPr>
          <w:b/>
          <w:snapToGrid w:val="0"/>
          <w:color w:val="000000"/>
          <w:w w:val="0"/>
          <w:szCs w:val="0"/>
        </w:rPr>
      </w:pPr>
    </w:p>
    <w:p w:rsidR="00541744" w:rsidRDefault="00541744" w:rsidP="00B870EE">
      <w:pPr>
        <w:jc w:val="center"/>
        <w:rPr>
          <w:b/>
          <w:snapToGrid w:val="0"/>
          <w:color w:val="000000"/>
          <w:w w:val="0"/>
          <w:szCs w:val="0"/>
        </w:rPr>
      </w:pPr>
    </w:p>
    <w:p w:rsidR="00541744" w:rsidRDefault="00541744" w:rsidP="00B870EE">
      <w:pPr>
        <w:jc w:val="center"/>
        <w:rPr>
          <w:b/>
          <w:snapToGrid w:val="0"/>
          <w:color w:val="000000"/>
          <w:w w:val="0"/>
          <w:szCs w:val="0"/>
        </w:rPr>
      </w:pPr>
    </w:p>
    <w:p w:rsidR="00F01361" w:rsidRDefault="00F06CC4" w:rsidP="00B870EE">
      <w:pPr>
        <w:jc w:val="center"/>
        <w:rPr>
          <w:b/>
          <w:szCs w:val="24"/>
        </w:rPr>
      </w:pPr>
      <w:r>
        <w:rPr>
          <w:b/>
          <w:snapToGrid w:val="0"/>
          <w:color w:val="000000"/>
          <w:w w:val="0"/>
          <w:szCs w:val="0"/>
        </w:rPr>
        <w:t>REPLY</w:t>
      </w:r>
      <w:r w:rsidR="00F01361" w:rsidRPr="00D13F93">
        <w:rPr>
          <w:b/>
          <w:snapToGrid w:val="0"/>
          <w:color w:val="000000"/>
          <w:w w:val="0"/>
          <w:szCs w:val="0"/>
        </w:rPr>
        <w:t xml:space="preserve"> BRIEF OF PACIFIC POWER &amp; LIGHT COMPANY</w:t>
      </w:r>
    </w:p>
    <w:p w:rsidR="00F01361" w:rsidRDefault="00F01361" w:rsidP="00B870EE">
      <w:pPr>
        <w:jc w:val="center"/>
        <w:rPr>
          <w:b/>
          <w:szCs w:val="24"/>
        </w:rPr>
      </w:pPr>
    </w:p>
    <w:p w:rsidR="00F01361" w:rsidRDefault="00F01361" w:rsidP="00B870EE">
      <w:pPr>
        <w:jc w:val="center"/>
        <w:rPr>
          <w:b/>
          <w:szCs w:val="24"/>
        </w:rPr>
      </w:pPr>
    </w:p>
    <w:p w:rsidR="00F01361" w:rsidRDefault="00F01361" w:rsidP="00B870EE">
      <w:pPr>
        <w:jc w:val="center"/>
        <w:rPr>
          <w:b/>
          <w:szCs w:val="24"/>
        </w:rPr>
      </w:pPr>
    </w:p>
    <w:p w:rsidR="00F01361" w:rsidRDefault="00F01361" w:rsidP="00B870EE">
      <w:pPr>
        <w:jc w:val="center"/>
        <w:rPr>
          <w:b/>
          <w:szCs w:val="24"/>
        </w:rPr>
      </w:pPr>
    </w:p>
    <w:p w:rsidR="00F01361" w:rsidRDefault="00F01361" w:rsidP="00B870EE">
      <w:pPr>
        <w:jc w:val="center"/>
        <w:rPr>
          <w:b/>
          <w:szCs w:val="24"/>
        </w:rPr>
      </w:pPr>
    </w:p>
    <w:p w:rsidR="00F01361" w:rsidRDefault="00F01361" w:rsidP="00B870EE">
      <w:pPr>
        <w:jc w:val="center"/>
        <w:rPr>
          <w:b/>
          <w:szCs w:val="24"/>
        </w:rPr>
      </w:pPr>
    </w:p>
    <w:p w:rsidR="00F01361" w:rsidRDefault="00F01361" w:rsidP="00B870EE">
      <w:pPr>
        <w:jc w:val="center"/>
        <w:rPr>
          <w:b/>
          <w:szCs w:val="24"/>
        </w:rPr>
      </w:pPr>
    </w:p>
    <w:p w:rsidR="00F01361" w:rsidRDefault="00F01361" w:rsidP="00B870EE">
      <w:pPr>
        <w:jc w:val="center"/>
        <w:rPr>
          <w:b/>
          <w:szCs w:val="24"/>
        </w:rPr>
      </w:pPr>
    </w:p>
    <w:p w:rsidR="00F01361" w:rsidRDefault="00F01361" w:rsidP="00B870EE">
      <w:pPr>
        <w:jc w:val="center"/>
        <w:rPr>
          <w:b/>
          <w:szCs w:val="24"/>
        </w:rPr>
      </w:pPr>
    </w:p>
    <w:p w:rsidR="00F01361" w:rsidRDefault="00F01361" w:rsidP="00B870EE">
      <w:pPr>
        <w:jc w:val="center"/>
        <w:rPr>
          <w:b/>
          <w:szCs w:val="24"/>
        </w:rPr>
      </w:pPr>
    </w:p>
    <w:p w:rsidR="00F01361" w:rsidRDefault="00F01361" w:rsidP="00B870EE">
      <w:pPr>
        <w:jc w:val="center"/>
        <w:rPr>
          <w:b/>
          <w:szCs w:val="24"/>
        </w:rPr>
      </w:pPr>
    </w:p>
    <w:p w:rsidR="00F01361" w:rsidRDefault="00F01361" w:rsidP="00B870EE">
      <w:pPr>
        <w:jc w:val="center"/>
        <w:rPr>
          <w:b/>
          <w:szCs w:val="24"/>
        </w:rPr>
      </w:pPr>
    </w:p>
    <w:p w:rsidR="00F01361" w:rsidRDefault="00F01361" w:rsidP="00B870EE">
      <w:pPr>
        <w:jc w:val="center"/>
        <w:rPr>
          <w:b/>
          <w:szCs w:val="24"/>
        </w:rPr>
      </w:pPr>
    </w:p>
    <w:p w:rsidR="00F01361" w:rsidRDefault="00F01361" w:rsidP="00B870EE">
      <w:pPr>
        <w:jc w:val="center"/>
        <w:rPr>
          <w:b/>
          <w:szCs w:val="24"/>
        </w:rPr>
      </w:pPr>
    </w:p>
    <w:p w:rsidR="00F01361" w:rsidRDefault="00F01361" w:rsidP="00B870EE">
      <w:pPr>
        <w:jc w:val="center"/>
        <w:rPr>
          <w:b/>
          <w:szCs w:val="24"/>
        </w:rPr>
      </w:pPr>
    </w:p>
    <w:p w:rsidR="00F01361" w:rsidRDefault="00F01361" w:rsidP="00B870EE">
      <w:pPr>
        <w:jc w:val="center"/>
        <w:rPr>
          <w:b/>
          <w:szCs w:val="24"/>
        </w:rPr>
      </w:pPr>
    </w:p>
    <w:p w:rsidR="00F01361" w:rsidRDefault="00F01361" w:rsidP="00B870EE">
      <w:pPr>
        <w:jc w:val="center"/>
        <w:rPr>
          <w:b/>
          <w:szCs w:val="24"/>
        </w:rPr>
      </w:pPr>
    </w:p>
    <w:p w:rsidR="00F01361" w:rsidRDefault="00F01361" w:rsidP="00B870EE">
      <w:pPr>
        <w:jc w:val="center"/>
        <w:rPr>
          <w:b/>
          <w:szCs w:val="24"/>
        </w:rPr>
      </w:pPr>
    </w:p>
    <w:p w:rsidR="00F01361" w:rsidRDefault="00F01361" w:rsidP="00B870EE">
      <w:pPr>
        <w:jc w:val="center"/>
        <w:rPr>
          <w:b/>
          <w:szCs w:val="24"/>
        </w:rPr>
      </w:pPr>
    </w:p>
    <w:p w:rsidR="00F01361" w:rsidRDefault="00F01361" w:rsidP="00B870EE">
      <w:pPr>
        <w:jc w:val="center"/>
        <w:rPr>
          <w:b/>
          <w:szCs w:val="24"/>
        </w:rPr>
      </w:pPr>
    </w:p>
    <w:p w:rsidR="00541744" w:rsidRDefault="00541744" w:rsidP="00B870EE">
      <w:pPr>
        <w:jc w:val="center"/>
        <w:rPr>
          <w:b/>
          <w:szCs w:val="24"/>
        </w:rPr>
      </w:pPr>
    </w:p>
    <w:p w:rsidR="00541744" w:rsidRDefault="00541744" w:rsidP="00B870EE">
      <w:pPr>
        <w:jc w:val="center"/>
        <w:rPr>
          <w:b/>
          <w:szCs w:val="24"/>
        </w:rPr>
      </w:pPr>
    </w:p>
    <w:p w:rsidR="00541744" w:rsidRDefault="00541744" w:rsidP="00B870EE">
      <w:pPr>
        <w:jc w:val="center"/>
        <w:rPr>
          <w:b/>
          <w:szCs w:val="24"/>
        </w:rPr>
      </w:pPr>
    </w:p>
    <w:p w:rsidR="00541744" w:rsidRDefault="00541744" w:rsidP="00B870EE">
      <w:pPr>
        <w:jc w:val="center"/>
        <w:rPr>
          <w:b/>
          <w:szCs w:val="24"/>
        </w:rPr>
      </w:pPr>
    </w:p>
    <w:p w:rsidR="00F01361" w:rsidRDefault="00F01361" w:rsidP="00B870EE">
      <w:pPr>
        <w:jc w:val="center"/>
        <w:rPr>
          <w:b/>
          <w:szCs w:val="24"/>
        </w:rPr>
      </w:pPr>
    </w:p>
    <w:p w:rsidR="00F01361" w:rsidRDefault="00F01361" w:rsidP="00B870EE">
      <w:pPr>
        <w:jc w:val="center"/>
        <w:rPr>
          <w:b/>
          <w:szCs w:val="24"/>
        </w:rPr>
      </w:pPr>
    </w:p>
    <w:p w:rsidR="00F01361" w:rsidRDefault="00F01361" w:rsidP="00B870EE">
      <w:pPr>
        <w:jc w:val="center"/>
        <w:rPr>
          <w:b/>
          <w:szCs w:val="24"/>
        </w:rPr>
      </w:pPr>
    </w:p>
    <w:p w:rsidR="00F01361" w:rsidRDefault="00F01361" w:rsidP="00B870EE">
      <w:pPr>
        <w:jc w:val="center"/>
        <w:rPr>
          <w:b/>
          <w:szCs w:val="24"/>
        </w:rPr>
      </w:pPr>
    </w:p>
    <w:p w:rsidR="00F01361" w:rsidRDefault="00F01361" w:rsidP="00B870EE">
      <w:pPr>
        <w:jc w:val="center"/>
        <w:rPr>
          <w:b/>
          <w:szCs w:val="24"/>
        </w:rPr>
      </w:pPr>
    </w:p>
    <w:p w:rsidR="00F01361" w:rsidRDefault="00F01361" w:rsidP="00B870EE">
      <w:pPr>
        <w:jc w:val="center"/>
        <w:rPr>
          <w:b/>
          <w:szCs w:val="24"/>
        </w:rPr>
      </w:pPr>
    </w:p>
    <w:p w:rsidR="00F01361" w:rsidRDefault="00F06CC4" w:rsidP="00B870EE">
      <w:pPr>
        <w:jc w:val="center"/>
        <w:rPr>
          <w:b/>
          <w:szCs w:val="24"/>
        </w:rPr>
      </w:pPr>
      <w:r>
        <w:rPr>
          <w:b/>
          <w:szCs w:val="24"/>
        </w:rPr>
        <w:t>November 13</w:t>
      </w:r>
      <w:r w:rsidR="00F01361">
        <w:rPr>
          <w:b/>
          <w:szCs w:val="24"/>
        </w:rPr>
        <w:t>, 2015</w:t>
      </w:r>
    </w:p>
    <w:p w:rsidR="004268CD" w:rsidRDefault="004268CD" w:rsidP="00B870EE">
      <w:pPr>
        <w:pStyle w:val="BodyText"/>
        <w:sectPr w:rsidR="004268CD" w:rsidSect="00F0136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2160" w:header="1080" w:footer="878" w:gutter="0"/>
          <w:pgNumType w:start="1"/>
          <w:cols w:space="720"/>
          <w:titlePg/>
          <w:docGrid w:linePitch="326"/>
        </w:sectPr>
      </w:pPr>
    </w:p>
    <w:p w:rsidR="00F06CC4" w:rsidRDefault="00F06CC4" w:rsidP="00F06CC4">
      <w:pPr>
        <w:pStyle w:val="TOCHeading"/>
      </w:pPr>
      <w:bookmarkStart w:id="6" w:name="TOCHeading"/>
      <w:r>
        <w:lastRenderedPageBreak/>
        <w:t>TABLE OF CONTENTS</w:t>
      </w:r>
    </w:p>
    <w:p w:rsidR="00F06CC4" w:rsidRDefault="00F06CC4" w:rsidP="00F06CC4">
      <w:pPr>
        <w:pStyle w:val="TOCHeading"/>
      </w:pPr>
    </w:p>
    <w:bookmarkEnd w:id="6"/>
    <w:p w:rsidR="009D7EFD" w:rsidRDefault="00F06CC4">
      <w:pPr>
        <w:pStyle w:val="TOC1"/>
        <w:rPr>
          <w:rFonts w:asciiTheme="minorHAnsi" w:eastAsiaTheme="minorEastAsia" w:hAnsiTheme="minorHAnsi"/>
          <w:sz w:val="22"/>
          <w:szCs w:val="22"/>
        </w:rPr>
      </w:pPr>
      <w:r>
        <w:fldChar w:fldCharType="begin"/>
      </w:r>
      <w:r>
        <w:instrText xml:space="preserve"> TOC \t "Heading 1,1,Heading 2,2" </w:instrText>
      </w:r>
      <w:r>
        <w:fldChar w:fldCharType="separate"/>
      </w:r>
      <w:r w:rsidR="009D7EFD" w:rsidRPr="00510B88">
        <w:t>I.</w:t>
      </w:r>
      <w:r w:rsidR="009D7EFD">
        <w:rPr>
          <w:rFonts w:asciiTheme="minorHAnsi" w:eastAsiaTheme="minorEastAsia" w:hAnsiTheme="minorHAnsi"/>
          <w:sz w:val="22"/>
          <w:szCs w:val="22"/>
        </w:rPr>
        <w:tab/>
      </w:r>
      <w:r w:rsidR="009D7EFD">
        <w:t>After more than two years of litigation in three different venues, Columbia REA and the Walla Walla Country Club now represent that they would remove Pacific Power’s facilities.</w:t>
      </w:r>
      <w:r w:rsidR="009D7EFD">
        <w:tab/>
      </w:r>
      <w:r w:rsidR="009D7EFD">
        <w:fldChar w:fldCharType="begin"/>
      </w:r>
      <w:r w:rsidR="009D7EFD">
        <w:instrText xml:space="preserve"> PAGEREF _Toc435175494 \h </w:instrText>
      </w:r>
      <w:r w:rsidR="009D7EFD">
        <w:fldChar w:fldCharType="separate"/>
      </w:r>
      <w:r w:rsidR="009D7EFD">
        <w:t>1</w:t>
      </w:r>
      <w:r w:rsidR="009D7EFD">
        <w:fldChar w:fldCharType="end"/>
      </w:r>
    </w:p>
    <w:p w:rsidR="009D7EFD" w:rsidRDefault="009D7EFD">
      <w:pPr>
        <w:pStyle w:val="TOC1"/>
        <w:rPr>
          <w:rFonts w:asciiTheme="minorHAnsi" w:eastAsiaTheme="minorEastAsia" w:hAnsiTheme="minorHAnsi"/>
          <w:sz w:val="22"/>
          <w:szCs w:val="22"/>
        </w:rPr>
      </w:pPr>
      <w:r w:rsidRPr="00510B88">
        <w:t>II.</w:t>
      </w:r>
      <w:r>
        <w:rPr>
          <w:rFonts w:asciiTheme="minorHAnsi" w:eastAsiaTheme="minorEastAsia" w:hAnsiTheme="minorHAnsi"/>
          <w:sz w:val="22"/>
          <w:szCs w:val="22"/>
        </w:rPr>
        <w:tab/>
      </w:r>
      <w:r>
        <w:t>The estimated cost of removing Pacific Power’s facilities is based on competitive bidding.</w:t>
      </w:r>
      <w:r>
        <w:tab/>
      </w:r>
      <w:r>
        <w:fldChar w:fldCharType="begin"/>
      </w:r>
      <w:r>
        <w:instrText xml:space="preserve"> PAGEREF _Toc435175495 \h </w:instrText>
      </w:r>
      <w:r>
        <w:fldChar w:fldCharType="separate"/>
      </w:r>
      <w:r>
        <w:t>2</w:t>
      </w:r>
      <w:r>
        <w:fldChar w:fldCharType="end"/>
      </w:r>
    </w:p>
    <w:p w:rsidR="009D7EFD" w:rsidRDefault="009D7EFD">
      <w:pPr>
        <w:pStyle w:val="TOC1"/>
        <w:rPr>
          <w:rFonts w:asciiTheme="minorHAnsi" w:eastAsiaTheme="minorEastAsia" w:hAnsiTheme="minorHAnsi"/>
          <w:sz w:val="22"/>
          <w:szCs w:val="22"/>
        </w:rPr>
      </w:pPr>
      <w:r w:rsidRPr="00510B88">
        <w:t>III.</w:t>
      </w:r>
      <w:r>
        <w:rPr>
          <w:rFonts w:asciiTheme="minorHAnsi" w:eastAsiaTheme="minorEastAsia" w:hAnsiTheme="minorHAnsi"/>
          <w:sz w:val="22"/>
          <w:szCs w:val="22"/>
        </w:rPr>
        <w:tab/>
      </w:r>
      <w:r>
        <w:t>Removal of Pacific Power’s facilities under its net removal tariff will cause very limited disruption and will have limited, temporary effect on the grounds.</w:t>
      </w:r>
      <w:r>
        <w:tab/>
      </w:r>
      <w:r>
        <w:fldChar w:fldCharType="begin"/>
      </w:r>
      <w:r>
        <w:instrText xml:space="preserve"> PAGEREF _Toc435175496 \h </w:instrText>
      </w:r>
      <w:r>
        <w:fldChar w:fldCharType="separate"/>
      </w:r>
      <w:r>
        <w:t>3</w:t>
      </w:r>
      <w:r>
        <w:fldChar w:fldCharType="end"/>
      </w:r>
    </w:p>
    <w:p w:rsidR="009D7EFD" w:rsidRDefault="009D7EFD">
      <w:pPr>
        <w:pStyle w:val="TOC1"/>
        <w:rPr>
          <w:rFonts w:asciiTheme="minorHAnsi" w:eastAsiaTheme="minorEastAsia" w:hAnsiTheme="minorHAnsi"/>
          <w:sz w:val="22"/>
          <w:szCs w:val="22"/>
        </w:rPr>
      </w:pPr>
      <w:r w:rsidRPr="00510B88">
        <w:t>IV.</w:t>
      </w:r>
      <w:r>
        <w:rPr>
          <w:rFonts w:asciiTheme="minorHAnsi" w:eastAsiaTheme="minorEastAsia" w:hAnsiTheme="minorHAnsi"/>
          <w:sz w:val="22"/>
          <w:szCs w:val="22"/>
        </w:rPr>
        <w:tab/>
      </w:r>
      <w:r>
        <w:t>Pacific Power’s appreciation of the safety and operational reasons necessitating removal of its facilities on a customer’s request to permanently disconnect has increased over time since the net removal tariff was approved and implemented in 2002.</w:t>
      </w:r>
      <w:r>
        <w:tab/>
      </w:r>
      <w:r>
        <w:fldChar w:fldCharType="begin"/>
      </w:r>
      <w:r>
        <w:instrText xml:space="preserve"> PAGEREF _Toc435175499 \h </w:instrText>
      </w:r>
      <w:r>
        <w:fldChar w:fldCharType="separate"/>
      </w:r>
      <w:r>
        <w:t>4</w:t>
      </w:r>
      <w:r>
        <w:fldChar w:fldCharType="end"/>
      </w:r>
    </w:p>
    <w:p w:rsidR="009D7EFD" w:rsidRDefault="009D7EFD">
      <w:pPr>
        <w:pStyle w:val="TOC1"/>
        <w:rPr>
          <w:rFonts w:asciiTheme="minorHAnsi" w:eastAsiaTheme="minorEastAsia" w:hAnsiTheme="minorHAnsi"/>
          <w:sz w:val="22"/>
          <w:szCs w:val="22"/>
        </w:rPr>
      </w:pPr>
      <w:r w:rsidRPr="00510B88">
        <w:t>V.</w:t>
      </w:r>
      <w:r>
        <w:rPr>
          <w:rFonts w:asciiTheme="minorHAnsi" w:eastAsiaTheme="minorEastAsia" w:hAnsiTheme="minorHAnsi"/>
          <w:sz w:val="22"/>
          <w:szCs w:val="22"/>
        </w:rPr>
        <w:tab/>
      </w:r>
      <w:r>
        <w:t>Columbia REA and the Walla Walla Country Club could have secured the Club’s disconnection from the Pacific Power system at the outset, by simply paying the actual cost of removal.</w:t>
      </w:r>
      <w:r>
        <w:tab/>
      </w:r>
      <w:r>
        <w:fldChar w:fldCharType="begin"/>
      </w:r>
      <w:r>
        <w:instrText xml:space="preserve"> PAGEREF _Toc435175500 \h </w:instrText>
      </w:r>
      <w:r>
        <w:fldChar w:fldCharType="separate"/>
      </w:r>
      <w:r>
        <w:t>6</w:t>
      </w:r>
      <w:r>
        <w:fldChar w:fldCharType="end"/>
      </w:r>
    </w:p>
    <w:p w:rsidR="009D7EFD" w:rsidRDefault="009D7EFD">
      <w:pPr>
        <w:pStyle w:val="TOC1"/>
        <w:rPr>
          <w:rFonts w:asciiTheme="minorHAnsi" w:eastAsiaTheme="minorEastAsia" w:hAnsiTheme="minorHAnsi"/>
          <w:sz w:val="22"/>
          <w:szCs w:val="22"/>
        </w:rPr>
      </w:pPr>
      <w:r w:rsidRPr="00510B88">
        <w:lastRenderedPageBreak/>
        <w:t>VI.</w:t>
      </w:r>
      <w:r>
        <w:rPr>
          <w:rFonts w:asciiTheme="minorHAnsi" w:eastAsiaTheme="minorEastAsia" w:hAnsiTheme="minorHAnsi"/>
          <w:sz w:val="22"/>
          <w:szCs w:val="22"/>
        </w:rPr>
        <w:tab/>
      </w:r>
      <w:r>
        <w:t>Conclusion</w:t>
      </w:r>
      <w:r>
        <w:tab/>
      </w:r>
      <w:r>
        <w:fldChar w:fldCharType="begin"/>
      </w:r>
      <w:r>
        <w:instrText xml:space="preserve"> PAGEREF _Toc435175501 \h </w:instrText>
      </w:r>
      <w:r>
        <w:fldChar w:fldCharType="separate"/>
      </w:r>
      <w:r>
        <w:t>7</w:t>
      </w:r>
      <w:r>
        <w:fldChar w:fldCharType="end"/>
      </w:r>
    </w:p>
    <w:p w:rsidR="00F06CC4" w:rsidRDefault="00F06CC4" w:rsidP="00F06CC4">
      <w:r>
        <w:fldChar w:fldCharType="end"/>
      </w:r>
    </w:p>
    <w:p w:rsidR="00F06CC4" w:rsidRDefault="00F06CC4" w:rsidP="00F06CC4"/>
    <w:p w:rsidR="00F06CC4" w:rsidRPr="00BF67D2" w:rsidRDefault="00F06CC4" w:rsidP="00F06CC4">
      <w:pPr>
        <w:pStyle w:val="BodyText"/>
      </w:pPr>
    </w:p>
    <w:p w:rsidR="00F06CC4" w:rsidRDefault="00F06CC4" w:rsidP="00F06CC4">
      <w:pPr>
        <w:pStyle w:val="BodyText"/>
      </w:pPr>
    </w:p>
    <w:p w:rsidR="00F06CC4" w:rsidRDefault="00F06CC4" w:rsidP="00F06CC4">
      <w:pPr>
        <w:pStyle w:val="BodyText"/>
        <w:sectPr w:rsidR="00F06CC4" w:rsidSect="00F06CC4">
          <w:headerReference w:type="even" r:id="rId13"/>
          <w:headerReference w:type="default" r:id="rId14"/>
          <w:headerReference w:type="first" r:id="rId15"/>
          <w:pgSz w:w="12240" w:h="15840" w:code="1"/>
          <w:pgMar w:top="1440" w:right="1440" w:bottom="1440" w:left="2160" w:header="720" w:footer="720" w:gutter="0"/>
          <w:pgNumType w:fmt="lowerRoman" w:start="1"/>
          <w:cols w:space="720"/>
          <w:docGrid w:linePitch="326"/>
        </w:sectPr>
      </w:pPr>
    </w:p>
    <w:p w:rsidR="00F06CC4" w:rsidRDefault="00F06CC4" w:rsidP="00F06CC4">
      <w:pPr>
        <w:pStyle w:val="Heading1"/>
        <w:spacing w:after="240" w:line="240" w:lineRule="auto"/>
      </w:pPr>
      <w:bookmarkStart w:id="7" w:name="_Toc432495736"/>
      <w:bookmarkStart w:id="8" w:name="_Toc432497944"/>
      <w:bookmarkStart w:id="9" w:name="_Toc434834949"/>
      <w:bookmarkStart w:id="10" w:name="_Toc434840250"/>
      <w:bookmarkStart w:id="11" w:name="_Toc435175494"/>
      <w:r>
        <w:lastRenderedPageBreak/>
        <w:t>After more than two years of litigation in three different venues, Columbia REA and the Walla Walla Country Club now represent that they would remove Pacific Power’s facilities.</w:t>
      </w:r>
      <w:bookmarkEnd w:id="7"/>
      <w:bookmarkEnd w:id="8"/>
      <w:bookmarkEnd w:id="9"/>
      <w:bookmarkEnd w:id="10"/>
      <w:bookmarkEnd w:id="11"/>
    </w:p>
    <w:p w:rsidR="00F06CC4" w:rsidRDefault="00F06CC4" w:rsidP="00F06CC4">
      <w:pPr>
        <w:pStyle w:val="BodyText"/>
        <w:ind w:hanging="720"/>
      </w:pPr>
      <w:r>
        <w:rPr>
          <w:i/>
        </w:rPr>
        <w:t>1</w:t>
      </w:r>
      <w:r>
        <w:rPr>
          <w:i/>
        </w:rPr>
        <w:tab/>
      </w:r>
      <w:r>
        <w:tab/>
      </w:r>
      <w:r w:rsidR="00EE2497">
        <w:t>Columbia Rural Electric Association (</w:t>
      </w:r>
      <w:r>
        <w:t>Columbia REA</w:t>
      </w:r>
      <w:r w:rsidR="00EE2497">
        <w:t>)</w:t>
      </w:r>
      <w:r>
        <w:t xml:space="preserve"> intervened in</w:t>
      </w:r>
      <w:r w:rsidR="00EE2497">
        <w:t xml:space="preserve"> the Company’s 2013 general rate case,</w:t>
      </w:r>
      <w:r>
        <w:t xml:space="preserve"> Docket UE-</w:t>
      </w:r>
      <w:r w:rsidR="00EE2497">
        <w:t xml:space="preserve">130043, </w:t>
      </w:r>
      <w:r>
        <w:t>and proposed a number of changes to Schedule 300 and Rule 6, all pertaining to facilities removal.</w:t>
      </w:r>
      <w:r>
        <w:rPr>
          <w:rStyle w:val="FootnoteReference"/>
        </w:rPr>
        <w:footnoteReference w:id="1"/>
      </w:r>
      <w:r>
        <w:t xml:space="preserve">  When Pacific Power elected to withdraw the portion of its proposed tariff revision pertaining to Schedule 300 and Rule 6, Columbia REA objected to that withdrawal.</w:t>
      </w:r>
      <w:r>
        <w:rPr>
          <w:rStyle w:val="FootnoteReference"/>
        </w:rPr>
        <w:footnoteReference w:id="2"/>
      </w:r>
      <w:r>
        <w:t xml:space="preserve">  On August 6, 2013, very shortly after the Commission granted Pacific Power’s motion to withdraw and dismissed Columbia REA as </w:t>
      </w:r>
      <w:r>
        <w:lastRenderedPageBreak/>
        <w:t>a party to Docket UE-</w:t>
      </w:r>
      <w:r w:rsidR="00EE2497">
        <w:t>130043</w:t>
      </w:r>
      <w:r>
        <w:t>, a civil lawsuit was initiated against Pacific Power in Walla Walla County Superior Court.</w:t>
      </w:r>
      <w:r>
        <w:rPr>
          <w:rStyle w:val="FootnoteReference"/>
        </w:rPr>
        <w:footnoteReference w:id="3"/>
      </w:r>
      <w:r>
        <w:t xml:space="preserve">  That civil action was removed to the United States District Court for the Eastern District of Washington</w:t>
      </w:r>
      <w:r w:rsidR="00EE2497">
        <w:t>,</w:t>
      </w:r>
      <w:r>
        <w:t xml:space="preserve"> and </w:t>
      </w:r>
      <w:r w:rsidR="00EE2497">
        <w:t xml:space="preserve">subsequently </w:t>
      </w:r>
      <w:r>
        <w:t>dismissed by the Honorable Lonny R. Suko.</w:t>
      </w:r>
      <w:r>
        <w:rPr>
          <w:rStyle w:val="FootnoteReference"/>
        </w:rPr>
        <w:footnoteReference w:id="4"/>
      </w:r>
    </w:p>
    <w:p w:rsidR="00F06CC4" w:rsidRDefault="00F06CC4" w:rsidP="00F06CC4">
      <w:pPr>
        <w:pStyle w:val="BodyText"/>
        <w:ind w:hanging="720"/>
      </w:pPr>
      <w:r>
        <w:rPr>
          <w:i/>
        </w:rPr>
        <w:t>2</w:t>
      </w:r>
      <w:r>
        <w:tab/>
      </w:r>
      <w:r>
        <w:tab/>
        <w:t xml:space="preserve">Shortly thereafter, this docket was initiated with the filing of the Complaint in the name of the Walla Walla Country Club.  All of </w:t>
      </w:r>
      <w:r w:rsidR="00EE2497">
        <w:t xml:space="preserve">Walla Walla Country Club’s </w:t>
      </w:r>
      <w:r>
        <w:t xml:space="preserve">prefiled direct and rebuttal testimony was geared toward a forced sale of Pacific Power’s facilities to the </w:t>
      </w:r>
      <w:r w:rsidR="00EE2497">
        <w:t>c</w:t>
      </w:r>
      <w:r>
        <w:t xml:space="preserve">ountry </w:t>
      </w:r>
      <w:r w:rsidR="00EE2497">
        <w:t>c</w:t>
      </w:r>
      <w:r>
        <w:t>lub, for use by Colum</w:t>
      </w:r>
      <w:r>
        <w:lastRenderedPageBreak/>
        <w:t>bia REA.  Mr. Bradley G. Mullins, the primary witness on behalf of the Walla Walla Country Club, identified what he referred to as a fair price for those facilities and stated his opinion that the “objective” of Pacific Power’s net removal tariff is to “effectuate a fair transfer price.”</w:t>
      </w:r>
      <w:r>
        <w:rPr>
          <w:rStyle w:val="FootnoteReference"/>
        </w:rPr>
        <w:footnoteReference w:id="5"/>
      </w:r>
      <w:r>
        <w:t xml:space="preserve">  </w:t>
      </w:r>
    </w:p>
    <w:p w:rsidR="00F06CC4" w:rsidRDefault="00F06CC4" w:rsidP="00F06CC4">
      <w:pPr>
        <w:pStyle w:val="BodyText"/>
        <w:ind w:hanging="720"/>
      </w:pPr>
      <w:r>
        <w:rPr>
          <w:i/>
        </w:rPr>
        <w:t>3</w:t>
      </w:r>
      <w:r>
        <w:tab/>
      </w:r>
      <w:r>
        <w:tab/>
        <w:t xml:space="preserve">After years of litigation intended to force the sale of Pacific Power’s facilities for less than fair market value and ultimate use by Columbia REA, the Walla Walla Country Club and Columbia REA </w:t>
      </w:r>
      <w:r w:rsidR="00EE2497">
        <w:t xml:space="preserve">suddenly switched positions </w:t>
      </w:r>
      <w:r>
        <w:t>and clearly stated that “</w:t>
      </w:r>
      <w:r w:rsidRPr="00460681">
        <w:rPr>
          <w:b/>
          <w:i/>
        </w:rPr>
        <w:t>all</w:t>
      </w:r>
      <w:r>
        <w:t xml:space="preserve"> of the electrical components included in the list of facilities </w:t>
      </w:r>
      <w:r w:rsidRPr="00460681">
        <w:rPr>
          <w:b/>
          <w:i/>
        </w:rPr>
        <w:t>transferred</w:t>
      </w:r>
      <w:r>
        <w:t xml:space="preserve"> will be of no value to Columbia Rural Electric Association and will be removed and scrapped at the </w:t>
      </w:r>
      <w:r>
        <w:lastRenderedPageBreak/>
        <w:t>expense of the Club.”</w:t>
      </w:r>
      <w:r>
        <w:rPr>
          <w:rStyle w:val="FootnoteReference"/>
        </w:rPr>
        <w:footnoteReference w:id="6"/>
      </w:r>
    </w:p>
    <w:p w:rsidR="00F06CC4" w:rsidRDefault="00F06CC4" w:rsidP="00F06CC4">
      <w:pPr>
        <w:pStyle w:val="BodyText"/>
        <w:ind w:hanging="720"/>
      </w:pPr>
      <w:r>
        <w:rPr>
          <w:i/>
        </w:rPr>
        <w:t>4</w:t>
      </w:r>
      <w:r>
        <w:tab/>
      </w:r>
      <w:r>
        <w:tab/>
        <w:t xml:space="preserve">If the </w:t>
      </w:r>
      <w:r w:rsidR="00EE2497">
        <w:t xml:space="preserve">recent </w:t>
      </w:r>
      <w:r>
        <w:t>representation</w:t>
      </w:r>
      <w:r w:rsidR="00EE2497">
        <w:t>s</w:t>
      </w:r>
      <w:r>
        <w:t xml:space="preserve"> of Columbia REA and the Walla Walla Country Club </w:t>
      </w:r>
      <w:r w:rsidR="00EE2497">
        <w:t xml:space="preserve">are </w:t>
      </w:r>
      <w:r>
        <w:t>to be taken at face value, after years of unnecessary litigation, this matter boils down to whether Pacific Power’s facilities will be removed by Pacific Power in accordance with its net removal tariff or whether Pacific Power will be forced to sell those facilities which will then be “removed and scrapped at the expense of the Club.”</w:t>
      </w:r>
    </w:p>
    <w:p w:rsidR="00F06CC4" w:rsidRDefault="00F06CC4" w:rsidP="00F06CC4">
      <w:pPr>
        <w:pStyle w:val="Heading1"/>
        <w:spacing w:after="240" w:line="240" w:lineRule="auto"/>
      </w:pPr>
      <w:bookmarkStart w:id="12" w:name="_Toc434834950"/>
      <w:bookmarkStart w:id="13" w:name="_Toc434840251"/>
      <w:bookmarkStart w:id="14" w:name="_Toc435175495"/>
      <w:r>
        <w:t>The estimated cost of removing Pacific Power’s facilities is based on competitive bidding.</w:t>
      </w:r>
      <w:bookmarkEnd w:id="12"/>
      <w:bookmarkEnd w:id="13"/>
      <w:bookmarkEnd w:id="14"/>
    </w:p>
    <w:p w:rsidR="00F06CC4" w:rsidRDefault="00F06CC4" w:rsidP="00F06CC4">
      <w:pPr>
        <w:pStyle w:val="BodyText"/>
        <w:ind w:hanging="720"/>
      </w:pPr>
      <w:r>
        <w:rPr>
          <w:i/>
        </w:rPr>
        <w:t>5</w:t>
      </w:r>
      <w:r>
        <w:tab/>
      </w:r>
      <w:r>
        <w:tab/>
        <w:t xml:space="preserve">Under Pacific Power’s net removal tariff, the Walla </w:t>
      </w:r>
      <w:r>
        <w:lastRenderedPageBreak/>
        <w:t>Walla Country Club is responsible for the “actual cost</w:t>
      </w:r>
      <w:r w:rsidR="00EE2497">
        <w:t xml:space="preserve"> of removal less salvage…</w:t>
      </w:r>
      <w:r>
        <w:t>”</w:t>
      </w:r>
      <w:r>
        <w:rPr>
          <w:rStyle w:val="FootnoteReference"/>
        </w:rPr>
        <w:footnoteReference w:id="7"/>
      </w:r>
      <w:r>
        <w:t xml:space="preserve">  The unequivocal representation of Columbia REA and the Walla Walla Country Club that the subject facilities would be removed “at the expense of the Club” cannot be reconciled with Columbia REA’s contractual obligation to largely foot the bill for the Walla Walla Country Club to disconnect from Pacific Power’s system, including removal of facilities.</w:t>
      </w:r>
      <w:r>
        <w:rPr>
          <w:rStyle w:val="FootnoteReference"/>
        </w:rPr>
        <w:footnoteReference w:id="8"/>
      </w:r>
      <w:r>
        <w:t xml:space="preserve">  Putting aside the issue of relative responsibility between Columbia REA and the Walla Walla Country Club, the actual cost of removing the facilities will be roughly the </w:t>
      </w:r>
      <w:r>
        <w:lastRenderedPageBreak/>
        <w:t xml:space="preserve">same, regardless of whether the process is coordinated by Pacific Power </w:t>
      </w:r>
      <w:r w:rsidR="00EE2497">
        <w:t>under</w:t>
      </w:r>
      <w:r>
        <w:t xml:space="preserve"> its net removal tariff or by Columbia REA.  During the hearing, Mr. Mullins mistakenly testified that Pacific Power’s estimate for the cost of removing its facilities was “hypothetical.”</w:t>
      </w:r>
      <w:r>
        <w:rPr>
          <w:rStyle w:val="FootnoteReference"/>
        </w:rPr>
        <w:footnoteReference w:id="9"/>
      </w:r>
      <w:r>
        <w:t xml:space="preserve">  In fact, Pacific Power received bids from a number of outside contractors to establish the cost to remove its underground facilities.</w:t>
      </w:r>
      <w:r>
        <w:rPr>
          <w:rStyle w:val="FootnoteReference"/>
        </w:rPr>
        <w:footnoteReference w:id="10"/>
      </w:r>
      <w:r>
        <w:t xml:space="preserve">  The estimated cost communicated to the Walla Walla Country Club was based on the most competitive bid.</w:t>
      </w:r>
      <w:r w:rsidR="00EE2497">
        <w:rPr>
          <w:rStyle w:val="FootnoteReference"/>
        </w:rPr>
        <w:footnoteReference w:id="11"/>
      </w:r>
      <w:r>
        <w:t xml:space="preserve">  </w:t>
      </w:r>
    </w:p>
    <w:p w:rsidR="00F06CC4" w:rsidRDefault="00F06CC4" w:rsidP="00F06CC4">
      <w:pPr>
        <w:pStyle w:val="Heading1"/>
        <w:spacing w:after="240" w:line="240" w:lineRule="auto"/>
      </w:pPr>
      <w:bookmarkStart w:id="15" w:name="_Toc434834951"/>
      <w:bookmarkStart w:id="16" w:name="_Toc434840252"/>
      <w:bookmarkStart w:id="17" w:name="_Toc435175496"/>
      <w:r>
        <w:lastRenderedPageBreak/>
        <w:t xml:space="preserve">Removal of Pacific Power’s facilities </w:t>
      </w:r>
      <w:r w:rsidR="00880C79">
        <w:t>under</w:t>
      </w:r>
      <w:r>
        <w:t xml:space="preserve"> its net removal tariff will cause very limited disruption and will have limited, temporary effect on the grounds.</w:t>
      </w:r>
      <w:bookmarkEnd w:id="15"/>
      <w:bookmarkEnd w:id="16"/>
      <w:bookmarkEnd w:id="17"/>
    </w:p>
    <w:p w:rsidR="00F06CC4" w:rsidRDefault="00F06CC4" w:rsidP="00F06CC4">
      <w:pPr>
        <w:pStyle w:val="BodyText"/>
        <w:ind w:hanging="720"/>
      </w:pPr>
      <w:r>
        <w:rPr>
          <w:i/>
        </w:rPr>
        <w:t>6</w:t>
      </w:r>
      <w:r>
        <w:tab/>
      </w:r>
      <w:r>
        <w:tab/>
        <w:t>Given the issue now appears to be whether Pacific Power will oversee the removal of its facilities or whether Columbia REA will do so following a forced sale of those facilities, the goal is to limit disruption to operations and minimize the effect on the grounds of the Walla Walla Country Club.  Pacific Power has repeatedly offered to complete the necessary work during early January, when the clubhouse is closed for cleaning and there is very limited use of the golf course.</w:t>
      </w:r>
      <w:r>
        <w:rPr>
          <w:rStyle w:val="FootnoteReference"/>
        </w:rPr>
        <w:footnoteReference w:id="12"/>
      </w:r>
      <w:r>
        <w:t xml:space="preserve">  Mr. Clemens provided extensive testimony regarding the pains to </w:t>
      </w:r>
      <w:r>
        <w:lastRenderedPageBreak/>
        <w:t>which Pacific Power will go to limit the temporary effects on the grounds.  In fact, he noted that Pacific Power previously replaced conduit on the Walla Walla Country Club grounds and there is currently no trace of that underground work.</w:t>
      </w:r>
      <w:r>
        <w:rPr>
          <w:rStyle w:val="FootnoteReference"/>
        </w:rPr>
        <w:footnoteReference w:id="13"/>
      </w:r>
    </w:p>
    <w:p w:rsidR="00F06CC4" w:rsidRDefault="00F06CC4" w:rsidP="00F06CC4">
      <w:pPr>
        <w:pStyle w:val="Heading1"/>
        <w:spacing w:after="240" w:line="240" w:lineRule="auto"/>
      </w:pPr>
      <w:bookmarkStart w:id="18" w:name="_Toc435175231"/>
      <w:bookmarkStart w:id="19" w:name="_Toc435175497"/>
      <w:bookmarkStart w:id="20" w:name="_Toc435175232"/>
      <w:bookmarkStart w:id="21" w:name="_Toc435175498"/>
      <w:bookmarkStart w:id="22" w:name="_Toc434834953"/>
      <w:bookmarkStart w:id="23" w:name="_Toc434840254"/>
      <w:bookmarkStart w:id="24" w:name="_Toc435175499"/>
      <w:bookmarkEnd w:id="18"/>
      <w:bookmarkEnd w:id="19"/>
      <w:bookmarkEnd w:id="20"/>
      <w:bookmarkEnd w:id="21"/>
      <w:r>
        <w:t>Pacific Power’s appreciation of the safety and operational reasons necessitating removal of its facilities on a customer’s request to permanently disconnect has increased over time since the net removal tariff was approved and implemented in 2002.</w:t>
      </w:r>
      <w:bookmarkEnd w:id="22"/>
      <w:bookmarkEnd w:id="23"/>
      <w:bookmarkEnd w:id="24"/>
    </w:p>
    <w:p w:rsidR="00F06CC4" w:rsidRDefault="00F06CC4" w:rsidP="00F06CC4">
      <w:pPr>
        <w:pStyle w:val="BodyText"/>
        <w:ind w:hanging="720"/>
      </w:pPr>
      <w:r>
        <w:rPr>
          <w:i/>
        </w:rPr>
        <w:t>8</w:t>
      </w:r>
      <w:r>
        <w:tab/>
      </w:r>
      <w:r>
        <w:tab/>
        <w:t xml:space="preserve">A significant portion of the Opening Brief of the Walla Walla Country Club is devoted to essentially arguing that Pacific Power should somehow be </w:t>
      </w:r>
      <w:r w:rsidR="006A1487">
        <w:t xml:space="preserve">prevented </w:t>
      </w:r>
      <w:r>
        <w:t xml:space="preserve">from removing the subject facilities due to </w:t>
      </w:r>
      <w:r w:rsidR="00880C79">
        <w:t>previous</w:t>
      </w:r>
      <w:r>
        <w:t xml:space="preserve"> application of the net </w:t>
      </w:r>
      <w:r>
        <w:lastRenderedPageBreak/>
        <w:t xml:space="preserve">removal tariff </w:t>
      </w:r>
      <w:r w:rsidR="00880C79">
        <w:t xml:space="preserve">that </w:t>
      </w:r>
      <w:r>
        <w:t>was uninformed by experience.  In its prefiled direct testimony, Pacific Power was candid regarding the evolution of its interpretation and application of the net removal tariff as it confronted mounting safety issues and the potential liability exposure arising from failing to remove or maintain previously abandoned facilities as mandated under the National Electric Safety Code</w:t>
      </w:r>
      <w:r w:rsidR="00880C79">
        <w:t xml:space="preserve"> (NESC)</w:t>
      </w:r>
      <w:r>
        <w:t xml:space="preserve"> Section 313.B.3.  As explained by Mr. Dalley, the net removal tariff is unique.  Pacific Power’s focus is always on providing safe and reliable electric service to its customers at reasonable rates, rather than on how to permanently disconnect electric service to customers offered an alternative pricing structure by a provider that is </w:t>
      </w:r>
      <w:r>
        <w:lastRenderedPageBreak/>
        <w:t>not subject to regulation by the Commission.</w:t>
      </w:r>
      <w:r>
        <w:rPr>
          <w:rStyle w:val="FootnoteReference"/>
        </w:rPr>
        <w:footnoteReference w:id="14"/>
      </w:r>
      <w:r>
        <w:t xml:space="preserve">  Pacific Power has been steadfastly focused on safety issues relating to duplicate facilities and preventing remaining customers from subsidizing the costs created by departing customers.</w:t>
      </w:r>
      <w:r>
        <w:rPr>
          <w:rStyle w:val="FootnoteReference"/>
        </w:rPr>
        <w:footnoteReference w:id="15"/>
      </w:r>
      <w:r>
        <w:t xml:space="preserve"> As reflected in Pacific Power’s thoroughgoing report in Docket UE-132182, application of its net removal tariff has been inconsistent but appropriately evolving as the Company has gained experience and knowledge.</w:t>
      </w:r>
      <w:r>
        <w:rPr>
          <w:rStyle w:val="FootnoteReference"/>
        </w:rPr>
        <w:footnoteReference w:id="16"/>
      </w:r>
    </w:p>
    <w:p w:rsidR="00F06CC4" w:rsidRDefault="00F06CC4" w:rsidP="00F06CC4">
      <w:pPr>
        <w:pStyle w:val="BodyText"/>
        <w:ind w:hanging="720"/>
      </w:pPr>
      <w:r>
        <w:rPr>
          <w:i/>
        </w:rPr>
        <w:t>9</w:t>
      </w:r>
      <w:r>
        <w:tab/>
      </w:r>
      <w:r>
        <w:tab/>
        <w:t xml:space="preserve">During the course of that evolution, Pacific Power agreed to sell and transfer underground facilities on permanent </w:t>
      </w:r>
      <w:r>
        <w:lastRenderedPageBreak/>
        <w:t>disconnection as an accommodation to disconnecting customers.</w:t>
      </w:r>
      <w:r>
        <w:rPr>
          <w:rStyle w:val="FootnoteReference"/>
        </w:rPr>
        <w:footnoteReference w:id="17"/>
      </w:r>
      <w:r>
        <w:t xml:space="preserve">  Although Mr. Mullins incredulously argued that the “objective” of Pacific Power’s net removal tariff is to effectuate a fair transfer price, on cross-examination he ultimately conceded that the net removal tariff does not provide for the sale of Pacific Power’s facilities.</w:t>
      </w:r>
      <w:r>
        <w:rPr>
          <w:rStyle w:val="FootnoteReference"/>
        </w:rPr>
        <w:footnoteReference w:id="18"/>
      </w:r>
      <w:r>
        <w:t xml:space="preserve">  Consistent with its net removal tariff, Pacific Power no longer agrees to sell and transfer underground facilities.</w:t>
      </w:r>
      <w:r>
        <w:rPr>
          <w:rStyle w:val="FootnoteReference"/>
        </w:rPr>
        <w:footnoteReference w:id="19"/>
      </w:r>
      <w:r>
        <w:t xml:space="preserve">  Pacific Power correctly interprets the NESC to obligate the Company to remove or perpetually maintain underground facilities on disconnection.  The NESC does not provide for contractually transferring the duty to </w:t>
      </w:r>
      <w:r>
        <w:lastRenderedPageBreak/>
        <w:t xml:space="preserve">maintain facilities that </w:t>
      </w:r>
      <w:r w:rsidR="00880C79">
        <w:t>a</w:t>
      </w:r>
      <w:r>
        <w:t>re not removed.</w:t>
      </w:r>
      <w:r>
        <w:rPr>
          <w:rStyle w:val="FootnoteReference"/>
        </w:rPr>
        <w:footnoteReference w:id="20"/>
      </w:r>
    </w:p>
    <w:p w:rsidR="00F06CC4" w:rsidRDefault="00F06CC4" w:rsidP="00F06CC4">
      <w:pPr>
        <w:pStyle w:val="BodyText"/>
        <w:ind w:hanging="720"/>
      </w:pPr>
      <w:r>
        <w:rPr>
          <w:i/>
        </w:rPr>
        <w:t>10</w:t>
      </w:r>
      <w:r>
        <w:tab/>
      </w:r>
      <w:r>
        <w:tab/>
        <w:t>Pacific Power’s net removal tariff provides for the removal of underground facilities, on a customer’s request for permanent disconnection.  It is interesting to note that Columbia REA provides for the same in its customer contracts.</w:t>
      </w:r>
      <w:r>
        <w:rPr>
          <w:rStyle w:val="FootnoteReference"/>
        </w:rPr>
        <w:footnoteReference w:id="21"/>
      </w:r>
    </w:p>
    <w:p w:rsidR="00F06CC4" w:rsidRDefault="00F06CC4" w:rsidP="00F06CC4">
      <w:pPr>
        <w:pStyle w:val="Heading1"/>
        <w:spacing w:after="240" w:line="240" w:lineRule="auto"/>
      </w:pPr>
      <w:bookmarkStart w:id="25" w:name="_Toc434834954"/>
      <w:bookmarkStart w:id="26" w:name="_Toc434840255"/>
      <w:bookmarkStart w:id="27" w:name="_Toc435175500"/>
      <w:r>
        <w:t>Columbia REA and the Walla Walla Country Club could have secured the Club’s disconnection from the Pacific Power system at the outset, by simply paying the actual cost of removal.</w:t>
      </w:r>
      <w:bookmarkEnd w:id="25"/>
      <w:bookmarkEnd w:id="26"/>
      <w:bookmarkEnd w:id="27"/>
    </w:p>
    <w:p w:rsidR="00F06CC4" w:rsidRDefault="00F06CC4" w:rsidP="00F06CC4">
      <w:pPr>
        <w:pStyle w:val="BodyText"/>
        <w:ind w:hanging="720"/>
      </w:pPr>
      <w:r>
        <w:rPr>
          <w:i/>
        </w:rPr>
        <w:t>11</w:t>
      </w:r>
      <w:r>
        <w:tab/>
      </w:r>
      <w:r>
        <w:tab/>
        <w:t xml:space="preserve">A portion of the Opening Brief of the Walla Walla Country Club is devoted to discussion of the Honorable Lonny </w:t>
      </w:r>
      <w:r>
        <w:lastRenderedPageBreak/>
        <w:t>R. Suko’s Order Regarding [Pacific Power’s] Motion to Dismiss.</w:t>
      </w:r>
      <w:r>
        <w:rPr>
          <w:rStyle w:val="FootnoteReference"/>
        </w:rPr>
        <w:footnoteReference w:id="22"/>
      </w:r>
      <w:r>
        <w:t xml:space="preserve">  Judge Suko dismissed the claims of the Walla Walla Country Club, noting it can proceed under RCW 80.04.230, which provides for refunds of any overcharges.</w:t>
      </w:r>
      <w:r>
        <w:rPr>
          <w:rStyle w:val="FootnoteReference"/>
        </w:rPr>
        <w:footnoteReference w:id="23"/>
      </w:r>
      <w:r>
        <w:t xml:space="preserve">  Presumably for tactical reasons, Columbia REA and the Walla Walla Country Club chose not to simply pay the actual cost of removal to secure permanent disconnection in 2012, but rather have pursued litigation before two civil courts and the Commission.  If they had chosen to pay the actual cost of removal to secure disconnection in 2012, the Walla Walla Country Club would have been charged the rates offered by Columbia </w:t>
      </w:r>
      <w:r>
        <w:lastRenderedPageBreak/>
        <w:t>REA over the past three years and, if they felt the actual cost of removal was somehow an overcharge, they could have pursued a refund in accordance with RCW 80.04.230.</w:t>
      </w:r>
    </w:p>
    <w:p w:rsidR="00F06CC4" w:rsidRDefault="00F06CC4" w:rsidP="00F06CC4">
      <w:pPr>
        <w:pStyle w:val="BodyText"/>
        <w:ind w:hanging="720"/>
      </w:pPr>
      <w:r>
        <w:rPr>
          <w:i/>
        </w:rPr>
        <w:t>12</w:t>
      </w:r>
      <w:r>
        <w:tab/>
      </w:r>
      <w:r>
        <w:tab/>
        <w:t>Judge Suko noted the probable motivation for the tactical decision of Columbia REA and the Walla Walla Country Club:  “Considering the actions of CREA in front of the WUTC, i.e., intervening to challenge PacifiCorp’s potential changes to the tariff at issue here, the Country Club appears to be seeking a ruling that would be common to all PacifiCorp customers who wish to disconnect and switch service to CREA.”</w:t>
      </w:r>
      <w:r>
        <w:rPr>
          <w:rStyle w:val="FootnoteReference"/>
        </w:rPr>
        <w:footnoteReference w:id="24"/>
      </w:r>
    </w:p>
    <w:p w:rsidR="00F06CC4" w:rsidRDefault="00F06CC4" w:rsidP="00F06CC4">
      <w:pPr>
        <w:pStyle w:val="BodyText"/>
        <w:ind w:hanging="720"/>
      </w:pPr>
      <w:r>
        <w:rPr>
          <w:i/>
        </w:rPr>
        <w:t>13</w:t>
      </w:r>
      <w:r>
        <w:tab/>
      </w:r>
      <w:r>
        <w:tab/>
        <w:t xml:space="preserve">Columbia REA has invested heavily in facilities </w:t>
      </w:r>
      <w:r>
        <w:lastRenderedPageBreak/>
        <w:t>around the perimeter of the Walla Walla Country Club and throughout the greater Walla Walla area.</w:t>
      </w:r>
      <w:r>
        <w:rPr>
          <w:rStyle w:val="FootnoteReference"/>
        </w:rPr>
        <w:footnoteReference w:id="25"/>
      </w:r>
      <w:r>
        <w:t xml:space="preserve">  As noted by Judge Suko, it appears Columbia REA seeks some form of precedent by way of this proceeding.</w:t>
      </w:r>
    </w:p>
    <w:p w:rsidR="00F06CC4" w:rsidRDefault="00F06CC4" w:rsidP="00F06CC4">
      <w:pPr>
        <w:pStyle w:val="Heading1"/>
        <w:spacing w:after="240" w:line="240" w:lineRule="auto"/>
      </w:pPr>
      <w:bookmarkStart w:id="28" w:name="_Toc434834955"/>
      <w:bookmarkStart w:id="29" w:name="_Toc434840256"/>
      <w:bookmarkStart w:id="30" w:name="_Toc435175501"/>
      <w:r>
        <w:t>Conclusion</w:t>
      </w:r>
      <w:bookmarkEnd w:id="28"/>
      <w:bookmarkEnd w:id="29"/>
      <w:bookmarkEnd w:id="30"/>
    </w:p>
    <w:p w:rsidR="00F06CC4" w:rsidRPr="00A40903" w:rsidRDefault="00F06CC4" w:rsidP="00F06CC4">
      <w:pPr>
        <w:pStyle w:val="BodyText"/>
        <w:ind w:hanging="720"/>
      </w:pPr>
      <w:r>
        <w:rPr>
          <w:i/>
        </w:rPr>
        <w:t>14</w:t>
      </w:r>
      <w:r>
        <w:tab/>
      </w:r>
      <w:r>
        <w:tab/>
        <w:t>Numerous safety and operational concerns necessitate removal of Pacific Power’s facilities from the Walla Walla Country Club property.  Pacific Power’s net removal tariff provides for removal</w:t>
      </w:r>
      <w:r w:rsidR="00880C79">
        <w:t>—</w:t>
      </w:r>
      <w:r>
        <w:t>but</w:t>
      </w:r>
      <w:r w:rsidR="00880C79">
        <w:t xml:space="preserve"> </w:t>
      </w:r>
      <w:r>
        <w:t>not a forced sale</w:t>
      </w:r>
      <w:r w:rsidR="00880C79">
        <w:t>—</w:t>
      </w:r>
      <w:r>
        <w:t>of</w:t>
      </w:r>
      <w:r w:rsidR="00880C79">
        <w:t xml:space="preserve"> </w:t>
      </w:r>
      <w:r>
        <w:t xml:space="preserve">Pacific Power’s facilities.  Columbia REA and the Walla Walla Country Club </w:t>
      </w:r>
      <w:r w:rsidR="00880C79">
        <w:t xml:space="preserve">now </w:t>
      </w:r>
      <w:r>
        <w:t xml:space="preserve">represent that the facilities will be removed one </w:t>
      </w:r>
      <w:r>
        <w:lastRenderedPageBreak/>
        <w:t>way or another.  Pacific Power will do so at a cost reflecting competitive bidding and in an extremely efficient manner with limited disruption.  Columbia REA’s effort to create some form of precedent and resulting competitive advantage should be denied.  Pacific Power should be allowed to remove its facilities, with Columbia REA and the Walla Walla Country Club paying the actual cost of removal less salvage, in accordance with the terms of their contracts.</w:t>
      </w:r>
    </w:p>
    <w:p w:rsidR="00F06CC4" w:rsidRPr="00201F9B" w:rsidRDefault="00F06CC4" w:rsidP="00F06CC4">
      <w:pPr>
        <w:pStyle w:val="BodyText"/>
        <w:widowControl/>
        <w:jc w:val="both"/>
      </w:pPr>
    </w:p>
    <w:p w:rsidR="00F06CC4" w:rsidRDefault="00F06CC4" w:rsidP="00F06CC4">
      <w:pPr>
        <w:pStyle w:val="BodyText"/>
        <w:keepNext/>
        <w:keepLines/>
      </w:pPr>
      <w:r>
        <w:lastRenderedPageBreak/>
        <w:t xml:space="preserve">Dated </w:t>
      </w:r>
      <w:bookmarkStart w:id="31" w:name="Date"/>
      <w:r>
        <w:t>this 13</w:t>
      </w:r>
      <w:r w:rsidRPr="00825B27">
        <w:rPr>
          <w:vertAlign w:val="superscript"/>
        </w:rPr>
        <w:t>th</w:t>
      </w:r>
      <w:r>
        <w:t xml:space="preserve"> day of </w:t>
      </w:r>
      <w:r>
        <w:rPr>
          <w:noProof/>
        </w:rPr>
        <w:t>November</w:t>
      </w:r>
      <w:r>
        <w:t xml:space="preserve">, </w:t>
      </w:r>
      <w:r>
        <w:rPr>
          <w:noProof/>
        </w:rPr>
        <w:t>201</w:t>
      </w:r>
      <w:bookmarkEnd w:id="31"/>
      <w:r>
        <w:rPr>
          <w:noProof/>
        </w:rPr>
        <w:t>5</w:t>
      </w:r>
      <w:r>
        <w:t>.</w:t>
      </w:r>
    </w:p>
    <w:p w:rsidR="00F06CC4" w:rsidRDefault="00F06CC4" w:rsidP="00F06CC4">
      <w:pPr>
        <w:pStyle w:val="BodyText"/>
        <w:keepNext/>
        <w:keepLines/>
      </w:pP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4253"/>
        <w:gridCol w:w="4603"/>
      </w:tblGrid>
      <w:tr w:rsidR="00F06CC4" w:rsidTr="00EE2497">
        <w:tc>
          <w:tcPr>
            <w:tcW w:w="4428" w:type="dxa"/>
          </w:tcPr>
          <w:p w:rsidR="00F06CC4" w:rsidRDefault="00F06CC4" w:rsidP="00EE2497">
            <w:pPr>
              <w:pStyle w:val="BodyText"/>
              <w:keepNext/>
              <w:keepLines/>
              <w:spacing w:line="240" w:lineRule="auto"/>
              <w:ind w:firstLine="0"/>
            </w:pPr>
            <w:r>
              <w:t>PACIFIC POWER &amp; LIGHT COMPANY</w:t>
            </w:r>
          </w:p>
          <w:p w:rsidR="00F06CC4" w:rsidRDefault="00F06CC4" w:rsidP="00EE2497">
            <w:pPr>
              <w:pStyle w:val="BodyText"/>
              <w:keepNext/>
              <w:keepLines/>
              <w:spacing w:line="240" w:lineRule="auto"/>
              <w:ind w:firstLine="0"/>
            </w:pPr>
          </w:p>
          <w:p w:rsidR="00F06CC4" w:rsidRDefault="00F06CC4" w:rsidP="00EE2497">
            <w:pPr>
              <w:pStyle w:val="BodyText"/>
              <w:keepNext/>
              <w:keepLines/>
              <w:spacing w:line="240" w:lineRule="auto"/>
              <w:ind w:firstLine="0"/>
            </w:pPr>
          </w:p>
          <w:p w:rsidR="00F06CC4" w:rsidRDefault="00F06CC4" w:rsidP="00EE2497">
            <w:pPr>
              <w:pStyle w:val="BodyText"/>
              <w:keepNext/>
              <w:keepLines/>
              <w:spacing w:line="240" w:lineRule="auto"/>
              <w:ind w:firstLine="0"/>
            </w:pPr>
          </w:p>
          <w:p w:rsidR="00F06CC4" w:rsidRDefault="00F06CC4" w:rsidP="00EE2497">
            <w:pPr>
              <w:pStyle w:val="BodyText"/>
              <w:keepNext/>
              <w:keepLines/>
              <w:spacing w:line="240" w:lineRule="auto"/>
              <w:ind w:firstLine="0"/>
            </w:pPr>
            <w:r>
              <w:t>By:</w:t>
            </w:r>
            <w:r>
              <w:tab/>
              <w:t>___________________________</w:t>
            </w:r>
          </w:p>
          <w:p w:rsidR="00F06CC4" w:rsidRDefault="00F06CC4" w:rsidP="00EE2497">
            <w:pPr>
              <w:pStyle w:val="BodyText"/>
              <w:keepNext/>
              <w:keepLines/>
              <w:spacing w:line="240" w:lineRule="auto"/>
              <w:ind w:left="720" w:firstLine="0"/>
            </w:pPr>
            <w:r>
              <w:t>Sarah Wallace</w:t>
            </w:r>
            <w:r>
              <w:br/>
              <w:t>Vice President and General Counsel</w:t>
            </w:r>
          </w:p>
          <w:p w:rsidR="00F06CC4" w:rsidRDefault="00F06CC4" w:rsidP="00EE2497">
            <w:pPr>
              <w:pStyle w:val="BodyText"/>
              <w:keepNext/>
              <w:keepLines/>
              <w:spacing w:line="240" w:lineRule="auto"/>
              <w:ind w:left="720" w:firstLine="0"/>
            </w:pPr>
            <w:r w:rsidRPr="00825B27">
              <w:t>sara.wallace@pacificorp.com</w:t>
            </w:r>
          </w:p>
          <w:p w:rsidR="00F06CC4" w:rsidRPr="00825B27" w:rsidRDefault="00F06CC4" w:rsidP="00EE2497">
            <w:pPr>
              <w:pStyle w:val="BodyText"/>
              <w:keepNext/>
              <w:keepLines/>
              <w:spacing w:line="240" w:lineRule="auto"/>
              <w:ind w:left="720" w:firstLine="0"/>
            </w:pPr>
            <w:r>
              <w:rPr>
                <w:i/>
              </w:rPr>
              <w:t>Attorney for Respondent</w:t>
            </w:r>
          </w:p>
        </w:tc>
        <w:tc>
          <w:tcPr>
            <w:tcW w:w="4774" w:type="dxa"/>
          </w:tcPr>
          <w:p w:rsidR="00F06CC4" w:rsidRDefault="00F06CC4" w:rsidP="00EE2497">
            <w:pPr>
              <w:pStyle w:val="BodyText"/>
              <w:keepNext/>
              <w:keepLines/>
              <w:spacing w:line="240" w:lineRule="auto"/>
              <w:ind w:firstLine="0"/>
            </w:pPr>
            <w:r>
              <w:t>SCHWABE, WILLIAMSON &amp; WYATT, P.C.</w:t>
            </w:r>
          </w:p>
          <w:p w:rsidR="00F06CC4" w:rsidRDefault="00F06CC4" w:rsidP="00EE2497">
            <w:pPr>
              <w:pStyle w:val="BodyText"/>
              <w:keepNext/>
              <w:keepLines/>
              <w:spacing w:line="240" w:lineRule="auto"/>
              <w:ind w:firstLine="0"/>
            </w:pPr>
          </w:p>
          <w:p w:rsidR="00F06CC4" w:rsidRDefault="00F06CC4" w:rsidP="00EE2497">
            <w:pPr>
              <w:pStyle w:val="BodyText"/>
              <w:keepNext/>
              <w:keepLines/>
              <w:spacing w:line="240" w:lineRule="auto"/>
              <w:ind w:firstLine="0"/>
            </w:pPr>
          </w:p>
          <w:p w:rsidR="00F06CC4" w:rsidRDefault="00F06CC4" w:rsidP="00EE2497">
            <w:pPr>
              <w:pStyle w:val="BodyText"/>
              <w:keepNext/>
              <w:keepLines/>
              <w:spacing w:line="240" w:lineRule="auto"/>
              <w:ind w:firstLine="0"/>
            </w:pPr>
          </w:p>
          <w:p w:rsidR="00F06CC4" w:rsidRDefault="00F06CC4" w:rsidP="00EE2497">
            <w:pPr>
              <w:pStyle w:val="BodyText"/>
              <w:keepNext/>
              <w:keepLines/>
              <w:spacing w:line="240" w:lineRule="auto"/>
              <w:ind w:firstLine="0"/>
            </w:pPr>
            <w:r>
              <w:t>By:</w:t>
            </w:r>
            <w:r>
              <w:tab/>
              <w:t>______________________________</w:t>
            </w:r>
          </w:p>
          <w:p w:rsidR="00F06CC4" w:rsidRDefault="00F06CC4" w:rsidP="00EE2497">
            <w:pPr>
              <w:pStyle w:val="BodyText"/>
              <w:keepNext/>
              <w:keepLines/>
              <w:spacing w:line="240" w:lineRule="auto"/>
            </w:pPr>
            <w:r>
              <w:t xml:space="preserve">Troy Greenfield </w:t>
            </w:r>
          </w:p>
          <w:p w:rsidR="00F06CC4" w:rsidRDefault="00F06CC4" w:rsidP="00EE2497">
            <w:pPr>
              <w:pStyle w:val="BodyText"/>
              <w:keepNext/>
              <w:keepLines/>
              <w:spacing w:line="240" w:lineRule="auto"/>
            </w:pPr>
            <w:r>
              <w:t>Claire L. Rootjes</w:t>
            </w:r>
          </w:p>
          <w:p w:rsidR="00F06CC4" w:rsidRDefault="00F06CC4" w:rsidP="00EE2497">
            <w:pPr>
              <w:pStyle w:val="BodyText"/>
              <w:keepNext/>
              <w:keepLines/>
              <w:spacing w:line="240" w:lineRule="auto"/>
            </w:pPr>
            <w:r>
              <w:t>‎tgreenfield@schwabe.com</w:t>
            </w:r>
          </w:p>
          <w:p w:rsidR="00F06CC4" w:rsidRDefault="00F06CC4" w:rsidP="00EE2497">
            <w:pPr>
              <w:pStyle w:val="BodyText"/>
              <w:keepNext/>
              <w:keepLines/>
              <w:spacing w:line="240" w:lineRule="auto"/>
            </w:pPr>
            <w:r>
              <w:t>crootjes@schwabe.com</w:t>
            </w:r>
          </w:p>
          <w:p w:rsidR="00F06CC4" w:rsidRDefault="00F06CC4" w:rsidP="00EE2497">
            <w:pPr>
              <w:pStyle w:val="BodyText"/>
              <w:keepNext/>
              <w:keepLines/>
              <w:spacing w:line="240" w:lineRule="auto"/>
            </w:pPr>
            <w:r>
              <w:rPr>
                <w:i/>
              </w:rPr>
              <w:t>Attorneys for Respondent</w:t>
            </w:r>
          </w:p>
        </w:tc>
      </w:tr>
    </w:tbl>
    <w:p w:rsidR="004268CD" w:rsidRDefault="004268CD" w:rsidP="009615F6">
      <w:pPr>
        <w:spacing w:before="5" w:line="240" w:lineRule="auto"/>
        <w:jc w:val="center"/>
      </w:pPr>
    </w:p>
    <w:sectPr w:rsidR="004268CD" w:rsidSect="000A3940">
      <w:footerReference w:type="default" r:id="rId16"/>
      <w:pgSz w:w="12240" w:h="15840" w:code="1"/>
      <w:pgMar w:top="1440" w:right="1440" w:bottom="1440" w:left="216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234" w:rsidRDefault="00742234">
      <w:pPr>
        <w:spacing w:line="240" w:lineRule="auto"/>
      </w:pPr>
      <w:r>
        <w:separator/>
      </w:r>
    </w:p>
  </w:endnote>
  <w:endnote w:type="continuationSeparator" w:id="0">
    <w:p w:rsidR="00742234" w:rsidRDefault="007422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D8E" w:rsidRDefault="004C5D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D8E" w:rsidRDefault="004C5D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D8E" w:rsidRDefault="004C5D8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49A" w:rsidRPr="00EE2497" w:rsidRDefault="007D149A" w:rsidP="00783BB9">
    <w:pPr>
      <w:pStyle w:val="Footer"/>
      <w:tabs>
        <w:tab w:val="clear" w:pos="9360"/>
        <w:tab w:val="right" w:pos="8640"/>
      </w:tabs>
      <w:spacing w:line="240" w:lineRule="auto"/>
      <w:rPr>
        <w:rStyle w:val="DocID"/>
        <w:sz w:val="24"/>
      </w:rPr>
    </w:pPr>
    <w:r>
      <w:rPr>
        <w:rStyle w:val="DocID"/>
        <w:sz w:val="24"/>
      </w:rPr>
      <w:t>UE-143932—Reply Brief of Pacific Power &amp; Light Company</w:t>
    </w:r>
    <w:r>
      <w:rPr>
        <w:rStyle w:val="DocID"/>
        <w:sz w:val="24"/>
      </w:rPr>
      <w:tab/>
    </w:r>
    <w:r w:rsidRPr="000A3940">
      <w:rPr>
        <w:rStyle w:val="DocID"/>
        <w:sz w:val="24"/>
      </w:rPr>
      <w:fldChar w:fldCharType="begin"/>
    </w:r>
    <w:r w:rsidRPr="000A3940">
      <w:rPr>
        <w:rStyle w:val="DocID"/>
        <w:sz w:val="24"/>
      </w:rPr>
      <w:instrText xml:space="preserve"> PAGE   \* MERGEFORMAT </w:instrText>
    </w:r>
    <w:r w:rsidRPr="000A3940">
      <w:rPr>
        <w:rStyle w:val="DocID"/>
        <w:sz w:val="24"/>
      </w:rPr>
      <w:fldChar w:fldCharType="separate"/>
    </w:r>
    <w:r w:rsidR="004C5D8E">
      <w:rPr>
        <w:rStyle w:val="DocID"/>
        <w:noProof/>
        <w:sz w:val="24"/>
      </w:rPr>
      <w:t>7</w:t>
    </w:r>
    <w:r w:rsidRPr="000A3940">
      <w:rPr>
        <w:rStyle w:val="DocID"/>
        <w:noProof/>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234" w:rsidRDefault="00742234">
      <w:r>
        <w:separator/>
      </w:r>
    </w:p>
  </w:footnote>
  <w:footnote w:type="continuationSeparator" w:id="0">
    <w:p w:rsidR="00742234" w:rsidRDefault="00742234">
      <w:r>
        <w:continuationSeparator/>
      </w:r>
    </w:p>
  </w:footnote>
  <w:footnote w:id="1">
    <w:p w:rsidR="007D149A" w:rsidRPr="00EE2497" w:rsidRDefault="007D149A" w:rsidP="00EE2497">
      <w:pPr>
        <w:pStyle w:val="FootnoteText"/>
        <w:spacing w:after="0" w:line="240" w:lineRule="auto"/>
        <w:ind w:firstLine="0"/>
        <w:rPr>
          <w:sz w:val="20"/>
        </w:rPr>
      </w:pPr>
      <w:r w:rsidRPr="00EE2497">
        <w:rPr>
          <w:rStyle w:val="FootnoteReference"/>
          <w:sz w:val="20"/>
        </w:rPr>
        <w:footnoteRef/>
      </w:r>
      <w:r w:rsidRPr="00EE2497">
        <w:rPr>
          <w:sz w:val="20"/>
        </w:rPr>
        <w:t xml:space="preserve"> Dalley, Exhibit No. RBD-1T 8:6-7.</w:t>
      </w:r>
    </w:p>
  </w:footnote>
  <w:footnote w:id="2">
    <w:p w:rsidR="007D149A" w:rsidRPr="00EE2497" w:rsidRDefault="007D149A" w:rsidP="00EE2497">
      <w:pPr>
        <w:pStyle w:val="FootnoteText"/>
        <w:spacing w:after="0" w:line="240" w:lineRule="auto"/>
        <w:ind w:firstLine="0"/>
        <w:rPr>
          <w:sz w:val="20"/>
        </w:rPr>
      </w:pPr>
      <w:r w:rsidRPr="00EE2497">
        <w:rPr>
          <w:rStyle w:val="FootnoteReference"/>
          <w:sz w:val="20"/>
        </w:rPr>
        <w:footnoteRef/>
      </w:r>
      <w:r w:rsidRPr="00EE2497">
        <w:rPr>
          <w:sz w:val="20"/>
        </w:rPr>
        <w:t xml:space="preserve"> Dalley, Exhibit No. RBD-1T 8:10-15.</w:t>
      </w:r>
    </w:p>
  </w:footnote>
  <w:footnote w:id="3">
    <w:p w:rsidR="007D149A" w:rsidRPr="00EE2497" w:rsidRDefault="007D149A" w:rsidP="00EE2497">
      <w:pPr>
        <w:pStyle w:val="FootnoteText"/>
        <w:spacing w:after="0" w:line="240" w:lineRule="auto"/>
        <w:ind w:firstLine="0"/>
        <w:rPr>
          <w:sz w:val="20"/>
        </w:rPr>
      </w:pPr>
      <w:r w:rsidRPr="00EE2497">
        <w:rPr>
          <w:rStyle w:val="FootnoteReference"/>
          <w:sz w:val="20"/>
        </w:rPr>
        <w:footnoteRef/>
      </w:r>
      <w:r w:rsidRPr="00EE2497">
        <w:rPr>
          <w:sz w:val="20"/>
        </w:rPr>
        <w:t xml:space="preserve"> Dalley, Exhibit No. RBD-1T 8:15-17.</w:t>
      </w:r>
    </w:p>
  </w:footnote>
  <w:footnote w:id="4">
    <w:p w:rsidR="007D149A" w:rsidRPr="00EE2497" w:rsidRDefault="007D149A" w:rsidP="00EE2497">
      <w:pPr>
        <w:pStyle w:val="FootnoteText"/>
        <w:spacing w:after="0" w:line="240" w:lineRule="auto"/>
        <w:ind w:firstLine="0"/>
        <w:rPr>
          <w:sz w:val="20"/>
        </w:rPr>
      </w:pPr>
      <w:r w:rsidRPr="00EE2497">
        <w:rPr>
          <w:rStyle w:val="FootnoteReference"/>
          <w:sz w:val="20"/>
        </w:rPr>
        <w:footnoteRef/>
      </w:r>
      <w:r w:rsidRPr="00EE2497">
        <w:rPr>
          <w:sz w:val="20"/>
        </w:rPr>
        <w:t xml:space="preserve"> Dalley, Exhibit No. RBD-1T 8:19-22.</w:t>
      </w:r>
    </w:p>
  </w:footnote>
  <w:footnote w:id="5">
    <w:p w:rsidR="007D149A" w:rsidRPr="00EE2497" w:rsidRDefault="007D149A" w:rsidP="00EE2497">
      <w:pPr>
        <w:pStyle w:val="FootnoteText"/>
        <w:spacing w:after="0" w:line="240" w:lineRule="auto"/>
        <w:ind w:firstLine="0"/>
        <w:rPr>
          <w:sz w:val="20"/>
        </w:rPr>
      </w:pPr>
      <w:r w:rsidRPr="00EE2497">
        <w:rPr>
          <w:rStyle w:val="FootnoteReference"/>
          <w:sz w:val="20"/>
        </w:rPr>
        <w:footnoteRef/>
      </w:r>
      <w:r w:rsidRPr="00EE2497">
        <w:rPr>
          <w:sz w:val="20"/>
        </w:rPr>
        <w:t xml:space="preserve"> Mullins, Exhibit No. BGM-6T 11:4-5.</w:t>
      </w:r>
    </w:p>
  </w:footnote>
  <w:footnote w:id="6">
    <w:p w:rsidR="007D149A" w:rsidRPr="00EE2497" w:rsidRDefault="007D149A" w:rsidP="00EE2497">
      <w:pPr>
        <w:pStyle w:val="FootnoteText"/>
        <w:spacing w:after="0" w:line="240" w:lineRule="auto"/>
        <w:ind w:firstLine="0"/>
        <w:rPr>
          <w:sz w:val="20"/>
        </w:rPr>
      </w:pPr>
      <w:r w:rsidRPr="00EE2497">
        <w:rPr>
          <w:rStyle w:val="FootnoteReference"/>
          <w:sz w:val="20"/>
        </w:rPr>
        <w:footnoteRef/>
      </w:r>
      <w:r w:rsidRPr="00EE2497">
        <w:rPr>
          <w:sz w:val="20"/>
        </w:rPr>
        <w:t xml:space="preserve"> Exhibit No. BJM-15CX (emphasis added).</w:t>
      </w:r>
    </w:p>
  </w:footnote>
  <w:footnote w:id="7">
    <w:p w:rsidR="007D149A" w:rsidRPr="00EE2497" w:rsidRDefault="007D149A" w:rsidP="00EE2497">
      <w:pPr>
        <w:pStyle w:val="FootnoteText"/>
        <w:spacing w:after="0" w:line="240" w:lineRule="auto"/>
        <w:ind w:firstLine="0"/>
        <w:rPr>
          <w:sz w:val="20"/>
        </w:rPr>
      </w:pPr>
      <w:r w:rsidRPr="00EE2497">
        <w:rPr>
          <w:rStyle w:val="FootnoteReference"/>
          <w:sz w:val="20"/>
        </w:rPr>
        <w:footnoteRef/>
      </w:r>
      <w:r w:rsidRPr="00EE2497">
        <w:rPr>
          <w:sz w:val="20"/>
        </w:rPr>
        <w:t xml:space="preserve"> Rule 6; Dalley, Exhibit No. RBD-1T 14:13-15.</w:t>
      </w:r>
    </w:p>
  </w:footnote>
  <w:footnote w:id="8">
    <w:p w:rsidR="007D149A" w:rsidRPr="00EE2497" w:rsidRDefault="007D149A" w:rsidP="00EE2497">
      <w:pPr>
        <w:pStyle w:val="FootnoteText"/>
        <w:spacing w:after="0" w:line="240" w:lineRule="auto"/>
        <w:ind w:firstLine="0"/>
        <w:rPr>
          <w:sz w:val="20"/>
        </w:rPr>
      </w:pPr>
      <w:r w:rsidRPr="00EE2497">
        <w:rPr>
          <w:rStyle w:val="FootnoteReference"/>
          <w:sz w:val="20"/>
        </w:rPr>
        <w:footnoteRef/>
      </w:r>
      <w:r w:rsidRPr="00EE2497">
        <w:rPr>
          <w:sz w:val="20"/>
        </w:rPr>
        <w:t xml:space="preserve"> The Walla Walla Country Club is only responsible for paying $271 per month on a 36</w:t>
      </w:r>
      <w:r>
        <w:rPr>
          <w:sz w:val="20"/>
        </w:rPr>
        <w:t>-</w:t>
      </w:r>
      <w:r w:rsidRPr="00EE2497">
        <w:rPr>
          <w:sz w:val="20"/>
        </w:rPr>
        <w:t>month, no interest loan of $9,790.50.  Dalley, Exhibit No. RBD-1T 9:12-14; Exhibit No. RBD-5.</w:t>
      </w:r>
    </w:p>
  </w:footnote>
  <w:footnote w:id="9">
    <w:p w:rsidR="007D149A" w:rsidRPr="00EE2497" w:rsidRDefault="007D149A" w:rsidP="00EE2497">
      <w:pPr>
        <w:pStyle w:val="FootnoteText"/>
        <w:spacing w:after="0" w:line="240" w:lineRule="auto"/>
        <w:ind w:firstLine="0"/>
        <w:rPr>
          <w:sz w:val="20"/>
        </w:rPr>
      </w:pPr>
      <w:r w:rsidRPr="00EE2497">
        <w:rPr>
          <w:rStyle w:val="FootnoteReference"/>
          <w:sz w:val="20"/>
        </w:rPr>
        <w:footnoteRef/>
      </w:r>
      <w:r w:rsidRPr="00EE2497">
        <w:rPr>
          <w:sz w:val="20"/>
        </w:rPr>
        <w:t xml:space="preserve"> Mullins, Tr. 170:3-6.</w:t>
      </w:r>
    </w:p>
  </w:footnote>
  <w:footnote w:id="10">
    <w:p w:rsidR="007D149A" w:rsidRPr="00EE2497" w:rsidRDefault="007D149A" w:rsidP="00EE2497">
      <w:pPr>
        <w:pStyle w:val="FootnoteText"/>
        <w:spacing w:after="0" w:line="240" w:lineRule="auto"/>
        <w:ind w:firstLine="0"/>
        <w:rPr>
          <w:sz w:val="20"/>
        </w:rPr>
      </w:pPr>
      <w:r w:rsidRPr="00EE2497">
        <w:rPr>
          <w:rStyle w:val="FootnoteReference"/>
          <w:sz w:val="20"/>
        </w:rPr>
        <w:footnoteRef/>
      </w:r>
      <w:r w:rsidRPr="00EE2497">
        <w:rPr>
          <w:sz w:val="20"/>
        </w:rPr>
        <w:t xml:space="preserve"> Exhibit No. JCT-12.</w:t>
      </w:r>
    </w:p>
  </w:footnote>
  <w:footnote w:id="11">
    <w:p w:rsidR="007D149A" w:rsidRPr="00EE2497" w:rsidRDefault="007D149A" w:rsidP="00EE2497">
      <w:pPr>
        <w:pStyle w:val="FootnoteText"/>
        <w:spacing w:after="0" w:line="240" w:lineRule="auto"/>
        <w:ind w:firstLine="0"/>
        <w:rPr>
          <w:sz w:val="20"/>
        </w:rPr>
      </w:pPr>
      <w:r w:rsidRPr="00EE2497">
        <w:rPr>
          <w:rStyle w:val="FootnoteReference"/>
          <w:sz w:val="20"/>
        </w:rPr>
        <w:footnoteRef/>
      </w:r>
      <w:r w:rsidRPr="00EE2497">
        <w:rPr>
          <w:sz w:val="20"/>
        </w:rPr>
        <w:t xml:space="preserve"> </w:t>
      </w:r>
      <w:r w:rsidR="00E4116E" w:rsidRPr="00783BB9">
        <w:rPr>
          <w:i/>
          <w:sz w:val="20"/>
        </w:rPr>
        <w:t>Id.</w:t>
      </w:r>
    </w:p>
  </w:footnote>
  <w:footnote w:id="12">
    <w:p w:rsidR="007D149A" w:rsidRPr="00EE2497" w:rsidRDefault="007D149A" w:rsidP="00EE2497">
      <w:pPr>
        <w:pStyle w:val="FootnoteText"/>
        <w:spacing w:after="0" w:line="240" w:lineRule="auto"/>
        <w:ind w:firstLine="0"/>
        <w:rPr>
          <w:sz w:val="20"/>
        </w:rPr>
      </w:pPr>
      <w:r w:rsidRPr="00EE2497">
        <w:rPr>
          <w:rStyle w:val="FootnoteReference"/>
          <w:sz w:val="20"/>
        </w:rPr>
        <w:footnoteRef/>
      </w:r>
      <w:r w:rsidRPr="00EE2497">
        <w:rPr>
          <w:sz w:val="20"/>
        </w:rPr>
        <w:t xml:space="preserve"> Thomas, Tr. 141:1-11.</w:t>
      </w:r>
    </w:p>
  </w:footnote>
  <w:footnote w:id="13">
    <w:p w:rsidR="007D149A" w:rsidRPr="00EE2497" w:rsidRDefault="007D149A" w:rsidP="00EE2497">
      <w:pPr>
        <w:pStyle w:val="FootnoteText"/>
        <w:spacing w:after="0" w:line="240" w:lineRule="auto"/>
        <w:ind w:firstLine="0"/>
        <w:rPr>
          <w:sz w:val="20"/>
        </w:rPr>
      </w:pPr>
      <w:r w:rsidRPr="00EE2497">
        <w:rPr>
          <w:rStyle w:val="FootnoteReference"/>
          <w:sz w:val="20"/>
        </w:rPr>
        <w:footnoteRef/>
      </w:r>
      <w:r w:rsidRPr="00EE2497">
        <w:rPr>
          <w:sz w:val="20"/>
        </w:rPr>
        <w:t xml:space="preserve"> Clemens, Tr. 107:5-11; 109:8-13.</w:t>
      </w:r>
    </w:p>
  </w:footnote>
  <w:footnote w:id="14">
    <w:p w:rsidR="007D149A" w:rsidRPr="00EE2497" w:rsidRDefault="007D149A" w:rsidP="00EE2497">
      <w:pPr>
        <w:pStyle w:val="FootnoteText"/>
        <w:spacing w:after="0" w:line="240" w:lineRule="auto"/>
        <w:ind w:firstLine="0"/>
        <w:rPr>
          <w:sz w:val="20"/>
        </w:rPr>
      </w:pPr>
      <w:r w:rsidRPr="00EE2497">
        <w:rPr>
          <w:rStyle w:val="FootnoteReference"/>
          <w:sz w:val="20"/>
        </w:rPr>
        <w:footnoteRef/>
      </w:r>
      <w:r w:rsidRPr="00EE2497">
        <w:rPr>
          <w:sz w:val="20"/>
        </w:rPr>
        <w:t xml:space="preserve"> Dalley, Exhibit No. RBD-1T 15:9-13.</w:t>
      </w:r>
    </w:p>
  </w:footnote>
  <w:footnote w:id="15">
    <w:p w:rsidR="007D149A" w:rsidRPr="00EE2497" w:rsidRDefault="007D149A" w:rsidP="00EE2497">
      <w:pPr>
        <w:pStyle w:val="FootnoteText"/>
        <w:spacing w:after="0" w:line="240" w:lineRule="auto"/>
        <w:ind w:firstLine="0"/>
        <w:rPr>
          <w:sz w:val="20"/>
        </w:rPr>
      </w:pPr>
      <w:r w:rsidRPr="00EE2497">
        <w:rPr>
          <w:rStyle w:val="FootnoteReference"/>
          <w:sz w:val="20"/>
        </w:rPr>
        <w:footnoteRef/>
      </w:r>
      <w:r w:rsidRPr="00EE2497">
        <w:rPr>
          <w:sz w:val="20"/>
        </w:rPr>
        <w:t xml:space="preserve"> Dalley, Exhibit No. RBD-1T 15:13-15.</w:t>
      </w:r>
    </w:p>
  </w:footnote>
  <w:footnote w:id="16">
    <w:p w:rsidR="007D149A" w:rsidRPr="00EE2497" w:rsidRDefault="007D149A" w:rsidP="00EE2497">
      <w:pPr>
        <w:pStyle w:val="FootnoteText"/>
        <w:spacing w:after="0" w:line="240" w:lineRule="auto"/>
        <w:ind w:firstLine="0"/>
        <w:rPr>
          <w:sz w:val="20"/>
        </w:rPr>
      </w:pPr>
      <w:r w:rsidRPr="00EE2497">
        <w:rPr>
          <w:rStyle w:val="FootnoteReference"/>
          <w:sz w:val="20"/>
        </w:rPr>
        <w:footnoteRef/>
      </w:r>
      <w:r w:rsidRPr="00EE2497">
        <w:rPr>
          <w:sz w:val="20"/>
        </w:rPr>
        <w:t xml:space="preserve"> Dalley, Exhibit No. RBD-1T 15:15-18.</w:t>
      </w:r>
    </w:p>
  </w:footnote>
  <w:footnote w:id="17">
    <w:p w:rsidR="007D149A" w:rsidRPr="00EE2497" w:rsidRDefault="007D149A" w:rsidP="00EE2497">
      <w:pPr>
        <w:pStyle w:val="FootnoteText"/>
        <w:spacing w:after="0" w:line="240" w:lineRule="auto"/>
        <w:ind w:firstLine="0"/>
        <w:rPr>
          <w:sz w:val="20"/>
        </w:rPr>
      </w:pPr>
      <w:r w:rsidRPr="00EE2497">
        <w:rPr>
          <w:rStyle w:val="FootnoteReference"/>
          <w:sz w:val="20"/>
        </w:rPr>
        <w:footnoteRef/>
      </w:r>
      <w:r w:rsidRPr="00EE2497">
        <w:rPr>
          <w:sz w:val="20"/>
        </w:rPr>
        <w:t xml:space="preserve"> Dalley, Exhibit No. RBD-1T 15:18-20.</w:t>
      </w:r>
    </w:p>
  </w:footnote>
  <w:footnote w:id="18">
    <w:p w:rsidR="007D149A" w:rsidRPr="00EE2497" w:rsidRDefault="007D149A" w:rsidP="00EE2497">
      <w:pPr>
        <w:pStyle w:val="FootnoteText"/>
        <w:spacing w:after="0" w:line="240" w:lineRule="auto"/>
        <w:ind w:firstLine="0"/>
        <w:rPr>
          <w:sz w:val="20"/>
        </w:rPr>
      </w:pPr>
      <w:r w:rsidRPr="00EE2497">
        <w:rPr>
          <w:rStyle w:val="FootnoteReference"/>
          <w:sz w:val="20"/>
        </w:rPr>
        <w:footnoteRef/>
      </w:r>
      <w:r w:rsidRPr="00EE2497">
        <w:rPr>
          <w:sz w:val="20"/>
        </w:rPr>
        <w:t xml:space="preserve"> Mullins, Tr. 152:9-18.</w:t>
      </w:r>
    </w:p>
  </w:footnote>
  <w:footnote w:id="19">
    <w:p w:rsidR="007D149A" w:rsidRPr="00EE2497" w:rsidRDefault="007D149A" w:rsidP="00EE2497">
      <w:pPr>
        <w:pStyle w:val="FootnoteText"/>
        <w:spacing w:after="0" w:line="240" w:lineRule="auto"/>
        <w:ind w:firstLine="0"/>
        <w:rPr>
          <w:sz w:val="20"/>
        </w:rPr>
      </w:pPr>
      <w:r w:rsidRPr="00EE2497">
        <w:rPr>
          <w:rStyle w:val="FootnoteReference"/>
          <w:sz w:val="20"/>
        </w:rPr>
        <w:footnoteRef/>
      </w:r>
      <w:r w:rsidRPr="00EE2497">
        <w:rPr>
          <w:sz w:val="20"/>
        </w:rPr>
        <w:t xml:space="preserve"> Dalley, Exhibit No. RBD-1T 16:9-14.</w:t>
      </w:r>
    </w:p>
  </w:footnote>
  <w:footnote w:id="20">
    <w:p w:rsidR="007D149A" w:rsidRPr="00EE2497" w:rsidRDefault="007D149A" w:rsidP="00EE2497">
      <w:pPr>
        <w:pStyle w:val="FootnoteText"/>
        <w:spacing w:after="0" w:line="240" w:lineRule="auto"/>
        <w:ind w:firstLine="0"/>
        <w:rPr>
          <w:i/>
          <w:sz w:val="20"/>
        </w:rPr>
      </w:pPr>
      <w:r w:rsidRPr="00EE2497">
        <w:rPr>
          <w:rStyle w:val="FootnoteReference"/>
          <w:sz w:val="20"/>
        </w:rPr>
        <w:footnoteRef/>
      </w:r>
      <w:r w:rsidRPr="00EE2497">
        <w:rPr>
          <w:sz w:val="20"/>
        </w:rPr>
        <w:t xml:space="preserve"> </w:t>
      </w:r>
      <w:r w:rsidRPr="00EE2497">
        <w:rPr>
          <w:i/>
          <w:sz w:val="20"/>
        </w:rPr>
        <w:t>Id.</w:t>
      </w:r>
    </w:p>
  </w:footnote>
  <w:footnote w:id="21">
    <w:p w:rsidR="007D149A" w:rsidRPr="00EE2497" w:rsidRDefault="007D149A" w:rsidP="00EE2497">
      <w:pPr>
        <w:pStyle w:val="FootnoteText"/>
        <w:spacing w:after="0" w:line="240" w:lineRule="auto"/>
        <w:ind w:firstLine="0"/>
        <w:rPr>
          <w:sz w:val="20"/>
        </w:rPr>
      </w:pPr>
      <w:r w:rsidRPr="00EE2497">
        <w:rPr>
          <w:rStyle w:val="FootnoteReference"/>
          <w:sz w:val="20"/>
        </w:rPr>
        <w:footnoteRef/>
      </w:r>
      <w:r w:rsidRPr="00EE2497">
        <w:rPr>
          <w:sz w:val="20"/>
        </w:rPr>
        <w:t xml:space="preserve"> Exhibit No. RBD-6 3:Section 9.</w:t>
      </w:r>
    </w:p>
  </w:footnote>
  <w:footnote w:id="22">
    <w:p w:rsidR="007D149A" w:rsidRPr="00EE2497" w:rsidRDefault="007D149A" w:rsidP="00EE2497">
      <w:pPr>
        <w:pStyle w:val="FootnoteText"/>
        <w:spacing w:after="0" w:line="240" w:lineRule="auto"/>
        <w:ind w:firstLine="0"/>
        <w:rPr>
          <w:sz w:val="20"/>
        </w:rPr>
      </w:pPr>
      <w:r w:rsidRPr="00EE2497">
        <w:rPr>
          <w:rStyle w:val="FootnoteReference"/>
          <w:sz w:val="20"/>
        </w:rPr>
        <w:footnoteRef/>
      </w:r>
      <w:r w:rsidRPr="00EE2497">
        <w:rPr>
          <w:sz w:val="20"/>
        </w:rPr>
        <w:t xml:space="preserve"> Brief 9:18-10:20.</w:t>
      </w:r>
    </w:p>
  </w:footnote>
  <w:footnote w:id="23">
    <w:p w:rsidR="007D149A" w:rsidRPr="00EE2497" w:rsidRDefault="007D149A" w:rsidP="00EE2497">
      <w:pPr>
        <w:pStyle w:val="FootnoteText"/>
        <w:spacing w:after="0" w:line="240" w:lineRule="auto"/>
        <w:ind w:firstLine="0"/>
        <w:rPr>
          <w:sz w:val="20"/>
        </w:rPr>
      </w:pPr>
      <w:r w:rsidRPr="00EE2497">
        <w:rPr>
          <w:rStyle w:val="FootnoteReference"/>
          <w:sz w:val="20"/>
        </w:rPr>
        <w:footnoteRef/>
      </w:r>
      <w:r w:rsidRPr="00EE2497">
        <w:rPr>
          <w:sz w:val="20"/>
        </w:rPr>
        <w:t xml:space="preserve"> Exhibit No. JCT-5 9:10-10:4.</w:t>
      </w:r>
    </w:p>
  </w:footnote>
  <w:footnote w:id="24">
    <w:p w:rsidR="007D149A" w:rsidRPr="00EE2497" w:rsidRDefault="007D149A" w:rsidP="00EE2497">
      <w:pPr>
        <w:pStyle w:val="FootnoteText"/>
        <w:spacing w:after="0" w:line="240" w:lineRule="auto"/>
        <w:ind w:firstLine="0"/>
        <w:rPr>
          <w:sz w:val="20"/>
        </w:rPr>
      </w:pPr>
      <w:r w:rsidRPr="00EE2497">
        <w:rPr>
          <w:rStyle w:val="FootnoteReference"/>
          <w:sz w:val="20"/>
        </w:rPr>
        <w:footnoteRef/>
      </w:r>
      <w:r w:rsidRPr="00EE2497">
        <w:rPr>
          <w:sz w:val="20"/>
        </w:rPr>
        <w:t xml:space="preserve"> Exhibit No. JCT-5 11:17-21.</w:t>
      </w:r>
    </w:p>
  </w:footnote>
  <w:footnote w:id="25">
    <w:p w:rsidR="007D149A" w:rsidRPr="00EE2497" w:rsidRDefault="007D149A" w:rsidP="00EE2497">
      <w:pPr>
        <w:pStyle w:val="FootnoteText"/>
        <w:spacing w:after="0" w:line="240" w:lineRule="auto"/>
        <w:ind w:firstLine="0"/>
        <w:rPr>
          <w:sz w:val="20"/>
        </w:rPr>
      </w:pPr>
      <w:r w:rsidRPr="00EE2497">
        <w:rPr>
          <w:rStyle w:val="FootnoteReference"/>
          <w:sz w:val="20"/>
        </w:rPr>
        <w:footnoteRef/>
      </w:r>
      <w:r w:rsidRPr="00EE2497">
        <w:rPr>
          <w:sz w:val="20"/>
        </w:rPr>
        <w:t xml:space="preserve"> Exhibit No. JCT-24 CX.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D8E" w:rsidRDefault="004C5D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D8E" w:rsidRDefault="004C5D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D8E" w:rsidRDefault="004C5D8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49A" w:rsidRDefault="007D149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49A" w:rsidRPr="00772996" w:rsidRDefault="007D149A" w:rsidP="00EE249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49A" w:rsidRPr="00772996" w:rsidRDefault="007D149A" w:rsidP="00EE24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C504C9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FAC015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84E6A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C008EB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87238E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60D79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8427E8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FDC4BE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2628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8609B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E1446984"/>
    <w:lvl w:ilvl="0">
      <w:start w:val="1"/>
      <w:numFmt w:val="upperRoman"/>
      <w:pStyle w:val="Heading1"/>
      <w:lvlText w:val="%1."/>
      <w:lvlJc w:val="left"/>
      <w:pPr>
        <w:tabs>
          <w:tab w:val="num" w:pos="720"/>
        </w:tabs>
        <w:ind w:left="720" w:hanging="720"/>
      </w:pPr>
      <w:rPr>
        <w:b/>
        <w:vanish w:val="0"/>
        <w:u w:val="none"/>
      </w:rPr>
    </w:lvl>
    <w:lvl w:ilvl="1">
      <w:start w:val="1"/>
      <w:numFmt w:val="upperLetter"/>
      <w:pStyle w:val="Heading2"/>
      <w:lvlText w:val="%2."/>
      <w:lvlJc w:val="left"/>
      <w:pPr>
        <w:tabs>
          <w:tab w:val="num" w:pos="1440"/>
        </w:tabs>
        <w:ind w:left="1440" w:hanging="720"/>
      </w:pPr>
      <w:rPr>
        <w:b/>
        <w:vanish w:val="0"/>
        <w:u w:val="none"/>
      </w:rPr>
    </w:lvl>
    <w:lvl w:ilvl="2">
      <w:start w:val="1"/>
      <w:numFmt w:val="decimal"/>
      <w:pStyle w:val="Heading3"/>
      <w:lvlText w:val="%3."/>
      <w:legacy w:legacy="1" w:legacySpace="0" w:legacyIndent="720"/>
      <w:lvlJc w:val="left"/>
      <w:pPr>
        <w:ind w:left="2160" w:hanging="720"/>
      </w:pPr>
      <w:rPr>
        <w:b w:val="0"/>
        <w:vanish w:val="0"/>
        <w:u w:val="none"/>
      </w:rPr>
    </w:lvl>
    <w:lvl w:ilvl="3">
      <w:start w:val="1"/>
      <w:numFmt w:val="lowerLetter"/>
      <w:pStyle w:val="Heading4"/>
      <w:lvlText w:val="%4."/>
      <w:legacy w:legacy="1" w:legacySpace="0" w:legacyIndent="720"/>
      <w:lvlJc w:val="left"/>
      <w:pPr>
        <w:ind w:left="2880" w:hanging="720"/>
      </w:pPr>
      <w:rPr>
        <w:b w:val="0"/>
        <w:vanish w:val="0"/>
        <w:u w:val="none"/>
      </w:rPr>
    </w:lvl>
    <w:lvl w:ilvl="4">
      <w:start w:val="1"/>
      <w:numFmt w:val="decimal"/>
      <w:pStyle w:val="Heading5"/>
      <w:lvlText w:val="(%5)"/>
      <w:legacy w:legacy="1" w:legacySpace="0" w:legacyIndent="720"/>
      <w:lvlJc w:val="left"/>
      <w:pPr>
        <w:ind w:left="3600" w:hanging="720"/>
      </w:pPr>
      <w:rPr>
        <w:b w:val="0"/>
        <w:vanish w:val="0"/>
        <w:u w:val="none"/>
      </w:rPr>
    </w:lvl>
    <w:lvl w:ilvl="5">
      <w:start w:val="1"/>
      <w:numFmt w:val="lowerLetter"/>
      <w:pStyle w:val="Heading6"/>
      <w:lvlText w:val="(%6)"/>
      <w:legacy w:legacy="1" w:legacySpace="0" w:legacyIndent="720"/>
      <w:lvlJc w:val="left"/>
      <w:pPr>
        <w:ind w:left="4320" w:hanging="720"/>
      </w:pPr>
      <w:rPr>
        <w:b w:val="0"/>
        <w:vanish w:val="0"/>
        <w:u w:val="none"/>
      </w:rPr>
    </w:lvl>
    <w:lvl w:ilvl="6">
      <w:start w:val="1"/>
      <w:numFmt w:val="lowerRoman"/>
      <w:pStyle w:val="Heading7"/>
      <w:lvlText w:val="(%7)"/>
      <w:legacy w:legacy="1" w:legacySpace="0" w:legacyIndent="720"/>
      <w:lvlJc w:val="left"/>
      <w:pPr>
        <w:ind w:left="5040" w:hanging="720"/>
      </w:pPr>
      <w:rPr>
        <w:b w:val="0"/>
        <w:vanish w:val="0"/>
        <w:u w:val="none"/>
      </w:rPr>
    </w:lvl>
    <w:lvl w:ilvl="7">
      <w:start w:val="1"/>
      <w:numFmt w:val="lowerLetter"/>
      <w:pStyle w:val="Heading8"/>
      <w:lvlText w:val="%8)"/>
      <w:legacy w:legacy="1" w:legacySpace="0" w:legacyIndent="720"/>
      <w:lvlJc w:val="left"/>
      <w:pPr>
        <w:ind w:left="5760" w:hanging="720"/>
      </w:pPr>
      <w:rPr>
        <w:b w:val="0"/>
        <w:vanish w:val="0"/>
        <w:u w:val="none"/>
      </w:rPr>
    </w:lvl>
    <w:lvl w:ilvl="8">
      <w:start w:val="1"/>
      <w:numFmt w:val="lowerRoman"/>
      <w:pStyle w:val="Heading9"/>
      <w:lvlText w:val="%9)"/>
      <w:legacy w:legacy="1" w:legacySpace="0" w:legacyIndent="720"/>
      <w:lvlJc w:val="left"/>
      <w:pPr>
        <w:ind w:left="6480" w:hanging="720"/>
      </w:pPr>
      <w:rPr>
        <w:b w:val="0"/>
        <w:vanish w:val="0"/>
        <w:u w:val="none"/>
      </w:rPr>
    </w:lvl>
  </w:abstractNum>
  <w:abstractNum w:abstractNumId="11" w15:restartNumberingAfterBreak="0">
    <w:nsid w:val="09193E80"/>
    <w:multiLevelType w:val="hybridMultilevel"/>
    <w:tmpl w:val="E79A9D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E308D5"/>
    <w:multiLevelType w:val="hybridMultilevel"/>
    <w:tmpl w:val="0A4441D4"/>
    <w:lvl w:ilvl="0" w:tplc="4E0ED656">
      <w:start w:val="1"/>
      <w:numFmt w:val="decimal"/>
      <w:lvlText w:val="%1"/>
      <w:lvlJc w:val="left"/>
      <w:pPr>
        <w:ind w:left="1440" w:hanging="360"/>
      </w:pPr>
      <w:rPr>
        <w:rFonts w:ascii="Times New Roman" w:hAnsi="Times New Roman" w:hint="default"/>
        <w:b w:val="0"/>
        <w:i/>
        <w:color w:val="auto"/>
        <w:sz w:val="24"/>
      </w:rPr>
    </w:lvl>
    <w:lvl w:ilvl="1" w:tplc="4E0ED656">
      <w:start w:val="1"/>
      <w:numFmt w:val="decimal"/>
      <w:lvlText w:val="%2"/>
      <w:lvlJc w:val="left"/>
      <w:pPr>
        <w:ind w:left="1440" w:hanging="360"/>
      </w:pPr>
      <w:rPr>
        <w:rFonts w:ascii="Times New Roman" w:hAnsi="Times New Roman" w:hint="default"/>
        <w:b w:val="0"/>
        <w:i/>
        <w:color w:val="auto"/>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CC15AB"/>
    <w:multiLevelType w:val="hybridMultilevel"/>
    <w:tmpl w:val="D808340C"/>
    <w:lvl w:ilvl="0" w:tplc="4E0ED656">
      <w:start w:val="1"/>
      <w:numFmt w:val="decimal"/>
      <w:lvlText w:val="%1"/>
      <w:lvlJc w:val="left"/>
      <w:pPr>
        <w:ind w:left="1440" w:hanging="360"/>
      </w:pPr>
      <w:rPr>
        <w:rFonts w:ascii="Times New Roman" w:hAnsi="Times New Roman" w:hint="default"/>
        <w:b w:val="0"/>
        <w:i/>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3AB742E"/>
    <w:multiLevelType w:val="hybridMultilevel"/>
    <w:tmpl w:val="95208676"/>
    <w:lvl w:ilvl="0" w:tplc="4E0ED656">
      <w:start w:val="1"/>
      <w:numFmt w:val="decimal"/>
      <w:lvlText w:val="%1"/>
      <w:lvlJc w:val="left"/>
      <w:pPr>
        <w:ind w:left="1440" w:hanging="360"/>
      </w:pPr>
      <w:rPr>
        <w:rFonts w:ascii="Times New Roman" w:hAnsi="Times New Roman" w:hint="default"/>
        <w:b w:val="0"/>
        <w:i/>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E5F7638"/>
    <w:multiLevelType w:val="hybridMultilevel"/>
    <w:tmpl w:val="E4D0ABE8"/>
    <w:lvl w:ilvl="0" w:tplc="5A2CD3CC">
      <w:start w:val="1"/>
      <w:numFmt w:val="upperRoman"/>
      <w:pStyle w:val="H1"/>
      <w:lvlText w:val="%1."/>
      <w:lvlJc w:val="left"/>
      <w:pPr>
        <w:ind w:left="4140" w:hanging="72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6" w15:restartNumberingAfterBreak="0">
    <w:nsid w:val="5160117C"/>
    <w:multiLevelType w:val="hybridMultilevel"/>
    <w:tmpl w:val="D884DFFE"/>
    <w:lvl w:ilvl="0" w:tplc="4E0ED656">
      <w:start w:val="1"/>
      <w:numFmt w:val="decimal"/>
      <w:lvlText w:val="%1"/>
      <w:lvlJc w:val="left"/>
      <w:pPr>
        <w:ind w:left="1440" w:hanging="360"/>
      </w:pPr>
      <w:rPr>
        <w:rFonts w:ascii="Times New Roman" w:hAnsi="Times New Roman" w:hint="default"/>
        <w:b w:val="0"/>
        <w:i/>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7191568"/>
    <w:multiLevelType w:val="hybridMultilevel"/>
    <w:tmpl w:val="B5E21A9A"/>
    <w:lvl w:ilvl="0" w:tplc="4E0ED656">
      <w:start w:val="1"/>
      <w:numFmt w:val="decimal"/>
      <w:lvlText w:val="%1"/>
      <w:lvlJc w:val="left"/>
      <w:pPr>
        <w:ind w:left="1440" w:hanging="360"/>
      </w:pPr>
      <w:rPr>
        <w:rFonts w:ascii="Times New Roman" w:hAnsi="Times New Roman" w:hint="default"/>
        <w:b w:val="0"/>
        <w:i/>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7236BF9"/>
    <w:multiLevelType w:val="hybridMultilevel"/>
    <w:tmpl w:val="EB420798"/>
    <w:lvl w:ilvl="0" w:tplc="4E0ED656">
      <w:start w:val="1"/>
      <w:numFmt w:val="decimal"/>
      <w:lvlText w:val="%1"/>
      <w:lvlJc w:val="left"/>
      <w:pPr>
        <w:ind w:left="1440" w:hanging="360"/>
      </w:pPr>
      <w:rPr>
        <w:rFonts w:ascii="Times New Roman" w:hAnsi="Times New Roman" w:hint="default"/>
        <w:b w:val="0"/>
        <w:i/>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AC4293B"/>
    <w:multiLevelType w:val="hybridMultilevel"/>
    <w:tmpl w:val="EADC7F12"/>
    <w:lvl w:ilvl="0" w:tplc="4E0ED656">
      <w:start w:val="1"/>
      <w:numFmt w:val="decimal"/>
      <w:lvlText w:val="%1"/>
      <w:lvlJc w:val="left"/>
      <w:pPr>
        <w:ind w:left="1440" w:hanging="360"/>
      </w:pPr>
      <w:rPr>
        <w:rFonts w:ascii="Times New Roman" w:hAnsi="Times New Roman" w:hint="default"/>
        <w:b w:val="0"/>
        <w:i/>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8936340"/>
    <w:multiLevelType w:val="hybridMultilevel"/>
    <w:tmpl w:val="CD4A20BA"/>
    <w:lvl w:ilvl="0" w:tplc="4E0ED656">
      <w:start w:val="1"/>
      <w:numFmt w:val="decimal"/>
      <w:lvlText w:val="%1"/>
      <w:lvlJc w:val="left"/>
      <w:pPr>
        <w:ind w:left="1440" w:hanging="360"/>
      </w:pPr>
      <w:rPr>
        <w:rFonts w:ascii="Times New Roman" w:hAnsi="Times New Roman" w:hint="default"/>
        <w:b w:val="0"/>
        <w:i/>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5"/>
  </w:num>
  <w:num w:numId="21">
    <w:abstractNumId w:val="12"/>
  </w:num>
  <w:num w:numId="22">
    <w:abstractNumId w:val="11"/>
  </w:num>
  <w:num w:numId="23">
    <w:abstractNumId w:val="16"/>
  </w:num>
  <w:num w:numId="24">
    <w:abstractNumId w:val="19"/>
  </w:num>
  <w:num w:numId="25">
    <w:abstractNumId w:val="13"/>
  </w:num>
  <w:num w:numId="26">
    <w:abstractNumId w:val="17"/>
  </w:num>
  <w:num w:numId="27">
    <w:abstractNumId w:val="18"/>
  </w:num>
  <w:num w:numId="28">
    <w:abstractNumId w:val="20"/>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embedSystemFonts/>
  <w:hideSpellingErrors/>
  <w:hideGrammaticalErrors/>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195"/>
    <w:rsid w:val="000A3940"/>
    <w:rsid w:val="001A7E11"/>
    <w:rsid w:val="00290176"/>
    <w:rsid w:val="002D1610"/>
    <w:rsid w:val="002D497E"/>
    <w:rsid w:val="004268CD"/>
    <w:rsid w:val="004C5D8E"/>
    <w:rsid w:val="00541744"/>
    <w:rsid w:val="0057441E"/>
    <w:rsid w:val="005C7E86"/>
    <w:rsid w:val="006A1487"/>
    <w:rsid w:val="006F4228"/>
    <w:rsid w:val="00742234"/>
    <w:rsid w:val="00783BB9"/>
    <w:rsid w:val="007D149A"/>
    <w:rsid w:val="00880C79"/>
    <w:rsid w:val="00886156"/>
    <w:rsid w:val="008D6BD4"/>
    <w:rsid w:val="009615F6"/>
    <w:rsid w:val="009D7EFD"/>
    <w:rsid w:val="00A76F95"/>
    <w:rsid w:val="00B06195"/>
    <w:rsid w:val="00B870EE"/>
    <w:rsid w:val="00BA1AC7"/>
    <w:rsid w:val="00BF4255"/>
    <w:rsid w:val="00C32DDC"/>
    <w:rsid w:val="00DE139F"/>
    <w:rsid w:val="00E4116E"/>
    <w:rsid w:val="00E67D99"/>
    <w:rsid w:val="00EE2497"/>
    <w:rsid w:val="00F01361"/>
    <w:rsid w:val="00F06CC4"/>
    <w:rsid w:val="00F45A45"/>
    <w:rsid w:val="00FF6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345"/>
    <w:pPr>
      <w:widowControl w:val="0"/>
      <w:spacing w:line="240" w:lineRule="exact"/>
    </w:pPr>
    <w:rPr>
      <w:sz w:val="24"/>
    </w:rPr>
  </w:style>
  <w:style w:type="paragraph" w:styleId="Heading1">
    <w:name w:val="heading 1"/>
    <w:basedOn w:val="Normal"/>
    <w:next w:val="BodyText"/>
    <w:qFormat/>
    <w:rsid w:val="000C5C9D"/>
    <w:pPr>
      <w:keepNext/>
      <w:keepLines/>
      <w:numPr>
        <w:numId w:val="1"/>
      </w:numPr>
      <w:spacing w:before="240"/>
      <w:ind w:right="720"/>
      <w:outlineLvl w:val="0"/>
    </w:pPr>
    <w:rPr>
      <w:b/>
      <w:u w:val="single"/>
    </w:rPr>
  </w:style>
  <w:style w:type="paragraph" w:styleId="Heading2">
    <w:name w:val="heading 2"/>
    <w:basedOn w:val="Normal"/>
    <w:next w:val="BodyText"/>
    <w:qFormat/>
    <w:rsid w:val="00BF4255"/>
    <w:pPr>
      <w:keepNext/>
      <w:keepLines/>
      <w:numPr>
        <w:ilvl w:val="1"/>
        <w:numId w:val="2"/>
      </w:numPr>
      <w:spacing w:line="240" w:lineRule="auto"/>
      <w:ind w:right="720"/>
      <w:outlineLvl w:val="1"/>
    </w:pPr>
    <w:rPr>
      <w:b/>
    </w:rPr>
  </w:style>
  <w:style w:type="paragraph" w:styleId="Heading3">
    <w:name w:val="heading 3"/>
    <w:basedOn w:val="Normal"/>
    <w:next w:val="BodyText"/>
    <w:qFormat/>
    <w:rsid w:val="000C5C9D"/>
    <w:pPr>
      <w:keepNext/>
      <w:keepLines/>
      <w:numPr>
        <w:ilvl w:val="2"/>
        <w:numId w:val="3"/>
      </w:numPr>
      <w:spacing w:before="240"/>
      <w:ind w:right="720"/>
      <w:outlineLvl w:val="2"/>
    </w:pPr>
    <w:rPr>
      <w:u w:val="single"/>
    </w:rPr>
  </w:style>
  <w:style w:type="paragraph" w:styleId="Heading4">
    <w:name w:val="heading 4"/>
    <w:basedOn w:val="Normal"/>
    <w:next w:val="BodyText"/>
    <w:qFormat/>
    <w:rsid w:val="000C5C9D"/>
    <w:pPr>
      <w:keepNext/>
      <w:keepLines/>
      <w:numPr>
        <w:ilvl w:val="3"/>
        <w:numId w:val="4"/>
      </w:numPr>
      <w:spacing w:before="240"/>
      <w:ind w:right="720"/>
      <w:outlineLvl w:val="3"/>
    </w:pPr>
    <w:rPr>
      <w:u w:val="single"/>
    </w:rPr>
  </w:style>
  <w:style w:type="paragraph" w:styleId="Heading5">
    <w:name w:val="heading 5"/>
    <w:basedOn w:val="Normal"/>
    <w:next w:val="BodyText"/>
    <w:qFormat/>
    <w:rsid w:val="000C5C9D"/>
    <w:pPr>
      <w:keepNext/>
      <w:keepLines/>
      <w:numPr>
        <w:ilvl w:val="4"/>
        <w:numId w:val="5"/>
      </w:numPr>
      <w:spacing w:before="240"/>
      <w:ind w:right="720"/>
      <w:outlineLvl w:val="4"/>
    </w:pPr>
  </w:style>
  <w:style w:type="paragraph" w:styleId="Heading6">
    <w:name w:val="heading 6"/>
    <w:basedOn w:val="Normal"/>
    <w:next w:val="BodyText"/>
    <w:qFormat/>
    <w:rsid w:val="000C5C9D"/>
    <w:pPr>
      <w:keepNext/>
      <w:keepLines/>
      <w:numPr>
        <w:ilvl w:val="5"/>
        <w:numId w:val="6"/>
      </w:numPr>
      <w:spacing w:before="240"/>
      <w:ind w:right="720"/>
      <w:outlineLvl w:val="5"/>
    </w:pPr>
  </w:style>
  <w:style w:type="paragraph" w:styleId="Heading7">
    <w:name w:val="heading 7"/>
    <w:basedOn w:val="Normal"/>
    <w:next w:val="BodyText"/>
    <w:qFormat/>
    <w:rsid w:val="000C5C9D"/>
    <w:pPr>
      <w:keepNext/>
      <w:keepLines/>
      <w:numPr>
        <w:ilvl w:val="6"/>
        <w:numId w:val="7"/>
      </w:numPr>
      <w:spacing w:before="240"/>
      <w:ind w:right="720"/>
      <w:outlineLvl w:val="6"/>
    </w:pPr>
  </w:style>
  <w:style w:type="paragraph" w:styleId="Heading8">
    <w:name w:val="heading 8"/>
    <w:basedOn w:val="Normal"/>
    <w:next w:val="BodyText"/>
    <w:qFormat/>
    <w:rsid w:val="000C5C9D"/>
    <w:pPr>
      <w:keepNext/>
      <w:keepLines/>
      <w:numPr>
        <w:ilvl w:val="7"/>
        <w:numId w:val="8"/>
      </w:numPr>
      <w:spacing w:before="240"/>
      <w:ind w:right="720"/>
      <w:outlineLvl w:val="7"/>
    </w:pPr>
  </w:style>
  <w:style w:type="paragraph" w:styleId="Heading9">
    <w:name w:val="heading 9"/>
    <w:basedOn w:val="Normal"/>
    <w:next w:val="BodyText"/>
    <w:qFormat/>
    <w:rsid w:val="000C5C9D"/>
    <w:pPr>
      <w:keepNext/>
      <w:keepLines/>
      <w:numPr>
        <w:ilvl w:val="8"/>
        <w:numId w:val="9"/>
      </w:numPr>
      <w:spacing w:before="240"/>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870EE"/>
    <w:pPr>
      <w:spacing w:line="480" w:lineRule="auto"/>
      <w:ind w:firstLine="720"/>
    </w:pPr>
  </w:style>
  <w:style w:type="paragraph" w:styleId="Header">
    <w:name w:val="header"/>
    <w:basedOn w:val="Normal"/>
    <w:rsid w:val="000C5C9D"/>
    <w:pPr>
      <w:tabs>
        <w:tab w:val="center" w:pos="4320"/>
        <w:tab w:val="right" w:pos="9360"/>
      </w:tabs>
    </w:pPr>
  </w:style>
  <w:style w:type="paragraph" w:styleId="Footer">
    <w:name w:val="footer"/>
    <w:basedOn w:val="Normal"/>
    <w:link w:val="FooterChar"/>
    <w:uiPriority w:val="99"/>
    <w:qFormat/>
    <w:rsid w:val="000C5C9D"/>
    <w:pPr>
      <w:tabs>
        <w:tab w:val="center" w:pos="4320"/>
        <w:tab w:val="right" w:pos="9360"/>
      </w:tabs>
    </w:pPr>
  </w:style>
  <w:style w:type="character" w:styleId="PageNumber">
    <w:name w:val="page number"/>
    <w:basedOn w:val="DefaultParagraphFont"/>
    <w:uiPriority w:val="99"/>
    <w:rsid w:val="000C5C9D"/>
  </w:style>
  <w:style w:type="character" w:styleId="Emphasis">
    <w:name w:val="Emphasis"/>
    <w:basedOn w:val="DefaultParagraphFont"/>
    <w:rsid w:val="00FD2C92"/>
    <w:rPr>
      <w:i/>
      <w:iCs/>
    </w:rPr>
  </w:style>
  <w:style w:type="paragraph" w:customStyle="1" w:styleId="AttyIndent">
    <w:name w:val="AttyIndent"/>
    <w:basedOn w:val="Normal"/>
    <w:rsid w:val="000C5C9D"/>
    <w:pPr>
      <w:ind w:left="270"/>
    </w:pPr>
  </w:style>
  <w:style w:type="paragraph" w:customStyle="1" w:styleId="BodyTextContinued">
    <w:name w:val="Body Text Continued"/>
    <w:basedOn w:val="BodyText"/>
    <w:next w:val="BodyText"/>
    <w:rsid w:val="000C5C9D"/>
    <w:pPr>
      <w:ind w:firstLine="0"/>
    </w:pPr>
  </w:style>
  <w:style w:type="paragraph" w:customStyle="1" w:styleId="Centered">
    <w:name w:val="Centered"/>
    <w:basedOn w:val="Normal"/>
    <w:next w:val="BodyText"/>
    <w:rsid w:val="000C5C9D"/>
    <w:pPr>
      <w:spacing w:after="240"/>
      <w:jc w:val="center"/>
    </w:pPr>
  </w:style>
  <w:style w:type="paragraph" w:customStyle="1" w:styleId="DefaultCharacterFont">
    <w:name w:val="Default Character Font"/>
    <w:basedOn w:val="Normal"/>
    <w:rsid w:val="000C5C9D"/>
  </w:style>
  <w:style w:type="character" w:styleId="EndnoteReference">
    <w:name w:val="endnote reference"/>
    <w:basedOn w:val="DefaultParagraphFont"/>
    <w:semiHidden/>
    <w:rsid w:val="000C5C9D"/>
    <w:rPr>
      <w:vertAlign w:val="superscript"/>
    </w:rPr>
  </w:style>
  <w:style w:type="paragraph" w:styleId="EnvelopeAddress">
    <w:name w:val="envelope address"/>
    <w:basedOn w:val="Normal"/>
    <w:rsid w:val="000C5C9D"/>
    <w:pPr>
      <w:framePr w:w="5760" w:h="2160" w:hRule="exact" w:wrap="around" w:vAnchor="page" w:hAnchor="page" w:x="6481" w:y="3068"/>
    </w:pPr>
  </w:style>
  <w:style w:type="character" w:styleId="FootnoteReference">
    <w:name w:val="footnote reference"/>
    <w:basedOn w:val="DefaultParagraphFont"/>
    <w:semiHidden/>
    <w:rsid w:val="000C5C9D"/>
    <w:rPr>
      <w:vertAlign w:val="superscript"/>
    </w:rPr>
  </w:style>
  <w:style w:type="paragraph" w:styleId="FootnoteText">
    <w:name w:val="footnote text"/>
    <w:basedOn w:val="Normal"/>
    <w:semiHidden/>
    <w:rsid w:val="000C5C9D"/>
    <w:pPr>
      <w:spacing w:after="120"/>
      <w:ind w:firstLine="720"/>
    </w:pPr>
  </w:style>
  <w:style w:type="paragraph" w:customStyle="1" w:styleId="HeaderNumbers">
    <w:name w:val="HeaderNumbers"/>
    <w:basedOn w:val="Normal"/>
    <w:rsid w:val="004E7472"/>
    <w:pPr>
      <w:widowControl/>
      <w:spacing w:line="480" w:lineRule="exact"/>
      <w:jc w:val="right"/>
    </w:pPr>
  </w:style>
  <w:style w:type="paragraph" w:styleId="Index1">
    <w:name w:val="index 1"/>
    <w:basedOn w:val="Normal"/>
    <w:next w:val="Normal"/>
    <w:autoRedefine/>
    <w:semiHidden/>
    <w:rsid w:val="000C5C9D"/>
    <w:pPr>
      <w:tabs>
        <w:tab w:val="right" w:leader="dot" w:pos="9000"/>
      </w:tabs>
      <w:ind w:left="240" w:hanging="240"/>
    </w:pPr>
  </w:style>
  <w:style w:type="paragraph" w:styleId="NormalIndent">
    <w:name w:val="Normal Indent"/>
    <w:basedOn w:val="Normal"/>
    <w:rsid w:val="000C5C9D"/>
    <w:pPr>
      <w:ind w:left="720" w:right="720"/>
    </w:pPr>
  </w:style>
  <w:style w:type="paragraph" w:styleId="Quote">
    <w:name w:val="Quote"/>
    <w:basedOn w:val="Normal"/>
    <w:next w:val="BodyTextContinued"/>
    <w:qFormat/>
    <w:rsid w:val="000C5C9D"/>
    <w:pPr>
      <w:widowControl/>
      <w:spacing w:before="240"/>
      <w:ind w:left="1440" w:right="1440"/>
    </w:pPr>
  </w:style>
  <w:style w:type="paragraph" w:styleId="TableofAuthorities">
    <w:name w:val="table of authorities"/>
    <w:basedOn w:val="Normal"/>
    <w:next w:val="Normal"/>
    <w:semiHidden/>
    <w:rsid w:val="000C5C9D"/>
    <w:pPr>
      <w:tabs>
        <w:tab w:val="right" w:leader="dot" w:pos="9216"/>
      </w:tabs>
      <w:spacing w:after="120"/>
      <w:ind w:left="360" w:right="1440" w:hanging="360"/>
    </w:pPr>
  </w:style>
  <w:style w:type="paragraph" w:styleId="Title">
    <w:name w:val="Title"/>
    <w:basedOn w:val="Normal"/>
    <w:qFormat/>
    <w:rsid w:val="009148B4"/>
    <w:pPr>
      <w:spacing w:line="480" w:lineRule="exact"/>
      <w:jc w:val="center"/>
    </w:pPr>
    <w:rPr>
      <w:rFonts w:ascii="Times New Roman Bold" w:hAnsi="Times New Roman Bold"/>
      <w:b/>
      <w:szCs w:val="24"/>
      <w:u w:val="single"/>
    </w:rPr>
  </w:style>
  <w:style w:type="paragraph" w:styleId="TOAHeading">
    <w:name w:val="toa heading"/>
    <w:basedOn w:val="Normal"/>
    <w:next w:val="TableofAuthorities"/>
    <w:semiHidden/>
    <w:rsid w:val="000C5C9D"/>
    <w:pPr>
      <w:keepNext/>
      <w:spacing w:before="480" w:after="120"/>
    </w:pPr>
    <w:rPr>
      <w:b/>
      <w:caps/>
      <w:u w:val="single"/>
    </w:rPr>
  </w:style>
  <w:style w:type="paragraph" w:styleId="TOC1">
    <w:name w:val="toc 1"/>
    <w:basedOn w:val="Normal"/>
    <w:next w:val="Normal"/>
    <w:autoRedefine/>
    <w:uiPriority w:val="39"/>
    <w:unhideWhenUsed/>
    <w:rsid w:val="009D7EFD"/>
    <w:pPr>
      <w:widowControl/>
      <w:tabs>
        <w:tab w:val="left" w:pos="720"/>
        <w:tab w:val="right" w:leader="dot" w:pos="8640"/>
      </w:tabs>
      <w:spacing w:after="240" w:line="240" w:lineRule="auto"/>
      <w:ind w:left="720" w:right="720" w:hanging="720"/>
    </w:pPr>
    <w:rPr>
      <w:rFonts w:eastAsiaTheme="minorHAnsi" w:cstheme="minorBidi"/>
      <w:noProof/>
      <w:szCs w:val="24"/>
    </w:rPr>
  </w:style>
  <w:style w:type="paragraph" w:customStyle="1" w:styleId="FooterSmallPrint">
    <w:name w:val="FooterSmallPrint"/>
    <w:basedOn w:val="Normal"/>
    <w:next w:val="Normal"/>
    <w:rsid w:val="000C5C9D"/>
    <w:pPr>
      <w:widowControl/>
    </w:pPr>
    <w:rPr>
      <w:sz w:val="16"/>
    </w:rPr>
  </w:style>
  <w:style w:type="character" w:customStyle="1" w:styleId="Plaintiff">
    <w:name w:val="Plaintiff"/>
    <w:basedOn w:val="DefaultParagraphFont"/>
    <w:rsid w:val="000C5C9D"/>
  </w:style>
  <w:style w:type="paragraph" w:customStyle="1" w:styleId="FirmName">
    <w:name w:val="Firm Name"/>
    <w:basedOn w:val="Normal"/>
    <w:rsid w:val="00FD2C92"/>
    <w:rPr>
      <w:caps/>
      <w:szCs w:val="24"/>
    </w:rPr>
  </w:style>
  <w:style w:type="paragraph" w:customStyle="1" w:styleId="FirmAddressFooter">
    <w:name w:val="FirmAddressFooter"/>
    <w:rsid w:val="000C5C9D"/>
    <w:pPr>
      <w:spacing w:line="120" w:lineRule="exact"/>
      <w:jc w:val="center"/>
    </w:pPr>
    <w:rPr>
      <w:rFonts w:ascii="Arial" w:hAnsi="Arial"/>
      <w:noProof/>
      <w:sz w:val="12"/>
    </w:rPr>
  </w:style>
  <w:style w:type="paragraph" w:customStyle="1" w:styleId="FirmNameFooter">
    <w:name w:val="FirmNameFooter"/>
    <w:next w:val="FirmAddressFooter"/>
    <w:rsid w:val="000C5C9D"/>
    <w:pPr>
      <w:spacing w:line="120" w:lineRule="exact"/>
      <w:jc w:val="center"/>
    </w:pPr>
    <w:rPr>
      <w:rFonts w:ascii="Arial" w:hAnsi="Arial"/>
      <w:caps/>
      <w:noProof/>
      <w:sz w:val="12"/>
    </w:rPr>
  </w:style>
  <w:style w:type="paragraph" w:customStyle="1" w:styleId="Parties">
    <w:name w:val="Parties"/>
    <w:basedOn w:val="Normal"/>
    <w:rsid w:val="008638C9"/>
    <w:pPr>
      <w:widowControl/>
    </w:pPr>
  </w:style>
  <w:style w:type="paragraph" w:customStyle="1" w:styleId="PartyType">
    <w:name w:val="Party Type"/>
    <w:basedOn w:val="Normal"/>
    <w:rsid w:val="008159B1"/>
    <w:pPr>
      <w:widowControl/>
      <w:ind w:left="1800"/>
    </w:pPr>
  </w:style>
  <w:style w:type="paragraph" w:customStyle="1" w:styleId="versus">
    <w:name w:val="versus"/>
    <w:basedOn w:val="Normal"/>
    <w:rsid w:val="008159B1"/>
    <w:pPr>
      <w:widowControl/>
      <w:ind w:left="720"/>
    </w:pPr>
  </w:style>
  <w:style w:type="paragraph" w:customStyle="1" w:styleId="PleadingTitleCentered">
    <w:name w:val="Pleading Title Centered"/>
    <w:basedOn w:val="Normal"/>
    <w:rsid w:val="002957A1"/>
    <w:pPr>
      <w:widowControl/>
      <w:spacing w:after="240"/>
      <w:jc w:val="center"/>
    </w:pPr>
    <w:rPr>
      <w:bCs/>
      <w:caps/>
      <w:szCs w:val="24"/>
    </w:rPr>
  </w:style>
  <w:style w:type="paragraph" w:customStyle="1" w:styleId="border">
    <w:name w:val="border"/>
    <w:basedOn w:val="Normal"/>
    <w:rsid w:val="0066061A"/>
    <w:pPr>
      <w:jc w:val="center"/>
    </w:pPr>
    <w:rPr>
      <w:b/>
      <w:bCs/>
      <w:szCs w:val="24"/>
    </w:rPr>
  </w:style>
  <w:style w:type="paragraph" w:customStyle="1" w:styleId="PleadingTitle">
    <w:name w:val="Pleading Title"/>
    <w:basedOn w:val="Normal"/>
    <w:rsid w:val="00017EC7"/>
    <w:pPr>
      <w:widowControl/>
      <w:ind w:left="202"/>
    </w:pPr>
    <w:rPr>
      <w:bCs/>
      <w:caps/>
      <w:szCs w:val="24"/>
    </w:rPr>
  </w:style>
  <w:style w:type="paragraph" w:customStyle="1" w:styleId="PLDCaption2">
    <w:name w:val="PLD Caption2"/>
    <w:basedOn w:val="Normal"/>
    <w:rsid w:val="0066061A"/>
    <w:pPr>
      <w:widowControl/>
      <w:ind w:left="202"/>
    </w:pPr>
    <w:rPr>
      <w:szCs w:val="24"/>
    </w:rPr>
  </w:style>
  <w:style w:type="table" w:styleId="TableGrid">
    <w:name w:val="Table Grid"/>
    <w:basedOn w:val="TableNormal"/>
    <w:rsid w:val="0066061A"/>
    <w:pPr>
      <w:widowControl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DHearing">
    <w:name w:val="PLD Hearing"/>
    <w:basedOn w:val="Normal"/>
    <w:rsid w:val="009A6461"/>
    <w:pPr>
      <w:spacing w:after="240"/>
      <w:jc w:val="center"/>
    </w:pPr>
    <w:rPr>
      <w:u w:val="single"/>
    </w:rPr>
  </w:style>
  <w:style w:type="paragraph" w:customStyle="1" w:styleId="PLDAppeal">
    <w:name w:val="PLD Appeal"/>
    <w:basedOn w:val="Normal"/>
    <w:rsid w:val="009A6461"/>
    <w:pPr>
      <w:spacing w:after="240"/>
      <w:jc w:val="center"/>
    </w:pPr>
  </w:style>
  <w:style w:type="paragraph" w:customStyle="1" w:styleId="SingleSpacing">
    <w:name w:val="Single Spacing"/>
    <w:basedOn w:val="Normal"/>
    <w:rsid w:val="001E7A3D"/>
    <w:pPr>
      <w:widowControl/>
    </w:pPr>
    <w:rPr>
      <w:szCs w:val="24"/>
    </w:rPr>
  </w:style>
  <w:style w:type="paragraph" w:customStyle="1" w:styleId="PLDAttorneys">
    <w:name w:val="PLD Attorneys"/>
    <w:basedOn w:val="Normal"/>
    <w:rsid w:val="00FC3A9B"/>
    <w:pPr>
      <w:spacing w:after="240"/>
      <w:ind w:left="720"/>
    </w:pPr>
  </w:style>
  <w:style w:type="paragraph" w:customStyle="1" w:styleId="CourtName">
    <w:name w:val="Court Name"/>
    <w:basedOn w:val="Normal"/>
    <w:rsid w:val="00AF6A0E"/>
    <w:pPr>
      <w:widowControl/>
      <w:jc w:val="center"/>
    </w:pPr>
    <w:rPr>
      <w:caps/>
      <w:szCs w:val="24"/>
    </w:rPr>
  </w:style>
  <w:style w:type="paragraph" w:customStyle="1" w:styleId="CoverOfficeAddress">
    <w:name w:val="Cover Office Address"/>
    <w:basedOn w:val="Normal"/>
    <w:rsid w:val="00FD2C92"/>
    <w:pPr>
      <w:widowControl/>
    </w:pPr>
    <w:rPr>
      <w:rFonts w:eastAsiaTheme="minorHAnsi" w:cstheme="minorBidi"/>
      <w:szCs w:val="22"/>
    </w:rPr>
  </w:style>
  <w:style w:type="paragraph" w:customStyle="1" w:styleId="PleadingSummary">
    <w:name w:val="PleadingSummary"/>
    <w:basedOn w:val="Normal"/>
    <w:rsid w:val="004C7B9C"/>
    <w:rPr>
      <w:caps/>
    </w:rPr>
  </w:style>
  <w:style w:type="character" w:customStyle="1" w:styleId="DocID">
    <w:name w:val="DocID"/>
    <w:basedOn w:val="DefaultParagraphFont"/>
    <w:uiPriority w:val="1"/>
    <w:rsid w:val="00A104EC"/>
    <w:rPr>
      <w:sz w:val="16"/>
    </w:rPr>
  </w:style>
  <w:style w:type="paragraph" w:customStyle="1" w:styleId="Quote5">
    <w:name w:val="Quote .5"/>
    <w:basedOn w:val="Normal"/>
    <w:rsid w:val="00877427"/>
    <w:pPr>
      <w:ind w:left="720"/>
    </w:pPr>
  </w:style>
  <w:style w:type="paragraph" w:customStyle="1" w:styleId="CoverAttorneyName">
    <w:name w:val="Cover Attorney Name"/>
    <w:basedOn w:val="Normal"/>
    <w:rsid w:val="00FD2C92"/>
    <w:pPr>
      <w:widowControl/>
    </w:pPr>
  </w:style>
  <w:style w:type="paragraph" w:customStyle="1" w:styleId="To">
    <w:name w:val="To"/>
    <w:basedOn w:val="Normal"/>
    <w:next w:val="Normal"/>
    <w:rsid w:val="00037D74"/>
    <w:pPr>
      <w:widowControl/>
      <w:spacing w:before="200" w:after="320"/>
      <w:ind w:left="288"/>
    </w:pPr>
    <w:rPr>
      <w:b/>
      <w:caps/>
      <w:sz w:val="22"/>
      <w:szCs w:val="22"/>
    </w:rPr>
  </w:style>
  <w:style w:type="paragraph" w:customStyle="1" w:styleId="AuthorNameLetterhead">
    <w:name w:val="AuthorNameLetterhead"/>
    <w:basedOn w:val="Normal"/>
    <w:rsid w:val="00037D74"/>
    <w:pPr>
      <w:widowControl/>
      <w:spacing w:before="40"/>
      <w:jc w:val="right"/>
    </w:pPr>
    <w:rPr>
      <w:rFonts w:ascii="Arial" w:hAnsi="Arial"/>
      <w:smallCaps/>
      <w:sz w:val="16"/>
    </w:rPr>
  </w:style>
  <w:style w:type="paragraph" w:customStyle="1" w:styleId="Address">
    <w:name w:val="Address"/>
    <w:basedOn w:val="Normal"/>
    <w:rsid w:val="00D62752"/>
    <w:pPr>
      <w:widowControl/>
      <w:ind w:left="720"/>
    </w:pPr>
    <w:rPr>
      <w:szCs w:val="24"/>
    </w:rPr>
  </w:style>
  <w:style w:type="paragraph" w:styleId="BalloonText">
    <w:name w:val="Balloon Text"/>
    <w:basedOn w:val="Normal"/>
    <w:semiHidden/>
    <w:rsid w:val="003B4C6D"/>
    <w:rPr>
      <w:rFonts w:ascii="Tahoma" w:hAnsi="Tahoma" w:cs="Tahoma"/>
      <w:sz w:val="16"/>
      <w:szCs w:val="16"/>
    </w:rPr>
  </w:style>
  <w:style w:type="paragraph" w:styleId="BlockText">
    <w:name w:val="Block Text"/>
    <w:basedOn w:val="Normal"/>
    <w:rsid w:val="003B4C6D"/>
    <w:pPr>
      <w:spacing w:after="120"/>
      <w:ind w:left="1440" w:right="1440"/>
    </w:pPr>
  </w:style>
  <w:style w:type="paragraph" w:styleId="BodyText2">
    <w:name w:val="Body Text 2"/>
    <w:basedOn w:val="Normal"/>
    <w:rsid w:val="003B4C6D"/>
    <w:pPr>
      <w:spacing w:after="120" w:line="480" w:lineRule="exact"/>
    </w:pPr>
  </w:style>
  <w:style w:type="paragraph" w:styleId="BodyText3">
    <w:name w:val="Body Text 3"/>
    <w:basedOn w:val="Normal"/>
    <w:rsid w:val="003B4C6D"/>
    <w:pPr>
      <w:spacing w:after="120"/>
    </w:pPr>
    <w:rPr>
      <w:sz w:val="16"/>
      <w:szCs w:val="16"/>
    </w:rPr>
  </w:style>
  <w:style w:type="paragraph" w:styleId="BodyTextFirstIndent">
    <w:name w:val="Body Text First Indent"/>
    <w:basedOn w:val="BodyText"/>
    <w:rsid w:val="003B4C6D"/>
    <w:pPr>
      <w:spacing w:after="120" w:line="240" w:lineRule="exact"/>
      <w:ind w:firstLine="210"/>
    </w:pPr>
  </w:style>
  <w:style w:type="paragraph" w:styleId="BodyTextIndent">
    <w:name w:val="Body Text Indent"/>
    <w:basedOn w:val="Normal"/>
    <w:rsid w:val="003B4C6D"/>
    <w:pPr>
      <w:spacing w:after="120"/>
      <w:ind w:left="360"/>
    </w:pPr>
  </w:style>
  <w:style w:type="paragraph" w:styleId="BodyTextFirstIndent2">
    <w:name w:val="Body Text First Indent 2"/>
    <w:basedOn w:val="BodyTextIndent"/>
    <w:rsid w:val="003B4C6D"/>
    <w:pPr>
      <w:ind w:firstLine="210"/>
    </w:pPr>
  </w:style>
  <w:style w:type="paragraph" w:styleId="BodyTextIndent2">
    <w:name w:val="Body Text Indent 2"/>
    <w:basedOn w:val="Normal"/>
    <w:rsid w:val="003B4C6D"/>
    <w:pPr>
      <w:spacing w:after="120" w:line="480" w:lineRule="exact"/>
      <w:ind w:left="360"/>
    </w:pPr>
  </w:style>
  <w:style w:type="paragraph" w:styleId="BodyTextIndent3">
    <w:name w:val="Body Text Indent 3"/>
    <w:basedOn w:val="Normal"/>
    <w:rsid w:val="003B4C6D"/>
    <w:pPr>
      <w:spacing w:after="120"/>
      <w:ind w:left="360"/>
    </w:pPr>
    <w:rPr>
      <w:sz w:val="16"/>
      <w:szCs w:val="16"/>
    </w:rPr>
  </w:style>
  <w:style w:type="paragraph" w:styleId="Caption">
    <w:name w:val="caption"/>
    <w:basedOn w:val="Normal"/>
    <w:next w:val="Normal"/>
    <w:rsid w:val="003B4C6D"/>
    <w:rPr>
      <w:b/>
      <w:bCs/>
      <w:sz w:val="20"/>
    </w:rPr>
  </w:style>
  <w:style w:type="paragraph" w:styleId="Closing">
    <w:name w:val="Closing"/>
    <w:basedOn w:val="Normal"/>
    <w:rsid w:val="003B4C6D"/>
    <w:pPr>
      <w:ind w:left="4320"/>
    </w:pPr>
  </w:style>
  <w:style w:type="paragraph" w:styleId="CommentText">
    <w:name w:val="annotation text"/>
    <w:basedOn w:val="Normal"/>
    <w:semiHidden/>
    <w:rsid w:val="003B4C6D"/>
    <w:rPr>
      <w:sz w:val="20"/>
    </w:rPr>
  </w:style>
  <w:style w:type="paragraph" w:styleId="CommentSubject">
    <w:name w:val="annotation subject"/>
    <w:basedOn w:val="CommentText"/>
    <w:next w:val="CommentText"/>
    <w:semiHidden/>
    <w:rsid w:val="003B4C6D"/>
    <w:rPr>
      <w:b/>
      <w:bCs/>
    </w:rPr>
  </w:style>
  <w:style w:type="paragraph" w:styleId="Date">
    <w:name w:val="Date"/>
    <w:basedOn w:val="Normal"/>
    <w:next w:val="Normal"/>
    <w:rsid w:val="003B4C6D"/>
  </w:style>
  <w:style w:type="paragraph" w:styleId="DocumentMap">
    <w:name w:val="Document Map"/>
    <w:basedOn w:val="Normal"/>
    <w:semiHidden/>
    <w:rsid w:val="003B4C6D"/>
    <w:pPr>
      <w:shd w:val="clear" w:color="auto" w:fill="000080"/>
    </w:pPr>
    <w:rPr>
      <w:rFonts w:ascii="Tahoma" w:hAnsi="Tahoma" w:cs="Tahoma"/>
      <w:sz w:val="20"/>
    </w:rPr>
  </w:style>
  <w:style w:type="paragraph" w:styleId="E-mailSignature">
    <w:name w:val="E-mail Signature"/>
    <w:basedOn w:val="Normal"/>
    <w:rsid w:val="003B4C6D"/>
  </w:style>
  <w:style w:type="paragraph" w:styleId="EndnoteText">
    <w:name w:val="endnote text"/>
    <w:basedOn w:val="Normal"/>
    <w:semiHidden/>
    <w:rsid w:val="003B4C6D"/>
    <w:rPr>
      <w:sz w:val="20"/>
    </w:rPr>
  </w:style>
  <w:style w:type="paragraph" w:styleId="EnvelopeReturn">
    <w:name w:val="envelope return"/>
    <w:basedOn w:val="Normal"/>
    <w:rsid w:val="003B4C6D"/>
    <w:rPr>
      <w:rFonts w:ascii="Arial" w:hAnsi="Arial" w:cs="Arial"/>
      <w:sz w:val="20"/>
    </w:rPr>
  </w:style>
  <w:style w:type="paragraph" w:styleId="HTMLAddress">
    <w:name w:val="HTML Address"/>
    <w:basedOn w:val="Normal"/>
    <w:rsid w:val="003B4C6D"/>
    <w:rPr>
      <w:i/>
      <w:iCs/>
    </w:rPr>
  </w:style>
  <w:style w:type="paragraph" w:styleId="HTMLPreformatted">
    <w:name w:val="HTML Preformatted"/>
    <w:basedOn w:val="Normal"/>
    <w:rsid w:val="003B4C6D"/>
    <w:rPr>
      <w:rFonts w:ascii="Courier New" w:hAnsi="Courier New" w:cs="Courier New"/>
      <w:sz w:val="20"/>
    </w:rPr>
  </w:style>
  <w:style w:type="paragraph" w:styleId="Index2">
    <w:name w:val="index 2"/>
    <w:basedOn w:val="Normal"/>
    <w:next w:val="Normal"/>
    <w:autoRedefine/>
    <w:semiHidden/>
    <w:rsid w:val="003B4C6D"/>
    <w:pPr>
      <w:ind w:left="480" w:hanging="240"/>
    </w:pPr>
  </w:style>
  <w:style w:type="paragraph" w:styleId="Index3">
    <w:name w:val="index 3"/>
    <w:basedOn w:val="Normal"/>
    <w:next w:val="Normal"/>
    <w:autoRedefine/>
    <w:semiHidden/>
    <w:rsid w:val="003B4C6D"/>
    <w:pPr>
      <w:ind w:left="720" w:hanging="240"/>
    </w:pPr>
  </w:style>
  <w:style w:type="paragraph" w:styleId="Index4">
    <w:name w:val="index 4"/>
    <w:basedOn w:val="Normal"/>
    <w:next w:val="Normal"/>
    <w:autoRedefine/>
    <w:semiHidden/>
    <w:rsid w:val="003B4C6D"/>
    <w:pPr>
      <w:ind w:left="960" w:hanging="240"/>
    </w:pPr>
  </w:style>
  <w:style w:type="paragraph" w:styleId="Index5">
    <w:name w:val="index 5"/>
    <w:basedOn w:val="Normal"/>
    <w:next w:val="Normal"/>
    <w:autoRedefine/>
    <w:semiHidden/>
    <w:rsid w:val="003B4C6D"/>
    <w:pPr>
      <w:ind w:left="1200" w:hanging="240"/>
    </w:pPr>
  </w:style>
  <w:style w:type="paragraph" w:styleId="Index6">
    <w:name w:val="index 6"/>
    <w:basedOn w:val="Normal"/>
    <w:next w:val="Normal"/>
    <w:autoRedefine/>
    <w:semiHidden/>
    <w:rsid w:val="003B4C6D"/>
    <w:pPr>
      <w:ind w:left="1440" w:hanging="240"/>
    </w:pPr>
  </w:style>
  <w:style w:type="paragraph" w:styleId="Index7">
    <w:name w:val="index 7"/>
    <w:basedOn w:val="Normal"/>
    <w:next w:val="Normal"/>
    <w:autoRedefine/>
    <w:semiHidden/>
    <w:rsid w:val="003B4C6D"/>
    <w:pPr>
      <w:ind w:left="1680" w:hanging="240"/>
    </w:pPr>
  </w:style>
  <w:style w:type="paragraph" w:styleId="Index8">
    <w:name w:val="index 8"/>
    <w:basedOn w:val="Normal"/>
    <w:next w:val="Normal"/>
    <w:autoRedefine/>
    <w:semiHidden/>
    <w:rsid w:val="003B4C6D"/>
    <w:pPr>
      <w:ind w:left="1920" w:hanging="240"/>
    </w:pPr>
  </w:style>
  <w:style w:type="paragraph" w:styleId="Index9">
    <w:name w:val="index 9"/>
    <w:basedOn w:val="Normal"/>
    <w:next w:val="Normal"/>
    <w:autoRedefine/>
    <w:semiHidden/>
    <w:rsid w:val="003B4C6D"/>
    <w:pPr>
      <w:ind w:left="2160" w:hanging="240"/>
    </w:pPr>
  </w:style>
  <w:style w:type="paragraph" w:styleId="IndexHeading">
    <w:name w:val="index heading"/>
    <w:basedOn w:val="Normal"/>
    <w:next w:val="Index1"/>
    <w:semiHidden/>
    <w:rsid w:val="003B4C6D"/>
    <w:rPr>
      <w:rFonts w:ascii="Arial" w:hAnsi="Arial" w:cs="Arial"/>
      <w:b/>
      <w:bCs/>
    </w:rPr>
  </w:style>
  <w:style w:type="paragraph" w:styleId="List">
    <w:name w:val="List"/>
    <w:basedOn w:val="Normal"/>
    <w:rsid w:val="003B4C6D"/>
    <w:pPr>
      <w:ind w:left="360" w:hanging="360"/>
    </w:pPr>
  </w:style>
  <w:style w:type="paragraph" w:styleId="List2">
    <w:name w:val="List 2"/>
    <w:basedOn w:val="Normal"/>
    <w:rsid w:val="003B4C6D"/>
    <w:pPr>
      <w:ind w:left="720" w:hanging="360"/>
    </w:pPr>
  </w:style>
  <w:style w:type="paragraph" w:styleId="List3">
    <w:name w:val="List 3"/>
    <w:basedOn w:val="Normal"/>
    <w:rsid w:val="003B4C6D"/>
    <w:pPr>
      <w:ind w:left="1080" w:hanging="360"/>
    </w:pPr>
  </w:style>
  <w:style w:type="paragraph" w:styleId="List4">
    <w:name w:val="List 4"/>
    <w:basedOn w:val="Normal"/>
    <w:rsid w:val="003B4C6D"/>
    <w:pPr>
      <w:ind w:left="1440" w:hanging="360"/>
    </w:pPr>
  </w:style>
  <w:style w:type="paragraph" w:styleId="List5">
    <w:name w:val="List 5"/>
    <w:basedOn w:val="Normal"/>
    <w:rsid w:val="003B4C6D"/>
    <w:pPr>
      <w:ind w:left="1800" w:hanging="360"/>
    </w:pPr>
  </w:style>
  <w:style w:type="paragraph" w:styleId="ListBullet">
    <w:name w:val="List Bullet"/>
    <w:basedOn w:val="Normal"/>
    <w:rsid w:val="003B4C6D"/>
    <w:pPr>
      <w:numPr>
        <w:numId w:val="10"/>
      </w:numPr>
    </w:pPr>
  </w:style>
  <w:style w:type="paragraph" w:styleId="ListBullet2">
    <w:name w:val="List Bullet 2"/>
    <w:basedOn w:val="Normal"/>
    <w:rsid w:val="003B4C6D"/>
    <w:pPr>
      <w:numPr>
        <w:numId w:val="11"/>
      </w:numPr>
    </w:pPr>
  </w:style>
  <w:style w:type="paragraph" w:styleId="ListBullet3">
    <w:name w:val="List Bullet 3"/>
    <w:basedOn w:val="Normal"/>
    <w:rsid w:val="003B4C6D"/>
    <w:pPr>
      <w:numPr>
        <w:numId w:val="12"/>
      </w:numPr>
    </w:pPr>
  </w:style>
  <w:style w:type="paragraph" w:styleId="ListBullet4">
    <w:name w:val="List Bullet 4"/>
    <w:basedOn w:val="Normal"/>
    <w:rsid w:val="003B4C6D"/>
    <w:pPr>
      <w:numPr>
        <w:numId w:val="13"/>
      </w:numPr>
    </w:pPr>
  </w:style>
  <w:style w:type="paragraph" w:styleId="ListBullet5">
    <w:name w:val="List Bullet 5"/>
    <w:basedOn w:val="Normal"/>
    <w:rsid w:val="003B4C6D"/>
    <w:pPr>
      <w:numPr>
        <w:numId w:val="14"/>
      </w:numPr>
    </w:pPr>
  </w:style>
  <w:style w:type="paragraph" w:styleId="ListContinue">
    <w:name w:val="List Continue"/>
    <w:basedOn w:val="Normal"/>
    <w:rsid w:val="003B4C6D"/>
    <w:pPr>
      <w:spacing w:after="120"/>
      <w:ind w:left="360"/>
    </w:pPr>
  </w:style>
  <w:style w:type="paragraph" w:styleId="ListContinue2">
    <w:name w:val="List Continue 2"/>
    <w:basedOn w:val="Normal"/>
    <w:rsid w:val="003B4C6D"/>
    <w:pPr>
      <w:spacing w:after="120"/>
      <w:ind w:left="720"/>
    </w:pPr>
  </w:style>
  <w:style w:type="paragraph" w:styleId="ListContinue3">
    <w:name w:val="List Continue 3"/>
    <w:basedOn w:val="Normal"/>
    <w:rsid w:val="003B4C6D"/>
    <w:pPr>
      <w:spacing w:after="120"/>
      <w:ind w:left="1080"/>
    </w:pPr>
  </w:style>
  <w:style w:type="paragraph" w:styleId="ListContinue4">
    <w:name w:val="List Continue 4"/>
    <w:basedOn w:val="Normal"/>
    <w:rsid w:val="003B4C6D"/>
    <w:pPr>
      <w:spacing w:after="120"/>
      <w:ind w:left="1440"/>
    </w:pPr>
  </w:style>
  <w:style w:type="paragraph" w:styleId="ListContinue5">
    <w:name w:val="List Continue 5"/>
    <w:basedOn w:val="Normal"/>
    <w:rsid w:val="003B4C6D"/>
    <w:pPr>
      <w:spacing w:after="120"/>
      <w:ind w:left="1800"/>
    </w:pPr>
  </w:style>
  <w:style w:type="paragraph" w:styleId="ListNumber">
    <w:name w:val="List Number"/>
    <w:basedOn w:val="Normal"/>
    <w:rsid w:val="003B4C6D"/>
    <w:pPr>
      <w:numPr>
        <w:numId w:val="15"/>
      </w:numPr>
    </w:pPr>
  </w:style>
  <w:style w:type="paragraph" w:styleId="ListNumber2">
    <w:name w:val="List Number 2"/>
    <w:basedOn w:val="Normal"/>
    <w:rsid w:val="003B4C6D"/>
    <w:pPr>
      <w:numPr>
        <w:numId w:val="16"/>
      </w:numPr>
    </w:pPr>
  </w:style>
  <w:style w:type="paragraph" w:styleId="ListNumber3">
    <w:name w:val="List Number 3"/>
    <w:basedOn w:val="Normal"/>
    <w:rsid w:val="003B4C6D"/>
    <w:pPr>
      <w:numPr>
        <w:numId w:val="17"/>
      </w:numPr>
    </w:pPr>
  </w:style>
  <w:style w:type="paragraph" w:styleId="ListNumber4">
    <w:name w:val="List Number 4"/>
    <w:basedOn w:val="Normal"/>
    <w:rsid w:val="003B4C6D"/>
    <w:pPr>
      <w:numPr>
        <w:numId w:val="18"/>
      </w:numPr>
    </w:pPr>
  </w:style>
  <w:style w:type="paragraph" w:styleId="ListNumber5">
    <w:name w:val="List Number 5"/>
    <w:basedOn w:val="Normal"/>
    <w:rsid w:val="003B4C6D"/>
    <w:pPr>
      <w:numPr>
        <w:numId w:val="19"/>
      </w:numPr>
    </w:pPr>
  </w:style>
  <w:style w:type="paragraph" w:styleId="MacroText">
    <w:name w:val="macro"/>
    <w:semiHidden/>
    <w:rsid w:val="003B4C6D"/>
    <w:pPr>
      <w:widowControl w:val="0"/>
      <w:tabs>
        <w:tab w:val="left" w:pos="480"/>
        <w:tab w:val="left" w:pos="960"/>
        <w:tab w:val="left" w:pos="1440"/>
        <w:tab w:val="left" w:pos="1920"/>
        <w:tab w:val="left" w:pos="2400"/>
        <w:tab w:val="left" w:pos="2880"/>
        <w:tab w:val="left" w:pos="3360"/>
        <w:tab w:val="left" w:pos="3840"/>
        <w:tab w:val="left" w:pos="4320"/>
      </w:tabs>
      <w:spacing w:line="240" w:lineRule="exact"/>
    </w:pPr>
    <w:rPr>
      <w:rFonts w:ascii="Courier New" w:hAnsi="Courier New" w:cs="Courier New"/>
    </w:rPr>
  </w:style>
  <w:style w:type="paragraph" w:styleId="MessageHeader">
    <w:name w:val="Message Header"/>
    <w:basedOn w:val="Normal"/>
    <w:rsid w:val="003B4C6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3B4C6D"/>
    <w:rPr>
      <w:szCs w:val="24"/>
    </w:rPr>
  </w:style>
  <w:style w:type="paragraph" w:customStyle="1" w:styleId="NoteHeading1">
    <w:name w:val="Note Heading1"/>
    <w:basedOn w:val="Normal"/>
    <w:next w:val="Normal"/>
    <w:rsid w:val="003B4C6D"/>
  </w:style>
  <w:style w:type="paragraph" w:styleId="PlainText">
    <w:name w:val="Plain Text"/>
    <w:basedOn w:val="Normal"/>
    <w:rsid w:val="003B4C6D"/>
    <w:rPr>
      <w:rFonts w:ascii="Courier New" w:hAnsi="Courier New" w:cs="Courier New"/>
      <w:sz w:val="20"/>
    </w:rPr>
  </w:style>
  <w:style w:type="paragraph" w:styleId="Salutation">
    <w:name w:val="Salutation"/>
    <w:basedOn w:val="Normal"/>
    <w:next w:val="Normal"/>
    <w:rsid w:val="003B4C6D"/>
  </w:style>
  <w:style w:type="paragraph" w:styleId="Signature">
    <w:name w:val="Signature"/>
    <w:basedOn w:val="Normal"/>
    <w:rsid w:val="003B4C6D"/>
    <w:pPr>
      <w:ind w:left="4320"/>
    </w:pPr>
  </w:style>
  <w:style w:type="paragraph" w:styleId="Subtitle">
    <w:name w:val="Subtitle"/>
    <w:basedOn w:val="Normal"/>
    <w:qFormat/>
    <w:rsid w:val="003B4C6D"/>
    <w:pPr>
      <w:spacing w:after="60"/>
      <w:jc w:val="center"/>
      <w:outlineLvl w:val="1"/>
    </w:pPr>
    <w:rPr>
      <w:rFonts w:ascii="Arial" w:hAnsi="Arial" w:cs="Arial"/>
      <w:szCs w:val="24"/>
    </w:rPr>
  </w:style>
  <w:style w:type="paragraph" w:styleId="TableofFigures">
    <w:name w:val="table of figures"/>
    <w:basedOn w:val="Normal"/>
    <w:next w:val="Normal"/>
    <w:semiHidden/>
    <w:rsid w:val="003B4C6D"/>
  </w:style>
  <w:style w:type="paragraph" w:styleId="TOC2">
    <w:name w:val="toc 2"/>
    <w:basedOn w:val="Normal"/>
    <w:next w:val="Normal"/>
    <w:autoRedefine/>
    <w:uiPriority w:val="39"/>
    <w:unhideWhenUsed/>
    <w:rsid w:val="00653249"/>
    <w:pPr>
      <w:widowControl/>
      <w:tabs>
        <w:tab w:val="left" w:pos="1440"/>
        <w:tab w:val="right" w:leader="dot" w:pos="9000"/>
      </w:tabs>
      <w:spacing w:after="240"/>
      <w:ind w:left="1440" w:right="720" w:hanging="720"/>
    </w:pPr>
    <w:rPr>
      <w:rFonts w:eastAsiaTheme="minorHAnsi" w:cstheme="minorBidi"/>
      <w:noProof/>
      <w:szCs w:val="24"/>
    </w:rPr>
  </w:style>
  <w:style w:type="paragraph" w:styleId="TOC3">
    <w:name w:val="toc 3"/>
    <w:basedOn w:val="Normal"/>
    <w:next w:val="Normal"/>
    <w:autoRedefine/>
    <w:uiPriority w:val="39"/>
    <w:unhideWhenUsed/>
    <w:rsid w:val="00D40345"/>
    <w:pPr>
      <w:widowControl/>
      <w:tabs>
        <w:tab w:val="left" w:pos="2160"/>
        <w:tab w:val="right" w:leader="dot" w:pos="9350"/>
      </w:tabs>
      <w:spacing w:after="240"/>
      <w:ind w:left="2160" w:right="720" w:hanging="720"/>
    </w:pPr>
    <w:rPr>
      <w:rFonts w:eastAsiaTheme="minorHAnsi" w:cstheme="minorBidi"/>
      <w:noProof/>
      <w:szCs w:val="24"/>
    </w:rPr>
  </w:style>
  <w:style w:type="paragraph" w:styleId="TOC4">
    <w:name w:val="toc 4"/>
    <w:basedOn w:val="Normal"/>
    <w:next w:val="Normal"/>
    <w:autoRedefine/>
    <w:uiPriority w:val="39"/>
    <w:unhideWhenUsed/>
    <w:rsid w:val="00D40345"/>
    <w:pPr>
      <w:widowControl/>
      <w:tabs>
        <w:tab w:val="left" w:pos="2880"/>
        <w:tab w:val="right" w:leader="dot" w:pos="9350"/>
      </w:tabs>
      <w:spacing w:after="240"/>
      <w:ind w:left="2880" w:right="720" w:hanging="720"/>
    </w:pPr>
    <w:rPr>
      <w:rFonts w:eastAsiaTheme="minorHAnsi" w:cstheme="minorBidi"/>
      <w:noProof/>
      <w:szCs w:val="24"/>
    </w:rPr>
  </w:style>
  <w:style w:type="paragraph" w:styleId="TOC5">
    <w:name w:val="toc 5"/>
    <w:basedOn w:val="Normal"/>
    <w:next w:val="Normal"/>
    <w:autoRedefine/>
    <w:uiPriority w:val="39"/>
    <w:unhideWhenUsed/>
    <w:rsid w:val="00D40345"/>
    <w:pPr>
      <w:widowControl/>
      <w:tabs>
        <w:tab w:val="left" w:pos="3600"/>
        <w:tab w:val="right" w:leader="dot" w:pos="9350"/>
      </w:tabs>
      <w:spacing w:after="240"/>
      <w:ind w:left="3600" w:right="720" w:hanging="720"/>
    </w:pPr>
    <w:rPr>
      <w:rFonts w:eastAsiaTheme="minorHAnsi" w:cstheme="minorBidi"/>
      <w:noProof/>
      <w:szCs w:val="24"/>
    </w:rPr>
  </w:style>
  <w:style w:type="paragraph" w:styleId="TOC6">
    <w:name w:val="toc 6"/>
    <w:basedOn w:val="Normal"/>
    <w:next w:val="Normal"/>
    <w:autoRedefine/>
    <w:uiPriority w:val="39"/>
    <w:unhideWhenUsed/>
    <w:rsid w:val="00D40345"/>
    <w:pPr>
      <w:widowControl/>
      <w:tabs>
        <w:tab w:val="left" w:pos="4320"/>
        <w:tab w:val="right" w:leader="dot" w:pos="9350"/>
      </w:tabs>
      <w:spacing w:after="240"/>
      <w:ind w:left="4320" w:right="720" w:hanging="720"/>
    </w:pPr>
    <w:rPr>
      <w:rFonts w:eastAsiaTheme="minorHAnsi" w:cstheme="minorBidi"/>
      <w:noProof/>
      <w:szCs w:val="24"/>
    </w:rPr>
  </w:style>
  <w:style w:type="paragraph" w:styleId="TOC7">
    <w:name w:val="toc 7"/>
    <w:basedOn w:val="Normal"/>
    <w:next w:val="Normal"/>
    <w:autoRedefine/>
    <w:uiPriority w:val="39"/>
    <w:unhideWhenUsed/>
    <w:rsid w:val="00D40345"/>
    <w:pPr>
      <w:widowControl/>
      <w:tabs>
        <w:tab w:val="left" w:pos="5040"/>
        <w:tab w:val="right" w:leader="dot" w:pos="9350"/>
      </w:tabs>
      <w:spacing w:after="240"/>
      <w:ind w:left="5040" w:right="720" w:hanging="720"/>
    </w:pPr>
    <w:rPr>
      <w:rFonts w:eastAsiaTheme="minorHAnsi" w:cstheme="minorBidi"/>
      <w:noProof/>
      <w:szCs w:val="24"/>
    </w:rPr>
  </w:style>
  <w:style w:type="paragraph" w:styleId="TOC8">
    <w:name w:val="toc 8"/>
    <w:basedOn w:val="Normal"/>
    <w:next w:val="Normal"/>
    <w:autoRedefine/>
    <w:uiPriority w:val="39"/>
    <w:unhideWhenUsed/>
    <w:rsid w:val="00D40345"/>
    <w:pPr>
      <w:widowControl/>
      <w:tabs>
        <w:tab w:val="left" w:pos="5760"/>
        <w:tab w:val="right" w:leader="dot" w:pos="9350"/>
      </w:tabs>
      <w:spacing w:after="240"/>
      <w:ind w:left="5760" w:right="720" w:hanging="720"/>
    </w:pPr>
    <w:rPr>
      <w:rFonts w:eastAsiaTheme="minorHAnsi" w:cstheme="minorBidi"/>
      <w:noProof/>
      <w:szCs w:val="24"/>
    </w:rPr>
  </w:style>
  <w:style w:type="paragraph" w:styleId="TOC9">
    <w:name w:val="toc 9"/>
    <w:basedOn w:val="Normal"/>
    <w:next w:val="Normal"/>
    <w:autoRedefine/>
    <w:uiPriority w:val="39"/>
    <w:unhideWhenUsed/>
    <w:rsid w:val="00D40345"/>
    <w:pPr>
      <w:widowControl/>
      <w:tabs>
        <w:tab w:val="left" w:pos="6480"/>
        <w:tab w:val="right" w:leader="dot" w:pos="9350"/>
      </w:tabs>
      <w:spacing w:after="240"/>
      <w:ind w:left="6480" w:right="720" w:hanging="720"/>
    </w:pPr>
    <w:rPr>
      <w:rFonts w:eastAsiaTheme="minorHAnsi" w:cstheme="minorBidi"/>
      <w:noProof/>
      <w:szCs w:val="24"/>
    </w:rPr>
  </w:style>
  <w:style w:type="paragraph" w:customStyle="1" w:styleId="SigByLine">
    <w:name w:val="Sig By Line"/>
    <w:basedOn w:val="Normal"/>
    <w:next w:val="Normal"/>
    <w:rsid w:val="00C27C7F"/>
    <w:pPr>
      <w:keepNext/>
      <w:keepLines/>
      <w:widowControl/>
      <w:tabs>
        <w:tab w:val="left" w:pos="5040"/>
        <w:tab w:val="left" w:pos="8640"/>
      </w:tabs>
      <w:spacing w:before="720"/>
      <w:ind w:left="4320"/>
    </w:pPr>
    <w:rPr>
      <w:rFonts w:eastAsiaTheme="minorHAnsi" w:cstheme="minorBidi"/>
      <w:szCs w:val="24"/>
    </w:rPr>
  </w:style>
  <w:style w:type="paragraph" w:customStyle="1" w:styleId="SigFirmName">
    <w:name w:val="Sig Firm Name"/>
    <w:basedOn w:val="Normal"/>
    <w:rsid w:val="00CB4833"/>
    <w:pPr>
      <w:keepNext/>
      <w:keepLines/>
      <w:widowControl/>
      <w:ind w:left="5040"/>
    </w:pPr>
    <w:rPr>
      <w:rFonts w:eastAsiaTheme="minorHAnsi" w:cstheme="minorBidi"/>
      <w:caps/>
      <w:szCs w:val="24"/>
    </w:rPr>
  </w:style>
  <w:style w:type="paragraph" w:customStyle="1" w:styleId="SigAttorneyName">
    <w:name w:val="Sig Attorney Name"/>
    <w:basedOn w:val="Normal"/>
    <w:rsid w:val="00FD2C92"/>
    <w:pPr>
      <w:keepNext/>
      <w:keepLines/>
      <w:widowControl/>
      <w:ind w:left="5040"/>
    </w:pPr>
    <w:rPr>
      <w:rFonts w:eastAsiaTheme="minorHAnsi" w:cstheme="minorBidi"/>
      <w:szCs w:val="24"/>
    </w:rPr>
  </w:style>
  <w:style w:type="paragraph" w:customStyle="1" w:styleId="SigAttorneysFor">
    <w:name w:val="Sig Attorneys For"/>
    <w:basedOn w:val="Normal"/>
    <w:rsid w:val="00FD2C92"/>
    <w:pPr>
      <w:keepNext/>
      <w:keepLines/>
      <w:widowControl/>
      <w:ind w:left="5040"/>
    </w:pPr>
    <w:rPr>
      <w:rFonts w:eastAsiaTheme="minorHAnsi" w:cstheme="minorBidi"/>
      <w:szCs w:val="24"/>
    </w:rPr>
  </w:style>
  <w:style w:type="paragraph" w:customStyle="1" w:styleId="SigOfficeAddress">
    <w:name w:val="Sig Office Address"/>
    <w:basedOn w:val="Normal"/>
    <w:rsid w:val="00FD2C92"/>
    <w:pPr>
      <w:keepLines/>
      <w:widowControl/>
      <w:ind w:left="5040"/>
    </w:pPr>
    <w:rPr>
      <w:szCs w:val="24"/>
    </w:rPr>
  </w:style>
  <w:style w:type="paragraph" w:customStyle="1" w:styleId="CoverFirmName">
    <w:name w:val="Cover Firm Name"/>
    <w:basedOn w:val="Normal"/>
    <w:rsid w:val="00FD2C92"/>
    <w:pPr>
      <w:widowControl/>
    </w:pPr>
    <w:rPr>
      <w:rFonts w:eastAsiaTheme="minorHAnsi"/>
      <w:szCs w:val="22"/>
    </w:rPr>
  </w:style>
  <w:style w:type="paragraph" w:customStyle="1" w:styleId="CoverAttorneysFor">
    <w:name w:val="Cover Attorneys For"/>
    <w:basedOn w:val="Normal"/>
    <w:rsid w:val="00FD2C92"/>
    <w:pPr>
      <w:widowControl/>
      <w:ind w:left="720"/>
    </w:pPr>
    <w:rPr>
      <w:rFonts w:eastAsiaTheme="minorHAnsi"/>
      <w:szCs w:val="22"/>
    </w:rPr>
  </w:style>
  <w:style w:type="paragraph" w:styleId="Bibliography">
    <w:name w:val="Bibliography"/>
    <w:basedOn w:val="Normal"/>
    <w:next w:val="Normal"/>
    <w:uiPriority w:val="37"/>
    <w:semiHidden/>
    <w:unhideWhenUsed/>
    <w:rsid w:val="00FD2C92"/>
  </w:style>
  <w:style w:type="paragraph" w:styleId="IntenseQuote">
    <w:name w:val="Intense Quote"/>
    <w:basedOn w:val="Normal"/>
    <w:next w:val="Normal"/>
    <w:link w:val="IntenseQuoteChar"/>
    <w:uiPriority w:val="30"/>
    <w:qFormat/>
    <w:rsid w:val="00FD2C9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D2C92"/>
    <w:rPr>
      <w:b/>
      <w:bCs/>
      <w:i/>
      <w:iCs/>
      <w:color w:val="4F81BD" w:themeColor="accent1"/>
      <w:sz w:val="24"/>
    </w:rPr>
  </w:style>
  <w:style w:type="paragraph" w:styleId="ListParagraph">
    <w:name w:val="List Paragraph"/>
    <w:basedOn w:val="Normal"/>
    <w:uiPriority w:val="34"/>
    <w:qFormat/>
    <w:rsid w:val="00FD2C92"/>
    <w:pPr>
      <w:ind w:left="720"/>
      <w:contextualSpacing/>
    </w:pPr>
  </w:style>
  <w:style w:type="paragraph" w:styleId="NoSpacing">
    <w:name w:val="No Spacing"/>
    <w:uiPriority w:val="1"/>
    <w:qFormat/>
    <w:rsid w:val="00FD2C92"/>
    <w:pPr>
      <w:widowControl w:val="0"/>
      <w:spacing w:line="240" w:lineRule="exact"/>
    </w:pPr>
    <w:rPr>
      <w:sz w:val="24"/>
    </w:rPr>
  </w:style>
  <w:style w:type="paragraph" w:styleId="TOCHeading">
    <w:name w:val="TOC Heading"/>
    <w:basedOn w:val="Normal"/>
    <w:unhideWhenUsed/>
    <w:qFormat/>
    <w:rsid w:val="00D40345"/>
    <w:pPr>
      <w:widowControl/>
      <w:spacing w:after="240"/>
      <w:jc w:val="center"/>
    </w:pPr>
    <w:rPr>
      <w:rFonts w:eastAsiaTheme="minorHAnsi" w:cstheme="minorBidi"/>
      <w:b/>
      <w:szCs w:val="24"/>
    </w:rPr>
  </w:style>
  <w:style w:type="paragraph" w:customStyle="1" w:styleId="CertificateSignature">
    <w:name w:val="Certificate Signature"/>
    <w:basedOn w:val="Normal"/>
    <w:rsid w:val="00054F4E"/>
    <w:pPr>
      <w:keepNext/>
      <w:widowControl/>
      <w:tabs>
        <w:tab w:val="left" w:pos="8640"/>
      </w:tabs>
      <w:spacing w:before="720" w:line="240" w:lineRule="auto"/>
      <w:ind w:left="4320"/>
      <w:contextualSpacing/>
    </w:pPr>
    <w:rPr>
      <w:szCs w:val="24"/>
    </w:rPr>
  </w:style>
  <w:style w:type="paragraph" w:customStyle="1" w:styleId="TOCPage">
    <w:name w:val="TOC Page"/>
    <w:basedOn w:val="Normal"/>
    <w:semiHidden/>
    <w:rsid w:val="00D40345"/>
    <w:pPr>
      <w:widowControl/>
      <w:spacing w:after="240"/>
      <w:jc w:val="right"/>
    </w:pPr>
    <w:rPr>
      <w:rFonts w:eastAsiaTheme="minorHAnsi" w:cstheme="minorBidi"/>
      <w:b/>
      <w:szCs w:val="24"/>
    </w:rPr>
  </w:style>
  <w:style w:type="paragraph" w:customStyle="1" w:styleId="SigFirmNamePara">
    <w:name w:val="Sig Firm Name Para"/>
    <w:basedOn w:val="Normal"/>
    <w:rsid w:val="00CB4833"/>
    <w:pPr>
      <w:spacing w:before="240"/>
      <w:ind w:left="4320"/>
    </w:pPr>
    <w:rPr>
      <w:caps/>
    </w:rPr>
  </w:style>
  <w:style w:type="character" w:customStyle="1" w:styleId="BodyTextChar">
    <w:name w:val="Body Text Char"/>
    <w:basedOn w:val="DefaultParagraphFont"/>
    <w:link w:val="BodyText"/>
    <w:rsid w:val="00B870EE"/>
    <w:rPr>
      <w:sz w:val="24"/>
    </w:rPr>
  </w:style>
  <w:style w:type="character" w:styleId="Hyperlink">
    <w:name w:val="Hyperlink"/>
    <w:basedOn w:val="DefaultParagraphFont"/>
    <w:uiPriority w:val="99"/>
    <w:rsid w:val="009B1CCA"/>
    <w:rPr>
      <w:color w:val="0000FF" w:themeColor="hyperlink"/>
      <w:u w:val="single"/>
    </w:rPr>
  </w:style>
  <w:style w:type="character" w:customStyle="1" w:styleId="FooterChar">
    <w:name w:val="Footer Char"/>
    <w:basedOn w:val="DefaultParagraphFont"/>
    <w:link w:val="Footer"/>
    <w:uiPriority w:val="99"/>
    <w:rsid w:val="009B1CCA"/>
    <w:rPr>
      <w:sz w:val="24"/>
    </w:rPr>
  </w:style>
  <w:style w:type="paragraph" w:customStyle="1" w:styleId="H1">
    <w:name w:val="H1"/>
    <w:basedOn w:val="Normal"/>
    <w:link w:val="H1Char"/>
    <w:qFormat/>
    <w:rsid w:val="00F01361"/>
    <w:pPr>
      <w:widowControl/>
      <w:numPr>
        <w:numId w:val="20"/>
      </w:numPr>
      <w:tabs>
        <w:tab w:val="left" w:pos="0"/>
      </w:tabs>
      <w:spacing w:line="240" w:lineRule="auto"/>
      <w:ind w:left="720" w:firstLine="0"/>
    </w:pPr>
    <w:rPr>
      <w:rFonts w:eastAsia="Times"/>
      <w:b/>
      <w:szCs w:val="24"/>
    </w:rPr>
  </w:style>
  <w:style w:type="character" w:customStyle="1" w:styleId="H1Char">
    <w:name w:val="H1 Char"/>
    <w:basedOn w:val="DefaultParagraphFont"/>
    <w:link w:val="H1"/>
    <w:rsid w:val="00F01361"/>
    <w:rPr>
      <w:rFonts w:eastAsia="Times"/>
      <w:b/>
      <w:sz w:val="24"/>
      <w:szCs w:val="24"/>
    </w:rPr>
  </w:style>
  <w:style w:type="character" w:styleId="CommentReference">
    <w:name w:val="annotation reference"/>
    <w:basedOn w:val="DefaultParagraphFont"/>
    <w:rsid w:val="00EE249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58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Formal Complaint</CaseType>
    <IndustryCode xmlns="dc463f71-b30c-4ab2-9473-d307f9d35888">140</IndustryCode>
    <CaseStatus xmlns="dc463f71-b30c-4ab2-9473-d307f9d35888">Closed</CaseStatus>
    <OpenedDate xmlns="dc463f71-b30c-4ab2-9473-d307f9d35888">2014-11-18T08:00:00+00:00</OpenedDate>
    <Date1 xmlns="dc463f71-b30c-4ab2-9473-d307f9d35888">2015-11-13T08:00:00+00:00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143932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D7A73751226EA419A9CAE5A2849B703" ma:contentTypeVersion="175" ma:contentTypeDescription="" ma:contentTypeScope="" ma:versionID="edbea5da146c621051e5749218c14f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8362437-71F2-4F90-AB93-7083C9E85FEF}"/>
</file>

<file path=customXml/itemProps2.xml><?xml version="1.0" encoding="utf-8"?>
<ds:datastoreItem xmlns:ds="http://schemas.openxmlformats.org/officeDocument/2006/customXml" ds:itemID="{FB16661E-D9CC-457C-B96C-78F7A6D98F7D}"/>
</file>

<file path=customXml/itemProps3.xml><?xml version="1.0" encoding="utf-8"?>
<ds:datastoreItem xmlns:ds="http://schemas.openxmlformats.org/officeDocument/2006/customXml" ds:itemID="{E4629BFB-D160-4247-88AE-A2D3D1F29AEF}"/>
</file>

<file path=customXml/itemProps4.xml><?xml version="1.0" encoding="utf-8"?>
<ds:datastoreItem xmlns:ds="http://schemas.openxmlformats.org/officeDocument/2006/customXml" ds:itemID="{90327D22-73CA-4853-AB33-376F72354AA0}"/>
</file>

<file path=docProps/app.xml><?xml version="1.0" encoding="utf-8"?>
<Properties xmlns="http://schemas.openxmlformats.org/officeDocument/2006/extended-properties" xmlns:vt="http://schemas.openxmlformats.org/officeDocument/2006/docPropsVTypes">
  <Template>Normal</Template>
  <TotalTime>0</TotalTime>
  <Pages>21</Pages>
  <Words>1770</Words>
  <Characters>10090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2015-11-16T19:56:00Z</dcterms:created>
  <dcterms:modified xsi:type="dcterms:W3CDTF">2015-11-16T19:56:00Z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0x0101006E56B4D1795A2E4DB2F0B01679ED314A006D7A73751226EA419A9CAE5A2849B703</vt:lpwstr>
  </property>
  <property fmtid="{D5CDD505-2E9C-101B-9397-08002B2CF9AE}" pid="4" name="_docset_NoMedatataSyncRequired">
    <vt:lpwstr>False</vt:lpwstr>
  </property>
</Properties>
</file>