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EF815E" w14:textId="31BC5416" w:rsidR="00501FFC" w:rsidRDefault="00501FFC" w:rsidP="00936888">
      <w:pPr>
        <w:tabs>
          <w:tab w:val="left" w:pos="5878"/>
        </w:tabs>
        <w:ind w:right="-108" w:hanging="180"/>
        <w:jc w:val="both"/>
        <w:rPr>
          <w:sz w:val="24"/>
        </w:rPr>
      </w:pPr>
    </w:p>
    <w:p w14:paraId="3DEF815F" w14:textId="77777777" w:rsidR="00501FFC" w:rsidRDefault="00501FFC" w:rsidP="00F748D8">
      <w:pPr>
        <w:tabs>
          <w:tab w:val="center" w:pos="4680"/>
        </w:tabs>
        <w:ind w:right="-108" w:hanging="180"/>
        <w:jc w:val="both"/>
        <w:rPr>
          <w:sz w:val="24"/>
        </w:rPr>
      </w:pPr>
    </w:p>
    <w:p w14:paraId="3DEF8160" w14:textId="77777777" w:rsidR="00501FFC" w:rsidRDefault="00501FFC" w:rsidP="00F748D8">
      <w:pPr>
        <w:tabs>
          <w:tab w:val="center" w:pos="4680"/>
        </w:tabs>
        <w:ind w:right="-108" w:hanging="180"/>
        <w:jc w:val="both"/>
        <w:rPr>
          <w:sz w:val="24"/>
        </w:rPr>
      </w:pPr>
    </w:p>
    <w:p w14:paraId="3DEF8163" w14:textId="77777777" w:rsidR="00F748D8" w:rsidRDefault="00F748D8" w:rsidP="00EF5014">
      <w:pPr>
        <w:tabs>
          <w:tab w:val="center" w:pos="4680"/>
        </w:tabs>
        <w:ind w:right="-108" w:hanging="180"/>
        <w:jc w:val="center"/>
        <w:rPr>
          <w:sz w:val="24"/>
        </w:rPr>
      </w:pPr>
      <w:r w:rsidRPr="004A2910">
        <w:rPr>
          <w:sz w:val="24"/>
        </w:rPr>
        <w:t>BEFORE THE WASHINGTON UTILITIES AND TRANSPORTATION COMMISSION</w:t>
      </w:r>
    </w:p>
    <w:p w14:paraId="5801A8FB" w14:textId="5526A049" w:rsidR="00EF5014" w:rsidRDefault="00EF5014" w:rsidP="00EF5014">
      <w:pPr>
        <w:tabs>
          <w:tab w:val="center" w:pos="4680"/>
        </w:tabs>
        <w:ind w:right="-108" w:hanging="180"/>
        <w:jc w:val="center"/>
        <w:rPr>
          <w:sz w:val="24"/>
        </w:rPr>
      </w:pPr>
    </w:p>
    <w:tbl>
      <w:tblPr>
        <w:tblW w:w="9180" w:type="dxa"/>
        <w:tblInd w:w="124" w:type="dxa"/>
        <w:tblLayout w:type="fixed"/>
        <w:tblCellMar>
          <w:left w:w="124" w:type="dxa"/>
          <w:right w:w="124" w:type="dxa"/>
        </w:tblCellMar>
        <w:tblLook w:val="0000" w:firstRow="0" w:lastRow="0" w:firstColumn="0" w:lastColumn="0" w:noHBand="0" w:noVBand="0"/>
      </w:tblPr>
      <w:tblGrid>
        <w:gridCol w:w="4590"/>
        <w:gridCol w:w="4590"/>
      </w:tblGrid>
      <w:tr w:rsidR="00EF5014" w:rsidRPr="00EF5014" w14:paraId="41FE1516" w14:textId="77777777" w:rsidTr="00324C32">
        <w:tc>
          <w:tcPr>
            <w:tcW w:w="4590" w:type="dxa"/>
            <w:tcBorders>
              <w:top w:val="single" w:sz="6" w:space="0" w:color="FFFFFF"/>
              <w:left w:val="single" w:sz="6" w:space="0" w:color="FFFFFF"/>
              <w:bottom w:val="single" w:sz="7" w:space="0" w:color="000000"/>
              <w:right w:val="single" w:sz="6" w:space="0" w:color="FFFFFF"/>
            </w:tcBorders>
          </w:tcPr>
          <w:p w14:paraId="554D4F1F" w14:textId="77777777" w:rsidR="00EF5014" w:rsidRPr="00EF5014" w:rsidRDefault="00EF5014" w:rsidP="000E5544">
            <w:pPr>
              <w:pStyle w:val="Header"/>
              <w:tabs>
                <w:tab w:val="left" w:pos="681"/>
                <w:tab w:val="left" w:pos="1401"/>
              </w:tabs>
              <w:rPr>
                <w:sz w:val="24"/>
              </w:rPr>
            </w:pPr>
            <w:r w:rsidRPr="00EF5014">
              <w:rPr>
                <w:sz w:val="24"/>
              </w:rPr>
              <w:t xml:space="preserve">In the Matter of the </w:t>
            </w:r>
          </w:p>
          <w:p w14:paraId="11E1430A" w14:textId="77777777" w:rsidR="00EF5014" w:rsidRPr="00EF5014" w:rsidRDefault="00EF5014" w:rsidP="000E5544">
            <w:pPr>
              <w:pStyle w:val="Header"/>
              <w:tabs>
                <w:tab w:val="left" w:pos="681"/>
                <w:tab w:val="left" w:pos="1401"/>
              </w:tabs>
              <w:rPr>
                <w:sz w:val="24"/>
              </w:rPr>
            </w:pPr>
          </w:p>
          <w:p w14:paraId="09D583E5" w14:textId="77777777" w:rsidR="00EF5014" w:rsidRPr="00EF5014" w:rsidRDefault="00EF5014" w:rsidP="000E5544">
            <w:pPr>
              <w:pStyle w:val="Header"/>
              <w:tabs>
                <w:tab w:val="left" w:pos="681"/>
                <w:tab w:val="left" w:pos="1401"/>
              </w:tabs>
              <w:rPr>
                <w:sz w:val="24"/>
              </w:rPr>
            </w:pPr>
            <w:r w:rsidRPr="00EF5014">
              <w:rPr>
                <w:sz w:val="24"/>
              </w:rPr>
              <w:t xml:space="preserve">Petition of King County, Washington, BNSF Railway, Frontier Communications Northwest, Inc., Verizon Wireless, and New Cingular Wireless </w:t>
            </w:r>
            <w:smartTag w:uri="urn:schemas-microsoft-com:office:smarttags" w:element="stockticker">
              <w:r w:rsidRPr="00EF5014">
                <w:rPr>
                  <w:sz w:val="24"/>
                </w:rPr>
                <w:t>PCS</w:t>
              </w:r>
            </w:smartTag>
            <w:r w:rsidRPr="00EF5014">
              <w:rPr>
                <w:sz w:val="24"/>
              </w:rPr>
              <w:t>, LLC. For a Declaratory Order to address the degradation of service from Puget Sound Energy due to the physical deterioration of the Maloney Ridge Line underground cable.</w:t>
            </w:r>
          </w:p>
          <w:p w14:paraId="5F319094" w14:textId="77777777" w:rsidR="00EF5014" w:rsidRPr="00EF5014" w:rsidRDefault="00EF5014" w:rsidP="000E5544">
            <w:pPr>
              <w:pStyle w:val="Header"/>
              <w:tabs>
                <w:tab w:val="left" w:pos="681"/>
                <w:tab w:val="left" w:pos="1401"/>
              </w:tabs>
              <w:rPr>
                <w:sz w:val="24"/>
              </w:rPr>
            </w:pPr>
          </w:p>
        </w:tc>
        <w:tc>
          <w:tcPr>
            <w:tcW w:w="4590" w:type="dxa"/>
            <w:tcBorders>
              <w:top w:val="single" w:sz="6" w:space="0" w:color="FFFFFF"/>
              <w:left w:val="single" w:sz="7" w:space="0" w:color="000000"/>
              <w:bottom w:val="single" w:sz="6" w:space="0" w:color="FFFFFF"/>
              <w:right w:val="single" w:sz="6" w:space="0" w:color="FFFFFF"/>
            </w:tcBorders>
          </w:tcPr>
          <w:p w14:paraId="0B8453F0" w14:textId="77777777" w:rsidR="00EF5014" w:rsidRPr="00EF5014" w:rsidRDefault="00EF5014" w:rsidP="000E5544">
            <w:pPr>
              <w:pStyle w:val="Header"/>
              <w:ind w:left="416"/>
              <w:rPr>
                <w:sz w:val="24"/>
              </w:rPr>
            </w:pPr>
            <w:r w:rsidRPr="00EF5014">
              <w:rPr>
                <w:sz w:val="24"/>
              </w:rPr>
              <w:t>DOCKET UE-141335</w:t>
            </w:r>
          </w:p>
          <w:p w14:paraId="6E94CD51" w14:textId="77777777" w:rsidR="00EF5014" w:rsidRPr="00EF5014" w:rsidRDefault="00EF5014" w:rsidP="000E5544">
            <w:pPr>
              <w:pStyle w:val="Header"/>
              <w:ind w:left="416"/>
              <w:rPr>
                <w:sz w:val="24"/>
              </w:rPr>
            </w:pPr>
          </w:p>
          <w:p w14:paraId="4B59AFB1" w14:textId="39AC7257" w:rsidR="00EF5014" w:rsidRPr="00EF5014" w:rsidRDefault="00EF5014" w:rsidP="000E5544">
            <w:pPr>
              <w:pStyle w:val="BodyTextIndent2"/>
              <w:ind w:left="416"/>
              <w:rPr>
                <w:rFonts w:ascii="Times New Roman" w:hAnsi="Times New Roman"/>
              </w:rPr>
            </w:pPr>
            <w:r w:rsidRPr="00EF5014">
              <w:rPr>
                <w:rFonts w:ascii="Times New Roman" w:hAnsi="Times New Roman"/>
              </w:rPr>
              <w:t>COMMISSION STAFF</w:t>
            </w:r>
            <w:r>
              <w:rPr>
                <w:rFonts w:ascii="Times New Roman" w:hAnsi="Times New Roman"/>
              </w:rPr>
              <w:t xml:space="preserve"> </w:t>
            </w:r>
            <w:r w:rsidR="00936888">
              <w:rPr>
                <w:rFonts w:ascii="Times New Roman" w:hAnsi="Times New Roman"/>
              </w:rPr>
              <w:t>ANSWER TO KING COUNTY, WASHINGTON’S, BNSF RAILWAY’S, FRONTIER COMMUNICATIONS NORTHWEST, INC.’S</w:t>
            </w:r>
            <w:r w:rsidR="00E26BA7">
              <w:rPr>
                <w:rFonts w:ascii="Times New Roman" w:hAnsi="Times New Roman"/>
              </w:rPr>
              <w:t>,</w:t>
            </w:r>
            <w:r w:rsidR="00936888">
              <w:rPr>
                <w:rFonts w:ascii="Times New Roman" w:hAnsi="Times New Roman"/>
              </w:rPr>
              <w:t xml:space="preserve"> VERIZON WIRELESS’S AND NEW CINGULAR WIRELESS PCS, LLC’S PETITION FOR ADMINISTRATIVE REVIEW OF INITIAL ORDER (ORDER 03) </w:t>
            </w:r>
          </w:p>
          <w:p w14:paraId="4AB5F829" w14:textId="77777777" w:rsidR="00EF5014" w:rsidRPr="00EF5014" w:rsidRDefault="00EF5014" w:rsidP="000E5544">
            <w:pPr>
              <w:pStyle w:val="Header"/>
              <w:ind w:left="416"/>
              <w:rPr>
                <w:sz w:val="24"/>
              </w:rPr>
            </w:pPr>
          </w:p>
        </w:tc>
      </w:tr>
    </w:tbl>
    <w:p w14:paraId="19B30B38" w14:textId="6D5EA65E" w:rsidR="00626B27" w:rsidRPr="00AE6F08" w:rsidRDefault="00626B27" w:rsidP="00626B27">
      <w:pPr>
        <w:pStyle w:val="Body1"/>
        <w:spacing w:line="480" w:lineRule="auto"/>
        <w:rPr>
          <w:rFonts w:ascii="Times New Roman" w:hAnsi="Times New Roman"/>
        </w:rPr>
      </w:pPr>
    </w:p>
    <w:p w14:paraId="27C0FEA2" w14:textId="4007268C" w:rsidR="00626B27" w:rsidRDefault="00BA05A0" w:rsidP="00BA05A0">
      <w:pPr>
        <w:pStyle w:val="Body1"/>
        <w:spacing w:line="480" w:lineRule="auto"/>
        <w:jc w:val="center"/>
        <w:rPr>
          <w:rFonts w:ascii="Times New Roman" w:hAnsi="Times New Roman"/>
          <w:b/>
        </w:rPr>
      </w:pPr>
      <w:r>
        <w:rPr>
          <w:rFonts w:ascii="Times New Roman" w:hAnsi="Times New Roman"/>
          <w:b/>
        </w:rPr>
        <w:t>I.</w:t>
      </w:r>
      <w:r>
        <w:rPr>
          <w:rFonts w:ascii="Times New Roman" w:hAnsi="Times New Roman"/>
          <w:b/>
        </w:rPr>
        <w:tab/>
      </w:r>
      <w:r w:rsidR="00C676DD" w:rsidRPr="00C676DD">
        <w:rPr>
          <w:rFonts w:ascii="Times New Roman" w:hAnsi="Times New Roman"/>
          <w:b/>
        </w:rPr>
        <w:t>INTRODUCTION</w:t>
      </w:r>
    </w:p>
    <w:p w14:paraId="031612B9" w14:textId="52622AC9" w:rsidR="000103CB" w:rsidRDefault="00BA05A0" w:rsidP="000103CB">
      <w:pPr>
        <w:pStyle w:val="Body1"/>
        <w:numPr>
          <w:ilvl w:val="0"/>
          <w:numId w:val="9"/>
        </w:numPr>
        <w:spacing w:line="480" w:lineRule="auto"/>
        <w:rPr>
          <w:rFonts w:ascii="Times New Roman" w:hAnsi="Times New Roman"/>
        </w:rPr>
      </w:pPr>
      <w:r w:rsidRPr="00B07F6B">
        <w:rPr>
          <w:rFonts w:ascii="Times New Roman" w:hAnsi="Times New Roman"/>
        </w:rPr>
        <w:tab/>
      </w:r>
      <w:r w:rsidR="000103CB" w:rsidRPr="00085D94">
        <w:rPr>
          <w:rFonts w:ascii="Times New Roman" w:hAnsi="Times New Roman"/>
        </w:rPr>
        <w:t xml:space="preserve">King County, Washington (King County), BNSF Railway (BNSF), Frontier Communications Northwest Inc. (Frontier), Verizon Wireless (Verizon), and New Cingular Wireless PCS, LLC (AT&amp;T), (collectively Petitioners) filed </w:t>
      </w:r>
      <w:r w:rsidR="000103CB">
        <w:rPr>
          <w:rFonts w:ascii="Times New Roman" w:hAnsi="Times New Roman"/>
        </w:rPr>
        <w:t>for administrative review of the Initial Order (</w:t>
      </w:r>
      <w:r w:rsidR="001736D1">
        <w:rPr>
          <w:rFonts w:ascii="Times New Roman" w:hAnsi="Times New Roman"/>
        </w:rPr>
        <w:t xml:space="preserve">Initial Order or </w:t>
      </w:r>
      <w:r w:rsidR="000103CB">
        <w:rPr>
          <w:rFonts w:ascii="Times New Roman" w:hAnsi="Times New Roman"/>
        </w:rPr>
        <w:t xml:space="preserve">Order 03) filed by Administrative Law Judge Gregory J. Kopta in this docket. </w:t>
      </w:r>
    </w:p>
    <w:p w14:paraId="38E1B1C9" w14:textId="722355B2" w:rsidR="000103CB" w:rsidRDefault="000103CB" w:rsidP="000103CB">
      <w:pPr>
        <w:pStyle w:val="Body1"/>
        <w:numPr>
          <w:ilvl w:val="0"/>
          <w:numId w:val="9"/>
        </w:numPr>
        <w:spacing w:line="480" w:lineRule="auto"/>
        <w:rPr>
          <w:rFonts w:ascii="Times New Roman" w:hAnsi="Times New Roman"/>
        </w:rPr>
      </w:pPr>
      <w:r>
        <w:rPr>
          <w:rFonts w:ascii="Times New Roman" w:hAnsi="Times New Roman"/>
        </w:rPr>
        <w:tab/>
      </w:r>
      <w:r w:rsidRPr="00DB7C46">
        <w:rPr>
          <w:rFonts w:ascii="Times New Roman" w:hAnsi="Times New Roman"/>
        </w:rPr>
        <w:t>The Petitioners argue that Judge Kopta erred by concluding that the exclusive service line used to supply electricity to the Petitioners’ facilities on Maloney Ridge was not part of PSE’s distribution system.</w:t>
      </w:r>
      <w:r w:rsidR="004B4F32">
        <w:rPr>
          <w:rStyle w:val="FootnoteReference"/>
          <w:rFonts w:ascii="Times New Roman" w:hAnsi="Times New Roman"/>
        </w:rPr>
        <w:footnoteReference w:id="2"/>
      </w:r>
      <w:r w:rsidR="001736D1">
        <w:rPr>
          <w:rFonts w:ascii="Times New Roman" w:hAnsi="Times New Roman"/>
        </w:rPr>
        <w:t xml:space="preserve"> The Petitioner</w:t>
      </w:r>
      <w:r w:rsidRPr="00DB7C46">
        <w:rPr>
          <w:rFonts w:ascii="Times New Roman" w:hAnsi="Times New Roman"/>
        </w:rPr>
        <w:t>s</w:t>
      </w:r>
      <w:r w:rsidR="001736D1">
        <w:rPr>
          <w:rFonts w:ascii="Times New Roman" w:hAnsi="Times New Roman"/>
        </w:rPr>
        <w:t>’</w:t>
      </w:r>
      <w:r w:rsidRPr="00DB7C46">
        <w:rPr>
          <w:rFonts w:ascii="Times New Roman" w:hAnsi="Times New Roman"/>
        </w:rPr>
        <w:t xml:space="preserve"> also </w:t>
      </w:r>
      <w:r w:rsidR="00243EC4" w:rsidRPr="00DB7C46">
        <w:rPr>
          <w:rFonts w:ascii="Times New Roman" w:hAnsi="Times New Roman"/>
        </w:rPr>
        <w:t>maintain</w:t>
      </w:r>
      <w:r w:rsidRPr="00DB7C46">
        <w:rPr>
          <w:rFonts w:ascii="Times New Roman" w:hAnsi="Times New Roman"/>
        </w:rPr>
        <w:t xml:space="preserve"> that Judge Kopta erred by </w:t>
      </w:r>
      <w:r w:rsidR="00243EC4">
        <w:rPr>
          <w:rFonts w:ascii="Times New Roman" w:hAnsi="Times New Roman"/>
        </w:rPr>
        <w:t xml:space="preserve">determining </w:t>
      </w:r>
      <w:r w:rsidRPr="00DB7C46">
        <w:rPr>
          <w:rFonts w:ascii="Times New Roman" w:hAnsi="Times New Roman"/>
        </w:rPr>
        <w:t xml:space="preserve">that PSE’s </w:t>
      </w:r>
      <w:r w:rsidR="005F79B2">
        <w:rPr>
          <w:rFonts w:ascii="Times New Roman" w:hAnsi="Times New Roman"/>
        </w:rPr>
        <w:t xml:space="preserve">Schedule 85 did not apply to the </w:t>
      </w:r>
      <w:r w:rsidR="00243EC4">
        <w:rPr>
          <w:rFonts w:ascii="Times New Roman" w:hAnsi="Times New Roman"/>
        </w:rPr>
        <w:t xml:space="preserve">unique facts presented by </w:t>
      </w:r>
      <w:r w:rsidR="005F79B2">
        <w:rPr>
          <w:rFonts w:ascii="Times New Roman" w:hAnsi="Times New Roman"/>
        </w:rPr>
        <w:t xml:space="preserve">this case. </w:t>
      </w:r>
      <w:r w:rsidRPr="00DB7C46">
        <w:rPr>
          <w:rFonts w:ascii="Times New Roman" w:hAnsi="Times New Roman"/>
        </w:rPr>
        <w:t xml:space="preserve"> </w:t>
      </w:r>
    </w:p>
    <w:p w14:paraId="00D032CC" w14:textId="344688C5" w:rsidR="005F79B2" w:rsidRDefault="005F79B2" w:rsidP="000103CB">
      <w:pPr>
        <w:pStyle w:val="Body1"/>
        <w:numPr>
          <w:ilvl w:val="0"/>
          <w:numId w:val="9"/>
        </w:numPr>
        <w:spacing w:line="480" w:lineRule="auto"/>
        <w:rPr>
          <w:rFonts w:ascii="Times New Roman" w:hAnsi="Times New Roman"/>
        </w:rPr>
      </w:pPr>
      <w:r>
        <w:rPr>
          <w:rFonts w:ascii="Times New Roman" w:hAnsi="Times New Roman"/>
        </w:rPr>
        <w:lastRenderedPageBreak/>
        <w:tab/>
        <w:t xml:space="preserve">The Petitioners’ claims of error are not supported by the facts, and ignore the Maloney Line’s origin, long history of cost allocation, and the plain language of PSE’s applicable tariffs. The Petitioners’ request to overturn Judge Kopta’s Initial Order should be denied. </w:t>
      </w:r>
    </w:p>
    <w:p w14:paraId="3B9DB309" w14:textId="60B1E8EB" w:rsidR="000103CB" w:rsidRPr="00243EC4" w:rsidRDefault="00243EC4" w:rsidP="00243EC4">
      <w:pPr>
        <w:pStyle w:val="Body1"/>
        <w:spacing w:line="480" w:lineRule="auto"/>
        <w:jc w:val="center"/>
        <w:rPr>
          <w:rFonts w:ascii="Times New Roman" w:hAnsi="Times New Roman"/>
          <w:b/>
        </w:rPr>
      </w:pPr>
      <w:r w:rsidRPr="00243EC4">
        <w:rPr>
          <w:rFonts w:ascii="Times New Roman" w:hAnsi="Times New Roman"/>
          <w:b/>
        </w:rPr>
        <w:t>II.</w:t>
      </w:r>
      <w:r w:rsidRPr="00243EC4">
        <w:rPr>
          <w:rFonts w:ascii="Times New Roman" w:hAnsi="Times New Roman"/>
          <w:b/>
        </w:rPr>
        <w:tab/>
      </w:r>
      <w:r w:rsidR="001B503E" w:rsidRPr="00243EC4">
        <w:rPr>
          <w:rFonts w:ascii="Times New Roman" w:hAnsi="Times New Roman"/>
          <w:b/>
        </w:rPr>
        <w:t>ESSENTIAL</w:t>
      </w:r>
      <w:r w:rsidRPr="00243EC4">
        <w:rPr>
          <w:rFonts w:ascii="Times New Roman" w:hAnsi="Times New Roman"/>
          <w:b/>
        </w:rPr>
        <w:t xml:space="preserve"> FACTS</w:t>
      </w:r>
    </w:p>
    <w:p w14:paraId="4586C6C9" w14:textId="21374707" w:rsidR="000103CB" w:rsidRPr="000103CB" w:rsidRDefault="00243EC4" w:rsidP="004214C9">
      <w:pPr>
        <w:pStyle w:val="Body1"/>
        <w:numPr>
          <w:ilvl w:val="0"/>
          <w:numId w:val="9"/>
        </w:numPr>
        <w:spacing w:line="480" w:lineRule="auto"/>
        <w:rPr>
          <w:rFonts w:ascii="Times New Roman" w:hAnsi="Times New Roman"/>
        </w:rPr>
      </w:pPr>
      <w:r>
        <w:rPr>
          <w:rFonts w:ascii="Times New Roman" w:hAnsi="Times New Roman"/>
        </w:rPr>
        <w:tab/>
      </w:r>
      <w:r w:rsidR="00DB7C46" w:rsidRPr="000103CB">
        <w:rPr>
          <w:rFonts w:ascii="Times New Roman" w:hAnsi="Times New Roman"/>
        </w:rPr>
        <w:t xml:space="preserve">The facts in this case are straightforward and compelling. </w:t>
      </w:r>
      <w:r w:rsidR="00A065D6" w:rsidRPr="000103CB">
        <w:rPr>
          <w:rFonts w:ascii="Times New Roman" w:hAnsi="Times New Roman"/>
        </w:rPr>
        <w:t>T</w:t>
      </w:r>
      <w:r w:rsidR="00DB7C46" w:rsidRPr="000103CB">
        <w:rPr>
          <w:rFonts w:ascii="Times New Roman" w:hAnsi="Times New Roman"/>
        </w:rPr>
        <w:t xml:space="preserve">he Maloney Line was constructed </w:t>
      </w:r>
      <w:r w:rsidR="00A065D6" w:rsidRPr="000103CB">
        <w:rPr>
          <w:rFonts w:ascii="Times New Roman" w:hAnsi="Times New Roman"/>
        </w:rPr>
        <w:t xml:space="preserve">in 1971 </w:t>
      </w:r>
      <w:r w:rsidR="00DB7C46" w:rsidRPr="000103CB">
        <w:rPr>
          <w:rFonts w:ascii="Times New Roman" w:hAnsi="Times New Roman"/>
        </w:rPr>
        <w:t xml:space="preserve">to serve </w:t>
      </w:r>
      <w:r w:rsidR="00A065D6" w:rsidRPr="000103CB">
        <w:rPr>
          <w:rFonts w:ascii="Times New Roman" w:hAnsi="Times New Roman"/>
        </w:rPr>
        <w:t xml:space="preserve">only </w:t>
      </w:r>
      <w:r w:rsidR="00DB7C46" w:rsidRPr="000103CB">
        <w:rPr>
          <w:rFonts w:ascii="Times New Roman" w:hAnsi="Times New Roman"/>
        </w:rPr>
        <w:t>one customer - G</w:t>
      </w:r>
      <w:r w:rsidR="00A065D6" w:rsidRPr="000103CB">
        <w:rPr>
          <w:rFonts w:ascii="Times New Roman" w:hAnsi="Times New Roman"/>
        </w:rPr>
        <w:t>TE.</w:t>
      </w:r>
      <w:r w:rsidR="00A065D6">
        <w:rPr>
          <w:rStyle w:val="FootnoteReference"/>
          <w:rFonts w:ascii="Times New Roman" w:hAnsi="Times New Roman"/>
        </w:rPr>
        <w:footnoteReference w:id="3"/>
      </w:r>
      <w:r w:rsidR="00A065D6" w:rsidRPr="000103CB">
        <w:rPr>
          <w:rFonts w:ascii="Times New Roman" w:hAnsi="Times New Roman"/>
        </w:rPr>
        <w:t xml:space="preserve"> It was built by PSE </w:t>
      </w:r>
      <w:r w:rsidR="000103CB" w:rsidRPr="000103CB">
        <w:rPr>
          <w:rFonts w:ascii="Times New Roman" w:hAnsi="Times New Roman"/>
        </w:rPr>
        <w:t xml:space="preserve">in mountainous terrain near Skykomish, Washington </w:t>
      </w:r>
      <w:r w:rsidR="00A065D6" w:rsidRPr="000103CB">
        <w:rPr>
          <w:rFonts w:ascii="Times New Roman" w:hAnsi="Times New Roman"/>
        </w:rPr>
        <w:t xml:space="preserve">pursuant to an agreement wherein GTE agreed to pay </w:t>
      </w:r>
      <w:r w:rsidR="00A065D6" w:rsidRPr="000103CB">
        <w:rPr>
          <w:rFonts w:ascii="Times New Roman" w:hAnsi="Times New Roman"/>
          <w:u w:val="single"/>
        </w:rPr>
        <w:t>all</w:t>
      </w:r>
      <w:r w:rsidR="00A065D6" w:rsidRPr="000103CB">
        <w:rPr>
          <w:rFonts w:ascii="Times New Roman" w:hAnsi="Times New Roman"/>
        </w:rPr>
        <w:t xml:space="preserve"> PSE’s costs </w:t>
      </w:r>
      <w:r w:rsidR="00825A0C">
        <w:rPr>
          <w:rFonts w:ascii="Times New Roman" w:hAnsi="Times New Roman"/>
        </w:rPr>
        <w:t xml:space="preserve">to </w:t>
      </w:r>
      <w:r w:rsidR="00A065D6" w:rsidRPr="000103CB">
        <w:rPr>
          <w:rFonts w:ascii="Times New Roman" w:hAnsi="Times New Roman"/>
        </w:rPr>
        <w:t>construct, maintain and remove the facilities.</w:t>
      </w:r>
      <w:r w:rsidR="00A065D6">
        <w:rPr>
          <w:rStyle w:val="FootnoteReference"/>
          <w:rFonts w:ascii="Times New Roman" w:hAnsi="Times New Roman"/>
        </w:rPr>
        <w:footnoteReference w:id="4"/>
      </w:r>
      <w:r w:rsidR="004214C9">
        <w:rPr>
          <w:rFonts w:ascii="Times New Roman" w:hAnsi="Times New Roman"/>
        </w:rPr>
        <w:t xml:space="preserve"> </w:t>
      </w:r>
      <w:r w:rsidR="00C121FA" w:rsidRPr="000103CB">
        <w:rPr>
          <w:rFonts w:ascii="Times New Roman" w:hAnsi="Times New Roman"/>
        </w:rPr>
        <w:t>Such an agreement</w:t>
      </w:r>
      <w:r w:rsidR="00A065D6" w:rsidRPr="000103CB">
        <w:rPr>
          <w:rFonts w:ascii="Times New Roman" w:hAnsi="Times New Roman"/>
        </w:rPr>
        <w:t xml:space="preserve"> </w:t>
      </w:r>
      <w:r w:rsidR="00C121FA" w:rsidRPr="000103CB">
        <w:rPr>
          <w:rFonts w:ascii="Times New Roman" w:hAnsi="Times New Roman"/>
        </w:rPr>
        <w:t xml:space="preserve">was made necessary because the Maloney Line </w:t>
      </w:r>
      <w:r w:rsidR="006F00FF">
        <w:rPr>
          <w:rFonts w:ascii="Times New Roman" w:hAnsi="Times New Roman"/>
        </w:rPr>
        <w:t>was not economically feasible to build,</w:t>
      </w:r>
      <w:r w:rsidR="00C121FA" w:rsidRPr="000103CB">
        <w:rPr>
          <w:rFonts w:ascii="Times New Roman" w:hAnsi="Times New Roman"/>
        </w:rPr>
        <w:t xml:space="preserve"> and exceeded the limits of PSE’s then-existing line extension tariff.</w:t>
      </w:r>
      <w:r w:rsidR="00C121FA">
        <w:rPr>
          <w:rStyle w:val="FootnoteReference"/>
          <w:rFonts w:ascii="Times New Roman" w:hAnsi="Times New Roman"/>
        </w:rPr>
        <w:footnoteReference w:id="5"/>
      </w:r>
      <w:r w:rsidR="00C121FA" w:rsidRPr="000103CB">
        <w:rPr>
          <w:rFonts w:ascii="Times New Roman" w:hAnsi="Times New Roman"/>
        </w:rPr>
        <w:t xml:space="preserve"> The 1971 agreement was amended and superseded in 1994, wherein GTE and later the Petitioners agreed to pay all costs incurred by PSE to operate, repair and maintain the Maloney Line.</w:t>
      </w:r>
      <w:r w:rsidR="00C121FA">
        <w:rPr>
          <w:rStyle w:val="FootnoteReference"/>
          <w:rFonts w:ascii="Times New Roman" w:hAnsi="Times New Roman"/>
        </w:rPr>
        <w:footnoteReference w:id="6"/>
      </w:r>
      <w:r w:rsidR="004214C9">
        <w:rPr>
          <w:rFonts w:ascii="Times New Roman" w:hAnsi="Times New Roman"/>
        </w:rPr>
        <w:t xml:space="preserve"> </w:t>
      </w:r>
      <w:r w:rsidR="005A2416" w:rsidRPr="000103CB">
        <w:rPr>
          <w:rFonts w:ascii="Times New Roman" w:hAnsi="Times New Roman"/>
        </w:rPr>
        <w:t xml:space="preserve">The </w:t>
      </w:r>
      <w:r w:rsidR="00F908EC" w:rsidRPr="000103CB">
        <w:rPr>
          <w:rFonts w:ascii="Times New Roman" w:hAnsi="Times New Roman"/>
        </w:rPr>
        <w:t xml:space="preserve">Petitioners </w:t>
      </w:r>
      <w:r w:rsidR="00825A0C">
        <w:rPr>
          <w:rFonts w:ascii="Times New Roman" w:hAnsi="Times New Roman"/>
        </w:rPr>
        <w:t xml:space="preserve">now </w:t>
      </w:r>
      <w:r w:rsidR="00F908EC" w:rsidRPr="000103CB">
        <w:rPr>
          <w:rFonts w:ascii="Times New Roman" w:hAnsi="Times New Roman"/>
        </w:rPr>
        <w:t>claim</w:t>
      </w:r>
      <w:r w:rsidR="00F908EC">
        <w:rPr>
          <w:rFonts w:ascii="Times New Roman" w:hAnsi="Times New Roman"/>
        </w:rPr>
        <w:t xml:space="preserve"> </w:t>
      </w:r>
      <w:r w:rsidR="005A2416" w:rsidRPr="000103CB">
        <w:rPr>
          <w:rFonts w:ascii="Times New Roman" w:hAnsi="Times New Roman"/>
        </w:rPr>
        <w:t xml:space="preserve">that PSE </w:t>
      </w:r>
      <w:r w:rsidR="00825A0C">
        <w:rPr>
          <w:rFonts w:ascii="Times New Roman" w:hAnsi="Times New Roman"/>
        </w:rPr>
        <w:t xml:space="preserve">is obligated to </w:t>
      </w:r>
      <w:r w:rsidR="005A2416" w:rsidRPr="000103CB">
        <w:rPr>
          <w:rFonts w:ascii="Times New Roman" w:hAnsi="Times New Roman"/>
        </w:rPr>
        <w:t xml:space="preserve">build </w:t>
      </w:r>
      <w:r w:rsidR="00F069F0" w:rsidRPr="000103CB">
        <w:rPr>
          <w:rFonts w:ascii="Times New Roman" w:hAnsi="Times New Roman"/>
        </w:rPr>
        <w:t xml:space="preserve">them </w:t>
      </w:r>
      <w:r w:rsidR="005A2416" w:rsidRPr="000103CB">
        <w:rPr>
          <w:rFonts w:ascii="Times New Roman" w:hAnsi="Times New Roman"/>
        </w:rPr>
        <w:t xml:space="preserve">a new </w:t>
      </w:r>
      <w:r w:rsidR="00F069F0" w:rsidRPr="000103CB">
        <w:rPr>
          <w:rFonts w:ascii="Times New Roman" w:hAnsi="Times New Roman"/>
        </w:rPr>
        <w:t xml:space="preserve">line, </w:t>
      </w:r>
      <w:r w:rsidR="005A2416" w:rsidRPr="000103CB">
        <w:rPr>
          <w:rFonts w:ascii="Times New Roman" w:hAnsi="Times New Roman"/>
        </w:rPr>
        <w:t xml:space="preserve">and </w:t>
      </w:r>
      <w:r w:rsidR="00F069F0" w:rsidRPr="000103CB">
        <w:rPr>
          <w:rFonts w:ascii="Times New Roman" w:hAnsi="Times New Roman"/>
        </w:rPr>
        <w:t>ask</w:t>
      </w:r>
      <w:r w:rsidR="00825A0C">
        <w:rPr>
          <w:rFonts w:ascii="Times New Roman" w:hAnsi="Times New Roman"/>
        </w:rPr>
        <w:t xml:space="preserve">s </w:t>
      </w:r>
      <w:r w:rsidR="00F069F0" w:rsidRPr="000103CB">
        <w:rPr>
          <w:rFonts w:ascii="Times New Roman" w:hAnsi="Times New Roman"/>
        </w:rPr>
        <w:t xml:space="preserve">the Commission to </w:t>
      </w:r>
      <w:r w:rsidR="005A2416" w:rsidRPr="000103CB">
        <w:rPr>
          <w:rFonts w:ascii="Times New Roman" w:hAnsi="Times New Roman"/>
        </w:rPr>
        <w:t>foist th</w:t>
      </w:r>
      <w:r w:rsidR="00F069F0" w:rsidRPr="000103CB">
        <w:rPr>
          <w:rFonts w:ascii="Times New Roman" w:hAnsi="Times New Roman"/>
        </w:rPr>
        <w:t xml:space="preserve">e </w:t>
      </w:r>
      <w:r w:rsidR="00825A0C">
        <w:rPr>
          <w:rFonts w:ascii="Times New Roman" w:hAnsi="Times New Roman"/>
        </w:rPr>
        <w:t xml:space="preserve">line’s high </w:t>
      </w:r>
      <w:r w:rsidR="005A2416" w:rsidRPr="000103CB">
        <w:rPr>
          <w:rFonts w:ascii="Times New Roman" w:hAnsi="Times New Roman"/>
        </w:rPr>
        <w:t xml:space="preserve">costs onto </w:t>
      </w:r>
      <w:r w:rsidR="00F069F0" w:rsidRPr="000103CB">
        <w:rPr>
          <w:rFonts w:ascii="Times New Roman" w:hAnsi="Times New Roman"/>
        </w:rPr>
        <w:t xml:space="preserve">other </w:t>
      </w:r>
      <w:r w:rsidR="005A2416" w:rsidRPr="000103CB">
        <w:rPr>
          <w:rFonts w:ascii="Times New Roman" w:hAnsi="Times New Roman"/>
        </w:rPr>
        <w:t>customers</w:t>
      </w:r>
      <w:r w:rsidR="00F069F0" w:rsidRPr="000103CB">
        <w:rPr>
          <w:rFonts w:ascii="Times New Roman" w:hAnsi="Times New Roman"/>
        </w:rPr>
        <w:t xml:space="preserve"> - namely those that take service under PSE’s </w:t>
      </w:r>
      <w:r w:rsidR="005A2416" w:rsidRPr="000103CB">
        <w:rPr>
          <w:rFonts w:ascii="Times New Roman" w:hAnsi="Times New Roman"/>
        </w:rPr>
        <w:t>Schedule 24</w:t>
      </w:r>
      <w:r w:rsidR="00F069F0" w:rsidRPr="000103CB">
        <w:rPr>
          <w:rFonts w:ascii="Times New Roman" w:hAnsi="Times New Roman"/>
        </w:rPr>
        <w:t>.</w:t>
      </w:r>
      <w:r w:rsidR="00F069F0">
        <w:rPr>
          <w:rStyle w:val="FootnoteReference"/>
          <w:rFonts w:ascii="Times New Roman" w:hAnsi="Times New Roman"/>
        </w:rPr>
        <w:footnoteReference w:id="7"/>
      </w:r>
      <w:r w:rsidR="00F069F0" w:rsidRPr="000103CB">
        <w:rPr>
          <w:rFonts w:ascii="Times New Roman" w:hAnsi="Times New Roman"/>
        </w:rPr>
        <w:t xml:space="preserve"> </w:t>
      </w:r>
      <w:r w:rsidR="005A2416" w:rsidRPr="000103CB">
        <w:rPr>
          <w:rFonts w:ascii="Times New Roman" w:hAnsi="Times New Roman"/>
        </w:rPr>
        <w:t xml:space="preserve"> </w:t>
      </w:r>
    </w:p>
    <w:p w14:paraId="3A639EA6" w14:textId="40C214F4" w:rsidR="008F78FA" w:rsidRDefault="000103CB" w:rsidP="004214C9">
      <w:pPr>
        <w:pStyle w:val="Body1"/>
        <w:numPr>
          <w:ilvl w:val="0"/>
          <w:numId w:val="9"/>
        </w:numPr>
        <w:spacing w:line="480" w:lineRule="auto"/>
        <w:rPr>
          <w:rFonts w:ascii="Times New Roman" w:hAnsi="Times New Roman"/>
        </w:rPr>
      </w:pPr>
      <w:r>
        <w:rPr>
          <w:rFonts w:ascii="Times New Roman" w:hAnsi="Times New Roman"/>
        </w:rPr>
        <w:tab/>
      </w:r>
      <w:r w:rsidR="00B07F6B">
        <w:rPr>
          <w:rFonts w:ascii="Times New Roman" w:hAnsi="Times New Roman"/>
        </w:rPr>
        <w:t>T</w:t>
      </w:r>
      <w:r w:rsidR="009965E0" w:rsidRPr="00B07F6B">
        <w:rPr>
          <w:rFonts w:ascii="Times New Roman" w:hAnsi="Times New Roman"/>
        </w:rPr>
        <w:t xml:space="preserve">he </w:t>
      </w:r>
      <w:r w:rsidR="00825A0C" w:rsidRPr="00B07F6B">
        <w:rPr>
          <w:rFonts w:ascii="Times New Roman" w:hAnsi="Times New Roman"/>
        </w:rPr>
        <w:t>Maloney Line</w:t>
      </w:r>
      <w:r w:rsidR="00825A0C">
        <w:rPr>
          <w:rFonts w:ascii="Times New Roman" w:hAnsi="Times New Roman"/>
        </w:rPr>
        <w:t>’s</w:t>
      </w:r>
      <w:r w:rsidR="00825A0C" w:rsidRPr="00B07F6B">
        <w:rPr>
          <w:rFonts w:ascii="Times New Roman" w:hAnsi="Times New Roman"/>
        </w:rPr>
        <w:t xml:space="preserve"> </w:t>
      </w:r>
      <w:r w:rsidR="009965E0" w:rsidRPr="00B07F6B">
        <w:rPr>
          <w:rFonts w:ascii="Times New Roman" w:hAnsi="Times New Roman"/>
        </w:rPr>
        <w:t xml:space="preserve">replacement would be an expensive and difficult </w:t>
      </w:r>
      <w:r w:rsidR="00825A0C">
        <w:rPr>
          <w:rFonts w:ascii="Times New Roman" w:hAnsi="Times New Roman"/>
        </w:rPr>
        <w:t xml:space="preserve">project to build. </w:t>
      </w:r>
      <w:r w:rsidR="009965E0" w:rsidRPr="00B07F6B">
        <w:rPr>
          <w:rFonts w:ascii="Times New Roman" w:hAnsi="Times New Roman"/>
        </w:rPr>
        <w:t xml:space="preserve">PSE estimates the replacement costs to be $5.3 million dollars. </w:t>
      </w:r>
      <w:r w:rsidR="006F00FF">
        <w:rPr>
          <w:rFonts w:ascii="Times New Roman" w:hAnsi="Times New Roman"/>
        </w:rPr>
        <w:t xml:space="preserve">Under the Petitioners’ </w:t>
      </w:r>
      <w:r w:rsidR="00A85131">
        <w:rPr>
          <w:rFonts w:ascii="Times New Roman" w:hAnsi="Times New Roman"/>
        </w:rPr>
        <w:t xml:space="preserve">preferred outcome, they would </w:t>
      </w:r>
      <w:r w:rsidR="006F00FF">
        <w:rPr>
          <w:rFonts w:ascii="Times New Roman" w:hAnsi="Times New Roman"/>
        </w:rPr>
        <w:t xml:space="preserve">avoid </w:t>
      </w:r>
      <w:r w:rsidR="00A85131">
        <w:rPr>
          <w:rFonts w:ascii="Times New Roman" w:hAnsi="Times New Roman"/>
        </w:rPr>
        <w:t>the vast majority of the new line’s costs.</w:t>
      </w:r>
      <w:r w:rsidR="006F00FF">
        <w:rPr>
          <w:rFonts w:ascii="Times New Roman" w:hAnsi="Times New Roman"/>
        </w:rPr>
        <w:t xml:space="preserve"> </w:t>
      </w:r>
      <w:r w:rsidR="00B07F6B">
        <w:rPr>
          <w:rFonts w:ascii="Times New Roman" w:hAnsi="Times New Roman"/>
        </w:rPr>
        <w:t xml:space="preserve">Staff’s unrebutted evidence </w:t>
      </w:r>
      <w:r w:rsidR="00A85131">
        <w:rPr>
          <w:rFonts w:ascii="Times New Roman" w:hAnsi="Times New Roman"/>
        </w:rPr>
        <w:t>showed</w:t>
      </w:r>
      <w:r w:rsidR="00B07F6B">
        <w:rPr>
          <w:rFonts w:ascii="Times New Roman" w:hAnsi="Times New Roman"/>
        </w:rPr>
        <w:t xml:space="preserve"> that </w:t>
      </w:r>
      <w:r w:rsidR="009965E0" w:rsidRPr="00B07F6B">
        <w:rPr>
          <w:rFonts w:ascii="Times New Roman" w:hAnsi="Times New Roman"/>
        </w:rPr>
        <w:t>the</w:t>
      </w:r>
      <w:r w:rsidR="00B07F6B">
        <w:rPr>
          <w:rFonts w:ascii="Times New Roman" w:hAnsi="Times New Roman"/>
        </w:rPr>
        <w:t xml:space="preserve"> Petitioners</w:t>
      </w:r>
      <w:r w:rsidR="00F908EC">
        <w:rPr>
          <w:rFonts w:ascii="Times New Roman" w:hAnsi="Times New Roman"/>
        </w:rPr>
        <w:t>’</w:t>
      </w:r>
      <w:r w:rsidR="00B07F6B">
        <w:rPr>
          <w:rFonts w:ascii="Times New Roman" w:hAnsi="Times New Roman"/>
        </w:rPr>
        <w:t xml:space="preserve"> forecasted usage </w:t>
      </w:r>
      <w:r w:rsidR="00F908EC">
        <w:rPr>
          <w:rFonts w:ascii="Times New Roman" w:hAnsi="Times New Roman"/>
        </w:rPr>
        <w:t xml:space="preserve">of the line </w:t>
      </w:r>
      <w:r w:rsidR="00B07F6B">
        <w:rPr>
          <w:rFonts w:ascii="Times New Roman" w:hAnsi="Times New Roman"/>
        </w:rPr>
        <w:t xml:space="preserve">would generate </w:t>
      </w:r>
      <w:r w:rsidR="00B07F6B" w:rsidRPr="00B07F6B">
        <w:rPr>
          <w:rFonts w:ascii="Times New Roman" w:hAnsi="Times New Roman"/>
          <w:i/>
        </w:rPr>
        <w:t>less than 5% of the revenue</w:t>
      </w:r>
      <w:r w:rsidR="00B07F6B">
        <w:rPr>
          <w:rFonts w:ascii="Times New Roman" w:hAnsi="Times New Roman"/>
        </w:rPr>
        <w:t xml:space="preserve"> needed to pay for the Maloney Line’s costs and return on investment over its projected life.</w:t>
      </w:r>
      <w:r w:rsidR="00B07F6B">
        <w:rPr>
          <w:rStyle w:val="FootnoteReference"/>
          <w:rFonts w:ascii="Times New Roman" w:hAnsi="Times New Roman"/>
        </w:rPr>
        <w:footnoteReference w:id="8"/>
      </w:r>
      <w:r w:rsidR="00B07F6B">
        <w:rPr>
          <w:rFonts w:ascii="Times New Roman" w:hAnsi="Times New Roman"/>
        </w:rPr>
        <w:t xml:space="preserve"> </w:t>
      </w:r>
      <w:r w:rsidR="00270CFF">
        <w:rPr>
          <w:rFonts w:ascii="Times New Roman" w:hAnsi="Times New Roman"/>
        </w:rPr>
        <w:t xml:space="preserve"> </w:t>
      </w:r>
      <w:r>
        <w:rPr>
          <w:rFonts w:ascii="Times New Roman" w:hAnsi="Times New Roman"/>
        </w:rPr>
        <w:t xml:space="preserve">Informed by </w:t>
      </w:r>
      <w:r w:rsidR="004B4F32">
        <w:rPr>
          <w:rFonts w:ascii="Times New Roman" w:hAnsi="Times New Roman"/>
        </w:rPr>
        <w:t xml:space="preserve">Mr. Ball’s </w:t>
      </w:r>
      <w:r>
        <w:rPr>
          <w:rFonts w:ascii="Times New Roman" w:hAnsi="Times New Roman"/>
        </w:rPr>
        <w:t xml:space="preserve">cost analysis and a fair reading of PSE’s applicable tariffs, Staff concluded that the Petitioners </w:t>
      </w:r>
      <w:r w:rsidR="00F908EC">
        <w:rPr>
          <w:rFonts w:ascii="Times New Roman" w:hAnsi="Times New Roman"/>
        </w:rPr>
        <w:t xml:space="preserve">alone </w:t>
      </w:r>
      <w:r>
        <w:rPr>
          <w:rFonts w:ascii="Times New Roman" w:hAnsi="Times New Roman"/>
        </w:rPr>
        <w:t xml:space="preserve">should pay for replacement of the Maloney Line. </w:t>
      </w:r>
    </w:p>
    <w:p w14:paraId="12BDA1E7" w14:textId="30107535" w:rsidR="005A2416" w:rsidRPr="00B07F6B" w:rsidRDefault="008F78FA" w:rsidP="004214C9">
      <w:pPr>
        <w:pStyle w:val="Body1"/>
        <w:numPr>
          <w:ilvl w:val="0"/>
          <w:numId w:val="9"/>
        </w:numPr>
        <w:spacing w:line="480" w:lineRule="auto"/>
        <w:rPr>
          <w:rFonts w:ascii="Times New Roman" w:hAnsi="Times New Roman"/>
        </w:rPr>
      </w:pPr>
      <w:r>
        <w:rPr>
          <w:rFonts w:ascii="Times New Roman" w:hAnsi="Times New Roman"/>
        </w:rPr>
        <w:tab/>
        <w:t>In sum, t</w:t>
      </w:r>
      <w:r w:rsidR="004B4F32">
        <w:rPr>
          <w:rFonts w:ascii="Times New Roman" w:hAnsi="Times New Roman"/>
        </w:rPr>
        <w:t xml:space="preserve">he </w:t>
      </w:r>
      <w:r w:rsidR="004B4F32" w:rsidRPr="00257244">
        <w:rPr>
          <w:rFonts w:ascii="Times New Roman" w:hAnsi="Times New Roman"/>
        </w:rPr>
        <w:t>Initial Order</w:t>
      </w:r>
      <w:r w:rsidR="004B4F32">
        <w:rPr>
          <w:rFonts w:ascii="Times New Roman" w:hAnsi="Times New Roman"/>
        </w:rPr>
        <w:t xml:space="preserve"> </w:t>
      </w:r>
      <w:r w:rsidR="001B503E">
        <w:rPr>
          <w:rFonts w:ascii="Times New Roman" w:hAnsi="Times New Roman"/>
        </w:rPr>
        <w:t xml:space="preserve">largely supports Staff’s advocated </w:t>
      </w:r>
      <w:r>
        <w:rPr>
          <w:rFonts w:ascii="Times New Roman" w:hAnsi="Times New Roman"/>
        </w:rPr>
        <w:t>position</w:t>
      </w:r>
      <w:r w:rsidR="001B503E">
        <w:rPr>
          <w:rFonts w:ascii="Times New Roman" w:hAnsi="Times New Roman"/>
        </w:rPr>
        <w:t xml:space="preserve">, relying </w:t>
      </w:r>
      <w:r w:rsidR="004B4F32">
        <w:rPr>
          <w:rFonts w:ascii="Times New Roman" w:hAnsi="Times New Roman"/>
        </w:rPr>
        <w:t>in part on Staff’s cost analysis</w:t>
      </w:r>
      <w:r w:rsidR="001B503E">
        <w:rPr>
          <w:rFonts w:ascii="Times New Roman" w:hAnsi="Times New Roman"/>
        </w:rPr>
        <w:t xml:space="preserve">.  </w:t>
      </w:r>
      <w:r>
        <w:rPr>
          <w:rFonts w:ascii="Times New Roman" w:hAnsi="Times New Roman"/>
        </w:rPr>
        <w:t xml:space="preserve">Staff believes Judge Kopta’s decision is </w:t>
      </w:r>
      <w:r w:rsidR="004B4F32">
        <w:rPr>
          <w:rFonts w:ascii="Times New Roman" w:hAnsi="Times New Roman"/>
        </w:rPr>
        <w:t>reasonable</w:t>
      </w:r>
      <w:r>
        <w:rPr>
          <w:rFonts w:ascii="Times New Roman" w:hAnsi="Times New Roman"/>
        </w:rPr>
        <w:t xml:space="preserve"> and results in an </w:t>
      </w:r>
      <w:r w:rsidR="004B4F32">
        <w:rPr>
          <w:rFonts w:ascii="Times New Roman" w:hAnsi="Times New Roman"/>
        </w:rPr>
        <w:t>outcome that is fair to the Petitioners</w:t>
      </w:r>
      <w:r w:rsidR="00443E31">
        <w:rPr>
          <w:rFonts w:ascii="Times New Roman" w:hAnsi="Times New Roman"/>
        </w:rPr>
        <w:t>, PSE,</w:t>
      </w:r>
      <w:r w:rsidR="004B4F32">
        <w:rPr>
          <w:rFonts w:ascii="Times New Roman" w:hAnsi="Times New Roman"/>
        </w:rPr>
        <w:t xml:space="preserve"> and</w:t>
      </w:r>
      <w:r>
        <w:rPr>
          <w:rFonts w:ascii="Times New Roman" w:hAnsi="Times New Roman"/>
        </w:rPr>
        <w:t xml:space="preserve"> the customers of Schedule 24.  </w:t>
      </w:r>
    </w:p>
    <w:p w14:paraId="19D1099D" w14:textId="447AB19E" w:rsidR="00F908EC" w:rsidRDefault="00F908EC" w:rsidP="00F908EC">
      <w:pPr>
        <w:pStyle w:val="Body1"/>
        <w:spacing w:line="480" w:lineRule="auto"/>
        <w:jc w:val="center"/>
        <w:rPr>
          <w:rFonts w:ascii="Times New Roman" w:hAnsi="Times New Roman"/>
          <w:b/>
        </w:rPr>
      </w:pPr>
      <w:r w:rsidRPr="00F908EC">
        <w:rPr>
          <w:rFonts w:ascii="Times New Roman" w:hAnsi="Times New Roman"/>
          <w:b/>
        </w:rPr>
        <w:t>III.</w:t>
      </w:r>
      <w:r w:rsidRPr="00F908EC">
        <w:rPr>
          <w:rFonts w:ascii="Times New Roman" w:hAnsi="Times New Roman"/>
          <w:b/>
        </w:rPr>
        <w:tab/>
        <w:t>PSE’s APPLICABLE TARIFFS</w:t>
      </w:r>
    </w:p>
    <w:p w14:paraId="47FABA08" w14:textId="60AC9894" w:rsidR="00FD003E" w:rsidRPr="00FD003E" w:rsidRDefault="00FD003E" w:rsidP="00DE3382">
      <w:pPr>
        <w:pStyle w:val="Body1"/>
        <w:spacing w:line="480" w:lineRule="auto"/>
        <w:rPr>
          <w:rFonts w:ascii="Times New Roman" w:hAnsi="Times New Roman"/>
          <w:b/>
        </w:rPr>
      </w:pPr>
      <w:r w:rsidRPr="00FD003E">
        <w:rPr>
          <w:rFonts w:ascii="Times New Roman" w:hAnsi="Times New Roman"/>
          <w:b/>
        </w:rPr>
        <w:t>A.</w:t>
      </w:r>
      <w:r w:rsidRPr="00FD003E">
        <w:rPr>
          <w:rFonts w:ascii="Times New Roman" w:hAnsi="Times New Roman"/>
          <w:b/>
        </w:rPr>
        <w:tab/>
        <w:t>The Petitioners Challenge to the Initial Order</w:t>
      </w:r>
    </w:p>
    <w:p w14:paraId="4AC0099A" w14:textId="2B897442" w:rsidR="00F37078" w:rsidRDefault="00FD003E" w:rsidP="004214C9">
      <w:pPr>
        <w:pStyle w:val="Body1"/>
        <w:numPr>
          <w:ilvl w:val="0"/>
          <w:numId w:val="9"/>
        </w:numPr>
        <w:spacing w:line="480" w:lineRule="auto"/>
        <w:rPr>
          <w:rFonts w:ascii="Times New Roman" w:hAnsi="Times New Roman"/>
        </w:rPr>
      </w:pPr>
      <w:r w:rsidRPr="00C20E13">
        <w:rPr>
          <w:rFonts w:ascii="Times New Roman" w:hAnsi="Times New Roman"/>
        </w:rPr>
        <w:tab/>
      </w:r>
      <w:r w:rsidR="00085D94" w:rsidRPr="00C20E13">
        <w:rPr>
          <w:rFonts w:ascii="Times New Roman" w:hAnsi="Times New Roman"/>
        </w:rPr>
        <w:t xml:space="preserve">The Petitioners </w:t>
      </w:r>
      <w:r w:rsidR="008F78FA" w:rsidRPr="00C20E13">
        <w:rPr>
          <w:rFonts w:ascii="Times New Roman" w:hAnsi="Times New Roman"/>
        </w:rPr>
        <w:t xml:space="preserve">first </w:t>
      </w:r>
      <w:r w:rsidR="00085D94" w:rsidRPr="00C20E13">
        <w:rPr>
          <w:rFonts w:ascii="Times New Roman" w:hAnsi="Times New Roman"/>
        </w:rPr>
        <w:t xml:space="preserve">argue that Judge Kopta erred by </w:t>
      </w:r>
      <w:r w:rsidR="007D6D31">
        <w:rPr>
          <w:rFonts w:ascii="Times New Roman" w:hAnsi="Times New Roman"/>
        </w:rPr>
        <w:t xml:space="preserve">finding </w:t>
      </w:r>
      <w:r w:rsidR="00085D94" w:rsidRPr="00C20E13">
        <w:rPr>
          <w:rFonts w:ascii="Times New Roman" w:hAnsi="Times New Roman"/>
        </w:rPr>
        <w:t>that the exclusive service line used to supply electricity to the Petitioners’ facilities on Maloney Ridge was not part of PSE’s distribution system</w:t>
      </w:r>
      <w:r w:rsidR="00085D94" w:rsidRPr="00DB7C46">
        <w:rPr>
          <w:rFonts w:ascii="Times New Roman" w:hAnsi="Times New Roman"/>
        </w:rPr>
        <w:t>.</w:t>
      </w:r>
      <w:r w:rsidR="00443E31" w:rsidRPr="00C20E13">
        <w:rPr>
          <w:rStyle w:val="FootnoteReference"/>
          <w:rFonts w:ascii="Times New Roman" w:hAnsi="Times New Roman"/>
        </w:rPr>
        <w:footnoteReference w:id="9"/>
      </w:r>
      <w:r w:rsidR="00085D94" w:rsidRPr="00C20E13">
        <w:rPr>
          <w:rFonts w:ascii="Times New Roman" w:hAnsi="Times New Roman"/>
        </w:rPr>
        <w:t xml:space="preserve"> </w:t>
      </w:r>
      <w:r w:rsidR="00915787" w:rsidRPr="00C20E13">
        <w:rPr>
          <w:rFonts w:ascii="Times New Roman" w:hAnsi="Times New Roman"/>
        </w:rPr>
        <w:t>Staff</w:t>
      </w:r>
      <w:r w:rsidR="00915787">
        <w:rPr>
          <w:rFonts w:ascii="Times New Roman" w:hAnsi="Times New Roman"/>
        </w:rPr>
        <w:t xml:space="preserve">’s </w:t>
      </w:r>
      <w:r w:rsidR="00915787" w:rsidRPr="00C20E13">
        <w:rPr>
          <w:rFonts w:ascii="Times New Roman" w:hAnsi="Times New Roman"/>
        </w:rPr>
        <w:t>response</w:t>
      </w:r>
      <w:r w:rsidR="00CD3742" w:rsidRPr="00C20E13">
        <w:rPr>
          <w:rFonts w:ascii="Times New Roman" w:hAnsi="Times New Roman"/>
        </w:rPr>
        <w:t xml:space="preserve"> here does not a</w:t>
      </w:r>
      <w:r w:rsidR="008F78FA" w:rsidRPr="00C20E13">
        <w:rPr>
          <w:rFonts w:ascii="Times New Roman" w:hAnsi="Times New Roman"/>
        </w:rPr>
        <w:t xml:space="preserve">ddress Judge Kopta’s decision as to the </w:t>
      </w:r>
      <w:r w:rsidR="00765ED7">
        <w:rPr>
          <w:rFonts w:ascii="Times New Roman" w:hAnsi="Times New Roman"/>
        </w:rPr>
        <w:t>character</w:t>
      </w:r>
      <w:r w:rsidR="008F78FA" w:rsidRPr="00C20E13">
        <w:rPr>
          <w:rFonts w:ascii="Times New Roman" w:hAnsi="Times New Roman"/>
        </w:rPr>
        <w:t xml:space="preserve"> of the Maloney Line</w:t>
      </w:r>
      <w:r w:rsidR="00CD3742" w:rsidRPr="00C20E13">
        <w:rPr>
          <w:rFonts w:ascii="Times New Roman" w:hAnsi="Times New Roman"/>
        </w:rPr>
        <w:t xml:space="preserve">. While </w:t>
      </w:r>
      <w:r w:rsidR="00915787">
        <w:rPr>
          <w:rFonts w:ascii="Times New Roman" w:hAnsi="Times New Roman"/>
        </w:rPr>
        <w:t xml:space="preserve">the character of the line is </w:t>
      </w:r>
      <w:r w:rsidR="00CD3742" w:rsidRPr="00C20E13">
        <w:rPr>
          <w:rFonts w:ascii="Times New Roman" w:hAnsi="Times New Roman"/>
        </w:rPr>
        <w:t xml:space="preserve">material, the dispositive question is whether or not Schedule 85 demands that PSE replace the Maloney Line at its cost. </w:t>
      </w:r>
      <w:r w:rsidR="00915787">
        <w:rPr>
          <w:rFonts w:ascii="Times New Roman" w:hAnsi="Times New Roman"/>
        </w:rPr>
        <w:t>To carry the burden of persuasion on this issue, the Petitioners must demonstrate that the</w:t>
      </w:r>
      <w:r w:rsidR="00915787" w:rsidRPr="00C20E13">
        <w:rPr>
          <w:rFonts w:ascii="Times New Roman" w:hAnsi="Times New Roman"/>
        </w:rPr>
        <w:t xml:space="preserve"> </w:t>
      </w:r>
      <w:r w:rsidR="00915787">
        <w:rPr>
          <w:rFonts w:ascii="Times New Roman" w:hAnsi="Times New Roman"/>
        </w:rPr>
        <w:t xml:space="preserve">terms and provisions of </w:t>
      </w:r>
      <w:r w:rsidR="00915787" w:rsidRPr="00C20E13">
        <w:rPr>
          <w:rFonts w:ascii="Times New Roman" w:hAnsi="Times New Roman"/>
        </w:rPr>
        <w:t xml:space="preserve">Schedule 85 </w:t>
      </w:r>
      <w:r w:rsidR="00915787">
        <w:rPr>
          <w:rFonts w:ascii="Times New Roman" w:hAnsi="Times New Roman"/>
        </w:rPr>
        <w:t xml:space="preserve">both apply to the Maloney Line’s unique circumstances and unequivocally require PSE to build a new line for them. On these issues, Judge Kopta’s order concluded that the Petitioners failed to </w:t>
      </w:r>
      <w:r w:rsidR="00CF2E4C">
        <w:rPr>
          <w:rFonts w:ascii="Times New Roman" w:hAnsi="Times New Roman"/>
        </w:rPr>
        <w:t xml:space="preserve">carry this </w:t>
      </w:r>
      <w:r w:rsidR="00D52F52">
        <w:rPr>
          <w:rFonts w:ascii="Times New Roman" w:hAnsi="Times New Roman"/>
        </w:rPr>
        <w:t>burden</w:t>
      </w:r>
      <w:r w:rsidR="00CF2E4C">
        <w:rPr>
          <w:rFonts w:ascii="Times New Roman" w:hAnsi="Times New Roman"/>
        </w:rPr>
        <w:t>.</w:t>
      </w:r>
      <w:r w:rsidR="00D52F52">
        <w:rPr>
          <w:rFonts w:ascii="Times New Roman" w:hAnsi="Times New Roman"/>
        </w:rPr>
        <w:t xml:space="preserve"> Although Staff’s reasoning on these questions may differ from Judge Kopta’s, Staff agrees with the result dictated by Order 03, and explains why below. </w:t>
      </w:r>
    </w:p>
    <w:p w14:paraId="7E9BED87" w14:textId="1893F174" w:rsidR="004F7B69" w:rsidRPr="004F7B69" w:rsidRDefault="00D52F52" w:rsidP="004214C9">
      <w:pPr>
        <w:pStyle w:val="Body1"/>
        <w:ind w:left="720" w:hanging="720"/>
        <w:rPr>
          <w:rFonts w:ascii="Times New Roman" w:hAnsi="Times New Roman"/>
          <w:b/>
        </w:rPr>
      </w:pPr>
      <w:r>
        <w:rPr>
          <w:rFonts w:ascii="Times New Roman" w:hAnsi="Times New Roman"/>
          <w:b/>
        </w:rPr>
        <w:t>B</w:t>
      </w:r>
      <w:r w:rsidR="004214C9">
        <w:rPr>
          <w:rFonts w:ascii="Times New Roman" w:hAnsi="Times New Roman"/>
          <w:b/>
        </w:rPr>
        <w:t>.</w:t>
      </w:r>
      <w:r w:rsidR="004214C9">
        <w:rPr>
          <w:rFonts w:ascii="Times New Roman" w:hAnsi="Times New Roman"/>
          <w:b/>
        </w:rPr>
        <w:tab/>
      </w:r>
      <w:r w:rsidR="0096029B">
        <w:rPr>
          <w:rFonts w:ascii="Times New Roman" w:hAnsi="Times New Roman"/>
          <w:b/>
        </w:rPr>
        <w:t xml:space="preserve">The </w:t>
      </w:r>
      <w:r>
        <w:rPr>
          <w:rFonts w:ascii="Times New Roman" w:hAnsi="Times New Roman"/>
          <w:b/>
        </w:rPr>
        <w:t>Petitioners Reliance on Schedule 8</w:t>
      </w:r>
      <w:r w:rsidR="004214C9">
        <w:rPr>
          <w:rFonts w:ascii="Times New Roman" w:hAnsi="Times New Roman"/>
          <w:b/>
        </w:rPr>
        <w:t xml:space="preserve">5 Was Demonstrated by Order 03 </w:t>
      </w:r>
      <w:r>
        <w:rPr>
          <w:rFonts w:ascii="Times New Roman" w:hAnsi="Times New Roman"/>
          <w:b/>
        </w:rPr>
        <w:t xml:space="preserve">to be Misplaced </w:t>
      </w:r>
    </w:p>
    <w:p w14:paraId="1AA4E822" w14:textId="75B68FD8" w:rsidR="00765ED7" w:rsidRPr="004F7B69" w:rsidRDefault="00765ED7" w:rsidP="00765ED7">
      <w:pPr>
        <w:pStyle w:val="ListParagraph"/>
        <w:rPr>
          <w:b/>
        </w:rPr>
      </w:pPr>
    </w:p>
    <w:p w14:paraId="637A93A8" w14:textId="75516A2D" w:rsidR="00F96145" w:rsidRDefault="004F7B69" w:rsidP="004214C9">
      <w:pPr>
        <w:pStyle w:val="Body1"/>
        <w:numPr>
          <w:ilvl w:val="0"/>
          <w:numId w:val="9"/>
        </w:numPr>
        <w:spacing w:line="480" w:lineRule="auto"/>
        <w:rPr>
          <w:rFonts w:ascii="Times New Roman" w:hAnsi="Times New Roman"/>
        </w:rPr>
      </w:pPr>
      <w:r>
        <w:rPr>
          <w:rFonts w:ascii="Times New Roman" w:hAnsi="Times New Roman"/>
        </w:rPr>
        <w:tab/>
      </w:r>
      <w:r w:rsidR="00443E31">
        <w:rPr>
          <w:rFonts w:ascii="Times New Roman" w:hAnsi="Times New Roman"/>
        </w:rPr>
        <w:t>The Petitioners core legal theory turn</w:t>
      </w:r>
      <w:r w:rsidR="00D52F52">
        <w:rPr>
          <w:rFonts w:ascii="Times New Roman" w:hAnsi="Times New Roman"/>
        </w:rPr>
        <w:t xml:space="preserve">s </w:t>
      </w:r>
      <w:r w:rsidR="00443E31">
        <w:rPr>
          <w:rFonts w:ascii="Times New Roman" w:hAnsi="Times New Roman"/>
        </w:rPr>
        <w:t>on their interpretation PSE’s Schedule 85</w:t>
      </w:r>
      <w:r w:rsidR="00D52F52">
        <w:rPr>
          <w:rFonts w:ascii="Times New Roman" w:hAnsi="Times New Roman"/>
        </w:rPr>
        <w:t xml:space="preserve">. </w:t>
      </w:r>
      <w:r w:rsidR="00765ED7">
        <w:rPr>
          <w:rFonts w:ascii="Times New Roman" w:hAnsi="Times New Roman"/>
        </w:rPr>
        <w:t>Th</w:t>
      </w:r>
      <w:r w:rsidR="00D52F52">
        <w:rPr>
          <w:rFonts w:ascii="Times New Roman" w:hAnsi="Times New Roman"/>
        </w:rPr>
        <w:t xml:space="preserve">ey </w:t>
      </w:r>
      <w:r w:rsidR="00443E31">
        <w:rPr>
          <w:rFonts w:ascii="Times New Roman" w:hAnsi="Times New Roman"/>
        </w:rPr>
        <w:t>argu</w:t>
      </w:r>
      <w:r w:rsidR="00D52F52">
        <w:rPr>
          <w:rFonts w:ascii="Times New Roman" w:hAnsi="Times New Roman"/>
        </w:rPr>
        <w:t xml:space="preserve">e </w:t>
      </w:r>
      <w:r w:rsidR="00443E31">
        <w:rPr>
          <w:rFonts w:ascii="Times New Roman" w:hAnsi="Times New Roman"/>
        </w:rPr>
        <w:t xml:space="preserve">that certain language from subsection 1.A. </w:t>
      </w:r>
      <w:r w:rsidR="00C811B1">
        <w:rPr>
          <w:rFonts w:ascii="Times New Roman" w:hAnsi="Times New Roman"/>
        </w:rPr>
        <w:t>imposes on PSE the obligation to replace the Maloney Line at no cost to the Petitioners.</w:t>
      </w:r>
      <w:r w:rsidR="00C811B1">
        <w:rPr>
          <w:rStyle w:val="FootnoteReference"/>
          <w:rFonts w:ascii="Times New Roman" w:hAnsi="Times New Roman"/>
        </w:rPr>
        <w:footnoteReference w:id="10"/>
      </w:r>
      <w:r w:rsidR="00C811B1">
        <w:rPr>
          <w:rFonts w:ascii="Times New Roman" w:hAnsi="Times New Roman"/>
        </w:rPr>
        <w:t xml:space="preserve"> </w:t>
      </w:r>
      <w:r w:rsidR="004323EF">
        <w:rPr>
          <w:rFonts w:ascii="Times New Roman" w:hAnsi="Times New Roman"/>
        </w:rPr>
        <w:t>At hearing, Staff disagreed with the Petitioners’ interpretation of Schedule 85</w:t>
      </w:r>
      <w:r w:rsidR="00765ED7">
        <w:rPr>
          <w:rFonts w:ascii="Times New Roman" w:hAnsi="Times New Roman"/>
        </w:rPr>
        <w:t>, having</w:t>
      </w:r>
      <w:r w:rsidR="004323EF">
        <w:rPr>
          <w:rFonts w:ascii="Times New Roman" w:hAnsi="Times New Roman"/>
        </w:rPr>
        <w:t xml:space="preserve"> concluded that the tariff imposed no such obligation on the Company. In his order but for a different reason, Judge Kopta came to the same conclusion.  </w:t>
      </w:r>
    </w:p>
    <w:p w14:paraId="77935E7B" w14:textId="301B77A5" w:rsidR="00EE610D" w:rsidRDefault="00F96145" w:rsidP="004214C9">
      <w:pPr>
        <w:pStyle w:val="Body1"/>
        <w:numPr>
          <w:ilvl w:val="0"/>
          <w:numId w:val="9"/>
        </w:numPr>
        <w:spacing w:line="480" w:lineRule="auto"/>
        <w:rPr>
          <w:rFonts w:ascii="Times New Roman" w:hAnsi="Times New Roman"/>
        </w:rPr>
      </w:pPr>
      <w:r>
        <w:rPr>
          <w:rFonts w:ascii="Times New Roman" w:hAnsi="Times New Roman"/>
        </w:rPr>
        <w:tab/>
        <w:t xml:space="preserve">In its testimony and on brief, </w:t>
      </w:r>
      <w:r w:rsidR="00C811B1">
        <w:rPr>
          <w:rFonts w:ascii="Times New Roman" w:hAnsi="Times New Roman"/>
        </w:rPr>
        <w:t xml:space="preserve">Staff </w:t>
      </w:r>
      <w:r>
        <w:rPr>
          <w:rFonts w:ascii="Times New Roman" w:hAnsi="Times New Roman"/>
        </w:rPr>
        <w:t>explained t</w:t>
      </w:r>
      <w:r w:rsidR="00C811B1">
        <w:rPr>
          <w:rFonts w:ascii="Times New Roman" w:hAnsi="Times New Roman"/>
        </w:rPr>
        <w:t>hat Schedule 85 only require</w:t>
      </w:r>
      <w:r>
        <w:rPr>
          <w:rFonts w:ascii="Times New Roman" w:hAnsi="Times New Roman"/>
        </w:rPr>
        <w:t>s</w:t>
      </w:r>
      <w:r w:rsidR="00C811B1">
        <w:rPr>
          <w:rFonts w:ascii="Times New Roman" w:hAnsi="Times New Roman"/>
        </w:rPr>
        <w:t xml:space="preserve"> PSE to replace electric distribution facilities when those facilities had </w:t>
      </w:r>
      <w:r w:rsidR="0042717F">
        <w:rPr>
          <w:rFonts w:ascii="Times New Roman" w:hAnsi="Times New Roman"/>
        </w:rPr>
        <w:t>been “</w:t>
      </w:r>
      <w:r w:rsidR="00C811B1">
        <w:rPr>
          <w:rFonts w:ascii="Times New Roman" w:hAnsi="Times New Roman"/>
        </w:rPr>
        <w:t xml:space="preserve">installed by … the Company </w:t>
      </w:r>
      <w:r w:rsidR="00C811B1" w:rsidRPr="0042717F">
        <w:rPr>
          <w:rFonts w:ascii="Times New Roman" w:hAnsi="Times New Roman"/>
          <w:i/>
        </w:rPr>
        <w:t>under</w:t>
      </w:r>
      <w:r w:rsidR="00257244">
        <w:rPr>
          <w:rFonts w:ascii="Times New Roman" w:hAnsi="Times New Roman"/>
        </w:rPr>
        <w:t xml:space="preserve"> this schedule</w:t>
      </w:r>
      <w:r w:rsidR="00C811B1">
        <w:rPr>
          <w:rFonts w:ascii="Times New Roman" w:hAnsi="Times New Roman"/>
        </w:rPr>
        <w:t>.</w:t>
      </w:r>
      <w:r w:rsidR="00257244">
        <w:rPr>
          <w:rFonts w:ascii="Times New Roman" w:hAnsi="Times New Roman"/>
        </w:rPr>
        <w:t>”</w:t>
      </w:r>
      <w:r w:rsidR="00C811B1">
        <w:rPr>
          <w:rStyle w:val="FootnoteReference"/>
          <w:rFonts w:ascii="Times New Roman" w:hAnsi="Times New Roman"/>
        </w:rPr>
        <w:footnoteReference w:id="11"/>
      </w:r>
      <w:r w:rsidR="00C811B1">
        <w:rPr>
          <w:rFonts w:ascii="Times New Roman" w:hAnsi="Times New Roman"/>
        </w:rPr>
        <w:t xml:space="preserve">  </w:t>
      </w:r>
      <w:r w:rsidR="0042717F">
        <w:rPr>
          <w:rFonts w:ascii="Times New Roman" w:hAnsi="Times New Roman"/>
        </w:rPr>
        <w:t xml:space="preserve">As the Maloney Line was not constructed pursuant to </w:t>
      </w:r>
      <w:r w:rsidR="00C811B1">
        <w:rPr>
          <w:rFonts w:ascii="Times New Roman" w:hAnsi="Times New Roman"/>
        </w:rPr>
        <w:t>PSE</w:t>
      </w:r>
      <w:r w:rsidR="0042717F">
        <w:rPr>
          <w:rFonts w:ascii="Times New Roman" w:hAnsi="Times New Roman"/>
        </w:rPr>
        <w:t xml:space="preserve">’s Schedule 85, the Company bears no obligation to </w:t>
      </w:r>
      <w:r w:rsidR="00C811B1">
        <w:rPr>
          <w:rFonts w:ascii="Times New Roman" w:hAnsi="Times New Roman"/>
        </w:rPr>
        <w:t>replace</w:t>
      </w:r>
      <w:r w:rsidR="0042717F">
        <w:rPr>
          <w:rFonts w:ascii="Times New Roman" w:hAnsi="Times New Roman"/>
        </w:rPr>
        <w:t xml:space="preserve"> it.</w:t>
      </w:r>
      <w:r w:rsidR="00C1168C">
        <w:rPr>
          <w:rStyle w:val="FootnoteReference"/>
          <w:rFonts w:ascii="Times New Roman" w:hAnsi="Times New Roman"/>
        </w:rPr>
        <w:footnoteReference w:id="12"/>
      </w:r>
      <w:r w:rsidR="0042717F">
        <w:rPr>
          <w:rFonts w:ascii="Times New Roman" w:hAnsi="Times New Roman"/>
        </w:rPr>
        <w:t xml:space="preserve"> </w:t>
      </w:r>
    </w:p>
    <w:p w14:paraId="35A75CF5" w14:textId="00F1647F" w:rsidR="00A8381B" w:rsidRDefault="00026609" w:rsidP="004214C9">
      <w:pPr>
        <w:pStyle w:val="Body1"/>
        <w:numPr>
          <w:ilvl w:val="0"/>
          <w:numId w:val="9"/>
        </w:numPr>
        <w:spacing w:line="480" w:lineRule="auto"/>
        <w:rPr>
          <w:rFonts w:ascii="Times New Roman" w:hAnsi="Times New Roman"/>
        </w:rPr>
      </w:pPr>
      <w:r>
        <w:rPr>
          <w:rFonts w:ascii="Times New Roman" w:hAnsi="Times New Roman"/>
        </w:rPr>
        <w:tab/>
        <w:t xml:space="preserve">Although Judge Kopta did not adopt Staff’s reasoning as to why Schedule 85 </w:t>
      </w:r>
      <w:r w:rsidR="00A1471D">
        <w:rPr>
          <w:rFonts w:ascii="Times New Roman" w:hAnsi="Times New Roman"/>
        </w:rPr>
        <w:t>fails to support</w:t>
      </w:r>
      <w:r>
        <w:rPr>
          <w:rFonts w:ascii="Times New Roman" w:hAnsi="Times New Roman"/>
        </w:rPr>
        <w:t xml:space="preserve"> </w:t>
      </w:r>
      <w:r w:rsidR="00A1471D">
        <w:rPr>
          <w:rFonts w:ascii="Times New Roman" w:hAnsi="Times New Roman"/>
        </w:rPr>
        <w:t>t</w:t>
      </w:r>
      <w:r>
        <w:rPr>
          <w:rFonts w:ascii="Times New Roman" w:hAnsi="Times New Roman"/>
        </w:rPr>
        <w:t>he Petitioners</w:t>
      </w:r>
      <w:r w:rsidR="00A1471D">
        <w:rPr>
          <w:rFonts w:ascii="Times New Roman" w:hAnsi="Times New Roman"/>
        </w:rPr>
        <w:t xml:space="preserve"> claims</w:t>
      </w:r>
      <w:r>
        <w:rPr>
          <w:rFonts w:ascii="Times New Roman" w:hAnsi="Times New Roman"/>
        </w:rPr>
        <w:t xml:space="preserve">, his analysis </w:t>
      </w:r>
      <w:r w:rsidR="00765ED7">
        <w:rPr>
          <w:rFonts w:ascii="Times New Roman" w:hAnsi="Times New Roman"/>
        </w:rPr>
        <w:t>of the schedule</w:t>
      </w:r>
      <w:r>
        <w:rPr>
          <w:rFonts w:ascii="Times New Roman" w:hAnsi="Times New Roman"/>
        </w:rPr>
        <w:t xml:space="preserve"> reached the same conclusion. He reasoned that </w:t>
      </w:r>
      <w:r w:rsidR="00A1471D">
        <w:rPr>
          <w:rFonts w:ascii="Times New Roman" w:hAnsi="Times New Roman"/>
        </w:rPr>
        <w:t xml:space="preserve">subsection </w:t>
      </w:r>
      <w:r w:rsidR="00C1168C">
        <w:rPr>
          <w:rFonts w:ascii="Times New Roman" w:hAnsi="Times New Roman"/>
        </w:rPr>
        <w:t>1</w:t>
      </w:r>
      <w:r w:rsidR="00A1471D">
        <w:rPr>
          <w:rFonts w:ascii="Times New Roman" w:hAnsi="Times New Roman"/>
        </w:rPr>
        <w:t xml:space="preserve">.A. of Schedule 85 assigns no payment responsibility to PSE in the circumstances presented here, and </w:t>
      </w:r>
      <w:r w:rsidR="00C1168C">
        <w:rPr>
          <w:rFonts w:ascii="Times New Roman" w:hAnsi="Times New Roman"/>
        </w:rPr>
        <w:t>concluded</w:t>
      </w:r>
      <w:r w:rsidR="00A1471D">
        <w:rPr>
          <w:rFonts w:ascii="Times New Roman" w:hAnsi="Times New Roman"/>
        </w:rPr>
        <w:t xml:space="preserve"> that the tariff’s silence on the obligation to pay should not be interpreted to reflect PSE’s intent to </w:t>
      </w:r>
      <w:r w:rsidR="00765ED7">
        <w:rPr>
          <w:rFonts w:ascii="Times New Roman" w:hAnsi="Times New Roman"/>
        </w:rPr>
        <w:t xml:space="preserve">pay </w:t>
      </w:r>
      <w:r w:rsidR="00A1471D">
        <w:rPr>
          <w:rFonts w:ascii="Times New Roman" w:hAnsi="Times New Roman"/>
        </w:rPr>
        <w:t xml:space="preserve">all costs </w:t>
      </w:r>
      <w:r w:rsidR="00F96145">
        <w:rPr>
          <w:rFonts w:ascii="Times New Roman" w:hAnsi="Times New Roman"/>
        </w:rPr>
        <w:t>….</w:t>
      </w:r>
      <w:r w:rsidR="00A1471D">
        <w:rPr>
          <w:rFonts w:ascii="Times New Roman" w:hAnsi="Times New Roman"/>
        </w:rPr>
        <w:t>”</w:t>
      </w:r>
      <w:r w:rsidR="00A1471D">
        <w:rPr>
          <w:rStyle w:val="FootnoteReference"/>
          <w:rFonts w:ascii="Times New Roman" w:hAnsi="Times New Roman"/>
        </w:rPr>
        <w:footnoteReference w:id="13"/>
      </w:r>
      <w:r w:rsidR="00A1471D">
        <w:rPr>
          <w:rFonts w:ascii="Times New Roman" w:hAnsi="Times New Roman"/>
        </w:rPr>
        <w:t xml:space="preserve"> </w:t>
      </w:r>
      <w:r w:rsidR="00C1168C">
        <w:rPr>
          <w:rFonts w:ascii="Times New Roman" w:hAnsi="Times New Roman"/>
        </w:rPr>
        <w:t xml:space="preserve"> </w:t>
      </w:r>
    </w:p>
    <w:p w14:paraId="48EBC812" w14:textId="77777777" w:rsidR="00765ED7" w:rsidRDefault="00A8381B" w:rsidP="006949AF">
      <w:pPr>
        <w:pStyle w:val="Body1"/>
        <w:numPr>
          <w:ilvl w:val="0"/>
          <w:numId w:val="9"/>
        </w:numPr>
        <w:spacing w:line="480" w:lineRule="auto"/>
        <w:rPr>
          <w:rFonts w:ascii="Times New Roman" w:hAnsi="Times New Roman"/>
        </w:rPr>
      </w:pPr>
      <w:r>
        <w:rPr>
          <w:rFonts w:ascii="Times New Roman" w:hAnsi="Times New Roman"/>
        </w:rPr>
        <w:tab/>
      </w:r>
      <w:r w:rsidR="00C1168C">
        <w:rPr>
          <w:rFonts w:ascii="Times New Roman" w:hAnsi="Times New Roman"/>
        </w:rPr>
        <w:t xml:space="preserve">While </w:t>
      </w:r>
      <w:r>
        <w:rPr>
          <w:rFonts w:ascii="Times New Roman" w:hAnsi="Times New Roman"/>
        </w:rPr>
        <w:t xml:space="preserve">Judge Kopta’s </w:t>
      </w:r>
      <w:r w:rsidR="00C1168C">
        <w:rPr>
          <w:rFonts w:ascii="Times New Roman" w:hAnsi="Times New Roman"/>
        </w:rPr>
        <w:t>reasoning turns on a separate clause within subsection 1.A., Staff supports his analysis</w:t>
      </w:r>
      <w:r w:rsidR="00F21C01">
        <w:rPr>
          <w:rFonts w:ascii="Times New Roman" w:hAnsi="Times New Roman"/>
        </w:rPr>
        <w:t xml:space="preserve"> and believes </w:t>
      </w:r>
      <w:r w:rsidR="00C1168C">
        <w:rPr>
          <w:rFonts w:ascii="Times New Roman" w:hAnsi="Times New Roman"/>
        </w:rPr>
        <w:t xml:space="preserve">it </w:t>
      </w:r>
      <w:r w:rsidR="00F21C01">
        <w:rPr>
          <w:rFonts w:ascii="Times New Roman" w:hAnsi="Times New Roman"/>
        </w:rPr>
        <w:t xml:space="preserve">to be </w:t>
      </w:r>
      <w:r w:rsidR="00C1168C">
        <w:rPr>
          <w:rFonts w:ascii="Times New Roman" w:hAnsi="Times New Roman"/>
        </w:rPr>
        <w:t xml:space="preserve">consistent with </w:t>
      </w:r>
      <w:r w:rsidR="00F21C01">
        <w:rPr>
          <w:rFonts w:ascii="Times New Roman" w:hAnsi="Times New Roman"/>
        </w:rPr>
        <w:t xml:space="preserve">Staff’s interpretation of the tariff.  Under either reading, the Petitioners’ reliance on Schedule 85 cannot be reconciled with the tariff’s clear language.  </w:t>
      </w:r>
    </w:p>
    <w:p w14:paraId="20565E6A" w14:textId="49FDE2A9" w:rsidR="00026609" w:rsidRDefault="00765ED7" w:rsidP="004214C9">
      <w:pPr>
        <w:pStyle w:val="Body1"/>
        <w:numPr>
          <w:ilvl w:val="0"/>
          <w:numId w:val="9"/>
        </w:numPr>
        <w:spacing w:line="480" w:lineRule="auto"/>
        <w:rPr>
          <w:rFonts w:ascii="Times New Roman" w:hAnsi="Times New Roman"/>
        </w:rPr>
      </w:pPr>
      <w:r>
        <w:rPr>
          <w:rFonts w:ascii="Times New Roman" w:hAnsi="Times New Roman"/>
        </w:rPr>
        <w:tab/>
      </w:r>
      <w:r w:rsidR="00275C18">
        <w:rPr>
          <w:rFonts w:ascii="Times New Roman" w:hAnsi="Times New Roman"/>
        </w:rPr>
        <w:t xml:space="preserve">In sum, </w:t>
      </w:r>
      <w:r w:rsidR="00A8381B">
        <w:rPr>
          <w:rFonts w:ascii="Times New Roman" w:hAnsi="Times New Roman"/>
        </w:rPr>
        <w:t xml:space="preserve">Judge Kopta’s ruling on the </w:t>
      </w:r>
      <w:r>
        <w:rPr>
          <w:rFonts w:ascii="Times New Roman" w:hAnsi="Times New Roman"/>
        </w:rPr>
        <w:t>application</w:t>
      </w:r>
      <w:r w:rsidR="00A8381B">
        <w:rPr>
          <w:rFonts w:ascii="Times New Roman" w:hAnsi="Times New Roman"/>
        </w:rPr>
        <w:t xml:space="preserve"> of Schedule 85 to the facts </w:t>
      </w:r>
      <w:r>
        <w:rPr>
          <w:rFonts w:ascii="Times New Roman" w:hAnsi="Times New Roman"/>
        </w:rPr>
        <w:t xml:space="preserve">presented </w:t>
      </w:r>
      <w:r w:rsidR="00A8381B">
        <w:rPr>
          <w:rFonts w:ascii="Times New Roman" w:hAnsi="Times New Roman"/>
        </w:rPr>
        <w:t xml:space="preserve">is reasonable. </w:t>
      </w:r>
      <w:r w:rsidR="009808F7">
        <w:rPr>
          <w:rFonts w:ascii="Times New Roman" w:hAnsi="Times New Roman"/>
        </w:rPr>
        <w:t>The record evidence presented by Staff and PSE on this issue is consistent with</w:t>
      </w:r>
      <w:r w:rsidR="00A8381B">
        <w:rPr>
          <w:rFonts w:ascii="Times New Roman" w:hAnsi="Times New Roman"/>
        </w:rPr>
        <w:t xml:space="preserve"> the </w:t>
      </w:r>
      <w:r w:rsidR="009808F7">
        <w:rPr>
          <w:rFonts w:ascii="Times New Roman" w:hAnsi="Times New Roman"/>
        </w:rPr>
        <w:t>result dictated by Order 0</w:t>
      </w:r>
      <w:r w:rsidR="007A208F">
        <w:rPr>
          <w:rFonts w:ascii="Times New Roman" w:hAnsi="Times New Roman"/>
        </w:rPr>
        <w:t>3</w:t>
      </w:r>
      <w:r w:rsidR="009808F7">
        <w:rPr>
          <w:rFonts w:ascii="Times New Roman" w:hAnsi="Times New Roman"/>
        </w:rPr>
        <w:t xml:space="preserve">.  </w:t>
      </w:r>
    </w:p>
    <w:p w14:paraId="2AF5C79C" w14:textId="042B5A4C" w:rsidR="007A208F" w:rsidRPr="007A208F" w:rsidRDefault="007A208F" w:rsidP="007A208F">
      <w:pPr>
        <w:pStyle w:val="Body1"/>
        <w:spacing w:line="480" w:lineRule="auto"/>
        <w:rPr>
          <w:rFonts w:ascii="Times New Roman" w:hAnsi="Times New Roman"/>
        </w:rPr>
      </w:pPr>
      <w:r w:rsidRPr="007A208F">
        <w:rPr>
          <w:rFonts w:ascii="Times New Roman" w:hAnsi="Times New Roman"/>
          <w:b/>
        </w:rPr>
        <w:t>C.</w:t>
      </w:r>
      <w:r w:rsidRPr="007A208F">
        <w:rPr>
          <w:rFonts w:ascii="Times New Roman" w:hAnsi="Times New Roman"/>
          <w:b/>
        </w:rPr>
        <w:tab/>
        <w:t>PSE’s Schedule 80 Also Supports the Result Dictated by Order 03</w:t>
      </w:r>
    </w:p>
    <w:p w14:paraId="7EA625F5" w14:textId="5BC8BA04" w:rsidR="00310C59" w:rsidRDefault="00DE3382" w:rsidP="00DE3382">
      <w:pPr>
        <w:pStyle w:val="Body1"/>
        <w:numPr>
          <w:ilvl w:val="0"/>
          <w:numId w:val="9"/>
        </w:numPr>
        <w:spacing w:line="480" w:lineRule="auto"/>
        <w:rPr>
          <w:rFonts w:ascii="Times New Roman" w:hAnsi="Times New Roman"/>
        </w:rPr>
      </w:pPr>
      <w:r>
        <w:rPr>
          <w:rFonts w:ascii="Times New Roman" w:hAnsi="Times New Roman"/>
        </w:rPr>
        <w:tab/>
      </w:r>
      <w:r w:rsidR="007A208F">
        <w:rPr>
          <w:rFonts w:ascii="Times New Roman" w:hAnsi="Times New Roman"/>
        </w:rPr>
        <w:t xml:space="preserve">Schedule 80 </w:t>
      </w:r>
      <w:r w:rsidR="00EE610D">
        <w:rPr>
          <w:rFonts w:ascii="Times New Roman" w:hAnsi="Times New Roman"/>
        </w:rPr>
        <w:t>govern</w:t>
      </w:r>
      <w:r w:rsidR="00275C18">
        <w:rPr>
          <w:rFonts w:ascii="Times New Roman" w:hAnsi="Times New Roman"/>
        </w:rPr>
        <w:t>s</w:t>
      </w:r>
      <w:r w:rsidR="00EE610D">
        <w:rPr>
          <w:rFonts w:ascii="Times New Roman" w:hAnsi="Times New Roman"/>
        </w:rPr>
        <w:t xml:space="preserve"> the Company’s provision of electric service to its customers. </w:t>
      </w:r>
      <w:r w:rsidR="0042717F">
        <w:rPr>
          <w:rFonts w:ascii="Times New Roman" w:hAnsi="Times New Roman"/>
        </w:rPr>
        <w:t xml:space="preserve">Importantly, </w:t>
      </w:r>
      <w:r w:rsidR="00EE610D">
        <w:rPr>
          <w:rFonts w:ascii="Times New Roman" w:hAnsi="Times New Roman"/>
        </w:rPr>
        <w:t>Section 9 of Schedule 80 does not require PSE to provide service to a customer “if to do so would be economically unfeasible.”</w:t>
      </w:r>
      <w:r w:rsidR="00EE610D">
        <w:rPr>
          <w:rStyle w:val="FootnoteReference"/>
          <w:rFonts w:ascii="Times New Roman" w:hAnsi="Times New Roman"/>
        </w:rPr>
        <w:footnoteReference w:id="14"/>
      </w:r>
      <w:r w:rsidR="0012310F">
        <w:rPr>
          <w:rFonts w:ascii="Times New Roman" w:hAnsi="Times New Roman"/>
        </w:rPr>
        <w:t xml:space="preserve"> The record</w:t>
      </w:r>
      <w:r w:rsidR="003E73AB">
        <w:rPr>
          <w:rFonts w:ascii="Times New Roman" w:hAnsi="Times New Roman"/>
        </w:rPr>
        <w:t xml:space="preserve"> evidence </w:t>
      </w:r>
      <w:r w:rsidR="0012310F">
        <w:rPr>
          <w:rFonts w:ascii="Times New Roman" w:hAnsi="Times New Roman"/>
        </w:rPr>
        <w:t xml:space="preserve">contains ample and substantial evidence that the cost to construct a new service line </w:t>
      </w:r>
      <w:r w:rsidR="00275C18">
        <w:rPr>
          <w:rFonts w:ascii="Times New Roman" w:hAnsi="Times New Roman"/>
        </w:rPr>
        <w:t>for the Petitioners far exceeds</w:t>
      </w:r>
      <w:r w:rsidR="0012310F">
        <w:rPr>
          <w:rFonts w:ascii="Times New Roman" w:hAnsi="Times New Roman"/>
        </w:rPr>
        <w:t xml:space="preserve"> the expected revenues generated by the Petitioners’ use of the line.</w:t>
      </w:r>
      <w:r w:rsidR="005C279B">
        <w:rPr>
          <w:rStyle w:val="FootnoteReference"/>
          <w:rFonts w:ascii="Times New Roman" w:hAnsi="Times New Roman"/>
        </w:rPr>
        <w:footnoteReference w:id="15"/>
      </w:r>
      <w:r w:rsidR="0012310F">
        <w:rPr>
          <w:rFonts w:ascii="Times New Roman" w:hAnsi="Times New Roman"/>
        </w:rPr>
        <w:t xml:space="preserve"> </w:t>
      </w:r>
      <w:r w:rsidR="003E73AB" w:rsidRPr="00BA05A0">
        <w:rPr>
          <w:rFonts w:ascii="Times New Roman" w:hAnsi="Times New Roman"/>
        </w:rPr>
        <w:t>As shown by Mr. Ball’s economic analysis, the Petitioners’ usage and rates are only forecast</w:t>
      </w:r>
      <w:r w:rsidR="003E73AB">
        <w:rPr>
          <w:rFonts w:ascii="Times New Roman" w:hAnsi="Times New Roman"/>
        </w:rPr>
        <w:t>ed</w:t>
      </w:r>
      <w:r w:rsidR="003E73AB" w:rsidRPr="00BA05A0">
        <w:rPr>
          <w:rFonts w:ascii="Times New Roman" w:hAnsi="Times New Roman"/>
        </w:rPr>
        <w:t xml:space="preserve"> to generate </w:t>
      </w:r>
      <w:r w:rsidR="003E73AB">
        <w:rPr>
          <w:rFonts w:ascii="Times New Roman" w:hAnsi="Times New Roman"/>
        </w:rPr>
        <w:t>$296,598 in revenue over the 35-</w:t>
      </w:r>
      <w:r w:rsidR="003E73AB" w:rsidRPr="00BA05A0">
        <w:rPr>
          <w:rFonts w:ascii="Times New Roman" w:hAnsi="Times New Roman"/>
        </w:rPr>
        <w:t>year life of the project.</w:t>
      </w:r>
      <w:r w:rsidR="003E73AB">
        <w:rPr>
          <w:rStyle w:val="FootnoteReference"/>
          <w:rFonts w:ascii="Times New Roman" w:hAnsi="Times New Roman"/>
        </w:rPr>
        <w:footnoteReference w:id="16"/>
      </w:r>
      <w:r w:rsidR="003E73AB" w:rsidRPr="00BA05A0">
        <w:rPr>
          <w:rFonts w:ascii="Times New Roman" w:hAnsi="Times New Roman"/>
        </w:rPr>
        <w:t xml:space="preserve"> </w:t>
      </w:r>
      <w:r w:rsidR="003E73AB">
        <w:rPr>
          <w:rFonts w:ascii="Times New Roman" w:hAnsi="Times New Roman"/>
        </w:rPr>
        <w:t xml:space="preserve"> </w:t>
      </w:r>
      <w:r w:rsidR="003E73AB" w:rsidRPr="00BA05A0">
        <w:rPr>
          <w:rFonts w:ascii="Times New Roman" w:hAnsi="Times New Roman"/>
        </w:rPr>
        <w:t xml:space="preserve">Over this same period, the regulated costs associated with the project </w:t>
      </w:r>
      <w:r w:rsidR="003E73AB">
        <w:rPr>
          <w:rFonts w:ascii="Times New Roman" w:hAnsi="Times New Roman"/>
        </w:rPr>
        <w:t xml:space="preserve">are </w:t>
      </w:r>
      <w:r w:rsidR="003E73AB" w:rsidRPr="00BA05A0">
        <w:rPr>
          <w:rFonts w:ascii="Times New Roman" w:hAnsi="Times New Roman"/>
        </w:rPr>
        <w:t>forecast</w:t>
      </w:r>
      <w:r w:rsidR="003E73AB">
        <w:rPr>
          <w:rFonts w:ascii="Times New Roman" w:hAnsi="Times New Roman"/>
        </w:rPr>
        <w:t>ed</w:t>
      </w:r>
      <w:r w:rsidR="003E73AB" w:rsidRPr="00BA05A0">
        <w:rPr>
          <w:rFonts w:ascii="Times New Roman" w:hAnsi="Times New Roman"/>
        </w:rPr>
        <w:t xml:space="preserve"> to be $6,781,319.</w:t>
      </w:r>
      <w:r w:rsidR="00F5787C">
        <w:rPr>
          <w:rStyle w:val="FootnoteReference"/>
          <w:rFonts w:ascii="Times New Roman" w:hAnsi="Times New Roman"/>
        </w:rPr>
        <w:footnoteReference w:id="17"/>
      </w:r>
      <w:r w:rsidR="003E73AB" w:rsidRPr="00BA05A0">
        <w:rPr>
          <w:rFonts w:ascii="Times New Roman" w:hAnsi="Times New Roman"/>
        </w:rPr>
        <w:t xml:space="preserve"> </w:t>
      </w:r>
      <w:r w:rsidR="003E73AB">
        <w:rPr>
          <w:rFonts w:ascii="Times New Roman" w:hAnsi="Times New Roman"/>
        </w:rPr>
        <w:t xml:space="preserve"> </w:t>
      </w:r>
    </w:p>
    <w:p w14:paraId="1F7F5433" w14:textId="47AFFA6B" w:rsidR="00C811B1" w:rsidRDefault="00DE3382" w:rsidP="00DE3382">
      <w:pPr>
        <w:pStyle w:val="Body1"/>
        <w:numPr>
          <w:ilvl w:val="0"/>
          <w:numId w:val="9"/>
        </w:numPr>
        <w:spacing w:line="480" w:lineRule="auto"/>
        <w:rPr>
          <w:rFonts w:ascii="Times New Roman" w:hAnsi="Times New Roman"/>
        </w:rPr>
      </w:pPr>
      <w:r>
        <w:rPr>
          <w:rFonts w:ascii="Times New Roman" w:hAnsi="Times New Roman"/>
        </w:rPr>
        <w:tab/>
      </w:r>
      <w:r w:rsidR="0012310F">
        <w:rPr>
          <w:rFonts w:ascii="Times New Roman" w:hAnsi="Times New Roman"/>
        </w:rPr>
        <w:t>Th</w:t>
      </w:r>
      <w:r w:rsidR="00310C59">
        <w:rPr>
          <w:rFonts w:ascii="Times New Roman" w:hAnsi="Times New Roman"/>
        </w:rPr>
        <w:t>e u</w:t>
      </w:r>
      <w:r w:rsidR="0012310F">
        <w:rPr>
          <w:rFonts w:ascii="Times New Roman" w:hAnsi="Times New Roman"/>
        </w:rPr>
        <w:t xml:space="preserve">nrebutted evidence </w:t>
      </w:r>
      <w:r w:rsidR="00310C59">
        <w:rPr>
          <w:rFonts w:ascii="Times New Roman" w:hAnsi="Times New Roman"/>
        </w:rPr>
        <w:t xml:space="preserve">presented by Mr. Ball </w:t>
      </w:r>
      <w:r w:rsidR="0012310F">
        <w:rPr>
          <w:rFonts w:ascii="Times New Roman" w:hAnsi="Times New Roman"/>
        </w:rPr>
        <w:t xml:space="preserve">points to </w:t>
      </w:r>
      <w:r w:rsidR="005C279B">
        <w:rPr>
          <w:rFonts w:ascii="Times New Roman" w:hAnsi="Times New Roman"/>
        </w:rPr>
        <w:t xml:space="preserve">but </w:t>
      </w:r>
      <w:r w:rsidR="0012310F">
        <w:rPr>
          <w:rFonts w:ascii="Times New Roman" w:hAnsi="Times New Roman"/>
        </w:rPr>
        <w:t>one conclusion - construction of a new line under the circumstances presented by the Petit</w:t>
      </w:r>
      <w:r w:rsidR="005C279B">
        <w:rPr>
          <w:rFonts w:ascii="Times New Roman" w:hAnsi="Times New Roman"/>
        </w:rPr>
        <w:t>ioners would not be economically feasible. As this conclusion is clearly demonstrated</w:t>
      </w:r>
      <w:r w:rsidR="00275C18">
        <w:rPr>
          <w:rFonts w:ascii="Times New Roman" w:hAnsi="Times New Roman"/>
        </w:rPr>
        <w:t xml:space="preserve">, </w:t>
      </w:r>
      <w:r w:rsidR="005C279B">
        <w:rPr>
          <w:rFonts w:ascii="Times New Roman" w:hAnsi="Times New Roman"/>
        </w:rPr>
        <w:t xml:space="preserve">the plain language of Section 9 of Schedule 80 </w:t>
      </w:r>
      <w:r w:rsidR="00026609">
        <w:rPr>
          <w:rFonts w:ascii="Times New Roman" w:hAnsi="Times New Roman"/>
        </w:rPr>
        <w:t>would effectively relieve</w:t>
      </w:r>
      <w:r w:rsidR="005C279B">
        <w:rPr>
          <w:rFonts w:ascii="Times New Roman" w:hAnsi="Times New Roman"/>
        </w:rPr>
        <w:t xml:space="preserve"> PSE </w:t>
      </w:r>
      <w:r w:rsidR="00275C18">
        <w:rPr>
          <w:rFonts w:ascii="Times New Roman" w:hAnsi="Times New Roman"/>
        </w:rPr>
        <w:t>of any</w:t>
      </w:r>
      <w:r w:rsidR="005C279B">
        <w:rPr>
          <w:rFonts w:ascii="Times New Roman" w:hAnsi="Times New Roman"/>
        </w:rPr>
        <w:t xml:space="preserve"> obligation to</w:t>
      </w:r>
      <w:r w:rsidR="000B7EC8">
        <w:rPr>
          <w:rFonts w:ascii="Times New Roman" w:hAnsi="Times New Roman"/>
        </w:rPr>
        <w:t xml:space="preserve"> pay for a new line </w:t>
      </w:r>
      <w:r w:rsidR="005C279B">
        <w:rPr>
          <w:rFonts w:ascii="Times New Roman" w:hAnsi="Times New Roman"/>
        </w:rPr>
        <w:t>to serve the Petitioners</w:t>
      </w:r>
      <w:r w:rsidR="00026609">
        <w:rPr>
          <w:rFonts w:ascii="Times New Roman" w:hAnsi="Times New Roman"/>
        </w:rPr>
        <w:t xml:space="preserve">. </w:t>
      </w:r>
    </w:p>
    <w:p w14:paraId="76D1F24B" w14:textId="08E585C2" w:rsidR="00F5787C" w:rsidRDefault="00C811B1" w:rsidP="004323EF">
      <w:pPr>
        <w:pStyle w:val="FootnoteText"/>
        <w:numPr>
          <w:ilvl w:val="0"/>
          <w:numId w:val="9"/>
        </w:numPr>
        <w:spacing w:line="480" w:lineRule="auto"/>
        <w:rPr>
          <w:sz w:val="24"/>
          <w:szCs w:val="24"/>
        </w:rPr>
      </w:pPr>
      <w:r>
        <w:tab/>
      </w:r>
      <w:r w:rsidR="00275C18" w:rsidRPr="004323EF">
        <w:rPr>
          <w:sz w:val="24"/>
          <w:szCs w:val="24"/>
        </w:rPr>
        <w:t xml:space="preserve">Staff </w:t>
      </w:r>
      <w:r w:rsidR="00F96145">
        <w:rPr>
          <w:sz w:val="24"/>
          <w:szCs w:val="24"/>
        </w:rPr>
        <w:t xml:space="preserve">also </w:t>
      </w:r>
      <w:r w:rsidR="00275C18" w:rsidRPr="004323EF">
        <w:rPr>
          <w:sz w:val="24"/>
          <w:szCs w:val="24"/>
        </w:rPr>
        <w:t xml:space="preserve">testified </w:t>
      </w:r>
      <w:r w:rsidR="004323EF" w:rsidRPr="004323EF">
        <w:rPr>
          <w:sz w:val="24"/>
          <w:szCs w:val="24"/>
        </w:rPr>
        <w:t xml:space="preserve">to the sound policy reasons supporting </w:t>
      </w:r>
      <w:r w:rsidR="00275C18" w:rsidRPr="004323EF">
        <w:rPr>
          <w:sz w:val="24"/>
          <w:szCs w:val="24"/>
        </w:rPr>
        <w:t xml:space="preserve">the economic feasibility </w:t>
      </w:r>
      <w:r w:rsidR="004323EF" w:rsidRPr="004323EF">
        <w:rPr>
          <w:sz w:val="24"/>
          <w:szCs w:val="24"/>
        </w:rPr>
        <w:t>requirement</w:t>
      </w:r>
      <w:r w:rsidR="00275C18" w:rsidRPr="004323EF">
        <w:rPr>
          <w:sz w:val="24"/>
          <w:szCs w:val="24"/>
        </w:rPr>
        <w:t xml:space="preserve"> </w:t>
      </w:r>
      <w:r w:rsidR="004323EF" w:rsidRPr="004323EF">
        <w:rPr>
          <w:sz w:val="24"/>
          <w:szCs w:val="24"/>
        </w:rPr>
        <w:t>set forth in Schedule 80. In his testimony, Mr. Ball explained that without this test ratepayers could be required to “pay inequitably high rates” caused by another ratepayer whose costs are driven by unique circumstances and are “extraordinarily greater than other ratepayers of the same schedule.”</w:t>
      </w:r>
      <w:r w:rsidR="004323EF" w:rsidRPr="004323EF">
        <w:rPr>
          <w:rStyle w:val="FootnoteReference"/>
          <w:sz w:val="24"/>
          <w:szCs w:val="24"/>
        </w:rPr>
        <w:footnoteReference w:id="18"/>
      </w:r>
      <w:r w:rsidR="004323EF" w:rsidRPr="004323EF">
        <w:rPr>
          <w:sz w:val="24"/>
          <w:szCs w:val="24"/>
        </w:rPr>
        <w:t xml:space="preserve"> </w:t>
      </w:r>
      <w:bookmarkStart w:id="0" w:name="_GoBack"/>
      <w:bookmarkEnd w:id="0"/>
      <w:r w:rsidR="004323EF" w:rsidRPr="004323EF">
        <w:rPr>
          <w:sz w:val="24"/>
          <w:szCs w:val="24"/>
        </w:rPr>
        <w:t>He also opined that PSE should not be required to provide service to a remote</w:t>
      </w:r>
      <w:r w:rsidR="004323EF" w:rsidRPr="00070BD2">
        <w:rPr>
          <w:sz w:val="24"/>
          <w:szCs w:val="24"/>
        </w:rPr>
        <w:t xml:space="preserve"> customer at a “large additional expense … [to] other similarly situated customers.”</w:t>
      </w:r>
      <w:r w:rsidR="004323EF">
        <w:rPr>
          <w:rStyle w:val="FootnoteReference"/>
          <w:sz w:val="24"/>
          <w:szCs w:val="24"/>
        </w:rPr>
        <w:footnoteReference w:id="19"/>
      </w:r>
      <w:r w:rsidR="004323EF" w:rsidRPr="00070BD2">
        <w:rPr>
          <w:sz w:val="24"/>
          <w:szCs w:val="24"/>
        </w:rPr>
        <w:t xml:space="preserve"> He reasoned that regulation should promote the adoption of sound business practices by the Company and service should only be provided when economically feasible to do so ….”</w:t>
      </w:r>
      <w:r w:rsidR="004323EF">
        <w:rPr>
          <w:rStyle w:val="FootnoteReference"/>
          <w:sz w:val="24"/>
          <w:szCs w:val="24"/>
        </w:rPr>
        <w:footnoteReference w:id="20"/>
      </w:r>
      <w:r w:rsidR="004323EF" w:rsidRPr="00070BD2">
        <w:rPr>
          <w:sz w:val="24"/>
          <w:szCs w:val="24"/>
        </w:rPr>
        <w:t xml:space="preserve"> </w:t>
      </w:r>
      <w:r w:rsidR="004323EF">
        <w:rPr>
          <w:sz w:val="24"/>
          <w:szCs w:val="24"/>
        </w:rPr>
        <w:t xml:space="preserve"> </w:t>
      </w:r>
    </w:p>
    <w:p w14:paraId="766C7BCB" w14:textId="3F8436C4" w:rsidR="00D52F52" w:rsidRPr="003E73AB" w:rsidRDefault="00F5787C" w:rsidP="004323EF">
      <w:pPr>
        <w:pStyle w:val="FootnoteText"/>
        <w:numPr>
          <w:ilvl w:val="0"/>
          <w:numId w:val="9"/>
        </w:numPr>
        <w:spacing w:line="480" w:lineRule="auto"/>
        <w:rPr>
          <w:sz w:val="24"/>
          <w:szCs w:val="24"/>
        </w:rPr>
      </w:pPr>
      <w:r>
        <w:rPr>
          <w:sz w:val="24"/>
          <w:szCs w:val="24"/>
        </w:rPr>
        <w:tab/>
        <w:t xml:space="preserve">To this point, </w:t>
      </w:r>
      <w:r w:rsidR="003E73AB" w:rsidRPr="003E73AB">
        <w:rPr>
          <w:sz w:val="24"/>
          <w:szCs w:val="24"/>
        </w:rPr>
        <w:t>Mr. Ball</w:t>
      </w:r>
      <w:r>
        <w:rPr>
          <w:sz w:val="24"/>
          <w:szCs w:val="24"/>
        </w:rPr>
        <w:t xml:space="preserve">’s testimony included a calculation of </w:t>
      </w:r>
      <w:r w:rsidR="003E73AB" w:rsidRPr="003E73AB">
        <w:rPr>
          <w:sz w:val="24"/>
          <w:szCs w:val="24"/>
        </w:rPr>
        <w:t>the percentage of costs to be contributed by the Petitioners over the project’s useful life</w:t>
      </w:r>
      <w:r>
        <w:rPr>
          <w:sz w:val="24"/>
          <w:szCs w:val="24"/>
        </w:rPr>
        <w:t xml:space="preserve">. He </w:t>
      </w:r>
      <w:r w:rsidR="003E73AB" w:rsidRPr="003E73AB">
        <w:rPr>
          <w:sz w:val="24"/>
          <w:szCs w:val="24"/>
        </w:rPr>
        <w:t>concluded that nearly $6.5 million (or 95.6%) of the project’s expected $6.8 million in costs would be borne by the remaining customers taking service under Schedule 24.</w:t>
      </w:r>
      <w:r w:rsidR="003E73AB" w:rsidRPr="003E73AB">
        <w:rPr>
          <w:rStyle w:val="FootnoteReference"/>
          <w:sz w:val="24"/>
          <w:szCs w:val="24"/>
        </w:rPr>
        <w:footnoteReference w:id="21"/>
      </w:r>
      <w:r w:rsidR="003E73AB" w:rsidRPr="003E73AB">
        <w:rPr>
          <w:sz w:val="24"/>
          <w:szCs w:val="24"/>
        </w:rPr>
        <w:t xml:space="preserve">  </w:t>
      </w:r>
    </w:p>
    <w:p w14:paraId="50A16619" w14:textId="39059728" w:rsidR="004323EF" w:rsidRDefault="00D52F52" w:rsidP="004323EF">
      <w:pPr>
        <w:pStyle w:val="FootnoteText"/>
        <w:numPr>
          <w:ilvl w:val="0"/>
          <w:numId w:val="9"/>
        </w:numPr>
        <w:spacing w:line="480" w:lineRule="auto"/>
        <w:rPr>
          <w:sz w:val="24"/>
          <w:szCs w:val="24"/>
        </w:rPr>
      </w:pPr>
      <w:r>
        <w:rPr>
          <w:sz w:val="24"/>
          <w:szCs w:val="24"/>
        </w:rPr>
        <w:tab/>
      </w:r>
      <w:r w:rsidR="004323EF">
        <w:rPr>
          <w:sz w:val="24"/>
          <w:szCs w:val="24"/>
        </w:rPr>
        <w:t xml:space="preserve">Mr. Ball </w:t>
      </w:r>
      <w:r w:rsidR="00F5787C">
        <w:rPr>
          <w:sz w:val="24"/>
          <w:szCs w:val="24"/>
        </w:rPr>
        <w:t xml:space="preserve">analysis highlights </w:t>
      </w:r>
      <w:r w:rsidR="004323EF">
        <w:rPr>
          <w:sz w:val="24"/>
          <w:szCs w:val="24"/>
        </w:rPr>
        <w:t xml:space="preserve">why an economic feasibility test such as that expressed in Schedule 80 operates to protect both a company and its ratepayers. </w:t>
      </w:r>
      <w:r w:rsidR="00F96145">
        <w:rPr>
          <w:sz w:val="24"/>
          <w:szCs w:val="24"/>
        </w:rPr>
        <w:t xml:space="preserve">His analysis further justifies the result ordered by Judge Kopta.  </w:t>
      </w:r>
      <w:r w:rsidR="004323EF">
        <w:rPr>
          <w:sz w:val="24"/>
          <w:szCs w:val="24"/>
        </w:rPr>
        <w:t xml:space="preserve"> </w:t>
      </w:r>
    </w:p>
    <w:p w14:paraId="7A989D46" w14:textId="33290ACA" w:rsidR="00F37078" w:rsidRPr="00F5787C" w:rsidRDefault="00F5787C" w:rsidP="00DE3382">
      <w:pPr>
        <w:pStyle w:val="Body1"/>
        <w:spacing w:line="480" w:lineRule="auto"/>
        <w:jc w:val="center"/>
        <w:rPr>
          <w:rFonts w:ascii="Times New Roman" w:hAnsi="Times New Roman"/>
          <w:b/>
        </w:rPr>
      </w:pPr>
      <w:r w:rsidRPr="00F5787C">
        <w:rPr>
          <w:rFonts w:ascii="Times New Roman" w:hAnsi="Times New Roman"/>
          <w:b/>
        </w:rPr>
        <w:t xml:space="preserve">IV. </w:t>
      </w:r>
      <w:r w:rsidRPr="00F5787C">
        <w:rPr>
          <w:rFonts w:ascii="Times New Roman" w:hAnsi="Times New Roman"/>
          <w:b/>
        </w:rPr>
        <w:tab/>
        <w:t>CONCLUSION</w:t>
      </w:r>
    </w:p>
    <w:p w14:paraId="2338973E" w14:textId="662B42D2" w:rsidR="00466982" w:rsidRPr="00DE3382" w:rsidRDefault="00F5787C" w:rsidP="00DE3382">
      <w:pPr>
        <w:pStyle w:val="Body1"/>
        <w:numPr>
          <w:ilvl w:val="0"/>
          <w:numId w:val="9"/>
        </w:numPr>
        <w:spacing w:line="480" w:lineRule="auto"/>
        <w:rPr>
          <w:rFonts w:ascii="Times New Roman" w:hAnsi="Times New Roman"/>
        </w:rPr>
      </w:pPr>
      <w:r>
        <w:rPr>
          <w:rFonts w:ascii="Times New Roman" w:hAnsi="Times New Roman"/>
        </w:rPr>
        <w:tab/>
        <w:t xml:space="preserve">The results </w:t>
      </w:r>
      <w:r w:rsidR="00765ED7">
        <w:rPr>
          <w:rFonts w:ascii="Times New Roman" w:hAnsi="Times New Roman"/>
        </w:rPr>
        <w:t>dictated by</w:t>
      </w:r>
      <w:r>
        <w:rPr>
          <w:rFonts w:ascii="Times New Roman" w:hAnsi="Times New Roman"/>
        </w:rPr>
        <w:t xml:space="preserve"> Order 03 reflect a reasonable interpretation of PSE’s Schedule 80 and Schedule 85. The record contains ample evidence demonstrating the unique nature and history of the Maloney Line and the high cost of its replacement. The record also </w:t>
      </w:r>
      <w:r w:rsidR="00294939">
        <w:rPr>
          <w:rFonts w:ascii="Times New Roman" w:hAnsi="Times New Roman"/>
        </w:rPr>
        <w:t xml:space="preserve">demonstrates how the result sought by the Petitioners ignores the impact of its requested relief on the customers of Schedule 24. Staff believes this impact to be both unfair and unreasonable. In the end, Order 03 reaches a result consistent with the advocacy of Staff and PSE. The result reached by Judge Kopta is fair and equitable to all parties and should be upheld by the Commission. </w:t>
      </w:r>
    </w:p>
    <w:p w14:paraId="3DEF8177" w14:textId="7D42925C" w:rsidR="00F748D8" w:rsidRDefault="00F748D8" w:rsidP="00F748D8">
      <w:pPr>
        <w:ind w:left="720"/>
        <w:rPr>
          <w:sz w:val="24"/>
        </w:rPr>
      </w:pPr>
      <w:r w:rsidRPr="004A2910">
        <w:rPr>
          <w:sz w:val="24"/>
        </w:rPr>
        <w:t xml:space="preserve">DATED this </w:t>
      </w:r>
      <w:r w:rsidR="00936888">
        <w:rPr>
          <w:sz w:val="24"/>
        </w:rPr>
        <w:t>18</w:t>
      </w:r>
      <w:r w:rsidR="00EF5014" w:rsidRPr="00EF5014">
        <w:rPr>
          <w:sz w:val="24"/>
          <w:vertAlign w:val="superscript"/>
        </w:rPr>
        <w:t>th</w:t>
      </w:r>
      <w:r w:rsidR="00EF5014">
        <w:rPr>
          <w:sz w:val="24"/>
        </w:rPr>
        <w:t xml:space="preserve"> </w:t>
      </w:r>
      <w:r w:rsidRPr="004A2910">
        <w:rPr>
          <w:sz w:val="24"/>
        </w:rPr>
        <w:t xml:space="preserve">day of </w:t>
      </w:r>
      <w:r w:rsidR="00936888">
        <w:rPr>
          <w:sz w:val="24"/>
        </w:rPr>
        <w:t>September</w:t>
      </w:r>
      <w:r w:rsidRPr="004A2910">
        <w:rPr>
          <w:sz w:val="24"/>
        </w:rPr>
        <w:t xml:space="preserve"> 20</w:t>
      </w:r>
      <w:r w:rsidR="004A26FF">
        <w:rPr>
          <w:sz w:val="24"/>
        </w:rPr>
        <w:t>1</w:t>
      </w:r>
      <w:r w:rsidR="00466982">
        <w:rPr>
          <w:sz w:val="24"/>
        </w:rPr>
        <w:t>5</w:t>
      </w:r>
      <w:r w:rsidRPr="004A2910">
        <w:rPr>
          <w:sz w:val="24"/>
        </w:rPr>
        <w:t>.</w:t>
      </w:r>
    </w:p>
    <w:p w14:paraId="3DEF8178" w14:textId="77777777" w:rsidR="00F748D8" w:rsidRDefault="00F748D8" w:rsidP="00F748D8">
      <w:pPr>
        <w:ind w:left="720"/>
        <w:rPr>
          <w:sz w:val="24"/>
        </w:rPr>
      </w:pPr>
    </w:p>
    <w:p w14:paraId="3DEF8179" w14:textId="77777777" w:rsidR="00F748D8" w:rsidRPr="004A2910" w:rsidRDefault="00F748D8" w:rsidP="00F748D8">
      <w:pPr>
        <w:ind w:left="720"/>
        <w:rPr>
          <w:sz w:val="24"/>
        </w:rPr>
      </w:pPr>
      <w:r>
        <w:rPr>
          <w:sz w:val="24"/>
        </w:rPr>
        <w:tab/>
      </w:r>
      <w:r>
        <w:rPr>
          <w:sz w:val="24"/>
        </w:rPr>
        <w:tab/>
      </w:r>
      <w:r>
        <w:rPr>
          <w:sz w:val="24"/>
        </w:rPr>
        <w:tab/>
      </w:r>
      <w:r>
        <w:rPr>
          <w:sz w:val="24"/>
        </w:rPr>
        <w:tab/>
      </w:r>
      <w:r>
        <w:rPr>
          <w:sz w:val="24"/>
        </w:rPr>
        <w:tab/>
      </w:r>
      <w:r>
        <w:rPr>
          <w:sz w:val="24"/>
        </w:rPr>
        <w:tab/>
        <w:t xml:space="preserve">Respectfully submitted, </w:t>
      </w:r>
    </w:p>
    <w:p w14:paraId="3DEF817A" w14:textId="77777777" w:rsidR="00F748D8" w:rsidRPr="004A2910" w:rsidRDefault="00F748D8" w:rsidP="00F748D8">
      <w:pPr>
        <w:pStyle w:val="BodyTextIndent2"/>
        <w:rPr>
          <w:rFonts w:ascii="Times New Roman" w:hAnsi="Times New Roman"/>
        </w:rPr>
      </w:pPr>
    </w:p>
    <w:p w14:paraId="3DEF817B" w14:textId="77777777" w:rsidR="00F748D8" w:rsidRPr="004A2910" w:rsidRDefault="00F748D8" w:rsidP="00F748D8">
      <w:pPr>
        <w:ind w:left="5040"/>
        <w:jc w:val="both"/>
        <w:rPr>
          <w:sz w:val="24"/>
        </w:rPr>
      </w:pPr>
      <w:r w:rsidRPr="004A2910">
        <w:rPr>
          <w:sz w:val="24"/>
        </w:rPr>
        <w:t>ROB</w:t>
      </w:r>
      <w:r w:rsidR="00BF3CD1">
        <w:rPr>
          <w:sz w:val="24"/>
        </w:rPr>
        <w:t xml:space="preserve">ERT </w:t>
      </w:r>
      <w:r w:rsidR="009D3E3D">
        <w:rPr>
          <w:sz w:val="24"/>
        </w:rPr>
        <w:t>W. FERGUSON</w:t>
      </w:r>
      <w:r w:rsidRPr="004A2910">
        <w:rPr>
          <w:sz w:val="24"/>
        </w:rPr>
        <w:t xml:space="preserve"> </w:t>
      </w:r>
    </w:p>
    <w:p w14:paraId="3DEF817C" w14:textId="77777777" w:rsidR="00F748D8" w:rsidRPr="004A2910" w:rsidRDefault="00F748D8" w:rsidP="00F748D8">
      <w:pPr>
        <w:ind w:firstLine="5040"/>
        <w:jc w:val="both"/>
        <w:rPr>
          <w:sz w:val="24"/>
        </w:rPr>
      </w:pPr>
      <w:r w:rsidRPr="004A2910">
        <w:rPr>
          <w:sz w:val="24"/>
        </w:rPr>
        <w:t>Attorney General</w:t>
      </w:r>
    </w:p>
    <w:p w14:paraId="3DEF817D" w14:textId="77777777" w:rsidR="00F748D8" w:rsidRPr="004A2910" w:rsidRDefault="00F748D8" w:rsidP="00F748D8">
      <w:pPr>
        <w:jc w:val="both"/>
        <w:rPr>
          <w:sz w:val="24"/>
        </w:rPr>
      </w:pPr>
    </w:p>
    <w:p w14:paraId="3DEF817E" w14:textId="77777777" w:rsidR="00F748D8" w:rsidRDefault="00F748D8" w:rsidP="00F748D8">
      <w:pPr>
        <w:jc w:val="both"/>
        <w:rPr>
          <w:sz w:val="24"/>
        </w:rPr>
      </w:pPr>
    </w:p>
    <w:p w14:paraId="3DEF817F" w14:textId="77777777" w:rsidR="005E07C2" w:rsidRPr="004A2910" w:rsidRDefault="005E07C2" w:rsidP="00F748D8">
      <w:pPr>
        <w:jc w:val="both"/>
        <w:rPr>
          <w:sz w:val="24"/>
        </w:rPr>
      </w:pPr>
    </w:p>
    <w:p w14:paraId="3DEF8180" w14:textId="77777777" w:rsidR="00F748D8" w:rsidRPr="004A2910" w:rsidRDefault="00F748D8" w:rsidP="00F748D8">
      <w:pPr>
        <w:ind w:left="1440" w:firstLine="3600"/>
        <w:jc w:val="both"/>
        <w:rPr>
          <w:sz w:val="24"/>
        </w:rPr>
      </w:pPr>
      <w:r w:rsidRPr="004A2910">
        <w:rPr>
          <w:sz w:val="24"/>
        </w:rPr>
        <w:t>______________________________</w:t>
      </w:r>
    </w:p>
    <w:p w14:paraId="3DEF8181" w14:textId="73B288D7" w:rsidR="00F748D8" w:rsidRPr="004A2910" w:rsidRDefault="00466982" w:rsidP="00F748D8">
      <w:pPr>
        <w:ind w:firstLine="5040"/>
        <w:jc w:val="both"/>
        <w:rPr>
          <w:sz w:val="24"/>
        </w:rPr>
      </w:pPr>
      <w:r>
        <w:rPr>
          <w:sz w:val="24"/>
        </w:rPr>
        <w:t>PATRICK J. OSHIE</w:t>
      </w:r>
    </w:p>
    <w:p w14:paraId="3DEF8182" w14:textId="77777777" w:rsidR="00F748D8" w:rsidRPr="004A2910" w:rsidRDefault="00F748D8" w:rsidP="00F748D8">
      <w:pPr>
        <w:ind w:left="1440" w:firstLine="3600"/>
        <w:jc w:val="both"/>
        <w:rPr>
          <w:sz w:val="24"/>
        </w:rPr>
      </w:pPr>
      <w:r w:rsidRPr="004A2910">
        <w:rPr>
          <w:sz w:val="24"/>
        </w:rPr>
        <w:t>Assistant Attorney General</w:t>
      </w:r>
    </w:p>
    <w:p w14:paraId="3DEF8183" w14:textId="77777777" w:rsidR="00F748D8" w:rsidRPr="004A2910" w:rsidRDefault="00F748D8" w:rsidP="00F748D8">
      <w:pPr>
        <w:ind w:left="2160" w:firstLine="2880"/>
        <w:jc w:val="both"/>
        <w:rPr>
          <w:sz w:val="24"/>
        </w:rPr>
      </w:pPr>
      <w:r w:rsidRPr="004A2910">
        <w:rPr>
          <w:sz w:val="24"/>
        </w:rPr>
        <w:t xml:space="preserve">Counsel for </w:t>
      </w:r>
      <w:smartTag w:uri="urn:schemas-microsoft-com:office:smarttags" w:element="place">
        <w:smartTag w:uri="urn:schemas-microsoft-com:office:smarttags" w:element="PostalCode">
          <w:r w:rsidRPr="004A2910">
            <w:rPr>
              <w:sz w:val="24"/>
            </w:rPr>
            <w:t>Washington</w:t>
          </w:r>
        </w:smartTag>
      </w:smartTag>
      <w:r w:rsidRPr="004A2910">
        <w:rPr>
          <w:sz w:val="24"/>
        </w:rPr>
        <w:t xml:space="preserve"> Utilities and</w:t>
      </w:r>
    </w:p>
    <w:p w14:paraId="3DEF8184" w14:textId="77777777" w:rsidR="00F748D8" w:rsidRDefault="004F69A5" w:rsidP="00F748D8">
      <w:pPr>
        <w:ind w:left="2880" w:firstLine="2160"/>
        <w:jc w:val="both"/>
        <w:rPr>
          <w:sz w:val="24"/>
        </w:rPr>
      </w:pPr>
      <w:r>
        <w:rPr>
          <w:sz w:val="24"/>
        </w:rPr>
        <w:t>Transportation Commission</w:t>
      </w:r>
      <w:r w:rsidR="005E07C2">
        <w:rPr>
          <w:sz w:val="24"/>
        </w:rPr>
        <w:t xml:space="preserve"> Staff</w:t>
      </w:r>
    </w:p>
    <w:p w14:paraId="2C95513D" w14:textId="44F9FF64" w:rsidR="00C20E13" w:rsidRDefault="00C20E13" w:rsidP="00F748D8">
      <w:pPr>
        <w:ind w:left="2880" w:firstLine="2160"/>
        <w:jc w:val="both"/>
        <w:rPr>
          <w:sz w:val="24"/>
        </w:rPr>
      </w:pPr>
    </w:p>
    <w:p w14:paraId="1A2E5B9E" w14:textId="77777777" w:rsidR="00C20E13" w:rsidRPr="004A2910" w:rsidRDefault="00C20E13" w:rsidP="00C20E13">
      <w:pPr>
        <w:jc w:val="both"/>
        <w:rPr>
          <w:sz w:val="24"/>
        </w:rPr>
      </w:pPr>
    </w:p>
    <w:p w14:paraId="3DEF8185" w14:textId="77777777" w:rsidR="00F748D8" w:rsidRDefault="00F748D8"/>
    <w:sectPr w:rsidR="00F748D8" w:rsidSect="00F748D8">
      <w:footerReference w:type="default" r:id="rId11"/>
      <w:pgSz w:w="12240" w:h="15840" w:code="1"/>
      <w:pgMar w:top="1440" w:right="1440" w:bottom="1440" w:left="187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52BEB3" w14:textId="77777777" w:rsidR="004214C9" w:rsidRDefault="004214C9">
      <w:r>
        <w:separator/>
      </w:r>
    </w:p>
  </w:endnote>
  <w:endnote w:type="continuationSeparator" w:id="0">
    <w:p w14:paraId="35C00384" w14:textId="77777777" w:rsidR="004214C9" w:rsidRDefault="004214C9">
      <w:r>
        <w:continuationSeparator/>
      </w:r>
    </w:p>
  </w:endnote>
  <w:endnote w:type="continuationNotice" w:id="1">
    <w:p w14:paraId="7F0DAAA0" w14:textId="77777777" w:rsidR="004214C9" w:rsidRDefault="004214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EF818A" w14:textId="77777777" w:rsidR="004214C9" w:rsidRDefault="004214C9">
    <w:pPr>
      <w:pStyle w:val="Footer"/>
    </w:pPr>
  </w:p>
  <w:p w14:paraId="6D66FFBC" w14:textId="77777777" w:rsidR="00DE3382" w:rsidRDefault="004214C9">
    <w:pPr>
      <w:pStyle w:val="Footer"/>
    </w:pPr>
    <w:r>
      <w:t xml:space="preserve">COMMISSION STAFF </w:t>
    </w:r>
    <w:r w:rsidR="00DE3382">
      <w:t xml:space="preserve">ANSWER TO </w:t>
    </w:r>
  </w:p>
  <w:p w14:paraId="3DEF818B" w14:textId="236DCB01" w:rsidR="004214C9" w:rsidRPr="00737B08" w:rsidRDefault="00DE3382">
    <w:pPr>
      <w:pStyle w:val="Footer"/>
    </w:pPr>
    <w:r>
      <w:t xml:space="preserve">PETITION FOR ADMINISTRATIVE REVIEW </w:t>
    </w:r>
    <w:r w:rsidR="004214C9" w:rsidRPr="00737B08">
      <w:t xml:space="preserve">- </w:t>
    </w:r>
    <w:r w:rsidR="004214C9" w:rsidRPr="00737B08">
      <w:rPr>
        <w:rStyle w:val="PageNumber"/>
      </w:rPr>
      <w:fldChar w:fldCharType="begin"/>
    </w:r>
    <w:r w:rsidR="004214C9" w:rsidRPr="00737B08">
      <w:rPr>
        <w:rStyle w:val="PageNumber"/>
      </w:rPr>
      <w:instrText xml:space="preserve"> PAGE </w:instrText>
    </w:r>
    <w:r w:rsidR="004214C9" w:rsidRPr="00737B08">
      <w:rPr>
        <w:rStyle w:val="PageNumber"/>
      </w:rPr>
      <w:fldChar w:fldCharType="separate"/>
    </w:r>
    <w:r w:rsidR="00CF2E4C">
      <w:rPr>
        <w:rStyle w:val="PageNumber"/>
        <w:noProof/>
      </w:rPr>
      <w:t>1</w:t>
    </w:r>
    <w:r w:rsidR="004214C9" w:rsidRPr="00737B08">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D8C757" w14:textId="77777777" w:rsidR="004214C9" w:rsidRDefault="004214C9">
      <w:r>
        <w:separator/>
      </w:r>
    </w:p>
  </w:footnote>
  <w:footnote w:type="continuationSeparator" w:id="0">
    <w:p w14:paraId="6FA8C8D6" w14:textId="77777777" w:rsidR="004214C9" w:rsidRDefault="004214C9">
      <w:r>
        <w:continuationSeparator/>
      </w:r>
    </w:p>
  </w:footnote>
  <w:footnote w:type="continuationNotice" w:id="1">
    <w:p w14:paraId="2B03E213" w14:textId="77777777" w:rsidR="004214C9" w:rsidRDefault="004214C9"/>
  </w:footnote>
  <w:footnote w:id="2">
    <w:p w14:paraId="4734765A" w14:textId="3337B15C" w:rsidR="004214C9" w:rsidRDefault="004214C9">
      <w:pPr>
        <w:pStyle w:val="FootnoteText"/>
      </w:pPr>
      <w:r>
        <w:rPr>
          <w:rStyle w:val="FootnoteReference"/>
        </w:rPr>
        <w:footnoteRef/>
      </w:r>
      <w:r>
        <w:t xml:space="preserve"> The Petitioners claim of error relies in part on Commission’s treatment of Special Contracts under WAC 480-80-143. Importantly, nothing in this record shows that PSE or GTE ever presented the agreement or its successor agreements to the Commission for approval. Therefore, there is no evidence showing that the agreements were treated by the parties or the Commission as Special Contracts falling within the rule’s ambit.    </w:t>
      </w:r>
    </w:p>
  </w:footnote>
  <w:footnote w:id="3">
    <w:p w14:paraId="6978573F" w14:textId="754F9BE7" w:rsidR="004214C9" w:rsidRDefault="004214C9">
      <w:pPr>
        <w:pStyle w:val="FootnoteText"/>
      </w:pPr>
      <w:r>
        <w:rPr>
          <w:rStyle w:val="FootnoteReference"/>
        </w:rPr>
        <w:footnoteRef/>
      </w:r>
      <w:r>
        <w:t xml:space="preserve"> Logan, Exh. No. LFL-1T at 2: 5-14. </w:t>
      </w:r>
      <w:r w:rsidRPr="00C05783">
        <w:rPr>
          <w:i/>
        </w:rPr>
        <w:t>See also</w:t>
      </w:r>
      <w:r>
        <w:t>, Logan, Exh, No. LFL-3. Exhibit 3 is a copy of the original 1971 agreement.</w:t>
      </w:r>
    </w:p>
  </w:footnote>
  <w:footnote w:id="4">
    <w:p w14:paraId="2A9221B4" w14:textId="55EDCAC3" w:rsidR="004214C9" w:rsidRDefault="004214C9">
      <w:pPr>
        <w:pStyle w:val="FootnoteText"/>
      </w:pPr>
      <w:r>
        <w:rPr>
          <w:rStyle w:val="FootnoteReference"/>
        </w:rPr>
        <w:footnoteRef/>
      </w:r>
      <w:r>
        <w:t xml:space="preserve"> </w:t>
      </w:r>
      <w:r w:rsidRPr="00D956B4">
        <w:rPr>
          <w:i/>
        </w:rPr>
        <w:t>Id</w:t>
      </w:r>
      <w:r>
        <w:t xml:space="preserve">, at 2: 9-14. </w:t>
      </w:r>
      <w:r w:rsidRPr="00D956B4">
        <w:rPr>
          <w:i/>
        </w:rPr>
        <w:t>See also</w:t>
      </w:r>
      <w:r>
        <w:t xml:space="preserve">, Logan, Exh, No. LFL-3 at </w:t>
      </w:r>
      <w:r w:rsidRPr="00016183">
        <w:t>¶¶</w:t>
      </w:r>
      <w:r>
        <w:t xml:space="preserve"> 3 and 5.</w:t>
      </w:r>
    </w:p>
  </w:footnote>
  <w:footnote w:id="5">
    <w:p w14:paraId="09F95051" w14:textId="08D390C8" w:rsidR="004214C9" w:rsidRDefault="004214C9">
      <w:pPr>
        <w:pStyle w:val="FootnoteText"/>
      </w:pPr>
      <w:r>
        <w:rPr>
          <w:rStyle w:val="FootnoteReference"/>
        </w:rPr>
        <w:footnoteRef/>
      </w:r>
      <w:r>
        <w:t xml:space="preserve"> </w:t>
      </w:r>
      <w:r>
        <w:rPr>
          <w:i/>
        </w:rPr>
        <w:t>Id.</w:t>
      </w:r>
      <w:r>
        <w:t xml:space="preserve"> at 4: 6-9.</w:t>
      </w:r>
    </w:p>
  </w:footnote>
  <w:footnote w:id="6">
    <w:p w14:paraId="34830C05" w14:textId="4139549E" w:rsidR="004214C9" w:rsidRDefault="004214C9">
      <w:pPr>
        <w:pStyle w:val="FootnoteText"/>
      </w:pPr>
      <w:r>
        <w:rPr>
          <w:rStyle w:val="FootnoteReference"/>
        </w:rPr>
        <w:footnoteRef/>
      </w:r>
      <w:r>
        <w:t xml:space="preserve"> </w:t>
      </w:r>
      <w:r>
        <w:rPr>
          <w:i/>
        </w:rPr>
        <w:t>Id.</w:t>
      </w:r>
      <w:r>
        <w:t xml:space="preserve"> at 2: 18-25 and at 3: 6-11.</w:t>
      </w:r>
      <w:r w:rsidRPr="005A2416">
        <w:rPr>
          <w:i/>
        </w:rPr>
        <w:t xml:space="preserve"> </w:t>
      </w:r>
    </w:p>
  </w:footnote>
  <w:footnote w:id="7">
    <w:p w14:paraId="7E0FF3D1" w14:textId="28F03EB7" w:rsidR="004214C9" w:rsidRDefault="004214C9">
      <w:pPr>
        <w:pStyle w:val="FootnoteText"/>
      </w:pPr>
      <w:r>
        <w:rPr>
          <w:rStyle w:val="FootnoteReference"/>
        </w:rPr>
        <w:footnoteRef/>
      </w:r>
      <w:r>
        <w:t xml:space="preserve"> Docket UE-141335, </w:t>
      </w:r>
      <w:r w:rsidRPr="007C2B66">
        <w:rPr>
          <w:i/>
        </w:rPr>
        <w:t>PETITION FOR DECLARATORY ORDER</w:t>
      </w:r>
      <w:r>
        <w:t xml:space="preserve">, at </w:t>
      </w:r>
      <w:r w:rsidRPr="00016183">
        <w:t>¶</w:t>
      </w:r>
      <w:r>
        <w:t xml:space="preserve"> 53(d) and (e). </w:t>
      </w:r>
    </w:p>
  </w:footnote>
  <w:footnote w:id="8">
    <w:p w14:paraId="4D3CCE02" w14:textId="54CE909A" w:rsidR="004214C9" w:rsidRDefault="004214C9">
      <w:pPr>
        <w:pStyle w:val="FootnoteText"/>
      </w:pPr>
      <w:r>
        <w:rPr>
          <w:rStyle w:val="FootnoteReference"/>
        </w:rPr>
        <w:footnoteRef/>
      </w:r>
      <w:r>
        <w:t xml:space="preserve"> Ball, Exh. No. JLB-2Cr (Revised June 8, 2015) at 1: 8-11 and at 6: 13-16, citing to Figures 1 and 2 at 7. The Petitioners’ forecasted usage would generate $296,598 in revenue over the life of the project.  </w:t>
      </w:r>
      <w:r w:rsidRPr="00270CFF">
        <w:rPr>
          <w:i/>
        </w:rPr>
        <w:t xml:space="preserve">See </w:t>
      </w:r>
      <w:r>
        <w:t xml:space="preserve">Ball, Exh. No. JLB-1Tr at 6: 7-8.  In fact, the regulated costs associated with the project are forecasted to be $6,781,319. This amount includes both return on and of the initial construction costs As a result, nearly $6.5 million (or 95.6%) of the project’s $6.8 million in costs would be borne by the customers taking service under Schedule 24. </w:t>
      </w:r>
      <w:r w:rsidRPr="00270CFF">
        <w:rPr>
          <w:i/>
        </w:rPr>
        <w:t xml:space="preserve">See </w:t>
      </w:r>
      <w:r>
        <w:t xml:space="preserve">Ball, Exh. No. JLB-2Cr (Revised June 8, 2015) at 1: 8-11 and at 6: 13-16, citing Figures 1 and 2 at 7. </w:t>
      </w:r>
    </w:p>
  </w:footnote>
  <w:footnote w:id="9">
    <w:p w14:paraId="69EC28E4" w14:textId="6E14A53F" w:rsidR="004214C9" w:rsidRDefault="004214C9">
      <w:pPr>
        <w:pStyle w:val="FootnoteText"/>
      </w:pPr>
      <w:r>
        <w:rPr>
          <w:rStyle w:val="FootnoteReference"/>
        </w:rPr>
        <w:footnoteRef/>
      </w:r>
      <w:r>
        <w:t xml:space="preserve"> See, </w:t>
      </w:r>
      <w:r w:rsidRPr="00443E31">
        <w:rPr>
          <w:i/>
        </w:rPr>
        <w:t>Initial Order</w:t>
      </w:r>
      <w:r>
        <w:t>, Order 03 at p.</w:t>
      </w:r>
      <w:r w:rsidR="00DE3382">
        <w:t xml:space="preserve"> </w:t>
      </w:r>
      <w:r>
        <w:t xml:space="preserve">14 </w:t>
      </w:r>
      <w:r w:rsidRPr="00016183">
        <w:t>¶</w:t>
      </w:r>
      <w:r>
        <w:t xml:space="preserve"> 47 “Maloney Line is dedicated to serving the Petitioner and is adjunct to, not a part of, PSE’s distribution system.”</w:t>
      </w:r>
    </w:p>
  </w:footnote>
  <w:footnote w:id="10">
    <w:p w14:paraId="4E607F93" w14:textId="4709A6B0" w:rsidR="004214C9" w:rsidRDefault="004214C9">
      <w:pPr>
        <w:pStyle w:val="FootnoteText"/>
      </w:pPr>
      <w:r w:rsidRPr="00C811B1">
        <w:rPr>
          <w:rStyle w:val="FootnoteReference"/>
        </w:rPr>
        <w:footnoteRef/>
      </w:r>
      <w:r w:rsidRPr="00C811B1">
        <w:t xml:space="preserve"> “1. A. </w:t>
      </w:r>
      <w:r w:rsidRPr="00C811B1">
        <w:rPr>
          <w:u w:val="single"/>
        </w:rPr>
        <w:t>OWNERSHIP OF FACILITIES</w:t>
      </w:r>
      <w:r w:rsidRPr="00C811B1">
        <w:t>:  The Company shall own, operate, maintain and repair all electric distribution facilities installed by or for the Company under this schedule, including replacement of such facilities, if necessary so long as such replacement is not inconsistent with this schedule or a contract governing such facilities. Other than as provided in Section 1.B., below, the Company shall not own or shall have no responsibility to operate, maintain, repair or replace any electric distribution facilities that were not installed by or for the Company under this schedule.”</w:t>
      </w:r>
      <w:r>
        <w:t xml:space="preserve"> </w:t>
      </w:r>
      <w:r w:rsidRPr="00C811B1">
        <w:rPr>
          <w:i/>
        </w:rPr>
        <w:t>See</w:t>
      </w:r>
      <w:r>
        <w:t xml:space="preserve"> Gorman, MPG-1T at 13: 26-28 and at 14: 1-7.  </w:t>
      </w:r>
      <w:r w:rsidRPr="00B92CFA">
        <w:rPr>
          <w:i/>
        </w:rPr>
        <w:t>See also</w:t>
      </w:r>
      <w:r>
        <w:t xml:space="preserve"> Schedule 85, Line Extensions and Service Lines (Continued), Additional Terms of Service, Section 1.A. </w:t>
      </w:r>
    </w:p>
  </w:footnote>
  <w:footnote w:id="11">
    <w:p w14:paraId="6C549947" w14:textId="0374E6DC" w:rsidR="004214C9" w:rsidRDefault="004214C9">
      <w:pPr>
        <w:pStyle w:val="FootnoteText"/>
      </w:pPr>
      <w:r>
        <w:rPr>
          <w:rStyle w:val="FootnoteReference"/>
        </w:rPr>
        <w:footnoteRef/>
      </w:r>
      <w:r>
        <w:t xml:space="preserve"> Nightingale, Exh. No. DN-4T at 3: 5-7. </w:t>
      </w:r>
      <w:r w:rsidRPr="00F96145">
        <w:rPr>
          <w:i/>
        </w:rPr>
        <w:t>See also</w:t>
      </w:r>
      <w:r>
        <w:t xml:space="preserve">, Brief on Behalf of Commission Staff, pp. 16 -17, </w:t>
      </w:r>
      <w:r w:rsidRPr="00016183">
        <w:t>¶</w:t>
      </w:r>
      <w:r>
        <w:t xml:space="preserve"> </w:t>
      </w:r>
      <w:r w:rsidRPr="00016183">
        <w:t>¶</w:t>
      </w:r>
      <w:r>
        <w:t xml:space="preserve"> 40-41.</w:t>
      </w:r>
    </w:p>
  </w:footnote>
  <w:footnote w:id="12">
    <w:p w14:paraId="344140DD" w14:textId="1545FB88" w:rsidR="004214C9" w:rsidRDefault="004214C9">
      <w:pPr>
        <w:pStyle w:val="FootnoteText"/>
      </w:pPr>
      <w:r>
        <w:rPr>
          <w:rStyle w:val="FootnoteReference"/>
        </w:rPr>
        <w:footnoteRef/>
      </w:r>
      <w:r>
        <w:t xml:space="preserve"> Schedule 85 became effective on June 6, 1991. </w:t>
      </w:r>
      <w:r w:rsidRPr="00235506">
        <w:rPr>
          <w:i/>
        </w:rPr>
        <w:t>See</w:t>
      </w:r>
      <w:r>
        <w:t xml:space="preserve"> Logan, Exh. No. LFL-1T at 4: 11-15. The original GTE agreement pre-dated the now-effective Schedule 85 by approximately 20 years.  </w:t>
      </w:r>
    </w:p>
  </w:footnote>
  <w:footnote w:id="13">
    <w:p w14:paraId="731DB0D4" w14:textId="41134DEE" w:rsidR="004214C9" w:rsidRDefault="004214C9">
      <w:pPr>
        <w:pStyle w:val="FootnoteText"/>
      </w:pPr>
      <w:r>
        <w:rPr>
          <w:rStyle w:val="FootnoteReference"/>
        </w:rPr>
        <w:footnoteRef/>
      </w:r>
      <w:r>
        <w:t xml:space="preserve"> </w:t>
      </w:r>
      <w:r w:rsidRPr="00C1168C">
        <w:rPr>
          <w:i/>
        </w:rPr>
        <w:t>Initial Order</w:t>
      </w:r>
      <w:r>
        <w:t xml:space="preserve">, pp. 8-9, </w:t>
      </w:r>
      <w:r w:rsidRPr="00016183">
        <w:t>¶</w:t>
      </w:r>
      <w:r>
        <w:t xml:space="preserve"> 21. </w:t>
      </w:r>
    </w:p>
  </w:footnote>
  <w:footnote w:id="14">
    <w:p w14:paraId="31CD331F" w14:textId="08C7822F" w:rsidR="004214C9" w:rsidRDefault="004214C9" w:rsidP="00EE610D">
      <w:pPr>
        <w:pStyle w:val="FootnoteText"/>
      </w:pPr>
      <w:r>
        <w:rPr>
          <w:rStyle w:val="FootnoteReference"/>
        </w:rPr>
        <w:footnoteRef/>
      </w:r>
      <w:r>
        <w:t xml:space="preserve"> T</w:t>
      </w:r>
      <w:r w:rsidRPr="0012310F">
        <w:t xml:space="preserve">he economic feasibility language expressed in Section 9 of Schedule 80 entitled “Refusal of Service” </w:t>
      </w:r>
      <w:r>
        <w:t xml:space="preserve">states, in whole: </w:t>
      </w:r>
      <w:r w:rsidRPr="0012310F">
        <w:t>“The Company shall not be required to provide service if to do so would be economically unfeasible.”</w:t>
      </w:r>
      <w:r>
        <w:t xml:space="preserve"> </w:t>
      </w:r>
      <w:r w:rsidRPr="0012310F">
        <w:rPr>
          <w:i/>
        </w:rPr>
        <w:t>See</w:t>
      </w:r>
      <w:r>
        <w:t xml:space="preserve">, Nightingale, Exh. No. DN-1T at 9: 4-6.  </w:t>
      </w:r>
      <w:r w:rsidRPr="00B92CFA">
        <w:rPr>
          <w:i/>
        </w:rPr>
        <w:t>See also</w:t>
      </w:r>
      <w:r>
        <w:t xml:space="preserve"> Logan, Exh. No. LFL-7 at 1, last sentence in paragraph 9 therein. </w:t>
      </w:r>
    </w:p>
  </w:footnote>
  <w:footnote w:id="15">
    <w:p w14:paraId="748A69D4" w14:textId="2D61AC18" w:rsidR="004214C9" w:rsidRDefault="004214C9">
      <w:pPr>
        <w:pStyle w:val="FootnoteText"/>
      </w:pPr>
      <w:r>
        <w:rPr>
          <w:rStyle w:val="FootnoteReference"/>
        </w:rPr>
        <w:footnoteRef/>
      </w:r>
      <w:r>
        <w:t xml:space="preserve"> </w:t>
      </w:r>
      <w:r w:rsidRPr="005C279B">
        <w:rPr>
          <w:i/>
        </w:rPr>
        <w:t>Initial Order</w:t>
      </w:r>
      <w:r>
        <w:t xml:space="preserve">, </w:t>
      </w:r>
      <w:r w:rsidRPr="00016183">
        <w:t>¶</w:t>
      </w:r>
      <w:r>
        <w:t xml:space="preserve"> </w:t>
      </w:r>
      <w:r w:rsidRPr="00016183">
        <w:t>¶</w:t>
      </w:r>
      <w:r>
        <w:t xml:space="preserve"> 32, 49 and 50.  </w:t>
      </w:r>
    </w:p>
  </w:footnote>
  <w:footnote w:id="16">
    <w:p w14:paraId="5E4B1D18" w14:textId="77777777" w:rsidR="004214C9" w:rsidRDefault="004214C9" w:rsidP="003E73AB">
      <w:pPr>
        <w:pStyle w:val="FootnoteText"/>
      </w:pPr>
      <w:r>
        <w:rPr>
          <w:rStyle w:val="FootnoteReference"/>
        </w:rPr>
        <w:footnoteRef/>
      </w:r>
      <w:r>
        <w:t xml:space="preserve"> Ball, Exh. No. JLB-1Tr at 6: 7-8.  The expected useful life of the project is 35 years, based on PSE’s response to Staff’s data request No. 009. See footnote 2 therein.</w:t>
      </w:r>
    </w:p>
  </w:footnote>
  <w:footnote w:id="17">
    <w:p w14:paraId="4CABC568" w14:textId="6352B40B" w:rsidR="004214C9" w:rsidRDefault="004214C9">
      <w:pPr>
        <w:pStyle w:val="FootnoteText"/>
      </w:pPr>
      <w:r>
        <w:rPr>
          <w:rStyle w:val="FootnoteReference"/>
        </w:rPr>
        <w:footnoteRef/>
      </w:r>
      <w:r>
        <w:t xml:space="preserve"> </w:t>
      </w:r>
      <w:r w:rsidRPr="00F5787C">
        <w:rPr>
          <w:i/>
        </w:rPr>
        <w:t>See</w:t>
      </w:r>
      <w:r>
        <w:t xml:space="preserve"> BR1-Ball Exh. JLB 2Cr-CONFIDENTIAL Updated for DR 039, </w:t>
      </w:r>
    </w:p>
  </w:footnote>
  <w:footnote w:id="18">
    <w:p w14:paraId="64E64EB4" w14:textId="77777777" w:rsidR="004214C9" w:rsidRDefault="004214C9" w:rsidP="004323EF">
      <w:pPr>
        <w:pStyle w:val="FootnoteText"/>
      </w:pPr>
      <w:r>
        <w:rPr>
          <w:rStyle w:val="FootnoteReference"/>
        </w:rPr>
        <w:footnoteRef/>
      </w:r>
      <w:r>
        <w:t xml:space="preserve"> Ball, Exh. No. JLB-1T at 4: 4-7.</w:t>
      </w:r>
    </w:p>
  </w:footnote>
  <w:footnote w:id="19">
    <w:p w14:paraId="5AD6AE1D" w14:textId="77777777" w:rsidR="004214C9" w:rsidRPr="00F657BB" w:rsidRDefault="004214C9" w:rsidP="004323EF">
      <w:pPr>
        <w:pStyle w:val="FootnoteText"/>
      </w:pPr>
      <w:r>
        <w:rPr>
          <w:rStyle w:val="FootnoteReference"/>
        </w:rPr>
        <w:footnoteRef/>
      </w:r>
      <w:r>
        <w:t xml:space="preserve"> </w:t>
      </w:r>
      <w:r>
        <w:rPr>
          <w:i/>
        </w:rPr>
        <w:t xml:space="preserve">Id. </w:t>
      </w:r>
      <w:r>
        <w:t xml:space="preserve">at 4: 21-23. </w:t>
      </w:r>
    </w:p>
  </w:footnote>
  <w:footnote w:id="20">
    <w:p w14:paraId="78E270FD" w14:textId="77777777" w:rsidR="004214C9" w:rsidRPr="00774641" w:rsidRDefault="004214C9" w:rsidP="004323EF">
      <w:pPr>
        <w:pStyle w:val="FootnoteText"/>
      </w:pPr>
      <w:r>
        <w:rPr>
          <w:rStyle w:val="FootnoteReference"/>
        </w:rPr>
        <w:footnoteRef/>
      </w:r>
      <w:r>
        <w:t xml:space="preserve"> </w:t>
      </w:r>
      <w:r>
        <w:rPr>
          <w:i/>
        </w:rPr>
        <w:t>Id.</w:t>
      </w:r>
      <w:r>
        <w:t xml:space="preserve"> at 4: 14-16 and 5: 1-4. </w:t>
      </w:r>
    </w:p>
  </w:footnote>
  <w:footnote w:id="21">
    <w:p w14:paraId="1FE47233" w14:textId="77777777" w:rsidR="004214C9" w:rsidRDefault="004214C9" w:rsidP="003E73AB">
      <w:pPr>
        <w:pStyle w:val="FootnoteText"/>
      </w:pPr>
      <w:r>
        <w:rPr>
          <w:rStyle w:val="FootnoteReference"/>
        </w:rPr>
        <w:footnoteRef/>
      </w:r>
      <w:r>
        <w:t xml:space="preserve"> Ball, Exh. No. JLB-2Cr (Revised June 8, 2015) at 1: 8-11 and at 6: 13-16, citing to Figures 1 and 2 at 7.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17254"/>
    <w:multiLevelType w:val="hybridMultilevel"/>
    <w:tmpl w:val="A4EA219C"/>
    <w:lvl w:ilvl="0" w:tplc="1966C046">
      <w:start w:val="1"/>
      <w:numFmt w:val="decimal"/>
      <w:lvlText w:val="%1"/>
      <w:lvlJc w:val="left"/>
      <w:pPr>
        <w:ind w:left="723" w:hanging="720"/>
      </w:pPr>
      <w:rPr>
        <w:rFonts w:ascii="Times New Roman" w:hAnsi="Times New Roman" w:hint="default"/>
        <w:b w:val="0"/>
        <w:i/>
        <w:sz w:val="24"/>
      </w:rPr>
    </w:lvl>
    <w:lvl w:ilvl="1" w:tplc="04090019" w:tentative="1">
      <w:start w:val="1"/>
      <w:numFmt w:val="lowerLetter"/>
      <w:lvlText w:val="%2."/>
      <w:lvlJc w:val="left"/>
      <w:pPr>
        <w:ind w:left="2163" w:hanging="360"/>
      </w:pPr>
    </w:lvl>
    <w:lvl w:ilvl="2" w:tplc="0409001B" w:tentative="1">
      <w:start w:val="1"/>
      <w:numFmt w:val="lowerRoman"/>
      <w:lvlText w:val="%3."/>
      <w:lvlJc w:val="right"/>
      <w:pPr>
        <w:ind w:left="2883" w:hanging="180"/>
      </w:pPr>
    </w:lvl>
    <w:lvl w:ilvl="3" w:tplc="0409000F" w:tentative="1">
      <w:start w:val="1"/>
      <w:numFmt w:val="decimal"/>
      <w:lvlText w:val="%4."/>
      <w:lvlJc w:val="left"/>
      <w:pPr>
        <w:ind w:left="3603" w:hanging="360"/>
      </w:pPr>
    </w:lvl>
    <w:lvl w:ilvl="4" w:tplc="04090019" w:tentative="1">
      <w:start w:val="1"/>
      <w:numFmt w:val="lowerLetter"/>
      <w:lvlText w:val="%5."/>
      <w:lvlJc w:val="left"/>
      <w:pPr>
        <w:ind w:left="4323" w:hanging="360"/>
      </w:pPr>
    </w:lvl>
    <w:lvl w:ilvl="5" w:tplc="0409001B" w:tentative="1">
      <w:start w:val="1"/>
      <w:numFmt w:val="lowerRoman"/>
      <w:lvlText w:val="%6."/>
      <w:lvlJc w:val="right"/>
      <w:pPr>
        <w:ind w:left="5043" w:hanging="180"/>
      </w:pPr>
    </w:lvl>
    <w:lvl w:ilvl="6" w:tplc="0409000F" w:tentative="1">
      <w:start w:val="1"/>
      <w:numFmt w:val="decimal"/>
      <w:lvlText w:val="%7."/>
      <w:lvlJc w:val="left"/>
      <w:pPr>
        <w:ind w:left="5763" w:hanging="360"/>
      </w:pPr>
    </w:lvl>
    <w:lvl w:ilvl="7" w:tplc="04090019" w:tentative="1">
      <w:start w:val="1"/>
      <w:numFmt w:val="lowerLetter"/>
      <w:lvlText w:val="%8."/>
      <w:lvlJc w:val="left"/>
      <w:pPr>
        <w:ind w:left="6483" w:hanging="360"/>
      </w:pPr>
    </w:lvl>
    <w:lvl w:ilvl="8" w:tplc="0409001B" w:tentative="1">
      <w:start w:val="1"/>
      <w:numFmt w:val="lowerRoman"/>
      <w:lvlText w:val="%9."/>
      <w:lvlJc w:val="right"/>
      <w:pPr>
        <w:ind w:left="7203" w:hanging="180"/>
      </w:pPr>
    </w:lvl>
  </w:abstractNum>
  <w:abstractNum w:abstractNumId="1" w15:restartNumberingAfterBreak="0">
    <w:nsid w:val="0C35001B"/>
    <w:multiLevelType w:val="hybridMultilevel"/>
    <w:tmpl w:val="99CA600C"/>
    <w:lvl w:ilvl="0" w:tplc="1966C046">
      <w:start w:val="1"/>
      <w:numFmt w:val="decimal"/>
      <w:lvlText w:val="%1"/>
      <w:lvlJc w:val="left"/>
      <w:pPr>
        <w:ind w:left="723" w:hanging="720"/>
      </w:pPr>
      <w:rPr>
        <w:rFonts w:ascii="Times New Roman" w:hAnsi="Times New Roman" w:hint="default"/>
        <w:b w:val="0"/>
        <w:i/>
        <w:sz w:val="24"/>
      </w:rPr>
    </w:lvl>
    <w:lvl w:ilvl="1" w:tplc="04090019" w:tentative="1">
      <w:start w:val="1"/>
      <w:numFmt w:val="lowerLetter"/>
      <w:lvlText w:val="%2."/>
      <w:lvlJc w:val="left"/>
      <w:pPr>
        <w:ind w:left="2163" w:hanging="360"/>
      </w:pPr>
    </w:lvl>
    <w:lvl w:ilvl="2" w:tplc="0409001B" w:tentative="1">
      <w:start w:val="1"/>
      <w:numFmt w:val="lowerRoman"/>
      <w:lvlText w:val="%3."/>
      <w:lvlJc w:val="right"/>
      <w:pPr>
        <w:ind w:left="2883" w:hanging="180"/>
      </w:pPr>
    </w:lvl>
    <w:lvl w:ilvl="3" w:tplc="0409000F" w:tentative="1">
      <w:start w:val="1"/>
      <w:numFmt w:val="decimal"/>
      <w:lvlText w:val="%4."/>
      <w:lvlJc w:val="left"/>
      <w:pPr>
        <w:ind w:left="3603" w:hanging="360"/>
      </w:pPr>
    </w:lvl>
    <w:lvl w:ilvl="4" w:tplc="04090019" w:tentative="1">
      <w:start w:val="1"/>
      <w:numFmt w:val="lowerLetter"/>
      <w:lvlText w:val="%5."/>
      <w:lvlJc w:val="left"/>
      <w:pPr>
        <w:ind w:left="4323" w:hanging="360"/>
      </w:pPr>
    </w:lvl>
    <w:lvl w:ilvl="5" w:tplc="0409001B" w:tentative="1">
      <w:start w:val="1"/>
      <w:numFmt w:val="lowerRoman"/>
      <w:lvlText w:val="%6."/>
      <w:lvlJc w:val="right"/>
      <w:pPr>
        <w:ind w:left="5043" w:hanging="180"/>
      </w:pPr>
    </w:lvl>
    <w:lvl w:ilvl="6" w:tplc="0409000F" w:tentative="1">
      <w:start w:val="1"/>
      <w:numFmt w:val="decimal"/>
      <w:lvlText w:val="%7."/>
      <w:lvlJc w:val="left"/>
      <w:pPr>
        <w:ind w:left="5763" w:hanging="360"/>
      </w:pPr>
    </w:lvl>
    <w:lvl w:ilvl="7" w:tplc="04090019" w:tentative="1">
      <w:start w:val="1"/>
      <w:numFmt w:val="lowerLetter"/>
      <w:lvlText w:val="%8."/>
      <w:lvlJc w:val="left"/>
      <w:pPr>
        <w:ind w:left="6483" w:hanging="360"/>
      </w:pPr>
    </w:lvl>
    <w:lvl w:ilvl="8" w:tplc="0409001B" w:tentative="1">
      <w:start w:val="1"/>
      <w:numFmt w:val="lowerRoman"/>
      <w:lvlText w:val="%9."/>
      <w:lvlJc w:val="right"/>
      <w:pPr>
        <w:ind w:left="7203" w:hanging="180"/>
      </w:pPr>
    </w:lvl>
  </w:abstractNum>
  <w:abstractNum w:abstractNumId="2" w15:restartNumberingAfterBreak="0">
    <w:nsid w:val="17444567"/>
    <w:multiLevelType w:val="hybridMultilevel"/>
    <w:tmpl w:val="786C488C"/>
    <w:lvl w:ilvl="0" w:tplc="4AC6FD04">
      <w:start w:val="1"/>
      <w:numFmt w:val="decimal"/>
      <w:lvlText w:val="%1"/>
      <w:lvlJc w:val="left"/>
      <w:pPr>
        <w:tabs>
          <w:tab w:val="num" w:pos="720"/>
        </w:tabs>
        <w:ind w:left="0" w:hanging="720"/>
      </w:pPr>
      <w:rPr>
        <w:rFonts w:ascii="Times New Roman" w:hAnsi="Times New Roman" w:hint="default"/>
        <w:b w:val="0"/>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91D18FF"/>
    <w:multiLevelType w:val="hybridMultilevel"/>
    <w:tmpl w:val="2D0EBBA8"/>
    <w:lvl w:ilvl="0" w:tplc="1966C046">
      <w:start w:val="1"/>
      <w:numFmt w:val="decimal"/>
      <w:lvlText w:val="%1"/>
      <w:lvlJc w:val="left"/>
      <w:pPr>
        <w:ind w:left="723" w:hanging="720"/>
      </w:pPr>
      <w:rPr>
        <w:rFonts w:ascii="Times New Roman" w:hAnsi="Times New Roman" w:hint="default"/>
        <w:b w:val="0"/>
        <w:i/>
        <w:sz w:val="24"/>
      </w:rPr>
    </w:lvl>
    <w:lvl w:ilvl="1" w:tplc="04090019" w:tentative="1">
      <w:start w:val="1"/>
      <w:numFmt w:val="lowerLetter"/>
      <w:lvlText w:val="%2."/>
      <w:lvlJc w:val="left"/>
      <w:pPr>
        <w:ind w:left="2163" w:hanging="360"/>
      </w:pPr>
    </w:lvl>
    <w:lvl w:ilvl="2" w:tplc="0409001B" w:tentative="1">
      <w:start w:val="1"/>
      <w:numFmt w:val="lowerRoman"/>
      <w:lvlText w:val="%3."/>
      <w:lvlJc w:val="right"/>
      <w:pPr>
        <w:ind w:left="2883" w:hanging="180"/>
      </w:pPr>
    </w:lvl>
    <w:lvl w:ilvl="3" w:tplc="0409000F" w:tentative="1">
      <w:start w:val="1"/>
      <w:numFmt w:val="decimal"/>
      <w:lvlText w:val="%4."/>
      <w:lvlJc w:val="left"/>
      <w:pPr>
        <w:ind w:left="3603" w:hanging="360"/>
      </w:pPr>
    </w:lvl>
    <w:lvl w:ilvl="4" w:tplc="04090019" w:tentative="1">
      <w:start w:val="1"/>
      <w:numFmt w:val="lowerLetter"/>
      <w:lvlText w:val="%5."/>
      <w:lvlJc w:val="left"/>
      <w:pPr>
        <w:ind w:left="4323" w:hanging="360"/>
      </w:pPr>
    </w:lvl>
    <w:lvl w:ilvl="5" w:tplc="0409001B" w:tentative="1">
      <w:start w:val="1"/>
      <w:numFmt w:val="lowerRoman"/>
      <w:lvlText w:val="%6."/>
      <w:lvlJc w:val="right"/>
      <w:pPr>
        <w:ind w:left="5043" w:hanging="180"/>
      </w:pPr>
    </w:lvl>
    <w:lvl w:ilvl="6" w:tplc="0409000F" w:tentative="1">
      <w:start w:val="1"/>
      <w:numFmt w:val="decimal"/>
      <w:lvlText w:val="%7."/>
      <w:lvlJc w:val="left"/>
      <w:pPr>
        <w:ind w:left="5763" w:hanging="360"/>
      </w:pPr>
    </w:lvl>
    <w:lvl w:ilvl="7" w:tplc="04090019" w:tentative="1">
      <w:start w:val="1"/>
      <w:numFmt w:val="lowerLetter"/>
      <w:lvlText w:val="%8."/>
      <w:lvlJc w:val="left"/>
      <w:pPr>
        <w:ind w:left="6483" w:hanging="360"/>
      </w:pPr>
    </w:lvl>
    <w:lvl w:ilvl="8" w:tplc="0409001B" w:tentative="1">
      <w:start w:val="1"/>
      <w:numFmt w:val="lowerRoman"/>
      <w:lvlText w:val="%9."/>
      <w:lvlJc w:val="right"/>
      <w:pPr>
        <w:ind w:left="7203" w:hanging="180"/>
      </w:pPr>
    </w:lvl>
  </w:abstractNum>
  <w:abstractNum w:abstractNumId="4" w15:restartNumberingAfterBreak="0">
    <w:nsid w:val="191D1F91"/>
    <w:multiLevelType w:val="hybridMultilevel"/>
    <w:tmpl w:val="510EDAD6"/>
    <w:lvl w:ilvl="0" w:tplc="C1BA6D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400222"/>
    <w:multiLevelType w:val="hybridMultilevel"/>
    <w:tmpl w:val="25C441B4"/>
    <w:lvl w:ilvl="0" w:tplc="BA5CF688">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885E50"/>
    <w:multiLevelType w:val="hybridMultilevel"/>
    <w:tmpl w:val="F16C677A"/>
    <w:lvl w:ilvl="0" w:tplc="584A7872">
      <w:start w:val="1"/>
      <w:numFmt w:val="decimal"/>
      <w:lvlText w:val="%1"/>
      <w:lvlJc w:val="left"/>
      <w:pPr>
        <w:tabs>
          <w:tab w:val="num" w:pos="720"/>
        </w:tabs>
        <w:ind w:left="0" w:hanging="720"/>
      </w:pPr>
      <w:rPr>
        <w:rFonts w:ascii="Times New Roman" w:hAnsi="Times New Roman" w:hint="default"/>
        <w:b w:val="0"/>
        <w:i/>
        <w:sz w:val="20"/>
      </w:rPr>
    </w:lvl>
    <w:lvl w:ilvl="1" w:tplc="51C09B78">
      <w:start w:val="1"/>
      <w:numFmt w:val="decimal"/>
      <w:lvlText w:val="%2"/>
      <w:lvlJc w:val="left"/>
      <w:pPr>
        <w:tabs>
          <w:tab w:val="num" w:pos="720"/>
        </w:tabs>
        <w:ind w:left="0" w:hanging="720"/>
      </w:pPr>
      <w:rPr>
        <w:rFonts w:ascii="Times New Roman" w:hAnsi="Times New Roman" w:hint="default"/>
        <w:b w:val="0"/>
        <w:i/>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5253612"/>
    <w:multiLevelType w:val="hybridMultilevel"/>
    <w:tmpl w:val="1B224CDA"/>
    <w:lvl w:ilvl="0" w:tplc="F372E494">
      <w:start w:val="1"/>
      <w:numFmt w:val="decimal"/>
      <w:lvlText w:val="%1"/>
      <w:lvlJc w:val="left"/>
      <w:pPr>
        <w:ind w:left="1443" w:hanging="360"/>
      </w:pPr>
      <w:rPr>
        <w:rFonts w:ascii="Times New Roman" w:hAnsi="Times New Roman" w:hint="default"/>
        <w:b w:val="0"/>
        <w:i/>
        <w:sz w:val="24"/>
      </w:rPr>
    </w:lvl>
    <w:lvl w:ilvl="1" w:tplc="04090019" w:tentative="1">
      <w:start w:val="1"/>
      <w:numFmt w:val="lowerLetter"/>
      <w:lvlText w:val="%2."/>
      <w:lvlJc w:val="left"/>
      <w:pPr>
        <w:ind w:left="2163" w:hanging="360"/>
      </w:pPr>
    </w:lvl>
    <w:lvl w:ilvl="2" w:tplc="0409001B" w:tentative="1">
      <w:start w:val="1"/>
      <w:numFmt w:val="lowerRoman"/>
      <w:lvlText w:val="%3."/>
      <w:lvlJc w:val="right"/>
      <w:pPr>
        <w:ind w:left="2883" w:hanging="180"/>
      </w:pPr>
    </w:lvl>
    <w:lvl w:ilvl="3" w:tplc="0409000F" w:tentative="1">
      <w:start w:val="1"/>
      <w:numFmt w:val="decimal"/>
      <w:lvlText w:val="%4."/>
      <w:lvlJc w:val="left"/>
      <w:pPr>
        <w:ind w:left="3603" w:hanging="360"/>
      </w:pPr>
    </w:lvl>
    <w:lvl w:ilvl="4" w:tplc="04090019" w:tentative="1">
      <w:start w:val="1"/>
      <w:numFmt w:val="lowerLetter"/>
      <w:lvlText w:val="%5."/>
      <w:lvlJc w:val="left"/>
      <w:pPr>
        <w:ind w:left="4323" w:hanging="360"/>
      </w:pPr>
    </w:lvl>
    <w:lvl w:ilvl="5" w:tplc="0409001B" w:tentative="1">
      <w:start w:val="1"/>
      <w:numFmt w:val="lowerRoman"/>
      <w:lvlText w:val="%6."/>
      <w:lvlJc w:val="right"/>
      <w:pPr>
        <w:ind w:left="5043" w:hanging="180"/>
      </w:pPr>
    </w:lvl>
    <w:lvl w:ilvl="6" w:tplc="0409000F" w:tentative="1">
      <w:start w:val="1"/>
      <w:numFmt w:val="decimal"/>
      <w:lvlText w:val="%7."/>
      <w:lvlJc w:val="left"/>
      <w:pPr>
        <w:ind w:left="5763" w:hanging="360"/>
      </w:pPr>
    </w:lvl>
    <w:lvl w:ilvl="7" w:tplc="04090019" w:tentative="1">
      <w:start w:val="1"/>
      <w:numFmt w:val="lowerLetter"/>
      <w:lvlText w:val="%8."/>
      <w:lvlJc w:val="left"/>
      <w:pPr>
        <w:ind w:left="6483" w:hanging="360"/>
      </w:pPr>
    </w:lvl>
    <w:lvl w:ilvl="8" w:tplc="0409001B" w:tentative="1">
      <w:start w:val="1"/>
      <w:numFmt w:val="lowerRoman"/>
      <w:lvlText w:val="%9."/>
      <w:lvlJc w:val="right"/>
      <w:pPr>
        <w:ind w:left="7203" w:hanging="180"/>
      </w:pPr>
    </w:lvl>
  </w:abstractNum>
  <w:abstractNum w:abstractNumId="8" w15:restartNumberingAfterBreak="0">
    <w:nsid w:val="2C514F69"/>
    <w:multiLevelType w:val="hybridMultilevel"/>
    <w:tmpl w:val="72B636EE"/>
    <w:lvl w:ilvl="0" w:tplc="F372E494">
      <w:start w:val="1"/>
      <w:numFmt w:val="decimal"/>
      <w:lvlText w:val="%1"/>
      <w:lvlJc w:val="left"/>
      <w:pPr>
        <w:ind w:left="1443" w:hanging="360"/>
      </w:pPr>
      <w:rPr>
        <w:rFonts w:ascii="Times New Roman" w:hAnsi="Times New Roman" w:hint="default"/>
        <w:b w:val="0"/>
        <w:i/>
        <w:sz w:val="24"/>
      </w:rPr>
    </w:lvl>
    <w:lvl w:ilvl="1" w:tplc="04090019" w:tentative="1">
      <w:start w:val="1"/>
      <w:numFmt w:val="lowerLetter"/>
      <w:lvlText w:val="%2."/>
      <w:lvlJc w:val="left"/>
      <w:pPr>
        <w:ind w:left="2163" w:hanging="360"/>
      </w:pPr>
    </w:lvl>
    <w:lvl w:ilvl="2" w:tplc="0409001B" w:tentative="1">
      <w:start w:val="1"/>
      <w:numFmt w:val="lowerRoman"/>
      <w:lvlText w:val="%3."/>
      <w:lvlJc w:val="right"/>
      <w:pPr>
        <w:ind w:left="2883" w:hanging="180"/>
      </w:pPr>
    </w:lvl>
    <w:lvl w:ilvl="3" w:tplc="0409000F" w:tentative="1">
      <w:start w:val="1"/>
      <w:numFmt w:val="decimal"/>
      <w:lvlText w:val="%4."/>
      <w:lvlJc w:val="left"/>
      <w:pPr>
        <w:ind w:left="3603" w:hanging="360"/>
      </w:pPr>
    </w:lvl>
    <w:lvl w:ilvl="4" w:tplc="04090019" w:tentative="1">
      <w:start w:val="1"/>
      <w:numFmt w:val="lowerLetter"/>
      <w:lvlText w:val="%5."/>
      <w:lvlJc w:val="left"/>
      <w:pPr>
        <w:ind w:left="4323" w:hanging="360"/>
      </w:pPr>
    </w:lvl>
    <w:lvl w:ilvl="5" w:tplc="0409001B" w:tentative="1">
      <w:start w:val="1"/>
      <w:numFmt w:val="lowerRoman"/>
      <w:lvlText w:val="%6."/>
      <w:lvlJc w:val="right"/>
      <w:pPr>
        <w:ind w:left="5043" w:hanging="180"/>
      </w:pPr>
    </w:lvl>
    <w:lvl w:ilvl="6" w:tplc="0409000F" w:tentative="1">
      <w:start w:val="1"/>
      <w:numFmt w:val="decimal"/>
      <w:lvlText w:val="%7."/>
      <w:lvlJc w:val="left"/>
      <w:pPr>
        <w:ind w:left="5763" w:hanging="360"/>
      </w:pPr>
    </w:lvl>
    <w:lvl w:ilvl="7" w:tplc="04090019" w:tentative="1">
      <w:start w:val="1"/>
      <w:numFmt w:val="lowerLetter"/>
      <w:lvlText w:val="%8."/>
      <w:lvlJc w:val="left"/>
      <w:pPr>
        <w:ind w:left="6483" w:hanging="360"/>
      </w:pPr>
    </w:lvl>
    <w:lvl w:ilvl="8" w:tplc="0409001B" w:tentative="1">
      <w:start w:val="1"/>
      <w:numFmt w:val="lowerRoman"/>
      <w:lvlText w:val="%9."/>
      <w:lvlJc w:val="right"/>
      <w:pPr>
        <w:ind w:left="7203" w:hanging="180"/>
      </w:pPr>
    </w:lvl>
  </w:abstractNum>
  <w:abstractNum w:abstractNumId="9" w15:restartNumberingAfterBreak="0">
    <w:nsid w:val="2D986A62"/>
    <w:multiLevelType w:val="hybridMultilevel"/>
    <w:tmpl w:val="7D28EDD8"/>
    <w:lvl w:ilvl="0" w:tplc="1966C046">
      <w:start w:val="1"/>
      <w:numFmt w:val="decimal"/>
      <w:lvlText w:val="%1"/>
      <w:lvlJc w:val="left"/>
      <w:pPr>
        <w:ind w:left="0" w:hanging="720"/>
      </w:pPr>
      <w:rPr>
        <w:rFonts w:ascii="Times New Roman" w:hAnsi="Times New Roman" w:hint="default"/>
        <w:b w:val="0"/>
        <w:i/>
        <w:sz w:val="24"/>
      </w:rPr>
    </w:lvl>
    <w:lvl w:ilvl="1" w:tplc="04090019" w:tentative="1">
      <w:start w:val="1"/>
      <w:numFmt w:val="lowerLetter"/>
      <w:lvlText w:val="%2."/>
      <w:lvlJc w:val="left"/>
      <w:pPr>
        <w:ind w:left="2163" w:hanging="360"/>
      </w:pPr>
    </w:lvl>
    <w:lvl w:ilvl="2" w:tplc="0409001B" w:tentative="1">
      <w:start w:val="1"/>
      <w:numFmt w:val="lowerRoman"/>
      <w:lvlText w:val="%3."/>
      <w:lvlJc w:val="right"/>
      <w:pPr>
        <w:ind w:left="2883" w:hanging="180"/>
      </w:pPr>
    </w:lvl>
    <w:lvl w:ilvl="3" w:tplc="0409000F" w:tentative="1">
      <w:start w:val="1"/>
      <w:numFmt w:val="decimal"/>
      <w:lvlText w:val="%4."/>
      <w:lvlJc w:val="left"/>
      <w:pPr>
        <w:ind w:left="3603" w:hanging="360"/>
      </w:pPr>
    </w:lvl>
    <w:lvl w:ilvl="4" w:tplc="04090019" w:tentative="1">
      <w:start w:val="1"/>
      <w:numFmt w:val="lowerLetter"/>
      <w:lvlText w:val="%5."/>
      <w:lvlJc w:val="left"/>
      <w:pPr>
        <w:ind w:left="4323" w:hanging="360"/>
      </w:pPr>
    </w:lvl>
    <w:lvl w:ilvl="5" w:tplc="0409001B" w:tentative="1">
      <w:start w:val="1"/>
      <w:numFmt w:val="lowerRoman"/>
      <w:lvlText w:val="%6."/>
      <w:lvlJc w:val="right"/>
      <w:pPr>
        <w:ind w:left="5043" w:hanging="180"/>
      </w:pPr>
    </w:lvl>
    <w:lvl w:ilvl="6" w:tplc="0409000F" w:tentative="1">
      <w:start w:val="1"/>
      <w:numFmt w:val="decimal"/>
      <w:lvlText w:val="%7."/>
      <w:lvlJc w:val="left"/>
      <w:pPr>
        <w:ind w:left="5763" w:hanging="360"/>
      </w:pPr>
    </w:lvl>
    <w:lvl w:ilvl="7" w:tplc="04090019" w:tentative="1">
      <w:start w:val="1"/>
      <w:numFmt w:val="lowerLetter"/>
      <w:lvlText w:val="%8."/>
      <w:lvlJc w:val="left"/>
      <w:pPr>
        <w:ind w:left="6483" w:hanging="360"/>
      </w:pPr>
    </w:lvl>
    <w:lvl w:ilvl="8" w:tplc="0409001B" w:tentative="1">
      <w:start w:val="1"/>
      <w:numFmt w:val="lowerRoman"/>
      <w:lvlText w:val="%9."/>
      <w:lvlJc w:val="right"/>
      <w:pPr>
        <w:ind w:left="7203" w:hanging="180"/>
      </w:pPr>
    </w:lvl>
  </w:abstractNum>
  <w:abstractNum w:abstractNumId="10" w15:restartNumberingAfterBreak="0">
    <w:nsid w:val="2E43721B"/>
    <w:multiLevelType w:val="hybridMultilevel"/>
    <w:tmpl w:val="CB227010"/>
    <w:lvl w:ilvl="0" w:tplc="FFFFFFFF">
      <w:start w:val="1"/>
      <w:numFmt w:val="decimal"/>
      <w:pStyle w:val="Heading4"/>
      <w:lvlText w:val="%1"/>
      <w:lvlJc w:val="left"/>
      <w:pPr>
        <w:tabs>
          <w:tab w:val="num" w:pos="0"/>
        </w:tabs>
        <w:ind w:left="72" w:hanging="792"/>
      </w:pPr>
      <w:rPr>
        <w:rFonts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5DD2387"/>
    <w:multiLevelType w:val="hybridMultilevel"/>
    <w:tmpl w:val="13726532"/>
    <w:lvl w:ilvl="0" w:tplc="9EC6C008">
      <w:start w:val="8"/>
      <w:numFmt w:val="upperRoman"/>
      <w:lvlText w:val="%1."/>
      <w:lvlJc w:val="left"/>
      <w:pPr>
        <w:ind w:left="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B752EB"/>
    <w:multiLevelType w:val="hybridMultilevel"/>
    <w:tmpl w:val="754ED5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5C6A95"/>
    <w:multiLevelType w:val="hybridMultilevel"/>
    <w:tmpl w:val="28A21372"/>
    <w:lvl w:ilvl="0" w:tplc="F372E494">
      <w:start w:val="1"/>
      <w:numFmt w:val="decimal"/>
      <w:lvlText w:val="%1"/>
      <w:lvlJc w:val="left"/>
      <w:pPr>
        <w:ind w:left="1443" w:hanging="360"/>
      </w:pPr>
      <w:rPr>
        <w:rFonts w:ascii="Times New Roman" w:hAnsi="Times New Roman" w:hint="default"/>
        <w:b w:val="0"/>
        <w:i/>
        <w:sz w:val="24"/>
      </w:rPr>
    </w:lvl>
    <w:lvl w:ilvl="1" w:tplc="04090019" w:tentative="1">
      <w:start w:val="1"/>
      <w:numFmt w:val="lowerLetter"/>
      <w:lvlText w:val="%2."/>
      <w:lvlJc w:val="left"/>
      <w:pPr>
        <w:ind w:left="2163" w:hanging="360"/>
      </w:pPr>
    </w:lvl>
    <w:lvl w:ilvl="2" w:tplc="0409001B" w:tentative="1">
      <w:start w:val="1"/>
      <w:numFmt w:val="lowerRoman"/>
      <w:lvlText w:val="%3."/>
      <w:lvlJc w:val="right"/>
      <w:pPr>
        <w:ind w:left="2883" w:hanging="180"/>
      </w:pPr>
    </w:lvl>
    <w:lvl w:ilvl="3" w:tplc="0409000F" w:tentative="1">
      <w:start w:val="1"/>
      <w:numFmt w:val="decimal"/>
      <w:lvlText w:val="%4."/>
      <w:lvlJc w:val="left"/>
      <w:pPr>
        <w:ind w:left="3603" w:hanging="360"/>
      </w:pPr>
    </w:lvl>
    <w:lvl w:ilvl="4" w:tplc="04090019" w:tentative="1">
      <w:start w:val="1"/>
      <w:numFmt w:val="lowerLetter"/>
      <w:lvlText w:val="%5."/>
      <w:lvlJc w:val="left"/>
      <w:pPr>
        <w:ind w:left="4323" w:hanging="360"/>
      </w:pPr>
    </w:lvl>
    <w:lvl w:ilvl="5" w:tplc="0409001B" w:tentative="1">
      <w:start w:val="1"/>
      <w:numFmt w:val="lowerRoman"/>
      <w:lvlText w:val="%6."/>
      <w:lvlJc w:val="right"/>
      <w:pPr>
        <w:ind w:left="5043" w:hanging="180"/>
      </w:pPr>
    </w:lvl>
    <w:lvl w:ilvl="6" w:tplc="0409000F" w:tentative="1">
      <w:start w:val="1"/>
      <w:numFmt w:val="decimal"/>
      <w:lvlText w:val="%7."/>
      <w:lvlJc w:val="left"/>
      <w:pPr>
        <w:ind w:left="5763" w:hanging="360"/>
      </w:pPr>
    </w:lvl>
    <w:lvl w:ilvl="7" w:tplc="04090019" w:tentative="1">
      <w:start w:val="1"/>
      <w:numFmt w:val="lowerLetter"/>
      <w:lvlText w:val="%8."/>
      <w:lvlJc w:val="left"/>
      <w:pPr>
        <w:ind w:left="6483" w:hanging="360"/>
      </w:pPr>
    </w:lvl>
    <w:lvl w:ilvl="8" w:tplc="0409001B" w:tentative="1">
      <w:start w:val="1"/>
      <w:numFmt w:val="lowerRoman"/>
      <w:lvlText w:val="%9."/>
      <w:lvlJc w:val="right"/>
      <w:pPr>
        <w:ind w:left="7203" w:hanging="180"/>
      </w:pPr>
    </w:lvl>
  </w:abstractNum>
  <w:abstractNum w:abstractNumId="14" w15:restartNumberingAfterBreak="0">
    <w:nsid w:val="538009BA"/>
    <w:multiLevelType w:val="hybridMultilevel"/>
    <w:tmpl w:val="A47A679A"/>
    <w:lvl w:ilvl="0" w:tplc="F372E494">
      <w:start w:val="1"/>
      <w:numFmt w:val="decimal"/>
      <w:lvlText w:val="%1"/>
      <w:lvlJc w:val="left"/>
      <w:pPr>
        <w:ind w:left="1443" w:hanging="360"/>
      </w:pPr>
      <w:rPr>
        <w:rFonts w:ascii="Times New Roman" w:hAnsi="Times New Roman" w:hint="default"/>
        <w:b w:val="0"/>
        <w:i/>
        <w:sz w:val="24"/>
      </w:rPr>
    </w:lvl>
    <w:lvl w:ilvl="1" w:tplc="04090019" w:tentative="1">
      <w:start w:val="1"/>
      <w:numFmt w:val="lowerLetter"/>
      <w:lvlText w:val="%2."/>
      <w:lvlJc w:val="left"/>
      <w:pPr>
        <w:ind w:left="2163" w:hanging="360"/>
      </w:pPr>
    </w:lvl>
    <w:lvl w:ilvl="2" w:tplc="0409001B" w:tentative="1">
      <w:start w:val="1"/>
      <w:numFmt w:val="lowerRoman"/>
      <w:lvlText w:val="%3."/>
      <w:lvlJc w:val="right"/>
      <w:pPr>
        <w:ind w:left="2883" w:hanging="180"/>
      </w:pPr>
    </w:lvl>
    <w:lvl w:ilvl="3" w:tplc="0409000F" w:tentative="1">
      <w:start w:val="1"/>
      <w:numFmt w:val="decimal"/>
      <w:lvlText w:val="%4."/>
      <w:lvlJc w:val="left"/>
      <w:pPr>
        <w:ind w:left="3603" w:hanging="360"/>
      </w:pPr>
    </w:lvl>
    <w:lvl w:ilvl="4" w:tplc="04090019" w:tentative="1">
      <w:start w:val="1"/>
      <w:numFmt w:val="lowerLetter"/>
      <w:lvlText w:val="%5."/>
      <w:lvlJc w:val="left"/>
      <w:pPr>
        <w:ind w:left="4323" w:hanging="360"/>
      </w:pPr>
    </w:lvl>
    <w:lvl w:ilvl="5" w:tplc="0409001B" w:tentative="1">
      <w:start w:val="1"/>
      <w:numFmt w:val="lowerRoman"/>
      <w:lvlText w:val="%6."/>
      <w:lvlJc w:val="right"/>
      <w:pPr>
        <w:ind w:left="5043" w:hanging="180"/>
      </w:pPr>
    </w:lvl>
    <w:lvl w:ilvl="6" w:tplc="0409000F" w:tentative="1">
      <w:start w:val="1"/>
      <w:numFmt w:val="decimal"/>
      <w:lvlText w:val="%7."/>
      <w:lvlJc w:val="left"/>
      <w:pPr>
        <w:ind w:left="5763" w:hanging="360"/>
      </w:pPr>
    </w:lvl>
    <w:lvl w:ilvl="7" w:tplc="04090019" w:tentative="1">
      <w:start w:val="1"/>
      <w:numFmt w:val="lowerLetter"/>
      <w:lvlText w:val="%8."/>
      <w:lvlJc w:val="left"/>
      <w:pPr>
        <w:ind w:left="6483" w:hanging="360"/>
      </w:pPr>
    </w:lvl>
    <w:lvl w:ilvl="8" w:tplc="0409001B" w:tentative="1">
      <w:start w:val="1"/>
      <w:numFmt w:val="lowerRoman"/>
      <w:lvlText w:val="%9."/>
      <w:lvlJc w:val="right"/>
      <w:pPr>
        <w:ind w:left="7203" w:hanging="180"/>
      </w:pPr>
    </w:lvl>
  </w:abstractNum>
  <w:abstractNum w:abstractNumId="15" w15:restartNumberingAfterBreak="0">
    <w:nsid w:val="5541701A"/>
    <w:multiLevelType w:val="hybridMultilevel"/>
    <w:tmpl w:val="D1E03904"/>
    <w:lvl w:ilvl="0" w:tplc="F372E494">
      <w:start w:val="1"/>
      <w:numFmt w:val="decimal"/>
      <w:lvlText w:val="%1"/>
      <w:lvlJc w:val="left"/>
      <w:pPr>
        <w:ind w:left="720" w:hanging="360"/>
      </w:pPr>
      <w:rPr>
        <w:rFonts w:ascii="Times New Roman" w:hAnsi="Times New Roman" w:hint="default"/>
        <w:b w:val="0"/>
        <w:i/>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815DED"/>
    <w:multiLevelType w:val="hybridMultilevel"/>
    <w:tmpl w:val="1FEA94F0"/>
    <w:lvl w:ilvl="0" w:tplc="1966C046">
      <w:start w:val="1"/>
      <w:numFmt w:val="decimal"/>
      <w:lvlText w:val="%1"/>
      <w:lvlJc w:val="left"/>
      <w:pPr>
        <w:ind w:left="723" w:hanging="720"/>
      </w:pPr>
      <w:rPr>
        <w:rFonts w:ascii="Times New Roman" w:hAnsi="Times New Roman" w:hint="default"/>
        <w:b w:val="0"/>
        <w:i/>
        <w:sz w:val="24"/>
      </w:rPr>
    </w:lvl>
    <w:lvl w:ilvl="1" w:tplc="04090019" w:tentative="1">
      <w:start w:val="1"/>
      <w:numFmt w:val="lowerLetter"/>
      <w:lvlText w:val="%2."/>
      <w:lvlJc w:val="left"/>
      <w:pPr>
        <w:ind w:left="2163" w:hanging="360"/>
      </w:pPr>
    </w:lvl>
    <w:lvl w:ilvl="2" w:tplc="0409001B" w:tentative="1">
      <w:start w:val="1"/>
      <w:numFmt w:val="lowerRoman"/>
      <w:lvlText w:val="%3."/>
      <w:lvlJc w:val="right"/>
      <w:pPr>
        <w:ind w:left="2883" w:hanging="180"/>
      </w:pPr>
    </w:lvl>
    <w:lvl w:ilvl="3" w:tplc="0409000F" w:tentative="1">
      <w:start w:val="1"/>
      <w:numFmt w:val="decimal"/>
      <w:lvlText w:val="%4."/>
      <w:lvlJc w:val="left"/>
      <w:pPr>
        <w:ind w:left="3603" w:hanging="360"/>
      </w:pPr>
    </w:lvl>
    <w:lvl w:ilvl="4" w:tplc="04090019" w:tentative="1">
      <w:start w:val="1"/>
      <w:numFmt w:val="lowerLetter"/>
      <w:lvlText w:val="%5."/>
      <w:lvlJc w:val="left"/>
      <w:pPr>
        <w:ind w:left="4323" w:hanging="360"/>
      </w:pPr>
    </w:lvl>
    <w:lvl w:ilvl="5" w:tplc="0409001B" w:tentative="1">
      <w:start w:val="1"/>
      <w:numFmt w:val="lowerRoman"/>
      <w:lvlText w:val="%6."/>
      <w:lvlJc w:val="right"/>
      <w:pPr>
        <w:ind w:left="5043" w:hanging="180"/>
      </w:pPr>
    </w:lvl>
    <w:lvl w:ilvl="6" w:tplc="0409000F" w:tentative="1">
      <w:start w:val="1"/>
      <w:numFmt w:val="decimal"/>
      <w:lvlText w:val="%7."/>
      <w:lvlJc w:val="left"/>
      <w:pPr>
        <w:ind w:left="5763" w:hanging="360"/>
      </w:pPr>
    </w:lvl>
    <w:lvl w:ilvl="7" w:tplc="04090019" w:tentative="1">
      <w:start w:val="1"/>
      <w:numFmt w:val="lowerLetter"/>
      <w:lvlText w:val="%8."/>
      <w:lvlJc w:val="left"/>
      <w:pPr>
        <w:ind w:left="6483" w:hanging="360"/>
      </w:pPr>
    </w:lvl>
    <w:lvl w:ilvl="8" w:tplc="0409001B" w:tentative="1">
      <w:start w:val="1"/>
      <w:numFmt w:val="lowerRoman"/>
      <w:lvlText w:val="%9."/>
      <w:lvlJc w:val="right"/>
      <w:pPr>
        <w:ind w:left="7203" w:hanging="180"/>
      </w:pPr>
    </w:lvl>
  </w:abstractNum>
  <w:abstractNum w:abstractNumId="17" w15:restartNumberingAfterBreak="0">
    <w:nsid w:val="67A577AE"/>
    <w:multiLevelType w:val="hybridMultilevel"/>
    <w:tmpl w:val="41BAF1BA"/>
    <w:lvl w:ilvl="0" w:tplc="F372E494">
      <w:start w:val="1"/>
      <w:numFmt w:val="decimal"/>
      <w:lvlText w:val="%1"/>
      <w:lvlJc w:val="left"/>
      <w:pPr>
        <w:ind w:left="720" w:hanging="360"/>
      </w:pPr>
      <w:rPr>
        <w:rFonts w:ascii="Times New Roman" w:hAnsi="Times New Roman" w:hint="default"/>
        <w:b w:val="0"/>
        <w:i/>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DB73CE"/>
    <w:multiLevelType w:val="hybridMultilevel"/>
    <w:tmpl w:val="7B5638D4"/>
    <w:lvl w:ilvl="0" w:tplc="5FCEE4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A84E83"/>
    <w:multiLevelType w:val="hybridMultilevel"/>
    <w:tmpl w:val="76CCF818"/>
    <w:lvl w:ilvl="0" w:tplc="F372E494">
      <w:start w:val="1"/>
      <w:numFmt w:val="decimal"/>
      <w:lvlText w:val="%1"/>
      <w:lvlJc w:val="left"/>
      <w:pPr>
        <w:ind w:left="1443" w:hanging="360"/>
      </w:pPr>
      <w:rPr>
        <w:rFonts w:ascii="Times New Roman" w:hAnsi="Times New Roman" w:hint="default"/>
        <w:b w:val="0"/>
        <w:i/>
        <w:sz w:val="24"/>
      </w:rPr>
    </w:lvl>
    <w:lvl w:ilvl="1" w:tplc="04090019" w:tentative="1">
      <w:start w:val="1"/>
      <w:numFmt w:val="lowerLetter"/>
      <w:lvlText w:val="%2."/>
      <w:lvlJc w:val="left"/>
      <w:pPr>
        <w:ind w:left="2163" w:hanging="360"/>
      </w:pPr>
    </w:lvl>
    <w:lvl w:ilvl="2" w:tplc="0409001B" w:tentative="1">
      <w:start w:val="1"/>
      <w:numFmt w:val="lowerRoman"/>
      <w:lvlText w:val="%3."/>
      <w:lvlJc w:val="right"/>
      <w:pPr>
        <w:ind w:left="2883" w:hanging="180"/>
      </w:pPr>
    </w:lvl>
    <w:lvl w:ilvl="3" w:tplc="0409000F" w:tentative="1">
      <w:start w:val="1"/>
      <w:numFmt w:val="decimal"/>
      <w:lvlText w:val="%4."/>
      <w:lvlJc w:val="left"/>
      <w:pPr>
        <w:ind w:left="3603" w:hanging="360"/>
      </w:pPr>
    </w:lvl>
    <w:lvl w:ilvl="4" w:tplc="04090019" w:tentative="1">
      <w:start w:val="1"/>
      <w:numFmt w:val="lowerLetter"/>
      <w:lvlText w:val="%5."/>
      <w:lvlJc w:val="left"/>
      <w:pPr>
        <w:ind w:left="4323" w:hanging="360"/>
      </w:pPr>
    </w:lvl>
    <w:lvl w:ilvl="5" w:tplc="0409001B" w:tentative="1">
      <w:start w:val="1"/>
      <w:numFmt w:val="lowerRoman"/>
      <w:lvlText w:val="%6."/>
      <w:lvlJc w:val="right"/>
      <w:pPr>
        <w:ind w:left="5043" w:hanging="180"/>
      </w:pPr>
    </w:lvl>
    <w:lvl w:ilvl="6" w:tplc="0409000F" w:tentative="1">
      <w:start w:val="1"/>
      <w:numFmt w:val="decimal"/>
      <w:lvlText w:val="%7."/>
      <w:lvlJc w:val="left"/>
      <w:pPr>
        <w:ind w:left="5763" w:hanging="360"/>
      </w:pPr>
    </w:lvl>
    <w:lvl w:ilvl="7" w:tplc="04090019" w:tentative="1">
      <w:start w:val="1"/>
      <w:numFmt w:val="lowerLetter"/>
      <w:lvlText w:val="%8."/>
      <w:lvlJc w:val="left"/>
      <w:pPr>
        <w:ind w:left="6483" w:hanging="360"/>
      </w:pPr>
    </w:lvl>
    <w:lvl w:ilvl="8" w:tplc="0409001B" w:tentative="1">
      <w:start w:val="1"/>
      <w:numFmt w:val="lowerRoman"/>
      <w:lvlText w:val="%9."/>
      <w:lvlJc w:val="right"/>
      <w:pPr>
        <w:ind w:left="7203" w:hanging="180"/>
      </w:pPr>
    </w:lvl>
  </w:abstractNum>
  <w:abstractNum w:abstractNumId="20" w15:restartNumberingAfterBreak="0">
    <w:nsid w:val="74547B43"/>
    <w:multiLevelType w:val="hybridMultilevel"/>
    <w:tmpl w:val="510EDAD6"/>
    <w:lvl w:ilvl="0" w:tplc="C1BA6D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86757A0"/>
    <w:multiLevelType w:val="hybridMultilevel"/>
    <w:tmpl w:val="BA4A2E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
  </w:num>
  <w:num w:numId="3">
    <w:abstractNumId w:val="18"/>
  </w:num>
  <w:num w:numId="4">
    <w:abstractNumId w:val="4"/>
  </w:num>
  <w:num w:numId="5">
    <w:abstractNumId w:val="21"/>
  </w:num>
  <w:num w:numId="6">
    <w:abstractNumId w:val="6"/>
  </w:num>
  <w:num w:numId="7">
    <w:abstractNumId w:val="5"/>
  </w:num>
  <w:num w:numId="8">
    <w:abstractNumId w:val="20"/>
  </w:num>
  <w:num w:numId="9">
    <w:abstractNumId w:val="9"/>
  </w:num>
  <w:num w:numId="10">
    <w:abstractNumId w:val="7"/>
  </w:num>
  <w:num w:numId="11">
    <w:abstractNumId w:val="19"/>
  </w:num>
  <w:num w:numId="12">
    <w:abstractNumId w:val="14"/>
  </w:num>
  <w:num w:numId="13">
    <w:abstractNumId w:val="17"/>
  </w:num>
  <w:num w:numId="14">
    <w:abstractNumId w:val="16"/>
  </w:num>
  <w:num w:numId="15">
    <w:abstractNumId w:val="3"/>
  </w:num>
  <w:num w:numId="16">
    <w:abstractNumId w:val="1"/>
  </w:num>
  <w:num w:numId="17">
    <w:abstractNumId w:val="0"/>
  </w:num>
  <w:num w:numId="18">
    <w:abstractNumId w:val="11"/>
  </w:num>
  <w:num w:numId="19">
    <w:abstractNumId w:val="8"/>
  </w:num>
  <w:num w:numId="20">
    <w:abstractNumId w:val="15"/>
  </w:num>
  <w:num w:numId="21">
    <w:abstractNumId w:val="12"/>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8D8"/>
    <w:rsid w:val="000103CB"/>
    <w:rsid w:val="000110F5"/>
    <w:rsid w:val="000156D9"/>
    <w:rsid w:val="000217C4"/>
    <w:rsid w:val="0002366F"/>
    <w:rsid w:val="00024EA9"/>
    <w:rsid w:val="00025DB8"/>
    <w:rsid w:val="00026609"/>
    <w:rsid w:val="000267AC"/>
    <w:rsid w:val="00032F6E"/>
    <w:rsid w:val="000345F8"/>
    <w:rsid w:val="00043E14"/>
    <w:rsid w:val="00067F42"/>
    <w:rsid w:val="00070BD2"/>
    <w:rsid w:val="00081D55"/>
    <w:rsid w:val="0008461B"/>
    <w:rsid w:val="000851ED"/>
    <w:rsid w:val="00085D94"/>
    <w:rsid w:val="00087895"/>
    <w:rsid w:val="000B3A48"/>
    <w:rsid w:val="000B7EC8"/>
    <w:rsid w:val="000C53DB"/>
    <w:rsid w:val="000C640C"/>
    <w:rsid w:val="000C73E1"/>
    <w:rsid w:val="000E5544"/>
    <w:rsid w:val="000F172D"/>
    <w:rsid w:val="000F39AA"/>
    <w:rsid w:val="000F64C9"/>
    <w:rsid w:val="00103168"/>
    <w:rsid w:val="0011239A"/>
    <w:rsid w:val="00112F9E"/>
    <w:rsid w:val="00113658"/>
    <w:rsid w:val="0012310F"/>
    <w:rsid w:val="00123DA5"/>
    <w:rsid w:val="00150D42"/>
    <w:rsid w:val="00151CE6"/>
    <w:rsid w:val="00154072"/>
    <w:rsid w:val="001574A0"/>
    <w:rsid w:val="00157D34"/>
    <w:rsid w:val="00167197"/>
    <w:rsid w:val="00170B85"/>
    <w:rsid w:val="00171A04"/>
    <w:rsid w:val="001736D1"/>
    <w:rsid w:val="00195E38"/>
    <w:rsid w:val="001A117B"/>
    <w:rsid w:val="001A3E51"/>
    <w:rsid w:val="001B05F7"/>
    <w:rsid w:val="001B2300"/>
    <w:rsid w:val="001B503E"/>
    <w:rsid w:val="001B68B6"/>
    <w:rsid w:val="001B7880"/>
    <w:rsid w:val="001B7ED5"/>
    <w:rsid w:val="001C7EFA"/>
    <w:rsid w:val="001D16CA"/>
    <w:rsid w:val="001D261D"/>
    <w:rsid w:val="001D3FD2"/>
    <w:rsid w:val="001E11B4"/>
    <w:rsid w:val="001F0E91"/>
    <w:rsid w:val="001F3EBD"/>
    <w:rsid w:val="002324B1"/>
    <w:rsid w:val="00233A21"/>
    <w:rsid w:val="00235506"/>
    <w:rsid w:val="00236972"/>
    <w:rsid w:val="00243291"/>
    <w:rsid w:val="00243EC4"/>
    <w:rsid w:val="00251C5B"/>
    <w:rsid w:val="00252CCA"/>
    <w:rsid w:val="00255923"/>
    <w:rsid w:val="00257244"/>
    <w:rsid w:val="0026136A"/>
    <w:rsid w:val="0026431C"/>
    <w:rsid w:val="00266D4D"/>
    <w:rsid w:val="00267625"/>
    <w:rsid w:val="00270CFF"/>
    <w:rsid w:val="002718D3"/>
    <w:rsid w:val="00275C18"/>
    <w:rsid w:val="00276B08"/>
    <w:rsid w:val="00294939"/>
    <w:rsid w:val="0029682E"/>
    <w:rsid w:val="002A26AF"/>
    <w:rsid w:val="002B1056"/>
    <w:rsid w:val="002D1E46"/>
    <w:rsid w:val="002E0209"/>
    <w:rsid w:val="002E2369"/>
    <w:rsid w:val="002F1103"/>
    <w:rsid w:val="00301085"/>
    <w:rsid w:val="003020F3"/>
    <w:rsid w:val="0030735B"/>
    <w:rsid w:val="00310C59"/>
    <w:rsid w:val="00317767"/>
    <w:rsid w:val="00324BFD"/>
    <w:rsid w:val="00324C32"/>
    <w:rsid w:val="00324C39"/>
    <w:rsid w:val="003277CC"/>
    <w:rsid w:val="00353CEB"/>
    <w:rsid w:val="00367316"/>
    <w:rsid w:val="00374054"/>
    <w:rsid w:val="00380B25"/>
    <w:rsid w:val="00386D6C"/>
    <w:rsid w:val="00387C7B"/>
    <w:rsid w:val="00393C2B"/>
    <w:rsid w:val="003B185C"/>
    <w:rsid w:val="003B610D"/>
    <w:rsid w:val="003C5390"/>
    <w:rsid w:val="003D3ACE"/>
    <w:rsid w:val="003D4CA3"/>
    <w:rsid w:val="003D5656"/>
    <w:rsid w:val="003E191A"/>
    <w:rsid w:val="003E3B7E"/>
    <w:rsid w:val="003E73AB"/>
    <w:rsid w:val="003F1945"/>
    <w:rsid w:val="003F4844"/>
    <w:rsid w:val="003F4E6F"/>
    <w:rsid w:val="003F531D"/>
    <w:rsid w:val="004064B1"/>
    <w:rsid w:val="00406D36"/>
    <w:rsid w:val="00420F5F"/>
    <w:rsid w:val="004214C9"/>
    <w:rsid w:val="00423C62"/>
    <w:rsid w:val="0042717F"/>
    <w:rsid w:val="004323EF"/>
    <w:rsid w:val="00433988"/>
    <w:rsid w:val="00443E31"/>
    <w:rsid w:val="00447D74"/>
    <w:rsid w:val="00451D26"/>
    <w:rsid w:val="00452553"/>
    <w:rsid w:val="00456BE8"/>
    <w:rsid w:val="00462D68"/>
    <w:rsid w:val="0046385F"/>
    <w:rsid w:val="00466982"/>
    <w:rsid w:val="004717E6"/>
    <w:rsid w:val="00471EEE"/>
    <w:rsid w:val="00481C50"/>
    <w:rsid w:val="0049066A"/>
    <w:rsid w:val="004908FC"/>
    <w:rsid w:val="0049204E"/>
    <w:rsid w:val="004928F1"/>
    <w:rsid w:val="00492C17"/>
    <w:rsid w:val="004A26FF"/>
    <w:rsid w:val="004A4F64"/>
    <w:rsid w:val="004B3D50"/>
    <w:rsid w:val="004B4F32"/>
    <w:rsid w:val="004C1998"/>
    <w:rsid w:val="004C3D65"/>
    <w:rsid w:val="004C76CF"/>
    <w:rsid w:val="004D5199"/>
    <w:rsid w:val="004F2261"/>
    <w:rsid w:val="004F511D"/>
    <w:rsid w:val="004F565C"/>
    <w:rsid w:val="004F5B02"/>
    <w:rsid w:val="004F69A5"/>
    <w:rsid w:val="004F7B69"/>
    <w:rsid w:val="00501FFC"/>
    <w:rsid w:val="00510BE8"/>
    <w:rsid w:val="0054627B"/>
    <w:rsid w:val="00547A68"/>
    <w:rsid w:val="0055251B"/>
    <w:rsid w:val="005623BC"/>
    <w:rsid w:val="005802FA"/>
    <w:rsid w:val="005826C5"/>
    <w:rsid w:val="00585160"/>
    <w:rsid w:val="00587091"/>
    <w:rsid w:val="0059020B"/>
    <w:rsid w:val="0059322B"/>
    <w:rsid w:val="00595D41"/>
    <w:rsid w:val="00595F0F"/>
    <w:rsid w:val="005965A2"/>
    <w:rsid w:val="005A19EA"/>
    <w:rsid w:val="005A1DFC"/>
    <w:rsid w:val="005A2416"/>
    <w:rsid w:val="005A5B2B"/>
    <w:rsid w:val="005B0A40"/>
    <w:rsid w:val="005B1B2B"/>
    <w:rsid w:val="005C279B"/>
    <w:rsid w:val="005C4621"/>
    <w:rsid w:val="005E07C2"/>
    <w:rsid w:val="005E1A95"/>
    <w:rsid w:val="005F1C30"/>
    <w:rsid w:val="005F29CE"/>
    <w:rsid w:val="005F79B2"/>
    <w:rsid w:val="0061056A"/>
    <w:rsid w:val="00626B27"/>
    <w:rsid w:val="00636F8D"/>
    <w:rsid w:val="00641F98"/>
    <w:rsid w:val="006467D9"/>
    <w:rsid w:val="0065561B"/>
    <w:rsid w:val="00662CAA"/>
    <w:rsid w:val="006770D3"/>
    <w:rsid w:val="006C6C20"/>
    <w:rsid w:val="006C6F4A"/>
    <w:rsid w:val="006D3273"/>
    <w:rsid w:val="006D45B4"/>
    <w:rsid w:val="006D4D87"/>
    <w:rsid w:val="006D5D6E"/>
    <w:rsid w:val="006F00FF"/>
    <w:rsid w:val="00714724"/>
    <w:rsid w:val="00716671"/>
    <w:rsid w:val="00724C0A"/>
    <w:rsid w:val="00727BC1"/>
    <w:rsid w:val="007330EC"/>
    <w:rsid w:val="007350E4"/>
    <w:rsid w:val="00737B08"/>
    <w:rsid w:val="00740A44"/>
    <w:rsid w:val="007464F1"/>
    <w:rsid w:val="00750ECC"/>
    <w:rsid w:val="007542DC"/>
    <w:rsid w:val="00764D35"/>
    <w:rsid w:val="00765ED7"/>
    <w:rsid w:val="0076699B"/>
    <w:rsid w:val="0077240C"/>
    <w:rsid w:val="00774641"/>
    <w:rsid w:val="00776DA8"/>
    <w:rsid w:val="00781EFE"/>
    <w:rsid w:val="0078750B"/>
    <w:rsid w:val="00787974"/>
    <w:rsid w:val="00796701"/>
    <w:rsid w:val="00796D3F"/>
    <w:rsid w:val="007A208F"/>
    <w:rsid w:val="007A77D9"/>
    <w:rsid w:val="007B601E"/>
    <w:rsid w:val="007B6FB1"/>
    <w:rsid w:val="007C1BA6"/>
    <w:rsid w:val="007C2B66"/>
    <w:rsid w:val="007C6AF6"/>
    <w:rsid w:val="007D3A1D"/>
    <w:rsid w:val="007D60F1"/>
    <w:rsid w:val="007D6D31"/>
    <w:rsid w:val="007E505B"/>
    <w:rsid w:val="008001AE"/>
    <w:rsid w:val="00800EF6"/>
    <w:rsid w:val="008210BC"/>
    <w:rsid w:val="00822A36"/>
    <w:rsid w:val="00825A0C"/>
    <w:rsid w:val="00826C97"/>
    <w:rsid w:val="008273D3"/>
    <w:rsid w:val="00835284"/>
    <w:rsid w:val="00840BD5"/>
    <w:rsid w:val="00855FE1"/>
    <w:rsid w:val="00856B83"/>
    <w:rsid w:val="00860FE1"/>
    <w:rsid w:val="00881B82"/>
    <w:rsid w:val="0089062F"/>
    <w:rsid w:val="00893A57"/>
    <w:rsid w:val="008A6D79"/>
    <w:rsid w:val="008A7D02"/>
    <w:rsid w:val="008B3B1B"/>
    <w:rsid w:val="008C0D60"/>
    <w:rsid w:val="008C127E"/>
    <w:rsid w:val="008C420B"/>
    <w:rsid w:val="008D4F94"/>
    <w:rsid w:val="008E18FD"/>
    <w:rsid w:val="008F2F8D"/>
    <w:rsid w:val="008F78FA"/>
    <w:rsid w:val="0090268A"/>
    <w:rsid w:val="00915787"/>
    <w:rsid w:val="00935901"/>
    <w:rsid w:val="00936888"/>
    <w:rsid w:val="0096029B"/>
    <w:rsid w:val="009610F5"/>
    <w:rsid w:val="00962265"/>
    <w:rsid w:val="00970E3B"/>
    <w:rsid w:val="0097267B"/>
    <w:rsid w:val="009808F7"/>
    <w:rsid w:val="009965E0"/>
    <w:rsid w:val="009A63A8"/>
    <w:rsid w:val="009C1CE0"/>
    <w:rsid w:val="009C202C"/>
    <w:rsid w:val="009C2DB0"/>
    <w:rsid w:val="009D3E3D"/>
    <w:rsid w:val="009D6057"/>
    <w:rsid w:val="009D7573"/>
    <w:rsid w:val="009F340B"/>
    <w:rsid w:val="009F5B21"/>
    <w:rsid w:val="00A00240"/>
    <w:rsid w:val="00A00784"/>
    <w:rsid w:val="00A065D6"/>
    <w:rsid w:val="00A1471D"/>
    <w:rsid w:val="00A213FA"/>
    <w:rsid w:val="00A30C52"/>
    <w:rsid w:val="00A40998"/>
    <w:rsid w:val="00A53244"/>
    <w:rsid w:val="00A55DA9"/>
    <w:rsid w:val="00A701DE"/>
    <w:rsid w:val="00A80028"/>
    <w:rsid w:val="00A8381B"/>
    <w:rsid w:val="00A85131"/>
    <w:rsid w:val="00A854D9"/>
    <w:rsid w:val="00A918DE"/>
    <w:rsid w:val="00A9781B"/>
    <w:rsid w:val="00AA16CA"/>
    <w:rsid w:val="00AB0D2F"/>
    <w:rsid w:val="00AB0E55"/>
    <w:rsid w:val="00AC1950"/>
    <w:rsid w:val="00AE6F08"/>
    <w:rsid w:val="00B03B69"/>
    <w:rsid w:val="00B07F6B"/>
    <w:rsid w:val="00B24191"/>
    <w:rsid w:val="00B37559"/>
    <w:rsid w:val="00B37CA7"/>
    <w:rsid w:val="00B41752"/>
    <w:rsid w:val="00B44403"/>
    <w:rsid w:val="00B46002"/>
    <w:rsid w:val="00B55BC5"/>
    <w:rsid w:val="00B617D5"/>
    <w:rsid w:val="00B6344D"/>
    <w:rsid w:val="00B66380"/>
    <w:rsid w:val="00B6773F"/>
    <w:rsid w:val="00B73973"/>
    <w:rsid w:val="00B92CFA"/>
    <w:rsid w:val="00B9338C"/>
    <w:rsid w:val="00B95259"/>
    <w:rsid w:val="00BA05A0"/>
    <w:rsid w:val="00BA204E"/>
    <w:rsid w:val="00BB2FC2"/>
    <w:rsid w:val="00BB675D"/>
    <w:rsid w:val="00BC4C3A"/>
    <w:rsid w:val="00BC5A85"/>
    <w:rsid w:val="00BE2C0F"/>
    <w:rsid w:val="00BF2806"/>
    <w:rsid w:val="00BF2F67"/>
    <w:rsid w:val="00BF3CD1"/>
    <w:rsid w:val="00BF5003"/>
    <w:rsid w:val="00BF6410"/>
    <w:rsid w:val="00C023D4"/>
    <w:rsid w:val="00C05783"/>
    <w:rsid w:val="00C07748"/>
    <w:rsid w:val="00C1168C"/>
    <w:rsid w:val="00C121FA"/>
    <w:rsid w:val="00C15796"/>
    <w:rsid w:val="00C20E13"/>
    <w:rsid w:val="00C24B5F"/>
    <w:rsid w:val="00C25E9D"/>
    <w:rsid w:val="00C360A4"/>
    <w:rsid w:val="00C50043"/>
    <w:rsid w:val="00C5478B"/>
    <w:rsid w:val="00C676DD"/>
    <w:rsid w:val="00C67ACA"/>
    <w:rsid w:val="00C7440D"/>
    <w:rsid w:val="00C745CA"/>
    <w:rsid w:val="00C76243"/>
    <w:rsid w:val="00C811B1"/>
    <w:rsid w:val="00C94F4F"/>
    <w:rsid w:val="00CB3451"/>
    <w:rsid w:val="00CB3B10"/>
    <w:rsid w:val="00CC2F11"/>
    <w:rsid w:val="00CD3742"/>
    <w:rsid w:val="00CE5C1C"/>
    <w:rsid w:val="00CF2E4C"/>
    <w:rsid w:val="00CF3B90"/>
    <w:rsid w:val="00CF4D6A"/>
    <w:rsid w:val="00CF5D81"/>
    <w:rsid w:val="00D2146E"/>
    <w:rsid w:val="00D22816"/>
    <w:rsid w:val="00D273C5"/>
    <w:rsid w:val="00D317E3"/>
    <w:rsid w:val="00D346C4"/>
    <w:rsid w:val="00D35DA1"/>
    <w:rsid w:val="00D52AF5"/>
    <w:rsid w:val="00D52F52"/>
    <w:rsid w:val="00D56E42"/>
    <w:rsid w:val="00D73A4A"/>
    <w:rsid w:val="00D87B28"/>
    <w:rsid w:val="00D90E4B"/>
    <w:rsid w:val="00D956B4"/>
    <w:rsid w:val="00DA155D"/>
    <w:rsid w:val="00DA18A0"/>
    <w:rsid w:val="00DA492F"/>
    <w:rsid w:val="00DB7C46"/>
    <w:rsid w:val="00DE3382"/>
    <w:rsid w:val="00E01F53"/>
    <w:rsid w:val="00E0364A"/>
    <w:rsid w:val="00E07462"/>
    <w:rsid w:val="00E26BA7"/>
    <w:rsid w:val="00E30261"/>
    <w:rsid w:val="00E33AAB"/>
    <w:rsid w:val="00E47225"/>
    <w:rsid w:val="00E62D6E"/>
    <w:rsid w:val="00E63E72"/>
    <w:rsid w:val="00E647E8"/>
    <w:rsid w:val="00E7125B"/>
    <w:rsid w:val="00E736A5"/>
    <w:rsid w:val="00E76481"/>
    <w:rsid w:val="00EA483D"/>
    <w:rsid w:val="00EC500B"/>
    <w:rsid w:val="00EE610D"/>
    <w:rsid w:val="00EF3E71"/>
    <w:rsid w:val="00EF5014"/>
    <w:rsid w:val="00F00164"/>
    <w:rsid w:val="00F069F0"/>
    <w:rsid w:val="00F12869"/>
    <w:rsid w:val="00F13A25"/>
    <w:rsid w:val="00F14EBD"/>
    <w:rsid w:val="00F21C01"/>
    <w:rsid w:val="00F3248F"/>
    <w:rsid w:val="00F34B55"/>
    <w:rsid w:val="00F35250"/>
    <w:rsid w:val="00F37078"/>
    <w:rsid w:val="00F3728B"/>
    <w:rsid w:val="00F37FD1"/>
    <w:rsid w:val="00F43DAC"/>
    <w:rsid w:val="00F45536"/>
    <w:rsid w:val="00F5787C"/>
    <w:rsid w:val="00F60957"/>
    <w:rsid w:val="00F657BB"/>
    <w:rsid w:val="00F72650"/>
    <w:rsid w:val="00F73B0D"/>
    <w:rsid w:val="00F748D8"/>
    <w:rsid w:val="00F74E43"/>
    <w:rsid w:val="00F77C60"/>
    <w:rsid w:val="00F8691B"/>
    <w:rsid w:val="00F908EC"/>
    <w:rsid w:val="00F96145"/>
    <w:rsid w:val="00F96B06"/>
    <w:rsid w:val="00FA40C6"/>
    <w:rsid w:val="00FC32EB"/>
    <w:rsid w:val="00FD003E"/>
    <w:rsid w:val="00FD2994"/>
    <w:rsid w:val="00FD62B2"/>
    <w:rsid w:val="00FE097F"/>
    <w:rsid w:val="00FF7F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ockticker"/>
  <w:shapeDefaults>
    <o:shapedefaults v:ext="edit" spidmax="1026"/>
    <o:shapelayout v:ext="edit">
      <o:idmap v:ext="edit" data="1"/>
    </o:shapelayout>
  </w:shapeDefaults>
  <w:decimalSymbol w:val="."/>
  <w:listSeparator w:val=","/>
  <w14:docId w14:val="3DEF815E"/>
  <w15:docId w15:val="{7EEA1251-08BA-485E-BA2B-B8A03F969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48D8"/>
    <w:pPr>
      <w:widowControl w:val="0"/>
      <w:autoSpaceDE w:val="0"/>
      <w:autoSpaceDN w:val="0"/>
      <w:adjustRightInd w:val="0"/>
    </w:pPr>
    <w:rPr>
      <w:szCs w:val="24"/>
    </w:rPr>
  </w:style>
  <w:style w:type="paragraph" w:styleId="Heading4">
    <w:name w:val="heading 4"/>
    <w:basedOn w:val="Normal"/>
    <w:next w:val="Normal"/>
    <w:qFormat/>
    <w:rsid w:val="00F748D8"/>
    <w:pPr>
      <w:keepNext/>
      <w:numPr>
        <w:numId w:val="1"/>
      </w:numPr>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F748D8"/>
    <w:pPr>
      <w:widowControl/>
      <w:autoSpaceDE/>
      <w:autoSpaceDN/>
      <w:adjustRightInd/>
      <w:ind w:left="686"/>
    </w:pPr>
    <w:rPr>
      <w:rFonts w:ascii="Palatino Linotype" w:hAnsi="Palatino Linotype"/>
      <w:sz w:val="24"/>
    </w:rPr>
  </w:style>
  <w:style w:type="paragraph" w:styleId="FootnoteText">
    <w:name w:val="footnote text"/>
    <w:basedOn w:val="Normal"/>
    <w:link w:val="FootnoteTextChar"/>
    <w:semiHidden/>
    <w:rsid w:val="00F748D8"/>
    <w:rPr>
      <w:szCs w:val="20"/>
    </w:rPr>
  </w:style>
  <w:style w:type="character" w:styleId="FootnoteReference">
    <w:name w:val="footnote reference"/>
    <w:semiHidden/>
    <w:rsid w:val="00F748D8"/>
    <w:rPr>
      <w:vertAlign w:val="superscript"/>
    </w:rPr>
  </w:style>
  <w:style w:type="paragraph" w:styleId="Header">
    <w:name w:val="header"/>
    <w:basedOn w:val="Normal"/>
    <w:link w:val="HeaderChar"/>
    <w:rsid w:val="00F748D8"/>
    <w:pPr>
      <w:tabs>
        <w:tab w:val="center" w:pos="4320"/>
        <w:tab w:val="right" w:pos="8640"/>
      </w:tabs>
    </w:pPr>
  </w:style>
  <w:style w:type="paragraph" w:styleId="Footer">
    <w:name w:val="footer"/>
    <w:basedOn w:val="Normal"/>
    <w:rsid w:val="00F748D8"/>
    <w:pPr>
      <w:tabs>
        <w:tab w:val="center" w:pos="4320"/>
        <w:tab w:val="right" w:pos="8640"/>
      </w:tabs>
    </w:pPr>
  </w:style>
  <w:style w:type="character" w:styleId="PageNumber">
    <w:name w:val="page number"/>
    <w:basedOn w:val="DefaultParagraphFont"/>
    <w:rsid w:val="00F748D8"/>
  </w:style>
  <w:style w:type="character" w:customStyle="1" w:styleId="FootnoteTextChar">
    <w:name w:val="Footnote Text Char"/>
    <w:link w:val="FootnoteText"/>
    <w:semiHidden/>
    <w:rsid w:val="00F74E43"/>
  </w:style>
  <w:style w:type="character" w:customStyle="1" w:styleId="BodyTextIndent2Char">
    <w:name w:val="Body Text Indent 2 Char"/>
    <w:basedOn w:val="DefaultParagraphFont"/>
    <w:link w:val="BodyTextIndent2"/>
    <w:rsid w:val="00EF5014"/>
    <w:rPr>
      <w:rFonts w:ascii="Palatino Linotype" w:hAnsi="Palatino Linotype"/>
      <w:sz w:val="24"/>
      <w:szCs w:val="24"/>
    </w:rPr>
  </w:style>
  <w:style w:type="character" w:customStyle="1" w:styleId="HeaderChar">
    <w:name w:val="Header Char"/>
    <w:basedOn w:val="DefaultParagraphFont"/>
    <w:link w:val="Header"/>
    <w:rsid w:val="00EF5014"/>
    <w:rPr>
      <w:szCs w:val="24"/>
    </w:rPr>
  </w:style>
  <w:style w:type="paragraph" w:customStyle="1" w:styleId="Body1">
    <w:name w:val="Body 1"/>
    <w:rsid w:val="00626B27"/>
    <w:rPr>
      <w:rFonts w:ascii="Helvetica" w:eastAsia="Arial Unicode MS" w:hAnsi="Helvetica"/>
      <w:color w:val="000000"/>
      <w:sz w:val="24"/>
    </w:rPr>
  </w:style>
  <w:style w:type="character" w:styleId="Hyperlink">
    <w:name w:val="Hyperlink"/>
    <w:basedOn w:val="DefaultParagraphFont"/>
    <w:unhideWhenUsed/>
    <w:rsid w:val="00266D4D"/>
    <w:rPr>
      <w:color w:val="0000FF" w:themeColor="hyperlink"/>
      <w:u w:val="single"/>
    </w:rPr>
  </w:style>
  <w:style w:type="paragraph" w:styleId="NormalIndent">
    <w:name w:val="Normal Indent"/>
    <w:basedOn w:val="Normal"/>
    <w:semiHidden/>
    <w:rsid w:val="00087895"/>
    <w:pPr>
      <w:widowControl/>
      <w:autoSpaceDE/>
      <w:autoSpaceDN/>
      <w:adjustRightInd/>
      <w:spacing w:before="240" w:line="240" w:lineRule="atLeast"/>
      <w:ind w:left="1440" w:right="720"/>
    </w:pPr>
    <w:rPr>
      <w:sz w:val="24"/>
      <w:szCs w:val="20"/>
    </w:rPr>
  </w:style>
  <w:style w:type="paragraph" w:customStyle="1" w:styleId="normalblock">
    <w:name w:val="normal block"/>
    <w:basedOn w:val="Normal"/>
    <w:rsid w:val="00087895"/>
    <w:pPr>
      <w:widowControl/>
      <w:autoSpaceDE/>
      <w:autoSpaceDN/>
      <w:adjustRightInd/>
      <w:spacing w:line="480" w:lineRule="atLeast"/>
    </w:pPr>
    <w:rPr>
      <w:sz w:val="24"/>
      <w:szCs w:val="20"/>
    </w:rPr>
  </w:style>
  <w:style w:type="paragraph" w:styleId="BalloonText">
    <w:name w:val="Balloon Text"/>
    <w:basedOn w:val="Normal"/>
    <w:link w:val="BalloonTextChar"/>
    <w:semiHidden/>
    <w:unhideWhenUsed/>
    <w:rsid w:val="008D4F94"/>
    <w:rPr>
      <w:rFonts w:ascii="Segoe UI" w:hAnsi="Segoe UI" w:cs="Segoe UI"/>
      <w:sz w:val="18"/>
      <w:szCs w:val="18"/>
    </w:rPr>
  </w:style>
  <w:style w:type="character" w:customStyle="1" w:styleId="BalloonTextChar">
    <w:name w:val="Balloon Text Char"/>
    <w:basedOn w:val="DefaultParagraphFont"/>
    <w:link w:val="BalloonText"/>
    <w:semiHidden/>
    <w:rsid w:val="008D4F94"/>
    <w:rPr>
      <w:rFonts w:ascii="Segoe UI" w:hAnsi="Segoe UI" w:cs="Segoe UI"/>
      <w:sz w:val="18"/>
      <w:szCs w:val="18"/>
    </w:rPr>
  </w:style>
  <w:style w:type="paragraph" w:styleId="ListParagraph">
    <w:name w:val="List Paragraph"/>
    <w:basedOn w:val="Normal"/>
    <w:uiPriority w:val="34"/>
    <w:qFormat/>
    <w:rsid w:val="002E23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988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Response</DocumentSetType>
    <IsConfidential xmlns="dc463f71-b30c-4ab2-9473-d307f9d35888">false</IsConfidential>
    <AgendaOrder xmlns="dc463f71-b30c-4ab2-9473-d307f9d35888">false</AgendaOrder>
    <CaseType xmlns="dc463f71-b30c-4ab2-9473-d307f9d35888">Petition for Declaratory Order</CaseType>
    <IndustryCode xmlns="dc463f71-b30c-4ab2-9473-d307f9d35888">140</IndustryCode>
    <CaseStatus xmlns="dc463f71-b30c-4ab2-9473-d307f9d35888">Closed</CaseStatus>
    <OpenedDate xmlns="dc463f71-b30c-4ab2-9473-d307f9d35888">2014-06-26T07:00:00+00:00</OpenedDate>
    <Date1 xmlns="dc463f71-b30c-4ab2-9473-d307f9d35888">2015-09-18T22:06:22+00:00</Date1>
    <IsDocumentOrder xmlns="dc463f71-b30c-4ab2-9473-d307f9d35888" xsi:nil="true"/>
    <IsHighlyConfidential xmlns="dc463f71-b30c-4ab2-9473-d307f9d35888">false</IsHighlyConfidential>
    <CaseCompanyNames xmlns="dc463f71-b30c-4ab2-9473-d307f9d35888" xsi:nil="true"/>
    <DocketNumber xmlns="dc463f71-b30c-4ab2-9473-d307f9d35888">141335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DEB9561B6E69B4BB5883E057266F749" ma:contentTypeVersion="175" ma:contentTypeDescription="" ma:contentTypeScope="" ma:versionID="a31bbd8f447d2183e7dfc86e3d9c2d1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EA5F6BAC-BB01-456B-A539-98D19E53A0E1}"/>
</file>

<file path=customXml/itemProps2.xml><?xml version="1.0" encoding="utf-8"?>
<ds:datastoreItem xmlns:ds="http://schemas.openxmlformats.org/officeDocument/2006/customXml" ds:itemID="{C191DCFB-D936-49D9-B154-DE0CE7473E1C}"/>
</file>

<file path=customXml/itemProps3.xml><?xml version="1.0" encoding="utf-8"?>
<ds:datastoreItem xmlns:ds="http://schemas.openxmlformats.org/officeDocument/2006/customXml" ds:itemID="{53EAE6C6-77F2-4948-BA97-2BC0DD74AB4B}"/>
</file>

<file path=customXml/itemProps4.xml><?xml version="1.0" encoding="utf-8"?>
<ds:datastoreItem xmlns:ds="http://schemas.openxmlformats.org/officeDocument/2006/customXml" ds:itemID="{58A153FA-6846-4456-A12E-4C5762B13BAC}"/>
</file>

<file path=customXml/itemProps5.xml><?xml version="1.0" encoding="utf-8"?>
<ds:datastoreItem xmlns:ds="http://schemas.openxmlformats.org/officeDocument/2006/customXml" ds:itemID="{F71A894A-3306-4895-8AC3-02E1C2C3FDFF}"/>
</file>

<file path=docProps/app.xml><?xml version="1.0" encoding="utf-8"?>
<Properties xmlns="http://schemas.openxmlformats.org/officeDocument/2006/extended-properties" xmlns:vt="http://schemas.openxmlformats.org/officeDocument/2006/docPropsVTypes">
  <Template>Normal</Template>
  <TotalTime>945</TotalTime>
  <Pages>7</Pages>
  <Words>1458</Words>
  <Characters>8314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WUTC</Company>
  <LinksUpToDate>false</LinksUpToDate>
  <CharactersWithSpaces>9753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Krista Linley</dc:creator>
  <cp:lastModifiedBy>Oshie, Patrick (UTC)</cp:lastModifiedBy>
  <cp:revision>22</cp:revision>
  <cp:lastPrinted>2015-09-17T22:36:00Z</cp:lastPrinted>
  <dcterms:created xsi:type="dcterms:W3CDTF">2015-09-09T17:48:00Z</dcterms:created>
  <dcterms:modified xsi:type="dcterms:W3CDTF">2015-09-17T23:38:00Z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0x0101006E56B4D1795A2E4DB2F0B01679ED314A00BDEB9561B6E69B4BB5883E057266F749</vt:lpwstr>
  </property>
  <property fmtid="{D5CDD505-2E9C-101B-9397-08002B2CF9AE}" pid="3" name="_docset_NoMedatataSyncRequired">
    <vt:lpwstr>False</vt:lpwstr>
  </property>
</Properties>
</file>