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B18459" w14:textId="4D32744C" w:rsidR="00C63797" w:rsidRPr="009464B2" w:rsidRDefault="00C63797" w:rsidP="003D42C5">
      <w:pPr>
        <w:pStyle w:val="BodyText"/>
        <w:spacing w:line="264" w:lineRule="auto"/>
        <w:rPr>
          <w:b/>
          <w:bCs/>
        </w:rPr>
      </w:pPr>
      <w:r w:rsidRPr="009464B2">
        <w:rPr>
          <w:b/>
          <w:bCs/>
        </w:rPr>
        <w:t>BEFORE THE WASHINGTON</w:t>
      </w:r>
      <w:bookmarkStart w:id="0" w:name="_GoBack"/>
      <w:bookmarkEnd w:id="0"/>
    </w:p>
    <w:p w14:paraId="3F2EF365" w14:textId="77777777" w:rsidR="00C63797" w:rsidRPr="009464B2" w:rsidRDefault="00C63797" w:rsidP="003D42C5">
      <w:pPr>
        <w:pStyle w:val="BodyText"/>
        <w:spacing w:line="264" w:lineRule="auto"/>
        <w:rPr>
          <w:b/>
          <w:bCs/>
        </w:rPr>
      </w:pPr>
      <w:r w:rsidRPr="009464B2">
        <w:rPr>
          <w:b/>
          <w:bCs/>
        </w:rPr>
        <w:t>UTILITIES AND TRANSPORTATION COMMISSION</w:t>
      </w:r>
    </w:p>
    <w:p w14:paraId="073C31DA" w14:textId="77777777" w:rsidR="00A42163" w:rsidRPr="009464B2" w:rsidRDefault="00A42163" w:rsidP="003D42C5">
      <w:pPr>
        <w:spacing w:line="264" w:lineRule="auto"/>
      </w:pPr>
    </w:p>
    <w:p w14:paraId="2B51289A" w14:textId="77777777" w:rsidR="00682321" w:rsidRPr="009464B2" w:rsidRDefault="00682321" w:rsidP="003D42C5">
      <w:pPr>
        <w:spacing w:line="264" w:lineRule="auto"/>
      </w:pPr>
    </w:p>
    <w:tbl>
      <w:tblPr>
        <w:tblW w:w="0" w:type="auto"/>
        <w:tblLook w:val="0000" w:firstRow="0" w:lastRow="0" w:firstColumn="0" w:lastColumn="0" w:noHBand="0" w:noVBand="0"/>
      </w:tblPr>
      <w:tblGrid>
        <w:gridCol w:w="4209"/>
        <w:gridCol w:w="356"/>
        <w:gridCol w:w="4075"/>
      </w:tblGrid>
      <w:tr w:rsidR="0034257A" w:rsidRPr="009464B2" w14:paraId="1767373F" w14:textId="77777777" w:rsidTr="00F52154">
        <w:tc>
          <w:tcPr>
            <w:tcW w:w="4209" w:type="dxa"/>
          </w:tcPr>
          <w:p w14:paraId="638F5C75" w14:textId="77777777" w:rsidR="0034257A" w:rsidRPr="009464B2" w:rsidRDefault="0034257A" w:rsidP="003D42C5">
            <w:pPr>
              <w:tabs>
                <w:tab w:val="left" w:pos="2160"/>
              </w:tabs>
              <w:spacing w:line="264" w:lineRule="auto"/>
              <w:rPr>
                <w:bCs/>
              </w:rPr>
            </w:pPr>
            <w:r w:rsidRPr="009464B2">
              <w:rPr>
                <w:bCs/>
              </w:rPr>
              <w:t>WASHINGTON UTILITIES AND TRANSPORTATION COMMISSION,</w:t>
            </w:r>
          </w:p>
          <w:p w14:paraId="0DDADD68" w14:textId="77777777" w:rsidR="0034257A" w:rsidRPr="009464B2" w:rsidRDefault="0034257A" w:rsidP="003D42C5">
            <w:pPr>
              <w:tabs>
                <w:tab w:val="left" w:pos="2160"/>
              </w:tabs>
              <w:spacing w:line="264" w:lineRule="auto"/>
              <w:rPr>
                <w:bCs/>
              </w:rPr>
            </w:pPr>
          </w:p>
          <w:p w14:paraId="206C9DA6" w14:textId="77777777" w:rsidR="0034257A" w:rsidRPr="009464B2" w:rsidRDefault="0034257A" w:rsidP="003D42C5">
            <w:pPr>
              <w:tabs>
                <w:tab w:val="left" w:pos="2160"/>
              </w:tabs>
              <w:spacing w:line="264" w:lineRule="auto"/>
              <w:rPr>
                <w:bCs/>
              </w:rPr>
            </w:pPr>
            <w:r w:rsidRPr="009464B2">
              <w:rPr>
                <w:bCs/>
              </w:rPr>
              <w:tab/>
              <w:t>Complainant,</w:t>
            </w:r>
          </w:p>
          <w:p w14:paraId="01E8ABFF" w14:textId="77777777" w:rsidR="0034257A" w:rsidRPr="009464B2" w:rsidRDefault="0034257A" w:rsidP="003D42C5">
            <w:pPr>
              <w:tabs>
                <w:tab w:val="left" w:pos="2160"/>
              </w:tabs>
              <w:spacing w:line="264" w:lineRule="auto"/>
              <w:rPr>
                <w:bCs/>
              </w:rPr>
            </w:pPr>
          </w:p>
          <w:p w14:paraId="561AFC13" w14:textId="77777777" w:rsidR="0034257A" w:rsidRPr="009464B2" w:rsidRDefault="0034257A" w:rsidP="003D42C5">
            <w:pPr>
              <w:tabs>
                <w:tab w:val="left" w:pos="2160"/>
              </w:tabs>
              <w:spacing w:line="264" w:lineRule="auto"/>
              <w:rPr>
                <w:bCs/>
              </w:rPr>
            </w:pPr>
            <w:r w:rsidRPr="009464B2">
              <w:rPr>
                <w:bCs/>
              </w:rPr>
              <w:t>v.</w:t>
            </w:r>
          </w:p>
          <w:p w14:paraId="644545B6" w14:textId="77777777" w:rsidR="0034257A" w:rsidRPr="009464B2" w:rsidRDefault="0034257A" w:rsidP="003D42C5">
            <w:pPr>
              <w:tabs>
                <w:tab w:val="left" w:pos="2160"/>
              </w:tabs>
              <w:spacing w:line="264" w:lineRule="auto"/>
              <w:rPr>
                <w:bCs/>
              </w:rPr>
            </w:pPr>
          </w:p>
          <w:p w14:paraId="50903BAC" w14:textId="77777777" w:rsidR="0034257A" w:rsidRPr="009464B2" w:rsidRDefault="00BD69A6" w:rsidP="003D42C5">
            <w:pPr>
              <w:tabs>
                <w:tab w:val="left" w:pos="2160"/>
              </w:tabs>
              <w:spacing w:line="264" w:lineRule="auto"/>
              <w:rPr>
                <w:bCs/>
              </w:rPr>
            </w:pPr>
            <w:r w:rsidRPr="009464B2">
              <w:rPr>
                <w:bCs/>
              </w:rPr>
              <w:t>AVISTA CORPORATION d</w:t>
            </w:r>
            <w:r w:rsidR="0034257A" w:rsidRPr="009464B2">
              <w:rPr>
                <w:bCs/>
              </w:rPr>
              <w:t>ba AVISTA UTILITIES,</w:t>
            </w:r>
          </w:p>
          <w:p w14:paraId="484E062F" w14:textId="77777777" w:rsidR="0034257A" w:rsidRPr="009464B2" w:rsidRDefault="0034257A" w:rsidP="003D42C5">
            <w:pPr>
              <w:tabs>
                <w:tab w:val="left" w:pos="2160"/>
              </w:tabs>
              <w:spacing w:line="264" w:lineRule="auto"/>
              <w:rPr>
                <w:bCs/>
              </w:rPr>
            </w:pPr>
          </w:p>
          <w:p w14:paraId="74500499" w14:textId="77777777" w:rsidR="0034257A" w:rsidRPr="009464B2" w:rsidRDefault="0034257A" w:rsidP="003D42C5">
            <w:pPr>
              <w:tabs>
                <w:tab w:val="left" w:pos="2160"/>
              </w:tabs>
              <w:spacing w:line="264" w:lineRule="auto"/>
              <w:rPr>
                <w:bCs/>
              </w:rPr>
            </w:pPr>
            <w:r w:rsidRPr="009464B2">
              <w:rPr>
                <w:bCs/>
              </w:rPr>
              <w:tab/>
              <w:t>Respondent.</w:t>
            </w:r>
          </w:p>
          <w:p w14:paraId="3CCD6562" w14:textId="77777777" w:rsidR="00682321" w:rsidRPr="009464B2" w:rsidRDefault="00682321" w:rsidP="003D42C5">
            <w:pPr>
              <w:tabs>
                <w:tab w:val="left" w:pos="2160"/>
              </w:tabs>
              <w:spacing w:line="264" w:lineRule="auto"/>
              <w:rPr>
                <w:bCs/>
              </w:rPr>
            </w:pPr>
          </w:p>
          <w:p w14:paraId="2EB7278F" w14:textId="77777777" w:rsidR="0034257A" w:rsidRPr="009464B2" w:rsidRDefault="0034257A" w:rsidP="003D42C5">
            <w:pPr>
              <w:tabs>
                <w:tab w:val="left" w:pos="2160"/>
              </w:tabs>
              <w:spacing w:line="264" w:lineRule="auto"/>
            </w:pPr>
            <w:r w:rsidRPr="009464B2">
              <w:t xml:space="preserve">. . . . . . . . . . . . . . . . . . . . . . . . . . . . . . . . </w:t>
            </w:r>
          </w:p>
        </w:tc>
        <w:tc>
          <w:tcPr>
            <w:tcW w:w="356" w:type="dxa"/>
          </w:tcPr>
          <w:p w14:paraId="43757350" w14:textId="77777777" w:rsidR="0034257A" w:rsidRPr="009464B2" w:rsidRDefault="0034257A" w:rsidP="003D42C5">
            <w:pPr>
              <w:spacing w:line="264" w:lineRule="auto"/>
            </w:pPr>
            <w:r w:rsidRPr="009464B2">
              <w:t>)</w:t>
            </w:r>
          </w:p>
          <w:p w14:paraId="0BD5A027" w14:textId="77777777" w:rsidR="0034257A" w:rsidRPr="009464B2" w:rsidRDefault="0034257A" w:rsidP="003D42C5">
            <w:pPr>
              <w:spacing w:line="264" w:lineRule="auto"/>
            </w:pPr>
            <w:r w:rsidRPr="009464B2">
              <w:t>)</w:t>
            </w:r>
          </w:p>
          <w:p w14:paraId="1D6DB4B6" w14:textId="77777777" w:rsidR="0034257A" w:rsidRPr="009464B2" w:rsidRDefault="0034257A" w:rsidP="003D42C5">
            <w:pPr>
              <w:spacing w:line="264" w:lineRule="auto"/>
            </w:pPr>
            <w:r w:rsidRPr="009464B2">
              <w:t>)</w:t>
            </w:r>
          </w:p>
          <w:p w14:paraId="14BA7AF8" w14:textId="77777777" w:rsidR="0034257A" w:rsidRPr="009464B2" w:rsidRDefault="0034257A" w:rsidP="003D42C5">
            <w:pPr>
              <w:spacing w:line="264" w:lineRule="auto"/>
            </w:pPr>
            <w:r w:rsidRPr="009464B2">
              <w:t>)</w:t>
            </w:r>
          </w:p>
          <w:p w14:paraId="510C2F32" w14:textId="77777777" w:rsidR="0034257A" w:rsidRPr="009464B2" w:rsidRDefault="0034257A" w:rsidP="003D42C5">
            <w:pPr>
              <w:spacing w:line="264" w:lineRule="auto"/>
            </w:pPr>
            <w:r w:rsidRPr="009464B2">
              <w:t>)</w:t>
            </w:r>
          </w:p>
          <w:p w14:paraId="5B7B665B" w14:textId="77777777" w:rsidR="0034257A" w:rsidRPr="009464B2" w:rsidRDefault="0034257A" w:rsidP="003D42C5">
            <w:pPr>
              <w:spacing w:line="264" w:lineRule="auto"/>
            </w:pPr>
            <w:r w:rsidRPr="009464B2">
              <w:t>)</w:t>
            </w:r>
          </w:p>
          <w:p w14:paraId="28129F0E" w14:textId="77777777" w:rsidR="0034257A" w:rsidRPr="009464B2" w:rsidRDefault="0034257A" w:rsidP="003D42C5">
            <w:pPr>
              <w:spacing w:line="264" w:lineRule="auto"/>
            </w:pPr>
            <w:r w:rsidRPr="009464B2">
              <w:t>)</w:t>
            </w:r>
          </w:p>
          <w:p w14:paraId="6D6CA86F" w14:textId="77777777" w:rsidR="0034257A" w:rsidRPr="009464B2" w:rsidRDefault="0034257A" w:rsidP="003D42C5">
            <w:pPr>
              <w:spacing w:line="264" w:lineRule="auto"/>
            </w:pPr>
            <w:r w:rsidRPr="009464B2">
              <w:t>)</w:t>
            </w:r>
          </w:p>
          <w:p w14:paraId="7C86AE0B" w14:textId="77777777" w:rsidR="0034257A" w:rsidRPr="009464B2" w:rsidRDefault="0034257A" w:rsidP="003D42C5">
            <w:pPr>
              <w:spacing w:line="264" w:lineRule="auto"/>
            </w:pPr>
            <w:r w:rsidRPr="009464B2">
              <w:t>)</w:t>
            </w:r>
          </w:p>
          <w:p w14:paraId="55CFE8C9" w14:textId="77777777" w:rsidR="0034257A" w:rsidRPr="009464B2" w:rsidRDefault="0034257A" w:rsidP="003D42C5">
            <w:pPr>
              <w:spacing w:line="264" w:lineRule="auto"/>
            </w:pPr>
            <w:r w:rsidRPr="009464B2">
              <w:t>)</w:t>
            </w:r>
          </w:p>
          <w:p w14:paraId="24224C8D" w14:textId="77777777" w:rsidR="0034257A" w:rsidRPr="009464B2" w:rsidRDefault="0034257A" w:rsidP="003D42C5">
            <w:pPr>
              <w:spacing w:line="264" w:lineRule="auto"/>
            </w:pPr>
            <w:r w:rsidRPr="009464B2">
              <w:t>)</w:t>
            </w:r>
          </w:p>
          <w:p w14:paraId="52DF756B" w14:textId="77777777" w:rsidR="0034257A" w:rsidRPr="009464B2" w:rsidRDefault="0034257A" w:rsidP="003D42C5">
            <w:pPr>
              <w:spacing w:line="264" w:lineRule="auto"/>
            </w:pPr>
            <w:r w:rsidRPr="009464B2">
              <w:t>)</w:t>
            </w:r>
          </w:p>
          <w:p w14:paraId="61A86C8D" w14:textId="77777777" w:rsidR="00C01D48" w:rsidRPr="009464B2" w:rsidRDefault="00C01D48" w:rsidP="003D42C5">
            <w:pPr>
              <w:spacing w:line="264" w:lineRule="auto"/>
            </w:pPr>
            <w:r w:rsidRPr="009464B2">
              <w:t>)</w:t>
            </w:r>
          </w:p>
        </w:tc>
        <w:tc>
          <w:tcPr>
            <w:tcW w:w="4075" w:type="dxa"/>
          </w:tcPr>
          <w:p w14:paraId="15593F88" w14:textId="77777777" w:rsidR="0034257A" w:rsidRPr="009464B2" w:rsidRDefault="0034257A" w:rsidP="003D42C5">
            <w:pPr>
              <w:spacing w:line="264" w:lineRule="auto"/>
              <w:rPr>
                <w:i/>
              </w:rPr>
            </w:pPr>
            <w:r w:rsidRPr="009464B2">
              <w:t>DOCKETS UE-1</w:t>
            </w:r>
            <w:r w:rsidR="00EF2274" w:rsidRPr="009464B2">
              <w:t>50204</w:t>
            </w:r>
            <w:r w:rsidRPr="009464B2">
              <w:t xml:space="preserve"> and             UG-1</w:t>
            </w:r>
            <w:r w:rsidR="00EF2274" w:rsidRPr="009464B2">
              <w:t>50205</w:t>
            </w:r>
            <w:r w:rsidRPr="009464B2">
              <w:t xml:space="preserve"> (</w:t>
            </w:r>
            <w:r w:rsidRPr="009464B2">
              <w:rPr>
                <w:i/>
              </w:rPr>
              <w:t>Consolidated)</w:t>
            </w:r>
          </w:p>
          <w:p w14:paraId="1BE703DF" w14:textId="77777777" w:rsidR="0034257A" w:rsidRPr="009464B2" w:rsidRDefault="0034257A" w:rsidP="003D42C5">
            <w:pPr>
              <w:spacing w:line="264" w:lineRule="auto"/>
            </w:pPr>
          </w:p>
          <w:p w14:paraId="088C5616" w14:textId="77777777" w:rsidR="0034257A" w:rsidRPr="009464B2" w:rsidRDefault="0034257A" w:rsidP="003D42C5">
            <w:pPr>
              <w:pStyle w:val="Header"/>
              <w:tabs>
                <w:tab w:val="clear" w:pos="4320"/>
                <w:tab w:val="clear" w:pos="8640"/>
              </w:tabs>
              <w:spacing w:line="264" w:lineRule="auto"/>
            </w:pPr>
            <w:r w:rsidRPr="009464B2">
              <w:t>ORDER 0</w:t>
            </w:r>
            <w:r w:rsidR="00E93C96" w:rsidRPr="009464B2">
              <w:t>5</w:t>
            </w:r>
          </w:p>
          <w:p w14:paraId="0ACF35D4" w14:textId="77777777" w:rsidR="0034257A" w:rsidRPr="009464B2" w:rsidRDefault="0034257A" w:rsidP="003D42C5">
            <w:pPr>
              <w:spacing w:line="264" w:lineRule="auto"/>
            </w:pPr>
          </w:p>
          <w:p w14:paraId="4A50C375" w14:textId="39048339" w:rsidR="0034257A" w:rsidRPr="009464B2" w:rsidRDefault="00F16FD3" w:rsidP="00896DD5">
            <w:pPr>
              <w:spacing w:line="264" w:lineRule="auto"/>
            </w:pPr>
            <w:r w:rsidRPr="009464B2">
              <w:t xml:space="preserve">FINAL ORDER REJECTING TARIFF FILING, ACCEPTING </w:t>
            </w:r>
            <w:r w:rsidR="00176838" w:rsidRPr="009464B2">
              <w:t>PARTIAL</w:t>
            </w:r>
            <w:r w:rsidRPr="009464B2">
              <w:t xml:space="preserve"> SETTLEMENT STIPULATION</w:t>
            </w:r>
            <w:r w:rsidR="002170E3" w:rsidRPr="009464B2">
              <w:t>,</w:t>
            </w:r>
            <w:r w:rsidRPr="009464B2">
              <w:t xml:space="preserve"> AUTHORIZING TARIFF FILING</w:t>
            </w:r>
            <w:r w:rsidR="00DB32AF">
              <w:t>S</w:t>
            </w:r>
          </w:p>
        </w:tc>
      </w:tr>
    </w:tbl>
    <w:p w14:paraId="6DBF3A42" w14:textId="77777777" w:rsidR="007448F5" w:rsidRPr="009464B2" w:rsidRDefault="007448F5" w:rsidP="007448F5">
      <w:pPr>
        <w:spacing w:line="264" w:lineRule="auto"/>
        <w:rPr>
          <w:i/>
        </w:rPr>
      </w:pPr>
    </w:p>
    <w:p w14:paraId="5C2AF607" w14:textId="77777777" w:rsidR="00682321" w:rsidRPr="009464B2" w:rsidRDefault="00682321" w:rsidP="007448F5">
      <w:pPr>
        <w:spacing w:line="264" w:lineRule="auto"/>
        <w:rPr>
          <w:i/>
        </w:rPr>
      </w:pPr>
    </w:p>
    <w:p w14:paraId="772D54B7" w14:textId="77777777" w:rsidR="00855240" w:rsidRPr="009464B2" w:rsidRDefault="00A240F5" w:rsidP="00CE2892">
      <w:pPr>
        <w:spacing w:after="120" w:line="288" w:lineRule="auto"/>
        <w:rPr>
          <w:i/>
        </w:rPr>
      </w:pPr>
      <w:r w:rsidRPr="009464B2">
        <w:rPr>
          <w:b/>
          <w:i/>
        </w:rPr>
        <w:t>Synopsis</w:t>
      </w:r>
      <w:r w:rsidRPr="009464B2">
        <w:rPr>
          <w:i/>
        </w:rPr>
        <w:t xml:space="preserve">:  </w:t>
      </w:r>
      <w:r w:rsidR="00450F54" w:rsidRPr="009464B2">
        <w:rPr>
          <w:i/>
        </w:rPr>
        <w:t>The Commission rejects the revised tar</w:t>
      </w:r>
      <w:r w:rsidR="00BD69A6" w:rsidRPr="009464B2">
        <w:rPr>
          <w:i/>
        </w:rPr>
        <w:t>iff sheets Avista Corporation d</w:t>
      </w:r>
      <w:r w:rsidR="00450F54" w:rsidRPr="009464B2">
        <w:rPr>
          <w:i/>
        </w:rPr>
        <w:t>ba Avista Utilities (Avista or Company) filed on February 9, 2015, that would have increased rates for the Company’s electric customers by 6.7 percent, raising $33.2 million in additional revenue for Avista, and its tariff sheets that would have increased rates for Avista’s natural gas customers by 6.9 percent, raising $12 million in additional revenue for the Company, if either had been approved by the Commission.</w:t>
      </w:r>
    </w:p>
    <w:p w14:paraId="2117D915" w14:textId="77777777" w:rsidR="00C34242" w:rsidRPr="009464B2" w:rsidRDefault="00855240" w:rsidP="00CE2892">
      <w:pPr>
        <w:spacing w:after="120" w:line="288" w:lineRule="auto"/>
        <w:rPr>
          <w:i/>
        </w:rPr>
      </w:pPr>
      <w:r w:rsidRPr="009464B2">
        <w:rPr>
          <w:i/>
        </w:rPr>
        <w:t xml:space="preserve">The Commission </w:t>
      </w:r>
      <w:r w:rsidR="00D456E7" w:rsidRPr="009464B2">
        <w:rPr>
          <w:i/>
        </w:rPr>
        <w:t xml:space="preserve">approves and </w:t>
      </w:r>
      <w:r w:rsidR="009D4E3B" w:rsidRPr="009464B2">
        <w:rPr>
          <w:i/>
        </w:rPr>
        <w:t>accepts</w:t>
      </w:r>
      <w:r w:rsidRPr="009464B2">
        <w:rPr>
          <w:i/>
        </w:rPr>
        <w:t xml:space="preserve"> </w:t>
      </w:r>
      <w:r w:rsidR="003A4A28" w:rsidRPr="009464B2">
        <w:rPr>
          <w:i/>
        </w:rPr>
        <w:t>the partial</w:t>
      </w:r>
      <w:r w:rsidR="00D456E7" w:rsidRPr="009464B2">
        <w:rPr>
          <w:i/>
        </w:rPr>
        <w:t>, multiparty</w:t>
      </w:r>
      <w:r w:rsidR="003A4A28" w:rsidRPr="009464B2">
        <w:rPr>
          <w:i/>
        </w:rPr>
        <w:t xml:space="preserve"> settlement stipulation </w:t>
      </w:r>
      <w:r w:rsidR="009D4E3B" w:rsidRPr="009464B2">
        <w:rPr>
          <w:i/>
        </w:rPr>
        <w:t xml:space="preserve">filed on May 1, 2015, </w:t>
      </w:r>
      <w:r w:rsidR="00BD222F" w:rsidRPr="009464B2">
        <w:rPr>
          <w:i/>
        </w:rPr>
        <w:t>including the proposed capital structure of 9.5 percent return on equity, 7.29 percent rate of return, and 48.5 percent equity component.</w:t>
      </w:r>
    </w:p>
    <w:p w14:paraId="2AEFC3FC" w14:textId="60B48B3E" w:rsidR="00E24535" w:rsidRPr="009464B2" w:rsidRDefault="004A2701" w:rsidP="00CE2892">
      <w:pPr>
        <w:spacing w:after="120" w:line="288" w:lineRule="auto"/>
        <w:rPr>
          <w:i/>
        </w:rPr>
      </w:pPr>
      <w:r w:rsidRPr="009464B2">
        <w:rPr>
          <w:i/>
        </w:rPr>
        <w:t>Based on the evidence presented, t</w:t>
      </w:r>
      <w:r w:rsidR="00A3223A" w:rsidRPr="009464B2">
        <w:rPr>
          <w:i/>
        </w:rPr>
        <w:t>he Commission authorizes and requires the Company to file revised tariff sheets with natural gas rates that will recover $10.</w:t>
      </w:r>
      <w:r w:rsidR="00B3796D" w:rsidRPr="009464B2">
        <w:rPr>
          <w:i/>
        </w:rPr>
        <w:t>8</w:t>
      </w:r>
      <w:r w:rsidR="00A3223A" w:rsidRPr="009464B2">
        <w:rPr>
          <w:i/>
        </w:rPr>
        <w:t xml:space="preserve"> million, for a </w:t>
      </w:r>
      <w:r w:rsidR="007E1AB9" w:rsidRPr="009464B2">
        <w:rPr>
          <w:i/>
        </w:rPr>
        <w:t>6.</w:t>
      </w:r>
      <w:r w:rsidR="00B3796D" w:rsidRPr="009464B2">
        <w:rPr>
          <w:i/>
        </w:rPr>
        <w:t>3</w:t>
      </w:r>
      <w:r w:rsidR="00A3223A" w:rsidRPr="009464B2">
        <w:rPr>
          <w:i/>
        </w:rPr>
        <w:t xml:space="preserve"> percent increase in rates.</w:t>
      </w:r>
      <w:r w:rsidRPr="009464B2">
        <w:rPr>
          <w:i/>
        </w:rPr>
        <w:t xml:space="preserve"> </w:t>
      </w:r>
      <w:r w:rsidR="00DE7B33" w:rsidRPr="009464B2">
        <w:rPr>
          <w:i/>
        </w:rPr>
        <w:t>Further, a</w:t>
      </w:r>
      <w:r w:rsidRPr="009464B2">
        <w:rPr>
          <w:i/>
        </w:rPr>
        <w:t xml:space="preserve">fter </w:t>
      </w:r>
      <w:r w:rsidR="00DE7B33" w:rsidRPr="009464B2">
        <w:rPr>
          <w:i/>
        </w:rPr>
        <w:t xml:space="preserve">full </w:t>
      </w:r>
      <w:r w:rsidRPr="009464B2">
        <w:rPr>
          <w:i/>
        </w:rPr>
        <w:t>consideration of</w:t>
      </w:r>
      <w:r w:rsidR="00A3223A" w:rsidRPr="009464B2">
        <w:rPr>
          <w:i/>
        </w:rPr>
        <w:t xml:space="preserve"> the record, the Commission authorizes and requires Avista to file revised tariff sheets with electric rates that will recover $</w:t>
      </w:r>
      <w:r w:rsidR="007479D2" w:rsidRPr="009464B2">
        <w:rPr>
          <w:i/>
        </w:rPr>
        <w:t>8</w:t>
      </w:r>
      <w:r w:rsidR="007E1AB9" w:rsidRPr="009464B2">
        <w:rPr>
          <w:i/>
        </w:rPr>
        <w:t>.1</w:t>
      </w:r>
      <w:r w:rsidR="00A3223A" w:rsidRPr="009464B2">
        <w:rPr>
          <w:i/>
        </w:rPr>
        <w:t xml:space="preserve"> million less in revenue, for a </w:t>
      </w:r>
      <w:r w:rsidR="007479D2" w:rsidRPr="009464B2">
        <w:rPr>
          <w:i/>
        </w:rPr>
        <w:t>1.</w:t>
      </w:r>
      <w:r w:rsidR="007E1AB9" w:rsidRPr="009464B2">
        <w:rPr>
          <w:i/>
        </w:rPr>
        <w:t>63</w:t>
      </w:r>
      <w:r w:rsidR="00A3223A" w:rsidRPr="009464B2">
        <w:rPr>
          <w:i/>
        </w:rPr>
        <w:t xml:space="preserve"> percent rate decrease. </w:t>
      </w:r>
    </w:p>
    <w:p w14:paraId="4B3E6DB8" w14:textId="77777777" w:rsidR="00A3223A" w:rsidRPr="009464B2" w:rsidRDefault="00A3223A" w:rsidP="00CE2892">
      <w:pPr>
        <w:spacing w:after="120" w:line="288" w:lineRule="auto"/>
        <w:rPr>
          <w:i/>
        </w:rPr>
      </w:pPr>
      <w:r w:rsidRPr="009464B2">
        <w:rPr>
          <w:i/>
        </w:rPr>
        <w:t xml:space="preserve">Paragraph 6 of the Settlement, “Electric Rate Spread/Rate Design,” only provides electric rate spread and rate design provisions for a revenue requirement increase. </w:t>
      </w:r>
      <w:r w:rsidR="00EF39A5" w:rsidRPr="009464B2">
        <w:rPr>
          <w:i/>
        </w:rPr>
        <w:t>As we order a decrease in Avista’s electric rates</w:t>
      </w:r>
      <w:r w:rsidRPr="009464B2">
        <w:rPr>
          <w:i/>
        </w:rPr>
        <w:t xml:space="preserve">, </w:t>
      </w:r>
      <w:r w:rsidR="00EF39A5" w:rsidRPr="009464B2">
        <w:rPr>
          <w:i/>
        </w:rPr>
        <w:t xml:space="preserve">this provision </w:t>
      </w:r>
      <w:r w:rsidRPr="009464B2">
        <w:rPr>
          <w:i/>
        </w:rPr>
        <w:t xml:space="preserve">of the Settlement is moot. Instead, the Commission adopts an equitable approach to </w:t>
      </w:r>
      <w:r w:rsidR="00EF39A5" w:rsidRPr="009464B2">
        <w:rPr>
          <w:i/>
        </w:rPr>
        <w:t xml:space="preserve">electric </w:t>
      </w:r>
      <w:r w:rsidRPr="009464B2">
        <w:rPr>
          <w:i/>
        </w:rPr>
        <w:t>rate spread and rate design that apportions a uniform percentage rate decrease across Avista’s rate schedules and schedule blocks.</w:t>
      </w:r>
      <w:r w:rsidR="00CE2892" w:rsidRPr="009464B2">
        <w:rPr>
          <w:i/>
        </w:rPr>
        <w:t xml:space="preserve">  </w:t>
      </w:r>
    </w:p>
    <w:p w14:paraId="3503F726" w14:textId="1158AC2C" w:rsidR="00A3223A" w:rsidRPr="009464B2" w:rsidRDefault="00CE2892" w:rsidP="00CE2892">
      <w:pPr>
        <w:spacing w:after="120" w:line="288" w:lineRule="auto"/>
        <w:rPr>
          <w:i/>
        </w:rPr>
      </w:pPr>
      <w:r w:rsidRPr="009464B2">
        <w:rPr>
          <w:i/>
        </w:rPr>
        <w:lastRenderedPageBreak/>
        <w:t>The Commission finds Staff’s methodology for electric pro forma plant additions well principled and</w:t>
      </w:r>
      <w:r w:rsidR="005E545C" w:rsidRPr="009464B2">
        <w:rPr>
          <w:i/>
        </w:rPr>
        <w:t xml:space="preserve"> audited and </w:t>
      </w:r>
      <w:r w:rsidRPr="009464B2">
        <w:rPr>
          <w:i/>
        </w:rPr>
        <w:t>accepts the</w:t>
      </w:r>
      <w:r w:rsidR="005E545C" w:rsidRPr="009464B2">
        <w:rPr>
          <w:i/>
        </w:rPr>
        <w:t xml:space="preserve"> pro forma plant additions as Staff has proposed</w:t>
      </w:r>
      <w:r w:rsidRPr="009464B2">
        <w:rPr>
          <w:i/>
        </w:rPr>
        <w:t xml:space="preserve">. We also approve Staff’s adjustment updating the test year to reflect the results of the 2014 Commission Basis Report. </w:t>
      </w:r>
    </w:p>
    <w:p w14:paraId="742D3555" w14:textId="13DEE78F" w:rsidR="003B061B" w:rsidRPr="009464B2" w:rsidRDefault="00A3223A" w:rsidP="00CE2892">
      <w:pPr>
        <w:spacing w:after="120" w:line="288" w:lineRule="auto"/>
        <w:rPr>
          <w:i/>
        </w:rPr>
      </w:pPr>
      <w:r w:rsidRPr="009464B2">
        <w:rPr>
          <w:i/>
        </w:rPr>
        <w:t>With regard to the Company’s claims of attrition eroding its earnings for both its natural gas and electric operations, t</w:t>
      </w:r>
      <w:r w:rsidR="00074209" w:rsidRPr="009464B2">
        <w:rPr>
          <w:i/>
        </w:rPr>
        <w:t>he Commission</w:t>
      </w:r>
      <w:r w:rsidR="006B07D7" w:rsidRPr="009464B2">
        <w:rPr>
          <w:i/>
        </w:rPr>
        <w:t xml:space="preserve"> recognizes </w:t>
      </w:r>
      <w:r w:rsidR="003B061B" w:rsidRPr="009464B2">
        <w:rPr>
          <w:i/>
        </w:rPr>
        <w:t>that Avista has been underearning in its natural gas operations for many years</w:t>
      </w:r>
      <w:r w:rsidRPr="009464B2">
        <w:rPr>
          <w:i/>
        </w:rPr>
        <w:t xml:space="preserve">. The Company has </w:t>
      </w:r>
      <w:r w:rsidR="003B061B" w:rsidRPr="009464B2">
        <w:rPr>
          <w:i/>
        </w:rPr>
        <w:t>engag</w:t>
      </w:r>
      <w:r w:rsidRPr="009464B2">
        <w:rPr>
          <w:i/>
        </w:rPr>
        <w:t>ed</w:t>
      </w:r>
      <w:r w:rsidR="003B061B" w:rsidRPr="009464B2">
        <w:rPr>
          <w:i/>
        </w:rPr>
        <w:t xml:space="preserve"> in rapid replacement and improvement of gas distribution infrastructure, driven largely by safety and reliability concerns as well as compliance with Commission orders and policies supporting replacement of pipe that has a high risk of failure.</w:t>
      </w:r>
      <w:r w:rsidR="00074209" w:rsidRPr="009464B2">
        <w:rPr>
          <w:i/>
        </w:rPr>
        <w:t xml:space="preserve"> </w:t>
      </w:r>
      <w:r w:rsidR="003B061B" w:rsidRPr="009464B2">
        <w:rPr>
          <w:i/>
        </w:rPr>
        <w:t xml:space="preserve">We acknowledge that </w:t>
      </w:r>
      <w:r w:rsidRPr="009464B2">
        <w:rPr>
          <w:i/>
        </w:rPr>
        <w:t>Avista</w:t>
      </w:r>
      <w:r w:rsidR="003B061B" w:rsidRPr="009464B2">
        <w:rPr>
          <w:i/>
        </w:rPr>
        <w:t xml:space="preserve"> is likely to experience attrition in its natural gas operations in the rate year, and therefore accept Staff’s attrition methodology</w:t>
      </w:r>
      <w:r w:rsidR="00D83D21" w:rsidRPr="009464B2">
        <w:rPr>
          <w:i/>
        </w:rPr>
        <w:t>, with a slight change in the escalation rate for the period 2007</w:t>
      </w:r>
      <w:r w:rsidR="00D0442B" w:rsidRPr="009464B2">
        <w:rPr>
          <w:i/>
        </w:rPr>
        <w:t xml:space="preserve"> </w:t>
      </w:r>
      <w:r w:rsidR="00D83D21" w:rsidRPr="009464B2">
        <w:rPr>
          <w:i/>
        </w:rPr>
        <w:t>to 2014,</w:t>
      </w:r>
      <w:r w:rsidR="003B061B" w:rsidRPr="009464B2">
        <w:rPr>
          <w:i/>
        </w:rPr>
        <w:t xml:space="preserve"> for the purposes of setting rates for </w:t>
      </w:r>
      <w:r w:rsidR="00C147CE" w:rsidRPr="009464B2">
        <w:rPr>
          <w:i/>
        </w:rPr>
        <w:t>Avista’s</w:t>
      </w:r>
      <w:r w:rsidR="003B061B" w:rsidRPr="009464B2">
        <w:rPr>
          <w:i/>
        </w:rPr>
        <w:t xml:space="preserve"> natural gas operations.</w:t>
      </w:r>
      <w:r w:rsidR="00313E84" w:rsidRPr="009464B2">
        <w:rPr>
          <w:i/>
        </w:rPr>
        <w:t xml:space="preserve"> The Commission allows </w:t>
      </w:r>
      <w:r w:rsidR="00E963C4">
        <w:rPr>
          <w:i/>
        </w:rPr>
        <w:t>a</w:t>
      </w:r>
      <w:r w:rsidR="00313E84" w:rsidRPr="009464B2">
        <w:rPr>
          <w:i/>
        </w:rPr>
        <w:t xml:space="preserve"> natural gas attrition adjustment in the amount of $6.8 million.</w:t>
      </w:r>
    </w:p>
    <w:p w14:paraId="0563F77E" w14:textId="4AA1C7AB" w:rsidR="00074209" w:rsidRPr="009464B2" w:rsidRDefault="00313E84" w:rsidP="00CE2892">
      <w:pPr>
        <w:spacing w:after="120" w:line="288" w:lineRule="auto"/>
        <w:rPr>
          <w:i/>
        </w:rPr>
      </w:pPr>
      <w:r w:rsidRPr="009464B2">
        <w:rPr>
          <w:i/>
        </w:rPr>
        <w:t xml:space="preserve">Although the Company has shown a recent balanced financial position on its electric operations, we are concerned this will not continue for the foreseeable future and, absent an attrition adjustment, that the Company may not have an opportunity to achieve earnings on electric operations at or near authorized levels. Thus, we grant an attrition adjustment to the modified test year amounts for Avista’s electric service. We make two modifications to Staff’s attrition analysis to arrive at the attrition adjustment we authorize today. </w:t>
      </w:r>
      <w:r w:rsidR="00E963C4">
        <w:rPr>
          <w:i/>
        </w:rPr>
        <w:t xml:space="preserve">Similar to the methodology for attrition for natural gas, we modify the escalation rate applied to the 2007-2014 time period. Further, we reduce to zero the escalation rate for distribution plant capital investments and expenses. </w:t>
      </w:r>
      <w:r w:rsidRPr="00E963C4">
        <w:rPr>
          <w:i/>
        </w:rPr>
        <w:t xml:space="preserve">After these changes to the methodology based on the facts and circumstances of this case, we find the revenue requirement for Avista’s electric service should be reduced by $8.1 million, based upon the results of </w:t>
      </w:r>
      <w:r w:rsidR="00E963C4">
        <w:rPr>
          <w:i/>
        </w:rPr>
        <w:t>a</w:t>
      </w:r>
      <w:r w:rsidRPr="00E963C4">
        <w:rPr>
          <w:i/>
        </w:rPr>
        <w:t xml:space="preserve"> modified historical test year with known and measurable pro forma adjustments, including an attrition adjustment of $28.3 million.</w:t>
      </w:r>
      <w:r w:rsidRPr="009464B2">
        <w:t xml:space="preserve">  </w:t>
      </w:r>
    </w:p>
    <w:p w14:paraId="671A48C1" w14:textId="77777777" w:rsidR="004A48C5" w:rsidRPr="009464B2" w:rsidRDefault="006173A6" w:rsidP="00CE2892">
      <w:pPr>
        <w:spacing w:after="120" w:line="288" w:lineRule="auto"/>
        <w:rPr>
          <w:i/>
        </w:rPr>
      </w:pPr>
      <w:r w:rsidRPr="009464B2">
        <w:rPr>
          <w:i/>
        </w:rPr>
        <w:t>For operations and maintenance expenses</w:t>
      </w:r>
      <w:r w:rsidR="007970E9" w:rsidRPr="009464B2">
        <w:rPr>
          <w:i/>
        </w:rPr>
        <w:t xml:space="preserve"> at all </w:t>
      </w:r>
      <w:r w:rsidR="007970E9" w:rsidRPr="009464B2">
        <w:rPr>
          <w:rFonts w:eastAsia="Calibri"/>
          <w:i/>
        </w:rPr>
        <w:t>thermal plants except Colstrip and Coyote Springs 2</w:t>
      </w:r>
      <w:r w:rsidRPr="009464B2">
        <w:rPr>
          <w:i/>
        </w:rPr>
        <w:t xml:space="preserve">, </w:t>
      </w:r>
      <w:r w:rsidR="00AE3DB9" w:rsidRPr="009464B2">
        <w:rPr>
          <w:rFonts w:eastAsia="Calibri"/>
          <w:i/>
        </w:rPr>
        <w:t>we authorize Avista to use test year actual expenses as the test year expenses are sufficiently reflective of historical data for use in setting rates. With regard to major maintenance</w:t>
      </w:r>
      <w:r w:rsidR="007970E9" w:rsidRPr="009464B2">
        <w:rPr>
          <w:rFonts w:eastAsia="Calibri"/>
          <w:i/>
        </w:rPr>
        <w:t xml:space="preserve"> at Colstrip and Coyote Springs 2</w:t>
      </w:r>
      <w:r w:rsidR="00AE3DB9" w:rsidRPr="009464B2">
        <w:rPr>
          <w:rFonts w:eastAsia="Calibri"/>
          <w:i/>
        </w:rPr>
        <w:t xml:space="preserve">, we find Staff’s proposal to normalize major maintenance expenses a reasonable approach to allow Avista to recover these costs. </w:t>
      </w:r>
      <w:r w:rsidR="004263BE" w:rsidRPr="009464B2" w:rsidDel="004263BE">
        <w:rPr>
          <w:rFonts w:eastAsia="Calibri"/>
          <w:i/>
        </w:rPr>
        <w:t xml:space="preserve"> </w:t>
      </w:r>
    </w:p>
    <w:p w14:paraId="766605DA" w14:textId="144B0A1F" w:rsidR="004A48C5" w:rsidRPr="009464B2" w:rsidRDefault="004A48C5" w:rsidP="00CE2892">
      <w:pPr>
        <w:spacing w:after="120" w:line="288" w:lineRule="auto"/>
      </w:pPr>
      <w:r w:rsidRPr="009464B2">
        <w:rPr>
          <w:i/>
        </w:rPr>
        <w:lastRenderedPageBreak/>
        <w:t xml:space="preserve">The Commission </w:t>
      </w:r>
      <w:r w:rsidR="004C5235" w:rsidRPr="009464B2">
        <w:rPr>
          <w:i/>
        </w:rPr>
        <w:t xml:space="preserve">also </w:t>
      </w:r>
      <w:r w:rsidRPr="009464B2">
        <w:rPr>
          <w:i/>
        </w:rPr>
        <w:t>resolve</w:t>
      </w:r>
      <w:r w:rsidR="004C5235" w:rsidRPr="009464B2">
        <w:rPr>
          <w:i/>
        </w:rPr>
        <w:t xml:space="preserve">s several contested adjustments, including Project Compass. We reject Staff’s recommended disallowance of </w:t>
      </w:r>
      <w:r w:rsidR="004C5235" w:rsidRPr="009464B2">
        <w:rPr>
          <w:rFonts w:eastAsia="Calibri"/>
          <w:i/>
        </w:rPr>
        <w:t>$</w:t>
      </w:r>
      <w:r w:rsidR="00FE029D" w:rsidRPr="009464B2">
        <w:rPr>
          <w:rFonts w:eastAsia="Calibri"/>
          <w:i/>
        </w:rPr>
        <w:t>12.7</w:t>
      </w:r>
      <w:r w:rsidR="004C5235" w:rsidRPr="009464B2">
        <w:rPr>
          <w:rFonts w:eastAsia="Calibri"/>
          <w:i/>
        </w:rPr>
        <w:t xml:space="preserve"> million of Project Compass’ capital costs relating to the extended timeline and the Project Compass bonus plan. Avista demonstrated that it </w:t>
      </w:r>
      <w:r w:rsidR="004C5235" w:rsidRPr="009464B2">
        <w:rPr>
          <w:i/>
        </w:rPr>
        <w:t xml:space="preserve">acted prudently in retaining its </w:t>
      </w:r>
      <w:r w:rsidR="001F7C7B" w:rsidRPr="009464B2">
        <w:rPr>
          <w:i/>
        </w:rPr>
        <w:t>c</w:t>
      </w:r>
      <w:r w:rsidR="004C5235" w:rsidRPr="009464B2">
        <w:rPr>
          <w:i/>
        </w:rPr>
        <w:t>ontractor to implement Project Compass</w:t>
      </w:r>
      <w:r w:rsidR="00AE1805" w:rsidRPr="009464B2">
        <w:rPr>
          <w:i/>
        </w:rPr>
        <w:t xml:space="preserve">. </w:t>
      </w:r>
      <w:r w:rsidR="00C23BC9" w:rsidRPr="009464B2">
        <w:rPr>
          <w:i/>
        </w:rPr>
        <w:t>The Company</w:t>
      </w:r>
      <w:r w:rsidR="00215145" w:rsidRPr="009464B2">
        <w:rPr>
          <w:i/>
        </w:rPr>
        <w:t xml:space="preserve"> </w:t>
      </w:r>
      <w:r w:rsidR="00AE1805" w:rsidRPr="009464B2">
        <w:rPr>
          <w:i/>
        </w:rPr>
        <w:t xml:space="preserve">considered </w:t>
      </w:r>
      <w:r w:rsidR="004C5235" w:rsidRPr="009464B2">
        <w:rPr>
          <w:rFonts w:eastAsia="Calibri"/>
          <w:i/>
        </w:rPr>
        <w:t>switching to a different contractor and decided against it since this would have resulted in an extended timeline</w:t>
      </w:r>
      <w:r w:rsidR="00215145" w:rsidRPr="009464B2">
        <w:rPr>
          <w:rFonts w:eastAsia="Calibri"/>
          <w:i/>
        </w:rPr>
        <w:t xml:space="preserve"> for the project</w:t>
      </w:r>
      <w:r w:rsidR="004C5235" w:rsidRPr="009464B2">
        <w:rPr>
          <w:rFonts w:eastAsia="Calibri"/>
          <w:i/>
        </w:rPr>
        <w:t xml:space="preserve"> that would have been more costly</w:t>
      </w:r>
      <w:r w:rsidR="004C5235" w:rsidRPr="009464B2">
        <w:t xml:space="preserve">. </w:t>
      </w:r>
      <w:r w:rsidR="004C5235" w:rsidRPr="009464B2">
        <w:rPr>
          <w:i/>
        </w:rPr>
        <w:t xml:space="preserve">Further, the Commission finds that Avista carried its burden to show that the </w:t>
      </w:r>
      <w:r w:rsidR="002611B2" w:rsidRPr="009464B2">
        <w:rPr>
          <w:i/>
        </w:rPr>
        <w:t xml:space="preserve">Project Compass </w:t>
      </w:r>
      <w:r w:rsidR="004C5235" w:rsidRPr="009464B2">
        <w:rPr>
          <w:i/>
        </w:rPr>
        <w:t>bonus plan was used to motivate employees to complete an essential project and that the bonuses were approved through appropriate channels.</w:t>
      </w:r>
      <w:r w:rsidR="004C5235" w:rsidRPr="009464B2">
        <w:t xml:space="preserve">  </w:t>
      </w:r>
    </w:p>
    <w:p w14:paraId="42FB720F" w14:textId="7B2609BF" w:rsidR="00ED7C6E" w:rsidRPr="009464B2" w:rsidRDefault="00D5126D" w:rsidP="00CE2892">
      <w:pPr>
        <w:spacing w:after="120" w:line="288" w:lineRule="auto"/>
        <w:rPr>
          <w:i/>
        </w:rPr>
      </w:pPr>
      <w:r w:rsidRPr="009464B2">
        <w:rPr>
          <w:i/>
        </w:rPr>
        <w:t>We decline to rule on the prudency of Avista’s proposed advanced metering infrastructure in this case because the issue is not ripe for Commission determination.</w:t>
      </w:r>
      <w:r w:rsidR="00C147CE" w:rsidRPr="009464B2">
        <w:rPr>
          <w:i/>
        </w:rPr>
        <w:t xml:space="preserve"> Should the Company choose to do so, </w:t>
      </w:r>
      <w:r w:rsidR="001F7C7B" w:rsidRPr="009464B2">
        <w:rPr>
          <w:i/>
        </w:rPr>
        <w:t>it may file</w:t>
      </w:r>
      <w:r w:rsidRPr="009464B2">
        <w:rPr>
          <w:i/>
        </w:rPr>
        <w:t xml:space="preserve"> an accounting petition</w:t>
      </w:r>
      <w:r w:rsidR="00144B92" w:rsidRPr="009464B2">
        <w:rPr>
          <w:i/>
        </w:rPr>
        <w:t xml:space="preserve"> requesting deferred accounting treatment of metering costs</w:t>
      </w:r>
      <w:r w:rsidRPr="009464B2">
        <w:rPr>
          <w:i/>
        </w:rPr>
        <w:t>.</w:t>
      </w:r>
    </w:p>
    <w:p w14:paraId="435378A6" w14:textId="77777777" w:rsidR="00ED7C6E" w:rsidRPr="009464B2" w:rsidRDefault="00ED7C6E" w:rsidP="00CE2892">
      <w:pPr>
        <w:spacing w:after="120" w:line="288" w:lineRule="auto"/>
        <w:rPr>
          <w:i/>
        </w:rPr>
      </w:pPr>
      <w:r w:rsidRPr="009464B2">
        <w:rPr>
          <w:i/>
        </w:rPr>
        <w:t>The Commission approves the Company’s adjustment increasing 2014 wages and 2015 union wage</w:t>
      </w:r>
      <w:r w:rsidR="00CE2892" w:rsidRPr="009464B2">
        <w:rPr>
          <w:i/>
        </w:rPr>
        <w:t>s</w:t>
      </w:r>
      <w:r w:rsidRPr="009464B2">
        <w:rPr>
          <w:i/>
        </w:rPr>
        <w:t xml:space="preserve">, but we reject the 2015 non-union increase and the 2016 increases </w:t>
      </w:r>
      <w:r w:rsidR="00974167" w:rsidRPr="009464B2">
        <w:rPr>
          <w:i/>
        </w:rPr>
        <w:t>as they</w:t>
      </w:r>
      <w:r w:rsidRPr="009464B2">
        <w:rPr>
          <w:i/>
        </w:rPr>
        <w:t xml:space="preserve"> are not known and measurable</w:t>
      </w:r>
      <w:r w:rsidR="00974167" w:rsidRPr="009464B2">
        <w:rPr>
          <w:i/>
        </w:rPr>
        <w:t xml:space="preserve"> expenses</w:t>
      </w:r>
      <w:r w:rsidRPr="009464B2">
        <w:rPr>
          <w:i/>
        </w:rPr>
        <w:t xml:space="preserve">. We reject Avista’s proposal to adjust the amount of time its executives allocate to Washington utility work because these projections are </w:t>
      </w:r>
      <w:r w:rsidR="00CE2892" w:rsidRPr="009464B2">
        <w:rPr>
          <w:i/>
        </w:rPr>
        <w:t xml:space="preserve">similarly </w:t>
      </w:r>
      <w:r w:rsidRPr="009464B2">
        <w:rPr>
          <w:i/>
        </w:rPr>
        <w:t xml:space="preserve">not known and measurable. </w:t>
      </w:r>
    </w:p>
    <w:p w14:paraId="744851EB" w14:textId="7D2AEB22" w:rsidR="00C34242" w:rsidRPr="009464B2" w:rsidRDefault="00974167" w:rsidP="00974167">
      <w:pPr>
        <w:spacing w:after="120" w:line="288" w:lineRule="auto"/>
        <w:contextualSpacing/>
        <w:rPr>
          <w:i/>
        </w:rPr>
      </w:pPr>
      <w:r w:rsidRPr="009464B2">
        <w:rPr>
          <w:i/>
        </w:rPr>
        <w:t>The Commission</w:t>
      </w:r>
      <w:r w:rsidR="00EA24F5" w:rsidRPr="009464B2">
        <w:rPr>
          <w:i/>
        </w:rPr>
        <w:t xml:space="preserve"> approve</w:t>
      </w:r>
      <w:r w:rsidRPr="009464B2">
        <w:rPr>
          <w:i/>
        </w:rPr>
        <w:t>s</w:t>
      </w:r>
      <w:r w:rsidR="00EA24F5" w:rsidRPr="009464B2">
        <w:rPr>
          <w:i/>
        </w:rPr>
        <w:t xml:space="preserve"> </w:t>
      </w:r>
      <w:r w:rsidR="002B7E9A" w:rsidRPr="009464B2">
        <w:rPr>
          <w:i/>
        </w:rPr>
        <w:t xml:space="preserve">a plan consistent with </w:t>
      </w:r>
      <w:r w:rsidR="00EA24F5" w:rsidRPr="009464B2">
        <w:rPr>
          <w:i/>
        </w:rPr>
        <w:t xml:space="preserve">Avista’s </w:t>
      </w:r>
      <w:r w:rsidR="003E286C" w:rsidRPr="009464B2">
        <w:rPr>
          <w:i/>
        </w:rPr>
        <w:t xml:space="preserve">five-year </w:t>
      </w:r>
      <w:r w:rsidR="00EA24F5" w:rsidRPr="009464B2">
        <w:rPr>
          <w:i/>
        </w:rPr>
        <w:t>plan to increase funding for t</w:t>
      </w:r>
      <w:r w:rsidR="00CE2892" w:rsidRPr="009464B2">
        <w:rPr>
          <w:i/>
        </w:rPr>
        <w:t>he L</w:t>
      </w:r>
      <w:r w:rsidR="00EA24F5" w:rsidRPr="009464B2">
        <w:rPr>
          <w:i/>
        </w:rPr>
        <w:t>ow-</w:t>
      </w:r>
      <w:r w:rsidR="00CE2892" w:rsidRPr="009464B2">
        <w:rPr>
          <w:i/>
        </w:rPr>
        <w:t>I</w:t>
      </w:r>
      <w:r w:rsidR="00EA24F5" w:rsidRPr="009464B2">
        <w:rPr>
          <w:i/>
        </w:rPr>
        <w:t xml:space="preserve">ncome </w:t>
      </w:r>
      <w:r w:rsidR="00CE2892" w:rsidRPr="009464B2">
        <w:rPr>
          <w:i/>
        </w:rPr>
        <w:t>Rate Assistance P</w:t>
      </w:r>
      <w:r w:rsidR="00EA24F5" w:rsidRPr="009464B2">
        <w:rPr>
          <w:i/>
        </w:rPr>
        <w:t xml:space="preserve">rogram by seven percent or twice the </w:t>
      </w:r>
      <w:r w:rsidR="00FE029D" w:rsidRPr="009464B2">
        <w:rPr>
          <w:i/>
        </w:rPr>
        <w:t xml:space="preserve">percentage </w:t>
      </w:r>
      <w:r w:rsidR="00EA24F5" w:rsidRPr="009464B2">
        <w:rPr>
          <w:i/>
        </w:rPr>
        <w:t xml:space="preserve">increase in the residential </w:t>
      </w:r>
      <w:r w:rsidR="00FE029D" w:rsidRPr="009464B2">
        <w:rPr>
          <w:i/>
        </w:rPr>
        <w:t>electric and natural gas base rates</w:t>
      </w:r>
      <w:r w:rsidR="00EA24F5" w:rsidRPr="009464B2">
        <w:rPr>
          <w:i/>
        </w:rPr>
        <w:t xml:space="preserve"> as reasonable</w:t>
      </w:r>
      <w:r w:rsidR="003E286C" w:rsidRPr="009464B2">
        <w:rPr>
          <w:i/>
        </w:rPr>
        <w:t xml:space="preserve">. </w:t>
      </w:r>
      <w:r w:rsidR="00EA24F5" w:rsidRPr="009464B2">
        <w:rPr>
          <w:i/>
        </w:rPr>
        <w:t xml:space="preserve">In its compliance </w:t>
      </w:r>
      <w:r w:rsidR="00DB32AF">
        <w:rPr>
          <w:i/>
        </w:rPr>
        <w:t xml:space="preserve">tariff </w:t>
      </w:r>
      <w:r w:rsidR="00EA24F5" w:rsidRPr="009464B2">
        <w:rPr>
          <w:i/>
        </w:rPr>
        <w:t xml:space="preserve">filing, Avista is directed to </w:t>
      </w:r>
      <w:r w:rsidR="003E286C" w:rsidRPr="009464B2">
        <w:rPr>
          <w:i/>
        </w:rPr>
        <w:t xml:space="preserve">increase funding for Schedule 92 by 7 percent and Schedule 192 by twice the </w:t>
      </w:r>
      <w:r w:rsidR="00FE029D" w:rsidRPr="009464B2">
        <w:rPr>
          <w:i/>
        </w:rPr>
        <w:t>percentage base rate increase for Schedule 101 customers</w:t>
      </w:r>
      <w:r w:rsidR="003E286C" w:rsidRPr="009464B2">
        <w:rPr>
          <w:i/>
        </w:rPr>
        <w:t xml:space="preserve">, or </w:t>
      </w:r>
      <w:r w:rsidR="007E1AB9" w:rsidRPr="009464B2">
        <w:rPr>
          <w:i/>
        </w:rPr>
        <w:t>12.</w:t>
      </w:r>
      <w:r w:rsidR="00144B92" w:rsidRPr="009464B2">
        <w:rPr>
          <w:i/>
        </w:rPr>
        <w:t>6</w:t>
      </w:r>
      <w:r w:rsidR="003E286C" w:rsidRPr="009464B2">
        <w:rPr>
          <w:i/>
        </w:rPr>
        <w:t xml:space="preserve"> percent</w:t>
      </w:r>
      <w:r w:rsidR="00D57B81" w:rsidRPr="009464B2">
        <w:rPr>
          <w:i/>
        </w:rPr>
        <w:t>, as well as identify each assistance service available to its customers and their eligibility requirements.</w:t>
      </w:r>
    </w:p>
    <w:p w14:paraId="157B8781" w14:textId="052B1940" w:rsidR="002F35F4" w:rsidRPr="009464B2" w:rsidRDefault="002F35F4">
      <w:r w:rsidRPr="009464B2">
        <w:br w:type="page"/>
      </w:r>
    </w:p>
    <w:p w14:paraId="61745B27" w14:textId="77777777" w:rsidR="00A42163" w:rsidRPr="009464B2" w:rsidRDefault="00A42163" w:rsidP="007448F5">
      <w:pPr>
        <w:pStyle w:val="Header"/>
        <w:tabs>
          <w:tab w:val="clear" w:pos="4320"/>
          <w:tab w:val="clear" w:pos="8640"/>
        </w:tabs>
        <w:spacing w:line="264" w:lineRule="auto"/>
      </w:pPr>
    </w:p>
    <w:p w14:paraId="6F1FC723" w14:textId="7320970F" w:rsidR="002F35F4" w:rsidRPr="009464B2" w:rsidRDefault="002F35F4" w:rsidP="002F35F4">
      <w:pPr>
        <w:pStyle w:val="Header"/>
        <w:tabs>
          <w:tab w:val="clear" w:pos="4320"/>
          <w:tab w:val="clear" w:pos="8640"/>
        </w:tabs>
        <w:spacing w:line="264" w:lineRule="auto"/>
        <w:jc w:val="center"/>
        <w:rPr>
          <w:b/>
          <w:u w:val="single"/>
        </w:rPr>
      </w:pPr>
      <w:r w:rsidRPr="009464B2">
        <w:rPr>
          <w:b/>
          <w:u w:val="single"/>
        </w:rPr>
        <w:t>TABLE OF CONTENTS</w:t>
      </w:r>
    </w:p>
    <w:p w14:paraId="444FFF3A" w14:textId="77777777" w:rsidR="002F35F4" w:rsidRPr="009464B2" w:rsidRDefault="002F35F4" w:rsidP="002F35F4">
      <w:pPr>
        <w:pStyle w:val="Header"/>
        <w:tabs>
          <w:tab w:val="clear" w:pos="4320"/>
          <w:tab w:val="clear" w:pos="8640"/>
        </w:tabs>
        <w:spacing w:line="264" w:lineRule="auto"/>
      </w:pPr>
    </w:p>
    <w:p w14:paraId="2258756C" w14:textId="77777777" w:rsidR="00D30231" w:rsidRPr="00D30231" w:rsidRDefault="00B07B05" w:rsidP="00D30231">
      <w:pPr>
        <w:pStyle w:val="TOC1"/>
        <w:tabs>
          <w:tab w:val="right" w:leader="dot" w:pos="8630"/>
        </w:tabs>
        <w:spacing w:line="264" w:lineRule="auto"/>
        <w:rPr>
          <w:rFonts w:asciiTheme="minorHAnsi" w:eastAsiaTheme="minorEastAsia" w:hAnsiTheme="minorHAnsi" w:cstheme="minorBidi"/>
          <w:noProof/>
          <w:sz w:val="22"/>
          <w:szCs w:val="22"/>
        </w:rPr>
      </w:pPr>
      <w:r w:rsidRPr="009464B2">
        <w:fldChar w:fldCharType="begin"/>
      </w:r>
      <w:r w:rsidRPr="009464B2">
        <w:instrText xml:space="preserve"> TOC \o "1-4" \h \z \u </w:instrText>
      </w:r>
      <w:r w:rsidRPr="009464B2">
        <w:fldChar w:fldCharType="separate"/>
      </w:r>
      <w:hyperlink w:anchor="_Toc439838950" w:history="1">
        <w:r w:rsidR="00D30231" w:rsidRPr="00D30231">
          <w:rPr>
            <w:rStyle w:val="Hyperlink"/>
            <w:noProof/>
          </w:rPr>
          <w:t>SUMMARY</w:t>
        </w:r>
        <w:r w:rsidR="00D30231" w:rsidRPr="00D30231">
          <w:rPr>
            <w:noProof/>
            <w:webHidden/>
          </w:rPr>
          <w:tab/>
        </w:r>
        <w:r w:rsidR="00D30231" w:rsidRPr="00D30231">
          <w:rPr>
            <w:noProof/>
            <w:webHidden/>
          </w:rPr>
          <w:fldChar w:fldCharType="begin"/>
        </w:r>
        <w:r w:rsidR="00D30231" w:rsidRPr="00D30231">
          <w:rPr>
            <w:noProof/>
            <w:webHidden/>
          </w:rPr>
          <w:instrText xml:space="preserve"> PAGEREF _Toc439838950 \h </w:instrText>
        </w:r>
        <w:r w:rsidR="00D30231" w:rsidRPr="00D30231">
          <w:rPr>
            <w:noProof/>
            <w:webHidden/>
          </w:rPr>
        </w:r>
        <w:r w:rsidR="00D30231" w:rsidRPr="00D30231">
          <w:rPr>
            <w:noProof/>
            <w:webHidden/>
          </w:rPr>
          <w:fldChar w:fldCharType="separate"/>
        </w:r>
        <w:r w:rsidR="00D03D43">
          <w:rPr>
            <w:noProof/>
            <w:webHidden/>
          </w:rPr>
          <w:t>5</w:t>
        </w:r>
        <w:r w:rsidR="00D30231" w:rsidRPr="00D30231">
          <w:rPr>
            <w:noProof/>
            <w:webHidden/>
          </w:rPr>
          <w:fldChar w:fldCharType="end"/>
        </w:r>
      </w:hyperlink>
    </w:p>
    <w:p w14:paraId="369D831C" w14:textId="77777777" w:rsidR="00D30231" w:rsidRPr="00D30231" w:rsidRDefault="00D03D43" w:rsidP="00D30231">
      <w:pPr>
        <w:pStyle w:val="TOC1"/>
        <w:tabs>
          <w:tab w:val="right" w:leader="dot" w:pos="8630"/>
        </w:tabs>
        <w:spacing w:line="264" w:lineRule="auto"/>
        <w:rPr>
          <w:rFonts w:asciiTheme="minorHAnsi" w:eastAsiaTheme="minorEastAsia" w:hAnsiTheme="minorHAnsi" w:cstheme="minorBidi"/>
          <w:noProof/>
          <w:sz w:val="22"/>
          <w:szCs w:val="22"/>
        </w:rPr>
      </w:pPr>
      <w:hyperlink w:anchor="_Toc439838951" w:history="1">
        <w:r w:rsidR="00D30231" w:rsidRPr="00D30231">
          <w:rPr>
            <w:rStyle w:val="Hyperlink"/>
            <w:noProof/>
          </w:rPr>
          <w:t>MEMORANDUM</w:t>
        </w:r>
        <w:r w:rsidR="00D30231" w:rsidRPr="00D30231">
          <w:rPr>
            <w:noProof/>
            <w:webHidden/>
          </w:rPr>
          <w:tab/>
        </w:r>
        <w:r w:rsidR="00D30231" w:rsidRPr="00D30231">
          <w:rPr>
            <w:noProof/>
            <w:webHidden/>
          </w:rPr>
          <w:fldChar w:fldCharType="begin"/>
        </w:r>
        <w:r w:rsidR="00D30231" w:rsidRPr="00D30231">
          <w:rPr>
            <w:noProof/>
            <w:webHidden/>
          </w:rPr>
          <w:instrText xml:space="preserve"> PAGEREF _Toc439838951 \h </w:instrText>
        </w:r>
        <w:r w:rsidR="00D30231" w:rsidRPr="00D30231">
          <w:rPr>
            <w:noProof/>
            <w:webHidden/>
          </w:rPr>
        </w:r>
        <w:r w:rsidR="00D30231" w:rsidRPr="00D30231">
          <w:rPr>
            <w:noProof/>
            <w:webHidden/>
          </w:rPr>
          <w:fldChar w:fldCharType="separate"/>
        </w:r>
        <w:r>
          <w:rPr>
            <w:noProof/>
            <w:webHidden/>
          </w:rPr>
          <w:t>6</w:t>
        </w:r>
        <w:r w:rsidR="00D30231" w:rsidRPr="00D30231">
          <w:rPr>
            <w:noProof/>
            <w:webHidden/>
          </w:rPr>
          <w:fldChar w:fldCharType="end"/>
        </w:r>
      </w:hyperlink>
    </w:p>
    <w:p w14:paraId="53BB86FD" w14:textId="77777777" w:rsidR="00D30231" w:rsidRPr="00D30231" w:rsidRDefault="00D03D43" w:rsidP="00D30231">
      <w:pPr>
        <w:pStyle w:val="TOC2"/>
        <w:spacing w:line="264" w:lineRule="auto"/>
        <w:rPr>
          <w:rFonts w:asciiTheme="minorHAnsi" w:eastAsiaTheme="minorEastAsia" w:hAnsiTheme="minorHAnsi" w:cstheme="minorBidi"/>
          <w:b w:val="0"/>
          <w:sz w:val="22"/>
          <w:szCs w:val="22"/>
        </w:rPr>
      </w:pPr>
      <w:hyperlink w:anchor="_Toc439838952" w:history="1">
        <w:r w:rsidR="00D30231" w:rsidRPr="00D30231">
          <w:rPr>
            <w:rStyle w:val="Hyperlink"/>
            <w:b w:val="0"/>
          </w:rPr>
          <w:t xml:space="preserve">I. </w:t>
        </w:r>
        <w:r w:rsidR="00D30231" w:rsidRPr="00D30231">
          <w:rPr>
            <w:rFonts w:asciiTheme="minorHAnsi" w:eastAsiaTheme="minorEastAsia" w:hAnsiTheme="minorHAnsi" w:cstheme="minorBidi"/>
            <w:b w:val="0"/>
            <w:sz w:val="22"/>
            <w:szCs w:val="22"/>
          </w:rPr>
          <w:tab/>
        </w:r>
        <w:r w:rsidR="00D30231" w:rsidRPr="00D30231">
          <w:rPr>
            <w:rStyle w:val="Hyperlink"/>
            <w:b w:val="0"/>
          </w:rPr>
          <w:t>Background and Procedural History</w:t>
        </w:r>
        <w:r w:rsidR="00D30231" w:rsidRPr="00D30231">
          <w:rPr>
            <w:b w:val="0"/>
            <w:webHidden/>
          </w:rPr>
          <w:tab/>
        </w:r>
        <w:r w:rsidR="00D30231" w:rsidRPr="00D30231">
          <w:rPr>
            <w:b w:val="0"/>
            <w:webHidden/>
          </w:rPr>
          <w:fldChar w:fldCharType="begin"/>
        </w:r>
        <w:r w:rsidR="00D30231" w:rsidRPr="00D30231">
          <w:rPr>
            <w:b w:val="0"/>
            <w:webHidden/>
          </w:rPr>
          <w:instrText xml:space="preserve"> PAGEREF _Toc439838952 \h </w:instrText>
        </w:r>
        <w:r w:rsidR="00D30231" w:rsidRPr="00D30231">
          <w:rPr>
            <w:b w:val="0"/>
            <w:webHidden/>
          </w:rPr>
        </w:r>
        <w:r w:rsidR="00D30231" w:rsidRPr="00D30231">
          <w:rPr>
            <w:b w:val="0"/>
            <w:webHidden/>
          </w:rPr>
          <w:fldChar w:fldCharType="separate"/>
        </w:r>
        <w:r>
          <w:rPr>
            <w:b w:val="0"/>
            <w:webHidden/>
          </w:rPr>
          <w:t>6</w:t>
        </w:r>
        <w:r w:rsidR="00D30231" w:rsidRPr="00D30231">
          <w:rPr>
            <w:b w:val="0"/>
            <w:webHidden/>
          </w:rPr>
          <w:fldChar w:fldCharType="end"/>
        </w:r>
      </w:hyperlink>
    </w:p>
    <w:p w14:paraId="5C366C21" w14:textId="77777777" w:rsidR="00D30231" w:rsidRPr="00D30231" w:rsidRDefault="00D03D43" w:rsidP="00D30231">
      <w:pPr>
        <w:pStyle w:val="TOC2"/>
        <w:spacing w:line="264" w:lineRule="auto"/>
        <w:rPr>
          <w:rFonts w:asciiTheme="minorHAnsi" w:eastAsiaTheme="minorEastAsia" w:hAnsiTheme="minorHAnsi" w:cstheme="minorBidi"/>
          <w:b w:val="0"/>
          <w:sz w:val="22"/>
          <w:szCs w:val="22"/>
        </w:rPr>
      </w:pPr>
      <w:hyperlink w:anchor="_Toc439838953" w:history="1">
        <w:r w:rsidR="00D30231" w:rsidRPr="00D30231">
          <w:rPr>
            <w:rStyle w:val="Hyperlink"/>
            <w:b w:val="0"/>
          </w:rPr>
          <w:t>II.</w:t>
        </w:r>
        <w:r w:rsidR="00D30231" w:rsidRPr="00D30231">
          <w:rPr>
            <w:rFonts w:asciiTheme="minorHAnsi" w:eastAsiaTheme="minorEastAsia" w:hAnsiTheme="minorHAnsi" w:cstheme="minorBidi"/>
            <w:b w:val="0"/>
            <w:sz w:val="22"/>
            <w:szCs w:val="22"/>
          </w:rPr>
          <w:tab/>
        </w:r>
        <w:r w:rsidR="00D30231" w:rsidRPr="00D30231">
          <w:rPr>
            <w:rStyle w:val="Hyperlink"/>
            <w:b w:val="0"/>
          </w:rPr>
          <w:t>Settlement Stipulation</w:t>
        </w:r>
        <w:r w:rsidR="00D30231" w:rsidRPr="00D30231">
          <w:rPr>
            <w:b w:val="0"/>
            <w:webHidden/>
          </w:rPr>
          <w:tab/>
        </w:r>
        <w:r w:rsidR="00D30231" w:rsidRPr="00D30231">
          <w:rPr>
            <w:b w:val="0"/>
            <w:webHidden/>
          </w:rPr>
          <w:fldChar w:fldCharType="begin"/>
        </w:r>
        <w:r w:rsidR="00D30231" w:rsidRPr="00D30231">
          <w:rPr>
            <w:b w:val="0"/>
            <w:webHidden/>
          </w:rPr>
          <w:instrText xml:space="preserve"> PAGEREF _Toc439838953 \h </w:instrText>
        </w:r>
        <w:r w:rsidR="00D30231" w:rsidRPr="00D30231">
          <w:rPr>
            <w:b w:val="0"/>
            <w:webHidden/>
          </w:rPr>
        </w:r>
        <w:r w:rsidR="00D30231" w:rsidRPr="00D30231">
          <w:rPr>
            <w:b w:val="0"/>
            <w:webHidden/>
          </w:rPr>
          <w:fldChar w:fldCharType="separate"/>
        </w:r>
        <w:r>
          <w:rPr>
            <w:b w:val="0"/>
            <w:webHidden/>
          </w:rPr>
          <w:t>8</w:t>
        </w:r>
        <w:r w:rsidR="00D30231" w:rsidRPr="00D30231">
          <w:rPr>
            <w:b w:val="0"/>
            <w:webHidden/>
          </w:rPr>
          <w:fldChar w:fldCharType="end"/>
        </w:r>
      </w:hyperlink>
    </w:p>
    <w:p w14:paraId="2EDF0E1F" w14:textId="77777777" w:rsidR="00D30231" w:rsidRPr="00D30231" w:rsidRDefault="00D03D43" w:rsidP="00D30231">
      <w:pPr>
        <w:pStyle w:val="TOC3"/>
        <w:tabs>
          <w:tab w:val="left" w:pos="960"/>
          <w:tab w:val="right" w:leader="dot" w:pos="8630"/>
        </w:tabs>
        <w:spacing w:line="264" w:lineRule="auto"/>
        <w:rPr>
          <w:rFonts w:asciiTheme="minorHAnsi" w:eastAsiaTheme="minorEastAsia" w:hAnsiTheme="minorHAnsi" w:cstheme="minorBidi"/>
          <w:noProof/>
          <w:sz w:val="22"/>
          <w:szCs w:val="22"/>
        </w:rPr>
      </w:pPr>
      <w:hyperlink w:anchor="_Toc439838954" w:history="1">
        <w:r w:rsidR="00D30231" w:rsidRPr="00D30231">
          <w:rPr>
            <w:rStyle w:val="Hyperlink"/>
            <w:noProof/>
          </w:rPr>
          <w:t>A.</w:t>
        </w:r>
        <w:r w:rsidR="00D30231" w:rsidRPr="00D30231">
          <w:rPr>
            <w:rFonts w:asciiTheme="minorHAnsi" w:eastAsiaTheme="minorEastAsia" w:hAnsiTheme="minorHAnsi" w:cstheme="minorBidi"/>
            <w:noProof/>
            <w:sz w:val="22"/>
            <w:szCs w:val="22"/>
          </w:rPr>
          <w:tab/>
        </w:r>
        <w:r w:rsidR="00D30231" w:rsidRPr="00D30231">
          <w:rPr>
            <w:rStyle w:val="Hyperlink"/>
            <w:noProof/>
          </w:rPr>
          <w:t>Terms and Conditions</w:t>
        </w:r>
        <w:r w:rsidR="00D30231" w:rsidRPr="00D30231">
          <w:rPr>
            <w:noProof/>
            <w:webHidden/>
          </w:rPr>
          <w:tab/>
        </w:r>
        <w:r w:rsidR="00D30231" w:rsidRPr="00D30231">
          <w:rPr>
            <w:noProof/>
            <w:webHidden/>
          </w:rPr>
          <w:fldChar w:fldCharType="begin"/>
        </w:r>
        <w:r w:rsidR="00D30231" w:rsidRPr="00D30231">
          <w:rPr>
            <w:noProof/>
            <w:webHidden/>
          </w:rPr>
          <w:instrText xml:space="preserve"> PAGEREF _Toc439838954 \h </w:instrText>
        </w:r>
        <w:r w:rsidR="00D30231" w:rsidRPr="00D30231">
          <w:rPr>
            <w:noProof/>
            <w:webHidden/>
          </w:rPr>
        </w:r>
        <w:r w:rsidR="00D30231" w:rsidRPr="00D30231">
          <w:rPr>
            <w:noProof/>
            <w:webHidden/>
          </w:rPr>
          <w:fldChar w:fldCharType="separate"/>
        </w:r>
        <w:r>
          <w:rPr>
            <w:noProof/>
            <w:webHidden/>
          </w:rPr>
          <w:t>8</w:t>
        </w:r>
        <w:r w:rsidR="00D30231" w:rsidRPr="00D30231">
          <w:rPr>
            <w:noProof/>
            <w:webHidden/>
          </w:rPr>
          <w:fldChar w:fldCharType="end"/>
        </w:r>
      </w:hyperlink>
    </w:p>
    <w:p w14:paraId="3E2D96D3" w14:textId="77777777" w:rsidR="00D30231" w:rsidRPr="00D30231" w:rsidRDefault="00D03D43" w:rsidP="00D30231">
      <w:pPr>
        <w:pStyle w:val="TOC4"/>
        <w:tabs>
          <w:tab w:val="left" w:pos="1200"/>
          <w:tab w:val="right" w:leader="dot" w:pos="8630"/>
        </w:tabs>
        <w:spacing w:line="264" w:lineRule="auto"/>
        <w:rPr>
          <w:rFonts w:asciiTheme="minorHAnsi" w:eastAsiaTheme="minorEastAsia" w:hAnsiTheme="minorHAnsi" w:cstheme="minorBidi"/>
          <w:noProof/>
          <w:sz w:val="22"/>
          <w:szCs w:val="22"/>
        </w:rPr>
      </w:pPr>
      <w:hyperlink w:anchor="_Toc439838955" w:history="1">
        <w:r w:rsidR="00D30231" w:rsidRPr="00D30231">
          <w:rPr>
            <w:rStyle w:val="Hyperlink"/>
            <w:noProof/>
          </w:rPr>
          <w:t>1.</w:t>
        </w:r>
        <w:r w:rsidR="00D30231" w:rsidRPr="00D30231">
          <w:rPr>
            <w:rFonts w:asciiTheme="minorHAnsi" w:eastAsiaTheme="minorEastAsia" w:hAnsiTheme="minorHAnsi" w:cstheme="minorBidi"/>
            <w:noProof/>
            <w:sz w:val="22"/>
            <w:szCs w:val="22"/>
          </w:rPr>
          <w:tab/>
        </w:r>
        <w:r w:rsidR="00D30231" w:rsidRPr="00D30231">
          <w:rPr>
            <w:rStyle w:val="Hyperlink"/>
            <w:noProof/>
          </w:rPr>
          <w:t>Summary</w:t>
        </w:r>
        <w:r w:rsidR="00D30231" w:rsidRPr="00D30231">
          <w:rPr>
            <w:noProof/>
            <w:webHidden/>
          </w:rPr>
          <w:tab/>
        </w:r>
        <w:r w:rsidR="00D30231" w:rsidRPr="00D30231">
          <w:rPr>
            <w:noProof/>
            <w:webHidden/>
          </w:rPr>
          <w:fldChar w:fldCharType="begin"/>
        </w:r>
        <w:r w:rsidR="00D30231" w:rsidRPr="00D30231">
          <w:rPr>
            <w:noProof/>
            <w:webHidden/>
          </w:rPr>
          <w:instrText xml:space="preserve"> PAGEREF _Toc439838955 \h </w:instrText>
        </w:r>
        <w:r w:rsidR="00D30231" w:rsidRPr="00D30231">
          <w:rPr>
            <w:noProof/>
            <w:webHidden/>
          </w:rPr>
        </w:r>
        <w:r w:rsidR="00D30231" w:rsidRPr="00D30231">
          <w:rPr>
            <w:noProof/>
            <w:webHidden/>
          </w:rPr>
          <w:fldChar w:fldCharType="separate"/>
        </w:r>
        <w:r>
          <w:rPr>
            <w:noProof/>
            <w:webHidden/>
          </w:rPr>
          <w:t>8</w:t>
        </w:r>
        <w:r w:rsidR="00D30231" w:rsidRPr="00D30231">
          <w:rPr>
            <w:noProof/>
            <w:webHidden/>
          </w:rPr>
          <w:fldChar w:fldCharType="end"/>
        </w:r>
      </w:hyperlink>
    </w:p>
    <w:p w14:paraId="75FFF524" w14:textId="77777777" w:rsidR="00D30231" w:rsidRPr="00D30231" w:rsidRDefault="00D03D43" w:rsidP="00D30231">
      <w:pPr>
        <w:pStyle w:val="TOC4"/>
        <w:tabs>
          <w:tab w:val="left" w:pos="1200"/>
          <w:tab w:val="right" w:leader="dot" w:pos="8630"/>
        </w:tabs>
        <w:spacing w:line="264" w:lineRule="auto"/>
        <w:rPr>
          <w:rFonts w:asciiTheme="minorHAnsi" w:eastAsiaTheme="minorEastAsia" w:hAnsiTheme="minorHAnsi" w:cstheme="minorBidi"/>
          <w:noProof/>
          <w:sz w:val="22"/>
          <w:szCs w:val="22"/>
        </w:rPr>
      </w:pPr>
      <w:hyperlink w:anchor="_Toc439838956" w:history="1">
        <w:r w:rsidR="00D30231" w:rsidRPr="00D30231">
          <w:rPr>
            <w:rStyle w:val="Hyperlink"/>
            <w:noProof/>
          </w:rPr>
          <w:t>2.</w:t>
        </w:r>
        <w:r w:rsidR="00D30231" w:rsidRPr="00D30231">
          <w:rPr>
            <w:rFonts w:asciiTheme="minorHAnsi" w:eastAsiaTheme="minorEastAsia" w:hAnsiTheme="minorHAnsi" w:cstheme="minorBidi"/>
            <w:noProof/>
            <w:sz w:val="22"/>
            <w:szCs w:val="22"/>
          </w:rPr>
          <w:tab/>
        </w:r>
        <w:r w:rsidR="00D30231" w:rsidRPr="00D30231">
          <w:rPr>
            <w:rStyle w:val="Hyperlink"/>
            <w:noProof/>
          </w:rPr>
          <w:t>Joint Testimony in Support of Settlement</w:t>
        </w:r>
        <w:r w:rsidR="00D30231" w:rsidRPr="00D30231">
          <w:rPr>
            <w:noProof/>
            <w:webHidden/>
          </w:rPr>
          <w:tab/>
        </w:r>
        <w:r w:rsidR="00D30231" w:rsidRPr="00D30231">
          <w:rPr>
            <w:noProof/>
            <w:webHidden/>
          </w:rPr>
          <w:fldChar w:fldCharType="begin"/>
        </w:r>
        <w:r w:rsidR="00D30231" w:rsidRPr="00D30231">
          <w:rPr>
            <w:noProof/>
            <w:webHidden/>
          </w:rPr>
          <w:instrText xml:space="preserve"> PAGEREF _Toc439838956 \h </w:instrText>
        </w:r>
        <w:r w:rsidR="00D30231" w:rsidRPr="00D30231">
          <w:rPr>
            <w:noProof/>
            <w:webHidden/>
          </w:rPr>
        </w:r>
        <w:r w:rsidR="00D30231" w:rsidRPr="00D30231">
          <w:rPr>
            <w:noProof/>
            <w:webHidden/>
          </w:rPr>
          <w:fldChar w:fldCharType="separate"/>
        </w:r>
        <w:r>
          <w:rPr>
            <w:noProof/>
            <w:webHidden/>
          </w:rPr>
          <w:t>9</w:t>
        </w:r>
        <w:r w:rsidR="00D30231" w:rsidRPr="00D30231">
          <w:rPr>
            <w:noProof/>
            <w:webHidden/>
          </w:rPr>
          <w:fldChar w:fldCharType="end"/>
        </w:r>
      </w:hyperlink>
    </w:p>
    <w:p w14:paraId="776C53C5" w14:textId="77777777" w:rsidR="00D30231" w:rsidRPr="00D30231" w:rsidRDefault="00D03D43" w:rsidP="00D30231">
      <w:pPr>
        <w:pStyle w:val="TOC3"/>
        <w:tabs>
          <w:tab w:val="left" w:pos="960"/>
          <w:tab w:val="right" w:leader="dot" w:pos="8630"/>
        </w:tabs>
        <w:spacing w:line="264" w:lineRule="auto"/>
        <w:rPr>
          <w:rFonts w:asciiTheme="minorHAnsi" w:eastAsiaTheme="minorEastAsia" w:hAnsiTheme="minorHAnsi" w:cstheme="minorBidi"/>
          <w:noProof/>
          <w:sz w:val="22"/>
          <w:szCs w:val="22"/>
        </w:rPr>
      </w:pPr>
      <w:hyperlink w:anchor="_Toc439838957" w:history="1">
        <w:r w:rsidR="00D30231" w:rsidRPr="00D30231">
          <w:rPr>
            <w:rStyle w:val="Hyperlink"/>
            <w:noProof/>
          </w:rPr>
          <w:t>B.</w:t>
        </w:r>
        <w:r w:rsidR="00D30231" w:rsidRPr="00D30231">
          <w:rPr>
            <w:rFonts w:asciiTheme="minorHAnsi" w:eastAsiaTheme="minorEastAsia" w:hAnsiTheme="minorHAnsi" w:cstheme="minorBidi"/>
            <w:noProof/>
            <w:sz w:val="22"/>
            <w:szCs w:val="22"/>
          </w:rPr>
          <w:tab/>
        </w:r>
        <w:r w:rsidR="00D30231" w:rsidRPr="00D30231">
          <w:rPr>
            <w:rStyle w:val="Hyperlink"/>
            <w:noProof/>
          </w:rPr>
          <w:t>Discussion/Decision</w:t>
        </w:r>
        <w:r w:rsidR="00D30231" w:rsidRPr="00D30231">
          <w:rPr>
            <w:noProof/>
            <w:webHidden/>
          </w:rPr>
          <w:tab/>
        </w:r>
        <w:r w:rsidR="00D30231" w:rsidRPr="00D30231">
          <w:rPr>
            <w:noProof/>
            <w:webHidden/>
          </w:rPr>
          <w:fldChar w:fldCharType="begin"/>
        </w:r>
        <w:r w:rsidR="00D30231" w:rsidRPr="00D30231">
          <w:rPr>
            <w:noProof/>
            <w:webHidden/>
          </w:rPr>
          <w:instrText xml:space="preserve"> PAGEREF _Toc439838957 \h </w:instrText>
        </w:r>
        <w:r w:rsidR="00D30231" w:rsidRPr="00D30231">
          <w:rPr>
            <w:noProof/>
            <w:webHidden/>
          </w:rPr>
        </w:r>
        <w:r w:rsidR="00D30231" w:rsidRPr="00D30231">
          <w:rPr>
            <w:noProof/>
            <w:webHidden/>
          </w:rPr>
          <w:fldChar w:fldCharType="separate"/>
        </w:r>
        <w:r>
          <w:rPr>
            <w:noProof/>
            <w:webHidden/>
          </w:rPr>
          <w:t>11</w:t>
        </w:r>
        <w:r w:rsidR="00D30231" w:rsidRPr="00D30231">
          <w:rPr>
            <w:noProof/>
            <w:webHidden/>
          </w:rPr>
          <w:fldChar w:fldCharType="end"/>
        </w:r>
      </w:hyperlink>
    </w:p>
    <w:p w14:paraId="11D6A9C6" w14:textId="77777777" w:rsidR="00D30231" w:rsidRPr="00D30231" w:rsidRDefault="00D03D43" w:rsidP="00D30231">
      <w:pPr>
        <w:pStyle w:val="TOC2"/>
        <w:spacing w:line="264" w:lineRule="auto"/>
        <w:rPr>
          <w:rFonts w:asciiTheme="minorHAnsi" w:eastAsiaTheme="minorEastAsia" w:hAnsiTheme="minorHAnsi" w:cstheme="minorBidi"/>
          <w:b w:val="0"/>
          <w:sz w:val="22"/>
          <w:szCs w:val="22"/>
        </w:rPr>
      </w:pPr>
      <w:hyperlink w:anchor="_Toc439838958" w:history="1">
        <w:r w:rsidR="00D30231" w:rsidRPr="00D30231">
          <w:rPr>
            <w:rStyle w:val="Hyperlink"/>
            <w:b w:val="0"/>
          </w:rPr>
          <w:t>III.</w:t>
        </w:r>
        <w:r w:rsidR="00D30231" w:rsidRPr="00D30231">
          <w:rPr>
            <w:rFonts w:asciiTheme="minorHAnsi" w:eastAsiaTheme="minorEastAsia" w:hAnsiTheme="minorHAnsi" w:cstheme="minorBidi"/>
            <w:b w:val="0"/>
            <w:sz w:val="22"/>
            <w:szCs w:val="22"/>
          </w:rPr>
          <w:tab/>
        </w:r>
        <w:r w:rsidR="00D30231" w:rsidRPr="00D30231">
          <w:rPr>
            <w:rStyle w:val="Hyperlink"/>
            <w:b w:val="0"/>
          </w:rPr>
          <w:t>Contested Issues</w:t>
        </w:r>
        <w:r w:rsidR="00D30231" w:rsidRPr="00D30231">
          <w:rPr>
            <w:b w:val="0"/>
            <w:webHidden/>
          </w:rPr>
          <w:tab/>
        </w:r>
        <w:r w:rsidR="00D30231" w:rsidRPr="00D30231">
          <w:rPr>
            <w:b w:val="0"/>
            <w:webHidden/>
          </w:rPr>
          <w:fldChar w:fldCharType="begin"/>
        </w:r>
        <w:r w:rsidR="00D30231" w:rsidRPr="00D30231">
          <w:rPr>
            <w:b w:val="0"/>
            <w:webHidden/>
          </w:rPr>
          <w:instrText xml:space="preserve"> PAGEREF _Toc439838958 \h </w:instrText>
        </w:r>
        <w:r w:rsidR="00D30231" w:rsidRPr="00D30231">
          <w:rPr>
            <w:b w:val="0"/>
            <w:webHidden/>
          </w:rPr>
        </w:r>
        <w:r w:rsidR="00D30231" w:rsidRPr="00D30231">
          <w:rPr>
            <w:b w:val="0"/>
            <w:webHidden/>
          </w:rPr>
          <w:fldChar w:fldCharType="separate"/>
        </w:r>
        <w:r>
          <w:rPr>
            <w:b w:val="0"/>
            <w:webHidden/>
          </w:rPr>
          <w:t>13</w:t>
        </w:r>
        <w:r w:rsidR="00D30231" w:rsidRPr="00D30231">
          <w:rPr>
            <w:b w:val="0"/>
            <w:webHidden/>
          </w:rPr>
          <w:fldChar w:fldCharType="end"/>
        </w:r>
      </w:hyperlink>
    </w:p>
    <w:p w14:paraId="733BD87C" w14:textId="77777777" w:rsidR="00D30231" w:rsidRPr="00D30231" w:rsidRDefault="00D03D43" w:rsidP="00D30231">
      <w:pPr>
        <w:pStyle w:val="TOC3"/>
        <w:tabs>
          <w:tab w:val="left" w:pos="960"/>
          <w:tab w:val="right" w:leader="dot" w:pos="8630"/>
        </w:tabs>
        <w:spacing w:line="264" w:lineRule="auto"/>
        <w:rPr>
          <w:rFonts w:asciiTheme="minorHAnsi" w:eastAsiaTheme="minorEastAsia" w:hAnsiTheme="minorHAnsi" w:cstheme="minorBidi"/>
          <w:noProof/>
          <w:sz w:val="22"/>
          <w:szCs w:val="22"/>
        </w:rPr>
      </w:pPr>
      <w:hyperlink w:anchor="_Toc439838959" w:history="1">
        <w:r w:rsidR="00D30231" w:rsidRPr="00D30231">
          <w:rPr>
            <w:rStyle w:val="Hyperlink"/>
            <w:noProof/>
          </w:rPr>
          <w:t>A.</w:t>
        </w:r>
        <w:r w:rsidR="00D30231" w:rsidRPr="00D30231">
          <w:rPr>
            <w:rFonts w:asciiTheme="minorHAnsi" w:eastAsiaTheme="minorEastAsia" w:hAnsiTheme="minorHAnsi" w:cstheme="minorBidi"/>
            <w:noProof/>
            <w:sz w:val="22"/>
            <w:szCs w:val="22"/>
          </w:rPr>
          <w:tab/>
        </w:r>
        <w:r w:rsidR="00D30231" w:rsidRPr="00D30231">
          <w:rPr>
            <w:rStyle w:val="Hyperlink"/>
            <w:noProof/>
          </w:rPr>
          <w:t>Pro Forma Plant Additions</w:t>
        </w:r>
        <w:r w:rsidR="00D30231" w:rsidRPr="00D30231">
          <w:rPr>
            <w:noProof/>
            <w:webHidden/>
          </w:rPr>
          <w:tab/>
        </w:r>
        <w:r w:rsidR="00D30231" w:rsidRPr="00D30231">
          <w:rPr>
            <w:noProof/>
            <w:webHidden/>
          </w:rPr>
          <w:fldChar w:fldCharType="begin"/>
        </w:r>
        <w:r w:rsidR="00D30231" w:rsidRPr="00D30231">
          <w:rPr>
            <w:noProof/>
            <w:webHidden/>
          </w:rPr>
          <w:instrText xml:space="preserve"> PAGEREF _Toc439838959 \h </w:instrText>
        </w:r>
        <w:r w:rsidR="00D30231" w:rsidRPr="00D30231">
          <w:rPr>
            <w:noProof/>
            <w:webHidden/>
          </w:rPr>
        </w:r>
        <w:r w:rsidR="00D30231" w:rsidRPr="00D30231">
          <w:rPr>
            <w:noProof/>
            <w:webHidden/>
          </w:rPr>
          <w:fldChar w:fldCharType="separate"/>
        </w:r>
        <w:r>
          <w:rPr>
            <w:noProof/>
            <w:webHidden/>
          </w:rPr>
          <w:t>13</w:t>
        </w:r>
        <w:r w:rsidR="00D30231" w:rsidRPr="00D30231">
          <w:rPr>
            <w:noProof/>
            <w:webHidden/>
          </w:rPr>
          <w:fldChar w:fldCharType="end"/>
        </w:r>
      </w:hyperlink>
    </w:p>
    <w:p w14:paraId="59ECF8CB" w14:textId="77777777" w:rsidR="00D30231" w:rsidRPr="00D30231" w:rsidRDefault="00D03D43" w:rsidP="00D30231">
      <w:pPr>
        <w:pStyle w:val="TOC3"/>
        <w:tabs>
          <w:tab w:val="left" w:pos="960"/>
          <w:tab w:val="right" w:leader="dot" w:pos="8630"/>
        </w:tabs>
        <w:spacing w:line="264" w:lineRule="auto"/>
        <w:rPr>
          <w:rFonts w:asciiTheme="minorHAnsi" w:eastAsiaTheme="minorEastAsia" w:hAnsiTheme="minorHAnsi" w:cstheme="minorBidi"/>
          <w:noProof/>
          <w:sz w:val="22"/>
          <w:szCs w:val="22"/>
        </w:rPr>
      </w:pPr>
      <w:hyperlink w:anchor="_Toc439838960" w:history="1">
        <w:r w:rsidR="00D30231" w:rsidRPr="00D30231">
          <w:rPr>
            <w:rStyle w:val="Hyperlink"/>
            <w:noProof/>
          </w:rPr>
          <w:t>B.</w:t>
        </w:r>
        <w:r w:rsidR="00D30231" w:rsidRPr="00D30231">
          <w:rPr>
            <w:rFonts w:asciiTheme="minorHAnsi" w:eastAsiaTheme="minorEastAsia" w:hAnsiTheme="minorHAnsi" w:cstheme="minorBidi"/>
            <w:noProof/>
            <w:sz w:val="22"/>
            <w:szCs w:val="22"/>
          </w:rPr>
          <w:tab/>
        </w:r>
        <w:r w:rsidR="00D30231" w:rsidRPr="00D30231">
          <w:rPr>
            <w:rStyle w:val="Hyperlink"/>
            <w:noProof/>
          </w:rPr>
          <w:t>Attrition</w:t>
        </w:r>
        <w:r w:rsidR="00D30231" w:rsidRPr="00D30231">
          <w:rPr>
            <w:noProof/>
            <w:webHidden/>
          </w:rPr>
          <w:tab/>
        </w:r>
        <w:r w:rsidR="00D30231" w:rsidRPr="00D30231">
          <w:rPr>
            <w:noProof/>
            <w:webHidden/>
          </w:rPr>
          <w:fldChar w:fldCharType="begin"/>
        </w:r>
        <w:r w:rsidR="00D30231" w:rsidRPr="00D30231">
          <w:rPr>
            <w:noProof/>
            <w:webHidden/>
          </w:rPr>
          <w:instrText xml:space="preserve"> PAGEREF _Toc439838960 \h </w:instrText>
        </w:r>
        <w:r w:rsidR="00D30231" w:rsidRPr="00D30231">
          <w:rPr>
            <w:noProof/>
            <w:webHidden/>
          </w:rPr>
        </w:r>
        <w:r w:rsidR="00D30231" w:rsidRPr="00D30231">
          <w:rPr>
            <w:noProof/>
            <w:webHidden/>
          </w:rPr>
          <w:fldChar w:fldCharType="separate"/>
        </w:r>
        <w:r>
          <w:rPr>
            <w:noProof/>
            <w:webHidden/>
          </w:rPr>
          <w:t>18</w:t>
        </w:r>
        <w:r w:rsidR="00D30231" w:rsidRPr="00D30231">
          <w:rPr>
            <w:noProof/>
            <w:webHidden/>
          </w:rPr>
          <w:fldChar w:fldCharType="end"/>
        </w:r>
      </w:hyperlink>
    </w:p>
    <w:p w14:paraId="73116560" w14:textId="77777777" w:rsidR="00D30231" w:rsidRPr="00D30231" w:rsidRDefault="00D03D43" w:rsidP="00D30231">
      <w:pPr>
        <w:pStyle w:val="TOC4"/>
        <w:tabs>
          <w:tab w:val="left" w:pos="1200"/>
          <w:tab w:val="right" w:leader="dot" w:pos="8630"/>
        </w:tabs>
        <w:spacing w:line="264" w:lineRule="auto"/>
        <w:rPr>
          <w:rFonts w:asciiTheme="minorHAnsi" w:eastAsiaTheme="minorEastAsia" w:hAnsiTheme="minorHAnsi" w:cstheme="minorBidi"/>
          <w:noProof/>
          <w:sz w:val="22"/>
          <w:szCs w:val="22"/>
        </w:rPr>
      </w:pPr>
      <w:hyperlink w:anchor="_Toc439838961" w:history="1">
        <w:r w:rsidR="00D30231" w:rsidRPr="00D30231">
          <w:rPr>
            <w:rStyle w:val="Hyperlink"/>
            <w:noProof/>
          </w:rPr>
          <w:t>1.</w:t>
        </w:r>
        <w:r w:rsidR="00D30231" w:rsidRPr="00D30231">
          <w:rPr>
            <w:rFonts w:asciiTheme="minorHAnsi" w:eastAsiaTheme="minorEastAsia" w:hAnsiTheme="minorHAnsi" w:cstheme="minorBidi"/>
            <w:noProof/>
            <w:sz w:val="22"/>
            <w:szCs w:val="22"/>
          </w:rPr>
          <w:tab/>
        </w:r>
        <w:r w:rsidR="00D30231" w:rsidRPr="00D30231">
          <w:rPr>
            <w:rStyle w:val="Hyperlink"/>
            <w:noProof/>
          </w:rPr>
          <w:t>Historical Context</w:t>
        </w:r>
        <w:r w:rsidR="00D30231" w:rsidRPr="00D30231">
          <w:rPr>
            <w:noProof/>
            <w:webHidden/>
          </w:rPr>
          <w:tab/>
        </w:r>
        <w:r w:rsidR="00D30231" w:rsidRPr="00D30231">
          <w:rPr>
            <w:noProof/>
            <w:webHidden/>
          </w:rPr>
          <w:fldChar w:fldCharType="begin"/>
        </w:r>
        <w:r w:rsidR="00D30231" w:rsidRPr="00D30231">
          <w:rPr>
            <w:noProof/>
            <w:webHidden/>
          </w:rPr>
          <w:instrText xml:space="preserve"> PAGEREF _Toc439838961 \h </w:instrText>
        </w:r>
        <w:r w:rsidR="00D30231" w:rsidRPr="00D30231">
          <w:rPr>
            <w:noProof/>
            <w:webHidden/>
          </w:rPr>
        </w:r>
        <w:r w:rsidR="00D30231" w:rsidRPr="00D30231">
          <w:rPr>
            <w:noProof/>
            <w:webHidden/>
          </w:rPr>
          <w:fldChar w:fldCharType="separate"/>
        </w:r>
        <w:r>
          <w:rPr>
            <w:noProof/>
            <w:webHidden/>
          </w:rPr>
          <w:t>19</w:t>
        </w:r>
        <w:r w:rsidR="00D30231" w:rsidRPr="00D30231">
          <w:rPr>
            <w:noProof/>
            <w:webHidden/>
          </w:rPr>
          <w:fldChar w:fldCharType="end"/>
        </w:r>
      </w:hyperlink>
    </w:p>
    <w:p w14:paraId="7D6B07B6" w14:textId="77777777" w:rsidR="00D30231" w:rsidRPr="00D30231" w:rsidRDefault="00D03D43" w:rsidP="00D30231">
      <w:pPr>
        <w:pStyle w:val="TOC4"/>
        <w:tabs>
          <w:tab w:val="left" w:pos="1200"/>
          <w:tab w:val="right" w:leader="dot" w:pos="8630"/>
        </w:tabs>
        <w:spacing w:line="264" w:lineRule="auto"/>
        <w:rPr>
          <w:rFonts w:asciiTheme="minorHAnsi" w:eastAsiaTheme="minorEastAsia" w:hAnsiTheme="minorHAnsi" w:cstheme="minorBidi"/>
          <w:noProof/>
          <w:sz w:val="22"/>
          <w:szCs w:val="22"/>
        </w:rPr>
      </w:pPr>
      <w:hyperlink w:anchor="_Toc439838962" w:history="1">
        <w:r w:rsidR="00D30231" w:rsidRPr="00D30231">
          <w:rPr>
            <w:rStyle w:val="Hyperlink"/>
            <w:noProof/>
          </w:rPr>
          <w:t>2.</w:t>
        </w:r>
        <w:r w:rsidR="00D30231" w:rsidRPr="00D30231">
          <w:rPr>
            <w:rFonts w:asciiTheme="minorHAnsi" w:eastAsiaTheme="minorEastAsia" w:hAnsiTheme="minorHAnsi" w:cstheme="minorBidi"/>
            <w:noProof/>
            <w:sz w:val="22"/>
            <w:szCs w:val="22"/>
          </w:rPr>
          <w:tab/>
        </w:r>
        <w:r w:rsidR="00D30231" w:rsidRPr="00D30231">
          <w:rPr>
            <w:rStyle w:val="Hyperlink"/>
            <w:noProof/>
          </w:rPr>
          <w:t>Positions of the Parties</w:t>
        </w:r>
        <w:r w:rsidR="00D30231" w:rsidRPr="00D30231">
          <w:rPr>
            <w:noProof/>
            <w:webHidden/>
          </w:rPr>
          <w:tab/>
        </w:r>
        <w:r w:rsidR="00D30231" w:rsidRPr="00D30231">
          <w:rPr>
            <w:noProof/>
            <w:webHidden/>
          </w:rPr>
          <w:fldChar w:fldCharType="begin"/>
        </w:r>
        <w:r w:rsidR="00D30231" w:rsidRPr="00D30231">
          <w:rPr>
            <w:noProof/>
            <w:webHidden/>
          </w:rPr>
          <w:instrText xml:space="preserve"> PAGEREF _Toc439838962 \h </w:instrText>
        </w:r>
        <w:r w:rsidR="00D30231" w:rsidRPr="00D30231">
          <w:rPr>
            <w:noProof/>
            <w:webHidden/>
          </w:rPr>
        </w:r>
        <w:r w:rsidR="00D30231" w:rsidRPr="00D30231">
          <w:rPr>
            <w:noProof/>
            <w:webHidden/>
          </w:rPr>
          <w:fldChar w:fldCharType="separate"/>
        </w:r>
        <w:r>
          <w:rPr>
            <w:noProof/>
            <w:webHidden/>
          </w:rPr>
          <w:t>27</w:t>
        </w:r>
        <w:r w:rsidR="00D30231" w:rsidRPr="00D30231">
          <w:rPr>
            <w:noProof/>
            <w:webHidden/>
          </w:rPr>
          <w:fldChar w:fldCharType="end"/>
        </w:r>
      </w:hyperlink>
    </w:p>
    <w:p w14:paraId="0E13CA6E" w14:textId="77777777" w:rsidR="00D30231" w:rsidRPr="00D30231" w:rsidRDefault="00D03D43" w:rsidP="00D30231">
      <w:pPr>
        <w:pStyle w:val="TOC4"/>
        <w:tabs>
          <w:tab w:val="left" w:pos="1200"/>
          <w:tab w:val="right" w:leader="dot" w:pos="8630"/>
        </w:tabs>
        <w:spacing w:line="264" w:lineRule="auto"/>
        <w:rPr>
          <w:rFonts w:asciiTheme="minorHAnsi" w:eastAsiaTheme="minorEastAsia" w:hAnsiTheme="minorHAnsi" w:cstheme="minorBidi"/>
          <w:noProof/>
          <w:sz w:val="22"/>
          <w:szCs w:val="22"/>
        </w:rPr>
      </w:pPr>
      <w:hyperlink w:anchor="_Toc439838963" w:history="1">
        <w:r w:rsidR="00D30231" w:rsidRPr="00D30231">
          <w:rPr>
            <w:rStyle w:val="Hyperlink"/>
            <w:noProof/>
          </w:rPr>
          <w:t>3.</w:t>
        </w:r>
        <w:r w:rsidR="00D30231" w:rsidRPr="00D30231">
          <w:rPr>
            <w:rFonts w:asciiTheme="minorHAnsi" w:eastAsiaTheme="minorEastAsia" w:hAnsiTheme="minorHAnsi" w:cstheme="minorBidi"/>
            <w:noProof/>
            <w:sz w:val="22"/>
            <w:szCs w:val="22"/>
          </w:rPr>
          <w:tab/>
        </w:r>
        <w:r w:rsidR="00D30231" w:rsidRPr="00D30231">
          <w:rPr>
            <w:rStyle w:val="Hyperlink"/>
            <w:noProof/>
          </w:rPr>
          <w:t>Discussion and Decision</w:t>
        </w:r>
        <w:r w:rsidR="00D30231" w:rsidRPr="00D30231">
          <w:rPr>
            <w:noProof/>
            <w:webHidden/>
          </w:rPr>
          <w:tab/>
        </w:r>
        <w:r w:rsidR="00D30231" w:rsidRPr="00D30231">
          <w:rPr>
            <w:noProof/>
            <w:webHidden/>
          </w:rPr>
          <w:fldChar w:fldCharType="begin"/>
        </w:r>
        <w:r w:rsidR="00D30231" w:rsidRPr="00D30231">
          <w:rPr>
            <w:noProof/>
            <w:webHidden/>
          </w:rPr>
          <w:instrText xml:space="preserve"> PAGEREF _Toc439838963 \h </w:instrText>
        </w:r>
        <w:r w:rsidR="00D30231" w:rsidRPr="00D30231">
          <w:rPr>
            <w:noProof/>
            <w:webHidden/>
          </w:rPr>
        </w:r>
        <w:r w:rsidR="00D30231" w:rsidRPr="00D30231">
          <w:rPr>
            <w:noProof/>
            <w:webHidden/>
          </w:rPr>
          <w:fldChar w:fldCharType="separate"/>
        </w:r>
        <w:r>
          <w:rPr>
            <w:noProof/>
            <w:webHidden/>
          </w:rPr>
          <w:t>37</w:t>
        </w:r>
        <w:r w:rsidR="00D30231" w:rsidRPr="00D30231">
          <w:rPr>
            <w:noProof/>
            <w:webHidden/>
          </w:rPr>
          <w:fldChar w:fldCharType="end"/>
        </w:r>
      </w:hyperlink>
    </w:p>
    <w:p w14:paraId="28499470" w14:textId="77777777" w:rsidR="00D30231" w:rsidRPr="00D30231" w:rsidRDefault="00D03D43" w:rsidP="00D30231">
      <w:pPr>
        <w:pStyle w:val="TOC3"/>
        <w:tabs>
          <w:tab w:val="left" w:pos="960"/>
          <w:tab w:val="right" w:leader="dot" w:pos="8630"/>
        </w:tabs>
        <w:spacing w:line="264" w:lineRule="auto"/>
        <w:rPr>
          <w:rFonts w:asciiTheme="minorHAnsi" w:eastAsiaTheme="minorEastAsia" w:hAnsiTheme="minorHAnsi" w:cstheme="minorBidi"/>
          <w:noProof/>
          <w:sz w:val="22"/>
          <w:szCs w:val="22"/>
        </w:rPr>
      </w:pPr>
      <w:hyperlink w:anchor="_Toc439838964" w:history="1">
        <w:r w:rsidR="00D30231" w:rsidRPr="00D30231">
          <w:rPr>
            <w:rStyle w:val="Hyperlink"/>
            <w:noProof/>
          </w:rPr>
          <w:t>C.</w:t>
        </w:r>
        <w:r w:rsidR="00D30231" w:rsidRPr="00D30231">
          <w:rPr>
            <w:rFonts w:asciiTheme="minorHAnsi" w:eastAsiaTheme="minorEastAsia" w:hAnsiTheme="minorHAnsi" w:cstheme="minorBidi"/>
            <w:noProof/>
            <w:sz w:val="22"/>
            <w:szCs w:val="22"/>
          </w:rPr>
          <w:tab/>
        </w:r>
        <w:r w:rsidR="00D30231" w:rsidRPr="00D30231">
          <w:rPr>
            <w:rStyle w:val="Hyperlink"/>
            <w:noProof/>
          </w:rPr>
          <w:t>Generation Plant Operations and Maintenance</w:t>
        </w:r>
        <w:r w:rsidR="00D30231" w:rsidRPr="00D30231">
          <w:rPr>
            <w:noProof/>
            <w:webHidden/>
          </w:rPr>
          <w:tab/>
        </w:r>
        <w:r w:rsidR="00D30231" w:rsidRPr="00D30231">
          <w:rPr>
            <w:noProof/>
            <w:webHidden/>
          </w:rPr>
          <w:fldChar w:fldCharType="begin"/>
        </w:r>
        <w:r w:rsidR="00D30231" w:rsidRPr="00D30231">
          <w:rPr>
            <w:noProof/>
            <w:webHidden/>
          </w:rPr>
          <w:instrText xml:space="preserve"> PAGEREF _Toc439838964 \h </w:instrText>
        </w:r>
        <w:r w:rsidR="00D30231" w:rsidRPr="00D30231">
          <w:rPr>
            <w:noProof/>
            <w:webHidden/>
          </w:rPr>
        </w:r>
        <w:r w:rsidR="00D30231" w:rsidRPr="00D30231">
          <w:rPr>
            <w:noProof/>
            <w:webHidden/>
          </w:rPr>
          <w:fldChar w:fldCharType="separate"/>
        </w:r>
        <w:r>
          <w:rPr>
            <w:noProof/>
            <w:webHidden/>
          </w:rPr>
          <w:t>53</w:t>
        </w:r>
        <w:r w:rsidR="00D30231" w:rsidRPr="00D30231">
          <w:rPr>
            <w:noProof/>
            <w:webHidden/>
          </w:rPr>
          <w:fldChar w:fldCharType="end"/>
        </w:r>
      </w:hyperlink>
    </w:p>
    <w:p w14:paraId="29D04230" w14:textId="77777777" w:rsidR="00D30231" w:rsidRPr="00D30231" w:rsidRDefault="00D03D43" w:rsidP="00D30231">
      <w:pPr>
        <w:pStyle w:val="TOC3"/>
        <w:tabs>
          <w:tab w:val="left" w:pos="960"/>
          <w:tab w:val="right" w:leader="dot" w:pos="8630"/>
        </w:tabs>
        <w:spacing w:line="264" w:lineRule="auto"/>
        <w:rPr>
          <w:rFonts w:asciiTheme="minorHAnsi" w:eastAsiaTheme="minorEastAsia" w:hAnsiTheme="minorHAnsi" w:cstheme="minorBidi"/>
          <w:noProof/>
          <w:sz w:val="22"/>
          <w:szCs w:val="22"/>
        </w:rPr>
      </w:pPr>
      <w:hyperlink w:anchor="_Toc439838965" w:history="1">
        <w:r w:rsidR="00D30231" w:rsidRPr="00D30231">
          <w:rPr>
            <w:rStyle w:val="Hyperlink"/>
            <w:noProof/>
          </w:rPr>
          <w:t>D.</w:t>
        </w:r>
        <w:r w:rsidR="00D30231" w:rsidRPr="00D30231">
          <w:rPr>
            <w:rFonts w:asciiTheme="minorHAnsi" w:eastAsiaTheme="minorEastAsia" w:hAnsiTheme="minorHAnsi" w:cstheme="minorBidi"/>
            <w:noProof/>
            <w:sz w:val="22"/>
            <w:szCs w:val="22"/>
          </w:rPr>
          <w:tab/>
        </w:r>
        <w:r w:rsidR="00D30231" w:rsidRPr="00D30231">
          <w:rPr>
            <w:rStyle w:val="Hyperlink"/>
            <w:noProof/>
          </w:rPr>
          <w:t>Project Compass</w:t>
        </w:r>
        <w:r w:rsidR="00D30231" w:rsidRPr="00D30231">
          <w:rPr>
            <w:noProof/>
            <w:webHidden/>
          </w:rPr>
          <w:tab/>
        </w:r>
        <w:r w:rsidR="00D30231" w:rsidRPr="00D30231">
          <w:rPr>
            <w:noProof/>
            <w:webHidden/>
          </w:rPr>
          <w:fldChar w:fldCharType="begin"/>
        </w:r>
        <w:r w:rsidR="00D30231" w:rsidRPr="00D30231">
          <w:rPr>
            <w:noProof/>
            <w:webHidden/>
          </w:rPr>
          <w:instrText xml:space="preserve"> PAGEREF _Toc439838965 \h </w:instrText>
        </w:r>
        <w:r w:rsidR="00D30231" w:rsidRPr="00D30231">
          <w:rPr>
            <w:noProof/>
            <w:webHidden/>
          </w:rPr>
        </w:r>
        <w:r w:rsidR="00D30231" w:rsidRPr="00D30231">
          <w:rPr>
            <w:noProof/>
            <w:webHidden/>
          </w:rPr>
          <w:fldChar w:fldCharType="separate"/>
        </w:r>
        <w:r>
          <w:rPr>
            <w:noProof/>
            <w:webHidden/>
          </w:rPr>
          <w:t>57</w:t>
        </w:r>
        <w:r w:rsidR="00D30231" w:rsidRPr="00D30231">
          <w:rPr>
            <w:noProof/>
            <w:webHidden/>
          </w:rPr>
          <w:fldChar w:fldCharType="end"/>
        </w:r>
      </w:hyperlink>
    </w:p>
    <w:p w14:paraId="3587F970" w14:textId="77777777" w:rsidR="00D30231" w:rsidRPr="00D30231" w:rsidRDefault="00D03D43" w:rsidP="00D30231">
      <w:pPr>
        <w:pStyle w:val="TOC3"/>
        <w:tabs>
          <w:tab w:val="left" w:pos="960"/>
          <w:tab w:val="right" w:leader="dot" w:pos="8630"/>
        </w:tabs>
        <w:spacing w:line="264" w:lineRule="auto"/>
        <w:rPr>
          <w:rFonts w:asciiTheme="minorHAnsi" w:eastAsiaTheme="minorEastAsia" w:hAnsiTheme="minorHAnsi" w:cstheme="minorBidi"/>
          <w:noProof/>
          <w:sz w:val="22"/>
          <w:szCs w:val="22"/>
        </w:rPr>
      </w:pPr>
      <w:hyperlink w:anchor="_Toc439838966" w:history="1">
        <w:r w:rsidR="00D30231" w:rsidRPr="00D30231">
          <w:rPr>
            <w:rStyle w:val="Hyperlink"/>
            <w:noProof/>
          </w:rPr>
          <w:t>E.</w:t>
        </w:r>
        <w:r w:rsidR="00D30231" w:rsidRPr="00D30231">
          <w:rPr>
            <w:rFonts w:asciiTheme="minorHAnsi" w:eastAsiaTheme="minorEastAsia" w:hAnsiTheme="minorHAnsi" w:cstheme="minorBidi"/>
            <w:noProof/>
            <w:sz w:val="22"/>
            <w:szCs w:val="22"/>
          </w:rPr>
          <w:tab/>
        </w:r>
        <w:r w:rsidR="00D30231" w:rsidRPr="00D30231">
          <w:rPr>
            <w:rStyle w:val="Hyperlink"/>
            <w:noProof/>
          </w:rPr>
          <w:t>Advanced Metering Infrastructure</w:t>
        </w:r>
        <w:r w:rsidR="00D30231" w:rsidRPr="00D30231">
          <w:rPr>
            <w:noProof/>
            <w:webHidden/>
          </w:rPr>
          <w:tab/>
        </w:r>
        <w:r w:rsidR="00D30231" w:rsidRPr="00D30231">
          <w:rPr>
            <w:noProof/>
            <w:webHidden/>
          </w:rPr>
          <w:fldChar w:fldCharType="begin"/>
        </w:r>
        <w:r w:rsidR="00D30231" w:rsidRPr="00D30231">
          <w:rPr>
            <w:noProof/>
            <w:webHidden/>
          </w:rPr>
          <w:instrText xml:space="preserve"> PAGEREF _Toc439838966 \h </w:instrText>
        </w:r>
        <w:r w:rsidR="00D30231" w:rsidRPr="00D30231">
          <w:rPr>
            <w:noProof/>
            <w:webHidden/>
          </w:rPr>
        </w:r>
        <w:r w:rsidR="00D30231" w:rsidRPr="00D30231">
          <w:rPr>
            <w:noProof/>
            <w:webHidden/>
          </w:rPr>
          <w:fldChar w:fldCharType="separate"/>
        </w:r>
        <w:r>
          <w:rPr>
            <w:noProof/>
            <w:webHidden/>
          </w:rPr>
          <w:t>63</w:t>
        </w:r>
        <w:r w:rsidR="00D30231" w:rsidRPr="00D30231">
          <w:rPr>
            <w:noProof/>
            <w:webHidden/>
          </w:rPr>
          <w:fldChar w:fldCharType="end"/>
        </w:r>
      </w:hyperlink>
    </w:p>
    <w:p w14:paraId="3C791AE6" w14:textId="77777777" w:rsidR="00D30231" w:rsidRPr="00D30231" w:rsidRDefault="00D03D43" w:rsidP="00D30231">
      <w:pPr>
        <w:pStyle w:val="TOC3"/>
        <w:tabs>
          <w:tab w:val="left" w:pos="960"/>
          <w:tab w:val="right" w:leader="dot" w:pos="8630"/>
        </w:tabs>
        <w:spacing w:line="264" w:lineRule="auto"/>
        <w:rPr>
          <w:rFonts w:asciiTheme="minorHAnsi" w:eastAsiaTheme="minorEastAsia" w:hAnsiTheme="minorHAnsi" w:cstheme="minorBidi"/>
          <w:noProof/>
          <w:sz w:val="22"/>
          <w:szCs w:val="22"/>
        </w:rPr>
      </w:pPr>
      <w:hyperlink w:anchor="_Toc439838967" w:history="1">
        <w:r w:rsidR="00D30231" w:rsidRPr="00D30231">
          <w:rPr>
            <w:rStyle w:val="Hyperlink"/>
            <w:noProof/>
          </w:rPr>
          <w:t>F.</w:t>
        </w:r>
        <w:r w:rsidR="00D30231" w:rsidRPr="00D30231">
          <w:rPr>
            <w:rFonts w:asciiTheme="minorHAnsi" w:eastAsiaTheme="minorEastAsia" w:hAnsiTheme="minorHAnsi" w:cstheme="minorBidi"/>
            <w:noProof/>
            <w:sz w:val="22"/>
            <w:szCs w:val="22"/>
          </w:rPr>
          <w:tab/>
        </w:r>
        <w:r w:rsidR="00D30231" w:rsidRPr="00D30231">
          <w:rPr>
            <w:rStyle w:val="Hyperlink"/>
            <w:noProof/>
          </w:rPr>
          <w:t>Labor Expenses</w:t>
        </w:r>
        <w:r w:rsidR="00D30231" w:rsidRPr="00D30231">
          <w:rPr>
            <w:noProof/>
            <w:webHidden/>
          </w:rPr>
          <w:tab/>
        </w:r>
        <w:r w:rsidR="00D30231" w:rsidRPr="00D30231">
          <w:rPr>
            <w:noProof/>
            <w:webHidden/>
          </w:rPr>
          <w:fldChar w:fldCharType="begin"/>
        </w:r>
        <w:r w:rsidR="00D30231" w:rsidRPr="00D30231">
          <w:rPr>
            <w:noProof/>
            <w:webHidden/>
          </w:rPr>
          <w:instrText xml:space="preserve"> PAGEREF _Toc439838967 \h </w:instrText>
        </w:r>
        <w:r w:rsidR="00D30231" w:rsidRPr="00D30231">
          <w:rPr>
            <w:noProof/>
            <w:webHidden/>
          </w:rPr>
        </w:r>
        <w:r w:rsidR="00D30231" w:rsidRPr="00D30231">
          <w:rPr>
            <w:noProof/>
            <w:webHidden/>
          </w:rPr>
          <w:fldChar w:fldCharType="separate"/>
        </w:r>
        <w:r>
          <w:rPr>
            <w:noProof/>
            <w:webHidden/>
          </w:rPr>
          <w:t>71</w:t>
        </w:r>
        <w:r w:rsidR="00D30231" w:rsidRPr="00D30231">
          <w:rPr>
            <w:noProof/>
            <w:webHidden/>
          </w:rPr>
          <w:fldChar w:fldCharType="end"/>
        </w:r>
      </w:hyperlink>
    </w:p>
    <w:p w14:paraId="0D09C1E6" w14:textId="77777777" w:rsidR="00D30231" w:rsidRPr="00D30231" w:rsidRDefault="00D03D43" w:rsidP="00D30231">
      <w:pPr>
        <w:pStyle w:val="TOC4"/>
        <w:tabs>
          <w:tab w:val="left" w:pos="1200"/>
          <w:tab w:val="right" w:leader="dot" w:pos="8630"/>
        </w:tabs>
        <w:spacing w:line="264" w:lineRule="auto"/>
        <w:rPr>
          <w:rFonts w:asciiTheme="minorHAnsi" w:eastAsiaTheme="minorEastAsia" w:hAnsiTheme="minorHAnsi" w:cstheme="minorBidi"/>
          <w:noProof/>
          <w:sz w:val="22"/>
          <w:szCs w:val="22"/>
        </w:rPr>
      </w:pPr>
      <w:hyperlink w:anchor="_Toc439838968" w:history="1">
        <w:r w:rsidR="00D30231" w:rsidRPr="00D30231">
          <w:rPr>
            <w:rStyle w:val="Hyperlink"/>
            <w:noProof/>
          </w:rPr>
          <w:t>1.</w:t>
        </w:r>
        <w:r w:rsidR="00D30231" w:rsidRPr="00D30231">
          <w:rPr>
            <w:rFonts w:asciiTheme="minorHAnsi" w:eastAsiaTheme="minorEastAsia" w:hAnsiTheme="minorHAnsi" w:cstheme="minorBidi"/>
            <w:noProof/>
            <w:sz w:val="22"/>
            <w:szCs w:val="22"/>
          </w:rPr>
          <w:tab/>
        </w:r>
        <w:r w:rsidR="00D30231" w:rsidRPr="00D30231">
          <w:rPr>
            <w:rStyle w:val="Hyperlink"/>
            <w:noProof/>
          </w:rPr>
          <w:t>Non-Executive Wages</w:t>
        </w:r>
        <w:r w:rsidR="00D30231" w:rsidRPr="00D30231">
          <w:rPr>
            <w:noProof/>
            <w:webHidden/>
          </w:rPr>
          <w:tab/>
        </w:r>
        <w:r w:rsidR="00D30231" w:rsidRPr="00D30231">
          <w:rPr>
            <w:noProof/>
            <w:webHidden/>
          </w:rPr>
          <w:fldChar w:fldCharType="begin"/>
        </w:r>
        <w:r w:rsidR="00D30231" w:rsidRPr="00D30231">
          <w:rPr>
            <w:noProof/>
            <w:webHidden/>
          </w:rPr>
          <w:instrText xml:space="preserve"> PAGEREF _Toc439838968 \h </w:instrText>
        </w:r>
        <w:r w:rsidR="00D30231" w:rsidRPr="00D30231">
          <w:rPr>
            <w:noProof/>
            <w:webHidden/>
          </w:rPr>
        </w:r>
        <w:r w:rsidR="00D30231" w:rsidRPr="00D30231">
          <w:rPr>
            <w:noProof/>
            <w:webHidden/>
          </w:rPr>
          <w:fldChar w:fldCharType="separate"/>
        </w:r>
        <w:r>
          <w:rPr>
            <w:noProof/>
            <w:webHidden/>
          </w:rPr>
          <w:t>71</w:t>
        </w:r>
        <w:r w:rsidR="00D30231" w:rsidRPr="00D30231">
          <w:rPr>
            <w:noProof/>
            <w:webHidden/>
          </w:rPr>
          <w:fldChar w:fldCharType="end"/>
        </w:r>
      </w:hyperlink>
    </w:p>
    <w:p w14:paraId="4A604DF3" w14:textId="77777777" w:rsidR="00D30231" w:rsidRPr="00D30231" w:rsidRDefault="00D03D43" w:rsidP="00D30231">
      <w:pPr>
        <w:pStyle w:val="TOC4"/>
        <w:tabs>
          <w:tab w:val="left" w:pos="1200"/>
          <w:tab w:val="right" w:leader="dot" w:pos="8630"/>
        </w:tabs>
        <w:spacing w:line="264" w:lineRule="auto"/>
        <w:rPr>
          <w:rFonts w:asciiTheme="minorHAnsi" w:eastAsiaTheme="minorEastAsia" w:hAnsiTheme="minorHAnsi" w:cstheme="minorBidi"/>
          <w:noProof/>
          <w:sz w:val="22"/>
          <w:szCs w:val="22"/>
        </w:rPr>
      </w:pPr>
      <w:hyperlink w:anchor="_Toc439838969" w:history="1">
        <w:r w:rsidR="00D30231" w:rsidRPr="00D30231">
          <w:rPr>
            <w:rStyle w:val="Hyperlink"/>
            <w:noProof/>
          </w:rPr>
          <w:t>2.</w:t>
        </w:r>
        <w:r w:rsidR="00D30231" w:rsidRPr="00D30231">
          <w:rPr>
            <w:rFonts w:asciiTheme="minorHAnsi" w:eastAsiaTheme="minorEastAsia" w:hAnsiTheme="minorHAnsi" w:cstheme="minorBidi"/>
            <w:noProof/>
            <w:sz w:val="22"/>
            <w:szCs w:val="22"/>
          </w:rPr>
          <w:tab/>
        </w:r>
        <w:r w:rsidR="00D30231" w:rsidRPr="00D30231">
          <w:rPr>
            <w:rStyle w:val="Hyperlink"/>
            <w:noProof/>
          </w:rPr>
          <w:t>Executive compensation</w:t>
        </w:r>
        <w:r w:rsidR="00D30231" w:rsidRPr="00D30231">
          <w:rPr>
            <w:noProof/>
            <w:webHidden/>
          </w:rPr>
          <w:tab/>
        </w:r>
        <w:r w:rsidR="00D30231" w:rsidRPr="00D30231">
          <w:rPr>
            <w:noProof/>
            <w:webHidden/>
          </w:rPr>
          <w:fldChar w:fldCharType="begin"/>
        </w:r>
        <w:r w:rsidR="00D30231" w:rsidRPr="00D30231">
          <w:rPr>
            <w:noProof/>
            <w:webHidden/>
          </w:rPr>
          <w:instrText xml:space="preserve"> PAGEREF _Toc439838969 \h </w:instrText>
        </w:r>
        <w:r w:rsidR="00D30231" w:rsidRPr="00D30231">
          <w:rPr>
            <w:noProof/>
            <w:webHidden/>
          </w:rPr>
        </w:r>
        <w:r w:rsidR="00D30231" w:rsidRPr="00D30231">
          <w:rPr>
            <w:noProof/>
            <w:webHidden/>
          </w:rPr>
          <w:fldChar w:fldCharType="separate"/>
        </w:r>
        <w:r>
          <w:rPr>
            <w:noProof/>
            <w:webHidden/>
          </w:rPr>
          <w:t>73</w:t>
        </w:r>
        <w:r w:rsidR="00D30231" w:rsidRPr="00D30231">
          <w:rPr>
            <w:noProof/>
            <w:webHidden/>
          </w:rPr>
          <w:fldChar w:fldCharType="end"/>
        </w:r>
      </w:hyperlink>
    </w:p>
    <w:p w14:paraId="6B9B425C" w14:textId="77777777" w:rsidR="00D30231" w:rsidRPr="00D30231" w:rsidRDefault="00D03D43" w:rsidP="00D30231">
      <w:pPr>
        <w:pStyle w:val="TOC3"/>
        <w:tabs>
          <w:tab w:val="left" w:pos="960"/>
          <w:tab w:val="right" w:leader="dot" w:pos="8630"/>
        </w:tabs>
        <w:spacing w:line="264" w:lineRule="auto"/>
        <w:rPr>
          <w:rFonts w:asciiTheme="minorHAnsi" w:eastAsiaTheme="minorEastAsia" w:hAnsiTheme="minorHAnsi" w:cstheme="minorBidi"/>
          <w:noProof/>
          <w:sz w:val="22"/>
          <w:szCs w:val="22"/>
        </w:rPr>
      </w:pPr>
      <w:hyperlink w:anchor="_Toc439838970" w:history="1">
        <w:r w:rsidR="00D30231" w:rsidRPr="00D30231">
          <w:rPr>
            <w:rStyle w:val="Hyperlink"/>
            <w:noProof/>
          </w:rPr>
          <w:t>G.</w:t>
        </w:r>
        <w:r w:rsidR="00D30231" w:rsidRPr="00D30231">
          <w:rPr>
            <w:rFonts w:asciiTheme="minorHAnsi" w:eastAsiaTheme="minorEastAsia" w:hAnsiTheme="minorHAnsi" w:cstheme="minorBidi"/>
            <w:noProof/>
            <w:sz w:val="22"/>
            <w:szCs w:val="22"/>
          </w:rPr>
          <w:tab/>
        </w:r>
        <w:r w:rsidR="00D30231" w:rsidRPr="00D30231">
          <w:rPr>
            <w:rStyle w:val="Hyperlink"/>
            <w:noProof/>
          </w:rPr>
          <w:t>Low-Income Rate Assistance Program</w:t>
        </w:r>
        <w:r w:rsidR="00D30231" w:rsidRPr="00D30231">
          <w:rPr>
            <w:noProof/>
            <w:webHidden/>
          </w:rPr>
          <w:tab/>
        </w:r>
        <w:r w:rsidR="00D30231" w:rsidRPr="00D30231">
          <w:rPr>
            <w:noProof/>
            <w:webHidden/>
          </w:rPr>
          <w:fldChar w:fldCharType="begin"/>
        </w:r>
        <w:r w:rsidR="00D30231" w:rsidRPr="00D30231">
          <w:rPr>
            <w:noProof/>
            <w:webHidden/>
          </w:rPr>
          <w:instrText xml:space="preserve"> PAGEREF _Toc439838970 \h </w:instrText>
        </w:r>
        <w:r w:rsidR="00D30231" w:rsidRPr="00D30231">
          <w:rPr>
            <w:noProof/>
            <w:webHidden/>
          </w:rPr>
        </w:r>
        <w:r w:rsidR="00D30231" w:rsidRPr="00D30231">
          <w:rPr>
            <w:noProof/>
            <w:webHidden/>
          </w:rPr>
          <w:fldChar w:fldCharType="separate"/>
        </w:r>
        <w:r>
          <w:rPr>
            <w:noProof/>
            <w:webHidden/>
          </w:rPr>
          <w:t>76</w:t>
        </w:r>
        <w:r w:rsidR="00D30231" w:rsidRPr="00D30231">
          <w:rPr>
            <w:noProof/>
            <w:webHidden/>
          </w:rPr>
          <w:fldChar w:fldCharType="end"/>
        </w:r>
      </w:hyperlink>
    </w:p>
    <w:p w14:paraId="3E4DB085" w14:textId="77777777" w:rsidR="00D30231" w:rsidRPr="00D30231" w:rsidRDefault="00D03D43" w:rsidP="00D30231">
      <w:pPr>
        <w:pStyle w:val="TOC3"/>
        <w:tabs>
          <w:tab w:val="left" w:pos="960"/>
          <w:tab w:val="right" w:leader="dot" w:pos="8630"/>
        </w:tabs>
        <w:spacing w:line="264" w:lineRule="auto"/>
        <w:rPr>
          <w:rFonts w:asciiTheme="minorHAnsi" w:eastAsiaTheme="minorEastAsia" w:hAnsiTheme="minorHAnsi" w:cstheme="minorBidi"/>
          <w:noProof/>
          <w:sz w:val="22"/>
          <w:szCs w:val="22"/>
        </w:rPr>
      </w:pPr>
      <w:hyperlink w:anchor="_Toc439838971" w:history="1">
        <w:r w:rsidR="00D30231" w:rsidRPr="00D30231">
          <w:rPr>
            <w:rStyle w:val="Hyperlink"/>
            <w:noProof/>
          </w:rPr>
          <w:t>H.</w:t>
        </w:r>
        <w:r w:rsidR="00D30231" w:rsidRPr="00D30231">
          <w:rPr>
            <w:rFonts w:asciiTheme="minorHAnsi" w:eastAsiaTheme="minorEastAsia" w:hAnsiTheme="minorHAnsi" w:cstheme="minorBidi"/>
            <w:noProof/>
            <w:sz w:val="22"/>
            <w:szCs w:val="22"/>
          </w:rPr>
          <w:tab/>
        </w:r>
        <w:r w:rsidR="00D30231" w:rsidRPr="00D30231">
          <w:rPr>
            <w:rStyle w:val="Hyperlink"/>
            <w:noProof/>
          </w:rPr>
          <w:t>Miscellaneous Expenses</w:t>
        </w:r>
        <w:r w:rsidR="00D30231" w:rsidRPr="00D30231">
          <w:rPr>
            <w:noProof/>
            <w:webHidden/>
          </w:rPr>
          <w:tab/>
        </w:r>
        <w:r w:rsidR="00D30231" w:rsidRPr="00D30231">
          <w:rPr>
            <w:noProof/>
            <w:webHidden/>
          </w:rPr>
          <w:fldChar w:fldCharType="begin"/>
        </w:r>
        <w:r w:rsidR="00D30231" w:rsidRPr="00D30231">
          <w:rPr>
            <w:noProof/>
            <w:webHidden/>
          </w:rPr>
          <w:instrText xml:space="preserve"> PAGEREF _Toc439838971 \h </w:instrText>
        </w:r>
        <w:r w:rsidR="00D30231" w:rsidRPr="00D30231">
          <w:rPr>
            <w:noProof/>
            <w:webHidden/>
          </w:rPr>
        </w:r>
        <w:r w:rsidR="00D30231" w:rsidRPr="00D30231">
          <w:rPr>
            <w:noProof/>
            <w:webHidden/>
          </w:rPr>
          <w:fldChar w:fldCharType="separate"/>
        </w:r>
        <w:r>
          <w:rPr>
            <w:noProof/>
            <w:webHidden/>
          </w:rPr>
          <w:t>80</w:t>
        </w:r>
        <w:r w:rsidR="00D30231" w:rsidRPr="00D30231">
          <w:rPr>
            <w:noProof/>
            <w:webHidden/>
          </w:rPr>
          <w:fldChar w:fldCharType="end"/>
        </w:r>
      </w:hyperlink>
    </w:p>
    <w:p w14:paraId="4579A3C6" w14:textId="77777777" w:rsidR="00D30231" w:rsidRPr="00D30231" w:rsidRDefault="00D03D43" w:rsidP="00D30231">
      <w:pPr>
        <w:pStyle w:val="TOC1"/>
        <w:tabs>
          <w:tab w:val="right" w:leader="dot" w:pos="8630"/>
        </w:tabs>
        <w:spacing w:line="264" w:lineRule="auto"/>
        <w:rPr>
          <w:rFonts w:asciiTheme="minorHAnsi" w:eastAsiaTheme="minorEastAsia" w:hAnsiTheme="minorHAnsi" w:cstheme="minorBidi"/>
          <w:noProof/>
          <w:sz w:val="22"/>
          <w:szCs w:val="22"/>
        </w:rPr>
      </w:pPr>
      <w:hyperlink w:anchor="_Toc439838972" w:history="1">
        <w:r w:rsidR="00D30231" w:rsidRPr="00D30231">
          <w:rPr>
            <w:rStyle w:val="Hyperlink"/>
            <w:noProof/>
          </w:rPr>
          <w:t>FINDINGS OF FACT</w:t>
        </w:r>
        <w:r w:rsidR="00D30231" w:rsidRPr="00D30231">
          <w:rPr>
            <w:noProof/>
            <w:webHidden/>
          </w:rPr>
          <w:tab/>
        </w:r>
        <w:r w:rsidR="00D30231" w:rsidRPr="00D30231">
          <w:rPr>
            <w:noProof/>
            <w:webHidden/>
          </w:rPr>
          <w:fldChar w:fldCharType="begin"/>
        </w:r>
        <w:r w:rsidR="00D30231" w:rsidRPr="00D30231">
          <w:rPr>
            <w:noProof/>
            <w:webHidden/>
          </w:rPr>
          <w:instrText xml:space="preserve"> PAGEREF _Toc439838972 \h </w:instrText>
        </w:r>
        <w:r w:rsidR="00D30231" w:rsidRPr="00D30231">
          <w:rPr>
            <w:noProof/>
            <w:webHidden/>
          </w:rPr>
        </w:r>
        <w:r w:rsidR="00D30231" w:rsidRPr="00D30231">
          <w:rPr>
            <w:noProof/>
            <w:webHidden/>
          </w:rPr>
          <w:fldChar w:fldCharType="separate"/>
        </w:r>
        <w:r>
          <w:rPr>
            <w:noProof/>
            <w:webHidden/>
          </w:rPr>
          <w:t>87</w:t>
        </w:r>
        <w:r w:rsidR="00D30231" w:rsidRPr="00D30231">
          <w:rPr>
            <w:noProof/>
            <w:webHidden/>
          </w:rPr>
          <w:fldChar w:fldCharType="end"/>
        </w:r>
      </w:hyperlink>
    </w:p>
    <w:p w14:paraId="668CCB61" w14:textId="77777777" w:rsidR="00D30231" w:rsidRPr="00D30231" w:rsidRDefault="00D03D43" w:rsidP="00D30231">
      <w:pPr>
        <w:pStyle w:val="TOC1"/>
        <w:tabs>
          <w:tab w:val="right" w:leader="dot" w:pos="8630"/>
        </w:tabs>
        <w:spacing w:line="264" w:lineRule="auto"/>
        <w:rPr>
          <w:rFonts w:asciiTheme="minorHAnsi" w:eastAsiaTheme="minorEastAsia" w:hAnsiTheme="minorHAnsi" w:cstheme="minorBidi"/>
          <w:noProof/>
          <w:sz w:val="22"/>
          <w:szCs w:val="22"/>
        </w:rPr>
      </w:pPr>
      <w:hyperlink w:anchor="_Toc439838973" w:history="1">
        <w:r w:rsidR="00D30231" w:rsidRPr="00D30231">
          <w:rPr>
            <w:rStyle w:val="Hyperlink"/>
            <w:noProof/>
          </w:rPr>
          <w:t>CONCLUSIONS OF LAW</w:t>
        </w:r>
        <w:r w:rsidR="00D30231" w:rsidRPr="00D30231">
          <w:rPr>
            <w:noProof/>
            <w:webHidden/>
          </w:rPr>
          <w:tab/>
        </w:r>
        <w:r w:rsidR="00D30231" w:rsidRPr="00D30231">
          <w:rPr>
            <w:noProof/>
            <w:webHidden/>
          </w:rPr>
          <w:fldChar w:fldCharType="begin"/>
        </w:r>
        <w:r w:rsidR="00D30231" w:rsidRPr="00D30231">
          <w:rPr>
            <w:noProof/>
            <w:webHidden/>
          </w:rPr>
          <w:instrText xml:space="preserve"> PAGEREF _Toc439838973 \h </w:instrText>
        </w:r>
        <w:r w:rsidR="00D30231" w:rsidRPr="00D30231">
          <w:rPr>
            <w:noProof/>
            <w:webHidden/>
          </w:rPr>
        </w:r>
        <w:r w:rsidR="00D30231" w:rsidRPr="00D30231">
          <w:rPr>
            <w:noProof/>
            <w:webHidden/>
          </w:rPr>
          <w:fldChar w:fldCharType="separate"/>
        </w:r>
        <w:r>
          <w:rPr>
            <w:noProof/>
            <w:webHidden/>
          </w:rPr>
          <w:t>90</w:t>
        </w:r>
        <w:r w:rsidR="00D30231" w:rsidRPr="00D30231">
          <w:rPr>
            <w:noProof/>
            <w:webHidden/>
          </w:rPr>
          <w:fldChar w:fldCharType="end"/>
        </w:r>
      </w:hyperlink>
    </w:p>
    <w:p w14:paraId="42632A05" w14:textId="77777777" w:rsidR="00D30231" w:rsidRPr="00D30231" w:rsidRDefault="00D03D43" w:rsidP="00D30231">
      <w:pPr>
        <w:pStyle w:val="TOC1"/>
        <w:tabs>
          <w:tab w:val="right" w:leader="dot" w:pos="8630"/>
        </w:tabs>
        <w:spacing w:line="264" w:lineRule="auto"/>
        <w:rPr>
          <w:rFonts w:asciiTheme="minorHAnsi" w:eastAsiaTheme="minorEastAsia" w:hAnsiTheme="minorHAnsi" w:cstheme="minorBidi"/>
          <w:noProof/>
          <w:sz w:val="22"/>
          <w:szCs w:val="22"/>
        </w:rPr>
      </w:pPr>
      <w:hyperlink w:anchor="_Toc439838974" w:history="1">
        <w:r w:rsidR="00D30231" w:rsidRPr="00D30231">
          <w:rPr>
            <w:rStyle w:val="Hyperlink"/>
            <w:noProof/>
          </w:rPr>
          <w:t>ORDER</w:t>
        </w:r>
        <w:r w:rsidR="00D30231" w:rsidRPr="00D30231">
          <w:rPr>
            <w:noProof/>
            <w:webHidden/>
          </w:rPr>
          <w:tab/>
        </w:r>
        <w:r w:rsidR="00D30231" w:rsidRPr="00D30231">
          <w:rPr>
            <w:noProof/>
            <w:webHidden/>
          </w:rPr>
          <w:fldChar w:fldCharType="begin"/>
        </w:r>
        <w:r w:rsidR="00D30231" w:rsidRPr="00D30231">
          <w:rPr>
            <w:noProof/>
            <w:webHidden/>
          </w:rPr>
          <w:instrText xml:space="preserve"> PAGEREF _Toc439838974 \h </w:instrText>
        </w:r>
        <w:r w:rsidR="00D30231" w:rsidRPr="00D30231">
          <w:rPr>
            <w:noProof/>
            <w:webHidden/>
          </w:rPr>
        </w:r>
        <w:r w:rsidR="00D30231" w:rsidRPr="00D30231">
          <w:rPr>
            <w:noProof/>
            <w:webHidden/>
          </w:rPr>
          <w:fldChar w:fldCharType="separate"/>
        </w:r>
        <w:r>
          <w:rPr>
            <w:noProof/>
            <w:webHidden/>
          </w:rPr>
          <w:t>93</w:t>
        </w:r>
        <w:r w:rsidR="00D30231" w:rsidRPr="00D30231">
          <w:rPr>
            <w:noProof/>
            <w:webHidden/>
          </w:rPr>
          <w:fldChar w:fldCharType="end"/>
        </w:r>
      </w:hyperlink>
    </w:p>
    <w:p w14:paraId="714FDD3A" w14:textId="77777777" w:rsidR="00D30231" w:rsidRPr="00D30231" w:rsidRDefault="00D03D43" w:rsidP="00D30231">
      <w:pPr>
        <w:pStyle w:val="TOC1"/>
        <w:tabs>
          <w:tab w:val="right" w:leader="dot" w:pos="8630"/>
        </w:tabs>
        <w:spacing w:line="264" w:lineRule="auto"/>
        <w:rPr>
          <w:rFonts w:asciiTheme="minorHAnsi" w:eastAsiaTheme="minorEastAsia" w:hAnsiTheme="minorHAnsi" w:cstheme="minorBidi"/>
          <w:noProof/>
          <w:sz w:val="22"/>
          <w:szCs w:val="22"/>
        </w:rPr>
      </w:pPr>
      <w:hyperlink w:anchor="_Toc439838975" w:history="1">
        <w:r w:rsidR="00D30231" w:rsidRPr="00D30231">
          <w:rPr>
            <w:rStyle w:val="Hyperlink"/>
            <w:noProof/>
          </w:rPr>
          <w:t>APPENDIX A</w:t>
        </w:r>
        <w:r w:rsidR="00D30231" w:rsidRPr="00D30231">
          <w:rPr>
            <w:noProof/>
            <w:webHidden/>
          </w:rPr>
          <w:tab/>
        </w:r>
        <w:r w:rsidR="00D30231" w:rsidRPr="00D30231">
          <w:rPr>
            <w:noProof/>
            <w:webHidden/>
          </w:rPr>
          <w:fldChar w:fldCharType="begin"/>
        </w:r>
        <w:r w:rsidR="00D30231" w:rsidRPr="00D30231">
          <w:rPr>
            <w:noProof/>
            <w:webHidden/>
          </w:rPr>
          <w:instrText xml:space="preserve"> PAGEREF _Toc439838975 \h </w:instrText>
        </w:r>
        <w:r w:rsidR="00D30231" w:rsidRPr="00D30231">
          <w:rPr>
            <w:noProof/>
            <w:webHidden/>
          </w:rPr>
        </w:r>
        <w:r w:rsidR="00D30231" w:rsidRPr="00D30231">
          <w:rPr>
            <w:noProof/>
            <w:webHidden/>
          </w:rPr>
          <w:fldChar w:fldCharType="separate"/>
        </w:r>
        <w:r>
          <w:rPr>
            <w:noProof/>
            <w:webHidden/>
          </w:rPr>
          <w:t>95</w:t>
        </w:r>
        <w:r w:rsidR="00D30231" w:rsidRPr="00D30231">
          <w:rPr>
            <w:noProof/>
            <w:webHidden/>
          </w:rPr>
          <w:fldChar w:fldCharType="end"/>
        </w:r>
      </w:hyperlink>
    </w:p>
    <w:p w14:paraId="1FE6EAFD" w14:textId="77777777" w:rsidR="00D30231" w:rsidRPr="00D30231" w:rsidRDefault="00D03D43" w:rsidP="00D30231">
      <w:pPr>
        <w:pStyle w:val="TOC1"/>
        <w:tabs>
          <w:tab w:val="right" w:leader="dot" w:pos="8630"/>
        </w:tabs>
        <w:spacing w:line="264" w:lineRule="auto"/>
        <w:rPr>
          <w:rFonts w:asciiTheme="minorHAnsi" w:eastAsiaTheme="minorEastAsia" w:hAnsiTheme="minorHAnsi" w:cstheme="minorBidi"/>
          <w:noProof/>
          <w:sz w:val="22"/>
          <w:szCs w:val="22"/>
        </w:rPr>
      </w:pPr>
      <w:hyperlink w:anchor="_Toc439838976" w:history="1">
        <w:r w:rsidR="00D30231" w:rsidRPr="00D30231">
          <w:rPr>
            <w:rStyle w:val="Hyperlink"/>
            <w:noProof/>
          </w:rPr>
          <w:t>TABLE A1</w:t>
        </w:r>
        <w:r w:rsidR="00D30231" w:rsidRPr="00D30231">
          <w:rPr>
            <w:noProof/>
            <w:webHidden/>
          </w:rPr>
          <w:tab/>
        </w:r>
        <w:r w:rsidR="00D30231" w:rsidRPr="00D30231">
          <w:rPr>
            <w:noProof/>
            <w:webHidden/>
          </w:rPr>
          <w:fldChar w:fldCharType="begin"/>
        </w:r>
        <w:r w:rsidR="00D30231" w:rsidRPr="00D30231">
          <w:rPr>
            <w:noProof/>
            <w:webHidden/>
          </w:rPr>
          <w:instrText xml:space="preserve"> PAGEREF _Toc439838976 \h </w:instrText>
        </w:r>
        <w:r w:rsidR="00D30231" w:rsidRPr="00D30231">
          <w:rPr>
            <w:noProof/>
            <w:webHidden/>
          </w:rPr>
        </w:r>
        <w:r w:rsidR="00D30231" w:rsidRPr="00D30231">
          <w:rPr>
            <w:noProof/>
            <w:webHidden/>
          </w:rPr>
          <w:fldChar w:fldCharType="separate"/>
        </w:r>
        <w:r>
          <w:rPr>
            <w:noProof/>
            <w:webHidden/>
          </w:rPr>
          <w:t>96</w:t>
        </w:r>
        <w:r w:rsidR="00D30231" w:rsidRPr="00D30231">
          <w:rPr>
            <w:noProof/>
            <w:webHidden/>
          </w:rPr>
          <w:fldChar w:fldCharType="end"/>
        </w:r>
      </w:hyperlink>
    </w:p>
    <w:p w14:paraId="78D1BB8E" w14:textId="77777777" w:rsidR="00D30231" w:rsidRPr="00D30231" w:rsidRDefault="00D03D43" w:rsidP="00D30231">
      <w:pPr>
        <w:pStyle w:val="TOC1"/>
        <w:tabs>
          <w:tab w:val="right" w:leader="dot" w:pos="8630"/>
        </w:tabs>
        <w:spacing w:line="264" w:lineRule="auto"/>
        <w:rPr>
          <w:rFonts w:asciiTheme="minorHAnsi" w:eastAsiaTheme="minorEastAsia" w:hAnsiTheme="minorHAnsi" w:cstheme="minorBidi"/>
          <w:noProof/>
          <w:sz w:val="22"/>
          <w:szCs w:val="22"/>
        </w:rPr>
      </w:pPr>
      <w:hyperlink w:anchor="_Toc439838977" w:history="1">
        <w:r w:rsidR="00D30231" w:rsidRPr="00D30231">
          <w:rPr>
            <w:rStyle w:val="Hyperlink"/>
            <w:noProof/>
          </w:rPr>
          <w:t>TABLE A2</w:t>
        </w:r>
        <w:r w:rsidR="00D30231" w:rsidRPr="00D30231">
          <w:rPr>
            <w:noProof/>
            <w:webHidden/>
          </w:rPr>
          <w:tab/>
        </w:r>
        <w:r w:rsidR="00D30231" w:rsidRPr="00D30231">
          <w:rPr>
            <w:noProof/>
            <w:webHidden/>
          </w:rPr>
          <w:fldChar w:fldCharType="begin"/>
        </w:r>
        <w:r w:rsidR="00D30231" w:rsidRPr="00D30231">
          <w:rPr>
            <w:noProof/>
            <w:webHidden/>
          </w:rPr>
          <w:instrText xml:space="preserve"> PAGEREF _Toc439838977 \h </w:instrText>
        </w:r>
        <w:r w:rsidR="00D30231" w:rsidRPr="00D30231">
          <w:rPr>
            <w:noProof/>
            <w:webHidden/>
          </w:rPr>
        </w:r>
        <w:r w:rsidR="00D30231" w:rsidRPr="00D30231">
          <w:rPr>
            <w:noProof/>
            <w:webHidden/>
          </w:rPr>
          <w:fldChar w:fldCharType="separate"/>
        </w:r>
        <w:r>
          <w:rPr>
            <w:noProof/>
            <w:webHidden/>
          </w:rPr>
          <w:t>97</w:t>
        </w:r>
        <w:r w:rsidR="00D30231" w:rsidRPr="00D30231">
          <w:rPr>
            <w:noProof/>
            <w:webHidden/>
          </w:rPr>
          <w:fldChar w:fldCharType="end"/>
        </w:r>
      </w:hyperlink>
    </w:p>
    <w:p w14:paraId="21153A03" w14:textId="77777777" w:rsidR="00D30231" w:rsidRPr="00D30231" w:rsidRDefault="00D03D43" w:rsidP="00D30231">
      <w:pPr>
        <w:pStyle w:val="TOC1"/>
        <w:tabs>
          <w:tab w:val="right" w:leader="dot" w:pos="8630"/>
        </w:tabs>
        <w:spacing w:line="264" w:lineRule="auto"/>
        <w:rPr>
          <w:rFonts w:asciiTheme="minorHAnsi" w:eastAsiaTheme="minorEastAsia" w:hAnsiTheme="minorHAnsi" w:cstheme="minorBidi"/>
          <w:noProof/>
          <w:sz w:val="22"/>
          <w:szCs w:val="22"/>
        </w:rPr>
      </w:pPr>
      <w:hyperlink w:anchor="_Toc439838978" w:history="1">
        <w:r w:rsidR="00D30231" w:rsidRPr="00D30231">
          <w:rPr>
            <w:rStyle w:val="Hyperlink"/>
            <w:noProof/>
          </w:rPr>
          <w:t>APPENDIX B</w:t>
        </w:r>
        <w:r w:rsidR="00D30231" w:rsidRPr="00D30231">
          <w:rPr>
            <w:noProof/>
            <w:webHidden/>
          </w:rPr>
          <w:tab/>
        </w:r>
        <w:r w:rsidR="00D30231" w:rsidRPr="00D30231">
          <w:rPr>
            <w:noProof/>
            <w:webHidden/>
          </w:rPr>
          <w:fldChar w:fldCharType="begin"/>
        </w:r>
        <w:r w:rsidR="00D30231" w:rsidRPr="00D30231">
          <w:rPr>
            <w:noProof/>
            <w:webHidden/>
          </w:rPr>
          <w:instrText xml:space="preserve"> PAGEREF _Toc439838978 \h </w:instrText>
        </w:r>
        <w:r w:rsidR="00D30231" w:rsidRPr="00D30231">
          <w:rPr>
            <w:noProof/>
            <w:webHidden/>
          </w:rPr>
        </w:r>
        <w:r w:rsidR="00D30231" w:rsidRPr="00D30231">
          <w:rPr>
            <w:noProof/>
            <w:webHidden/>
          </w:rPr>
          <w:fldChar w:fldCharType="separate"/>
        </w:r>
        <w:r>
          <w:rPr>
            <w:noProof/>
            <w:webHidden/>
          </w:rPr>
          <w:t>98</w:t>
        </w:r>
        <w:r w:rsidR="00D30231" w:rsidRPr="00D30231">
          <w:rPr>
            <w:noProof/>
            <w:webHidden/>
          </w:rPr>
          <w:fldChar w:fldCharType="end"/>
        </w:r>
      </w:hyperlink>
    </w:p>
    <w:p w14:paraId="465F4FA5" w14:textId="77777777" w:rsidR="00D30231" w:rsidRPr="00D30231" w:rsidRDefault="00D03D43" w:rsidP="00D30231">
      <w:pPr>
        <w:pStyle w:val="TOC1"/>
        <w:tabs>
          <w:tab w:val="right" w:leader="dot" w:pos="8630"/>
        </w:tabs>
        <w:spacing w:line="264" w:lineRule="auto"/>
        <w:rPr>
          <w:rFonts w:asciiTheme="minorHAnsi" w:eastAsiaTheme="minorEastAsia" w:hAnsiTheme="minorHAnsi" w:cstheme="minorBidi"/>
          <w:noProof/>
          <w:sz w:val="22"/>
          <w:szCs w:val="22"/>
        </w:rPr>
      </w:pPr>
      <w:hyperlink w:anchor="_Toc439838979" w:history="1">
        <w:r w:rsidR="00D30231" w:rsidRPr="00D30231">
          <w:rPr>
            <w:rStyle w:val="Hyperlink"/>
            <w:noProof/>
          </w:rPr>
          <w:t>TABLE B1</w:t>
        </w:r>
        <w:r w:rsidR="00D30231" w:rsidRPr="00D30231">
          <w:rPr>
            <w:noProof/>
            <w:webHidden/>
          </w:rPr>
          <w:tab/>
        </w:r>
        <w:r w:rsidR="00D30231" w:rsidRPr="00D30231">
          <w:rPr>
            <w:noProof/>
            <w:webHidden/>
          </w:rPr>
          <w:fldChar w:fldCharType="begin"/>
        </w:r>
        <w:r w:rsidR="00D30231" w:rsidRPr="00D30231">
          <w:rPr>
            <w:noProof/>
            <w:webHidden/>
          </w:rPr>
          <w:instrText xml:space="preserve"> PAGEREF _Toc439838979 \h </w:instrText>
        </w:r>
        <w:r w:rsidR="00D30231" w:rsidRPr="00D30231">
          <w:rPr>
            <w:noProof/>
            <w:webHidden/>
          </w:rPr>
        </w:r>
        <w:r w:rsidR="00D30231" w:rsidRPr="00D30231">
          <w:rPr>
            <w:noProof/>
            <w:webHidden/>
          </w:rPr>
          <w:fldChar w:fldCharType="separate"/>
        </w:r>
        <w:r>
          <w:rPr>
            <w:noProof/>
            <w:webHidden/>
          </w:rPr>
          <w:t>99</w:t>
        </w:r>
        <w:r w:rsidR="00D30231" w:rsidRPr="00D30231">
          <w:rPr>
            <w:noProof/>
            <w:webHidden/>
          </w:rPr>
          <w:fldChar w:fldCharType="end"/>
        </w:r>
      </w:hyperlink>
    </w:p>
    <w:p w14:paraId="517F3C84" w14:textId="77777777" w:rsidR="00D30231" w:rsidRPr="00D30231" w:rsidRDefault="00D03D43" w:rsidP="00D30231">
      <w:pPr>
        <w:pStyle w:val="TOC1"/>
        <w:tabs>
          <w:tab w:val="right" w:leader="dot" w:pos="8630"/>
        </w:tabs>
        <w:spacing w:line="264" w:lineRule="auto"/>
        <w:rPr>
          <w:rFonts w:asciiTheme="minorHAnsi" w:eastAsiaTheme="minorEastAsia" w:hAnsiTheme="minorHAnsi" w:cstheme="minorBidi"/>
          <w:noProof/>
          <w:sz w:val="22"/>
          <w:szCs w:val="22"/>
        </w:rPr>
      </w:pPr>
      <w:hyperlink w:anchor="_Toc439838980" w:history="1">
        <w:r w:rsidR="00D30231" w:rsidRPr="00D30231">
          <w:rPr>
            <w:rStyle w:val="Hyperlink"/>
            <w:noProof/>
          </w:rPr>
          <w:t>TABLE B2</w:t>
        </w:r>
        <w:r w:rsidR="00D30231" w:rsidRPr="00D30231">
          <w:rPr>
            <w:noProof/>
            <w:webHidden/>
          </w:rPr>
          <w:tab/>
        </w:r>
        <w:r w:rsidR="00D30231" w:rsidRPr="00D30231">
          <w:rPr>
            <w:noProof/>
            <w:webHidden/>
          </w:rPr>
          <w:fldChar w:fldCharType="begin"/>
        </w:r>
        <w:r w:rsidR="00D30231" w:rsidRPr="00D30231">
          <w:rPr>
            <w:noProof/>
            <w:webHidden/>
          </w:rPr>
          <w:instrText xml:space="preserve"> PAGEREF _Toc439838980 \h </w:instrText>
        </w:r>
        <w:r w:rsidR="00D30231" w:rsidRPr="00D30231">
          <w:rPr>
            <w:noProof/>
            <w:webHidden/>
          </w:rPr>
        </w:r>
        <w:r w:rsidR="00D30231" w:rsidRPr="00D30231">
          <w:rPr>
            <w:noProof/>
            <w:webHidden/>
          </w:rPr>
          <w:fldChar w:fldCharType="separate"/>
        </w:r>
        <w:r>
          <w:rPr>
            <w:noProof/>
            <w:webHidden/>
          </w:rPr>
          <w:t>100</w:t>
        </w:r>
        <w:r w:rsidR="00D30231" w:rsidRPr="00D30231">
          <w:rPr>
            <w:noProof/>
            <w:webHidden/>
          </w:rPr>
          <w:fldChar w:fldCharType="end"/>
        </w:r>
      </w:hyperlink>
    </w:p>
    <w:p w14:paraId="19416A0C" w14:textId="77777777" w:rsidR="00D30231" w:rsidRDefault="00D03D43" w:rsidP="00D30231">
      <w:pPr>
        <w:pStyle w:val="TOC1"/>
        <w:tabs>
          <w:tab w:val="right" w:leader="dot" w:pos="8630"/>
        </w:tabs>
        <w:spacing w:line="264" w:lineRule="auto"/>
        <w:rPr>
          <w:rFonts w:asciiTheme="minorHAnsi" w:eastAsiaTheme="minorEastAsia" w:hAnsiTheme="minorHAnsi" w:cstheme="minorBidi"/>
          <w:noProof/>
          <w:sz w:val="22"/>
          <w:szCs w:val="22"/>
        </w:rPr>
      </w:pPr>
      <w:hyperlink w:anchor="_Toc439838981" w:history="1">
        <w:r w:rsidR="00D30231" w:rsidRPr="00D30231">
          <w:rPr>
            <w:rStyle w:val="Hyperlink"/>
            <w:noProof/>
          </w:rPr>
          <w:t>APPENDIX C</w:t>
        </w:r>
        <w:r w:rsidR="00D30231" w:rsidRPr="00D30231">
          <w:rPr>
            <w:noProof/>
            <w:webHidden/>
          </w:rPr>
          <w:tab/>
        </w:r>
        <w:r w:rsidR="00D30231" w:rsidRPr="00D30231">
          <w:rPr>
            <w:noProof/>
            <w:webHidden/>
          </w:rPr>
          <w:fldChar w:fldCharType="begin"/>
        </w:r>
        <w:r w:rsidR="00D30231" w:rsidRPr="00D30231">
          <w:rPr>
            <w:noProof/>
            <w:webHidden/>
          </w:rPr>
          <w:instrText xml:space="preserve"> PAGEREF _Toc439838981 \h </w:instrText>
        </w:r>
        <w:r w:rsidR="00D30231" w:rsidRPr="00D30231">
          <w:rPr>
            <w:noProof/>
            <w:webHidden/>
          </w:rPr>
        </w:r>
        <w:r w:rsidR="00D30231" w:rsidRPr="00D30231">
          <w:rPr>
            <w:noProof/>
            <w:webHidden/>
          </w:rPr>
          <w:fldChar w:fldCharType="separate"/>
        </w:r>
        <w:r>
          <w:rPr>
            <w:noProof/>
            <w:webHidden/>
          </w:rPr>
          <w:t>101</w:t>
        </w:r>
        <w:r w:rsidR="00D30231" w:rsidRPr="00D30231">
          <w:rPr>
            <w:noProof/>
            <w:webHidden/>
          </w:rPr>
          <w:fldChar w:fldCharType="end"/>
        </w:r>
      </w:hyperlink>
    </w:p>
    <w:p w14:paraId="4BFF39BF" w14:textId="77777777" w:rsidR="002F35F4" w:rsidRPr="009464B2" w:rsidRDefault="00B07B05" w:rsidP="00D30231">
      <w:pPr>
        <w:pStyle w:val="Header"/>
        <w:tabs>
          <w:tab w:val="clear" w:pos="4320"/>
          <w:tab w:val="clear" w:pos="8640"/>
        </w:tabs>
        <w:spacing w:line="264" w:lineRule="auto"/>
      </w:pPr>
      <w:r w:rsidRPr="009464B2">
        <w:fldChar w:fldCharType="end"/>
      </w:r>
    </w:p>
    <w:p w14:paraId="16733B0F" w14:textId="7D8E1CE1" w:rsidR="00D30231" w:rsidRDefault="00D30231">
      <w:r>
        <w:br w:type="page"/>
      </w:r>
    </w:p>
    <w:p w14:paraId="4FF6F1BA" w14:textId="77777777" w:rsidR="002F35F4" w:rsidRPr="009464B2" w:rsidRDefault="002F35F4" w:rsidP="007448F5">
      <w:pPr>
        <w:pStyle w:val="Header"/>
        <w:tabs>
          <w:tab w:val="clear" w:pos="4320"/>
          <w:tab w:val="clear" w:pos="8640"/>
        </w:tabs>
        <w:spacing w:line="264" w:lineRule="auto"/>
      </w:pPr>
    </w:p>
    <w:p w14:paraId="3F0A1F54" w14:textId="77777777" w:rsidR="00C67FF4" w:rsidRPr="009464B2" w:rsidRDefault="00967F42" w:rsidP="00896DD5">
      <w:pPr>
        <w:pStyle w:val="Heading1"/>
        <w:spacing w:before="0" w:after="120" w:line="288" w:lineRule="auto"/>
        <w:jc w:val="center"/>
        <w:rPr>
          <w:rFonts w:ascii="Times New Roman" w:hAnsi="Times New Roman" w:cs="Times New Roman"/>
          <w:sz w:val="24"/>
          <w:szCs w:val="24"/>
          <w:u w:val="single"/>
        </w:rPr>
      </w:pPr>
      <w:bookmarkStart w:id="1" w:name="_Toc249233754"/>
      <w:bookmarkStart w:id="2" w:name="_Toc249252782"/>
      <w:bookmarkStart w:id="3" w:name="_Toc439838950"/>
      <w:r w:rsidRPr="009464B2">
        <w:rPr>
          <w:rFonts w:ascii="Times New Roman" w:hAnsi="Times New Roman" w:cs="Times New Roman"/>
          <w:sz w:val="24"/>
          <w:szCs w:val="24"/>
          <w:u w:val="single"/>
        </w:rPr>
        <w:t>SUMMARY</w:t>
      </w:r>
      <w:bookmarkEnd w:id="1"/>
      <w:bookmarkEnd w:id="2"/>
      <w:bookmarkEnd w:id="3"/>
    </w:p>
    <w:p w14:paraId="0260AD97" w14:textId="77777777" w:rsidR="00967F42" w:rsidRPr="009464B2" w:rsidRDefault="00967F42" w:rsidP="00896DD5">
      <w:pPr>
        <w:spacing w:after="120" w:line="288" w:lineRule="auto"/>
      </w:pPr>
    </w:p>
    <w:p w14:paraId="51F025B0" w14:textId="77777777" w:rsidR="0052351E" w:rsidRPr="009464B2" w:rsidRDefault="00C67FF4" w:rsidP="006548F6">
      <w:pPr>
        <w:numPr>
          <w:ilvl w:val="0"/>
          <w:numId w:val="1"/>
        </w:numPr>
        <w:tabs>
          <w:tab w:val="num" w:pos="0"/>
        </w:tabs>
        <w:spacing w:after="120" w:line="288" w:lineRule="auto"/>
        <w:ind w:left="0" w:hanging="720"/>
      </w:pPr>
      <w:r w:rsidRPr="009464B2">
        <w:rPr>
          <w:b/>
        </w:rPr>
        <w:t>PROCEEDINGS:</w:t>
      </w:r>
      <w:r w:rsidRPr="009464B2">
        <w:t xml:space="preserve">  </w:t>
      </w:r>
      <w:r w:rsidR="00211D97" w:rsidRPr="009464B2">
        <w:rPr>
          <w:bCs/>
        </w:rPr>
        <w:t>On February 9, 2015, Avista Corporation d/b/a Avista Utilities (Avista or Company) filed with the Washington Utilities and Transportation Commission (Commission) revisions to its currently effective Tariff WN U-28, Electric Service. The Company request</w:t>
      </w:r>
      <w:r w:rsidR="00115F0C" w:rsidRPr="009464B2">
        <w:rPr>
          <w:bCs/>
        </w:rPr>
        <w:t>ed</w:t>
      </w:r>
      <w:r w:rsidR="00211D97" w:rsidRPr="009464B2">
        <w:rPr>
          <w:bCs/>
        </w:rPr>
        <w:t xml:space="preserve"> authority to increase charges and rates for electric service by approximately $33.2 million or 6.7 percent in billed rates. This matter has been designated by the Commission as Docket UE-150204.</w:t>
      </w:r>
    </w:p>
    <w:p w14:paraId="04E2B4C0" w14:textId="77777777" w:rsidR="00115F0C" w:rsidRPr="009464B2" w:rsidRDefault="00211D97" w:rsidP="006548F6">
      <w:pPr>
        <w:numPr>
          <w:ilvl w:val="0"/>
          <w:numId w:val="1"/>
        </w:numPr>
        <w:tabs>
          <w:tab w:val="num" w:pos="0"/>
        </w:tabs>
        <w:spacing w:after="120" w:line="288" w:lineRule="auto"/>
        <w:ind w:left="0" w:hanging="720"/>
      </w:pPr>
      <w:r w:rsidRPr="009464B2">
        <w:t>Also on February 9, 2015, Avista filed revisions to its currently effective Tariff WN U-29, Natural Gas Service. In this filing, Avista seeks to increase rates for natural gas service by approximately $12 million or 6.9 percent in billed rates. This matter has been designated as Docket UG-150205. In Order 01, Complaint and Order Suspending Tariff Revisions and Order of Consolidation, the Commission suspended these tariff revisions and consolidated Dockets UE-150204 and UG-150205 for hearing.</w:t>
      </w:r>
      <w:r w:rsidR="002A7C2E" w:rsidRPr="009464B2">
        <w:t xml:space="preserve">  </w:t>
      </w:r>
    </w:p>
    <w:p w14:paraId="083CCBC5" w14:textId="77777777" w:rsidR="00C67FF4" w:rsidRPr="009464B2" w:rsidRDefault="00C67FF4" w:rsidP="006548F6">
      <w:pPr>
        <w:numPr>
          <w:ilvl w:val="0"/>
          <w:numId w:val="1"/>
        </w:numPr>
        <w:tabs>
          <w:tab w:val="num" w:pos="0"/>
        </w:tabs>
        <w:spacing w:after="120" w:line="288" w:lineRule="auto"/>
        <w:ind w:left="0" w:hanging="720"/>
      </w:pPr>
      <w:r w:rsidRPr="009464B2">
        <w:rPr>
          <w:b/>
          <w:bCs/>
        </w:rPr>
        <w:t>PARTY REPRESENTATIVES:</w:t>
      </w:r>
      <w:r w:rsidRPr="009464B2">
        <w:t xml:space="preserve">  </w:t>
      </w:r>
      <w:r w:rsidR="00211D97" w:rsidRPr="009464B2">
        <w:rPr>
          <w:bCs/>
        </w:rPr>
        <w:t>David J. Meyer, Vice President and Chief Counsel for Regulatory and Governmental Affairs, Spokane, Washington,</w:t>
      </w:r>
      <w:r w:rsidR="00211D97" w:rsidRPr="009464B2">
        <w:t xml:space="preserve"> represents </w:t>
      </w:r>
      <w:r w:rsidR="00211D97" w:rsidRPr="009464B2">
        <w:rPr>
          <w:bCs/>
        </w:rPr>
        <w:t>Avista.</w:t>
      </w:r>
      <w:r w:rsidR="00211D97" w:rsidRPr="009464B2">
        <w:t xml:space="preserve"> Lisa W. Gafken, Assistant Attorney General, Seattle, Washington, represents the Public Counsel Division of the Washington State Attorney General’s Office (Public Counsel). </w:t>
      </w:r>
      <w:r w:rsidR="00211D97" w:rsidRPr="009464B2">
        <w:rPr>
          <w:bCs/>
        </w:rPr>
        <w:t xml:space="preserve">Patrick J. Oshie, Jennifer Cameron-Rulkowski, </w:t>
      </w:r>
      <w:r w:rsidR="00450F54" w:rsidRPr="009464B2">
        <w:rPr>
          <w:bCs/>
        </w:rPr>
        <w:t xml:space="preserve">Christopher Casey, </w:t>
      </w:r>
      <w:r w:rsidR="00211D97" w:rsidRPr="009464B2">
        <w:rPr>
          <w:bCs/>
        </w:rPr>
        <w:t>and Brett P. Shearer</w:t>
      </w:r>
      <w:r w:rsidR="00211D97" w:rsidRPr="009464B2">
        <w:t>, Assistant Attorneys General, Olympia, Washington, represent the Commission’s regulatory staff (Staff).</w:t>
      </w:r>
      <w:r w:rsidR="00211D97" w:rsidRPr="009464B2">
        <w:rPr>
          <w:rStyle w:val="FootnoteReference"/>
        </w:rPr>
        <w:footnoteReference w:id="2"/>
      </w:r>
      <w:r w:rsidR="006B7BB1" w:rsidRPr="009464B2">
        <w:t xml:space="preserve"> </w:t>
      </w:r>
    </w:p>
    <w:p w14:paraId="1F6209E1" w14:textId="64F79670" w:rsidR="00C246FA" w:rsidRDefault="009D3465" w:rsidP="006548F6">
      <w:pPr>
        <w:numPr>
          <w:ilvl w:val="0"/>
          <w:numId w:val="1"/>
        </w:numPr>
        <w:tabs>
          <w:tab w:val="num" w:pos="0"/>
        </w:tabs>
        <w:spacing w:after="120" w:line="288" w:lineRule="auto"/>
        <w:ind w:left="0" w:hanging="720"/>
      </w:pPr>
      <w:r w:rsidRPr="009464B2">
        <w:t xml:space="preserve">Melinda Davison and </w:t>
      </w:r>
      <w:r w:rsidR="00211D97" w:rsidRPr="009464B2">
        <w:t xml:space="preserve">Jesse E. Cowell, Davison Van Cleve, P.C., Portland, Oregon, represent the Industrial Customers of Northwest Utilities (ICNU). Chad M. Stokes and Tommy A. Brooks, Cable Huston, Portland, Oregon, represent the Northwest Industrial Gas Users (NWIGU). Ronald L. Roseman, attorney, Seattle, Washington, represents The Energy Project.  </w:t>
      </w:r>
      <w:r w:rsidR="00F753CA" w:rsidRPr="009464B2">
        <w:t xml:space="preserve">  </w:t>
      </w:r>
    </w:p>
    <w:p w14:paraId="0953429F" w14:textId="77777777" w:rsidR="00C246FA" w:rsidRDefault="00C246FA">
      <w:r>
        <w:br w:type="page"/>
      </w:r>
    </w:p>
    <w:p w14:paraId="385661ED" w14:textId="77777777" w:rsidR="00F753CA" w:rsidRPr="009464B2" w:rsidRDefault="00F753CA" w:rsidP="00C246FA">
      <w:pPr>
        <w:spacing w:after="120" w:line="288" w:lineRule="auto"/>
        <w:ind w:left="-720"/>
      </w:pPr>
    </w:p>
    <w:p w14:paraId="0F21B0E4" w14:textId="7AF2E09C" w:rsidR="00D456E7" w:rsidRPr="009464B2" w:rsidRDefault="009E271D" w:rsidP="006548F6">
      <w:pPr>
        <w:numPr>
          <w:ilvl w:val="0"/>
          <w:numId w:val="1"/>
        </w:numPr>
        <w:tabs>
          <w:tab w:val="num" w:pos="0"/>
        </w:tabs>
        <w:spacing w:after="120" w:line="288" w:lineRule="auto"/>
        <w:ind w:left="0" w:hanging="720"/>
      </w:pPr>
      <w:r w:rsidRPr="009464B2">
        <w:rPr>
          <w:b/>
        </w:rPr>
        <w:t>COMMISSION DETERMINATION</w:t>
      </w:r>
      <w:r w:rsidR="00BF6B15" w:rsidRPr="009464B2">
        <w:rPr>
          <w:b/>
        </w:rPr>
        <w:t>S</w:t>
      </w:r>
      <w:r w:rsidRPr="009464B2">
        <w:rPr>
          <w:b/>
        </w:rPr>
        <w:t>:</w:t>
      </w:r>
      <w:r w:rsidRPr="009464B2">
        <w:t xml:space="preserve">  </w:t>
      </w:r>
      <w:bookmarkStart w:id="4" w:name="_Toc249233755"/>
      <w:bookmarkStart w:id="5" w:name="_Toc249252783"/>
      <w:bookmarkStart w:id="6" w:name="OLE_LINK3"/>
      <w:r w:rsidR="00ED78A4" w:rsidRPr="009464B2">
        <w:t xml:space="preserve">The Commission authorizes Avista to file revised tariff sheets reflecting an electric revenue requirement decrease of </w:t>
      </w:r>
      <w:r w:rsidR="007E1AB9" w:rsidRPr="009464B2">
        <w:t>$</w:t>
      </w:r>
      <w:r w:rsidR="007479D2" w:rsidRPr="009464B2">
        <w:t>8</w:t>
      </w:r>
      <w:r w:rsidR="007E1AB9" w:rsidRPr="009464B2">
        <w:t>.1</w:t>
      </w:r>
      <w:r w:rsidR="00ED78A4" w:rsidRPr="009464B2">
        <w:t xml:space="preserve"> million or </w:t>
      </w:r>
      <w:r w:rsidR="007479D2" w:rsidRPr="009464B2">
        <w:t>1.</w:t>
      </w:r>
      <w:r w:rsidR="007E1AB9" w:rsidRPr="009464B2">
        <w:t>63</w:t>
      </w:r>
      <w:r w:rsidR="00ED78A4" w:rsidRPr="009464B2">
        <w:t xml:space="preserve"> percent and a natural gas revenue requirement increase of </w:t>
      </w:r>
      <w:r w:rsidR="00A956AE" w:rsidRPr="009464B2">
        <w:t>$10.</w:t>
      </w:r>
      <w:r w:rsidR="00F86538" w:rsidRPr="009464B2">
        <w:t>8</w:t>
      </w:r>
      <w:r w:rsidR="00ED78A4" w:rsidRPr="009464B2">
        <w:t xml:space="preserve"> million or </w:t>
      </w:r>
      <w:r w:rsidR="007E1AB9" w:rsidRPr="009464B2">
        <w:t>6.</w:t>
      </w:r>
      <w:r w:rsidR="00F86538" w:rsidRPr="009464B2">
        <w:t>3</w:t>
      </w:r>
      <w:r w:rsidR="00ED78A4" w:rsidRPr="009464B2">
        <w:t xml:space="preserve"> percent. The Commission </w:t>
      </w:r>
      <w:r w:rsidR="00D456E7" w:rsidRPr="009464B2">
        <w:t xml:space="preserve">approves and </w:t>
      </w:r>
      <w:r w:rsidR="00ED78A4" w:rsidRPr="009464B2">
        <w:t xml:space="preserve">accepts </w:t>
      </w:r>
      <w:r w:rsidR="00974167" w:rsidRPr="009464B2">
        <w:t>the partial, multiparty settlement stipulation (Settlement)</w:t>
      </w:r>
      <w:r w:rsidR="00ED1C1A" w:rsidRPr="009464B2">
        <w:t xml:space="preserve">, including the 7.29 percent rate of return (ROR), the 9.5 percent return on equity (ROE), and the 48.5 percent common equity capital structure. The Commission finds that paragraph </w:t>
      </w:r>
      <w:r w:rsidR="00D456E7" w:rsidRPr="009464B2">
        <w:t>6</w:t>
      </w:r>
      <w:r w:rsidR="00ED1C1A" w:rsidRPr="009464B2">
        <w:t xml:space="preserve"> of the Settlement</w:t>
      </w:r>
      <w:r w:rsidR="00D456E7" w:rsidRPr="009464B2">
        <w:t xml:space="preserve">, which </w:t>
      </w:r>
      <w:r w:rsidR="00ED1C1A" w:rsidRPr="009464B2">
        <w:t xml:space="preserve">addresses electric rate </w:t>
      </w:r>
      <w:r w:rsidR="00BD222F" w:rsidRPr="009464B2">
        <w:t xml:space="preserve">spread and rate </w:t>
      </w:r>
      <w:r w:rsidR="00ED1C1A" w:rsidRPr="009464B2">
        <w:t xml:space="preserve">design </w:t>
      </w:r>
      <w:r w:rsidR="00BD222F" w:rsidRPr="009464B2">
        <w:t xml:space="preserve">for an increase in the revenue requirement, </w:t>
      </w:r>
      <w:r w:rsidR="00D456E7" w:rsidRPr="009464B2">
        <w:t xml:space="preserve">is moot. </w:t>
      </w:r>
      <w:r w:rsidR="00974167" w:rsidRPr="009464B2">
        <w:t>We</w:t>
      </w:r>
      <w:r w:rsidR="00D456E7" w:rsidRPr="009464B2">
        <w:t xml:space="preserve"> adopt an equitable approach to </w:t>
      </w:r>
      <w:r w:rsidR="00BD222F" w:rsidRPr="009464B2">
        <w:t>the Company’s electric</w:t>
      </w:r>
      <w:r w:rsidR="00D456E7" w:rsidRPr="009464B2">
        <w:t xml:space="preserve"> rate </w:t>
      </w:r>
      <w:r w:rsidR="00BD222F" w:rsidRPr="009464B2">
        <w:t>s</w:t>
      </w:r>
      <w:r w:rsidR="003E286C" w:rsidRPr="009464B2">
        <w:t>pread</w:t>
      </w:r>
      <w:r w:rsidR="00BD222F" w:rsidRPr="009464B2">
        <w:t xml:space="preserve"> and rate </w:t>
      </w:r>
      <w:r w:rsidR="00D456E7" w:rsidRPr="009464B2">
        <w:t xml:space="preserve">design that apportions a uniform percentage rate decrease across rate </w:t>
      </w:r>
      <w:r w:rsidR="00BD222F" w:rsidRPr="009464B2">
        <w:t xml:space="preserve">schedules and </w:t>
      </w:r>
      <w:r w:rsidR="00D456E7" w:rsidRPr="009464B2">
        <w:t xml:space="preserve">schedule blocks.  </w:t>
      </w:r>
    </w:p>
    <w:p w14:paraId="1A8BDE7E" w14:textId="77777777" w:rsidR="00211D97" w:rsidRPr="009464B2" w:rsidRDefault="00211D97" w:rsidP="006548F6">
      <w:pPr>
        <w:tabs>
          <w:tab w:val="num" w:pos="0"/>
        </w:tabs>
        <w:spacing w:after="120" w:line="288" w:lineRule="auto"/>
        <w:ind w:hanging="720"/>
        <w:rPr>
          <w:u w:val="single"/>
        </w:rPr>
      </w:pPr>
    </w:p>
    <w:p w14:paraId="02E33C14" w14:textId="77777777" w:rsidR="00851753" w:rsidRPr="009464B2" w:rsidRDefault="002B79EA" w:rsidP="00896DD5">
      <w:pPr>
        <w:pStyle w:val="Heading1"/>
        <w:spacing w:before="0" w:after="0" w:line="288" w:lineRule="auto"/>
        <w:jc w:val="center"/>
        <w:rPr>
          <w:rFonts w:ascii="Times New Roman" w:hAnsi="Times New Roman" w:cs="Times New Roman"/>
          <w:sz w:val="24"/>
          <w:szCs w:val="24"/>
          <w:u w:val="single"/>
        </w:rPr>
      </w:pPr>
      <w:bookmarkStart w:id="7" w:name="_Toc439838951"/>
      <w:r w:rsidRPr="009464B2">
        <w:rPr>
          <w:rFonts w:ascii="Times New Roman" w:hAnsi="Times New Roman" w:cs="Times New Roman"/>
          <w:sz w:val="24"/>
          <w:szCs w:val="24"/>
          <w:u w:val="single"/>
        </w:rPr>
        <w:t>MEMORANDUM</w:t>
      </w:r>
      <w:bookmarkEnd w:id="4"/>
      <w:bookmarkEnd w:id="5"/>
      <w:bookmarkEnd w:id="7"/>
    </w:p>
    <w:p w14:paraId="6284767F" w14:textId="77777777" w:rsidR="006E38C1" w:rsidRPr="009464B2" w:rsidRDefault="006E38C1" w:rsidP="00896DD5">
      <w:pPr>
        <w:pStyle w:val="NoSpacing"/>
        <w:spacing w:line="288" w:lineRule="auto"/>
      </w:pPr>
    </w:p>
    <w:p w14:paraId="0EC2DEED" w14:textId="77777777" w:rsidR="002B79EA" w:rsidRPr="009464B2" w:rsidRDefault="002B79EA" w:rsidP="00070CD0">
      <w:pPr>
        <w:pStyle w:val="Heading2"/>
        <w:tabs>
          <w:tab w:val="left" w:pos="360"/>
        </w:tabs>
        <w:spacing w:line="288" w:lineRule="auto"/>
        <w:jc w:val="left"/>
        <w:rPr>
          <w:b/>
          <w:u w:val="none"/>
        </w:rPr>
      </w:pPr>
      <w:bookmarkStart w:id="8" w:name="_Toc249233756"/>
      <w:bookmarkStart w:id="9" w:name="_Toc249252784"/>
      <w:bookmarkStart w:id="10" w:name="_Toc439838952"/>
      <w:r w:rsidRPr="009464B2">
        <w:rPr>
          <w:b/>
          <w:u w:val="none"/>
        </w:rPr>
        <w:t xml:space="preserve">I. </w:t>
      </w:r>
      <w:r w:rsidRPr="009464B2">
        <w:rPr>
          <w:b/>
          <w:u w:val="none"/>
        </w:rPr>
        <w:tab/>
        <w:t>Background and Procedural History</w:t>
      </w:r>
      <w:bookmarkEnd w:id="8"/>
      <w:bookmarkEnd w:id="9"/>
      <w:bookmarkEnd w:id="10"/>
    </w:p>
    <w:p w14:paraId="64EEED15" w14:textId="77777777" w:rsidR="002B79EA" w:rsidRPr="009464B2" w:rsidRDefault="002B79EA" w:rsidP="00896DD5">
      <w:pPr>
        <w:pStyle w:val="NoSpacing"/>
        <w:spacing w:line="288" w:lineRule="auto"/>
      </w:pPr>
    </w:p>
    <w:p w14:paraId="3D0A274E" w14:textId="0A03F079" w:rsidR="005576A7" w:rsidRPr="009464B2" w:rsidRDefault="003C113B" w:rsidP="006548F6">
      <w:pPr>
        <w:numPr>
          <w:ilvl w:val="0"/>
          <w:numId w:val="1"/>
        </w:numPr>
        <w:tabs>
          <w:tab w:val="num" w:pos="0"/>
        </w:tabs>
        <w:spacing w:after="120" w:line="288" w:lineRule="auto"/>
        <w:ind w:left="0" w:hanging="720"/>
      </w:pPr>
      <w:r w:rsidRPr="009464B2">
        <w:rPr>
          <w:bCs/>
        </w:rPr>
        <w:t xml:space="preserve">On February </w:t>
      </w:r>
      <w:r w:rsidR="006B212C" w:rsidRPr="009464B2">
        <w:rPr>
          <w:bCs/>
        </w:rPr>
        <w:t>9</w:t>
      </w:r>
      <w:r w:rsidRPr="009464B2">
        <w:rPr>
          <w:bCs/>
        </w:rPr>
        <w:t>, 201</w:t>
      </w:r>
      <w:r w:rsidR="006B212C" w:rsidRPr="009464B2">
        <w:rPr>
          <w:bCs/>
        </w:rPr>
        <w:t>5</w:t>
      </w:r>
      <w:r w:rsidRPr="009464B2">
        <w:rPr>
          <w:bCs/>
        </w:rPr>
        <w:t xml:space="preserve">, Avista </w:t>
      </w:r>
      <w:r w:rsidRPr="009464B2">
        <w:t>filed revisions to its currently effective Tariff WN U-28, Electric Service</w:t>
      </w:r>
      <w:r w:rsidR="00963D08" w:rsidRPr="009464B2">
        <w:t>,</w:t>
      </w:r>
      <w:r w:rsidRPr="009464B2">
        <w:t xml:space="preserve"> and Tariff WN U-29, Gas Service. </w:t>
      </w:r>
      <w:r w:rsidR="00E33972" w:rsidRPr="009464B2">
        <w:t>The Company</w:t>
      </w:r>
      <w:r w:rsidRPr="009464B2">
        <w:t xml:space="preserve"> request</w:t>
      </w:r>
      <w:r w:rsidR="00DC014B" w:rsidRPr="009464B2">
        <w:t>ed</w:t>
      </w:r>
      <w:r w:rsidRPr="009464B2">
        <w:t xml:space="preserve"> authority to increase charges and rates for electric service by approximately $</w:t>
      </w:r>
      <w:r w:rsidR="006B212C" w:rsidRPr="009464B2">
        <w:t>33</w:t>
      </w:r>
      <w:r w:rsidRPr="009464B2">
        <w:t>.2 million</w:t>
      </w:r>
      <w:r w:rsidR="00A65711" w:rsidRPr="009464B2">
        <w:t>,</w:t>
      </w:r>
      <w:r w:rsidRPr="009464B2">
        <w:t xml:space="preserve"> or </w:t>
      </w:r>
      <w:r w:rsidR="006B212C" w:rsidRPr="009464B2">
        <w:t>6.7</w:t>
      </w:r>
      <w:r w:rsidRPr="009464B2">
        <w:t xml:space="preserve"> percent</w:t>
      </w:r>
      <w:r w:rsidR="006B212C" w:rsidRPr="009464B2">
        <w:t xml:space="preserve"> in billed rates</w:t>
      </w:r>
      <w:r w:rsidRPr="009464B2">
        <w:t xml:space="preserve">. The Company also requested a natural gas rate </w:t>
      </w:r>
      <w:r w:rsidR="006B212C" w:rsidRPr="009464B2">
        <w:t>increase of $12</w:t>
      </w:r>
      <w:r w:rsidRPr="009464B2">
        <w:t xml:space="preserve"> million</w:t>
      </w:r>
      <w:r w:rsidR="00A65711" w:rsidRPr="009464B2">
        <w:t>,</w:t>
      </w:r>
      <w:r w:rsidRPr="009464B2">
        <w:t xml:space="preserve"> or </w:t>
      </w:r>
      <w:r w:rsidR="006B212C" w:rsidRPr="009464B2">
        <w:t>6.9</w:t>
      </w:r>
      <w:r w:rsidRPr="009464B2">
        <w:t xml:space="preserve"> percent</w:t>
      </w:r>
      <w:r w:rsidR="006B212C" w:rsidRPr="009464B2">
        <w:t xml:space="preserve"> in billed rates</w:t>
      </w:r>
      <w:r w:rsidRPr="009464B2">
        <w:t xml:space="preserve">. </w:t>
      </w:r>
      <w:r w:rsidR="00F52C58" w:rsidRPr="009464B2">
        <w:t>T</w:t>
      </w:r>
      <w:r w:rsidRPr="009464B2">
        <w:t>he Commission suspended operation of the tariffs and consolidated the dockets for hearing.</w:t>
      </w:r>
    </w:p>
    <w:p w14:paraId="4992ABA9" w14:textId="77777777" w:rsidR="00682321" w:rsidRPr="009464B2" w:rsidRDefault="00C03AE9" w:rsidP="006548F6">
      <w:pPr>
        <w:numPr>
          <w:ilvl w:val="0"/>
          <w:numId w:val="1"/>
        </w:numPr>
        <w:tabs>
          <w:tab w:val="num" w:pos="0"/>
        </w:tabs>
        <w:spacing w:after="120" w:line="288" w:lineRule="auto"/>
        <w:ind w:left="0" w:hanging="720"/>
      </w:pPr>
      <w:r w:rsidRPr="009464B2">
        <w:t>Avista</w:t>
      </w:r>
      <w:r w:rsidR="00A65711" w:rsidRPr="009464B2">
        <w:t xml:space="preserve"> based its</w:t>
      </w:r>
      <w:r w:rsidRPr="009464B2">
        <w:t xml:space="preserve"> initial request on </w:t>
      </w:r>
      <w:r w:rsidR="00ED4934" w:rsidRPr="009464B2">
        <w:t xml:space="preserve">a test year </w:t>
      </w:r>
      <w:r w:rsidR="00C179A1" w:rsidRPr="009464B2">
        <w:t xml:space="preserve">from </w:t>
      </w:r>
      <w:r w:rsidR="00CB2B85" w:rsidRPr="009464B2">
        <w:t>October 1, 2013</w:t>
      </w:r>
      <w:r w:rsidR="00C179A1" w:rsidRPr="009464B2">
        <w:t>, through</w:t>
      </w:r>
      <w:r w:rsidR="00ED4934" w:rsidRPr="009464B2">
        <w:t xml:space="preserve"> </w:t>
      </w:r>
      <w:r w:rsidR="00CB2B85" w:rsidRPr="009464B2">
        <w:t>September</w:t>
      </w:r>
      <w:r w:rsidR="00C179A1" w:rsidRPr="009464B2">
        <w:t xml:space="preserve"> 30, 201</w:t>
      </w:r>
      <w:r w:rsidR="00CB2B85" w:rsidRPr="009464B2">
        <w:t>4</w:t>
      </w:r>
      <w:r w:rsidRPr="009464B2">
        <w:t xml:space="preserve">. The filing </w:t>
      </w:r>
      <w:r w:rsidR="00FD5C2F" w:rsidRPr="009464B2">
        <w:t>included proposals for the following</w:t>
      </w:r>
      <w:r w:rsidR="00ED4934" w:rsidRPr="009464B2">
        <w:t>:</w:t>
      </w:r>
    </w:p>
    <w:p w14:paraId="1AD04172" w14:textId="77777777" w:rsidR="00ED4934" w:rsidRPr="009464B2" w:rsidRDefault="00ED4934" w:rsidP="006548F6">
      <w:pPr>
        <w:numPr>
          <w:ilvl w:val="0"/>
          <w:numId w:val="2"/>
        </w:numPr>
        <w:tabs>
          <w:tab w:val="left" w:pos="1440"/>
        </w:tabs>
        <w:spacing w:after="120" w:line="288" w:lineRule="auto"/>
        <w:ind w:left="1440" w:hanging="720"/>
      </w:pPr>
      <w:r w:rsidRPr="009464B2">
        <w:t xml:space="preserve">An overall </w:t>
      </w:r>
      <w:r w:rsidR="001622D8" w:rsidRPr="009464B2">
        <w:t>ROR</w:t>
      </w:r>
      <w:r w:rsidRPr="009464B2">
        <w:t xml:space="preserve"> of </w:t>
      </w:r>
      <w:r w:rsidR="00D22221" w:rsidRPr="009464B2">
        <w:t>7.46</w:t>
      </w:r>
      <w:r w:rsidRPr="009464B2">
        <w:t xml:space="preserve"> percent.</w:t>
      </w:r>
      <w:r w:rsidR="00312710" w:rsidRPr="009464B2">
        <w:rPr>
          <w:rStyle w:val="FootnoteReference"/>
        </w:rPr>
        <w:footnoteReference w:id="3"/>
      </w:r>
    </w:p>
    <w:p w14:paraId="426B7E18" w14:textId="77777777" w:rsidR="00ED4934" w:rsidRPr="009464B2" w:rsidRDefault="00764FE3" w:rsidP="006548F6">
      <w:pPr>
        <w:numPr>
          <w:ilvl w:val="0"/>
          <w:numId w:val="2"/>
        </w:numPr>
        <w:tabs>
          <w:tab w:val="left" w:pos="1440"/>
        </w:tabs>
        <w:spacing w:after="120" w:line="288" w:lineRule="auto"/>
        <w:ind w:left="1440" w:hanging="720"/>
      </w:pPr>
      <w:r w:rsidRPr="009464B2">
        <w:t xml:space="preserve">An </w:t>
      </w:r>
      <w:r w:rsidR="001622D8" w:rsidRPr="009464B2">
        <w:t xml:space="preserve">ROE </w:t>
      </w:r>
      <w:r w:rsidR="00ED4934" w:rsidRPr="009464B2">
        <w:t xml:space="preserve">of </w:t>
      </w:r>
      <w:r w:rsidR="00D22221" w:rsidRPr="009464B2">
        <w:t>9</w:t>
      </w:r>
      <w:r w:rsidR="00105473" w:rsidRPr="009464B2">
        <w:t>.</w:t>
      </w:r>
      <w:r w:rsidR="00D22221" w:rsidRPr="009464B2">
        <w:t>9</w:t>
      </w:r>
      <w:r w:rsidR="00ED4934" w:rsidRPr="009464B2">
        <w:t xml:space="preserve"> percent.</w:t>
      </w:r>
      <w:r w:rsidR="00B26310" w:rsidRPr="009464B2">
        <w:rPr>
          <w:rStyle w:val="FootnoteReference"/>
        </w:rPr>
        <w:footnoteReference w:id="4"/>
      </w:r>
    </w:p>
    <w:p w14:paraId="30D123BB" w14:textId="77777777" w:rsidR="00ED4934" w:rsidRPr="009464B2" w:rsidRDefault="00ED4934" w:rsidP="006548F6">
      <w:pPr>
        <w:numPr>
          <w:ilvl w:val="0"/>
          <w:numId w:val="2"/>
        </w:numPr>
        <w:tabs>
          <w:tab w:val="left" w:pos="1440"/>
        </w:tabs>
        <w:spacing w:after="120" w:line="288" w:lineRule="auto"/>
        <w:ind w:left="1440" w:hanging="720"/>
      </w:pPr>
      <w:r w:rsidRPr="009464B2">
        <w:t xml:space="preserve">A capital structure consisting of </w:t>
      </w:r>
      <w:r w:rsidR="00D66738" w:rsidRPr="009464B2">
        <w:t>4</w:t>
      </w:r>
      <w:r w:rsidR="00D22221" w:rsidRPr="009464B2">
        <w:t>8</w:t>
      </w:r>
      <w:r w:rsidR="00D66738" w:rsidRPr="009464B2">
        <w:t>.0</w:t>
      </w:r>
      <w:r w:rsidRPr="009464B2">
        <w:t xml:space="preserve"> percent equity and 5</w:t>
      </w:r>
      <w:r w:rsidR="00D22221" w:rsidRPr="009464B2">
        <w:t>2</w:t>
      </w:r>
      <w:r w:rsidRPr="009464B2">
        <w:t>.</w:t>
      </w:r>
      <w:r w:rsidR="00D66738" w:rsidRPr="009464B2">
        <w:t>0</w:t>
      </w:r>
      <w:r w:rsidRPr="009464B2">
        <w:t xml:space="preserve"> percent debt.</w:t>
      </w:r>
      <w:r w:rsidR="00B26310" w:rsidRPr="009464B2">
        <w:rPr>
          <w:rStyle w:val="FootnoteReference"/>
        </w:rPr>
        <w:footnoteReference w:id="5"/>
      </w:r>
    </w:p>
    <w:p w14:paraId="62547B92" w14:textId="77777777" w:rsidR="00ED4934" w:rsidRPr="009464B2" w:rsidRDefault="00115F0C" w:rsidP="006548F6">
      <w:pPr>
        <w:numPr>
          <w:ilvl w:val="0"/>
          <w:numId w:val="2"/>
        </w:numPr>
        <w:tabs>
          <w:tab w:val="left" w:pos="1440"/>
        </w:tabs>
        <w:spacing w:after="120" w:line="288" w:lineRule="auto"/>
        <w:ind w:left="1440" w:hanging="720"/>
      </w:pPr>
      <w:r w:rsidRPr="009464B2">
        <w:t xml:space="preserve">An attrition </w:t>
      </w:r>
      <w:r w:rsidR="004A154D" w:rsidRPr="009464B2">
        <w:t>adjustment</w:t>
      </w:r>
      <w:r w:rsidRPr="009464B2">
        <w:t xml:space="preserve"> for both its electric and natural gas operations.</w:t>
      </w:r>
    </w:p>
    <w:p w14:paraId="5E158A8C" w14:textId="77777777" w:rsidR="003E3D5C" w:rsidRPr="009464B2" w:rsidRDefault="00517B2D" w:rsidP="006548F6">
      <w:pPr>
        <w:numPr>
          <w:ilvl w:val="0"/>
          <w:numId w:val="1"/>
        </w:numPr>
        <w:tabs>
          <w:tab w:val="num" w:pos="0"/>
        </w:tabs>
        <w:spacing w:after="120" w:line="288" w:lineRule="auto"/>
        <w:ind w:left="0" w:hanging="720"/>
      </w:pPr>
      <w:r w:rsidRPr="009464B2">
        <w:lastRenderedPageBreak/>
        <w:t xml:space="preserve">On </w:t>
      </w:r>
      <w:r w:rsidR="00D66738" w:rsidRPr="009464B2">
        <w:t xml:space="preserve">March </w:t>
      </w:r>
      <w:r w:rsidR="00D22221" w:rsidRPr="009464B2">
        <w:t>12</w:t>
      </w:r>
      <w:r w:rsidR="00D66738" w:rsidRPr="009464B2">
        <w:t>, 201</w:t>
      </w:r>
      <w:r w:rsidR="00D22221" w:rsidRPr="009464B2">
        <w:t>5</w:t>
      </w:r>
      <w:r w:rsidRPr="009464B2">
        <w:t>, t</w:t>
      </w:r>
      <w:r w:rsidR="001614A7" w:rsidRPr="009464B2">
        <w:t>he Commission conducted a preh</w:t>
      </w:r>
      <w:r w:rsidR="007513CD" w:rsidRPr="009464B2">
        <w:t xml:space="preserve">earing conference </w:t>
      </w:r>
      <w:r w:rsidR="001614A7" w:rsidRPr="009464B2">
        <w:t>before Administrative Law Judg</w:t>
      </w:r>
      <w:r w:rsidR="007513CD" w:rsidRPr="009464B2">
        <w:t xml:space="preserve">e </w:t>
      </w:r>
      <w:r w:rsidR="00AA5758" w:rsidRPr="009464B2">
        <w:t>Marguerite E. Friedlander</w:t>
      </w:r>
      <w:r w:rsidR="007513CD" w:rsidRPr="009464B2">
        <w:t xml:space="preserve">. </w:t>
      </w:r>
      <w:r w:rsidR="00AC1C34" w:rsidRPr="009464B2">
        <w:t xml:space="preserve">On </w:t>
      </w:r>
      <w:r w:rsidR="004A4423" w:rsidRPr="009464B2">
        <w:t>May 1, 2015</w:t>
      </w:r>
      <w:r w:rsidR="00AC1C34" w:rsidRPr="009464B2">
        <w:t xml:space="preserve">, </w:t>
      </w:r>
      <w:r w:rsidR="004A4423" w:rsidRPr="009464B2">
        <w:t xml:space="preserve">Avista, </w:t>
      </w:r>
      <w:r w:rsidR="00AC1C34" w:rsidRPr="009464B2">
        <w:t xml:space="preserve">Staff, Public Counsel, NWIGU, and ICNU filed </w:t>
      </w:r>
      <w:r w:rsidR="004A4423" w:rsidRPr="009464B2">
        <w:t xml:space="preserve">a </w:t>
      </w:r>
      <w:r w:rsidR="003E3D5C" w:rsidRPr="009464B2">
        <w:t xml:space="preserve">partial, </w:t>
      </w:r>
      <w:r w:rsidR="004A4423" w:rsidRPr="009464B2">
        <w:t>multiparty settlement stipulation (Settlement)</w:t>
      </w:r>
      <w:r w:rsidR="001F7C7B" w:rsidRPr="009464B2">
        <w:t>,</w:t>
      </w:r>
      <w:r w:rsidR="003E3D5C" w:rsidRPr="009464B2">
        <w:t xml:space="preserve"> which is attached to, and </w:t>
      </w:r>
      <w:r w:rsidR="00E52257" w:rsidRPr="009464B2">
        <w:t xml:space="preserve">incorporated as Appendix </w:t>
      </w:r>
      <w:r w:rsidR="00AB7E90" w:rsidRPr="009464B2">
        <w:t>C</w:t>
      </w:r>
      <w:r w:rsidR="001F7C7B" w:rsidRPr="009464B2">
        <w:t xml:space="preserve"> to this order</w:t>
      </w:r>
      <w:r w:rsidR="003E3D5C" w:rsidRPr="009464B2">
        <w:t>.</w:t>
      </w:r>
      <w:r w:rsidR="004A4423" w:rsidRPr="009464B2">
        <w:rPr>
          <w:rStyle w:val="FootnoteReference"/>
        </w:rPr>
        <w:footnoteReference w:id="6"/>
      </w:r>
      <w:r w:rsidR="00FD5A58" w:rsidRPr="009464B2">
        <w:t xml:space="preserve"> </w:t>
      </w:r>
      <w:r w:rsidR="00A956AE" w:rsidRPr="009464B2">
        <w:t>The Settling Parties filed testimony in support of the Settlement on July 2</w:t>
      </w:r>
      <w:r w:rsidR="00966571" w:rsidRPr="009464B2">
        <w:t>4</w:t>
      </w:r>
      <w:r w:rsidR="00A956AE" w:rsidRPr="009464B2">
        <w:t>, 2015.</w:t>
      </w:r>
    </w:p>
    <w:p w14:paraId="7B70F605" w14:textId="77777777" w:rsidR="00CE0D34" w:rsidRPr="009464B2" w:rsidRDefault="00CB48CC" w:rsidP="006548F6">
      <w:pPr>
        <w:numPr>
          <w:ilvl w:val="0"/>
          <w:numId w:val="1"/>
        </w:numPr>
        <w:tabs>
          <w:tab w:val="num" w:pos="0"/>
        </w:tabs>
        <w:spacing w:after="120" w:line="288" w:lineRule="auto"/>
        <w:ind w:left="0" w:hanging="720"/>
      </w:pPr>
      <w:r w:rsidRPr="009464B2">
        <w:t>Staff, NWIGU, ICNU, The Energy Project, and Public Counsel filed response testimony</w:t>
      </w:r>
      <w:r w:rsidR="009466EA" w:rsidRPr="009464B2">
        <w:t xml:space="preserve"> and exhibits regarding the remaining issues on July 27, 2015</w:t>
      </w:r>
      <w:r w:rsidR="00A956AE" w:rsidRPr="009464B2">
        <w:t>.</w:t>
      </w:r>
      <w:r w:rsidR="00CC5128" w:rsidRPr="009464B2">
        <w:t xml:space="preserve"> </w:t>
      </w:r>
      <w:r w:rsidR="009466EA" w:rsidRPr="009464B2">
        <w:t>On September 4, 2015, the Company filed rebuttal testimony and exhibits</w:t>
      </w:r>
      <w:r w:rsidR="003E3D5C" w:rsidRPr="009464B2">
        <w:t>, while</w:t>
      </w:r>
      <w:r w:rsidR="009466EA" w:rsidRPr="009464B2">
        <w:t xml:space="preserve"> Staff, ICNU, </w:t>
      </w:r>
      <w:r w:rsidR="00D44D71" w:rsidRPr="009464B2">
        <w:t xml:space="preserve">and </w:t>
      </w:r>
      <w:r w:rsidR="009466EA" w:rsidRPr="009464B2">
        <w:t>Public Counsel filed cross</w:t>
      </w:r>
      <w:r w:rsidR="00D44D71" w:rsidRPr="009464B2">
        <w:t>-</w:t>
      </w:r>
      <w:r w:rsidR="009466EA" w:rsidRPr="009464B2">
        <w:t>answering testimony and exhibits</w:t>
      </w:r>
      <w:r w:rsidR="00CC5128" w:rsidRPr="009464B2">
        <w:t xml:space="preserve"> on select issues</w:t>
      </w:r>
      <w:r w:rsidR="009466EA" w:rsidRPr="009464B2">
        <w:t xml:space="preserve">. </w:t>
      </w:r>
      <w:r w:rsidR="00A65711" w:rsidRPr="009464B2">
        <w:t>The Commission held p</w:t>
      </w:r>
      <w:r w:rsidR="00393EB3" w:rsidRPr="009464B2">
        <w:t xml:space="preserve">ublic comment hearings in </w:t>
      </w:r>
      <w:r w:rsidR="002047B5" w:rsidRPr="009464B2">
        <w:t>both Spokane</w:t>
      </w:r>
      <w:r w:rsidR="009466EA" w:rsidRPr="009464B2">
        <w:t>,</w:t>
      </w:r>
      <w:r w:rsidR="002047B5" w:rsidRPr="009464B2">
        <w:t xml:space="preserve"> and </w:t>
      </w:r>
      <w:r w:rsidR="00393EB3" w:rsidRPr="009464B2">
        <w:t>Spokane</w:t>
      </w:r>
      <w:r w:rsidR="009D2A7D" w:rsidRPr="009464B2">
        <w:t xml:space="preserve"> Valley</w:t>
      </w:r>
      <w:r w:rsidR="00393EB3" w:rsidRPr="009464B2">
        <w:t xml:space="preserve">, Washington, on </w:t>
      </w:r>
      <w:r w:rsidR="00D44D71" w:rsidRPr="009464B2">
        <w:t>September 15, 2015</w:t>
      </w:r>
      <w:r w:rsidR="009D2A7D" w:rsidRPr="009464B2">
        <w:t>,</w:t>
      </w:r>
      <w:r w:rsidR="00393EB3" w:rsidRPr="009464B2">
        <w:t xml:space="preserve"> and </w:t>
      </w:r>
      <w:r w:rsidR="00D44D71" w:rsidRPr="009464B2">
        <w:t>September 16, 2015</w:t>
      </w:r>
      <w:r w:rsidR="009D2A7D" w:rsidRPr="009464B2">
        <w:t xml:space="preserve">, respectively. </w:t>
      </w:r>
      <w:r w:rsidR="00CE0D34" w:rsidRPr="009464B2">
        <w:t xml:space="preserve">In total, the Commission and Public Counsel received </w:t>
      </w:r>
      <w:r w:rsidR="00F361FD" w:rsidRPr="009464B2">
        <w:t>105</w:t>
      </w:r>
      <w:r w:rsidR="00CE0D34" w:rsidRPr="009464B2">
        <w:t xml:space="preserve"> comments </w:t>
      </w:r>
      <w:r w:rsidR="00A65711" w:rsidRPr="009464B2">
        <w:t>regarding</w:t>
      </w:r>
      <w:r w:rsidR="00CE0D34" w:rsidRPr="009464B2">
        <w:t xml:space="preserve"> the proposed rate increase</w:t>
      </w:r>
      <w:r w:rsidR="00CE2892" w:rsidRPr="009464B2">
        <w:t>s</w:t>
      </w:r>
      <w:r w:rsidR="00CE0D34" w:rsidRPr="009464B2">
        <w:t xml:space="preserve"> f</w:t>
      </w:r>
      <w:r w:rsidR="00703077" w:rsidRPr="009464B2">
        <w:t>rom Washington customers, with 97</w:t>
      </w:r>
      <w:r w:rsidR="00CE0D34" w:rsidRPr="009464B2">
        <w:t xml:space="preserve"> comments opposing the increase</w:t>
      </w:r>
      <w:r w:rsidR="00CE2892" w:rsidRPr="009464B2">
        <w:t>s</w:t>
      </w:r>
      <w:r w:rsidR="00CE0D34" w:rsidRPr="009464B2">
        <w:t xml:space="preserve">, </w:t>
      </w:r>
      <w:r w:rsidR="00703077" w:rsidRPr="009464B2">
        <w:t>no</w:t>
      </w:r>
      <w:r w:rsidR="00BE02B4" w:rsidRPr="009464B2">
        <w:t xml:space="preserve"> comment</w:t>
      </w:r>
      <w:r w:rsidR="00703077" w:rsidRPr="009464B2">
        <w:t>s</w:t>
      </w:r>
      <w:r w:rsidR="00BE02B4" w:rsidRPr="009464B2">
        <w:t xml:space="preserve"> supporting the increase</w:t>
      </w:r>
      <w:r w:rsidR="00CE2892" w:rsidRPr="009464B2">
        <w:t>s</w:t>
      </w:r>
      <w:r w:rsidR="00BE02B4" w:rsidRPr="009464B2">
        <w:t xml:space="preserve">, </w:t>
      </w:r>
      <w:r w:rsidR="00CE0D34" w:rsidRPr="009464B2">
        <w:t xml:space="preserve">and </w:t>
      </w:r>
      <w:r w:rsidR="00703077" w:rsidRPr="009464B2">
        <w:t>8</w:t>
      </w:r>
      <w:r w:rsidR="00CE0D34" w:rsidRPr="009464B2">
        <w:t xml:space="preserve"> comments </w:t>
      </w:r>
      <w:r w:rsidR="00A65711" w:rsidRPr="009464B2">
        <w:t>neither supporting nor opposing</w:t>
      </w:r>
      <w:r w:rsidR="00CE0D34" w:rsidRPr="009464B2">
        <w:t>.</w:t>
      </w:r>
      <w:r w:rsidR="00CE0D34" w:rsidRPr="009464B2">
        <w:rPr>
          <w:rStyle w:val="FootnoteReference"/>
        </w:rPr>
        <w:footnoteReference w:id="7"/>
      </w:r>
      <w:r w:rsidR="006B5B88" w:rsidRPr="009464B2">
        <w:t xml:space="preserve">  </w:t>
      </w:r>
    </w:p>
    <w:p w14:paraId="379B23DD" w14:textId="348B0740" w:rsidR="0047050E" w:rsidRPr="009464B2" w:rsidRDefault="00B74A81" w:rsidP="006548F6">
      <w:pPr>
        <w:numPr>
          <w:ilvl w:val="0"/>
          <w:numId w:val="1"/>
        </w:numPr>
        <w:tabs>
          <w:tab w:val="num" w:pos="0"/>
        </w:tabs>
        <w:spacing w:after="120" w:line="288" w:lineRule="auto"/>
        <w:ind w:left="0" w:hanging="720"/>
      </w:pPr>
      <w:r w:rsidRPr="009464B2">
        <w:t xml:space="preserve">On </w:t>
      </w:r>
      <w:r w:rsidR="009C2BF1" w:rsidRPr="009464B2">
        <w:t>October 5-6, 2015</w:t>
      </w:r>
      <w:r w:rsidRPr="009464B2">
        <w:t>, the Commission convened a</w:t>
      </w:r>
      <w:r w:rsidR="009C2BF1" w:rsidRPr="009464B2">
        <w:t xml:space="preserve">n evidentiary </w:t>
      </w:r>
      <w:r w:rsidRPr="009464B2">
        <w:t xml:space="preserve">hearing </w:t>
      </w:r>
      <w:r w:rsidR="00CE2892" w:rsidRPr="009464B2">
        <w:t xml:space="preserve">at its headquarters in </w:t>
      </w:r>
      <w:r w:rsidRPr="009464B2">
        <w:t>Olympia, Washington</w:t>
      </w:r>
      <w:r w:rsidR="009C2BF1" w:rsidRPr="009464B2">
        <w:t>, to address the remaining contested issues outside of the Settlement</w:t>
      </w:r>
      <w:r w:rsidRPr="009464B2">
        <w:t xml:space="preserve">. </w:t>
      </w:r>
      <w:r w:rsidR="00CE0D34" w:rsidRPr="009464B2">
        <w:t xml:space="preserve">Chairman </w:t>
      </w:r>
      <w:r w:rsidRPr="009464B2">
        <w:t>David W. Danner</w:t>
      </w:r>
      <w:r w:rsidR="00CE0D34" w:rsidRPr="009464B2">
        <w:t>, Commissioner Philip B. Jones</w:t>
      </w:r>
      <w:r w:rsidRPr="009464B2">
        <w:t xml:space="preserve">, and Commissioner </w:t>
      </w:r>
      <w:r w:rsidR="009F2F54" w:rsidRPr="009464B2">
        <w:t>Ann E. Rendahl</w:t>
      </w:r>
      <w:r w:rsidR="00CE0D34" w:rsidRPr="009464B2">
        <w:t xml:space="preserve"> were assisted at the bench by Judge Friedlander. Altogether, the record includes more than 2</w:t>
      </w:r>
      <w:r w:rsidR="009F2F54" w:rsidRPr="009464B2">
        <w:t>5</w:t>
      </w:r>
      <w:r w:rsidR="00CE0D34" w:rsidRPr="009464B2">
        <w:t xml:space="preserve">0 exhibits </w:t>
      </w:r>
      <w:r w:rsidR="003E3D5C" w:rsidRPr="009464B2">
        <w:t>admitt</w:t>
      </w:r>
      <w:r w:rsidR="00CE0D34" w:rsidRPr="009464B2">
        <w:t xml:space="preserve">ed during the </w:t>
      </w:r>
      <w:r w:rsidR="009F2F54" w:rsidRPr="009464B2">
        <w:t>evidentiary</w:t>
      </w:r>
      <w:r w:rsidR="00CE0D34" w:rsidRPr="009464B2">
        <w:t xml:space="preserve"> hearing. The transcript of this proceeding exceeds </w:t>
      </w:r>
      <w:r w:rsidR="009F2F54" w:rsidRPr="009464B2">
        <w:t>600</w:t>
      </w:r>
      <w:r w:rsidR="00CE0D34" w:rsidRPr="009464B2">
        <w:t xml:space="preserve"> pages in length.</w:t>
      </w:r>
    </w:p>
    <w:p w14:paraId="55BBAD7A" w14:textId="77777777" w:rsidR="0047050E" w:rsidRPr="009464B2" w:rsidRDefault="0047050E" w:rsidP="00C246FA">
      <w:pPr>
        <w:numPr>
          <w:ilvl w:val="0"/>
          <w:numId w:val="1"/>
        </w:numPr>
        <w:tabs>
          <w:tab w:val="num" w:pos="0"/>
        </w:tabs>
        <w:spacing w:line="288" w:lineRule="auto"/>
        <w:ind w:left="0" w:hanging="720"/>
      </w:pPr>
      <w:r w:rsidRPr="009464B2">
        <w:t xml:space="preserve">On November </w:t>
      </w:r>
      <w:r w:rsidR="009F2F54" w:rsidRPr="009464B2">
        <w:t>4, 2015</w:t>
      </w:r>
      <w:r w:rsidRPr="009464B2">
        <w:t>, Avista</w:t>
      </w:r>
      <w:r w:rsidR="009F2F54" w:rsidRPr="009464B2">
        <w:t>, The Energy Project, NWIGU, ICNU, Staff, and Public Counsel</w:t>
      </w:r>
      <w:r w:rsidRPr="009464B2">
        <w:t xml:space="preserve"> filed</w:t>
      </w:r>
      <w:r w:rsidR="009F2F54" w:rsidRPr="009464B2">
        <w:t xml:space="preserve"> post hearing briefs</w:t>
      </w:r>
      <w:r w:rsidRPr="009464B2">
        <w:t>.</w:t>
      </w:r>
      <w:r w:rsidR="00CE2892" w:rsidRPr="009464B2">
        <w:rPr>
          <w:rStyle w:val="FootnoteReference"/>
        </w:rPr>
        <w:footnoteReference w:id="8"/>
      </w:r>
    </w:p>
    <w:p w14:paraId="1BFAF325" w14:textId="5A2F91DF" w:rsidR="00C246FA" w:rsidRDefault="00C246FA">
      <w:r>
        <w:br w:type="page"/>
      </w:r>
    </w:p>
    <w:p w14:paraId="6DFBF61F" w14:textId="77777777" w:rsidR="006D1366" w:rsidRPr="009464B2" w:rsidRDefault="006D1366" w:rsidP="00896DD5">
      <w:pPr>
        <w:pStyle w:val="ListParagraph"/>
        <w:spacing w:line="288" w:lineRule="auto"/>
        <w:ind w:left="0"/>
      </w:pPr>
    </w:p>
    <w:p w14:paraId="054E9368" w14:textId="77777777" w:rsidR="002B79EA" w:rsidRPr="009464B2" w:rsidRDefault="002B79EA" w:rsidP="00070CD0">
      <w:pPr>
        <w:pStyle w:val="Heading2"/>
        <w:tabs>
          <w:tab w:val="left" w:pos="360"/>
        </w:tabs>
        <w:spacing w:line="288" w:lineRule="auto"/>
        <w:jc w:val="left"/>
        <w:rPr>
          <w:b/>
          <w:u w:val="none"/>
        </w:rPr>
      </w:pPr>
      <w:bookmarkStart w:id="11" w:name="_Toc249233757"/>
      <w:bookmarkStart w:id="12" w:name="_Toc249252785"/>
      <w:bookmarkStart w:id="13" w:name="_Toc439838953"/>
      <w:r w:rsidRPr="009464B2">
        <w:rPr>
          <w:b/>
          <w:u w:val="none"/>
        </w:rPr>
        <w:t>II.</w:t>
      </w:r>
      <w:r w:rsidRPr="009464B2">
        <w:rPr>
          <w:b/>
          <w:u w:val="none"/>
        </w:rPr>
        <w:tab/>
      </w:r>
      <w:bookmarkEnd w:id="11"/>
      <w:bookmarkEnd w:id="12"/>
      <w:r w:rsidR="00C641C8" w:rsidRPr="009464B2">
        <w:rPr>
          <w:b/>
          <w:u w:val="none"/>
        </w:rPr>
        <w:t>Settlement Stipulation</w:t>
      </w:r>
      <w:bookmarkEnd w:id="13"/>
    </w:p>
    <w:p w14:paraId="3279C2C4" w14:textId="77777777" w:rsidR="002B79EA" w:rsidRPr="009464B2" w:rsidRDefault="002B79EA" w:rsidP="00896DD5">
      <w:pPr>
        <w:pStyle w:val="ListParagraph"/>
        <w:tabs>
          <w:tab w:val="left" w:pos="360"/>
        </w:tabs>
        <w:spacing w:line="288" w:lineRule="auto"/>
        <w:ind w:left="360" w:hanging="360"/>
      </w:pPr>
    </w:p>
    <w:p w14:paraId="0431A5B5" w14:textId="77777777" w:rsidR="0011014C" w:rsidRPr="009464B2" w:rsidRDefault="00857595" w:rsidP="009905DE">
      <w:pPr>
        <w:pStyle w:val="Heading3"/>
        <w:spacing w:line="288" w:lineRule="auto"/>
        <w:ind w:left="360"/>
        <w:jc w:val="left"/>
        <w:rPr>
          <w:rFonts w:ascii="Times New Roman" w:hAnsi="Times New Roman"/>
        </w:rPr>
      </w:pPr>
      <w:bookmarkStart w:id="14" w:name="_Toc249233758"/>
      <w:bookmarkStart w:id="15" w:name="_Toc249252786"/>
      <w:bookmarkStart w:id="16" w:name="_Toc439838954"/>
      <w:r w:rsidRPr="009464B2">
        <w:rPr>
          <w:rFonts w:ascii="Times New Roman" w:hAnsi="Times New Roman"/>
        </w:rPr>
        <w:t>A.</w:t>
      </w:r>
      <w:r w:rsidRPr="009464B2">
        <w:rPr>
          <w:rFonts w:ascii="Times New Roman" w:hAnsi="Times New Roman"/>
        </w:rPr>
        <w:tab/>
      </w:r>
      <w:bookmarkEnd w:id="14"/>
      <w:bookmarkEnd w:id="15"/>
      <w:r w:rsidR="00E3633B" w:rsidRPr="009464B2">
        <w:rPr>
          <w:rFonts w:ascii="Times New Roman" w:hAnsi="Times New Roman"/>
        </w:rPr>
        <w:t>Terms and Conditions</w:t>
      </w:r>
      <w:bookmarkEnd w:id="16"/>
    </w:p>
    <w:p w14:paraId="7FAED5AF" w14:textId="77777777" w:rsidR="00FD450C" w:rsidRPr="009464B2" w:rsidRDefault="00FD450C" w:rsidP="00896DD5">
      <w:pPr>
        <w:pStyle w:val="ListParagraph"/>
        <w:tabs>
          <w:tab w:val="left" w:pos="360"/>
        </w:tabs>
        <w:spacing w:line="288" w:lineRule="auto"/>
        <w:ind w:left="360" w:hanging="360"/>
      </w:pPr>
    </w:p>
    <w:p w14:paraId="71489EF8" w14:textId="144F08DA" w:rsidR="003C4E68" w:rsidRPr="009464B2" w:rsidRDefault="00AA762A" w:rsidP="009905DE">
      <w:pPr>
        <w:pStyle w:val="Heading4"/>
        <w:numPr>
          <w:ilvl w:val="1"/>
          <w:numId w:val="1"/>
        </w:numPr>
        <w:spacing w:before="0" w:after="0"/>
        <w:ind w:left="1080" w:hanging="360"/>
        <w:rPr>
          <w:sz w:val="24"/>
          <w:szCs w:val="24"/>
        </w:rPr>
      </w:pPr>
      <w:bookmarkStart w:id="17" w:name="_Toc439838955"/>
      <w:r w:rsidRPr="009464B2">
        <w:rPr>
          <w:sz w:val="24"/>
          <w:szCs w:val="24"/>
        </w:rPr>
        <w:t>Summary</w:t>
      </w:r>
      <w:bookmarkEnd w:id="17"/>
      <w:r w:rsidRPr="009464B2">
        <w:rPr>
          <w:sz w:val="24"/>
          <w:szCs w:val="24"/>
        </w:rPr>
        <w:t xml:space="preserve"> </w:t>
      </w:r>
    </w:p>
    <w:p w14:paraId="0A078ECD" w14:textId="77777777" w:rsidR="003C4E68" w:rsidRPr="009464B2" w:rsidRDefault="003C4E68" w:rsidP="00896DD5">
      <w:pPr>
        <w:spacing w:line="288" w:lineRule="auto"/>
      </w:pPr>
    </w:p>
    <w:p w14:paraId="5EFE07F1" w14:textId="77777777" w:rsidR="00216DE6" w:rsidRPr="009464B2" w:rsidRDefault="001614A7" w:rsidP="006548F6">
      <w:pPr>
        <w:numPr>
          <w:ilvl w:val="0"/>
          <w:numId w:val="1"/>
        </w:numPr>
        <w:tabs>
          <w:tab w:val="num" w:pos="0"/>
        </w:tabs>
        <w:spacing w:after="120" w:line="288" w:lineRule="auto"/>
        <w:ind w:left="0" w:hanging="720"/>
      </w:pPr>
      <w:r w:rsidRPr="009464B2">
        <w:t xml:space="preserve">On </w:t>
      </w:r>
      <w:r w:rsidR="00254189" w:rsidRPr="009464B2">
        <w:t>May 1, 2015</w:t>
      </w:r>
      <w:r w:rsidRPr="009464B2">
        <w:t xml:space="preserve">, </w:t>
      </w:r>
      <w:r w:rsidR="00254189" w:rsidRPr="009464B2">
        <w:t xml:space="preserve">Avista, Staff, Public Counsel, ICNU, and NWIGU filed a </w:t>
      </w:r>
      <w:r w:rsidR="00CC6C28" w:rsidRPr="009464B2">
        <w:t>Settlement</w:t>
      </w:r>
      <w:r w:rsidR="00254189" w:rsidRPr="009464B2">
        <w:t xml:space="preserve"> to resolve certain issues pertaining to </w:t>
      </w:r>
      <w:r w:rsidR="00CC6C28" w:rsidRPr="009464B2">
        <w:t xml:space="preserve">the Company’s </w:t>
      </w:r>
      <w:r w:rsidR="00254189" w:rsidRPr="009464B2">
        <w:t>cost of capital, power supply, rate spread, and rate design</w:t>
      </w:r>
      <w:r w:rsidR="00070FB1" w:rsidRPr="009464B2">
        <w:t>.</w:t>
      </w:r>
      <w:r w:rsidR="00254189" w:rsidRPr="009464B2">
        <w:rPr>
          <w:rStyle w:val="FootnoteReference"/>
        </w:rPr>
        <w:footnoteReference w:id="9"/>
      </w:r>
      <w:r w:rsidR="00254189" w:rsidRPr="009464B2">
        <w:t xml:space="preserve"> </w:t>
      </w:r>
      <w:r w:rsidR="00B90D37" w:rsidRPr="009464B2">
        <w:t>The effect of the Settlement reduce</w:t>
      </w:r>
      <w:r w:rsidR="00081147" w:rsidRPr="009464B2">
        <w:t>d</w:t>
      </w:r>
      <w:r w:rsidR="00B90D37" w:rsidRPr="009464B2">
        <w:t xml:space="preserve"> Avista’s requested electric revenue requirement from $33.2 million to $17 million and its requested natural gas revenue requirement from $12 million to $11.3 million.</w:t>
      </w:r>
      <w:r w:rsidR="00B90D37" w:rsidRPr="009464B2">
        <w:rPr>
          <w:rStyle w:val="FootnoteReference"/>
        </w:rPr>
        <w:footnoteReference w:id="10"/>
      </w:r>
      <w:r w:rsidR="00B90D37" w:rsidRPr="009464B2">
        <w:t xml:space="preserve"> </w:t>
      </w:r>
      <w:r w:rsidR="00254189" w:rsidRPr="009464B2">
        <w:t>The Settlement provide</w:t>
      </w:r>
      <w:r w:rsidR="00081147" w:rsidRPr="009464B2">
        <w:t>d</w:t>
      </w:r>
      <w:r w:rsidR="00254189" w:rsidRPr="009464B2">
        <w:t xml:space="preserve"> for a 9.5 percent </w:t>
      </w:r>
      <w:r w:rsidR="002170E3" w:rsidRPr="009464B2">
        <w:t>ROE</w:t>
      </w:r>
      <w:r w:rsidR="00254189" w:rsidRPr="009464B2">
        <w:t xml:space="preserve"> and an overall </w:t>
      </w:r>
      <w:r w:rsidR="002170E3" w:rsidRPr="009464B2">
        <w:t>ROR</w:t>
      </w:r>
      <w:r w:rsidR="00254189" w:rsidRPr="009464B2">
        <w:t xml:space="preserve"> of 7.29 percent.</w:t>
      </w:r>
      <w:r w:rsidR="00254189" w:rsidRPr="009464B2">
        <w:rPr>
          <w:rStyle w:val="FootnoteReference"/>
        </w:rPr>
        <w:footnoteReference w:id="11"/>
      </w:r>
      <w:r w:rsidR="00254189" w:rsidRPr="009464B2">
        <w:t xml:space="preserve"> The Company agree</w:t>
      </w:r>
      <w:r w:rsidR="00F947F6" w:rsidRPr="009464B2">
        <w:t>d</w:t>
      </w:r>
      <w:r w:rsidR="004366CF" w:rsidRPr="009464B2">
        <w:t xml:space="preserve"> to file an updated power s</w:t>
      </w:r>
      <w:r w:rsidR="00254189" w:rsidRPr="009464B2">
        <w:t xml:space="preserve">upply adjustment two months </w:t>
      </w:r>
      <w:r w:rsidR="00E93C96" w:rsidRPr="009464B2">
        <w:t xml:space="preserve">prior to </w:t>
      </w:r>
      <w:r w:rsidR="00254189" w:rsidRPr="009464B2">
        <w:t>new electric rates from this proceeding go</w:t>
      </w:r>
      <w:r w:rsidR="00E93C96" w:rsidRPr="009464B2">
        <w:t>ing</w:t>
      </w:r>
      <w:r w:rsidR="00254189" w:rsidRPr="009464B2">
        <w:t xml:space="preserve"> into effect.</w:t>
      </w:r>
      <w:r w:rsidR="00254189" w:rsidRPr="009464B2">
        <w:rPr>
          <w:rStyle w:val="FootnoteReference"/>
        </w:rPr>
        <w:footnoteReference w:id="12"/>
      </w:r>
      <w:r w:rsidR="00254189" w:rsidRPr="009464B2">
        <w:t xml:space="preserve"> </w:t>
      </w:r>
      <w:r w:rsidR="004A0AAC" w:rsidRPr="009464B2">
        <w:t xml:space="preserve">The Company’s update to the power supply adjustment </w:t>
      </w:r>
      <w:r w:rsidR="00E93C96" w:rsidRPr="009464B2">
        <w:t>was filed on October 29, 2015</w:t>
      </w:r>
      <w:r w:rsidR="00081147" w:rsidRPr="009464B2">
        <w:t>,</w:t>
      </w:r>
      <w:r w:rsidR="00E93C96" w:rsidRPr="009464B2">
        <w:t xml:space="preserve"> and </w:t>
      </w:r>
      <w:r w:rsidR="004A0AAC" w:rsidRPr="009464B2">
        <w:t>reduce</w:t>
      </w:r>
      <w:r w:rsidR="00081147" w:rsidRPr="009464B2">
        <w:t>d</w:t>
      </w:r>
      <w:r w:rsidR="004A0AAC" w:rsidRPr="009464B2">
        <w:t xml:space="preserve"> the electric revenue requirement by $12.3 million.</w:t>
      </w:r>
      <w:r w:rsidR="004A0AAC" w:rsidRPr="009464B2">
        <w:rPr>
          <w:rStyle w:val="FootnoteReference"/>
        </w:rPr>
        <w:footnoteReference w:id="13"/>
      </w:r>
      <w:r w:rsidR="004A0AAC" w:rsidRPr="009464B2">
        <w:t xml:space="preserve"> </w:t>
      </w:r>
    </w:p>
    <w:p w14:paraId="52838E9A" w14:textId="1BBA005D" w:rsidR="00C246FA" w:rsidRDefault="00216DE6" w:rsidP="006548F6">
      <w:pPr>
        <w:numPr>
          <w:ilvl w:val="0"/>
          <w:numId w:val="1"/>
        </w:numPr>
        <w:tabs>
          <w:tab w:val="num" w:pos="0"/>
        </w:tabs>
        <w:spacing w:after="120" w:line="288" w:lineRule="auto"/>
        <w:ind w:left="0" w:hanging="720"/>
      </w:pPr>
      <w:r w:rsidRPr="009464B2">
        <w:t>The Settlement also provide</w:t>
      </w:r>
      <w:r w:rsidR="00081147" w:rsidRPr="009464B2">
        <w:t>d</w:t>
      </w:r>
      <w:r w:rsidR="00CC6C28" w:rsidRPr="009464B2">
        <w:t xml:space="preserve"> for a further reduction in power s</w:t>
      </w:r>
      <w:r w:rsidRPr="009464B2">
        <w:t xml:space="preserve">upply costs by $1.5 million at the time that the </w:t>
      </w:r>
      <w:r w:rsidR="004A0AAC" w:rsidRPr="009464B2">
        <w:t>Company provide</w:t>
      </w:r>
      <w:r w:rsidR="001C26BF" w:rsidRPr="009464B2">
        <w:t>d</w:t>
      </w:r>
      <w:r w:rsidR="004A0AAC" w:rsidRPr="009464B2">
        <w:t xml:space="preserve"> its u</w:t>
      </w:r>
      <w:r w:rsidRPr="009464B2">
        <w:t>pdate.</w:t>
      </w:r>
      <w:r w:rsidRPr="009464B2">
        <w:rPr>
          <w:rStyle w:val="FootnoteReference"/>
        </w:rPr>
        <w:footnoteReference w:id="14"/>
      </w:r>
      <w:r w:rsidRPr="009464B2">
        <w:t xml:space="preserve"> The </w:t>
      </w:r>
      <w:r w:rsidR="00350E3E" w:rsidRPr="009464B2">
        <w:t>E</w:t>
      </w:r>
      <w:r w:rsidRPr="009464B2">
        <w:t xml:space="preserve">nergy </w:t>
      </w:r>
      <w:r w:rsidR="00350E3E" w:rsidRPr="009464B2">
        <w:t>R</w:t>
      </w:r>
      <w:r w:rsidR="001D7A48" w:rsidRPr="009464B2">
        <w:t>ecovery</w:t>
      </w:r>
      <w:r w:rsidRPr="009464B2">
        <w:t xml:space="preserve"> </w:t>
      </w:r>
      <w:r w:rsidR="00350E3E" w:rsidRPr="009464B2">
        <w:t>M</w:t>
      </w:r>
      <w:r w:rsidRPr="009464B2">
        <w:t xml:space="preserve">echanism trigger </w:t>
      </w:r>
      <w:r w:rsidR="004A0AAC" w:rsidRPr="009464B2">
        <w:t>remain</w:t>
      </w:r>
      <w:r w:rsidR="00081147" w:rsidRPr="009464B2">
        <w:t>ed</w:t>
      </w:r>
      <w:r w:rsidRPr="009464B2">
        <w:t xml:space="preserve"> at $30 million, and the methodology as well as the proper name for the Retail Revenue Adjustment w</w:t>
      </w:r>
      <w:r w:rsidR="00081147" w:rsidRPr="009464B2">
        <w:t>ould</w:t>
      </w:r>
      <w:r w:rsidRPr="009464B2">
        <w:t xml:space="preserve"> not change.</w:t>
      </w:r>
      <w:r w:rsidRPr="009464B2">
        <w:rPr>
          <w:rStyle w:val="FootnoteReference"/>
        </w:rPr>
        <w:footnoteReference w:id="15"/>
      </w:r>
      <w:r w:rsidR="00763750" w:rsidRPr="009464B2">
        <w:t xml:space="preserve"> </w:t>
      </w:r>
      <w:r w:rsidR="001B0DC7" w:rsidRPr="009464B2">
        <w:t>The</w:t>
      </w:r>
      <w:r w:rsidR="00763750" w:rsidRPr="009464B2">
        <w:t xml:space="preserve"> Settlement provide</w:t>
      </w:r>
      <w:r w:rsidR="00081147" w:rsidRPr="009464B2">
        <w:t>d</w:t>
      </w:r>
      <w:r w:rsidR="00763750" w:rsidRPr="009464B2">
        <w:t xml:space="preserve"> for an equal percentage of revenue increase for purposes of spreading the electric </w:t>
      </w:r>
      <w:r w:rsidR="001B0DC7" w:rsidRPr="009464B2">
        <w:t xml:space="preserve">and natural gas </w:t>
      </w:r>
      <w:r w:rsidR="00763750" w:rsidRPr="009464B2">
        <w:t>revenue requirement</w:t>
      </w:r>
      <w:r w:rsidR="001B0DC7" w:rsidRPr="009464B2">
        <w:t>s</w:t>
      </w:r>
      <w:r w:rsidR="00763750" w:rsidRPr="009464B2">
        <w:t>.</w:t>
      </w:r>
      <w:r w:rsidR="00763750" w:rsidRPr="009464B2">
        <w:rPr>
          <w:rStyle w:val="FootnoteReference"/>
        </w:rPr>
        <w:footnoteReference w:id="16"/>
      </w:r>
    </w:p>
    <w:p w14:paraId="49ACB58B" w14:textId="77777777" w:rsidR="00C246FA" w:rsidRDefault="00C246FA">
      <w:r>
        <w:br w:type="page"/>
      </w:r>
    </w:p>
    <w:p w14:paraId="7386F6E1" w14:textId="77777777" w:rsidR="001B0DC7" w:rsidRPr="009464B2" w:rsidRDefault="001B0DC7" w:rsidP="00C246FA">
      <w:pPr>
        <w:spacing w:after="120" w:line="288" w:lineRule="auto"/>
        <w:ind w:left="-720"/>
      </w:pPr>
    </w:p>
    <w:p w14:paraId="1C0292EC" w14:textId="77777777" w:rsidR="001B0DC7" w:rsidRPr="009464B2" w:rsidRDefault="001B0DC7" w:rsidP="006548F6">
      <w:pPr>
        <w:numPr>
          <w:ilvl w:val="0"/>
          <w:numId w:val="1"/>
        </w:numPr>
        <w:tabs>
          <w:tab w:val="num" w:pos="0"/>
        </w:tabs>
        <w:spacing w:after="120" w:line="288" w:lineRule="auto"/>
        <w:ind w:left="0" w:hanging="720"/>
      </w:pPr>
      <w:r w:rsidRPr="009464B2">
        <w:t xml:space="preserve">The </w:t>
      </w:r>
      <w:r w:rsidR="004A0AAC" w:rsidRPr="009464B2">
        <w:t>settling parties propose</w:t>
      </w:r>
      <w:r w:rsidR="00081147" w:rsidRPr="009464B2">
        <w:t>d</w:t>
      </w:r>
      <w:r w:rsidR="004A0AAC" w:rsidRPr="009464B2">
        <w:t xml:space="preserve"> an electric rate design </w:t>
      </w:r>
      <w:r w:rsidR="00ED1C1A" w:rsidRPr="009464B2">
        <w:t>to address any revenue requirement increase the Commission may approve</w:t>
      </w:r>
      <w:r w:rsidR="00350E3E" w:rsidRPr="009464B2">
        <w:t>. However,</w:t>
      </w:r>
      <w:r w:rsidR="00ED1C1A" w:rsidRPr="009464B2">
        <w:t xml:space="preserve"> the Settlement d</w:t>
      </w:r>
      <w:r w:rsidR="00081147" w:rsidRPr="009464B2">
        <w:t>id</w:t>
      </w:r>
      <w:r w:rsidR="00ED1C1A" w:rsidRPr="009464B2">
        <w:t xml:space="preserve"> not offer a proposal in the event of an electric revenue requirement decrease. As for the natural gas rate design, the Settlement recommends </w:t>
      </w:r>
      <w:r w:rsidR="004A0AAC" w:rsidRPr="009464B2">
        <w:t>the following</w:t>
      </w:r>
      <w:r w:rsidRPr="009464B2">
        <w:t>:</w:t>
      </w:r>
    </w:p>
    <w:p w14:paraId="29CB2D92" w14:textId="77777777" w:rsidR="009F3567" w:rsidRPr="009464B2" w:rsidRDefault="009F3567" w:rsidP="006548F6">
      <w:pPr>
        <w:pStyle w:val="ListParagraph"/>
        <w:numPr>
          <w:ilvl w:val="0"/>
          <w:numId w:val="4"/>
        </w:numPr>
        <w:tabs>
          <w:tab w:val="num" w:pos="1440"/>
        </w:tabs>
        <w:spacing w:after="120" w:line="288" w:lineRule="auto"/>
        <w:ind w:left="1440" w:hanging="720"/>
      </w:pPr>
      <w:r w:rsidRPr="009464B2">
        <w:t>Natural Gas Schedule 101: The Basic Charge w</w:t>
      </w:r>
      <w:r w:rsidR="00081147" w:rsidRPr="009464B2">
        <w:t>ould</w:t>
      </w:r>
      <w:r w:rsidRPr="009464B2">
        <w:t xml:space="preserve"> remain at $9.00 per month, and the revenue spread to the volumetric rates on a uniform percentage basis.</w:t>
      </w:r>
      <w:r w:rsidRPr="009464B2">
        <w:rPr>
          <w:rStyle w:val="FootnoteReference"/>
        </w:rPr>
        <w:footnoteReference w:id="17"/>
      </w:r>
    </w:p>
    <w:p w14:paraId="729FF89A" w14:textId="77777777" w:rsidR="009F3567" w:rsidRPr="009464B2" w:rsidRDefault="009F3567" w:rsidP="006548F6">
      <w:pPr>
        <w:pStyle w:val="ListParagraph"/>
        <w:numPr>
          <w:ilvl w:val="0"/>
          <w:numId w:val="4"/>
        </w:numPr>
        <w:tabs>
          <w:tab w:val="num" w:pos="1440"/>
        </w:tabs>
        <w:spacing w:after="120" w:line="288" w:lineRule="auto"/>
        <w:ind w:left="1440" w:hanging="720"/>
      </w:pPr>
      <w:r w:rsidRPr="009464B2">
        <w:t>Natural Gas Schedule 146: The Basic Charge w</w:t>
      </w:r>
      <w:r w:rsidR="00081147" w:rsidRPr="009464B2">
        <w:t>ould</w:t>
      </w:r>
      <w:r w:rsidRPr="009464B2">
        <w:t xml:space="preserve"> increase from $500 to $525 per month, and the remaining revenue increase spread on a uniform percentage across all blocks.</w:t>
      </w:r>
      <w:r w:rsidRPr="009464B2">
        <w:rPr>
          <w:rStyle w:val="FootnoteReference"/>
        </w:rPr>
        <w:footnoteReference w:id="18"/>
      </w:r>
    </w:p>
    <w:p w14:paraId="7E111F7B" w14:textId="77777777" w:rsidR="009F3567" w:rsidRPr="009464B2" w:rsidRDefault="009F3567" w:rsidP="006548F6">
      <w:pPr>
        <w:pStyle w:val="ListParagraph"/>
        <w:numPr>
          <w:ilvl w:val="0"/>
          <w:numId w:val="4"/>
        </w:numPr>
        <w:tabs>
          <w:tab w:val="num" w:pos="1440"/>
        </w:tabs>
        <w:spacing w:after="120" w:line="288" w:lineRule="auto"/>
        <w:ind w:left="1440" w:hanging="720"/>
      </w:pPr>
      <w:r w:rsidRPr="009464B2">
        <w:t>Natural Gas Schedules 111</w:t>
      </w:r>
      <w:r w:rsidR="00ED1C1A" w:rsidRPr="009464B2">
        <w:t xml:space="preserve">: </w:t>
      </w:r>
      <w:r w:rsidRPr="009464B2">
        <w:t>The monthly Minimum Charge based on Schedule 101 rates</w:t>
      </w:r>
      <w:r w:rsidR="00ED1C1A" w:rsidRPr="009464B2">
        <w:t xml:space="preserve"> (breakeven at 200 therms)</w:t>
      </w:r>
      <w:r w:rsidRPr="009464B2">
        <w:t xml:space="preserve"> w</w:t>
      </w:r>
      <w:r w:rsidR="00081147" w:rsidRPr="009464B2">
        <w:t>ould</w:t>
      </w:r>
      <w:r w:rsidRPr="009464B2">
        <w:t xml:space="preserve"> increase and a uniform percentage increase </w:t>
      </w:r>
      <w:r w:rsidR="00081147" w:rsidRPr="009464B2">
        <w:t xml:space="preserve">spread </w:t>
      </w:r>
      <w:r w:rsidRPr="009464B2">
        <w:t>to all blocks.</w:t>
      </w:r>
      <w:r w:rsidRPr="009464B2">
        <w:rPr>
          <w:rStyle w:val="FootnoteReference"/>
        </w:rPr>
        <w:footnoteReference w:id="19"/>
      </w:r>
      <w:r w:rsidRPr="009464B2">
        <w:t xml:space="preserve"> </w:t>
      </w:r>
    </w:p>
    <w:p w14:paraId="71F1B57B" w14:textId="77777777" w:rsidR="00ED1C1A" w:rsidRPr="009464B2" w:rsidRDefault="00ED1C1A" w:rsidP="006548F6">
      <w:pPr>
        <w:pStyle w:val="ListParagraph"/>
        <w:numPr>
          <w:ilvl w:val="0"/>
          <w:numId w:val="4"/>
        </w:numPr>
        <w:tabs>
          <w:tab w:val="num" w:pos="1440"/>
        </w:tabs>
        <w:spacing w:after="120" w:line="288" w:lineRule="auto"/>
        <w:ind w:left="1440" w:hanging="720"/>
      </w:pPr>
      <w:r w:rsidRPr="009464B2">
        <w:t>Natural Gas Schedules 121: The monthly Minimum Charge based on Schedule 101 rates (breakeven at 500 therms) w</w:t>
      </w:r>
      <w:r w:rsidR="00081147" w:rsidRPr="009464B2">
        <w:t>ould</w:t>
      </w:r>
      <w:r w:rsidRPr="009464B2">
        <w:t xml:space="preserve"> increase and a uniform percentage increase </w:t>
      </w:r>
      <w:r w:rsidR="00081147" w:rsidRPr="009464B2">
        <w:t xml:space="preserve">spread </w:t>
      </w:r>
      <w:r w:rsidRPr="009464B2">
        <w:t>to all blocks.</w:t>
      </w:r>
      <w:r w:rsidRPr="009464B2">
        <w:rPr>
          <w:rStyle w:val="FootnoteReference"/>
        </w:rPr>
        <w:footnoteReference w:id="20"/>
      </w:r>
    </w:p>
    <w:p w14:paraId="60CC1D01" w14:textId="77777777" w:rsidR="00CF7FEB" w:rsidRPr="009464B2" w:rsidRDefault="009F3567" w:rsidP="006548F6">
      <w:pPr>
        <w:pStyle w:val="ListParagraph"/>
        <w:numPr>
          <w:ilvl w:val="0"/>
          <w:numId w:val="4"/>
        </w:numPr>
        <w:tabs>
          <w:tab w:val="num" w:pos="1440"/>
        </w:tabs>
        <w:spacing w:after="120" w:line="288" w:lineRule="auto"/>
        <w:ind w:left="1440" w:hanging="720"/>
      </w:pPr>
      <w:r w:rsidRPr="009464B2">
        <w:t xml:space="preserve">Natural Gas Schedule 131: A uniform percentage increase </w:t>
      </w:r>
      <w:r w:rsidR="00081147" w:rsidRPr="009464B2">
        <w:t xml:space="preserve">spread </w:t>
      </w:r>
      <w:r w:rsidRPr="009464B2">
        <w:t>to all blocks.</w:t>
      </w:r>
      <w:r w:rsidRPr="009464B2">
        <w:rPr>
          <w:rStyle w:val="FootnoteReference"/>
        </w:rPr>
        <w:footnoteReference w:id="21"/>
      </w:r>
    </w:p>
    <w:p w14:paraId="31906087" w14:textId="3CFB8E34" w:rsidR="004A5E8C" w:rsidRPr="00C246FA" w:rsidRDefault="004A5E8C" w:rsidP="009905DE">
      <w:pPr>
        <w:pStyle w:val="Heading4"/>
        <w:numPr>
          <w:ilvl w:val="1"/>
          <w:numId w:val="37"/>
        </w:numPr>
        <w:tabs>
          <w:tab w:val="clear" w:pos="1800"/>
          <w:tab w:val="num" w:pos="720"/>
        </w:tabs>
        <w:spacing w:before="0" w:after="0"/>
        <w:ind w:left="1080" w:hanging="360"/>
        <w:rPr>
          <w:sz w:val="24"/>
          <w:szCs w:val="24"/>
        </w:rPr>
      </w:pPr>
      <w:bookmarkStart w:id="18" w:name="_Toc439838956"/>
      <w:r w:rsidRPr="00C246FA">
        <w:rPr>
          <w:sz w:val="24"/>
          <w:szCs w:val="24"/>
        </w:rPr>
        <w:t>Joint Testimony in Support of Settlement</w:t>
      </w:r>
      <w:bookmarkEnd w:id="18"/>
    </w:p>
    <w:p w14:paraId="0AD3F9D5" w14:textId="77777777" w:rsidR="001121C5" w:rsidRPr="009464B2" w:rsidRDefault="001121C5" w:rsidP="00896DD5">
      <w:pPr>
        <w:spacing w:line="288" w:lineRule="auto"/>
        <w:ind w:left="720"/>
      </w:pPr>
    </w:p>
    <w:p w14:paraId="01240B3E" w14:textId="6868930A" w:rsidR="001121C5" w:rsidRPr="009464B2" w:rsidRDefault="002170E3" w:rsidP="006548F6">
      <w:pPr>
        <w:numPr>
          <w:ilvl w:val="0"/>
          <w:numId w:val="1"/>
        </w:numPr>
        <w:tabs>
          <w:tab w:val="num" w:pos="0"/>
        </w:tabs>
        <w:spacing w:after="120" w:line="288" w:lineRule="auto"/>
        <w:ind w:left="0" w:hanging="720"/>
      </w:pPr>
      <w:r w:rsidRPr="009464B2">
        <w:t xml:space="preserve">Avista, Staff, Public Counsel, NWIGU, and ICNU filed Joint Testimony in Support of the Settlement (Joint Testimony) on July 24, 2015. The </w:t>
      </w:r>
      <w:r w:rsidR="00FC2E10" w:rsidRPr="009464B2">
        <w:t xml:space="preserve">Company </w:t>
      </w:r>
      <w:r w:rsidR="00081147" w:rsidRPr="009464B2">
        <w:t xml:space="preserve">states </w:t>
      </w:r>
      <w:r w:rsidR="00FC2E10" w:rsidRPr="009464B2">
        <w:t xml:space="preserve">that the </w:t>
      </w:r>
      <w:r w:rsidR="007542E6" w:rsidRPr="009464B2">
        <w:t xml:space="preserve">Settlement </w:t>
      </w:r>
      <w:r w:rsidR="00FC2E10" w:rsidRPr="009464B2">
        <w:t>balances its interests and the interests of its customers on cost of capital, power cost, and rate spread and rate design issues.</w:t>
      </w:r>
      <w:r w:rsidR="00FC2E10" w:rsidRPr="009464B2">
        <w:rPr>
          <w:rStyle w:val="FootnoteReference"/>
        </w:rPr>
        <w:footnoteReference w:id="22"/>
      </w:r>
      <w:r w:rsidRPr="009464B2">
        <w:t xml:space="preserve"> </w:t>
      </w:r>
      <w:r w:rsidR="00FC2E10" w:rsidRPr="009464B2">
        <w:t>Staff assert</w:t>
      </w:r>
      <w:r w:rsidR="00081147" w:rsidRPr="009464B2">
        <w:t>s</w:t>
      </w:r>
      <w:r w:rsidR="00FC2E10" w:rsidRPr="009464B2">
        <w:t xml:space="preserve"> that the 7.29 percent </w:t>
      </w:r>
      <w:r w:rsidR="00FC2E10" w:rsidRPr="009464B2">
        <w:lastRenderedPageBreak/>
        <w:t xml:space="preserve">ROR is reasonable because it is nearly identical to the </w:t>
      </w:r>
      <w:r w:rsidR="00C159EF" w:rsidRPr="009464B2">
        <w:t xml:space="preserve">7.30 percent </w:t>
      </w:r>
      <w:r w:rsidR="00FC2E10" w:rsidRPr="009464B2">
        <w:t>ROR the Commission authorized in Docket UE-</w:t>
      </w:r>
      <w:r w:rsidR="00C159EF" w:rsidRPr="009464B2">
        <w:t>140762</w:t>
      </w:r>
      <w:r w:rsidR="00ED1C1A" w:rsidRPr="009464B2">
        <w:t xml:space="preserve"> for Pacific Power &amp; Light</w:t>
      </w:r>
      <w:r w:rsidR="00AF6F54" w:rsidRPr="009464B2">
        <w:t xml:space="preserve"> Company</w:t>
      </w:r>
      <w:r w:rsidR="00C159EF" w:rsidRPr="009464B2">
        <w:t>.</w:t>
      </w:r>
      <w:r w:rsidR="00C159EF" w:rsidRPr="009464B2">
        <w:rPr>
          <w:rStyle w:val="FootnoteReference"/>
        </w:rPr>
        <w:footnoteReference w:id="23"/>
      </w:r>
      <w:r w:rsidR="003117D1" w:rsidRPr="009464B2">
        <w:t xml:space="preserve"> Staff </w:t>
      </w:r>
      <w:r w:rsidR="00081147" w:rsidRPr="009464B2">
        <w:t>states</w:t>
      </w:r>
      <w:r w:rsidR="003117D1" w:rsidRPr="009464B2">
        <w:t xml:space="preserve"> that the testimony of Avista witness Adrien McKenzie is the </w:t>
      </w:r>
      <w:r w:rsidR="00ED1C1A" w:rsidRPr="009464B2">
        <w:t>only</w:t>
      </w:r>
      <w:r w:rsidR="003117D1" w:rsidRPr="009464B2">
        <w:t xml:space="preserve"> ROR testimony in the record, and it supports the settled capital structure.</w:t>
      </w:r>
      <w:r w:rsidR="00AF6F54" w:rsidRPr="009464B2">
        <w:rPr>
          <w:rStyle w:val="FootnoteReference"/>
        </w:rPr>
        <w:footnoteReference w:id="24"/>
      </w:r>
      <w:r w:rsidR="003117D1" w:rsidRPr="009464B2">
        <w:t xml:space="preserve"> Staff </w:t>
      </w:r>
      <w:r w:rsidR="00DA0025" w:rsidRPr="009464B2">
        <w:t>note</w:t>
      </w:r>
      <w:r w:rsidR="00081147" w:rsidRPr="009464B2">
        <w:t>s</w:t>
      </w:r>
      <w:r w:rsidR="00DA0025" w:rsidRPr="009464B2">
        <w:t xml:space="preserve"> that the Settlement’s debt level is near the upper end of the </w:t>
      </w:r>
      <w:r w:rsidR="003117D1" w:rsidRPr="009464B2">
        <w:t xml:space="preserve">proxy group of 20 </w:t>
      </w:r>
      <w:r w:rsidR="00DA0025" w:rsidRPr="009464B2">
        <w:t xml:space="preserve">comparison </w:t>
      </w:r>
      <w:r w:rsidR="003117D1" w:rsidRPr="009464B2">
        <w:t>utilities</w:t>
      </w:r>
      <w:r w:rsidR="00DA0025" w:rsidRPr="009464B2">
        <w:t xml:space="preserve"> provided by Mr. McKenzie</w:t>
      </w:r>
      <w:r w:rsidR="003117D1" w:rsidRPr="009464B2">
        <w:t>, which indicates that the equity percentage in the Settlement is not overly generous.</w:t>
      </w:r>
      <w:r w:rsidR="003117D1" w:rsidRPr="009464B2">
        <w:rPr>
          <w:rStyle w:val="FootnoteReference"/>
        </w:rPr>
        <w:footnoteReference w:id="25"/>
      </w:r>
      <w:r w:rsidR="003117D1" w:rsidRPr="009464B2">
        <w:t xml:space="preserve"> </w:t>
      </w:r>
      <w:r w:rsidR="00081147" w:rsidRPr="009464B2">
        <w:t xml:space="preserve">According to </w:t>
      </w:r>
      <w:r w:rsidR="003117D1" w:rsidRPr="009464B2">
        <w:t>Staff</w:t>
      </w:r>
      <w:r w:rsidR="00081147" w:rsidRPr="009464B2">
        <w:t>,</w:t>
      </w:r>
      <w:r w:rsidR="003117D1" w:rsidRPr="009464B2">
        <w:t xml:space="preserve"> the 7.29 percent ROR recommended by the Settlement is only slightly lower than the ROR set in Avista’s last general rate case.</w:t>
      </w:r>
      <w:r w:rsidR="003117D1" w:rsidRPr="009464B2">
        <w:rPr>
          <w:rStyle w:val="FootnoteReference"/>
        </w:rPr>
        <w:footnoteReference w:id="26"/>
      </w:r>
    </w:p>
    <w:p w14:paraId="5ECFF91A" w14:textId="77777777" w:rsidR="00FE7296" w:rsidRPr="009464B2" w:rsidRDefault="00FE7296" w:rsidP="006548F6">
      <w:pPr>
        <w:numPr>
          <w:ilvl w:val="0"/>
          <w:numId w:val="1"/>
        </w:numPr>
        <w:tabs>
          <w:tab w:val="num" w:pos="0"/>
        </w:tabs>
        <w:spacing w:after="120" w:line="288" w:lineRule="auto"/>
        <w:ind w:left="0" w:hanging="720"/>
      </w:pPr>
      <w:r w:rsidRPr="009464B2">
        <w:t>Staff is</w:t>
      </w:r>
      <w:r w:rsidR="00151F27" w:rsidRPr="009464B2">
        <w:t xml:space="preserve"> particularly satisfied with</w:t>
      </w:r>
      <w:r w:rsidRPr="009464B2">
        <w:t xml:space="preserve"> the modeling corrections and assumption updates to the power supply component of the Settlement, as well as the continuation of the Energy Recovery Mechanism in its present form.</w:t>
      </w:r>
      <w:r w:rsidRPr="009464B2">
        <w:rPr>
          <w:rStyle w:val="FootnoteReference"/>
        </w:rPr>
        <w:footnoteReference w:id="27"/>
      </w:r>
      <w:r w:rsidRPr="009464B2">
        <w:t xml:space="preserve"> </w:t>
      </w:r>
      <w:r w:rsidR="00AF6F54" w:rsidRPr="009464B2">
        <w:t>While</w:t>
      </w:r>
      <w:r w:rsidR="00081147" w:rsidRPr="009464B2">
        <w:t xml:space="preserve"> the parties do</w:t>
      </w:r>
      <w:r w:rsidRPr="009464B2">
        <w:t xml:space="preserve"> not agree on a specific cost of service methodology, the Settlement maintain</w:t>
      </w:r>
      <w:r w:rsidR="00CC6C28" w:rsidRPr="009464B2">
        <w:t>s</w:t>
      </w:r>
      <w:r w:rsidRPr="009464B2">
        <w:t xml:space="preserve"> the electric residential </w:t>
      </w:r>
      <w:r w:rsidR="00BC163F" w:rsidRPr="009464B2">
        <w:t xml:space="preserve">basic charge at $8.50 per month, which </w:t>
      </w:r>
      <w:r w:rsidR="00081147" w:rsidRPr="009464B2">
        <w:t>Staff asserts</w:t>
      </w:r>
      <w:r w:rsidR="00AF6F54" w:rsidRPr="009464B2">
        <w:t xml:space="preserve"> </w:t>
      </w:r>
      <w:r w:rsidR="00BC163F" w:rsidRPr="009464B2">
        <w:t>is consistent with the Commission’s preference for basic charges to reflect only “direct customer costs.”</w:t>
      </w:r>
      <w:r w:rsidR="00BC163F" w:rsidRPr="009464B2">
        <w:rPr>
          <w:rStyle w:val="FootnoteReference"/>
        </w:rPr>
        <w:footnoteReference w:id="28"/>
      </w:r>
      <w:r w:rsidRPr="009464B2">
        <w:t xml:space="preserve"> </w:t>
      </w:r>
    </w:p>
    <w:p w14:paraId="6B944165" w14:textId="77777777" w:rsidR="00BC163F" w:rsidRDefault="00BC163F" w:rsidP="006548F6">
      <w:pPr>
        <w:numPr>
          <w:ilvl w:val="0"/>
          <w:numId w:val="1"/>
        </w:numPr>
        <w:tabs>
          <w:tab w:val="num" w:pos="0"/>
        </w:tabs>
        <w:spacing w:after="120" w:line="288" w:lineRule="auto"/>
        <w:ind w:left="0" w:hanging="720"/>
      </w:pPr>
      <w:r w:rsidRPr="009464B2">
        <w:t>Public Counsel contend</w:t>
      </w:r>
      <w:r w:rsidR="00081147" w:rsidRPr="009464B2">
        <w:t>s</w:t>
      </w:r>
      <w:r w:rsidRPr="009464B2">
        <w:t xml:space="preserve"> that the Settlement </w:t>
      </w:r>
      <w:r w:rsidR="00350E3E" w:rsidRPr="009464B2">
        <w:t>amounts</w:t>
      </w:r>
      <w:r w:rsidRPr="009464B2">
        <w:t xml:space="preserve"> reflect a trend toward declining ROR and RO</w:t>
      </w:r>
      <w:r w:rsidR="00AF6F54" w:rsidRPr="009464B2">
        <w:t>E</w:t>
      </w:r>
      <w:r w:rsidRPr="009464B2">
        <w:t xml:space="preserve"> for regulated utilities.</w:t>
      </w:r>
      <w:r w:rsidRPr="009464B2">
        <w:rPr>
          <w:rStyle w:val="FootnoteReference"/>
        </w:rPr>
        <w:footnoteReference w:id="29"/>
      </w:r>
      <w:r w:rsidRPr="009464B2">
        <w:t xml:space="preserve"> </w:t>
      </w:r>
      <w:r w:rsidR="00AC2B04" w:rsidRPr="009464B2">
        <w:t xml:space="preserve">Public Counsel asserts that the </w:t>
      </w:r>
      <w:r w:rsidR="00AF6F54" w:rsidRPr="009464B2">
        <w:t>agreement</w:t>
      </w:r>
      <w:r w:rsidR="00AC2B04" w:rsidRPr="009464B2">
        <w:t xml:space="preserve"> “represents a fair assignment of revenue responsibility for all customer classes.”</w:t>
      </w:r>
      <w:r w:rsidR="00AC2B04" w:rsidRPr="009464B2">
        <w:rPr>
          <w:rStyle w:val="FootnoteReference"/>
        </w:rPr>
        <w:footnoteReference w:id="30"/>
      </w:r>
      <w:r w:rsidR="00AC2B04" w:rsidRPr="009464B2">
        <w:t xml:space="preserve"> Additionally, Public Counsel points out that the Settlement provides no increases to residential basic charges for electric and natural gas customers despite Avista’s initial filing proposing a substantial increase to both.</w:t>
      </w:r>
      <w:r w:rsidR="00AC2B04" w:rsidRPr="009464B2">
        <w:rPr>
          <w:rStyle w:val="FootnoteReference"/>
        </w:rPr>
        <w:footnoteReference w:id="31"/>
      </w:r>
    </w:p>
    <w:p w14:paraId="01BD7376" w14:textId="77777777" w:rsidR="00C246FA" w:rsidRPr="009464B2" w:rsidRDefault="00C246FA" w:rsidP="00C246FA">
      <w:pPr>
        <w:spacing w:after="120" w:line="288" w:lineRule="auto"/>
      </w:pPr>
    </w:p>
    <w:p w14:paraId="319DBB06" w14:textId="77777777" w:rsidR="00AC2B04" w:rsidRPr="009464B2" w:rsidRDefault="00AC2B04" w:rsidP="006548F6">
      <w:pPr>
        <w:numPr>
          <w:ilvl w:val="0"/>
          <w:numId w:val="1"/>
        </w:numPr>
        <w:tabs>
          <w:tab w:val="num" w:pos="0"/>
        </w:tabs>
        <w:spacing w:after="120" w:line="288" w:lineRule="auto"/>
        <w:ind w:left="0" w:hanging="720"/>
      </w:pPr>
      <w:r w:rsidRPr="009464B2">
        <w:lastRenderedPageBreak/>
        <w:t>NWIGU supports the Settlement because “the agreement reached on capital costs is consistent with the cost of capital approved for other dual fuel utilities in the region.”</w:t>
      </w:r>
      <w:r w:rsidRPr="009464B2">
        <w:rPr>
          <w:rStyle w:val="FootnoteReference"/>
        </w:rPr>
        <w:footnoteReference w:id="32"/>
      </w:r>
      <w:r w:rsidRPr="009464B2">
        <w:t xml:space="preserve"> ICNU argues that the </w:t>
      </w:r>
      <w:r w:rsidR="00AF6F54" w:rsidRPr="009464B2">
        <w:t>agreement</w:t>
      </w:r>
      <w:r w:rsidRPr="009464B2">
        <w:t xml:space="preserve"> is a reasonable outcome that “allows the Commission to devote its full attention to still contested issues.”</w:t>
      </w:r>
      <w:r w:rsidRPr="009464B2">
        <w:rPr>
          <w:rStyle w:val="FootnoteReference"/>
        </w:rPr>
        <w:footnoteReference w:id="33"/>
      </w:r>
      <w:r w:rsidR="0035043F" w:rsidRPr="009464B2">
        <w:t xml:space="preserve"> ICNU insists that the proposed reductions to Avista’s authorized </w:t>
      </w:r>
      <w:r w:rsidR="007542E6" w:rsidRPr="009464B2">
        <w:t>ROE and ROR are appropriate.</w:t>
      </w:r>
      <w:r w:rsidR="007542E6" w:rsidRPr="009464B2">
        <w:rPr>
          <w:rStyle w:val="FootnoteReference"/>
        </w:rPr>
        <w:footnoteReference w:id="34"/>
      </w:r>
    </w:p>
    <w:p w14:paraId="530025C6" w14:textId="77777777" w:rsidR="00A955ED" w:rsidRPr="009464B2" w:rsidRDefault="00A955ED" w:rsidP="00A955ED">
      <w:pPr>
        <w:spacing w:after="120" w:line="288" w:lineRule="auto"/>
      </w:pPr>
    </w:p>
    <w:p w14:paraId="665C2585" w14:textId="78FBEDA4" w:rsidR="003D42C5" w:rsidRPr="009464B2" w:rsidRDefault="00E3633B" w:rsidP="009905DE">
      <w:pPr>
        <w:pStyle w:val="Heading3"/>
        <w:tabs>
          <w:tab w:val="left" w:pos="720"/>
        </w:tabs>
        <w:spacing w:line="288" w:lineRule="auto"/>
        <w:ind w:left="720" w:hanging="360"/>
        <w:jc w:val="left"/>
        <w:rPr>
          <w:rFonts w:ascii="Times New Roman" w:hAnsi="Times New Roman"/>
        </w:rPr>
      </w:pPr>
      <w:bookmarkStart w:id="19" w:name="_Toc439838957"/>
      <w:r w:rsidRPr="009464B2">
        <w:rPr>
          <w:rFonts w:ascii="Times New Roman" w:hAnsi="Times New Roman"/>
        </w:rPr>
        <w:t>B.</w:t>
      </w:r>
      <w:r w:rsidR="009905DE" w:rsidRPr="009464B2">
        <w:rPr>
          <w:rFonts w:ascii="Times New Roman" w:hAnsi="Times New Roman"/>
        </w:rPr>
        <w:tab/>
      </w:r>
      <w:r w:rsidR="00183EE2" w:rsidRPr="009464B2">
        <w:rPr>
          <w:rFonts w:ascii="Times New Roman" w:hAnsi="Times New Roman"/>
        </w:rPr>
        <w:t>Discussion</w:t>
      </w:r>
      <w:r w:rsidR="004A5E8C" w:rsidRPr="009464B2">
        <w:rPr>
          <w:rFonts w:ascii="Times New Roman" w:hAnsi="Times New Roman"/>
        </w:rPr>
        <w:t>/Decision</w:t>
      </w:r>
      <w:bookmarkEnd w:id="19"/>
    </w:p>
    <w:p w14:paraId="781859AC" w14:textId="77777777" w:rsidR="004A48C5" w:rsidRPr="009464B2" w:rsidRDefault="004A48C5" w:rsidP="00896DD5">
      <w:pPr>
        <w:spacing w:line="288" w:lineRule="auto"/>
      </w:pPr>
    </w:p>
    <w:p w14:paraId="59350D13" w14:textId="77777777" w:rsidR="00FA07A6" w:rsidRPr="009464B2" w:rsidRDefault="00E3633B" w:rsidP="006548F6">
      <w:pPr>
        <w:numPr>
          <w:ilvl w:val="0"/>
          <w:numId w:val="1"/>
        </w:numPr>
        <w:tabs>
          <w:tab w:val="num" w:pos="0"/>
        </w:tabs>
        <w:spacing w:after="120" w:line="288" w:lineRule="auto"/>
        <w:ind w:left="0" w:hanging="720"/>
        <w:rPr>
          <w:color w:val="000000"/>
        </w:rPr>
      </w:pPr>
      <w:r w:rsidRPr="009464B2">
        <w:rPr>
          <w:color w:val="000000"/>
        </w:rPr>
        <w:t>Pursuant to WAC 480-07-730(3), a multiparty settlement is an agreement by some, but not all, parties on one or more issues that is offered as their position in the proceeding along with the evidence that they believe supports it. The Commission’s rules allow non</w:t>
      </w:r>
      <w:r w:rsidR="00DD0410" w:rsidRPr="009464B2">
        <w:rPr>
          <w:color w:val="000000"/>
        </w:rPr>
        <w:t>-</w:t>
      </w:r>
      <w:r w:rsidRPr="009464B2">
        <w:rPr>
          <w:color w:val="000000"/>
        </w:rPr>
        <w:t>settling parties, in this instance, The Energy Project, to offer evidence and argument in opposition</w:t>
      </w:r>
      <w:r w:rsidR="00CC6C28" w:rsidRPr="009464B2">
        <w:rPr>
          <w:color w:val="000000"/>
        </w:rPr>
        <w:t xml:space="preserve"> to the agreement</w:t>
      </w:r>
      <w:r w:rsidRPr="009464B2">
        <w:rPr>
          <w:color w:val="000000"/>
        </w:rPr>
        <w:t>.</w:t>
      </w:r>
      <w:r w:rsidRPr="009464B2">
        <w:rPr>
          <w:rStyle w:val="FootnoteReference"/>
          <w:color w:val="000000"/>
        </w:rPr>
        <w:footnoteReference w:id="35"/>
      </w:r>
      <w:r w:rsidRPr="009464B2">
        <w:rPr>
          <w:color w:val="000000"/>
        </w:rPr>
        <w:t xml:space="preserve"> </w:t>
      </w:r>
      <w:r w:rsidR="00DD0410" w:rsidRPr="009464B2">
        <w:rPr>
          <w:color w:val="000000"/>
        </w:rPr>
        <w:t xml:space="preserve">The Energy Project, the sole non-settling party, has chosen not to avail itself of this opportunity or even to raise an objection to the terms </w:t>
      </w:r>
      <w:r w:rsidR="00AF6F54" w:rsidRPr="009464B2">
        <w:rPr>
          <w:color w:val="000000"/>
        </w:rPr>
        <w:t xml:space="preserve">and conditions </w:t>
      </w:r>
      <w:r w:rsidR="00DD0410" w:rsidRPr="009464B2">
        <w:rPr>
          <w:color w:val="000000"/>
        </w:rPr>
        <w:t>of the Settlement.</w:t>
      </w:r>
    </w:p>
    <w:p w14:paraId="634379D3" w14:textId="77777777" w:rsidR="00E3633B" w:rsidRPr="009464B2" w:rsidRDefault="00DD0410" w:rsidP="006548F6">
      <w:pPr>
        <w:numPr>
          <w:ilvl w:val="0"/>
          <w:numId w:val="1"/>
        </w:numPr>
        <w:tabs>
          <w:tab w:val="num" w:pos="0"/>
        </w:tabs>
        <w:spacing w:after="120" w:line="288" w:lineRule="auto"/>
        <w:ind w:left="0" w:hanging="720"/>
        <w:rPr>
          <w:color w:val="000000"/>
        </w:rPr>
      </w:pPr>
      <w:r w:rsidRPr="009464B2">
        <w:rPr>
          <w:color w:val="000000"/>
        </w:rPr>
        <w:t xml:space="preserve">The Commission </w:t>
      </w:r>
      <w:r w:rsidR="00E3633B" w:rsidRPr="009464B2">
        <w:rPr>
          <w:color w:val="000000"/>
        </w:rPr>
        <w:t xml:space="preserve">will approve settlements when doing so is lawful, the settlement terms are supported by an appropriate record, and when the result is consistent with the public interest in light of all the information available to the Commission. Ultimately, in settlements, as in </w:t>
      </w:r>
      <w:r w:rsidR="00CC6C28" w:rsidRPr="009464B2">
        <w:rPr>
          <w:color w:val="000000"/>
        </w:rPr>
        <w:t>fully-</w:t>
      </w:r>
      <w:r w:rsidR="00E3633B" w:rsidRPr="009464B2">
        <w:rPr>
          <w:color w:val="000000"/>
        </w:rPr>
        <w:t>litigated rate cases, the Commission must determine that the resulting rates are fair, just, reasonable, and sufficient, as required by state law.</w:t>
      </w:r>
    </w:p>
    <w:p w14:paraId="2EA59162" w14:textId="77777777" w:rsidR="00E3633B" w:rsidRPr="009464B2" w:rsidRDefault="00E3633B" w:rsidP="006548F6">
      <w:pPr>
        <w:numPr>
          <w:ilvl w:val="0"/>
          <w:numId w:val="1"/>
        </w:numPr>
        <w:tabs>
          <w:tab w:val="num" w:pos="0"/>
        </w:tabs>
        <w:spacing w:after="120" w:line="288" w:lineRule="auto"/>
        <w:ind w:left="0" w:hanging="720"/>
        <w:rPr>
          <w:color w:val="000000"/>
        </w:rPr>
      </w:pPr>
      <w:r w:rsidRPr="009464B2">
        <w:t>Thus</w:t>
      </w:r>
      <w:r w:rsidRPr="009464B2">
        <w:rPr>
          <w:color w:val="000000"/>
        </w:rPr>
        <w:t xml:space="preserve">, the Commission considers the individual components of the settlement under a three-part inquiry. We ask: </w:t>
      </w:r>
    </w:p>
    <w:p w14:paraId="20C72E80" w14:textId="77777777" w:rsidR="00E3633B" w:rsidRPr="009464B2" w:rsidRDefault="00E3633B" w:rsidP="006548F6">
      <w:pPr>
        <w:numPr>
          <w:ilvl w:val="0"/>
          <w:numId w:val="2"/>
        </w:numPr>
        <w:tabs>
          <w:tab w:val="num" w:pos="1440"/>
        </w:tabs>
        <w:spacing w:after="120" w:line="288" w:lineRule="auto"/>
        <w:ind w:left="1440" w:hanging="720"/>
        <w:rPr>
          <w:color w:val="000000"/>
        </w:rPr>
      </w:pPr>
      <w:r w:rsidRPr="009464B2">
        <w:rPr>
          <w:color w:val="000000"/>
        </w:rPr>
        <w:t xml:space="preserve">Whether any aspect of the proposal is contrary to law. </w:t>
      </w:r>
    </w:p>
    <w:p w14:paraId="144FAC6F" w14:textId="77777777" w:rsidR="00E3633B" w:rsidRPr="009464B2" w:rsidRDefault="00E3633B" w:rsidP="006548F6">
      <w:pPr>
        <w:numPr>
          <w:ilvl w:val="0"/>
          <w:numId w:val="2"/>
        </w:numPr>
        <w:tabs>
          <w:tab w:val="num" w:pos="1440"/>
        </w:tabs>
        <w:spacing w:after="120" w:line="288" w:lineRule="auto"/>
        <w:ind w:left="1440" w:hanging="720"/>
        <w:rPr>
          <w:color w:val="000000"/>
        </w:rPr>
      </w:pPr>
      <w:r w:rsidRPr="009464B2">
        <w:rPr>
          <w:color w:val="000000"/>
        </w:rPr>
        <w:t xml:space="preserve">Whether any aspect of the proposal offends public policy. </w:t>
      </w:r>
    </w:p>
    <w:p w14:paraId="4F96E030" w14:textId="77777777" w:rsidR="00E3633B" w:rsidRDefault="00E3633B" w:rsidP="006548F6">
      <w:pPr>
        <w:numPr>
          <w:ilvl w:val="0"/>
          <w:numId w:val="2"/>
        </w:numPr>
        <w:tabs>
          <w:tab w:val="num" w:pos="1440"/>
        </w:tabs>
        <w:spacing w:after="120" w:line="288" w:lineRule="auto"/>
        <w:ind w:left="1440" w:hanging="720"/>
        <w:rPr>
          <w:color w:val="000000"/>
        </w:rPr>
      </w:pPr>
      <w:r w:rsidRPr="009464B2">
        <w:rPr>
          <w:color w:val="000000"/>
        </w:rPr>
        <w:t xml:space="preserve">Whether the evidence supports the proposed elements of the settlement as a reasonable resolution of the issues at hand. </w:t>
      </w:r>
    </w:p>
    <w:p w14:paraId="5C0320CD" w14:textId="77777777" w:rsidR="00C246FA" w:rsidRPr="009464B2" w:rsidRDefault="00C246FA" w:rsidP="00C246FA">
      <w:pPr>
        <w:spacing w:after="120" w:line="288" w:lineRule="auto"/>
        <w:rPr>
          <w:color w:val="000000"/>
        </w:rPr>
      </w:pPr>
    </w:p>
    <w:p w14:paraId="6A235E50" w14:textId="77777777" w:rsidR="00E3633B" w:rsidRPr="009464B2" w:rsidRDefault="00E3633B" w:rsidP="006548F6">
      <w:pPr>
        <w:numPr>
          <w:ilvl w:val="0"/>
          <w:numId w:val="1"/>
        </w:numPr>
        <w:tabs>
          <w:tab w:val="num" w:pos="0"/>
        </w:tabs>
        <w:spacing w:after="120" w:line="288" w:lineRule="auto"/>
        <w:ind w:left="0" w:hanging="720"/>
        <w:rPr>
          <w:color w:val="000000"/>
        </w:rPr>
      </w:pPr>
      <w:r w:rsidRPr="009464B2">
        <w:rPr>
          <w:color w:val="000000"/>
        </w:rPr>
        <w:lastRenderedPageBreak/>
        <w:t xml:space="preserve">The Commission must reach one of three possible results: </w:t>
      </w:r>
    </w:p>
    <w:p w14:paraId="69E60AD6" w14:textId="77777777" w:rsidR="00E3633B" w:rsidRPr="009464B2" w:rsidRDefault="00E3633B" w:rsidP="006548F6">
      <w:pPr>
        <w:numPr>
          <w:ilvl w:val="0"/>
          <w:numId w:val="2"/>
        </w:numPr>
        <w:tabs>
          <w:tab w:val="num" w:pos="1440"/>
        </w:tabs>
        <w:spacing w:after="120" w:line="288" w:lineRule="auto"/>
        <w:ind w:left="1440" w:hanging="720"/>
        <w:rPr>
          <w:color w:val="000000"/>
        </w:rPr>
      </w:pPr>
      <w:r w:rsidRPr="009464B2">
        <w:t>A</w:t>
      </w:r>
      <w:r w:rsidR="00AF6F54" w:rsidRPr="009464B2">
        <w:t>ccept</w:t>
      </w:r>
      <w:r w:rsidRPr="009464B2">
        <w:rPr>
          <w:color w:val="000000"/>
        </w:rPr>
        <w:t xml:space="preserve"> the proposed settlement without condition. </w:t>
      </w:r>
    </w:p>
    <w:p w14:paraId="393AA389" w14:textId="77777777" w:rsidR="00E3633B" w:rsidRPr="009464B2" w:rsidRDefault="00E3633B" w:rsidP="006548F6">
      <w:pPr>
        <w:numPr>
          <w:ilvl w:val="0"/>
          <w:numId w:val="2"/>
        </w:numPr>
        <w:tabs>
          <w:tab w:val="num" w:pos="1440"/>
        </w:tabs>
        <w:spacing w:after="120" w:line="288" w:lineRule="auto"/>
        <w:ind w:left="1440" w:hanging="720"/>
        <w:rPr>
          <w:color w:val="000000"/>
        </w:rPr>
      </w:pPr>
      <w:r w:rsidRPr="009464B2">
        <w:t>A</w:t>
      </w:r>
      <w:r w:rsidR="00AF6F54" w:rsidRPr="009464B2">
        <w:t>ccept</w:t>
      </w:r>
      <w:r w:rsidRPr="009464B2">
        <w:rPr>
          <w:color w:val="000000"/>
        </w:rPr>
        <w:t xml:space="preserve"> the proposed settlement subject to one or more conditions. </w:t>
      </w:r>
    </w:p>
    <w:p w14:paraId="19A098E9" w14:textId="77777777" w:rsidR="00E3633B" w:rsidRPr="009464B2" w:rsidRDefault="00E3633B" w:rsidP="006548F6">
      <w:pPr>
        <w:numPr>
          <w:ilvl w:val="0"/>
          <w:numId w:val="2"/>
        </w:numPr>
        <w:tabs>
          <w:tab w:val="num" w:pos="1440"/>
        </w:tabs>
        <w:spacing w:after="120" w:line="288" w:lineRule="auto"/>
        <w:ind w:left="1440" w:hanging="720"/>
      </w:pPr>
      <w:r w:rsidRPr="009464B2">
        <w:t>Reject</w:t>
      </w:r>
      <w:r w:rsidRPr="009464B2">
        <w:rPr>
          <w:color w:val="000000"/>
        </w:rPr>
        <w:t xml:space="preserve"> the proposed settlement.</w:t>
      </w:r>
      <w:r w:rsidRPr="009464B2">
        <w:rPr>
          <w:color w:val="000000"/>
          <w:position w:val="8"/>
          <w:vertAlign w:val="superscript"/>
        </w:rPr>
        <w:t xml:space="preserve"> </w:t>
      </w:r>
    </w:p>
    <w:p w14:paraId="4116E9D4" w14:textId="77777777" w:rsidR="006379C1" w:rsidRPr="009464B2" w:rsidRDefault="00CC5051" w:rsidP="006548F6">
      <w:pPr>
        <w:numPr>
          <w:ilvl w:val="0"/>
          <w:numId w:val="1"/>
        </w:numPr>
        <w:tabs>
          <w:tab w:val="num" w:pos="0"/>
        </w:tabs>
        <w:spacing w:after="120" w:line="288" w:lineRule="auto"/>
        <w:ind w:left="0" w:hanging="720"/>
      </w:pPr>
      <w:r w:rsidRPr="009464B2">
        <w:t xml:space="preserve">We find that </w:t>
      </w:r>
      <w:r w:rsidRPr="009464B2">
        <w:rPr>
          <w:color w:val="000000"/>
        </w:rPr>
        <w:t xml:space="preserve">the terms and conditions of the Settlement are lawful, supported by an appropriate record, and consistent with the public interest in light of all the information available to the Commission. The capital structure as proposed in the Settlement is </w:t>
      </w:r>
      <w:r w:rsidR="00350E3E" w:rsidRPr="009464B2">
        <w:rPr>
          <w:color w:val="000000"/>
        </w:rPr>
        <w:t>balanced in treatment of both</w:t>
      </w:r>
      <w:r w:rsidRPr="009464B2">
        <w:rPr>
          <w:color w:val="000000"/>
        </w:rPr>
        <w:t xml:space="preserve"> the Company </w:t>
      </w:r>
      <w:r w:rsidR="00350E3E" w:rsidRPr="009464B2">
        <w:rPr>
          <w:color w:val="000000"/>
        </w:rPr>
        <w:t>and</w:t>
      </w:r>
      <w:r w:rsidRPr="009464B2">
        <w:rPr>
          <w:color w:val="000000"/>
        </w:rPr>
        <w:t xml:space="preserve"> ratepayers. Likewise, the ROE and ROR are within the range of reaso</w:t>
      </w:r>
      <w:r w:rsidR="006379C1" w:rsidRPr="009464B2">
        <w:rPr>
          <w:color w:val="000000"/>
        </w:rPr>
        <w:t xml:space="preserve">nable outcomes </w:t>
      </w:r>
      <w:r w:rsidR="00AF6F54" w:rsidRPr="009464B2">
        <w:rPr>
          <w:color w:val="000000"/>
        </w:rPr>
        <w:t xml:space="preserve">and supported by testimony </w:t>
      </w:r>
      <w:r w:rsidR="006379C1" w:rsidRPr="009464B2">
        <w:rPr>
          <w:color w:val="000000"/>
        </w:rPr>
        <w:t xml:space="preserve">in the evidentiary record.  </w:t>
      </w:r>
    </w:p>
    <w:p w14:paraId="271532EC" w14:textId="77777777" w:rsidR="00F83EBA" w:rsidRPr="009464B2" w:rsidRDefault="006379C1" w:rsidP="006548F6">
      <w:pPr>
        <w:numPr>
          <w:ilvl w:val="0"/>
          <w:numId w:val="1"/>
        </w:numPr>
        <w:tabs>
          <w:tab w:val="num" w:pos="0"/>
        </w:tabs>
        <w:spacing w:after="120" w:line="288" w:lineRule="auto"/>
        <w:ind w:left="0" w:hanging="720"/>
        <w:rPr>
          <w:color w:val="000000"/>
        </w:rPr>
      </w:pPr>
      <w:r w:rsidRPr="009464B2">
        <w:rPr>
          <w:color w:val="000000"/>
        </w:rPr>
        <w:t xml:space="preserve">The </w:t>
      </w:r>
      <w:r w:rsidR="00AF6F54" w:rsidRPr="009464B2">
        <w:rPr>
          <w:color w:val="000000"/>
        </w:rPr>
        <w:t>agreement</w:t>
      </w:r>
      <w:r w:rsidRPr="009464B2">
        <w:rPr>
          <w:color w:val="000000"/>
        </w:rPr>
        <w:t xml:space="preserve"> allowed for correction of erroneous power supply expenses caused by an enhancement of the AURORA</w:t>
      </w:r>
      <w:r w:rsidRPr="009464B2">
        <w:rPr>
          <w:color w:val="000000"/>
          <w:vertAlign w:val="subscript"/>
        </w:rPr>
        <w:t xml:space="preserve">XMP </w:t>
      </w:r>
      <w:r w:rsidRPr="009464B2">
        <w:rPr>
          <w:color w:val="000000"/>
        </w:rPr>
        <w:t xml:space="preserve">model </w:t>
      </w:r>
      <w:r w:rsidR="00350E3E" w:rsidRPr="009464B2">
        <w:rPr>
          <w:color w:val="000000"/>
        </w:rPr>
        <w:t>that</w:t>
      </w:r>
      <w:r w:rsidRPr="009464B2">
        <w:rPr>
          <w:color w:val="000000"/>
        </w:rPr>
        <w:t xml:space="preserve"> </w:t>
      </w:r>
      <w:r w:rsidR="00937D11" w:rsidRPr="009464B2">
        <w:rPr>
          <w:color w:val="000000"/>
        </w:rPr>
        <w:t xml:space="preserve">inadvertently </w:t>
      </w:r>
      <w:r w:rsidRPr="009464B2">
        <w:rPr>
          <w:color w:val="000000"/>
        </w:rPr>
        <w:t xml:space="preserve">reversed the signs so that a gain was reflected as a loss and vice versa. Avista </w:t>
      </w:r>
      <w:r w:rsidR="00350E3E" w:rsidRPr="009464B2">
        <w:rPr>
          <w:color w:val="000000"/>
        </w:rPr>
        <w:t xml:space="preserve">agreed to adjustments to </w:t>
      </w:r>
      <w:r w:rsidRPr="009464B2">
        <w:rPr>
          <w:color w:val="000000"/>
        </w:rPr>
        <w:t>several power supply expense</w:t>
      </w:r>
      <w:r w:rsidR="00350E3E" w:rsidRPr="009464B2">
        <w:rPr>
          <w:color w:val="000000"/>
        </w:rPr>
        <w:t>s</w:t>
      </w:r>
      <w:r w:rsidRPr="009464B2">
        <w:rPr>
          <w:color w:val="000000"/>
        </w:rPr>
        <w:t xml:space="preserve"> </w:t>
      </w:r>
      <w:r w:rsidR="00350E3E" w:rsidRPr="009464B2">
        <w:rPr>
          <w:color w:val="000000"/>
        </w:rPr>
        <w:t xml:space="preserve">that </w:t>
      </w:r>
      <w:r w:rsidRPr="009464B2">
        <w:rPr>
          <w:color w:val="000000"/>
        </w:rPr>
        <w:t xml:space="preserve">resulted in </w:t>
      </w:r>
      <w:r w:rsidR="00350E3E" w:rsidRPr="009464B2">
        <w:rPr>
          <w:color w:val="000000"/>
        </w:rPr>
        <w:t xml:space="preserve">significantly </w:t>
      </w:r>
      <w:r w:rsidRPr="009464B2">
        <w:rPr>
          <w:color w:val="000000"/>
        </w:rPr>
        <w:t xml:space="preserve">lowering the </w:t>
      </w:r>
      <w:r w:rsidR="00F83EBA" w:rsidRPr="009464B2">
        <w:rPr>
          <w:color w:val="000000"/>
        </w:rPr>
        <w:t xml:space="preserve">overall power supply expenses </w:t>
      </w:r>
      <w:r w:rsidR="00350E3E" w:rsidRPr="009464B2">
        <w:rPr>
          <w:color w:val="000000"/>
        </w:rPr>
        <w:t xml:space="preserve">it </w:t>
      </w:r>
      <w:r w:rsidR="00F83EBA" w:rsidRPr="009464B2">
        <w:rPr>
          <w:color w:val="000000"/>
        </w:rPr>
        <w:t xml:space="preserve">requested. </w:t>
      </w:r>
    </w:p>
    <w:p w14:paraId="734F5775" w14:textId="77777777" w:rsidR="007C7B56" w:rsidRPr="009464B2" w:rsidRDefault="00F83EBA" w:rsidP="006548F6">
      <w:pPr>
        <w:numPr>
          <w:ilvl w:val="0"/>
          <w:numId w:val="1"/>
        </w:numPr>
        <w:tabs>
          <w:tab w:val="num" w:pos="0"/>
        </w:tabs>
        <w:spacing w:after="120" w:line="288" w:lineRule="auto"/>
        <w:ind w:left="0" w:hanging="720"/>
        <w:rPr>
          <w:color w:val="000000"/>
        </w:rPr>
      </w:pPr>
      <w:r w:rsidRPr="009464B2">
        <w:rPr>
          <w:color w:val="000000"/>
        </w:rPr>
        <w:t xml:space="preserve">With regard to </w:t>
      </w:r>
      <w:r w:rsidR="003C69A3" w:rsidRPr="009464B2">
        <w:rPr>
          <w:color w:val="000000"/>
        </w:rPr>
        <w:t xml:space="preserve">the electric </w:t>
      </w:r>
      <w:r w:rsidRPr="009464B2">
        <w:rPr>
          <w:color w:val="000000"/>
        </w:rPr>
        <w:t xml:space="preserve">rate design, the settling parties arrived at an approach that would spread any revenue </w:t>
      </w:r>
      <w:r w:rsidRPr="009464B2">
        <w:rPr>
          <w:i/>
          <w:color w:val="000000"/>
        </w:rPr>
        <w:t>increase</w:t>
      </w:r>
      <w:r w:rsidRPr="009464B2">
        <w:rPr>
          <w:color w:val="000000"/>
        </w:rPr>
        <w:t xml:space="preserve"> across the various block rates uniformly</w:t>
      </w:r>
      <w:r w:rsidR="003C69A3" w:rsidRPr="009464B2">
        <w:rPr>
          <w:color w:val="000000"/>
        </w:rPr>
        <w:t xml:space="preserve">, with some additional </w:t>
      </w:r>
      <w:r w:rsidR="003C69A3" w:rsidRPr="009464B2">
        <w:rPr>
          <w:i/>
          <w:color w:val="000000"/>
        </w:rPr>
        <w:t>increases</w:t>
      </w:r>
      <w:r w:rsidR="003C69A3" w:rsidRPr="009464B2">
        <w:rPr>
          <w:color w:val="000000"/>
        </w:rPr>
        <w:t xml:space="preserve"> in various schedule</w:t>
      </w:r>
      <w:r w:rsidR="00DA0025" w:rsidRPr="009464B2">
        <w:rPr>
          <w:color w:val="000000"/>
        </w:rPr>
        <w:t>’s</w:t>
      </w:r>
      <w:r w:rsidR="003C69A3" w:rsidRPr="009464B2">
        <w:rPr>
          <w:color w:val="000000"/>
        </w:rPr>
        <w:t xml:space="preserve"> basic charges. </w:t>
      </w:r>
      <w:r w:rsidRPr="009464B2">
        <w:rPr>
          <w:color w:val="000000"/>
        </w:rPr>
        <w:t xml:space="preserve">The settling parties did not, however, provide </w:t>
      </w:r>
      <w:r w:rsidR="002D5537" w:rsidRPr="009464B2">
        <w:rPr>
          <w:color w:val="000000"/>
        </w:rPr>
        <w:t xml:space="preserve">for rate </w:t>
      </w:r>
      <w:r w:rsidR="00D96DC7" w:rsidRPr="009464B2">
        <w:rPr>
          <w:color w:val="000000"/>
        </w:rPr>
        <w:t xml:space="preserve">spread or rate </w:t>
      </w:r>
      <w:r w:rsidR="002D5537" w:rsidRPr="009464B2">
        <w:rPr>
          <w:color w:val="000000"/>
        </w:rPr>
        <w:t>design scheme</w:t>
      </w:r>
      <w:r w:rsidR="00D96DC7" w:rsidRPr="009464B2">
        <w:rPr>
          <w:color w:val="000000"/>
        </w:rPr>
        <w:t>s</w:t>
      </w:r>
      <w:r w:rsidR="002D5537" w:rsidRPr="009464B2">
        <w:rPr>
          <w:color w:val="000000"/>
        </w:rPr>
        <w:t xml:space="preserve"> in the event of an electric revenue decrease. </w:t>
      </w:r>
      <w:r w:rsidR="00350E3E" w:rsidRPr="009464B2">
        <w:rPr>
          <w:color w:val="000000"/>
        </w:rPr>
        <w:t>No party addressed this issue during the hearing</w:t>
      </w:r>
      <w:r w:rsidR="00CA3392" w:rsidRPr="009464B2">
        <w:rPr>
          <w:color w:val="000000"/>
        </w:rPr>
        <w:t xml:space="preserve"> or on brief</w:t>
      </w:r>
      <w:r w:rsidR="00350E3E" w:rsidRPr="009464B2">
        <w:rPr>
          <w:color w:val="000000"/>
        </w:rPr>
        <w:t xml:space="preserve">. </w:t>
      </w:r>
      <w:r w:rsidR="00CA3392" w:rsidRPr="009464B2">
        <w:rPr>
          <w:color w:val="000000"/>
        </w:rPr>
        <w:t>Thus, u</w:t>
      </w:r>
      <w:r w:rsidR="00D96DC7" w:rsidRPr="009464B2">
        <w:rPr>
          <w:color w:val="000000"/>
        </w:rPr>
        <w:t xml:space="preserve">nder the circumstances and given the approaching statutory effective date, we find the reasonable and equitable approach is a uniform percentage electric rate decrease across classes and then a uniform percentage decrease across energy blocks within each class. </w:t>
      </w:r>
      <w:r w:rsidR="007C7B56" w:rsidRPr="009464B2">
        <w:rPr>
          <w:color w:val="000000"/>
        </w:rPr>
        <w:t xml:space="preserve">The Commission will entertain a motion to reopen the record in this proceeding for thirty days following the effective date of the rates resulting from this Order, </w:t>
      </w:r>
      <w:r w:rsidR="00AF6F54" w:rsidRPr="009464B2">
        <w:rPr>
          <w:color w:val="000000"/>
        </w:rPr>
        <w:t xml:space="preserve">assuming </w:t>
      </w:r>
      <w:r w:rsidR="007C7B56" w:rsidRPr="009464B2">
        <w:rPr>
          <w:color w:val="000000"/>
        </w:rPr>
        <w:t xml:space="preserve">all parties arrive at a stipulated settlement on a modified rate </w:t>
      </w:r>
      <w:r w:rsidR="00AF6F54" w:rsidRPr="009464B2">
        <w:rPr>
          <w:color w:val="000000"/>
        </w:rPr>
        <w:t xml:space="preserve">spread and rate </w:t>
      </w:r>
      <w:r w:rsidR="007C7B56" w:rsidRPr="009464B2">
        <w:rPr>
          <w:color w:val="000000"/>
        </w:rPr>
        <w:t>design</w:t>
      </w:r>
      <w:r w:rsidR="00AF6F54" w:rsidRPr="009464B2">
        <w:rPr>
          <w:color w:val="000000"/>
        </w:rPr>
        <w:t xml:space="preserve"> plan</w:t>
      </w:r>
      <w:r w:rsidR="007C7B56" w:rsidRPr="009464B2">
        <w:rPr>
          <w:color w:val="000000"/>
        </w:rPr>
        <w:t>.</w:t>
      </w:r>
      <w:r w:rsidR="00AF6F54" w:rsidRPr="009464B2">
        <w:rPr>
          <w:color w:val="000000"/>
        </w:rPr>
        <w:t xml:space="preserve"> Otherwise, the Company has indicated it </w:t>
      </w:r>
      <w:r w:rsidR="00CA3392" w:rsidRPr="009464B2">
        <w:rPr>
          <w:color w:val="000000"/>
        </w:rPr>
        <w:t xml:space="preserve">plans to </w:t>
      </w:r>
      <w:r w:rsidR="00AF6F54" w:rsidRPr="009464B2">
        <w:rPr>
          <w:color w:val="000000"/>
        </w:rPr>
        <w:t>fil</w:t>
      </w:r>
      <w:r w:rsidR="00CD269D" w:rsidRPr="009464B2">
        <w:rPr>
          <w:color w:val="000000"/>
        </w:rPr>
        <w:t>e</w:t>
      </w:r>
      <w:r w:rsidR="00AF6F54" w:rsidRPr="009464B2">
        <w:rPr>
          <w:color w:val="000000"/>
        </w:rPr>
        <w:t xml:space="preserve"> another request for rate relief early in 2016</w:t>
      </w:r>
      <w:r w:rsidR="00CA3392" w:rsidRPr="009464B2">
        <w:rPr>
          <w:color w:val="000000"/>
        </w:rPr>
        <w:t>. A</w:t>
      </w:r>
      <w:r w:rsidR="00AF6F54" w:rsidRPr="009464B2">
        <w:rPr>
          <w:color w:val="000000"/>
        </w:rPr>
        <w:t xml:space="preserve">ny disagreement with the Commission’s </w:t>
      </w:r>
      <w:r w:rsidR="00B11141" w:rsidRPr="009464B2">
        <w:rPr>
          <w:color w:val="000000"/>
        </w:rPr>
        <w:t xml:space="preserve">approved </w:t>
      </w:r>
      <w:r w:rsidR="00AF6F54" w:rsidRPr="009464B2">
        <w:rPr>
          <w:color w:val="000000"/>
        </w:rPr>
        <w:t>electric rate spread and rate design may be handled in that proceeding.</w:t>
      </w:r>
      <w:r w:rsidR="007C7B56" w:rsidRPr="009464B2">
        <w:rPr>
          <w:color w:val="000000"/>
        </w:rPr>
        <w:t xml:space="preserve"> </w:t>
      </w:r>
    </w:p>
    <w:p w14:paraId="2B866CB4" w14:textId="7F0E3562" w:rsidR="00C246FA" w:rsidRDefault="00C246FA">
      <w:r>
        <w:br w:type="page"/>
      </w:r>
    </w:p>
    <w:p w14:paraId="5F22EA6F" w14:textId="77777777" w:rsidR="00A955ED" w:rsidRPr="009464B2" w:rsidRDefault="00A955ED" w:rsidP="006548F6">
      <w:pPr>
        <w:tabs>
          <w:tab w:val="num" w:pos="0"/>
        </w:tabs>
        <w:spacing w:line="264" w:lineRule="auto"/>
        <w:ind w:hanging="720"/>
      </w:pPr>
    </w:p>
    <w:p w14:paraId="7EBCD920" w14:textId="0178599E" w:rsidR="004A48C5" w:rsidRPr="009464B2" w:rsidRDefault="004A48C5" w:rsidP="002431C0">
      <w:pPr>
        <w:pStyle w:val="Heading2"/>
        <w:spacing w:line="264" w:lineRule="auto"/>
        <w:ind w:left="360" w:hanging="360"/>
        <w:jc w:val="left"/>
        <w:rPr>
          <w:b/>
          <w:u w:val="none"/>
        </w:rPr>
      </w:pPr>
      <w:bookmarkStart w:id="20" w:name="_Toc439838958"/>
      <w:r w:rsidRPr="009464B2">
        <w:rPr>
          <w:b/>
          <w:u w:val="none"/>
        </w:rPr>
        <w:t>III.</w:t>
      </w:r>
      <w:r w:rsidR="002431C0" w:rsidRPr="009464B2">
        <w:rPr>
          <w:b/>
          <w:u w:val="none"/>
        </w:rPr>
        <w:tab/>
      </w:r>
      <w:r w:rsidRPr="009464B2">
        <w:rPr>
          <w:b/>
          <w:u w:val="none"/>
        </w:rPr>
        <w:t>Contested Issues</w:t>
      </w:r>
      <w:bookmarkEnd w:id="20"/>
    </w:p>
    <w:p w14:paraId="2DE28FF8" w14:textId="08384264" w:rsidR="004A48C5" w:rsidRPr="009464B2" w:rsidRDefault="004A48C5" w:rsidP="004A48C5"/>
    <w:p w14:paraId="67B9F3EF" w14:textId="7038745F" w:rsidR="001C1E26" w:rsidRPr="009464B2" w:rsidRDefault="001C1E26" w:rsidP="005E3825">
      <w:pPr>
        <w:pStyle w:val="Heading3"/>
        <w:numPr>
          <w:ilvl w:val="0"/>
          <w:numId w:val="38"/>
        </w:numPr>
        <w:spacing w:line="288" w:lineRule="auto"/>
        <w:jc w:val="left"/>
        <w:rPr>
          <w:rFonts w:ascii="Times New Roman" w:hAnsi="Times New Roman"/>
          <w:bCs w:val="0"/>
        </w:rPr>
      </w:pPr>
      <w:bookmarkStart w:id="21" w:name="_Toc439838959"/>
      <w:r w:rsidRPr="009464B2">
        <w:rPr>
          <w:rFonts w:ascii="Times New Roman" w:hAnsi="Times New Roman"/>
        </w:rPr>
        <w:t>Pro Forma Plant Additions</w:t>
      </w:r>
      <w:r w:rsidR="00F664E9" w:rsidRPr="009464B2">
        <w:rPr>
          <w:rStyle w:val="FootnoteReference"/>
          <w:rFonts w:ascii="Times New Roman" w:hAnsi="Times New Roman"/>
        </w:rPr>
        <w:footnoteReference w:id="36"/>
      </w:r>
      <w:bookmarkEnd w:id="21"/>
    </w:p>
    <w:p w14:paraId="63D005AB" w14:textId="77777777" w:rsidR="001C1E26" w:rsidRPr="009464B2" w:rsidRDefault="001C1E26" w:rsidP="001C1E26"/>
    <w:p w14:paraId="3E7655E6" w14:textId="791E3D60" w:rsidR="001C1E26" w:rsidRPr="009464B2" w:rsidRDefault="001C1E26" w:rsidP="006548F6">
      <w:pPr>
        <w:numPr>
          <w:ilvl w:val="0"/>
          <w:numId w:val="1"/>
        </w:numPr>
        <w:tabs>
          <w:tab w:val="num" w:pos="0"/>
        </w:tabs>
        <w:spacing w:after="120" w:line="288" w:lineRule="auto"/>
        <w:ind w:left="0" w:hanging="720"/>
      </w:pPr>
      <w:r w:rsidRPr="009464B2">
        <w:t>The Company does not present a revenue requirement built on pro forma plant additions to the test year.</w:t>
      </w:r>
      <w:r w:rsidRPr="009464B2">
        <w:rPr>
          <w:rStyle w:val="FootnoteReference"/>
        </w:rPr>
        <w:footnoteReference w:id="37"/>
      </w:r>
      <w:r w:rsidRPr="009464B2">
        <w:t xml:space="preserve"> Instead, it proposes an attrition </w:t>
      </w:r>
      <w:r w:rsidR="004A154D" w:rsidRPr="009464B2">
        <w:t>adjustment</w:t>
      </w:r>
      <w:r w:rsidRPr="009464B2">
        <w:t xml:space="preserve"> supported in part by its “cross-check” study</w:t>
      </w:r>
      <w:r w:rsidR="00EC3627" w:rsidRPr="009464B2">
        <w:t>,</w:t>
      </w:r>
      <w:r w:rsidRPr="009464B2">
        <w:t xml:space="preserve"> which is a budget</w:t>
      </w:r>
      <w:r w:rsidR="00CC4AC9" w:rsidRPr="009464B2">
        <w:t>-</w:t>
      </w:r>
      <w:r w:rsidRPr="009464B2">
        <w:t>based projection of plant ad</w:t>
      </w:r>
      <w:r w:rsidR="00CC4AC9" w:rsidRPr="009464B2">
        <w:t>ditions in the year 2016 on an average</w:t>
      </w:r>
      <w:r w:rsidR="00CA48D7" w:rsidRPr="009464B2">
        <w:t>-</w:t>
      </w:r>
      <w:r w:rsidR="00CC4AC9" w:rsidRPr="009464B2">
        <w:t>of</w:t>
      </w:r>
      <w:r w:rsidR="00CA48D7" w:rsidRPr="009464B2">
        <w:t>-</w:t>
      </w:r>
      <w:r w:rsidR="00CC4AC9" w:rsidRPr="009464B2">
        <w:t>monthly</w:t>
      </w:r>
      <w:r w:rsidR="00CA48D7" w:rsidRPr="009464B2">
        <w:t>-</w:t>
      </w:r>
      <w:r w:rsidR="00CC4AC9" w:rsidRPr="009464B2">
        <w:t>averages (AMA)</w:t>
      </w:r>
      <w:r w:rsidRPr="009464B2">
        <w:t xml:space="preserve"> basis.</w:t>
      </w:r>
      <w:r w:rsidRPr="009464B2">
        <w:rPr>
          <w:rStyle w:val="FootnoteReference"/>
        </w:rPr>
        <w:footnoteReference w:id="38"/>
      </w:r>
      <w:r w:rsidR="00F664E9" w:rsidRPr="009464B2">
        <w:t xml:space="preserve"> </w:t>
      </w:r>
      <w:r w:rsidRPr="009464B2">
        <w:t>On rebuttal, the Company adjusts its test year ending September 30</w:t>
      </w:r>
      <w:r w:rsidR="001220B1" w:rsidRPr="009464B2">
        <w:t>, 2014,</w:t>
      </w:r>
      <w:r w:rsidRPr="009464B2">
        <w:t xml:space="preserve"> to include booked plant additions through December 31, 2014.</w:t>
      </w:r>
    </w:p>
    <w:p w14:paraId="5CCA3E28" w14:textId="4BF79622" w:rsidR="00272E0C" w:rsidRPr="009464B2" w:rsidRDefault="001C1E26" w:rsidP="006548F6">
      <w:pPr>
        <w:numPr>
          <w:ilvl w:val="0"/>
          <w:numId w:val="1"/>
        </w:numPr>
        <w:tabs>
          <w:tab w:val="num" w:pos="0"/>
        </w:tabs>
        <w:spacing w:after="120" w:line="288" w:lineRule="auto"/>
        <w:ind w:left="0" w:hanging="720"/>
      </w:pPr>
      <w:r w:rsidRPr="009464B2">
        <w:t>Staff, Public Counsel</w:t>
      </w:r>
      <w:r w:rsidR="00CC4AC9" w:rsidRPr="009464B2">
        <w:t>,</w:t>
      </w:r>
      <w:r w:rsidRPr="009464B2">
        <w:t xml:space="preserve"> and ICNU present pro forma plant additions beyond the test year. Public Counsel and ICNU make revenue requirement recommendations using only the modified test year without an attrition study.</w:t>
      </w:r>
      <w:r w:rsidRPr="009464B2">
        <w:rPr>
          <w:vertAlign w:val="superscript"/>
        </w:rPr>
        <w:footnoteReference w:id="39"/>
      </w:r>
      <w:r w:rsidRPr="009464B2">
        <w:t xml:space="preserve"> Staff adjusts the test year to reflect booked plant additions through December 31, 2014. Using th</w:t>
      </w:r>
      <w:r w:rsidR="001220B1" w:rsidRPr="009464B2">
        <w:t>is</w:t>
      </w:r>
      <w:r w:rsidRPr="009464B2">
        <w:t xml:space="preserve"> adjusted test year, Staff constructs a modified test year with pro forma plant additions and then presents an attrition </w:t>
      </w:r>
      <w:r w:rsidR="004A154D" w:rsidRPr="009464B2">
        <w:t>adjustment</w:t>
      </w:r>
      <w:r w:rsidRPr="009464B2">
        <w:t xml:space="preserve"> developed from its attrition study. NWIGU does not develop plant additions to the test year, recommending no </w:t>
      </w:r>
      <w:r w:rsidR="00D133EF">
        <w:t xml:space="preserve">gas </w:t>
      </w:r>
      <w:r w:rsidRPr="009464B2">
        <w:t>rate increase. We examine each party’s pro forma plant additions in turn.</w:t>
      </w:r>
      <w:r w:rsidR="00272E0C" w:rsidRPr="009464B2">
        <w:t xml:space="preserve"> </w:t>
      </w:r>
    </w:p>
    <w:p w14:paraId="55BF6A0F" w14:textId="738CEC3C" w:rsidR="001C1E26" w:rsidRPr="009464B2" w:rsidRDefault="001C1E26" w:rsidP="006548F6">
      <w:pPr>
        <w:numPr>
          <w:ilvl w:val="0"/>
          <w:numId w:val="1"/>
        </w:numPr>
        <w:tabs>
          <w:tab w:val="num" w:pos="0"/>
        </w:tabs>
        <w:spacing w:after="120" w:line="288" w:lineRule="auto"/>
        <w:ind w:left="0" w:hanging="720"/>
      </w:pPr>
      <w:r w:rsidRPr="009464B2">
        <w:lastRenderedPageBreak/>
        <w:t xml:space="preserve">Mr. </w:t>
      </w:r>
      <w:r w:rsidR="00CD2339" w:rsidRPr="009464B2">
        <w:t xml:space="preserve">Christopher </w:t>
      </w:r>
      <w:r w:rsidRPr="009464B2">
        <w:t>Hancock</w:t>
      </w:r>
      <w:r w:rsidR="00CC4AC9" w:rsidRPr="009464B2">
        <w:t>,</w:t>
      </w:r>
      <w:r w:rsidRPr="009464B2">
        <w:t xml:space="preserve"> </w:t>
      </w:r>
      <w:r w:rsidR="00CC4AC9" w:rsidRPr="009464B2">
        <w:t xml:space="preserve">testifying for Staff, </w:t>
      </w:r>
      <w:r w:rsidRPr="009464B2">
        <w:t xml:space="preserve">provides a comprehensive review of the Commission rulings on pro forma plant additions and sets forth four criteria for its </w:t>
      </w:r>
      <w:r w:rsidR="00CD269D" w:rsidRPr="009464B2">
        <w:t>review</w:t>
      </w:r>
      <w:r w:rsidRPr="009464B2">
        <w:t>.</w:t>
      </w:r>
      <w:r w:rsidRPr="009464B2">
        <w:rPr>
          <w:vertAlign w:val="superscript"/>
        </w:rPr>
        <w:footnoteReference w:id="40"/>
      </w:r>
      <w:r w:rsidRPr="009464B2">
        <w:t xml:space="preserve"> According to his approach, plant additions must be:</w:t>
      </w:r>
    </w:p>
    <w:p w14:paraId="2B54A003" w14:textId="77777777" w:rsidR="001C1E26" w:rsidRPr="009464B2" w:rsidRDefault="001C1E26" w:rsidP="006548F6">
      <w:pPr>
        <w:numPr>
          <w:ilvl w:val="0"/>
          <w:numId w:val="11"/>
        </w:numPr>
        <w:tabs>
          <w:tab w:val="num" w:pos="1440"/>
        </w:tabs>
        <w:spacing w:after="120" w:line="288" w:lineRule="auto"/>
        <w:ind w:left="1440" w:hanging="720"/>
      </w:pPr>
      <w:r w:rsidRPr="009464B2">
        <w:t>major and discrete,</w:t>
      </w:r>
    </w:p>
    <w:p w14:paraId="688B4F68" w14:textId="77777777" w:rsidR="001C1E26" w:rsidRPr="009464B2" w:rsidRDefault="001C1E26" w:rsidP="006548F6">
      <w:pPr>
        <w:numPr>
          <w:ilvl w:val="0"/>
          <w:numId w:val="11"/>
        </w:numPr>
        <w:tabs>
          <w:tab w:val="num" w:pos="1440"/>
        </w:tabs>
        <w:spacing w:after="120" w:line="288" w:lineRule="auto"/>
        <w:ind w:left="1440" w:hanging="720"/>
      </w:pPr>
      <w:r w:rsidRPr="009464B2">
        <w:t>known and measurable with any offsetting factors included,</w:t>
      </w:r>
    </w:p>
    <w:p w14:paraId="43722B16" w14:textId="77777777" w:rsidR="001C1E26" w:rsidRPr="009464B2" w:rsidRDefault="001C1E26" w:rsidP="006548F6">
      <w:pPr>
        <w:numPr>
          <w:ilvl w:val="0"/>
          <w:numId w:val="11"/>
        </w:numPr>
        <w:tabs>
          <w:tab w:val="num" w:pos="1440"/>
        </w:tabs>
        <w:spacing w:after="120" w:line="288" w:lineRule="auto"/>
        <w:ind w:left="1440" w:hanging="720"/>
      </w:pPr>
      <w:r w:rsidRPr="009464B2">
        <w:t xml:space="preserve">used and useful, and </w:t>
      </w:r>
    </w:p>
    <w:p w14:paraId="0DEBD0D3" w14:textId="77777777" w:rsidR="001C1E26" w:rsidRPr="009464B2" w:rsidRDefault="001C1E26" w:rsidP="006548F6">
      <w:pPr>
        <w:numPr>
          <w:ilvl w:val="0"/>
          <w:numId w:val="11"/>
        </w:numPr>
        <w:tabs>
          <w:tab w:val="num" w:pos="1440"/>
        </w:tabs>
        <w:spacing w:after="120" w:line="288" w:lineRule="auto"/>
        <w:ind w:left="1440" w:hanging="720"/>
      </w:pPr>
      <w:r w:rsidRPr="009464B2">
        <w:t>prudently incurred.</w:t>
      </w:r>
    </w:p>
    <w:p w14:paraId="2AB6DC5C" w14:textId="77777777" w:rsidR="00F664E9" w:rsidRPr="009464B2" w:rsidRDefault="001C1E26" w:rsidP="006548F6">
      <w:pPr>
        <w:numPr>
          <w:ilvl w:val="0"/>
          <w:numId w:val="1"/>
        </w:numPr>
        <w:tabs>
          <w:tab w:val="num" w:pos="0"/>
        </w:tabs>
        <w:spacing w:after="120" w:line="288" w:lineRule="auto"/>
        <w:ind w:left="0" w:hanging="720"/>
      </w:pPr>
      <w:r w:rsidRPr="009464B2">
        <w:t>Mr. Hancock proposes Washington</w:t>
      </w:r>
      <w:r w:rsidR="00CD269D" w:rsidRPr="009464B2">
        <w:t>-</w:t>
      </w:r>
      <w:r w:rsidRPr="009464B2">
        <w:t>allocated electric pro forma plant additions of $56.7 million and natural gas pro forma plant additions of $16.2 million.</w:t>
      </w:r>
      <w:r w:rsidRPr="009464B2">
        <w:rPr>
          <w:vertAlign w:val="superscript"/>
        </w:rPr>
        <w:footnoteReference w:id="41"/>
      </w:r>
      <w:r w:rsidRPr="009464B2">
        <w:t xml:space="preserve"> Staff also contests the prudence of $12 million in Project Compass expenses, as discussed </w:t>
      </w:r>
      <w:r w:rsidR="00F664E9" w:rsidRPr="009464B2">
        <w:t>later</w:t>
      </w:r>
      <w:r w:rsidRPr="009464B2">
        <w:t xml:space="preserve"> </w:t>
      </w:r>
      <w:r w:rsidR="00CD269D" w:rsidRPr="009464B2">
        <w:t>in this O</w:t>
      </w:r>
      <w:r w:rsidRPr="009464B2">
        <w:t>rder.</w:t>
      </w:r>
      <w:r w:rsidR="00F664E9" w:rsidRPr="009464B2">
        <w:t xml:space="preserve"> </w:t>
      </w:r>
    </w:p>
    <w:p w14:paraId="4430879E" w14:textId="7393501D" w:rsidR="001C1E26" w:rsidRPr="009464B2" w:rsidRDefault="001C1E26" w:rsidP="006548F6">
      <w:pPr>
        <w:numPr>
          <w:ilvl w:val="0"/>
          <w:numId w:val="1"/>
        </w:numPr>
        <w:tabs>
          <w:tab w:val="num" w:pos="0"/>
        </w:tabs>
        <w:spacing w:after="120" w:line="288" w:lineRule="auto"/>
        <w:ind w:left="0" w:hanging="720"/>
      </w:pPr>
      <w:r w:rsidRPr="009464B2">
        <w:t>For a definition of a major plant addition, Mr. Hancock relies on the recent order resolving Pacific Power</w:t>
      </w:r>
      <w:r w:rsidR="00F664E9" w:rsidRPr="009464B2">
        <w:t xml:space="preserve"> &amp; Light</w:t>
      </w:r>
      <w:r w:rsidR="001220B1" w:rsidRPr="009464B2">
        <w:t xml:space="preserve"> Company</w:t>
      </w:r>
      <w:r w:rsidRPr="009464B2">
        <w:t xml:space="preserve">’s </w:t>
      </w:r>
      <w:r w:rsidR="00F664E9" w:rsidRPr="009464B2">
        <w:t>general rate case in which</w:t>
      </w:r>
      <w:r w:rsidRPr="009464B2">
        <w:t xml:space="preserve"> the Commission referenced the definition of “major” found in the Commission’s rule on budgets.</w:t>
      </w:r>
      <w:r w:rsidRPr="009464B2">
        <w:rPr>
          <w:vertAlign w:val="superscript"/>
        </w:rPr>
        <w:footnoteReference w:id="42"/>
      </w:r>
      <w:r w:rsidRPr="009464B2">
        <w:t xml:space="preserve"> That rule defines </w:t>
      </w:r>
      <w:r w:rsidR="005A1FD4" w:rsidRPr="009464B2">
        <w:t>“</w:t>
      </w:r>
      <w:r w:rsidRPr="009464B2">
        <w:t>major</w:t>
      </w:r>
      <w:r w:rsidR="005A1FD4" w:rsidRPr="009464B2">
        <w:t>”</w:t>
      </w:r>
      <w:r w:rsidRPr="009464B2">
        <w:t xml:space="preserve"> as 0.5 percent of net utility plant in service.</w:t>
      </w:r>
      <w:r w:rsidRPr="009464B2">
        <w:rPr>
          <w:vertAlign w:val="superscript"/>
        </w:rPr>
        <w:footnoteReference w:id="43"/>
      </w:r>
      <w:r w:rsidRPr="009464B2">
        <w:t xml:space="preserve"> Using this definition</w:t>
      </w:r>
      <w:r w:rsidR="00F664E9" w:rsidRPr="009464B2">
        <w:t>,</w:t>
      </w:r>
      <w:r w:rsidRPr="009464B2">
        <w:t xml:space="preserve"> Staff d</w:t>
      </w:r>
      <w:r w:rsidR="00CD269D" w:rsidRPr="009464B2">
        <w:t>efines major plant additions as</w:t>
      </w:r>
      <w:r w:rsidRPr="009464B2">
        <w:t xml:space="preserve"> electric plant additions larger than $6.3 million and natural gas plant additions larger than $1.2 million. </w:t>
      </w:r>
      <w:r w:rsidR="00F664E9" w:rsidRPr="009464B2">
        <w:t xml:space="preserve">Staff </w:t>
      </w:r>
      <w:r w:rsidR="005A1FD4" w:rsidRPr="009464B2">
        <w:t>applies this criterion to</w:t>
      </w:r>
      <w:r w:rsidR="00EC3627" w:rsidRPr="009464B2">
        <w:t xml:space="preserve"> </w:t>
      </w:r>
      <w:r w:rsidR="00F664E9" w:rsidRPr="009464B2">
        <w:t xml:space="preserve">the Company’s </w:t>
      </w:r>
      <w:r w:rsidRPr="009464B2">
        <w:t>Expenditure Request</w:t>
      </w:r>
      <w:r w:rsidR="00F664E9" w:rsidRPr="009464B2">
        <w:t>s</w:t>
      </w:r>
      <w:r w:rsidRPr="009464B2">
        <w:t xml:space="preserve"> (ER</w:t>
      </w:r>
      <w:r w:rsidR="00F664E9" w:rsidRPr="009464B2">
        <w:t>s</w:t>
      </w:r>
      <w:r w:rsidRPr="009464B2">
        <w:t xml:space="preserve">) </w:t>
      </w:r>
      <w:r w:rsidR="005A1FD4" w:rsidRPr="009464B2">
        <w:t>and</w:t>
      </w:r>
      <w:r w:rsidRPr="009464B2">
        <w:t xml:space="preserve"> select</w:t>
      </w:r>
      <w:r w:rsidR="005A1FD4" w:rsidRPr="009464B2">
        <w:t>s</w:t>
      </w:r>
      <w:r w:rsidRPr="009464B2">
        <w:t xml:space="preserve"> 14 ERs as meeting the major plant addition threshold.</w:t>
      </w:r>
      <w:r w:rsidRPr="009464B2">
        <w:rPr>
          <w:rStyle w:val="FootnoteReference"/>
        </w:rPr>
        <w:footnoteReference w:id="44"/>
      </w:r>
      <w:r w:rsidRPr="009464B2">
        <w:t xml:space="preserve"> Staff provides extensive review of these projects using a June 30</w:t>
      </w:r>
      <w:r w:rsidR="005A1FD4" w:rsidRPr="009464B2">
        <w:t>, 2015,</w:t>
      </w:r>
      <w:r w:rsidRPr="009464B2">
        <w:t xml:space="preserve"> cutoff date, not as a bright-line cutoff, but rather because the procedural schedule prevents Staff from auditing book entries beyond June 30.</w:t>
      </w:r>
      <w:r w:rsidRPr="009464B2">
        <w:rPr>
          <w:vertAlign w:val="superscript"/>
        </w:rPr>
        <w:footnoteReference w:id="45"/>
      </w:r>
      <w:r w:rsidRPr="009464B2">
        <w:t xml:space="preserve"> Staff includes in its pro forma plant additions booked amounts less than the dollar threshold of the major plant addition.</w:t>
      </w:r>
    </w:p>
    <w:p w14:paraId="14CF9C35" w14:textId="0735B6C6" w:rsidR="00F664E9" w:rsidRPr="009464B2" w:rsidRDefault="001C1E26" w:rsidP="006548F6">
      <w:pPr>
        <w:numPr>
          <w:ilvl w:val="0"/>
          <w:numId w:val="1"/>
        </w:numPr>
        <w:tabs>
          <w:tab w:val="num" w:pos="0"/>
        </w:tabs>
        <w:spacing w:after="120" w:line="288" w:lineRule="auto"/>
        <w:ind w:left="0" w:hanging="720"/>
      </w:pPr>
      <w:r w:rsidRPr="009464B2">
        <w:lastRenderedPageBreak/>
        <w:t xml:space="preserve">On behalf of Public Counsel, Ms. </w:t>
      </w:r>
      <w:r w:rsidR="00CD2339" w:rsidRPr="009464B2">
        <w:t xml:space="preserve">Donna </w:t>
      </w:r>
      <w:r w:rsidRPr="009464B2">
        <w:t>Ramas accepts an increase of approximately $56 million in electric plant and $17.24 million in natural gas plant for the pro forma addition of three capital projects that are in service by May 31, 2015.</w:t>
      </w:r>
      <w:r w:rsidRPr="009464B2">
        <w:rPr>
          <w:vertAlign w:val="superscript"/>
        </w:rPr>
        <w:footnoteReference w:id="46"/>
      </w:r>
      <w:r w:rsidRPr="009464B2">
        <w:t xml:space="preserve"> Due to the on-going nature of the Aldyl-A pipe replacement project, Ms. Ramas states that the Commission could include costs after her cut-off date of May 31, 2015, provided they are fully supported by the Company.</w:t>
      </w:r>
      <w:r w:rsidRPr="009464B2">
        <w:rPr>
          <w:rStyle w:val="FootnoteReference"/>
        </w:rPr>
        <w:footnoteReference w:id="47"/>
      </w:r>
      <w:r w:rsidRPr="009464B2">
        <w:t xml:space="preserve"> Acknowledging that the pipe replacement project does not technically meet her definition of a “discrete” major plant addition, she recommends its inclusion as a measure to address the consistent underearnings for Avista’s natural gas operations.</w:t>
      </w:r>
      <w:r w:rsidRPr="009464B2">
        <w:rPr>
          <w:rStyle w:val="FootnoteReference"/>
        </w:rPr>
        <w:footnoteReference w:id="48"/>
      </w:r>
      <w:r w:rsidRPr="009464B2">
        <w:t xml:space="preserve"> In cross answering testimony, Mr. Hancock clarifies that Staff supports the </w:t>
      </w:r>
      <w:r w:rsidR="00D133EF">
        <w:t xml:space="preserve">inclusion of </w:t>
      </w:r>
      <w:r w:rsidRPr="009464B2">
        <w:t>Aldyl-A pipe replacement because it is known and measurable, used and useful, prudent, and major, rather than as a mechanism to alleviate attrition.</w:t>
      </w:r>
      <w:r w:rsidRPr="009464B2">
        <w:rPr>
          <w:vertAlign w:val="superscript"/>
        </w:rPr>
        <w:footnoteReference w:id="49"/>
      </w:r>
    </w:p>
    <w:p w14:paraId="7BA84EA1" w14:textId="6D7555AE" w:rsidR="00F664E9" w:rsidRPr="009464B2" w:rsidRDefault="001C1E26" w:rsidP="006548F6">
      <w:pPr>
        <w:numPr>
          <w:ilvl w:val="0"/>
          <w:numId w:val="1"/>
        </w:numPr>
        <w:tabs>
          <w:tab w:val="num" w:pos="0"/>
        </w:tabs>
        <w:spacing w:after="120" w:line="288" w:lineRule="auto"/>
        <w:ind w:left="0" w:hanging="720"/>
      </w:pPr>
      <w:r w:rsidRPr="009464B2">
        <w:t xml:space="preserve">Mr. </w:t>
      </w:r>
      <w:r w:rsidR="00CD2339" w:rsidRPr="009464B2">
        <w:t xml:space="preserve">Bradley </w:t>
      </w:r>
      <w:r w:rsidRPr="009464B2">
        <w:t>Mullins, testifying for ICNU</w:t>
      </w:r>
      <w:r w:rsidR="00EC3627" w:rsidRPr="009464B2">
        <w:t>,</w:t>
      </w:r>
      <w:r w:rsidRPr="009464B2">
        <w:t xml:space="preserve"> recommends only one pro forma plant addition, Project Compass. He discusses and rejects five other projects for a combination of reasons. First, Mr. Mullins defines major plant as projects with $10 million in planned costs, stating that it is “a natural threshold in the Company’s filing.”</w:t>
      </w:r>
      <w:r w:rsidRPr="009464B2">
        <w:rPr>
          <w:vertAlign w:val="superscript"/>
        </w:rPr>
        <w:footnoteReference w:id="50"/>
      </w:r>
      <w:r w:rsidRPr="009464B2">
        <w:t xml:space="preserve"> Mr. Mullins further limits pro forma adjustments by excluding what he labels “blanket” capital additions consisting of many unrelated projects that are not a single discrete project.</w:t>
      </w:r>
      <w:r w:rsidRPr="009464B2">
        <w:rPr>
          <w:vertAlign w:val="superscript"/>
        </w:rPr>
        <w:footnoteReference w:id="51"/>
      </w:r>
      <w:r w:rsidRPr="009464B2">
        <w:t xml:space="preserve"> He rejects pro forma additions where the Company’s updates of the project costs have considerable variability.</w:t>
      </w:r>
      <w:r w:rsidRPr="009464B2">
        <w:rPr>
          <w:rStyle w:val="FootnoteReference"/>
        </w:rPr>
        <w:footnoteReference w:id="52"/>
      </w:r>
      <w:r w:rsidRPr="009464B2">
        <w:t xml:space="preserve"> Finally, Mr. Mullins applies the $10 million threshold to booked amounts</w:t>
      </w:r>
      <w:r w:rsidR="00F664E9" w:rsidRPr="009464B2">
        <w:t>,</w:t>
      </w:r>
      <w:r w:rsidRPr="009464B2">
        <w:t xml:space="preserve"> excluding plant additions if the booked amounts are below $10 million.</w:t>
      </w:r>
      <w:r w:rsidRPr="009464B2">
        <w:rPr>
          <w:rStyle w:val="FootnoteReference"/>
        </w:rPr>
        <w:footnoteReference w:id="53"/>
      </w:r>
      <w:r w:rsidRPr="009464B2">
        <w:t xml:space="preserve"> Staff criticizes Mr. Mullin’s </w:t>
      </w:r>
      <w:r w:rsidR="005033AD">
        <w:t>approach</w:t>
      </w:r>
      <w:r w:rsidRPr="009464B2">
        <w:t xml:space="preserve"> as a double application of the major plant definition and </w:t>
      </w:r>
      <w:r w:rsidR="005033AD">
        <w:t>as</w:t>
      </w:r>
      <w:r w:rsidRPr="009464B2">
        <w:t xml:space="preserve"> the $10 million threshold having no relationship to the size of the utility.</w:t>
      </w:r>
    </w:p>
    <w:p w14:paraId="02DD6B3B" w14:textId="77777777" w:rsidR="001C1E26" w:rsidRPr="009464B2" w:rsidRDefault="001C1E26" w:rsidP="006548F6">
      <w:pPr>
        <w:numPr>
          <w:ilvl w:val="0"/>
          <w:numId w:val="1"/>
        </w:numPr>
        <w:tabs>
          <w:tab w:val="num" w:pos="0"/>
        </w:tabs>
        <w:spacing w:after="120" w:line="288" w:lineRule="auto"/>
        <w:ind w:left="0" w:hanging="720"/>
      </w:pPr>
      <w:r w:rsidRPr="009464B2">
        <w:lastRenderedPageBreak/>
        <w:t xml:space="preserve">Testifying for NWIGU, Mr. </w:t>
      </w:r>
      <w:r w:rsidR="00CD2339" w:rsidRPr="009464B2">
        <w:t xml:space="preserve">Michael </w:t>
      </w:r>
      <w:r w:rsidRPr="009464B2">
        <w:t xml:space="preserve">Gorman concludes that no change in natural gas rates is justified and therefore does not support any pro forma capital additions to the test year. </w:t>
      </w:r>
    </w:p>
    <w:p w14:paraId="036769EA" w14:textId="77777777" w:rsidR="001C1E26" w:rsidRPr="009464B2" w:rsidRDefault="001C1E26" w:rsidP="006548F6">
      <w:pPr>
        <w:numPr>
          <w:ilvl w:val="0"/>
          <w:numId w:val="1"/>
        </w:numPr>
        <w:tabs>
          <w:tab w:val="num" w:pos="0"/>
        </w:tabs>
        <w:spacing w:after="120" w:line="288" w:lineRule="auto"/>
        <w:ind w:left="0" w:hanging="720"/>
      </w:pPr>
      <w:r w:rsidRPr="009464B2">
        <w:t xml:space="preserve">On rebuttal, Avista witness Mr. </w:t>
      </w:r>
      <w:r w:rsidR="00F664E9" w:rsidRPr="009464B2">
        <w:t xml:space="preserve">Kelly </w:t>
      </w:r>
      <w:r w:rsidRPr="009464B2">
        <w:t xml:space="preserve">Norwood does not address the standards the intervenors use for determining pro forma plant additions. Instead, </w:t>
      </w:r>
      <w:r w:rsidR="00CD2339" w:rsidRPr="009464B2">
        <w:t>he</w:t>
      </w:r>
      <w:r w:rsidRPr="009464B2">
        <w:t xml:space="preserve"> claims intervenors had ample time to audit the planned plant additions through 2016.</w:t>
      </w:r>
      <w:r w:rsidRPr="009464B2">
        <w:rPr>
          <w:rStyle w:val="FootnoteReference"/>
        </w:rPr>
        <w:footnoteReference w:id="54"/>
      </w:r>
      <w:r w:rsidRPr="009464B2">
        <w:t xml:space="preserve"> In rejecting intervenors’ modified test year, Mr. Norwood stresses that the modified test year with limited pro forma adjustments will not provide a sufficient revenue requirement.</w:t>
      </w:r>
      <w:r w:rsidRPr="009464B2">
        <w:rPr>
          <w:vertAlign w:val="superscript"/>
        </w:rPr>
        <w:footnoteReference w:id="55"/>
      </w:r>
      <w:r w:rsidRPr="009464B2">
        <w:t xml:space="preserve"> </w:t>
      </w:r>
      <w:r w:rsidR="00F664E9" w:rsidRPr="009464B2">
        <w:t>He</w:t>
      </w:r>
      <w:r w:rsidRPr="009464B2">
        <w:t xml:space="preserve"> contrasts the revenue requirement developed with pro forma plant additions to Avista’s cross</w:t>
      </w:r>
      <w:r w:rsidR="00F664E9" w:rsidRPr="009464B2">
        <w:t>-</w:t>
      </w:r>
      <w:r w:rsidRPr="009464B2">
        <w:t>check study that uses projected budget amounts to produce a considerably higher level of capital addition in the 2016 rate year.</w:t>
      </w:r>
      <w:r w:rsidRPr="009464B2">
        <w:rPr>
          <w:rStyle w:val="FootnoteReference"/>
        </w:rPr>
        <w:footnoteReference w:id="56"/>
      </w:r>
      <w:r w:rsidRPr="009464B2">
        <w:t xml:space="preserve"> Mr. Norwood also supports this conclusion based on the preponderance of the Company’s testimony that demonstrates attrition, including citing to Staff’s testimony that the Company is suffering attrition.</w:t>
      </w:r>
      <w:r w:rsidRPr="009464B2">
        <w:rPr>
          <w:vertAlign w:val="superscript"/>
        </w:rPr>
        <w:footnoteReference w:id="57"/>
      </w:r>
    </w:p>
    <w:p w14:paraId="3156E152" w14:textId="77777777" w:rsidR="001C1E26" w:rsidRPr="009464B2" w:rsidRDefault="001C1E26" w:rsidP="006548F6">
      <w:pPr>
        <w:numPr>
          <w:ilvl w:val="0"/>
          <w:numId w:val="1"/>
        </w:numPr>
        <w:tabs>
          <w:tab w:val="num" w:pos="0"/>
        </w:tabs>
        <w:spacing w:after="120" w:line="288" w:lineRule="auto"/>
        <w:ind w:left="0" w:hanging="720"/>
      </w:pPr>
      <w:r w:rsidRPr="009464B2">
        <w:rPr>
          <w:i/>
        </w:rPr>
        <w:t xml:space="preserve">Decision.  </w:t>
      </w:r>
      <w:r w:rsidRPr="009464B2">
        <w:t xml:space="preserve">The Commission’s long-standing practice is to set rates using a modified historical test year with </w:t>
      </w:r>
      <w:r w:rsidR="00F664E9" w:rsidRPr="009464B2">
        <w:t xml:space="preserve">post-test </w:t>
      </w:r>
      <w:r w:rsidRPr="009464B2">
        <w:t>year adjustments following the used and useful and known and measurable standards while exercising the considerable discretion these standards allow in the context of individual cases</w:t>
      </w:r>
      <w:r w:rsidRPr="009464B2">
        <w:rPr>
          <w:i/>
        </w:rPr>
        <w:t>.</w:t>
      </w:r>
      <w:r w:rsidRPr="009464B2">
        <w:rPr>
          <w:vertAlign w:val="superscript"/>
        </w:rPr>
        <w:footnoteReference w:id="58"/>
      </w:r>
      <w:r w:rsidRPr="009464B2">
        <w:rPr>
          <w:i/>
        </w:rPr>
        <w:t xml:space="preserve"> </w:t>
      </w:r>
      <w:r w:rsidRPr="009464B2">
        <w:t xml:space="preserve">We do not waiver from that approach now. In a rate proceeding </w:t>
      </w:r>
      <w:r w:rsidR="00CD2339" w:rsidRPr="009464B2">
        <w:t>with claims of attrition-related earnings erosion</w:t>
      </w:r>
      <w:r w:rsidR="00F664E9" w:rsidRPr="009464B2">
        <w:t>,</w:t>
      </w:r>
      <w:r w:rsidRPr="009464B2">
        <w:t xml:space="preserve"> it is necessary to first develop a modified test year upon which the addition of an attrition </w:t>
      </w:r>
      <w:r w:rsidR="004A154D" w:rsidRPr="009464B2">
        <w:t>adjustment</w:t>
      </w:r>
      <w:r w:rsidRPr="009464B2">
        <w:t xml:space="preserve"> may be considered. </w:t>
      </w:r>
    </w:p>
    <w:p w14:paraId="6D0ED0CE" w14:textId="78FA45C5" w:rsidR="001C1E26" w:rsidRPr="009464B2" w:rsidRDefault="001C1E26" w:rsidP="006548F6">
      <w:pPr>
        <w:numPr>
          <w:ilvl w:val="0"/>
          <w:numId w:val="1"/>
        </w:numPr>
        <w:tabs>
          <w:tab w:val="num" w:pos="0"/>
        </w:tabs>
        <w:spacing w:after="120" w:line="288" w:lineRule="auto"/>
        <w:ind w:left="0" w:hanging="720"/>
      </w:pPr>
      <w:r w:rsidRPr="009464B2">
        <w:t>The post-test year plant additions proposed by Staff, Public Counsel</w:t>
      </w:r>
      <w:r w:rsidR="008463A9" w:rsidRPr="009464B2">
        <w:t>,</w:t>
      </w:r>
      <w:r w:rsidRPr="009464B2">
        <w:t xml:space="preserve"> and ICNU </w:t>
      </w:r>
      <w:r w:rsidR="00A74BD9" w:rsidRPr="009464B2">
        <w:t xml:space="preserve">are based upon </w:t>
      </w:r>
      <w:r w:rsidRPr="009464B2">
        <w:t>known and measurable plant additions that occurred during, or reasonably soon after, the test year. Between the test year results and post-test year plant additions, the</w:t>
      </w:r>
      <w:r w:rsidR="00B57D6C" w:rsidRPr="009464B2">
        <w:t>se parties’</w:t>
      </w:r>
      <w:r w:rsidRPr="009464B2">
        <w:t xml:space="preserve"> pro forma studies provide a firm ground for determining the level of revenue requirement.</w:t>
      </w:r>
    </w:p>
    <w:p w14:paraId="6C6D7179" w14:textId="77777777" w:rsidR="001C1E26" w:rsidRPr="009464B2" w:rsidRDefault="001C1E26" w:rsidP="006548F6">
      <w:pPr>
        <w:numPr>
          <w:ilvl w:val="0"/>
          <w:numId w:val="1"/>
        </w:numPr>
        <w:tabs>
          <w:tab w:val="num" w:pos="0"/>
        </w:tabs>
        <w:spacing w:after="120" w:line="288" w:lineRule="auto"/>
        <w:ind w:left="0" w:hanging="720"/>
      </w:pPr>
      <w:r w:rsidRPr="009464B2">
        <w:t xml:space="preserve">Unlike the Company’s cross-check study, the plant additions proposed by other parties are not an estimate, projection, budget forecast, or some similar exercise of judgment – even informed judgment. We decline to rely on broad budget projections. The unreliability of the Company’s budget projections is evidenced by the large difference </w:t>
      </w:r>
      <w:r w:rsidRPr="009464B2">
        <w:lastRenderedPageBreak/>
        <w:t xml:space="preserve">between the Company’s projections for fourth quarter 2014 and the plant additions actually booked in the fourth quarter.  </w:t>
      </w:r>
    </w:p>
    <w:p w14:paraId="3DA71024" w14:textId="109E63E7" w:rsidR="001C1E26" w:rsidRPr="009464B2" w:rsidRDefault="00F514DD" w:rsidP="006548F6">
      <w:pPr>
        <w:numPr>
          <w:ilvl w:val="0"/>
          <w:numId w:val="1"/>
        </w:numPr>
        <w:tabs>
          <w:tab w:val="num" w:pos="0"/>
        </w:tabs>
        <w:spacing w:after="120" w:line="288" w:lineRule="auto"/>
        <w:ind w:left="0" w:hanging="720"/>
      </w:pPr>
      <w:r w:rsidRPr="009464B2">
        <w:t xml:space="preserve">In establishing revenue requirements for electric and gas operations, </w:t>
      </w:r>
      <w:r w:rsidR="001C1E26" w:rsidRPr="009464B2">
        <w:t xml:space="preserve">our first step will be to use a modified historical test year to construct rates. </w:t>
      </w:r>
      <w:r w:rsidRPr="009464B2">
        <w:t>This serves as the benchmark, or for cross-checking purposes, if the Commission chooses to exercise its discretion to apply an attrition adjustment</w:t>
      </w:r>
      <w:r w:rsidR="001C1E26" w:rsidRPr="009464B2">
        <w:t xml:space="preserve"> beyond the modified test year amounts. We continue to rely on a modified historical test year because it provides known and measurable costs and rate base amounts to which the attrition </w:t>
      </w:r>
      <w:r w:rsidR="004A154D" w:rsidRPr="009464B2">
        <w:t>adjustment</w:t>
      </w:r>
      <w:r w:rsidR="001C1E26" w:rsidRPr="009464B2">
        <w:t xml:space="preserve"> can be added in proportion</w:t>
      </w:r>
      <w:r w:rsidR="00C7752A" w:rsidRPr="009464B2">
        <w:t xml:space="preserve"> to the level of attrition the C</w:t>
      </w:r>
      <w:r w:rsidR="001C1E26" w:rsidRPr="009464B2">
        <w:t>ompany is expected to experience.</w:t>
      </w:r>
    </w:p>
    <w:p w14:paraId="4D22FF2F" w14:textId="5FEDDA19" w:rsidR="001C1E26" w:rsidRPr="009464B2" w:rsidRDefault="001C1E26" w:rsidP="006548F6">
      <w:pPr>
        <w:numPr>
          <w:ilvl w:val="0"/>
          <w:numId w:val="1"/>
        </w:numPr>
        <w:tabs>
          <w:tab w:val="num" w:pos="0"/>
        </w:tabs>
        <w:spacing w:after="120" w:line="288" w:lineRule="auto"/>
        <w:ind w:left="0" w:hanging="720"/>
      </w:pPr>
      <w:r w:rsidRPr="009464B2">
        <w:t>Staff adjusts the test year ending September 30, 2014</w:t>
      </w:r>
      <w:r w:rsidR="00BC0D6A" w:rsidRPr="009464B2">
        <w:t>,</w:t>
      </w:r>
      <w:r w:rsidRPr="009464B2">
        <w:t xml:space="preserve"> to reflect the booked plant additions for the </w:t>
      </w:r>
      <w:r w:rsidR="007742EB" w:rsidRPr="009464B2">
        <w:t>fourth quarter 2014, as reported in the Company’s Commission Basis Report</w:t>
      </w:r>
      <w:r w:rsidRPr="009464B2">
        <w:t>. In the context of setting rates under conditions of attrition or regulatory lag, this approach is useful in providing known and measurable information in formulating a revenue requirement.</w:t>
      </w:r>
    </w:p>
    <w:p w14:paraId="52A47A33" w14:textId="77777777" w:rsidR="001C1E26" w:rsidRPr="009464B2" w:rsidRDefault="001C1E26" w:rsidP="006548F6">
      <w:pPr>
        <w:numPr>
          <w:ilvl w:val="0"/>
          <w:numId w:val="1"/>
        </w:numPr>
        <w:tabs>
          <w:tab w:val="num" w:pos="0"/>
        </w:tabs>
        <w:spacing w:after="120" w:line="288" w:lineRule="auto"/>
        <w:ind w:left="0" w:hanging="720"/>
      </w:pPr>
      <w:r w:rsidRPr="009464B2">
        <w:t xml:space="preserve">Staff’s proposed threshold for major plant additions relies on an established rule, albeit one established in a somewhat different setting. It has, however, the advantage of being proportional to the size of the Company’s rate base and therefore relevant to the issue </w:t>
      </w:r>
      <w:r w:rsidR="00BC0D6A" w:rsidRPr="009464B2">
        <w:t>of the financial impact on the C</w:t>
      </w:r>
      <w:r w:rsidRPr="009464B2">
        <w:t xml:space="preserve">ompany in the setting of rates. We find it reasonable to set the threshold </w:t>
      </w:r>
      <w:r w:rsidR="00BC0D6A" w:rsidRPr="009464B2">
        <w:t>in proportion to a c</w:t>
      </w:r>
      <w:r w:rsidRPr="009464B2">
        <w:t xml:space="preserve">ompany’s rate base. In the </w:t>
      </w:r>
      <w:r w:rsidR="00BC0D6A" w:rsidRPr="009464B2">
        <w:t>instant case,</w:t>
      </w:r>
      <w:r w:rsidRPr="009464B2">
        <w:t xml:space="preserve"> we find it reasonable to use the one</w:t>
      </w:r>
      <w:r w:rsidR="00BC0D6A" w:rsidRPr="009464B2">
        <w:t>-</w:t>
      </w:r>
      <w:r w:rsidRPr="009464B2">
        <w:t xml:space="preserve">half of one percent threshold. </w:t>
      </w:r>
    </w:p>
    <w:p w14:paraId="0AF0E55A" w14:textId="276B46E6" w:rsidR="001C1E26" w:rsidRPr="009464B2" w:rsidRDefault="000F72FD" w:rsidP="006548F6">
      <w:pPr>
        <w:numPr>
          <w:ilvl w:val="0"/>
          <w:numId w:val="1"/>
        </w:numPr>
        <w:tabs>
          <w:tab w:val="num" w:pos="0"/>
        </w:tabs>
        <w:spacing w:after="120" w:line="288" w:lineRule="auto"/>
        <w:ind w:left="0" w:hanging="720"/>
      </w:pPr>
      <w:r w:rsidRPr="009464B2">
        <w:t>The p</w:t>
      </w:r>
      <w:r w:rsidR="001C1E26" w:rsidRPr="009464B2">
        <w:t xml:space="preserve">arties disagree over a consistent, usable definition of a discrete plant addition. Public Counsel criticizes Staff’s pro forma addition of Information Technology Refresh </w:t>
      </w:r>
      <w:r w:rsidR="005E545C" w:rsidRPr="009464B2">
        <w:t>to Sustain Business Process</w:t>
      </w:r>
      <w:r w:rsidR="001C1E26" w:rsidRPr="009464B2">
        <w:t xml:space="preserve"> as consisting of multiple</w:t>
      </w:r>
      <w:r w:rsidR="005E545C" w:rsidRPr="009464B2">
        <w:t>,</w:t>
      </w:r>
      <w:r w:rsidR="001C1E26" w:rsidRPr="009464B2">
        <w:t xml:space="preserve"> separate projects.</w:t>
      </w:r>
      <w:r w:rsidR="001C1E26" w:rsidRPr="009464B2">
        <w:rPr>
          <w:rStyle w:val="FootnoteReference"/>
        </w:rPr>
        <w:footnoteReference w:id="59"/>
      </w:r>
      <w:r w:rsidR="001C1E26" w:rsidRPr="009464B2">
        <w:t xml:space="preserve"> We heed Public Counsel’s caution regarding the use of non-discrete, blanket capital projects as pro forma plant additions. However, Public Counsel itself recommends an exception to allow the pro forma plant addition of the blanket Aldyl-A pipe replacement project, albeit to address chro</w:t>
      </w:r>
      <w:r w:rsidR="00726875" w:rsidRPr="009464B2">
        <w:t>nic under earning. It is that ve</w:t>
      </w:r>
      <w:r w:rsidR="001C1E26" w:rsidRPr="009464B2">
        <w:t xml:space="preserve">ry task the Commission is faced with here in setting rates. Staff’s reliance </w:t>
      </w:r>
      <w:r w:rsidR="005E545C" w:rsidRPr="009464B2">
        <w:t xml:space="preserve">on </w:t>
      </w:r>
      <w:r w:rsidR="001C1E26" w:rsidRPr="009464B2">
        <w:t xml:space="preserve">and careful auditing of </w:t>
      </w:r>
      <w:r w:rsidR="00BC0D6A" w:rsidRPr="009464B2">
        <w:t xml:space="preserve">the </w:t>
      </w:r>
      <w:r w:rsidR="001C1E26" w:rsidRPr="009464B2">
        <w:t>Company’s ER</w:t>
      </w:r>
      <w:r w:rsidR="00BC0D6A" w:rsidRPr="009464B2">
        <w:t>s meet our purpose of</w:t>
      </w:r>
      <w:r w:rsidR="001C1E26" w:rsidRPr="009464B2">
        <w:t xml:space="preserve"> providing results for a modified test year that are known and measurable. </w:t>
      </w:r>
    </w:p>
    <w:p w14:paraId="569B539C" w14:textId="77777777" w:rsidR="001C1E26" w:rsidRPr="009464B2" w:rsidRDefault="001C1E26" w:rsidP="006548F6">
      <w:pPr>
        <w:numPr>
          <w:ilvl w:val="0"/>
          <w:numId w:val="1"/>
        </w:numPr>
        <w:tabs>
          <w:tab w:val="num" w:pos="0"/>
        </w:tabs>
        <w:spacing w:after="120" w:line="288" w:lineRule="auto"/>
        <w:ind w:left="0" w:hanging="720"/>
      </w:pPr>
      <w:r w:rsidRPr="009464B2">
        <w:t xml:space="preserve">Staff’s definition of major plant results in the inclusion of a significant number of projects representing a large portion of the total plant additions after the test year. Staff proposes to include $56.7 million of electric plant additions and $16 million of natural </w:t>
      </w:r>
      <w:r w:rsidRPr="009464B2">
        <w:lastRenderedPageBreak/>
        <w:t>gas plant additions, comprising approximately 41 and 47.5 percent, respectively, of Avista’s projected major 2015 plant additions.</w:t>
      </w:r>
      <w:r w:rsidRPr="009464B2">
        <w:rPr>
          <w:rStyle w:val="FootnoteReference"/>
        </w:rPr>
        <w:footnoteReference w:id="60"/>
      </w:r>
    </w:p>
    <w:p w14:paraId="1FE35E11" w14:textId="598B9EF3" w:rsidR="001C1E26" w:rsidRPr="009464B2" w:rsidRDefault="001C1E26" w:rsidP="006548F6">
      <w:pPr>
        <w:numPr>
          <w:ilvl w:val="0"/>
          <w:numId w:val="1"/>
        </w:numPr>
        <w:tabs>
          <w:tab w:val="num" w:pos="0"/>
        </w:tabs>
        <w:spacing w:after="120" w:line="288" w:lineRule="auto"/>
        <w:ind w:left="0" w:hanging="720"/>
      </w:pPr>
      <w:r w:rsidRPr="009464B2">
        <w:t>ICNU’s proposed $10 million dollar threshold is not supported by any discern</w:t>
      </w:r>
      <w:r w:rsidR="00F514DD" w:rsidRPr="009464B2">
        <w:t>i</w:t>
      </w:r>
      <w:r w:rsidRPr="009464B2">
        <w:t>ble principle. ICNU does not define what it means by “natural</w:t>
      </w:r>
      <w:r w:rsidR="00BC0D6A" w:rsidRPr="009464B2">
        <w:t>,</w:t>
      </w:r>
      <w:r w:rsidRPr="009464B2">
        <w:t>” and we do not find a compelling reason to adopt its threshold. Ms. Ramas does not propose a threshold in conjunction with her proposed major plant additions. NWIGU proposes no plant additions.</w:t>
      </w:r>
    </w:p>
    <w:p w14:paraId="709C7635" w14:textId="30FB9086" w:rsidR="001C1E26" w:rsidRPr="009464B2" w:rsidRDefault="001C1E26" w:rsidP="006548F6">
      <w:pPr>
        <w:numPr>
          <w:ilvl w:val="0"/>
          <w:numId w:val="1"/>
        </w:numPr>
        <w:tabs>
          <w:tab w:val="num" w:pos="0"/>
        </w:tabs>
        <w:spacing w:after="120" w:line="288" w:lineRule="auto"/>
        <w:ind w:left="0" w:hanging="720"/>
      </w:pPr>
      <w:r w:rsidRPr="009464B2">
        <w:t>Staff uses June 30</w:t>
      </w:r>
      <w:r w:rsidR="005E545C" w:rsidRPr="009464B2">
        <w:t>, 2015,</w:t>
      </w:r>
      <w:r w:rsidRPr="009464B2">
        <w:t xml:space="preserve"> as a practical cutoff date in this proceeding</w:t>
      </w:r>
      <w:r w:rsidR="00F514DD" w:rsidRPr="009464B2">
        <w:t xml:space="preserve">, which we find to be reasonable given the </w:t>
      </w:r>
      <w:r w:rsidRPr="009464B2">
        <w:t>circumstances of this case. The rigor with which Staff audited the post-test year plant additions provides us confidence in the known and measurable nature of the plant additions</w:t>
      </w:r>
      <w:r w:rsidR="00BC0D6A" w:rsidRPr="009464B2">
        <w:t xml:space="preserve"> Staff recommends allowing</w:t>
      </w:r>
      <w:r w:rsidRPr="009464B2">
        <w:t xml:space="preserve">. The rigor of </w:t>
      </w:r>
      <w:r w:rsidR="00822CA3" w:rsidRPr="009464B2">
        <w:t>Staff’s</w:t>
      </w:r>
      <w:r w:rsidR="00D33E11" w:rsidRPr="009464B2">
        <w:t xml:space="preserve"> </w:t>
      </w:r>
      <w:r w:rsidRPr="009464B2">
        <w:t xml:space="preserve">audits should not be compromised in an effort to reach a cutoff farther past the test year. </w:t>
      </w:r>
    </w:p>
    <w:p w14:paraId="004320A1" w14:textId="77777777" w:rsidR="00864519" w:rsidRPr="009464B2" w:rsidRDefault="001C1E26" w:rsidP="006548F6">
      <w:pPr>
        <w:numPr>
          <w:ilvl w:val="0"/>
          <w:numId w:val="1"/>
        </w:numPr>
        <w:tabs>
          <w:tab w:val="num" w:pos="0"/>
        </w:tabs>
        <w:spacing w:after="120" w:line="288" w:lineRule="auto"/>
        <w:ind w:left="0" w:hanging="720"/>
      </w:pPr>
      <w:r w:rsidRPr="009464B2">
        <w:t>For each of its identified major plant additions</w:t>
      </w:r>
      <w:r w:rsidR="005E545C" w:rsidRPr="009464B2">
        <w:t>,</w:t>
      </w:r>
      <w:r w:rsidRPr="009464B2">
        <w:t xml:space="preserve"> Staff includes in rate base the dollar amount of plant Avista placed in service as of June 30 even if the amount is below Staff’s $6.3 million electric</w:t>
      </w:r>
      <w:r w:rsidR="00BC0D6A" w:rsidRPr="009464B2">
        <w:t xml:space="preserve"> or</w:t>
      </w:r>
      <w:r w:rsidRPr="009464B2">
        <w:t xml:space="preserve"> $1.2 million natural gas threshold for its definition of major plant additions. ICNU argues that projects should not qualify as major plant additions unless the proposed project and the amount placed in service is above the threshold. We do not find such a double application necessary in the circumstances of this case. The booked amounts, thoroughly audited, provide that basis for our purposes in this proceeding. </w:t>
      </w:r>
    </w:p>
    <w:p w14:paraId="3D6FCCC2" w14:textId="33F14286" w:rsidR="001C1E26" w:rsidRPr="009464B2" w:rsidRDefault="00864519" w:rsidP="00864519">
      <w:pPr>
        <w:numPr>
          <w:ilvl w:val="0"/>
          <w:numId w:val="1"/>
        </w:numPr>
        <w:tabs>
          <w:tab w:val="num" w:pos="0"/>
        </w:tabs>
        <w:spacing w:after="120" w:line="288" w:lineRule="auto"/>
        <w:ind w:left="0" w:hanging="720"/>
      </w:pPr>
      <w:r w:rsidRPr="009464B2">
        <w:t>Accordingly, w</w:t>
      </w:r>
      <w:r w:rsidR="001C1E26" w:rsidRPr="009464B2">
        <w:t xml:space="preserve">e find Staff’s method for pro forma plant additions </w:t>
      </w:r>
      <w:r w:rsidRPr="009464B2">
        <w:t xml:space="preserve">for both electric and gas operations to be </w:t>
      </w:r>
      <w:r w:rsidR="001C1E26" w:rsidRPr="009464B2">
        <w:t xml:space="preserve">well principled and </w:t>
      </w:r>
      <w:r w:rsidRPr="009464B2">
        <w:t xml:space="preserve">appropriately </w:t>
      </w:r>
      <w:r w:rsidR="001C1E26" w:rsidRPr="009464B2">
        <w:t>audited</w:t>
      </w:r>
      <w:r w:rsidRPr="009464B2">
        <w:t>.</w:t>
      </w:r>
      <w:r w:rsidR="001C1E26" w:rsidRPr="009464B2">
        <w:t xml:space="preserve"> </w:t>
      </w:r>
      <w:r w:rsidRPr="009464B2">
        <w:t xml:space="preserve">We </w:t>
      </w:r>
      <w:r w:rsidR="001C1E26" w:rsidRPr="009464B2">
        <w:t>accept the</w:t>
      </w:r>
      <w:r w:rsidR="00A74BD9" w:rsidRPr="009464B2">
        <w:t xml:space="preserve"> booked amounts for inclusion in rates</w:t>
      </w:r>
      <w:r w:rsidRPr="009464B2">
        <w:t>, namely $56.7 million for electric and $16 million for gas operations</w:t>
      </w:r>
      <w:r w:rsidR="001C1E26" w:rsidRPr="009464B2">
        <w:t xml:space="preserve">. We also approve Staff’s adjustment updating the test year to reflect the results of the 2014 Commission Basis Report.  </w:t>
      </w:r>
    </w:p>
    <w:p w14:paraId="050F11E9" w14:textId="77777777" w:rsidR="001C1E26" w:rsidRPr="009464B2" w:rsidRDefault="001C1E26" w:rsidP="006548F6">
      <w:pPr>
        <w:tabs>
          <w:tab w:val="num" w:pos="0"/>
        </w:tabs>
        <w:ind w:hanging="720"/>
      </w:pPr>
    </w:p>
    <w:p w14:paraId="2E2ECC8C" w14:textId="66DC8326" w:rsidR="00605101" w:rsidRPr="009464B2" w:rsidRDefault="00605101" w:rsidP="009905DE">
      <w:pPr>
        <w:pStyle w:val="Heading3"/>
        <w:numPr>
          <w:ilvl w:val="0"/>
          <w:numId w:val="38"/>
        </w:numPr>
        <w:jc w:val="left"/>
        <w:rPr>
          <w:rFonts w:ascii="Times New Roman" w:hAnsi="Times New Roman"/>
        </w:rPr>
      </w:pPr>
      <w:bookmarkStart w:id="22" w:name="_Toc439838960"/>
      <w:r w:rsidRPr="009464B2">
        <w:rPr>
          <w:rFonts w:ascii="Times New Roman" w:hAnsi="Times New Roman"/>
        </w:rPr>
        <w:t>Attrition</w:t>
      </w:r>
      <w:bookmarkEnd w:id="22"/>
    </w:p>
    <w:p w14:paraId="7324BDB2" w14:textId="77777777" w:rsidR="00B43557" w:rsidRPr="009464B2" w:rsidRDefault="00B43557" w:rsidP="00B43557"/>
    <w:p w14:paraId="181E2226" w14:textId="2F1A085B" w:rsidR="007E1AB9" w:rsidRPr="009464B2" w:rsidRDefault="007E1AB9" w:rsidP="00E351BF">
      <w:pPr>
        <w:numPr>
          <w:ilvl w:val="0"/>
          <w:numId w:val="1"/>
        </w:numPr>
        <w:tabs>
          <w:tab w:val="num" w:pos="0"/>
        </w:tabs>
        <w:spacing w:after="120" w:line="288" w:lineRule="auto"/>
        <w:ind w:left="0" w:hanging="720"/>
        <w:rPr>
          <w:u w:val="single"/>
        </w:rPr>
      </w:pPr>
      <w:r w:rsidRPr="009464B2">
        <w:t xml:space="preserve">Of all the issues Avista raises and to which the other parties responded in this proceeding, none has more direct bearing on consumer rates than the Company’s proposal to include adjustments for attrition to its electric and gas operations. As we discuss further below, attrition occurs when the test-period relationship between rate base, expenses and revenues does not hold under conditions in the rate effective period, such that a utility’s expenses or rate base grows more quickly than revenues, and a utility would likely have </w:t>
      </w:r>
      <w:r w:rsidRPr="009464B2">
        <w:lastRenderedPageBreak/>
        <w:t>no reasonable opportunity to earn its allowed rate of return. An attrition adjustment is a discrete adjustment to the modified historic</w:t>
      </w:r>
      <w:r w:rsidR="000F72FD" w:rsidRPr="009464B2">
        <w:t>al</w:t>
      </w:r>
      <w:r w:rsidRPr="009464B2">
        <w:t xml:space="preserve"> test year that the Commission may use when it determines attrition is present.</w:t>
      </w:r>
      <w:r w:rsidRPr="009464B2">
        <w:rPr>
          <w:rStyle w:val="FootnoteReference"/>
        </w:rPr>
        <w:footnoteReference w:id="61"/>
      </w:r>
      <w:r w:rsidRPr="009464B2">
        <w:t xml:space="preserve"> </w:t>
      </w:r>
    </w:p>
    <w:p w14:paraId="5710C8A5" w14:textId="77777777" w:rsidR="007E1AB9" w:rsidRPr="009464B2" w:rsidRDefault="007E1AB9" w:rsidP="00E351BF">
      <w:pPr>
        <w:numPr>
          <w:ilvl w:val="0"/>
          <w:numId w:val="1"/>
        </w:numPr>
        <w:tabs>
          <w:tab w:val="num" w:pos="0"/>
        </w:tabs>
        <w:spacing w:after="120" w:line="288" w:lineRule="auto"/>
        <w:ind w:left="0" w:hanging="720"/>
        <w:rPr>
          <w:u w:val="single"/>
        </w:rPr>
      </w:pPr>
      <w:r w:rsidRPr="009464B2">
        <w:t xml:space="preserve">The primary issues we must resolve concerning attrition in this case are 1) the appropriate criteria for determining whether an attrition adjustment is warranted; 2) the appropriate methodology for an attrition study; and 3) whether Avista has met its burden of proof to justify granting an attrition adjustment for both electric and natural gas rates. </w:t>
      </w:r>
    </w:p>
    <w:p w14:paraId="39EE4EAA" w14:textId="77777777" w:rsidR="007E1AB9" w:rsidRPr="009464B2" w:rsidRDefault="007E1AB9" w:rsidP="00E351BF">
      <w:pPr>
        <w:numPr>
          <w:ilvl w:val="0"/>
          <w:numId w:val="1"/>
        </w:numPr>
        <w:tabs>
          <w:tab w:val="num" w:pos="0"/>
        </w:tabs>
        <w:spacing w:after="120" w:line="288" w:lineRule="auto"/>
        <w:ind w:left="0" w:hanging="720"/>
        <w:rPr>
          <w:u w:val="single"/>
        </w:rPr>
      </w:pPr>
      <w:r w:rsidRPr="009464B2">
        <w:t>A rich history of Commission orders dating back to the late 1970’s provides useful examples and several criteria for whether to grant attrition adjustments. In addition, this case presents us with the most extensive record of testimony and evidence concerning attrition adjustments since the early 1990’s, including detailed discussion of methodology and criteria. We first discuss the history of attrition decisions before turning to the parties’ presentations and arguments.</w:t>
      </w:r>
    </w:p>
    <w:p w14:paraId="76640679" w14:textId="17D9C318" w:rsidR="00B43557" w:rsidRPr="009464B2" w:rsidRDefault="00B43557" w:rsidP="00493377">
      <w:pPr>
        <w:spacing w:line="288" w:lineRule="auto"/>
        <w:rPr>
          <w:u w:val="single"/>
        </w:rPr>
      </w:pPr>
    </w:p>
    <w:p w14:paraId="377E5546" w14:textId="66534CEE" w:rsidR="00B43557" w:rsidRPr="00493377" w:rsidRDefault="00B43557" w:rsidP="00B25E60">
      <w:pPr>
        <w:pStyle w:val="Heading4"/>
        <w:numPr>
          <w:ilvl w:val="1"/>
          <w:numId w:val="1"/>
        </w:numPr>
        <w:tabs>
          <w:tab w:val="clear" w:pos="1800"/>
          <w:tab w:val="num" w:pos="1080"/>
        </w:tabs>
        <w:spacing w:before="0" w:after="0"/>
        <w:ind w:left="1080" w:hanging="360"/>
        <w:rPr>
          <w:sz w:val="24"/>
          <w:szCs w:val="24"/>
        </w:rPr>
      </w:pPr>
      <w:bookmarkStart w:id="23" w:name="_Toc439838961"/>
      <w:r w:rsidRPr="00493377">
        <w:rPr>
          <w:sz w:val="24"/>
          <w:szCs w:val="24"/>
        </w:rPr>
        <w:t>Historical Context</w:t>
      </w:r>
      <w:bookmarkEnd w:id="23"/>
    </w:p>
    <w:p w14:paraId="5606C0E6" w14:textId="77777777" w:rsidR="009905DE" w:rsidRPr="009464B2" w:rsidRDefault="009905DE" w:rsidP="009905DE"/>
    <w:p w14:paraId="049A211F" w14:textId="1A8B5FB4" w:rsidR="00B43557" w:rsidRPr="00493377" w:rsidRDefault="00B43557" w:rsidP="00B25E60">
      <w:pPr>
        <w:pStyle w:val="NoSpacing"/>
        <w:numPr>
          <w:ilvl w:val="3"/>
          <w:numId w:val="1"/>
        </w:numPr>
        <w:tabs>
          <w:tab w:val="left" w:pos="1440"/>
        </w:tabs>
        <w:ind w:left="1440"/>
        <w:rPr>
          <w:b/>
        </w:rPr>
      </w:pPr>
      <w:r w:rsidRPr="00493377">
        <w:rPr>
          <w:b/>
        </w:rPr>
        <w:t>Attrition Adjustments Prior to 2011</w:t>
      </w:r>
    </w:p>
    <w:p w14:paraId="26C96FFC" w14:textId="77777777" w:rsidR="009905DE" w:rsidRPr="009464B2" w:rsidRDefault="009905DE" w:rsidP="009905DE"/>
    <w:p w14:paraId="27F548B4" w14:textId="487FFBA1" w:rsidR="00B43557" w:rsidRPr="009464B2" w:rsidRDefault="00B43557" w:rsidP="006548F6">
      <w:pPr>
        <w:numPr>
          <w:ilvl w:val="0"/>
          <w:numId w:val="1"/>
        </w:numPr>
        <w:tabs>
          <w:tab w:val="num" w:pos="0"/>
          <w:tab w:val="left" w:pos="810"/>
        </w:tabs>
        <w:spacing w:after="120" w:line="288" w:lineRule="auto"/>
        <w:ind w:left="0" w:hanging="720"/>
        <w:rPr>
          <w:u w:val="single"/>
        </w:rPr>
      </w:pPr>
      <w:r w:rsidRPr="009464B2">
        <w:t xml:space="preserve">From 1978 to 1993, the Commission </w:t>
      </w:r>
      <w:r w:rsidR="00E351BF" w:rsidRPr="009464B2">
        <w:t xml:space="preserve">received and </w:t>
      </w:r>
      <w:r w:rsidRPr="009464B2">
        <w:t>considered requests for attrition adjustments from all electric investor-owned utilities and several natural gas distribution companies in the state. In a number of these cases, the Commission stated that attrition adjustments are designed to address vastly different rates of growth in revenues, expenses, and rate base.</w:t>
      </w:r>
      <w:r w:rsidR="00E351BF" w:rsidRPr="009464B2">
        <w:rPr>
          <w:vertAlign w:val="superscript"/>
        </w:rPr>
        <w:footnoteReference w:id="62"/>
      </w:r>
      <w:r w:rsidR="00E351BF" w:rsidRPr="009464B2">
        <w:t xml:space="preserve"> </w:t>
      </w:r>
      <w:r w:rsidRPr="009464B2">
        <w:t>While inflation was the single most common rationale for the approval of attrition adjustments during that time period,</w:t>
      </w:r>
      <w:r w:rsidRPr="009464B2">
        <w:rPr>
          <w:vertAlign w:val="superscript"/>
        </w:rPr>
        <w:footnoteReference w:id="63"/>
      </w:r>
      <w:r w:rsidRPr="009464B2">
        <w:t xml:space="preserve"> the Commission also relied on </w:t>
      </w:r>
      <w:r w:rsidRPr="009464B2">
        <w:lastRenderedPageBreak/>
        <w:t>the following criteria or bases, in part or in whole, in deciding whether to grant attrition adjustments:</w:t>
      </w:r>
    </w:p>
    <w:p w14:paraId="07F2DBD7" w14:textId="2898CBAA" w:rsidR="00B43557" w:rsidRPr="009464B2" w:rsidRDefault="00B43557" w:rsidP="006548F6">
      <w:pPr>
        <w:numPr>
          <w:ilvl w:val="0"/>
          <w:numId w:val="16"/>
        </w:numPr>
        <w:tabs>
          <w:tab w:val="left" w:pos="810"/>
          <w:tab w:val="num" w:pos="1440"/>
        </w:tabs>
        <w:spacing w:after="120" w:line="288" w:lineRule="auto"/>
        <w:ind w:left="1440" w:hanging="720"/>
      </w:pPr>
      <w:r w:rsidRPr="009464B2">
        <w:t>Severe challenges to the utility’s financial integrity,</w:t>
      </w:r>
      <w:r w:rsidRPr="009464B2">
        <w:rPr>
          <w:vertAlign w:val="superscript"/>
        </w:rPr>
        <w:footnoteReference w:id="64"/>
      </w:r>
    </w:p>
    <w:p w14:paraId="0AE86E4C" w14:textId="08C9FC0C" w:rsidR="00B43557" w:rsidRPr="009464B2" w:rsidRDefault="00B43557" w:rsidP="006548F6">
      <w:pPr>
        <w:numPr>
          <w:ilvl w:val="0"/>
          <w:numId w:val="16"/>
        </w:numPr>
        <w:tabs>
          <w:tab w:val="left" w:pos="810"/>
          <w:tab w:val="num" w:pos="1440"/>
        </w:tabs>
        <w:spacing w:after="120" w:line="288" w:lineRule="auto"/>
        <w:ind w:left="1440" w:hanging="720"/>
      </w:pPr>
      <w:r w:rsidRPr="009464B2">
        <w:t>An exceptionally large amount of production plant construction,</w:t>
      </w:r>
      <w:r w:rsidRPr="009464B2">
        <w:rPr>
          <w:vertAlign w:val="superscript"/>
        </w:rPr>
        <w:footnoteReference w:id="65"/>
      </w:r>
      <w:r w:rsidRPr="009464B2">
        <w:t xml:space="preserve"> </w:t>
      </w:r>
    </w:p>
    <w:p w14:paraId="11DC0D03" w14:textId="47D7102E" w:rsidR="00B43557" w:rsidRPr="009464B2" w:rsidRDefault="00B43557" w:rsidP="006548F6">
      <w:pPr>
        <w:numPr>
          <w:ilvl w:val="0"/>
          <w:numId w:val="16"/>
        </w:numPr>
        <w:tabs>
          <w:tab w:val="left" w:pos="810"/>
          <w:tab w:val="num" w:pos="1440"/>
        </w:tabs>
        <w:spacing w:after="120" w:line="288" w:lineRule="auto"/>
        <w:ind w:left="1440" w:hanging="720"/>
      </w:pPr>
      <w:r w:rsidRPr="009464B2">
        <w:t>Increasing expenses and decreasing sales,</w:t>
      </w:r>
      <w:r w:rsidRPr="009464B2">
        <w:rPr>
          <w:vertAlign w:val="superscript"/>
        </w:rPr>
        <w:footnoteReference w:id="66"/>
      </w:r>
      <w:r w:rsidRPr="009464B2">
        <w:t xml:space="preserve"> </w:t>
      </w:r>
    </w:p>
    <w:p w14:paraId="41EBF6CB" w14:textId="20949AEA" w:rsidR="00B43557" w:rsidRPr="009464B2" w:rsidRDefault="00B43557" w:rsidP="006548F6">
      <w:pPr>
        <w:numPr>
          <w:ilvl w:val="0"/>
          <w:numId w:val="16"/>
        </w:numPr>
        <w:tabs>
          <w:tab w:val="left" w:pos="810"/>
          <w:tab w:val="num" w:pos="1440"/>
        </w:tabs>
        <w:spacing w:after="120" w:line="288" w:lineRule="auto"/>
        <w:ind w:left="1440" w:hanging="720"/>
      </w:pPr>
      <w:r w:rsidRPr="009464B2">
        <w:t>Higher costs of future securities issues,</w:t>
      </w:r>
      <w:r w:rsidRPr="009464B2">
        <w:rPr>
          <w:vertAlign w:val="superscript"/>
        </w:rPr>
        <w:footnoteReference w:id="67"/>
      </w:r>
      <w:r w:rsidRPr="009464B2">
        <w:rPr>
          <w:vertAlign w:val="superscript"/>
        </w:rPr>
        <w:t xml:space="preserve"> </w:t>
      </w:r>
      <w:r w:rsidRPr="009464B2">
        <w:t xml:space="preserve">and </w:t>
      </w:r>
    </w:p>
    <w:p w14:paraId="1467A742" w14:textId="0007D38F" w:rsidR="00B43557" w:rsidRPr="009464B2" w:rsidRDefault="00B43557" w:rsidP="006548F6">
      <w:pPr>
        <w:numPr>
          <w:ilvl w:val="0"/>
          <w:numId w:val="16"/>
        </w:numPr>
        <w:tabs>
          <w:tab w:val="left" w:pos="810"/>
          <w:tab w:val="num" w:pos="1440"/>
        </w:tabs>
        <w:spacing w:after="120" w:line="288" w:lineRule="auto"/>
        <w:ind w:left="1440" w:hanging="720"/>
      </w:pPr>
      <w:r w:rsidRPr="009464B2">
        <w:t>The lack of a reasonable opportunity for a utility to earn its allowed rate of return.</w:t>
      </w:r>
      <w:r w:rsidRPr="009464B2">
        <w:rPr>
          <w:vertAlign w:val="superscript"/>
        </w:rPr>
        <w:footnoteReference w:id="68"/>
      </w:r>
    </w:p>
    <w:p w14:paraId="67885CD3" w14:textId="77777777" w:rsidR="00B43557" w:rsidRPr="009464B2" w:rsidRDefault="00B43557" w:rsidP="006548F6">
      <w:pPr>
        <w:tabs>
          <w:tab w:val="left" w:pos="810"/>
          <w:tab w:val="num" w:pos="1440"/>
        </w:tabs>
        <w:spacing w:after="120" w:line="288" w:lineRule="auto"/>
        <w:ind w:left="1440" w:hanging="720"/>
      </w:pPr>
    </w:p>
    <w:p w14:paraId="755E0049" w14:textId="77777777" w:rsidR="00B43557" w:rsidRPr="009464B2" w:rsidRDefault="00B43557" w:rsidP="006548F6">
      <w:pPr>
        <w:numPr>
          <w:ilvl w:val="0"/>
          <w:numId w:val="1"/>
        </w:numPr>
        <w:tabs>
          <w:tab w:val="num" w:pos="0"/>
          <w:tab w:val="left" w:pos="810"/>
        </w:tabs>
        <w:spacing w:after="120" w:line="288" w:lineRule="auto"/>
        <w:ind w:left="0" w:hanging="720"/>
      </w:pPr>
      <w:r w:rsidRPr="009464B2">
        <w:t>In 1993, in the last case in which the Commission addressed attrition until 2012, the Commission rejected Washington Natural Gas’ request for an attrition adjustment in its general rate case, stating that attrition adjustments should only be made in “extraordinary circumstances” when “without such an adjustment, the company would have no reasonable opportunity to earn its authorized rate of return.”</w:t>
      </w:r>
      <w:r w:rsidRPr="009464B2">
        <w:rPr>
          <w:vertAlign w:val="superscript"/>
        </w:rPr>
        <w:t xml:space="preserve"> </w:t>
      </w:r>
      <w:r w:rsidRPr="009464B2">
        <w:rPr>
          <w:vertAlign w:val="superscript"/>
        </w:rPr>
        <w:footnoteReference w:id="69"/>
      </w:r>
      <w:r w:rsidRPr="009464B2">
        <w:t xml:space="preserve"> </w:t>
      </w:r>
    </w:p>
    <w:p w14:paraId="323DF777" w14:textId="77777777" w:rsidR="00B43557" w:rsidRPr="009464B2" w:rsidRDefault="00B43557" w:rsidP="00493377"/>
    <w:p w14:paraId="0E4B6F51" w14:textId="4931171A" w:rsidR="00B43557" w:rsidRPr="00493377" w:rsidRDefault="00493377" w:rsidP="00B25E60">
      <w:pPr>
        <w:pStyle w:val="NoSpacing"/>
        <w:tabs>
          <w:tab w:val="left" w:pos="1440"/>
        </w:tabs>
        <w:ind w:left="1080"/>
        <w:rPr>
          <w:b/>
        </w:rPr>
      </w:pPr>
      <w:r>
        <w:rPr>
          <w:b/>
        </w:rPr>
        <w:lastRenderedPageBreak/>
        <w:t>b</w:t>
      </w:r>
      <w:r>
        <w:rPr>
          <w:b/>
        </w:rPr>
        <w:tab/>
      </w:r>
      <w:r w:rsidR="00B43557" w:rsidRPr="00493377">
        <w:rPr>
          <w:b/>
        </w:rPr>
        <w:t>Contemporary Treatment of Attrition</w:t>
      </w:r>
    </w:p>
    <w:p w14:paraId="38FA8D19" w14:textId="77777777" w:rsidR="009905DE" w:rsidRPr="009464B2" w:rsidRDefault="009905DE" w:rsidP="009905DE"/>
    <w:p w14:paraId="7EFA3D28" w14:textId="74D129EF" w:rsidR="00B43557" w:rsidRPr="009464B2" w:rsidRDefault="00B43557" w:rsidP="00492416">
      <w:pPr>
        <w:numPr>
          <w:ilvl w:val="0"/>
          <w:numId w:val="1"/>
        </w:numPr>
        <w:tabs>
          <w:tab w:val="num" w:pos="0"/>
        </w:tabs>
        <w:spacing w:after="120" w:line="288" w:lineRule="auto"/>
        <w:ind w:left="0" w:hanging="720"/>
      </w:pPr>
      <w:r w:rsidRPr="009464B2">
        <w:t xml:space="preserve">The Commission did not address attrition again in the context of a general rate case until 2012. While </w:t>
      </w:r>
      <w:r w:rsidR="00FA7CA2">
        <w:t>Puget Sound Energy (PSE)</w:t>
      </w:r>
      <w:r w:rsidRPr="009464B2">
        <w:t xml:space="preserve"> did not request an attrition adjustment in its 2011 general rate case, Staff raised the issue and suggested that PSE should have prepared an attrition study to support an attrition adjustment. The Commission observed that attrition adjustments were “available to utilities during the early 1980’s in an environment of exceptional inflation and high interest rates [, and are] equally available today if shown to be a needed response to the challenges posed by PSE’s current intensive capital investment program to replace aging infrastructure.”</w:t>
      </w:r>
      <w:r w:rsidRPr="009464B2">
        <w:rPr>
          <w:vertAlign w:val="superscript"/>
        </w:rPr>
        <w:footnoteReference w:id="70"/>
      </w:r>
      <w:r w:rsidRPr="009464B2">
        <w:t xml:space="preserve"> The Commission further noted in its order that:</w:t>
      </w:r>
    </w:p>
    <w:p w14:paraId="6109135A" w14:textId="6104A1D7" w:rsidR="00B43557" w:rsidRPr="009464B2" w:rsidRDefault="00492416" w:rsidP="00492416">
      <w:pPr>
        <w:tabs>
          <w:tab w:val="num" w:pos="720"/>
        </w:tabs>
        <w:spacing w:after="120" w:line="288" w:lineRule="auto"/>
        <w:ind w:left="720" w:hanging="720"/>
      </w:pPr>
      <w:r w:rsidRPr="009464B2">
        <w:tab/>
      </w:r>
      <w:r w:rsidR="00B43557" w:rsidRPr="009464B2">
        <w:t>Earnings attrition is not an issue new to regulation nor are various regulatory solutions to the problem.  The phenomenon is well documented and examined in regulatory texts.  It has been addressed variously by state utility commissions since the early 1960s.  The formal definition of “attrition” in the context of utility ratemaking is limited to circumstances in which key assumptions that underlie ratemaking theory fail to hold in reality.  Regardless whether an historical or budgeted test-period is used, the relationship between rate base, expenses and revenues is used to represent the future and to set prospective rates adequate to allow a reasonable return.  Ratemaking rests on the key assumption that the test-period relationships will accurately represent relationships in the future.  If this assumption fails, cost of service may increase more rapidly than revenues and the rates approved based on test period conditions may not be adequate to achieve the allowed level of return under future conditions.</w:t>
      </w:r>
      <w:r w:rsidR="00B43557" w:rsidRPr="009464B2">
        <w:rPr>
          <w:vertAlign w:val="superscript"/>
        </w:rPr>
        <w:footnoteReference w:id="71"/>
      </w:r>
    </w:p>
    <w:p w14:paraId="6ED0E917" w14:textId="77777777" w:rsidR="00B43557" w:rsidRPr="009464B2" w:rsidRDefault="00B43557" w:rsidP="00E351BF">
      <w:pPr>
        <w:spacing w:after="120" w:line="288" w:lineRule="auto"/>
      </w:pPr>
      <w:r w:rsidRPr="009464B2">
        <w:t xml:space="preserve">The Commission has since discussed the issue of earnings attrition and how to address it in the last two general rate cases brought by Avista.  </w:t>
      </w:r>
    </w:p>
    <w:p w14:paraId="5F8B1502" w14:textId="77777777" w:rsidR="00B43557" w:rsidRPr="009464B2" w:rsidRDefault="00B43557" w:rsidP="00492416">
      <w:pPr>
        <w:numPr>
          <w:ilvl w:val="0"/>
          <w:numId w:val="1"/>
        </w:numPr>
        <w:tabs>
          <w:tab w:val="num" w:pos="0"/>
        </w:tabs>
        <w:spacing w:after="120" w:line="288" w:lineRule="auto"/>
        <w:ind w:left="0" w:hanging="720"/>
      </w:pPr>
      <w:r w:rsidRPr="009464B2">
        <w:t xml:space="preserve">In Avista’s 2012 general rate proceeding, a central element of the Company’s proposed increase to rates was, largely, its contention that it was unable to achieve its authorized </w:t>
      </w:r>
      <w:r w:rsidRPr="009464B2">
        <w:lastRenderedPageBreak/>
        <w:t>rate of return as a result of attrition.</w:t>
      </w:r>
      <w:r w:rsidRPr="009464B2">
        <w:rPr>
          <w:vertAlign w:val="superscript"/>
        </w:rPr>
        <w:footnoteReference w:id="72"/>
      </w:r>
      <w:r w:rsidRPr="009464B2">
        <w:t xml:space="preserve"> In joint testimony supporting a settlement of all contested issues in that case, the Company and Staff specifically stated that the settlement’s revenue requirement for electric and natural gas operations were based on attrition.</w:t>
      </w:r>
      <w:r w:rsidRPr="009464B2">
        <w:rPr>
          <w:vertAlign w:val="superscript"/>
        </w:rPr>
        <w:footnoteReference w:id="73"/>
      </w:r>
      <w:r w:rsidRPr="009464B2">
        <w:t xml:space="preserve"> The settlement also established a multi-year rate plan.  </w:t>
      </w:r>
    </w:p>
    <w:p w14:paraId="75B1DF17" w14:textId="77777777" w:rsidR="00B43557" w:rsidRPr="009464B2" w:rsidRDefault="00B43557" w:rsidP="00492416">
      <w:pPr>
        <w:numPr>
          <w:ilvl w:val="0"/>
          <w:numId w:val="1"/>
        </w:numPr>
        <w:tabs>
          <w:tab w:val="num" w:pos="0"/>
        </w:tabs>
        <w:spacing w:after="120" w:line="288" w:lineRule="auto"/>
        <w:ind w:left="0" w:hanging="720"/>
      </w:pPr>
      <w:r w:rsidRPr="009464B2">
        <w:t xml:space="preserve">In its order approving the settlement the Commission stated: </w:t>
      </w:r>
    </w:p>
    <w:p w14:paraId="43C86EBD" w14:textId="780B3490" w:rsidR="00B43557" w:rsidRPr="009464B2" w:rsidRDefault="00492416" w:rsidP="00492416">
      <w:pPr>
        <w:tabs>
          <w:tab w:val="num" w:pos="720"/>
        </w:tabs>
        <w:spacing w:after="120" w:line="288" w:lineRule="auto"/>
        <w:ind w:left="720" w:hanging="720"/>
      </w:pPr>
      <w:r w:rsidRPr="009464B2">
        <w:tab/>
      </w:r>
      <w:r w:rsidR="00B43557" w:rsidRPr="009464B2">
        <w:t>The Commission finds, on the basis of the evidence presented, that consideration of attrition in setting rates for 2013 is appropriate.  However, the attrition is caused substantially by Avista’s ongoing capital investment program, and we have no absolute assurance that Avista will complete the projects described in its plan for 2013.</w:t>
      </w:r>
      <w:r w:rsidR="00B43557" w:rsidRPr="009464B2">
        <w:rPr>
          <w:vertAlign w:val="superscript"/>
        </w:rPr>
        <w:footnoteReference w:id="74"/>
      </w:r>
      <w:r w:rsidR="00B43557" w:rsidRPr="009464B2">
        <w:t> </w:t>
      </w:r>
    </w:p>
    <w:p w14:paraId="7B4D2C63" w14:textId="111EA8B7" w:rsidR="00B43557" w:rsidRPr="009464B2" w:rsidRDefault="00492416" w:rsidP="00492416">
      <w:pPr>
        <w:tabs>
          <w:tab w:val="num" w:pos="720"/>
        </w:tabs>
        <w:spacing w:after="120" w:line="288" w:lineRule="auto"/>
        <w:ind w:left="720" w:hanging="720"/>
      </w:pPr>
      <w:r w:rsidRPr="009464B2">
        <w:tab/>
      </w:r>
      <w:r w:rsidR="00B43557" w:rsidRPr="009464B2">
        <w:t>While we find the arguments of some of the settling parties persuasive that attrition will continue into the very near future, including the 2014 calendar year, we are basing our temporary approval of the 2014 rates on the Company’s representations of these continued capital investments.</w:t>
      </w:r>
      <w:r w:rsidR="00B43557" w:rsidRPr="009464B2">
        <w:rPr>
          <w:vertAlign w:val="superscript"/>
        </w:rPr>
        <w:footnoteReference w:id="75"/>
      </w:r>
      <w:r w:rsidR="00B43557" w:rsidRPr="009464B2">
        <w:t xml:space="preserve">  </w:t>
      </w:r>
    </w:p>
    <w:p w14:paraId="5AACC919" w14:textId="77777777" w:rsidR="00B43557" w:rsidRPr="009464B2" w:rsidRDefault="00B43557" w:rsidP="00492416">
      <w:pPr>
        <w:spacing w:after="120" w:line="288" w:lineRule="auto"/>
        <w:ind w:left="720"/>
      </w:pPr>
      <w:r w:rsidRPr="009464B2">
        <w:t>The record evidence supports a finding of attrition in the near term; however, we refuse to endorse either of the different attrition methodologies employed in this case. Instead, we will take the issue up in a subsequent inquiry to explore the issue further.  The Commission accepts the remainder of the Multi-Party Settlement Stipulation (Settlement), including the stipulated return on equity (ROE) and capital structure; noting, however, that the overall trend for ROEs has been edging downward.</w:t>
      </w:r>
      <w:r w:rsidRPr="009464B2">
        <w:rPr>
          <w:vertAlign w:val="superscript"/>
        </w:rPr>
        <w:footnoteReference w:id="76"/>
      </w:r>
    </w:p>
    <w:p w14:paraId="31ABBD18" w14:textId="77777777" w:rsidR="00B43557" w:rsidRPr="009464B2" w:rsidRDefault="00B43557" w:rsidP="00492416">
      <w:pPr>
        <w:numPr>
          <w:ilvl w:val="0"/>
          <w:numId w:val="1"/>
        </w:numPr>
        <w:tabs>
          <w:tab w:val="num" w:pos="0"/>
        </w:tabs>
        <w:spacing w:after="120" w:line="288" w:lineRule="auto"/>
        <w:ind w:left="0" w:hanging="720"/>
      </w:pPr>
      <w:r w:rsidRPr="009464B2">
        <w:t>Although the Commission approved the agreement including its inherent elements reflecting the Company’s and Staff’s position on attrition, the Commission was also cautious in explaining its approval, noting:</w:t>
      </w:r>
    </w:p>
    <w:p w14:paraId="2482029C" w14:textId="2168A4D0" w:rsidR="00B43557" w:rsidRPr="009464B2" w:rsidRDefault="00492416" w:rsidP="00492416">
      <w:pPr>
        <w:tabs>
          <w:tab w:val="num" w:pos="720"/>
        </w:tabs>
        <w:spacing w:after="120" w:line="288" w:lineRule="auto"/>
        <w:ind w:left="720" w:hanging="720"/>
      </w:pPr>
      <w:r w:rsidRPr="009464B2">
        <w:lastRenderedPageBreak/>
        <w:tab/>
      </w:r>
      <w:r w:rsidR="00B43557" w:rsidRPr="009464B2">
        <w:t>Historically, the Commission has approved attrition adjustments in the context of litigated rate cases, although the Commission has not ruled on such an adjustment in recent years.  Such a context permits a thorough review of the evidence necessary for an appropriate adjustment.  In the context of this Settlement, however, we have not had the opportunity either to articulate the appropriate standards by which to assess a proposed attrition adjustment nor evaluate thoroughly the evidence in support of such an adjustment.  Here, both the Company and Staff performed attrition studies to project 2013 rates.  We agree with the Company and Staff that the proposed 2013 rate increase is based significantly on attrition.</w:t>
      </w:r>
      <w:r w:rsidR="00B43557" w:rsidRPr="009464B2">
        <w:rPr>
          <w:vertAlign w:val="superscript"/>
        </w:rPr>
        <w:footnoteReference w:id="77"/>
      </w:r>
      <w:r w:rsidR="00B43557" w:rsidRPr="009464B2">
        <w:t> </w:t>
      </w:r>
    </w:p>
    <w:p w14:paraId="2AAAD9B0" w14:textId="0D5F6395" w:rsidR="00B43557" w:rsidRPr="009464B2" w:rsidRDefault="00492416" w:rsidP="00492416">
      <w:pPr>
        <w:tabs>
          <w:tab w:val="num" w:pos="720"/>
        </w:tabs>
        <w:spacing w:after="120" w:line="288" w:lineRule="auto"/>
        <w:ind w:left="720" w:hanging="720"/>
      </w:pPr>
      <w:r w:rsidRPr="009464B2">
        <w:tab/>
      </w:r>
      <w:r w:rsidR="00B43557" w:rsidRPr="009464B2">
        <w:t>Much of the attrition is based on continued capital investment by Avista.  The Company has put forth its 2013 capital construction plan, and its representation that it will continue to make such needed investments in upcoming years.  However, we deem it desirable to monitor the Company’s progress in achieving its plan for capital expenditures so that the ratepayers can be assured that the rate increase designed to assist the Company in making those investments can continue to be justified.</w:t>
      </w:r>
      <w:r w:rsidR="00B43557" w:rsidRPr="009464B2">
        <w:rPr>
          <w:vertAlign w:val="superscript"/>
        </w:rPr>
        <w:footnoteReference w:id="78"/>
      </w:r>
      <w:r w:rsidR="00B43557" w:rsidRPr="009464B2">
        <w:t xml:space="preserve">  </w:t>
      </w:r>
    </w:p>
    <w:p w14:paraId="776E058F" w14:textId="1877FA8E" w:rsidR="00B43557" w:rsidRPr="009464B2" w:rsidRDefault="00492416" w:rsidP="00492416">
      <w:pPr>
        <w:tabs>
          <w:tab w:val="num" w:pos="720"/>
        </w:tabs>
        <w:spacing w:after="120" w:line="288" w:lineRule="auto"/>
        <w:ind w:left="720" w:hanging="720"/>
      </w:pPr>
      <w:r w:rsidRPr="009464B2">
        <w:tab/>
      </w:r>
      <w:r w:rsidR="00B43557" w:rsidRPr="009464B2">
        <w:t xml:space="preserve">While the Company and Staff have each submitted attrition studies that justify the 2013 increase, they did not submit such studies for the 2014 increase, which also is justified substantially on anticipated continued attrition. Rather, they argue that the trends of attrition from 2013 will continue through 2014, thereby justifying a further rate increase.  For the purposes of this Settlement, we accept the trending analysis from both Staff and Avista.  </w:t>
      </w:r>
      <w:r w:rsidR="00B43557" w:rsidRPr="009464B2">
        <w:rPr>
          <w:i/>
        </w:rPr>
        <w:t>However, we make clear that the testimony and trending data offered in support of the proposed rate increase for 2014 are substantially less precise than we would require in a fully-litigated rate case.</w:t>
      </w:r>
      <w:r w:rsidR="00B43557" w:rsidRPr="009464B2">
        <w:rPr>
          <w:i/>
          <w:vertAlign w:val="superscript"/>
        </w:rPr>
        <w:footnoteReference w:id="79"/>
      </w:r>
    </w:p>
    <w:p w14:paraId="52D829DF" w14:textId="77777777" w:rsidR="00B43557" w:rsidRPr="009464B2" w:rsidRDefault="00B43557" w:rsidP="00492416">
      <w:pPr>
        <w:numPr>
          <w:ilvl w:val="0"/>
          <w:numId w:val="1"/>
        </w:numPr>
        <w:tabs>
          <w:tab w:val="num" w:pos="0"/>
        </w:tabs>
        <w:spacing w:after="120" w:line="288" w:lineRule="auto"/>
        <w:ind w:left="0" w:hanging="720"/>
      </w:pPr>
      <w:r w:rsidRPr="009464B2">
        <w:t xml:space="preserve">Notwithstanding its decision to approve a settlement that intrinsically addressed some parties’ perspective on an adjustment for attrition, the Commission articulated caution about any express or implied endorsement of a particular basis, such as use of budgeted capital expenditures or expense escalation rates, beyond the test year as a means of support, in whole or in part, for projected attrition claims. In particular, while considering </w:t>
      </w:r>
      <w:r w:rsidRPr="009464B2">
        <w:lastRenderedPageBreak/>
        <w:t xml:space="preserve">attrition claims beyond the first year of a multi-year rate plan and the inherent opacity of approving a settlement, the Commission noted:  </w:t>
      </w:r>
    </w:p>
    <w:p w14:paraId="49CB31A5" w14:textId="4DD3E078" w:rsidR="00B43557" w:rsidRPr="009464B2" w:rsidRDefault="00492416" w:rsidP="00492416">
      <w:pPr>
        <w:tabs>
          <w:tab w:val="num" w:pos="720"/>
        </w:tabs>
        <w:spacing w:after="120" w:line="288" w:lineRule="auto"/>
        <w:ind w:left="720" w:hanging="720"/>
      </w:pPr>
      <w:r w:rsidRPr="009464B2">
        <w:tab/>
      </w:r>
      <w:r w:rsidR="00B43557" w:rsidRPr="009464B2">
        <w:t>In conditionally approving the Settlement, we are not endorsing the specific attrition methodologies, assumptions, or inputs used in this case.  Indeed, Commission Staff witness Kathryn Breda cautioned us about using her analysis as the model for future attrition decisions.  Though we agree with Commission Staff that an attrition adjustment should not be limited to circumstances where the utility can demonstrate extreme financial distress, as advocated by Public Counsel, we intend to clarify the conditions wherein attrition should be considered when setting rates. As noted above, the Settlement has limited our opportunity to do so here.</w:t>
      </w:r>
      <w:r w:rsidR="00B43557" w:rsidRPr="009464B2">
        <w:rPr>
          <w:vertAlign w:val="superscript"/>
        </w:rPr>
        <w:footnoteReference w:id="80"/>
      </w:r>
    </w:p>
    <w:p w14:paraId="5691DA35" w14:textId="77777777" w:rsidR="00E351BF" w:rsidRPr="009464B2" w:rsidRDefault="00E351BF" w:rsidP="00E351BF">
      <w:pPr>
        <w:numPr>
          <w:ilvl w:val="0"/>
          <w:numId w:val="1"/>
        </w:numPr>
        <w:tabs>
          <w:tab w:val="num" w:pos="0"/>
        </w:tabs>
        <w:spacing w:after="120" w:line="288" w:lineRule="auto"/>
        <w:ind w:left="0" w:hanging="720"/>
      </w:pPr>
      <w:r w:rsidRPr="009464B2">
        <w:t>Subsequent to Avista’s 2012 general rate proceeding and implementation of a multi-year rate plan, the Commission authorized PSE to implement a decoupling mechanism and rate plan that included an implicit attrition adjustment. There the Commission noted:</w:t>
      </w:r>
    </w:p>
    <w:p w14:paraId="346D1346" w14:textId="77777777" w:rsidR="00E351BF" w:rsidRPr="009464B2" w:rsidRDefault="00E351BF" w:rsidP="00E351BF">
      <w:pPr>
        <w:spacing w:after="120" w:line="288" w:lineRule="auto"/>
        <w:ind w:left="720"/>
      </w:pPr>
      <w:r w:rsidRPr="009464B2">
        <w:t xml:space="preserve">As in the Avista case, we determine that the trending analysis on which PSE bases the rate plan escalation factors supports their approval as an appropriate measure to address earnings attrition going forward. That is, PSE’s analysis of actual historical trends in the growth rates of revenues, expenses, and rate base to estimate the erosion in rate of return caused by disparate growth in these categories that PSE will experience absent application of these escalation factors supports the adjustments.  </w:t>
      </w:r>
    </w:p>
    <w:p w14:paraId="5C40BE35" w14:textId="3ACDD36B" w:rsidR="00E351BF" w:rsidRPr="009464B2" w:rsidRDefault="00E351BF" w:rsidP="00E351BF">
      <w:pPr>
        <w:spacing w:after="120" w:line="288" w:lineRule="auto"/>
        <w:ind w:left="720"/>
      </w:pPr>
      <w:r w:rsidRPr="009464B2">
        <w:t>Finally, again as in Avista, there are other factors that support the “end result” in terms of rates that will be established, in part, based on the rate plan escalation factors. The rate plan provides a degree of relative rate stability, or at least predictability, for customers for several years. The rate plan is an innovative approach that will provide incentives to PSE to cut costs in order to earn its authorized rate of return. Moreover, the lack of annual rate filings will provide the Company, Staff, and other participants in PSE’s general rate proceedings with a respite from the burdens and costs of the current pattern of almost continuous rate cases with one general rate case filing following quickly after the resolution of another.</w:t>
      </w:r>
      <w:r w:rsidRPr="009464B2">
        <w:rPr>
          <w:rStyle w:val="FootnoteReference"/>
        </w:rPr>
        <w:footnoteReference w:id="81"/>
      </w:r>
    </w:p>
    <w:p w14:paraId="2492C75B" w14:textId="77777777" w:rsidR="00E351BF" w:rsidRPr="009464B2" w:rsidRDefault="00E351BF" w:rsidP="00E351BF">
      <w:pPr>
        <w:numPr>
          <w:ilvl w:val="0"/>
          <w:numId w:val="1"/>
        </w:numPr>
        <w:tabs>
          <w:tab w:val="num" w:pos="0"/>
        </w:tabs>
        <w:spacing w:after="120" w:line="288" w:lineRule="auto"/>
        <w:ind w:left="0" w:hanging="720"/>
      </w:pPr>
      <w:r w:rsidRPr="009464B2">
        <w:lastRenderedPageBreak/>
        <w:t>The Commission continued:</w:t>
      </w:r>
    </w:p>
    <w:p w14:paraId="43397EEA" w14:textId="02A9A70B" w:rsidR="00E351BF" w:rsidRPr="009464B2" w:rsidRDefault="00E351BF" w:rsidP="00E351BF">
      <w:pPr>
        <w:spacing w:after="120" w:line="288" w:lineRule="auto"/>
        <w:ind w:left="720"/>
      </w:pPr>
      <w:r w:rsidRPr="009464B2">
        <w:t>The use of fixed annual escalation factors to adjust PSE’s rates is a viable approach to reduce the impacts of regulatory lag and attrition during a multi-year general rate case stay-out period. The escalation factors provide PSE an improved opportunity to earn its authorized return, but are set at levels that will requires PSE to improve the efficiency of its operations if it is to actually earn its authorized return. This is a critically important consideration underlying our approval of the rate plan.</w:t>
      </w:r>
      <w:r w:rsidRPr="009464B2">
        <w:rPr>
          <w:rStyle w:val="FootnoteReference"/>
        </w:rPr>
        <w:footnoteReference w:id="82"/>
      </w:r>
    </w:p>
    <w:p w14:paraId="0FC6B199" w14:textId="46E98806" w:rsidR="00E351BF" w:rsidRPr="009464B2" w:rsidRDefault="00E351BF" w:rsidP="00E351BF">
      <w:pPr>
        <w:numPr>
          <w:ilvl w:val="0"/>
          <w:numId w:val="1"/>
        </w:numPr>
        <w:tabs>
          <w:tab w:val="num" w:pos="0"/>
        </w:tabs>
        <w:spacing w:after="120" w:line="288" w:lineRule="auto"/>
        <w:ind w:left="0" w:hanging="720"/>
      </w:pPr>
      <w:r w:rsidRPr="009464B2">
        <w:t>Avista initiated a general rate proceeding in 2014 that also hinged in part on the Company’s attrition claims.</w:t>
      </w:r>
      <w:r w:rsidRPr="009464B2">
        <w:rPr>
          <w:vertAlign w:val="superscript"/>
        </w:rPr>
        <w:footnoteReference w:id="83"/>
      </w:r>
      <w:r w:rsidRPr="009464B2">
        <w:t xml:space="preserve"> As before, and despite contemporaneous</w:t>
      </w:r>
      <w:r w:rsidRPr="009464B2" w:rsidDel="00704872">
        <w:t xml:space="preserve"> </w:t>
      </w:r>
      <w:r w:rsidRPr="009464B2">
        <w:t>implementation of a multi-year rate plan intended to ameliorate claimed earnings deficiencies, Avista maintained that it was experiencing attrition and that the decline in earnings was expected to be an ongoing condition beyond its control. In support of its claim, the Company prepared an attrition study that produced an historical trend of its expenses, revenue and rate base and the impact of that trend on its earnings to derive its alleged revenue deficiency.</w:t>
      </w:r>
    </w:p>
    <w:p w14:paraId="0C7F5FAC" w14:textId="00251DC7" w:rsidR="00B43557" w:rsidRPr="009464B2" w:rsidRDefault="00B43557" w:rsidP="00492416">
      <w:pPr>
        <w:numPr>
          <w:ilvl w:val="0"/>
          <w:numId w:val="1"/>
        </w:numPr>
        <w:tabs>
          <w:tab w:val="num" w:pos="0"/>
        </w:tabs>
        <w:spacing w:after="120" w:line="288" w:lineRule="auto"/>
        <w:ind w:left="0" w:hanging="720"/>
      </w:pPr>
      <w:r w:rsidRPr="009464B2">
        <w:t>In response testimony in that proceeding, Staff adopted a similar trending method identifying projected expense levels that Staff proposed the Commission use to set rates. Public Counsel strongly opposed Avista and Staff’s trending methodolog</w:t>
      </w:r>
      <w:r w:rsidR="00E81E77">
        <w:t>ies</w:t>
      </w:r>
      <w:r w:rsidRPr="009464B2">
        <w:t>, suggesting that the attrition studies’ results are due to the Company’s own internal decisions to accelerate capital expenditures</w:t>
      </w:r>
      <w:r w:rsidR="00E81E77">
        <w:t>.</w:t>
      </w:r>
      <w:r w:rsidRPr="009464B2">
        <w:t xml:space="preserve"> ICNU also opposed the use of attrition by pointing out that the Commission had not approved </w:t>
      </w:r>
      <w:r w:rsidR="00E81E77">
        <w:t>a</w:t>
      </w:r>
      <w:r w:rsidRPr="009464B2">
        <w:t xml:space="preserve"> methodology nor had the Company satisfied its burden necessary to justify a change in the Commission’s normal practice of setting revenue requirements.</w:t>
      </w:r>
    </w:p>
    <w:p w14:paraId="0D85F1F3" w14:textId="77777777" w:rsidR="00B43557" w:rsidRPr="009464B2" w:rsidRDefault="00B43557" w:rsidP="00492416">
      <w:pPr>
        <w:numPr>
          <w:ilvl w:val="0"/>
          <w:numId w:val="1"/>
        </w:numPr>
        <w:tabs>
          <w:tab w:val="num" w:pos="0"/>
        </w:tabs>
        <w:spacing w:after="120" w:line="288" w:lineRule="auto"/>
        <w:ind w:left="0" w:hanging="720"/>
      </w:pPr>
      <w:r w:rsidRPr="009464B2">
        <w:t>Presented with a full settlement that did not resolve all contested issues, the Commission reached no conclusion regarding attrition:</w:t>
      </w:r>
    </w:p>
    <w:p w14:paraId="16E4FA19" w14:textId="744E697E" w:rsidR="00B43557" w:rsidRPr="009464B2" w:rsidRDefault="00492416" w:rsidP="00492416">
      <w:pPr>
        <w:tabs>
          <w:tab w:val="num" w:pos="720"/>
        </w:tabs>
        <w:spacing w:after="120" w:line="288" w:lineRule="auto"/>
        <w:ind w:left="720" w:hanging="720"/>
      </w:pPr>
      <w:r w:rsidRPr="009464B2">
        <w:tab/>
      </w:r>
      <w:r w:rsidR="00B43557" w:rsidRPr="009464B2">
        <w:t>Since the parties do not agree that an attrition adjustment is included within the Settlement or whether an attrition adjustment is appropriate at all, we do not deliberate on the merits of any position on the issue presented in this case.</w:t>
      </w:r>
      <w:r w:rsidR="00B43557" w:rsidRPr="009464B2">
        <w:rPr>
          <w:vertAlign w:val="superscript"/>
        </w:rPr>
        <w:footnoteReference w:id="84"/>
      </w:r>
    </w:p>
    <w:p w14:paraId="28226355" w14:textId="77777777" w:rsidR="00143DF4" w:rsidRPr="009464B2" w:rsidRDefault="00143DF4" w:rsidP="00143DF4">
      <w:pPr>
        <w:spacing w:after="120" w:line="288" w:lineRule="auto"/>
        <w:ind w:left="1440"/>
      </w:pPr>
    </w:p>
    <w:p w14:paraId="68FE5F0E" w14:textId="26173E0A" w:rsidR="004C5235" w:rsidRPr="00493377" w:rsidRDefault="00493377" w:rsidP="00B25E60">
      <w:pPr>
        <w:pStyle w:val="NoSpacing"/>
        <w:tabs>
          <w:tab w:val="left" w:pos="1440"/>
        </w:tabs>
        <w:ind w:left="1080"/>
        <w:rPr>
          <w:b/>
        </w:rPr>
      </w:pPr>
      <w:r>
        <w:rPr>
          <w:b/>
        </w:rPr>
        <w:t>c</w:t>
      </w:r>
      <w:r>
        <w:rPr>
          <w:b/>
        </w:rPr>
        <w:tab/>
      </w:r>
      <w:r w:rsidR="00D658A3" w:rsidRPr="00493377">
        <w:rPr>
          <w:b/>
        </w:rPr>
        <w:t>Commission Treatment of Attrition</w:t>
      </w:r>
    </w:p>
    <w:p w14:paraId="4A497A89" w14:textId="77777777" w:rsidR="00143DF4" w:rsidRPr="009464B2" w:rsidRDefault="00143DF4" w:rsidP="00143DF4"/>
    <w:p w14:paraId="75E57EFF" w14:textId="70B9B85C" w:rsidR="00143DF4" w:rsidRPr="009464B2" w:rsidRDefault="00143DF4" w:rsidP="00492416">
      <w:pPr>
        <w:numPr>
          <w:ilvl w:val="0"/>
          <w:numId w:val="1"/>
        </w:numPr>
        <w:tabs>
          <w:tab w:val="num" w:pos="1440"/>
        </w:tabs>
        <w:spacing w:after="120" w:line="288" w:lineRule="auto"/>
        <w:ind w:left="0" w:hanging="720"/>
      </w:pPr>
      <w:r w:rsidRPr="009464B2">
        <w:t>From the discussion above, it is clear that, historically, the two most common sources of earnings attrition in Washington are abnormal or excessive inflation and exceptional and prolonged levels of plant additions. A discrete attrition adjustment, in the manner offered by the Company and Staff, is but one of a number of possible methods the Commission could authorize to address a demonstrated trend of under earning. Outside of the context of a discrete attrition adjustment, the Commission has been open to and employed other mechanisms to address regulated</w:t>
      </w:r>
      <w:r w:rsidR="00E81E77">
        <w:t xml:space="preserve"> </w:t>
      </w:r>
      <w:r w:rsidRPr="009464B2">
        <w:t>utility contentions of earnings deficiency. Such mechanisms include:</w:t>
      </w:r>
    </w:p>
    <w:p w14:paraId="0045F20E" w14:textId="77777777" w:rsidR="00143DF4" w:rsidRPr="009464B2" w:rsidRDefault="00143DF4" w:rsidP="00492416">
      <w:pPr>
        <w:numPr>
          <w:ilvl w:val="0"/>
          <w:numId w:val="12"/>
        </w:numPr>
        <w:tabs>
          <w:tab w:val="num" w:pos="1440"/>
        </w:tabs>
        <w:spacing w:after="120" w:line="288" w:lineRule="auto"/>
        <w:ind w:left="1440" w:hanging="720"/>
      </w:pPr>
      <w:r w:rsidRPr="009464B2">
        <w:t>Pro-forma adjustments of test-year data to reflect known and measurable changes in conditions or costs incurred subsequent to the end of the test-year.</w:t>
      </w:r>
    </w:p>
    <w:p w14:paraId="1663A87A" w14:textId="77777777" w:rsidR="00143DF4" w:rsidRPr="009464B2" w:rsidRDefault="00143DF4" w:rsidP="00492416">
      <w:pPr>
        <w:numPr>
          <w:ilvl w:val="0"/>
          <w:numId w:val="12"/>
        </w:numPr>
        <w:tabs>
          <w:tab w:val="num" w:pos="1440"/>
        </w:tabs>
        <w:spacing w:after="120" w:line="288" w:lineRule="auto"/>
        <w:ind w:left="1440" w:hanging="720"/>
      </w:pPr>
      <w:r w:rsidRPr="009464B2">
        <w:t>Use of plant accounts (rate base) measured at the end, or subsequent to the end of the test-year rather than the test-year average.</w:t>
      </w:r>
    </w:p>
    <w:p w14:paraId="08431C4E" w14:textId="77777777" w:rsidR="00143DF4" w:rsidRPr="009464B2" w:rsidRDefault="00143DF4" w:rsidP="00492416">
      <w:pPr>
        <w:numPr>
          <w:ilvl w:val="0"/>
          <w:numId w:val="12"/>
        </w:numPr>
        <w:tabs>
          <w:tab w:val="num" w:pos="1440"/>
        </w:tabs>
        <w:spacing w:after="120" w:line="288" w:lineRule="auto"/>
        <w:ind w:left="1440" w:hanging="720"/>
      </w:pPr>
      <w:r w:rsidRPr="009464B2">
        <w:t>Inclusion of construction work in progress (CWIP) in rate base providing a return on investment prior to when the new plant goes into service.</w:t>
      </w:r>
    </w:p>
    <w:p w14:paraId="11A17EDD" w14:textId="77777777" w:rsidR="00143DF4" w:rsidRPr="009464B2" w:rsidRDefault="00143DF4" w:rsidP="00492416">
      <w:pPr>
        <w:numPr>
          <w:ilvl w:val="0"/>
          <w:numId w:val="12"/>
        </w:numPr>
        <w:tabs>
          <w:tab w:val="num" w:pos="1440"/>
        </w:tabs>
        <w:spacing w:after="120" w:line="288" w:lineRule="auto"/>
        <w:ind w:left="1440" w:hanging="720"/>
      </w:pPr>
      <w:r w:rsidRPr="009464B2">
        <w:t>Upward adjustment to the equity share in the capital structure.</w:t>
      </w:r>
    </w:p>
    <w:p w14:paraId="7B8C957E" w14:textId="77777777" w:rsidR="00143DF4" w:rsidRPr="009464B2" w:rsidRDefault="00143DF4" w:rsidP="00492416">
      <w:pPr>
        <w:numPr>
          <w:ilvl w:val="0"/>
          <w:numId w:val="1"/>
        </w:numPr>
        <w:tabs>
          <w:tab w:val="num" w:pos="1440"/>
        </w:tabs>
        <w:spacing w:after="120" w:line="288" w:lineRule="auto"/>
        <w:ind w:left="0" w:hanging="720"/>
      </w:pPr>
      <w:r w:rsidRPr="009464B2">
        <w:t xml:space="preserve">Notwithstanding these means to address the test year relationship of costs and revenues into the future for purposes of setting rates, the Commission has, both directly and indirectly, approved attrition adjustments in previous rate proceedings including multi-year rate plans, considering the specific circumstances of those cases. </w:t>
      </w:r>
    </w:p>
    <w:p w14:paraId="5B4FF16C" w14:textId="625746E3" w:rsidR="00143DF4" w:rsidRPr="009464B2" w:rsidRDefault="00143DF4" w:rsidP="00492416">
      <w:pPr>
        <w:numPr>
          <w:ilvl w:val="0"/>
          <w:numId w:val="1"/>
        </w:numPr>
        <w:tabs>
          <w:tab w:val="num" w:pos="0"/>
        </w:tabs>
        <w:spacing w:after="120" w:line="288" w:lineRule="auto"/>
        <w:ind w:left="0" w:hanging="720"/>
      </w:pPr>
      <w:r w:rsidRPr="009464B2">
        <w:t>In the PSE’s 2011 rate proceeding, the Commission provided a reasoned path for a utility to pursue an explicit attrition adjustment where there is a clear and well-established demonstration that attrition exists for reasons clearly beyond the direct control of a company. In 2013, the Commission approved a proposal by PSE to implement decoupling, an expedited rate filing and a rate plan that included an escalation factor characterized as an attrition adjustment.</w:t>
      </w:r>
      <w:r w:rsidRPr="009464B2">
        <w:rPr>
          <w:vertAlign w:val="superscript"/>
        </w:rPr>
        <w:footnoteReference w:id="85"/>
      </w:r>
      <w:r w:rsidRPr="009464B2">
        <w:t xml:space="preserve"> The Commission did so recognizing that attrition and rate plans would remain a central element of subsequent rate proceedings.  </w:t>
      </w:r>
    </w:p>
    <w:p w14:paraId="24EDA8CF" w14:textId="163A6A80" w:rsidR="00143DF4" w:rsidRPr="009464B2" w:rsidRDefault="00143DF4" w:rsidP="00492416">
      <w:pPr>
        <w:numPr>
          <w:ilvl w:val="0"/>
          <w:numId w:val="1"/>
        </w:numPr>
        <w:tabs>
          <w:tab w:val="num" w:pos="0"/>
        </w:tabs>
        <w:spacing w:after="120" w:line="288" w:lineRule="auto"/>
        <w:ind w:left="0" w:hanging="720"/>
      </w:pPr>
      <w:r w:rsidRPr="009464B2">
        <w:t xml:space="preserve">In both the 2012 and 2014 Avista rate proceedings, the parties were able to reach some agreement on rates. In those proceedings, the Commission was not required to endorse </w:t>
      </w:r>
      <w:r w:rsidRPr="009464B2">
        <w:lastRenderedPageBreak/>
        <w:t xml:space="preserve">any specific methodology for establishing rates using an attrition adjustment. Although we are presented with a multiparty partial Settlement </w:t>
      </w:r>
      <w:r w:rsidR="0035581D" w:rsidRPr="009464B2">
        <w:t xml:space="preserve">on other issues </w:t>
      </w:r>
      <w:r w:rsidRPr="009464B2">
        <w:t xml:space="preserve">in this proceeding, it is clear there is no agreement on the extent to which Avista suffers from attrition in either its electric or gas operations, nor is there consensus between the Company and Staff on the exact method for determining the extent of any reasonable attrition adjustment. As a result, and unlike the recent rate proceedings, we must conduct a closer examination of the evidentiary record in determining whether and how to authorize an attrition adjustment.  </w:t>
      </w:r>
    </w:p>
    <w:p w14:paraId="4C71C83E" w14:textId="333E7BCF" w:rsidR="00143DF4" w:rsidRPr="009464B2" w:rsidRDefault="00143DF4" w:rsidP="00492416">
      <w:pPr>
        <w:numPr>
          <w:ilvl w:val="0"/>
          <w:numId w:val="1"/>
        </w:numPr>
        <w:tabs>
          <w:tab w:val="num" w:pos="0"/>
        </w:tabs>
        <w:spacing w:after="120" w:line="288" w:lineRule="auto"/>
        <w:ind w:left="0" w:hanging="720"/>
      </w:pPr>
      <w:r w:rsidRPr="009464B2">
        <w:t xml:space="preserve">With that background and context in mind, we turn to the facts and circumstances of this proceeding in considering whether any adjustment for the effects of attrition </w:t>
      </w:r>
      <w:r w:rsidR="00692867" w:rsidRPr="009464B2">
        <w:t>is</w:t>
      </w:r>
      <w:r w:rsidRPr="009464B2">
        <w:t xml:space="preserve"> warranted at this time.  </w:t>
      </w:r>
    </w:p>
    <w:p w14:paraId="7A3F54A9" w14:textId="57B72DA0" w:rsidR="00143DF4" w:rsidRPr="00B25E60" w:rsidRDefault="00B25E60" w:rsidP="00B25E60">
      <w:pPr>
        <w:pStyle w:val="Heading4"/>
        <w:tabs>
          <w:tab w:val="left" w:pos="1080"/>
        </w:tabs>
        <w:ind w:left="1080" w:hanging="360"/>
        <w:rPr>
          <w:sz w:val="24"/>
          <w:szCs w:val="24"/>
        </w:rPr>
      </w:pPr>
      <w:bookmarkStart w:id="24" w:name="_Toc439838962"/>
      <w:r>
        <w:rPr>
          <w:sz w:val="24"/>
          <w:szCs w:val="24"/>
        </w:rPr>
        <w:t>2.</w:t>
      </w:r>
      <w:r>
        <w:rPr>
          <w:sz w:val="24"/>
          <w:szCs w:val="24"/>
        </w:rPr>
        <w:tab/>
      </w:r>
      <w:r w:rsidR="00143DF4" w:rsidRPr="00B25E60">
        <w:rPr>
          <w:sz w:val="24"/>
          <w:szCs w:val="24"/>
        </w:rPr>
        <w:t>Positions of the Parties</w:t>
      </w:r>
      <w:bookmarkEnd w:id="24"/>
      <w:r w:rsidR="00143DF4" w:rsidRPr="00B25E60">
        <w:rPr>
          <w:sz w:val="24"/>
          <w:szCs w:val="24"/>
        </w:rPr>
        <w:t xml:space="preserve"> </w:t>
      </w:r>
    </w:p>
    <w:p w14:paraId="689AC278" w14:textId="77777777" w:rsidR="00EF6A63" w:rsidRPr="009464B2" w:rsidRDefault="00EF6A63" w:rsidP="00EF6A63"/>
    <w:p w14:paraId="0F4D2F48" w14:textId="77777777" w:rsidR="00143DF4" w:rsidRPr="009464B2" w:rsidRDefault="00143DF4" w:rsidP="00B25E60">
      <w:pPr>
        <w:numPr>
          <w:ilvl w:val="0"/>
          <w:numId w:val="14"/>
        </w:numPr>
        <w:tabs>
          <w:tab w:val="left" w:pos="1440"/>
        </w:tabs>
        <w:spacing w:after="120" w:line="288" w:lineRule="auto"/>
        <w:ind w:left="1080" w:firstLine="0"/>
        <w:rPr>
          <w:b/>
        </w:rPr>
      </w:pPr>
      <w:r w:rsidRPr="009464B2">
        <w:rPr>
          <w:b/>
        </w:rPr>
        <w:t>Avista</w:t>
      </w:r>
    </w:p>
    <w:p w14:paraId="3120BF4F" w14:textId="1FE28D79" w:rsidR="00692867" w:rsidRPr="009464B2" w:rsidRDefault="00692867" w:rsidP="00692867">
      <w:pPr>
        <w:numPr>
          <w:ilvl w:val="0"/>
          <w:numId w:val="1"/>
        </w:numPr>
        <w:tabs>
          <w:tab w:val="num" w:pos="0"/>
        </w:tabs>
        <w:spacing w:after="120" w:line="288" w:lineRule="auto"/>
        <w:ind w:left="0" w:hanging="720"/>
      </w:pPr>
      <w:r w:rsidRPr="009464B2">
        <w:t>In direct testimony, Mr. Scott Morris leads Avista’s presentation of its need for an attrition adjustment. He states that the primary reason the Company requests a rate increase in this case is because its growth in net plant investment and operating expenses outpaces its growth in revenue.</w:t>
      </w:r>
      <w:r w:rsidRPr="009464B2">
        <w:rPr>
          <w:vertAlign w:val="superscript"/>
        </w:rPr>
        <w:footnoteReference w:id="86"/>
      </w:r>
      <w:r w:rsidRPr="009464B2">
        <w:t xml:space="preserve"> He presents trends showing the growth of the combined electric and natural gas actual and forecasted spending for plant additions and operating expenses over a 14-year period.</w:t>
      </w:r>
      <w:r w:rsidRPr="009464B2">
        <w:rPr>
          <w:vertAlign w:val="superscript"/>
        </w:rPr>
        <w:footnoteReference w:id="87"/>
      </w:r>
      <w:r w:rsidRPr="009464B2">
        <w:t xml:space="preserve"> He argues that </w:t>
      </w:r>
      <w:r w:rsidRPr="009464B2" w:rsidDel="00831366">
        <w:t xml:space="preserve">net plant is growing at a much faster pace than sales, </w:t>
      </w:r>
      <w:r w:rsidRPr="009464B2">
        <w:t>thus creat</w:t>
      </w:r>
      <w:r w:rsidRPr="009464B2" w:rsidDel="00831366">
        <w:t>ing</w:t>
      </w:r>
      <w:r w:rsidRPr="009464B2">
        <w:t xml:space="preserve"> a mismatch between the ratio of plant investment to revenues in the test period and the ratio of plant investment to revenues in future years.</w:t>
      </w:r>
      <w:r w:rsidRPr="009464B2">
        <w:rPr>
          <w:vertAlign w:val="superscript"/>
        </w:rPr>
        <w:footnoteReference w:id="88"/>
      </w:r>
      <w:r w:rsidRPr="009464B2">
        <w:t xml:space="preserve"> Mr. Morris asserts that Avista’s “obligation to serve customers with safe, reliable service, and maintain a high level of customer satisfaction </w:t>
      </w:r>
      <w:r w:rsidRPr="009464B2">
        <w:rPr>
          <w:bCs/>
        </w:rPr>
        <w:t>demands continued investment in facilities, as well as utility operating expenses necessary to accomplish these objectives</w:t>
      </w:r>
      <w:r w:rsidRPr="009464B2">
        <w:t>.”</w:t>
      </w:r>
      <w:r w:rsidRPr="009464B2">
        <w:rPr>
          <w:vertAlign w:val="superscript"/>
        </w:rPr>
        <w:footnoteReference w:id="89"/>
      </w:r>
      <w:r w:rsidRPr="009464B2">
        <w:t xml:space="preserve"> </w:t>
      </w:r>
    </w:p>
    <w:p w14:paraId="02D2A2A3" w14:textId="6D753632" w:rsidR="00143DF4" w:rsidRPr="009464B2" w:rsidRDefault="0078595C" w:rsidP="00692867">
      <w:pPr>
        <w:numPr>
          <w:ilvl w:val="0"/>
          <w:numId w:val="1"/>
        </w:numPr>
        <w:tabs>
          <w:tab w:val="num" w:pos="0"/>
        </w:tabs>
        <w:spacing w:after="120" w:line="288" w:lineRule="auto"/>
        <w:ind w:left="0" w:hanging="720"/>
      </w:pPr>
      <w:r w:rsidRPr="009464B2">
        <w:lastRenderedPageBreak/>
        <w:t>Based on Mr. Morris’s testimony of these trends, Avista presents an attrition study for electric and natural gas operations through the testimony of Dr. Grant Forsyth, and an attrition adjustment to its modified test year developed in Ms. Elizabeth Andrews’ testimony.</w:t>
      </w:r>
      <w:r w:rsidR="00C429C0" w:rsidRPr="009464B2">
        <w:rPr>
          <w:rStyle w:val="FootnoteReference"/>
        </w:rPr>
        <w:footnoteReference w:id="90"/>
      </w:r>
      <w:r w:rsidRPr="009464B2">
        <w:t xml:space="preserve"> The Company buttresses its attrition adjustment with a pro forma plant additions “cross check analysis” presented by Ms. Jennifer Smith and Ms. Karen Schuh.</w:t>
      </w:r>
      <w:r w:rsidRPr="009464B2">
        <w:rPr>
          <w:vertAlign w:val="superscript"/>
        </w:rPr>
        <w:footnoteReference w:id="91"/>
      </w:r>
      <w:r w:rsidRPr="009464B2">
        <w:t xml:space="preserve"> </w:t>
      </w:r>
      <w:r w:rsidR="00143DF4" w:rsidRPr="009464B2">
        <w:t xml:space="preserve">  </w:t>
      </w:r>
    </w:p>
    <w:p w14:paraId="3BB2608A" w14:textId="1378A7B0" w:rsidR="0078595C" w:rsidRPr="009464B2" w:rsidRDefault="0078595C" w:rsidP="0078595C">
      <w:pPr>
        <w:numPr>
          <w:ilvl w:val="0"/>
          <w:numId w:val="1"/>
        </w:numPr>
        <w:tabs>
          <w:tab w:val="num" w:pos="0"/>
        </w:tabs>
        <w:spacing w:after="120" w:line="288" w:lineRule="auto"/>
        <w:ind w:left="0" w:hanging="720"/>
      </w:pPr>
      <w:r w:rsidRPr="009464B2">
        <w:t xml:space="preserve">Mr. Norwood presents Company-wide earnings from its Commission Basis Reports (CBRs) over the 2008-2014 timeframe showing that, from </w:t>
      </w:r>
      <w:r w:rsidR="008520C4">
        <w:t>Avista’s</w:t>
      </w:r>
      <w:r w:rsidRPr="009464B2">
        <w:t xml:space="preserve"> perspective, the Company earned less than its authorized ROE until 2013.</w:t>
      </w:r>
      <w:r w:rsidR="00C429C0" w:rsidRPr="009464B2">
        <w:rPr>
          <w:rStyle w:val="FootnoteReference"/>
        </w:rPr>
        <w:footnoteReference w:id="92"/>
      </w:r>
      <w:r w:rsidRPr="009464B2">
        <w:t xml:space="preserve"> Mr. Norwood states that the Company’s level of earned ROE for 2013 and 2014 of 9.5 and 9.9 percent, respectively, is the result of revenue increases approved by the Commission and that the increases reflect some recognition of attrition.</w:t>
      </w:r>
      <w:r w:rsidRPr="009464B2">
        <w:rPr>
          <w:vertAlign w:val="superscript"/>
        </w:rPr>
        <w:footnoteReference w:id="93"/>
      </w:r>
      <w:r w:rsidRPr="009464B2">
        <w:t xml:space="preserve"> The earned ROEs for both years were very close to the Company’s authorized ROE of 9.8 percent.</w:t>
      </w:r>
      <w:r w:rsidRPr="009464B2">
        <w:rPr>
          <w:vertAlign w:val="superscript"/>
        </w:rPr>
        <w:footnoteReference w:id="94"/>
      </w:r>
      <w:r w:rsidRPr="009464B2">
        <w:t xml:space="preserve"> </w:t>
      </w:r>
    </w:p>
    <w:p w14:paraId="452E57F0" w14:textId="034736AA" w:rsidR="0078595C" w:rsidRPr="009464B2" w:rsidRDefault="0078595C" w:rsidP="0078595C">
      <w:pPr>
        <w:numPr>
          <w:ilvl w:val="0"/>
          <w:numId w:val="1"/>
        </w:numPr>
        <w:tabs>
          <w:tab w:val="num" w:pos="0"/>
        </w:tabs>
        <w:spacing w:after="120" w:line="288" w:lineRule="auto"/>
        <w:ind w:left="0" w:hanging="720"/>
      </w:pPr>
      <w:r w:rsidRPr="009464B2">
        <w:t xml:space="preserve">In support of the Company’s attrition claims, Dr. Forsyth presented a study that develops a revenue requirement using normalized CBRs to determine trends in expenses and rate-base additions after the removal of normalized net power supply costs for electric customers and purchased gas costs for retail natural gas customers. The trends are used to construct escalation rates for various types of accounts such as </w:t>
      </w:r>
      <w:r w:rsidR="00695BF7" w:rsidRPr="009464B2">
        <w:t>administrative</w:t>
      </w:r>
      <w:r w:rsidR="00760C32" w:rsidRPr="009464B2">
        <w:t xml:space="preserve"> and </w:t>
      </w:r>
      <w:r w:rsidRPr="009464B2">
        <w:t>general expenses, operations and maintenance (O&amp;M) expenses, and rate base.</w:t>
      </w:r>
      <w:r w:rsidRPr="009464B2">
        <w:rPr>
          <w:rStyle w:val="FootnoteReference"/>
        </w:rPr>
        <w:footnoteReference w:id="95"/>
      </w:r>
      <w:r w:rsidRPr="009464B2">
        <w:t xml:space="preserve"> </w:t>
      </w:r>
    </w:p>
    <w:p w14:paraId="3A97F964" w14:textId="0225F03C" w:rsidR="0078595C" w:rsidRPr="009464B2" w:rsidRDefault="0078595C" w:rsidP="00F514DD">
      <w:pPr>
        <w:numPr>
          <w:ilvl w:val="0"/>
          <w:numId w:val="1"/>
        </w:numPr>
        <w:tabs>
          <w:tab w:val="num" w:pos="0"/>
        </w:tabs>
        <w:spacing w:after="120" w:line="288" w:lineRule="auto"/>
        <w:ind w:left="0" w:hanging="720"/>
      </w:pPr>
      <w:r w:rsidRPr="009464B2">
        <w:t>On direct, Dr. Forsyth presents the use of a compounding growth rate factor (CGF) in the attrition study</w:t>
      </w:r>
      <w:r w:rsidR="008520C4">
        <w:t>.</w:t>
      </w:r>
      <w:r w:rsidRPr="009464B2">
        <w:rPr>
          <w:rStyle w:val="FootnoteReference"/>
        </w:rPr>
        <w:footnoteReference w:id="96"/>
      </w:r>
      <w:r w:rsidRPr="009464B2">
        <w:t xml:space="preserve"> Further, Dr. Forsyth uses 2007-2013 as the time period for determining escalation rates. He presents data spanning 2001 to 2013, pointing out what he calls a “kink point” in 2007 showing an increase in the rate of plant additions.</w:t>
      </w:r>
      <w:r w:rsidRPr="009464B2">
        <w:rPr>
          <w:vertAlign w:val="superscript"/>
        </w:rPr>
        <w:footnoteReference w:id="97"/>
      </w:r>
      <w:r w:rsidRPr="009464B2">
        <w:t xml:space="preserve"> Concluding that the rate of plant additions from 2007 through 2013 is generally similar and represents the </w:t>
      </w:r>
      <w:r w:rsidRPr="009464B2">
        <w:lastRenderedPageBreak/>
        <w:t>expected future rate of plant investment, he recommends the 2007-2013 time period for use in Avista’s attrition study.</w:t>
      </w:r>
      <w:r w:rsidRPr="009464B2">
        <w:rPr>
          <w:vertAlign w:val="superscript"/>
        </w:rPr>
        <w:footnoteReference w:id="98"/>
      </w:r>
      <w:r w:rsidRPr="009464B2">
        <w:t xml:space="preserve"> </w:t>
      </w:r>
    </w:p>
    <w:p w14:paraId="7BF0B359" w14:textId="73474638" w:rsidR="00143DF4" w:rsidRPr="009464B2" w:rsidRDefault="0078595C" w:rsidP="0078595C">
      <w:pPr>
        <w:numPr>
          <w:ilvl w:val="0"/>
          <w:numId w:val="1"/>
        </w:numPr>
        <w:tabs>
          <w:tab w:val="num" w:pos="0"/>
        </w:tabs>
        <w:spacing w:after="120" w:line="288" w:lineRule="auto"/>
        <w:ind w:left="0" w:hanging="720"/>
      </w:pPr>
      <w:r w:rsidRPr="009464B2">
        <w:t>Based on the time period data that Dr. Forsyth advocates, he develops plant escalation rates. However, rather than use the escalation rates from Dr. Forsyth’s analysis to escalate plant amounts from 2014 to 2016, Ms. Andrews uses an escalation rate based on Avista’s projected budgeted plant additions included in its pro forma cross check study. As Ms. Andrews explains, the Company’s budgeted rate of plant additions from 2014 to 2016 is higher than the annual growth rate derived from the 2007-2013 time period in the attrition study, requiring, in her opinion, the use of an escalation rate based on the rate of Avista’s planned plant additions from 2014 to 2016.</w:t>
      </w:r>
      <w:r w:rsidRPr="009464B2">
        <w:rPr>
          <w:vertAlign w:val="superscript"/>
        </w:rPr>
        <w:footnoteReference w:id="99"/>
      </w:r>
    </w:p>
    <w:p w14:paraId="5C1D6759" w14:textId="77777777" w:rsidR="00143DF4" w:rsidRPr="009464B2" w:rsidRDefault="00143DF4" w:rsidP="00492416">
      <w:pPr>
        <w:numPr>
          <w:ilvl w:val="0"/>
          <w:numId w:val="1"/>
        </w:numPr>
        <w:tabs>
          <w:tab w:val="num" w:pos="0"/>
        </w:tabs>
        <w:spacing w:after="120" w:line="288" w:lineRule="auto"/>
        <w:ind w:left="0" w:hanging="720"/>
        <w:rPr>
          <w:bCs/>
        </w:rPr>
      </w:pPr>
      <w:r w:rsidRPr="009464B2">
        <w:t>Finally, Avista uses load projections rather than attrition derived growth rates for its projected revenue growth. Avista’s load growth assumptions project an increase in electric revenue growth of 1.31 percent and a decline in natural gas revenue growth of 0.99763 percent in 2016.</w:t>
      </w:r>
      <w:r w:rsidRPr="009464B2">
        <w:rPr>
          <w:vertAlign w:val="superscript"/>
        </w:rPr>
        <w:footnoteReference w:id="100"/>
      </w:r>
      <w:r w:rsidRPr="009464B2">
        <w:t xml:space="preserve"> </w:t>
      </w:r>
    </w:p>
    <w:p w14:paraId="2F5AD488" w14:textId="77777777" w:rsidR="00143DF4" w:rsidRPr="009464B2" w:rsidRDefault="00143DF4" w:rsidP="00B25E60">
      <w:pPr>
        <w:numPr>
          <w:ilvl w:val="0"/>
          <w:numId w:val="14"/>
        </w:numPr>
        <w:spacing w:after="120" w:line="288" w:lineRule="auto"/>
        <w:ind w:left="1080" w:firstLine="0"/>
        <w:rPr>
          <w:b/>
        </w:rPr>
      </w:pPr>
      <w:r w:rsidRPr="009464B2">
        <w:rPr>
          <w:b/>
        </w:rPr>
        <w:t>Staff</w:t>
      </w:r>
    </w:p>
    <w:p w14:paraId="3AF193F2" w14:textId="45DB76A6" w:rsidR="0078595C" w:rsidRPr="009464B2" w:rsidRDefault="0078595C" w:rsidP="0078595C">
      <w:pPr>
        <w:numPr>
          <w:ilvl w:val="0"/>
          <w:numId w:val="1"/>
        </w:numPr>
        <w:tabs>
          <w:tab w:val="num" w:pos="0"/>
        </w:tabs>
        <w:spacing w:after="120" w:line="288" w:lineRule="auto"/>
        <w:ind w:left="0" w:hanging="720"/>
      </w:pPr>
      <w:r w:rsidRPr="009464B2">
        <w:t xml:space="preserve">Staff’s witness, Mr. Christopher McGuire, testifies that Avista’s electric and natural gas operations suffer from attrition that is severe enough to require an attrition adjustment. Mr. McGuire presents his own attrition study, which is based on the structure of Avista’s attrition study submitted on direct, but includes a number of significant methodological differences. Mr. McGuire states that the Company is experiencing attrition </w:t>
      </w:r>
      <w:r w:rsidR="008520C4">
        <w:t>predominantly</w:t>
      </w:r>
      <w:r w:rsidRPr="009464B2">
        <w:t xml:space="preserve"> due to large capital investments in distribution plant.</w:t>
      </w:r>
      <w:r w:rsidRPr="009464B2">
        <w:rPr>
          <w:vertAlign w:val="superscript"/>
        </w:rPr>
        <w:footnoteReference w:id="101"/>
      </w:r>
      <w:r w:rsidRPr="009464B2">
        <w:t xml:space="preserve"> While Mr. McGuire questions whether Avista has justified its level of capital investment, Mr. McGuire supports </w:t>
      </w:r>
      <w:r w:rsidRPr="009464B2">
        <w:lastRenderedPageBreak/>
        <w:t>Avista’s need for an attrition adjustment and discusses the Commission’s decisions in previous cases supporting an attrition adjustment.</w:t>
      </w:r>
      <w:r w:rsidRPr="009464B2">
        <w:rPr>
          <w:rStyle w:val="FootnoteReference"/>
        </w:rPr>
        <w:footnoteReference w:id="102"/>
      </w:r>
      <w:r w:rsidRPr="009464B2">
        <w:t xml:space="preserve"> </w:t>
      </w:r>
    </w:p>
    <w:p w14:paraId="60C58F0E" w14:textId="268ACA6F" w:rsidR="0078595C" w:rsidRPr="009464B2" w:rsidRDefault="0078595C" w:rsidP="0078595C">
      <w:pPr>
        <w:numPr>
          <w:ilvl w:val="0"/>
          <w:numId w:val="1"/>
        </w:numPr>
        <w:tabs>
          <w:tab w:val="num" w:pos="0"/>
        </w:tabs>
        <w:spacing w:after="120" w:line="288" w:lineRule="auto"/>
        <w:ind w:left="0" w:hanging="720"/>
      </w:pPr>
      <w:r w:rsidRPr="009464B2">
        <w:t>Mr. McGuire asserts that Avista’s initial attrition study is obsolete due to changes resulting from the Settlement and the identification of significant errors. He states:</w:t>
      </w:r>
    </w:p>
    <w:p w14:paraId="160DF00B" w14:textId="77777777" w:rsidR="0078595C" w:rsidRPr="009464B2" w:rsidRDefault="0078595C" w:rsidP="0078595C">
      <w:pPr>
        <w:spacing w:after="120" w:line="288" w:lineRule="auto"/>
        <w:ind w:left="720"/>
      </w:pPr>
      <w:r w:rsidRPr="009464B2">
        <w:t xml:space="preserve">[A]lthough the Company refers to its case as an “attrition” case, it is in reality a re-branded future test year case. Rather than perform an objective trending analysis to ascertain prevailing rates of growth in the business, Avista developed future test year results for both a) net plant and b) depreciation/amortization, and then circularly calculates its “attrition” growth rates to reproduce those future test year results. Avista in no way actually uses Dr. Forsyth’s calculated attrition growth rates for net plant and depreciation/amortization in its attrition studies. If Avista had used Dr. Forsyth’s (i.e. the Company’s own witness’s) growth rates for net plant and depreciation/amortizations, the revenue requirement increases are only $404,000 for electric service and $8,220,000 for natural gas service. </w:t>
      </w:r>
    </w:p>
    <w:p w14:paraId="2FBE9550" w14:textId="77777777" w:rsidR="0078595C" w:rsidRPr="009464B2" w:rsidRDefault="0078595C" w:rsidP="0078595C">
      <w:pPr>
        <w:spacing w:after="120" w:line="288" w:lineRule="auto"/>
        <w:ind w:left="720"/>
      </w:pPr>
      <w:r w:rsidRPr="009464B2">
        <w:t xml:space="preserve">It’s worth emphasizing here that </w:t>
      </w:r>
      <w:r w:rsidRPr="009464B2">
        <w:rPr>
          <w:u w:val="single"/>
        </w:rPr>
        <w:t xml:space="preserve">the Company’s </w:t>
      </w:r>
      <w:r w:rsidRPr="009464B2">
        <w:rPr>
          <w:i/>
          <w:u w:val="single"/>
        </w:rPr>
        <w:t>entire</w:t>
      </w:r>
      <w:r w:rsidRPr="009464B2">
        <w:rPr>
          <w:u w:val="single"/>
        </w:rPr>
        <w:t xml:space="preserve"> proposed electric revenue requirement increase is due to rejecting Dr. Forsyth’s growth rates for net plant and depreciation/amortization and instead using speculative future test year levels for those two items.</w:t>
      </w:r>
      <w:r w:rsidRPr="009464B2">
        <w:rPr>
          <w:vertAlign w:val="superscript"/>
        </w:rPr>
        <w:t xml:space="preserve"> </w:t>
      </w:r>
      <w:r w:rsidRPr="009464B2">
        <w:rPr>
          <w:vertAlign w:val="superscript"/>
        </w:rPr>
        <w:footnoteReference w:id="103"/>
      </w:r>
    </w:p>
    <w:p w14:paraId="44432D78" w14:textId="1386F1A9" w:rsidR="00143DF4" w:rsidRPr="009464B2" w:rsidRDefault="00143DF4" w:rsidP="00492416">
      <w:pPr>
        <w:spacing w:after="120" w:line="288" w:lineRule="auto"/>
        <w:ind w:left="720" w:hanging="720"/>
      </w:pPr>
    </w:p>
    <w:p w14:paraId="70562200" w14:textId="77777777" w:rsidR="0078595C" w:rsidRPr="009464B2" w:rsidRDefault="0078595C" w:rsidP="0078595C">
      <w:pPr>
        <w:numPr>
          <w:ilvl w:val="0"/>
          <w:numId w:val="1"/>
        </w:numPr>
        <w:tabs>
          <w:tab w:val="num" w:pos="0"/>
        </w:tabs>
        <w:spacing w:after="120" w:line="288" w:lineRule="auto"/>
        <w:ind w:left="0" w:hanging="720"/>
      </w:pPr>
      <w:r w:rsidRPr="009464B2">
        <w:t>Mr. McGuire uses the 2009-2014 time period as the basis of his attrition analysis rather than the Company’s 2007-2014 time period. In his written testimony, Mr. McGuire asserts that changes to weather normalization methodology made in the years 2007 and 2008 makes the data from those years incompatible with the data from 2009-2014.</w:t>
      </w:r>
      <w:r w:rsidRPr="009464B2">
        <w:rPr>
          <w:vertAlign w:val="superscript"/>
        </w:rPr>
        <w:footnoteReference w:id="104"/>
      </w:r>
      <w:r w:rsidRPr="009464B2">
        <w:t xml:space="preserve"> At hearing he concedes that the 2007-2014 time period closely represents the attrition the Company is likely to experience from 2014 to 2016, and that there is very little difference between his original time period and the Company’s.</w:t>
      </w:r>
      <w:r w:rsidRPr="009464B2">
        <w:rPr>
          <w:rStyle w:val="FootnoteReference"/>
        </w:rPr>
        <w:footnoteReference w:id="105"/>
      </w:r>
    </w:p>
    <w:p w14:paraId="678EB2C7" w14:textId="73FB9CB7" w:rsidR="0078595C" w:rsidRPr="009464B2" w:rsidRDefault="0078595C" w:rsidP="00822CA3">
      <w:pPr>
        <w:numPr>
          <w:ilvl w:val="0"/>
          <w:numId w:val="1"/>
        </w:numPr>
        <w:tabs>
          <w:tab w:val="num" w:pos="0"/>
        </w:tabs>
        <w:spacing w:after="120" w:line="288" w:lineRule="auto"/>
        <w:ind w:left="0" w:hanging="720"/>
      </w:pPr>
      <w:r w:rsidRPr="009464B2">
        <w:lastRenderedPageBreak/>
        <w:t>Mr. McGuire also replaces the Company’s budget estimates for the fourth quarter of 2014 with booked actuals from the Company’s CBR.</w:t>
      </w:r>
      <w:r w:rsidRPr="009464B2">
        <w:rPr>
          <w:vertAlign w:val="superscript"/>
        </w:rPr>
        <w:footnoteReference w:id="106"/>
      </w:r>
      <w:r w:rsidR="00DE17AE" w:rsidRPr="009464B2">
        <w:t xml:space="preserve"> Further, </w:t>
      </w:r>
      <w:r w:rsidRPr="009464B2">
        <w:t xml:space="preserve">Mr. McGuire rejects the Company’s use of a CGF and instead uses least-squares linear </w:t>
      </w:r>
      <w:r w:rsidR="00290CD1" w:rsidRPr="009464B2">
        <w:t xml:space="preserve">and quadratic </w:t>
      </w:r>
      <w:r w:rsidRPr="009464B2">
        <w:t>regression for calculating growth trends.</w:t>
      </w:r>
      <w:r w:rsidRPr="009464B2">
        <w:rPr>
          <w:vertAlign w:val="superscript"/>
        </w:rPr>
        <w:footnoteReference w:id="107"/>
      </w:r>
      <w:r w:rsidRPr="009464B2">
        <w:t xml:space="preserve"> Mr. McGuire asserts that for electric service, the data across the period 2009-2014 </w:t>
      </w:r>
      <w:r w:rsidR="00583164">
        <w:t>is</w:t>
      </w:r>
      <w:r w:rsidRPr="009464B2">
        <w:t xml:space="preserve"> largely linear and CGF functions used by the Company are in no way related to the shape of the underlying data.</w:t>
      </w:r>
      <w:r w:rsidRPr="009464B2">
        <w:rPr>
          <w:vertAlign w:val="superscript"/>
        </w:rPr>
        <w:footnoteReference w:id="108"/>
      </w:r>
    </w:p>
    <w:p w14:paraId="16BC6E5F" w14:textId="686D6364" w:rsidR="00143DF4" w:rsidRPr="009464B2" w:rsidRDefault="0078595C" w:rsidP="0078595C">
      <w:pPr>
        <w:numPr>
          <w:ilvl w:val="0"/>
          <w:numId w:val="1"/>
        </w:numPr>
        <w:tabs>
          <w:tab w:val="num" w:pos="0"/>
        </w:tabs>
        <w:spacing w:after="120" w:line="288" w:lineRule="auto"/>
        <w:ind w:left="0" w:hanging="720"/>
      </w:pPr>
      <w:r w:rsidRPr="009464B2">
        <w:t>Staff asserts that the escalation rate from Avista’s attrition study, based on the 2009-2014 time period, is not representative of Avista’s current growth rate for O&amp;M expenses.</w:t>
      </w:r>
      <w:r w:rsidRPr="009464B2">
        <w:rPr>
          <w:vertAlign w:val="superscript"/>
        </w:rPr>
        <w:footnoteReference w:id="109"/>
      </w:r>
      <w:r w:rsidRPr="009464B2">
        <w:t xml:space="preserve"> Staff believes that Avista’s current O&amp;M expense growth rates are lower as a result of cost-cutting measures instituted after 2012.</w:t>
      </w:r>
      <w:r w:rsidRPr="009464B2">
        <w:rPr>
          <w:vertAlign w:val="superscript"/>
        </w:rPr>
        <w:footnoteReference w:id="110"/>
      </w:r>
      <w:r w:rsidRPr="009464B2">
        <w:t xml:space="preserve"> To reflect the recent changes, Staff developed an escalation rate that is the arithmetic average of the one-year trend in O&amp;M expense from 2013 to 2014 and the Company’s O&amp;M escalation rate of 3 percent presented in its direct testimony.</w:t>
      </w:r>
      <w:r w:rsidRPr="009464B2">
        <w:rPr>
          <w:vertAlign w:val="superscript"/>
        </w:rPr>
        <w:footnoteReference w:id="111"/>
      </w:r>
    </w:p>
    <w:p w14:paraId="55E2E3D0" w14:textId="77777777" w:rsidR="00143DF4" w:rsidRPr="009464B2" w:rsidRDefault="00143DF4" w:rsidP="00492416">
      <w:pPr>
        <w:numPr>
          <w:ilvl w:val="0"/>
          <w:numId w:val="1"/>
        </w:numPr>
        <w:tabs>
          <w:tab w:val="num" w:pos="0"/>
        </w:tabs>
        <w:spacing w:after="120" w:line="288" w:lineRule="auto"/>
        <w:ind w:left="0" w:hanging="720"/>
      </w:pPr>
      <w:r w:rsidRPr="009464B2">
        <w:t>Staff’s 2013-2014 trend analysis resulted in a 1.82 percent growth rate for electric O&amp;M expense and a 1.34 percent growth rate for natural gas O&amp;M expense.</w:t>
      </w:r>
      <w:r w:rsidRPr="009464B2">
        <w:rPr>
          <w:vertAlign w:val="superscript"/>
        </w:rPr>
        <w:footnoteReference w:id="112"/>
      </w:r>
      <w:r w:rsidRPr="009464B2">
        <w:t xml:space="preserve"> Averaged with the Company’s growth rate of 3 percent, this produces Staff’s proposed O&amp;M expense growth rate of 2.42 percent for electric and 2.17 percent for natural gas.</w:t>
      </w:r>
      <w:r w:rsidRPr="009464B2">
        <w:rPr>
          <w:vertAlign w:val="superscript"/>
        </w:rPr>
        <w:t xml:space="preserve"> </w:t>
      </w:r>
      <w:r w:rsidRPr="009464B2">
        <w:rPr>
          <w:vertAlign w:val="superscript"/>
        </w:rPr>
        <w:footnoteReference w:id="113"/>
      </w:r>
    </w:p>
    <w:p w14:paraId="5F2E76DA" w14:textId="49401A78" w:rsidR="00B8710A" w:rsidRPr="009464B2" w:rsidRDefault="00143DF4" w:rsidP="00492416">
      <w:pPr>
        <w:numPr>
          <w:ilvl w:val="0"/>
          <w:numId w:val="1"/>
        </w:numPr>
        <w:tabs>
          <w:tab w:val="num" w:pos="0"/>
        </w:tabs>
        <w:spacing w:after="120" w:line="288" w:lineRule="auto"/>
        <w:ind w:left="0" w:hanging="720"/>
      </w:pPr>
      <w:r w:rsidRPr="009464B2">
        <w:t>Staff’s attrition study at the time it fil</w:t>
      </w:r>
      <w:r w:rsidR="00583164">
        <w:t>ed</w:t>
      </w:r>
      <w:r w:rsidRPr="009464B2">
        <w:t xml:space="preserve"> responsive testimony produces an attrition allowance of $14.7 million for the electric revenue requirement</w:t>
      </w:r>
      <w:r w:rsidR="00760C32" w:rsidRPr="009464B2">
        <w:t xml:space="preserve"> and $5.4 million for the natural gas revenue requirement</w:t>
      </w:r>
      <w:r w:rsidRPr="009464B2">
        <w:t>.</w:t>
      </w:r>
      <w:r w:rsidRPr="009464B2">
        <w:rPr>
          <w:vertAlign w:val="superscript"/>
        </w:rPr>
        <w:footnoteReference w:id="114"/>
      </w:r>
    </w:p>
    <w:p w14:paraId="4EDCE2B7" w14:textId="78367AC0" w:rsidR="00B8710A" w:rsidRPr="009464B2" w:rsidRDefault="00B8710A" w:rsidP="00B8710A">
      <w:pPr>
        <w:numPr>
          <w:ilvl w:val="0"/>
          <w:numId w:val="1"/>
        </w:numPr>
        <w:tabs>
          <w:tab w:val="num" w:pos="0"/>
        </w:tabs>
        <w:spacing w:after="120" w:line="288" w:lineRule="auto"/>
        <w:ind w:left="0" w:hanging="720"/>
      </w:pPr>
      <w:r w:rsidRPr="009464B2">
        <w:t>Mr. McGuire notes that Avista’s growth in net plant investment is driven largely by growth in distribution plant.</w:t>
      </w:r>
      <w:r w:rsidRPr="009464B2">
        <w:rPr>
          <w:vertAlign w:val="superscript"/>
        </w:rPr>
        <w:footnoteReference w:id="115"/>
      </w:r>
      <w:r w:rsidRPr="009464B2">
        <w:t xml:space="preserve"> While he does not dispute the prudence of any individual </w:t>
      </w:r>
      <w:r w:rsidRPr="009464B2">
        <w:lastRenderedPageBreak/>
        <w:t>distribution plant investments presented in this case, Mr. McGuire questions the need for the Company to “invest heavily” in distribution plant because the Company has not provided evidence supporting the need to maintain or improve reliability.</w:t>
      </w:r>
      <w:r w:rsidRPr="009464B2">
        <w:rPr>
          <w:vertAlign w:val="superscript"/>
        </w:rPr>
        <w:footnoteReference w:id="116"/>
      </w:r>
      <w:r w:rsidRPr="009464B2">
        <w:t xml:space="preserve"> He raises this issue as a policy matter, questioning whether it is appropriate to continue authorizing significant increases in distribution system capital investments year after year, for the purposes of enhancing system reliability absent a demonstration by the Company of quantifiable benefits to ratepayers.</w:t>
      </w:r>
      <w:r w:rsidRPr="009464B2">
        <w:rPr>
          <w:vertAlign w:val="superscript"/>
        </w:rPr>
        <w:footnoteReference w:id="117"/>
      </w:r>
      <w:r w:rsidRPr="009464B2">
        <w:t xml:space="preserve">  </w:t>
      </w:r>
    </w:p>
    <w:p w14:paraId="13095190" w14:textId="5A982812" w:rsidR="00B8710A" w:rsidRPr="009464B2" w:rsidRDefault="00B8710A" w:rsidP="0029188B">
      <w:pPr>
        <w:numPr>
          <w:ilvl w:val="0"/>
          <w:numId w:val="1"/>
        </w:numPr>
        <w:tabs>
          <w:tab w:val="num" w:pos="0"/>
        </w:tabs>
        <w:spacing w:after="120" w:line="288" w:lineRule="auto"/>
        <w:ind w:left="0" w:hanging="720"/>
      </w:pPr>
      <w:r w:rsidRPr="009464B2">
        <w:t>Staff witness Mr. David Gomez argues that Avista has not demonstrated that its growth in capital spending is just and reasonable and results in facilities that are both efficient and adequate.</w:t>
      </w:r>
      <w:r w:rsidRPr="009464B2">
        <w:rPr>
          <w:vertAlign w:val="superscript"/>
        </w:rPr>
        <w:footnoteReference w:id="118"/>
      </w:r>
      <w:r w:rsidRPr="009464B2">
        <w:t xml:space="preserve"> He proposes that the Commission require expanded capital reporting for Avista, to justify its increased capital spending and demonstrate how this spending benefits ratepayers.</w:t>
      </w:r>
      <w:r w:rsidRPr="009464B2">
        <w:rPr>
          <w:vertAlign w:val="superscript"/>
        </w:rPr>
        <w:footnoteReference w:id="119"/>
      </w:r>
      <w:r w:rsidRPr="009464B2">
        <w:t xml:space="preserve"> Avista is currently required to file semi-annual reports of its capital expenditures, CWIP balances, and transfers to plant as a condition of the Settlement in its last GRC. </w:t>
      </w:r>
    </w:p>
    <w:p w14:paraId="678ABBD4" w14:textId="77777777" w:rsidR="00B8710A" w:rsidRPr="009464B2" w:rsidRDefault="00B8710A" w:rsidP="0029188B">
      <w:pPr>
        <w:numPr>
          <w:ilvl w:val="0"/>
          <w:numId w:val="1"/>
        </w:numPr>
        <w:tabs>
          <w:tab w:val="num" w:pos="0"/>
        </w:tabs>
        <w:spacing w:after="120" w:line="288" w:lineRule="auto"/>
        <w:ind w:left="0" w:hanging="720"/>
      </w:pPr>
      <w:r w:rsidRPr="009464B2">
        <w:t>Further, Staff witness Mr. Cebulko argues that the information obtained through Avista’s annual electric service reliability report,</w:t>
      </w:r>
      <w:r w:rsidRPr="009464B2">
        <w:rPr>
          <w:vertAlign w:val="superscript"/>
        </w:rPr>
        <w:footnoteReference w:id="120"/>
      </w:r>
      <w:r w:rsidRPr="009464B2">
        <w:t xml:space="preserve"> its Voice of the Customer survey and the J.D. Power Customer Satisfaction Index is inadequate for Staff to determine whether Avista provides reliable electric service.</w:t>
      </w:r>
      <w:r w:rsidRPr="009464B2">
        <w:rPr>
          <w:vertAlign w:val="superscript"/>
        </w:rPr>
        <w:footnoteReference w:id="121"/>
      </w:r>
      <w:r w:rsidRPr="009464B2">
        <w:t xml:space="preserve"> Mr. Cebulko reports that Staff is developing an econometric model that takes into account service territory attributes such as population density, number of line miles, average age of distribution infrastructure and weather severity to determine “meaningful, company-specific [reliability] benchmarks” for Avista.</w:t>
      </w:r>
      <w:r w:rsidRPr="009464B2">
        <w:rPr>
          <w:vertAlign w:val="superscript"/>
        </w:rPr>
        <w:footnoteReference w:id="122"/>
      </w:r>
      <w:r w:rsidRPr="009464B2">
        <w:t xml:space="preserve"> Staff recommends that the Commission order this study, and that it be </w:t>
      </w:r>
      <w:r w:rsidRPr="009464B2">
        <w:lastRenderedPageBreak/>
        <w:t>expanded to include benchmarks for reliability, distribution O&amp;M, and distribution net plant in service for all utilities.</w:t>
      </w:r>
      <w:r w:rsidRPr="009464B2">
        <w:rPr>
          <w:vertAlign w:val="superscript"/>
        </w:rPr>
        <w:footnoteReference w:id="123"/>
      </w:r>
      <w:r w:rsidRPr="009464B2">
        <w:t xml:space="preserve"> </w:t>
      </w:r>
    </w:p>
    <w:p w14:paraId="7C4A9054" w14:textId="5054AEE6" w:rsidR="00143DF4" w:rsidRPr="009464B2" w:rsidRDefault="00B8710A" w:rsidP="00B8710A">
      <w:pPr>
        <w:numPr>
          <w:ilvl w:val="0"/>
          <w:numId w:val="1"/>
        </w:numPr>
        <w:tabs>
          <w:tab w:val="num" w:pos="0"/>
        </w:tabs>
        <w:spacing w:after="120" w:line="288" w:lineRule="auto"/>
        <w:ind w:left="0" w:hanging="720"/>
      </w:pPr>
      <w:r w:rsidRPr="009464B2">
        <w:t>On brief, Staff argues that the Company has provided a narrative of its budgeting process, but does not explain why its budgets are growing at an increasing rate, or demonstrate that these increased costs are required to maintain or improve reliability. Staff argues that the Company’s case for incurring ever-increasing costs to replace aging infrastructure for reliability purposes is “vague and unpersuasive.”</w:t>
      </w:r>
      <w:r w:rsidRPr="009464B2">
        <w:rPr>
          <w:vertAlign w:val="superscript"/>
        </w:rPr>
        <w:footnoteReference w:id="124"/>
      </w:r>
    </w:p>
    <w:p w14:paraId="532B4BA9" w14:textId="77777777" w:rsidR="00143DF4" w:rsidRPr="009464B2" w:rsidRDefault="00143DF4" w:rsidP="00B25E60">
      <w:pPr>
        <w:numPr>
          <w:ilvl w:val="0"/>
          <w:numId w:val="14"/>
        </w:numPr>
        <w:spacing w:after="120" w:line="288" w:lineRule="auto"/>
        <w:ind w:left="1080" w:firstLine="0"/>
        <w:rPr>
          <w:b/>
          <w:u w:val="single"/>
        </w:rPr>
      </w:pPr>
      <w:r w:rsidRPr="009464B2">
        <w:rPr>
          <w:b/>
        </w:rPr>
        <w:t>Other Parties</w:t>
      </w:r>
    </w:p>
    <w:p w14:paraId="7DECC515" w14:textId="1911A5C4" w:rsidR="00143DF4" w:rsidRPr="009464B2" w:rsidRDefault="0009104A" w:rsidP="00492416">
      <w:pPr>
        <w:numPr>
          <w:ilvl w:val="0"/>
          <w:numId w:val="1"/>
        </w:numPr>
        <w:tabs>
          <w:tab w:val="num" w:pos="0"/>
        </w:tabs>
        <w:spacing w:after="120" w:line="288" w:lineRule="auto"/>
        <w:ind w:left="0" w:hanging="720"/>
      </w:pPr>
      <w:r w:rsidRPr="009464B2">
        <w:t>Public Counsel’s witness Ms. Ramas rejects the assertion that Avista’s electric operations are suffering a level of attrition requiring an attrition adjustment. Instead, Ms. Ramas proposes an electric revenue requirement based on the September 30, 2014, test year using an AMA</w:t>
      </w:r>
      <w:r w:rsidR="00F90F23">
        <w:t xml:space="preserve"> approach</w:t>
      </w:r>
      <w:r w:rsidRPr="009464B2">
        <w:t xml:space="preserve"> with pro forma adjustments. For natural gas operations, she recognizes that the Company has consistently earned below its authorized return and therefore recommends the Commission authorize use of an end-of-period (EOP) approach for setting the revenue requirement for gas operations based on a test year ending September 30, 2014.</w:t>
      </w:r>
      <w:r w:rsidRPr="009464B2">
        <w:rPr>
          <w:vertAlign w:val="superscript"/>
        </w:rPr>
        <w:footnoteReference w:id="125"/>
      </w:r>
      <w:r w:rsidRPr="009464B2">
        <w:t xml:space="preserve"> Ms. Ramas also critiques both the Company’s attrition study presented in its direct case and Staff’s attrition study presented in responsive testimony. Public Counsel proposes a 5.9 percent reduction</w:t>
      </w:r>
      <w:r w:rsidRPr="009464B2">
        <w:rPr>
          <w:i/>
        </w:rPr>
        <w:t xml:space="preserve"> </w:t>
      </w:r>
      <w:r w:rsidRPr="009464B2">
        <w:t>in electric rates based on an AMA test year ending September 30, 2014, and adjustment</w:t>
      </w:r>
      <w:r w:rsidR="00F90F23">
        <w:t>s</w:t>
      </w:r>
      <w:r w:rsidRPr="009464B2">
        <w:t xml:space="preserve"> for electric pro forma gross plant additions of $55.9 million.</w:t>
      </w:r>
      <w:r w:rsidRPr="009464B2">
        <w:rPr>
          <w:vertAlign w:val="superscript"/>
        </w:rPr>
        <w:footnoteReference w:id="126"/>
      </w:r>
      <w:r w:rsidR="00143DF4" w:rsidRPr="009464B2">
        <w:t xml:space="preserve"> </w:t>
      </w:r>
    </w:p>
    <w:p w14:paraId="7F51AD50" w14:textId="0D55BC4C" w:rsidR="00143DF4" w:rsidRPr="009464B2" w:rsidRDefault="00143DF4" w:rsidP="00492416">
      <w:pPr>
        <w:numPr>
          <w:ilvl w:val="0"/>
          <w:numId w:val="1"/>
        </w:numPr>
        <w:tabs>
          <w:tab w:val="num" w:pos="0"/>
        </w:tabs>
        <w:spacing w:after="120" w:line="288" w:lineRule="auto"/>
        <w:ind w:left="0" w:hanging="720"/>
      </w:pPr>
      <w:r w:rsidRPr="009464B2">
        <w:t xml:space="preserve">For ICNU, Mr. Mullins testifies that Avista’s electric operations are not suffering from attrition and instead asserts that the Company has been over earning. Rather than directly critiquing Avista’s attrition study, Mr. Mullins proposes an alternative approach by developing rates using the test year ending September 30, 2014, on an AMA basis with one pro forma plant addition. He then presents a number of regulatory policies and principles to argue against the Commission using attrition to set rates. ICNU further rejects the use of an attrition adjustment for determining electric revenue requirements, contending that the Company’s attrition study is both unwarranted and unreliable. ICNU insists that a traditional pro forma analysis is the only reliable evidence for establishing a </w:t>
      </w:r>
      <w:r w:rsidRPr="009464B2">
        <w:lastRenderedPageBreak/>
        <w:t>revenue requirement.</w:t>
      </w:r>
      <w:r w:rsidRPr="009464B2">
        <w:rPr>
          <w:vertAlign w:val="superscript"/>
        </w:rPr>
        <w:footnoteReference w:id="127"/>
      </w:r>
      <w:r w:rsidRPr="009464B2">
        <w:t xml:space="preserve"> ICNU’s proposed electric rates do not include any plant additions beyond calendar year 2014, except for Project Compass, and use calendar year 2014 AMA rate base balances.</w:t>
      </w:r>
      <w:r w:rsidRPr="009464B2">
        <w:rPr>
          <w:vertAlign w:val="superscript"/>
        </w:rPr>
        <w:footnoteReference w:id="128"/>
      </w:r>
      <w:r w:rsidRPr="009464B2">
        <w:t xml:space="preserve"> ICNU’s proposed revenue requirement is a $24.755 million or 4.95 percent reduction to current electric rates.</w:t>
      </w:r>
      <w:r w:rsidR="00A5304D">
        <w:rPr>
          <w:rStyle w:val="FootnoteReference"/>
        </w:rPr>
        <w:footnoteReference w:id="129"/>
      </w:r>
      <w:r w:rsidRPr="009464B2">
        <w:t xml:space="preserve"> </w:t>
      </w:r>
    </w:p>
    <w:p w14:paraId="237A6848" w14:textId="77777777" w:rsidR="0009104A" w:rsidRPr="009464B2" w:rsidRDefault="0009104A" w:rsidP="00492416">
      <w:pPr>
        <w:numPr>
          <w:ilvl w:val="0"/>
          <w:numId w:val="1"/>
        </w:numPr>
        <w:tabs>
          <w:tab w:val="num" w:pos="0"/>
        </w:tabs>
        <w:spacing w:after="120" w:line="288" w:lineRule="auto"/>
        <w:ind w:left="0" w:hanging="720"/>
      </w:pPr>
      <w:r w:rsidRPr="009464B2">
        <w:t>ICNU argues the Company is in a pattern of overspending.</w:t>
      </w:r>
      <w:r w:rsidRPr="009464B2">
        <w:rPr>
          <w:vertAlign w:val="superscript"/>
        </w:rPr>
        <w:footnoteReference w:id="130"/>
      </w:r>
      <w:r w:rsidRPr="009464B2">
        <w:t xml:space="preserve"> ICNU quotes the Company’s response to a data request where it specifically acknowledges that the “CPG [Capital Planning Group] approves or declines [capital expenditure] requests based on managing a total budget amount.”</w:t>
      </w:r>
      <w:r w:rsidRPr="009464B2">
        <w:rPr>
          <w:vertAlign w:val="superscript"/>
        </w:rPr>
        <w:footnoteReference w:id="131"/>
      </w:r>
      <w:r w:rsidRPr="009464B2">
        <w:t xml:space="preserve"> ICNU challenges the Company’s claim that it considers the degree of overall rate pressure faced by its customers. ICNU states that when asked how it considered impacts on ratepayers, the Company only referred to a spreadsheet containing Avista’s Consolidated Statements of Income.</w:t>
      </w:r>
      <w:r w:rsidRPr="009464B2">
        <w:rPr>
          <w:vertAlign w:val="superscript"/>
        </w:rPr>
        <w:footnoteReference w:id="132"/>
      </w:r>
    </w:p>
    <w:p w14:paraId="7DF4D312" w14:textId="73EA0386" w:rsidR="00143DF4" w:rsidRPr="009464B2" w:rsidRDefault="0009104A" w:rsidP="00492416">
      <w:pPr>
        <w:numPr>
          <w:ilvl w:val="0"/>
          <w:numId w:val="1"/>
        </w:numPr>
        <w:tabs>
          <w:tab w:val="num" w:pos="0"/>
        </w:tabs>
        <w:spacing w:after="120" w:line="288" w:lineRule="auto"/>
        <w:ind w:left="0" w:hanging="720"/>
      </w:pPr>
      <w:r w:rsidRPr="009464B2">
        <w:t>Testifying for NWIGU on natural gas operations, Mr. Gorman also opposes the use of attrition to set rates in Washington. However, if the Commission accepts the use of attrition, Mr. Gorman proposes several adjustments to Avista’s attrition study. He rejects Ms. Andrews’ reduction in sales for 2016 as not based on an acceptable normalization study, or forecast of billing units with a number of customers.</w:t>
      </w:r>
      <w:r w:rsidRPr="009464B2">
        <w:rPr>
          <w:vertAlign w:val="superscript"/>
        </w:rPr>
        <w:footnoteReference w:id="133"/>
      </w:r>
      <w:r w:rsidRPr="009464B2">
        <w:t xml:space="preserve"> Mr. Gorman asserts that the Company’s escalation factors for plant additions should be adjusted to reflect a mid-year 2016 test year, instead of an end of the year construct. Mr. Gorman also asserts that the Company’s escalation of gross plant must tie directly to its projections for increases in depreciation and amortization expense. Finally, Mr. Gorman proposes that the escalation of O&amp;M expenses be to mid-year 2016.</w:t>
      </w:r>
      <w:r w:rsidRPr="009464B2">
        <w:rPr>
          <w:vertAlign w:val="superscript"/>
        </w:rPr>
        <w:footnoteReference w:id="134"/>
      </w:r>
      <w:r w:rsidRPr="009464B2">
        <w:t xml:space="preserve"> This reduces the Company’s escalation of O&amp;M expenses from 2.25 years to 1.5 years. Mr. Gorman’s adjustments to Avista’s attrition study reduce Avista’s revenue requirement for natural gas operations by approximately $5.3 million.</w:t>
      </w:r>
      <w:r w:rsidRPr="009464B2">
        <w:rPr>
          <w:vertAlign w:val="superscript"/>
        </w:rPr>
        <w:footnoteReference w:id="135"/>
      </w:r>
    </w:p>
    <w:p w14:paraId="34524BF5" w14:textId="77777777" w:rsidR="00143DF4" w:rsidRPr="009464B2" w:rsidRDefault="00143DF4" w:rsidP="00B25E60">
      <w:pPr>
        <w:numPr>
          <w:ilvl w:val="0"/>
          <w:numId w:val="14"/>
        </w:numPr>
        <w:spacing w:after="120" w:line="288" w:lineRule="auto"/>
        <w:ind w:left="1080" w:firstLine="0"/>
        <w:rPr>
          <w:b/>
        </w:rPr>
      </w:pPr>
      <w:r w:rsidRPr="009464B2">
        <w:rPr>
          <w:b/>
        </w:rPr>
        <w:lastRenderedPageBreak/>
        <w:t>Avista’s Rebuttal Position</w:t>
      </w:r>
    </w:p>
    <w:p w14:paraId="10681CDF" w14:textId="77777777" w:rsidR="0009104A" w:rsidRPr="009464B2" w:rsidRDefault="0009104A" w:rsidP="0009104A">
      <w:pPr>
        <w:numPr>
          <w:ilvl w:val="0"/>
          <w:numId w:val="1"/>
        </w:numPr>
        <w:tabs>
          <w:tab w:val="num" w:pos="0"/>
        </w:tabs>
        <w:spacing w:after="120" w:line="288" w:lineRule="auto"/>
        <w:ind w:left="0" w:hanging="720"/>
      </w:pPr>
      <w:r w:rsidRPr="009464B2">
        <w:t>On rebuttal, Avista abandons the attrition study filed in its direct testimony and instead adopts Staff’s proposed attrition study and methodologies, with several changes. These changes include:</w:t>
      </w:r>
    </w:p>
    <w:p w14:paraId="0528453F" w14:textId="4BC0F24F" w:rsidR="0009104A" w:rsidRPr="009464B2" w:rsidRDefault="00F77656" w:rsidP="0009104A">
      <w:pPr>
        <w:numPr>
          <w:ilvl w:val="0"/>
          <w:numId w:val="10"/>
        </w:numPr>
        <w:spacing w:after="120" w:line="288" w:lineRule="auto"/>
      </w:pPr>
      <w:r w:rsidRPr="009464B2">
        <w:t>R</w:t>
      </w:r>
      <w:r w:rsidR="0009104A" w:rsidRPr="009464B2">
        <w:t>emov</w:t>
      </w:r>
      <w:r w:rsidRPr="009464B2">
        <w:t>ing</w:t>
      </w:r>
      <w:r w:rsidR="0009104A" w:rsidRPr="009464B2">
        <w:t xml:space="preserve"> the cost of employee pension and post-retirement medical benefits (net benefits) from the historical data used to determine escalation rates for electric O&amp;M costs.</w:t>
      </w:r>
    </w:p>
    <w:p w14:paraId="74F53822" w14:textId="1B0AB328" w:rsidR="0009104A" w:rsidRPr="009464B2" w:rsidRDefault="00F77656" w:rsidP="0009104A">
      <w:pPr>
        <w:numPr>
          <w:ilvl w:val="0"/>
          <w:numId w:val="10"/>
        </w:numPr>
        <w:spacing w:after="120" w:line="288" w:lineRule="auto"/>
      </w:pPr>
      <w:r w:rsidRPr="009464B2">
        <w:t>C</w:t>
      </w:r>
      <w:r w:rsidR="0009104A" w:rsidRPr="009464B2">
        <w:t>ombin</w:t>
      </w:r>
      <w:r w:rsidRPr="009464B2">
        <w:t>ing</w:t>
      </w:r>
      <w:r w:rsidR="0009104A" w:rsidRPr="009464B2">
        <w:t xml:space="preserve"> the result of using its 2007-2014 time period with Staff’s use of the 2013-2014 time period for determining escalation rates for its electric O&amp;M costs.</w:t>
      </w:r>
      <w:r w:rsidR="0009104A" w:rsidRPr="009464B2">
        <w:rPr>
          <w:vertAlign w:val="superscript"/>
        </w:rPr>
        <w:footnoteReference w:id="136"/>
      </w:r>
    </w:p>
    <w:p w14:paraId="201C8920" w14:textId="68DC5059" w:rsidR="00143DF4" w:rsidRPr="009464B2" w:rsidRDefault="00F77656" w:rsidP="003F528C">
      <w:pPr>
        <w:numPr>
          <w:ilvl w:val="0"/>
          <w:numId w:val="10"/>
        </w:numPr>
        <w:spacing w:after="120" w:line="288" w:lineRule="auto"/>
      </w:pPr>
      <w:r w:rsidRPr="009464B2">
        <w:t>H</w:t>
      </w:r>
      <w:r w:rsidR="0009104A" w:rsidRPr="009464B2">
        <w:t>old</w:t>
      </w:r>
      <w:r w:rsidRPr="009464B2">
        <w:t>ing</w:t>
      </w:r>
      <w:r w:rsidR="0009104A" w:rsidRPr="009464B2">
        <w:t xml:space="preserve"> to using its 2007-2014 time period for determining the natural gas O&amp;M escalation rate, rather than adopt Staff’s 2009-2014 time period.</w:t>
      </w:r>
      <w:r w:rsidR="00143DF4" w:rsidRPr="009464B2">
        <w:t xml:space="preserve">  </w:t>
      </w:r>
    </w:p>
    <w:p w14:paraId="01C5527E" w14:textId="77777777" w:rsidR="00143DF4" w:rsidRPr="009464B2" w:rsidRDefault="00143DF4" w:rsidP="00492416">
      <w:pPr>
        <w:tabs>
          <w:tab w:val="num" w:pos="720"/>
        </w:tabs>
        <w:spacing w:after="120" w:line="288" w:lineRule="auto"/>
        <w:ind w:left="1440" w:hanging="720"/>
      </w:pPr>
    </w:p>
    <w:p w14:paraId="09FA524A" w14:textId="0B4462C3" w:rsidR="00143DF4" w:rsidRPr="009464B2" w:rsidRDefault="00143DF4" w:rsidP="00492416">
      <w:pPr>
        <w:numPr>
          <w:ilvl w:val="0"/>
          <w:numId w:val="1"/>
        </w:numPr>
        <w:tabs>
          <w:tab w:val="num" w:pos="0"/>
        </w:tabs>
        <w:spacing w:after="120" w:line="288" w:lineRule="auto"/>
        <w:ind w:left="0" w:hanging="720"/>
      </w:pPr>
      <w:r w:rsidRPr="009464B2">
        <w:t>Avista justifies its proposed removal of net benefits from the time period data by claiming those costs are too volatile.</w:t>
      </w:r>
      <w:r w:rsidRPr="009464B2">
        <w:rPr>
          <w:vertAlign w:val="superscript"/>
        </w:rPr>
        <w:footnoteReference w:id="137"/>
      </w:r>
      <w:r w:rsidRPr="009464B2">
        <w:t xml:space="preserve"> Removing net benefits from the escalation rate for electric O&amp;M expense has the largest impact on the attrition allowance, increasing it by </w:t>
      </w:r>
      <w:r w:rsidR="00F90F23">
        <w:t xml:space="preserve">approximately </w:t>
      </w:r>
      <w:r w:rsidRPr="009464B2">
        <w:t>$7.3 million.</w:t>
      </w:r>
      <w:r w:rsidR="00B418BC">
        <w:rPr>
          <w:rStyle w:val="FootnoteReference"/>
        </w:rPr>
        <w:footnoteReference w:id="138"/>
      </w:r>
      <w:r w:rsidRPr="009464B2">
        <w:t xml:space="preserve"> In contrast, Avista’s use of its 2007-2014 time period instead of a 2009-2013 time period only results in a $224,000 increase in the electric attrition allowance and a $670,000 </w:t>
      </w:r>
      <w:r w:rsidRPr="009464B2">
        <w:rPr>
          <w:i/>
        </w:rPr>
        <w:t>decrease</w:t>
      </w:r>
      <w:r w:rsidRPr="009464B2">
        <w:t xml:space="preserve"> in the natural gas attrition allowance.</w:t>
      </w:r>
      <w:r w:rsidRPr="009464B2">
        <w:rPr>
          <w:vertAlign w:val="superscript"/>
        </w:rPr>
        <w:footnoteReference w:id="139"/>
      </w:r>
      <w:r w:rsidRPr="009464B2">
        <w:t xml:space="preserve"> </w:t>
      </w:r>
    </w:p>
    <w:p w14:paraId="6333A24C" w14:textId="37E60BF4" w:rsidR="00143DF4" w:rsidRPr="009464B2" w:rsidRDefault="00143DF4" w:rsidP="00492416">
      <w:pPr>
        <w:numPr>
          <w:ilvl w:val="0"/>
          <w:numId w:val="1"/>
        </w:numPr>
        <w:tabs>
          <w:tab w:val="num" w:pos="0"/>
        </w:tabs>
        <w:spacing w:after="120" w:line="288" w:lineRule="auto"/>
        <w:ind w:left="0" w:hanging="720"/>
      </w:pPr>
      <w:r w:rsidRPr="009464B2">
        <w:t>As a consequence of removing net benefits and adopting Staff’s arithmetic averaging of escalation rates from two time periods, Avista proposes a 5.16 percent escalation rate for electric O&amp;M expense.</w:t>
      </w:r>
      <w:r w:rsidRPr="009464B2">
        <w:rPr>
          <w:vertAlign w:val="superscript"/>
        </w:rPr>
        <w:footnoteReference w:id="140"/>
      </w:r>
      <w:r w:rsidRPr="009464B2">
        <w:t xml:space="preserve"> The Company constructs this growth rate from the arithmetic average of a growth rate derived from the 2007-2014 time period, and the one</w:t>
      </w:r>
      <w:r w:rsidR="0009104A" w:rsidRPr="009464B2">
        <w:t>-</w:t>
      </w:r>
      <w:r w:rsidRPr="009464B2">
        <w:t xml:space="preserve">year </w:t>
      </w:r>
      <w:r w:rsidRPr="009464B2">
        <w:lastRenderedPageBreak/>
        <w:t>period 2013-2014. In effect it removes Staff’s use of the 3 percent growth rate and replaces it with the growth rate from the 2007-2014 time period.</w:t>
      </w:r>
      <w:r w:rsidRPr="009464B2">
        <w:rPr>
          <w:vertAlign w:val="superscript"/>
        </w:rPr>
        <w:footnoteReference w:id="141"/>
      </w:r>
    </w:p>
    <w:p w14:paraId="029FE1C0" w14:textId="0BAA0F1E" w:rsidR="0009104A" w:rsidRPr="009464B2" w:rsidRDefault="0009104A" w:rsidP="00A5304D">
      <w:pPr>
        <w:numPr>
          <w:ilvl w:val="0"/>
          <w:numId w:val="1"/>
        </w:numPr>
        <w:tabs>
          <w:tab w:val="num" w:pos="0"/>
        </w:tabs>
        <w:spacing w:after="120" w:line="288" w:lineRule="auto"/>
        <w:ind w:left="0" w:hanging="720"/>
        <w:rPr>
          <w:bCs/>
        </w:rPr>
      </w:pPr>
      <w:r w:rsidRPr="009464B2">
        <w:t>The Company also adopts on rebuttal Staff’s modeling of an increase in natural gas revenue growth in 2016.</w:t>
      </w:r>
      <w:r w:rsidRPr="009464B2">
        <w:rPr>
          <w:vertAlign w:val="superscript"/>
        </w:rPr>
        <w:footnoteReference w:id="142"/>
      </w:r>
      <w:r w:rsidRPr="009464B2">
        <w:t xml:space="preserve"> Further, </w:t>
      </w:r>
      <w:r w:rsidRPr="009464B2">
        <w:rPr>
          <w:bCs/>
        </w:rPr>
        <w:t>Ms. Andrews refutes Mr. Gorman’s claim that Avista’s gas operations slightly over earned in 2014.</w:t>
      </w:r>
      <w:r w:rsidRPr="009464B2">
        <w:rPr>
          <w:bCs/>
          <w:vertAlign w:val="superscript"/>
        </w:rPr>
        <w:footnoteReference w:id="143"/>
      </w:r>
      <w:r w:rsidRPr="009464B2">
        <w:rPr>
          <w:bCs/>
        </w:rPr>
        <w:t xml:space="preserve"> Ms. Andrews contends that the Company’s operations under earned in 2014 by $6.2 million, with an ROR of 5.76 percent on a normalized basis.</w:t>
      </w:r>
      <w:r w:rsidRPr="009464B2">
        <w:rPr>
          <w:bCs/>
          <w:vertAlign w:val="superscript"/>
        </w:rPr>
        <w:footnoteReference w:id="144"/>
      </w:r>
      <w:r w:rsidRPr="009464B2">
        <w:rPr>
          <w:bCs/>
        </w:rPr>
        <w:t xml:space="preserve"> She points out that the 2014 results reflect the January 1, 2015, rate increase as if it had been in place for the entire 2014 test period.</w:t>
      </w:r>
      <w:r w:rsidRPr="009464B2">
        <w:rPr>
          <w:bCs/>
          <w:vertAlign w:val="superscript"/>
        </w:rPr>
        <w:footnoteReference w:id="145"/>
      </w:r>
      <w:r w:rsidRPr="009464B2">
        <w:rPr>
          <w:bCs/>
        </w:rPr>
        <w:t xml:space="preserve"> </w:t>
      </w:r>
    </w:p>
    <w:p w14:paraId="4EE61E08" w14:textId="79810D52" w:rsidR="00143DF4" w:rsidRPr="009464B2" w:rsidRDefault="00143DF4" w:rsidP="00492416">
      <w:pPr>
        <w:numPr>
          <w:ilvl w:val="0"/>
          <w:numId w:val="1"/>
        </w:numPr>
        <w:tabs>
          <w:tab w:val="num" w:pos="0"/>
        </w:tabs>
        <w:spacing w:after="120" w:line="288" w:lineRule="auto"/>
        <w:ind w:left="0" w:hanging="720"/>
      </w:pPr>
      <w:r w:rsidRPr="009464B2">
        <w:t>In addition to clarifying its methodology for an attrition study, the Company points to testimony supporting its capital spending.</w:t>
      </w:r>
      <w:r w:rsidRPr="009464B2">
        <w:rPr>
          <w:vertAlign w:val="superscript"/>
        </w:rPr>
        <w:footnoteReference w:id="146"/>
      </w:r>
      <w:r w:rsidRPr="009464B2">
        <w:t xml:space="preserve"> </w:t>
      </w:r>
      <w:r w:rsidR="00B1684C">
        <w:t>Avista</w:t>
      </w:r>
      <w:r w:rsidRPr="009464B2">
        <w:t xml:space="preserve"> provides a description of the capital planning and reprioritization process.</w:t>
      </w:r>
      <w:r w:rsidRPr="009464B2">
        <w:rPr>
          <w:vertAlign w:val="superscript"/>
        </w:rPr>
        <w:footnoteReference w:id="147"/>
      </w:r>
      <w:r w:rsidRPr="009464B2">
        <w:t xml:space="preserve"> Ms. Schuh describes the capital budgeting process as beginning with individual business cases that are: </w:t>
      </w:r>
    </w:p>
    <w:p w14:paraId="6D1B010E" w14:textId="232FAEDD" w:rsidR="00143DF4" w:rsidRPr="009464B2" w:rsidRDefault="00492416" w:rsidP="00492416">
      <w:pPr>
        <w:tabs>
          <w:tab w:val="num" w:pos="720"/>
        </w:tabs>
        <w:spacing w:after="120" w:line="288" w:lineRule="auto"/>
        <w:ind w:left="720" w:hanging="720"/>
      </w:pPr>
      <w:r w:rsidRPr="009464B2">
        <w:tab/>
      </w:r>
      <w:r w:rsidR="00143DF4" w:rsidRPr="009464B2">
        <w:t>a summary document that provides support and analysis for a capital project or program. Components of a business case include: the project description, project alternatives, cost summary, business risk, financial assessment, strategic assessment, justification for the project (e.g., mandatory, resource requirements, etc), milestones, key performance indicators.</w:t>
      </w:r>
      <w:r w:rsidR="00143DF4" w:rsidRPr="009464B2">
        <w:rPr>
          <w:bCs/>
          <w:vertAlign w:val="superscript"/>
        </w:rPr>
        <w:footnoteReference w:id="148"/>
      </w:r>
    </w:p>
    <w:p w14:paraId="4004625C" w14:textId="488E5BB9" w:rsidR="00143DF4" w:rsidRPr="009464B2" w:rsidRDefault="0009104A" w:rsidP="00492416">
      <w:pPr>
        <w:numPr>
          <w:ilvl w:val="0"/>
          <w:numId w:val="1"/>
        </w:numPr>
        <w:tabs>
          <w:tab w:val="num" w:pos="0"/>
        </w:tabs>
        <w:spacing w:after="120" w:line="288" w:lineRule="auto"/>
        <w:ind w:left="0" w:hanging="720"/>
      </w:pPr>
      <w:r w:rsidRPr="009464B2">
        <w:t>Ms. Schuh states that after the business cases pass the Financial Planning and Analysis group, the Capital Planning Group</w:t>
      </w:r>
      <w:r w:rsidR="00B1684C">
        <w:t xml:space="preserve"> meets to review the submitted business c</w:t>
      </w:r>
      <w:r w:rsidRPr="009464B2">
        <w:t xml:space="preserve">ases and </w:t>
      </w:r>
      <w:r w:rsidRPr="009464B2">
        <w:lastRenderedPageBreak/>
        <w:t>“prioritize funding to meet the capital budget targets set by senior management.”</w:t>
      </w:r>
      <w:r w:rsidRPr="009464B2">
        <w:rPr>
          <w:bCs/>
          <w:vertAlign w:val="superscript"/>
        </w:rPr>
        <w:footnoteReference w:id="149"/>
      </w:r>
      <w:r w:rsidRPr="009464B2">
        <w:t xml:space="preserve"> Ms. Schuh also provides numerous individual business case summaries.</w:t>
      </w:r>
      <w:r w:rsidRPr="009464B2">
        <w:rPr>
          <w:vertAlign w:val="superscript"/>
        </w:rPr>
        <w:footnoteReference w:id="150"/>
      </w:r>
    </w:p>
    <w:p w14:paraId="3B0BB669" w14:textId="024DCC3F" w:rsidR="00143DF4" w:rsidRPr="009464B2" w:rsidRDefault="001E57E3" w:rsidP="001E57E3">
      <w:pPr>
        <w:numPr>
          <w:ilvl w:val="0"/>
          <w:numId w:val="1"/>
        </w:numPr>
        <w:tabs>
          <w:tab w:val="num" w:pos="0"/>
        </w:tabs>
        <w:spacing w:after="120" w:line="288" w:lineRule="auto"/>
        <w:ind w:left="0" w:hanging="720"/>
      </w:pPr>
      <w:r w:rsidRPr="009464B2">
        <w:t>Avista questions Mr. Cebulko’ s proposal for a “complex and intensive” study to compare Avista with other utilities. Company witness Mr. La Bolle states that Avista has provided Staff with “more-than-ample evidence that demonstrates that its plant investments, both on an individual and collective basis, are reasonable, justified and prudent,”</w:t>
      </w:r>
      <w:r w:rsidRPr="009464B2">
        <w:rPr>
          <w:vertAlign w:val="superscript"/>
        </w:rPr>
        <w:footnoteReference w:id="151"/>
      </w:r>
      <w:r w:rsidRPr="009464B2">
        <w:t xml:space="preserve"> and that “there is no indication that the Company’s past or present reliability performance is of concern.”</w:t>
      </w:r>
      <w:r w:rsidRPr="009464B2">
        <w:rPr>
          <w:vertAlign w:val="superscript"/>
        </w:rPr>
        <w:footnoteReference w:id="152"/>
      </w:r>
      <w:r w:rsidRPr="009464B2">
        <w:t xml:space="preserve"> Mr. La Bolle recommends that Staff and interested parties develop an understanding of the Company’s Asset Management Program before requiring additional reports or studies.</w:t>
      </w:r>
      <w:r w:rsidRPr="009464B2">
        <w:rPr>
          <w:vertAlign w:val="superscript"/>
        </w:rPr>
        <w:footnoteReference w:id="153"/>
      </w:r>
      <w:r w:rsidR="00143DF4" w:rsidRPr="009464B2">
        <w:t xml:space="preserve">  </w:t>
      </w:r>
    </w:p>
    <w:p w14:paraId="08C5BA61" w14:textId="0A55C640" w:rsidR="00143DF4" w:rsidRPr="00B25E60" w:rsidRDefault="00B25E60" w:rsidP="00B25E60">
      <w:pPr>
        <w:pStyle w:val="Heading4"/>
        <w:ind w:left="1080" w:hanging="360"/>
        <w:rPr>
          <w:sz w:val="24"/>
          <w:szCs w:val="24"/>
        </w:rPr>
      </w:pPr>
      <w:bookmarkStart w:id="25" w:name="_Toc439838963"/>
      <w:r>
        <w:rPr>
          <w:sz w:val="24"/>
          <w:szCs w:val="24"/>
        </w:rPr>
        <w:t>3.</w:t>
      </w:r>
      <w:r>
        <w:rPr>
          <w:sz w:val="24"/>
          <w:szCs w:val="24"/>
        </w:rPr>
        <w:tab/>
      </w:r>
      <w:r w:rsidR="00143DF4" w:rsidRPr="00B25E60">
        <w:rPr>
          <w:sz w:val="24"/>
          <w:szCs w:val="24"/>
        </w:rPr>
        <w:t>Discussion and Decision</w:t>
      </w:r>
      <w:bookmarkEnd w:id="25"/>
    </w:p>
    <w:p w14:paraId="4A12AE47" w14:textId="77777777" w:rsidR="00EF6A63" w:rsidRPr="009464B2" w:rsidRDefault="00EF6A63" w:rsidP="00EF6A63">
      <w:pPr>
        <w:ind w:left="720" w:hanging="360"/>
      </w:pPr>
    </w:p>
    <w:p w14:paraId="64413ACA" w14:textId="77777777" w:rsidR="001E57E3" w:rsidRPr="009464B2" w:rsidRDefault="001E57E3" w:rsidP="001E57E3">
      <w:pPr>
        <w:numPr>
          <w:ilvl w:val="0"/>
          <w:numId w:val="1"/>
        </w:numPr>
        <w:tabs>
          <w:tab w:val="num" w:pos="0"/>
        </w:tabs>
        <w:spacing w:after="120" w:line="288" w:lineRule="auto"/>
        <w:ind w:left="0" w:hanging="720"/>
      </w:pPr>
      <w:r w:rsidRPr="009464B2">
        <w:t xml:space="preserve">In this proceeding, Avista again requests rate increases for both electric and natural gas operations based on its claim that its earnings continue to be eroded by the effects of attrition. The Company does not proffer a revenue requirement using the Commission-approved standard for post-test year plant additions as known and measurable changes to a historical test year. Instead, the Company presents a test year modified to include projections of capital spending based on its budget as a cross-check to its attrition-derived revenue requirement.  </w:t>
      </w:r>
    </w:p>
    <w:p w14:paraId="22861428" w14:textId="670361D0" w:rsidR="00143DF4" w:rsidRPr="009464B2" w:rsidRDefault="001E57E3" w:rsidP="001E57E3">
      <w:pPr>
        <w:numPr>
          <w:ilvl w:val="0"/>
          <w:numId w:val="1"/>
        </w:numPr>
        <w:tabs>
          <w:tab w:val="num" w:pos="0"/>
        </w:tabs>
        <w:spacing w:after="120" w:line="288" w:lineRule="auto"/>
        <w:ind w:left="0" w:hanging="720"/>
      </w:pPr>
      <w:r w:rsidRPr="009464B2">
        <w:t>Staff also provides a detailed and rigorous attrition analysis as a means of informing the Commission about attrition-related tendencies in the Company’s anticipated financial condition in the rate year. As discussed above, Staff witness McGuire rejects the Company’s escalation methodology and applies a historical least</w:t>
      </w:r>
      <w:r w:rsidR="00B06AD6" w:rsidRPr="009464B2">
        <w:t>-</w:t>
      </w:r>
      <w:r w:rsidRPr="009464B2">
        <w:t>squares linear regression trending analysis to determine the escalation rate for an attrition study. As we note above, on rebuttal, the Company accepts this methodology for establishing escalation rates with several changes.</w:t>
      </w:r>
      <w:r w:rsidR="00143DF4" w:rsidRPr="009464B2">
        <w:t xml:space="preserve">  </w:t>
      </w:r>
    </w:p>
    <w:p w14:paraId="5CD87E4B" w14:textId="1BB87A3C" w:rsidR="001E57E3" w:rsidRPr="009464B2" w:rsidRDefault="001E57E3" w:rsidP="001E57E3">
      <w:pPr>
        <w:numPr>
          <w:ilvl w:val="0"/>
          <w:numId w:val="1"/>
        </w:numPr>
        <w:tabs>
          <w:tab w:val="num" w:pos="0"/>
        </w:tabs>
        <w:spacing w:after="120" w:line="288" w:lineRule="auto"/>
        <w:ind w:left="0" w:hanging="720"/>
      </w:pPr>
      <w:r w:rsidRPr="009464B2">
        <w:lastRenderedPageBreak/>
        <w:t xml:space="preserve">While supporting and arguing for an attrition, Mr. McGuire </w:t>
      </w:r>
      <w:r w:rsidR="00760C32" w:rsidRPr="009464B2">
        <w:t xml:space="preserve">supports </w:t>
      </w:r>
      <w:r w:rsidRPr="009464B2">
        <w:t>other Staff witness’ concerns about the level of Avista’s investments in its distribution systems, stating:</w:t>
      </w:r>
    </w:p>
    <w:p w14:paraId="7871F2D0" w14:textId="77777777" w:rsidR="001E57E3" w:rsidRPr="009464B2" w:rsidRDefault="001E57E3" w:rsidP="001E57E3">
      <w:pPr>
        <w:spacing w:after="120"/>
        <w:ind w:left="720"/>
      </w:pPr>
      <w:r w:rsidRPr="009464B2">
        <w:t>Without knowing where Avista should be in terms of its reliability performance, it is not possible to know whether improved “reliability” is a remotely acceptable cause for significant and continued investment in distribution system enhancements. It is entirely possible that, given the unique characteristics of Avista’s service territory, it has already invested far too heavily in distribution system enhancements.</w:t>
      </w:r>
      <w:r w:rsidRPr="009464B2">
        <w:rPr>
          <w:rStyle w:val="FootnoteReference"/>
        </w:rPr>
        <w:footnoteReference w:id="154"/>
      </w:r>
      <w:r w:rsidRPr="009464B2">
        <w:t xml:space="preserve"> </w:t>
      </w:r>
    </w:p>
    <w:p w14:paraId="1103B31A" w14:textId="5AE4E581" w:rsidR="00143DF4" w:rsidRPr="009464B2" w:rsidRDefault="001E57E3" w:rsidP="001E57E3">
      <w:pPr>
        <w:numPr>
          <w:ilvl w:val="0"/>
          <w:numId w:val="1"/>
        </w:numPr>
        <w:tabs>
          <w:tab w:val="num" w:pos="0"/>
        </w:tabs>
        <w:spacing w:after="120" w:line="288" w:lineRule="auto"/>
        <w:ind w:left="0" w:hanging="720"/>
      </w:pPr>
      <w:r w:rsidRPr="009464B2">
        <w:t>Mr. McGuire further states that “Avista is simply investing too heavily in distribution infrastructure for Staff and the Commission to continue to operate blindly when trying to determine whether that investment is providing worthwhile benefit to the Company’s ratepayers.”</w:t>
      </w:r>
      <w:r w:rsidRPr="009464B2">
        <w:rPr>
          <w:rStyle w:val="FootnoteReference"/>
        </w:rPr>
        <w:footnoteReference w:id="155"/>
      </w:r>
      <w:r w:rsidRPr="009464B2">
        <w:t xml:space="preserve"> </w:t>
      </w:r>
    </w:p>
    <w:p w14:paraId="28B29B6B" w14:textId="5CCC2F5E" w:rsidR="00143DF4" w:rsidRPr="009464B2" w:rsidRDefault="00B06AD6" w:rsidP="001E57E3">
      <w:pPr>
        <w:numPr>
          <w:ilvl w:val="0"/>
          <w:numId w:val="1"/>
        </w:numPr>
        <w:tabs>
          <w:tab w:val="num" w:pos="0"/>
        </w:tabs>
        <w:spacing w:after="120" w:line="288" w:lineRule="auto"/>
        <w:ind w:left="0" w:hanging="720"/>
      </w:pPr>
      <w:r w:rsidRPr="009464B2">
        <w:t>Although</w:t>
      </w:r>
      <w:r w:rsidR="00B15731" w:rsidRPr="009464B2">
        <w:t xml:space="preserve"> Avista has requested and </w:t>
      </w:r>
      <w:r w:rsidRPr="009464B2">
        <w:t>applied several regulatory mechanisms to address earning deficiencies and regulatory lag, including its Energy Recovery Mechanism (ERM), Purchased Gas Adjustment,</w:t>
      </w:r>
      <w:r w:rsidR="00B15731" w:rsidRPr="009464B2">
        <w:t xml:space="preserve"> </w:t>
      </w:r>
      <w:r w:rsidRPr="009464B2">
        <w:t xml:space="preserve">and </w:t>
      </w:r>
      <w:r w:rsidR="00B15731" w:rsidRPr="009464B2">
        <w:t>End-of-Period accounting</w:t>
      </w:r>
      <w:r w:rsidR="001E57E3" w:rsidRPr="009464B2">
        <w:t>, Avista continues to assert that Commission reliance on a modified historical test period with pro forma adjustments will not produce a revenue requirement that is sufficient to allow the Company a reasonable opportunity to earn its allowed return in 2016 and beyond.</w:t>
      </w:r>
      <w:r w:rsidR="001E57E3" w:rsidRPr="009464B2">
        <w:rPr>
          <w:vertAlign w:val="superscript"/>
        </w:rPr>
        <w:footnoteReference w:id="156"/>
      </w:r>
      <w:r w:rsidR="001E57E3" w:rsidRPr="009464B2">
        <w:t xml:space="preserve"> The Company acknowledges that the Commission has not directly authorized an attrition adjustment to set rates since the 1980s but argues it remains a viable tool today to address the shortcomings of a historical test period subject to limited pro forma adjustments.</w:t>
      </w:r>
      <w:r w:rsidR="001E57E3" w:rsidRPr="009464B2">
        <w:rPr>
          <w:vertAlign w:val="superscript"/>
        </w:rPr>
        <w:footnoteReference w:id="157"/>
      </w:r>
      <w:r w:rsidR="00143DF4" w:rsidRPr="009464B2">
        <w:t xml:space="preserve"> </w:t>
      </w:r>
    </w:p>
    <w:p w14:paraId="4912426F" w14:textId="53BEC0A6" w:rsidR="001E57E3" w:rsidRDefault="000D3A6B" w:rsidP="001E57E3">
      <w:pPr>
        <w:numPr>
          <w:ilvl w:val="0"/>
          <w:numId w:val="1"/>
        </w:numPr>
        <w:tabs>
          <w:tab w:val="num" w:pos="0"/>
        </w:tabs>
        <w:spacing w:after="120" w:line="288" w:lineRule="auto"/>
        <w:ind w:left="0" w:hanging="720"/>
      </w:pPr>
      <w:r>
        <w:t>Mr. McGuire recognizes</w:t>
      </w:r>
      <w:r w:rsidR="001E57E3" w:rsidRPr="009464B2">
        <w:t xml:space="preserve"> that rates calculated using a modified historical test year will generate revenues that will “fall short” of those necessary to provide Avista “with a reasonable opportunity to earn a fair rate of return” in a rate year.</w:t>
      </w:r>
      <w:r w:rsidR="001E57E3" w:rsidRPr="009464B2">
        <w:rPr>
          <w:vertAlign w:val="superscript"/>
        </w:rPr>
        <w:footnoteReference w:id="158"/>
      </w:r>
      <w:r w:rsidR="001E57E3" w:rsidRPr="009464B2">
        <w:t xml:space="preserve"> </w:t>
      </w:r>
      <w:r>
        <w:t>He observes</w:t>
      </w:r>
      <w:r w:rsidR="001E57E3" w:rsidRPr="009464B2">
        <w:t xml:space="preserve"> that </w:t>
      </w:r>
      <w:r>
        <w:t>Avista</w:t>
      </w:r>
      <w:r w:rsidR="001E57E3" w:rsidRPr="009464B2">
        <w:t xml:space="preserve"> has been experiencing very low load growth over the last several years, and if that load growth continues at a slow pace, the Company is not going to be able to generate the </w:t>
      </w:r>
      <w:r w:rsidR="001E57E3" w:rsidRPr="009464B2">
        <w:lastRenderedPageBreak/>
        <w:t>revenues necessary to cover the expenses moving forward.</w:t>
      </w:r>
      <w:r>
        <w:rPr>
          <w:rStyle w:val="FootnoteReference"/>
        </w:rPr>
        <w:footnoteReference w:id="159"/>
      </w:r>
      <w:r w:rsidR="001E57E3" w:rsidRPr="009464B2">
        <w:t xml:space="preserve"> Avista uses load projections showing moderate electric and natural gas revenue growth.</w:t>
      </w:r>
      <w:r w:rsidR="001E57E3" w:rsidRPr="009464B2">
        <w:rPr>
          <w:rStyle w:val="FootnoteReference"/>
        </w:rPr>
        <w:footnoteReference w:id="160"/>
      </w:r>
      <w:r w:rsidR="001E57E3" w:rsidRPr="009464B2">
        <w:t xml:space="preserve"> </w:t>
      </w:r>
    </w:p>
    <w:p w14:paraId="3E4F7C22" w14:textId="40C1D644" w:rsidR="00177A54" w:rsidRPr="009464B2" w:rsidRDefault="00177A54" w:rsidP="001E57E3">
      <w:pPr>
        <w:numPr>
          <w:ilvl w:val="0"/>
          <w:numId w:val="1"/>
        </w:numPr>
        <w:tabs>
          <w:tab w:val="num" w:pos="0"/>
        </w:tabs>
        <w:spacing w:after="120" w:line="288" w:lineRule="auto"/>
        <w:ind w:left="0" w:hanging="720"/>
      </w:pPr>
      <w:r>
        <w:t>Avista requests the Commission authorize large adjustments to its electric and gas revenue requirements based on its analysis extrapolating historical levels of capital investment and expense to the rate year, arguing that the trend in such information effectively proves attrition conditions prospectively.  The Company also points to reliability and its obligation to serve customers as the predominant factors driving its projected or budgeted capital investment program,</w:t>
      </w:r>
      <w:r>
        <w:rPr>
          <w:rStyle w:val="FootnoteReference"/>
        </w:rPr>
        <w:footnoteReference w:id="161"/>
      </w:r>
      <w:r>
        <w:t xml:space="preserve"> and notes the ever-increasing costs of utility infrastructure.</w:t>
      </w:r>
      <w:r>
        <w:rPr>
          <w:rStyle w:val="FootnoteReference"/>
        </w:rPr>
        <w:footnoteReference w:id="162"/>
      </w:r>
    </w:p>
    <w:p w14:paraId="5C8B69B9" w14:textId="77777777" w:rsidR="001E57E3" w:rsidRPr="009464B2" w:rsidRDefault="001E57E3" w:rsidP="001E57E3">
      <w:pPr>
        <w:numPr>
          <w:ilvl w:val="0"/>
          <w:numId w:val="1"/>
        </w:numPr>
        <w:tabs>
          <w:tab w:val="num" w:pos="0"/>
        </w:tabs>
        <w:spacing w:after="120" w:line="288" w:lineRule="auto"/>
        <w:ind w:left="0" w:hanging="720"/>
      </w:pPr>
      <w:r w:rsidRPr="009464B2">
        <w:t xml:space="preserve">The Company abandoned the attrition analysis offered in its direct case, and offers on rebuttal an attrition analysis, based in large measure on Staff’s analysis, that reflects a trending of historical capital investment, expense, and revenue data extrapolated forward to 2016 as a means to establish claims about likely attrition in that year. Avista claims that in the circumstances of this case, where evidence demonstrates that rate base and expenses will rise faster than revenues between the historical test period and the rate period, the Commission should look to an attrition adjustment for ratemaking purposes.  </w:t>
      </w:r>
    </w:p>
    <w:p w14:paraId="434DFFBC" w14:textId="2578EF35" w:rsidR="00143DF4" w:rsidRPr="009464B2" w:rsidRDefault="001E57E3" w:rsidP="00FD6EAB">
      <w:pPr>
        <w:numPr>
          <w:ilvl w:val="0"/>
          <w:numId w:val="1"/>
        </w:numPr>
        <w:tabs>
          <w:tab w:val="num" w:pos="0"/>
        </w:tabs>
        <w:spacing w:after="120" w:line="288" w:lineRule="auto"/>
        <w:ind w:left="0" w:hanging="720"/>
      </w:pPr>
      <w:r w:rsidRPr="009464B2">
        <w:t>Although Avista largely adopts Staff’s attrition study methodology, Staff’s Brief cautions the Commission against immoderate dependence on that analysis as a basis for actually authorizing any attrition adjustment</w:t>
      </w:r>
      <w:r w:rsidR="00FD6EAB" w:rsidRPr="009464B2">
        <w:t>.</w:t>
      </w:r>
      <w:r w:rsidR="00746B5B">
        <w:t xml:space="preserve"> </w:t>
      </w:r>
      <w:r w:rsidRPr="009464B2">
        <w:t xml:space="preserve">Thus, although the Company and Staff ultimately adopt a common </w:t>
      </w:r>
      <w:r w:rsidR="00C96E8D">
        <w:t xml:space="preserve">methodological </w:t>
      </w:r>
      <w:r w:rsidRPr="009464B2">
        <w:t xml:space="preserve">approach, they differ on </w:t>
      </w:r>
      <w:r w:rsidR="00C96E8D">
        <w:t xml:space="preserve">two key and relevant factors in the application of the methodology: specifically, the term of the historical data and the escalation factor.  </w:t>
      </w:r>
    </w:p>
    <w:p w14:paraId="2258BA5F" w14:textId="6D84A6BB" w:rsidR="00143DF4" w:rsidRPr="009464B2" w:rsidRDefault="001E57E3" w:rsidP="001E57E3">
      <w:pPr>
        <w:numPr>
          <w:ilvl w:val="0"/>
          <w:numId w:val="1"/>
        </w:numPr>
        <w:tabs>
          <w:tab w:val="num" w:pos="0"/>
        </w:tabs>
        <w:spacing w:after="120" w:line="288" w:lineRule="auto"/>
        <w:ind w:left="0" w:hanging="720"/>
      </w:pPr>
      <w:r w:rsidRPr="009464B2">
        <w:t>We also note that the evidence presented indicates that Avista has, at least with respect to its electric operations, either earned at or above its approved rate of return in 2013 and 2014, and may possibly do so in 2015.</w:t>
      </w:r>
      <w:r w:rsidRPr="009464B2">
        <w:rPr>
          <w:vertAlign w:val="superscript"/>
        </w:rPr>
        <w:footnoteReference w:id="163"/>
      </w:r>
      <w:r w:rsidRPr="009464B2">
        <w:t xml:space="preserve"> For this reason and others, Public Counsel and ICNU oppose any attrition adjustment for electric rates, contending instead that Avista’s over-earning during the test year must have a direct bearing on Commission consideration of the necessity of any attrition adjustment.</w:t>
      </w:r>
      <w:r w:rsidRPr="009464B2">
        <w:rPr>
          <w:vertAlign w:val="superscript"/>
        </w:rPr>
        <w:footnoteReference w:id="164"/>
      </w:r>
      <w:r w:rsidR="00143DF4" w:rsidRPr="009464B2">
        <w:t xml:space="preserve"> </w:t>
      </w:r>
    </w:p>
    <w:p w14:paraId="75F1E9DD" w14:textId="77777777" w:rsidR="001E57E3" w:rsidRPr="009464B2" w:rsidRDefault="001E57E3" w:rsidP="001E57E3">
      <w:pPr>
        <w:numPr>
          <w:ilvl w:val="0"/>
          <w:numId w:val="1"/>
        </w:numPr>
        <w:tabs>
          <w:tab w:val="num" w:pos="0"/>
        </w:tabs>
        <w:spacing w:after="120" w:line="288" w:lineRule="auto"/>
        <w:ind w:left="0" w:hanging="720"/>
      </w:pPr>
      <w:r w:rsidRPr="009464B2">
        <w:lastRenderedPageBreak/>
        <w:t xml:space="preserve">The parties’ positions vary widely. Public Counsel and ICNU oppose the use of an attrition adjustment, contending it is simply unnecessary. As a nod to some aspects of Avista’s under-earnings claims, Public Counsel supports the use of EOP rate base for the Company’s natural gas operations to account for regulatory lag, but for all other purposes opposes the Company’s proposed attrition adjustments. NWIGU simply opposes the use of an attrition adjustment to natural gas revenue requirements and does not support EOP or pro forma adjustments.  </w:t>
      </w:r>
    </w:p>
    <w:p w14:paraId="4874EFEB" w14:textId="7011E49E" w:rsidR="00143DF4" w:rsidRPr="009464B2" w:rsidRDefault="00143DF4" w:rsidP="001E57E3">
      <w:pPr>
        <w:numPr>
          <w:ilvl w:val="0"/>
          <w:numId w:val="1"/>
        </w:numPr>
        <w:tabs>
          <w:tab w:val="num" w:pos="0"/>
        </w:tabs>
        <w:spacing w:after="120" w:line="288" w:lineRule="auto"/>
        <w:ind w:left="0" w:hanging="720"/>
      </w:pPr>
      <w:r w:rsidRPr="009464B2">
        <w:t>We agree with Staff’s observation that capital spending on distribution plant is a dominant driver in the Company’s and Staff’s attrition analyses.</w:t>
      </w:r>
      <w:r w:rsidRPr="009464B2">
        <w:rPr>
          <w:rStyle w:val="FootnoteReference"/>
        </w:rPr>
        <w:footnoteReference w:id="165"/>
      </w:r>
      <w:r w:rsidRPr="009464B2">
        <w:t xml:space="preserve"> Staff provides useful analysis showing that there is indeed a mismatch in revenues, expenses, and capital investment that may affect Avista’s opportunity to earn its authorized rate of return, although </w:t>
      </w:r>
      <w:r w:rsidR="00116E61">
        <w:t>it cautions us in its brief to consider whether or not the Company has met its burden in this case.</w:t>
      </w:r>
      <w:r w:rsidR="00116E61">
        <w:rPr>
          <w:rStyle w:val="FootnoteReference"/>
        </w:rPr>
        <w:footnoteReference w:id="166"/>
      </w:r>
      <w:r w:rsidR="00116E61">
        <w:t xml:space="preserve">  </w:t>
      </w:r>
    </w:p>
    <w:p w14:paraId="4924F824" w14:textId="182349AD" w:rsidR="00143DF4" w:rsidRPr="009464B2" w:rsidRDefault="001E57E3" w:rsidP="001E57E3">
      <w:pPr>
        <w:numPr>
          <w:ilvl w:val="0"/>
          <w:numId w:val="1"/>
        </w:numPr>
        <w:tabs>
          <w:tab w:val="num" w:pos="0"/>
        </w:tabs>
        <w:spacing w:after="120" w:line="288" w:lineRule="auto"/>
        <w:ind w:left="0" w:hanging="720"/>
      </w:pPr>
      <w:r w:rsidRPr="009464B2">
        <w:t>As we note above, the primary issues we must resolve concerning attrition in this case are 1) the appropriate criteria for determining whether an attrition adjustment is warranted; 2) the appropriate methodology for an attrition study; and 3) whether Avista has met its burden of proof to justify granting an attrition adjustment for both electric and natural gas rates. We consider those questions here.</w:t>
      </w:r>
    </w:p>
    <w:p w14:paraId="67BBA030" w14:textId="50BF2AAF" w:rsidR="00143DF4" w:rsidRPr="00B25E60" w:rsidRDefault="00143DF4" w:rsidP="00B25E60">
      <w:pPr>
        <w:pStyle w:val="NoSpacing"/>
        <w:numPr>
          <w:ilvl w:val="1"/>
          <w:numId w:val="1"/>
        </w:numPr>
        <w:tabs>
          <w:tab w:val="clear" w:pos="1800"/>
          <w:tab w:val="left" w:pos="1080"/>
        </w:tabs>
        <w:ind w:left="1080" w:hanging="360"/>
        <w:rPr>
          <w:b/>
        </w:rPr>
      </w:pPr>
      <w:r w:rsidRPr="00B25E60">
        <w:rPr>
          <w:b/>
        </w:rPr>
        <w:t xml:space="preserve">When is an attrition adjustment warranted?  </w:t>
      </w:r>
    </w:p>
    <w:p w14:paraId="34CAFAF5" w14:textId="77777777" w:rsidR="00EF6A63" w:rsidRPr="009464B2" w:rsidRDefault="00EF6A63" w:rsidP="00EF6A63"/>
    <w:p w14:paraId="5986E329" w14:textId="77777777" w:rsidR="00533730" w:rsidRPr="009464B2" w:rsidRDefault="00533730" w:rsidP="00533730">
      <w:pPr>
        <w:numPr>
          <w:ilvl w:val="0"/>
          <w:numId w:val="1"/>
        </w:numPr>
        <w:tabs>
          <w:tab w:val="num" w:pos="0"/>
        </w:tabs>
        <w:spacing w:after="120" w:line="288" w:lineRule="auto"/>
        <w:ind w:left="0" w:hanging="720"/>
      </w:pPr>
      <w:r w:rsidRPr="009464B2">
        <w:t xml:space="preserve">In the early attrition cases, the Commission found extraordinary circumstances that supported the use of attrition in periods of high inflation and extraordinary levels of investment in production plant, among other criteria. We agree with the intervenors that those circumstances, which were truly extraordinary, are not present in this case. The evidence in this case demonstrates that Avista is making increased capital investments in non-revenue generating plant (primarily on the distribution system) in an environment of low load growth. However, we do not believe that these circumstances are extraordinary. In fact, we believe that these circumstances represent the “new normal.” </w:t>
      </w:r>
    </w:p>
    <w:p w14:paraId="3910681C" w14:textId="012022BC" w:rsidR="00143DF4" w:rsidRPr="009464B2" w:rsidRDefault="00533730" w:rsidP="00533730">
      <w:pPr>
        <w:numPr>
          <w:ilvl w:val="0"/>
          <w:numId w:val="1"/>
        </w:numPr>
        <w:tabs>
          <w:tab w:val="num" w:pos="0"/>
        </w:tabs>
        <w:spacing w:after="120" w:line="288" w:lineRule="auto"/>
        <w:ind w:left="0" w:hanging="720"/>
      </w:pPr>
      <w:r w:rsidRPr="009464B2">
        <w:lastRenderedPageBreak/>
        <w:t xml:space="preserve">In more recent cases, the Commission has entertained the use of a variety of regulatory methods to address regulatory lag, lost revenue due to conservation, low load growth and weather fluctuations, as well as the need to invest in the existing distribution grid to meet changing customer demands. These include, in addition to attrition adjustments, such methods as expedited rate cases, decoupling, and </w:t>
      </w:r>
      <w:r w:rsidR="00116E61">
        <w:t>EOP</w:t>
      </w:r>
      <w:r w:rsidRPr="009464B2">
        <w:t xml:space="preserve"> pro forma adjustments While the Commission has not established a different standard or criteria for attrition adjustments in more recent cases, the Commission has indicated, without more detail, that “an attrition adjustment should not be limited to circumstances where the utility can demonstrate extreme financial distress.”</w:t>
      </w:r>
      <w:r w:rsidRPr="009464B2">
        <w:rPr>
          <w:rStyle w:val="FootnoteReference"/>
        </w:rPr>
        <w:footnoteReference w:id="167"/>
      </w:r>
      <w:r w:rsidRPr="009464B2">
        <w:t xml:space="preserve"> We continue to hold that view, and determine that it is not necessary to require a finding of extraordinary circumstances to justify granting an attrition adjustment. An attrition adjustment is yet another tool in our regulatory “toolbox” for utility ratemaking. However, we do require that utilities requesting an attrition adjustment demonstrate that the cause of the mismatch between revenues, rate base and expenses is not within the utility’s control. Without such a standard, a utility could plan for a level of expenditures that would exceed revenues and rate base recovery, creating the need for an attrition adjustment. </w:t>
      </w:r>
    </w:p>
    <w:p w14:paraId="7BAD3D61" w14:textId="683F968A" w:rsidR="00143DF4" w:rsidRPr="00B25E60" w:rsidRDefault="00EF6A63" w:rsidP="00B25E60">
      <w:pPr>
        <w:pStyle w:val="NoSpacing"/>
        <w:tabs>
          <w:tab w:val="left" w:pos="1080"/>
        </w:tabs>
        <w:ind w:left="720"/>
        <w:rPr>
          <w:b/>
        </w:rPr>
      </w:pPr>
      <w:r w:rsidRPr="00B25E60">
        <w:rPr>
          <w:b/>
        </w:rPr>
        <w:t>2.</w:t>
      </w:r>
      <w:r w:rsidRPr="00B25E60">
        <w:rPr>
          <w:b/>
        </w:rPr>
        <w:tab/>
      </w:r>
      <w:r w:rsidR="00143DF4" w:rsidRPr="00B25E60">
        <w:rPr>
          <w:b/>
        </w:rPr>
        <w:t>What is the appropriate methodology for an attrition study?</w:t>
      </w:r>
    </w:p>
    <w:p w14:paraId="4018A09C" w14:textId="77777777" w:rsidR="00143DF4" w:rsidRPr="009464B2" w:rsidRDefault="00143DF4" w:rsidP="00143DF4">
      <w:pPr>
        <w:pStyle w:val="ListParagraph"/>
        <w:spacing w:after="120" w:line="288" w:lineRule="auto"/>
        <w:ind w:left="1080"/>
        <w:contextualSpacing/>
      </w:pPr>
    </w:p>
    <w:p w14:paraId="52F9F16D" w14:textId="48E13820" w:rsidR="00533730" w:rsidRPr="009464B2" w:rsidRDefault="00533730" w:rsidP="00B15731">
      <w:pPr>
        <w:numPr>
          <w:ilvl w:val="0"/>
          <w:numId w:val="1"/>
        </w:numPr>
        <w:tabs>
          <w:tab w:val="num" w:pos="0"/>
        </w:tabs>
        <w:spacing w:after="120" w:line="288" w:lineRule="auto"/>
        <w:ind w:left="0" w:hanging="720"/>
      </w:pPr>
      <w:r w:rsidRPr="009464B2">
        <w:t>We find Staff’s approach, as adjusted and corrected by the Company, to provide the most appropriate methodology in this docket for supporting an attrition adjustment. Because an  attrition study is an additional tool to use in conjunction with a modified historical test year, the appropriate methodology begins with development of a modified historical test year with pro forma plant additions</w:t>
      </w:r>
      <w:r w:rsidR="00116E61">
        <w:t>, even subsequent to a test year</w:t>
      </w:r>
      <w:r w:rsidRPr="009464B2">
        <w:t xml:space="preserve">. An attrition study is based on the resulting projected earnings and revenue requirements, and the attrition adjustment is added only if the study shows a mismatch of earnings and expenditures.  </w:t>
      </w:r>
    </w:p>
    <w:p w14:paraId="0BD64995" w14:textId="5C77BC3A" w:rsidR="00143DF4" w:rsidRPr="009464B2" w:rsidRDefault="00533730" w:rsidP="00533730">
      <w:pPr>
        <w:numPr>
          <w:ilvl w:val="0"/>
          <w:numId w:val="1"/>
        </w:numPr>
        <w:spacing w:after="120" w:line="288" w:lineRule="auto"/>
        <w:ind w:left="0" w:hanging="720"/>
      </w:pPr>
      <w:r w:rsidRPr="009464B2">
        <w:t xml:space="preserve">On direct, Avista used an inappropriate method for developing </w:t>
      </w:r>
      <w:r w:rsidR="00B15731" w:rsidRPr="009464B2">
        <w:t xml:space="preserve">an </w:t>
      </w:r>
      <w:r w:rsidRPr="009464B2">
        <w:t>escalation rate for its attrition study.</w:t>
      </w:r>
      <w:r w:rsidRPr="009464B2">
        <w:rPr>
          <w:rStyle w:val="FootnoteReference"/>
        </w:rPr>
        <w:footnoteReference w:id="168"/>
      </w:r>
      <w:r w:rsidRPr="009464B2">
        <w:t xml:space="preserve"> </w:t>
      </w:r>
      <w:r w:rsidR="003254FE">
        <w:t>Allowing an attrition adjustment based on a utility’s budgeted capital spending, portrayed in its testimony as a “cross-check,” is contrary to this ratemaking methodology, given its uncertain and speculative nature.  In addition, t</w:t>
      </w:r>
      <w:r w:rsidRPr="009464B2">
        <w:t>he Company chose to abandon the use of the escalation factors it developed in its attrition study and instead use its projected budget amounts to determine an escalation rate.</w:t>
      </w:r>
    </w:p>
    <w:p w14:paraId="71D21411" w14:textId="77777777" w:rsidR="00533730" w:rsidRPr="009464B2" w:rsidRDefault="00533730" w:rsidP="00533730">
      <w:pPr>
        <w:numPr>
          <w:ilvl w:val="0"/>
          <w:numId w:val="1"/>
        </w:numPr>
        <w:tabs>
          <w:tab w:val="num" w:pos="0"/>
        </w:tabs>
        <w:spacing w:after="120" w:line="288" w:lineRule="auto"/>
        <w:ind w:left="0" w:hanging="720"/>
      </w:pPr>
      <w:r w:rsidRPr="009464B2">
        <w:lastRenderedPageBreak/>
        <w:t xml:space="preserve">Further, on rebuttal, the Company’s attrition study removes one category of expenses, net benefits, from a calculation based on historical data that should include such expenses. The justification for this removal is scant. Such a removal requires a high level of justification, as it runs counter to the principle that an attrition study should use multiple years of historical data to arrive at a stable, non-volatile projection of revenue, expenses and rate base. In all, the Company’s methods do not meet the Commission’s standard. </w:t>
      </w:r>
    </w:p>
    <w:p w14:paraId="2358D57A" w14:textId="01790EE2" w:rsidR="00533730" w:rsidRPr="009464B2" w:rsidRDefault="00533730" w:rsidP="00533730">
      <w:pPr>
        <w:numPr>
          <w:ilvl w:val="0"/>
          <w:numId w:val="1"/>
        </w:numPr>
        <w:tabs>
          <w:tab w:val="num" w:pos="0"/>
        </w:tabs>
        <w:spacing w:after="120" w:line="288" w:lineRule="auto"/>
        <w:ind w:left="0" w:hanging="720"/>
      </w:pPr>
      <w:r w:rsidRPr="009464B2">
        <w:t>Mr. McGuire’s attrition study uses a sound methodology for developing an escalation rate from historic</w:t>
      </w:r>
      <w:r w:rsidR="003254FE">
        <w:t>al</w:t>
      </w:r>
      <w:r w:rsidRPr="009464B2">
        <w:t xml:space="preserve"> data.</w:t>
      </w:r>
      <w:r w:rsidRPr="009464B2">
        <w:rPr>
          <w:rStyle w:val="FootnoteReference"/>
        </w:rPr>
        <w:footnoteReference w:id="169"/>
      </w:r>
      <w:r w:rsidRPr="009464B2">
        <w:t xml:space="preserve"> With corrections, the Company largely adopts Staff’s method</w:t>
      </w:r>
      <w:r w:rsidR="003254FE">
        <w:t>ology</w:t>
      </w:r>
      <w:r w:rsidRPr="009464B2">
        <w:t xml:space="preserve"> on rebuttal</w:t>
      </w:r>
      <w:r w:rsidR="003254FE">
        <w:t>, but insists that the 2007-2014 time period is the most appropriate.</w:t>
      </w:r>
      <w:r w:rsidRPr="009464B2">
        <w:t xml:space="preserve"> In this instance, we </w:t>
      </w:r>
      <w:r w:rsidR="003254FE">
        <w:t>agree with</w:t>
      </w:r>
      <w:r w:rsidRPr="009464B2">
        <w:t xml:space="preserve"> the Company’s time period rather than </w:t>
      </w:r>
      <w:r w:rsidR="003254FE">
        <w:t>that of Staff</w:t>
      </w:r>
      <w:r w:rsidRPr="009464B2">
        <w:t xml:space="preserve">. We recognize the use of informed judgment in determining which time period may best represent future costs and revenue, and </w:t>
      </w:r>
      <w:r w:rsidR="003254FE">
        <w:t>note</w:t>
      </w:r>
      <w:r w:rsidRPr="009464B2">
        <w:t xml:space="preserve"> Mr. McGuire’s testimony at hearing about the minimal </w:t>
      </w:r>
      <w:r w:rsidR="003254FE">
        <w:t xml:space="preserve">revenue </w:t>
      </w:r>
      <w:r w:rsidRPr="009464B2">
        <w:t>impact of the difference between the Company’s and Staff’s recommended time periods.</w:t>
      </w:r>
      <w:r w:rsidRPr="009464B2">
        <w:rPr>
          <w:rStyle w:val="FootnoteReference"/>
        </w:rPr>
        <w:footnoteReference w:id="170"/>
      </w:r>
      <w:r w:rsidRPr="009464B2">
        <w:t xml:space="preserve"> </w:t>
      </w:r>
    </w:p>
    <w:p w14:paraId="6CE03EB2" w14:textId="1E2099A9" w:rsidR="00533730" w:rsidRPr="009464B2" w:rsidRDefault="00533730" w:rsidP="00533730">
      <w:pPr>
        <w:numPr>
          <w:ilvl w:val="0"/>
          <w:numId w:val="1"/>
        </w:numPr>
        <w:spacing w:after="120" w:line="288" w:lineRule="auto"/>
        <w:ind w:left="0" w:hanging="720"/>
      </w:pPr>
      <w:r w:rsidRPr="009464B2">
        <w:t>The use of escalation factors from attrition studies to set rates is also a matter of informed judgment. Here, we accept Staff’s use of a weighted average escalation factor for O&amp;M expense. It is supported with sound reasoning, as it recognizes and reflects recent reductions in O&amp;M expense. However, as described below, we decline to use the recommended 3 percent escalation rate. We do not reject this escalation rate out of hand, but find the Company and Staff do not present sufficient evidence to support their recommendation to modify the result of their studies.</w:t>
      </w:r>
      <w:r w:rsidRPr="009464B2">
        <w:rPr>
          <w:rStyle w:val="FootnoteReference"/>
        </w:rPr>
        <w:footnoteReference w:id="171"/>
      </w:r>
      <w:r w:rsidRPr="009464B2">
        <w:t xml:space="preserve"> The Commission has accepted the modification of escalation rates derived from attrition studies in the past, and may do so again in the future depending on the </w:t>
      </w:r>
      <w:r w:rsidR="003254FE">
        <w:t xml:space="preserve">specific </w:t>
      </w:r>
      <w:r w:rsidRPr="009464B2">
        <w:t>factual circumstances</w:t>
      </w:r>
      <w:r w:rsidR="003254FE">
        <w:t xml:space="preserve"> and recognizing that the Company carries the burden to make its case</w:t>
      </w:r>
      <w:r w:rsidRPr="009464B2">
        <w:t xml:space="preserve">. </w:t>
      </w:r>
    </w:p>
    <w:p w14:paraId="1E87D971" w14:textId="63B3B199" w:rsidR="00143DF4" w:rsidRPr="00B25E60" w:rsidRDefault="00EF6A63" w:rsidP="00B25E60">
      <w:pPr>
        <w:pStyle w:val="NoSpacing"/>
        <w:tabs>
          <w:tab w:val="left" w:pos="1080"/>
        </w:tabs>
        <w:ind w:left="720"/>
        <w:rPr>
          <w:b/>
        </w:rPr>
      </w:pPr>
      <w:r w:rsidRPr="00B25E60">
        <w:rPr>
          <w:b/>
        </w:rPr>
        <w:t>3.</w:t>
      </w:r>
      <w:r w:rsidRPr="00B25E60">
        <w:rPr>
          <w:b/>
        </w:rPr>
        <w:tab/>
      </w:r>
      <w:r w:rsidR="00143DF4" w:rsidRPr="00B25E60">
        <w:rPr>
          <w:b/>
        </w:rPr>
        <w:t xml:space="preserve">Has the Company met its burden </w:t>
      </w:r>
      <w:r w:rsidR="003254FE" w:rsidRPr="00B25E60">
        <w:rPr>
          <w:b/>
        </w:rPr>
        <w:t xml:space="preserve">of </w:t>
      </w:r>
      <w:r w:rsidR="00143DF4" w:rsidRPr="00B25E60">
        <w:rPr>
          <w:b/>
        </w:rPr>
        <w:t>proof to justify granting an attrition adjustment?</w:t>
      </w:r>
    </w:p>
    <w:p w14:paraId="5CAD8A55" w14:textId="77777777" w:rsidR="00143DF4" w:rsidRPr="009464B2" w:rsidRDefault="00143DF4" w:rsidP="00143DF4">
      <w:pPr>
        <w:pStyle w:val="ListParagraph"/>
        <w:spacing w:after="120" w:line="288" w:lineRule="auto"/>
        <w:ind w:left="1080"/>
        <w:contextualSpacing/>
      </w:pPr>
    </w:p>
    <w:p w14:paraId="096B6855" w14:textId="3FD6D579" w:rsidR="00533730" w:rsidRPr="009464B2" w:rsidRDefault="00533730" w:rsidP="00533730">
      <w:pPr>
        <w:numPr>
          <w:ilvl w:val="0"/>
          <w:numId w:val="1"/>
        </w:numPr>
        <w:tabs>
          <w:tab w:val="num" w:pos="0"/>
        </w:tabs>
        <w:spacing w:after="120" w:line="288" w:lineRule="auto"/>
        <w:ind w:left="0" w:hanging="720"/>
      </w:pPr>
      <w:r w:rsidRPr="009464B2">
        <w:t xml:space="preserve">As we find that making increased capital investments in non-revenue generating distribution plant in an environment of low load growth is the new normal for investor-owned utilities in Washington, it is necessary for Avista, and any other utility seeking an attrition adjustment, to demonstrate that its need to invest in non-revenue generating </w:t>
      </w:r>
      <w:r w:rsidRPr="009464B2">
        <w:lastRenderedPageBreak/>
        <w:t xml:space="preserve">plant, particularly distribution plant, is so necessary and immediate as to be beyond its control. In other words, faced with little or no load growth, and hence revenue growth, for the foreseeable future, can Avista </w:t>
      </w:r>
      <w:r w:rsidR="00ED141E" w:rsidRPr="009464B2">
        <w:t>demonstrate</w:t>
      </w:r>
      <w:r w:rsidRPr="009464B2">
        <w:t xml:space="preserve"> the need for such investments</w:t>
      </w:r>
      <w:r w:rsidR="00C2401F" w:rsidRPr="009464B2">
        <w:t>,</w:t>
      </w:r>
      <w:r w:rsidRPr="009464B2">
        <w:t xml:space="preserve"> and the benefit to its customers of its increased level of capital investments</w:t>
      </w:r>
      <w:r w:rsidR="00C2401F" w:rsidRPr="009464B2">
        <w:t>,</w:t>
      </w:r>
      <w:r w:rsidRPr="009464B2">
        <w:t xml:space="preserve"> beyond its expected revenues? </w:t>
      </w:r>
    </w:p>
    <w:p w14:paraId="1B08E36E" w14:textId="5C481A75" w:rsidR="00143DF4" w:rsidRPr="009464B2" w:rsidRDefault="00533730" w:rsidP="00533730">
      <w:pPr>
        <w:numPr>
          <w:ilvl w:val="0"/>
          <w:numId w:val="1"/>
        </w:numPr>
        <w:tabs>
          <w:tab w:val="num" w:pos="0"/>
        </w:tabs>
        <w:spacing w:after="120" w:line="288" w:lineRule="auto"/>
        <w:ind w:left="0" w:hanging="720"/>
      </w:pPr>
      <w:r w:rsidRPr="009464B2">
        <w:t>Several parties urge us to firmly reject what they describe as Avista’s attempt to capture future capital spending and incorporate it into an attrition adjustment. They contend that Commission authorization of this approach would enable the Company to follow a plan of capital over-spending that would be consciously pursued in order to increase shareholder earnings. As ICNU points out, such an approach is nothing new to the realm of utility regulation and is widely documented and commonly referred to as the Averch-Johnson Effect.</w:t>
      </w:r>
      <w:r w:rsidRPr="009464B2">
        <w:rPr>
          <w:vertAlign w:val="superscript"/>
        </w:rPr>
        <w:footnoteReference w:id="172"/>
      </w:r>
    </w:p>
    <w:p w14:paraId="0CC3B1E2" w14:textId="77777777" w:rsidR="009D0D0F" w:rsidRPr="009464B2" w:rsidRDefault="009D0D0F" w:rsidP="009D0D0F">
      <w:pPr>
        <w:numPr>
          <w:ilvl w:val="0"/>
          <w:numId w:val="1"/>
        </w:numPr>
        <w:tabs>
          <w:tab w:val="num" w:pos="0"/>
        </w:tabs>
        <w:spacing w:after="120" w:line="288" w:lineRule="auto"/>
        <w:ind w:left="0" w:hanging="720"/>
      </w:pPr>
      <w:r w:rsidRPr="009464B2">
        <w:t>As ICNU witness Mr. Mullins testified:</w:t>
      </w:r>
    </w:p>
    <w:p w14:paraId="4A8BE8D8" w14:textId="77777777" w:rsidR="009D0D0F" w:rsidRPr="009464B2" w:rsidRDefault="009D0D0F" w:rsidP="009D0D0F">
      <w:pPr>
        <w:spacing w:after="120" w:line="288" w:lineRule="auto"/>
        <w:ind w:left="720"/>
      </w:pPr>
      <w:r w:rsidRPr="009464B2">
        <w:t>[A]bsent regulatory policies to deter over spending, ratepayers will have no protection against unconstrained capital spending on the part of the utility. Traditionally, the Commission’s adherence to a modified historical test period has served to partially check this incentive to overspend. If the modified historical test period is abandoned in favor of a trend-based revenue requirement methodology, not only would that check be eliminated, but utilities would be provided with an even greater incentive to overspend.</w:t>
      </w:r>
      <w:r w:rsidRPr="009464B2">
        <w:rPr>
          <w:vertAlign w:val="superscript"/>
        </w:rPr>
        <w:footnoteReference w:id="173"/>
      </w:r>
    </w:p>
    <w:p w14:paraId="747073B8" w14:textId="06047738" w:rsidR="009D0D0F" w:rsidRPr="009464B2" w:rsidRDefault="009D0D0F" w:rsidP="009D0D0F">
      <w:pPr>
        <w:numPr>
          <w:ilvl w:val="0"/>
          <w:numId w:val="1"/>
        </w:numPr>
        <w:tabs>
          <w:tab w:val="num" w:pos="0"/>
        </w:tabs>
        <w:spacing w:after="120" w:line="288" w:lineRule="auto"/>
        <w:ind w:left="0" w:hanging="720"/>
      </w:pPr>
      <w:r w:rsidRPr="009464B2">
        <w:t xml:space="preserve">For this very reason, while we no longer find it necessary to justify granting attrition adjustments on the existence of extraordinary circumstances, we do require utilities to demonstrate </w:t>
      </w:r>
      <w:r w:rsidR="001D3103">
        <w:t xml:space="preserve">persuasively </w:t>
      </w:r>
      <w:r w:rsidRPr="009464B2">
        <w:t xml:space="preserve">that the attrition occurring is outside of their control. We understand Avista’s contention that it operates in a challenging environment in which low load and revenue growth is outpaced by capital investment requirements and changes in operating expense levels. However, we also recognize there is risk to the Company’s ratepayers by embracing an attrition adjustment that may allow Avista to manage its capital expenditures without regard to rate impact, effective cost control, demonstrated </w:t>
      </w:r>
      <w:r w:rsidRPr="009464B2">
        <w:lastRenderedPageBreak/>
        <w:t>benefit, or actual need, and only in reference to its own budgeted targets.</w:t>
      </w:r>
      <w:r w:rsidRPr="009464B2">
        <w:rPr>
          <w:rStyle w:val="FootnoteReference"/>
        </w:rPr>
        <w:footnoteReference w:id="174"/>
      </w:r>
      <w:r w:rsidRPr="009464B2">
        <w:t xml:space="preserve"> Simply stated, we are concerned about authorizing a practice that simply projects future levels of expense and capital expenditures that may, as multiple commenters point out, “become a ‘self-fulfilling prophecy’ where there is an incentive for rates of capital expenditure to be driven by an effort to match earlier projections.”</w:t>
      </w:r>
      <w:r w:rsidRPr="009464B2">
        <w:rPr>
          <w:vertAlign w:val="superscript"/>
        </w:rPr>
        <w:footnoteReference w:id="175"/>
      </w:r>
    </w:p>
    <w:p w14:paraId="76EF100C" w14:textId="11B641E2" w:rsidR="00143DF4" w:rsidRPr="009464B2" w:rsidRDefault="009D0D0F" w:rsidP="001D3103">
      <w:pPr>
        <w:numPr>
          <w:ilvl w:val="0"/>
          <w:numId w:val="1"/>
        </w:numPr>
        <w:tabs>
          <w:tab w:val="num" w:pos="0"/>
        </w:tabs>
        <w:spacing w:after="120" w:line="288" w:lineRule="auto"/>
        <w:ind w:left="0" w:hanging="720"/>
      </w:pPr>
      <w:r w:rsidRPr="009464B2">
        <w:t xml:space="preserve">We recognize that Avista’s shareholders benefit significantly in increasing its capital expenditures and share the concerns of other parties regarding this investment’s impact on ratepayers. Yet these concerns are balanced against others about the Company investing in its distribution system to ensure the safe and reliable service its customers demand as well as providing a realistic opportunity for the Company to earn the settlement rate of return in the rate effective year. Further, we do not find the Company’s practices to be so unjustified as the intervenors claim. As we discuss further below, we find that the evidence in this case supports granting an attrition adjustment both for Avista’s natural gas and electric service. However, based upon our concerns about whether Avista has provided evidence supporting its expected electric distribution plant expenses and capital investment, </w:t>
      </w:r>
      <w:r w:rsidR="002E7CC9">
        <w:t>we zero out any escalation rate for distribution plant capital investments in arriving at an attrition adjustment for Avista’s electric service.</w:t>
      </w:r>
      <w:r w:rsidRPr="009464B2">
        <w:t xml:space="preserve"> </w:t>
      </w:r>
    </w:p>
    <w:p w14:paraId="4C479179" w14:textId="30BD816D" w:rsidR="00143DF4" w:rsidRPr="009464B2" w:rsidRDefault="00143DF4" w:rsidP="00113D2F">
      <w:pPr>
        <w:pStyle w:val="ListParagraph"/>
        <w:numPr>
          <w:ilvl w:val="1"/>
          <w:numId w:val="3"/>
        </w:numPr>
        <w:spacing w:after="120" w:line="288" w:lineRule="auto"/>
        <w:contextualSpacing/>
        <w:rPr>
          <w:b/>
        </w:rPr>
      </w:pPr>
      <w:r w:rsidRPr="009464B2">
        <w:rPr>
          <w:b/>
        </w:rPr>
        <w:t>Natural Gas</w:t>
      </w:r>
    </w:p>
    <w:p w14:paraId="776271FC" w14:textId="3D868BDB" w:rsidR="00143DF4" w:rsidRPr="009464B2" w:rsidRDefault="009D0D0F" w:rsidP="009D0D0F">
      <w:pPr>
        <w:numPr>
          <w:ilvl w:val="0"/>
          <w:numId w:val="1"/>
        </w:numPr>
        <w:tabs>
          <w:tab w:val="num" w:pos="0"/>
        </w:tabs>
        <w:spacing w:after="120" w:line="288" w:lineRule="auto"/>
        <w:ind w:left="0" w:hanging="720"/>
      </w:pPr>
      <w:r w:rsidRPr="009464B2">
        <w:t>First, concerning Avista’s natural gas service, the Company has reasonably demonstrated that it is making significant investments in non-revenue generating plant for the purposes of safety and reliability, to comply with explicit regulatory requirements and in accordance with prior Commission orders.</w:t>
      </w:r>
      <w:r w:rsidRPr="009464B2">
        <w:rPr>
          <w:rStyle w:val="FootnoteReference"/>
        </w:rPr>
        <w:footnoteReference w:id="176"/>
      </w:r>
      <w:r w:rsidRPr="009464B2">
        <w:t xml:space="preserve"> For example, Avista has pipe replacement programs to replace natural gas pipe and facilities that have been determined to have a high risk of failure, such as Aldyl-A and steel pipe, which are at the end of their useful lives or have failed. The Commission has procedures in place to review and approve this </w:t>
      </w:r>
      <w:r w:rsidRPr="009464B2">
        <w:lastRenderedPageBreak/>
        <w:t>program on a biennial basis.</w:t>
      </w:r>
      <w:r w:rsidRPr="009464B2">
        <w:rPr>
          <w:vertAlign w:val="superscript"/>
        </w:rPr>
        <w:footnoteReference w:id="177"/>
      </w:r>
      <w:r w:rsidRPr="009464B2">
        <w:t xml:space="preserve"> The Commission has recognized these activities as a priority, stating that “it is in the public interest for all gas companies to take a proactive approach to replacing pipe that presents an elevated risk of failure.”</w:t>
      </w:r>
      <w:r w:rsidRPr="009464B2">
        <w:rPr>
          <w:rStyle w:val="FootnoteReference"/>
        </w:rPr>
        <w:footnoteReference w:id="178"/>
      </w:r>
      <w:r w:rsidRPr="009464B2">
        <w:t xml:space="preserve"> We accept that Avista has established that the need for its capital investments in natural gas operations are beyond its control.</w:t>
      </w:r>
    </w:p>
    <w:p w14:paraId="60354B51" w14:textId="7985F1E8" w:rsidR="009D0D0F" w:rsidRPr="009464B2" w:rsidRDefault="009D0D0F" w:rsidP="009D0D0F">
      <w:pPr>
        <w:numPr>
          <w:ilvl w:val="0"/>
          <w:numId w:val="1"/>
        </w:numPr>
        <w:spacing w:after="120" w:line="288" w:lineRule="auto"/>
        <w:ind w:left="0" w:hanging="720"/>
      </w:pPr>
      <w:r w:rsidRPr="009464B2">
        <w:t>With respect to attrition related to Avista’s natural gas operations, we authorize an attrition adjustment in accordance with the methodology advocated by Staff, with exception</w:t>
      </w:r>
      <w:r w:rsidR="002E7CC9">
        <w:t>s</w:t>
      </w:r>
      <w:r w:rsidRPr="009464B2">
        <w:t xml:space="preserve"> regarding the appropriate escalation rate for distribution plant O&amp;M expenses and the time period. In rebuttal testimony, Avista agrees to adopt Staff’s approach of escalating O&amp;M expenses by 2.17 percent, which is the arithmetic average of a) 1.34 percent, the one-year trend in O&amp;M expense from 2013 to 2014 that Staff proposes, and b) the 3 percent proposed in Avista’s direct testimony.</w:t>
      </w:r>
      <w:r w:rsidRPr="009464B2">
        <w:rPr>
          <w:rStyle w:val="FootnoteReference"/>
        </w:rPr>
        <w:footnoteReference w:id="179"/>
      </w:r>
    </w:p>
    <w:p w14:paraId="7797500B" w14:textId="798927CB" w:rsidR="009D0D0F" w:rsidRPr="009464B2" w:rsidRDefault="009D0D0F" w:rsidP="009D0D0F">
      <w:pPr>
        <w:numPr>
          <w:ilvl w:val="0"/>
          <w:numId w:val="1"/>
        </w:numPr>
        <w:spacing w:after="120" w:line="288" w:lineRule="auto"/>
        <w:ind w:left="0" w:hanging="720"/>
      </w:pPr>
      <w:r w:rsidRPr="009464B2">
        <w:t xml:space="preserve">We decline to use </w:t>
      </w:r>
      <w:r w:rsidR="00ED141E" w:rsidRPr="009464B2">
        <w:t>the 3 p</w:t>
      </w:r>
      <w:r w:rsidRPr="009464B2">
        <w:t>ercent proposed in Avista’s direct testimony, even whe</w:t>
      </w:r>
      <w:r w:rsidR="00ED141E" w:rsidRPr="009464B2">
        <w:t>n averaged with historical data</w:t>
      </w:r>
      <w:r w:rsidRPr="009464B2">
        <w:t>.</w:t>
      </w:r>
      <w:r w:rsidRPr="009464B2">
        <w:rPr>
          <w:rStyle w:val="FootnoteReference"/>
        </w:rPr>
        <w:footnoteReference w:id="180"/>
      </w:r>
      <w:r w:rsidRPr="009464B2">
        <w:t xml:space="preserve"> We prefer to use an escalation rate more firmly grounded in historical data. Therefore, for the purposes of calculating an attrition adjustment for Avista’s electric and natural gas operations, we escalate O&amp;M expenses by the arithmetic average of a) the one year trend in O&amp;M expense from 2013 to 2014 and b) the multiyear trend in O&amp;M expense from 2007 to 2014.</w:t>
      </w:r>
      <w:r w:rsidR="00ED141E" w:rsidRPr="009464B2">
        <w:rPr>
          <w:rStyle w:val="FootnoteReference"/>
        </w:rPr>
        <w:footnoteReference w:id="181"/>
      </w:r>
      <w:r w:rsidRPr="009464B2">
        <w:t xml:space="preserve"> This produces an annual escalation rate of 2.42 percent for natural gas O&amp;M expenses.</w:t>
      </w:r>
    </w:p>
    <w:p w14:paraId="14938330" w14:textId="1FB8D72C" w:rsidR="00143DF4" w:rsidRPr="009464B2" w:rsidRDefault="009D0D0F" w:rsidP="009D0D0F">
      <w:pPr>
        <w:numPr>
          <w:ilvl w:val="0"/>
          <w:numId w:val="1"/>
        </w:numPr>
        <w:tabs>
          <w:tab w:val="num" w:pos="0"/>
        </w:tabs>
        <w:spacing w:after="120" w:line="288" w:lineRule="auto"/>
        <w:ind w:left="0" w:hanging="720"/>
      </w:pPr>
      <w:r w:rsidRPr="009464B2">
        <w:t xml:space="preserve">Further, we recognize and accept that Avista has been under-earning on its gas operations for several years while engaging in rapid replacement and improvement of gas distribution infrastructure. The Company’s investments in natural gas distribution plant are necessary to ensure public safety, and comply with Commission orders and policies supporting replacement of pipe that has a high risk of failure, or presents public safety and reliability concerns. We find that Public Counsel’s proposal to set the revenue requirement for gas operations based on an EOP approach for a test year ending September 30, 2014, does not provide the Company a realistic opportunity to earn its </w:t>
      </w:r>
      <w:r w:rsidRPr="009464B2">
        <w:lastRenderedPageBreak/>
        <w:t>settlement rate of return in the rate year. Given the necessity of these investments, and the pressure this will place on the opportunity for the C</w:t>
      </w:r>
      <w:r w:rsidR="002E7CC9">
        <w:t>ompany to earn the S</w:t>
      </w:r>
      <w:r w:rsidRPr="009464B2">
        <w:t xml:space="preserve">ettlement rate of return given low load and revenue growth, we acknowledge that the Company is likely to experience attrition in its natural gas operations in the rate year. We therefore accept and modify Staff’s attrition methodology for the purposes of setting rates for Avista’s natural gas operations. As a result, we grant an attrition adjustment of </w:t>
      </w:r>
      <w:r w:rsidR="002E7CC9">
        <w:t xml:space="preserve">approximately </w:t>
      </w:r>
      <w:r w:rsidRPr="009464B2">
        <w:t>$</w:t>
      </w:r>
      <w:r w:rsidR="00B95EE0" w:rsidRPr="009464B2">
        <w:t>6.</w:t>
      </w:r>
      <w:r w:rsidR="00F86538" w:rsidRPr="009464B2">
        <w:t>8</w:t>
      </w:r>
      <w:r w:rsidRPr="009464B2">
        <w:t xml:space="preserve"> </w:t>
      </w:r>
      <w:r w:rsidR="00B95EE0" w:rsidRPr="009464B2">
        <w:t xml:space="preserve">million </w:t>
      </w:r>
      <w:r w:rsidRPr="009464B2">
        <w:t>for Avista’s natural gas operations, resulting in an overall increase in revenue requirement of $</w:t>
      </w:r>
      <w:r w:rsidR="00B95EE0" w:rsidRPr="009464B2">
        <w:t>10.</w:t>
      </w:r>
      <w:r w:rsidR="00F86538" w:rsidRPr="009464B2">
        <w:t>8</w:t>
      </w:r>
      <w:r w:rsidR="00B95EE0" w:rsidRPr="009464B2">
        <w:t xml:space="preserve"> million</w:t>
      </w:r>
      <w:r w:rsidRPr="009464B2">
        <w:t>.</w:t>
      </w:r>
    </w:p>
    <w:p w14:paraId="33B33BB2" w14:textId="3334DAC8" w:rsidR="00143DF4" w:rsidRPr="009464B2" w:rsidRDefault="00143DF4" w:rsidP="00113D2F">
      <w:pPr>
        <w:pStyle w:val="ListParagraph"/>
        <w:numPr>
          <w:ilvl w:val="1"/>
          <w:numId w:val="3"/>
        </w:numPr>
        <w:spacing w:after="120" w:line="288" w:lineRule="auto"/>
        <w:contextualSpacing/>
        <w:rPr>
          <w:b/>
        </w:rPr>
      </w:pPr>
      <w:r w:rsidRPr="009464B2">
        <w:rPr>
          <w:b/>
        </w:rPr>
        <w:t>Electric Operations</w:t>
      </w:r>
    </w:p>
    <w:p w14:paraId="4415B9A4" w14:textId="44F07E37" w:rsidR="00143DF4" w:rsidRPr="009464B2" w:rsidRDefault="00DE1959" w:rsidP="00DE1959">
      <w:pPr>
        <w:numPr>
          <w:ilvl w:val="0"/>
          <w:numId w:val="1"/>
        </w:numPr>
        <w:tabs>
          <w:tab w:val="num" w:pos="0"/>
        </w:tabs>
        <w:spacing w:after="120" w:line="288" w:lineRule="auto"/>
        <w:ind w:left="0" w:hanging="720"/>
      </w:pPr>
      <w:r w:rsidRPr="009464B2">
        <w:t>Compared with the testimony and evidence concerning the extent and necessity of Avista’s investments in its natural gas operations, the Company’s claims about investment in distribution plant on the electric side are mixed. Avista has adopted an annual process where it monitors actual capital expenditures and funds new projects late in the year in order to ensure it spends its budget.</w:t>
      </w:r>
      <w:r w:rsidRPr="009464B2">
        <w:rPr>
          <w:rStyle w:val="FootnoteReference"/>
        </w:rPr>
        <w:footnoteReference w:id="182"/>
      </w:r>
      <w:r w:rsidRPr="009464B2">
        <w:t xml:space="preserve"> The Company relies on testimony and exhibits concerning its pro forma plant addition cross</w:t>
      </w:r>
      <w:r w:rsidR="0068444F" w:rsidRPr="009464B2">
        <w:t>-</w:t>
      </w:r>
      <w:r w:rsidRPr="009464B2">
        <w:t>check study from Ms. Smith and Ms. Schuh,</w:t>
      </w:r>
      <w:r w:rsidRPr="009464B2">
        <w:rPr>
          <w:rStyle w:val="FootnoteReference"/>
        </w:rPr>
        <w:footnoteReference w:id="183"/>
      </w:r>
      <w:r w:rsidRPr="009464B2">
        <w:t xml:space="preserve"> as well as testimony from Mr.</w:t>
      </w:r>
      <w:r w:rsidR="00E459F6" w:rsidRPr="009464B2">
        <w:t xml:space="preserve"> </w:t>
      </w:r>
      <w:r w:rsidRPr="009464B2">
        <w:t>LaBolle concerning the Company’s Asset Management Distribution Program,</w:t>
      </w:r>
      <w:r w:rsidRPr="009464B2">
        <w:rPr>
          <w:rStyle w:val="FootnoteReference"/>
        </w:rPr>
        <w:footnoteReference w:id="184"/>
      </w:r>
      <w:r w:rsidRPr="009464B2">
        <w:t xml:space="preserve"> and Mr. Norwood concerning the necessity of the Company’s capital budgeting and spending.</w:t>
      </w:r>
      <w:r w:rsidRPr="009464B2">
        <w:rPr>
          <w:rStyle w:val="FootnoteReference"/>
        </w:rPr>
        <w:footnoteReference w:id="185"/>
      </w:r>
      <w:r w:rsidR="00143DF4" w:rsidRPr="009464B2">
        <w:t xml:space="preserve"> </w:t>
      </w:r>
    </w:p>
    <w:p w14:paraId="7541DC20" w14:textId="77777777" w:rsidR="00D65ABF" w:rsidRPr="009464B2" w:rsidRDefault="00D65ABF" w:rsidP="00D65ABF">
      <w:pPr>
        <w:numPr>
          <w:ilvl w:val="0"/>
          <w:numId w:val="1"/>
        </w:numPr>
        <w:tabs>
          <w:tab w:val="num" w:pos="0"/>
        </w:tabs>
        <w:spacing w:after="120" w:line="288" w:lineRule="auto"/>
        <w:ind w:left="0" w:hanging="720"/>
      </w:pPr>
      <w:r w:rsidRPr="009464B2">
        <w:t>As Mr. McGuire, Mr. Gomez and Mr. Cebulko identify, the Company has not fully explained the relationship between the Company’s business cases, asset management program and total net plant investment. This relationship is not readily apparent from the record. The evidence lacks detailed description of how the Company prioritizes its capital investments in electric distribution plant, or performance criteria to track the need or impacts of those investments. Further, ICNU notes:</w:t>
      </w:r>
    </w:p>
    <w:p w14:paraId="0BB4B27A" w14:textId="36AA78FE" w:rsidR="00143DF4" w:rsidRPr="009464B2" w:rsidRDefault="00D65ABF" w:rsidP="00436CA6">
      <w:pPr>
        <w:pStyle w:val="FindingsConclusions"/>
        <w:numPr>
          <w:ilvl w:val="0"/>
          <w:numId w:val="0"/>
        </w:numPr>
        <w:spacing w:after="120"/>
        <w:ind w:left="720"/>
      </w:pPr>
      <w:r w:rsidRPr="009464B2">
        <w:t xml:space="preserve">In practice, the Company has ensured that actual capital expenditures match and then exceed original forecasts on an annual basis.  This is accomplished via end-of-year expenditure ramping. The CPG </w:t>
      </w:r>
      <w:r w:rsidR="00334E8F">
        <w:t xml:space="preserve">[Capital Planning Group] </w:t>
      </w:r>
      <w:r w:rsidRPr="009464B2">
        <w:t xml:space="preserve">“has a list of </w:t>
      </w:r>
      <w:r w:rsidRPr="009464B2">
        <w:lastRenderedPageBreak/>
        <w:t xml:space="preserve">shovel-ready work that can be activated in November </w:t>
      </w:r>
      <w:r w:rsidRPr="009464B2">
        <w:rPr>
          <w:i/>
        </w:rPr>
        <w:t>should there be any available funds</w:t>
      </w:r>
      <w:r w:rsidRPr="009464B2">
        <w:t>.” That is, the Company has designed a program to guarantee full capital spending rather than preserving cost controls. This late-year ramping is apparent in the record, given both actual expenditures in 2014 and forecast expenditures in 2015. Such evidence speaks powerfully to a Company whose spending practices need to be carefully reined in, rather than fueled, carte blanche, through the grant of an “undistributed increase” to revenue in the form of an attrition adjustment.</w:t>
      </w:r>
      <w:r w:rsidRPr="009464B2">
        <w:rPr>
          <w:vertAlign w:val="superscript"/>
        </w:rPr>
        <w:footnoteReference w:id="186"/>
      </w:r>
    </w:p>
    <w:p w14:paraId="757F121B" w14:textId="540F1EA4" w:rsidR="00D65ABF" w:rsidRPr="009464B2" w:rsidRDefault="00D65ABF" w:rsidP="00D65ABF">
      <w:pPr>
        <w:numPr>
          <w:ilvl w:val="0"/>
          <w:numId w:val="1"/>
        </w:numPr>
        <w:tabs>
          <w:tab w:val="num" w:pos="0"/>
        </w:tabs>
        <w:spacing w:after="120" w:line="288" w:lineRule="auto"/>
        <w:ind w:left="0" w:hanging="720"/>
      </w:pPr>
      <w:r w:rsidRPr="009464B2">
        <w:t xml:space="preserve">The record contains some, but not complete, evidence as to what degree the Company’s electric system as a whole, or in part, is unsafe or unreliable, and whether distribution capital spending is driven by, or </w:t>
      </w:r>
      <w:r w:rsidR="00ED5E7B">
        <w:t xml:space="preserve">at </w:t>
      </w:r>
      <w:r w:rsidRPr="009464B2">
        <w:t xml:space="preserve">least guided by, a specific plan to address the safety or reliability shortcomings of the Company’s electric service. Ms. Schuh testifies for Avista </w:t>
      </w:r>
      <w:r w:rsidR="00ED5E7B">
        <w:t>that her Ex</w:t>
      </w:r>
      <w:r w:rsidRPr="009464B2">
        <w:t xml:space="preserve">hibit </w:t>
      </w:r>
      <w:r w:rsidR="00ED5E7B">
        <w:t xml:space="preserve">No. </w:t>
      </w:r>
      <w:r w:rsidRPr="009464B2">
        <w:t>KKS-5 includes a “</w:t>
      </w:r>
      <w:r w:rsidRPr="009464B2">
        <w:rPr>
          <w:bCs/>
        </w:rPr>
        <w:t>project description, project alternatives, cost summary, business risk, financial assessment, strategic assessment, [and] justification for the project (e.g., mandatory, resource requirements, etc).”</w:t>
      </w:r>
      <w:r w:rsidRPr="009464B2">
        <w:rPr>
          <w:rStyle w:val="FootnoteReference"/>
          <w:bCs/>
        </w:rPr>
        <w:footnoteReference w:id="187"/>
      </w:r>
      <w:r w:rsidRPr="009464B2">
        <w:rPr>
          <w:bCs/>
        </w:rPr>
        <w:t xml:space="preserve"> Yet this exhibit </w:t>
      </w:r>
      <w:r w:rsidRPr="009464B2">
        <w:t>provides minimal explanation of the projects’ relationship to overall reliability, safety</w:t>
      </w:r>
      <w:r w:rsidR="00ED5E7B">
        <w:t>,</w:t>
      </w:r>
      <w:r w:rsidRPr="009464B2">
        <w:t xml:space="preserve"> or service quality benefits. Focusing on electric distribution plant projects in the exhibit, we found the section describing each project’s rationale for decision</w:t>
      </w:r>
      <w:r w:rsidR="0068444F" w:rsidRPr="009464B2">
        <w:t xml:space="preserve"> </w:t>
      </w:r>
      <w:r w:rsidRPr="009464B2">
        <w:t>to be blank, and project alternatives section lacking substantive detail.</w:t>
      </w:r>
      <w:r w:rsidRPr="009464B2">
        <w:rPr>
          <w:rStyle w:val="FootnoteReference"/>
        </w:rPr>
        <w:footnoteReference w:id="188"/>
      </w:r>
      <w:r w:rsidRPr="009464B2">
        <w:t xml:space="preserve"> This evidence does not convince us that Avista’s projected electric distribution investments are </w:t>
      </w:r>
      <w:r w:rsidR="0068444F" w:rsidRPr="009464B2">
        <w:t xml:space="preserve">entirely </w:t>
      </w:r>
      <w:r w:rsidRPr="009464B2">
        <w:t xml:space="preserve">outside of its control, or required for the safe and efficient operation of its system. However, Mr. Norwood testified at hearing that these capital expenses are necessary: </w:t>
      </w:r>
    </w:p>
    <w:p w14:paraId="26E69C62" w14:textId="77777777" w:rsidR="00D65ABF" w:rsidRPr="009464B2" w:rsidRDefault="00D65ABF" w:rsidP="00D65ABF">
      <w:pPr>
        <w:spacing w:after="120"/>
        <w:ind w:left="720"/>
      </w:pPr>
      <w:r w:rsidRPr="009464B2">
        <w:t xml:space="preserve">[the departments are] directed to provide projects that need to be done, whether it’s related to reliability or to a systematic replacement of items over time, so it’s not a wish list. So because senior management limits the total amount, then each department has to go back – and the capital planning group does this – to figure out which has the highest priority. </w:t>
      </w:r>
      <w:r w:rsidRPr="009464B2">
        <w:rPr>
          <w:rStyle w:val="FootnoteReference"/>
        </w:rPr>
        <w:footnoteReference w:id="189"/>
      </w:r>
    </w:p>
    <w:p w14:paraId="780A17C4" w14:textId="77777777" w:rsidR="00D65ABF" w:rsidRPr="009464B2" w:rsidRDefault="00D65ABF" w:rsidP="00D65ABF">
      <w:pPr>
        <w:numPr>
          <w:ilvl w:val="0"/>
          <w:numId w:val="1"/>
        </w:numPr>
        <w:tabs>
          <w:tab w:val="num" w:pos="0"/>
        </w:tabs>
        <w:spacing w:after="120" w:line="288" w:lineRule="auto"/>
        <w:ind w:left="0" w:hanging="720"/>
      </w:pPr>
      <w:r w:rsidRPr="009464B2">
        <w:t xml:space="preserve">To support its distribution plant investments, Avista provided its 2013 Asset Management Distribution Program Update, which identifies the Company’s plans for monitoring and </w:t>
      </w:r>
      <w:r w:rsidRPr="009464B2">
        <w:lastRenderedPageBreak/>
        <w:t>evaluating its distribution plant investments, and analyzes the performance of certain asset management programs.</w:t>
      </w:r>
      <w:r w:rsidRPr="009464B2">
        <w:rPr>
          <w:vertAlign w:val="superscript"/>
        </w:rPr>
        <w:footnoteReference w:id="190"/>
      </w:r>
    </w:p>
    <w:p w14:paraId="0FA3B774" w14:textId="0C12E03A" w:rsidR="00D65ABF" w:rsidRPr="009464B2" w:rsidRDefault="00D65ABF" w:rsidP="00D65ABF">
      <w:pPr>
        <w:numPr>
          <w:ilvl w:val="0"/>
          <w:numId w:val="1"/>
        </w:numPr>
        <w:tabs>
          <w:tab w:val="num" w:pos="0"/>
        </w:tabs>
        <w:spacing w:after="120" w:line="288" w:lineRule="auto"/>
        <w:ind w:left="0" w:hanging="720"/>
      </w:pPr>
      <w:r w:rsidRPr="009464B2">
        <w:t xml:space="preserve">Where, as in this case, there is some, but not complete, evidence to demonstrate that the circumstances driving attrition are outside of the Company’s control, the Commission retains broad discretion to consider other factors, such as the Company’s intent to file another rate case within the next year, and the analysis under </w:t>
      </w:r>
      <w:r w:rsidRPr="009464B2">
        <w:rPr>
          <w:i/>
        </w:rPr>
        <w:t>Hope</w:t>
      </w:r>
      <w:r w:rsidR="00ED5E7B">
        <w:rPr>
          <w:i/>
        </w:rPr>
        <w:t>,</w:t>
      </w:r>
      <w:r w:rsidRPr="009464B2">
        <w:t xml:space="preserve"> </w:t>
      </w:r>
      <w:r w:rsidRPr="009464B2">
        <w:rPr>
          <w:i/>
        </w:rPr>
        <w:t>Bluefield</w:t>
      </w:r>
      <w:r w:rsidRPr="009464B2">
        <w:t xml:space="preserve">, </w:t>
      </w:r>
      <w:r w:rsidR="00ED5E7B">
        <w:t xml:space="preserve">and </w:t>
      </w:r>
      <w:r w:rsidR="00ED5E7B" w:rsidRPr="00ED5E7B">
        <w:rPr>
          <w:i/>
        </w:rPr>
        <w:t>Permian Basin</w:t>
      </w:r>
      <w:r w:rsidR="00ED5E7B">
        <w:t xml:space="preserve">.  We believe we can exercise broad discretion to consider such seminal cases using our informed judgment in deciding whether or not an </w:t>
      </w:r>
      <w:r w:rsidRPr="009464B2">
        <w:t>attrition adjustment</w:t>
      </w:r>
      <w:r w:rsidR="00ED5E7B">
        <w:t xml:space="preserve"> is warranted given the specific facts and circumstances in a rate case</w:t>
      </w:r>
      <w:r w:rsidRPr="009464B2">
        <w:t xml:space="preserve">. </w:t>
      </w:r>
    </w:p>
    <w:p w14:paraId="16C194AA" w14:textId="77777777" w:rsidR="00D65ABF" w:rsidRPr="009464B2" w:rsidRDefault="00D65ABF" w:rsidP="00D65ABF">
      <w:pPr>
        <w:numPr>
          <w:ilvl w:val="0"/>
          <w:numId w:val="1"/>
        </w:numPr>
        <w:tabs>
          <w:tab w:val="num" w:pos="0"/>
        </w:tabs>
        <w:spacing w:after="120" w:line="288" w:lineRule="auto"/>
        <w:ind w:left="0" w:hanging="720"/>
      </w:pPr>
      <w:r w:rsidRPr="009464B2">
        <w:t>In the past, the Commission has accepted some rate escalation or authorization of relief beyond the modified historical test year when rates will be in effect for more than one year. For example, approving a multi-year general rate case stay-out period was critical to the Commission’s decision to approve an escalation factor for PSE.</w:t>
      </w:r>
      <w:r w:rsidRPr="009464B2">
        <w:rPr>
          <w:vertAlign w:val="superscript"/>
        </w:rPr>
        <w:footnoteReference w:id="191"/>
      </w:r>
      <w:r w:rsidRPr="009464B2">
        <w:t xml:space="preserve"> This approach requires the Company to accept some risk that rates in a future year will be sufficient, but it also provides more certainty to customers. It creates an incentive for the Company to control costs during the years that rates are in effect. Yet the Company has stated that it intends to file annual rate cases for the next five years, rather than committing to a stay-out period.</w:t>
      </w:r>
      <w:r w:rsidRPr="009464B2">
        <w:rPr>
          <w:rStyle w:val="FootnoteReference"/>
        </w:rPr>
        <w:footnoteReference w:id="192"/>
      </w:r>
      <w:r w:rsidRPr="009464B2">
        <w:t xml:space="preserve"> </w:t>
      </w:r>
    </w:p>
    <w:p w14:paraId="0F48BDFF" w14:textId="4744A822" w:rsidR="00143DF4" w:rsidRPr="009464B2" w:rsidRDefault="00D65ABF" w:rsidP="00D65ABF">
      <w:pPr>
        <w:numPr>
          <w:ilvl w:val="0"/>
          <w:numId w:val="1"/>
        </w:numPr>
        <w:tabs>
          <w:tab w:val="left" w:pos="810"/>
        </w:tabs>
        <w:spacing w:after="120" w:line="288" w:lineRule="auto"/>
        <w:ind w:left="0" w:hanging="720"/>
      </w:pPr>
      <w:r w:rsidRPr="009464B2">
        <w:t xml:space="preserve">In addition, while the record shows that Avista’s electric operations are currently financially healthy and the Company has actually earned near or above authorized levels for its Washington electric operations for the past two years, we are concerned this may not hold in the rate year or beyond. </w:t>
      </w:r>
      <w:r w:rsidR="00A23E61">
        <w:t>A</w:t>
      </w:r>
      <w:r w:rsidRPr="009464B2">
        <w:t xml:space="preserve">bsent an attrition adjustment, </w:t>
      </w:r>
      <w:r w:rsidR="00A23E61">
        <w:t xml:space="preserve">we are concerned </w:t>
      </w:r>
      <w:r w:rsidRPr="009464B2">
        <w:t xml:space="preserve">that </w:t>
      </w:r>
      <w:r w:rsidRPr="009464B2">
        <w:lastRenderedPageBreak/>
        <w:t>the Company may not have an opportunity to achieve earnings on electric operations at or near authorized levels.</w:t>
      </w:r>
    </w:p>
    <w:p w14:paraId="0D256106" w14:textId="35F1444C" w:rsidR="00D65ABF" w:rsidRPr="009464B2" w:rsidRDefault="00D65ABF" w:rsidP="00D65ABF">
      <w:pPr>
        <w:numPr>
          <w:ilvl w:val="0"/>
          <w:numId w:val="1"/>
        </w:numPr>
        <w:tabs>
          <w:tab w:val="num" w:pos="0"/>
        </w:tabs>
        <w:spacing w:after="120" w:line="288" w:lineRule="auto"/>
        <w:ind w:left="0" w:hanging="720"/>
      </w:pPr>
      <w:r w:rsidRPr="009464B2">
        <w:t xml:space="preserve">Were we to reject an attrition adjustment for electric revenue requirement in this case, the result under Staff’s modified historical test year pro forma analysis would be a reduction in electric revenue requirement of </w:t>
      </w:r>
      <w:r w:rsidR="00A23E61">
        <w:t>more than</w:t>
      </w:r>
      <w:r w:rsidRPr="009464B2">
        <w:t xml:space="preserve"> $2</w:t>
      </w:r>
      <w:r w:rsidR="00F86538" w:rsidRPr="009464B2">
        <w:t>0</w:t>
      </w:r>
      <w:r w:rsidRPr="009464B2">
        <w:t xml:space="preserve"> million.</w:t>
      </w:r>
      <w:r w:rsidR="00F86538" w:rsidRPr="009464B2">
        <w:rPr>
          <w:rStyle w:val="FootnoteReference"/>
        </w:rPr>
        <w:t xml:space="preserve"> </w:t>
      </w:r>
      <w:r w:rsidR="00F86538" w:rsidRPr="009464B2">
        <w:rPr>
          <w:rStyle w:val="FootnoteReference"/>
        </w:rPr>
        <w:footnoteReference w:id="193"/>
      </w:r>
      <w:r w:rsidRPr="009464B2">
        <w:t xml:space="preserve"> </w:t>
      </w:r>
      <w:r w:rsidR="0068444F" w:rsidRPr="009464B2">
        <w:t xml:space="preserve">Public Counsel and </w:t>
      </w:r>
      <w:r w:rsidR="00A23E61">
        <w:t xml:space="preserve">the </w:t>
      </w:r>
      <w:r w:rsidRPr="009464B2">
        <w:t xml:space="preserve">intervenors recommend even more severe reductions based solely on a modified test year analysis with known and measurable pro forma adjustments. We cannot reasonably conclude such </w:t>
      </w:r>
      <w:r w:rsidR="00A23E61">
        <w:t>an end</w:t>
      </w:r>
      <w:r w:rsidRPr="009464B2">
        <w:t xml:space="preserve"> result would be appropriate under the standards in </w:t>
      </w:r>
      <w:r w:rsidRPr="009464B2">
        <w:rPr>
          <w:i/>
        </w:rPr>
        <w:t>Hope</w:t>
      </w:r>
      <w:r w:rsidRPr="009464B2">
        <w:t xml:space="preserve"> and </w:t>
      </w:r>
      <w:r w:rsidRPr="009464B2">
        <w:rPr>
          <w:i/>
        </w:rPr>
        <w:t>Bluefield</w:t>
      </w:r>
      <w:r w:rsidRPr="009464B2">
        <w:t xml:space="preserve">. The Commission’s responsibility to set rates that are fair, just, reasonable, and sufficient turns not on the particular rate making methodology it selects, </w:t>
      </w:r>
      <w:r w:rsidRPr="009464B2">
        <w:rPr>
          <w:i/>
        </w:rPr>
        <w:t>i.e.</w:t>
      </w:r>
      <w:r w:rsidRPr="009464B2">
        <w:t>, modified historical test year or attrition, but on its outcome, or “end results.”</w:t>
      </w:r>
      <w:r w:rsidRPr="009464B2">
        <w:rPr>
          <w:vertAlign w:val="superscript"/>
        </w:rPr>
        <w:footnoteReference w:id="194"/>
      </w:r>
      <w:r w:rsidRPr="009464B2">
        <w:t xml:space="preserve"> Indeed, the Supreme Court in </w:t>
      </w:r>
      <w:r w:rsidRPr="009464B2">
        <w:rPr>
          <w:i/>
        </w:rPr>
        <w:t>Hope</w:t>
      </w:r>
      <w:r w:rsidRPr="009464B2">
        <w:t xml:space="preserve"> determined that the Federal Power Commission (FPC) “was not bound to the use of any single formula or combination of formulae in determining rates.”</w:t>
      </w:r>
      <w:r w:rsidRPr="009464B2">
        <w:rPr>
          <w:vertAlign w:val="superscript"/>
        </w:rPr>
        <w:footnoteReference w:id="195"/>
      </w:r>
      <w:r w:rsidRPr="009464B2">
        <w:t xml:space="preserve"> The Court explained that:</w:t>
      </w:r>
    </w:p>
    <w:p w14:paraId="6E07EA6F" w14:textId="77777777" w:rsidR="00D65ABF" w:rsidRPr="009464B2" w:rsidRDefault="00D65ABF" w:rsidP="00D65ABF">
      <w:pPr>
        <w:ind w:left="720" w:right="720"/>
      </w:pPr>
      <w:r w:rsidRPr="009464B2">
        <w:t>Under the statutory standard of 'just and reasonable' it is the result reached not the method employed which is controlling.  It is not theory but the impact of the rate order which counts.  If the total effect of the rate order cannot be said to be unjust and unreasonable, judicial inquiry under the [Federal Power] Act is at an end. The fact that the method employed to reach that result may contain infirmities is not then important.</w:t>
      </w:r>
      <w:r w:rsidRPr="009464B2">
        <w:rPr>
          <w:vertAlign w:val="superscript"/>
        </w:rPr>
        <w:footnoteReference w:id="196"/>
      </w:r>
    </w:p>
    <w:p w14:paraId="40B99A90" w14:textId="77777777" w:rsidR="00D65ABF" w:rsidRPr="009464B2" w:rsidRDefault="00D65ABF" w:rsidP="00D65ABF"/>
    <w:p w14:paraId="2B6B5211" w14:textId="77777777" w:rsidR="00D65ABF" w:rsidRPr="009464B2" w:rsidRDefault="00D65ABF" w:rsidP="00D65ABF">
      <w:pPr>
        <w:numPr>
          <w:ilvl w:val="0"/>
          <w:numId w:val="1"/>
        </w:numPr>
        <w:tabs>
          <w:tab w:val="num" w:pos="0"/>
        </w:tabs>
        <w:spacing w:after="120" w:line="288" w:lineRule="auto"/>
        <w:ind w:left="0" w:hanging="720"/>
      </w:pPr>
      <w:r w:rsidRPr="009464B2">
        <w:t xml:space="preserve">In the </w:t>
      </w:r>
      <w:r w:rsidRPr="009464B2">
        <w:rPr>
          <w:i/>
        </w:rPr>
        <w:t xml:space="preserve">Permian Basin </w:t>
      </w:r>
      <w:r w:rsidRPr="009464B2">
        <w:t xml:space="preserve">case, another FPC case often cited with </w:t>
      </w:r>
      <w:r w:rsidRPr="009464B2">
        <w:rPr>
          <w:i/>
        </w:rPr>
        <w:t xml:space="preserve">Hope, </w:t>
      </w:r>
      <w:r w:rsidRPr="009464B2">
        <w:t>the United States Supreme Court embraced the end result test</w:t>
      </w:r>
      <w:r w:rsidRPr="009464B2">
        <w:rPr>
          <w:i/>
          <w:iCs/>
        </w:rPr>
        <w:t>.</w:t>
      </w:r>
      <w:r w:rsidRPr="009464B2">
        <w:rPr>
          <w:vertAlign w:val="superscript"/>
        </w:rPr>
        <w:footnoteReference w:id="197"/>
      </w:r>
      <w:r w:rsidRPr="009464B2">
        <w:rPr>
          <w:i/>
          <w:iCs/>
        </w:rPr>
        <w:t xml:space="preserve"> </w:t>
      </w:r>
      <w:r w:rsidRPr="009464B2">
        <w:t xml:space="preserve">The Washington Supreme Court in </w:t>
      </w:r>
      <w:r w:rsidRPr="009464B2">
        <w:rPr>
          <w:i/>
        </w:rPr>
        <w:lastRenderedPageBreak/>
        <w:t xml:space="preserve">POWER, </w:t>
      </w:r>
      <w:r w:rsidRPr="009464B2">
        <w:t xml:space="preserve">referring to </w:t>
      </w:r>
      <w:r w:rsidRPr="009464B2">
        <w:rPr>
          <w:i/>
        </w:rPr>
        <w:t>Permian Basin</w:t>
      </w:r>
      <w:r w:rsidRPr="009464B2">
        <w:t xml:space="preserve"> and other authority,</w:t>
      </w:r>
      <w:r w:rsidRPr="009464B2">
        <w:rPr>
          <w:rStyle w:val="FootnoteReference"/>
        </w:rPr>
        <w:footnoteReference w:id="198"/>
      </w:r>
      <w:r w:rsidRPr="009464B2">
        <w:t xml:space="preserve"> observed that “within a fairly broad range, regulatory agencies exercise substantial discretion in selecting the appropriate rate making methodology.”</w:t>
      </w:r>
      <w:r w:rsidRPr="009464B2">
        <w:rPr>
          <w:vertAlign w:val="superscript"/>
        </w:rPr>
        <w:footnoteReference w:id="199"/>
      </w:r>
      <w:r w:rsidRPr="009464B2">
        <w:t xml:space="preserve"> The </w:t>
      </w:r>
      <w:r w:rsidRPr="009464B2">
        <w:rPr>
          <w:i/>
        </w:rPr>
        <w:t>POWER</w:t>
      </w:r>
      <w:r w:rsidRPr="009464B2">
        <w:t xml:space="preserve"> Court added that “there is a constitutionally based floor below which a rate ceiling set by a regulatory agency will be reversed by the courts as confiscatory.”</w:t>
      </w:r>
      <w:r w:rsidRPr="009464B2">
        <w:rPr>
          <w:vertAlign w:val="superscript"/>
        </w:rPr>
        <w:footnoteReference w:id="200"/>
      </w:r>
      <w:r w:rsidRPr="009464B2">
        <w:t xml:space="preserve"> Quoting another leading U.S. Supreme Court decision, the </w:t>
      </w:r>
      <w:r w:rsidRPr="009464B2">
        <w:rPr>
          <w:i/>
        </w:rPr>
        <w:t>POWER</w:t>
      </w:r>
      <w:r w:rsidRPr="009464B2">
        <w:t xml:space="preserve"> Court states what this means in terms of return:</w:t>
      </w:r>
    </w:p>
    <w:p w14:paraId="4F382227" w14:textId="77777777" w:rsidR="00D65ABF" w:rsidRPr="009464B2" w:rsidRDefault="00D65ABF" w:rsidP="00D65ABF"/>
    <w:p w14:paraId="6C6A39ED" w14:textId="3783130D" w:rsidR="00143DF4" w:rsidRPr="009464B2" w:rsidRDefault="00D65ABF" w:rsidP="00D65ABF">
      <w:pPr>
        <w:ind w:left="720" w:right="720"/>
      </w:pPr>
      <w:r w:rsidRPr="009464B2">
        <w:t xml:space="preserve">A public utility is entitled to such rates as will permit it to earn a return on the value of the property which it employs for the convenience of the public equal to that generally being made at the same time and in the same general part of the country on investments in other business undertakings which are attended by corresponding risks and uncertainties; but it has no constitutional right to profits such as are realized or anticipated in highly profitable enterprises or speculative ventures. </w:t>
      </w:r>
      <w:r w:rsidRPr="009464B2">
        <w:rPr>
          <w:iCs/>
        </w:rPr>
        <w:t>The return should be</w:t>
      </w:r>
      <w:r w:rsidRPr="009464B2">
        <w:t xml:space="preserve"> reasonably sufficient to assure confidence in the financial soundness of the utility and should be adequate, under efficient and economical management, to maintain and support its credit and enable it to raise the money necessary for the proper discharge of its public duties.</w:t>
      </w:r>
      <w:r w:rsidRPr="009464B2">
        <w:rPr>
          <w:vertAlign w:val="superscript"/>
        </w:rPr>
        <w:footnoteReference w:id="201"/>
      </w:r>
    </w:p>
    <w:p w14:paraId="423D24C5" w14:textId="77777777" w:rsidR="00143DF4" w:rsidRPr="009464B2" w:rsidRDefault="00143DF4" w:rsidP="00143DF4">
      <w:pPr>
        <w:ind w:left="720" w:right="720"/>
      </w:pPr>
    </w:p>
    <w:p w14:paraId="7DB9AB94" w14:textId="56F1C91D" w:rsidR="00D65ABF" w:rsidRPr="009464B2" w:rsidRDefault="00D65ABF" w:rsidP="00D65ABF">
      <w:pPr>
        <w:numPr>
          <w:ilvl w:val="0"/>
          <w:numId w:val="1"/>
        </w:numPr>
        <w:tabs>
          <w:tab w:val="num" w:pos="0"/>
        </w:tabs>
        <w:spacing w:after="120" w:line="288" w:lineRule="auto"/>
        <w:ind w:left="0" w:hanging="720"/>
      </w:pPr>
      <w:r w:rsidRPr="009464B2">
        <w:t>These are the fundamental principles that have long guided the Commission when it determines rates for a jurisdictional utility such as Avista. A</w:t>
      </w:r>
      <w:r w:rsidR="00ED141E" w:rsidRPr="009464B2">
        <w:t xml:space="preserve"> </w:t>
      </w:r>
      <w:r w:rsidRPr="009464B2">
        <w:t>drastic rate reduction, such as proposed by parties that urge us to reject an attrition adjustment, would run afoul of these principles.</w:t>
      </w:r>
    </w:p>
    <w:p w14:paraId="56F83BF5" w14:textId="4B30CA77" w:rsidR="00D65ABF" w:rsidRPr="009464B2" w:rsidRDefault="00D65ABF" w:rsidP="00D65ABF">
      <w:pPr>
        <w:numPr>
          <w:ilvl w:val="0"/>
          <w:numId w:val="1"/>
        </w:numPr>
        <w:tabs>
          <w:tab w:val="num" w:pos="0"/>
        </w:tabs>
        <w:spacing w:after="120" w:line="288" w:lineRule="auto"/>
        <w:ind w:left="0" w:hanging="720"/>
      </w:pPr>
      <w:r w:rsidRPr="009464B2">
        <w:t xml:space="preserve">Thus, </w:t>
      </w:r>
      <w:r w:rsidR="00EB0AD2">
        <w:t xml:space="preserve">after considering the evidence in this case, as well as our public interest obligations and the “end-result” test cited above, </w:t>
      </w:r>
      <w:r w:rsidRPr="009464B2">
        <w:t xml:space="preserve">we grant an attrition adjustment </w:t>
      </w:r>
      <w:r w:rsidR="00EB0AD2">
        <w:t>in electric operations in this case</w:t>
      </w:r>
      <w:r w:rsidRPr="009464B2">
        <w:t xml:space="preserve">. Considering the weakness in the record </w:t>
      </w:r>
      <w:r w:rsidR="0068444F" w:rsidRPr="009464B2">
        <w:t xml:space="preserve">concerning projected distribution plant capital investments </w:t>
      </w:r>
      <w:r w:rsidRPr="009464B2">
        <w:t xml:space="preserve">noted above, we make two modifications to Staff’s </w:t>
      </w:r>
      <w:r w:rsidRPr="009464B2">
        <w:lastRenderedPageBreak/>
        <w:t>attrition analysis to arrive at the attrition adjustment we authorize today.</w:t>
      </w:r>
      <w:r w:rsidR="00ED141E" w:rsidRPr="009464B2">
        <w:rPr>
          <w:rStyle w:val="FootnoteReference"/>
        </w:rPr>
        <w:footnoteReference w:id="202"/>
      </w:r>
      <w:r w:rsidRPr="009464B2">
        <w:t xml:space="preserve"> The modifications concern the analysis of distribution plant capital investments and expenses.</w:t>
      </w:r>
    </w:p>
    <w:p w14:paraId="33331470" w14:textId="06DA381F" w:rsidR="00143DF4" w:rsidRPr="009464B2" w:rsidRDefault="00D65ABF" w:rsidP="00D65ABF">
      <w:pPr>
        <w:numPr>
          <w:ilvl w:val="0"/>
          <w:numId w:val="1"/>
        </w:numPr>
        <w:tabs>
          <w:tab w:val="num" w:pos="0"/>
          <w:tab w:val="left" w:pos="630"/>
        </w:tabs>
        <w:spacing w:after="120" w:line="288" w:lineRule="auto"/>
        <w:ind w:left="0" w:hanging="720"/>
      </w:pPr>
      <w:r w:rsidRPr="009464B2">
        <w:t>First, we decline to include any escalation of capital investments in distribution plant. As described above, the record in this case lacks support for the elevated level of distribution plant investments. The Company has not met its burden to show that its proposed investments are based on circumstances beyond its control. Thus, while we authorize rates based on the attrition methodology proposed by Staff, we modify Staff’s method</w:t>
      </w:r>
      <w:r w:rsidR="0068444F" w:rsidRPr="009464B2">
        <w:t xml:space="preserve"> </w:t>
      </w:r>
      <w:r w:rsidRPr="009464B2">
        <w:t>to remove all escalation of distribution plant rate base.</w:t>
      </w:r>
    </w:p>
    <w:p w14:paraId="2AC4775E" w14:textId="77777777" w:rsidR="00C847BF" w:rsidRPr="009464B2" w:rsidRDefault="00C847BF" w:rsidP="00C847BF">
      <w:pPr>
        <w:numPr>
          <w:ilvl w:val="0"/>
          <w:numId w:val="1"/>
        </w:numPr>
        <w:tabs>
          <w:tab w:val="num" w:pos="0"/>
        </w:tabs>
        <w:spacing w:after="120" w:line="288" w:lineRule="auto"/>
        <w:ind w:left="0" w:hanging="720"/>
      </w:pPr>
      <w:r w:rsidRPr="009464B2">
        <w:t>Second, consistent with our discussion of O&amp;M escalation rates for natural gas above, we modify the electric O&amp;M escalation rate. Avista’s initial testimony provided historical analysis showing that from 2007-2013, electric O&amp;M expenses grew by 5.7 percent annually using the compound growth rate method.</w:t>
      </w:r>
      <w:r w:rsidRPr="009464B2">
        <w:rPr>
          <w:rStyle w:val="FootnoteReference"/>
        </w:rPr>
        <w:footnoteReference w:id="203"/>
      </w:r>
      <w:r w:rsidRPr="009464B2">
        <w:t xml:space="preserve"> Yet in its initially-filed attrition study, Avista used a lower annual growth rate of 3 percent “to reflect the recent cost-cutting measures implemented by the Company, and the expectation that Avista will manage the growth in these expenses to a lower level in future years.”</w:t>
      </w:r>
      <w:r w:rsidRPr="009464B2">
        <w:rPr>
          <w:rStyle w:val="FootnoteReference"/>
        </w:rPr>
        <w:footnoteReference w:id="204"/>
      </w:r>
      <w:r w:rsidRPr="009464B2">
        <w:t xml:space="preserve"> In response testimony, Staff proposes to escalate O&amp;M expenses by 2.42 percent, the arithmetic average of a) 1.82 percent, the one year trend in O&amp;M expense from 2013 to 2014 and b) the 3 percent proposed in Avista’s direct testimony.</w:t>
      </w:r>
      <w:r w:rsidRPr="009464B2">
        <w:rPr>
          <w:rStyle w:val="FootnoteReference"/>
        </w:rPr>
        <w:footnoteReference w:id="205"/>
      </w:r>
      <w:r w:rsidRPr="009464B2">
        <w:t xml:space="preserve"> In rebuttal testimony, Avista proposes to escalate O&amp;M expenses by 5.16 percent, the arithmetic average of a) the one year trend in O&amp;M expense from 2013 to 2014 and b) the multiyear trend in O&amp;M expenses from 2007 to 2014, with net benefits removed.</w:t>
      </w:r>
      <w:r w:rsidRPr="009464B2">
        <w:rPr>
          <w:rStyle w:val="FootnoteReference"/>
        </w:rPr>
        <w:footnoteReference w:id="206"/>
      </w:r>
    </w:p>
    <w:p w14:paraId="2EA1C84C" w14:textId="167A8787" w:rsidR="00143DF4" w:rsidRPr="009464B2" w:rsidRDefault="00C847BF" w:rsidP="00C847BF">
      <w:pPr>
        <w:numPr>
          <w:ilvl w:val="0"/>
          <w:numId w:val="1"/>
        </w:numPr>
        <w:spacing w:after="120" w:line="288" w:lineRule="auto"/>
        <w:ind w:left="0" w:hanging="720"/>
      </w:pPr>
      <w:r w:rsidRPr="009464B2">
        <w:t xml:space="preserve">We do not find the </w:t>
      </w:r>
      <w:r w:rsidR="000B5E1F">
        <w:t>escalation rates</w:t>
      </w:r>
      <w:r w:rsidRPr="009464B2">
        <w:t xml:space="preserve"> of the Company or Staff supporting attrition to be satisfactory. Avista’s proposal on rebuttal removes one category of expenses, net benefits, from a calculation based on historical data that should include such expenses. We decline to adopt an approach that arbitrarily removes one category of expenses. Staff uses the 3 percent escalation rate proposed in Avista’s direct testimony, and as stated </w:t>
      </w:r>
      <w:r w:rsidRPr="009464B2">
        <w:lastRenderedPageBreak/>
        <w:t>above, but fails to support the premise behind it. The record here supports an escalation rate more firmly grounded in historical data.</w:t>
      </w:r>
      <w:r w:rsidR="00143DF4" w:rsidRPr="009464B2">
        <w:t xml:space="preserve"> </w:t>
      </w:r>
    </w:p>
    <w:p w14:paraId="2C2E5C60" w14:textId="2FF681B8" w:rsidR="00C847BF" w:rsidRPr="009464B2" w:rsidRDefault="00C847BF" w:rsidP="00C847BF">
      <w:pPr>
        <w:numPr>
          <w:ilvl w:val="0"/>
          <w:numId w:val="1"/>
        </w:numPr>
        <w:spacing w:after="120" w:line="288" w:lineRule="auto"/>
        <w:ind w:left="0" w:hanging="720"/>
      </w:pPr>
      <w:r w:rsidRPr="009464B2">
        <w:t>Therefore, for the purposes of calculating an attrition adjustment for Avista’s electric operations, we escalate O&amp;M expenses by 3.21 percent, the arithmetic average of a) 1.82 percent, the one year trend in O&amp;M expense from 2013 to 2014 and b) 4.6 percent, the multiyear trend in O&amp;M expense from 2007 to 2014.</w:t>
      </w:r>
      <w:r w:rsidRPr="009464B2">
        <w:rPr>
          <w:rStyle w:val="FootnoteReference"/>
        </w:rPr>
        <w:footnoteReference w:id="207"/>
      </w:r>
      <w:r w:rsidRPr="009464B2">
        <w:t xml:space="preserve"> This is the same met</w:t>
      </w:r>
      <w:r w:rsidR="000B5E1F">
        <w:t>hodology we adopt in this O</w:t>
      </w:r>
      <w:r w:rsidRPr="009464B2">
        <w:t>rder to escalate Avista’s natural gas O&amp;M expenses.</w:t>
      </w:r>
    </w:p>
    <w:p w14:paraId="4D724EF2" w14:textId="20511CFD" w:rsidR="00143DF4" w:rsidRPr="009464B2" w:rsidRDefault="00584DBB" w:rsidP="00C847BF">
      <w:pPr>
        <w:numPr>
          <w:ilvl w:val="0"/>
          <w:numId w:val="1"/>
        </w:numPr>
        <w:tabs>
          <w:tab w:val="num" w:pos="0"/>
        </w:tabs>
        <w:spacing w:after="120" w:line="288" w:lineRule="auto"/>
        <w:ind w:left="0" w:hanging="720"/>
      </w:pPr>
      <w:r>
        <w:t>Accordingly,</w:t>
      </w:r>
      <w:r w:rsidR="00C847BF" w:rsidRPr="009464B2">
        <w:t xml:space="preserve"> we find the </w:t>
      </w:r>
      <w:r>
        <w:t xml:space="preserve">overall </w:t>
      </w:r>
      <w:r w:rsidR="00C847BF" w:rsidRPr="009464B2">
        <w:t>revenue requirement for Avista’s electric service should be reduced by</w:t>
      </w:r>
      <w:r>
        <w:t xml:space="preserve"> approximately</w:t>
      </w:r>
      <w:r w:rsidR="00C847BF" w:rsidRPr="009464B2">
        <w:t xml:space="preserve"> $8.1 million, based upon the results of </w:t>
      </w:r>
      <w:r w:rsidR="00E963C4">
        <w:t>a</w:t>
      </w:r>
      <w:r w:rsidR="00C847BF" w:rsidRPr="009464B2">
        <w:t xml:space="preserve"> modified historical test year with known and measurable pro forma adjustments, including an attrition adjustment of </w:t>
      </w:r>
      <w:r>
        <w:t xml:space="preserve">approximately </w:t>
      </w:r>
      <w:r w:rsidR="00C847BF" w:rsidRPr="009464B2">
        <w:t>$</w:t>
      </w:r>
      <w:r w:rsidR="00F86538" w:rsidRPr="009464B2">
        <w:t>28.3 million.</w:t>
      </w:r>
      <w:r w:rsidR="00C847BF" w:rsidRPr="009464B2">
        <w:t xml:space="preserve">  While the end result is still a reduction in revenue requirement for Avista’s electric service, it is significantly less than what would result from adopting Staff’s pro forma analysis or the intervenor’s revenue requirement recommendations. Further, the Company has stated on the record it expects to file a rate case every year for the next five years. If the Company continues to experience attrition in its electric operations, we expect the Company will have the opportunity in future cases to fully demonstrate that such expected capital expenditures, particularly for its distribution system, provide benefit to ratepayers and are beyond its control.</w:t>
      </w:r>
      <w:r w:rsidR="00143DF4" w:rsidRPr="009464B2">
        <w:t xml:space="preserve"> </w:t>
      </w:r>
    </w:p>
    <w:p w14:paraId="01919819" w14:textId="04451361" w:rsidR="004C5235" w:rsidRPr="009464B2" w:rsidRDefault="00C847BF" w:rsidP="003F528C">
      <w:pPr>
        <w:numPr>
          <w:ilvl w:val="0"/>
          <w:numId w:val="1"/>
        </w:numPr>
        <w:tabs>
          <w:tab w:val="num" w:pos="0"/>
        </w:tabs>
        <w:spacing w:after="120" w:line="288" w:lineRule="auto"/>
        <w:ind w:left="0" w:hanging="720"/>
      </w:pPr>
      <w:r w:rsidRPr="009464B2">
        <w:t>While we grant a modified attrition adjustment for electric operations, we emphasize that we share Staff’s frustration about continuing to authorize recovery for these significant capital investments, absent a complete demonstration by the Company of quantifiable benefits to ratepayers. Before seeking further rate increases for its electric service, the Company m</w:t>
      </w:r>
      <w:r w:rsidR="00F86538" w:rsidRPr="009464B2">
        <w:t>ust provide more analysis show</w:t>
      </w:r>
      <w:r w:rsidRPr="009464B2">
        <w:t xml:space="preserve">ing how it plans and prioritizes investments in its distribution system, and how those decisions impact system reliability and economy. Staff </w:t>
      </w:r>
      <w:r w:rsidR="00584DBB">
        <w:t>asserts</w:t>
      </w:r>
      <w:r w:rsidRPr="009464B2">
        <w:t xml:space="preserve"> that an examination of Avista’s capital spending plans and results is called for, and we agree.</w:t>
      </w:r>
      <w:r w:rsidRPr="009464B2">
        <w:rPr>
          <w:vertAlign w:val="superscript"/>
        </w:rPr>
        <w:footnoteReference w:id="208"/>
      </w:r>
      <w:r w:rsidR="00EF2C1A">
        <w:t xml:space="preserve"> We encourage the Company to work with Staff on this issue.</w:t>
      </w:r>
      <w:r w:rsidRPr="009464B2">
        <w:t xml:space="preserve"> The econometric study recommended by Staff could provide useful information about Avista’s relative reliability, compared to other utilities. </w:t>
      </w:r>
      <w:r w:rsidR="00EF2C1A">
        <w:t>We agree, but since</w:t>
      </w:r>
      <w:r w:rsidRPr="009464B2">
        <w:t xml:space="preserve"> Staff has begun its work on the study,</w:t>
      </w:r>
      <w:r w:rsidRPr="009464B2">
        <w:rPr>
          <w:rStyle w:val="FootnoteReference"/>
        </w:rPr>
        <w:footnoteReference w:id="209"/>
      </w:r>
      <w:r w:rsidRPr="009464B2">
        <w:t xml:space="preserve"> we do not think it is necessary to require it in this order. </w:t>
      </w:r>
      <w:r w:rsidR="00143DF4" w:rsidRPr="009464B2">
        <w:t xml:space="preserve"> </w:t>
      </w:r>
    </w:p>
    <w:p w14:paraId="64330E0F" w14:textId="77777777" w:rsidR="00C847BF" w:rsidRPr="009464B2" w:rsidRDefault="00C847BF" w:rsidP="00EF6A63">
      <w:pPr>
        <w:spacing w:line="264" w:lineRule="auto"/>
      </w:pPr>
    </w:p>
    <w:p w14:paraId="7B5DC097" w14:textId="2B669EFE" w:rsidR="00113D2F" w:rsidRPr="009464B2" w:rsidRDefault="00113D2F" w:rsidP="00F91E54">
      <w:pPr>
        <w:pStyle w:val="Heading3"/>
        <w:numPr>
          <w:ilvl w:val="0"/>
          <w:numId w:val="38"/>
        </w:numPr>
        <w:jc w:val="left"/>
        <w:rPr>
          <w:rFonts w:ascii="Times New Roman" w:hAnsi="Times New Roman"/>
        </w:rPr>
      </w:pPr>
      <w:bookmarkStart w:id="26" w:name="_Toc439838964"/>
      <w:r w:rsidRPr="009464B2">
        <w:rPr>
          <w:rFonts w:ascii="Times New Roman" w:hAnsi="Times New Roman"/>
        </w:rPr>
        <w:lastRenderedPageBreak/>
        <w:t>Generation Plant Operations and Maintenance</w:t>
      </w:r>
      <w:bookmarkEnd w:id="26"/>
    </w:p>
    <w:p w14:paraId="212D342B" w14:textId="00311816" w:rsidR="00D658A3" w:rsidRPr="009464B2" w:rsidRDefault="00D658A3" w:rsidP="00D658A3">
      <w:pPr>
        <w:pStyle w:val="ListParagraph"/>
        <w:spacing w:after="120" w:line="264" w:lineRule="auto"/>
      </w:pPr>
    </w:p>
    <w:p w14:paraId="49849BCC" w14:textId="3B169B3C" w:rsidR="004C5235" w:rsidRPr="009464B2" w:rsidRDefault="004C5235" w:rsidP="00CE44E1">
      <w:pPr>
        <w:numPr>
          <w:ilvl w:val="0"/>
          <w:numId w:val="1"/>
        </w:numPr>
        <w:tabs>
          <w:tab w:val="num" w:pos="0"/>
        </w:tabs>
        <w:spacing w:after="120" w:line="288" w:lineRule="auto"/>
        <w:ind w:left="0" w:hanging="720"/>
        <w:rPr>
          <w:rFonts w:eastAsia="Calibri"/>
        </w:rPr>
      </w:pPr>
      <w:r w:rsidRPr="009464B2">
        <w:rPr>
          <w:rFonts w:eastAsia="Calibri"/>
        </w:rPr>
        <w:t xml:space="preserve">This adjustment </w:t>
      </w:r>
      <w:r w:rsidR="002611B2" w:rsidRPr="009464B2">
        <w:rPr>
          <w:rFonts w:eastAsia="Calibri"/>
        </w:rPr>
        <w:t>involves</w:t>
      </w:r>
      <w:r w:rsidRPr="009464B2">
        <w:rPr>
          <w:rFonts w:eastAsia="Calibri"/>
        </w:rPr>
        <w:t xml:space="preserve"> O&amp;M </w:t>
      </w:r>
      <w:r w:rsidR="00435FBD" w:rsidRPr="009464B2">
        <w:rPr>
          <w:rFonts w:eastAsia="Calibri"/>
        </w:rPr>
        <w:t>expense</w:t>
      </w:r>
      <w:r w:rsidRPr="009464B2">
        <w:rPr>
          <w:rFonts w:eastAsia="Calibri"/>
        </w:rPr>
        <w:t xml:space="preserve">s at </w:t>
      </w:r>
      <w:r w:rsidR="002611B2" w:rsidRPr="009464B2">
        <w:rPr>
          <w:rFonts w:eastAsia="Calibri"/>
        </w:rPr>
        <w:t xml:space="preserve">Avista’s </w:t>
      </w:r>
      <w:r w:rsidR="00D10286" w:rsidRPr="009464B2">
        <w:rPr>
          <w:rFonts w:eastAsia="Calibri"/>
        </w:rPr>
        <w:t xml:space="preserve">thermal </w:t>
      </w:r>
      <w:r w:rsidRPr="009464B2">
        <w:rPr>
          <w:rFonts w:eastAsia="Calibri"/>
        </w:rPr>
        <w:t xml:space="preserve">generation plants. </w:t>
      </w:r>
      <w:r w:rsidRPr="009464B2">
        <w:t xml:space="preserve">In rebuttal testimony, Avista proposes to defer major maintenance expenses at the Coyote Springs 2, Rathdrum, and Boulder Park plants, and use revised test year expenses </w:t>
      </w:r>
      <w:r w:rsidR="00435FBD" w:rsidRPr="009464B2">
        <w:t xml:space="preserve">for the </w:t>
      </w:r>
      <w:r w:rsidRPr="009464B2">
        <w:t>Colstrip</w:t>
      </w:r>
      <w:r w:rsidR="00435FBD" w:rsidRPr="009464B2">
        <w:t xml:space="preserve"> plant</w:t>
      </w:r>
      <w:r w:rsidR="002611B2" w:rsidRPr="009464B2">
        <w:t>.</w:t>
      </w:r>
      <w:r w:rsidR="002611B2" w:rsidRPr="009464B2">
        <w:rPr>
          <w:rStyle w:val="FootnoteReference"/>
        </w:rPr>
        <w:footnoteReference w:id="210"/>
      </w:r>
      <w:r w:rsidRPr="009464B2">
        <w:t xml:space="preserve"> </w:t>
      </w:r>
    </w:p>
    <w:p w14:paraId="7F59BB19" w14:textId="14CAA0D1" w:rsidR="004C5235" w:rsidRPr="009464B2" w:rsidRDefault="004C5235" w:rsidP="00CE44E1">
      <w:pPr>
        <w:numPr>
          <w:ilvl w:val="0"/>
          <w:numId w:val="1"/>
        </w:numPr>
        <w:tabs>
          <w:tab w:val="num" w:pos="0"/>
        </w:tabs>
        <w:spacing w:after="120" w:line="288" w:lineRule="auto"/>
        <w:ind w:left="0" w:hanging="720"/>
        <w:rPr>
          <w:rFonts w:eastAsia="Calibri"/>
        </w:rPr>
      </w:pPr>
      <w:r w:rsidRPr="009464B2">
        <w:rPr>
          <w:rFonts w:eastAsia="Calibri"/>
        </w:rPr>
        <w:t xml:space="preserve">Major maintenance, also called </w:t>
      </w:r>
      <w:r w:rsidR="009402B2" w:rsidRPr="009464B2">
        <w:rPr>
          <w:rFonts w:eastAsia="Calibri"/>
        </w:rPr>
        <w:t xml:space="preserve">an </w:t>
      </w:r>
      <w:r w:rsidRPr="009464B2">
        <w:rPr>
          <w:rFonts w:eastAsia="Calibri"/>
        </w:rPr>
        <w:t xml:space="preserve">overhaul, </w:t>
      </w:r>
      <w:r w:rsidR="0047704F" w:rsidRPr="009464B2">
        <w:rPr>
          <w:rFonts w:eastAsia="Calibri"/>
        </w:rPr>
        <w:t>is</w:t>
      </w:r>
      <w:r w:rsidRPr="009464B2">
        <w:rPr>
          <w:rFonts w:eastAsia="Calibri"/>
        </w:rPr>
        <w:t xml:space="preserve"> performed at </w:t>
      </w:r>
      <w:r w:rsidR="00D10286" w:rsidRPr="009464B2">
        <w:rPr>
          <w:rFonts w:eastAsia="Calibri"/>
        </w:rPr>
        <w:t xml:space="preserve">thermal </w:t>
      </w:r>
      <w:r w:rsidRPr="009464B2">
        <w:rPr>
          <w:rFonts w:eastAsia="Calibri"/>
        </w:rPr>
        <w:t>generation plants on a regular cycle based on the utilization of the plant.</w:t>
      </w:r>
      <w:r w:rsidR="002611B2" w:rsidRPr="009464B2">
        <w:rPr>
          <w:rStyle w:val="FootnoteReference"/>
          <w:rFonts w:eastAsia="Calibri"/>
        </w:rPr>
        <w:footnoteReference w:id="211"/>
      </w:r>
      <w:r w:rsidRPr="009464B2">
        <w:rPr>
          <w:rFonts w:eastAsia="Calibri"/>
        </w:rPr>
        <w:t xml:space="preserve"> Major maintenance involves </w:t>
      </w:r>
      <w:r w:rsidR="009402B2" w:rsidRPr="009464B2">
        <w:rPr>
          <w:rFonts w:eastAsia="Calibri"/>
        </w:rPr>
        <w:t>the</w:t>
      </w:r>
      <w:r w:rsidR="0047704F" w:rsidRPr="009464B2">
        <w:rPr>
          <w:rFonts w:eastAsia="Calibri"/>
        </w:rPr>
        <w:t xml:space="preserve"> closure of the plant for a significant period, usually many weeks or months, </w:t>
      </w:r>
      <w:r w:rsidRPr="009464B2">
        <w:rPr>
          <w:rFonts w:eastAsia="Calibri"/>
        </w:rPr>
        <w:t xml:space="preserve">and is distinct from basic maintenance. </w:t>
      </w:r>
      <w:r w:rsidR="002611B2" w:rsidRPr="009464B2">
        <w:rPr>
          <w:rFonts w:eastAsia="Calibri"/>
        </w:rPr>
        <w:t xml:space="preserve">The expenses associated with these overhauls are part of the Company’s O&amp;M expenses. </w:t>
      </w:r>
      <w:r w:rsidRPr="009464B2">
        <w:rPr>
          <w:rFonts w:eastAsia="Calibri"/>
        </w:rPr>
        <w:t>In 2016, Avista expects to incur major maintenance expenses at Colstrip, Coyote Springs 2, Rathdrum, Boulder Park, and other generation plants.</w:t>
      </w:r>
      <w:r w:rsidRPr="009464B2">
        <w:rPr>
          <w:rFonts w:eastAsia="Calibri"/>
          <w:vertAlign w:val="superscript"/>
        </w:rPr>
        <w:footnoteReference w:id="212"/>
      </w:r>
      <w:r w:rsidRPr="009464B2">
        <w:rPr>
          <w:rFonts w:eastAsia="Calibri"/>
        </w:rPr>
        <w:t xml:space="preserve"> </w:t>
      </w:r>
    </w:p>
    <w:p w14:paraId="306B9928" w14:textId="5B2B013F" w:rsidR="004C5235" w:rsidRPr="009464B2" w:rsidRDefault="004C5235" w:rsidP="00CE44E1">
      <w:pPr>
        <w:numPr>
          <w:ilvl w:val="0"/>
          <w:numId w:val="1"/>
        </w:numPr>
        <w:tabs>
          <w:tab w:val="num" w:pos="0"/>
        </w:tabs>
        <w:spacing w:after="120" w:line="288" w:lineRule="auto"/>
        <w:ind w:left="0" w:hanging="720"/>
        <w:rPr>
          <w:rFonts w:eastAsia="Calibri"/>
        </w:rPr>
      </w:pPr>
      <w:r w:rsidRPr="009464B2">
        <w:rPr>
          <w:rFonts w:eastAsia="Calibri"/>
        </w:rPr>
        <w:t>Avista anticipate</w:t>
      </w:r>
      <w:r w:rsidR="0085495C" w:rsidRPr="009464B2">
        <w:rPr>
          <w:rFonts w:eastAsia="Calibri"/>
        </w:rPr>
        <w:t>s</w:t>
      </w:r>
      <w:r w:rsidRPr="009464B2">
        <w:rPr>
          <w:rFonts w:eastAsia="Calibri"/>
        </w:rPr>
        <w:t xml:space="preserve"> that </w:t>
      </w:r>
      <w:r w:rsidRPr="009464B2">
        <w:t xml:space="preserve">Colstrip and Coyote Springs 2 </w:t>
      </w:r>
      <w:r w:rsidRPr="009464B2">
        <w:rPr>
          <w:rFonts w:eastAsia="Calibri"/>
        </w:rPr>
        <w:t>major maintenance will result in a higher expen</w:t>
      </w:r>
      <w:r w:rsidR="002611B2" w:rsidRPr="009464B2">
        <w:rPr>
          <w:rFonts w:eastAsia="Calibri"/>
        </w:rPr>
        <w:t xml:space="preserve">se level than found in the test </w:t>
      </w:r>
      <w:r w:rsidRPr="009464B2">
        <w:rPr>
          <w:rFonts w:eastAsia="Calibri"/>
        </w:rPr>
        <w:t>year.</w:t>
      </w:r>
      <w:r w:rsidRPr="009464B2">
        <w:rPr>
          <w:rFonts w:eastAsia="Calibri"/>
          <w:vertAlign w:val="superscript"/>
        </w:rPr>
        <w:footnoteReference w:id="213"/>
      </w:r>
      <w:r w:rsidRPr="009464B2">
        <w:rPr>
          <w:rFonts w:eastAsia="Calibri"/>
        </w:rPr>
        <w:t xml:space="preserve"> Therefore Avista argues it will underrecover its O&amp;M expense in 2016 without non-standard accounting treatment.</w:t>
      </w:r>
      <w:r w:rsidRPr="009464B2">
        <w:rPr>
          <w:rFonts w:eastAsia="Calibri"/>
          <w:vertAlign w:val="superscript"/>
        </w:rPr>
        <w:footnoteReference w:id="214"/>
      </w:r>
      <w:r w:rsidR="002611B2" w:rsidRPr="009464B2">
        <w:rPr>
          <w:rFonts w:eastAsia="Calibri"/>
        </w:rPr>
        <w:t xml:space="preserve"> </w:t>
      </w:r>
      <w:r w:rsidR="0047704F" w:rsidRPr="009464B2">
        <w:rPr>
          <w:rFonts w:eastAsia="Calibri"/>
        </w:rPr>
        <w:t xml:space="preserve">Avista’s position regarding treatment of </w:t>
      </w:r>
      <w:r w:rsidR="0047704F" w:rsidRPr="009464B2">
        <w:t>O&amp;M expenses has changed since its initial filing,</w:t>
      </w:r>
      <w:r w:rsidRPr="009464B2">
        <w:rPr>
          <w:rStyle w:val="FootnoteReference"/>
          <w:rFonts w:eastAsia="Calibri"/>
        </w:rPr>
        <w:footnoteReference w:id="215"/>
      </w:r>
      <w:r w:rsidR="008902E9" w:rsidRPr="009464B2">
        <w:t xml:space="preserve"> </w:t>
      </w:r>
      <w:r w:rsidR="0047704F" w:rsidRPr="009464B2">
        <w:t xml:space="preserve">and </w:t>
      </w:r>
      <w:r w:rsidRPr="009464B2">
        <w:t xml:space="preserve">Avista proposes </w:t>
      </w:r>
      <w:r w:rsidR="0047704F" w:rsidRPr="009464B2">
        <w:t xml:space="preserve">on rebuttal </w:t>
      </w:r>
      <w:r w:rsidRPr="009464B2">
        <w:t>to:</w:t>
      </w:r>
    </w:p>
    <w:p w14:paraId="2ADF5CBD" w14:textId="77777777" w:rsidR="004C5235" w:rsidRPr="009464B2" w:rsidRDefault="00D20511" w:rsidP="00CE44E1">
      <w:pPr>
        <w:pStyle w:val="ListParagraph"/>
        <w:numPr>
          <w:ilvl w:val="0"/>
          <w:numId w:val="5"/>
        </w:numPr>
        <w:spacing w:after="120" w:line="288" w:lineRule="auto"/>
        <w:ind w:left="720"/>
        <w:contextualSpacing/>
      </w:pPr>
      <w:r w:rsidRPr="009464B2">
        <w:lastRenderedPageBreak/>
        <w:t>D</w:t>
      </w:r>
      <w:r w:rsidR="004C5235" w:rsidRPr="009464B2">
        <w:t>efer and later recover actual major maintenance expenses at the Coyote Springs 2, Rathdrum, and Boulder Park plants,</w:t>
      </w:r>
      <w:r w:rsidR="004C5235" w:rsidRPr="009464B2">
        <w:rPr>
          <w:rStyle w:val="FootnoteReference"/>
        </w:rPr>
        <w:footnoteReference w:id="216"/>
      </w:r>
      <w:r w:rsidR="004C5235" w:rsidRPr="009464B2">
        <w:t xml:space="preserve"> </w:t>
      </w:r>
    </w:p>
    <w:p w14:paraId="55F583E5" w14:textId="77777777" w:rsidR="004C5235" w:rsidRPr="009464B2" w:rsidRDefault="00D20511" w:rsidP="00CE44E1">
      <w:pPr>
        <w:pStyle w:val="ListParagraph"/>
        <w:numPr>
          <w:ilvl w:val="0"/>
          <w:numId w:val="5"/>
        </w:numPr>
        <w:spacing w:after="120" w:line="288" w:lineRule="auto"/>
        <w:ind w:left="720"/>
        <w:contextualSpacing/>
      </w:pPr>
      <w:r w:rsidRPr="009464B2">
        <w:t>U</w:t>
      </w:r>
      <w:r w:rsidR="004C5235" w:rsidRPr="009464B2">
        <w:t>se the revised test year expense for Colstrip, as the $1.09 million more in revenues the revision provides is sufficient for major maintenance at Colstrip,</w:t>
      </w:r>
      <w:r w:rsidR="004C5235" w:rsidRPr="009464B2">
        <w:rPr>
          <w:rStyle w:val="FootnoteReference"/>
        </w:rPr>
        <w:footnoteReference w:id="217"/>
      </w:r>
      <w:r w:rsidR="004C5235" w:rsidRPr="009464B2">
        <w:t xml:space="preserve"> and</w:t>
      </w:r>
    </w:p>
    <w:p w14:paraId="46D1BBBD" w14:textId="77777777" w:rsidR="004C5235" w:rsidRPr="009464B2" w:rsidRDefault="00D20511" w:rsidP="00CE44E1">
      <w:pPr>
        <w:pStyle w:val="ListParagraph"/>
        <w:numPr>
          <w:ilvl w:val="0"/>
          <w:numId w:val="5"/>
        </w:numPr>
        <w:spacing w:after="120" w:line="288" w:lineRule="auto"/>
        <w:ind w:left="720"/>
        <w:contextualSpacing/>
      </w:pPr>
      <w:r w:rsidRPr="009464B2">
        <w:t>C</w:t>
      </w:r>
      <w:r w:rsidR="004C5235" w:rsidRPr="009464B2">
        <w:t>ontinue to use forecasted 2016 expenses for all other generation plants.</w:t>
      </w:r>
      <w:r w:rsidR="004C5235" w:rsidRPr="009464B2">
        <w:rPr>
          <w:rStyle w:val="FootnoteReference"/>
          <w:rFonts w:eastAsia="Calibri"/>
        </w:rPr>
        <w:footnoteReference w:id="218"/>
      </w:r>
    </w:p>
    <w:p w14:paraId="771C0970" w14:textId="29D41651" w:rsidR="004C5235" w:rsidRPr="009464B2" w:rsidRDefault="0002746E" w:rsidP="00CE44E1">
      <w:pPr>
        <w:numPr>
          <w:ilvl w:val="0"/>
          <w:numId w:val="1"/>
        </w:numPr>
        <w:tabs>
          <w:tab w:val="num" w:pos="0"/>
        </w:tabs>
        <w:spacing w:after="120" w:line="288" w:lineRule="auto"/>
        <w:ind w:left="0" w:hanging="720"/>
        <w:rPr>
          <w:rFonts w:eastAsia="Calibri"/>
        </w:rPr>
      </w:pPr>
      <w:r w:rsidRPr="009464B2">
        <w:rPr>
          <w:rFonts w:eastAsia="Calibri"/>
          <w:i/>
        </w:rPr>
        <w:t>Other Party</w:t>
      </w:r>
      <w:r w:rsidR="00DE497D" w:rsidRPr="009464B2">
        <w:rPr>
          <w:rFonts w:eastAsia="Calibri"/>
          <w:i/>
        </w:rPr>
        <w:t xml:space="preserve"> Positions. </w:t>
      </w:r>
      <w:r w:rsidR="004C5235" w:rsidRPr="009464B2">
        <w:rPr>
          <w:rFonts w:eastAsia="Calibri"/>
        </w:rPr>
        <w:t xml:space="preserve">Staff and ICNU </w:t>
      </w:r>
      <w:r w:rsidR="00DE497D" w:rsidRPr="009464B2">
        <w:rPr>
          <w:rFonts w:eastAsia="Calibri"/>
        </w:rPr>
        <w:t>recommend</w:t>
      </w:r>
      <w:r w:rsidR="004C5235" w:rsidRPr="009464B2">
        <w:rPr>
          <w:rFonts w:eastAsia="Calibri"/>
        </w:rPr>
        <w:t xml:space="preserve"> basing rates on a normalized</w:t>
      </w:r>
      <w:r w:rsidR="00DE497D" w:rsidRPr="009464B2">
        <w:rPr>
          <w:rStyle w:val="FootnoteReference"/>
          <w:rFonts w:eastAsia="Calibri"/>
        </w:rPr>
        <w:footnoteReference w:id="219"/>
      </w:r>
      <w:r w:rsidR="004C5235" w:rsidRPr="009464B2">
        <w:rPr>
          <w:rFonts w:eastAsia="Calibri"/>
        </w:rPr>
        <w:t xml:space="preserve"> level of </w:t>
      </w:r>
      <w:r w:rsidR="00BD3B79" w:rsidRPr="009464B2">
        <w:rPr>
          <w:rFonts w:eastAsia="Calibri"/>
        </w:rPr>
        <w:t xml:space="preserve">major </w:t>
      </w:r>
      <w:r w:rsidR="004C5235" w:rsidRPr="009464B2">
        <w:rPr>
          <w:rFonts w:eastAsia="Calibri"/>
        </w:rPr>
        <w:t>maintenance expenses</w:t>
      </w:r>
      <w:r w:rsidR="00DE497D" w:rsidRPr="009464B2">
        <w:rPr>
          <w:rFonts w:eastAsia="Calibri"/>
        </w:rPr>
        <w:t xml:space="preserve">. </w:t>
      </w:r>
      <w:r w:rsidR="004C5235" w:rsidRPr="009464B2">
        <w:rPr>
          <w:rFonts w:eastAsia="Calibri"/>
        </w:rPr>
        <w:t xml:space="preserve">ICNU </w:t>
      </w:r>
      <w:r w:rsidR="00DE497D" w:rsidRPr="009464B2">
        <w:rPr>
          <w:rFonts w:eastAsia="Calibri"/>
        </w:rPr>
        <w:t xml:space="preserve">argues that </w:t>
      </w:r>
      <w:r w:rsidR="004C5235" w:rsidRPr="009464B2">
        <w:rPr>
          <w:rFonts w:eastAsia="Calibri"/>
        </w:rPr>
        <w:t xml:space="preserve">rates </w:t>
      </w:r>
      <w:r w:rsidR="00DE497D" w:rsidRPr="009464B2">
        <w:rPr>
          <w:rFonts w:eastAsia="Calibri"/>
        </w:rPr>
        <w:t xml:space="preserve">should </w:t>
      </w:r>
      <w:r w:rsidR="004C5235" w:rsidRPr="009464B2">
        <w:rPr>
          <w:rFonts w:eastAsia="Calibri"/>
        </w:rPr>
        <w:t>include one-third of Avista’s forecasted cost of major maintenance at Colstrip because Colstrip has a three</w:t>
      </w:r>
      <w:r w:rsidR="00F36543" w:rsidRPr="009464B2">
        <w:rPr>
          <w:rFonts w:eastAsia="Calibri"/>
        </w:rPr>
        <w:t>-</w:t>
      </w:r>
      <w:r w:rsidR="004C5235" w:rsidRPr="009464B2">
        <w:rPr>
          <w:rFonts w:eastAsia="Calibri"/>
        </w:rPr>
        <w:t>year maintenance cycle, and one-fourth of Avista’s forecasted cost of major maintenance at Coyote Springs 2 because Coyote Springs 2 has a four</w:t>
      </w:r>
      <w:r w:rsidR="00F36543" w:rsidRPr="009464B2">
        <w:rPr>
          <w:rFonts w:eastAsia="Calibri"/>
        </w:rPr>
        <w:t>-</w:t>
      </w:r>
      <w:r w:rsidR="004C5235" w:rsidRPr="009464B2">
        <w:rPr>
          <w:rFonts w:eastAsia="Calibri"/>
        </w:rPr>
        <w:t>year major maintenance cycle.</w:t>
      </w:r>
      <w:r w:rsidR="004C5235" w:rsidRPr="009464B2">
        <w:rPr>
          <w:rStyle w:val="FootnoteReference"/>
          <w:rFonts w:eastAsia="Calibri"/>
        </w:rPr>
        <w:footnoteReference w:id="220"/>
      </w:r>
      <w:r w:rsidR="00DE497D" w:rsidRPr="009464B2">
        <w:rPr>
          <w:rFonts w:eastAsia="Calibri"/>
        </w:rPr>
        <w:t xml:space="preserve"> </w:t>
      </w:r>
    </w:p>
    <w:p w14:paraId="09A30E58" w14:textId="6111D08D" w:rsidR="00DE497D" w:rsidRPr="009464B2" w:rsidRDefault="00DE497D" w:rsidP="00CE44E1">
      <w:pPr>
        <w:numPr>
          <w:ilvl w:val="0"/>
          <w:numId w:val="1"/>
        </w:numPr>
        <w:tabs>
          <w:tab w:val="num" w:pos="0"/>
        </w:tabs>
        <w:spacing w:after="120" w:line="288" w:lineRule="auto"/>
        <w:ind w:left="0" w:hanging="720"/>
        <w:rPr>
          <w:rFonts w:eastAsia="Calibri"/>
        </w:rPr>
      </w:pPr>
      <w:r w:rsidRPr="009464B2">
        <w:rPr>
          <w:rFonts w:eastAsia="Calibri"/>
        </w:rPr>
        <w:t>Staff proposes to separate Colstrip and Coyote Springs 2 O&amp;M expenses into two categories: major maintenance and basic O&amp;M.</w:t>
      </w:r>
      <w:r w:rsidRPr="009464B2">
        <w:rPr>
          <w:rStyle w:val="FootnoteReference"/>
          <w:rFonts w:eastAsia="Calibri"/>
        </w:rPr>
        <w:footnoteReference w:id="221"/>
      </w:r>
      <w:r w:rsidRPr="009464B2">
        <w:rPr>
          <w:rFonts w:eastAsia="Calibri"/>
        </w:rPr>
        <w:t xml:space="preserve"> Staff analyzes basic O&amp;M by removing the major maintenance expense from total O&amp;M actuals for the past seven years.</w:t>
      </w:r>
      <w:r w:rsidRPr="009464B2">
        <w:rPr>
          <w:rStyle w:val="FootnoteReference"/>
          <w:rFonts w:eastAsia="Calibri"/>
        </w:rPr>
        <w:footnoteReference w:id="222"/>
      </w:r>
      <w:r w:rsidRPr="009464B2">
        <w:rPr>
          <w:rFonts w:eastAsia="Calibri"/>
        </w:rPr>
        <w:t xml:space="preserve"> It then create</w:t>
      </w:r>
      <w:r w:rsidR="0047704F" w:rsidRPr="009464B2">
        <w:rPr>
          <w:rFonts w:eastAsia="Calibri"/>
        </w:rPr>
        <w:t>s</w:t>
      </w:r>
      <w:r w:rsidRPr="009464B2">
        <w:rPr>
          <w:rFonts w:eastAsia="Calibri"/>
        </w:rPr>
        <w:t xml:space="preserve"> a “line of best fit” to estimate expected basic O&amp;M costs for </w:t>
      </w:r>
      <w:r w:rsidRPr="009464B2">
        <w:rPr>
          <w:rFonts w:eastAsia="Calibri"/>
        </w:rPr>
        <w:lastRenderedPageBreak/>
        <w:t>2014.</w:t>
      </w:r>
      <w:r w:rsidRPr="009464B2">
        <w:rPr>
          <w:rStyle w:val="FootnoteReference"/>
          <w:rFonts w:eastAsia="Calibri"/>
        </w:rPr>
        <w:footnoteReference w:id="223"/>
      </w:r>
      <w:r w:rsidRPr="009464B2">
        <w:rPr>
          <w:rFonts w:eastAsia="Calibri"/>
        </w:rPr>
        <w:t xml:space="preserve"> Based on that calculation, Staff finds that test</w:t>
      </w:r>
      <w:r w:rsidR="0047704F" w:rsidRPr="009464B2">
        <w:rPr>
          <w:rFonts w:eastAsia="Calibri"/>
        </w:rPr>
        <w:t>-</w:t>
      </w:r>
      <w:r w:rsidRPr="009464B2">
        <w:rPr>
          <w:rFonts w:eastAsia="Calibri"/>
        </w:rPr>
        <w:t>year basic O&amp;M is close enough to expected basic O&amp;M, so an adjustment to basic O&amp;M is not warranted.</w:t>
      </w:r>
      <w:r w:rsidRPr="009464B2">
        <w:rPr>
          <w:rStyle w:val="FootnoteReference"/>
          <w:rFonts w:eastAsia="Calibri"/>
        </w:rPr>
        <w:footnoteReference w:id="224"/>
      </w:r>
    </w:p>
    <w:p w14:paraId="4F69F4CC" w14:textId="5AC33E1B" w:rsidR="004C5235" w:rsidRPr="009464B2" w:rsidRDefault="004C5235" w:rsidP="00CE44E1">
      <w:pPr>
        <w:numPr>
          <w:ilvl w:val="0"/>
          <w:numId w:val="1"/>
        </w:numPr>
        <w:tabs>
          <w:tab w:val="num" w:pos="0"/>
        </w:tabs>
        <w:spacing w:after="120" w:line="288" w:lineRule="auto"/>
        <w:ind w:left="0" w:hanging="720"/>
        <w:rPr>
          <w:rFonts w:eastAsia="Calibri"/>
        </w:rPr>
      </w:pPr>
      <w:r w:rsidRPr="009464B2">
        <w:rPr>
          <w:rFonts w:eastAsia="Calibri"/>
        </w:rPr>
        <w:t>For major maintenance expenses, Staff proposes to normalize the expenses for Colstrip and Coyote Springs 2 over three and four years, respectively, as that is the length of each plant’s major maintenance cycle.</w:t>
      </w:r>
      <w:r w:rsidRPr="009464B2">
        <w:rPr>
          <w:rStyle w:val="FootnoteReference"/>
          <w:rFonts w:eastAsia="Calibri"/>
        </w:rPr>
        <w:footnoteReference w:id="225"/>
      </w:r>
      <w:r w:rsidRPr="009464B2">
        <w:rPr>
          <w:rFonts w:eastAsia="Calibri"/>
        </w:rPr>
        <w:t xml:space="preserve"> Staff notes that the settlements in PSE’s last two </w:t>
      </w:r>
      <w:r w:rsidR="002E28AE" w:rsidRPr="009464B2">
        <w:rPr>
          <w:rFonts w:eastAsia="Calibri"/>
        </w:rPr>
        <w:t>power</w:t>
      </w:r>
      <w:r w:rsidR="00F303B5" w:rsidRPr="009464B2">
        <w:rPr>
          <w:rFonts w:eastAsia="Calibri"/>
        </w:rPr>
        <w:t xml:space="preserve"> </w:t>
      </w:r>
      <w:r w:rsidR="002E28AE" w:rsidRPr="009464B2">
        <w:rPr>
          <w:rFonts w:eastAsia="Calibri"/>
        </w:rPr>
        <w:t>cost</w:t>
      </w:r>
      <w:r w:rsidR="00F303B5" w:rsidRPr="009464B2">
        <w:rPr>
          <w:rFonts w:eastAsia="Calibri"/>
        </w:rPr>
        <w:t xml:space="preserve"> </w:t>
      </w:r>
      <w:r w:rsidR="002E28AE" w:rsidRPr="009464B2">
        <w:rPr>
          <w:rFonts w:eastAsia="Calibri"/>
        </w:rPr>
        <w:t>only rate case</w:t>
      </w:r>
      <w:r w:rsidRPr="009464B2">
        <w:rPr>
          <w:rFonts w:eastAsia="Calibri"/>
        </w:rPr>
        <w:t>s included similar accounting treatments for Colstrip.</w:t>
      </w:r>
      <w:r w:rsidRPr="009464B2">
        <w:rPr>
          <w:rStyle w:val="FootnoteReference"/>
          <w:rFonts w:eastAsia="Calibri"/>
        </w:rPr>
        <w:footnoteReference w:id="226"/>
      </w:r>
    </w:p>
    <w:p w14:paraId="2EE1241B" w14:textId="2FD0935B" w:rsidR="004C5235" w:rsidRPr="009464B2" w:rsidRDefault="004C5235" w:rsidP="00CE44E1">
      <w:pPr>
        <w:numPr>
          <w:ilvl w:val="0"/>
          <w:numId w:val="1"/>
        </w:numPr>
        <w:tabs>
          <w:tab w:val="num" w:pos="0"/>
        </w:tabs>
        <w:spacing w:after="120" w:line="288" w:lineRule="auto"/>
        <w:ind w:left="0" w:hanging="720"/>
        <w:rPr>
          <w:rFonts w:eastAsia="Calibri"/>
        </w:rPr>
      </w:pPr>
      <w:r w:rsidRPr="009464B2">
        <w:rPr>
          <w:rFonts w:eastAsia="Calibri"/>
        </w:rPr>
        <w:t xml:space="preserve">Additionally, Staff proposes removing the “management reserve,” which is </w:t>
      </w:r>
      <w:r w:rsidR="0047704F" w:rsidRPr="009464B2">
        <w:rPr>
          <w:rFonts w:eastAsia="Calibri"/>
        </w:rPr>
        <w:t xml:space="preserve">intended </w:t>
      </w:r>
      <w:r w:rsidRPr="009464B2">
        <w:rPr>
          <w:rFonts w:eastAsia="Calibri"/>
        </w:rPr>
        <w:t>to cover cost overruns and unexpected damage discovered during major maintenance. Staff argues that including a management reserve is contrary to the use of an average cost through normalization.</w:t>
      </w:r>
      <w:r w:rsidRPr="009464B2">
        <w:rPr>
          <w:rStyle w:val="FootnoteReference"/>
          <w:rFonts w:eastAsia="Calibri"/>
        </w:rPr>
        <w:footnoteReference w:id="227"/>
      </w:r>
      <w:r w:rsidRPr="009464B2">
        <w:rPr>
          <w:rFonts w:eastAsia="Calibri"/>
        </w:rPr>
        <w:t xml:space="preserve">  </w:t>
      </w:r>
    </w:p>
    <w:p w14:paraId="0E32EC2A" w14:textId="0C2367C8" w:rsidR="00300729" w:rsidRPr="009464B2" w:rsidRDefault="00300729" w:rsidP="00CE44E1">
      <w:pPr>
        <w:numPr>
          <w:ilvl w:val="0"/>
          <w:numId w:val="1"/>
        </w:numPr>
        <w:tabs>
          <w:tab w:val="num" w:pos="0"/>
        </w:tabs>
        <w:spacing w:after="120" w:line="288" w:lineRule="auto"/>
        <w:ind w:left="0" w:hanging="720"/>
        <w:rPr>
          <w:rFonts w:eastAsia="Calibri"/>
        </w:rPr>
      </w:pPr>
      <w:r w:rsidRPr="009464B2">
        <w:rPr>
          <w:rFonts w:eastAsia="Calibri"/>
        </w:rPr>
        <w:t>Public Counsel proposes using the test year level of expenses.</w:t>
      </w:r>
      <w:r w:rsidRPr="009464B2">
        <w:rPr>
          <w:rStyle w:val="FootnoteReference"/>
          <w:rFonts w:eastAsia="Calibri"/>
        </w:rPr>
        <w:footnoteReference w:id="228"/>
      </w:r>
      <w:r w:rsidRPr="009464B2">
        <w:rPr>
          <w:rFonts w:eastAsia="Calibri"/>
        </w:rPr>
        <w:t xml:space="preserve"> </w:t>
      </w:r>
      <w:r w:rsidR="009402B2" w:rsidRPr="009464B2">
        <w:rPr>
          <w:rFonts w:eastAsia="Calibri"/>
        </w:rPr>
        <w:t>After</w:t>
      </w:r>
      <w:r w:rsidRPr="009464B2">
        <w:rPr>
          <w:rFonts w:eastAsia="Calibri"/>
        </w:rPr>
        <w:t xml:space="preserve"> analy</w:t>
      </w:r>
      <w:r w:rsidR="009402B2" w:rsidRPr="009464B2">
        <w:rPr>
          <w:rFonts w:eastAsia="Calibri"/>
        </w:rPr>
        <w:t>zing</w:t>
      </w:r>
      <w:r w:rsidRPr="009464B2">
        <w:rPr>
          <w:rFonts w:eastAsia="Calibri"/>
        </w:rPr>
        <w:t xml:space="preserve"> historical costs and test year costs for Colstrip and Coyote Springs 2</w:t>
      </w:r>
      <w:r w:rsidR="009402B2" w:rsidRPr="009464B2">
        <w:rPr>
          <w:rFonts w:eastAsia="Calibri"/>
        </w:rPr>
        <w:t>, Public Counsel</w:t>
      </w:r>
      <w:r w:rsidRPr="009464B2">
        <w:rPr>
          <w:rFonts w:eastAsia="Calibri"/>
        </w:rPr>
        <w:t xml:space="preserve"> conclude</w:t>
      </w:r>
      <w:r w:rsidR="009402B2" w:rsidRPr="009464B2">
        <w:rPr>
          <w:rFonts w:eastAsia="Calibri"/>
        </w:rPr>
        <w:t>d</w:t>
      </w:r>
      <w:r w:rsidRPr="009464B2">
        <w:rPr>
          <w:rFonts w:eastAsia="Calibri"/>
        </w:rPr>
        <w:t xml:space="preserve"> that normalization is not </w:t>
      </w:r>
      <w:r w:rsidR="0047704F" w:rsidRPr="009464B2">
        <w:rPr>
          <w:rFonts w:eastAsia="Calibri"/>
        </w:rPr>
        <w:t xml:space="preserve">necessary or </w:t>
      </w:r>
      <w:r w:rsidRPr="009464B2">
        <w:rPr>
          <w:rFonts w:eastAsia="Calibri"/>
        </w:rPr>
        <w:t>warranted</w:t>
      </w:r>
      <w:r w:rsidR="0047704F" w:rsidRPr="009464B2">
        <w:rPr>
          <w:rFonts w:eastAsia="Calibri"/>
        </w:rPr>
        <w:t>.</w:t>
      </w:r>
      <w:r w:rsidRPr="009464B2">
        <w:rPr>
          <w:rStyle w:val="FootnoteReference"/>
          <w:rFonts w:eastAsia="Calibri"/>
        </w:rPr>
        <w:footnoteReference w:id="229"/>
      </w:r>
    </w:p>
    <w:p w14:paraId="529ABE41" w14:textId="630FF801" w:rsidR="004C5235" w:rsidRPr="009464B2" w:rsidRDefault="00300729" w:rsidP="00CE44E1">
      <w:pPr>
        <w:numPr>
          <w:ilvl w:val="0"/>
          <w:numId w:val="1"/>
        </w:numPr>
        <w:tabs>
          <w:tab w:val="num" w:pos="0"/>
        </w:tabs>
        <w:spacing w:after="120" w:line="288" w:lineRule="auto"/>
        <w:ind w:left="0" w:hanging="720"/>
        <w:rPr>
          <w:rFonts w:eastAsia="Calibri"/>
        </w:rPr>
      </w:pPr>
      <w:r w:rsidRPr="009464B2">
        <w:rPr>
          <w:rFonts w:eastAsia="Calibri"/>
          <w:i/>
        </w:rPr>
        <w:t xml:space="preserve">Avista’s Response. </w:t>
      </w:r>
      <w:r w:rsidR="004C5235" w:rsidRPr="009464B2">
        <w:rPr>
          <w:rFonts w:eastAsia="Calibri"/>
        </w:rPr>
        <w:t xml:space="preserve">Avista objects to these proposals for Coyote Springs 2 because </w:t>
      </w:r>
      <w:r w:rsidRPr="009464B2">
        <w:rPr>
          <w:rFonts w:eastAsia="Calibri"/>
        </w:rPr>
        <w:t>they</w:t>
      </w:r>
      <w:r w:rsidR="004C5235" w:rsidRPr="009464B2">
        <w:rPr>
          <w:rFonts w:eastAsia="Calibri"/>
        </w:rPr>
        <w:t xml:space="preserve"> normalize the costs for customers, but not the Company.</w:t>
      </w:r>
      <w:r w:rsidR="004C5235" w:rsidRPr="009464B2">
        <w:rPr>
          <w:rStyle w:val="FootnoteReference"/>
          <w:rFonts w:eastAsia="Calibri"/>
        </w:rPr>
        <w:footnoteReference w:id="230"/>
      </w:r>
      <w:r w:rsidR="004C5235" w:rsidRPr="009464B2">
        <w:rPr>
          <w:rFonts w:eastAsia="Calibri"/>
        </w:rPr>
        <w:t xml:space="preserve"> Avista notes that it would incur the full costs in 2016 but only recover one</w:t>
      </w:r>
      <w:r w:rsidRPr="009464B2">
        <w:rPr>
          <w:rFonts w:eastAsia="Calibri"/>
        </w:rPr>
        <w:t>-</w:t>
      </w:r>
      <w:r w:rsidR="004C5235" w:rsidRPr="009464B2">
        <w:rPr>
          <w:rFonts w:eastAsia="Calibri"/>
        </w:rPr>
        <w:t>fourth of the revenues each year for four years under Staff’s proposal.</w:t>
      </w:r>
      <w:r w:rsidR="004C5235" w:rsidRPr="009464B2">
        <w:rPr>
          <w:rStyle w:val="FootnoteReference"/>
          <w:rFonts w:eastAsia="Calibri"/>
        </w:rPr>
        <w:footnoteReference w:id="231"/>
      </w:r>
      <w:r w:rsidR="004C5235" w:rsidRPr="009464B2">
        <w:rPr>
          <w:rFonts w:eastAsia="Calibri"/>
        </w:rPr>
        <w:t xml:space="preserve"> Avista argues that a more appropriate solution would match the costs and benefits for both customers and the Company.</w:t>
      </w:r>
      <w:r w:rsidR="004C5235" w:rsidRPr="009464B2">
        <w:rPr>
          <w:rStyle w:val="FootnoteReference"/>
          <w:rFonts w:eastAsia="Calibri"/>
        </w:rPr>
        <w:footnoteReference w:id="232"/>
      </w:r>
    </w:p>
    <w:p w14:paraId="1581A9E5" w14:textId="78779D27" w:rsidR="00300729" w:rsidRPr="009464B2" w:rsidRDefault="004C5235" w:rsidP="00CE44E1">
      <w:pPr>
        <w:numPr>
          <w:ilvl w:val="0"/>
          <w:numId w:val="1"/>
        </w:numPr>
        <w:tabs>
          <w:tab w:val="num" w:pos="0"/>
        </w:tabs>
        <w:spacing w:after="120" w:line="288" w:lineRule="auto"/>
        <w:ind w:left="0" w:hanging="720"/>
        <w:rPr>
          <w:rFonts w:eastAsia="Calibri"/>
        </w:rPr>
      </w:pPr>
      <w:r w:rsidRPr="009464B2">
        <w:rPr>
          <w:rFonts w:eastAsia="Calibri"/>
        </w:rPr>
        <w:t xml:space="preserve">Avista proposes to defer the major maintenance expenses for three plants: Coyote Springs 2 (estimated at $3.5 million), </w:t>
      </w:r>
      <w:r w:rsidR="00F36543" w:rsidRPr="009464B2">
        <w:rPr>
          <w:rFonts w:eastAsia="Calibri"/>
        </w:rPr>
        <w:t>Rathdrum</w:t>
      </w:r>
      <w:r w:rsidRPr="009464B2">
        <w:rPr>
          <w:rFonts w:eastAsia="Calibri"/>
        </w:rPr>
        <w:t xml:space="preserve"> (estimated at $0.7 million), and Boulder Park </w:t>
      </w:r>
      <w:r w:rsidRPr="009464B2">
        <w:rPr>
          <w:rFonts w:eastAsia="Calibri"/>
        </w:rPr>
        <w:lastRenderedPageBreak/>
        <w:t>(estimated at $0.2 million).</w:t>
      </w:r>
      <w:r w:rsidRPr="009464B2">
        <w:rPr>
          <w:rStyle w:val="FootnoteReference"/>
          <w:rFonts w:eastAsia="Calibri"/>
        </w:rPr>
        <w:footnoteReference w:id="233"/>
      </w:r>
      <w:r w:rsidRPr="009464B2">
        <w:rPr>
          <w:rFonts w:eastAsia="Calibri"/>
        </w:rPr>
        <w:t xml:space="preserve"> </w:t>
      </w:r>
      <w:r w:rsidR="0002746E" w:rsidRPr="009464B2">
        <w:rPr>
          <w:rFonts w:eastAsia="Calibri"/>
        </w:rPr>
        <w:t>Under</w:t>
      </w:r>
      <w:r w:rsidR="00300729" w:rsidRPr="009464B2">
        <w:rPr>
          <w:rFonts w:eastAsia="Calibri"/>
        </w:rPr>
        <w:t xml:space="preserve"> the Company</w:t>
      </w:r>
      <w:r w:rsidR="0002746E" w:rsidRPr="009464B2">
        <w:rPr>
          <w:rFonts w:eastAsia="Calibri"/>
        </w:rPr>
        <w:t>’s proposal on rebuttal</w:t>
      </w:r>
      <w:r w:rsidR="00300729" w:rsidRPr="009464B2">
        <w:rPr>
          <w:rFonts w:eastAsia="Calibri"/>
        </w:rPr>
        <w:t>, a</w:t>
      </w:r>
      <w:r w:rsidRPr="009464B2">
        <w:rPr>
          <w:rFonts w:eastAsia="Calibri"/>
        </w:rPr>
        <w:t>ctual expenses in 2016 would be placed in a deferral account with no carrying charge. Beginning in 2017, the actual expenses would be amortized over four years.</w:t>
      </w:r>
      <w:r w:rsidRPr="009464B2">
        <w:rPr>
          <w:rStyle w:val="FootnoteReference"/>
          <w:rFonts w:eastAsia="Calibri"/>
        </w:rPr>
        <w:footnoteReference w:id="234"/>
      </w:r>
      <w:r w:rsidRPr="009464B2">
        <w:rPr>
          <w:rFonts w:eastAsia="Calibri"/>
        </w:rPr>
        <w:t xml:space="preserve"> Avista argues that its proposal smooth</w:t>
      </w:r>
      <w:r w:rsidR="00CD6F72" w:rsidRPr="009464B2">
        <w:rPr>
          <w:rFonts w:eastAsia="Calibri"/>
        </w:rPr>
        <w:t>e</w:t>
      </w:r>
      <w:r w:rsidRPr="009464B2">
        <w:rPr>
          <w:rFonts w:eastAsia="Calibri"/>
        </w:rPr>
        <w:t xml:space="preserve">s or normalizes cost swings for both the Company and </w:t>
      </w:r>
      <w:r w:rsidR="00300729" w:rsidRPr="009464B2">
        <w:rPr>
          <w:rFonts w:eastAsia="Calibri"/>
        </w:rPr>
        <w:t xml:space="preserve">its </w:t>
      </w:r>
      <w:r w:rsidRPr="009464B2">
        <w:rPr>
          <w:rFonts w:eastAsia="Calibri"/>
        </w:rPr>
        <w:t>customers.</w:t>
      </w:r>
      <w:r w:rsidRPr="009464B2">
        <w:rPr>
          <w:rStyle w:val="FootnoteReference"/>
          <w:rFonts w:eastAsia="Calibri"/>
        </w:rPr>
        <w:footnoteReference w:id="235"/>
      </w:r>
      <w:r w:rsidRPr="009464B2">
        <w:rPr>
          <w:rFonts w:eastAsia="Calibri"/>
        </w:rPr>
        <w:t xml:space="preserve"> Avista notes that </w:t>
      </w:r>
      <w:r w:rsidR="0002746E" w:rsidRPr="009464B2">
        <w:rPr>
          <w:rFonts w:eastAsia="Calibri"/>
        </w:rPr>
        <w:t xml:space="preserve">parties </w:t>
      </w:r>
      <w:r w:rsidRPr="009464B2">
        <w:rPr>
          <w:rFonts w:eastAsia="Calibri"/>
        </w:rPr>
        <w:t xml:space="preserve">supported a similar deferral as a part </w:t>
      </w:r>
      <w:r w:rsidR="002E28AE" w:rsidRPr="009464B2">
        <w:rPr>
          <w:rFonts w:eastAsia="Calibri"/>
        </w:rPr>
        <w:t xml:space="preserve">of </w:t>
      </w:r>
      <w:r w:rsidRPr="009464B2">
        <w:rPr>
          <w:rFonts w:eastAsia="Calibri"/>
        </w:rPr>
        <w:t xml:space="preserve">a settlement resolving its </w:t>
      </w:r>
      <w:r w:rsidR="00300729" w:rsidRPr="009464B2">
        <w:rPr>
          <w:rFonts w:eastAsia="Calibri"/>
        </w:rPr>
        <w:t>2011 general rate case</w:t>
      </w:r>
      <w:r w:rsidRPr="009464B2">
        <w:rPr>
          <w:rFonts w:eastAsia="Calibri"/>
        </w:rPr>
        <w:t>.</w:t>
      </w:r>
      <w:r w:rsidRPr="009464B2">
        <w:rPr>
          <w:rStyle w:val="FootnoteReference"/>
          <w:rFonts w:eastAsia="Calibri"/>
        </w:rPr>
        <w:footnoteReference w:id="236"/>
      </w:r>
      <w:r w:rsidRPr="009464B2">
        <w:rPr>
          <w:rFonts w:eastAsia="Calibri"/>
        </w:rPr>
        <w:t xml:space="preserve"> </w:t>
      </w:r>
    </w:p>
    <w:p w14:paraId="2A5F6759" w14:textId="4F2B17D2" w:rsidR="004C5235" w:rsidRPr="009464B2" w:rsidRDefault="0002746E" w:rsidP="00CE44E1">
      <w:pPr>
        <w:numPr>
          <w:ilvl w:val="0"/>
          <w:numId w:val="1"/>
        </w:numPr>
        <w:tabs>
          <w:tab w:val="num" w:pos="0"/>
        </w:tabs>
        <w:spacing w:after="120" w:line="288" w:lineRule="auto"/>
        <w:ind w:left="0" w:hanging="720"/>
        <w:rPr>
          <w:rFonts w:eastAsia="Calibri"/>
        </w:rPr>
      </w:pPr>
      <w:r w:rsidRPr="009464B2">
        <w:rPr>
          <w:rFonts w:eastAsia="Calibri"/>
          <w:i/>
        </w:rPr>
        <w:t xml:space="preserve">Other Party </w:t>
      </w:r>
      <w:r w:rsidR="00300729" w:rsidRPr="009464B2">
        <w:rPr>
          <w:rFonts w:eastAsia="Calibri"/>
          <w:i/>
        </w:rPr>
        <w:t xml:space="preserve">Replies. </w:t>
      </w:r>
      <w:r w:rsidR="00CD6F72" w:rsidRPr="009464B2">
        <w:rPr>
          <w:rFonts w:eastAsia="Calibri"/>
        </w:rPr>
        <w:t>No party supports Avista’s proposal on rebuttal.</w:t>
      </w:r>
      <w:r w:rsidR="00CD6F72" w:rsidRPr="009464B2">
        <w:rPr>
          <w:rFonts w:eastAsia="Calibri"/>
          <w:i/>
        </w:rPr>
        <w:t xml:space="preserve"> </w:t>
      </w:r>
      <w:r w:rsidR="004C5235" w:rsidRPr="009464B2">
        <w:rPr>
          <w:rFonts w:eastAsia="Calibri"/>
        </w:rPr>
        <w:t>ICNU observes that Avista’s proposal is a tracker that requires customers to repay the Company all actual expenses.</w:t>
      </w:r>
      <w:r w:rsidR="004C5235" w:rsidRPr="009464B2">
        <w:rPr>
          <w:rStyle w:val="FootnoteReference"/>
          <w:rFonts w:eastAsia="Calibri"/>
        </w:rPr>
        <w:footnoteReference w:id="237"/>
      </w:r>
      <w:r w:rsidR="00300729" w:rsidRPr="009464B2">
        <w:rPr>
          <w:rFonts w:eastAsia="Calibri"/>
        </w:rPr>
        <w:t xml:space="preserve"> </w:t>
      </w:r>
      <w:r w:rsidR="004C5235" w:rsidRPr="009464B2">
        <w:rPr>
          <w:rFonts w:eastAsia="Calibri"/>
        </w:rPr>
        <w:t>Public Counsel provides a comparison of test</w:t>
      </w:r>
      <w:r w:rsidR="00CD6F72" w:rsidRPr="009464B2">
        <w:rPr>
          <w:rFonts w:eastAsia="Calibri"/>
        </w:rPr>
        <w:t>-</w:t>
      </w:r>
      <w:r w:rsidR="004C5235" w:rsidRPr="009464B2">
        <w:rPr>
          <w:rFonts w:eastAsia="Calibri"/>
        </w:rPr>
        <w:t>year actuals ($4.35 million) to the five</w:t>
      </w:r>
      <w:r w:rsidR="00CD6F72" w:rsidRPr="009464B2">
        <w:rPr>
          <w:rFonts w:eastAsia="Calibri"/>
        </w:rPr>
        <w:t>-</w:t>
      </w:r>
      <w:r w:rsidR="004C5235" w:rsidRPr="009464B2">
        <w:rPr>
          <w:rFonts w:eastAsia="Calibri"/>
        </w:rPr>
        <w:t xml:space="preserve">year (2010-2014) average of other generation plant O&amp;M ($4.11 million). </w:t>
      </w:r>
      <w:r w:rsidR="002E28AE" w:rsidRPr="009464B2">
        <w:rPr>
          <w:rFonts w:eastAsia="Calibri"/>
        </w:rPr>
        <w:t>It</w:t>
      </w:r>
      <w:r w:rsidR="004C5235" w:rsidRPr="009464B2">
        <w:rPr>
          <w:rFonts w:eastAsia="Calibri"/>
        </w:rPr>
        <w:t xml:space="preserve"> concludes that test</w:t>
      </w:r>
      <w:r w:rsidR="00CD6F72" w:rsidRPr="009464B2">
        <w:rPr>
          <w:rFonts w:eastAsia="Calibri"/>
        </w:rPr>
        <w:t>-</w:t>
      </w:r>
      <w:r w:rsidR="004C5235" w:rsidRPr="009464B2">
        <w:rPr>
          <w:rFonts w:eastAsia="Calibri"/>
        </w:rPr>
        <w:t>year actuals are only $235,000 higher than the five</w:t>
      </w:r>
      <w:r w:rsidR="00CD6F72" w:rsidRPr="009464B2">
        <w:rPr>
          <w:rFonts w:eastAsia="Calibri"/>
        </w:rPr>
        <w:t>-</w:t>
      </w:r>
      <w:r w:rsidR="004C5235" w:rsidRPr="009464B2">
        <w:rPr>
          <w:rFonts w:eastAsia="Calibri"/>
        </w:rPr>
        <w:t xml:space="preserve">year average, </w:t>
      </w:r>
      <w:r w:rsidR="00CD6F72" w:rsidRPr="009464B2">
        <w:rPr>
          <w:rFonts w:eastAsia="Calibri"/>
        </w:rPr>
        <w:t xml:space="preserve">and </w:t>
      </w:r>
      <w:r w:rsidR="004C5235" w:rsidRPr="009464B2">
        <w:rPr>
          <w:rFonts w:eastAsia="Calibri"/>
        </w:rPr>
        <w:t>therefore Avista’s proposed adjustment is not necessary.</w:t>
      </w:r>
      <w:r w:rsidR="004C5235" w:rsidRPr="009464B2">
        <w:rPr>
          <w:rStyle w:val="FootnoteReference"/>
          <w:rFonts w:eastAsia="Calibri"/>
        </w:rPr>
        <w:footnoteReference w:id="238"/>
      </w:r>
      <w:r w:rsidR="004C5235" w:rsidRPr="009464B2">
        <w:rPr>
          <w:rFonts w:eastAsia="Calibri"/>
        </w:rPr>
        <w:t xml:space="preserve"> </w:t>
      </w:r>
      <w:r w:rsidR="00CD6F72" w:rsidRPr="009464B2">
        <w:rPr>
          <w:rFonts w:eastAsia="Calibri"/>
        </w:rPr>
        <w:t>Staff argues that Avista’s approach is not necessary for full cost recovery.</w:t>
      </w:r>
      <w:r w:rsidR="00CD6F72" w:rsidRPr="009464B2">
        <w:rPr>
          <w:rStyle w:val="FootnoteReference"/>
          <w:rFonts w:eastAsia="Calibri"/>
        </w:rPr>
        <w:footnoteReference w:id="239"/>
      </w:r>
      <w:r w:rsidR="00CD6F72" w:rsidRPr="009464B2">
        <w:rPr>
          <w:rFonts w:eastAsia="Calibri"/>
        </w:rPr>
        <w:t xml:space="preserve"> It </w:t>
      </w:r>
      <w:r w:rsidR="00CA351A" w:rsidRPr="009464B2">
        <w:rPr>
          <w:rFonts w:eastAsia="Calibri"/>
        </w:rPr>
        <w:t>notes</w:t>
      </w:r>
      <w:r w:rsidR="004C5235" w:rsidRPr="009464B2">
        <w:rPr>
          <w:rFonts w:eastAsia="Calibri"/>
        </w:rPr>
        <w:t xml:space="preserve"> that Avista’s estimate of major maintenance expenses in 2016 ($6.70 million) is higher than the highest actual expense over the past five years ($4.89 million).</w:t>
      </w:r>
      <w:r w:rsidR="004C5235" w:rsidRPr="009464B2">
        <w:rPr>
          <w:rStyle w:val="FootnoteReference"/>
          <w:rFonts w:eastAsia="Calibri"/>
        </w:rPr>
        <w:footnoteReference w:id="240"/>
      </w:r>
    </w:p>
    <w:p w14:paraId="290C7ACE" w14:textId="3338595B" w:rsidR="0088676A" w:rsidRPr="009464B2" w:rsidRDefault="004C5235" w:rsidP="00CE44E1">
      <w:pPr>
        <w:numPr>
          <w:ilvl w:val="0"/>
          <w:numId w:val="1"/>
        </w:numPr>
        <w:tabs>
          <w:tab w:val="num" w:pos="0"/>
        </w:tabs>
        <w:spacing w:after="120" w:line="288" w:lineRule="auto"/>
        <w:ind w:left="0" w:hanging="720"/>
      </w:pPr>
      <w:r w:rsidRPr="009464B2">
        <w:rPr>
          <w:i/>
        </w:rPr>
        <w:t>Decision.</w:t>
      </w:r>
      <w:r w:rsidRPr="009464B2">
        <w:t xml:space="preserve">  </w:t>
      </w:r>
      <w:r w:rsidR="00CA351A" w:rsidRPr="009464B2">
        <w:rPr>
          <w:rFonts w:eastAsia="Calibri"/>
        </w:rPr>
        <w:t xml:space="preserve">This Commission commonly uses </w:t>
      </w:r>
      <w:r w:rsidR="007E15E5" w:rsidRPr="009464B2">
        <w:rPr>
          <w:rFonts w:eastAsia="Calibri"/>
        </w:rPr>
        <w:t>test</w:t>
      </w:r>
      <w:r w:rsidR="00CD6F72" w:rsidRPr="009464B2">
        <w:rPr>
          <w:rFonts w:eastAsia="Calibri"/>
        </w:rPr>
        <w:t>-</w:t>
      </w:r>
      <w:r w:rsidR="00CA351A" w:rsidRPr="009464B2">
        <w:rPr>
          <w:rFonts w:eastAsia="Calibri"/>
        </w:rPr>
        <w:t xml:space="preserve">year actuals for generation plant O&amp;M, though we have occasionally authorized the normalization of major maintenance expenses. </w:t>
      </w:r>
      <w:r w:rsidR="0026225E" w:rsidRPr="009464B2">
        <w:rPr>
          <w:rFonts w:eastAsia="Calibri"/>
        </w:rPr>
        <w:t>In this proceeding, we use test</w:t>
      </w:r>
      <w:r w:rsidR="00CD6F72" w:rsidRPr="009464B2">
        <w:rPr>
          <w:rFonts w:eastAsia="Calibri"/>
        </w:rPr>
        <w:t>-</w:t>
      </w:r>
      <w:r w:rsidR="0026225E" w:rsidRPr="009464B2">
        <w:rPr>
          <w:rFonts w:eastAsia="Calibri"/>
        </w:rPr>
        <w:t>year expenses for generation plant O&amp;M, except for major maintenance at Colstrip and Coyote Springs 2. For major maintenance at Colstrip and Coyote Springs 2, we adopt Staff’s proposal to normalize expenses.</w:t>
      </w:r>
      <w:r w:rsidR="0088676A" w:rsidRPr="009464B2">
        <w:rPr>
          <w:rFonts w:eastAsia="Calibri"/>
        </w:rPr>
        <w:t xml:space="preserve"> </w:t>
      </w:r>
    </w:p>
    <w:p w14:paraId="5ECFF086" w14:textId="6A9A190C" w:rsidR="006173A6" w:rsidRPr="009464B2" w:rsidRDefault="006173A6" w:rsidP="00CE44E1">
      <w:pPr>
        <w:numPr>
          <w:ilvl w:val="0"/>
          <w:numId w:val="1"/>
        </w:numPr>
        <w:tabs>
          <w:tab w:val="num" w:pos="0"/>
        </w:tabs>
        <w:spacing w:after="120" w:line="288" w:lineRule="auto"/>
        <w:ind w:left="0" w:hanging="720"/>
      </w:pPr>
      <w:r w:rsidRPr="009464B2">
        <w:rPr>
          <w:rFonts w:eastAsia="Calibri"/>
        </w:rPr>
        <w:t>A review of historical data provided by Staff and Public Counsel shows that test</w:t>
      </w:r>
      <w:r w:rsidR="00CD6F72" w:rsidRPr="009464B2">
        <w:rPr>
          <w:rFonts w:eastAsia="Calibri"/>
        </w:rPr>
        <w:t>-</w:t>
      </w:r>
      <w:r w:rsidRPr="009464B2">
        <w:rPr>
          <w:rFonts w:eastAsia="Calibri"/>
        </w:rPr>
        <w:t xml:space="preserve">year expenses are reflective of actual </w:t>
      </w:r>
      <w:r w:rsidR="009D3CA3" w:rsidRPr="009464B2">
        <w:rPr>
          <w:rFonts w:eastAsia="Calibri"/>
        </w:rPr>
        <w:t xml:space="preserve">O&amp;M </w:t>
      </w:r>
      <w:r w:rsidRPr="009464B2">
        <w:rPr>
          <w:rFonts w:eastAsia="Calibri"/>
        </w:rPr>
        <w:t xml:space="preserve">expenses for </w:t>
      </w:r>
      <w:r w:rsidR="00957382" w:rsidRPr="009464B2">
        <w:rPr>
          <w:rFonts w:eastAsia="Calibri"/>
        </w:rPr>
        <w:t xml:space="preserve">Rathdrum, Boulder Park and </w:t>
      </w:r>
      <w:r w:rsidR="00F52EBB" w:rsidRPr="009464B2">
        <w:rPr>
          <w:rFonts w:eastAsia="Calibri"/>
        </w:rPr>
        <w:t xml:space="preserve">all </w:t>
      </w:r>
      <w:r w:rsidRPr="009464B2">
        <w:rPr>
          <w:rFonts w:eastAsia="Calibri"/>
        </w:rPr>
        <w:t>other generation plants</w:t>
      </w:r>
      <w:r w:rsidR="00143B5A" w:rsidRPr="009464B2">
        <w:rPr>
          <w:rFonts w:eastAsia="Calibri"/>
        </w:rPr>
        <w:t xml:space="preserve">. </w:t>
      </w:r>
      <w:r w:rsidR="00C616D4" w:rsidRPr="009464B2">
        <w:rPr>
          <w:rFonts w:eastAsia="Calibri"/>
        </w:rPr>
        <w:t>Thus, we authorize Avista to use test</w:t>
      </w:r>
      <w:r w:rsidR="00CD6F72" w:rsidRPr="009464B2">
        <w:rPr>
          <w:rFonts w:eastAsia="Calibri"/>
        </w:rPr>
        <w:t>-</w:t>
      </w:r>
      <w:r w:rsidR="00C616D4" w:rsidRPr="009464B2">
        <w:rPr>
          <w:rFonts w:eastAsia="Calibri"/>
        </w:rPr>
        <w:t xml:space="preserve">year </w:t>
      </w:r>
      <w:r w:rsidR="00636D0D" w:rsidRPr="009464B2">
        <w:rPr>
          <w:rFonts w:eastAsia="Calibri"/>
        </w:rPr>
        <w:t xml:space="preserve">O&amp;M </w:t>
      </w:r>
      <w:r w:rsidR="00C616D4" w:rsidRPr="009464B2">
        <w:rPr>
          <w:rFonts w:eastAsia="Calibri"/>
        </w:rPr>
        <w:t>expenses for Rathdrum and Boulder Park, and all other generation plants except Colstrip and Coyote Springs 2.</w:t>
      </w:r>
      <w:r w:rsidRPr="009464B2">
        <w:rPr>
          <w:rFonts w:eastAsia="Calibri"/>
        </w:rPr>
        <w:t xml:space="preserve"> Further, Staff demonstrates that basic O&amp;M expenses at Colstrip</w:t>
      </w:r>
      <w:r w:rsidR="00143B5A" w:rsidRPr="009464B2">
        <w:rPr>
          <w:rFonts w:eastAsia="Calibri"/>
        </w:rPr>
        <w:t xml:space="preserve"> and </w:t>
      </w:r>
      <w:r w:rsidRPr="009464B2">
        <w:rPr>
          <w:rFonts w:eastAsia="Calibri"/>
        </w:rPr>
        <w:t xml:space="preserve">Coyote </w:t>
      </w:r>
      <w:r w:rsidRPr="009464B2">
        <w:rPr>
          <w:rFonts w:eastAsia="Calibri"/>
        </w:rPr>
        <w:lastRenderedPageBreak/>
        <w:t>Springs 2 in the test year are sufficiently reflective of historical data for use in setting rates</w:t>
      </w:r>
      <w:r w:rsidR="00143B5A" w:rsidRPr="009464B2">
        <w:rPr>
          <w:rFonts w:eastAsia="Calibri"/>
        </w:rPr>
        <w:t>,</w:t>
      </w:r>
      <w:r w:rsidR="00F52EBB" w:rsidRPr="009464B2">
        <w:rPr>
          <w:rFonts w:eastAsia="Calibri"/>
        </w:rPr>
        <w:t xml:space="preserve"> and we </w:t>
      </w:r>
      <w:r w:rsidR="00143B5A" w:rsidRPr="009464B2">
        <w:rPr>
          <w:rFonts w:eastAsia="Calibri"/>
        </w:rPr>
        <w:t>adopt Staff’s proposal</w:t>
      </w:r>
      <w:r w:rsidR="00C616D4" w:rsidRPr="009464B2">
        <w:rPr>
          <w:rFonts w:eastAsia="Calibri"/>
        </w:rPr>
        <w:t xml:space="preserve"> to do so</w:t>
      </w:r>
      <w:r w:rsidRPr="009464B2">
        <w:rPr>
          <w:rFonts w:eastAsia="Calibri"/>
        </w:rPr>
        <w:t>.</w:t>
      </w:r>
    </w:p>
    <w:p w14:paraId="6A4B2DA7" w14:textId="3E8A9E8A" w:rsidR="00CA351A" w:rsidRPr="009464B2" w:rsidRDefault="006173A6" w:rsidP="00CE44E1">
      <w:pPr>
        <w:numPr>
          <w:ilvl w:val="0"/>
          <w:numId w:val="1"/>
        </w:numPr>
        <w:tabs>
          <w:tab w:val="num" w:pos="0"/>
        </w:tabs>
        <w:spacing w:after="120" w:line="288" w:lineRule="auto"/>
        <w:ind w:left="0" w:hanging="720"/>
      </w:pPr>
      <w:r w:rsidRPr="009464B2">
        <w:rPr>
          <w:rFonts w:eastAsia="Calibri"/>
        </w:rPr>
        <w:t xml:space="preserve">With regard to major maintenance expenses, we do not support the inclusion of all expenses in one year’s rates </w:t>
      </w:r>
      <w:r w:rsidR="00A1546F" w:rsidRPr="009464B2">
        <w:rPr>
          <w:rFonts w:eastAsia="Calibri"/>
        </w:rPr>
        <w:t>as proposed by Avista. A</w:t>
      </w:r>
      <w:r w:rsidRPr="009464B2">
        <w:rPr>
          <w:rFonts w:eastAsia="Calibri"/>
        </w:rPr>
        <w:t xml:space="preserve">bsent </w:t>
      </w:r>
      <w:r w:rsidR="00A1546F" w:rsidRPr="009464B2">
        <w:rPr>
          <w:rFonts w:eastAsia="Calibri"/>
        </w:rPr>
        <w:t>a</w:t>
      </w:r>
      <w:r w:rsidR="009D3CA3" w:rsidRPr="009464B2">
        <w:rPr>
          <w:rFonts w:eastAsia="Calibri"/>
        </w:rPr>
        <w:t xml:space="preserve"> </w:t>
      </w:r>
      <w:r w:rsidRPr="009464B2">
        <w:rPr>
          <w:rFonts w:eastAsia="Calibri"/>
        </w:rPr>
        <w:t xml:space="preserve">rate case </w:t>
      </w:r>
      <w:r w:rsidR="00A1546F" w:rsidRPr="009464B2">
        <w:rPr>
          <w:rFonts w:eastAsia="Calibri"/>
        </w:rPr>
        <w:t>resetting rates immediately after t</w:t>
      </w:r>
      <w:r w:rsidR="00D20511" w:rsidRPr="009464B2">
        <w:rPr>
          <w:rFonts w:eastAsia="Calibri"/>
        </w:rPr>
        <w:t>he rate year of this proceeding</w:t>
      </w:r>
      <w:r w:rsidRPr="009464B2">
        <w:rPr>
          <w:rFonts w:eastAsia="Calibri"/>
        </w:rPr>
        <w:t>, Avista would over</w:t>
      </w:r>
      <w:r w:rsidR="001A69E3" w:rsidRPr="009464B2">
        <w:rPr>
          <w:rFonts w:eastAsia="Calibri"/>
        </w:rPr>
        <w:t>-</w:t>
      </w:r>
      <w:r w:rsidRPr="009464B2">
        <w:rPr>
          <w:rFonts w:eastAsia="Calibri"/>
        </w:rPr>
        <w:t xml:space="preserve">recover the major maintenance expenses. </w:t>
      </w:r>
      <w:r w:rsidR="009402B2" w:rsidRPr="009464B2">
        <w:rPr>
          <w:rFonts w:eastAsia="Calibri"/>
        </w:rPr>
        <w:t xml:space="preserve">While Avista apparently plans to file rate cases every year for the next five years, we do not decide this case based on </w:t>
      </w:r>
      <w:r w:rsidR="00532E41" w:rsidRPr="009464B2">
        <w:rPr>
          <w:rFonts w:eastAsia="Calibri"/>
        </w:rPr>
        <w:t xml:space="preserve">an expectation of annual rate cases. </w:t>
      </w:r>
      <w:r w:rsidRPr="009464B2">
        <w:rPr>
          <w:rFonts w:eastAsia="Calibri"/>
        </w:rPr>
        <w:t>We find Staff</w:t>
      </w:r>
      <w:r w:rsidR="001A69E3" w:rsidRPr="009464B2">
        <w:rPr>
          <w:rFonts w:eastAsia="Calibri"/>
        </w:rPr>
        <w:t>’s</w:t>
      </w:r>
      <w:r w:rsidRPr="009464B2">
        <w:rPr>
          <w:rFonts w:eastAsia="Calibri"/>
        </w:rPr>
        <w:t xml:space="preserve"> proposal to normalize major maintenance expenses </w:t>
      </w:r>
      <w:r w:rsidR="00F52EBB" w:rsidRPr="009464B2">
        <w:rPr>
          <w:rFonts w:eastAsia="Calibri"/>
        </w:rPr>
        <w:t xml:space="preserve">for Colstrip and Coyote Springs 2 </w:t>
      </w:r>
      <w:r w:rsidR="00143B5A" w:rsidRPr="009464B2">
        <w:rPr>
          <w:rFonts w:eastAsia="Calibri"/>
        </w:rPr>
        <w:t xml:space="preserve">as </w:t>
      </w:r>
      <w:r w:rsidRPr="009464B2">
        <w:rPr>
          <w:rFonts w:eastAsia="Calibri"/>
        </w:rPr>
        <w:t xml:space="preserve">a reasonable approach to allow Avista to recover these costs. We agree with Staff that including a management reserve is contrary to the use of an average cost through normalization and removes the Company’s incentive to limit total overhaul costs. </w:t>
      </w:r>
    </w:p>
    <w:p w14:paraId="22224237" w14:textId="41E47E47" w:rsidR="00DB532E" w:rsidRPr="009464B2" w:rsidRDefault="004C5235" w:rsidP="00F91E54">
      <w:pPr>
        <w:pStyle w:val="Heading3"/>
        <w:numPr>
          <w:ilvl w:val="0"/>
          <w:numId w:val="38"/>
        </w:numPr>
        <w:jc w:val="left"/>
        <w:rPr>
          <w:rFonts w:ascii="Times New Roman" w:hAnsi="Times New Roman"/>
        </w:rPr>
      </w:pPr>
      <w:bookmarkStart w:id="27" w:name="_Toc439838965"/>
      <w:r w:rsidRPr="009464B2">
        <w:rPr>
          <w:rFonts w:ascii="Times New Roman" w:hAnsi="Times New Roman"/>
        </w:rPr>
        <w:t>Project Compass</w:t>
      </w:r>
      <w:bookmarkEnd w:id="27"/>
    </w:p>
    <w:p w14:paraId="17530529" w14:textId="77777777" w:rsidR="00272E0C" w:rsidRPr="009464B2" w:rsidRDefault="00272E0C" w:rsidP="00272E0C"/>
    <w:p w14:paraId="5E4AEF10" w14:textId="77777777" w:rsidR="00227194" w:rsidRPr="009464B2" w:rsidRDefault="00227194" w:rsidP="00227194">
      <w:pPr>
        <w:numPr>
          <w:ilvl w:val="0"/>
          <w:numId w:val="1"/>
        </w:numPr>
        <w:tabs>
          <w:tab w:val="num" w:pos="0"/>
        </w:tabs>
        <w:spacing w:after="120" w:line="288" w:lineRule="auto"/>
        <w:ind w:left="0" w:hanging="720"/>
        <w:rPr>
          <w:rFonts w:eastAsia="Calibri"/>
        </w:rPr>
      </w:pPr>
      <w:r w:rsidRPr="009464B2">
        <w:rPr>
          <w:rFonts w:eastAsia="Calibri"/>
        </w:rPr>
        <w:t>On February 2, 2015, Avista replaced its legacy Customer Information and Work Asset Management System following a multiyear project it called Project Compass.</w:t>
      </w:r>
      <w:r w:rsidRPr="009464B2">
        <w:rPr>
          <w:rStyle w:val="FootnoteReference"/>
          <w:rFonts w:eastAsia="Calibri"/>
        </w:rPr>
        <w:footnoteReference w:id="241"/>
      </w:r>
      <w:r w:rsidRPr="009464B2">
        <w:rPr>
          <w:rFonts w:eastAsia="Calibri"/>
        </w:rPr>
        <w:t xml:space="preserve"> As the result of Project Compass, the Company installed and now uses Oracle’s </w:t>
      </w:r>
      <w:r w:rsidRPr="009464B2">
        <w:rPr>
          <w:rFonts w:eastAsia="Calibri"/>
          <w:i/>
        </w:rPr>
        <w:t>Customer Care &amp; Billing</w:t>
      </w:r>
      <w:r w:rsidRPr="009464B2">
        <w:rPr>
          <w:rFonts w:eastAsia="Calibri"/>
        </w:rPr>
        <w:t xml:space="preserve"> system and IBM’s </w:t>
      </w:r>
      <w:r w:rsidRPr="009464B2">
        <w:rPr>
          <w:rFonts w:eastAsia="Calibri"/>
          <w:i/>
        </w:rPr>
        <w:t>Maximo</w:t>
      </w:r>
      <w:r w:rsidRPr="009464B2">
        <w:rPr>
          <w:rFonts w:eastAsia="Calibri"/>
        </w:rPr>
        <w:t xml:space="preserve"> work and asset management application. In Avista’s last general rate case, the Commission authorized Avista to defer actual expenses in 2015 associated with the natural gas revenue requirement of Project Compass.</w:t>
      </w:r>
      <w:r w:rsidRPr="009464B2">
        <w:rPr>
          <w:rFonts w:eastAsia="Calibri"/>
          <w:vertAlign w:val="superscript"/>
        </w:rPr>
        <w:footnoteReference w:id="242"/>
      </w:r>
      <w:r w:rsidRPr="009464B2">
        <w:rPr>
          <w:rFonts w:eastAsia="Calibri"/>
        </w:rPr>
        <w:t xml:space="preserve"> Here, Avista proposes to amortize the expenses from the deferral and include $1.143 million in Washington-allocated expenses associated with Project Compass.</w:t>
      </w:r>
      <w:r w:rsidRPr="009464B2">
        <w:rPr>
          <w:rFonts w:eastAsia="Calibri"/>
          <w:vertAlign w:val="superscript"/>
        </w:rPr>
        <w:footnoteReference w:id="243"/>
      </w:r>
      <w:r w:rsidRPr="009464B2">
        <w:rPr>
          <w:rFonts w:eastAsia="Calibri"/>
        </w:rPr>
        <w:t xml:space="preserve"> No party opposes this accounting treatment of the expenses to reflect the Commission’s decision in this case.</w:t>
      </w:r>
    </w:p>
    <w:p w14:paraId="0B6DB270" w14:textId="44E8233F" w:rsidR="00A56FF6" w:rsidRPr="009464B2" w:rsidRDefault="00227194" w:rsidP="00227194">
      <w:pPr>
        <w:numPr>
          <w:ilvl w:val="0"/>
          <w:numId w:val="1"/>
        </w:numPr>
        <w:tabs>
          <w:tab w:val="num" w:pos="0"/>
        </w:tabs>
        <w:spacing w:after="120" w:line="288" w:lineRule="auto"/>
        <w:ind w:left="0" w:hanging="720"/>
        <w:rPr>
          <w:rFonts w:eastAsia="Calibri"/>
        </w:rPr>
      </w:pPr>
      <w:r w:rsidRPr="009464B2">
        <w:rPr>
          <w:rFonts w:eastAsia="Calibri"/>
        </w:rPr>
        <w:t>Staff contests the prudence of Avista’s expenditures related to the extended timeline of the project ($17.9 million on a system-level basis) as well as an employee incentive bonus plan for employees involved.</w:t>
      </w:r>
      <w:r w:rsidRPr="009464B2">
        <w:rPr>
          <w:rFonts w:eastAsia="Calibri"/>
          <w:vertAlign w:val="superscript"/>
        </w:rPr>
        <w:footnoteReference w:id="244"/>
      </w:r>
      <w:r w:rsidRPr="009464B2">
        <w:rPr>
          <w:rFonts w:eastAsia="Calibri"/>
        </w:rPr>
        <w:t xml:space="preserve"> The combined impact of Staff’s Washington-</w:t>
      </w:r>
      <w:r w:rsidRPr="009464B2">
        <w:rPr>
          <w:rFonts w:eastAsia="Calibri"/>
        </w:rPr>
        <w:lastRenderedPageBreak/>
        <w:t>allocated disallowance recommendation is $12.7 million.</w:t>
      </w:r>
      <w:r w:rsidRPr="009464B2">
        <w:rPr>
          <w:rFonts w:eastAsia="Calibri"/>
          <w:vertAlign w:val="superscript"/>
        </w:rPr>
        <w:footnoteReference w:id="245"/>
      </w:r>
      <w:r w:rsidRPr="009464B2">
        <w:rPr>
          <w:rFonts w:eastAsia="Calibri"/>
        </w:rPr>
        <w:t xml:space="preserve"> Staff’s prudence argument involves the process Avista used to hire one of its contractors. In Summer 2011, Avista hired Five Point Partners (Five Point) as an outside firm to assist the Company in developing a “Request for Proposals, in soliciting, comparing and evaluating proposals from an array of options and potential vendors,” and in negotiating the “final purchase price for applications and integration services.”</w:t>
      </w:r>
      <w:r w:rsidRPr="009464B2">
        <w:rPr>
          <w:rFonts w:eastAsia="Calibri"/>
          <w:vertAlign w:val="superscript"/>
        </w:rPr>
        <w:footnoteReference w:id="246"/>
      </w:r>
      <w:r w:rsidRPr="009464B2">
        <w:rPr>
          <w:rFonts w:eastAsia="Calibri"/>
        </w:rPr>
        <w:t xml:space="preserve"> </w:t>
      </w:r>
    </w:p>
    <w:p w14:paraId="11203612" w14:textId="77777777" w:rsidR="00227194" w:rsidRPr="009464B2" w:rsidRDefault="00227194" w:rsidP="00227194">
      <w:pPr>
        <w:numPr>
          <w:ilvl w:val="0"/>
          <w:numId w:val="1"/>
        </w:numPr>
        <w:tabs>
          <w:tab w:val="num" w:pos="0"/>
        </w:tabs>
        <w:spacing w:after="120" w:line="288" w:lineRule="auto"/>
        <w:ind w:left="0" w:hanging="720"/>
        <w:rPr>
          <w:rFonts w:eastAsia="Calibri"/>
        </w:rPr>
      </w:pPr>
      <w:r w:rsidRPr="009464B2">
        <w:rPr>
          <w:rFonts w:eastAsia="Calibri"/>
        </w:rPr>
        <w:t>Five Point helped Avista design a solicitation to select another firm to serve as a “system integrator” and write custom software code that would allow different software applications to communicate with each other. In March 2012, Avista selected EP2M to be its system integrator, and with Five Point’s assistance, negotiated a contract.</w:t>
      </w:r>
      <w:r w:rsidRPr="009464B2">
        <w:rPr>
          <w:rFonts w:eastAsia="Calibri"/>
          <w:vertAlign w:val="superscript"/>
        </w:rPr>
        <w:footnoteReference w:id="247"/>
      </w:r>
      <w:r w:rsidRPr="009464B2">
        <w:rPr>
          <w:rFonts w:eastAsia="Calibri"/>
        </w:rPr>
        <w:t xml:space="preserve"> Avista executed its contract with EP2M in June 2012. Six months later, Five Point acquired EP2M.</w:t>
      </w:r>
      <w:r w:rsidRPr="009464B2">
        <w:rPr>
          <w:rFonts w:eastAsia="Calibri"/>
          <w:vertAlign w:val="superscript"/>
        </w:rPr>
        <w:footnoteReference w:id="248"/>
      </w:r>
      <w:r w:rsidRPr="009464B2">
        <w:rPr>
          <w:rFonts w:eastAsia="Calibri"/>
        </w:rPr>
        <w:t xml:space="preserve"> In June 2014, Five Point was acquired in turn by Ernst and Young.</w:t>
      </w:r>
      <w:r w:rsidRPr="009464B2">
        <w:rPr>
          <w:rFonts w:eastAsia="Calibri"/>
          <w:vertAlign w:val="superscript"/>
        </w:rPr>
        <w:footnoteReference w:id="249"/>
      </w:r>
      <w:r w:rsidRPr="009464B2">
        <w:rPr>
          <w:rFonts w:eastAsia="Calibri"/>
        </w:rPr>
        <w:t xml:space="preserve"> In October 2014, Avista signed a time and materials contract with Ernst and Young to continue work on systems integration past the original contract’s end date.</w:t>
      </w:r>
      <w:r w:rsidRPr="009464B2">
        <w:rPr>
          <w:rFonts w:eastAsia="Calibri"/>
          <w:vertAlign w:val="superscript"/>
        </w:rPr>
        <w:footnoteReference w:id="250"/>
      </w:r>
      <w:r w:rsidRPr="009464B2">
        <w:rPr>
          <w:rFonts w:eastAsia="Calibri"/>
        </w:rPr>
        <w:t xml:space="preserve"> </w:t>
      </w:r>
    </w:p>
    <w:p w14:paraId="0A632BC9" w14:textId="63D11827" w:rsidR="00A56FF6" w:rsidRPr="009464B2" w:rsidRDefault="00227194" w:rsidP="00227194">
      <w:pPr>
        <w:numPr>
          <w:ilvl w:val="0"/>
          <w:numId w:val="1"/>
        </w:numPr>
        <w:tabs>
          <w:tab w:val="num" w:pos="0"/>
        </w:tabs>
        <w:spacing w:after="120" w:line="288" w:lineRule="auto"/>
        <w:ind w:left="0" w:hanging="720"/>
        <w:rPr>
          <w:rFonts w:eastAsia="Calibri"/>
        </w:rPr>
      </w:pPr>
      <w:r w:rsidRPr="009464B2">
        <w:rPr>
          <w:rFonts w:eastAsia="Calibri"/>
        </w:rPr>
        <w:t>Staff recommends that the Commission disallow $12.7 million of Project Compass’ capital costs relating to the extended timeline.</w:t>
      </w:r>
      <w:r w:rsidRPr="009464B2">
        <w:rPr>
          <w:rFonts w:eastAsia="Calibri"/>
          <w:vertAlign w:val="superscript"/>
        </w:rPr>
        <w:footnoteReference w:id="251"/>
      </w:r>
      <w:r w:rsidRPr="009464B2">
        <w:rPr>
          <w:rFonts w:eastAsia="Calibri"/>
        </w:rPr>
        <w:t xml:space="preserve"> It argues that Avista failed “to recognize, evaluate, identify, document and mitigate the possible risks to Project Compass resulting from the apparent conflict of interest arising from Five Point’s </w:t>
      </w:r>
      <w:r w:rsidRPr="009464B2">
        <w:rPr>
          <w:rFonts w:eastAsia="Calibri"/>
        </w:rPr>
        <w:lastRenderedPageBreak/>
        <w:t>acquisition of EP2M.”</w:t>
      </w:r>
      <w:r w:rsidRPr="009464B2">
        <w:rPr>
          <w:rFonts w:eastAsia="Calibri"/>
          <w:vertAlign w:val="superscript"/>
        </w:rPr>
        <w:t xml:space="preserve"> </w:t>
      </w:r>
      <w:r w:rsidRPr="009464B2">
        <w:rPr>
          <w:rFonts w:eastAsia="Calibri"/>
          <w:vertAlign w:val="superscript"/>
        </w:rPr>
        <w:footnoteReference w:id="252"/>
      </w:r>
      <w:r w:rsidRPr="009464B2">
        <w:rPr>
          <w:rFonts w:eastAsia="Calibri"/>
        </w:rPr>
        <w:t xml:space="preserve"> </w:t>
      </w:r>
      <w:r w:rsidR="00280C29">
        <w:rPr>
          <w:rFonts w:eastAsia="Calibri"/>
        </w:rPr>
        <w:t>Staff</w:t>
      </w:r>
      <w:r w:rsidRPr="009464B2">
        <w:rPr>
          <w:rFonts w:eastAsia="Calibri"/>
        </w:rPr>
        <w:t xml:space="preserve"> alleges that Five Point may have compromised the procurement process because it was considering, or in the process of, acquiring EP2M when assisting Avista in its choice of EP2M as system integrator.</w:t>
      </w:r>
      <w:r w:rsidRPr="009464B2">
        <w:rPr>
          <w:rFonts w:eastAsia="Calibri"/>
          <w:vertAlign w:val="superscript"/>
        </w:rPr>
        <w:footnoteReference w:id="253"/>
      </w:r>
      <w:r w:rsidR="00A56FF6" w:rsidRPr="009464B2">
        <w:rPr>
          <w:rFonts w:eastAsia="Calibri"/>
        </w:rPr>
        <w:t xml:space="preserve"> </w:t>
      </w:r>
    </w:p>
    <w:p w14:paraId="22C33562" w14:textId="77777777" w:rsidR="00227194" w:rsidRPr="009464B2" w:rsidRDefault="00227194" w:rsidP="00227194">
      <w:pPr>
        <w:numPr>
          <w:ilvl w:val="0"/>
          <w:numId w:val="1"/>
        </w:numPr>
        <w:tabs>
          <w:tab w:val="num" w:pos="0"/>
        </w:tabs>
        <w:spacing w:after="120" w:line="288" w:lineRule="auto"/>
        <w:ind w:left="0" w:hanging="720"/>
        <w:rPr>
          <w:rFonts w:eastAsia="Calibri"/>
        </w:rPr>
      </w:pPr>
      <w:r w:rsidRPr="009464B2">
        <w:rPr>
          <w:rFonts w:eastAsia="Calibri"/>
        </w:rPr>
        <w:t>While Staff acknowledges that it “cannot say with certainty” that there were irregularities in the procurement process, it asserts the Contractor’s “performance problems commencing early in the project” are “evidence of questions that should have been asked of Five Point by Avista’s project management and Executive Steering Committee.”</w:t>
      </w:r>
      <w:r w:rsidRPr="009464B2">
        <w:rPr>
          <w:rFonts w:eastAsia="Calibri"/>
          <w:vertAlign w:val="superscript"/>
        </w:rPr>
        <w:footnoteReference w:id="254"/>
      </w:r>
      <w:r w:rsidRPr="009464B2">
        <w:rPr>
          <w:rFonts w:eastAsia="Calibri"/>
        </w:rPr>
        <w:t xml:space="preserve"> Avista eventually worked with its Contractor to address these problems. As a result, the Contractor “retained additional resources to bolster its overseas code-development team” and improved the “volume, velocity and quality for system defect resolution.”</w:t>
      </w:r>
      <w:r w:rsidRPr="009464B2">
        <w:rPr>
          <w:rFonts w:eastAsia="Calibri"/>
          <w:vertAlign w:val="superscript"/>
        </w:rPr>
        <w:footnoteReference w:id="255"/>
      </w:r>
    </w:p>
    <w:p w14:paraId="35E3BDDB" w14:textId="77777777" w:rsidR="00227194" w:rsidRPr="009464B2" w:rsidRDefault="00227194" w:rsidP="00227194">
      <w:pPr>
        <w:numPr>
          <w:ilvl w:val="0"/>
          <w:numId w:val="1"/>
        </w:numPr>
        <w:tabs>
          <w:tab w:val="num" w:pos="0"/>
        </w:tabs>
        <w:spacing w:after="120" w:line="288" w:lineRule="auto"/>
        <w:ind w:left="0" w:hanging="720"/>
        <w:rPr>
          <w:rFonts w:eastAsia="Calibri"/>
        </w:rPr>
      </w:pPr>
      <w:r w:rsidRPr="009464B2">
        <w:rPr>
          <w:rFonts w:eastAsia="Calibri"/>
        </w:rPr>
        <w:t>Staff also contends that if Avista had taken action in late 2013 or early 2014 to address code development problems, the Company “could have avoided the need for an extension of the project’s timeline and added cost.”</w:t>
      </w:r>
      <w:r w:rsidRPr="009464B2">
        <w:rPr>
          <w:rFonts w:eastAsia="Calibri"/>
          <w:vertAlign w:val="superscript"/>
        </w:rPr>
        <w:footnoteReference w:id="256"/>
      </w:r>
      <w:r w:rsidRPr="009464B2">
        <w:rPr>
          <w:rFonts w:eastAsia="Calibri"/>
        </w:rPr>
        <w:t xml:space="preserve"> Staff argues that the Contractor’s inability to deliver usable code amounts to a contractual breach, and asserts that Avista should have evaluated appropriate responses to a contractual breach, including holding back payments and termination of contract.</w:t>
      </w:r>
      <w:r w:rsidRPr="009464B2">
        <w:rPr>
          <w:rFonts w:eastAsia="Calibri"/>
          <w:vertAlign w:val="superscript"/>
        </w:rPr>
        <w:footnoteReference w:id="257"/>
      </w:r>
    </w:p>
    <w:p w14:paraId="63E749A0" w14:textId="7CF73872" w:rsidR="00A56FF6" w:rsidRPr="009464B2" w:rsidRDefault="00227194" w:rsidP="00227194">
      <w:pPr>
        <w:numPr>
          <w:ilvl w:val="0"/>
          <w:numId w:val="1"/>
        </w:numPr>
        <w:tabs>
          <w:tab w:val="num" w:pos="0"/>
        </w:tabs>
        <w:spacing w:after="120" w:line="288" w:lineRule="auto"/>
        <w:ind w:left="0" w:hanging="720"/>
        <w:rPr>
          <w:rFonts w:eastAsia="Calibri"/>
        </w:rPr>
      </w:pPr>
      <w:r w:rsidRPr="009464B2">
        <w:rPr>
          <w:rFonts w:eastAsia="Calibri"/>
        </w:rPr>
        <w:t>Staff attacks the extension agreement signed with the Contractor as imprudent. It claims it is unable to follow the management decision-making process that led to its conclusion that “the Extension Agreement was its only viable alternative,” or determine the “substance of its negotiations and discussions with [the Contractor]  … that eventually led to the agreement.”</w:t>
      </w:r>
      <w:r w:rsidRPr="009464B2">
        <w:rPr>
          <w:rFonts w:eastAsia="Calibri"/>
          <w:vertAlign w:val="superscript"/>
        </w:rPr>
        <w:footnoteReference w:id="258"/>
      </w:r>
    </w:p>
    <w:p w14:paraId="0D88E14E" w14:textId="77777777" w:rsidR="00227194" w:rsidRPr="009464B2" w:rsidRDefault="00227194" w:rsidP="00227194">
      <w:pPr>
        <w:numPr>
          <w:ilvl w:val="0"/>
          <w:numId w:val="1"/>
        </w:numPr>
        <w:tabs>
          <w:tab w:val="num" w:pos="0"/>
        </w:tabs>
        <w:spacing w:after="120" w:line="288" w:lineRule="auto"/>
        <w:ind w:left="0" w:hanging="720"/>
        <w:rPr>
          <w:rFonts w:eastAsia="Calibri"/>
        </w:rPr>
      </w:pPr>
      <w:r w:rsidRPr="009464B2">
        <w:rPr>
          <w:rFonts w:eastAsia="Calibri"/>
        </w:rPr>
        <w:lastRenderedPageBreak/>
        <w:t>Staff recommends disallowance of costs related to the Project Compass bonus plan, which provided compensation to employees assigned to the project for “contributions in achieving the successful implementation.”</w:t>
      </w:r>
      <w:r w:rsidRPr="009464B2">
        <w:rPr>
          <w:rFonts w:eastAsia="Calibri"/>
          <w:vertAlign w:val="superscript"/>
        </w:rPr>
        <w:footnoteReference w:id="259"/>
      </w:r>
      <w:r w:rsidRPr="009464B2">
        <w:rPr>
          <w:rFonts w:eastAsia="Calibri"/>
        </w:rPr>
        <w:t xml:space="preserve"> Staff states:</w:t>
      </w:r>
    </w:p>
    <w:p w14:paraId="5738296D" w14:textId="77777777" w:rsidR="00227194" w:rsidRPr="009464B2" w:rsidRDefault="00227194" w:rsidP="00227194">
      <w:pPr>
        <w:spacing w:after="120" w:line="288" w:lineRule="auto"/>
        <w:ind w:left="720"/>
        <w:rPr>
          <w:rFonts w:eastAsia="Calibri"/>
        </w:rPr>
      </w:pPr>
      <w:r w:rsidRPr="009464B2">
        <w:rPr>
          <w:rFonts w:eastAsia="Calibri"/>
        </w:rPr>
        <w:t>The Company has not provided an explanation as to how the bonus plan benefits rate payers. After all, the project was late and went over budget by almost 40 percent. While it is commendable that the Company wants to acknowledge the hard work of its employees, Staff feels that the circumstances surrounding the project make it inappropriate to ask rate payers to shoulder the return of and on this expense.</w:t>
      </w:r>
      <w:r w:rsidRPr="009464B2">
        <w:rPr>
          <w:rFonts w:eastAsia="Calibri"/>
          <w:vertAlign w:val="superscript"/>
        </w:rPr>
        <w:footnoteReference w:id="260"/>
      </w:r>
    </w:p>
    <w:p w14:paraId="209A2E5D" w14:textId="77777777" w:rsidR="00227194" w:rsidRPr="009464B2" w:rsidRDefault="00227194" w:rsidP="00227194">
      <w:pPr>
        <w:numPr>
          <w:ilvl w:val="0"/>
          <w:numId w:val="1"/>
        </w:numPr>
        <w:tabs>
          <w:tab w:val="num" w:pos="0"/>
        </w:tabs>
        <w:spacing w:after="120" w:line="288" w:lineRule="auto"/>
        <w:ind w:left="0" w:hanging="720"/>
        <w:rPr>
          <w:rFonts w:eastAsia="Calibri"/>
        </w:rPr>
      </w:pPr>
      <w:r w:rsidRPr="009464B2">
        <w:rPr>
          <w:rFonts w:eastAsia="Calibri"/>
          <w:i/>
        </w:rPr>
        <w:t xml:space="preserve">Avista’s Response.  </w:t>
      </w:r>
      <w:r w:rsidRPr="009464B2">
        <w:rPr>
          <w:rFonts w:eastAsia="Calibri"/>
        </w:rPr>
        <w:t>Avista argues that the Company made the final evaluation and selection of EP2M “on the merits, without any undue influence of a third party.”</w:t>
      </w:r>
      <w:r w:rsidRPr="009464B2">
        <w:rPr>
          <w:rFonts w:eastAsia="Calibri"/>
          <w:vertAlign w:val="superscript"/>
        </w:rPr>
        <w:footnoteReference w:id="261"/>
      </w:r>
      <w:r w:rsidRPr="009464B2">
        <w:rPr>
          <w:rFonts w:eastAsia="Calibri"/>
        </w:rPr>
        <w:t xml:space="preserve"> Staff noted that Avista’s earlier testimony stated that “Avista’s Project Compass team </w:t>
      </w:r>
      <w:r w:rsidRPr="009464B2">
        <w:rPr>
          <w:rFonts w:eastAsia="Calibri"/>
          <w:i/>
        </w:rPr>
        <w:t>and Five Point</w:t>
      </w:r>
      <w:r w:rsidRPr="009464B2">
        <w:rPr>
          <w:rFonts w:eastAsia="Calibri"/>
        </w:rPr>
        <w:t xml:space="preserve"> evaluated and scored each proposal.”</w:t>
      </w:r>
      <w:r w:rsidRPr="009464B2">
        <w:rPr>
          <w:rFonts w:eastAsia="Calibri"/>
          <w:vertAlign w:val="superscript"/>
        </w:rPr>
        <w:footnoteReference w:id="262"/>
      </w:r>
      <w:r w:rsidRPr="009464B2">
        <w:rPr>
          <w:rFonts w:eastAsia="Calibri"/>
        </w:rPr>
        <w:t xml:space="preserve"> The Company states that it protected customers “from any potential conflict of interest by the rigorous and objective processes established for developing vendor proposals, evaluating and scoring proposals, making final vendor selections, and in negotiating the final contracts, purchase agreements, and purchase prices.”</w:t>
      </w:r>
      <w:r w:rsidRPr="009464B2">
        <w:rPr>
          <w:rFonts w:eastAsia="Calibri"/>
          <w:vertAlign w:val="superscript"/>
        </w:rPr>
        <w:footnoteReference w:id="263"/>
      </w:r>
      <w:r w:rsidRPr="009464B2">
        <w:rPr>
          <w:rFonts w:eastAsia="Calibri"/>
        </w:rPr>
        <w:t xml:space="preserve"> It states further that it was not aware of the acquisition until it occurred, and the prudence standard does not demand hindsight.</w:t>
      </w:r>
      <w:r w:rsidRPr="009464B2">
        <w:rPr>
          <w:rFonts w:eastAsia="Calibri"/>
          <w:vertAlign w:val="superscript"/>
        </w:rPr>
        <w:footnoteReference w:id="264"/>
      </w:r>
    </w:p>
    <w:p w14:paraId="14234981" w14:textId="77777777" w:rsidR="00227194" w:rsidRPr="009464B2" w:rsidRDefault="00227194" w:rsidP="00227194">
      <w:pPr>
        <w:numPr>
          <w:ilvl w:val="0"/>
          <w:numId w:val="1"/>
        </w:numPr>
        <w:tabs>
          <w:tab w:val="num" w:pos="0"/>
        </w:tabs>
        <w:spacing w:after="120" w:line="288" w:lineRule="auto"/>
        <w:ind w:left="0" w:hanging="720"/>
        <w:rPr>
          <w:rFonts w:eastAsia="Calibri"/>
        </w:rPr>
      </w:pPr>
      <w:r w:rsidRPr="009464B2">
        <w:rPr>
          <w:rFonts w:eastAsia="Calibri"/>
        </w:rPr>
        <w:t>The Company expresses comfort with the revised project timeline and cost. It notes that the revisions were within the variability range generally expected for software projects,</w:t>
      </w:r>
      <w:r w:rsidRPr="009464B2">
        <w:rPr>
          <w:rFonts w:eastAsia="Calibri"/>
          <w:vertAlign w:val="superscript"/>
        </w:rPr>
        <w:footnoteReference w:id="265"/>
      </w:r>
      <w:r w:rsidRPr="009464B2">
        <w:rPr>
          <w:rFonts w:eastAsia="Calibri"/>
        </w:rPr>
        <w:t xml:space="preserve"> and in any case many components of the project that were behind schedule did not directly involve the Contractor.</w:t>
      </w:r>
      <w:r w:rsidRPr="009464B2">
        <w:rPr>
          <w:rFonts w:eastAsia="Calibri"/>
          <w:vertAlign w:val="superscript"/>
        </w:rPr>
        <w:footnoteReference w:id="266"/>
      </w:r>
    </w:p>
    <w:p w14:paraId="28C7A10C" w14:textId="45511243" w:rsidR="00227194" w:rsidRPr="009464B2" w:rsidRDefault="00227194" w:rsidP="00227194">
      <w:pPr>
        <w:numPr>
          <w:ilvl w:val="0"/>
          <w:numId w:val="1"/>
        </w:numPr>
        <w:tabs>
          <w:tab w:val="num" w:pos="0"/>
        </w:tabs>
        <w:spacing w:after="120" w:line="288" w:lineRule="auto"/>
        <w:ind w:left="0" w:hanging="720"/>
        <w:rPr>
          <w:rFonts w:eastAsia="Calibri"/>
        </w:rPr>
      </w:pPr>
      <w:r w:rsidRPr="009464B2">
        <w:rPr>
          <w:rFonts w:eastAsia="Calibri"/>
        </w:rPr>
        <w:t xml:space="preserve">Moreover, Avista responds that it considered a range of factors in making the decision whether to continue paying the Contractor and sign a contract extension. These included </w:t>
      </w:r>
      <w:r w:rsidRPr="009464B2">
        <w:rPr>
          <w:rFonts w:eastAsia="Calibri"/>
        </w:rPr>
        <w:lastRenderedPageBreak/>
        <w:t>the consequences of stopping payment, such as the potential outcome of litigation and its ability to work successfully with the Contractor to complete the project,</w:t>
      </w:r>
      <w:r w:rsidRPr="009464B2">
        <w:rPr>
          <w:rFonts w:eastAsia="Calibri"/>
          <w:vertAlign w:val="superscript"/>
        </w:rPr>
        <w:footnoteReference w:id="267"/>
      </w:r>
      <w:r w:rsidRPr="009464B2">
        <w:rPr>
          <w:rFonts w:eastAsia="Calibri"/>
        </w:rPr>
        <w:t xml:space="preserve"> the Company’s ability to complete the project without the Contractor, and the likelihood of delay and increased costs caused by changing contractors.</w:t>
      </w:r>
      <w:r w:rsidRPr="009464B2">
        <w:rPr>
          <w:rStyle w:val="FootnoteReference"/>
          <w:rFonts w:eastAsia="Calibri"/>
        </w:rPr>
        <w:footnoteReference w:id="268"/>
      </w:r>
    </w:p>
    <w:p w14:paraId="0D7A1245" w14:textId="77777777" w:rsidR="00227194" w:rsidRPr="009464B2" w:rsidRDefault="00227194" w:rsidP="00227194">
      <w:pPr>
        <w:numPr>
          <w:ilvl w:val="0"/>
          <w:numId w:val="1"/>
        </w:numPr>
        <w:tabs>
          <w:tab w:val="num" w:pos="0"/>
        </w:tabs>
        <w:spacing w:after="120" w:line="288" w:lineRule="auto"/>
        <w:ind w:left="0" w:hanging="720"/>
        <w:rPr>
          <w:rFonts w:eastAsia="Calibri"/>
        </w:rPr>
      </w:pPr>
      <w:r w:rsidRPr="009464B2">
        <w:rPr>
          <w:rFonts w:eastAsia="Calibri"/>
        </w:rPr>
        <w:t>The Company estimated that finding a new suitable contractor and switching to that contractor would add at least several months to the project timeline, and each month of delay would cost $3.6 million.</w:t>
      </w:r>
      <w:r w:rsidRPr="009464B2">
        <w:rPr>
          <w:rFonts w:eastAsia="Calibri"/>
          <w:vertAlign w:val="superscript"/>
        </w:rPr>
        <w:footnoteReference w:id="269"/>
      </w:r>
      <w:r w:rsidRPr="009464B2">
        <w:rPr>
          <w:rFonts w:eastAsia="Calibri"/>
        </w:rPr>
        <w:t xml:space="preserve"> By contrast, all additional payments to the Contractor beyond its original contract represent less than the estimated cost of two months’ delay.</w:t>
      </w:r>
      <w:r w:rsidRPr="009464B2">
        <w:rPr>
          <w:rFonts w:eastAsia="Calibri"/>
          <w:vertAlign w:val="superscript"/>
        </w:rPr>
        <w:footnoteReference w:id="270"/>
      </w:r>
      <w:r w:rsidRPr="009464B2">
        <w:rPr>
          <w:rFonts w:eastAsia="Calibri"/>
        </w:rPr>
        <w:t xml:space="preserve"> Additionally, Avista observes that many of the Contractor’s staff were among the original authors of the Oracle </w:t>
      </w:r>
      <w:r w:rsidRPr="009464B2">
        <w:rPr>
          <w:rFonts w:eastAsia="Calibri"/>
          <w:i/>
        </w:rPr>
        <w:t xml:space="preserve">Customer Care &amp; Billing </w:t>
      </w:r>
      <w:r w:rsidRPr="009464B2">
        <w:rPr>
          <w:rFonts w:eastAsia="Calibri"/>
        </w:rPr>
        <w:t>application they were modifying, raising the concern that a replacement team would not have “sufficient knowledge, experience, skills, and familiarity with the application” to complete the project successfully.</w:t>
      </w:r>
      <w:r w:rsidRPr="009464B2">
        <w:rPr>
          <w:rFonts w:eastAsia="Calibri"/>
          <w:vertAlign w:val="superscript"/>
        </w:rPr>
        <w:footnoteReference w:id="271"/>
      </w:r>
    </w:p>
    <w:p w14:paraId="6782E386" w14:textId="1F1B8A6E" w:rsidR="00F54EB2" w:rsidRPr="009464B2" w:rsidRDefault="00227194" w:rsidP="00227194">
      <w:pPr>
        <w:numPr>
          <w:ilvl w:val="0"/>
          <w:numId w:val="1"/>
        </w:numPr>
        <w:tabs>
          <w:tab w:val="num" w:pos="0"/>
        </w:tabs>
        <w:spacing w:after="120" w:line="288" w:lineRule="auto"/>
        <w:ind w:left="0" w:hanging="720"/>
      </w:pPr>
      <w:r w:rsidRPr="009464B2">
        <w:rPr>
          <w:rFonts w:eastAsia="Calibri"/>
        </w:rPr>
        <w:t>Finally, Avista argues that the bonus program was appropriately authorized and ultimately successful. The bonus plan included objective and measurable performance benchmarks, was audited by Avista’s internal audit group, and approved by the Board of Directors.</w:t>
      </w:r>
      <w:r w:rsidRPr="009464B2">
        <w:rPr>
          <w:rFonts w:eastAsia="Calibri"/>
          <w:vertAlign w:val="superscript"/>
        </w:rPr>
        <w:footnoteReference w:id="272"/>
      </w:r>
      <w:r w:rsidRPr="009464B2">
        <w:rPr>
          <w:rFonts w:eastAsia="Calibri"/>
        </w:rPr>
        <w:t xml:space="preserve"> It states that “employees dedicated a very difficult two-plus years of their working life to seeing it through to completion, and the bonuses were reasonable and appropriate.”</w:t>
      </w:r>
      <w:r w:rsidRPr="009464B2">
        <w:rPr>
          <w:rFonts w:eastAsia="Calibri"/>
          <w:vertAlign w:val="superscript"/>
        </w:rPr>
        <w:footnoteReference w:id="273"/>
      </w:r>
    </w:p>
    <w:p w14:paraId="4C738B8A" w14:textId="77777777" w:rsidR="00227194" w:rsidRPr="009464B2" w:rsidRDefault="00227194" w:rsidP="00227194">
      <w:pPr>
        <w:numPr>
          <w:ilvl w:val="0"/>
          <w:numId w:val="1"/>
        </w:numPr>
        <w:tabs>
          <w:tab w:val="num" w:pos="0"/>
        </w:tabs>
        <w:spacing w:after="120" w:line="288" w:lineRule="auto"/>
        <w:ind w:left="0" w:hanging="720"/>
        <w:rPr>
          <w:rFonts w:eastAsia="Calibri"/>
        </w:rPr>
      </w:pPr>
      <w:r w:rsidRPr="009464B2">
        <w:rPr>
          <w:rFonts w:eastAsia="Calibri"/>
        </w:rPr>
        <w:t>In</w:t>
      </w:r>
      <w:r w:rsidRPr="009464B2">
        <w:t xml:space="preserve"> its responsive filing, Staff recommended a specific disallowance of $12.7 million ($17.9 million on a system wide basis), consisting of various capital and labor related items and AFUDC. After receiving new evidence from Mr. Kensok, Staff revised its recommended disallowance downward to a total of $7.1 million, consisting of $5.5 million electric and $1.6 million gas.</w:t>
      </w:r>
      <w:r w:rsidRPr="009464B2">
        <w:rPr>
          <w:rStyle w:val="FootnoteReference"/>
        </w:rPr>
        <w:footnoteReference w:id="274"/>
      </w:r>
      <w:r w:rsidRPr="009464B2">
        <w:t xml:space="preserve"> Due to the size and nature of this disallowance, </w:t>
      </w:r>
      <w:r w:rsidRPr="009464B2">
        <w:lastRenderedPageBreak/>
        <w:t>Mr. McGuire for Staff did not include this in his overall attrition adjustment, and instead made a post-attrition adjustment in the overall calculation for the revenue requirement.</w:t>
      </w:r>
    </w:p>
    <w:p w14:paraId="7870FF42" w14:textId="77777777" w:rsidR="00227194" w:rsidRPr="009464B2" w:rsidRDefault="00227194" w:rsidP="00227194">
      <w:pPr>
        <w:numPr>
          <w:ilvl w:val="0"/>
          <w:numId w:val="1"/>
        </w:numPr>
        <w:tabs>
          <w:tab w:val="num" w:pos="0"/>
        </w:tabs>
        <w:spacing w:after="120" w:line="288" w:lineRule="auto"/>
        <w:ind w:left="0" w:hanging="720"/>
      </w:pPr>
      <w:r w:rsidRPr="009464B2">
        <w:rPr>
          <w:i/>
        </w:rPr>
        <w:t xml:space="preserve">Decision. </w:t>
      </w:r>
      <w:r w:rsidRPr="009464B2">
        <w:t xml:space="preserve"> In determining whether an investment is prudent, the Commission asks: </w:t>
      </w:r>
    </w:p>
    <w:p w14:paraId="21FD762C" w14:textId="77777777" w:rsidR="00227194" w:rsidRPr="009464B2" w:rsidRDefault="00227194" w:rsidP="00227194">
      <w:pPr>
        <w:spacing w:after="120" w:line="288" w:lineRule="auto"/>
        <w:ind w:left="720"/>
      </w:pPr>
      <w:r w:rsidRPr="009464B2">
        <w:t>what would a reasonable board of directors and company management have decided given what they knew or reasonably should have known to be true at the time they made a decision. This test applies both to the question of need and the appropriateness of the expenditures. The company must establish that it adequately studied the question of whether to purchase these resources and made a reasonable decision, using the data and methods that a reasonable management would have used at the time the decisions were made.</w:t>
      </w:r>
      <w:r w:rsidRPr="009464B2">
        <w:rPr>
          <w:vertAlign w:val="superscript"/>
        </w:rPr>
        <w:footnoteReference w:id="275"/>
      </w:r>
    </w:p>
    <w:p w14:paraId="0CB30FD8" w14:textId="13AB3EBE" w:rsidR="00227194" w:rsidRPr="009464B2" w:rsidRDefault="00227194" w:rsidP="00227194">
      <w:pPr>
        <w:numPr>
          <w:ilvl w:val="0"/>
          <w:numId w:val="1"/>
        </w:numPr>
        <w:tabs>
          <w:tab w:val="num" w:pos="0"/>
        </w:tabs>
        <w:spacing w:after="120" w:line="288" w:lineRule="auto"/>
        <w:ind w:left="0" w:hanging="720"/>
      </w:pPr>
      <w:r w:rsidRPr="009464B2">
        <w:t>Staff makes a two-part argument in recommending we disallow a portion of the overall capital costs of Project Compass. First, it argues that Avista imprudently managed and then extended the contract with the information technology contractors, Five Point and EP2M (ultimately Ernst &amp; Young). Second, it argues that because of such imprudent management, Avista should not have granted bonuses to its employees involved in the project.</w:t>
      </w:r>
    </w:p>
    <w:p w14:paraId="393D7C27" w14:textId="60101EE7" w:rsidR="00227194" w:rsidRPr="009464B2" w:rsidRDefault="00227194" w:rsidP="00F514DD">
      <w:pPr>
        <w:numPr>
          <w:ilvl w:val="0"/>
          <w:numId w:val="1"/>
        </w:numPr>
        <w:tabs>
          <w:tab w:val="num" w:pos="0"/>
        </w:tabs>
        <w:spacing w:after="120" w:line="288" w:lineRule="auto"/>
        <w:ind w:left="0" w:hanging="720"/>
        <w:rPr>
          <w:rFonts w:eastAsia="Calibri"/>
        </w:rPr>
      </w:pPr>
      <w:r w:rsidRPr="009464B2">
        <w:t xml:space="preserve">After reviewing all the evidence and hearing the Company’s response at hearing, we reject Staff’s recommendation. Rather, we find that Avista demonstrated that its </w:t>
      </w:r>
      <w:r w:rsidRPr="009464B2">
        <w:rPr>
          <w:rFonts w:eastAsia="Calibri"/>
        </w:rPr>
        <w:t>revisions to project costs and timelines were within the variability range generally expected for software projects of this magnitude and complexity. When confronted with delays and other challenges, it appropriately considered options on how to proceed, including alternatives such as terminating the contract with Five Point/EP2M and moving to a new contractor. It concluded, and stated for this record, that such alternatives carried too much risk and potential further costs in its judgment. Moreove</w:t>
      </w:r>
      <w:r w:rsidR="00280C29">
        <w:rPr>
          <w:rFonts w:eastAsia="Calibri"/>
        </w:rPr>
        <w:t>r, we decline to find that the C</w:t>
      </w:r>
      <w:r w:rsidRPr="009464B2">
        <w:rPr>
          <w:rFonts w:eastAsia="Calibri"/>
        </w:rPr>
        <w:t xml:space="preserve">ompany engaged in inappropriate actions in the selection of contractors, as Avista testified that it was unaware of the acquisition of EP2M by Five Point at the time of the contractor selection, and Staff has provided no evidence other than speculation to contest that. </w:t>
      </w:r>
    </w:p>
    <w:p w14:paraId="11EDBAB4" w14:textId="4868E828" w:rsidR="00227194" w:rsidRPr="009464B2" w:rsidRDefault="00227194" w:rsidP="00227194">
      <w:pPr>
        <w:numPr>
          <w:ilvl w:val="0"/>
          <w:numId w:val="1"/>
        </w:numPr>
        <w:tabs>
          <w:tab w:val="num" w:pos="0"/>
        </w:tabs>
        <w:spacing w:after="120" w:line="288" w:lineRule="auto"/>
        <w:ind w:left="0" w:hanging="720"/>
      </w:pPr>
      <w:r w:rsidRPr="009464B2">
        <w:t xml:space="preserve">Finally, we do not agree with Staff’s assertion that the bonuses paid to the Avista staff actively involved in managing Project Compass were imprudent, and should therefore by disallowed. Instead, we agree with the Company that such bonuses were properly determined and reviewed internally, were based on objective and measurable </w:t>
      </w:r>
      <w:r w:rsidRPr="009464B2">
        <w:lastRenderedPageBreak/>
        <w:t>benchmarks, and were appropriately given to ensure continuity for key employees to ensure effic</w:t>
      </w:r>
      <w:r w:rsidR="00695BF7">
        <w:t>i</w:t>
      </w:r>
      <w:r w:rsidRPr="009464B2">
        <w:t>ent</w:t>
      </w:r>
      <w:r w:rsidR="00532E41" w:rsidRPr="009464B2">
        <w:t xml:space="preserve"> </w:t>
      </w:r>
      <w:r w:rsidRPr="009464B2">
        <w:t>final completion for an IT project of this magnitude.</w:t>
      </w:r>
    </w:p>
    <w:p w14:paraId="1F0205D8" w14:textId="68203C3E" w:rsidR="00F3557B" w:rsidRPr="009464B2" w:rsidRDefault="00227194" w:rsidP="00227194">
      <w:pPr>
        <w:numPr>
          <w:ilvl w:val="0"/>
          <w:numId w:val="1"/>
        </w:numPr>
        <w:tabs>
          <w:tab w:val="num" w:pos="0"/>
        </w:tabs>
        <w:spacing w:after="120" w:line="288" w:lineRule="auto"/>
        <w:ind w:left="0" w:hanging="720"/>
      </w:pPr>
      <w:r w:rsidRPr="009464B2">
        <w:t>Accordingly, we do not find Staff’s arguments to be persuasive on this record to disallow a certain portion of the capitalized costs of Project Compass. Rather, we find that Avista carried its burden to show that it acted prudently in managing this project to completion using the existing contractor, including the project extension and increased costs compared to the estimate. Although we do adopt a certain attrition adjustment, as set forth above, we decline to make a post-attrition adjustment for the project either in the initial amount recommendation by Staff on a Washington-allocated basis ($12.7 million) or the revised amount ($7.1 million).</w:t>
      </w:r>
    </w:p>
    <w:p w14:paraId="3D124770" w14:textId="77777777" w:rsidR="00F3557B" w:rsidRPr="003C0488" w:rsidRDefault="00F3557B" w:rsidP="00F3557B">
      <w:pPr>
        <w:spacing w:line="264" w:lineRule="auto"/>
      </w:pPr>
    </w:p>
    <w:p w14:paraId="014B75FF" w14:textId="6B05BE61" w:rsidR="00F3557B" w:rsidRPr="009464B2" w:rsidRDefault="00F3557B" w:rsidP="00F91E54">
      <w:pPr>
        <w:pStyle w:val="Heading3"/>
        <w:numPr>
          <w:ilvl w:val="0"/>
          <w:numId w:val="38"/>
        </w:numPr>
        <w:jc w:val="left"/>
        <w:rPr>
          <w:rFonts w:ascii="Times New Roman" w:hAnsi="Times New Roman"/>
        </w:rPr>
      </w:pPr>
      <w:bookmarkStart w:id="28" w:name="_Toc439838966"/>
      <w:r w:rsidRPr="009464B2">
        <w:rPr>
          <w:rFonts w:ascii="Times New Roman" w:hAnsi="Times New Roman"/>
        </w:rPr>
        <w:t>Advanced Metering Infrastructure</w:t>
      </w:r>
      <w:bookmarkEnd w:id="28"/>
    </w:p>
    <w:p w14:paraId="46FA771A" w14:textId="77777777" w:rsidR="00F3557B" w:rsidRPr="009464B2" w:rsidRDefault="00F3557B" w:rsidP="00F3557B">
      <w:pPr>
        <w:spacing w:line="264" w:lineRule="auto"/>
      </w:pPr>
    </w:p>
    <w:p w14:paraId="52DC5E67" w14:textId="77777777" w:rsidR="00057724" w:rsidRPr="009464B2" w:rsidRDefault="00057724" w:rsidP="00057724">
      <w:pPr>
        <w:numPr>
          <w:ilvl w:val="0"/>
          <w:numId w:val="1"/>
        </w:numPr>
        <w:tabs>
          <w:tab w:val="clear" w:pos="1080"/>
        </w:tabs>
        <w:spacing w:after="120" w:line="288" w:lineRule="auto"/>
        <w:ind w:left="0" w:hanging="720"/>
      </w:pPr>
      <w:r w:rsidRPr="009464B2">
        <w:t>In its initial filing, Avista proposed to begin deploying advanced metering infrastructure (AMI) across its Washington service territory in 2016, citing a $7.5 million net present value benefit over 21 years.</w:t>
      </w:r>
      <w:r w:rsidRPr="009464B2">
        <w:rPr>
          <w:vertAlign w:val="superscript"/>
        </w:rPr>
        <w:footnoteReference w:id="276"/>
      </w:r>
      <w:r w:rsidRPr="009464B2">
        <w:t xml:space="preserve"> The Company requested inclusion of approximately $30 million in capital additions in this case, representing the cost of new meters to be installed in 2016. On rebuttal, the Company removed this capital addition, and instead requests that </w:t>
      </w:r>
      <w:r w:rsidRPr="009464B2">
        <w:rPr>
          <w:rFonts w:eastAsia="Calibri"/>
        </w:rPr>
        <w:t>the Commission rule on “the prudence of the decision to move forward with the deployment of AMI.”</w:t>
      </w:r>
      <w:r w:rsidRPr="009464B2">
        <w:rPr>
          <w:rFonts w:eastAsia="Calibri"/>
          <w:vertAlign w:val="superscript"/>
        </w:rPr>
        <w:footnoteReference w:id="277"/>
      </w:r>
    </w:p>
    <w:p w14:paraId="592C499D" w14:textId="6B1E86EF" w:rsidR="00B7093E" w:rsidRPr="009464B2" w:rsidRDefault="00057724" w:rsidP="00057724">
      <w:pPr>
        <w:numPr>
          <w:ilvl w:val="0"/>
          <w:numId w:val="1"/>
        </w:numPr>
        <w:tabs>
          <w:tab w:val="num" w:pos="0"/>
        </w:tabs>
        <w:spacing w:after="120" w:line="288" w:lineRule="auto"/>
        <w:ind w:left="0" w:hanging="720"/>
      </w:pPr>
      <w:r w:rsidRPr="009464B2">
        <w:t>Deploying advanced metering technologies allows a utility to reduce its operating expenses associated with meter reading and to communicate more frequently with the meter and potentially other devices that use electricity.</w:t>
      </w:r>
      <w:r w:rsidRPr="009464B2">
        <w:rPr>
          <w:rStyle w:val="FootnoteReference"/>
        </w:rPr>
        <w:footnoteReference w:id="278"/>
      </w:r>
      <w:r w:rsidRPr="009464B2">
        <w:t xml:space="preserve"> This technology provides a utility with the means to disconnect and reconnect service remotely, quickly gain awareness of outages, provide conservation voltage reduction services, reduce unbilled usage, and potentially enable demand response, time of use rates, and prepaid services.</w:t>
      </w:r>
      <w:r w:rsidRPr="009464B2">
        <w:rPr>
          <w:rStyle w:val="FootnoteReference"/>
        </w:rPr>
        <w:footnoteReference w:id="279"/>
      </w:r>
    </w:p>
    <w:p w14:paraId="56F15F32" w14:textId="77777777" w:rsidR="00057724" w:rsidRPr="009464B2" w:rsidRDefault="00057724" w:rsidP="00057724">
      <w:pPr>
        <w:numPr>
          <w:ilvl w:val="0"/>
          <w:numId w:val="1"/>
        </w:numPr>
        <w:tabs>
          <w:tab w:val="clear" w:pos="1080"/>
        </w:tabs>
        <w:spacing w:after="120" w:line="288" w:lineRule="auto"/>
        <w:ind w:left="0" w:hanging="720"/>
      </w:pPr>
      <w:r w:rsidRPr="009464B2">
        <w:lastRenderedPageBreak/>
        <w:t>Avista supports its proposal with a business case analysis,</w:t>
      </w:r>
      <w:r w:rsidRPr="009464B2">
        <w:rPr>
          <w:rStyle w:val="FootnoteReference"/>
        </w:rPr>
        <w:footnoteReference w:id="280"/>
      </w:r>
      <w:r w:rsidRPr="009464B2">
        <w:t xml:space="preserve"> and notes a national trend of utilities deploying advanced metering.</w:t>
      </w:r>
      <w:r w:rsidRPr="009464B2">
        <w:rPr>
          <w:vertAlign w:val="superscript"/>
        </w:rPr>
        <w:footnoteReference w:id="281"/>
      </w:r>
      <w:r w:rsidRPr="009464B2">
        <w:t xml:space="preserve"> The Company’s “preliminary estimate” of projected lifetime costs is $223 million over 21 years, including $145 million in capital and $78 million in annual O&amp;M costs.</w:t>
      </w:r>
      <w:r w:rsidRPr="009464B2">
        <w:rPr>
          <w:vertAlign w:val="superscript"/>
        </w:rPr>
        <w:footnoteReference w:id="282"/>
      </w:r>
      <w:r w:rsidRPr="009464B2">
        <w:t xml:space="preserve"> According to Avista, these costs will be offset with projected benefits of $170 million in operational savings and $60 million in direct customer savings.</w:t>
      </w:r>
      <w:r w:rsidRPr="009464B2">
        <w:rPr>
          <w:vertAlign w:val="superscript"/>
        </w:rPr>
        <w:footnoteReference w:id="283"/>
      </w:r>
      <w:r w:rsidRPr="009464B2">
        <w:t xml:space="preserve"> The business case includes an estimated net present benefit of $7.5 million for the 21-year life of the AMI.</w:t>
      </w:r>
      <w:r w:rsidRPr="009464B2">
        <w:rPr>
          <w:vertAlign w:val="superscript"/>
        </w:rPr>
        <w:footnoteReference w:id="284"/>
      </w:r>
      <w:r w:rsidRPr="009464B2">
        <w:t xml:space="preserve"> This net benefit is equal to 3.36 percent of the lifetime costs and, if expressed as an annual amount over a 21-year period, is $357,143 per year.</w:t>
      </w:r>
      <w:r w:rsidRPr="009464B2">
        <w:rPr>
          <w:vertAlign w:val="superscript"/>
        </w:rPr>
        <w:footnoteReference w:id="285"/>
      </w:r>
      <w:r w:rsidRPr="009464B2">
        <w:t xml:space="preserve"> However, in its most recent estimate, Avista lowered the project’s net present benefit from $7.5 million to $3.5 million over 21 years.</w:t>
      </w:r>
      <w:r w:rsidRPr="009464B2">
        <w:rPr>
          <w:rStyle w:val="FootnoteReference"/>
        </w:rPr>
        <w:footnoteReference w:id="286"/>
      </w:r>
    </w:p>
    <w:p w14:paraId="0A9A50B0" w14:textId="04DDDF6E" w:rsidR="00B7093E" w:rsidRPr="009464B2" w:rsidRDefault="00057724" w:rsidP="00057724">
      <w:pPr>
        <w:numPr>
          <w:ilvl w:val="0"/>
          <w:numId w:val="1"/>
        </w:numPr>
        <w:tabs>
          <w:tab w:val="clear" w:pos="1080"/>
        </w:tabs>
        <w:spacing w:after="120" w:line="288" w:lineRule="auto"/>
        <w:ind w:left="0" w:hanging="720"/>
        <w:rPr>
          <w:rFonts w:eastAsia="Calibri"/>
        </w:rPr>
      </w:pPr>
      <w:r w:rsidRPr="009464B2">
        <w:t xml:space="preserve">While Avista removes this capital addition on rebuttal, it asks the Commission to make a variety of decisions about AMI. Mr. LaBolle </w:t>
      </w:r>
      <w:r w:rsidRPr="009464B2">
        <w:rPr>
          <w:rFonts w:eastAsia="Calibri"/>
        </w:rPr>
        <w:t xml:space="preserve">asks for </w:t>
      </w:r>
      <w:r w:rsidRPr="009464B2">
        <w:t>“guidance . . . as to whether or not advanced metering should be implemented,”</w:t>
      </w:r>
      <w:r w:rsidRPr="009464B2">
        <w:rPr>
          <w:vertAlign w:val="superscript"/>
        </w:rPr>
        <w:footnoteReference w:id="287"/>
      </w:r>
      <w:r w:rsidRPr="009464B2">
        <w:t xml:space="preserve"> while Mr. Norwood requests an order “that supports Avista’s decision to move forward, in principle, with the deployment of AMI.”</w:t>
      </w:r>
      <w:r w:rsidRPr="009464B2">
        <w:rPr>
          <w:rStyle w:val="FootnoteReference"/>
        </w:rPr>
        <w:footnoteReference w:id="288"/>
      </w:r>
      <w:r w:rsidRPr="009464B2">
        <w:t xml:space="preserve"> Avista seeks “an affirmation that the Company should proceed with the implementation of AMI, so long as the costs of implementation are prudently incurred.”</w:t>
      </w:r>
      <w:r w:rsidRPr="009464B2">
        <w:rPr>
          <w:rStyle w:val="FootnoteReference"/>
        </w:rPr>
        <w:footnoteReference w:id="289"/>
      </w:r>
      <w:r w:rsidRPr="009464B2">
        <w:t xml:space="preserve"> The Company specifically rejects the notion that it is requesting preapproval of the costs associated with implementation of the project and their recovery in rates, </w:t>
      </w:r>
      <w:r w:rsidRPr="009464B2">
        <w:lastRenderedPageBreak/>
        <w:t>stating that cost recovery “will be the subject of a prudence review in Avista’s next general rate filing.”</w:t>
      </w:r>
      <w:r w:rsidRPr="009464B2">
        <w:rPr>
          <w:rStyle w:val="FootnoteReference"/>
        </w:rPr>
        <w:footnoteReference w:id="290"/>
      </w:r>
      <w:r w:rsidR="009C4BD8" w:rsidRPr="009464B2">
        <w:t xml:space="preserve"> </w:t>
      </w:r>
    </w:p>
    <w:p w14:paraId="2311459A" w14:textId="0D10EDAE" w:rsidR="00057724" w:rsidRPr="009464B2" w:rsidRDefault="00057724" w:rsidP="00057724">
      <w:pPr>
        <w:numPr>
          <w:ilvl w:val="0"/>
          <w:numId w:val="1"/>
        </w:numPr>
        <w:tabs>
          <w:tab w:val="clear" w:pos="1080"/>
        </w:tabs>
        <w:spacing w:after="120" w:line="288" w:lineRule="auto"/>
        <w:ind w:left="0" w:hanging="720"/>
      </w:pPr>
      <w:r w:rsidRPr="009464B2">
        <w:t>Avista also requests specific accounting treatment regarding the undepreciated net book value of retiring existing meters. Avista proposes that the Commission create a regulatory asset for the undepreciated value of existing meters that it plans to remove and approve the amortization of the balance into rates over a ten year period.</w:t>
      </w:r>
      <w:r w:rsidRPr="009464B2">
        <w:rPr>
          <w:vertAlign w:val="superscript"/>
        </w:rPr>
        <w:footnoteReference w:id="291"/>
      </w:r>
      <w:r w:rsidRPr="009464B2">
        <w:t xml:space="preserve"> Avista claims that absent Commission approval of this accounting treatment, the project would be canceled or delayed because the Company would not move forward as it would face an approximately $20 million write-off.</w:t>
      </w:r>
      <w:r w:rsidRPr="009464B2">
        <w:rPr>
          <w:vertAlign w:val="superscript"/>
        </w:rPr>
        <w:footnoteReference w:id="292"/>
      </w:r>
      <w:r w:rsidRPr="009464B2">
        <w:t xml:space="preserve">  </w:t>
      </w:r>
    </w:p>
    <w:p w14:paraId="3678DE3F" w14:textId="6D05B452" w:rsidR="00A018F7" w:rsidRPr="009464B2" w:rsidRDefault="00057724" w:rsidP="00057724">
      <w:pPr>
        <w:numPr>
          <w:ilvl w:val="0"/>
          <w:numId w:val="1"/>
        </w:numPr>
        <w:tabs>
          <w:tab w:val="clear" w:pos="1080"/>
        </w:tabs>
        <w:spacing w:after="120" w:line="288" w:lineRule="auto"/>
        <w:ind w:left="0" w:hanging="720"/>
      </w:pPr>
      <w:r w:rsidRPr="009464B2">
        <w:rPr>
          <w:i/>
        </w:rPr>
        <w:t xml:space="preserve">Other Party Positions.  </w:t>
      </w:r>
      <w:r w:rsidRPr="009464B2">
        <w:rPr>
          <w:rFonts w:eastAsia="Calibri"/>
        </w:rPr>
        <w:t xml:space="preserve">Staff, Public Counsel, The Energy Project, and ICNU oppose Avista’s initial proposal in this case. </w:t>
      </w:r>
      <w:r w:rsidRPr="009464B2">
        <w:t xml:space="preserve">Mr. David Nightingale, on behalf of Staff, objects to the Company’s </w:t>
      </w:r>
      <w:r w:rsidR="00E459F6" w:rsidRPr="009464B2">
        <w:t xml:space="preserve">request </w:t>
      </w:r>
      <w:r w:rsidRPr="009464B2">
        <w:t>primarily because, as proposed by the Company, AMI would not be used and useful for service in Washington.</w:t>
      </w:r>
      <w:r w:rsidRPr="009464B2">
        <w:rPr>
          <w:rFonts w:eastAsia="Calibri"/>
          <w:vertAlign w:val="superscript"/>
        </w:rPr>
        <w:footnoteReference w:id="293"/>
      </w:r>
      <w:r w:rsidRPr="009464B2">
        <w:t xml:space="preserve"> The equipment has not been purchased, and Avista is still in the process of developing a plan to acquire smart meters and implement AMI.</w:t>
      </w:r>
      <w:r w:rsidRPr="009464B2">
        <w:rPr>
          <w:vertAlign w:val="superscript"/>
        </w:rPr>
        <w:footnoteReference w:id="294"/>
      </w:r>
      <w:r w:rsidRPr="009464B2">
        <w:t xml:space="preserve"> Mr. Nightingale argues that Avista’s proposal consists of a “planning level estimate” including cost and benefit estimates that “are too speculative to be useful for ratemaking purposes," and that fall short of the Commission’s known and measurable standard.</w:t>
      </w:r>
      <w:r w:rsidRPr="009464B2">
        <w:rPr>
          <w:vertAlign w:val="superscript"/>
        </w:rPr>
        <w:footnoteReference w:id="295"/>
      </w:r>
      <w:r w:rsidRPr="009464B2">
        <w:t xml:space="preserve"> He recommends the “Commission should exclude these yet-to-be-incurred expenses from this rate case because the AMI is not yet used and useful for service in Washington.”</w:t>
      </w:r>
      <w:r w:rsidRPr="009464B2">
        <w:rPr>
          <w:rStyle w:val="FootnoteReference"/>
        </w:rPr>
        <w:footnoteReference w:id="296"/>
      </w:r>
      <w:r w:rsidR="00A018F7" w:rsidRPr="009464B2" w:rsidDel="00C33438">
        <w:t xml:space="preserve"> </w:t>
      </w:r>
    </w:p>
    <w:p w14:paraId="69B2D0A5" w14:textId="77777777" w:rsidR="00057724" w:rsidRPr="009464B2" w:rsidRDefault="00057724" w:rsidP="00057724">
      <w:pPr>
        <w:numPr>
          <w:ilvl w:val="0"/>
          <w:numId w:val="1"/>
        </w:numPr>
        <w:tabs>
          <w:tab w:val="clear" w:pos="1080"/>
        </w:tabs>
        <w:spacing w:after="120" w:line="288" w:lineRule="auto"/>
        <w:ind w:left="0" w:hanging="720"/>
      </w:pPr>
      <w:r w:rsidRPr="009464B2">
        <w:rPr>
          <w:rFonts w:eastAsia="Calibri"/>
        </w:rPr>
        <w:t xml:space="preserve">Public Counsel and The Energy Project’s witness, Ms. Barbara Alexander, concludes that </w:t>
      </w:r>
      <w:r w:rsidRPr="009464B2">
        <w:t>the costs for the AMI project “are neither known and measureable, nor used and useful.”</w:t>
      </w:r>
      <w:r w:rsidRPr="009464B2">
        <w:rPr>
          <w:rStyle w:val="FootnoteReference"/>
        </w:rPr>
        <w:footnoteReference w:id="297"/>
      </w:r>
      <w:r w:rsidRPr="009464B2">
        <w:t xml:space="preserve"> Ms. Alexander and Mr. Mullins, for ICNU, also criticize the accuracy of </w:t>
      </w:r>
      <w:r w:rsidRPr="009464B2">
        <w:lastRenderedPageBreak/>
        <w:t>Avista’s estimated costs and benefits.</w:t>
      </w:r>
      <w:r w:rsidRPr="009464B2">
        <w:rPr>
          <w:vertAlign w:val="superscript"/>
        </w:rPr>
        <w:footnoteReference w:id="298"/>
      </w:r>
      <w:r w:rsidRPr="009464B2">
        <w:t xml:space="preserve"> They note that Avista’s cost estimates are not tailored to Avista’s metering system, service territory, communications network, billing system, or outage management systems.</w:t>
      </w:r>
      <w:r w:rsidRPr="009464B2">
        <w:rPr>
          <w:vertAlign w:val="superscript"/>
        </w:rPr>
        <w:footnoteReference w:id="299"/>
      </w:r>
      <w:r w:rsidRPr="009464B2">
        <w:t xml:space="preserve"> As we noted above, on rebuttal, Avista does not counter these arguments and instead removes its proposed $30 million capital addition from its requested 2016 rates.</w:t>
      </w:r>
      <w:r w:rsidRPr="009464B2">
        <w:rPr>
          <w:vertAlign w:val="superscript"/>
        </w:rPr>
        <w:footnoteReference w:id="300"/>
      </w:r>
    </w:p>
    <w:p w14:paraId="657410F2" w14:textId="0BFB2F53" w:rsidR="00B7093E" w:rsidRPr="009464B2" w:rsidRDefault="00057724" w:rsidP="00057724">
      <w:pPr>
        <w:numPr>
          <w:ilvl w:val="0"/>
          <w:numId w:val="1"/>
        </w:numPr>
        <w:tabs>
          <w:tab w:val="clear" w:pos="1080"/>
        </w:tabs>
        <w:spacing w:after="120" w:line="288" w:lineRule="auto"/>
        <w:ind w:left="0" w:hanging="720"/>
      </w:pPr>
      <w:r w:rsidRPr="009464B2">
        <w:t>Ms. Alexander also rejects Avista’s claimed savings due to remote disconnection and reconnection of electric service. Ms. Alexander objects to Avista’s assumption that the Commission will allow it to disconnect service without a utility employee visiting the customer’s home. She notes that the employee visit serves an important consumer protection function, especially for low-income customers.</w:t>
      </w:r>
      <w:r w:rsidRPr="009464B2">
        <w:rPr>
          <w:vertAlign w:val="superscript"/>
        </w:rPr>
        <w:footnoteReference w:id="301"/>
      </w:r>
    </w:p>
    <w:p w14:paraId="046C2926" w14:textId="77777777" w:rsidR="00057724" w:rsidRPr="009464B2" w:rsidRDefault="00057724" w:rsidP="00057724">
      <w:pPr>
        <w:numPr>
          <w:ilvl w:val="0"/>
          <w:numId w:val="1"/>
        </w:numPr>
        <w:tabs>
          <w:tab w:val="clear" w:pos="1080"/>
        </w:tabs>
        <w:spacing w:after="120" w:line="288" w:lineRule="auto"/>
        <w:ind w:left="0" w:hanging="720"/>
      </w:pPr>
      <w:r w:rsidRPr="009464B2">
        <w:t xml:space="preserve">Ms. Alexander also raises concerns about the value that Avista attributes to avoided electrical outages. She focuses her critique on the way that Avista calculates the $2.2 million benefit of outage avoidance to customers. This represents an imputed value, </w:t>
      </w:r>
      <w:r w:rsidRPr="009464B2">
        <w:rPr>
          <w:i/>
        </w:rPr>
        <w:t>i.e.</w:t>
      </w:r>
      <w:r w:rsidRPr="009464B2">
        <w:t>, what the U.S. Department of Energy’s Interruption Cost Estimator (ICE calculator) says customers would pay to avoid an outage.</w:t>
      </w:r>
      <w:r w:rsidRPr="009464B2">
        <w:rPr>
          <w:vertAlign w:val="superscript"/>
        </w:rPr>
        <w:footnoteReference w:id="302"/>
      </w:r>
    </w:p>
    <w:p w14:paraId="44734376" w14:textId="77777777" w:rsidR="00057724" w:rsidRPr="009464B2" w:rsidRDefault="00057724" w:rsidP="00057724">
      <w:pPr>
        <w:numPr>
          <w:ilvl w:val="0"/>
          <w:numId w:val="1"/>
        </w:numPr>
        <w:tabs>
          <w:tab w:val="clear" w:pos="1080"/>
        </w:tabs>
        <w:spacing w:after="120" w:line="288" w:lineRule="auto"/>
        <w:ind w:left="0" w:hanging="720"/>
        <w:rPr>
          <w:rFonts w:eastAsia="Calibri"/>
        </w:rPr>
      </w:pPr>
      <w:r w:rsidRPr="009464B2">
        <w:rPr>
          <w:rFonts w:eastAsia="Calibri"/>
        </w:rPr>
        <w:lastRenderedPageBreak/>
        <w:t>Mr. Mullins argues that allowing carrying charges for the regulatory asset allows Avista double recovery.</w:t>
      </w:r>
      <w:r w:rsidRPr="009464B2">
        <w:rPr>
          <w:rFonts w:eastAsia="Calibri"/>
          <w:vertAlign w:val="superscript"/>
        </w:rPr>
        <w:footnoteReference w:id="303"/>
      </w:r>
      <w:r w:rsidRPr="009464B2">
        <w:rPr>
          <w:rFonts w:eastAsia="Calibri"/>
        </w:rPr>
        <w:t xml:space="preserve"> He argues that it is inappropriate to create a regulatory asset for existing meters before those meters are retired.</w:t>
      </w:r>
      <w:r w:rsidRPr="009464B2">
        <w:rPr>
          <w:rFonts w:eastAsia="Calibri"/>
          <w:vertAlign w:val="superscript"/>
        </w:rPr>
        <w:footnoteReference w:id="304"/>
      </w:r>
      <w:r w:rsidRPr="009464B2">
        <w:rPr>
          <w:rFonts w:eastAsia="Calibri"/>
        </w:rPr>
        <w:t xml:space="preserve"> Mr. Mullins recommends the Commission completely reject the AMI plan proposed in the Company’s initial filing.</w:t>
      </w:r>
    </w:p>
    <w:p w14:paraId="14EFE99A" w14:textId="77777777" w:rsidR="00057724" w:rsidRPr="009464B2" w:rsidRDefault="00057724" w:rsidP="00057724">
      <w:pPr>
        <w:numPr>
          <w:ilvl w:val="0"/>
          <w:numId w:val="1"/>
        </w:numPr>
        <w:tabs>
          <w:tab w:val="clear" w:pos="1080"/>
        </w:tabs>
        <w:spacing w:after="120" w:line="288" w:lineRule="auto"/>
        <w:ind w:left="0" w:hanging="720"/>
        <w:rPr>
          <w:rFonts w:eastAsia="Calibri"/>
        </w:rPr>
      </w:pPr>
      <w:r w:rsidRPr="009464B2">
        <w:rPr>
          <w:rFonts w:eastAsia="Calibri"/>
        </w:rPr>
        <w:t>After concluding that Avista’s proposal is inappropriate because AMI is not used and useful, Mr. Nightingale recommends a future proceeding to address AMI. He states that if Avista chooses to implement AMI, it should be prepared to demonstrate, after implementation, that the deployment is cost-effective.</w:t>
      </w:r>
      <w:r w:rsidRPr="009464B2">
        <w:rPr>
          <w:rFonts w:eastAsia="Calibri"/>
          <w:vertAlign w:val="superscript"/>
        </w:rPr>
        <w:footnoteReference w:id="305"/>
      </w:r>
    </w:p>
    <w:p w14:paraId="5C3B439E" w14:textId="77777777" w:rsidR="00057724" w:rsidRPr="009464B2" w:rsidRDefault="00057724" w:rsidP="00057724">
      <w:pPr>
        <w:numPr>
          <w:ilvl w:val="0"/>
          <w:numId w:val="1"/>
        </w:numPr>
        <w:tabs>
          <w:tab w:val="clear" w:pos="1080"/>
        </w:tabs>
        <w:spacing w:after="120" w:line="288" w:lineRule="auto"/>
        <w:ind w:left="0" w:hanging="720"/>
      </w:pPr>
      <w:r w:rsidRPr="009464B2">
        <w:rPr>
          <w:rFonts w:eastAsia="Calibri"/>
        </w:rPr>
        <w:t>Mr. Nightingale requests that the Commission initiate a workshop to review its smart grid policies, including its 2007 Policy Statement,</w:t>
      </w:r>
      <w:r w:rsidRPr="009464B2">
        <w:rPr>
          <w:rFonts w:eastAsia="Calibri"/>
          <w:vertAlign w:val="superscript"/>
        </w:rPr>
        <w:footnoteReference w:id="306"/>
      </w:r>
      <w:r w:rsidRPr="009464B2">
        <w:rPr>
          <w:rFonts w:eastAsia="Calibri"/>
        </w:rPr>
        <w:t xml:space="preserve"> the potential to extend or modify the annual smart grid technology report required under WAC 480-100-505, and consider a requirement for utilities to issue a request for proposals for a smart grid potential assessment that serves the same function as the conservation potential assessment described in WAC 480-109-100(2).</w:t>
      </w:r>
      <w:r w:rsidRPr="009464B2">
        <w:rPr>
          <w:rFonts w:eastAsia="Calibri"/>
          <w:vertAlign w:val="superscript"/>
        </w:rPr>
        <w:footnoteReference w:id="307"/>
      </w:r>
      <w:r w:rsidRPr="009464B2">
        <w:rPr>
          <w:rFonts w:eastAsia="Calibri"/>
        </w:rPr>
        <w:t xml:space="preserve"> </w:t>
      </w:r>
    </w:p>
    <w:p w14:paraId="689DD9BD" w14:textId="77777777" w:rsidR="00057724" w:rsidRPr="009464B2" w:rsidRDefault="00057724" w:rsidP="00057724">
      <w:pPr>
        <w:numPr>
          <w:ilvl w:val="0"/>
          <w:numId w:val="1"/>
        </w:numPr>
        <w:tabs>
          <w:tab w:val="clear" w:pos="1080"/>
        </w:tabs>
        <w:spacing w:after="120" w:line="288" w:lineRule="auto"/>
        <w:ind w:left="0" w:hanging="720"/>
      </w:pPr>
      <w:r w:rsidRPr="009464B2">
        <w:rPr>
          <w:rFonts w:eastAsia="Calibri"/>
        </w:rPr>
        <w:t>In their briefs, Staff and</w:t>
      </w:r>
      <w:r w:rsidRPr="009464B2">
        <w:rPr>
          <w:rFonts w:eastAsia="Calibri"/>
          <w:i/>
        </w:rPr>
        <w:t xml:space="preserve"> </w:t>
      </w:r>
      <w:r w:rsidRPr="009464B2">
        <w:rPr>
          <w:rFonts w:eastAsia="Calibri"/>
        </w:rPr>
        <w:t>Public Counsel argue that Avista is seeking pre-approval of its planned AMI investment.</w:t>
      </w:r>
      <w:r w:rsidRPr="009464B2">
        <w:rPr>
          <w:rStyle w:val="FootnoteReference"/>
          <w:rFonts w:eastAsia="Calibri"/>
        </w:rPr>
        <w:footnoteReference w:id="308"/>
      </w:r>
      <w:r w:rsidRPr="009464B2">
        <w:rPr>
          <w:rFonts w:eastAsia="Calibri"/>
        </w:rPr>
        <w:t xml:space="preserve"> </w:t>
      </w:r>
      <w:r w:rsidRPr="009464B2">
        <w:t>Further, Staff and Public Counsel argue that the Commission need not act in this case for Avista to avoid a write-off;</w:t>
      </w:r>
      <w:r w:rsidRPr="009464B2">
        <w:rPr>
          <w:rStyle w:val="FootnoteReference"/>
        </w:rPr>
        <w:footnoteReference w:id="309"/>
      </w:r>
      <w:r w:rsidRPr="009464B2">
        <w:t xml:space="preserve"> instead Avista could file a separate accounting petition at a later date.</w:t>
      </w:r>
      <w:r w:rsidRPr="009464B2">
        <w:rPr>
          <w:rStyle w:val="FootnoteReference"/>
        </w:rPr>
        <w:footnoteReference w:id="310"/>
      </w:r>
    </w:p>
    <w:p w14:paraId="029DF25C" w14:textId="3F659455" w:rsidR="00E64C38" w:rsidRPr="009464B2" w:rsidRDefault="00057724" w:rsidP="00057724">
      <w:pPr>
        <w:numPr>
          <w:ilvl w:val="0"/>
          <w:numId w:val="1"/>
        </w:numPr>
        <w:tabs>
          <w:tab w:val="clear" w:pos="1080"/>
        </w:tabs>
        <w:spacing w:after="120" w:line="288" w:lineRule="auto"/>
        <w:ind w:left="0" w:hanging="720"/>
      </w:pPr>
      <w:r w:rsidRPr="009464B2">
        <w:rPr>
          <w:i/>
        </w:rPr>
        <w:lastRenderedPageBreak/>
        <w:t xml:space="preserve">Decision.  </w:t>
      </w:r>
      <w:r w:rsidRPr="009464B2">
        <w:t xml:space="preserve">We generally support utilities’ provision of technologically advanced service to customers when a utility demonstrates that the investment is used and useful and prudent. We acknowledge that Avista has been a leader among the region’s utilities in deploying advanced “smart grid” technologies over the past decade in both the Spokane distribution system and the Pullman area that included both distribution and metering technologies. </w:t>
      </w:r>
    </w:p>
    <w:p w14:paraId="65F1FE02" w14:textId="77777777" w:rsidR="00057724" w:rsidRPr="009464B2" w:rsidRDefault="00057724" w:rsidP="00057724">
      <w:pPr>
        <w:numPr>
          <w:ilvl w:val="0"/>
          <w:numId w:val="1"/>
        </w:numPr>
        <w:tabs>
          <w:tab w:val="clear" w:pos="1080"/>
        </w:tabs>
        <w:spacing w:after="120" w:line="288" w:lineRule="auto"/>
        <w:ind w:left="0" w:hanging="720"/>
      </w:pPr>
      <w:r w:rsidRPr="009464B2">
        <w:t>In addition, the Commission has taken an active role in monitoring technology trends. As Staff points out, in 2010 the Commission enacted a rule (WAC 480-100-505) requiring Avista and other utilities to file periodic reports in which the companies assess potential for advanced technologies, including advanced digital and two-way communications, which the customer can use to interact with the utility in new ways. While such reports and periodic Commission briefings are not case-specific reviews of specific capital investments for prudency, we have found them to be useful and informative.</w:t>
      </w:r>
    </w:p>
    <w:p w14:paraId="0FAA84EC" w14:textId="6BC58FF9" w:rsidR="00057724" w:rsidRPr="009464B2" w:rsidRDefault="00057724" w:rsidP="00057724">
      <w:pPr>
        <w:numPr>
          <w:ilvl w:val="0"/>
          <w:numId w:val="1"/>
        </w:numPr>
        <w:tabs>
          <w:tab w:val="clear" w:pos="1080"/>
        </w:tabs>
        <w:spacing w:after="120" w:line="288" w:lineRule="auto"/>
        <w:ind w:left="0" w:hanging="720"/>
      </w:pPr>
      <w:r w:rsidRPr="009464B2">
        <w:t xml:space="preserve">The Company portrays AMI as another step in this technological and business evolution of the utility as it adapts to changing circumstances. It has requested some “guidance” or a sense of the Commission’s “general direction” toward AMI in this </w:t>
      </w:r>
      <w:r w:rsidR="00BD3952">
        <w:t>proceeding</w:t>
      </w:r>
      <w:r w:rsidRPr="009464B2">
        <w:t>. However, we note that assessing such a far-reaching technology upgrade in a general sense in a briefing or workshop is a different matter than reviewing a detailed cost-benefit study in a specific rate case proceeding. AMI requires a large upfront capital investment, which Avista claims will be offset by the benefits cited in its business case. We view Avista’s requests in this case</w:t>
      </w:r>
      <w:r w:rsidR="00ED79AE" w:rsidRPr="009464B2">
        <w:t xml:space="preserve"> </w:t>
      </w:r>
      <w:r w:rsidRPr="009464B2">
        <w:t>as requests that the Commission take the first step towards a prudence determination prior to the Company even selecting a vendor to replace the meters, or for that matter, deciding on specific vendors for the meters, communications network, and related infrastructure supporting such a large project.</w:t>
      </w:r>
    </w:p>
    <w:p w14:paraId="4D67FD6A" w14:textId="77777777" w:rsidR="00057724" w:rsidRPr="009464B2" w:rsidRDefault="00057724" w:rsidP="00057724">
      <w:pPr>
        <w:numPr>
          <w:ilvl w:val="0"/>
          <w:numId w:val="1"/>
        </w:numPr>
        <w:tabs>
          <w:tab w:val="clear" w:pos="1080"/>
        </w:tabs>
        <w:spacing w:after="120" w:line="288" w:lineRule="auto"/>
        <w:ind w:left="0" w:hanging="720"/>
      </w:pPr>
      <w:r w:rsidRPr="009464B2">
        <w:t xml:space="preserve">We decline Avista’s requested action because this issue is not ripe for Commission determination. The Commission’s longstanding practice is to review the prudence of a utility’s investment in plant </w:t>
      </w:r>
      <w:r w:rsidRPr="009464B2">
        <w:rPr>
          <w:u w:val="single"/>
        </w:rPr>
        <w:t>after</w:t>
      </w:r>
      <w:r w:rsidRPr="009464B2">
        <w:t xml:space="preserve"> that plant is placed in service and is used and useful.</w:t>
      </w:r>
      <w:r w:rsidRPr="009464B2">
        <w:rPr>
          <w:rStyle w:val="FootnoteReference"/>
        </w:rPr>
        <w:footnoteReference w:id="311"/>
      </w:r>
      <w:r w:rsidRPr="009464B2">
        <w:t xml:space="preserve"> In contrast, this case discusses a proposal for a future investment that, if we took that first step towards a prudence determination, could be viewed as the Commission indicating pre-approval. </w:t>
      </w:r>
    </w:p>
    <w:p w14:paraId="2B5433EE" w14:textId="2971B469" w:rsidR="00B7093E" w:rsidRPr="009464B2" w:rsidRDefault="00057724" w:rsidP="00057724">
      <w:pPr>
        <w:numPr>
          <w:ilvl w:val="0"/>
          <w:numId w:val="1"/>
        </w:numPr>
        <w:tabs>
          <w:tab w:val="clear" w:pos="1080"/>
        </w:tabs>
        <w:spacing w:after="120" w:line="288" w:lineRule="auto"/>
        <w:ind w:left="0" w:hanging="720"/>
      </w:pPr>
      <w:r w:rsidRPr="009464B2">
        <w:lastRenderedPageBreak/>
        <w:t>The Company testifies that its board of directors has not made a decision regarding this investment,</w:t>
      </w:r>
      <w:r w:rsidRPr="009464B2">
        <w:rPr>
          <w:rStyle w:val="FootnoteReference"/>
        </w:rPr>
        <w:footnoteReference w:id="312"/>
      </w:r>
      <w:r w:rsidRPr="009464B2">
        <w:t xml:space="preserve"> and its management suggests the Company is in a partnership with us on this project.</w:t>
      </w:r>
      <w:r w:rsidRPr="009464B2">
        <w:rPr>
          <w:rStyle w:val="FootnoteReference"/>
        </w:rPr>
        <w:footnoteReference w:id="313"/>
      </w:r>
      <w:r w:rsidRPr="009464B2">
        <w:t xml:space="preserve"> The responsibility for a decision to move forward with an investment rests with the Company.</w:t>
      </w:r>
      <w:r w:rsidRPr="009464B2">
        <w:rPr>
          <w:rStyle w:val="FootnoteReference"/>
        </w:rPr>
        <w:footnoteReference w:id="314"/>
      </w:r>
      <w:r w:rsidRPr="009464B2">
        <w:t xml:space="preserve"> </w:t>
      </w:r>
      <w:r w:rsidRPr="009464B2">
        <w:rPr>
          <w:rFonts w:eastAsia="Calibri"/>
        </w:rPr>
        <w:t>Avista’s</w:t>
      </w:r>
      <w:r w:rsidRPr="009464B2">
        <w:t xml:space="preserve"> proposal asks the Commission to make the managerial decisions for it; we decline to do so. The Company must place new plant in service for its ratepayers before the Commission will opine on the prudence of its decision. To do otherwise would deny us the opportunity to apply our prudence standard to “the question of need” for AMI.</w:t>
      </w:r>
      <w:r w:rsidRPr="009464B2">
        <w:rPr>
          <w:vertAlign w:val="superscript"/>
        </w:rPr>
        <w:footnoteReference w:id="315"/>
      </w:r>
    </w:p>
    <w:p w14:paraId="38C1BE3F" w14:textId="43856ED4" w:rsidR="00057724" w:rsidRPr="009464B2" w:rsidRDefault="00057724" w:rsidP="00057724">
      <w:pPr>
        <w:numPr>
          <w:ilvl w:val="0"/>
          <w:numId w:val="1"/>
        </w:numPr>
        <w:tabs>
          <w:tab w:val="clear" w:pos="1080"/>
        </w:tabs>
        <w:spacing w:after="120" w:line="288" w:lineRule="auto"/>
        <w:ind w:left="0" w:hanging="720"/>
      </w:pPr>
      <w:r w:rsidRPr="009464B2">
        <w:t>While we do not make a decision regarding the prudence of this project in this proceeding, we note the considerable uncertainty surrounding the business case analysis Avista prepared. During the pendency of this case, the Company modified both the estimated costs of the AMI deployment, by $20 million in capital costs, and the net benefits, from $7.5 million to $3.5 million, At hearing, Mr. Kopzcynski testified that the business case analysis was accurate with “plus-or-minus-50-percent type of uncertainty.”</w:t>
      </w:r>
      <w:r w:rsidRPr="009464B2">
        <w:rPr>
          <w:rStyle w:val="FootnoteReference"/>
        </w:rPr>
        <w:footnoteReference w:id="316"/>
      </w:r>
      <w:r w:rsidRPr="009464B2">
        <w:t xml:space="preserve"> The relatively small anticipated benefit of Avista’s business case of $3.5 million out of a $227 million project, coupled with “plus-or-minus-50-percent” uncertainty in cost, demonstrates that significant uncertainty exists</w:t>
      </w:r>
      <w:r w:rsidR="00B8471E" w:rsidRPr="009464B2">
        <w:t>.</w:t>
      </w:r>
      <w:r w:rsidRPr="009464B2">
        <w:t xml:space="preserve"> While we are aware of the potential upside of AMI deployment, we must also recognize the potential costs to ratepayers if a “minus-50-percent” scenario prevails</w:t>
      </w:r>
      <w:r w:rsidR="00B8471E" w:rsidRPr="009464B2">
        <w:t>.</w:t>
      </w:r>
      <w:r w:rsidRPr="009464B2">
        <w:t xml:space="preserve"> The Commission cannot conclude on this record that deployment of AMI</w:t>
      </w:r>
      <w:r w:rsidR="00B8471E" w:rsidRPr="009464B2">
        <w:t>, under the business case that Avista presents in this case, is compelling</w:t>
      </w:r>
      <w:r w:rsidRPr="009464B2">
        <w:t xml:space="preserve"> at this time. We look forward to more refined cost-benefit analysis in a future proceeding, including a fuller discussion of “non-quantifiable benefits” suggested by Mr. Kopzcynski.</w:t>
      </w:r>
      <w:r w:rsidRPr="009464B2">
        <w:rPr>
          <w:rStyle w:val="FootnoteReference"/>
        </w:rPr>
        <w:footnoteReference w:id="317"/>
      </w:r>
      <w:r w:rsidRPr="009464B2">
        <w:t xml:space="preserve">  </w:t>
      </w:r>
    </w:p>
    <w:p w14:paraId="678143C5" w14:textId="70F99AC5" w:rsidR="00B7093E" w:rsidRPr="009464B2" w:rsidRDefault="00057724" w:rsidP="00057724">
      <w:pPr>
        <w:numPr>
          <w:ilvl w:val="0"/>
          <w:numId w:val="1"/>
        </w:numPr>
        <w:tabs>
          <w:tab w:val="clear" w:pos="1080"/>
        </w:tabs>
        <w:spacing w:after="120" w:line="288" w:lineRule="auto"/>
        <w:ind w:left="0" w:hanging="720"/>
      </w:pPr>
      <w:r w:rsidRPr="009464B2">
        <w:lastRenderedPageBreak/>
        <w:t>Avista claims that absent Commission approval of its proposed regulatory asset in this proceeding the Company would face a $20 million write-off when it purchases new meters.</w:t>
      </w:r>
      <w:r w:rsidRPr="009464B2">
        <w:rPr>
          <w:vertAlign w:val="superscript"/>
        </w:rPr>
        <w:footnoteReference w:id="318"/>
      </w:r>
      <w:r w:rsidRPr="009464B2">
        <w:t xml:space="preserve"> Avista’s discussion ignores the Commission’s longstanding regulatory practice of reviewing and approving accounting petitions in a timely manner and deciding on the recovery of costs in a future proceeding.</w:t>
      </w:r>
      <w:r w:rsidRPr="009464B2">
        <w:rPr>
          <w:rStyle w:val="FootnoteReference"/>
        </w:rPr>
        <w:footnoteReference w:id="319"/>
      </w:r>
    </w:p>
    <w:p w14:paraId="362B3847" w14:textId="77777777" w:rsidR="00057724" w:rsidRPr="009464B2" w:rsidRDefault="00057724" w:rsidP="00057724">
      <w:pPr>
        <w:numPr>
          <w:ilvl w:val="0"/>
          <w:numId w:val="1"/>
        </w:numPr>
        <w:tabs>
          <w:tab w:val="clear" w:pos="1080"/>
        </w:tabs>
        <w:spacing w:after="120" w:line="288" w:lineRule="auto"/>
        <w:ind w:left="0" w:hanging="720"/>
      </w:pPr>
      <w:r w:rsidRPr="009464B2">
        <w:t>Mr. Norwood cites to Generally Accepted Accounting Principles (GAAP) and asserts that absent an accounting order from the Commission, once Avista selects a vendor and signs an agreement, it would be required to write-off its existing net investment in its older meters.</w:t>
      </w:r>
      <w:r w:rsidRPr="009464B2">
        <w:rPr>
          <w:rStyle w:val="FootnoteReference"/>
        </w:rPr>
        <w:footnoteReference w:id="320"/>
      </w:r>
      <w:r w:rsidRPr="009464B2">
        <w:t xml:space="preserve"> We do not read the requirements of ASC 980 (FASB 71)</w:t>
      </w:r>
      <w:r w:rsidRPr="009464B2">
        <w:rPr>
          <w:rStyle w:val="FootnoteReference"/>
        </w:rPr>
        <w:footnoteReference w:id="321"/>
      </w:r>
      <w:r w:rsidRPr="009464B2">
        <w:t xml:space="preserve"> that way, and we have consistently applied those requirements differently. Indeed, contrary to Mr. Norwood’s contention, and based on the prior actions of this Commission, it would take an order from this Commission </w:t>
      </w:r>
      <w:r w:rsidRPr="009464B2">
        <w:rPr>
          <w:i/>
        </w:rPr>
        <w:t>denying</w:t>
      </w:r>
      <w:r w:rsidRPr="009464B2">
        <w:t xml:space="preserve"> recovery to trigger the write-off. </w:t>
      </w:r>
    </w:p>
    <w:p w14:paraId="331AC5E6" w14:textId="65B1C2C9" w:rsidR="00057724" w:rsidRPr="009464B2" w:rsidRDefault="00057724" w:rsidP="00057724">
      <w:pPr>
        <w:numPr>
          <w:ilvl w:val="0"/>
          <w:numId w:val="1"/>
        </w:numPr>
        <w:tabs>
          <w:tab w:val="clear" w:pos="1080"/>
        </w:tabs>
        <w:spacing w:after="120" w:line="288" w:lineRule="auto"/>
        <w:ind w:left="0" w:hanging="720"/>
      </w:pPr>
      <w:r w:rsidRPr="009464B2">
        <w:t xml:space="preserve">Further, an order deciding the proper accounting should originate from a timely-filed accounting petition, not as a peripheral issue raised in a general rate case. The Commission can consider the complexities of the treatment of what appears to be a stranded cost issue by examining supporting documents and, if needed, supporting testimony from qualified witnesses.  </w:t>
      </w:r>
    </w:p>
    <w:p w14:paraId="20E6FC39" w14:textId="2526D4AF" w:rsidR="00B7093E" w:rsidRPr="009464B2" w:rsidRDefault="00057724" w:rsidP="00057724">
      <w:pPr>
        <w:numPr>
          <w:ilvl w:val="0"/>
          <w:numId w:val="1"/>
        </w:numPr>
        <w:tabs>
          <w:tab w:val="clear" w:pos="1080"/>
        </w:tabs>
        <w:spacing w:after="120" w:line="288" w:lineRule="auto"/>
        <w:ind w:left="0" w:hanging="720"/>
      </w:pPr>
      <w:r w:rsidRPr="009464B2">
        <w:t>We need not decide on the accounting treatment proposed by Avista in this case. If the Company chooses to acquire new meters, it may file an accounting petition that requests the Commission issue an order determining whether the Company is allowed to defer the undepreciated amounts related to the replaced meters in a regulatory asset account. Our normal practice is to approve such a petition without undue delay, then decide on the recovery of costs in a future proceeding at which the Company must demonstrate that its acquisition was prudent and is used and useful.</w:t>
      </w:r>
    </w:p>
    <w:p w14:paraId="5BC0AC81" w14:textId="560CEB18" w:rsidR="00057724" w:rsidRPr="009464B2" w:rsidRDefault="00057724" w:rsidP="00057724">
      <w:pPr>
        <w:numPr>
          <w:ilvl w:val="0"/>
          <w:numId w:val="1"/>
        </w:numPr>
        <w:tabs>
          <w:tab w:val="clear" w:pos="1080"/>
        </w:tabs>
        <w:spacing w:after="120" w:line="288" w:lineRule="auto"/>
        <w:ind w:left="0" w:hanging="720"/>
      </w:pPr>
      <w:r w:rsidRPr="009464B2">
        <w:t>The Company also asks us to provide guidance on issues such as the amortization period, and the establishment of an appropriate return on</w:t>
      </w:r>
      <w:r w:rsidR="00B8471E" w:rsidRPr="009464B2">
        <w:t xml:space="preserve"> </w:t>
      </w:r>
      <w:r w:rsidRPr="009464B2">
        <w:t xml:space="preserve">such a regulatory asset. ICNU also </w:t>
      </w:r>
      <w:r w:rsidRPr="009464B2">
        <w:lastRenderedPageBreak/>
        <w:t>raises some important issues regarding the timing and length of such an amortization period, as well as the depreciation expense on the existing meters.</w:t>
      </w:r>
      <w:r w:rsidRPr="009464B2">
        <w:rPr>
          <w:rStyle w:val="FootnoteReference"/>
        </w:rPr>
        <w:footnoteReference w:id="322"/>
      </w:r>
      <w:r w:rsidRPr="009464B2">
        <w:t xml:space="preserve"> Again, we decline to provide any specific guidance or decisions in this case. </w:t>
      </w:r>
    </w:p>
    <w:p w14:paraId="7CF0E184" w14:textId="19AEBC97" w:rsidR="00F96B14" w:rsidRPr="009464B2" w:rsidRDefault="00057724" w:rsidP="00057724">
      <w:pPr>
        <w:numPr>
          <w:ilvl w:val="0"/>
          <w:numId w:val="1"/>
        </w:numPr>
        <w:tabs>
          <w:tab w:val="clear" w:pos="1080"/>
        </w:tabs>
        <w:spacing w:after="120" w:line="288" w:lineRule="auto"/>
        <w:ind w:left="0" w:hanging="720"/>
        <w:rPr>
          <w:i/>
        </w:rPr>
      </w:pPr>
      <w:r w:rsidRPr="009464B2">
        <w:t>In conclusion, we decline to rule on the prudency of Avista’s proposed AMI investment in this case because the issue is not ripe for our determination. This decision should not be interpreted as a rejection of AMI. The Company must decide what metering program provides ratepayers the most benefit at the least cost. If the Company decides to procure a new metering system, it may file a well-supported accounting petition on a timely basis to avoid a write-off. If the Company presents actual costs for AMI capital expenditures, either partial or full deployment, in a future rate case, the Commission will consider the prudence of Avista’s investment at that time.</w:t>
      </w:r>
    </w:p>
    <w:p w14:paraId="40087A11" w14:textId="77777777" w:rsidR="00F96B14" w:rsidRPr="009464B2" w:rsidRDefault="00F96B14" w:rsidP="00D5126D">
      <w:pPr>
        <w:spacing w:line="264" w:lineRule="auto"/>
      </w:pPr>
    </w:p>
    <w:p w14:paraId="203FB46C" w14:textId="26184785" w:rsidR="00F3557B" w:rsidRPr="009464B2" w:rsidRDefault="00F3557B" w:rsidP="00F91E54">
      <w:pPr>
        <w:pStyle w:val="Heading3"/>
        <w:numPr>
          <w:ilvl w:val="0"/>
          <w:numId w:val="38"/>
        </w:numPr>
        <w:jc w:val="left"/>
        <w:rPr>
          <w:rFonts w:ascii="Times New Roman" w:hAnsi="Times New Roman"/>
        </w:rPr>
      </w:pPr>
      <w:bookmarkStart w:id="29" w:name="_Toc439838967"/>
      <w:r w:rsidRPr="009464B2">
        <w:rPr>
          <w:rFonts w:ascii="Times New Roman" w:hAnsi="Times New Roman"/>
        </w:rPr>
        <w:t>Labor Expenses</w:t>
      </w:r>
      <w:bookmarkEnd w:id="29"/>
    </w:p>
    <w:p w14:paraId="647F2143" w14:textId="193F2F96" w:rsidR="001C452F" w:rsidRPr="009464B2" w:rsidRDefault="001C452F" w:rsidP="00D11C08">
      <w:pPr>
        <w:pStyle w:val="Heading4"/>
        <w:numPr>
          <w:ilvl w:val="1"/>
          <w:numId w:val="1"/>
        </w:numPr>
        <w:tabs>
          <w:tab w:val="clear" w:pos="1800"/>
          <w:tab w:val="num" w:pos="1080"/>
        </w:tabs>
        <w:ind w:left="1080" w:hanging="360"/>
        <w:rPr>
          <w:sz w:val="24"/>
          <w:szCs w:val="24"/>
        </w:rPr>
      </w:pPr>
      <w:bookmarkStart w:id="30" w:name="_Toc439838968"/>
      <w:r w:rsidRPr="009464B2">
        <w:rPr>
          <w:sz w:val="24"/>
          <w:szCs w:val="24"/>
        </w:rPr>
        <w:t>Non-Executive Wages</w:t>
      </w:r>
      <w:bookmarkEnd w:id="30"/>
    </w:p>
    <w:p w14:paraId="7C2BE9F1" w14:textId="77777777" w:rsidR="00F3557B" w:rsidRPr="009464B2" w:rsidRDefault="00F3557B" w:rsidP="00D11C08">
      <w:pPr>
        <w:spacing w:line="288" w:lineRule="auto"/>
      </w:pPr>
    </w:p>
    <w:p w14:paraId="3BBAC441" w14:textId="77777777" w:rsidR="009C060E" w:rsidRPr="009464B2" w:rsidRDefault="009C060E" w:rsidP="00AD10CE">
      <w:pPr>
        <w:numPr>
          <w:ilvl w:val="0"/>
          <w:numId w:val="1"/>
        </w:numPr>
        <w:tabs>
          <w:tab w:val="num" w:pos="0"/>
        </w:tabs>
        <w:spacing w:after="120" w:line="288" w:lineRule="auto"/>
        <w:ind w:left="0" w:hanging="720"/>
      </w:pPr>
      <w:r w:rsidRPr="009464B2">
        <w:t xml:space="preserve">Avista makes several adjustments to test-year expenses for non-executive wages. Those adjustments </w:t>
      </w:r>
      <w:r w:rsidR="00D9029F" w:rsidRPr="009464B2">
        <w:t>include</w:t>
      </w:r>
      <w:r w:rsidRPr="009464B2">
        <w:t>:</w:t>
      </w:r>
    </w:p>
    <w:p w14:paraId="0707B547" w14:textId="38C49618" w:rsidR="009C060E" w:rsidRPr="009464B2" w:rsidRDefault="009C060E" w:rsidP="00436CA6">
      <w:pPr>
        <w:pStyle w:val="ListParagraph"/>
        <w:numPr>
          <w:ilvl w:val="0"/>
          <w:numId w:val="6"/>
        </w:numPr>
        <w:tabs>
          <w:tab w:val="num" w:pos="720"/>
        </w:tabs>
        <w:spacing w:after="120" w:line="288" w:lineRule="auto"/>
        <w:ind w:hanging="720"/>
        <w:contextualSpacing/>
      </w:pPr>
      <w:r w:rsidRPr="009464B2">
        <w:t xml:space="preserve">annualizing the impact of a </w:t>
      </w:r>
      <w:r w:rsidR="00C417B1" w:rsidRPr="009464B2">
        <w:t xml:space="preserve">3 </w:t>
      </w:r>
      <w:r w:rsidRPr="009464B2">
        <w:t>percent wage increase for union and non-union employees implemented for 2014</w:t>
      </w:r>
      <w:r w:rsidR="00C417B1" w:rsidRPr="009464B2">
        <w:t>;</w:t>
      </w:r>
    </w:p>
    <w:p w14:paraId="4DC21918" w14:textId="7F0E72E8" w:rsidR="009C060E" w:rsidRPr="009464B2" w:rsidRDefault="009C060E" w:rsidP="00AD10CE">
      <w:pPr>
        <w:pStyle w:val="ListParagraph"/>
        <w:numPr>
          <w:ilvl w:val="0"/>
          <w:numId w:val="6"/>
        </w:numPr>
        <w:tabs>
          <w:tab w:val="num" w:pos="720"/>
        </w:tabs>
        <w:spacing w:after="120" w:line="288" w:lineRule="auto"/>
        <w:ind w:hanging="720"/>
        <w:contextualSpacing/>
      </w:pPr>
      <w:r w:rsidRPr="009464B2">
        <w:t xml:space="preserve">annualizing the impact of a </w:t>
      </w:r>
      <w:r w:rsidR="00C417B1" w:rsidRPr="009464B2">
        <w:t xml:space="preserve">3 </w:t>
      </w:r>
      <w:r w:rsidRPr="009464B2">
        <w:t>percent wage increase for union employees implemented for 2015</w:t>
      </w:r>
      <w:r w:rsidR="00C417B1" w:rsidRPr="009464B2">
        <w:t>;</w:t>
      </w:r>
    </w:p>
    <w:p w14:paraId="2A497F51" w14:textId="685B2CD5" w:rsidR="009C060E" w:rsidRPr="009464B2" w:rsidRDefault="009C060E" w:rsidP="00AD10CE">
      <w:pPr>
        <w:pStyle w:val="ListParagraph"/>
        <w:numPr>
          <w:ilvl w:val="0"/>
          <w:numId w:val="6"/>
        </w:numPr>
        <w:tabs>
          <w:tab w:val="num" w:pos="720"/>
        </w:tabs>
        <w:spacing w:after="120" w:line="288" w:lineRule="auto"/>
        <w:ind w:hanging="720"/>
        <w:contextualSpacing/>
      </w:pPr>
      <w:r w:rsidRPr="009464B2">
        <w:t xml:space="preserve">annualizing the impact of a </w:t>
      </w:r>
      <w:r w:rsidR="00C417B1" w:rsidRPr="009464B2">
        <w:t xml:space="preserve">3 </w:t>
      </w:r>
      <w:r w:rsidRPr="009464B2">
        <w:t>percent wage increase for non-union employees implemented for 2015, and</w:t>
      </w:r>
    </w:p>
    <w:p w14:paraId="60A618D8" w14:textId="0CD3DFA4" w:rsidR="009C060E" w:rsidRPr="009464B2" w:rsidRDefault="009C060E" w:rsidP="00AD10CE">
      <w:pPr>
        <w:pStyle w:val="ListParagraph"/>
        <w:numPr>
          <w:ilvl w:val="0"/>
          <w:numId w:val="6"/>
        </w:numPr>
        <w:tabs>
          <w:tab w:val="num" w:pos="720"/>
        </w:tabs>
        <w:spacing w:after="120" w:line="288" w:lineRule="auto"/>
        <w:ind w:hanging="720"/>
        <w:contextualSpacing/>
      </w:pPr>
      <w:r w:rsidRPr="009464B2">
        <w:t xml:space="preserve">including a </w:t>
      </w:r>
      <w:r w:rsidR="00C417B1" w:rsidRPr="009464B2">
        <w:t xml:space="preserve">3 </w:t>
      </w:r>
      <w:r w:rsidRPr="009464B2">
        <w:t>percent wage increase for union and non-union employees projected for 2016.</w:t>
      </w:r>
      <w:r w:rsidRPr="009464B2">
        <w:rPr>
          <w:rStyle w:val="FootnoteReference"/>
        </w:rPr>
        <w:footnoteReference w:id="323"/>
      </w:r>
    </w:p>
    <w:p w14:paraId="5F140F2D" w14:textId="62318973" w:rsidR="009C060E" w:rsidRPr="009464B2" w:rsidRDefault="009C060E" w:rsidP="00AD10CE">
      <w:pPr>
        <w:numPr>
          <w:ilvl w:val="0"/>
          <w:numId w:val="1"/>
        </w:numPr>
        <w:tabs>
          <w:tab w:val="num" w:pos="0"/>
        </w:tabs>
        <w:spacing w:after="120" w:line="288" w:lineRule="auto"/>
        <w:ind w:left="0" w:hanging="720"/>
      </w:pPr>
      <w:r w:rsidRPr="009464B2">
        <w:t>Public Counsel observes that Avista removed labor expenses associated with Project Compass from a capitalized expense and instead placed those expenses in this adjustment.</w:t>
      </w:r>
      <w:r w:rsidRPr="009464B2">
        <w:rPr>
          <w:rStyle w:val="FootnoteReference"/>
        </w:rPr>
        <w:footnoteReference w:id="324"/>
      </w:r>
      <w:r w:rsidRPr="009464B2">
        <w:t xml:space="preserve"> ICNU </w:t>
      </w:r>
      <w:r w:rsidR="00D9029F" w:rsidRPr="009464B2">
        <w:t>asserts</w:t>
      </w:r>
      <w:r w:rsidRPr="009464B2">
        <w:t xml:space="preserve"> that the Commission rejected Pacific Power</w:t>
      </w:r>
      <w:r w:rsidR="00D9029F" w:rsidRPr="009464B2">
        <w:t xml:space="preserve"> &amp; Light</w:t>
      </w:r>
      <w:r w:rsidRPr="009464B2">
        <w:t xml:space="preserve">’s 2014 </w:t>
      </w:r>
      <w:r w:rsidR="00D9029F" w:rsidRPr="009464B2">
        <w:t>general rate</w:t>
      </w:r>
      <w:r w:rsidRPr="009464B2">
        <w:t xml:space="preserve"> proposal that similarly escalated labor expenses 27 months beyond the end of </w:t>
      </w:r>
      <w:r w:rsidRPr="009464B2">
        <w:lastRenderedPageBreak/>
        <w:t>the test period.</w:t>
      </w:r>
      <w:r w:rsidRPr="009464B2">
        <w:rPr>
          <w:rStyle w:val="FootnoteReference"/>
        </w:rPr>
        <w:footnoteReference w:id="325"/>
      </w:r>
      <w:r w:rsidRPr="009464B2">
        <w:t xml:space="preserve"> Staff </w:t>
      </w:r>
      <w:r w:rsidR="00D9029F" w:rsidRPr="009464B2">
        <w:t>notes</w:t>
      </w:r>
      <w:r w:rsidRPr="009464B2">
        <w:t xml:space="preserve"> that in Puget Sound Energy’s 2009 </w:t>
      </w:r>
      <w:r w:rsidR="009C04C5" w:rsidRPr="009464B2">
        <w:t>general rate proceeding</w:t>
      </w:r>
      <w:r w:rsidRPr="009464B2">
        <w:t xml:space="preserve">, the Commission allowed the inclusion of union contract increases four months following the test year, but rejected the inclusion of union contract increases </w:t>
      </w:r>
      <w:r w:rsidR="00C417B1" w:rsidRPr="009464B2">
        <w:t>10</w:t>
      </w:r>
      <w:r w:rsidRPr="009464B2">
        <w:t xml:space="preserve"> months following the test year as violating the matching principle.</w:t>
      </w:r>
      <w:r w:rsidRPr="009464B2">
        <w:rPr>
          <w:rStyle w:val="FootnoteReference"/>
        </w:rPr>
        <w:footnoteReference w:id="326"/>
      </w:r>
    </w:p>
    <w:p w14:paraId="1F972317" w14:textId="77777777" w:rsidR="009C060E" w:rsidRPr="009464B2" w:rsidRDefault="009C060E" w:rsidP="00AD10CE">
      <w:pPr>
        <w:numPr>
          <w:ilvl w:val="0"/>
          <w:numId w:val="1"/>
        </w:numPr>
        <w:tabs>
          <w:tab w:val="num" w:pos="0"/>
        </w:tabs>
        <w:spacing w:after="120" w:line="288" w:lineRule="auto"/>
        <w:ind w:left="0" w:hanging="720"/>
      </w:pPr>
      <w:r w:rsidRPr="009464B2">
        <w:t>Public Counsel accepts the wage increases for 2014 and 2015, but rejects Avista’s inclusion of the increases for 2016 because the increases are “not yet known and measurable and are too far beyond the end of the test year ended September 30, 2014.”</w:t>
      </w:r>
      <w:r w:rsidRPr="009464B2">
        <w:rPr>
          <w:rStyle w:val="FootnoteReference"/>
        </w:rPr>
        <w:footnoteReference w:id="327"/>
      </w:r>
      <w:r w:rsidRPr="009464B2">
        <w:t xml:space="preserve">  </w:t>
      </w:r>
    </w:p>
    <w:p w14:paraId="0429F8DC" w14:textId="77777777" w:rsidR="009C060E" w:rsidRPr="009464B2" w:rsidRDefault="009C060E" w:rsidP="00AD10CE">
      <w:pPr>
        <w:numPr>
          <w:ilvl w:val="0"/>
          <w:numId w:val="1"/>
        </w:numPr>
        <w:tabs>
          <w:tab w:val="num" w:pos="0"/>
        </w:tabs>
        <w:spacing w:after="120" w:line="288" w:lineRule="auto"/>
        <w:ind w:left="0" w:hanging="720"/>
      </w:pPr>
      <w:r w:rsidRPr="009464B2">
        <w:t xml:space="preserve">ICNU </w:t>
      </w:r>
      <w:r w:rsidR="00D9029F" w:rsidRPr="009464B2">
        <w:t>criticizes</w:t>
      </w:r>
      <w:r w:rsidRPr="009464B2">
        <w:t xml:space="preserve"> Avista’s modeling of labor expenses because it applied the increases to all payroll expenses, rather than using a more precise full-time-equivalent (FTE) model that breaks out labor by capital and expense.</w:t>
      </w:r>
      <w:r w:rsidRPr="009464B2">
        <w:rPr>
          <w:rStyle w:val="FootnoteReference"/>
        </w:rPr>
        <w:footnoteReference w:id="328"/>
      </w:r>
      <w:r w:rsidRPr="009464B2">
        <w:t xml:space="preserve"> Without the precision provided by an FTE model, ICNU argues that the adjustment, particularly</w:t>
      </w:r>
      <w:r w:rsidR="00D9029F" w:rsidRPr="009464B2">
        <w:t xml:space="preserve"> the Company’s decision to</w:t>
      </w:r>
      <w:r w:rsidRPr="009464B2">
        <w:t xml:space="preserve"> mov</w:t>
      </w:r>
      <w:r w:rsidR="00D9029F" w:rsidRPr="009464B2">
        <w:t>e</w:t>
      </w:r>
      <w:r w:rsidRPr="009464B2">
        <w:t xml:space="preserve"> </w:t>
      </w:r>
      <w:r w:rsidR="00D9029F" w:rsidRPr="009464B2">
        <w:t xml:space="preserve">the </w:t>
      </w:r>
      <w:r w:rsidRPr="009464B2">
        <w:t xml:space="preserve">Project Compass labor </w:t>
      </w:r>
      <w:r w:rsidR="00D9029F" w:rsidRPr="009464B2">
        <w:t xml:space="preserve">expenses </w:t>
      </w:r>
      <w:r w:rsidRPr="009464B2">
        <w:t>from a capitalized expense to this adjustment, is not known and measurable and should be rejected</w:t>
      </w:r>
      <w:r w:rsidR="00D9029F" w:rsidRPr="009464B2">
        <w:t xml:space="preserve"> entirely</w:t>
      </w:r>
      <w:r w:rsidRPr="009464B2">
        <w:t>. Alternatively, ICNU proposes that the adjustment be limited to the wage increases for 2014.</w:t>
      </w:r>
      <w:r w:rsidRPr="009464B2">
        <w:rPr>
          <w:rStyle w:val="FootnoteReference"/>
        </w:rPr>
        <w:footnoteReference w:id="329"/>
      </w:r>
    </w:p>
    <w:p w14:paraId="593CB8AF" w14:textId="0068DBC5" w:rsidR="009C060E" w:rsidRPr="009464B2" w:rsidRDefault="009C060E" w:rsidP="00AD10CE">
      <w:pPr>
        <w:numPr>
          <w:ilvl w:val="0"/>
          <w:numId w:val="1"/>
        </w:numPr>
        <w:tabs>
          <w:tab w:val="num" w:pos="0"/>
        </w:tabs>
        <w:spacing w:after="120" w:line="288" w:lineRule="auto"/>
        <w:ind w:left="0" w:hanging="720"/>
      </w:pPr>
      <w:r w:rsidRPr="009464B2">
        <w:t>Public Counsel also object</w:t>
      </w:r>
      <w:r w:rsidR="00F2175A" w:rsidRPr="009464B2">
        <w:t>s</w:t>
      </w:r>
      <w:r w:rsidRPr="009464B2">
        <w:t xml:space="preserve"> to moving Project Compass labor </w:t>
      </w:r>
      <w:r w:rsidR="0091559A" w:rsidRPr="009464B2">
        <w:t xml:space="preserve">costs </w:t>
      </w:r>
      <w:r w:rsidRPr="009464B2">
        <w:t>from a capitalized expense to this adjustment. Public Counsel observes that Avista’s testimony did not disclose this substantial shift, and it did not demonstrate that increased labor costs associated with Project Compass will persist.</w:t>
      </w:r>
      <w:r w:rsidRPr="009464B2">
        <w:rPr>
          <w:rStyle w:val="FootnoteReference"/>
        </w:rPr>
        <w:footnoteReference w:id="330"/>
      </w:r>
      <w:r w:rsidRPr="009464B2">
        <w:t xml:space="preserve"> Avista responds that a large number of </w:t>
      </w:r>
      <w:r w:rsidR="0091559A" w:rsidRPr="009464B2">
        <w:t xml:space="preserve">existing </w:t>
      </w:r>
      <w:r w:rsidRPr="009464B2">
        <w:t xml:space="preserve">employees worked on Project Compass, but now </w:t>
      </w:r>
      <w:r w:rsidR="0091559A" w:rsidRPr="009464B2">
        <w:t>that</w:t>
      </w:r>
      <w:r w:rsidRPr="009464B2">
        <w:t xml:space="preserve"> Project Compass </w:t>
      </w:r>
      <w:r w:rsidR="0091559A" w:rsidRPr="009464B2">
        <w:t xml:space="preserve">is </w:t>
      </w:r>
      <w:r w:rsidRPr="009464B2">
        <w:t>complete they will no longer bill their salaries as a capital expense.</w:t>
      </w:r>
      <w:r w:rsidRPr="009464B2">
        <w:rPr>
          <w:rStyle w:val="FootnoteReference"/>
        </w:rPr>
        <w:footnoteReference w:id="331"/>
      </w:r>
    </w:p>
    <w:p w14:paraId="0985E439" w14:textId="77777777" w:rsidR="00F3557B" w:rsidRPr="009464B2" w:rsidRDefault="009C060E" w:rsidP="00AD10CE">
      <w:pPr>
        <w:numPr>
          <w:ilvl w:val="0"/>
          <w:numId w:val="1"/>
        </w:numPr>
        <w:tabs>
          <w:tab w:val="num" w:pos="0"/>
        </w:tabs>
        <w:spacing w:after="120" w:line="288" w:lineRule="auto"/>
        <w:ind w:left="0" w:hanging="720"/>
      </w:pPr>
      <w:r w:rsidRPr="009464B2">
        <w:t xml:space="preserve">Staff supports the 2014 wage increase and the 2015 union wage increase, but opposes both the 2015 non-union increase and the 2016 wage increase. Staff </w:t>
      </w:r>
      <w:r w:rsidR="0091559A" w:rsidRPr="009464B2">
        <w:t>argues</w:t>
      </w:r>
      <w:r w:rsidRPr="009464B2">
        <w:t xml:space="preserve"> that the 2015 </w:t>
      </w:r>
      <w:r w:rsidRPr="009464B2">
        <w:lastRenderedPageBreak/>
        <w:t xml:space="preserve">union wage increase is pursuant to contract, but other 2015 and 2016 </w:t>
      </w:r>
      <w:r w:rsidR="00223CEE" w:rsidRPr="009464B2">
        <w:t xml:space="preserve">wage </w:t>
      </w:r>
      <w:r w:rsidRPr="009464B2">
        <w:t>increases are not known and measurable.</w:t>
      </w:r>
      <w:r w:rsidRPr="009464B2">
        <w:rPr>
          <w:rStyle w:val="FootnoteReference"/>
        </w:rPr>
        <w:footnoteReference w:id="332"/>
      </w:r>
    </w:p>
    <w:p w14:paraId="70911F98" w14:textId="2172F405" w:rsidR="009C060E" w:rsidRPr="009464B2" w:rsidRDefault="00B7093E" w:rsidP="00AD10CE">
      <w:pPr>
        <w:numPr>
          <w:ilvl w:val="0"/>
          <w:numId w:val="1"/>
        </w:numPr>
        <w:tabs>
          <w:tab w:val="num" w:pos="0"/>
        </w:tabs>
        <w:spacing w:after="120" w:line="288" w:lineRule="auto"/>
        <w:ind w:left="0" w:hanging="720"/>
      </w:pPr>
      <w:r w:rsidRPr="009464B2">
        <w:rPr>
          <w:i/>
        </w:rPr>
        <w:t>Decision.</w:t>
      </w:r>
      <w:r w:rsidR="009C060E" w:rsidRPr="009464B2">
        <w:t xml:space="preserve"> In the past, we have allowed only limited adjustments to labor e</w:t>
      </w:r>
      <w:r w:rsidR="00A90E97" w:rsidRPr="009464B2">
        <w:t xml:space="preserve">xpenses beyond the test period </w:t>
      </w:r>
      <w:r w:rsidR="009C060E" w:rsidRPr="009464B2">
        <w:t>when those adjustments are known and measurable. We agree with Staff that the 2014 wage increases and 2015 union wage increases should be included in rates, but we reject the 2015 non-union increase and 2016 increase</w:t>
      </w:r>
      <w:r w:rsidR="00B35C32" w:rsidRPr="009464B2">
        <w:t>s</w:t>
      </w:r>
      <w:r w:rsidR="009C060E" w:rsidRPr="009464B2">
        <w:t xml:space="preserve"> because those increases are not </w:t>
      </w:r>
      <w:r w:rsidR="00C417B1" w:rsidRPr="009464B2">
        <w:t xml:space="preserve">yet </w:t>
      </w:r>
      <w:r w:rsidR="009C060E" w:rsidRPr="009464B2">
        <w:t>known and measurable.</w:t>
      </w:r>
    </w:p>
    <w:p w14:paraId="0A75EF9A" w14:textId="5208253A" w:rsidR="009C060E" w:rsidRPr="009464B2" w:rsidRDefault="009C060E" w:rsidP="00AD10CE">
      <w:pPr>
        <w:numPr>
          <w:ilvl w:val="0"/>
          <w:numId w:val="1"/>
        </w:numPr>
        <w:tabs>
          <w:tab w:val="num" w:pos="0"/>
        </w:tabs>
        <w:spacing w:after="120" w:line="288" w:lineRule="auto"/>
        <w:ind w:left="0" w:hanging="720"/>
      </w:pPr>
      <w:r w:rsidRPr="009464B2">
        <w:t>We agree with ICNU that it is preferable for Avista to use a model that provides a more precise estimate of labor expenses. Yet we do not see this lack of precision as a reason to reject all of Avista’s labor adjustments, or to reject the Project Compass labor adjustment, as ICNU proposes.</w:t>
      </w:r>
      <w:r w:rsidR="00C417B1" w:rsidRPr="009464B2">
        <w:t xml:space="preserve">  </w:t>
      </w:r>
    </w:p>
    <w:p w14:paraId="69759147" w14:textId="29A17205" w:rsidR="009C060E" w:rsidRPr="009464B2" w:rsidRDefault="009C060E" w:rsidP="00D11C08">
      <w:pPr>
        <w:pStyle w:val="Heading4"/>
        <w:numPr>
          <w:ilvl w:val="0"/>
          <w:numId w:val="3"/>
        </w:numPr>
        <w:ind w:left="1080"/>
        <w:rPr>
          <w:sz w:val="24"/>
          <w:szCs w:val="24"/>
        </w:rPr>
      </w:pPr>
      <w:bookmarkStart w:id="31" w:name="_Toc439838969"/>
      <w:r w:rsidRPr="009464B2">
        <w:rPr>
          <w:sz w:val="24"/>
          <w:szCs w:val="24"/>
        </w:rPr>
        <w:t>Executive compensation</w:t>
      </w:r>
      <w:bookmarkEnd w:id="31"/>
    </w:p>
    <w:p w14:paraId="5E5342AF" w14:textId="77777777" w:rsidR="00272E0C" w:rsidRPr="009464B2" w:rsidRDefault="00272E0C" w:rsidP="00272E0C">
      <w:pPr>
        <w:pStyle w:val="ListParagraph"/>
        <w:rPr>
          <w:bCs/>
        </w:rPr>
      </w:pPr>
    </w:p>
    <w:p w14:paraId="3B321103" w14:textId="77777777" w:rsidR="009C060E" w:rsidRPr="004375B4" w:rsidRDefault="009C060E" w:rsidP="00AD10CE">
      <w:pPr>
        <w:numPr>
          <w:ilvl w:val="0"/>
          <w:numId w:val="1"/>
        </w:numPr>
        <w:tabs>
          <w:tab w:val="num" w:pos="0"/>
        </w:tabs>
        <w:spacing w:after="120" w:line="288" w:lineRule="auto"/>
        <w:ind w:left="0" w:hanging="720"/>
      </w:pPr>
      <w:r w:rsidRPr="004375B4">
        <w:t xml:space="preserve">Executive compensation includes Avista’s </w:t>
      </w:r>
      <w:r w:rsidR="001C452F" w:rsidRPr="004375B4">
        <w:t>e</w:t>
      </w:r>
      <w:r w:rsidRPr="004375B4">
        <w:t xml:space="preserve">xecutive Long Term Incentive Plan (LTIP), executive salaries, and Board of Directors’ fees. </w:t>
      </w:r>
    </w:p>
    <w:p w14:paraId="055231DB" w14:textId="77777777" w:rsidR="001C452F" w:rsidRPr="004375B4" w:rsidRDefault="001C452F" w:rsidP="00113D2F">
      <w:pPr>
        <w:pStyle w:val="ListParagraph"/>
        <w:numPr>
          <w:ilvl w:val="1"/>
          <w:numId w:val="8"/>
        </w:numPr>
        <w:spacing w:after="120" w:line="288" w:lineRule="auto"/>
        <w:rPr>
          <w:b/>
        </w:rPr>
      </w:pPr>
      <w:r w:rsidRPr="004375B4">
        <w:rPr>
          <w:b/>
        </w:rPr>
        <w:t>Executive Long Term Incentive Plan</w:t>
      </w:r>
    </w:p>
    <w:p w14:paraId="27FF49F3" w14:textId="77777777" w:rsidR="009C060E" w:rsidRPr="004375B4" w:rsidRDefault="001C452F" w:rsidP="00AD10CE">
      <w:pPr>
        <w:numPr>
          <w:ilvl w:val="0"/>
          <w:numId w:val="1"/>
        </w:numPr>
        <w:tabs>
          <w:tab w:val="num" w:pos="0"/>
        </w:tabs>
        <w:spacing w:after="120" w:line="288" w:lineRule="auto"/>
        <w:ind w:left="0" w:hanging="720"/>
      </w:pPr>
      <w:r w:rsidRPr="004375B4">
        <w:t>A</w:t>
      </w:r>
      <w:r w:rsidR="009C060E" w:rsidRPr="004375B4">
        <w:t>vista’s LTIP “is a pay-at risk plan whereby executive officers and other key employees are eligible to receive common stock and dividend equivalents if stated targets are achieved and employment is maintained.”</w:t>
      </w:r>
      <w:r w:rsidR="009C060E" w:rsidRPr="004375B4">
        <w:rPr>
          <w:vertAlign w:val="superscript"/>
        </w:rPr>
        <w:footnoteReference w:id="333"/>
      </w:r>
      <w:r w:rsidR="009C060E" w:rsidRPr="004375B4">
        <w:t xml:space="preserve"> Seventy-five percent of this incentive is contingent on shareholder return, while 25 percent is contingent on continued employment with Avista. Previously, none of the LTIP was included in rates.</w:t>
      </w:r>
      <w:r w:rsidR="009C060E" w:rsidRPr="004375B4">
        <w:rPr>
          <w:vertAlign w:val="superscript"/>
        </w:rPr>
        <w:footnoteReference w:id="334"/>
      </w:r>
      <w:r w:rsidR="009C060E" w:rsidRPr="004375B4">
        <w:t xml:space="preserve">  </w:t>
      </w:r>
    </w:p>
    <w:p w14:paraId="07C4C3A6" w14:textId="6A2D97C2" w:rsidR="009C060E" w:rsidRPr="004375B4" w:rsidRDefault="009C060E" w:rsidP="00AD10CE">
      <w:pPr>
        <w:numPr>
          <w:ilvl w:val="0"/>
          <w:numId w:val="1"/>
        </w:numPr>
        <w:tabs>
          <w:tab w:val="num" w:pos="0"/>
        </w:tabs>
        <w:spacing w:after="120" w:line="288" w:lineRule="auto"/>
        <w:ind w:left="0" w:hanging="720"/>
      </w:pPr>
      <w:r w:rsidRPr="004375B4">
        <w:t xml:space="preserve">Avista proposes </w:t>
      </w:r>
      <w:r w:rsidR="00896191" w:rsidRPr="004375B4">
        <w:t xml:space="preserve">for the first time </w:t>
      </w:r>
      <w:r w:rsidR="00227918" w:rsidRPr="004375B4">
        <w:t xml:space="preserve">to </w:t>
      </w:r>
      <w:r w:rsidRPr="004375B4">
        <w:t>includ</w:t>
      </w:r>
      <w:r w:rsidR="00227918" w:rsidRPr="004375B4">
        <w:t>e</w:t>
      </w:r>
      <w:r w:rsidRPr="004375B4">
        <w:t xml:space="preserve"> the retention incentive in rates because the “long-term nature of large-scale generation, transmission and distribution projects spanning multiple years are completed more efficiently with experienced, consistent leadership,” and employees with long tenure </w:t>
      </w:r>
      <w:r w:rsidR="0054352B" w:rsidRPr="004375B4">
        <w:t>who</w:t>
      </w:r>
      <w:r w:rsidRPr="004375B4">
        <w:t xml:space="preserve"> “are well versed in the Company’s culture and will continue to cultivate the values we have built our Company on.”</w:t>
      </w:r>
      <w:r w:rsidRPr="004375B4">
        <w:rPr>
          <w:vertAlign w:val="superscript"/>
        </w:rPr>
        <w:footnoteReference w:id="335"/>
      </w:r>
      <w:r w:rsidRPr="004375B4">
        <w:t xml:space="preserve"> </w:t>
      </w:r>
      <w:r w:rsidRPr="004375B4">
        <w:lastRenderedPageBreak/>
        <w:t xml:space="preserve">Avista does not propose to include </w:t>
      </w:r>
      <w:r w:rsidR="009E026B" w:rsidRPr="004375B4">
        <w:t xml:space="preserve">in rates </w:t>
      </w:r>
      <w:r w:rsidRPr="004375B4">
        <w:t>the portion of the incentive contingent on shareholder return.</w:t>
      </w:r>
      <w:r w:rsidR="00B16D84" w:rsidRPr="004375B4">
        <w:rPr>
          <w:rStyle w:val="FootnoteReference"/>
        </w:rPr>
        <w:footnoteReference w:id="336"/>
      </w:r>
    </w:p>
    <w:p w14:paraId="691F6968" w14:textId="68D7137E" w:rsidR="00F3626C" w:rsidRPr="004375B4" w:rsidRDefault="009C060E" w:rsidP="00AD10CE">
      <w:pPr>
        <w:numPr>
          <w:ilvl w:val="0"/>
          <w:numId w:val="1"/>
        </w:numPr>
        <w:tabs>
          <w:tab w:val="num" w:pos="0"/>
        </w:tabs>
        <w:spacing w:after="120" w:line="288" w:lineRule="auto"/>
        <w:ind w:left="0" w:hanging="720"/>
      </w:pPr>
      <w:r w:rsidRPr="004375B4">
        <w:t>Staff, Public Counsel, and ICNU oppose including any LTIP expenses in rates because the value of the incentive is based on the value of the Company’s stock.</w:t>
      </w:r>
      <w:r w:rsidRPr="004375B4">
        <w:rPr>
          <w:vertAlign w:val="superscript"/>
        </w:rPr>
        <w:footnoteReference w:id="337"/>
      </w:r>
      <w:r w:rsidRPr="004375B4">
        <w:t xml:space="preserve"> They argue that </w:t>
      </w:r>
      <w:r w:rsidR="009C04C5" w:rsidRPr="004375B4">
        <w:t xml:space="preserve">the </w:t>
      </w:r>
      <w:r w:rsidRPr="004375B4">
        <w:t xml:space="preserve">LTIP benefits shareholders because it </w:t>
      </w:r>
      <w:r w:rsidR="00227918" w:rsidRPr="004375B4">
        <w:t xml:space="preserve">focuses the </w:t>
      </w:r>
      <w:r w:rsidRPr="004375B4">
        <w:t>employee</w:t>
      </w:r>
      <w:r w:rsidR="0054352B" w:rsidRPr="004375B4">
        <w:t>s</w:t>
      </w:r>
      <w:r w:rsidRPr="004375B4">
        <w:t xml:space="preserve"> on Avista’s stock value</w:t>
      </w:r>
      <w:r w:rsidR="00A25934" w:rsidRPr="004375B4">
        <w:t>. Further, they argue that</w:t>
      </w:r>
      <w:r w:rsidRPr="004375B4">
        <w:t xml:space="preserve"> Avista has not provided adequate justification to shift this expense from shareholders to ratepayers.</w:t>
      </w:r>
      <w:r w:rsidRPr="004375B4">
        <w:rPr>
          <w:vertAlign w:val="superscript"/>
        </w:rPr>
        <w:footnoteReference w:id="338"/>
      </w:r>
      <w:r w:rsidRPr="004375B4">
        <w:t xml:space="preserve"> </w:t>
      </w:r>
    </w:p>
    <w:p w14:paraId="43CA2841" w14:textId="16158A47" w:rsidR="009C060E" w:rsidRPr="004375B4" w:rsidRDefault="00F3626C" w:rsidP="00AD10CE">
      <w:pPr>
        <w:numPr>
          <w:ilvl w:val="0"/>
          <w:numId w:val="1"/>
        </w:numPr>
        <w:tabs>
          <w:tab w:val="num" w:pos="0"/>
        </w:tabs>
        <w:spacing w:after="120" w:line="288" w:lineRule="auto"/>
        <w:ind w:left="0" w:hanging="720"/>
      </w:pPr>
      <w:r w:rsidRPr="004375B4">
        <w:t xml:space="preserve">ICNU </w:t>
      </w:r>
      <w:r w:rsidR="009B2011" w:rsidRPr="004375B4">
        <w:t xml:space="preserve">contests </w:t>
      </w:r>
      <w:r w:rsidRPr="004375B4">
        <w:t>Avista</w:t>
      </w:r>
      <w:r w:rsidR="009B2011" w:rsidRPr="004375B4">
        <w:t>’s</w:t>
      </w:r>
      <w:r w:rsidRPr="004375B4">
        <w:t xml:space="preserve"> claim</w:t>
      </w:r>
      <w:r w:rsidR="009B2011" w:rsidRPr="004375B4">
        <w:t xml:space="preserve"> that the failure to include this adjustment previously in rates</w:t>
      </w:r>
      <w:r w:rsidRPr="004375B4">
        <w:t xml:space="preserve"> was an oversight</w:t>
      </w:r>
      <w:r w:rsidR="009B2011" w:rsidRPr="004375B4">
        <w:t>, and it argues the Company is simply attempting to “justify charging ratepayers for restricted stock</w:t>
      </w:r>
      <w:r w:rsidRPr="004375B4">
        <w:t>.</w:t>
      </w:r>
      <w:r w:rsidR="009B2011" w:rsidRPr="004375B4">
        <w:t>”</w:t>
      </w:r>
      <w:r w:rsidRPr="004375B4">
        <w:rPr>
          <w:vertAlign w:val="superscript"/>
        </w:rPr>
        <w:footnoteReference w:id="339"/>
      </w:r>
      <w:r w:rsidRPr="004375B4">
        <w:t xml:space="preserve"> Avista </w:t>
      </w:r>
      <w:r w:rsidR="009C060E" w:rsidRPr="004375B4">
        <w:t xml:space="preserve">responds that </w:t>
      </w:r>
      <w:r w:rsidR="00A25934" w:rsidRPr="004375B4">
        <w:t xml:space="preserve">its </w:t>
      </w:r>
      <w:r w:rsidR="009C060E" w:rsidRPr="004375B4">
        <w:t xml:space="preserve">prior practice does not prevent inclusion </w:t>
      </w:r>
      <w:r w:rsidR="00A25934" w:rsidRPr="004375B4">
        <w:t xml:space="preserve">of the LTIP </w:t>
      </w:r>
      <w:r w:rsidR="009C060E" w:rsidRPr="004375B4">
        <w:t>in this case. The Company reviewed all expenses to ensure an appropriate utility/non</w:t>
      </w:r>
      <w:r w:rsidR="0054352B" w:rsidRPr="004375B4">
        <w:t>-</w:t>
      </w:r>
      <w:r w:rsidR="009C060E" w:rsidRPr="004375B4">
        <w:t>utility allocation and in the process of that review decided to change the allocation.</w:t>
      </w:r>
      <w:r w:rsidR="009C060E" w:rsidRPr="004375B4">
        <w:rPr>
          <w:vertAlign w:val="superscript"/>
        </w:rPr>
        <w:footnoteReference w:id="340"/>
      </w:r>
    </w:p>
    <w:p w14:paraId="3D7719C2" w14:textId="7223E476" w:rsidR="009C060E" w:rsidRPr="004375B4" w:rsidRDefault="001C452F" w:rsidP="00AD10CE">
      <w:pPr>
        <w:numPr>
          <w:ilvl w:val="0"/>
          <w:numId w:val="1"/>
        </w:numPr>
        <w:tabs>
          <w:tab w:val="num" w:pos="0"/>
        </w:tabs>
        <w:spacing w:after="120" w:line="288" w:lineRule="auto"/>
        <w:ind w:left="0" w:hanging="720"/>
      </w:pPr>
      <w:r w:rsidRPr="004375B4">
        <w:rPr>
          <w:i/>
        </w:rPr>
        <w:t>Decision.</w:t>
      </w:r>
      <w:r w:rsidR="009C060E" w:rsidRPr="004375B4">
        <w:t xml:space="preserve"> </w:t>
      </w:r>
      <w:r w:rsidR="00F3626C" w:rsidRPr="004375B4">
        <w:t>We agree t</w:t>
      </w:r>
      <w:r w:rsidR="009C060E" w:rsidRPr="004375B4">
        <w:t xml:space="preserve">he LTIP </w:t>
      </w:r>
      <w:r w:rsidR="00F3626C" w:rsidRPr="004375B4">
        <w:t xml:space="preserve">is based on the value of the Company’s stock and </w:t>
      </w:r>
      <w:r w:rsidR="009C060E" w:rsidRPr="004375B4">
        <w:t>focuses executives’ attention on the value of the stock</w:t>
      </w:r>
      <w:r w:rsidR="00F3626C" w:rsidRPr="004375B4">
        <w:t xml:space="preserve">. </w:t>
      </w:r>
      <w:r w:rsidR="009C060E" w:rsidRPr="004375B4">
        <w:t xml:space="preserve"> </w:t>
      </w:r>
      <w:r w:rsidR="00F3626C" w:rsidRPr="004375B4">
        <w:t>For this reason, i</w:t>
      </w:r>
      <w:r w:rsidR="00680D1A" w:rsidRPr="004375B4">
        <w:t xml:space="preserve">t only </w:t>
      </w:r>
      <w:r w:rsidR="00A25934" w:rsidRPr="004375B4">
        <w:t xml:space="preserve">serves as a retention tool in order to ensure continued access to stock and dividend equivalents. These characteristics reflect more interest in providing benefit to shareholders than to serve customer or ratepayer interests. </w:t>
      </w:r>
      <w:r w:rsidR="009C060E" w:rsidRPr="004375B4">
        <w:t xml:space="preserve">Thus, we agree with the </w:t>
      </w:r>
      <w:r w:rsidR="00A25934" w:rsidRPr="004375B4">
        <w:t>other parties</w:t>
      </w:r>
      <w:r w:rsidR="009C060E" w:rsidRPr="004375B4">
        <w:t xml:space="preserve"> that it is inappropriate for the Company to recover any LTIP expenses</w:t>
      </w:r>
      <w:r w:rsidR="00680D1A" w:rsidRPr="004375B4">
        <w:t xml:space="preserve">, including </w:t>
      </w:r>
      <w:r w:rsidR="009E026B" w:rsidRPr="004375B4">
        <w:t xml:space="preserve">the </w:t>
      </w:r>
      <w:r w:rsidR="00680D1A" w:rsidRPr="004375B4">
        <w:t xml:space="preserve">retention </w:t>
      </w:r>
      <w:r w:rsidR="00071087" w:rsidRPr="004375B4">
        <w:t>incentive</w:t>
      </w:r>
      <w:r w:rsidR="00680D1A" w:rsidRPr="004375B4">
        <w:t xml:space="preserve">, </w:t>
      </w:r>
      <w:r w:rsidR="009C060E" w:rsidRPr="004375B4">
        <w:t xml:space="preserve">from ratepayers. </w:t>
      </w:r>
    </w:p>
    <w:p w14:paraId="09397344" w14:textId="77777777" w:rsidR="001C452F" w:rsidRPr="004375B4" w:rsidRDefault="001C452F" w:rsidP="00113D2F">
      <w:pPr>
        <w:pStyle w:val="ListParagraph"/>
        <w:numPr>
          <w:ilvl w:val="1"/>
          <w:numId w:val="8"/>
        </w:numPr>
        <w:spacing w:after="120" w:line="288" w:lineRule="auto"/>
        <w:rPr>
          <w:b/>
        </w:rPr>
      </w:pPr>
      <w:r w:rsidRPr="004375B4">
        <w:rPr>
          <w:b/>
        </w:rPr>
        <w:t>Executive Salaries</w:t>
      </w:r>
    </w:p>
    <w:p w14:paraId="4CFCB85B" w14:textId="0EC975C8" w:rsidR="009C060E" w:rsidRPr="004375B4" w:rsidRDefault="009C060E" w:rsidP="00FE3A56">
      <w:pPr>
        <w:numPr>
          <w:ilvl w:val="0"/>
          <w:numId w:val="1"/>
        </w:numPr>
        <w:tabs>
          <w:tab w:val="num" w:pos="0"/>
        </w:tabs>
        <w:spacing w:after="120" w:line="288" w:lineRule="auto"/>
        <w:ind w:left="0" w:hanging="720"/>
      </w:pPr>
      <w:r w:rsidRPr="004375B4">
        <w:t>Avista proposes an adjustment to reflect an annualized 2014 level of executive officer salaries.</w:t>
      </w:r>
      <w:r w:rsidRPr="004375B4">
        <w:rPr>
          <w:vertAlign w:val="superscript"/>
        </w:rPr>
        <w:footnoteReference w:id="341"/>
      </w:r>
      <w:r w:rsidRPr="004375B4">
        <w:t xml:space="preserve"> Unlike non-executive wages, Avista does not propose to reflect salary increases for 2015 or 2016 in rates. </w:t>
      </w:r>
      <w:r w:rsidR="00A25934" w:rsidRPr="004375B4">
        <w:t>In this</w:t>
      </w:r>
      <w:r w:rsidR="003E0311" w:rsidRPr="004375B4">
        <w:t xml:space="preserve"> adjustmen</w:t>
      </w:r>
      <w:r w:rsidR="00A25934" w:rsidRPr="004375B4">
        <w:t>t</w:t>
      </w:r>
      <w:r w:rsidRPr="004375B4">
        <w:t xml:space="preserve">, Avista proposes </w:t>
      </w:r>
      <w:r w:rsidR="00680D1A" w:rsidRPr="004375B4">
        <w:t xml:space="preserve">only </w:t>
      </w:r>
      <w:r w:rsidRPr="004375B4">
        <w:t xml:space="preserve">to modify the portion of executives’ time allocated to Washington utility and non-utility </w:t>
      </w:r>
      <w:r w:rsidRPr="004375B4">
        <w:lastRenderedPageBreak/>
        <w:t>functions.</w:t>
      </w:r>
      <w:r w:rsidRPr="004375B4">
        <w:rPr>
          <w:vertAlign w:val="superscript"/>
        </w:rPr>
        <w:footnoteReference w:id="342"/>
      </w:r>
      <w:r w:rsidRPr="004375B4">
        <w:t xml:space="preserve"> Avista projects that executives spend an average of 89 percent of their time on Washington utility function</w:t>
      </w:r>
      <w:r w:rsidR="00B56F47" w:rsidRPr="004375B4">
        <w:t>s</w:t>
      </w:r>
      <w:r w:rsidRPr="004375B4">
        <w:t>.</w:t>
      </w:r>
      <w:r w:rsidRPr="004375B4">
        <w:rPr>
          <w:vertAlign w:val="superscript"/>
        </w:rPr>
        <w:footnoteReference w:id="343"/>
      </w:r>
      <w:r w:rsidRPr="004375B4">
        <w:t xml:space="preserve"> Avista supports this change based on </w:t>
      </w:r>
      <w:r w:rsidR="00B56F47" w:rsidRPr="004375B4">
        <w:t xml:space="preserve">a review of </w:t>
      </w:r>
      <w:r w:rsidRPr="004375B4">
        <w:t xml:space="preserve">the executives’ job responsibilities, </w:t>
      </w:r>
      <w:r w:rsidR="00B56F47" w:rsidRPr="004375B4">
        <w:t xml:space="preserve">and the shift of their time from working on </w:t>
      </w:r>
      <w:r w:rsidRPr="004375B4">
        <w:t>the sale of a non-utility subsidiary and the acquisition of a small utility in Alaska</w:t>
      </w:r>
      <w:r w:rsidR="00B56F47" w:rsidRPr="004375B4">
        <w:t xml:space="preserve"> back to Washington utility efforts</w:t>
      </w:r>
      <w:r w:rsidRPr="004375B4">
        <w:t>.</w:t>
      </w:r>
      <w:r w:rsidRPr="004375B4">
        <w:rPr>
          <w:vertAlign w:val="superscript"/>
        </w:rPr>
        <w:footnoteReference w:id="344"/>
      </w:r>
    </w:p>
    <w:p w14:paraId="16396695" w14:textId="141258E0" w:rsidR="009C060E" w:rsidRPr="004375B4" w:rsidRDefault="009C060E" w:rsidP="00FE3A56">
      <w:pPr>
        <w:numPr>
          <w:ilvl w:val="0"/>
          <w:numId w:val="1"/>
        </w:numPr>
        <w:tabs>
          <w:tab w:val="num" w:pos="0"/>
        </w:tabs>
        <w:spacing w:after="120" w:line="288" w:lineRule="auto"/>
        <w:ind w:left="0" w:hanging="720"/>
      </w:pPr>
      <w:r w:rsidRPr="004375B4">
        <w:t>Staff modifies this adjustment to reflect an 83 percent Washington utility allocation based on timesheet data for the test period.</w:t>
      </w:r>
      <w:r w:rsidRPr="004375B4">
        <w:rPr>
          <w:vertAlign w:val="superscript"/>
        </w:rPr>
        <w:footnoteReference w:id="345"/>
      </w:r>
      <w:r w:rsidRPr="004375B4">
        <w:t xml:space="preserve"> Staff argues that Avista “did not provide a clear and convincing description of any anticipated changes in current executive responsibilities.”</w:t>
      </w:r>
      <w:r w:rsidRPr="004375B4">
        <w:rPr>
          <w:vertAlign w:val="superscript"/>
        </w:rPr>
        <w:footnoteReference w:id="346"/>
      </w:r>
      <w:r w:rsidRPr="004375B4">
        <w:t xml:space="preserve"> Avista responds that the sale of its largest subsidiary and the acquisition of an Alaskan utility resulted in an abnormally high amount </w:t>
      </w:r>
      <w:r w:rsidR="00354023" w:rsidRPr="004375B4">
        <w:t xml:space="preserve">of executive time devoted to </w:t>
      </w:r>
      <w:r w:rsidRPr="004375B4">
        <w:t xml:space="preserve">non-utility </w:t>
      </w:r>
      <w:r w:rsidR="00354023" w:rsidRPr="004375B4">
        <w:t>projects</w:t>
      </w:r>
      <w:r w:rsidRPr="004375B4">
        <w:t xml:space="preserve"> in 2014.</w:t>
      </w:r>
      <w:r w:rsidRPr="004375B4">
        <w:rPr>
          <w:vertAlign w:val="superscript"/>
        </w:rPr>
        <w:footnoteReference w:id="347"/>
      </w:r>
      <w:r w:rsidR="00354023" w:rsidRPr="004375B4">
        <w:t xml:space="preserve"> This level of oversight, according to the Company, will not be required in the upcoming rate year.</w:t>
      </w:r>
      <w:r w:rsidR="00354023" w:rsidRPr="004375B4">
        <w:rPr>
          <w:rStyle w:val="FootnoteReference"/>
        </w:rPr>
        <w:footnoteReference w:id="348"/>
      </w:r>
    </w:p>
    <w:p w14:paraId="33212EB5" w14:textId="77777777" w:rsidR="009C060E" w:rsidRPr="004375B4" w:rsidRDefault="009C060E" w:rsidP="00FE3A56">
      <w:pPr>
        <w:numPr>
          <w:ilvl w:val="0"/>
          <w:numId w:val="1"/>
        </w:numPr>
        <w:tabs>
          <w:tab w:val="num" w:pos="0"/>
        </w:tabs>
        <w:spacing w:after="120" w:line="288" w:lineRule="auto"/>
        <w:ind w:left="0" w:hanging="720"/>
      </w:pPr>
      <w:r w:rsidRPr="004375B4">
        <w:t>ICNU modifies this adjustment by using a $325,000 per executive cap on compensation. I</w:t>
      </w:r>
      <w:r w:rsidR="00820346" w:rsidRPr="004375B4">
        <w:t>t</w:t>
      </w:r>
      <w:r w:rsidRPr="004375B4">
        <w:t xml:space="preserve"> supports this cap by noting that no key executives at public power utilities in the Northwest have salaries exceeding $325,000.</w:t>
      </w:r>
      <w:r w:rsidRPr="004375B4">
        <w:rPr>
          <w:vertAlign w:val="superscript"/>
        </w:rPr>
        <w:footnoteReference w:id="349"/>
      </w:r>
    </w:p>
    <w:p w14:paraId="1B09A1A9" w14:textId="50200237" w:rsidR="009C060E" w:rsidRPr="004375B4" w:rsidRDefault="009C060E" w:rsidP="00FE3A56">
      <w:pPr>
        <w:numPr>
          <w:ilvl w:val="0"/>
          <w:numId w:val="1"/>
        </w:numPr>
        <w:tabs>
          <w:tab w:val="num" w:pos="0"/>
        </w:tabs>
        <w:spacing w:after="120" w:line="288" w:lineRule="auto"/>
        <w:ind w:left="0" w:hanging="720"/>
      </w:pPr>
      <w:r w:rsidRPr="004375B4">
        <w:t>Avista responds that it is not appropriate to compare its executives’ responsibilities to a public power executive’s responsibilit</w:t>
      </w:r>
      <w:r w:rsidR="00820346" w:rsidRPr="004375B4">
        <w:t>ies</w:t>
      </w:r>
      <w:r w:rsidRPr="004375B4">
        <w:t xml:space="preserve"> for multiple reasons. Public power organizations are normally not dual-fuel</w:t>
      </w:r>
      <w:r w:rsidR="00820346" w:rsidRPr="004375B4">
        <w:t xml:space="preserve"> utilities</w:t>
      </w:r>
      <w:r w:rsidRPr="004375B4">
        <w:t>, operate in only one jurisdiction, and do not own and operate extensive generation and transmission facilities.</w:t>
      </w:r>
      <w:r w:rsidRPr="004375B4">
        <w:rPr>
          <w:vertAlign w:val="superscript"/>
        </w:rPr>
        <w:footnoteReference w:id="350"/>
      </w:r>
      <w:r w:rsidRPr="004375B4">
        <w:t xml:space="preserve"> In addition, publicly traded companies have more constituencies than public power organizations including the investment community, shareholders, and multiple regulatory agencies.</w:t>
      </w:r>
      <w:r w:rsidRPr="004375B4">
        <w:rPr>
          <w:vertAlign w:val="superscript"/>
        </w:rPr>
        <w:footnoteReference w:id="351"/>
      </w:r>
      <w:r w:rsidRPr="004375B4">
        <w:t xml:space="preserve"> Avista’s board annually reviews total compensation, working with a consultant that provides a report of salaries at select peer utilities. That peer group does not include many </w:t>
      </w:r>
      <w:r w:rsidRPr="004375B4">
        <w:lastRenderedPageBreak/>
        <w:t xml:space="preserve">public power entities due to </w:t>
      </w:r>
      <w:r w:rsidR="00FA08F3" w:rsidRPr="004375B4">
        <w:t xml:space="preserve">the disparity in </w:t>
      </w:r>
      <w:r w:rsidRPr="004375B4">
        <w:t>their annual revenues, operational focus, and organizational structure.</w:t>
      </w:r>
      <w:r w:rsidRPr="004375B4">
        <w:rPr>
          <w:vertAlign w:val="superscript"/>
        </w:rPr>
        <w:footnoteReference w:id="352"/>
      </w:r>
    </w:p>
    <w:p w14:paraId="5B8B83F2" w14:textId="7701CDEC" w:rsidR="009C060E" w:rsidRPr="004375B4" w:rsidRDefault="0041167F" w:rsidP="00FE3A56">
      <w:pPr>
        <w:numPr>
          <w:ilvl w:val="0"/>
          <w:numId w:val="1"/>
        </w:numPr>
        <w:tabs>
          <w:tab w:val="num" w:pos="0"/>
        </w:tabs>
        <w:spacing w:after="120" w:line="288" w:lineRule="auto"/>
        <w:ind w:left="0" w:hanging="720"/>
      </w:pPr>
      <w:r w:rsidRPr="004375B4">
        <w:rPr>
          <w:i/>
        </w:rPr>
        <w:t>Decision.</w:t>
      </w:r>
      <w:r w:rsidR="009C060E" w:rsidRPr="004375B4">
        <w:t xml:space="preserve"> </w:t>
      </w:r>
      <w:r w:rsidR="00AA721A" w:rsidRPr="004375B4">
        <w:t xml:space="preserve">We reject </w:t>
      </w:r>
      <w:r w:rsidR="009C060E" w:rsidRPr="004375B4">
        <w:t>Avista</w:t>
      </w:r>
      <w:r w:rsidR="00AA721A" w:rsidRPr="004375B4">
        <w:t>’s</w:t>
      </w:r>
      <w:r w:rsidR="009C060E" w:rsidRPr="004375B4">
        <w:t xml:space="preserve"> propos</w:t>
      </w:r>
      <w:r w:rsidR="00AA721A" w:rsidRPr="004375B4">
        <w:t>al</w:t>
      </w:r>
      <w:r w:rsidR="009C060E" w:rsidRPr="004375B4">
        <w:t xml:space="preserve"> to adjust the amount of time its executives allocate to Washington utility work</w:t>
      </w:r>
      <w:r w:rsidR="00AA721A" w:rsidRPr="004375B4">
        <w:t xml:space="preserve"> because t</w:t>
      </w:r>
      <w:r w:rsidR="009C060E" w:rsidRPr="004375B4">
        <w:t>hese projections are not known and measurable</w:t>
      </w:r>
      <w:r w:rsidR="00AA721A" w:rsidRPr="004375B4">
        <w:t xml:space="preserve">. </w:t>
      </w:r>
      <w:r w:rsidR="004502F0" w:rsidRPr="004375B4">
        <w:t xml:space="preserve">Instead, we adopt Staff’s allocation based on measured timesheet data from the test period. </w:t>
      </w:r>
      <w:r w:rsidR="00680D1A" w:rsidRPr="004375B4">
        <w:t xml:space="preserve">We reject </w:t>
      </w:r>
      <w:r w:rsidR="009C060E" w:rsidRPr="004375B4">
        <w:t>ICNU</w:t>
      </w:r>
      <w:r w:rsidR="00680D1A" w:rsidRPr="004375B4">
        <w:t xml:space="preserve">’s argument that we should </w:t>
      </w:r>
      <w:r w:rsidR="009C060E" w:rsidRPr="004375B4">
        <w:t>cap each executive’s salary at $325,000</w:t>
      </w:r>
      <w:r w:rsidR="00680D1A" w:rsidRPr="004375B4">
        <w:t xml:space="preserve"> based on </w:t>
      </w:r>
      <w:r w:rsidR="009C060E" w:rsidRPr="004375B4">
        <w:t xml:space="preserve">a simple list of executive salaries at consumer-owned utilities in the region. We do not find ICNU’s analysis </w:t>
      </w:r>
      <w:r w:rsidR="00B56F47" w:rsidRPr="004375B4">
        <w:t xml:space="preserve">sufficiently </w:t>
      </w:r>
      <w:r w:rsidR="009C060E" w:rsidRPr="004375B4">
        <w:t>robust to counter Avista’s reliance on a carefully selected peer group to set executive compensation.</w:t>
      </w:r>
    </w:p>
    <w:p w14:paraId="636223DA" w14:textId="77777777" w:rsidR="009C060E" w:rsidRPr="004375B4" w:rsidRDefault="009C060E" w:rsidP="00113D2F">
      <w:pPr>
        <w:pStyle w:val="ListParagraph"/>
        <w:numPr>
          <w:ilvl w:val="1"/>
          <w:numId w:val="8"/>
        </w:numPr>
        <w:spacing w:after="120" w:line="288" w:lineRule="auto"/>
        <w:rPr>
          <w:b/>
        </w:rPr>
      </w:pPr>
      <w:r w:rsidRPr="004375B4">
        <w:rPr>
          <w:b/>
        </w:rPr>
        <w:t>Director’s fees</w:t>
      </w:r>
    </w:p>
    <w:p w14:paraId="594A8820" w14:textId="07E34CB9" w:rsidR="009C060E" w:rsidRPr="004375B4" w:rsidRDefault="009C060E" w:rsidP="00FE3A56">
      <w:pPr>
        <w:numPr>
          <w:ilvl w:val="0"/>
          <w:numId w:val="1"/>
        </w:numPr>
        <w:tabs>
          <w:tab w:val="num" w:pos="0"/>
        </w:tabs>
        <w:spacing w:after="120" w:line="288" w:lineRule="auto"/>
        <w:ind w:left="0" w:hanging="720"/>
      </w:pPr>
      <w:r w:rsidRPr="004375B4">
        <w:t xml:space="preserve">In Adjustment number 2.12, Avista removed 50 percent of director meeting expenses and </w:t>
      </w:r>
      <w:r w:rsidR="00680D1A" w:rsidRPr="004375B4">
        <w:t>3</w:t>
      </w:r>
      <w:r w:rsidRPr="004375B4">
        <w:t xml:space="preserve"> percent of director fee expenses.</w:t>
      </w:r>
      <w:r w:rsidRPr="004375B4">
        <w:rPr>
          <w:vertAlign w:val="superscript"/>
        </w:rPr>
        <w:footnoteReference w:id="353"/>
      </w:r>
      <w:r w:rsidRPr="004375B4">
        <w:t xml:space="preserve"> ICNU notes that in Avista’s 2009 </w:t>
      </w:r>
      <w:r w:rsidR="00AA721A" w:rsidRPr="004375B4">
        <w:t>general rate proceeding</w:t>
      </w:r>
      <w:r w:rsidRPr="004375B4">
        <w:t xml:space="preserve">, the Commission required the Company to split director fees and meeting costs </w:t>
      </w:r>
      <w:r w:rsidR="00680D1A" w:rsidRPr="004375B4">
        <w:t xml:space="preserve">evenly </w:t>
      </w:r>
      <w:r w:rsidRPr="004375B4">
        <w:t>between customers and shareholders.</w:t>
      </w:r>
      <w:r w:rsidRPr="004375B4">
        <w:rPr>
          <w:vertAlign w:val="superscript"/>
        </w:rPr>
        <w:footnoteReference w:id="354"/>
      </w:r>
      <w:r w:rsidRPr="004375B4">
        <w:t xml:space="preserve"> ICNU’s adjustment results in a reduction to </w:t>
      </w:r>
      <w:r w:rsidR="00680D1A" w:rsidRPr="004375B4">
        <w:t xml:space="preserve">Avista’s </w:t>
      </w:r>
      <w:r w:rsidRPr="004375B4">
        <w:t>revenue requirement of approximately $0.5 million on a Washington</w:t>
      </w:r>
      <w:r w:rsidR="00680D1A" w:rsidRPr="004375B4">
        <w:t>-</w:t>
      </w:r>
      <w:r w:rsidR="00820346" w:rsidRPr="004375B4">
        <w:t xml:space="preserve">allocated </w:t>
      </w:r>
      <w:r w:rsidRPr="004375B4">
        <w:t>basis. Avista does not respond to ICNU’s proposal on rebuttal.</w:t>
      </w:r>
    </w:p>
    <w:p w14:paraId="1B55115D" w14:textId="1B45BDB0" w:rsidR="009C060E" w:rsidRPr="004375B4" w:rsidRDefault="0041167F" w:rsidP="00FE3A56">
      <w:pPr>
        <w:numPr>
          <w:ilvl w:val="0"/>
          <w:numId w:val="1"/>
        </w:numPr>
        <w:tabs>
          <w:tab w:val="num" w:pos="0"/>
        </w:tabs>
        <w:spacing w:after="120" w:line="288" w:lineRule="auto"/>
        <w:ind w:left="0" w:hanging="720"/>
      </w:pPr>
      <w:r w:rsidRPr="004375B4">
        <w:rPr>
          <w:i/>
        </w:rPr>
        <w:t>Decision.</w:t>
      </w:r>
      <w:r w:rsidR="009C060E" w:rsidRPr="004375B4">
        <w:t xml:space="preserve"> Avista only removed </w:t>
      </w:r>
      <w:r w:rsidR="00680D1A" w:rsidRPr="004375B4">
        <w:t xml:space="preserve">3 </w:t>
      </w:r>
      <w:r w:rsidR="009C060E" w:rsidRPr="004375B4">
        <w:t xml:space="preserve">percent of the director fee expenses, while our practice is </w:t>
      </w:r>
      <w:r w:rsidR="00AA721A" w:rsidRPr="004375B4">
        <w:t xml:space="preserve">to </w:t>
      </w:r>
      <w:r w:rsidR="009C060E" w:rsidRPr="004375B4">
        <w:t xml:space="preserve">allow the Company </w:t>
      </w:r>
      <w:r w:rsidR="00AA721A" w:rsidRPr="004375B4">
        <w:t xml:space="preserve">recovery of </w:t>
      </w:r>
      <w:r w:rsidR="009C060E" w:rsidRPr="004375B4">
        <w:t xml:space="preserve">50 percent of director fees from ratepayers. Avista has not presented substantial evidence as to why this practice should be modified. Absent such a showing, we continue to authorize only 50 percent of director fees and meeting costs in </w:t>
      </w:r>
      <w:r w:rsidR="00484F90" w:rsidRPr="004375B4">
        <w:t xml:space="preserve">both electric and natural gas </w:t>
      </w:r>
      <w:r w:rsidR="009C060E" w:rsidRPr="004375B4">
        <w:t>rates.</w:t>
      </w:r>
    </w:p>
    <w:p w14:paraId="2987D92E" w14:textId="77777777" w:rsidR="004533D2" w:rsidRPr="004375B4" w:rsidRDefault="004533D2" w:rsidP="009C060E">
      <w:pPr>
        <w:spacing w:line="264" w:lineRule="auto"/>
      </w:pPr>
    </w:p>
    <w:p w14:paraId="5BA37C9F" w14:textId="2C29A642" w:rsidR="004533D2" w:rsidRPr="004375B4" w:rsidRDefault="004533D2" w:rsidP="00F91E54">
      <w:pPr>
        <w:pStyle w:val="Heading3"/>
        <w:numPr>
          <w:ilvl w:val="0"/>
          <w:numId w:val="38"/>
        </w:numPr>
        <w:jc w:val="left"/>
        <w:rPr>
          <w:rFonts w:ascii="Times New Roman" w:hAnsi="Times New Roman"/>
        </w:rPr>
      </w:pPr>
      <w:bookmarkStart w:id="32" w:name="_Toc439838970"/>
      <w:r w:rsidRPr="004375B4">
        <w:rPr>
          <w:rFonts w:ascii="Times New Roman" w:hAnsi="Times New Roman"/>
        </w:rPr>
        <w:t>Low</w:t>
      </w:r>
      <w:r w:rsidR="003827BB" w:rsidRPr="004375B4">
        <w:rPr>
          <w:rFonts w:ascii="Times New Roman" w:hAnsi="Times New Roman"/>
        </w:rPr>
        <w:t>-</w:t>
      </w:r>
      <w:r w:rsidRPr="004375B4">
        <w:rPr>
          <w:rFonts w:ascii="Times New Roman" w:hAnsi="Times New Roman"/>
        </w:rPr>
        <w:t>Income Rate Assistance Program</w:t>
      </w:r>
      <w:bookmarkEnd w:id="32"/>
    </w:p>
    <w:p w14:paraId="29F0C178" w14:textId="77777777" w:rsidR="00092ECD" w:rsidRPr="004375B4" w:rsidRDefault="00092ECD" w:rsidP="00092ECD"/>
    <w:p w14:paraId="33A4674F" w14:textId="60708D90" w:rsidR="00A83D25" w:rsidRPr="004375B4" w:rsidRDefault="00A83D25" w:rsidP="00FE3A56">
      <w:pPr>
        <w:numPr>
          <w:ilvl w:val="0"/>
          <w:numId w:val="1"/>
        </w:numPr>
        <w:tabs>
          <w:tab w:val="num" w:pos="0"/>
        </w:tabs>
        <w:spacing w:after="120" w:line="288" w:lineRule="auto"/>
        <w:ind w:left="0" w:hanging="720"/>
      </w:pPr>
      <w:r w:rsidRPr="004375B4">
        <w:t>RCW 80.28.068 authorizes the Commission to approve discounted rates for low-income customers and recover the cost of those discounts through surcharges to all customers. Avista’s Low-</w:t>
      </w:r>
      <w:r w:rsidR="003827BB" w:rsidRPr="004375B4">
        <w:t>I</w:t>
      </w:r>
      <w:r w:rsidRPr="004375B4">
        <w:t xml:space="preserve">ncome Rate Assistance Program (LIRAP) provides bill assistance to eligible customers with a household income less than or equal to 125 percent of the Federal Poverty Level (FPL), and recovers the cost through Schedule 92 (electric) and Schedule 192 (gas). The funding is administered by Community Action Agencies in </w:t>
      </w:r>
      <w:r w:rsidRPr="004375B4">
        <w:lastRenderedPageBreak/>
        <w:t xml:space="preserve">Avista’s service area, which accept applications; determine customers’ eligibility for assistance through LIRAP Heat, LIRAP Senior Energy Outreach, and LIRAP Share; and distribute LIRAP grants.  </w:t>
      </w:r>
    </w:p>
    <w:p w14:paraId="451C10E6" w14:textId="522B4FB3" w:rsidR="00A83D25" w:rsidRPr="004375B4" w:rsidRDefault="00A83D25" w:rsidP="00FE3A56">
      <w:pPr>
        <w:numPr>
          <w:ilvl w:val="0"/>
          <w:numId w:val="1"/>
        </w:numPr>
        <w:tabs>
          <w:tab w:val="num" w:pos="0"/>
        </w:tabs>
        <w:spacing w:after="120" w:line="288" w:lineRule="auto"/>
        <w:ind w:left="0" w:hanging="720"/>
      </w:pPr>
      <w:r w:rsidRPr="004375B4">
        <w:t xml:space="preserve">In the Commission’s order approving the settlement in Avista’s 2014 </w:t>
      </w:r>
      <w:r w:rsidR="00997B0D" w:rsidRPr="004375B4">
        <w:t>general rate case</w:t>
      </w:r>
      <w:r w:rsidRPr="004375B4">
        <w:t xml:space="preserve">, the Commission approved a one-time funding increase for LIRAP and required </w:t>
      </w:r>
      <w:r w:rsidR="00820346" w:rsidRPr="004375B4">
        <w:t>Avista, Staff, Public Counsel, T</w:t>
      </w:r>
      <w:r w:rsidRPr="004375B4">
        <w:t>he Energy Project, NWIGU and ICNU to work together to develop mutually agreed-upon additions and modifications to LIRAP by June 1, 2015.</w:t>
      </w:r>
      <w:r w:rsidRPr="004375B4">
        <w:rPr>
          <w:rStyle w:val="FootnoteReference"/>
        </w:rPr>
        <w:footnoteReference w:id="355"/>
      </w:r>
      <w:r w:rsidR="00997B0D" w:rsidRPr="004375B4">
        <w:t xml:space="preserve"> The p</w:t>
      </w:r>
      <w:r w:rsidRPr="004375B4">
        <w:t>arties were still engaged in those discussions at the time Avista initiated</w:t>
      </w:r>
      <w:r w:rsidRPr="004375B4" w:rsidDel="00174EAB">
        <w:t xml:space="preserve"> </w:t>
      </w:r>
      <w:r w:rsidRPr="004375B4">
        <w:t>this proceeding.</w:t>
      </w:r>
      <w:r w:rsidRPr="004375B4">
        <w:rPr>
          <w:rStyle w:val="FootnoteReference"/>
        </w:rPr>
        <w:footnoteReference w:id="356"/>
      </w:r>
      <w:r w:rsidRPr="004375B4">
        <w:t xml:space="preserve">  </w:t>
      </w:r>
    </w:p>
    <w:p w14:paraId="60C1212B" w14:textId="4B736DCF" w:rsidR="00A83D25" w:rsidRPr="004375B4" w:rsidRDefault="00A83D25" w:rsidP="00FE3A56">
      <w:pPr>
        <w:numPr>
          <w:ilvl w:val="0"/>
          <w:numId w:val="1"/>
        </w:numPr>
        <w:tabs>
          <w:tab w:val="num" w:pos="0"/>
        </w:tabs>
        <w:spacing w:after="120" w:line="288" w:lineRule="auto"/>
        <w:ind w:left="0" w:hanging="720"/>
      </w:pPr>
      <w:r w:rsidRPr="004375B4">
        <w:t>On June 25, 201</w:t>
      </w:r>
      <w:r w:rsidR="00997B0D" w:rsidRPr="004375B4">
        <w:t>5, the Commission approved the p</w:t>
      </w:r>
      <w:r w:rsidRPr="004375B4">
        <w:t xml:space="preserve">arties’ Joint Petition to </w:t>
      </w:r>
      <w:r w:rsidR="00C85B0E" w:rsidRPr="004375B4">
        <w:t xml:space="preserve">(1) </w:t>
      </w:r>
      <w:r w:rsidRPr="004375B4">
        <w:t xml:space="preserve">establish a pilot rate discount program for fixed-income seniors and disabled persons in addition to the current LIRAP program, </w:t>
      </w:r>
      <w:r w:rsidR="00C85B0E" w:rsidRPr="004375B4">
        <w:t xml:space="preserve">(2) </w:t>
      </w:r>
      <w:r w:rsidRPr="004375B4">
        <w:t xml:space="preserve">establish a LIRAP Advisory Group, and </w:t>
      </w:r>
      <w:r w:rsidR="00C85B0E" w:rsidRPr="004375B4">
        <w:t xml:space="preserve">(3) </w:t>
      </w:r>
      <w:r w:rsidRPr="004375B4">
        <w:t>authorize funding for those activities.</w:t>
      </w:r>
      <w:r w:rsidRPr="004375B4">
        <w:rPr>
          <w:rStyle w:val="FootnoteReference"/>
        </w:rPr>
        <w:footnoteReference w:id="357"/>
      </w:r>
      <w:r w:rsidRPr="004375B4">
        <w:t xml:space="preserve"> The Commission also adopted the following goals for Avista’s LIRAP program:</w:t>
      </w:r>
    </w:p>
    <w:p w14:paraId="6C2251C0" w14:textId="77777777" w:rsidR="00A83D25" w:rsidRPr="004375B4" w:rsidRDefault="00A83D25" w:rsidP="003C0488">
      <w:pPr>
        <w:pStyle w:val="ListParagraph"/>
        <w:numPr>
          <w:ilvl w:val="0"/>
          <w:numId w:val="7"/>
        </w:numPr>
        <w:tabs>
          <w:tab w:val="num" w:pos="720"/>
        </w:tabs>
        <w:autoSpaceDE w:val="0"/>
        <w:autoSpaceDN w:val="0"/>
        <w:adjustRightInd w:val="0"/>
        <w:spacing w:after="120" w:line="288" w:lineRule="auto"/>
        <w:ind w:left="720" w:firstLine="0"/>
      </w:pPr>
      <w:r w:rsidRPr="004375B4">
        <w:t>Keep customers connected to energy service,</w:t>
      </w:r>
    </w:p>
    <w:p w14:paraId="7BA71880" w14:textId="77777777" w:rsidR="00A83D25" w:rsidRPr="004375B4" w:rsidRDefault="00A83D25" w:rsidP="003C0488">
      <w:pPr>
        <w:pStyle w:val="ListParagraph"/>
        <w:numPr>
          <w:ilvl w:val="0"/>
          <w:numId w:val="7"/>
        </w:numPr>
        <w:tabs>
          <w:tab w:val="num" w:pos="720"/>
        </w:tabs>
        <w:autoSpaceDE w:val="0"/>
        <w:autoSpaceDN w:val="0"/>
        <w:adjustRightInd w:val="0"/>
        <w:spacing w:after="120" w:line="288" w:lineRule="auto"/>
        <w:ind w:left="720" w:firstLine="0"/>
      </w:pPr>
      <w:r w:rsidRPr="004375B4">
        <w:t>Provide assistance to more customers than are currently served,</w:t>
      </w:r>
    </w:p>
    <w:p w14:paraId="5463DA1D" w14:textId="77777777" w:rsidR="00A83D25" w:rsidRPr="004375B4" w:rsidRDefault="00A83D25" w:rsidP="003C0488">
      <w:pPr>
        <w:pStyle w:val="ListParagraph"/>
        <w:numPr>
          <w:ilvl w:val="0"/>
          <w:numId w:val="7"/>
        </w:numPr>
        <w:tabs>
          <w:tab w:val="num" w:pos="720"/>
        </w:tabs>
        <w:autoSpaceDE w:val="0"/>
        <w:autoSpaceDN w:val="0"/>
        <w:adjustRightInd w:val="0"/>
        <w:spacing w:after="120" w:line="288" w:lineRule="auto"/>
        <w:ind w:left="720" w:firstLine="0"/>
      </w:pPr>
      <w:r w:rsidRPr="004375B4">
        <w:t>Lower the energy burden of LIRAP participants, and</w:t>
      </w:r>
    </w:p>
    <w:p w14:paraId="15B36EDE" w14:textId="77777777" w:rsidR="00A83D25" w:rsidRPr="004375B4" w:rsidRDefault="004B215D" w:rsidP="003C0488">
      <w:pPr>
        <w:pStyle w:val="ListParagraph"/>
        <w:numPr>
          <w:ilvl w:val="0"/>
          <w:numId w:val="7"/>
        </w:numPr>
        <w:tabs>
          <w:tab w:val="num" w:pos="1440"/>
        </w:tabs>
        <w:autoSpaceDE w:val="0"/>
        <w:autoSpaceDN w:val="0"/>
        <w:adjustRightInd w:val="0"/>
        <w:spacing w:after="120" w:line="288" w:lineRule="auto"/>
        <w:ind w:hanging="720"/>
      </w:pPr>
      <w:r w:rsidRPr="004375B4">
        <w:t xml:space="preserve">Collect </w:t>
      </w:r>
      <w:r w:rsidR="00A83D25" w:rsidRPr="004375B4">
        <w:t xml:space="preserve">data </w:t>
      </w:r>
      <w:r w:rsidRPr="004375B4">
        <w:t xml:space="preserve">necessary </w:t>
      </w:r>
      <w:r w:rsidR="00A83D25" w:rsidRPr="004375B4">
        <w:t>to assess program effectiveness</w:t>
      </w:r>
      <w:r w:rsidRPr="004375B4">
        <w:t xml:space="preserve"> and inform ongoing policy discussions</w:t>
      </w:r>
      <w:r w:rsidR="00A83D25" w:rsidRPr="004375B4">
        <w:t>.</w:t>
      </w:r>
    </w:p>
    <w:p w14:paraId="1FB0F672" w14:textId="7B0B492C" w:rsidR="00A83D25" w:rsidRPr="004375B4" w:rsidRDefault="00A83D25" w:rsidP="00FE3A56">
      <w:pPr>
        <w:numPr>
          <w:ilvl w:val="0"/>
          <w:numId w:val="1"/>
        </w:numPr>
        <w:tabs>
          <w:tab w:val="num" w:pos="0"/>
        </w:tabs>
        <w:spacing w:after="120" w:line="288" w:lineRule="auto"/>
        <w:ind w:left="0" w:hanging="720"/>
      </w:pPr>
      <w:r w:rsidRPr="004375B4">
        <w:t>Staff recommends that the Commission approve a five-year plan to increase LIRAP funding by $475,000 per year or twice the percentage increase in the residential revenue requirement, whichever is greater.</w:t>
      </w:r>
      <w:r w:rsidRPr="004375B4">
        <w:rPr>
          <w:rStyle w:val="FootnoteReference"/>
        </w:rPr>
        <w:footnoteReference w:id="358"/>
      </w:r>
      <w:r w:rsidRPr="004375B4">
        <w:t xml:space="preserve"> Staff’s proposal is designed to serve 25,565 customers, </w:t>
      </w:r>
      <w:r w:rsidR="00995600" w:rsidRPr="004375B4">
        <w:t xml:space="preserve">which is </w:t>
      </w:r>
      <w:r w:rsidRPr="004375B4">
        <w:t>approximately half of the current eligible popul</w:t>
      </w:r>
      <w:r w:rsidR="00820346" w:rsidRPr="004375B4">
        <w:t>ation</w:t>
      </w:r>
      <w:r w:rsidR="00995600" w:rsidRPr="004375B4">
        <w:t>,</w:t>
      </w:r>
      <w:r w:rsidR="00820346" w:rsidRPr="004375B4">
        <w:t xml:space="preserve"> within </w:t>
      </w:r>
      <w:r w:rsidR="00C85B0E" w:rsidRPr="004375B4">
        <w:t>10</w:t>
      </w:r>
      <w:r w:rsidR="00820346" w:rsidRPr="004375B4">
        <w:t xml:space="preserve"> years. </w:t>
      </w:r>
      <w:r w:rsidRPr="004375B4">
        <w:t xml:space="preserve">Staff estimates that this plan will enable Avista to provide LIRAP assistance to an </w:t>
      </w:r>
      <w:r w:rsidRPr="004375B4">
        <w:lastRenderedPageBreak/>
        <w:t>additional 1,085 eligible customers per year, and a total of 20,126 customers by the end of the 2019-2020 program year.</w:t>
      </w:r>
      <w:r w:rsidRPr="004375B4">
        <w:rPr>
          <w:rStyle w:val="FootnoteReference"/>
        </w:rPr>
        <w:footnoteReference w:id="359"/>
      </w:r>
      <w:r w:rsidRPr="004375B4">
        <w:t xml:space="preserve"> </w:t>
      </w:r>
    </w:p>
    <w:p w14:paraId="62EB24F1" w14:textId="58F3B397" w:rsidR="00A83D25" w:rsidRPr="004375B4" w:rsidRDefault="00EA24F5" w:rsidP="00FE3A56">
      <w:pPr>
        <w:numPr>
          <w:ilvl w:val="0"/>
          <w:numId w:val="1"/>
        </w:numPr>
        <w:tabs>
          <w:tab w:val="num" w:pos="0"/>
        </w:tabs>
        <w:spacing w:after="120" w:line="288" w:lineRule="auto"/>
        <w:ind w:left="0" w:hanging="720"/>
      </w:pPr>
      <w:r w:rsidRPr="004375B4">
        <w:t>Public Counsel and T</w:t>
      </w:r>
      <w:r w:rsidR="00A83D25" w:rsidRPr="004375B4">
        <w:t xml:space="preserve">he Energy Project </w:t>
      </w:r>
      <w:r w:rsidRPr="004375B4">
        <w:t>jointly</w:t>
      </w:r>
      <w:r w:rsidR="00A83D25" w:rsidRPr="004375B4">
        <w:t xml:space="preserve"> propos</w:t>
      </w:r>
      <w:r w:rsidRPr="004375B4">
        <w:t>e</w:t>
      </w:r>
      <w:r w:rsidR="00A83D25" w:rsidRPr="004375B4">
        <w:t xml:space="preserve"> a five-year plan to increase LIRAP funding by 10 percent per year, or twice the percentage increase in the residential revenue requirement, whichever is greater.</w:t>
      </w:r>
      <w:r w:rsidR="00A83D25" w:rsidRPr="004375B4">
        <w:rPr>
          <w:rStyle w:val="FootnoteReference"/>
        </w:rPr>
        <w:footnoteReference w:id="360"/>
      </w:r>
      <w:r w:rsidR="00A83D25" w:rsidRPr="004375B4">
        <w:t xml:space="preserve"> </w:t>
      </w:r>
      <w:r w:rsidRPr="004375B4">
        <w:t>They</w:t>
      </w:r>
      <w:r w:rsidR="00A83D25" w:rsidRPr="004375B4">
        <w:t xml:space="preserve"> estimate that this plan will enable LIRAP to serve an increasing number of customers each year, for a total of 22,440 customers in the 2019-2020 program year.</w:t>
      </w:r>
      <w:r w:rsidR="00A83D25" w:rsidRPr="004375B4">
        <w:rPr>
          <w:rStyle w:val="FootnoteReference"/>
        </w:rPr>
        <w:footnoteReference w:id="361"/>
      </w:r>
      <w:r w:rsidR="00A83D25" w:rsidRPr="004375B4">
        <w:t xml:space="preserve"> Their proposed 10</w:t>
      </w:r>
      <w:r w:rsidR="00820346" w:rsidRPr="004375B4">
        <w:t xml:space="preserve"> </w:t>
      </w:r>
      <w:r w:rsidR="00A83D25" w:rsidRPr="004375B4">
        <w:t>percent increase in funding is based on the amount by which the Community Action Agencies could reasonably and manageably expand their programs.</w:t>
      </w:r>
      <w:r w:rsidR="00A83D25" w:rsidRPr="004375B4">
        <w:rPr>
          <w:rStyle w:val="FootnoteReference"/>
        </w:rPr>
        <w:footnoteReference w:id="362"/>
      </w:r>
      <w:r w:rsidR="00A83D25" w:rsidRPr="004375B4">
        <w:t xml:space="preserve"> </w:t>
      </w:r>
      <w:r w:rsidRPr="004375B4">
        <w:t xml:space="preserve">They assert that their proposal </w:t>
      </w:r>
      <w:r w:rsidR="00A83D25" w:rsidRPr="004375B4">
        <w:t xml:space="preserve">achieves the desired outcome in a shorter, but still reasonable timeframe.  </w:t>
      </w:r>
    </w:p>
    <w:p w14:paraId="71F50DDC" w14:textId="183D7F60" w:rsidR="00A83D25" w:rsidRPr="004375B4" w:rsidRDefault="00A83D25" w:rsidP="00FE3A56">
      <w:pPr>
        <w:numPr>
          <w:ilvl w:val="0"/>
          <w:numId w:val="1"/>
        </w:numPr>
        <w:tabs>
          <w:tab w:val="num" w:pos="0"/>
        </w:tabs>
        <w:spacing w:after="120" w:line="288" w:lineRule="auto"/>
        <w:ind w:left="0" w:hanging="720"/>
      </w:pPr>
      <w:r w:rsidRPr="004375B4">
        <w:t>On rebuttal, Avista proposes an alternative multi-year plan, which increases LIRAP funding by 7 percent per year, or twice the percentage increase in residential electric and natural gas base rates, whichever is greater.</w:t>
      </w:r>
      <w:r w:rsidRPr="004375B4">
        <w:rPr>
          <w:rStyle w:val="FootnoteReference"/>
        </w:rPr>
        <w:footnoteReference w:id="363"/>
      </w:r>
      <w:r w:rsidRPr="004375B4">
        <w:t xml:space="preserve"> The Company proposes that new rates go into effect on January 1, 2016, and subsequent annual increases to LIRAP funding be filed on August 15</w:t>
      </w:r>
      <w:r w:rsidRPr="004375B4">
        <w:rPr>
          <w:vertAlign w:val="superscript"/>
        </w:rPr>
        <w:t>th</w:t>
      </w:r>
      <w:r w:rsidRPr="004375B4">
        <w:t xml:space="preserve"> to become effective beginning October 1, 2016. Any additional funding increases necessary to achieve the funding plan would become effective with the corresponding base rate increase authorized in subsequent </w:t>
      </w:r>
      <w:r w:rsidR="00820346" w:rsidRPr="004375B4">
        <w:t>general rate case</w:t>
      </w:r>
      <w:r w:rsidRPr="004375B4">
        <w:t xml:space="preserve">s.  </w:t>
      </w:r>
    </w:p>
    <w:p w14:paraId="6121A8BB" w14:textId="77777777" w:rsidR="00A83D25" w:rsidRPr="004375B4" w:rsidRDefault="00A83D25" w:rsidP="00FE3A56">
      <w:pPr>
        <w:numPr>
          <w:ilvl w:val="0"/>
          <w:numId w:val="1"/>
        </w:numPr>
        <w:tabs>
          <w:tab w:val="num" w:pos="0"/>
        </w:tabs>
        <w:spacing w:after="120" w:line="288" w:lineRule="auto"/>
        <w:ind w:left="0" w:hanging="720"/>
      </w:pPr>
      <w:r w:rsidRPr="004375B4">
        <w:t xml:space="preserve">The Company </w:t>
      </w:r>
      <w:r w:rsidR="00EA24F5" w:rsidRPr="004375B4">
        <w:t xml:space="preserve">argues that its plan </w:t>
      </w:r>
      <w:r w:rsidRPr="004375B4">
        <w:t>represents a reasonable annual funding increase and specifies how the proposed increases are recovered from electric and natural gas service schedules, rather than the total program level.</w:t>
      </w:r>
      <w:r w:rsidRPr="004375B4">
        <w:rPr>
          <w:rStyle w:val="FootnoteReference"/>
        </w:rPr>
        <w:footnoteReference w:id="364"/>
      </w:r>
      <w:r w:rsidRPr="004375B4">
        <w:t xml:space="preserve"> </w:t>
      </w:r>
    </w:p>
    <w:p w14:paraId="6352F8DB" w14:textId="2BA292C0" w:rsidR="004533D2" w:rsidRPr="004375B4" w:rsidRDefault="00A83D25" w:rsidP="00FE3A56">
      <w:pPr>
        <w:numPr>
          <w:ilvl w:val="0"/>
          <w:numId w:val="1"/>
        </w:numPr>
        <w:tabs>
          <w:tab w:val="num" w:pos="0"/>
        </w:tabs>
        <w:spacing w:after="120" w:line="288" w:lineRule="auto"/>
        <w:ind w:left="0" w:hanging="720"/>
      </w:pPr>
      <w:r w:rsidRPr="004375B4">
        <w:t xml:space="preserve">Staff testified </w:t>
      </w:r>
      <w:r w:rsidR="00AC6A82" w:rsidRPr="004375B4">
        <w:t xml:space="preserve">at hearing </w:t>
      </w:r>
      <w:r w:rsidRPr="004375B4">
        <w:t xml:space="preserve">that in </w:t>
      </w:r>
      <w:r w:rsidR="00AC6A82" w:rsidRPr="004375B4">
        <w:t xml:space="preserve">the interest of fairness </w:t>
      </w:r>
      <w:r w:rsidRPr="004375B4">
        <w:t>eventually all customers who are eligible for assistance and who request it should be able to receive it.</w:t>
      </w:r>
      <w:r w:rsidRPr="004375B4">
        <w:rPr>
          <w:vertAlign w:val="superscript"/>
        </w:rPr>
        <w:footnoteReference w:id="365"/>
      </w:r>
      <w:r w:rsidRPr="004375B4">
        <w:rPr>
          <w:vertAlign w:val="superscript"/>
        </w:rPr>
        <w:t xml:space="preserve"> </w:t>
      </w:r>
      <w:r w:rsidRPr="004375B4">
        <w:t xml:space="preserve">Staff estimates </w:t>
      </w:r>
      <w:r w:rsidRPr="004375B4">
        <w:lastRenderedPageBreak/>
        <w:t>that the Company’s proposal would serve approximately half of eligible customers in Avista’s service territory within six years.</w:t>
      </w:r>
      <w:r w:rsidRPr="004375B4">
        <w:rPr>
          <w:vertAlign w:val="superscript"/>
        </w:rPr>
        <w:footnoteReference w:id="366"/>
      </w:r>
      <w:r w:rsidR="00EA24F5" w:rsidRPr="004375B4">
        <w:t xml:space="preserve"> On brief, T</w:t>
      </w:r>
      <w:r w:rsidRPr="004375B4">
        <w:t xml:space="preserve">he Energy Project </w:t>
      </w:r>
      <w:r w:rsidR="00EA24F5" w:rsidRPr="004375B4">
        <w:t>projected</w:t>
      </w:r>
      <w:r w:rsidRPr="004375B4">
        <w:t xml:space="preserve"> that Avista’s proposal would serve half of the eligible customers within seven years, assuming rates do not increase during this time.</w:t>
      </w:r>
      <w:r w:rsidRPr="004375B4">
        <w:rPr>
          <w:rStyle w:val="FootnoteReference"/>
        </w:rPr>
        <w:footnoteReference w:id="367"/>
      </w:r>
      <w:r w:rsidRPr="004375B4">
        <w:t xml:space="preserve"> </w:t>
      </w:r>
      <w:r w:rsidR="00EA24F5" w:rsidRPr="004375B4">
        <w:t>At hearing, both T</w:t>
      </w:r>
      <w:r w:rsidRPr="004375B4">
        <w:t>he Energy Project and Public Counsel continued to support a faster ramp-up of LIRAP funding (10 percent per year or half the residential rate increase) and urged the Commission to retain flexibility over how LIRAP funds are spent.</w:t>
      </w:r>
      <w:r w:rsidRPr="004375B4">
        <w:rPr>
          <w:vertAlign w:val="superscript"/>
        </w:rPr>
        <w:footnoteReference w:id="368"/>
      </w:r>
    </w:p>
    <w:p w14:paraId="0121CB1F" w14:textId="4F3A4FE3" w:rsidR="00A83D25" w:rsidRPr="004375B4" w:rsidRDefault="00B7093E" w:rsidP="00FE3A56">
      <w:pPr>
        <w:numPr>
          <w:ilvl w:val="0"/>
          <w:numId w:val="1"/>
        </w:numPr>
        <w:tabs>
          <w:tab w:val="num" w:pos="0"/>
        </w:tabs>
        <w:spacing w:after="120" w:line="288" w:lineRule="auto"/>
        <w:ind w:left="0" w:hanging="720"/>
      </w:pPr>
      <w:r w:rsidRPr="004375B4">
        <w:rPr>
          <w:i/>
        </w:rPr>
        <w:t>Decision.</w:t>
      </w:r>
      <w:r w:rsidR="00A83D25" w:rsidRPr="004375B4">
        <w:rPr>
          <w:i/>
        </w:rPr>
        <w:t xml:space="preserve">  </w:t>
      </w:r>
      <w:r w:rsidR="00144728" w:rsidRPr="004375B4">
        <w:t>It is clear from the collaborative work of the parties in filing the Joint Petition, and in this case, that c</w:t>
      </w:r>
      <w:r w:rsidR="00A83D25" w:rsidRPr="004375B4">
        <w:t>urrent funding levels are not sufficient to serve the eligible population in Avista’s service territory.</w:t>
      </w:r>
      <w:r w:rsidR="00A83D25" w:rsidRPr="004375B4">
        <w:rPr>
          <w:vertAlign w:val="superscript"/>
        </w:rPr>
        <w:footnoteReference w:id="369"/>
      </w:r>
      <w:r w:rsidR="00A83D25" w:rsidRPr="004375B4">
        <w:t xml:space="preserve"> While not all customers who are eligible for assistance will necessarily request it, current funding levels are not adequate to serve many customers who request assistance.</w:t>
      </w:r>
      <w:r w:rsidR="00A83D25" w:rsidRPr="004375B4">
        <w:rPr>
          <w:rStyle w:val="FootnoteReference"/>
        </w:rPr>
        <w:footnoteReference w:id="370"/>
      </w:r>
      <w:r w:rsidR="00A83D25" w:rsidRPr="004375B4">
        <w:t xml:space="preserve"> However, we also recognize the need to keep </w:t>
      </w:r>
      <w:r w:rsidR="00144728" w:rsidRPr="004375B4">
        <w:t xml:space="preserve">any </w:t>
      </w:r>
      <w:r w:rsidR="00A83D25" w:rsidRPr="004375B4">
        <w:t>overall increase in LIRAP funding at a reasonable level.</w:t>
      </w:r>
      <w:r w:rsidR="00A83D25" w:rsidRPr="004375B4">
        <w:rPr>
          <w:vertAlign w:val="superscript"/>
        </w:rPr>
        <w:footnoteReference w:id="371"/>
      </w:r>
      <w:r w:rsidR="00A83D25" w:rsidRPr="004375B4">
        <w:t xml:space="preserve"> </w:t>
      </w:r>
    </w:p>
    <w:p w14:paraId="087A0469" w14:textId="21D23326" w:rsidR="00A83D25" w:rsidRPr="004375B4" w:rsidRDefault="00A83D25" w:rsidP="00FE3A56">
      <w:pPr>
        <w:numPr>
          <w:ilvl w:val="0"/>
          <w:numId w:val="1"/>
        </w:numPr>
        <w:tabs>
          <w:tab w:val="num" w:pos="0"/>
        </w:tabs>
        <w:spacing w:after="120" w:line="288" w:lineRule="auto"/>
        <w:ind w:left="0" w:hanging="720"/>
      </w:pPr>
      <w:r w:rsidRPr="004375B4">
        <w:t xml:space="preserve">Since we do not know the </w:t>
      </w:r>
      <w:r w:rsidR="00811791" w:rsidRPr="004375B4">
        <w:t xml:space="preserve">full </w:t>
      </w:r>
      <w:r w:rsidRPr="004375B4">
        <w:t xml:space="preserve">extent of the unmet need at this time, we believe that </w:t>
      </w:r>
      <w:r w:rsidR="009124C2" w:rsidRPr="004375B4">
        <w:t xml:space="preserve">it is appropriate </w:t>
      </w:r>
      <w:r w:rsidRPr="004375B4">
        <w:t xml:space="preserve">to increase the number of eligible customers served </w:t>
      </w:r>
      <w:r w:rsidR="00C85B0E" w:rsidRPr="004375B4">
        <w:t xml:space="preserve">gradually </w:t>
      </w:r>
      <w:r w:rsidR="009124C2" w:rsidRPr="004375B4">
        <w:t>over time</w:t>
      </w:r>
      <w:r w:rsidRPr="004375B4">
        <w:t xml:space="preserve">. We support </w:t>
      </w:r>
      <w:r w:rsidR="00811791" w:rsidRPr="004375B4">
        <w:t xml:space="preserve">Staff’s </w:t>
      </w:r>
      <w:r w:rsidRPr="004375B4">
        <w:t>goal of eventually providing enough LIRAP funding to serve approximately half of the eligible population, with the assumption that the Low-Income Advisory Group will monitor the p</w:t>
      </w:r>
      <w:r w:rsidR="009124C2" w:rsidRPr="004375B4">
        <w:t>rogram</w:t>
      </w:r>
      <w:r w:rsidRPr="004375B4">
        <w:t>’s progress toward this goal, and make recommendations to revise the p</w:t>
      </w:r>
      <w:r w:rsidR="009124C2" w:rsidRPr="004375B4">
        <w:t>rogram</w:t>
      </w:r>
      <w:r w:rsidRPr="004375B4">
        <w:t xml:space="preserve">, if needed. </w:t>
      </w:r>
    </w:p>
    <w:p w14:paraId="4C07E0B3" w14:textId="2A7A9A03" w:rsidR="00A83D25" w:rsidRPr="004375B4" w:rsidRDefault="00A83D25" w:rsidP="00FE3A56">
      <w:pPr>
        <w:numPr>
          <w:ilvl w:val="0"/>
          <w:numId w:val="1"/>
        </w:numPr>
        <w:tabs>
          <w:tab w:val="num" w:pos="0"/>
        </w:tabs>
        <w:spacing w:after="120" w:line="288" w:lineRule="auto"/>
        <w:ind w:left="0" w:hanging="720"/>
      </w:pPr>
      <w:r w:rsidRPr="004375B4">
        <w:t>We also agree that a multi-year funding plan is desirable to provide parties and stakeholders relief from annually litigating LIRAP funding levels.</w:t>
      </w:r>
      <w:r w:rsidRPr="004375B4">
        <w:rPr>
          <w:vertAlign w:val="superscript"/>
        </w:rPr>
        <w:footnoteReference w:id="372"/>
      </w:r>
      <w:r w:rsidRPr="004375B4">
        <w:rPr>
          <w:vertAlign w:val="superscript"/>
        </w:rPr>
        <w:t xml:space="preserve"> </w:t>
      </w:r>
      <w:r w:rsidR="00144728" w:rsidRPr="004375B4">
        <w:t>We support t</w:t>
      </w:r>
      <w:r w:rsidRPr="004375B4">
        <w:t xml:space="preserve">he </w:t>
      </w:r>
      <w:r w:rsidR="00144728" w:rsidRPr="004375B4">
        <w:t>parties’</w:t>
      </w:r>
      <w:r w:rsidRPr="004375B4">
        <w:t xml:space="preserve"> </w:t>
      </w:r>
      <w:r w:rsidR="00144728" w:rsidRPr="004375B4">
        <w:t>consensus</w:t>
      </w:r>
      <w:r w:rsidRPr="004375B4">
        <w:t xml:space="preserve"> that a five-year timeline will provide </w:t>
      </w:r>
      <w:r w:rsidR="009124C2" w:rsidRPr="004375B4">
        <w:t xml:space="preserve">this </w:t>
      </w:r>
      <w:r w:rsidRPr="004375B4">
        <w:t xml:space="preserve">certainty and </w:t>
      </w:r>
      <w:r w:rsidR="009124C2" w:rsidRPr="004375B4">
        <w:t xml:space="preserve">that </w:t>
      </w:r>
      <w:r w:rsidRPr="004375B4">
        <w:t xml:space="preserve">a gradual ramp-up in LIRAP funding is </w:t>
      </w:r>
      <w:r w:rsidR="009124C2" w:rsidRPr="004375B4">
        <w:t xml:space="preserve">appropriate to aid </w:t>
      </w:r>
      <w:r w:rsidRPr="004375B4">
        <w:t>the Community Action Agencies</w:t>
      </w:r>
      <w:r w:rsidR="009124C2" w:rsidRPr="004375B4">
        <w:t>’</w:t>
      </w:r>
      <w:r w:rsidRPr="004375B4">
        <w:t xml:space="preserve"> </w:t>
      </w:r>
      <w:r w:rsidR="009124C2" w:rsidRPr="004375B4">
        <w:lastRenderedPageBreak/>
        <w:t>administration of this program</w:t>
      </w:r>
      <w:r w:rsidRPr="004375B4">
        <w:t>.</w:t>
      </w:r>
      <w:r w:rsidRPr="004375B4">
        <w:rPr>
          <w:vertAlign w:val="superscript"/>
        </w:rPr>
        <w:footnoteReference w:id="373"/>
      </w:r>
      <w:r w:rsidRPr="004375B4">
        <w:t xml:space="preserve"> </w:t>
      </w:r>
      <w:r w:rsidR="00EA24F5" w:rsidRPr="004375B4">
        <w:t xml:space="preserve">We also agree with the </w:t>
      </w:r>
      <w:r w:rsidR="007D533F" w:rsidRPr="004375B4">
        <w:t>parties</w:t>
      </w:r>
      <w:r w:rsidRPr="004375B4">
        <w:t xml:space="preserve"> that it is important to retain flexibility in the administration of LIRAP funds.</w:t>
      </w:r>
      <w:r w:rsidRPr="004375B4">
        <w:rPr>
          <w:rStyle w:val="FootnoteReference"/>
        </w:rPr>
        <w:footnoteReference w:id="374"/>
      </w:r>
      <w:r w:rsidRPr="004375B4">
        <w:t xml:space="preserve"> </w:t>
      </w:r>
    </w:p>
    <w:p w14:paraId="65440CFA" w14:textId="5613FB84" w:rsidR="00A83D25" w:rsidRPr="004375B4" w:rsidRDefault="00A83D25" w:rsidP="00FE3A56">
      <w:pPr>
        <w:numPr>
          <w:ilvl w:val="0"/>
          <w:numId w:val="1"/>
        </w:numPr>
        <w:tabs>
          <w:tab w:val="num" w:pos="0"/>
        </w:tabs>
        <w:spacing w:after="120" w:line="288" w:lineRule="auto"/>
        <w:ind w:left="0" w:hanging="720"/>
      </w:pPr>
      <w:r w:rsidRPr="004375B4">
        <w:t xml:space="preserve">We adopt </w:t>
      </w:r>
      <w:r w:rsidR="00FE029D" w:rsidRPr="004375B4">
        <w:t xml:space="preserve">a </w:t>
      </w:r>
      <w:r w:rsidRPr="004375B4">
        <w:t xml:space="preserve">plan </w:t>
      </w:r>
      <w:r w:rsidR="00FE029D" w:rsidRPr="004375B4">
        <w:t xml:space="preserve">consistent with the five-year plan </w:t>
      </w:r>
      <w:r w:rsidRPr="004375B4">
        <w:t xml:space="preserve">and true-up schedule </w:t>
      </w:r>
      <w:r w:rsidR="007D533F" w:rsidRPr="004375B4">
        <w:t xml:space="preserve">Avista </w:t>
      </w:r>
      <w:r w:rsidRPr="004375B4">
        <w:t>filed on rebuttal.</w:t>
      </w:r>
      <w:r w:rsidRPr="004375B4">
        <w:rPr>
          <w:rStyle w:val="FootnoteReference"/>
        </w:rPr>
        <w:footnoteReference w:id="375"/>
      </w:r>
      <w:r w:rsidRPr="004375B4">
        <w:t xml:space="preserve"> </w:t>
      </w:r>
      <w:r w:rsidR="007D533F" w:rsidRPr="004375B4">
        <w:t xml:space="preserve">Avista’s plan to increase funding by </w:t>
      </w:r>
      <w:r w:rsidR="00C85B0E" w:rsidRPr="004375B4">
        <w:t>7</w:t>
      </w:r>
      <w:r w:rsidR="007D533F" w:rsidRPr="004375B4">
        <w:t xml:space="preserve"> percent or twice the </w:t>
      </w:r>
      <w:r w:rsidR="00FE029D" w:rsidRPr="004375B4">
        <w:t xml:space="preserve">percentage </w:t>
      </w:r>
      <w:r w:rsidR="007D533F" w:rsidRPr="004375B4">
        <w:t xml:space="preserve">increase in </w:t>
      </w:r>
      <w:r w:rsidR="00FE029D" w:rsidRPr="004375B4">
        <w:t>Schedule 1 and Schedule 101 base rates, whichever is greater,</w:t>
      </w:r>
      <w:r w:rsidR="007D533F" w:rsidRPr="004375B4">
        <w:t xml:space="preserve"> is reasonable. </w:t>
      </w:r>
      <w:r w:rsidRPr="004375B4">
        <w:t xml:space="preserve">This funding plan authorizes multi-year rate increases for Schedules 92 and 192, but does not change any LIRAP programs or the way that LIRAP funds are administered. </w:t>
      </w:r>
    </w:p>
    <w:p w14:paraId="7C743C80" w14:textId="20354309" w:rsidR="002B7E9A" w:rsidRPr="004375B4" w:rsidRDefault="00BB169F" w:rsidP="00FE3A56">
      <w:pPr>
        <w:numPr>
          <w:ilvl w:val="0"/>
          <w:numId w:val="1"/>
        </w:numPr>
        <w:tabs>
          <w:tab w:val="num" w:pos="0"/>
        </w:tabs>
        <w:spacing w:after="120" w:line="288" w:lineRule="auto"/>
        <w:ind w:left="0" w:hanging="720"/>
      </w:pPr>
      <w:r w:rsidRPr="004375B4">
        <w:t xml:space="preserve">The Company asks that the funding plan commence on January 1, 2016. However, because </w:t>
      </w:r>
      <w:r w:rsidR="00C42286">
        <w:t>the Commission is issuing this O</w:t>
      </w:r>
      <w:r w:rsidRPr="004375B4">
        <w:t xml:space="preserve">rder after that date, we authorize the plan to commence on the effective date of this order. </w:t>
      </w:r>
      <w:r w:rsidR="002B7E9A" w:rsidRPr="004375B4">
        <w:t>Avista should file tariffs to increase electric LIRAP funding by 7 percent and natural gas LIRAP funding by twice the base rate increase for Schedule 101 customers.  By August 15</w:t>
      </w:r>
      <w:r w:rsidR="002B7E9A" w:rsidRPr="004375B4">
        <w:rPr>
          <w:vertAlign w:val="superscript"/>
        </w:rPr>
        <w:t>th</w:t>
      </w:r>
      <w:r w:rsidR="002B7E9A" w:rsidRPr="004375B4">
        <w:t>, Avista should file revisions to Schedule 92 and 192 to increase LIRAP funding by 7 percent for the program year beginning October 1</w:t>
      </w:r>
      <w:r w:rsidR="002B7E9A" w:rsidRPr="004375B4">
        <w:rPr>
          <w:vertAlign w:val="superscript"/>
        </w:rPr>
        <w:t>st</w:t>
      </w:r>
      <w:r w:rsidR="002B7E9A" w:rsidRPr="004375B4">
        <w:t xml:space="preserve">, and annual funding increases through the program year beginning October 1, 2019. Avista should propose additional LIRAP funding increases necessary to achieve the funding plan in subsequent general rate cases. </w:t>
      </w:r>
    </w:p>
    <w:p w14:paraId="7EB2C229" w14:textId="08AE97F8" w:rsidR="00A83D25" w:rsidRPr="004375B4" w:rsidRDefault="007D533F" w:rsidP="00FE3A56">
      <w:pPr>
        <w:numPr>
          <w:ilvl w:val="0"/>
          <w:numId w:val="1"/>
        </w:numPr>
        <w:tabs>
          <w:tab w:val="num" w:pos="0"/>
        </w:tabs>
        <w:spacing w:after="120" w:line="288" w:lineRule="auto"/>
        <w:ind w:left="0" w:hanging="720"/>
      </w:pPr>
      <w:r w:rsidRPr="004375B4">
        <w:t>I</w:t>
      </w:r>
      <w:r w:rsidR="00A83D25" w:rsidRPr="004375B4">
        <w:t xml:space="preserve">n its compliance filing, Avista should </w:t>
      </w:r>
      <w:r w:rsidR="002B7E9A" w:rsidRPr="004375B4">
        <w:t xml:space="preserve">also </w:t>
      </w:r>
      <w:r w:rsidR="00A83D25" w:rsidRPr="004375B4">
        <w:t xml:space="preserve">revise its tariffs to identify each </w:t>
      </w:r>
      <w:r w:rsidR="004850E6" w:rsidRPr="004375B4">
        <w:t xml:space="preserve">assistance </w:t>
      </w:r>
      <w:r w:rsidR="00A83D25" w:rsidRPr="004375B4">
        <w:t xml:space="preserve">service available to </w:t>
      </w:r>
      <w:r w:rsidR="004850E6" w:rsidRPr="004375B4">
        <w:t xml:space="preserve">its </w:t>
      </w:r>
      <w:r w:rsidR="00A83D25" w:rsidRPr="004375B4">
        <w:t>customers</w:t>
      </w:r>
      <w:r w:rsidR="004850E6" w:rsidRPr="004375B4">
        <w:t xml:space="preserve"> and their eligibility requirements.</w:t>
      </w:r>
      <w:r w:rsidR="004850E6" w:rsidRPr="004375B4">
        <w:rPr>
          <w:rStyle w:val="FootnoteReference"/>
        </w:rPr>
        <w:footnoteReference w:id="376"/>
      </w:r>
      <w:r w:rsidR="00A83D25" w:rsidRPr="004375B4">
        <w:t xml:space="preserve"> We expect that the Low-Income Advisory Group will continue to evaluate LIRAP programs and make recommendations to improve them as needed.</w:t>
      </w:r>
    </w:p>
    <w:p w14:paraId="2ACF9BF4" w14:textId="77777777" w:rsidR="008551C9" w:rsidRPr="004375B4" w:rsidRDefault="008551C9" w:rsidP="003C0488"/>
    <w:p w14:paraId="799E9942" w14:textId="3BFE2697" w:rsidR="00540729" w:rsidRPr="004375B4" w:rsidRDefault="00F3557B" w:rsidP="00F91E54">
      <w:pPr>
        <w:pStyle w:val="Heading3"/>
        <w:numPr>
          <w:ilvl w:val="0"/>
          <w:numId w:val="38"/>
        </w:numPr>
        <w:jc w:val="left"/>
        <w:rPr>
          <w:rFonts w:ascii="Times New Roman" w:hAnsi="Times New Roman"/>
        </w:rPr>
      </w:pPr>
      <w:bookmarkStart w:id="33" w:name="_Toc439838971"/>
      <w:r w:rsidRPr="004375B4">
        <w:rPr>
          <w:rFonts w:ascii="Times New Roman" w:hAnsi="Times New Roman"/>
        </w:rPr>
        <w:t>Miscellaneous Expenses</w:t>
      </w:r>
      <w:bookmarkEnd w:id="33"/>
    </w:p>
    <w:p w14:paraId="546A6CF7" w14:textId="77777777" w:rsidR="008551C9" w:rsidRPr="004375B4" w:rsidRDefault="008551C9" w:rsidP="00931D6F">
      <w:pPr>
        <w:spacing w:after="120" w:line="264" w:lineRule="auto"/>
      </w:pPr>
    </w:p>
    <w:p w14:paraId="11E32077" w14:textId="74E57A78" w:rsidR="005B2996" w:rsidRPr="004375B4" w:rsidRDefault="005B2996" w:rsidP="00FE3A56">
      <w:pPr>
        <w:numPr>
          <w:ilvl w:val="0"/>
          <w:numId w:val="1"/>
        </w:numPr>
        <w:tabs>
          <w:tab w:val="num" w:pos="0"/>
        </w:tabs>
        <w:spacing w:after="120" w:line="288" w:lineRule="auto"/>
        <w:ind w:left="0" w:hanging="720"/>
      </w:pPr>
      <w:r w:rsidRPr="004375B4">
        <w:rPr>
          <w:i/>
        </w:rPr>
        <w:t xml:space="preserve">Property Tax. </w:t>
      </w:r>
      <w:r w:rsidRPr="004375B4">
        <w:t xml:space="preserve">In its initial case, Avista included a pro forma adjustment to property tax to reflect the 2016 rate period. The Company’s adjustment is based on the projected value of taxable property as of December 31, 2015, and an assumed </w:t>
      </w:r>
      <w:r w:rsidR="00BB169F" w:rsidRPr="004375B4">
        <w:t xml:space="preserve">2 </w:t>
      </w:r>
      <w:r w:rsidRPr="004375B4">
        <w:t xml:space="preserve">percent escalation in </w:t>
      </w:r>
      <w:r w:rsidRPr="004375B4">
        <w:lastRenderedPageBreak/>
        <w:t>effective property tax rates.</w:t>
      </w:r>
      <w:r w:rsidRPr="004375B4">
        <w:rPr>
          <w:rStyle w:val="FootnoteReference"/>
        </w:rPr>
        <w:footnoteReference w:id="377"/>
      </w:r>
      <w:r w:rsidRPr="004375B4">
        <w:t xml:space="preserve"> Public Counsel and ICNU contest this adjustment, arguing that the inclusion of projected increases in property values extending to December 31, 2015</w:t>
      </w:r>
      <w:r w:rsidR="00CE3CDC" w:rsidRPr="004375B4">
        <w:t>,</w:t>
      </w:r>
      <w:r w:rsidRPr="004375B4">
        <w:t xml:space="preserve"> is well beyond the test year</w:t>
      </w:r>
      <w:r w:rsidR="0012401E" w:rsidRPr="004375B4">
        <w:t>.</w:t>
      </w:r>
      <w:r w:rsidRPr="004375B4">
        <w:rPr>
          <w:rStyle w:val="FootnoteReference"/>
        </w:rPr>
        <w:footnoteReference w:id="378"/>
      </w:r>
      <w:r w:rsidRPr="004375B4">
        <w:t xml:space="preserve"> </w:t>
      </w:r>
      <w:r w:rsidR="0012401E" w:rsidRPr="004375B4">
        <w:t>Further,</w:t>
      </w:r>
      <w:r w:rsidR="00BB169F" w:rsidRPr="004375B4">
        <w:t xml:space="preserve"> </w:t>
      </w:r>
      <w:r w:rsidR="0012401E" w:rsidRPr="004375B4">
        <w:t xml:space="preserve">they argue </w:t>
      </w:r>
      <w:r w:rsidRPr="004375B4">
        <w:t xml:space="preserve">the annual </w:t>
      </w:r>
      <w:r w:rsidR="00BB169F" w:rsidRPr="004375B4">
        <w:t>2</w:t>
      </w:r>
      <w:r w:rsidRPr="004375B4">
        <w:t xml:space="preserve"> percent escalation in property tax rates is not known and measurable.</w:t>
      </w:r>
      <w:r w:rsidRPr="004375B4">
        <w:rPr>
          <w:rStyle w:val="FootnoteReference"/>
        </w:rPr>
        <w:footnoteReference w:id="379"/>
      </w:r>
    </w:p>
    <w:p w14:paraId="51613BD0" w14:textId="6AB8564F" w:rsidR="005B2996" w:rsidRPr="004375B4" w:rsidRDefault="005B2996" w:rsidP="00FE3A56">
      <w:pPr>
        <w:numPr>
          <w:ilvl w:val="0"/>
          <w:numId w:val="1"/>
        </w:numPr>
        <w:tabs>
          <w:tab w:val="num" w:pos="0"/>
        </w:tabs>
        <w:spacing w:after="120" w:line="288" w:lineRule="auto"/>
        <w:ind w:left="0" w:hanging="720"/>
      </w:pPr>
      <w:r w:rsidRPr="004375B4">
        <w:t xml:space="preserve">Public Counsel recommends a revised adjustment based on the Company’s per-book calendar </w:t>
      </w:r>
      <w:r w:rsidR="00695A64" w:rsidRPr="004375B4">
        <w:t xml:space="preserve">year </w:t>
      </w:r>
      <w:r w:rsidRPr="004375B4">
        <w:t>2014 plant value amounts, with no escalation.</w:t>
      </w:r>
      <w:r w:rsidRPr="004375B4">
        <w:rPr>
          <w:rStyle w:val="FootnoteReference"/>
        </w:rPr>
        <w:footnoteReference w:id="380"/>
      </w:r>
      <w:r w:rsidRPr="004375B4">
        <w:t xml:space="preserve"> </w:t>
      </w:r>
      <w:r w:rsidR="00695A64" w:rsidRPr="004375B4">
        <w:t>It argues</w:t>
      </w:r>
      <w:r w:rsidRPr="004375B4">
        <w:t xml:space="preserve"> this approach allows for a reasonable increase in property tax expenses associated with the increase in plant values that occurred from December 31, 2013, to December 31, 2014, using the most recent actual property tax levy rates in effect in the rate year.</w:t>
      </w:r>
      <w:r w:rsidRPr="004375B4">
        <w:rPr>
          <w:rStyle w:val="FootnoteReference"/>
        </w:rPr>
        <w:footnoteReference w:id="381"/>
      </w:r>
      <w:r w:rsidRPr="004375B4">
        <w:t xml:space="preserve"> ICNU adopts </w:t>
      </w:r>
      <w:r w:rsidR="0012401E" w:rsidRPr="004375B4">
        <w:t xml:space="preserve">in its cross-answering testimony </w:t>
      </w:r>
      <w:r w:rsidRPr="004375B4">
        <w:t>Public Counsel’s position to remove the escalation in property tax rates.</w:t>
      </w:r>
      <w:r w:rsidRPr="004375B4">
        <w:rPr>
          <w:rStyle w:val="FootnoteReference"/>
        </w:rPr>
        <w:footnoteReference w:id="382"/>
      </w:r>
      <w:r w:rsidRPr="004375B4">
        <w:t xml:space="preserve"> </w:t>
      </w:r>
    </w:p>
    <w:p w14:paraId="1A407873" w14:textId="77777777" w:rsidR="00F96B14" w:rsidRPr="004375B4" w:rsidRDefault="005B2996" w:rsidP="00FE3A56">
      <w:pPr>
        <w:numPr>
          <w:ilvl w:val="0"/>
          <w:numId w:val="1"/>
        </w:numPr>
        <w:tabs>
          <w:tab w:val="num" w:pos="0"/>
        </w:tabs>
        <w:spacing w:after="120" w:line="288" w:lineRule="auto"/>
        <w:ind w:left="0" w:hanging="720"/>
      </w:pPr>
      <w:r w:rsidRPr="004375B4">
        <w:t>On rebuttal, Avista disputes ICNU and Public Counsel’s revisions to this adjustment, stating that it is appropriate to include property tax expenses based on property values as of December 31, 2015.</w:t>
      </w:r>
      <w:r w:rsidRPr="004375B4">
        <w:rPr>
          <w:rStyle w:val="FootnoteReference"/>
        </w:rPr>
        <w:footnoteReference w:id="383"/>
      </w:r>
      <w:r w:rsidRPr="004375B4">
        <w:t xml:space="preserve"> The Company also argues that its escalation is appropriate because the average levy rate has increased over time.</w:t>
      </w:r>
      <w:r w:rsidRPr="004375B4">
        <w:rPr>
          <w:rStyle w:val="FootnoteReference"/>
        </w:rPr>
        <w:footnoteReference w:id="384"/>
      </w:r>
      <w:r w:rsidRPr="004375B4">
        <w:t xml:space="preserve"> </w:t>
      </w:r>
    </w:p>
    <w:p w14:paraId="271352D8" w14:textId="7FFE19AB" w:rsidR="005B2996" w:rsidRPr="004375B4" w:rsidRDefault="00B7093E" w:rsidP="0071296E">
      <w:pPr>
        <w:numPr>
          <w:ilvl w:val="0"/>
          <w:numId w:val="1"/>
        </w:numPr>
        <w:tabs>
          <w:tab w:val="num" w:pos="0"/>
        </w:tabs>
        <w:spacing w:after="120" w:line="288" w:lineRule="auto"/>
        <w:ind w:left="0" w:hanging="720"/>
        <w:rPr>
          <w:i/>
        </w:rPr>
      </w:pPr>
      <w:r w:rsidRPr="004375B4">
        <w:rPr>
          <w:i/>
        </w:rPr>
        <w:t>Decision.</w:t>
      </w:r>
      <w:r w:rsidR="005B2996" w:rsidRPr="004375B4">
        <w:t xml:space="preserve"> As stated in the Pacific Power </w:t>
      </w:r>
      <w:r w:rsidR="00695A64" w:rsidRPr="004375B4">
        <w:t xml:space="preserve">&amp; Light </w:t>
      </w:r>
      <w:r w:rsidR="005B2996" w:rsidRPr="004375B4">
        <w:t>Order,</w:t>
      </w:r>
      <w:r w:rsidR="00F27917" w:rsidRPr="004375B4">
        <w:rPr>
          <w:rStyle w:val="FootnoteReference"/>
        </w:rPr>
        <w:footnoteReference w:id="385"/>
      </w:r>
      <w:r w:rsidR="005B2996" w:rsidRPr="004375B4">
        <w:t xml:space="preserve"> the Commission prefers to use known and measurable values when calculating pro forma adjustments. Therefore, we reject the </w:t>
      </w:r>
      <w:r w:rsidR="00BB169F" w:rsidRPr="004375B4">
        <w:t xml:space="preserve">2 </w:t>
      </w:r>
      <w:r w:rsidR="005B2996" w:rsidRPr="004375B4">
        <w:t xml:space="preserve">percent escalation factor </w:t>
      </w:r>
      <w:r w:rsidR="0012401E" w:rsidRPr="004375B4">
        <w:t xml:space="preserve">Avista </w:t>
      </w:r>
      <w:r w:rsidR="005B2996" w:rsidRPr="004375B4">
        <w:t xml:space="preserve">proposed in its direct case. Instead, </w:t>
      </w:r>
      <w:r w:rsidR="00BB169F" w:rsidRPr="004375B4">
        <w:t>w</w:t>
      </w:r>
      <w:r w:rsidR="0012401E" w:rsidRPr="004375B4">
        <w:t xml:space="preserve">e adopt Public Counsel’s recommended pro forma property tax adjustment for electric and natural gas by </w:t>
      </w:r>
      <w:r w:rsidR="005B2996" w:rsidRPr="004375B4">
        <w:t>us</w:t>
      </w:r>
      <w:r w:rsidR="0012401E" w:rsidRPr="004375B4">
        <w:t>ing</w:t>
      </w:r>
      <w:r w:rsidR="005B2996" w:rsidRPr="004375B4">
        <w:t xml:space="preserve"> plant values through December 31, 2014</w:t>
      </w:r>
      <w:r w:rsidR="00667E30" w:rsidRPr="004375B4">
        <w:t>,</w:t>
      </w:r>
      <w:r w:rsidR="005B2996" w:rsidRPr="004375B4">
        <w:t xml:space="preserve"> and anticipated property tax levies for 2015. We acknowledge that this approach results in a mismatch of plant and </w:t>
      </w:r>
      <w:r w:rsidR="005B2996" w:rsidRPr="004375B4">
        <w:lastRenderedPageBreak/>
        <w:t>property tax expense in the rate year. However, we agree with Public Counsel that this is a more reasonable approach than that proposed by Avista because it is known and measurable.</w:t>
      </w:r>
      <w:r w:rsidR="005B2996" w:rsidRPr="004375B4">
        <w:rPr>
          <w:rStyle w:val="FootnoteReference"/>
        </w:rPr>
        <w:footnoteReference w:id="386"/>
      </w:r>
      <w:r w:rsidR="005B2996" w:rsidRPr="004375B4">
        <w:t xml:space="preserve"> </w:t>
      </w:r>
    </w:p>
    <w:p w14:paraId="2B5DE490" w14:textId="21AD7D6E" w:rsidR="005B2996" w:rsidRPr="004375B4" w:rsidRDefault="005B2996" w:rsidP="00FE3A56">
      <w:pPr>
        <w:numPr>
          <w:ilvl w:val="0"/>
          <w:numId w:val="1"/>
        </w:numPr>
        <w:spacing w:after="120" w:line="288" w:lineRule="auto"/>
        <w:ind w:left="0" w:hanging="720"/>
      </w:pPr>
      <w:r w:rsidRPr="004375B4">
        <w:rPr>
          <w:i/>
        </w:rPr>
        <w:t xml:space="preserve">Insurance. </w:t>
      </w:r>
      <w:r w:rsidRPr="004375B4">
        <w:t>In its initial filing, Avista proposed a pro forma adjustment to 2014 insurance expense to reflect the expected level of general liability, directors and officers (D&amp;O) liability, and property insurance expense in 2016.</w:t>
      </w:r>
      <w:r w:rsidRPr="004375B4">
        <w:rPr>
          <w:rStyle w:val="FootnoteReference"/>
        </w:rPr>
        <w:footnoteReference w:id="387"/>
      </w:r>
      <w:r w:rsidRPr="004375B4">
        <w:t xml:space="preserve"> Avista also removed 10 percent of the total projected D&amp;O insurance expense from the projected levels, based on the 90/10 allocation adopted by the Commission in the Company’s 2009 </w:t>
      </w:r>
      <w:r w:rsidR="00695A64" w:rsidRPr="004375B4">
        <w:t>general rate case</w:t>
      </w:r>
      <w:r w:rsidRPr="004375B4">
        <w:t>.</w:t>
      </w:r>
      <w:r w:rsidRPr="004375B4">
        <w:rPr>
          <w:rStyle w:val="FootnoteReference"/>
        </w:rPr>
        <w:footnoteReference w:id="388"/>
      </w:r>
      <w:r w:rsidRPr="004375B4">
        <w:t xml:space="preserve"> Avista states that an increase to test year expense levels is necessary to account for higher insurance costs caused by </w:t>
      </w:r>
      <w:r w:rsidR="00BB169F" w:rsidRPr="004375B4">
        <w:t xml:space="preserve">an </w:t>
      </w:r>
      <w:r w:rsidRPr="004375B4">
        <w:t>increased claim history and suspension of the continuity credit provided in previous years by insurance providers.</w:t>
      </w:r>
      <w:r w:rsidRPr="004375B4">
        <w:rPr>
          <w:rStyle w:val="FootnoteReference"/>
        </w:rPr>
        <w:footnoteReference w:id="389"/>
      </w:r>
      <w:r w:rsidRPr="004375B4">
        <w:t xml:space="preserve"> Staff and Public Counsel contest this adjustment and propose using the test year level of expense.  </w:t>
      </w:r>
    </w:p>
    <w:p w14:paraId="4C1635B7" w14:textId="77777777" w:rsidR="005B2996" w:rsidRPr="004375B4" w:rsidRDefault="005B2996" w:rsidP="00FE3A56">
      <w:pPr>
        <w:numPr>
          <w:ilvl w:val="0"/>
          <w:numId w:val="1"/>
        </w:numPr>
        <w:spacing w:after="120" w:line="288" w:lineRule="auto"/>
        <w:ind w:left="0" w:hanging="720"/>
      </w:pPr>
      <w:r w:rsidRPr="004375B4">
        <w:t>Staff’s analysis shows that Avista’s annual insurance expense increased an average of 4.6 percent per year from 2008 to 2013, but changes in insurance expense varied significantly, with both decreases and increases occurring during that period.</w:t>
      </w:r>
      <w:r w:rsidRPr="004375B4">
        <w:rPr>
          <w:rStyle w:val="FootnoteReference"/>
        </w:rPr>
        <w:footnoteReference w:id="390"/>
      </w:r>
      <w:r w:rsidRPr="004375B4">
        <w:t xml:space="preserve"> According to Staff, Avista’s approach increases the test year level of insurance expense by more than 13 percent.</w:t>
      </w:r>
      <w:r w:rsidRPr="004375B4">
        <w:rPr>
          <w:rStyle w:val="FootnoteReference"/>
        </w:rPr>
        <w:footnoteReference w:id="391"/>
      </w:r>
      <w:r w:rsidRPr="004375B4">
        <w:t xml:space="preserve"> Because insurance expense is difficult to project, Staff recommends rejecting Avista’s pro forma adjustment and keeping insurance expense at the test year level.</w:t>
      </w:r>
      <w:r w:rsidRPr="004375B4">
        <w:rPr>
          <w:rStyle w:val="FootnoteReference"/>
        </w:rPr>
        <w:footnoteReference w:id="392"/>
      </w:r>
      <w:r w:rsidRPr="004375B4">
        <w:t xml:space="preserve"> </w:t>
      </w:r>
    </w:p>
    <w:p w14:paraId="0B177950" w14:textId="77777777" w:rsidR="005B2996" w:rsidRPr="004375B4" w:rsidRDefault="005B2996" w:rsidP="00FE3A56">
      <w:pPr>
        <w:numPr>
          <w:ilvl w:val="0"/>
          <w:numId w:val="1"/>
        </w:numPr>
        <w:spacing w:after="120" w:line="288" w:lineRule="auto"/>
        <w:ind w:left="0" w:hanging="720"/>
      </w:pPr>
      <w:r w:rsidRPr="004375B4">
        <w:t>Public Counsel also contests Avista’s use of estimated costs beyond the test year, stating that these costs are not known and measurable.</w:t>
      </w:r>
      <w:r w:rsidRPr="004375B4">
        <w:rPr>
          <w:rStyle w:val="FootnoteReference"/>
        </w:rPr>
        <w:footnoteReference w:id="393"/>
      </w:r>
      <w:r w:rsidRPr="004375B4">
        <w:t xml:space="preserve"> Public Counsel recommends using the actual test year expense reduced by 10 percent of the D&amp;O insurance expense, as ordered in Avista’s 2009 </w:t>
      </w:r>
      <w:r w:rsidR="00695A64" w:rsidRPr="004375B4">
        <w:t>general rate case</w:t>
      </w:r>
      <w:r w:rsidRPr="004375B4">
        <w:t>.</w:t>
      </w:r>
      <w:r w:rsidRPr="004375B4">
        <w:rPr>
          <w:rStyle w:val="FootnoteReference"/>
        </w:rPr>
        <w:footnoteReference w:id="394"/>
      </w:r>
      <w:r w:rsidRPr="004375B4">
        <w:t xml:space="preserve"> </w:t>
      </w:r>
    </w:p>
    <w:p w14:paraId="1E959EA6" w14:textId="77777777" w:rsidR="005B2996" w:rsidRPr="004375B4" w:rsidRDefault="005B2996" w:rsidP="00FE3A56">
      <w:pPr>
        <w:numPr>
          <w:ilvl w:val="0"/>
          <w:numId w:val="1"/>
        </w:numPr>
        <w:spacing w:after="120" w:line="288" w:lineRule="auto"/>
        <w:ind w:left="0" w:hanging="720"/>
      </w:pPr>
      <w:r w:rsidRPr="004375B4">
        <w:lastRenderedPageBreak/>
        <w:t>On rebuttal, Avista continues to support its projected increases to insurance expense, but revises the test year level expense amount calculated in its initial filing to “appropriately prorate” the effect of the suspension of general liability continuity credit for the test period.</w:t>
      </w:r>
      <w:r w:rsidRPr="004375B4">
        <w:rPr>
          <w:rStyle w:val="FootnoteReference"/>
        </w:rPr>
        <w:footnoteReference w:id="395"/>
      </w:r>
      <w:r w:rsidRPr="004375B4">
        <w:t xml:space="preserve"> Similarly, the Company also revised its calculation of the projected 2016 level of general liability, D&amp;O</w:t>
      </w:r>
      <w:r w:rsidR="00667E30" w:rsidRPr="004375B4">
        <w:t>,</w:t>
      </w:r>
      <w:r w:rsidRPr="004375B4">
        <w:t xml:space="preserve"> and property insurance expense to reflect actual data for 2015.</w:t>
      </w:r>
      <w:r w:rsidRPr="004375B4">
        <w:rPr>
          <w:rStyle w:val="FootnoteReference"/>
        </w:rPr>
        <w:footnoteReference w:id="396"/>
      </w:r>
      <w:r w:rsidRPr="004375B4">
        <w:t xml:space="preserve"> </w:t>
      </w:r>
    </w:p>
    <w:p w14:paraId="6CF3FCB3" w14:textId="17B1AFD1" w:rsidR="005B2996" w:rsidRPr="004375B4" w:rsidRDefault="005B2996" w:rsidP="00FE3A56">
      <w:pPr>
        <w:numPr>
          <w:ilvl w:val="0"/>
          <w:numId w:val="1"/>
        </w:numPr>
        <w:spacing w:after="120" w:line="288" w:lineRule="auto"/>
        <w:ind w:left="0" w:hanging="720"/>
      </w:pPr>
      <w:r w:rsidRPr="004375B4">
        <w:t>Avista disputes Staff and Public Counsel’s recommendations, stating that the Company’s projected increase in insurance expense from 2014 to 2015 is “in line with” the historic annual average increase calculated by Staff</w:t>
      </w:r>
      <w:r w:rsidR="00E47453" w:rsidRPr="004375B4">
        <w:t>. Further</w:t>
      </w:r>
      <w:r w:rsidRPr="004375B4">
        <w:t xml:space="preserve">, </w:t>
      </w:r>
      <w:r w:rsidR="00E47453" w:rsidRPr="004375B4">
        <w:t xml:space="preserve">Avista argues </w:t>
      </w:r>
      <w:r w:rsidRPr="004375B4">
        <w:t>that its expected increase in insurance expense from 2015 to 2016 is appropriate because it is more conservative than the historic annual average.</w:t>
      </w:r>
      <w:r w:rsidRPr="004375B4">
        <w:rPr>
          <w:rStyle w:val="FootnoteReference"/>
        </w:rPr>
        <w:footnoteReference w:id="397"/>
      </w:r>
      <w:r w:rsidRPr="004375B4">
        <w:t xml:space="preserve"> </w:t>
      </w:r>
    </w:p>
    <w:p w14:paraId="67325A48" w14:textId="46AD4D43" w:rsidR="005B2996" w:rsidRPr="004375B4" w:rsidRDefault="005B2996" w:rsidP="00FE3A56">
      <w:pPr>
        <w:numPr>
          <w:ilvl w:val="0"/>
          <w:numId w:val="1"/>
        </w:numPr>
        <w:spacing w:after="120" w:line="288" w:lineRule="auto"/>
        <w:ind w:left="0" w:hanging="720"/>
      </w:pPr>
      <w:r w:rsidRPr="004375B4">
        <w:rPr>
          <w:i/>
        </w:rPr>
        <w:t xml:space="preserve">Decision.  </w:t>
      </w:r>
      <w:r w:rsidRPr="004375B4">
        <w:t xml:space="preserve">As stated in the Pacific Power </w:t>
      </w:r>
      <w:r w:rsidR="00695A64" w:rsidRPr="004375B4">
        <w:t xml:space="preserve">&amp; Light </w:t>
      </w:r>
      <w:r w:rsidRPr="004375B4">
        <w:t>Order,</w:t>
      </w:r>
      <w:r w:rsidR="00F27917" w:rsidRPr="004375B4">
        <w:rPr>
          <w:rStyle w:val="FootnoteReference"/>
        </w:rPr>
        <w:footnoteReference w:id="398"/>
      </w:r>
      <w:r w:rsidRPr="004375B4">
        <w:t xml:space="preserve"> </w:t>
      </w:r>
      <w:r w:rsidR="00E47453" w:rsidRPr="004375B4">
        <w:t xml:space="preserve">applying </w:t>
      </w:r>
      <w:r w:rsidRPr="004375B4">
        <w:t>known and measurable pro forma adjustments to test year expenses</w:t>
      </w:r>
      <w:r w:rsidR="00E47453" w:rsidRPr="004375B4">
        <w:t xml:space="preserve"> is the preferred method for rate setting</w:t>
      </w:r>
      <w:r w:rsidRPr="004375B4">
        <w:t>. Avista’s proposed adjustment to insurance expense incorporates projected increases that are not known and measurable and not supported in the record.</w:t>
      </w:r>
      <w:r w:rsidRPr="004375B4">
        <w:rPr>
          <w:rStyle w:val="FootnoteReference"/>
        </w:rPr>
        <w:footnoteReference w:id="399"/>
      </w:r>
      <w:r w:rsidRPr="004375B4">
        <w:t xml:space="preserve"> </w:t>
      </w:r>
      <w:r w:rsidR="00E47453" w:rsidRPr="004375B4">
        <w:t>Thus, w</w:t>
      </w:r>
      <w:r w:rsidRPr="004375B4">
        <w:t xml:space="preserve">e reject </w:t>
      </w:r>
      <w:r w:rsidR="00E47453" w:rsidRPr="004375B4">
        <w:t>the adjustment</w:t>
      </w:r>
      <w:r w:rsidRPr="004375B4">
        <w:t xml:space="preserve">. We also adopt Public Counsel’s recommendation to reduce test year D&amp;O insurance expense by 10 percent, consistent with the Commission’s Final Order in Avista’s 2009 </w:t>
      </w:r>
      <w:r w:rsidR="00901BC7" w:rsidRPr="004375B4">
        <w:t>general rate case</w:t>
      </w:r>
      <w:r w:rsidRPr="004375B4">
        <w:t>.</w:t>
      </w:r>
      <w:r w:rsidRPr="004375B4">
        <w:rPr>
          <w:rStyle w:val="FootnoteReference"/>
        </w:rPr>
        <w:footnoteReference w:id="400"/>
      </w:r>
    </w:p>
    <w:p w14:paraId="11BE74B8" w14:textId="07F94564" w:rsidR="00CB1365" w:rsidRPr="004375B4" w:rsidRDefault="00CB1365" w:rsidP="00FE3A56">
      <w:pPr>
        <w:numPr>
          <w:ilvl w:val="0"/>
          <w:numId w:val="1"/>
        </w:numPr>
        <w:tabs>
          <w:tab w:val="num" w:pos="0"/>
        </w:tabs>
        <w:spacing w:after="120" w:line="288" w:lineRule="auto"/>
        <w:ind w:left="0" w:hanging="720"/>
      </w:pPr>
      <w:r w:rsidRPr="004375B4">
        <w:rPr>
          <w:i/>
        </w:rPr>
        <w:t xml:space="preserve">Accumulated Deferred Federal Income Tax. </w:t>
      </w:r>
      <w:r w:rsidR="005B72A2" w:rsidRPr="004375B4">
        <w:t>According to testimony</w:t>
      </w:r>
      <w:r w:rsidRPr="004375B4">
        <w:t xml:space="preserve">, Avista </w:t>
      </w:r>
      <w:r w:rsidR="005B72A2" w:rsidRPr="004375B4">
        <w:t xml:space="preserve">plans to </w:t>
      </w:r>
      <w:r w:rsidRPr="004375B4">
        <w:t xml:space="preserve">file a “Change of Accounting” </w:t>
      </w:r>
      <w:r w:rsidR="005B72A2" w:rsidRPr="004375B4">
        <w:t>with the Internal Revenue Service</w:t>
      </w:r>
      <w:r w:rsidRPr="004375B4">
        <w:t xml:space="preserve"> </w:t>
      </w:r>
      <w:r w:rsidR="005B72A2" w:rsidRPr="004375B4">
        <w:t xml:space="preserve">(IRS) </w:t>
      </w:r>
      <w:r w:rsidRPr="004375B4">
        <w:t xml:space="preserve">to implement certain </w:t>
      </w:r>
      <w:r w:rsidR="005B72A2" w:rsidRPr="004375B4">
        <w:t>IRS</w:t>
      </w:r>
      <w:r w:rsidRPr="004375B4">
        <w:t xml:space="preserve"> Tangible Property Regulations associated with revised rules on property capitalization versus repair</w:t>
      </w:r>
      <w:r w:rsidR="00812FBC" w:rsidRPr="004375B4">
        <w:t xml:space="preserve"> deduction</w:t>
      </w:r>
      <w:r w:rsidRPr="004375B4">
        <w:t xml:space="preserve"> requirements.</w:t>
      </w:r>
      <w:r w:rsidR="005B72A2" w:rsidRPr="004375B4">
        <w:rPr>
          <w:rStyle w:val="FootnoteReference"/>
        </w:rPr>
        <w:footnoteReference w:id="401"/>
      </w:r>
      <w:r w:rsidRPr="004375B4">
        <w:t xml:space="preserve"> The study to determine the </w:t>
      </w:r>
      <w:r w:rsidRPr="004375B4">
        <w:lastRenderedPageBreak/>
        <w:t>impacts of this accounting cha</w:t>
      </w:r>
      <w:r w:rsidR="00667E30" w:rsidRPr="004375B4">
        <w:t xml:space="preserve">nge is commonly referred to as the </w:t>
      </w:r>
      <w:r w:rsidR="00BB169F" w:rsidRPr="004375B4">
        <w:t>“</w:t>
      </w:r>
      <w:r w:rsidRPr="004375B4">
        <w:t>Repairs Study.</w:t>
      </w:r>
      <w:r w:rsidR="00BB169F" w:rsidRPr="004375B4">
        <w:t>”</w:t>
      </w:r>
      <w:r w:rsidR="005B72A2" w:rsidRPr="004375B4">
        <w:rPr>
          <w:rStyle w:val="FootnoteReference"/>
        </w:rPr>
        <w:footnoteReference w:id="402"/>
      </w:r>
      <w:r w:rsidRPr="004375B4">
        <w:t xml:space="preserve"> Avista included </w:t>
      </w:r>
      <w:r w:rsidR="005B72A2" w:rsidRPr="004375B4">
        <w:t xml:space="preserve">the </w:t>
      </w:r>
      <w:r w:rsidRPr="004375B4">
        <w:t xml:space="preserve">estimated </w:t>
      </w:r>
      <w:r w:rsidR="005B72A2" w:rsidRPr="004375B4">
        <w:t xml:space="preserve">tax impact on </w:t>
      </w:r>
      <w:r w:rsidRPr="004375B4">
        <w:t xml:space="preserve">rate base of the </w:t>
      </w:r>
      <w:r w:rsidR="005B72A2" w:rsidRPr="004375B4">
        <w:t xml:space="preserve">results of its </w:t>
      </w:r>
      <w:r w:rsidRPr="004375B4">
        <w:t>Repairs Study in its direct case based on the test year end</w:t>
      </w:r>
      <w:r w:rsidR="00FE096A" w:rsidRPr="004375B4">
        <w:t>ing</w:t>
      </w:r>
      <w:r w:rsidRPr="004375B4">
        <w:t xml:space="preserve"> September 2014. On rebuttal, Avista updated the Accumulated Deferred Federal Income Tax (ADFIT) associated with the</w:t>
      </w:r>
      <w:r w:rsidR="00812FBC" w:rsidRPr="004375B4">
        <w:t xml:space="preserve"> new</w:t>
      </w:r>
      <w:r w:rsidRPr="004375B4">
        <w:t xml:space="preserve"> repairs deduction </w:t>
      </w:r>
      <w:r w:rsidR="00812FBC" w:rsidRPr="004375B4">
        <w:t xml:space="preserve">rules </w:t>
      </w:r>
      <w:r w:rsidRPr="004375B4">
        <w:t xml:space="preserve">based on additional detail </w:t>
      </w:r>
      <w:r w:rsidR="00FE096A" w:rsidRPr="004375B4">
        <w:t xml:space="preserve">it </w:t>
      </w:r>
      <w:r w:rsidRPr="004375B4">
        <w:t xml:space="preserve">received from the accounting firm assisting with the tax change. Avista also recorded in December 2014 additional ADFIT </w:t>
      </w:r>
      <w:r w:rsidR="00BB2296" w:rsidRPr="004375B4">
        <w:t>associated with</w:t>
      </w:r>
      <w:r w:rsidRPr="004375B4">
        <w:t xml:space="preserve"> Congressional legislation </w:t>
      </w:r>
      <w:r w:rsidR="00BB2296" w:rsidRPr="004375B4">
        <w:t xml:space="preserve">which </w:t>
      </w:r>
      <w:r w:rsidRPr="004375B4">
        <w:t>provided for the extension</w:t>
      </w:r>
      <w:r w:rsidR="00BB2296" w:rsidRPr="004375B4">
        <w:t>, retroactively,</w:t>
      </w:r>
      <w:r w:rsidRPr="004375B4">
        <w:t xml:space="preserve"> of </w:t>
      </w:r>
      <w:r w:rsidR="00BB2296" w:rsidRPr="004375B4">
        <w:t xml:space="preserve">the </w:t>
      </w:r>
      <w:r w:rsidRPr="004375B4">
        <w:t>50 percent bonus tax depreciation through the end of 2014.</w:t>
      </w:r>
      <w:r w:rsidRPr="004375B4">
        <w:rPr>
          <w:rStyle w:val="FootnoteReference"/>
        </w:rPr>
        <w:footnoteReference w:id="403"/>
      </w:r>
      <w:r w:rsidRPr="004375B4">
        <w:t xml:space="preserve">   </w:t>
      </w:r>
    </w:p>
    <w:p w14:paraId="52907449" w14:textId="7AD2C335" w:rsidR="00CB1365" w:rsidRPr="004375B4" w:rsidRDefault="00CB1365" w:rsidP="00FE3A56">
      <w:pPr>
        <w:numPr>
          <w:ilvl w:val="0"/>
          <w:numId w:val="1"/>
        </w:numPr>
        <w:tabs>
          <w:tab w:val="num" w:pos="0"/>
        </w:tabs>
        <w:spacing w:after="120" w:line="288" w:lineRule="auto"/>
        <w:ind w:left="0" w:hanging="720"/>
      </w:pPr>
      <w:r w:rsidRPr="004375B4">
        <w:t>The results of the final Repairs Study were not available for inclusion in the Company’s filed rebuttal cross</w:t>
      </w:r>
      <w:r w:rsidR="00667E30" w:rsidRPr="004375B4">
        <w:t>-</w:t>
      </w:r>
      <w:r w:rsidRPr="004375B4">
        <w:t xml:space="preserve">check studies because </w:t>
      </w:r>
      <w:r w:rsidR="005E2C0D" w:rsidRPr="004375B4">
        <w:t>the Repairs Study</w:t>
      </w:r>
      <w:r w:rsidRPr="004375B4">
        <w:t xml:space="preserve"> was not completed until September 2015. In response to Bench Request Nos. 10 and 12, Avista provided the impacts of </w:t>
      </w:r>
      <w:r w:rsidR="00BB2296" w:rsidRPr="004375B4">
        <w:t xml:space="preserve">the </w:t>
      </w:r>
      <w:r w:rsidRPr="004375B4">
        <w:t>repairs deduction</w:t>
      </w:r>
      <w:r w:rsidR="00BB2296" w:rsidRPr="004375B4">
        <w:t>,</w:t>
      </w:r>
      <w:r w:rsidRPr="004375B4">
        <w:t xml:space="preserve"> bonus </w:t>
      </w:r>
      <w:r w:rsidR="00BB2296" w:rsidRPr="004375B4">
        <w:t>depreciation</w:t>
      </w:r>
      <w:r w:rsidR="00667E30" w:rsidRPr="004375B4">
        <w:t>,</w:t>
      </w:r>
      <w:r w:rsidR="00BB2296" w:rsidRPr="004375B4">
        <w:t xml:space="preserve"> </w:t>
      </w:r>
      <w:r w:rsidRPr="004375B4">
        <w:t>and other tax depreciation updates included in the Company’s 2014 Corporate Federal tax return</w:t>
      </w:r>
      <w:r w:rsidR="00BB2296" w:rsidRPr="004375B4">
        <w:t>,</w:t>
      </w:r>
      <w:r w:rsidRPr="004375B4">
        <w:t xml:space="preserve"> filed September 15, 2015. </w:t>
      </w:r>
    </w:p>
    <w:p w14:paraId="0AC9EC44" w14:textId="0297B98D" w:rsidR="00CB1365" w:rsidRPr="004375B4" w:rsidRDefault="00CB1365" w:rsidP="00FE3A56">
      <w:pPr>
        <w:numPr>
          <w:ilvl w:val="0"/>
          <w:numId w:val="1"/>
        </w:numPr>
        <w:tabs>
          <w:tab w:val="num" w:pos="0"/>
        </w:tabs>
        <w:spacing w:after="120" w:line="288" w:lineRule="auto"/>
        <w:ind w:left="0" w:hanging="720"/>
      </w:pPr>
      <w:r w:rsidRPr="004375B4">
        <w:t xml:space="preserve">Public Counsel asserts that ratepayers should receive the significant rate base offset benefits resulting from the repairs deduction. It also contends that ratepayers should benefit from </w:t>
      </w:r>
      <w:r w:rsidR="00BB2296" w:rsidRPr="004375B4">
        <w:t xml:space="preserve">a </w:t>
      </w:r>
      <w:r w:rsidRPr="004375B4">
        <w:t xml:space="preserve">rate base reduction related to the </w:t>
      </w:r>
      <w:r w:rsidR="00BB2296" w:rsidRPr="004375B4">
        <w:t xml:space="preserve">additional </w:t>
      </w:r>
      <w:r w:rsidRPr="004375B4">
        <w:t>bonus depreciation allowance for federal income tax</w:t>
      </w:r>
      <w:r w:rsidR="00BB2296" w:rsidRPr="004375B4">
        <w:t>es</w:t>
      </w:r>
      <w:r w:rsidRPr="004375B4">
        <w:t xml:space="preserve"> </w:t>
      </w:r>
      <w:r w:rsidR="00BB2296" w:rsidRPr="004375B4">
        <w:t>for</w:t>
      </w:r>
      <w:r w:rsidRPr="004375B4">
        <w:t xml:space="preserve"> the 2014 tax year.</w:t>
      </w:r>
      <w:r w:rsidRPr="004375B4">
        <w:rPr>
          <w:rStyle w:val="FootnoteReference"/>
        </w:rPr>
        <w:footnoteReference w:id="404"/>
      </w:r>
      <w:r w:rsidRPr="004375B4">
        <w:t xml:space="preserve"> </w:t>
      </w:r>
    </w:p>
    <w:p w14:paraId="7F7994B6" w14:textId="305C8765" w:rsidR="005B2996" w:rsidRPr="004375B4" w:rsidRDefault="00CB1365" w:rsidP="00FE3A56">
      <w:pPr>
        <w:numPr>
          <w:ilvl w:val="0"/>
          <w:numId w:val="1"/>
        </w:numPr>
        <w:tabs>
          <w:tab w:val="num" w:pos="0"/>
        </w:tabs>
        <w:spacing w:after="120" w:line="288" w:lineRule="auto"/>
        <w:ind w:left="0" w:hanging="720"/>
        <w:rPr>
          <w:i/>
        </w:rPr>
      </w:pPr>
      <w:r w:rsidRPr="004375B4">
        <w:rPr>
          <w:i/>
        </w:rPr>
        <w:t xml:space="preserve">Decision. </w:t>
      </w:r>
      <w:r w:rsidRPr="004375B4">
        <w:t xml:space="preserve">The repairs deduction and bonus depreciation benefit the Company through substantial reductions in current income tax expenses. We agree with Public Counsel that the ratepayers should benefit </w:t>
      </w:r>
      <w:r w:rsidR="00FE096A" w:rsidRPr="004375B4">
        <w:t xml:space="preserve">fully </w:t>
      </w:r>
      <w:r w:rsidRPr="004375B4">
        <w:t>from the significant amounts of ADFIT offset to rate base arising from these two tax events since the ratepayers bear the burden of paying the</w:t>
      </w:r>
      <w:r w:rsidR="00E45E5E" w:rsidRPr="004375B4">
        <w:t xml:space="preserve"> taxes along with a</w:t>
      </w:r>
      <w:r w:rsidRPr="004375B4">
        <w:t xml:space="preserve"> return on and </w:t>
      </w:r>
      <w:r w:rsidR="00337865">
        <w:t>return of rate base. The final R</w:t>
      </w:r>
      <w:r w:rsidRPr="004375B4">
        <w:t xml:space="preserve">epairs </w:t>
      </w:r>
      <w:r w:rsidR="00337865">
        <w:t>S</w:t>
      </w:r>
      <w:r w:rsidRPr="004375B4">
        <w:t>tudy results,</w:t>
      </w:r>
      <w:r w:rsidR="00E45E5E" w:rsidRPr="004375B4">
        <w:t xml:space="preserve"> together with</w:t>
      </w:r>
      <w:r w:rsidRPr="004375B4">
        <w:t xml:space="preserve"> bonus depreciation and other tax depreciation updates</w:t>
      </w:r>
      <w:r w:rsidR="00E45E5E" w:rsidRPr="004375B4">
        <w:t>,</w:t>
      </w:r>
      <w:r w:rsidRPr="004375B4">
        <w:t xml:space="preserve"> were not available to the Company and other parties at the time of </w:t>
      </w:r>
      <w:r w:rsidR="00E45E5E" w:rsidRPr="004375B4">
        <w:t xml:space="preserve">the </w:t>
      </w:r>
      <w:r w:rsidRPr="004375B4">
        <w:t xml:space="preserve">filing </w:t>
      </w:r>
      <w:r w:rsidR="00E45E5E" w:rsidRPr="004375B4">
        <w:t xml:space="preserve">of </w:t>
      </w:r>
      <w:r w:rsidRPr="004375B4">
        <w:t>their cases</w:t>
      </w:r>
      <w:r w:rsidR="00E45E5E" w:rsidRPr="004375B4">
        <w:t xml:space="preserve">. The new information </w:t>
      </w:r>
      <w:r w:rsidR="00C32F43" w:rsidRPr="004375B4">
        <w:t xml:space="preserve">in </w:t>
      </w:r>
      <w:r w:rsidR="00552CF9" w:rsidRPr="004375B4">
        <w:t xml:space="preserve">the </w:t>
      </w:r>
      <w:r w:rsidR="00C32F43" w:rsidRPr="004375B4">
        <w:t xml:space="preserve">final </w:t>
      </w:r>
      <w:r w:rsidR="00552CF9" w:rsidRPr="004375B4">
        <w:t>R</w:t>
      </w:r>
      <w:r w:rsidR="00C32F43" w:rsidRPr="004375B4">
        <w:t xml:space="preserve">epairs </w:t>
      </w:r>
      <w:r w:rsidR="00552CF9" w:rsidRPr="004375B4">
        <w:t>S</w:t>
      </w:r>
      <w:r w:rsidR="00C32F43" w:rsidRPr="004375B4">
        <w:t xml:space="preserve">tudy </w:t>
      </w:r>
      <w:r w:rsidRPr="004375B4">
        <w:t>provide</w:t>
      </w:r>
      <w:r w:rsidR="00E45E5E" w:rsidRPr="004375B4">
        <w:t>s</w:t>
      </w:r>
      <w:r w:rsidRPr="004375B4">
        <w:t xml:space="preserve"> more accurate and relevant data and should be used to determine rate base reduction impacts. The Company does not oppose Public Counsel’s pursuit of the most current information du</w:t>
      </w:r>
      <w:r w:rsidR="00A8434D" w:rsidRPr="004375B4">
        <w:t xml:space="preserve">ring the pendency of the case. </w:t>
      </w:r>
      <w:r w:rsidRPr="004375B4">
        <w:t xml:space="preserve">We therefore make the necessary adjustments to both electric and natural gas modified historical pro forma results of operations </w:t>
      </w:r>
      <w:r w:rsidR="00C32F43" w:rsidRPr="004375B4">
        <w:t xml:space="preserve">on an </w:t>
      </w:r>
      <w:r w:rsidR="003411BA" w:rsidRPr="004375B4">
        <w:t>EOP</w:t>
      </w:r>
      <w:r w:rsidRPr="004375B4">
        <w:t xml:space="preserve"> basis by increasing the December 2014 electric ADFIT offset by $3.896 million and revising the December 2014 natural </w:t>
      </w:r>
      <w:r w:rsidRPr="004375B4">
        <w:lastRenderedPageBreak/>
        <w:t>gas ADFIT with a decrease of $3.5 million</w:t>
      </w:r>
      <w:r w:rsidR="003411BA" w:rsidRPr="004375B4">
        <w:t>.</w:t>
      </w:r>
      <w:r w:rsidRPr="004375B4">
        <w:rPr>
          <w:rStyle w:val="FootnoteReference"/>
        </w:rPr>
        <w:footnoteReference w:id="405"/>
      </w:r>
      <w:r w:rsidRPr="004375B4">
        <w:t xml:space="preserve"> These revisions are reasonable and consistent with Commission’s decision in Docket UE-100749 to reflect </w:t>
      </w:r>
      <w:r w:rsidR="00552CF9" w:rsidRPr="004375B4">
        <w:t xml:space="preserve">the </w:t>
      </w:r>
      <w:r w:rsidRPr="004375B4">
        <w:t xml:space="preserve">full impact of </w:t>
      </w:r>
      <w:r w:rsidR="00552CF9" w:rsidRPr="004375B4">
        <w:t xml:space="preserve">the </w:t>
      </w:r>
      <w:r w:rsidRPr="004375B4">
        <w:t>repairs deduction.</w:t>
      </w:r>
      <w:r w:rsidRPr="004375B4">
        <w:rPr>
          <w:rStyle w:val="FootnoteReference"/>
        </w:rPr>
        <w:footnoteReference w:id="406"/>
      </w:r>
    </w:p>
    <w:p w14:paraId="37D1FDCC" w14:textId="3A6AC029" w:rsidR="005B2996" w:rsidRPr="004375B4" w:rsidRDefault="005B2996" w:rsidP="00FE3A56">
      <w:pPr>
        <w:numPr>
          <w:ilvl w:val="0"/>
          <w:numId w:val="1"/>
        </w:numPr>
        <w:tabs>
          <w:tab w:val="num" w:pos="0"/>
        </w:tabs>
        <w:spacing w:after="120" w:line="288" w:lineRule="auto"/>
        <w:ind w:left="0" w:hanging="720"/>
      </w:pPr>
      <w:r w:rsidRPr="004375B4">
        <w:rPr>
          <w:i/>
        </w:rPr>
        <w:t xml:space="preserve">Corporate Aircraft.  </w:t>
      </w:r>
      <w:r w:rsidRPr="004375B4">
        <w:t xml:space="preserve">In its initial case, Avista’s revenue requirement in the test period included approximately $1.75 million for use of its corporate jet. ICNU argues that it is more expensive for Avista’s employees to travel on the corporate jet than it would otherwise pay to travel on a commercial airline and that it is appropriate to reduce the revenue requirement to reflect what the Company would have otherwise paid. Assuming the Company’s average one-way commercial airline ticket would have cost </w:t>
      </w:r>
      <w:r w:rsidR="002D7BCD" w:rsidRPr="004375B4">
        <w:t>$159, ICNU calculates that the C</w:t>
      </w:r>
      <w:r w:rsidRPr="004375B4">
        <w:t>ompany paid $1.4 million more for use of the corporate aircraft than it would have paid for travel aboard a commercial airline.</w:t>
      </w:r>
      <w:r w:rsidRPr="004375B4">
        <w:rPr>
          <w:rStyle w:val="FootnoteReference"/>
        </w:rPr>
        <w:footnoteReference w:id="407"/>
      </w:r>
      <w:r w:rsidRPr="004375B4">
        <w:t xml:space="preserve">  </w:t>
      </w:r>
    </w:p>
    <w:p w14:paraId="06FB2890" w14:textId="57537ECE" w:rsidR="005B2996" w:rsidRPr="004375B4" w:rsidRDefault="005B2996" w:rsidP="00FE3A56">
      <w:pPr>
        <w:numPr>
          <w:ilvl w:val="0"/>
          <w:numId w:val="1"/>
        </w:numPr>
        <w:tabs>
          <w:tab w:val="num" w:pos="0"/>
        </w:tabs>
        <w:spacing w:after="120" w:line="288" w:lineRule="auto"/>
        <w:ind w:left="0" w:hanging="720"/>
      </w:pPr>
      <w:r w:rsidRPr="004375B4">
        <w:t>On cross-answering, ICNU revised its calculation to reflect the flight logs over the annual period ending September 2014, consistent with the test year.</w:t>
      </w:r>
      <w:r w:rsidRPr="004375B4">
        <w:rPr>
          <w:rStyle w:val="FootnoteReference"/>
        </w:rPr>
        <w:footnoteReference w:id="408"/>
      </w:r>
      <w:r w:rsidRPr="004375B4">
        <w:t xml:space="preserve"> On rebuttal, Avista contests ICNU’s adjustment, arguing that it fails to account for the avoided costs the Company would have incurred had it travelled on a commercial airline. Avista witness Ms. Smith states that the Company conducts a cost analysis, which compares the use of the corporate jet to commercial flights prior to reserving the jet.</w:t>
      </w:r>
      <w:r w:rsidRPr="004375B4">
        <w:rPr>
          <w:rStyle w:val="FootnoteReference"/>
        </w:rPr>
        <w:footnoteReference w:id="409"/>
      </w:r>
      <w:r w:rsidRPr="004375B4">
        <w:t xml:space="preserve"> Ms. Smith further argues that ICNU’s assumed cost per flight is unrealistic; the gross-up factor for destinations outside of Seattle, Boise, and Portland is arbitrary; and that ICNU fails to consider that the Company frequently travels to destinations without commercial airports.</w:t>
      </w:r>
      <w:r w:rsidRPr="004375B4">
        <w:rPr>
          <w:rStyle w:val="FootnoteReference"/>
        </w:rPr>
        <w:footnoteReference w:id="410"/>
      </w:r>
    </w:p>
    <w:p w14:paraId="6C4FC4FF" w14:textId="77777777" w:rsidR="005B2996" w:rsidRPr="004375B4" w:rsidRDefault="005B2996" w:rsidP="00FE3A56">
      <w:pPr>
        <w:numPr>
          <w:ilvl w:val="0"/>
          <w:numId w:val="1"/>
        </w:numPr>
        <w:tabs>
          <w:tab w:val="num" w:pos="0"/>
        </w:tabs>
        <w:spacing w:after="120" w:line="288" w:lineRule="auto"/>
        <w:ind w:left="0" w:hanging="720"/>
      </w:pPr>
      <w:r w:rsidRPr="004375B4">
        <w:lastRenderedPageBreak/>
        <w:t>On brief, ICNU states that it “strongly believes that Avista’s proposal to fund these excessive costs through rates is unconscionable and that the Commission should require shareholders to fund such extravagance above the cost of commercial flights.”</w:t>
      </w:r>
      <w:r w:rsidRPr="004375B4">
        <w:rPr>
          <w:rStyle w:val="FootnoteReference"/>
        </w:rPr>
        <w:footnoteReference w:id="411"/>
      </w:r>
    </w:p>
    <w:p w14:paraId="4B455CAD" w14:textId="3F370A52" w:rsidR="005B2996" w:rsidRPr="004375B4" w:rsidRDefault="005B2996" w:rsidP="00FE3A56">
      <w:pPr>
        <w:numPr>
          <w:ilvl w:val="0"/>
          <w:numId w:val="1"/>
        </w:numPr>
        <w:tabs>
          <w:tab w:val="num" w:pos="0"/>
        </w:tabs>
        <w:spacing w:after="120" w:line="288" w:lineRule="auto"/>
        <w:ind w:left="0" w:hanging="720"/>
      </w:pPr>
      <w:r w:rsidRPr="004375B4">
        <w:rPr>
          <w:i/>
        </w:rPr>
        <w:t>Decision.</w:t>
      </w:r>
      <w:r w:rsidRPr="004375B4">
        <w:t xml:space="preserve"> </w:t>
      </w:r>
      <w:r w:rsidR="001E072D" w:rsidRPr="004375B4">
        <w:t>W</w:t>
      </w:r>
      <w:r w:rsidRPr="004375B4">
        <w:t xml:space="preserve">e </w:t>
      </w:r>
      <w:r w:rsidR="001E072D" w:rsidRPr="004375B4">
        <w:t xml:space="preserve">are not persuaded by </w:t>
      </w:r>
      <w:r w:rsidRPr="004375B4">
        <w:t xml:space="preserve">ICNU’s methodology and assumptions used to calculate its proposed adjustment. We agree with Avista that ICNU’s assumptions are unrealistic, and ICNU’s proposed adjustment does not consider the full cost of commercial airline travel and the avoided costs associated with use of the corporate aircraft. </w:t>
      </w:r>
    </w:p>
    <w:p w14:paraId="3F01445F" w14:textId="3D93C8B3" w:rsidR="004E5965" w:rsidRPr="004375B4" w:rsidRDefault="005B2996" w:rsidP="00FE3A56">
      <w:pPr>
        <w:numPr>
          <w:ilvl w:val="0"/>
          <w:numId w:val="1"/>
        </w:numPr>
        <w:tabs>
          <w:tab w:val="num" w:pos="0"/>
        </w:tabs>
        <w:spacing w:after="120" w:line="288" w:lineRule="auto"/>
        <w:ind w:left="0" w:hanging="720"/>
      </w:pPr>
      <w:r w:rsidRPr="004375B4">
        <w:t>On rebuttal, Avista explained that each flight undergoes a cost analysis prior to booking which considers all costs associated with commercial airline travel, such as meals, hotels, travel delays, ticketing, security, boarding, and ground transportation. We are satisfied that Avista has met its burden, and the Company’s travel costs are reasonable when all costs are considered.</w:t>
      </w:r>
    </w:p>
    <w:p w14:paraId="1A6AE743" w14:textId="4F623E0C" w:rsidR="006D44FB" w:rsidRPr="00294EFD" w:rsidRDefault="006D44FB" w:rsidP="00294EFD">
      <w:pPr>
        <w:numPr>
          <w:ilvl w:val="0"/>
          <w:numId w:val="1"/>
        </w:numPr>
        <w:tabs>
          <w:tab w:val="num" w:pos="0"/>
        </w:tabs>
        <w:spacing w:after="120" w:line="288" w:lineRule="auto"/>
        <w:ind w:left="0" w:hanging="720"/>
        <w:rPr>
          <w:i/>
        </w:rPr>
      </w:pPr>
      <w:r w:rsidRPr="00294EFD">
        <w:rPr>
          <w:i/>
        </w:rPr>
        <w:t>Transmission revenues and expenses.</w:t>
      </w:r>
      <w:r w:rsidRPr="004375B4">
        <w:t xml:space="preserve"> In its initial filing, Avista proposed Electric Adjustment 3.01 to increase transmission expenses to reflect the amounts it budgeted for </w:t>
      </w:r>
      <w:r w:rsidR="00C50B4E" w:rsidRPr="004375B4">
        <w:t xml:space="preserve">calendar year </w:t>
      </w:r>
      <w:r w:rsidRPr="004375B4">
        <w:t>2016.</w:t>
      </w:r>
      <w:r w:rsidRPr="004375B4">
        <w:rPr>
          <w:vertAlign w:val="superscript"/>
        </w:rPr>
        <w:footnoteReference w:id="412"/>
      </w:r>
      <w:r w:rsidRPr="004375B4">
        <w:t xml:space="preserve"> Staff </w:t>
      </w:r>
      <w:r w:rsidR="001E072D" w:rsidRPr="004375B4">
        <w:t>opposes</w:t>
      </w:r>
      <w:r w:rsidRPr="004375B4">
        <w:t xml:space="preserve"> Avista’s proposal because budgeted amounts are not known and measurable. Instead, Staff proposes that this adjustment reflect known and measurable historical expenses, resulting in an increase of $130,000 net operating income from Avista’s initial filing.</w:t>
      </w:r>
      <w:r w:rsidRPr="004375B4">
        <w:rPr>
          <w:vertAlign w:val="superscript"/>
        </w:rPr>
        <w:footnoteReference w:id="413"/>
      </w:r>
      <w:r w:rsidRPr="004375B4">
        <w:t xml:space="preserve"> On rebuttal, Avista </w:t>
      </w:r>
      <w:r w:rsidR="001E072D" w:rsidRPr="004375B4">
        <w:t xml:space="preserve">in turn </w:t>
      </w:r>
      <w:r w:rsidRPr="004375B4">
        <w:t>rejects Staff’s proposal, arguing that it is appropriate to use budgeted expenses, and modifies the adjustment to reflect its most recent budget.</w:t>
      </w:r>
      <w:r w:rsidRPr="004375B4">
        <w:rPr>
          <w:rStyle w:val="FootnoteReference"/>
        </w:rPr>
        <w:footnoteReference w:id="414"/>
      </w:r>
    </w:p>
    <w:p w14:paraId="1236A8E5" w14:textId="77777777" w:rsidR="006D44FB" w:rsidRPr="004375B4" w:rsidRDefault="006D44FB" w:rsidP="00FE3A56">
      <w:pPr>
        <w:numPr>
          <w:ilvl w:val="0"/>
          <w:numId w:val="1"/>
        </w:numPr>
        <w:tabs>
          <w:tab w:val="num" w:pos="0"/>
        </w:tabs>
        <w:spacing w:after="120" w:line="288" w:lineRule="auto"/>
        <w:ind w:left="0" w:hanging="720"/>
      </w:pPr>
      <w:r w:rsidRPr="004375B4">
        <w:rPr>
          <w:i/>
        </w:rPr>
        <w:t xml:space="preserve">Decision. </w:t>
      </w:r>
      <w:r w:rsidRPr="004375B4">
        <w:t>We decline to use Avista’s budget to set rates because budgeted expenses are not known and measurable. We adopt Staff’s proposal to base Electric Adjustment 3.01 on historical expenses.</w:t>
      </w:r>
    </w:p>
    <w:p w14:paraId="55FA0B78" w14:textId="4C13F2F6" w:rsidR="003C0488" w:rsidRDefault="003C0488">
      <w:r>
        <w:br w:type="page"/>
      </w:r>
    </w:p>
    <w:p w14:paraId="345CAFE5" w14:textId="77777777" w:rsidR="00DD4469" w:rsidRPr="004375B4" w:rsidRDefault="00DD4469" w:rsidP="007448F5">
      <w:pPr>
        <w:spacing w:line="264" w:lineRule="auto"/>
      </w:pPr>
    </w:p>
    <w:p w14:paraId="7496CFDC" w14:textId="77777777" w:rsidR="00AE2522" w:rsidRPr="004375B4" w:rsidRDefault="00AE2522" w:rsidP="007448F5">
      <w:pPr>
        <w:pStyle w:val="Heading1"/>
        <w:spacing w:before="0" w:after="0" w:line="264" w:lineRule="auto"/>
        <w:jc w:val="center"/>
        <w:rPr>
          <w:rFonts w:ascii="Times New Roman" w:hAnsi="Times New Roman" w:cs="Times New Roman"/>
          <w:sz w:val="24"/>
          <w:szCs w:val="24"/>
          <w:u w:val="single"/>
        </w:rPr>
      </w:pPr>
      <w:bookmarkStart w:id="34" w:name="_Toc249252825"/>
      <w:bookmarkStart w:id="35" w:name="_Toc439838972"/>
      <w:r w:rsidRPr="004375B4">
        <w:rPr>
          <w:rFonts w:ascii="Times New Roman" w:hAnsi="Times New Roman" w:cs="Times New Roman"/>
          <w:sz w:val="24"/>
          <w:szCs w:val="24"/>
          <w:u w:val="single"/>
        </w:rPr>
        <w:t>FINDINGS OF FACT</w:t>
      </w:r>
      <w:bookmarkEnd w:id="34"/>
      <w:bookmarkEnd w:id="35"/>
    </w:p>
    <w:p w14:paraId="58B11FE2" w14:textId="77777777" w:rsidR="00AE2522" w:rsidRPr="004375B4" w:rsidRDefault="00AE2522" w:rsidP="007448F5">
      <w:pPr>
        <w:pStyle w:val="NoSpacing"/>
        <w:spacing w:line="264" w:lineRule="auto"/>
      </w:pPr>
    </w:p>
    <w:p w14:paraId="1E210FC6" w14:textId="77777777" w:rsidR="00AE2522" w:rsidRPr="004375B4" w:rsidRDefault="00AE2522" w:rsidP="00FE3A56">
      <w:pPr>
        <w:numPr>
          <w:ilvl w:val="0"/>
          <w:numId w:val="1"/>
        </w:numPr>
        <w:tabs>
          <w:tab w:val="num" w:pos="900"/>
        </w:tabs>
        <w:spacing w:after="120" w:line="288" w:lineRule="auto"/>
        <w:ind w:left="720" w:hanging="1440"/>
      </w:pPr>
      <w:r w:rsidRPr="004375B4">
        <w:t>Having discussed above in detail the evidence received in this proceeding concerning all material matters, and having stated findings and conclusions upon issues in dispute among the parties and the reasons therefore, the Commission now makes and enters the following summary of those facts, incorporating by reference pertinent portions of the preceding detailed findings:</w:t>
      </w:r>
    </w:p>
    <w:p w14:paraId="7566DD44" w14:textId="77777777" w:rsidR="00F00B1C" w:rsidRPr="004375B4" w:rsidRDefault="00F00B1C" w:rsidP="00D11C08">
      <w:pPr>
        <w:tabs>
          <w:tab w:val="num" w:pos="900"/>
        </w:tabs>
        <w:spacing w:line="264" w:lineRule="auto"/>
        <w:ind w:left="-720"/>
      </w:pPr>
    </w:p>
    <w:p w14:paraId="06437EB4" w14:textId="77777777" w:rsidR="00183EE2" w:rsidRPr="004375B4" w:rsidRDefault="00AE2522" w:rsidP="00F22562">
      <w:pPr>
        <w:numPr>
          <w:ilvl w:val="0"/>
          <w:numId w:val="1"/>
        </w:numPr>
        <w:tabs>
          <w:tab w:val="clear" w:pos="1080"/>
          <w:tab w:val="num" w:pos="0"/>
        </w:tabs>
        <w:spacing w:after="120" w:line="288" w:lineRule="auto"/>
        <w:ind w:left="720" w:hanging="1440"/>
      </w:pPr>
      <w:r w:rsidRPr="004375B4">
        <w:t>(1)</w:t>
      </w:r>
      <w:r w:rsidRPr="004375B4">
        <w:tab/>
      </w:r>
      <w:r w:rsidR="00B8365F" w:rsidRPr="004375B4">
        <w:t xml:space="preserve">The Washington Utilities and Transportation Commission is an agency of the State of Washington, vested by statute with authority to regulate rates, rules, regulations, practices, and accounts of public service companies, including </w:t>
      </w:r>
      <w:r w:rsidR="00E52257" w:rsidRPr="004375B4">
        <w:t xml:space="preserve">natural </w:t>
      </w:r>
      <w:r w:rsidR="00B8365F" w:rsidRPr="004375B4">
        <w:t>gas and electrical companies</w:t>
      </w:r>
      <w:r w:rsidR="00B8365F" w:rsidRPr="004375B4">
        <w:rPr>
          <w:i/>
          <w:iCs/>
        </w:rPr>
        <w:t>.</w:t>
      </w:r>
    </w:p>
    <w:p w14:paraId="666082C0" w14:textId="77777777" w:rsidR="00B8365F" w:rsidRPr="004375B4" w:rsidRDefault="00B8365F" w:rsidP="00FE3A56">
      <w:pPr>
        <w:tabs>
          <w:tab w:val="num" w:pos="900"/>
        </w:tabs>
        <w:spacing w:line="264" w:lineRule="auto"/>
        <w:ind w:hanging="1440"/>
        <w:rPr>
          <w:iCs/>
        </w:rPr>
      </w:pPr>
    </w:p>
    <w:p w14:paraId="1F84E4E8" w14:textId="79379F8A" w:rsidR="00B8365F" w:rsidRPr="004375B4" w:rsidRDefault="00B8365F" w:rsidP="00F22562">
      <w:pPr>
        <w:numPr>
          <w:ilvl w:val="0"/>
          <w:numId w:val="1"/>
        </w:numPr>
        <w:tabs>
          <w:tab w:val="clear" w:pos="1080"/>
          <w:tab w:val="num" w:pos="0"/>
          <w:tab w:val="num" w:pos="720"/>
        </w:tabs>
        <w:spacing w:after="120" w:line="288" w:lineRule="auto"/>
        <w:ind w:left="720" w:hanging="1440"/>
      </w:pPr>
      <w:r w:rsidRPr="004375B4">
        <w:t>(2)</w:t>
      </w:r>
      <w:r w:rsidRPr="004375B4">
        <w:tab/>
        <w:t xml:space="preserve">Avista </w:t>
      </w:r>
      <w:r w:rsidR="00E52257" w:rsidRPr="004375B4">
        <w:t xml:space="preserve">Corporation d/b/a Avista Utilities (Avista or Company) </w:t>
      </w:r>
      <w:r w:rsidR="00FE3A56" w:rsidRPr="004375B4">
        <w:t xml:space="preserve">is a “public </w:t>
      </w:r>
      <w:r w:rsidRPr="004375B4">
        <w:t>service company,” an “electrical company,” and “gas company” as those terms are defined in RCW 80.04.010 and used in Title 80 RCW. Avista provides electric and natural gas utility service to customers in Washington.</w:t>
      </w:r>
    </w:p>
    <w:p w14:paraId="484E5400" w14:textId="77777777" w:rsidR="00B8365F" w:rsidRPr="004375B4" w:rsidRDefault="00B8365F" w:rsidP="007448F5">
      <w:pPr>
        <w:pStyle w:val="ListParagraph"/>
        <w:spacing w:line="264" w:lineRule="auto"/>
      </w:pPr>
    </w:p>
    <w:p w14:paraId="7FF954EB" w14:textId="77777777" w:rsidR="00B8365F" w:rsidRPr="004375B4" w:rsidRDefault="00B8365F" w:rsidP="00FE3A56">
      <w:pPr>
        <w:numPr>
          <w:ilvl w:val="0"/>
          <w:numId w:val="1"/>
        </w:numPr>
        <w:tabs>
          <w:tab w:val="num" w:pos="0"/>
        </w:tabs>
        <w:spacing w:after="120" w:line="288" w:lineRule="auto"/>
        <w:ind w:left="720" w:hanging="1440"/>
      </w:pPr>
      <w:r w:rsidRPr="004375B4">
        <w:t>(3)</w:t>
      </w:r>
      <w:r w:rsidRPr="004375B4">
        <w:tab/>
        <w:t xml:space="preserve">On February </w:t>
      </w:r>
      <w:r w:rsidR="00E52257" w:rsidRPr="004375B4">
        <w:t>9</w:t>
      </w:r>
      <w:r w:rsidRPr="004375B4">
        <w:t>, 201</w:t>
      </w:r>
      <w:r w:rsidR="00E52257" w:rsidRPr="004375B4">
        <w:t>5</w:t>
      </w:r>
      <w:r w:rsidRPr="004375B4">
        <w:t xml:space="preserve">, Avista filed certain revisions to its currently effective </w:t>
      </w:r>
      <w:r w:rsidR="00E52257" w:rsidRPr="004375B4">
        <w:t xml:space="preserve">electric service </w:t>
      </w:r>
      <w:r w:rsidRPr="004375B4">
        <w:t xml:space="preserve">tariffs </w:t>
      </w:r>
      <w:r w:rsidR="00E52257" w:rsidRPr="004375B4">
        <w:t>which, if approved by the Commission, would increase the Company’s electric revenue requirement by $33.2 million</w:t>
      </w:r>
      <w:r w:rsidRPr="004375B4">
        <w:t>.</w:t>
      </w:r>
      <w:r w:rsidR="00E52257" w:rsidRPr="004375B4">
        <w:t xml:space="preserve"> This matter was designated as Docket UE-150204.</w:t>
      </w:r>
    </w:p>
    <w:p w14:paraId="1B3BC22B" w14:textId="77777777" w:rsidR="00E52257" w:rsidRPr="004375B4" w:rsidRDefault="00E52257" w:rsidP="00FE3A56">
      <w:pPr>
        <w:pStyle w:val="ListParagraph"/>
        <w:tabs>
          <w:tab w:val="num" w:pos="0"/>
        </w:tabs>
        <w:ind w:hanging="1440"/>
      </w:pPr>
    </w:p>
    <w:p w14:paraId="5E94BCC4" w14:textId="77777777" w:rsidR="00E52257" w:rsidRPr="004375B4" w:rsidRDefault="00E52257" w:rsidP="00FE3A56">
      <w:pPr>
        <w:numPr>
          <w:ilvl w:val="0"/>
          <w:numId w:val="1"/>
        </w:numPr>
        <w:tabs>
          <w:tab w:val="num" w:pos="0"/>
        </w:tabs>
        <w:spacing w:after="120" w:line="288" w:lineRule="auto"/>
        <w:ind w:left="720" w:hanging="1440"/>
      </w:pPr>
      <w:r w:rsidRPr="004375B4">
        <w:t>(4)</w:t>
      </w:r>
      <w:r w:rsidRPr="004375B4">
        <w:tab/>
        <w:t>Also on February 9, 2015, Avista filed certain revisions to its currently effective natural gas service tariffs which, if approved by the Commission, would increase the Company’s natural gas revenue requirement by $12 million. This matter was designated as Docket UG-150205.</w:t>
      </w:r>
    </w:p>
    <w:p w14:paraId="0B1AA08B" w14:textId="77777777" w:rsidR="00B8365F" w:rsidRPr="004375B4" w:rsidRDefault="00B8365F" w:rsidP="00FE3A56">
      <w:pPr>
        <w:pStyle w:val="ListParagraph"/>
        <w:tabs>
          <w:tab w:val="num" w:pos="0"/>
        </w:tabs>
        <w:spacing w:line="264" w:lineRule="auto"/>
        <w:ind w:hanging="1440"/>
      </w:pPr>
    </w:p>
    <w:p w14:paraId="178DB935" w14:textId="43C9B1A3" w:rsidR="00B8365F" w:rsidRPr="004375B4" w:rsidRDefault="00E52257" w:rsidP="00FE3A56">
      <w:pPr>
        <w:numPr>
          <w:ilvl w:val="0"/>
          <w:numId w:val="1"/>
        </w:numPr>
        <w:tabs>
          <w:tab w:val="num" w:pos="0"/>
        </w:tabs>
        <w:spacing w:after="120" w:line="288" w:lineRule="auto"/>
        <w:ind w:left="720" w:hanging="1440"/>
      </w:pPr>
      <w:r w:rsidRPr="004375B4">
        <w:t>(5</w:t>
      </w:r>
      <w:r w:rsidR="00B8365F" w:rsidRPr="004375B4">
        <w:t>)</w:t>
      </w:r>
      <w:r w:rsidR="00B8365F" w:rsidRPr="004375B4">
        <w:tab/>
      </w:r>
      <w:r w:rsidRPr="004375B4">
        <w:t>On February 20, 2015, t</w:t>
      </w:r>
      <w:r w:rsidR="00B8365F" w:rsidRPr="004375B4">
        <w:t xml:space="preserve">he Commission suspended the operation of </w:t>
      </w:r>
      <w:r w:rsidRPr="004375B4">
        <w:t xml:space="preserve">both </w:t>
      </w:r>
      <w:r w:rsidR="00B8365F" w:rsidRPr="004375B4">
        <w:t xml:space="preserve">proposed tariff revisions pending an investigation and hearing and consolidated the </w:t>
      </w:r>
      <w:r w:rsidRPr="004375B4">
        <w:t>filings for hearing and determination pursuant to WAC 480-07-320</w:t>
      </w:r>
      <w:r w:rsidR="00B8365F" w:rsidRPr="004375B4">
        <w:t>.</w:t>
      </w:r>
    </w:p>
    <w:p w14:paraId="3306EF63" w14:textId="77777777" w:rsidR="00B8365F" w:rsidRPr="004375B4" w:rsidRDefault="00B8365F" w:rsidP="00FE3A56">
      <w:pPr>
        <w:pStyle w:val="ListParagraph"/>
        <w:tabs>
          <w:tab w:val="num" w:pos="0"/>
        </w:tabs>
        <w:spacing w:line="264" w:lineRule="auto"/>
        <w:ind w:hanging="1440"/>
      </w:pPr>
    </w:p>
    <w:p w14:paraId="2C1A673B" w14:textId="04463CF5" w:rsidR="00B8365F" w:rsidRPr="004375B4" w:rsidRDefault="00E52257" w:rsidP="00FE3A56">
      <w:pPr>
        <w:numPr>
          <w:ilvl w:val="0"/>
          <w:numId w:val="1"/>
        </w:numPr>
        <w:tabs>
          <w:tab w:val="num" w:pos="0"/>
        </w:tabs>
        <w:spacing w:after="120" w:line="288" w:lineRule="auto"/>
        <w:ind w:left="720" w:hanging="1440"/>
      </w:pPr>
      <w:r w:rsidRPr="004375B4">
        <w:t>(6</w:t>
      </w:r>
      <w:r w:rsidR="00B8365F" w:rsidRPr="004375B4">
        <w:t>)</w:t>
      </w:r>
      <w:r w:rsidR="00B8365F" w:rsidRPr="004375B4">
        <w:tab/>
      </w:r>
      <w:r w:rsidRPr="004375B4">
        <w:t xml:space="preserve">On May 1, 2015, Avista, Staff, Public Counsel, NWIGU, and ICNU filed a partial, multiparty settlement stipulation (Settlement) which is attached to, and </w:t>
      </w:r>
      <w:r w:rsidRPr="004375B4">
        <w:lastRenderedPageBreak/>
        <w:t xml:space="preserve">incorporated herein as Appendix </w:t>
      </w:r>
      <w:r w:rsidR="00AB7E90" w:rsidRPr="004375B4">
        <w:t>C</w:t>
      </w:r>
      <w:r w:rsidRPr="004375B4">
        <w:t xml:space="preserve">. The </w:t>
      </w:r>
      <w:r w:rsidR="004429BF" w:rsidRPr="004375B4">
        <w:t xml:space="preserve">unopposed </w:t>
      </w:r>
      <w:r w:rsidRPr="004375B4">
        <w:t xml:space="preserve">Settlement </w:t>
      </w:r>
      <w:r w:rsidR="004429BF" w:rsidRPr="004375B4">
        <w:t xml:space="preserve">proposes a slightly lower rate of return and return on equity for the Company, </w:t>
      </w:r>
      <w:r w:rsidR="000F6E49" w:rsidRPr="004375B4">
        <w:t xml:space="preserve">adjusted and updated power supply costs, a rate spread that is distributed across the rate schedules on a uniform percentage basis, and a rate design for any electric and natural gas </w:t>
      </w:r>
      <w:r w:rsidR="00552CF9" w:rsidRPr="004375B4">
        <w:t xml:space="preserve">rate </w:t>
      </w:r>
      <w:r w:rsidR="000F6E49" w:rsidRPr="004375B4">
        <w:t>increase</w:t>
      </w:r>
      <w:r w:rsidR="004429BF" w:rsidRPr="004375B4">
        <w:t>.</w:t>
      </w:r>
    </w:p>
    <w:p w14:paraId="0BF71A1A" w14:textId="77777777" w:rsidR="00DE5B48" w:rsidRPr="004375B4" w:rsidRDefault="00DE5B48" w:rsidP="00DE5B48">
      <w:pPr>
        <w:pStyle w:val="ListParagraph"/>
      </w:pPr>
    </w:p>
    <w:p w14:paraId="21B11EDB" w14:textId="77777777" w:rsidR="00DE5B48" w:rsidRPr="004375B4" w:rsidRDefault="00DE5B48" w:rsidP="00FE3A56">
      <w:pPr>
        <w:numPr>
          <w:ilvl w:val="0"/>
          <w:numId w:val="1"/>
        </w:numPr>
        <w:tabs>
          <w:tab w:val="num" w:pos="0"/>
        </w:tabs>
        <w:spacing w:after="120" w:line="288" w:lineRule="auto"/>
        <w:ind w:left="720" w:hanging="1440"/>
      </w:pPr>
      <w:r w:rsidRPr="004375B4">
        <w:t>(7)</w:t>
      </w:r>
      <w:r w:rsidRPr="004375B4">
        <w:tab/>
        <w:t>The Settlement does not propose a rate design in the event of an electric or natural gas rate decrease.</w:t>
      </w:r>
    </w:p>
    <w:p w14:paraId="22F96F02" w14:textId="77777777" w:rsidR="00FC57F3" w:rsidRPr="004375B4" w:rsidRDefault="00FC57F3" w:rsidP="00FE3A56">
      <w:pPr>
        <w:pStyle w:val="ListParagraph"/>
        <w:tabs>
          <w:tab w:val="num" w:pos="0"/>
        </w:tabs>
        <w:spacing w:line="264" w:lineRule="auto"/>
        <w:ind w:hanging="1440"/>
      </w:pPr>
    </w:p>
    <w:p w14:paraId="56246316" w14:textId="77777777" w:rsidR="00EB3D65" w:rsidRPr="004375B4" w:rsidRDefault="00FC57F3" w:rsidP="00FE3A56">
      <w:pPr>
        <w:numPr>
          <w:ilvl w:val="0"/>
          <w:numId w:val="1"/>
        </w:numPr>
        <w:tabs>
          <w:tab w:val="num" w:pos="0"/>
        </w:tabs>
        <w:spacing w:after="120" w:line="288" w:lineRule="auto"/>
        <w:ind w:left="720" w:hanging="1440"/>
      </w:pPr>
      <w:r w:rsidRPr="004375B4">
        <w:t>(</w:t>
      </w:r>
      <w:r w:rsidR="00DE5B48" w:rsidRPr="004375B4">
        <w:t>8</w:t>
      </w:r>
      <w:r w:rsidRPr="004375B4">
        <w:t>)</w:t>
      </w:r>
      <w:r w:rsidRPr="004375B4">
        <w:tab/>
      </w:r>
      <w:r w:rsidR="00EB3D65" w:rsidRPr="004375B4">
        <w:t xml:space="preserve">On </w:t>
      </w:r>
      <w:r w:rsidR="000F6E49" w:rsidRPr="004375B4">
        <w:t>October 5-6, 2015, the Commission convened an evidentiary hearing to address the remaining contested issues.</w:t>
      </w:r>
      <w:r w:rsidR="00BA6127" w:rsidRPr="004375B4">
        <w:t xml:space="preserve">   </w:t>
      </w:r>
    </w:p>
    <w:p w14:paraId="4CFA2825" w14:textId="77777777" w:rsidR="002214C6" w:rsidRPr="004375B4" w:rsidRDefault="002214C6" w:rsidP="00FE3A56">
      <w:pPr>
        <w:pStyle w:val="ListParagraph"/>
        <w:tabs>
          <w:tab w:val="num" w:pos="0"/>
        </w:tabs>
        <w:ind w:hanging="1440"/>
      </w:pPr>
    </w:p>
    <w:p w14:paraId="33E2F586" w14:textId="2BB095DB" w:rsidR="002214C6" w:rsidRPr="004375B4" w:rsidRDefault="002214C6" w:rsidP="00FE3A56">
      <w:pPr>
        <w:numPr>
          <w:ilvl w:val="0"/>
          <w:numId w:val="1"/>
        </w:numPr>
        <w:tabs>
          <w:tab w:val="num" w:pos="0"/>
        </w:tabs>
        <w:spacing w:after="120" w:line="288" w:lineRule="auto"/>
        <w:ind w:left="720" w:hanging="1440"/>
      </w:pPr>
      <w:r w:rsidRPr="004375B4">
        <w:t>(9)</w:t>
      </w:r>
      <w:r w:rsidRPr="004375B4">
        <w:tab/>
        <w:t>We find Staff’s methodology for evaluating electric pro forma plant additions well</w:t>
      </w:r>
      <w:r w:rsidR="001317B9" w:rsidRPr="004375B4">
        <w:t>-</w:t>
      </w:r>
      <w:r w:rsidRPr="004375B4">
        <w:t xml:space="preserve">principled and audited and accept </w:t>
      </w:r>
      <w:r w:rsidR="008463A9" w:rsidRPr="004375B4">
        <w:t xml:space="preserve">the pro forma plant additions based on </w:t>
      </w:r>
      <w:r w:rsidR="003827BB" w:rsidRPr="004375B4">
        <w:t>the methodology</w:t>
      </w:r>
      <w:r w:rsidRPr="004375B4">
        <w:t>.</w:t>
      </w:r>
    </w:p>
    <w:p w14:paraId="24F1E69B" w14:textId="77777777" w:rsidR="00DE5B48" w:rsidRPr="004375B4" w:rsidRDefault="00DE5B48" w:rsidP="00FE3A56">
      <w:pPr>
        <w:pStyle w:val="ListParagraph"/>
        <w:tabs>
          <w:tab w:val="num" w:pos="0"/>
        </w:tabs>
        <w:ind w:hanging="1440"/>
      </w:pPr>
    </w:p>
    <w:p w14:paraId="6F288260" w14:textId="5C2BA507" w:rsidR="00DE5B48" w:rsidRPr="004375B4" w:rsidRDefault="002214C6" w:rsidP="00FE3A56">
      <w:pPr>
        <w:numPr>
          <w:ilvl w:val="0"/>
          <w:numId w:val="1"/>
        </w:numPr>
        <w:tabs>
          <w:tab w:val="num" w:pos="0"/>
        </w:tabs>
        <w:spacing w:after="120" w:line="288" w:lineRule="auto"/>
        <w:ind w:left="720" w:hanging="1440"/>
      </w:pPr>
      <w:r w:rsidRPr="004375B4">
        <w:t>(10</w:t>
      </w:r>
      <w:r w:rsidR="00DE5B48" w:rsidRPr="004375B4">
        <w:t>)</w:t>
      </w:r>
      <w:r w:rsidR="007050AA" w:rsidRPr="004375B4">
        <w:tab/>
      </w:r>
      <w:r w:rsidR="00DE5B48" w:rsidRPr="004375B4">
        <w:t xml:space="preserve">Avista requests an attrition adjustment for both its electric and natural gas operations, claiming earnings erosion due to low customer growth and </w:t>
      </w:r>
      <w:r w:rsidR="00F80BF9" w:rsidRPr="004375B4">
        <w:t>high capital expenditures</w:t>
      </w:r>
      <w:r w:rsidR="00DE5B48" w:rsidRPr="004375B4">
        <w:t>.</w:t>
      </w:r>
    </w:p>
    <w:p w14:paraId="001E9451" w14:textId="77777777" w:rsidR="00DE5B48" w:rsidRPr="004375B4" w:rsidRDefault="00DE5B48" w:rsidP="00DE5B48">
      <w:pPr>
        <w:pStyle w:val="ListParagraph"/>
      </w:pPr>
    </w:p>
    <w:p w14:paraId="7D1B925B" w14:textId="2DEFF5FF" w:rsidR="007050AA" w:rsidRPr="004375B4" w:rsidRDefault="00F80BF9" w:rsidP="00FE3A56">
      <w:pPr>
        <w:numPr>
          <w:ilvl w:val="0"/>
          <w:numId w:val="1"/>
        </w:numPr>
        <w:tabs>
          <w:tab w:val="num" w:pos="0"/>
        </w:tabs>
        <w:spacing w:after="120" w:line="288" w:lineRule="auto"/>
        <w:ind w:left="720" w:hanging="1440"/>
      </w:pPr>
      <w:r w:rsidRPr="004375B4">
        <w:t>(1</w:t>
      </w:r>
      <w:r w:rsidR="002214C6" w:rsidRPr="004375B4">
        <w:t>1</w:t>
      </w:r>
      <w:r w:rsidRPr="004375B4">
        <w:t>)</w:t>
      </w:r>
      <w:r w:rsidRPr="004375B4">
        <w:tab/>
      </w:r>
      <w:r w:rsidR="007050AA" w:rsidRPr="004375B4">
        <w:t xml:space="preserve">The evidentiary record supports a finding that Avista will experience attrition in its electric and natural gas operations over the </w:t>
      </w:r>
      <w:r w:rsidR="002A1F24">
        <w:t>rate effective</w:t>
      </w:r>
      <w:r w:rsidR="007050AA" w:rsidRPr="004375B4">
        <w:t xml:space="preserve"> year.  </w:t>
      </w:r>
    </w:p>
    <w:p w14:paraId="6A6020C7" w14:textId="77777777" w:rsidR="007050AA" w:rsidRPr="004375B4" w:rsidRDefault="007050AA" w:rsidP="00FE3A56">
      <w:pPr>
        <w:pStyle w:val="ListParagraph"/>
        <w:tabs>
          <w:tab w:val="num" w:pos="0"/>
        </w:tabs>
        <w:ind w:hanging="1440"/>
      </w:pPr>
    </w:p>
    <w:p w14:paraId="302C8938" w14:textId="3754D362" w:rsidR="00F80BF9" w:rsidRPr="004375B4" w:rsidRDefault="007050AA" w:rsidP="00FE3A56">
      <w:pPr>
        <w:numPr>
          <w:ilvl w:val="0"/>
          <w:numId w:val="1"/>
        </w:numPr>
        <w:tabs>
          <w:tab w:val="num" w:pos="0"/>
        </w:tabs>
        <w:spacing w:after="120" w:line="288" w:lineRule="auto"/>
        <w:ind w:left="720" w:hanging="1440"/>
      </w:pPr>
      <w:r w:rsidRPr="004375B4">
        <w:t>(1</w:t>
      </w:r>
      <w:r w:rsidR="00313E84" w:rsidRPr="004375B4">
        <w:t>2</w:t>
      </w:r>
      <w:r w:rsidRPr="004375B4">
        <w:t>)</w:t>
      </w:r>
      <w:r w:rsidRPr="004375B4">
        <w:tab/>
      </w:r>
      <w:r w:rsidR="00CF4076" w:rsidRPr="004375B4">
        <w:t>Avista’s natural gas distribution plant investments are necessary to improve safety, and comply with Commission orders and policies supporting replacement of pipe that has a high risk of failure, or presents public safety and reliability concerns.</w:t>
      </w:r>
    </w:p>
    <w:p w14:paraId="3799001D" w14:textId="77777777" w:rsidR="00F80BF9" w:rsidRPr="004375B4" w:rsidRDefault="00F80BF9" w:rsidP="00FE3A56">
      <w:pPr>
        <w:pStyle w:val="ListParagraph"/>
        <w:tabs>
          <w:tab w:val="num" w:pos="0"/>
        </w:tabs>
        <w:ind w:hanging="1440"/>
      </w:pPr>
    </w:p>
    <w:p w14:paraId="03A62770" w14:textId="36831378" w:rsidR="00F80BF9" w:rsidRPr="004375B4" w:rsidRDefault="00F80BF9" w:rsidP="00FE3A56">
      <w:pPr>
        <w:numPr>
          <w:ilvl w:val="0"/>
          <w:numId w:val="1"/>
        </w:numPr>
        <w:tabs>
          <w:tab w:val="num" w:pos="0"/>
        </w:tabs>
        <w:spacing w:after="120" w:line="288" w:lineRule="auto"/>
        <w:ind w:left="720" w:hanging="1440"/>
      </w:pPr>
      <w:r w:rsidRPr="004375B4">
        <w:t>(1</w:t>
      </w:r>
      <w:r w:rsidR="00313E84" w:rsidRPr="004375B4">
        <w:t>3</w:t>
      </w:r>
      <w:r w:rsidRPr="004375B4">
        <w:t>)</w:t>
      </w:r>
      <w:r w:rsidRPr="004375B4">
        <w:tab/>
      </w:r>
      <w:r w:rsidR="00313E84" w:rsidRPr="004375B4">
        <w:t xml:space="preserve">Absent an attrition adjustment, the Company </w:t>
      </w:r>
      <w:r w:rsidR="00313E84" w:rsidRPr="00E404CD">
        <w:t xml:space="preserve">may not have an opportunity to achieve earnings on electric operations at or near authorized levels. </w:t>
      </w:r>
    </w:p>
    <w:p w14:paraId="1843B16E" w14:textId="77777777" w:rsidR="00F80BF9" w:rsidRPr="004375B4" w:rsidRDefault="00F80BF9" w:rsidP="00FE3A56">
      <w:pPr>
        <w:pStyle w:val="ListParagraph"/>
        <w:tabs>
          <w:tab w:val="num" w:pos="0"/>
        </w:tabs>
        <w:ind w:hanging="1440"/>
      </w:pPr>
    </w:p>
    <w:p w14:paraId="77FA9635" w14:textId="05A569D4" w:rsidR="00F80BF9" w:rsidRPr="004375B4" w:rsidRDefault="00F80BF9" w:rsidP="00FE3A56">
      <w:pPr>
        <w:numPr>
          <w:ilvl w:val="0"/>
          <w:numId w:val="1"/>
        </w:numPr>
        <w:tabs>
          <w:tab w:val="num" w:pos="0"/>
        </w:tabs>
        <w:spacing w:after="120" w:line="288" w:lineRule="auto"/>
        <w:ind w:left="720" w:hanging="1440"/>
      </w:pPr>
      <w:r w:rsidRPr="004375B4">
        <w:t>(1</w:t>
      </w:r>
      <w:r w:rsidR="00313E84" w:rsidRPr="004375B4">
        <w:t>4</w:t>
      </w:r>
      <w:r w:rsidRPr="004375B4">
        <w:t>)</w:t>
      </w:r>
      <w:r w:rsidRPr="004375B4">
        <w:tab/>
        <w:t xml:space="preserve">Test year expenses are sufficiently reflective of historical data for use in setting rates for </w:t>
      </w:r>
      <w:r w:rsidR="005A3BFE" w:rsidRPr="004375B4">
        <w:t xml:space="preserve">thermal generation plant </w:t>
      </w:r>
      <w:r w:rsidRPr="004375B4">
        <w:t>operations and maintenance (O&amp;M) expenses</w:t>
      </w:r>
      <w:r w:rsidR="005A3BFE" w:rsidRPr="004375B4">
        <w:t>, except for major maintenance at Colstrip and Coyote Springs 2</w:t>
      </w:r>
      <w:r w:rsidRPr="004375B4">
        <w:t>.</w:t>
      </w:r>
    </w:p>
    <w:p w14:paraId="636179DF" w14:textId="77777777" w:rsidR="00F80BF9" w:rsidRPr="004375B4" w:rsidRDefault="00F80BF9" w:rsidP="00FE3A56">
      <w:pPr>
        <w:pStyle w:val="ListParagraph"/>
        <w:tabs>
          <w:tab w:val="num" w:pos="0"/>
        </w:tabs>
        <w:ind w:hanging="1440"/>
      </w:pPr>
    </w:p>
    <w:p w14:paraId="2D8D3B5A" w14:textId="77B8453D" w:rsidR="00DE5B48" w:rsidRPr="004375B4" w:rsidRDefault="00F80BF9" w:rsidP="00FE3A56">
      <w:pPr>
        <w:numPr>
          <w:ilvl w:val="0"/>
          <w:numId w:val="1"/>
        </w:numPr>
        <w:tabs>
          <w:tab w:val="num" w:pos="0"/>
        </w:tabs>
        <w:spacing w:after="120" w:line="288" w:lineRule="auto"/>
        <w:ind w:left="720" w:hanging="1440"/>
      </w:pPr>
      <w:r w:rsidRPr="004375B4">
        <w:lastRenderedPageBreak/>
        <w:t>(1</w:t>
      </w:r>
      <w:r w:rsidR="00313E84" w:rsidRPr="004375B4">
        <w:t>5</w:t>
      </w:r>
      <w:r w:rsidR="002214C6" w:rsidRPr="004375B4">
        <w:t>)</w:t>
      </w:r>
      <w:r w:rsidRPr="004375B4">
        <w:tab/>
      </w:r>
      <w:r w:rsidR="003827BB" w:rsidRPr="004375B4">
        <w:t xml:space="preserve">Staff’s </w:t>
      </w:r>
      <w:r w:rsidRPr="004375B4">
        <w:t xml:space="preserve">proposal to normalize major maintenance expenses </w:t>
      </w:r>
      <w:r w:rsidR="005A3BFE" w:rsidRPr="004375B4">
        <w:t xml:space="preserve">at Colstrip and Coyote Springs </w:t>
      </w:r>
      <w:r w:rsidRPr="004375B4">
        <w:t xml:space="preserve">is a reasonable approach, while </w:t>
      </w:r>
      <w:r w:rsidR="00420B00" w:rsidRPr="004375B4">
        <w:t xml:space="preserve">Avista’s proposal </w:t>
      </w:r>
      <w:r w:rsidR="003827BB" w:rsidRPr="004375B4">
        <w:t xml:space="preserve">for </w:t>
      </w:r>
      <w:r w:rsidRPr="004375B4">
        <w:t>continued inclusion of a management reserve is contrary to the use of an average cost.</w:t>
      </w:r>
    </w:p>
    <w:p w14:paraId="37C5F0EA" w14:textId="3D0C7159" w:rsidR="00BE201D" w:rsidRPr="004375B4" w:rsidRDefault="00F80BF9" w:rsidP="00F22562">
      <w:pPr>
        <w:numPr>
          <w:ilvl w:val="0"/>
          <w:numId w:val="1"/>
        </w:numPr>
        <w:tabs>
          <w:tab w:val="num" w:pos="0"/>
        </w:tabs>
        <w:spacing w:after="120" w:line="288" w:lineRule="auto"/>
        <w:ind w:left="720" w:hanging="1440"/>
      </w:pPr>
      <w:r w:rsidRPr="004375B4">
        <w:t>(1</w:t>
      </w:r>
      <w:r w:rsidR="00313E84" w:rsidRPr="004375B4">
        <w:t>6</w:t>
      </w:r>
      <w:r w:rsidRPr="004375B4">
        <w:t>)</w:t>
      </w:r>
      <w:r w:rsidRPr="004375B4">
        <w:tab/>
      </w:r>
      <w:r w:rsidR="00BE201D" w:rsidRPr="004375B4">
        <w:t>With regard to Staff’s recommended disallowance for the $</w:t>
      </w:r>
      <w:r w:rsidR="002B7E9A" w:rsidRPr="004375B4">
        <w:t>12.7</w:t>
      </w:r>
      <w:r w:rsidR="00BE201D" w:rsidRPr="004375B4">
        <w:t xml:space="preserve"> million attributable to an extension of the Project Compass timeline and Project Compass bonus plan, </w:t>
      </w:r>
      <w:r w:rsidR="00BE201D" w:rsidRPr="004375B4">
        <w:rPr>
          <w:rFonts w:eastAsia="Calibri"/>
        </w:rPr>
        <w:t xml:space="preserve">Avista demonstrated that it considered switching to a different contractor and decided against it since this would result in an extended timeline that would have been more costly. Further, </w:t>
      </w:r>
      <w:r w:rsidR="00BE201D" w:rsidRPr="004375B4">
        <w:t>the Project Compass bonus plan was used to motivate employees to complete an essential project, and the bonuses were approved through appropriate channels.</w:t>
      </w:r>
    </w:p>
    <w:p w14:paraId="3FB8130E" w14:textId="443ECEC7" w:rsidR="00BE201D" w:rsidRPr="004375B4" w:rsidRDefault="00BE201D" w:rsidP="00F22562">
      <w:pPr>
        <w:numPr>
          <w:ilvl w:val="0"/>
          <w:numId w:val="1"/>
        </w:numPr>
        <w:tabs>
          <w:tab w:val="num" w:pos="0"/>
        </w:tabs>
        <w:spacing w:after="120" w:line="288" w:lineRule="auto"/>
        <w:ind w:left="720" w:hanging="1440"/>
      </w:pPr>
      <w:r w:rsidRPr="004375B4">
        <w:t>(1</w:t>
      </w:r>
      <w:r w:rsidR="00313E84" w:rsidRPr="004375B4">
        <w:t>7</w:t>
      </w:r>
      <w:r w:rsidRPr="004375B4">
        <w:t>)</w:t>
      </w:r>
      <w:r w:rsidRPr="004375B4">
        <w:tab/>
        <w:t xml:space="preserve">The Company’s request for a prudency review of its proposed advanced metering infrastructure </w:t>
      </w:r>
      <w:r w:rsidR="003827BB" w:rsidRPr="004375B4">
        <w:t xml:space="preserve">proposal </w:t>
      </w:r>
      <w:r w:rsidRPr="004375B4">
        <w:t>is premature.</w:t>
      </w:r>
    </w:p>
    <w:p w14:paraId="5F99B4C0" w14:textId="7B9F325A" w:rsidR="00BE201D" w:rsidRPr="004375B4" w:rsidRDefault="00BE201D" w:rsidP="00F22562">
      <w:pPr>
        <w:numPr>
          <w:ilvl w:val="0"/>
          <w:numId w:val="1"/>
        </w:numPr>
        <w:tabs>
          <w:tab w:val="num" w:pos="0"/>
        </w:tabs>
        <w:spacing w:after="120" w:line="288" w:lineRule="auto"/>
        <w:ind w:left="720" w:hanging="1440"/>
      </w:pPr>
      <w:r w:rsidRPr="004375B4">
        <w:t>(1</w:t>
      </w:r>
      <w:r w:rsidR="00313E84" w:rsidRPr="004375B4">
        <w:t>8</w:t>
      </w:r>
      <w:r w:rsidRPr="004375B4">
        <w:t>)</w:t>
      </w:r>
      <w:r w:rsidRPr="004375B4">
        <w:tab/>
        <w:t xml:space="preserve">Avista’s adjustment increasing 2014 </w:t>
      </w:r>
      <w:r w:rsidR="001317B9" w:rsidRPr="004375B4">
        <w:t xml:space="preserve">wages </w:t>
      </w:r>
      <w:r w:rsidRPr="004375B4">
        <w:t xml:space="preserve">and 2015 union wages </w:t>
      </w:r>
      <w:r w:rsidR="003827BB" w:rsidRPr="004375B4">
        <w:t>relies on</w:t>
      </w:r>
      <w:r w:rsidR="001317B9" w:rsidRPr="004375B4">
        <w:t xml:space="preserve"> known and measurable changes. </w:t>
      </w:r>
      <w:r w:rsidRPr="004375B4">
        <w:t xml:space="preserve">The proposed wage increases for 2015 non-union employees and all 2016 </w:t>
      </w:r>
      <w:r w:rsidR="003827BB" w:rsidRPr="004375B4">
        <w:t xml:space="preserve">wage </w:t>
      </w:r>
      <w:r w:rsidRPr="004375B4">
        <w:t>increases are not known and measurable.</w:t>
      </w:r>
    </w:p>
    <w:p w14:paraId="7D76FDA0" w14:textId="313B739A" w:rsidR="00BE201D" w:rsidRPr="004375B4" w:rsidRDefault="00BE201D" w:rsidP="00F22562">
      <w:pPr>
        <w:numPr>
          <w:ilvl w:val="0"/>
          <w:numId w:val="1"/>
        </w:numPr>
        <w:tabs>
          <w:tab w:val="num" w:pos="0"/>
        </w:tabs>
        <w:spacing w:after="120" w:line="288" w:lineRule="auto"/>
        <w:ind w:left="720" w:hanging="1440"/>
      </w:pPr>
      <w:r w:rsidRPr="004375B4">
        <w:t>(</w:t>
      </w:r>
      <w:r w:rsidR="00313E84" w:rsidRPr="004375B4">
        <w:t>19</w:t>
      </w:r>
      <w:r w:rsidRPr="004375B4">
        <w:t>)</w:t>
      </w:r>
      <w:r w:rsidR="003827BB" w:rsidRPr="004375B4">
        <w:tab/>
      </w:r>
      <w:r w:rsidRPr="004375B4">
        <w:t>Likewise, the Company’s proposal to adjust the amount of time its executives allocate to utility work</w:t>
      </w:r>
      <w:r w:rsidR="003827BB" w:rsidRPr="004375B4">
        <w:t xml:space="preserve"> in Washington</w:t>
      </w:r>
      <w:r w:rsidRPr="004375B4">
        <w:t xml:space="preserve"> is not known and measurable.</w:t>
      </w:r>
    </w:p>
    <w:p w14:paraId="13751848" w14:textId="212900AA" w:rsidR="00BE201D" w:rsidRPr="004375B4" w:rsidRDefault="007050AA" w:rsidP="00F22562">
      <w:pPr>
        <w:numPr>
          <w:ilvl w:val="0"/>
          <w:numId w:val="1"/>
        </w:numPr>
        <w:tabs>
          <w:tab w:val="num" w:pos="0"/>
        </w:tabs>
        <w:spacing w:after="120" w:line="288" w:lineRule="auto"/>
        <w:ind w:left="720" w:hanging="1440"/>
      </w:pPr>
      <w:r w:rsidRPr="004375B4">
        <w:t>(2</w:t>
      </w:r>
      <w:r w:rsidR="00313E84" w:rsidRPr="004375B4">
        <w:t>0</w:t>
      </w:r>
      <w:r w:rsidR="00BE201D" w:rsidRPr="004375B4">
        <w:t>)</w:t>
      </w:r>
      <w:r w:rsidR="00BE201D" w:rsidRPr="004375B4">
        <w:tab/>
        <w:t xml:space="preserve">ICNU’s executive compensation analysis </w:t>
      </w:r>
      <w:r w:rsidR="003827BB" w:rsidRPr="004375B4">
        <w:t>is</w:t>
      </w:r>
      <w:r w:rsidR="00BE201D" w:rsidRPr="004375B4">
        <w:t xml:space="preserve"> not sufficiently robust to counter Avista’s reliance on a carefully selected peer group to set executive compensation.</w:t>
      </w:r>
    </w:p>
    <w:p w14:paraId="1302A115" w14:textId="4C3E20B5" w:rsidR="005F3BC6" w:rsidRPr="004375B4" w:rsidRDefault="002214C6" w:rsidP="00F22562">
      <w:pPr>
        <w:numPr>
          <w:ilvl w:val="0"/>
          <w:numId w:val="1"/>
        </w:numPr>
        <w:tabs>
          <w:tab w:val="num" w:pos="0"/>
        </w:tabs>
        <w:spacing w:after="120" w:line="288" w:lineRule="auto"/>
        <w:ind w:left="720" w:hanging="1440"/>
      </w:pPr>
      <w:r w:rsidRPr="004375B4">
        <w:t>(2</w:t>
      </w:r>
      <w:r w:rsidR="00313E84" w:rsidRPr="004375B4">
        <w:t>1</w:t>
      </w:r>
      <w:r w:rsidR="00BE201D" w:rsidRPr="004375B4">
        <w:t>)</w:t>
      </w:r>
      <w:r w:rsidR="00BE201D" w:rsidRPr="004375B4">
        <w:tab/>
        <w:t xml:space="preserve">The Commission’s historical practice has been to allow the Company </w:t>
      </w:r>
      <w:r w:rsidR="009C04C5" w:rsidRPr="004375B4">
        <w:t xml:space="preserve">to </w:t>
      </w:r>
      <w:r w:rsidR="00BE201D" w:rsidRPr="004375B4">
        <w:t>recover 50 percent of it</w:t>
      </w:r>
      <w:r w:rsidR="005F3BC6" w:rsidRPr="004375B4">
        <w:t xml:space="preserve">s director fees from ratepayers, and Avista has not presented substantial evidence in favor of its proposal </w:t>
      </w:r>
      <w:r w:rsidR="003827BB" w:rsidRPr="004375B4">
        <w:t xml:space="preserve">to include </w:t>
      </w:r>
      <w:r w:rsidR="00E404CD">
        <w:t xml:space="preserve">in rates </w:t>
      </w:r>
      <w:r w:rsidR="00BD3EA8" w:rsidRPr="004375B4">
        <w:t xml:space="preserve">97 </w:t>
      </w:r>
      <w:r w:rsidR="005F3BC6" w:rsidRPr="004375B4">
        <w:t>percent of director fees.</w:t>
      </w:r>
    </w:p>
    <w:p w14:paraId="4AE70E16" w14:textId="3B4A12F9" w:rsidR="005F3BC6" w:rsidRPr="004375B4" w:rsidRDefault="005F3BC6" w:rsidP="00F22562">
      <w:pPr>
        <w:numPr>
          <w:ilvl w:val="0"/>
          <w:numId w:val="1"/>
        </w:numPr>
        <w:tabs>
          <w:tab w:val="num" w:pos="0"/>
        </w:tabs>
        <w:spacing w:after="120" w:line="288" w:lineRule="auto"/>
        <w:ind w:left="720" w:hanging="1440"/>
      </w:pPr>
      <w:r w:rsidRPr="004375B4">
        <w:t>(2</w:t>
      </w:r>
      <w:r w:rsidR="00313E84" w:rsidRPr="004375B4">
        <w:t>2</w:t>
      </w:r>
      <w:r w:rsidRPr="004375B4">
        <w:t>)</w:t>
      </w:r>
      <w:r w:rsidRPr="004375B4">
        <w:tab/>
      </w:r>
      <w:r w:rsidR="002B7E9A" w:rsidRPr="004375B4">
        <w:t>The Commission finds reasonable the five-year plan to increase funding for the Low-Income Rate Assistance Program by seven percent or twice the percentage increase in the residential electric and natural gas base rates as reasonable.</w:t>
      </w:r>
      <w:r w:rsidRPr="004375B4">
        <w:t xml:space="preserve"> </w:t>
      </w:r>
    </w:p>
    <w:p w14:paraId="2DE8F94D" w14:textId="17A3C8EF" w:rsidR="005F3BC6" w:rsidRPr="004375B4" w:rsidRDefault="005F3BC6" w:rsidP="00F22562">
      <w:pPr>
        <w:numPr>
          <w:ilvl w:val="0"/>
          <w:numId w:val="1"/>
        </w:numPr>
        <w:tabs>
          <w:tab w:val="num" w:pos="0"/>
        </w:tabs>
        <w:spacing w:after="120" w:line="288" w:lineRule="auto"/>
        <w:ind w:left="720" w:hanging="1440"/>
      </w:pPr>
      <w:r w:rsidRPr="004375B4">
        <w:t>(2</w:t>
      </w:r>
      <w:r w:rsidR="00313E84" w:rsidRPr="004375B4">
        <w:t>3</w:t>
      </w:r>
      <w:r w:rsidRPr="004375B4">
        <w:t>)</w:t>
      </w:r>
      <w:r w:rsidRPr="004375B4">
        <w:tab/>
        <w:t xml:space="preserve">Public Counsel’s proposed adjustments for pro forma property tax and insurance expense produce values that are known and measurable. </w:t>
      </w:r>
    </w:p>
    <w:p w14:paraId="61193C29" w14:textId="617C388C" w:rsidR="005C46BD" w:rsidRPr="004375B4" w:rsidRDefault="005F3BC6" w:rsidP="00F22562">
      <w:pPr>
        <w:numPr>
          <w:ilvl w:val="0"/>
          <w:numId w:val="1"/>
        </w:numPr>
        <w:tabs>
          <w:tab w:val="left" w:pos="0"/>
        </w:tabs>
        <w:spacing w:after="120" w:line="288" w:lineRule="auto"/>
        <w:ind w:left="720" w:hanging="1440"/>
      </w:pPr>
      <w:r w:rsidRPr="004375B4">
        <w:t>(2</w:t>
      </w:r>
      <w:r w:rsidR="00313E84" w:rsidRPr="004375B4">
        <w:t>4</w:t>
      </w:r>
      <w:r w:rsidRPr="004375B4">
        <w:t>)</w:t>
      </w:r>
      <w:r w:rsidRPr="004375B4">
        <w:tab/>
      </w:r>
      <w:r w:rsidR="005C46BD" w:rsidRPr="004375B4">
        <w:t xml:space="preserve">Public Counsel’s proposal that ratepayers fully benefit from significant amounts of Accelerated Deferred Federal Income Tax offset is reasonable given </w:t>
      </w:r>
      <w:r w:rsidR="007721F9" w:rsidRPr="004375B4">
        <w:t xml:space="preserve">the </w:t>
      </w:r>
      <w:r w:rsidR="005C46BD" w:rsidRPr="004375B4">
        <w:t>burden ratepayers bear of paying the return on and return of rate base.</w:t>
      </w:r>
    </w:p>
    <w:p w14:paraId="66B9AAA1" w14:textId="080B1B27" w:rsidR="006D44FB" w:rsidRPr="004375B4" w:rsidRDefault="005C46BD" w:rsidP="00420B00">
      <w:pPr>
        <w:numPr>
          <w:ilvl w:val="0"/>
          <w:numId w:val="1"/>
        </w:numPr>
        <w:tabs>
          <w:tab w:val="left" w:pos="0"/>
        </w:tabs>
        <w:spacing w:after="120" w:line="288" w:lineRule="auto"/>
        <w:ind w:left="720" w:hanging="1440"/>
      </w:pPr>
      <w:r w:rsidRPr="004375B4">
        <w:lastRenderedPageBreak/>
        <w:t>(2</w:t>
      </w:r>
      <w:r w:rsidR="00313E84" w:rsidRPr="004375B4">
        <w:t>5</w:t>
      </w:r>
      <w:r w:rsidRPr="004375B4">
        <w:t>)</w:t>
      </w:r>
      <w:r w:rsidRPr="004375B4">
        <w:tab/>
        <w:t xml:space="preserve">ICNU’s assumptions and methodologies used in reaching its </w:t>
      </w:r>
      <w:r w:rsidR="00BD3EA8" w:rsidRPr="004375B4">
        <w:t xml:space="preserve">proposed </w:t>
      </w:r>
      <w:r w:rsidRPr="004375B4">
        <w:t>corporate jet adjustment are unrealistic and do not consider the full cost of commercial airline travel and the avoided costs associated with use of the corporate aircraft.</w:t>
      </w:r>
    </w:p>
    <w:p w14:paraId="0670C2BB" w14:textId="5A92B8F5" w:rsidR="00501732" w:rsidRPr="004375B4" w:rsidRDefault="006D44FB" w:rsidP="00F22562">
      <w:pPr>
        <w:numPr>
          <w:ilvl w:val="0"/>
          <w:numId w:val="1"/>
        </w:numPr>
        <w:tabs>
          <w:tab w:val="left" w:pos="0"/>
        </w:tabs>
        <w:spacing w:after="120" w:line="288" w:lineRule="auto"/>
        <w:ind w:left="720" w:hanging="1440"/>
      </w:pPr>
      <w:r w:rsidRPr="004375B4">
        <w:t>(2</w:t>
      </w:r>
      <w:r w:rsidR="00313E84" w:rsidRPr="004375B4">
        <w:t>6</w:t>
      </w:r>
      <w:r w:rsidRPr="004375B4">
        <w:t>)</w:t>
      </w:r>
      <w:r w:rsidRPr="004375B4">
        <w:tab/>
        <w:t>We find that Avista’s budgeted 2016 transmission expenses are not known and measurable.</w:t>
      </w:r>
    </w:p>
    <w:p w14:paraId="12EEB47D" w14:textId="4AA92C2F" w:rsidR="00501732" w:rsidRPr="004375B4" w:rsidRDefault="00501732" w:rsidP="00F22562">
      <w:pPr>
        <w:numPr>
          <w:ilvl w:val="0"/>
          <w:numId w:val="1"/>
        </w:numPr>
        <w:tabs>
          <w:tab w:val="left" w:pos="0"/>
        </w:tabs>
        <w:spacing w:after="120" w:line="288" w:lineRule="auto"/>
        <w:ind w:left="720" w:hanging="1440"/>
      </w:pPr>
      <w:r w:rsidRPr="004375B4">
        <w:t>(</w:t>
      </w:r>
      <w:r w:rsidR="007050AA" w:rsidRPr="004375B4">
        <w:t>2</w:t>
      </w:r>
      <w:r w:rsidR="00313E84" w:rsidRPr="004375B4">
        <w:t>7</w:t>
      </w:r>
      <w:r w:rsidRPr="004375B4">
        <w:t>)</w:t>
      </w:r>
      <w:r w:rsidRPr="004375B4">
        <w:tab/>
      </w:r>
      <w:r w:rsidRPr="004375B4">
        <w:rPr>
          <w:color w:val="000000"/>
        </w:rPr>
        <w:t>The</w:t>
      </w:r>
      <w:r w:rsidRPr="004375B4">
        <w:t xml:space="preserve"> Commission’s resolution of the disputed issues in this proceeding, coupled with its approval of the unopposed Settlement, results in our findings that Avista’s electric revenue excess is</w:t>
      </w:r>
      <w:r w:rsidR="00E404CD">
        <w:t xml:space="preserve"> approximately</w:t>
      </w:r>
      <w:r w:rsidRPr="004375B4">
        <w:t xml:space="preserve"> $</w:t>
      </w:r>
      <w:r w:rsidR="00A8434D" w:rsidRPr="004375B4">
        <w:t xml:space="preserve"> </w:t>
      </w:r>
      <w:r w:rsidR="007050AA" w:rsidRPr="004375B4">
        <w:t>8</w:t>
      </w:r>
      <w:r w:rsidR="00E404CD">
        <w:t>.1 million</w:t>
      </w:r>
      <w:r w:rsidR="00A8434D" w:rsidRPr="004375B4">
        <w:t xml:space="preserve"> </w:t>
      </w:r>
      <w:r w:rsidRPr="004375B4">
        <w:t>and its natural gas revenue deficiency is $</w:t>
      </w:r>
      <w:r w:rsidR="00A8434D" w:rsidRPr="004375B4">
        <w:t>10</w:t>
      </w:r>
      <w:r w:rsidR="00E404CD">
        <w:t>.8 million</w:t>
      </w:r>
      <w:r w:rsidRPr="004375B4">
        <w:t xml:space="preserve">, as set forth in detail in </w:t>
      </w:r>
      <w:r w:rsidR="00A8434D" w:rsidRPr="004375B4">
        <w:t>Appendices A1</w:t>
      </w:r>
      <w:r w:rsidR="001317B9" w:rsidRPr="004375B4">
        <w:t>,</w:t>
      </w:r>
      <w:r w:rsidR="00E404CD">
        <w:t xml:space="preserve"> </w:t>
      </w:r>
      <w:r w:rsidR="00A8434D" w:rsidRPr="004375B4">
        <w:t>A2</w:t>
      </w:r>
      <w:r w:rsidR="001317B9" w:rsidRPr="004375B4">
        <w:t>, B1, and B2</w:t>
      </w:r>
      <w:r w:rsidR="00A8434D" w:rsidRPr="004375B4">
        <w:t xml:space="preserve"> following</w:t>
      </w:r>
      <w:r w:rsidRPr="004375B4">
        <w:t xml:space="preserve"> this Order.</w:t>
      </w:r>
    </w:p>
    <w:p w14:paraId="05009759" w14:textId="5FA17464" w:rsidR="00501732" w:rsidRPr="004375B4" w:rsidRDefault="00501732" w:rsidP="00F22562">
      <w:pPr>
        <w:numPr>
          <w:ilvl w:val="0"/>
          <w:numId w:val="1"/>
        </w:numPr>
        <w:tabs>
          <w:tab w:val="num" w:pos="0"/>
        </w:tabs>
        <w:spacing w:after="120" w:line="288" w:lineRule="auto"/>
        <w:ind w:left="720" w:hanging="1440"/>
      </w:pPr>
      <w:r w:rsidRPr="004375B4">
        <w:t>(2</w:t>
      </w:r>
      <w:r w:rsidR="00313E84" w:rsidRPr="004375B4">
        <w:t>8</w:t>
      </w:r>
      <w:r w:rsidRPr="004375B4">
        <w:t>)</w:t>
      </w:r>
      <w:r w:rsidRPr="004375B4">
        <w:tab/>
      </w:r>
      <w:r w:rsidRPr="004375B4">
        <w:rPr>
          <w:color w:val="000000"/>
        </w:rPr>
        <w:t>The</w:t>
      </w:r>
      <w:r w:rsidRPr="004375B4">
        <w:t xml:space="preserve"> rates, terms, and conditions of service that result from this Order are fair, just, reasonable, and sufficient.</w:t>
      </w:r>
    </w:p>
    <w:p w14:paraId="02BAD8AC" w14:textId="4C05505B" w:rsidR="00501732" w:rsidRPr="004375B4" w:rsidRDefault="00501732" w:rsidP="00F22562">
      <w:pPr>
        <w:numPr>
          <w:ilvl w:val="0"/>
          <w:numId w:val="1"/>
        </w:numPr>
        <w:tabs>
          <w:tab w:val="num" w:pos="0"/>
        </w:tabs>
        <w:spacing w:after="120" w:line="288" w:lineRule="auto"/>
        <w:ind w:left="720" w:hanging="1440"/>
      </w:pPr>
      <w:r w:rsidRPr="004375B4">
        <w:t>(</w:t>
      </w:r>
      <w:r w:rsidR="00313E84" w:rsidRPr="004375B4">
        <w:t>29</w:t>
      </w:r>
      <w:r w:rsidRPr="004375B4">
        <w:t>)</w:t>
      </w:r>
      <w:r w:rsidRPr="004375B4">
        <w:tab/>
        <w:t>The rates, terms, and conditions of service that result from this Order are neither unduly preferential nor discriminatory</w:t>
      </w:r>
      <w:r w:rsidR="007050AA" w:rsidRPr="004375B4">
        <w:t>.</w:t>
      </w:r>
    </w:p>
    <w:p w14:paraId="5516FFD2" w14:textId="77777777" w:rsidR="00103CD2" w:rsidRPr="004375B4" w:rsidRDefault="00103CD2" w:rsidP="007448F5">
      <w:pPr>
        <w:pStyle w:val="ListParagraph"/>
        <w:spacing w:line="264" w:lineRule="auto"/>
      </w:pPr>
    </w:p>
    <w:p w14:paraId="6E61041D" w14:textId="77777777" w:rsidR="00AE2522" w:rsidRPr="004375B4" w:rsidRDefault="00AE2522" w:rsidP="007448F5">
      <w:pPr>
        <w:pStyle w:val="Heading1"/>
        <w:spacing w:before="0" w:after="0" w:line="264" w:lineRule="auto"/>
        <w:jc w:val="center"/>
        <w:rPr>
          <w:rFonts w:ascii="Times New Roman" w:hAnsi="Times New Roman" w:cs="Times New Roman"/>
          <w:sz w:val="24"/>
          <w:szCs w:val="24"/>
          <w:u w:val="single"/>
        </w:rPr>
      </w:pPr>
      <w:bookmarkStart w:id="36" w:name="_Toc249252826"/>
      <w:bookmarkStart w:id="37" w:name="_Toc439838973"/>
      <w:r w:rsidRPr="004375B4">
        <w:rPr>
          <w:rFonts w:ascii="Times New Roman" w:hAnsi="Times New Roman" w:cs="Times New Roman"/>
          <w:sz w:val="24"/>
          <w:szCs w:val="24"/>
          <w:u w:val="single"/>
        </w:rPr>
        <w:t>CONCLUSIONS OF LAW</w:t>
      </w:r>
      <w:bookmarkEnd w:id="36"/>
      <w:bookmarkEnd w:id="37"/>
    </w:p>
    <w:p w14:paraId="1AE7C1CD" w14:textId="77777777" w:rsidR="0085495C" w:rsidRPr="004375B4" w:rsidRDefault="0085495C" w:rsidP="0085495C"/>
    <w:p w14:paraId="4802934A" w14:textId="77777777" w:rsidR="00966D6E" w:rsidRPr="004375B4" w:rsidRDefault="00AE2522" w:rsidP="00F22562">
      <w:pPr>
        <w:numPr>
          <w:ilvl w:val="0"/>
          <w:numId w:val="1"/>
        </w:numPr>
        <w:tabs>
          <w:tab w:val="num" w:pos="0"/>
        </w:tabs>
        <w:spacing w:after="120" w:line="288" w:lineRule="auto"/>
        <w:ind w:left="0" w:hanging="720"/>
      </w:pPr>
      <w:r w:rsidRPr="004375B4">
        <w:rPr>
          <w:color w:val="000000"/>
        </w:rPr>
        <w:t>Having</w:t>
      </w:r>
      <w:r w:rsidRPr="004375B4">
        <w:t xml:space="preserve"> discussed above all matters material to this decision, and having stated</w:t>
      </w:r>
      <w:r w:rsidR="0085495C" w:rsidRPr="004375B4">
        <w:t xml:space="preserve"> the </w:t>
      </w:r>
      <w:r w:rsidRPr="004375B4">
        <w:t>following summary conclusions of law, incorporating by reference pertinent portions of the preceding detailed conclusions:</w:t>
      </w:r>
    </w:p>
    <w:p w14:paraId="25D9521B" w14:textId="57780380" w:rsidR="00F54D59" w:rsidRPr="004375B4" w:rsidRDefault="00F22562" w:rsidP="00F22562">
      <w:pPr>
        <w:numPr>
          <w:ilvl w:val="0"/>
          <w:numId w:val="1"/>
        </w:numPr>
        <w:tabs>
          <w:tab w:val="num" w:pos="0"/>
        </w:tabs>
        <w:spacing w:after="120" w:line="288" w:lineRule="auto"/>
        <w:ind w:left="720" w:hanging="1440"/>
        <w:rPr>
          <w:color w:val="000000"/>
        </w:rPr>
      </w:pPr>
      <w:r w:rsidRPr="004375B4">
        <w:t>(1)</w:t>
      </w:r>
      <w:r w:rsidR="00833962" w:rsidRPr="004375B4">
        <w:tab/>
      </w:r>
      <w:r w:rsidR="00F54D59" w:rsidRPr="004375B4">
        <w:t xml:space="preserve">The Washington Utilities and Transportation Commission has jurisdiction over the </w:t>
      </w:r>
      <w:r w:rsidR="00F54D59" w:rsidRPr="004375B4">
        <w:rPr>
          <w:color w:val="000000"/>
        </w:rPr>
        <w:t>subject</w:t>
      </w:r>
      <w:r w:rsidR="00F54D59" w:rsidRPr="004375B4">
        <w:t xml:space="preserve"> matter of, and parties to, these proceedings.  </w:t>
      </w:r>
    </w:p>
    <w:p w14:paraId="1D2F8F95" w14:textId="0DAB6FC6" w:rsidR="00501732" w:rsidRPr="004375B4" w:rsidRDefault="00F22562" w:rsidP="00F22562">
      <w:pPr>
        <w:numPr>
          <w:ilvl w:val="0"/>
          <w:numId w:val="1"/>
        </w:numPr>
        <w:tabs>
          <w:tab w:val="num" w:pos="0"/>
        </w:tabs>
        <w:spacing w:after="120" w:line="288" w:lineRule="auto"/>
        <w:ind w:left="720" w:hanging="1440"/>
      </w:pPr>
      <w:r w:rsidRPr="004375B4">
        <w:rPr>
          <w:color w:val="000000"/>
        </w:rPr>
        <w:t>(2)</w:t>
      </w:r>
      <w:r w:rsidRPr="004375B4">
        <w:rPr>
          <w:color w:val="000000"/>
        </w:rPr>
        <w:tab/>
      </w:r>
      <w:r w:rsidR="00F54D59" w:rsidRPr="004375B4">
        <w:rPr>
          <w:color w:val="000000"/>
        </w:rPr>
        <w:t>T</w:t>
      </w:r>
      <w:r w:rsidR="00F54D59" w:rsidRPr="004375B4">
        <w:t xml:space="preserve">he rates proposed by tariff revisions filed by Avista on February </w:t>
      </w:r>
      <w:r w:rsidR="000F6E49" w:rsidRPr="004375B4">
        <w:t>9</w:t>
      </w:r>
      <w:r w:rsidR="00F54D59" w:rsidRPr="004375B4">
        <w:t>, 201</w:t>
      </w:r>
      <w:r w:rsidR="000F6E49" w:rsidRPr="004375B4">
        <w:t>5</w:t>
      </w:r>
      <w:r w:rsidR="00F54D59" w:rsidRPr="004375B4">
        <w:t>, and suspended by prior Co</w:t>
      </w:r>
      <w:r w:rsidR="00F54D59" w:rsidRPr="004375B4">
        <w:rPr>
          <w:color w:val="000000"/>
        </w:rPr>
        <w:t>m</w:t>
      </w:r>
      <w:r w:rsidR="00F54D59" w:rsidRPr="004375B4">
        <w:t xml:space="preserve">mission order, were not shown to be fair, just or reasonable and should be rejected.  </w:t>
      </w:r>
      <w:r w:rsidR="00AE2522" w:rsidRPr="004375B4">
        <w:rPr>
          <w:color w:val="000000"/>
        </w:rPr>
        <w:tab/>
      </w:r>
    </w:p>
    <w:p w14:paraId="44A3FC54" w14:textId="77777777" w:rsidR="00F54D59" w:rsidRPr="004375B4" w:rsidRDefault="00501732" w:rsidP="00F22562">
      <w:pPr>
        <w:numPr>
          <w:ilvl w:val="0"/>
          <w:numId w:val="1"/>
        </w:numPr>
        <w:tabs>
          <w:tab w:val="left" w:pos="0"/>
        </w:tabs>
        <w:spacing w:after="120" w:line="288" w:lineRule="auto"/>
        <w:ind w:left="720" w:hanging="1440"/>
      </w:pPr>
      <w:r w:rsidRPr="004375B4">
        <w:t>(3)</w:t>
      </w:r>
      <w:r w:rsidRPr="004375B4">
        <w:tab/>
      </w:r>
      <w:r w:rsidRPr="004375B4">
        <w:rPr>
          <w:color w:val="000000"/>
        </w:rPr>
        <w:t>Avista carried its burden to prove that its</w:t>
      </w:r>
      <w:r w:rsidRPr="004375B4">
        <w:t xml:space="preserve"> existing rates for natural gas service provided in Washington State are insufficient to yield reasonable compensation for the service rendered. Avista failed to meet its burden to prove that its existing rates for electric service in Washington State are insufficient to yield reasonable compensation for the service rendered.</w:t>
      </w:r>
    </w:p>
    <w:p w14:paraId="6213FB01" w14:textId="77777777" w:rsidR="00F54D59" w:rsidRPr="004375B4" w:rsidRDefault="00501732" w:rsidP="00F22562">
      <w:pPr>
        <w:numPr>
          <w:ilvl w:val="0"/>
          <w:numId w:val="1"/>
        </w:numPr>
        <w:tabs>
          <w:tab w:val="left" w:pos="0"/>
          <w:tab w:val="num" w:pos="810"/>
        </w:tabs>
        <w:spacing w:after="120" w:line="288" w:lineRule="auto"/>
        <w:ind w:left="810" w:hanging="1530"/>
      </w:pPr>
      <w:r w:rsidRPr="004375B4">
        <w:t>(4</w:t>
      </w:r>
      <w:r w:rsidR="00F54D59" w:rsidRPr="004375B4">
        <w:t>)</w:t>
      </w:r>
      <w:r w:rsidR="00F54D59" w:rsidRPr="004375B4">
        <w:tab/>
      </w:r>
      <w:r w:rsidR="00F54D59" w:rsidRPr="004375B4">
        <w:rPr>
          <w:color w:val="000000"/>
        </w:rPr>
        <w:t>Avista’s</w:t>
      </w:r>
      <w:r w:rsidR="00F54D59" w:rsidRPr="004375B4">
        <w:t xml:space="preserve"> existing rates for </w:t>
      </w:r>
      <w:r w:rsidR="005C46BD" w:rsidRPr="004375B4">
        <w:t>natural gas</w:t>
      </w:r>
      <w:r w:rsidR="00F54D59" w:rsidRPr="004375B4">
        <w:t xml:space="preserve"> service provided in Washington are insufficient to yield reasonable compensation for the service rendered. </w:t>
      </w:r>
      <w:r w:rsidR="005C46BD" w:rsidRPr="004375B4">
        <w:t>The Company’s existing rates for electric service provided in Washington are</w:t>
      </w:r>
      <w:r w:rsidR="00F54D59" w:rsidRPr="004375B4">
        <w:t xml:space="preserve"> </w:t>
      </w:r>
      <w:r w:rsidRPr="004375B4">
        <w:lastRenderedPageBreak/>
        <w:t>excessive</w:t>
      </w:r>
      <w:r w:rsidR="00F042B5" w:rsidRPr="004375B4">
        <w:t xml:space="preserve"> for the Company to meet its financial needs to cover its expenses and attract capital on reasonable terms and is unreasonable to ratepayers.</w:t>
      </w:r>
    </w:p>
    <w:p w14:paraId="3391430F" w14:textId="77777777" w:rsidR="00F54D59" w:rsidRPr="004375B4" w:rsidRDefault="00501732" w:rsidP="00F22562">
      <w:pPr>
        <w:numPr>
          <w:ilvl w:val="0"/>
          <w:numId w:val="1"/>
        </w:numPr>
        <w:tabs>
          <w:tab w:val="num" w:pos="0"/>
        </w:tabs>
        <w:spacing w:after="120" w:line="288" w:lineRule="auto"/>
        <w:ind w:left="720" w:hanging="1440"/>
      </w:pPr>
      <w:r w:rsidRPr="004375B4">
        <w:t>(5</w:t>
      </w:r>
      <w:r w:rsidR="00F54D59" w:rsidRPr="004375B4">
        <w:t>)</w:t>
      </w:r>
      <w:r w:rsidR="00F54D59" w:rsidRPr="004375B4">
        <w:tab/>
        <w:t xml:space="preserve">Avista requires relief with respect to the rates it charges for natural gas services provided in Washington. </w:t>
      </w:r>
      <w:r w:rsidR="00F042B5" w:rsidRPr="004375B4">
        <w:t>Ratepayers require relief with respect to the rates charged for electric services provided in Washington.</w:t>
      </w:r>
    </w:p>
    <w:p w14:paraId="66C66D4A" w14:textId="77777777" w:rsidR="00501732" w:rsidRPr="004375B4" w:rsidRDefault="00F042B5" w:rsidP="00F22562">
      <w:pPr>
        <w:numPr>
          <w:ilvl w:val="0"/>
          <w:numId w:val="1"/>
        </w:numPr>
        <w:tabs>
          <w:tab w:val="num" w:pos="0"/>
        </w:tabs>
        <w:spacing w:after="120" w:line="288" w:lineRule="auto"/>
        <w:ind w:left="720" w:hanging="1440"/>
      </w:pPr>
      <w:r w:rsidRPr="004375B4">
        <w:t>(6</w:t>
      </w:r>
      <w:r w:rsidR="00F54D59" w:rsidRPr="004375B4">
        <w:t>)</w:t>
      </w:r>
      <w:r w:rsidR="00F54D59" w:rsidRPr="004375B4">
        <w:tab/>
      </w:r>
      <w:r w:rsidR="00501732" w:rsidRPr="004375B4">
        <w:rPr>
          <w:color w:val="000000"/>
        </w:rPr>
        <w:t>The</w:t>
      </w:r>
      <w:r w:rsidR="00501732" w:rsidRPr="004375B4">
        <w:t xml:space="preserve"> Commission must determine the fair, just, reasonable, and sufficient rates to be observed and in force under </w:t>
      </w:r>
      <w:r w:rsidR="008767AF" w:rsidRPr="004375B4">
        <w:t>Avista</w:t>
      </w:r>
      <w:r w:rsidR="00501732" w:rsidRPr="004375B4">
        <w:t xml:space="preserve">’s tariffs that govern its rates, terms, and conditions of service for providing natural gas and electricity to customers in Washington State.  </w:t>
      </w:r>
    </w:p>
    <w:p w14:paraId="655B9DBA" w14:textId="04DFA93B" w:rsidR="00881328" w:rsidRPr="004375B4" w:rsidRDefault="00501732" w:rsidP="00F22562">
      <w:pPr>
        <w:numPr>
          <w:ilvl w:val="0"/>
          <w:numId w:val="1"/>
        </w:numPr>
        <w:tabs>
          <w:tab w:val="num" w:pos="0"/>
        </w:tabs>
        <w:spacing w:after="120" w:line="288" w:lineRule="auto"/>
        <w:ind w:left="720" w:hanging="1440"/>
      </w:pPr>
      <w:r w:rsidRPr="004375B4">
        <w:t>(7)</w:t>
      </w:r>
      <w:r w:rsidRPr="004375B4">
        <w:tab/>
      </w:r>
      <w:r w:rsidR="009400C3" w:rsidRPr="004375B4">
        <w:t>With the exception of the electric rate design provision</w:t>
      </w:r>
      <w:r w:rsidR="00833962" w:rsidRPr="004375B4">
        <w:t>,</w:t>
      </w:r>
      <w:r w:rsidR="009400C3" w:rsidRPr="004375B4">
        <w:t xml:space="preserve"> which is moot, t</w:t>
      </w:r>
      <w:r w:rsidR="00881328" w:rsidRPr="004375B4">
        <w:rPr>
          <w:color w:val="000000"/>
        </w:rPr>
        <w:t>h</w:t>
      </w:r>
      <w:r w:rsidR="00F042B5" w:rsidRPr="004375B4">
        <w:rPr>
          <w:color w:val="000000"/>
        </w:rPr>
        <w:t>e unopposed Settlement filed by Avista, Staff, Public Counsel, ICNU, and NWIGU</w:t>
      </w:r>
      <w:r w:rsidR="00881328" w:rsidRPr="004375B4">
        <w:rPr>
          <w:color w:val="000000"/>
        </w:rPr>
        <w:t xml:space="preserve"> on </w:t>
      </w:r>
      <w:r w:rsidR="00F042B5" w:rsidRPr="004375B4">
        <w:rPr>
          <w:color w:val="000000"/>
        </w:rPr>
        <w:t>May 1, 2015</w:t>
      </w:r>
      <w:r w:rsidR="00881328" w:rsidRPr="004375B4">
        <w:rPr>
          <w:color w:val="000000"/>
        </w:rPr>
        <w:t xml:space="preserve">, </w:t>
      </w:r>
      <w:r w:rsidR="00F042B5" w:rsidRPr="004375B4">
        <w:rPr>
          <w:color w:val="000000"/>
        </w:rPr>
        <w:t xml:space="preserve">is lawful, </w:t>
      </w:r>
      <w:r w:rsidR="002B19BE" w:rsidRPr="004375B4">
        <w:rPr>
          <w:color w:val="000000"/>
        </w:rPr>
        <w:t>supported by an appropriate record, and consistent with the public interest in light of all the information available to the Commission</w:t>
      </w:r>
      <w:r w:rsidR="00881328" w:rsidRPr="004375B4">
        <w:rPr>
          <w:color w:val="000000"/>
        </w:rPr>
        <w:t xml:space="preserve">.  </w:t>
      </w:r>
      <w:r w:rsidR="00FC2A8F" w:rsidRPr="004375B4">
        <w:t xml:space="preserve"> </w:t>
      </w:r>
    </w:p>
    <w:p w14:paraId="06BECD5A" w14:textId="3D860572" w:rsidR="0085495C" w:rsidRPr="004375B4" w:rsidRDefault="00501732" w:rsidP="00F22562">
      <w:pPr>
        <w:numPr>
          <w:ilvl w:val="0"/>
          <w:numId w:val="1"/>
        </w:numPr>
        <w:tabs>
          <w:tab w:val="num" w:pos="0"/>
        </w:tabs>
        <w:spacing w:after="120" w:line="288" w:lineRule="auto"/>
        <w:ind w:left="720" w:hanging="1440"/>
      </w:pPr>
      <w:r w:rsidRPr="004375B4">
        <w:t>(8</w:t>
      </w:r>
      <w:r w:rsidR="00881328" w:rsidRPr="004375B4">
        <w:t>)</w:t>
      </w:r>
      <w:r w:rsidR="00881328" w:rsidRPr="004375B4">
        <w:tab/>
      </w:r>
      <w:r w:rsidR="00833962" w:rsidRPr="004375B4">
        <w:t>A</w:t>
      </w:r>
      <w:r w:rsidR="00420B00" w:rsidRPr="004375B4">
        <w:t xml:space="preserve"> </w:t>
      </w:r>
      <w:r w:rsidR="00EF28EA" w:rsidRPr="004375B4">
        <w:t xml:space="preserve">uniform percentage </w:t>
      </w:r>
      <w:r w:rsidR="00D8082E" w:rsidRPr="004375B4">
        <w:t>allocation</w:t>
      </w:r>
      <w:r w:rsidR="00EF28EA" w:rsidRPr="004375B4">
        <w:t xml:space="preserve"> of the electric </w:t>
      </w:r>
      <w:r w:rsidR="00833962" w:rsidRPr="004375B4">
        <w:t xml:space="preserve">revenue requirement </w:t>
      </w:r>
      <w:r w:rsidR="00EF28EA" w:rsidRPr="004375B4">
        <w:t>decrease across the rate schedule blocks is equitable and reasonable.</w:t>
      </w:r>
    </w:p>
    <w:p w14:paraId="60D8B4EF" w14:textId="77777777" w:rsidR="00EF28EA" w:rsidRPr="004375B4" w:rsidRDefault="0085495C" w:rsidP="00F22562">
      <w:pPr>
        <w:numPr>
          <w:ilvl w:val="0"/>
          <w:numId w:val="1"/>
        </w:numPr>
        <w:tabs>
          <w:tab w:val="num" w:pos="0"/>
        </w:tabs>
        <w:spacing w:after="120" w:line="288" w:lineRule="auto"/>
        <w:ind w:left="720" w:hanging="1440"/>
      </w:pPr>
      <w:r w:rsidRPr="004375B4">
        <w:t>(9)</w:t>
      </w:r>
      <w:r w:rsidRPr="004375B4">
        <w:tab/>
        <w:t>We conclude Staff’s methodology for electric pro forma plant additions is well principled and reasonable, and we also approve Staff’s adjustment updating the test year to reflect the results of the 2014 Commission Basis Report.</w:t>
      </w:r>
      <w:r w:rsidR="00CE3CDC" w:rsidRPr="004375B4">
        <w:t xml:space="preserve"> The Commission accepts Staff’s pro forma plant additions, with the exception of Project Compass which we fully allow in rates without disallowance.</w:t>
      </w:r>
    </w:p>
    <w:p w14:paraId="74A21A59" w14:textId="2FEC5BAD" w:rsidR="00964B9E" w:rsidRPr="004375B4" w:rsidRDefault="0085495C" w:rsidP="00F22562">
      <w:pPr>
        <w:numPr>
          <w:ilvl w:val="0"/>
          <w:numId w:val="1"/>
        </w:numPr>
        <w:tabs>
          <w:tab w:val="num" w:pos="0"/>
        </w:tabs>
        <w:spacing w:after="120" w:line="288" w:lineRule="auto"/>
        <w:ind w:left="720" w:hanging="1440"/>
      </w:pPr>
      <w:r w:rsidRPr="004375B4">
        <w:t>(10</w:t>
      </w:r>
      <w:r w:rsidR="00881328" w:rsidRPr="004375B4">
        <w:t>)</w:t>
      </w:r>
      <w:r w:rsidR="00881328" w:rsidRPr="004375B4">
        <w:tab/>
      </w:r>
      <w:r w:rsidRPr="004375B4">
        <w:t>We accept</w:t>
      </w:r>
      <w:r w:rsidR="00833962" w:rsidRPr="004375B4">
        <w:t xml:space="preserve"> and modify</w:t>
      </w:r>
      <w:r w:rsidRPr="004375B4">
        <w:t xml:space="preserve"> Staff’s attrition methodology for the purposes of setting rates for Avista’s natural gas operations</w:t>
      </w:r>
      <w:r w:rsidR="00CF4076" w:rsidRPr="004375B4">
        <w:t xml:space="preserve"> as reasonable</w:t>
      </w:r>
      <w:r w:rsidR="00F22562" w:rsidRPr="004375B4">
        <w:t>.</w:t>
      </w:r>
    </w:p>
    <w:p w14:paraId="09D9CD42" w14:textId="2C89DEB8" w:rsidR="00964B9E" w:rsidRPr="004375B4" w:rsidRDefault="00964B9E" w:rsidP="00F22562">
      <w:pPr>
        <w:numPr>
          <w:ilvl w:val="0"/>
          <w:numId w:val="1"/>
        </w:numPr>
        <w:tabs>
          <w:tab w:val="num" w:pos="0"/>
        </w:tabs>
        <w:spacing w:after="120" w:line="288" w:lineRule="auto"/>
        <w:ind w:left="720" w:hanging="1440"/>
      </w:pPr>
      <w:r w:rsidRPr="004375B4">
        <w:t>(1</w:t>
      </w:r>
      <w:r w:rsidR="0085495C" w:rsidRPr="004375B4">
        <w:t>1</w:t>
      </w:r>
      <w:r w:rsidRPr="004375B4">
        <w:t>)</w:t>
      </w:r>
      <w:r w:rsidRPr="004375B4">
        <w:tab/>
      </w:r>
      <w:r w:rsidR="00AC5B41" w:rsidRPr="004375B4">
        <w:t>While we approve an attrition adjustment for the</w:t>
      </w:r>
      <w:r w:rsidR="0085495C" w:rsidRPr="004375B4">
        <w:t xml:space="preserve"> Company</w:t>
      </w:r>
      <w:r w:rsidR="00AC5B41" w:rsidRPr="004375B4">
        <w:t xml:space="preserve">’s electric operations, </w:t>
      </w:r>
      <w:r w:rsidR="0029203A">
        <w:t xml:space="preserve">we modify </w:t>
      </w:r>
      <w:r w:rsidR="00CF4076" w:rsidRPr="004375B4">
        <w:t xml:space="preserve">Staff’s attrition methodology </w:t>
      </w:r>
      <w:r w:rsidR="0029203A">
        <w:t>in two respects:</w:t>
      </w:r>
      <w:r w:rsidR="00CF4076" w:rsidRPr="004375B4">
        <w:t xml:space="preserve"> </w:t>
      </w:r>
      <w:r w:rsidR="0029203A">
        <w:t xml:space="preserve">first, </w:t>
      </w:r>
      <w:r w:rsidR="0029203A" w:rsidRPr="009464B2">
        <w:t xml:space="preserve">we </w:t>
      </w:r>
      <w:r w:rsidR="0029203A">
        <w:t>remove</w:t>
      </w:r>
      <w:r w:rsidR="0029203A" w:rsidRPr="009464B2">
        <w:t xml:space="preserve"> any escalation of </w:t>
      </w:r>
      <w:r w:rsidR="0029203A">
        <w:t xml:space="preserve">projected </w:t>
      </w:r>
      <w:r w:rsidR="0029203A" w:rsidRPr="009464B2">
        <w:t xml:space="preserve">capital investments </w:t>
      </w:r>
      <w:r w:rsidR="00862D0B">
        <w:t>for</w:t>
      </w:r>
      <w:r w:rsidR="0029203A" w:rsidRPr="009464B2">
        <w:t xml:space="preserve"> distribution plant</w:t>
      </w:r>
      <w:r w:rsidR="0029203A">
        <w:t>,</w:t>
      </w:r>
      <w:r w:rsidR="0029203A" w:rsidRPr="0029203A">
        <w:t xml:space="preserve"> </w:t>
      </w:r>
      <w:r w:rsidR="0029203A" w:rsidRPr="004375B4">
        <w:t>which have not been demonstrated on the record as necessary or beyond the Company’s control</w:t>
      </w:r>
      <w:r w:rsidR="0029203A">
        <w:t xml:space="preserve">; and second, </w:t>
      </w:r>
      <w:r w:rsidR="0029203A" w:rsidRPr="009464B2">
        <w:t>we modify the electric</w:t>
      </w:r>
      <w:r w:rsidR="00862D0B" w:rsidRPr="00862D0B">
        <w:t xml:space="preserve"> </w:t>
      </w:r>
      <w:r w:rsidR="00862D0B">
        <w:t>operations and maintenance (O&amp;M)</w:t>
      </w:r>
      <w:r w:rsidR="0029203A" w:rsidRPr="009464B2">
        <w:t xml:space="preserve"> escalation rate</w:t>
      </w:r>
      <w:r w:rsidR="0029203A">
        <w:t xml:space="preserve"> and </w:t>
      </w:r>
      <w:r w:rsidR="0029203A" w:rsidRPr="009464B2">
        <w:t xml:space="preserve">escalate </w:t>
      </w:r>
      <w:r w:rsidR="0029203A">
        <w:t>O&amp;M</w:t>
      </w:r>
      <w:r w:rsidR="0029203A" w:rsidRPr="009464B2">
        <w:t xml:space="preserve"> expenses by 3.21 percent, the arithmetic average of a) 1.82 percent, the one year trend in O&amp;M expense from 2013 to 2014 and b) 4.6 percent, the multiyear trend in O&amp;M expense from 2007 to 2014.</w:t>
      </w:r>
    </w:p>
    <w:p w14:paraId="03A41973" w14:textId="4032038C" w:rsidR="00964B9E" w:rsidRPr="004375B4" w:rsidRDefault="00964B9E" w:rsidP="00F22562">
      <w:pPr>
        <w:numPr>
          <w:ilvl w:val="0"/>
          <w:numId w:val="1"/>
        </w:numPr>
        <w:tabs>
          <w:tab w:val="num" w:pos="0"/>
        </w:tabs>
        <w:spacing w:after="120" w:line="288" w:lineRule="auto"/>
        <w:ind w:left="720" w:hanging="1440"/>
      </w:pPr>
      <w:r w:rsidRPr="004375B4">
        <w:t>(1</w:t>
      </w:r>
      <w:r w:rsidR="002E28AE" w:rsidRPr="004375B4">
        <w:t>2</w:t>
      </w:r>
      <w:r w:rsidRPr="004375B4">
        <w:t>)</w:t>
      </w:r>
      <w:r w:rsidRPr="004375B4">
        <w:tab/>
        <w:t xml:space="preserve">We affirm the use of test year actuals for calculation of </w:t>
      </w:r>
      <w:r w:rsidR="00D023C4" w:rsidRPr="004375B4">
        <w:t xml:space="preserve">Thermal </w:t>
      </w:r>
      <w:r w:rsidRPr="004375B4">
        <w:t xml:space="preserve">Generation </w:t>
      </w:r>
      <w:r w:rsidR="00D023C4" w:rsidRPr="004375B4">
        <w:t>Plan</w:t>
      </w:r>
      <w:r w:rsidR="00636D0D" w:rsidRPr="004375B4">
        <w:t>t</w:t>
      </w:r>
      <w:r w:rsidR="00D023C4" w:rsidRPr="004375B4">
        <w:t xml:space="preserve"> </w:t>
      </w:r>
      <w:r w:rsidRPr="004375B4">
        <w:t>Operations and Maintenance expenses</w:t>
      </w:r>
      <w:r w:rsidR="00636D0D" w:rsidRPr="004375B4">
        <w:t xml:space="preserve"> at </w:t>
      </w:r>
      <w:r w:rsidR="00636D0D" w:rsidRPr="004375B4">
        <w:rPr>
          <w:rFonts w:eastAsia="Calibri"/>
        </w:rPr>
        <w:t>Rathdrum and Boulder Park, and all other generation plants except Colstrip and Coyote Springs 2</w:t>
      </w:r>
      <w:r w:rsidRPr="004375B4">
        <w:t xml:space="preserve">. Further, the Commission approves Staff and ICNU’s proposal to normalize major </w:t>
      </w:r>
      <w:r w:rsidRPr="004375B4">
        <w:lastRenderedPageBreak/>
        <w:t>maintenance expenses</w:t>
      </w:r>
      <w:r w:rsidR="00636D0D" w:rsidRPr="004375B4">
        <w:t xml:space="preserve"> at Colstrip and Coyote Springs 2</w:t>
      </w:r>
      <w:r w:rsidRPr="004375B4">
        <w:t xml:space="preserve"> as a reasonable approach. We reject </w:t>
      </w:r>
      <w:r w:rsidR="00833962" w:rsidRPr="004375B4">
        <w:t xml:space="preserve">Avista’s proposal for a </w:t>
      </w:r>
      <w:r w:rsidRPr="004375B4">
        <w:t>management reserve as contrary to the use of an average cost through normalization.</w:t>
      </w:r>
    </w:p>
    <w:p w14:paraId="4970F44B" w14:textId="77777777" w:rsidR="00964B9E" w:rsidRPr="004375B4" w:rsidRDefault="00881328" w:rsidP="00F22562">
      <w:pPr>
        <w:numPr>
          <w:ilvl w:val="0"/>
          <w:numId w:val="1"/>
        </w:numPr>
        <w:tabs>
          <w:tab w:val="num" w:pos="0"/>
        </w:tabs>
        <w:spacing w:after="120" w:line="288" w:lineRule="auto"/>
        <w:ind w:left="720" w:hanging="1440"/>
      </w:pPr>
      <w:r w:rsidRPr="004375B4">
        <w:t>(</w:t>
      </w:r>
      <w:r w:rsidR="00964B9E" w:rsidRPr="004375B4">
        <w:t>1</w:t>
      </w:r>
      <w:r w:rsidR="008D70BC" w:rsidRPr="004375B4">
        <w:t>3</w:t>
      </w:r>
      <w:r w:rsidRPr="004375B4">
        <w:t>)</w:t>
      </w:r>
      <w:r w:rsidRPr="004375B4">
        <w:tab/>
      </w:r>
      <w:r w:rsidR="00964B9E" w:rsidRPr="004375B4">
        <w:t>Staff’s recommended disallowance for the Project Compass extension and bonus plan are denied. We approve Avista’s proposed Project Compass adjustment.</w:t>
      </w:r>
    </w:p>
    <w:p w14:paraId="0D58BED6" w14:textId="6E4A58DD" w:rsidR="005716D1" w:rsidRPr="004375B4" w:rsidRDefault="00964B9E" w:rsidP="00F22562">
      <w:pPr>
        <w:numPr>
          <w:ilvl w:val="0"/>
          <w:numId w:val="1"/>
        </w:numPr>
        <w:tabs>
          <w:tab w:val="num" w:pos="0"/>
        </w:tabs>
        <w:spacing w:after="120" w:line="288" w:lineRule="auto"/>
        <w:ind w:left="720" w:hanging="1440"/>
      </w:pPr>
      <w:r w:rsidRPr="004375B4">
        <w:t>(1</w:t>
      </w:r>
      <w:r w:rsidR="00827233" w:rsidRPr="004375B4">
        <w:t>4</w:t>
      </w:r>
      <w:r w:rsidRPr="004375B4">
        <w:t>)</w:t>
      </w:r>
      <w:r w:rsidRPr="004375B4">
        <w:tab/>
      </w:r>
      <w:r w:rsidR="005716D1" w:rsidRPr="004375B4">
        <w:t>The Commission declines to preapprove the Company’s advanced metering infrastructure</w:t>
      </w:r>
      <w:r w:rsidR="00833962" w:rsidRPr="004375B4">
        <w:t xml:space="preserve"> plan</w:t>
      </w:r>
      <w:r w:rsidR="005716D1" w:rsidRPr="004375B4">
        <w:t xml:space="preserve">. </w:t>
      </w:r>
      <w:r w:rsidR="00760C32" w:rsidRPr="004375B4">
        <w:t>If the Company chooses to acquire new meters, it may file an accounting petition that requests the Commission issue an order determining whether the Company is allowed to defer the undepreciated amounts related to the replaced meters in a regulatory asset account. Our normal practice is to approve such a petition without undue delay, then decide on the recovery of costs in a future proceeding at which the Company must demonstrate that its acquisition was prudent and is used and useful.</w:t>
      </w:r>
      <w:r w:rsidR="005716D1" w:rsidRPr="004375B4">
        <w:t xml:space="preserve">  </w:t>
      </w:r>
    </w:p>
    <w:p w14:paraId="209DC633" w14:textId="2A706C23" w:rsidR="005716D1" w:rsidRPr="004375B4" w:rsidRDefault="005716D1" w:rsidP="00F22562">
      <w:pPr>
        <w:numPr>
          <w:ilvl w:val="0"/>
          <w:numId w:val="1"/>
        </w:numPr>
        <w:tabs>
          <w:tab w:val="num" w:pos="0"/>
        </w:tabs>
        <w:spacing w:after="120" w:line="288" w:lineRule="auto"/>
        <w:ind w:left="720" w:hanging="1440"/>
      </w:pPr>
      <w:r w:rsidRPr="004375B4">
        <w:t>(1</w:t>
      </w:r>
      <w:r w:rsidR="00827233" w:rsidRPr="004375B4">
        <w:t>5</w:t>
      </w:r>
      <w:r w:rsidRPr="004375B4">
        <w:t>)</w:t>
      </w:r>
      <w:r w:rsidRPr="004375B4">
        <w:tab/>
        <w:t>Avista’s adjustments to 2014 non-executive wages and 2015 union wages are approved as known and measurable</w:t>
      </w:r>
      <w:r w:rsidR="00833962" w:rsidRPr="004375B4">
        <w:t xml:space="preserve">, and </w:t>
      </w:r>
      <w:r w:rsidR="00C5092F">
        <w:t xml:space="preserve">we </w:t>
      </w:r>
      <w:r w:rsidR="00833962" w:rsidRPr="004375B4">
        <w:t>deny adjustments for 2015 non-union wages and projected 2016 wages</w:t>
      </w:r>
      <w:r w:rsidR="00C5092F">
        <w:t xml:space="preserve"> as not known and measurable</w:t>
      </w:r>
      <w:r w:rsidRPr="004375B4">
        <w:t xml:space="preserve">.  </w:t>
      </w:r>
    </w:p>
    <w:p w14:paraId="5FC95DAE" w14:textId="77777777" w:rsidR="005716D1" w:rsidRPr="004375B4" w:rsidRDefault="009C04C5" w:rsidP="00F22562">
      <w:pPr>
        <w:numPr>
          <w:ilvl w:val="0"/>
          <w:numId w:val="1"/>
        </w:numPr>
        <w:tabs>
          <w:tab w:val="num" w:pos="0"/>
        </w:tabs>
        <w:spacing w:after="120" w:line="288" w:lineRule="auto"/>
        <w:ind w:left="720" w:hanging="1440"/>
      </w:pPr>
      <w:r w:rsidRPr="004375B4">
        <w:t>(16</w:t>
      </w:r>
      <w:r w:rsidR="005716D1" w:rsidRPr="004375B4">
        <w:t>)</w:t>
      </w:r>
      <w:r w:rsidR="005716D1" w:rsidRPr="004375B4">
        <w:tab/>
        <w:t>We deny inclusion of the executive long term incentive plan as inappropriate.</w:t>
      </w:r>
    </w:p>
    <w:p w14:paraId="4B1BBD2B" w14:textId="77777777" w:rsidR="005716D1" w:rsidRPr="004375B4" w:rsidRDefault="005716D1" w:rsidP="00F22562">
      <w:pPr>
        <w:numPr>
          <w:ilvl w:val="0"/>
          <w:numId w:val="1"/>
        </w:numPr>
        <w:tabs>
          <w:tab w:val="num" w:pos="0"/>
        </w:tabs>
        <w:spacing w:after="120" w:line="288" w:lineRule="auto"/>
        <w:ind w:left="720" w:hanging="1440"/>
      </w:pPr>
      <w:r w:rsidRPr="004375B4">
        <w:t>(1</w:t>
      </w:r>
      <w:r w:rsidR="009C04C5" w:rsidRPr="004375B4">
        <w:t>7</w:t>
      </w:r>
      <w:r w:rsidRPr="004375B4">
        <w:t>)</w:t>
      </w:r>
      <w:r w:rsidRPr="004375B4">
        <w:tab/>
        <w:t>The Commission rejects the Company’s proposal to reallocate 89 percent of executive time as Washington jurisdictional. Similarly, we decline to adopt ICNU’s request to cap all executive compensation at $325,000.</w:t>
      </w:r>
    </w:p>
    <w:p w14:paraId="0234F61D" w14:textId="61702AD2" w:rsidR="00B6780A" w:rsidRPr="004375B4" w:rsidRDefault="005716D1" w:rsidP="00F22562">
      <w:pPr>
        <w:numPr>
          <w:ilvl w:val="0"/>
          <w:numId w:val="1"/>
        </w:numPr>
        <w:tabs>
          <w:tab w:val="num" w:pos="0"/>
        </w:tabs>
        <w:spacing w:after="120" w:line="288" w:lineRule="auto"/>
        <w:ind w:left="720" w:hanging="1440"/>
      </w:pPr>
      <w:r w:rsidRPr="004375B4">
        <w:t>(1</w:t>
      </w:r>
      <w:r w:rsidR="009C04C5" w:rsidRPr="004375B4">
        <w:t>8</w:t>
      </w:r>
      <w:r w:rsidRPr="004375B4">
        <w:t>)</w:t>
      </w:r>
      <w:r w:rsidRPr="004375B4">
        <w:tab/>
      </w:r>
      <w:r w:rsidR="00B6780A" w:rsidRPr="004375B4">
        <w:t xml:space="preserve">We </w:t>
      </w:r>
      <w:r w:rsidR="00A73417" w:rsidRPr="004375B4">
        <w:t>approve</w:t>
      </w:r>
      <w:r w:rsidR="00B6780A" w:rsidRPr="004375B4">
        <w:t xml:space="preserve"> as reasonable </w:t>
      </w:r>
      <w:r w:rsidR="00A73417" w:rsidRPr="004375B4">
        <w:t>a plan consistent with Avista’s five-year plan to increase funding for the Low-Income Rate Assistance Program by seven percent or twice the percentage increase in the residential electric and natural gas base rates.</w:t>
      </w:r>
      <w:r w:rsidR="00B6780A" w:rsidRPr="004375B4">
        <w:t xml:space="preserve"> </w:t>
      </w:r>
      <w:r w:rsidR="00D57B81" w:rsidRPr="004375B4">
        <w:t>In its compliance filing, Avista should revise its tariffs to identify each assistance service available to its customers and their eligibility requirements.</w:t>
      </w:r>
    </w:p>
    <w:p w14:paraId="44D261B2" w14:textId="03D5D953" w:rsidR="00B6780A" w:rsidRPr="004375B4" w:rsidRDefault="00B6780A" w:rsidP="00F22562">
      <w:pPr>
        <w:numPr>
          <w:ilvl w:val="0"/>
          <w:numId w:val="1"/>
        </w:numPr>
        <w:tabs>
          <w:tab w:val="num" w:pos="0"/>
        </w:tabs>
        <w:spacing w:after="120" w:line="288" w:lineRule="auto"/>
        <w:ind w:left="720" w:hanging="1440"/>
      </w:pPr>
      <w:r w:rsidRPr="004375B4">
        <w:t>(1</w:t>
      </w:r>
      <w:r w:rsidR="00CE3CDC" w:rsidRPr="004375B4">
        <w:t>9</w:t>
      </w:r>
      <w:r w:rsidRPr="004375B4">
        <w:t>)</w:t>
      </w:r>
      <w:r w:rsidRPr="004375B4">
        <w:tab/>
        <w:t xml:space="preserve">The Commission rejects the Company’s </w:t>
      </w:r>
      <w:r w:rsidR="00BD3EA8" w:rsidRPr="004375B4">
        <w:t>2</w:t>
      </w:r>
      <w:r w:rsidRPr="004375B4">
        <w:t xml:space="preserve"> percent property tax escalation factor and reaffirm our preference for known and measurable values when pro forma adjustments. As a result, we use plant values through December 31, 2014</w:t>
      </w:r>
      <w:r w:rsidR="00C5092F">
        <w:t>,</w:t>
      </w:r>
      <w:r w:rsidRPr="004375B4">
        <w:t xml:space="preserve"> and anticipated property tax levies for 2015.</w:t>
      </w:r>
    </w:p>
    <w:p w14:paraId="55FAB51E" w14:textId="77777777" w:rsidR="00B6780A" w:rsidRDefault="00CE3CDC" w:rsidP="00F22562">
      <w:pPr>
        <w:numPr>
          <w:ilvl w:val="0"/>
          <w:numId w:val="1"/>
        </w:numPr>
        <w:tabs>
          <w:tab w:val="num" w:pos="0"/>
        </w:tabs>
        <w:spacing w:after="120" w:line="288" w:lineRule="auto"/>
        <w:ind w:left="720" w:hanging="1440"/>
      </w:pPr>
      <w:r w:rsidRPr="004375B4">
        <w:t>(20</w:t>
      </w:r>
      <w:r w:rsidR="00B6780A" w:rsidRPr="004375B4">
        <w:t>)</w:t>
      </w:r>
      <w:r w:rsidR="00B6780A" w:rsidRPr="004375B4">
        <w:tab/>
        <w:t>We reject Avista’s proposed adjustment to insurance expense which incorporates increases that are not known and measurable.</w:t>
      </w:r>
    </w:p>
    <w:p w14:paraId="1B0A3161" w14:textId="77777777" w:rsidR="003C0488" w:rsidRPr="004375B4" w:rsidRDefault="003C0488" w:rsidP="003C0488">
      <w:pPr>
        <w:spacing w:after="120" w:line="288" w:lineRule="auto"/>
      </w:pPr>
    </w:p>
    <w:p w14:paraId="0E032D5F" w14:textId="77777777" w:rsidR="00730703" w:rsidRPr="004375B4" w:rsidRDefault="00CB2A1D" w:rsidP="00F22562">
      <w:pPr>
        <w:numPr>
          <w:ilvl w:val="0"/>
          <w:numId w:val="1"/>
        </w:numPr>
        <w:tabs>
          <w:tab w:val="num" w:pos="0"/>
        </w:tabs>
        <w:spacing w:after="120" w:line="288" w:lineRule="auto"/>
        <w:ind w:left="720" w:hanging="1440"/>
      </w:pPr>
      <w:r w:rsidRPr="004375B4">
        <w:lastRenderedPageBreak/>
        <w:t>(21)</w:t>
      </w:r>
      <w:r w:rsidRPr="004375B4">
        <w:tab/>
      </w:r>
      <w:r w:rsidR="00730703" w:rsidRPr="004375B4">
        <w:t>The necessary adjustments should be made to both electric and natural gas modified historical results of operations by increasing the December 2014 electric accumulated deferred federal income tax (ADFIT) offset by $3.896 million and revising the December 2014 natural gas ADFIT with a decrease of $3.5 million as both revisions are reasonable and consistent with the Commission’s prior decision in Docket UE-100749.</w:t>
      </w:r>
    </w:p>
    <w:p w14:paraId="2AF05773" w14:textId="0530A9ED" w:rsidR="00730703" w:rsidRPr="004375B4" w:rsidRDefault="00730703" w:rsidP="00F22562">
      <w:pPr>
        <w:numPr>
          <w:ilvl w:val="0"/>
          <w:numId w:val="1"/>
        </w:numPr>
        <w:tabs>
          <w:tab w:val="num" w:pos="0"/>
        </w:tabs>
        <w:spacing w:after="120" w:line="288" w:lineRule="auto"/>
        <w:ind w:left="720" w:hanging="1440"/>
      </w:pPr>
      <w:r w:rsidRPr="004375B4">
        <w:t>(22)</w:t>
      </w:r>
      <w:r w:rsidRPr="004375B4">
        <w:tab/>
        <w:t xml:space="preserve">We reject </w:t>
      </w:r>
      <w:r w:rsidR="00BD3EA8" w:rsidRPr="004375B4">
        <w:t xml:space="preserve">as unsubstantiated </w:t>
      </w:r>
      <w:r w:rsidRPr="004375B4">
        <w:t>ICNU’s proposed adjustment to the Company’s corporate jet</w:t>
      </w:r>
      <w:r w:rsidR="00BD3EA8" w:rsidRPr="004375B4">
        <w:t xml:space="preserve"> expenses</w:t>
      </w:r>
      <w:r w:rsidRPr="004375B4">
        <w:t>.</w:t>
      </w:r>
    </w:p>
    <w:p w14:paraId="6157AA9F" w14:textId="77777777" w:rsidR="006D44FB" w:rsidRPr="004375B4" w:rsidRDefault="006D44FB" w:rsidP="00F22562">
      <w:pPr>
        <w:numPr>
          <w:ilvl w:val="0"/>
          <w:numId w:val="1"/>
        </w:numPr>
        <w:tabs>
          <w:tab w:val="num" w:pos="0"/>
        </w:tabs>
        <w:spacing w:after="120" w:line="288" w:lineRule="auto"/>
        <w:ind w:left="720" w:hanging="1440"/>
      </w:pPr>
      <w:r w:rsidRPr="004375B4">
        <w:t>(23)</w:t>
      </w:r>
      <w:r w:rsidRPr="004375B4">
        <w:tab/>
        <w:t>The Commission adopts Staff’s proposal to base Electric Adjustment 3.01 on historical expenses.</w:t>
      </w:r>
    </w:p>
    <w:p w14:paraId="66F3C7AC" w14:textId="5875258B" w:rsidR="00881328" w:rsidRPr="004375B4" w:rsidRDefault="00730703" w:rsidP="00227194">
      <w:pPr>
        <w:numPr>
          <w:ilvl w:val="0"/>
          <w:numId w:val="1"/>
        </w:numPr>
        <w:tabs>
          <w:tab w:val="num" w:pos="0"/>
        </w:tabs>
        <w:spacing w:after="120" w:line="264" w:lineRule="auto"/>
        <w:ind w:left="720" w:hanging="1440"/>
      </w:pPr>
      <w:r w:rsidRPr="004375B4">
        <w:t>(2</w:t>
      </w:r>
      <w:r w:rsidR="006D44FB" w:rsidRPr="004375B4">
        <w:t>4</w:t>
      </w:r>
      <w:r w:rsidRPr="004375B4">
        <w:t>)</w:t>
      </w:r>
      <w:r w:rsidRPr="004375B4">
        <w:tab/>
      </w:r>
      <w:r w:rsidR="00D91D11" w:rsidRPr="004375B4">
        <w:t>The r</w:t>
      </w:r>
      <w:r w:rsidR="00501732" w:rsidRPr="004375B4">
        <w:t xml:space="preserve">ates, terms, and conditions of service that result </w:t>
      </w:r>
      <w:r w:rsidR="00833962" w:rsidRPr="004375B4">
        <w:t xml:space="preserve">from </w:t>
      </w:r>
      <w:r w:rsidR="00501732" w:rsidRPr="004375B4">
        <w:t xml:space="preserve">adoption of </w:t>
      </w:r>
      <w:r w:rsidR="00D91D11" w:rsidRPr="004375B4">
        <w:t xml:space="preserve">the </w:t>
      </w:r>
      <w:r w:rsidR="00B6780A" w:rsidRPr="004375B4">
        <w:t>Settlement</w:t>
      </w:r>
      <w:r w:rsidR="00501732" w:rsidRPr="004375B4">
        <w:t xml:space="preserve"> as well as the Commission rulings on the above adjustments result in rates that are fair, just, reasonable, and sufficient</w:t>
      </w:r>
      <w:r w:rsidR="00881328" w:rsidRPr="004375B4">
        <w:t>.</w:t>
      </w:r>
    </w:p>
    <w:p w14:paraId="017AA40C" w14:textId="2BA004D6" w:rsidR="00881328" w:rsidRPr="004375B4" w:rsidRDefault="00881328" w:rsidP="00227194">
      <w:pPr>
        <w:numPr>
          <w:ilvl w:val="0"/>
          <w:numId w:val="1"/>
        </w:numPr>
        <w:tabs>
          <w:tab w:val="num" w:pos="0"/>
        </w:tabs>
        <w:spacing w:after="120" w:line="264" w:lineRule="auto"/>
        <w:ind w:left="720" w:hanging="1440"/>
      </w:pPr>
      <w:r w:rsidRPr="004375B4">
        <w:t>(</w:t>
      </w:r>
      <w:r w:rsidR="00D91D11" w:rsidRPr="004375B4">
        <w:t>2</w:t>
      </w:r>
      <w:r w:rsidR="006D44FB" w:rsidRPr="004375B4">
        <w:t>5</w:t>
      </w:r>
      <w:r w:rsidRPr="004375B4">
        <w:t>)</w:t>
      </w:r>
      <w:r w:rsidRPr="004375B4">
        <w:tab/>
      </w:r>
      <w:r w:rsidRPr="004375B4">
        <w:rPr>
          <w:bCs/>
        </w:rPr>
        <w:t>Avista should be required to make such compliance and subsequent filings as are necessary to effectuate the terms of this Order</w:t>
      </w:r>
      <w:r w:rsidRPr="004375B4">
        <w:t>.</w:t>
      </w:r>
      <w:r w:rsidRPr="004375B4">
        <w:rPr>
          <w:i/>
          <w:iCs/>
        </w:rPr>
        <w:t xml:space="preserve">  </w:t>
      </w:r>
    </w:p>
    <w:p w14:paraId="23C9EB86" w14:textId="2FB4CDEB" w:rsidR="00881328" w:rsidRPr="004375B4" w:rsidRDefault="00A8434D" w:rsidP="00227194">
      <w:pPr>
        <w:numPr>
          <w:ilvl w:val="0"/>
          <w:numId w:val="1"/>
        </w:numPr>
        <w:tabs>
          <w:tab w:val="num" w:pos="0"/>
        </w:tabs>
        <w:spacing w:after="120" w:line="264" w:lineRule="auto"/>
        <w:ind w:left="720" w:hanging="1440"/>
      </w:pPr>
      <w:r w:rsidRPr="004375B4">
        <w:t>(2</w:t>
      </w:r>
      <w:r w:rsidR="006D44FB" w:rsidRPr="004375B4">
        <w:t>6</w:t>
      </w:r>
      <w:r w:rsidR="00881328" w:rsidRPr="004375B4">
        <w:t>)</w:t>
      </w:r>
      <w:r w:rsidR="00881328" w:rsidRPr="004375B4">
        <w:tab/>
        <w:t>The Commission Secretary should be authorized to accept by letter, with copies to all parties to this proceeding, filing</w:t>
      </w:r>
      <w:r w:rsidR="00C5092F">
        <w:t>s</w:t>
      </w:r>
      <w:r w:rsidR="00881328" w:rsidRPr="004375B4">
        <w:t xml:space="preserve"> that compl</w:t>
      </w:r>
      <w:r w:rsidR="00C5092F">
        <w:t>y</w:t>
      </w:r>
      <w:r w:rsidR="00881328" w:rsidRPr="004375B4">
        <w:t xml:space="preserve"> with the requirements of this Order.  </w:t>
      </w:r>
    </w:p>
    <w:p w14:paraId="145D455B" w14:textId="3F94CBC8" w:rsidR="00881328" w:rsidRPr="004375B4" w:rsidRDefault="00A8434D" w:rsidP="00F22562">
      <w:pPr>
        <w:numPr>
          <w:ilvl w:val="0"/>
          <w:numId w:val="1"/>
        </w:numPr>
        <w:tabs>
          <w:tab w:val="num" w:pos="0"/>
        </w:tabs>
        <w:spacing w:after="120" w:line="288" w:lineRule="auto"/>
        <w:ind w:left="720" w:hanging="1440"/>
      </w:pPr>
      <w:r w:rsidRPr="004375B4">
        <w:t>(2</w:t>
      </w:r>
      <w:r w:rsidR="006D44FB" w:rsidRPr="004375B4">
        <w:t>7</w:t>
      </w:r>
      <w:r w:rsidR="00881328" w:rsidRPr="004375B4">
        <w:t>)</w:t>
      </w:r>
      <w:r w:rsidR="00881328" w:rsidRPr="004375B4">
        <w:tab/>
        <w:t xml:space="preserve">The Commission should retain jurisdiction over the subject matters and the parties to this proceeding to effectuate the terms of this Order.  </w:t>
      </w:r>
    </w:p>
    <w:p w14:paraId="593A6715" w14:textId="77777777" w:rsidR="007B12D4" w:rsidRPr="004375B4" w:rsidRDefault="007B12D4" w:rsidP="007448F5">
      <w:pPr>
        <w:spacing w:line="264" w:lineRule="auto"/>
        <w:ind w:left="720"/>
      </w:pPr>
    </w:p>
    <w:p w14:paraId="30918538" w14:textId="77777777" w:rsidR="00AE2522" w:rsidRPr="004375B4" w:rsidRDefault="00AE2522" w:rsidP="007448F5">
      <w:pPr>
        <w:pStyle w:val="Heading1"/>
        <w:spacing w:before="0" w:after="0" w:line="264" w:lineRule="auto"/>
        <w:jc w:val="center"/>
        <w:rPr>
          <w:rFonts w:ascii="Times New Roman" w:hAnsi="Times New Roman" w:cs="Times New Roman"/>
          <w:sz w:val="24"/>
          <w:szCs w:val="24"/>
          <w:u w:val="single"/>
        </w:rPr>
      </w:pPr>
      <w:bookmarkStart w:id="38" w:name="_Toc249252827"/>
      <w:bookmarkStart w:id="39" w:name="_Toc439838974"/>
      <w:r w:rsidRPr="004375B4">
        <w:rPr>
          <w:rFonts w:ascii="Times New Roman" w:hAnsi="Times New Roman" w:cs="Times New Roman"/>
          <w:sz w:val="24"/>
          <w:szCs w:val="24"/>
          <w:u w:val="single"/>
        </w:rPr>
        <w:t>ORDER</w:t>
      </w:r>
      <w:bookmarkEnd w:id="38"/>
      <w:bookmarkEnd w:id="39"/>
    </w:p>
    <w:p w14:paraId="59B08118" w14:textId="77777777" w:rsidR="00AE2522" w:rsidRPr="004375B4" w:rsidRDefault="00AE2522" w:rsidP="007448F5">
      <w:pPr>
        <w:spacing w:line="264" w:lineRule="auto"/>
      </w:pPr>
    </w:p>
    <w:p w14:paraId="6355680F" w14:textId="77777777" w:rsidR="00AE2522" w:rsidRPr="004375B4" w:rsidRDefault="00AE2522" w:rsidP="00F22562">
      <w:pPr>
        <w:tabs>
          <w:tab w:val="left" w:pos="720"/>
        </w:tabs>
        <w:spacing w:line="264" w:lineRule="auto"/>
        <w:ind w:hanging="720"/>
        <w:rPr>
          <w:bCs/>
        </w:rPr>
      </w:pPr>
      <w:r w:rsidRPr="004375B4">
        <w:rPr>
          <w:bCs/>
        </w:rPr>
        <w:t>THE COMMISSION ORDERS:</w:t>
      </w:r>
    </w:p>
    <w:p w14:paraId="5E85E854" w14:textId="77777777" w:rsidR="00AE2522" w:rsidRPr="004375B4" w:rsidRDefault="00AE2522" w:rsidP="00F22562">
      <w:pPr>
        <w:tabs>
          <w:tab w:val="left" w:pos="720"/>
        </w:tabs>
        <w:spacing w:line="264" w:lineRule="auto"/>
        <w:ind w:hanging="720"/>
        <w:jc w:val="center"/>
      </w:pPr>
    </w:p>
    <w:p w14:paraId="6A56F3B2" w14:textId="4035B9FB" w:rsidR="00881328" w:rsidRPr="004375B4" w:rsidRDefault="00AE2522" w:rsidP="00F22562">
      <w:pPr>
        <w:numPr>
          <w:ilvl w:val="0"/>
          <w:numId w:val="1"/>
        </w:numPr>
        <w:tabs>
          <w:tab w:val="left" w:pos="0"/>
        </w:tabs>
        <w:spacing w:after="120" w:line="264" w:lineRule="auto"/>
        <w:ind w:left="720" w:hanging="1440"/>
      </w:pPr>
      <w:r w:rsidRPr="004375B4">
        <w:t>(1)</w:t>
      </w:r>
      <w:r w:rsidRPr="004375B4">
        <w:tab/>
      </w:r>
      <w:r w:rsidR="00881328" w:rsidRPr="004375B4">
        <w:rPr>
          <w:rStyle w:val="RCWSLText"/>
          <w:rFonts w:ascii="Times New Roman" w:hAnsi="Times New Roman" w:cs="Times New Roman"/>
        </w:rPr>
        <w:t>T</w:t>
      </w:r>
      <w:r w:rsidR="00881328" w:rsidRPr="004375B4">
        <w:t xml:space="preserve">he proposed tariff revisions </w:t>
      </w:r>
      <w:r w:rsidR="001317B9" w:rsidRPr="004375B4">
        <w:t>Avista Corporation, d</w:t>
      </w:r>
      <w:r w:rsidR="00881328" w:rsidRPr="004375B4">
        <w:t>ba Avista Utilities, filed on February</w:t>
      </w:r>
      <w:r w:rsidR="00D91D11" w:rsidRPr="004375B4">
        <w:t xml:space="preserve"> 9</w:t>
      </w:r>
      <w:r w:rsidR="00881328" w:rsidRPr="004375B4">
        <w:t>, 201</w:t>
      </w:r>
      <w:r w:rsidR="00D91D11" w:rsidRPr="004375B4">
        <w:t>5</w:t>
      </w:r>
      <w:r w:rsidR="00881328" w:rsidRPr="004375B4">
        <w:t>, and suspended by prior Commission order, are rejected.</w:t>
      </w:r>
    </w:p>
    <w:p w14:paraId="569516CC" w14:textId="6BAFF16E" w:rsidR="00881328" w:rsidRPr="004375B4" w:rsidRDefault="00881328" w:rsidP="00F22562">
      <w:pPr>
        <w:numPr>
          <w:ilvl w:val="0"/>
          <w:numId w:val="1"/>
        </w:numPr>
        <w:tabs>
          <w:tab w:val="left" w:pos="0"/>
        </w:tabs>
        <w:spacing w:after="120" w:line="264" w:lineRule="auto"/>
        <w:ind w:left="720" w:hanging="1440"/>
      </w:pPr>
      <w:r w:rsidRPr="004375B4">
        <w:t>(2)</w:t>
      </w:r>
      <w:r w:rsidRPr="004375B4">
        <w:tab/>
        <w:t xml:space="preserve">The Settlement filed by the parties on </w:t>
      </w:r>
      <w:r w:rsidR="00D91D11" w:rsidRPr="004375B4">
        <w:t>May 1, 2015</w:t>
      </w:r>
      <w:r w:rsidRPr="004375B4">
        <w:t>,</w:t>
      </w:r>
      <w:r w:rsidR="00C92299" w:rsidRPr="004375B4">
        <w:t xml:space="preserve"> </w:t>
      </w:r>
      <w:r w:rsidRPr="004375B4">
        <w:t>which is attach</w:t>
      </w:r>
      <w:r w:rsidR="009D309B" w:rsidRPr="004375B4">
        <w:t xml:space="preserve">ed to this Order as Appendix </w:t>
      </w:r>
      <w:r w:rsidR="00AB7E90" w:rsidRPr="004375B4">
        <w:t>C</w:t>
      </w:r>
      <w:r w:rsidR="009D309B" w:rsidRPr="004375B4">
        <w:t xml:space="preserve">, </w:t>
      </w:r>
      <w:r w:rsidRPr="004375B4">
        <w:t>is approved and adopted as being in the public interest.</w:t>
      </w:r>
    </w:p>
    <w:p w14:paraId="6302B6FD" w14:textId="464C8856" w:rsidR="00CC7B60" w:rsidRPr="004375B4" w:rsidRDefault="00881328" w:rsidP="00F22562">
      <w:pPr>
        <w:numPr>
          <w:ilvl w:val="0"/>
          <w:numId w:val="1"/>
        </w:numPr>
        <w:tabs>
          <w:tab w:val="left" w:pos="0"/>
        </w:tabs>
        <w:spacing w:after="120" w:line="288" w:lineRule="auto"/>
        <w:ind w:left="720" w:hanging="1440"/>
      </w:pPr>
      <w:r w:rsidRPr="004375B4">
        <w:t>(3)</w:t>
      </w:r>
      <w:r w:rsidRPr="004375B4">
        <w:tab/>
        <w:t xml:space="preserve">Avista is required to make a compliance filing including such new and revised tariff sheets as are necessary to implement the requirements of this Order. </w:t>
      </w:r>
    </w:p>
    <w:p w14:paraId="112A44F6" w14:textId="36619037" w:rsidR="00881328" w:rsidRPr="004375B4" w:rsidRDefault="00CC7B60" w:rsidP="00F22562">
      <w:pPr>
        <w:numPr>
          <w:ilvl w:val="0"/>
          <w:numId w:val="1"/>
        </w:numPr>
        <w:tabs>
          <w:tab w:val="left" w:pos="0"/>
        </w:tabs>
        <w:spacing w:after="120" w:line="264" w:lineRule="auto"/>
        <w:ind w:left="720" w:hanging="1440"/>
      </w:pPr>
      <w:r w:rsidRPr="004375B4">
        <w:t>(4)</w:t>
      </w:r>
      <w:r w:rsidRPr="004375B4">
        <w:tab/>
      </w:r>
      <w:r w:rsidR="00881328" w:rsidRPr="004375B4">
        <w:t>The Commission Secretary is authorized to accept by letter, with copies to all parties to this proceeding, such filings as Avista makes to comply with the terms of this Order.</w:t>
      </w:r>
    </w:p>
    <w:p w14:paraId="1DA45A93" w14:textId="77777777" w:rsidR="00881328" w:rsidRPr="004375B4" w:rsidRDefault="00881328" w:rsidP="00F22562">
      <w:pPr>
        <w:numPr>
          <w:ilvl w:val="0"/>
          <w:numId w:val="1"/>
        </w:numPr>
        <w:tabs>
          <w:tab w:val="num" w:pos="0"/>
        </w:tabs>
        <w:spacing w:after="120" w:line="288" w:lineRule="auto"/>
        <w:ind w:left="720" w:hanging="1440"/>
      </w:pPr>
      <w:r w:rsidRPr="004375B4">
        <w:lastRenderedPageBreak/>
        <w:t>(</w:t>
      </w:r>
      <w:r w:rsidR="009A1987" w:rsidRPr="004375B4">
        <w:t>5</w:t>
      </w:r>
      <w:r w:rsidRPr="004375B4">
        <w:t>)</w:t>
      </w:r>
      <w:r w:rsidRPr="004375B4">
        <w:tab/>
        <w:t>The Commission retains jurisdiction over the subject matters and parties to this proceeding to effectuate the terms of this Order.</w:t>
      </w:r>
    </w:p>
    <w:p w14:paraId="45337EA3" w14:textId="77777777" w:rsidR="00881328" w:rsidRPr="004375B4" w:rsidRDefault="00881328" w:rsidP="007448F5">
      <w:pPr>
        <w:spacing w:line="264" w:lineRule="auto"/>
        <w:ind w:left="720"/>
      </w:pPr>
    </w:p>
    <w:p w14:paraId="638E06C2" w14:textId="71609801" w:rsidR="00C34B05" w:rsidRPr="004375B4" w:rsidRDefault="00C34B05" w:rsidP="007448F5">
      <w:pPr>
        <w:spacing w:line="264" w:lineRule="auto"/>
      </w:pPr>
      <w:r w:rsidRPr="004375B4">
        <w:t>Dated at Olympia, Washington, and effective</w:t>
      </w:r>
      <w:r w:rsidR="003D42C5" w:rsidRPr="004375B4">
        <w:t xml:space="preserve"> </w:t>
      </w:r>
      <w:r w:rsidR="008571E2" w:rsidRPr="004375B4">
        <w:t xml:space="preserve">January </w:t>
      </w:r>
      <w:r w:rsidR="00C5092F">
        <w:t>6</w:t>
      </w:r>
      <w:r w:rsidR="009A1987" w:rsidRPr="004375B4">
        <w:t>, 201</w:t>
      </w:r>
      <w:r w:rsidR="008571E2" w:rsidRPr="004375B4">
        <w:t>6</w:t>
      </w:r>
      <w:r w:rsidRPr="004375B4">
        <w:t>.</w:t>
      </w:r>
    </w:p>
    <w:p w14:paraId="5AA62E9F" w14:textId="77777777" w:rsidR="00C34B05" w:rsidRPr="004375B4" w:rsidRDefault="00C34B05" w:rsidP="007448F5">
      <w:pPr>
        <w:pStyle w:val="Header"/>
        <w:tabs>
          <w:tab w:val="clear" w:pos="4320"/>
          <w:tab w:val="clear" w:pos="8640"/>
        </w:tabs>
        <w:spacing w:line="264" w:lineRule="auto"/>
      </w:pPr>
    </w:p>
    <w:bookmarkEnd w:id="6"/>
    <w:p w14:paraId="3457640D" w14:textId="77777777" w:rsidR="00D17551" w:rsidRPr="004375B4" w:rsidRDefault="00D17551" w:rsidP="007448F5">
      <w:pPr>
        <w:spacing w:line="264" w:lineRule="auto"/>
        <w:jc w:val="center"/>
      </w:pPr>
      <w:r w:rsidRPr="004375B4">
        <w:t>WASHINGTON UTILITIES AND TRANSPORTATION COMMISSION</w:t>
      </w:r>
    </w:p>
    <w:p w14:paraId="17A61BD8" w14:textId="77777777" w:rsidR="00F00B1C" w:rsidRPr="004375B4" w:rsidRDefault="00F00B1C" w:rsidP="007448F5">
      <w:pPr>
        <w:spacing w:line="264" w:lineRule="auto"/>
      </w:pPr>
    </w:p>
    <w:p w14:paraId="5A86EE21" w14:textId="77777777" w:rsidR="00D17551" w:rsidRPr="004375B4" w:rsidRDefault="00D17551" w:rsidP="007448F5">
      <w:pPr>
        <w:spacing w:line="264" w:lineRule="auto"/>
      </w:pPr>
    </w:p>
    <w:p w14:paraId="056A5ED4" w14:textId="77777777" w:rsidR="00F52154" w:rsidRPr="004375B4" w:rsidRDefault="00F52154" w:rsidP="007448F5">
      <w:pPr>
        <w:spacing w:line="264" w:lineRule="auto"/>
      </w:pPr>
    </w:p>
    <w:p w14:paraId="5CC4A1A3" w14:textId="77777777" w:rsidR="00D17551" w:rsidRPr="004375B4" w:rsidRDefault="00D17551" w:rsidP="007448F5">
      <w:pPr>
        <w:spacing w:line="264" w:lineRule="auto"/>
      </w:pPr>
      <w:r w:rsidRPr="004375B4">
        <w:tab/>
      </w:r>
      <w:r w:rsidRPr="004375B4">
        <w:tab/>
      </w:r>
      <w:r w:rsidRPr="004375B4">
        <w:tab/>
      </w:r>
      <w:r w:rsidRPr="004375B4">
        <w:tab/>
      </w:r>
      <w:r w:rsidRPr="004375B4">
        <w:tab/>
      </w:r>
      <w:r w:rsidR="00881328" w:rsidRPr="004375B4">
        <w:t>DAVID W. DANNER, Chairman</w:t>
      </w:r>
    </w:p>
    <w:p w14:paraId="7E79D403" w14:textId="77777777" w:rsidR="00D17551" w:rsidRPr="004375B4" w:rsidRDefault="00D17551" w:rsidP="007448F5">
      <w:pPr>
        <w:spacing w:line="264" w:lineRule="auto"/>
      </w:pPr>
    </w:p>
    <w:p w14:paraId="22C76337" w14:textId="77777777" w:rsidR="00F00B1C" w:rsidRPr="004375B4" w:rsidRDefault="00F00B1C" w:rsidP="007448F5">
      <w:pPr>
        <w:spacing w:line="264" w:lineRule="auto"/>
      </w:pPr>
    </w:p>
    <w:p w14:paraId="5635ECA7" w14:textId="77777777" w:rsidR="00D17551" w:rsidRPr="004375B4" w:rsidRDefault="00D17551" w:rsidP="007448F5">
      <w:pPr>
        <w:spacing w:line="264" w:lineRule="auto"/>
      </w:pPr>
    </w:p>
    <w:p w14:paraId="6DC49AEE" w14:textId="77777777" w:rsidR="00D17551" w:rsidRPr="004375B4" w:rsidRDefault="00D17551" w:rsidP="007448F5">
      <w:pPr>
        <w:spacing w:line="264" w:lineRule="auto"/>
      </w:pPr>
      <w:r w:rsidRPr="004375B4">
        <w:tab/>
      </w:r>
      <w:r w:rsidRPr="004375B4">
        <w:tab/>
      </w:r>
      <w:r w:rsidRPr="004375B4">
        <w:tab/>
      </w:r>
      <w:r w:rsidRPr="004375B4">
        <w:tab/>
      </w:r>
      <w:r w:rsidRPr="004375B4">
        <w:tab/>
      </w:r>
      <w:r w:rsidR="00881328" w:rsidRPr="004375B4">
        <w:t>PHILIP B. JONES, Commissioner</w:t>
      </w:r>
    </w:p>
    <w:p w14:paraId="2A789B9E" w14:textId="77777777" w:rsidR="00D17551" w:rsidRPr="004375B4" w:rsidRDefault="00D17551" w:rsidP="007448F5">
      <w:pPr>
        <w:spacing w:line="264" w:lineRule="auto"/>
      </w:pPr>
    </w:p>
    <w:p w14:paraId="6FF6B950" w14:textId="77777777" w:rsidR="00F00B1C" w:rsidRPr="004375B4" w:rsidRDefault="00F00B1C" w:rsidP="007448F5">
      <w:pPr>
        <w:spacing w:line="264" w:lineRule="auto"/>
      </w:pPr>
    </w:p>
    <w:p w14:paraId="673025C0" w14:textId="77777777" w:rsidR="00F52154" w:rsidRPr="004375B4" w:rsidRDefault="00F52154" w:rsidP="007448F5">
      <w:pPr>
        <w:spacing w:line="264" w:lineRule="auto"/>
      </w:pPr>
    </w:p>
    <w:p w14:paraId="3D2521F9" w14:textId="77777777" w:rsidR="00D17551" w:rsidRPr="004375B4" w:rsidRDefault="009A1987" w:rsidP="004E5965">
      <w:pPr>
        <w:spacing w:line="264" w:lineRule="auto"/>
        <w:ind w:left="3600"/>
      </w:pPr>
      <w:r w:rsidRPr="004375B4">
        <w:t>ANN E. RENDAHL</w:t>
      </w:r>
      <w:r w:rsidR="00881328" w:rsidRPr="004375B4">
        <w:t xml:space="preserve">, </w:t>
      </w:r>
      <w:r w:rsidR="007448F5" w:rsidRPr="004375B4">
        <w:t>Commissioner</w:t>
      </w:r>
    </w:p>
    <w:p w14:paraId="54952486" w14:textId="77777777" w:rsidR="00D17551" w:rsidRPr="004375B4" w:rsidRDefault="00D17551" w:rsidP="007448F5">
      <w:pPr>
        <w:spacing w:line="264" w:lineRule="auto"/>
      </w:pPr>
      <w:r w:rsidRPr="004375B4">
        <w:tab/>
      </w:r>
      <w:r w:rsidRPr="004375B4">
        <w:tab/>
      </w:r>
      <w:r w:rsidRPr="004375B4">
        <w:tab/>
      </w:r>
      <w:r w:rsidRPr="004375B4">
        <w:tab/>
      </w:r>
      <w:r w:rsidRPr="004375B4">
        <w:tab/>
      </w:r>
      <w:r w:rsidRPr="004375B4">
        <w:tab/>
      </w:r>
    </w:p>
    <w:p w14:paraId="78A70510" w14:textId="77777777" w:rsidR="00D17551" w:rsidRPr="004375B4" w:rsidRDefault="00D17551" w:rsidP="007448F5">
      <w:pPr>
        <w:spacing w:line="264" w:lineRule="auto"/>
      </w:pPr>
    </w:p>
    <w:p w14:paraId="3A7A3598" w14:textId="77777777" w:rsidR="00853A29" w:rsidRDefault="00853A29" w:rsidP="007448F5">
      <w:pPr>
        <w:spacing w:line="264" w:lineRule="auto"/>
      </w:pPr>
    </w:p>
    <w:p w14:paraId="1ECA8F8C" w14:textId="77777777" w:rsidR="007623D2" w:rsidRPr="004375B4" w:rsidRDefault="007623D2" w:rsidP="007448F5">
      <w:pPr>
        <w:spacing w:line="264" w:lineRule="auto"/>
      </w:pPr>
    </w:p>
    <w:p w14:paraId="7D66C894" w14:textId="77777777" w:rsidR="002B79EA" w:rsidRPr="004375B4" w:rsidRDefault="002B79EA" w:rsidP="007448F5">
      <w:pPr>
        <w:pStyle w:val="BodyText"/>
        <w:spacing w:line="264" w:lineRule="auto"/>
        <w:jc w:val="left"/>
        <w:rPr>
          <w:b/>
        </w:rPr>
      </w:pPr>
      <w:r w:rsidRPr="004375B4">
        <w:rPr>
          <w:b/>
        </w:rPr>
        <w:t>NOTICE TO PARTIES:  This is a Commission Final Order.  In addition to judicial review, administrative relief may be available through a petition for reconsideration, filed within 10 days of the service of this order pursuant to RCW 34.05.470 and WAC 480-07-850, or a petition for rehearing pursuant to RCW 80.04.200 and WAC 480-07-870.</w:t>
      </w:r>
    </w:p>
    <w:p w14:paraId="6B29D717" w14:textId="77777777" w:rsidR="001C5489" w:rsidRPr="002431C0" w:rsidRDefault="00966D6E" w:rsidP="009D6042">
      <w:pPr>
        <w:pStyle w:val="Heading1"/>
        <w:spacing w:before="0" w:after="0" w:line="288" w:lineRule="auto"/>
        <w:jc w:val="center"/>
        <w:rPr>
          <w:rFonts w:ascii="Times New Roman" w:hAnsi="Times New Roman" w:cs="Times New Roman"/>
          <w:b w:val="0"/>
          <w:sz w:val="26"/>
          <w:szCs w:val="26"/>
          <w:u w:val="single"/>
        </w:rPr>
      </w:pPr>
      <w:r w:rsidRPr="002431C0">
        <w:rPr>
          <w:rFonts w:ascii="Times New Roman" w:hAnsi="Times New Roman" w:cs="Times New Roman"/>
          <w:b w:val="0"/>
          <w:sz w:val="26"/>
          <w:szCs w:val="26"/>
          <w:u w:val="single"/>
        </w:rPr>
        <w:br w:type="page"/>
      </w:r>
    </w:p>
    <w:p w14:paraId="3F2D7AFA" w14:textId="77777777" w:rsidR="00166E95" w:rsidRPr="002431C0" w:rsidRDefault="00166E95" w:rsidP="009D6042">
      <w:pPr>
        <w:pStyle w:val="Heading1"/>
        <w:spacing w:before="0" w:after="0" w:line="288" w:lineRule="auto"/>
        <w:jc w:val="center"/>
        <w:rPr>
          <w:rFonts w:ascii="Times New Roman" w:hAnsi="Times New Roman" w:cs="Times New Roman"/>
          <w:b w:val="0"/>
          <w:sz w:val="26"/>
          <w:szCs w:val="26"/>
          <w:u w:val="single"/>
        </w:rPr>
      </w:pPr>
      <w:bookmarkStart w:id="40" w:name="_Toc249252828"/>
    </w:p>
    <w:p w14:paraId="4ED398C5" w14:textId="77777777" w:rsidR="00166E95" w:rsidRPr="002431C0" w:rsidRDefault="00166E95" w:rsidP="00166E95">
      <w:pPr>
        <w:keepNext/>
        <w:spacing w:before="240" w:after="60"/>
        <w:ind w:left="360"/>
        <w:jc w:val="center"/>
        <w:outlineLvl w:val="0"/>
        <w:rPr>
          <w:bCs/>
          <w:kern w:val="32"/>
          <w:sz w:val="25"/>
          <w:szCs w:val="25"/>
        </w:rPr>
      </w:pPr>
    </w:p>
    <w:p w14:paraId="26989024" w14:textId="77777777" w:rsidR="00166E95" w:rsidRPr="002431C0" w:rsidRDefault="00166E95" w:rsidP="00166E95">
      <w:pPr>
        <w:keepNext/>
        <w:spacing w:before="240" w:after="60"/>
        <w:ind w:left="360"/>
        <w:jc w:val="center"/>
        <w:outlineLvl w:val="0"/>
        <w:rPr>
          <w:bCs/>
          <w:kern w:val="32"/>
          <w:sz w:val="25"/>
          <w:szCs w:val="25"/>
        </w:rPr>
      </w:pPr>
    </w:p>
    <w:p w14:paraId="45DE6EFF" w14:textId="77777777" w:rsidR="00166E95" w:rsidRPr="002431C0" w:rsidRDefault="00166E95" w:rsidP="00166E95">
      <w:pPr>
        <w:keepNext/>
        <w:spacing w:before="240" w:after="60"/>
        <w:ind w:left="360"/>
        <w:jc w:val="center"/>
        <w:outlineLvl w:val="0"/>
        <w:rPr>
          <w:bCs/>
          <w:kern w:val="32"/>
          <w:sz w:val="25"/>
          <w:szCs w:val="25"/>
        </w:rPr>
      </w:pPr>
    </w:p>
    <w:p w14:paraId="01551624" w14:textId="77777777" w:rsidR="00166E95" w:rsidRPr="002431C0" w:rsidRDefault="00166E95" w:rsidP="00166E95">
      <w:pPr>
        <w:keepNext/>
        <w:spacing w:before="240" w:after="60"/>
        <w:ind w:left="360"/>
        <w:jc w:val="center"/>
        <w:outlineLvl w:val="0"/>
        <w:rPr>
          <w:bCs/>
          <w:kern w:val="32"/>
          <w:sz w:val="25"/>
          <w:szCs w:val="25"/>
        </w:rPr>
      </w:pPr>
    </w:p>
    <w:p w14:paraId="383F0CF7" w14:textId="77777777" w:rsidR="00166E95" w:rsidRPr="002431C0" w:rsidRDefault="00166E95" w:rsidP="00166E95">
      <w:pPr>
        <w:keepNext/>
        <w:spacing w:before="240" w:after="60"/>
        <w:ind w:left="360"/>
        <w:jc w:val="center"/>
        <w:outlineLvl w:val="0"/>
        <w:rPr>
          <w:bCs/>
          <w:kern w:val="32"/>
          <w:sz w:val="25"/>
          <w:szCs w:val="25"/>
        </w:rPr>
      </w:pPr>
    </w:p>
    <w:p w14:paraId="65E127D0" w14:textId="77777777" w:rsidR="00166E95" w:rsidRPr="002431C0" w:rsidRDefault="00166E95" w:rsidP="00166E95">
      <w:pPr>
        <w:keepNext/>
        <w:spacing w:before="240" w:after="60"/>
        <w:ind w:left="360"/>
        <w:jc w:val="center"/>
        <w:outlineLvl w:val="0"/>
        <w:rPr>
          <w:bCs/>
          <w:kern w:val="32"/>
          <w:sz w:val="25"/>
          <w:szCs w:val="25"/>
        </w:rPr>
      </w:pPr>
    </w:p>
    <w:p w14:paraId="09C131D4" w14:textId="77777777" w:rsidR="00166E95" w:rsidRPr="002431C0" w:rsidRDefault="00166E95" w:rsidP="00166E95">
      <w:pPr>
        <w:keepNext/>
        <w:spacing w:before="240" w:after="60"/>
        <w:jc w:val="center"/>
        <w:outlineLvl w:val="0"/>
        <w:rPr>
          <w:rFonts w:cs="Arial"/>
          <w:bCs/>
          <w:kern w:val="32"/>
          <w:sz w:val="25"/>
          <w:szCs w:val="25"/>
        </w:rPr>
      </w:pPr>
      <w:bookmarkStart w:id="41" w:name="_Toc252797506"/>
    </w:p>
    <w:p w14:paraId="53A14EA2" w14:textId="77777777" w:rsidR="00166E95" w:rsidRPr="002431C0" w:rsidRDefault="00166E95" w:rsidP="00166E95">
      <w:pPr>
        <w:keepNext/>
        <w:spacing w:before="240" w:after="60"/>
        <w:jc w:val="center"/>
        <w:outlineLvl w:val="0"/>
        <w:rPr>
          <w:rFonts w:cs="Arial"/>
          <w:bCs/>
          <w:kern w:val="32"/>
          <w:sz w:val="25"/>
          <w:szCs w:val="25"/>
        </w:rPr>
      </w:pPr>
    </w:p>
    <w:p w14:paraId="6E5274AA" w14:textId="77777777" w:rsidR="00166E95" w:rsidRPr="00436CA6" w:rsidRDefault="00166E95" w:rsidP="00A6061E">
      <w:pPr>
        <w:pStyle w:val="Heading1"/>
        <w:jc w:val="center"/>
        <w:rPr>
          <w:rFonts w:ascii="Times New Roman" w:hAnsi="Times New Roman" w:cs="Times New Roman"/>
          <w:sz w:val="25"/>
          <w:szCs w:val="25"/>
        </w:rPr>
      </w:pPr>
      <w:bookmarkStart w:id="42" w:name="_Toc373922818"/>
      <w:bookmarkStart w:id="43" w:name="_Toc439838975"/>
      <w:r w:rsidRPr="00436CA6">
        <w:rPr>
          <w:rFonts w:ascii="Times New Roman" w:hAnsi="Times New Roman" w:cs="Times New Roman"/>
          <w:sz w:val="25"/>
          <w:szCs w:val="25"/>
        </w:rPr>
        <w:t xml:space="preserve">APPENDIX </w:t>
      </w:r>
      <w:bookmarkEnd w:id="41"/>
      <w:r w:rsidRPr="00436CA6">
        <w:rPr>
          <w:rFonts w:ascii="Times New Roman" w:hAnsi="Times New Roman" w:cs="Times New Roman"/>
          <w:sz w:val="25"/>
          <w:szCs w:val="25"/>
        </w:rPr>
        <w:t>A</w:t>
      </w:r>
      <w:bookmarkEnd w:id="42"/>
      <w:bookmarkEnd w:id="43"/>
    </w:p>
    <w:p w14:paraId="6C529976" w14:textId="77777777" w:rsidR="00166E95" w:rsidRPr="00436CA6" w:rsidRDefault="00166E95" w:rsidP="00166E95">
      <w:pPr>
        <w:keepNext/>
        <w:keepLines/>
        <w:jc w:val="center"/>
        <w:rPr>
          <w:b/>
          <w:sz w:val="25"/>
          <w:szCs w:val="25"/>
        </w:rPr>
      </w:pPr>
    </w:p>
    <w:p w14:paraId="37D63FE0" w14:textId="77777777" w:rsidR="00166E95" w:rsidRPr="00436CA6" w:rsidRDefault="00166E95" w:rsidP="00166E95">
      <w:pPr>
        <w:keepNext/>
        <w:keepLines/>
        <w:jc w:val="center"/>
        <w:rPr>
          <w:b/>
          <w:sz w:val="25"/>
          <w:szCs w:val="25"/>
        </w:rPr>
      </w:pPr>
      <w:r w:rsidRPr="00436CA6">
        <w:rPr>
          <w:b/>
          <w:sz w:val="25"/>
          <w:szCs w:val="25"/>
        </w:rPr>
        <w:t>COMMISSION DETERMINATION OF CONTESTED ADJUSTMENTS</w:t>
      </w:r>
    </w:p>
    <w:p w14:paraId="315D3F88" w14:textId="77777777" w:rsidR="00166E95" w:rsidRPr="002431C0" w:rsidRDefault="00166E95" w:rsidP="00166E95">
      <w:pPr>
        <w:keepNext/>
        <w:keepLines/>
        <w:jc w:val="center"/>
        <w:rPr>
          <w:sz w:val="25"/>
          <w:szCs w:val="25"/>
        </w:rPr>
      </w:pPr>
      <w:r w:rsidRPr="002431C0">
        <w:rPr>
          <w:sz w:val="25"/>
          <w:szCs w:val="25"/>
        </w:rPr>
        <w:br w:type="page"/>
      </w:r>
    </w:p>
    <w:p w14:paraId="615AFF00" w14:textId="77777777" w:rsidR="00166E95" w:rsidRPr="002431C0" w:rsidRDefault="00166E95" w:rsidP="00166E95">
      <w:pPr>
        <w:keepNext/>
        <w:keepLines/>
        <w:jc w:val="center"/>
        <w:rPr>
          <w:sz w:val="25"/>
          <w:szCs w:val="25"/>
        </w:rPr>
      </w:pPr>
    </w:p>
    <w:p w14:paraId="6A4AC913" w14:textId="77777777" w:rsidR="00A739E1" w:rsidRPr="00436CA6" w:rsidRDefault="00A739E1" w:rsidP="00A6061E">
      <w:pPr>
        <w:pStyle w:val="Heading1"/>
        <w:spacing w:before="0" w:after="0"/>
        <w:jc w:val="center"/>
        <w:rPr>
          <w:rFonts w:ascii="Times New Roman" w:hAnsi="Times New Roman" w:cs="Times New Roman"/>
          <w:sz w:val="25"/>
          <w:szCs w:val="25"/>
        </w:rPr>
      </w:pPr>
      <w:bookmarkStart w:id="44" w:name="_Toc439838976"/>
      <w:r w:rsidRPr="00436CA6">
        <w:rPr>
          <w:rFonts w:ascii="Times New Roman" w:hAnsi="Times New Roman" w:cs="Times New Roman"/>
          <w:sz w:val="25"/>
          <w:szCs w:val="25"/>
        </w:rPr>
        <w:t>TABLE A1</w:t>
      </w:r>
      <w:bookmarkEnd w:id="44"/>
    </w:p>
    <w:p w14:paraId="5210BFFC" w14:textId="77777777" w:rsidR="00A739E1" w:rsidRPr="00436CA6" w:rsidRDefault="00A739E1" w:rsidP="00A739E1">
      <w:pPr>
        <w:keepNext/>
        <w:keepLines/>
        <w:jc w:val="center"/>
        <w:rPr>
          <w:b/>
          <w:sz w:val="25"/>
          <w:szCs w:val="25"/>
        </w:rPr>
      </w:pPr>
      <w:r w:rsidRPr="00436CA6">
        <w:rPr>
          <w:b/>
          <w:sz w:val="25"/>
          <w:szCs w:val="25"/>
        </w:rPr>
        <w:t xml:space="preserve">Electric - Contested Adjustments </w:t>
      </w:r>
    </w:p>
    <w:tbl>
      <w:tblPr>
        <w:tblpPr w:leftFromText="180" w:rightFromText="180" w:vertAnchor="text" w:horzAnchor="margin" w:tblpXSpec="center" w:tblpY="407"/>
        <w:tblW w:w="105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
        <w:gridCol w:w="5580"/>
        <w:gridCol w:w="1168"/>
        <w:gridCol w:w="1160"/>
        <w:gridCol w:w="1584"/>
      </w:tblGrid>
      <w:tr w:rsidR="00A739E1" w:rsidRPr="002431C0" w14:paraId="055FEACB" w14:textId="77777777" w:rsidTr="0071296E">
        <w:trPr>
          <w:trHeight w:val="255"/>
        </w:trPr>
        <w:tc>
          <w:tcPr>
            <w:tcW w:w="1098" w:type="dxa"/>
            <w:tcBorders>
              <w:top w:val="thinThickSmallGap" w:sz="24" w:space="0" w:color="auto"/>
              <w:left w:val="thinThickSmallGap" w:sz="24" w:space="0" w:color="auto"/>
              <w:bottom w:val="double" w:sz="4" w:space="0" w:color="auto"/>
              <w:right w:val="single" w:sz="4" w:space="0" w:color="auto"/>
            </w:tcBorders>
            <w:noWrap/>
            <w:vAlign w:val="bottom"/>
            <w:hideMark/>
          </w:tcPr>
          <w:p w14:paraId="67A1F778" w14:textId="77777777" w:rsidR="00A739E1" w:rsidRPr="002431C0" w:rsidRDefault="00A739E1" w:rsidP="0071296E">
            <w:pPr>
              <w:jc w:val="center"/>
              <w:rPr>
                <w:bCs/>
                <w:sz w:val="20"/>
                <w:szCs w:val="20"/>
              </w:rPr>
            </w:pPr>
            <w:r w:rsidRPr="002431C0">
              <w:rPr>
                <w:sz w:val="20"/>
                <w:szCs w:val="20"/>
              </w:rPr>
              <w:t>Adj. No.</w:t>
            </w:r>
          </w:p>
        </w:tc>
        <w:tc>
          <w:tcPr>
            <w:tcW w:w="5580" w:type="dxa"/>
            <w:tcBorders>
              <w:top w:val="thinThickSmallGap" w:sz="24" w:space="0" w:color="auto"/>
              <w:left w:val="single" w:sz="4" w:space="0" w:color="auto"/>
              <w:bottom w:val="double" w:sz="4" w:space="0" w:color="auto"/>
              <w:right w:val="single" w:sz="4" w:space="0" w:color="auto"/>
            </w:tcBorders>
            <w:noWrap/>
            <w:vAlign w:val="bottom"/>
            <w:hideMark/>
          </w:tcPr>
          <w:p w14:paraId="4B9F9707" w14:textId="77777777" w:rsidR="00A739E1" w:rsidRPr="002431C0" w:rsidRDefault="00A739E1" w:rsidP="0071296E">
            <w:pPr>
              <w:jc w:val="center"/>
              <w:rPr>
                <w:bCs/>
                <w:sz w:val="20"/>
                <w:szCs w:val="20"/>
              </w:rPr>
            </w:pPr>
            <w:r w:rsidRPr="002431C0">
              <w:rPr>
                <w:bCs/>
                <w:sz w:val="20"/>
                <w:szCs w:val="20"/>
              </w:rPr>
              <w:t>Contested</w:t>
            </w:r>
            <w:r w:rsidRPr="002431C0">
              <w:rPr>
                <w:sz w:val="25"/>
                <w:szCs w:val="25"/>
              </w:rPr>
              <w:t xml:space="preserve"> </w:t>
            </w:r>
            <w:r w:rsidRPr="002431C0">
              <w:rPr>
                <w:bCs/>
                <w:sz w:val="20"/>
                <w:szCs w:val="20"/>
              </w:rPr>
              <w:t>Adjustment Description</w:t>
            </w:r>
          </w:p>
        </w:tc>
        <w:tc>
          <w:tcPr>
            <w:tcW w:w="1168" w:type="dxa"/>
            <w:tcBorders>
              <w:top w:val="thinThickSmallGap" w:sz="24" w:space="0" w:color="auto"/>
              <w:left w:val="single" w:sz="4" w:space="0" w:color="auto"/>
              <w:bottom w:val="double" w:sz="4" w:space="0" w:color="auto"/>
              <w:right w:val="single" w:sz="4" w:space="0" w:color="auto"/>
            </w:tcBorders>
            <w:vAlign w:val="bottom"/>
            <w:hideMark/>
          </w:tcPr>
          <w:p w14:paraId="4471B89E" w14:textId="77777777" w:rsidR="00A739E1" w:rsidRPr="002431C0" w:rsidRDefault="00A739E1" w:rsidP="0071296E">
            <w:pPr>
              <w:jc w:val="center"/>
              <w:rPr>
                <w:sz w:val="20"/>
                <w:szCs w:val="20"/>
              </w:rPr>
            </w:pPr>
            <w:r w:rsidRPr="002431C0">
              <w:rPr>
                <w:sz w:val="20"/>
                <w:szCs w:val="20"/>
              </w:rPr>
              <w:t>Net Operating Income</w:t>
            </w:r>
          </w:p>
        </w:tc>
        <w:tc>
          <w:tcPr>
            <w:tcW w:w="1160" w:type="dxa"/>
            <w:tcBorders>
              <w:top w:val="thinThickSmallGap" w:sz="24" w:space="0" w:color="auto"/>
              <w:left w:val="single" w:sz="4" w:space="0" w:color="auto"/>
              <w:bottom w:val="double" w:sz="4" w:space="0" w:color="auto"/>
              <w:right w:val="single" w:sz="4" w:space="0" w:color="auto"/>
            </w:tcBorders>
            <w:vAlign w:val="bottom"/>
            <w:hideMark/>
          </w:tcPr>
          <w:p w14:paraId="59C44D67" w14:textId="77777777" w:rsidR="00A739E1" w:rsidRPr="002431C0" w:rsidRDefault="00A739E1" w:rsidP="0071296E">
            <w:pPr>
              <w:jc w:val="center"/>
              <w:rPr>
                <w:sz w:val="20"/>
                <w:szCs w:val="20"/>
              </w:rPr>
            </w:pPr>
            <w:r w:rsidRPr="002431C0">
              <w:rPr>
                <w:sz w:val="20"/>
                <w:szCs w:val="20"/>
              </w:rPr>
              <w:t>Rate Base</w:t>
            </w:r>
          </w:p>
        </w:tc>
        <w:tc>
          <w:tcPr>
            <w:tcW w:w="1584" w:type="dxa"/>
            <w:tcBorders>
              <w:top w:val="thinThickSmallGap" w:sz="24" w:space="0" w:color="auto"/>
              <w:left w:val="single" w:sz="4" w:space="0" w:color="auto"/>
              <w:bottom w:val="double" w:sz="4" w:space="0" w:color="auto"/>
              <w:right w:val="thickThinSmallGap" w:sz="24" w:space="0" w:color="auto"/>
            </w:tcBorders>
            <w:vAlign w:val="bottom"/>
            <w:hideMark/>
          </w:tcPr>
          <w:p w14:paraId="5ADA579C" w14:textId="77777777" w:rsidR="00A739E1" w:rsidRPr="002431C0" w:rsidRDefault="00A739E1" w:rsidP="0071296E">
            <w:pPr>
              <w:jc w:val="center"/>
              <w:rPr>
                <w:sz w:val="20"/>
                <w:szCs w:val="20"/>
              </w:rPr>
            </w:pPr>
            <w:r w:rsidRPr="002431C0">
              <w:rPr>
                <w:sz w:val="20"/>
                <w:szCs w:val="20"/>
              </w:rPr>
              <w:t>Revenue Requirement</w:t>
            </w:r>
          </w:p>
        </w:tc>
      </w:tr>
      <w:tr w:rsidR="00A739E1" w:rsidRPr="002431C0" w14:paraId="26C84072" w14:textId="77777777" w:rsidTr="0071296E">
        <w:trPr>
          <w:trHeight w:val="255"/>
        </w:trPr>
        <w:tc>
          <w:tcPr>
            <w:tcW w:w="1098" w:type="dxa"/>
            <w:tcBorders>
              <w:top w:val="double" w:sz="4" w:space="0" w:color="auto"/>
              <w:left w:val="thinThickSmallGap" w:sz="24" w:space="0" w:color="auto"/>
              <w:bottom w:val="single" w:sz="18" w:space="0" w:color="auto"/>
              <w:right w:val="single" w:sz="4" w:space="0" w:color="auto"/>
            </w:tcBorders>
            <w:shd w:val="clear" w:color="auto" w:fill="auto"/>
            <w:noWrap/>
            <w:vAlign w:val="bottom"/>
            <w:hideMark/>
          </w:tcPr>
          <w:p w14:paraId="4BBF2F88" w14:textId="77777777" w:rsidR="00A739E1" w:rsidRPr="002431C0" w:rsidRDefault="00A739E1" w:rsidP="0071296E">
            <w:pPr>
              <w:rPr>
                <w:sz w:val="20"/>
                <w:szCs w:val="20"/>
              </w:rPr>
            </w:pPr>
          </w:p>
        </w:tc>
        <w:tc>
          <w:tcPr>
            <w:tcW w:w="5580" w:type="dxa"/>
            <w:tcBorders>
              <w:top w:val="double" w:sz="4" w:space="0" w:color="auto"/>
              <w:left w:val="single" w:sz="4" w:space="0" w:color="auto"/>
              <w:bottom w:val="single" w:sz="18" w:space="0" w:color="auto"/>
              <w:right w:val="single" w:sz="4" w:space="0" w:color="auto"/>
            </w:tcBorders>
            <w:noWrap/>
            <w:vAlign w:val="bottom"/>
          </w:tcPr>
          <w:p w14:paraId="008F60AF" w14:textId="77777777" w:rsidR="00A739E1" w:rsidRPr="002431C0" w:rsidRDefault="00A739E1" w:rsidP="0071296E">
            <w:pPr>
              <w:jc w:val="center"/>
              <w:rPr>
                <w:sz w:val="20"/>
                <w:szCs w:val="20"/>
              </w:rPr>
            </w:pPr>
          </w:p>
        </w:tc>
        <w:tc>
          <w:tcPr>
            <w:tcW w:w="3912" w:type="dxa"/>
            <w:gridSpan w:val="3"/>
            <w:tcBorders>
              <w:top w:val="double" w:sz="4" w:space="0" w:color="auto"/>
              <w:left w:val="single" w:sz="4" w:space="0" w:color="auto"/>
              <w:bottom w:val="single" w:sz="18" w:space="0" w:color="auto"/>
              <w:right w:val="thickThinSmallGap" w:sz="24" w:space="0" w:color="auto"/>
            </w:tcBorders>
            <w:vAlign w:val="bottom"/>
          </w:tcPr>
          <w:p w14:paraId="177CB8BF" w14:textId="77777777" w:rsidR="00A739E1" w:rsidRPr="002431C0" w:rsidRDefault="00A739E1" w:rsidP="0071296E">
            <w:pPr>
              <w:jc w:val="center"/>
              <w:rPr>
                <w:sz w:val="20"/>
                <w:szCs w:val="20"/>
              </w:rPr>
            </w:pPr>
            <w:r w:rsidRPr="002431C0">
              <w:rPr>
                <w:sz w:val="16"/>
                <w:szCs w:val="20"/>
              </w:rPr>
              <w:t>(</w:t>
            </w:r>
            <w:r w:rsidRPr="002431C0">
              <w:rPr>
                <w:i/>
                <w:sz w:val="16"/>
                <w:szCs w:val="20"/>
              </w:rPr>
              <w:t>000’s of Dollars</w:t>
            </w:r>
            <w:r w:rsidRPr="002431C0">
              <w:rPr>
                <w:sz w:val="16"/>
                <w:szCs w:val="20"/>
              </w:rPr>
              <w:t>)</w:t>
            </w:r>
          </w:p>
        </w:tc>
      </w:tr>
      <w:tr w:rsidR="00A739E1" w:rsidRPr="002431C0" w14:paraId="0CE8D485" w14:textId="77777777" w:rsidTr="0071296E">
        <w:trPr>
          <w:trHeight w:val="255"/>
        </w:trPr>
        <w:tc>
          <w:tcPr>
            <w:tcW w:w="1098" w:type="dxa"/>
            <w:tcBorders>
              <w:top w:val="single" w:sz="4" w:space="0" w:color="auto"/>
              <w:left w:val="thinThickSmallGap" w:sz="24" w:space="0" w:color="auto"/>
              <w:bottom w:val="single" w:sz="4" w:space="0" w:color="auto"/>
              <w:right w:val="single" w:sz="4" w:space="0" w:color="auto"/>
            </w:tcBorders>
            <w:shd w:val="clear" w:color="auto" w:fill="auto"/>
            <w:noWrap/>
            <w:vAlign w:val="bottom"/>
          </w:tcPr>
          <w:p w14:paraId="6B5D1836" w14:textId="77777777" w:rsidR="00A739E1" w:rsidRPr="002431C0" w:rsidRDefault="00A739E1" w:rsidP="0071296E">
            <w:pPr>
              <w:rPr>
                <w:bCs/>
                <w:sz w:val="20"/>
                <w:szCs w:val="20"/>
              </w:rPr>
            </w:pPr>
            <w:r w:rsidRPr="002431C0">
              <w:rPr>
                <w:bCs/>
                <w:sz w:val="20"/>
                <w:szCs w:val="20"/>
              </w:rPr>
              <w:t>2.12</w:t>
            </w:r>
          </w:p>
        </w:tc>
        <w:tc>
          <w:tcPr>
            <w:tcW w:w="5580" w:type="dxa"/>
            <w:tcBorders>
              <w:top w:val="single" w:sz="4" w:space="0" w:color="auto"/>
              <w:left w:val="nil"/>
              <w:bottom w:val="single" w:sz="4" w:space="0" w:color="auto"/>
              <w:right w:val="single" w:sz="4" w:space="0" w:color="auto"/>
            </w:tcBorders>
            <w:shd w:val="clear" w:color="auto" w:fill="auto"/>
            <w:noWrap/>
            <w:vAlign w:val="bottom"/>
          </w:tcPr>
          <w:p w14:paraId="6D76BA0D" w14:textId="77777777" w:rsidR="00A739E1" w:rsidRPr="002431C0" w:rsidRDefault="00A739E1" w:rsidP="0071296E">
            <w:pPr>
              <w:rPr>
                <w:bCs/>
                <w:sz w:val="20"/>
                <w:szCs w:val="20"/>
              </w:rPr>
            </w:pPr>
            <w:r w:rsidRPr="002431C0">
              <w:rPr>
                <w:bCs/>
                <w:sz w:val="20"/>
                <w:szCs w:val="20"/>
              </w:rPr>
              <w:t>Director fees &amp; Misc. Restating Expenses</w:t>
            </w:r>
          </w:p>
        </w:tc>
        <w:tc>
          <w:tcPr>
            <w:tcW w:w="1168" w:type="dxa"/>
            <w:tcBorders>
              <w:top w:val="single" w:sz="4" w:space="0" w:color="auto"/>
              <w:left w:val="nil"/>
              <w:bottom w:val="single" w:sz="4" w:space="0" w:color="auto"/>
              <w:right w:val="nil"/>
            </w:tcBorders>
            <w:shd w:val="clear" w:color="auto" w:fill="auto"/>
            <w:vAlign w:val="bottom"/>
          </w:tcPr>
          <w:p w14:paraId="7ECC72A4" w14:textId="77777777" w:rsidR="00A739E1" w:rsidRPr="002431C0" w:rsidRDefault="00A739E1" w:rsidP="0071296E">
            <w:pPr>
              <w:jc w:val="right"/>
              <w:rPr>
                <w:bCs/>
                <w:sz w:val="20"/>
                <w:szCs w:val="20"/>
              </w:rPr>
            </w:pPr>
            <w:r w:rsidRPr="002431C0">
              <w:rPr>
                <w:bCs/>
                <w:sz w:val="20"/>
                <w:szCs w:val="20"/>
              </w:rPr>
              <w:t>26</w:t>
            </w:r>
          </w:p>
        </w:tc>
        <w:tc>
          <w:tcPr>
            <w:tcW w:w="1160" w:type="dxa"/>
            <w:tcBorders>
              <w:top w:val="single" w:sz="8" w:space="0" w:color="auto"/>
              <w:left w:val="single" w:sz="8" w:space="0" w:color="auto"/>
              <w:bottom w:val="single" w:sz="4" w:space="0" w:color="auto"/>
              <w:right w:val="single" w:sz="4" w:space="0" w:color="auto"/>
            </w:tcBorders>
            <w:shd w:val="clear" w:color="auto" w:fill="auto"/>
            <w:vAlign w:val="bottom"/>
          </w:tcPr>
          <w:p w14:paraId="0456E967" w14:textId="77777777" w:rsidR="00A739E1" w:rsidRPr="002431C0" w:rsidRDefault="00A739E1" w:rsidP="0071296E">
            <w:pPr>
              <w:jc w:val="right"/>
              <w:rPr>
                <w:bCs/>
                <w:sz w:val="20"/>
                <w:szCs w:val="20"/>
              </w:rPr>
            </w:pPr>
            <w:r w:rsidRPr="002431C0">
              <w:rPr>
                <w:bCs/>
                <w:sz w:val="20"/>
                <w:szCs w:val="20"/>
              </w:rPr>
              <w:t>-</w:t>
            </w:r>
          </w:p>
        </w:tc>
        <w:tc>
          <w:tcPr>
            <w:tcW w:w="1584" w:type="dxa"/>
            <w:tcBorders>
              <w:top w:val="single" w:sz="8" w:space="0" w:color="auto"/>
              <w:left w:val="nil"/>
              <w:bottom w:val="single" w:sz="4" w:space="0" w:color="auto"/>
              <w:right w:val="thinThickSmallGap" w:sz="24" w:space="0" w:color="auto"/>
            </w:tcBorders>
            <w:shd w:val="clear" w:color="auto" w:fill="auto"/>
            <w:noWrap/>
            <w:vAlign w:val="bottom"/>
          </w:tcPr>
          <w:p w14:paraId="1544D695" w14:textId="77777777" w:rsidR="00A739E1" w:rsidRPr="002431C0" w:rsidRDefault="00A739E1" w:rsidP="0071296E">
            <w:pPr>
              <w:jc w:val="right"/>
              <w:rPr>
                <w:bCs/>
                <w:sz w:val="20"/>
                <w:szCs w:val="20"/>
              </w:rPr>
            </w:pPr>
            <w:r w:rsidRPr="002431C0">
              <w:rPr>
                <w:bCs/>
                <w:sz w:val="20"/>
                <w:szCs w:val="20"/>
              </w:rPr>
              <w:t>(42)</w:t>
            </w:r>
          </w:p>
        </w:tc>
      </w:tr>
      <w:tr w:rsidR="00A739E1" w:rsidRPr="002431C0" w14:paraId="6B7DDF45" w14:textId="77777777" w:rsidTr="0071296E">
        <w:trPr>
          <w:trHeight w:val="255"/>
        </w:trPr>
        <w:tc>
          <w:tcPr>
            <w:tcW w:w="1098" w:type="dxa"/>
            <w:tcBorders>
              <w:top w:val="nil"/>
              <w:left w:val="thinThickSmallGap" w:sz="24" w:space="0" w:color="auto"/>
              <w:bottom w:val="single" w:sz="4" w:space="0" w:color="auto"/>
              <w:right w:val="single" w:sz="4" w:space="0" w:color="auto"/>
            </w:tcBorders>
            <w:shd w:val="clear" w:color="auto" w:fill="auto"/>
            <w:noWrap/>
            <w:vAlign w:val="bottom"/>
          </w:tcPr>
          <w:p w14:paraId="5B2DA33E" w14:textId="77777777" w:rsidR="00A739E1" w:rsidRPr="002431C0" w:rsidRDefault="00A739E1" w:rsidP="0071296E">
            <w:pPr>
              <w:rPr>
                <w:bCs/>
                <w:sz w:val="20"/>
                <w:szCs w:val="20"/>
              </w:rPr>
            </w:pPr>
            <w:r w:rsidRPr="002431C0">
              <w:rPr>
                <w:bCs/>
                <w:sz w:val="20"/>
                <w:szCs w:val="20"/>
              </w:rPr>
              <w:t>ICNU-1</w:t>
            </w:r>
          </w:p>
        </w:tc>
        <w:tc>
          <w:tcPr>
            <w:tcW w:w="5580" w:type="dxa"/>
            <w:tcBorders>
              <w:top w:val="nil"/>
              <w:left w:val="nil"/>
              <w:bottom w:val="single" w:sz="4" w:space="0" w:color="auto"/>
              <w:right w:val="single" w:sz="4" w:space="0" w:color="auto"/>
            </w:tcBorders>
            <w:shd w:val="clear" w:color="auto" w:fill="auto"/>
            <w:noWrap/>
            <w:vAlign w:val="bottom"/>
          </w:tcPr>
          <w:p w14:paraId="00DC72D2" w14:textId="77777777" w:rsidR="00A739E1" w:rsidRPr="002431C0" w:rsidRDefault="00A739E1" w:rsidP="0071296E">
            <w:pPr>
              <w:rPr>
                <w:bCs/>
                <w:sz w:val="20"/>
                <w:szCs w:val="20"/>
              </w:rPr>
            </w:pPr>
            <w:r w:rsidRPr="002431C0">
              <w:rPr>
                <w:bCs/>
                <w:sz w:val="20"/>
                <w:szCs w:val="20"/>
              </w:rPr>
              <w:t>Corporate Jet</w:t>
            </w:r>
          </w:p>
        </w:tc>
        <w:tc>
          <w:tcPr>
            <w:tcW w:w="1168" w:type="dxa"/>
            <w:tcBorders>
              <w:top w:val="nil"/>
              <w:left w:val="nil"/>
              <w:bottom w:val="single" w:sz="4" w:space="0" w:color="auto"/>
              <w:right w:val="nil"/>
            </w:tcBorders>
            <w:shd w:val="clear" w:color="auto" w:fill="auto"/>
            <w:vAlign w:val="bottom"/>
          </w:tcPr>
          <w:p w14:paraId="242D87FB" w14:textId="77777777" w:rsidR="00A739E1" w:rsidRPr="002431C0" w:rsidRDefault="00A739E1" w:rsidP="0071296E">
            <w:pPr>
              <w:jc w:val="right"/>
              <w:rPr>
                <w:bCs/>
                <w:sz w:val="20"/>
                <w:szCs w:val="20"/>
              </w:rPr>
            </w:pPr>
            <w:r w:rsidRPr="002431C0">
              <w:rPr>
                <w:bCs/>
                <w:sz w:val="20"/>
                <w:szCs w:val="20"/>
              </w:rPr>
              <w:t>-</w:t>
            </w:r>
          </w:p>
        </w:tc>
        <w:tc>
          <w:tcPr>
            <w:tcW w:w="1160" w:type="dxa"/>
            <w:tcBorders>
              <w:top w:val="nil"/>
              <w:left w:val="single" w:sz="8" w:space="0" w:color="auto"/>
              <w:bottom w:val="single" w:sz="4" w:space="0" w:color="auto"/>
              <w:right w:val="single" w:sz="4" w:space="0" w:color="auto"/>
            </w:tcBorders>
            <w:shd w:val="clear" w:color="auto" w:fill="auto"/>
            <w:vAlign w:val="bottom"/>
          </w:tcPr>
          <w:p w14:paraId="01C669AD" w14:textId="77777777" w:rsidR="00A739E1" w:rsidRPr="002431C0" w:rsidRDefault="00A739E1" w:rsidP="0071296E">
            <w:pPr>
              <w:jc w:val="right"/>
              <w:rPr>
                <w:bCs/>
                <w:sz w:val="20"/>
                <w:szCs w:val="20"/>
              </w:rPr>
            </w:pPr>
            <w:r w:rsidRPr="002431C0">
              <w:rPr>
                <w:bCs/>
                <w:sz w:val="20"/>
                <w:szCs w:val="20"/>
              </w:rPr>
              <w:t>-</w:t>
            </w:r>
          </w:p>
        </w:tc>
        <w:tc>
          <w:tcPr>
            <w:tcW w:w="1584" w:type="dxa"/>
            <w:tcBorders>
              <w:top w:val="nil"/>
              <w:left w:val="nil"/>
              <w:bottom w:val="single" w:sz="4" w:space="0" w:color="auto"/>
              <w:right w:val="thinThickSmallGap" w:sz="24" w:space="0" w:color="auto"/>
            </w:tcBorders>
            <w:shd w:val="clear" w:color="auto" w:fill="auto"/>
            <w:noWrap/>
            <w:vAlign w:val="bottom"/>
          </w:tcPr>
          <w:p w14:paraId="33D0C763" w14:textId="77777777" w:rsidR="00A739E1" w:rsidRPr="002431C0" w:rsidRDefault="00A739E1" w:rsidP="0071296E">
            <w:pPr>
              <w:jc w:val="right"/>
              <w:rPr>
                <w:bCs/>
                <w:sz w:val="20"/>
                <w:szCs w:val="20"/>
              </w:rPr>
            </w:pPr>
            <w:r w:rsidRPr="002431C0">
              <w:rPr>
                <w:bCs/>
                <w:sz w:val="20"/>
                <w:szCs w:val="20"/>
              </w:rPr>
              <w:t>-</w:t>
            </w:r>
          </w:p>
        </w:tc>
      </w:tr>
      <w:tr w:rsidR="00A739E1" w:rsidRPr="002431C0" w14:paraId="2199956F" w14:textId="77777777" w:rsidTr="0071296E">
        <w:trPr>
          <w:trHeight w:val="255"/>
        </w:trPr>
        <w:tc>
          <w:tcPr>
            <w:tcW w:w="1098" w:type="dxa"/>
            <w:tcBorders>
              <w:top w:val="nil"/>
              <w:left w:val="thinThickSmallGap" w:sz="24" w:space="0" w:color="auto"/>
              <w:bottom w:val="single" w:sz="4" w:space="0" w:color="auto"/>
              <w:right w:val="single" w:sz="4" w:space="0" w:color="auto"/>
            </w:tcBorders>
            <w:shd w:val="clear" w:color="auto" w:fill="auto"/>
            <w:noWrap/>
            <w:vAlign w:val="bottom"/>
          </w:tcPr>
          <w:p w14:paraId="56EB3909" w14:textId="77777777" w:rsidR="00A739E1" w:rsidRPr="002431C0" w:rsidRDefault="00A739E1" w:rsidP="0071296E">
            <w:pPr>
              <w:rPr>
                <w:bCs/>
                <w:sz w:val="20"/>
                <w:szCs w:val="20"/>
              </w:rPr>
            </w:pPr>
            <w:r w:rsidRPr="002431C0">
              <w:rPr>
                <w:bCs/>
                <w:sz w:val="20"/>
                <w:szCs w:val="20"/>
              </w:rPr>
              <w:t>2.18</w:t>
            </w:r>
          </w:p>
        </w:tc>
        <w:tc>
          <w:tcPr>
            <w:tcW w:w="5580" w:type="dxa"/>
            <w:tcBorders>
              <w:top w:val="nil"/>
              <w:left w:val="nil"/>
              <w:bottom w:val="single" w:sz="4" w:space="0" w:color="auto"/>
              <w:right w:val="single" w:sz="4" w:space="0" w:color="auto"/>
            </w:tcBorders>
            <w:shd w:val="clear" w:color="auto" w:fill="auto"/>
            <w:noWrap/>
            <w:vAlign w:val="bottom"/>
          </w:tcPr>
          <w:p w14:paraId="18F80422" w14:textId="77777777" w:rsidR="00A739E1" w:rsidRPr="002431C0" w:rsidRDefault="00A739E1" w:rsidP="0071296E">
            <w:pPr>
              <w:rPr>
                <w:bCs/>
                <w:sz w:val="20"/>
                <w:szCs w:val="20"/>
              </w:rPr>
            </w:pPr>
            <w:r w:rsidRPr="002431C0">
              <w:rPr>
                <w:bCs/>
                <w:sz w:val="20"/>
                <w:szCs w:val="20"/>
              </w:rPr>
              <w:t>Restate L-T Incentive Pay</w:t>
            </w:r>
          </w:p>
        </w:tc>
        <w:tc>
          <w:tcPr>
            <w:tcW w:w="1168" w:type="dxa"/>
            <w:tcBorders>
              <w:top w:val="nil"/>
              <w:left w:val="nil"/>
              <w:bottom w:val="single" w:sz="4" w:space="0" w:color="auto"/>
              <w:right w:val="nil"/>
            </w:tcBorders>
            <w:shd w:val="clear" w:color="auto" w:fill="auto"/>
            <w:vAlign w:val="bottom"/>
          </w:tcPr>
          <w:p w14:paraId="7DC35B79" w14:textId="77777777" w:rsidR="00A739E1" w:rsidRPr="002431C0" w:rsidRDefault="00A739E1" w:rsidP="0071296E">
            <w:pPr>
              <w:jc w:val="right"/>
              <w:rPr>
                <w:bCs/>
                <w:sz w:val="20"/>
                <w:szCs w:val="20"/>
              </w:rPr>
            </w:pPr>
            <w:r w:rsidRPr="002431C0">
              <w:rPr>
                <w:bCs/>
                <w:sz w:val="20"/>
                <w:szCs w:val="20"/>
              </w:rPr>
              <w:t>155</w:t>
            </w:r>
          </w:p>
        </w:tc>
        <w:tc>
          <w:tcPr>
            <w:tcW w:w="1160" w:type="dxa"/>
            <w:tcBorders>
              <w:top w:val="nil"/>
              <w:left w:val="single" w:sz="8" w:space="0" w:color="auto"/>
              <w:bottom w:val="single" w:sz="4" w:space="0" w:color="auto"/>
              <w:right w:val="single" w:sz="4" w:space="0" w:color="auto"/>
            </w:tcBorders>
            <w:shd w:val="clear" w:color="auto" w:fill="auto"/>
            <w:vAlign w:val="bottom"/>
          </w:tcPr>
          <w:p w14:paraId="4A9929F7" w14:textId="77777777" w:rsidR="00A739E1" w:rsidRPr="002431C0" w:rsidRDefault="00A739E1" w:rsidP="0071296E">
            <w:pPr>
              <w:jc w:val="right"/>
              <w:rPr>
                <w:bCs/>
                <w:sz w:val="20"/>
                <w:szCs w:val="20"/>
              </w:rPr>
            </w:pPr>
            <w:r w:rsidRPr="002431C0">
              <w:rPr>
                <w:bCs/>
                <w:sz w:val="20"/>
                <w:szCs w:val="20"/>
              </w:rPr>
              <w:t>-</w:t>
            </w:r>
          </w:p>
        </w:tc>
        <w:tc>
          <w:tcPr>
            <w:tcW w:w="1584" w:type="dxa"/>
            <w:tcBorders>
              <w:top w:val="nil"/>
              <w:left w:val="nil"/>
              <w:bottom w:val="single" w:sz="4" w:space="0" w:color="auto"/>
              <w:right w:val="thinThickSmallGap" w:sz="24" w:space="0" w:color="auto"/>
            </w:tcBorders>
            <w:shd w:val="clear" w:color="auto" w:fill="auto"/>
            <w:noWrap/>
            <w:vAlign w:val="bottom"/>
          </w:tcPr>
          <w:p w14:paraId="70EBD00E" w14:textId="77777777" w:rsidR="00A739E1" w:rsidRPr="002431C0" w:rsidRDefault="00A739E1" w:rsidP="0071296E">
            <w:pPr>
              <w:jc w:val="right"/>
              <w:rPr>
                <w:bCs/>
                <w:sz w:val="20"/>
                <w:szCs w:val="20"/>
              </w:rPr>
            </w:pPr>
            <w:r w:rsidRPr="002431C0">
              <w:rPr>
                <w:bCs/>
                <w:sz w:val="20"/>
                <w:szCs w:val="20"/>
              </w:rPr>
              <w:t>(250)</w:t>
            </w:r>
          </w:p>
        </w:tc>
      </w:tr>
      <w:tr w:rsidR="00A739E1" w:rsidRPr="002431C0" w14:paraId="61244D5A" w14:textId="77777777" w:rsidTr="0071296E">
        <w:trPr>
          <w:trHeight w:val="255"/>
        </w:trPr>
        <w:tc>
          <w:tcPr>
            <w:tcW w:w="1098" w:type="dxa"/>
            <w:tcBorders>
              <w:top w:val="nil"/>
              <w:left w:val="thinThickSmallGap" w:sz="24" w:space="0" w:color="auto"/>
              <w:bottom w:val="single" w:sz="4" w:space="0" w:color="auto"/>
              <w:right w:val="single" w:sz="4" w:space="0" w:color="auto"/>
            </w:tcBorders>
            <w:shd w:val="clear" w:color="auto" w:fill="auto"/>
            <w:noWrap/>
            <w:vAlign w:val="bottom"/>
          </w:tcPr>
          <w:p w14:paraId="1C068FFA" w14:textId="77777777" w:rsidR="00A739E1" w:rsidRPr="002431C0" w:rsidRDefault="00A739E1" w:rsidP="0071296E">
            <w:pPr>
              <w:rPr>
                <w:bCs/>
                <w:sz w:val="20"/>
                <w:szCs w:val="20"/>
              </w:rPr>
            </w:pPr>
            <w:r w:rsidRPr="002431C0">
              <w:rPr>
                <w:bCs/>
                <w:sz w:val="20"/>
                <w:szCs w:val="20"/>
              </w:rPr>
              <w:t>3.01</w:t>
            </w:r>
          </w:p>
        </w:tc>
        <w:tc>
          <w:tcPr>
            <w:tcW w:w="5580" w:type="dxa"/>
            <w:tcBorders>
              <w:top w:val="nil"/>
              <w:left w:val="nil"/>
              <w:bottom w:val="single" w:sz="4" w:space="0" w:color="auto"/>
              <w:right w:val="single" w:sz="4" w:space="0" w:color="auto"/>
            </w:tcBorders>
            <w:shd w:val="clear" w:color="auto" w:fill="auto"/>
            <w:noWrap/>
            <w:vAlign w:val="bottom"/>
          </w:tcPr>
          <w:p w14:paraId="42CE3CB1" w14:textId="77777777" w:rsidR="00A739E1" w:rsidRPr="002431C0" w:rsidRDefault="00A739E1" w:rsidP="0071296E">
            <w:pPr>
              <w:rPr>
                <w:bCs/>
                <w:sz w:val="20"/>
                <w:szCs w:val="20"/>
              </w:rPr>
            </w:pPr>
            <w:r w:rsidRPr="002431C0">
              <w:rPr>
                <w:bCs/>
                <w:sz w:val="20"/>
                <w:szCs w:val="20"/>
              </w:rPr>
              <w:t>Pro Forma Transmission Revenue/Expense</w:t>
            </w:r>
          </w:p>
        </w:tc>
        <w:tc>
          <w:tcPr>
            <w:tcW w:w="1168" w:type="dxa"/>
            <w:tcBorders>
              <w:top w:val="nil"/>
              <w:left w:val="nil"/>
              <w:bottom w:val="single" w:sz="4" w:space="0" w:color="auto"/>
              <w:right w:val="nil"/>
            </w:tcBorders>
            <w:shd w:val="clear" w:color="auto" w:fill="auto"/>
            <w:vAlign w:val="bottom"/>
          </w:tcPr>
          <w:p w14:paraId="7CFB2817" w14:textId="77777777" w:rsidR="00A739E1" w:rsidRPr="002431C0" w:rsidRDefault="00A739E1" w:rsidP="0071296E">
            <w:pPr>
              <w:jc w:val="right"/>
              <w:rPr>
                <w:bCs/>
                <w:sz w:val="20"/>
                <w:szCs w:val="20"/>
              </w:rPr>
            </w:pPr>
            <w:r w:rsidRPr="002431C0">
              <w:rPr>
                <w:bCs/>
                <w:sz w:val="20"/>
                <w:szCs w:val="20"/>
              </w:rPr>
              <w:t>59</w:t>
            </w:r>
          </w:p>
        </w:tc>
        <w:tc>
          <w:tcPr>
            <w:tcW w:w="1160" w:type="dxa"/>
            <w:tcBorders>
              <w:top w:val="nil"/>
              <w:left w:val="single" w:sz="8" w:space="0" w:color="auto"/>
              <w:bottom w:val="single" w:sz="4" w:space="0" w:color="auto"/>
              <w:right w:val="single" w:sz="4" w:space="0" w:color="auto"/>
            </w:tcBorders>
            <w:shd w:val="clear" w:color="auto" w:fill="auto"/>
            <w:vAlign w:val="bottom"/>
          </w:tcPr>
          <w:p w14:paraId="4A3DF9BC" w14:textId="77777777" w:rsidR="00A739E1" w:rsidRPr="002431C0" w:rsidRDefault="00A739E1" w:rsidP="0071296E">
            <w:pPr>
              <w:jc w:val="right"/>
              <w:rPr>
                <w:bCs/>
                <w:sz w:val="20"/>
                <w:szCs w:val="20"/>
              </w:rPr>
            </w:pPr>
            <w:r w:rsidRPr="002431C0">
              <w:rPr>
                <w:bCs/>
                <w:sz w:val="20"/>
                <w:szCs w:val="20"/>
              </w:rPr>
              <w:t>-</w:t>
            </w:r>
          </w:p>
        </w:tc>
        <w:tc>
          <w:tcPr>
            <w:tcW w:w="1584" w:type="dxa"/>
            <w:tcBorders>
              <w:top w:val="nil"/>
              <w:left w:val="nil"/>
              <w:bottom w:val="single" w:sz="4" w:space="0" w:color="auto"/>
              <w:right w:val="thinThickSmallGap" w:sz="24" w:space="0" w:color="auto"/>
            </w:tcBorders>
            <w:shd w:val="clear" w:color="auto" w:fill="auto"/>
            <w:noWrap/>
            <w:vAlign w:val="bottom"/>
          </w:tcPr>
          <w:p w14:paraId="46A2730B" w14:textId="77777777" w:rsidR="00A739E1" w:rsidRPr="002431C0" w:rsidRDefault="00A739E1" w:rsidP="0071296E">
            <w:pPr>
              <w:jc w:val="right"/>
              <w:rPr>
                <w:bCs/>
                <w:sz w:val="20"/>
                <w:szCs w:val="20"/>
              </w:rPr>
            </w:pPr>
            <w:r w:rsidRPr="002431C0">
              <w:rPr>
                <w:bCs/>
                <w:sz w:val="20"/>
                <w:szCs w:val="20"/>
              </w:rPr>
              <w:t>(95)</w:t>
            </w:r>
          </w:p>
        </w:tc>
      </w:tr>
      <w:tr w:rsidR="00A739E1" w:rsidRPr="002431C0" w14:paraId="4B272095" w14:textId="77777777" w:rsidTr="0071296E">
        <w:trPr>
          <w:trHeight w:val="255"/>
        </w:trPr>
        <w:tc>
          <w:tcPr>
            <w:tcW w:w="1098" w:type="dxa"/>
            <w:tcBorders>
              <w:top w:val="nil"/>
              <w:left w:val="thinThickSmallGap" w:sz="24" w:space="0" w:color="auto"/>
              <w:bottom w:val="single" w:sz="4" w:space="0" w:color="auto"/>
              <w:right w:val="single" w:sz="4" w:space="0" w:color="auto"/>
            </w:tcBorders>
            <w:shd w:val="clear" w:color="auto" w:fill="auto"/>
            <w:noWrap/>
            <w:vAlign w:val="bottom"/>
          </w:tcPr>
          <w:p w14:paraId="48B8662A" w14:textId="77777777" w:rsidR="00A739E1" w:rsidRPr="002431C0" w:rsidRDefault="00A739E1" w:rsidP="0071296E">
            <w:pPr>
              <w:rPr>
                <w:bCs/>
                <w:sz w:val="20"/>
                <w:szCs w:val="20"/>
              </w:rPr>
            </w:pPr>
            <w:r w:rsidRPr="002431C0">
              <w:rPr>
                <w:bCs/>
                <w:sz w:val="20"/>
                <w:szCs w:val="20"/>
              </w:rPr>
              <w:t>3.02</w:t>
            </w:r>
          </w:p>
        </w:tc>
        <w:tc>
          <w:tcPr>
            <w:tcW w:w="5580" w:type="dxa"/>
            <w:tcBorders>
              <w:top w:val="nil"/>
              <w:left w:val="nil"/>
              <w:bottom w:val="single" w:sz="4" w:space="0" w:color="auto"/>
              <w:right w:val="single" w:sz="4" w:space="0" w:color="auto"/>
            </w:tcBorders>
            <w:shd w:val="clear" w:color="auto" w:fill="auto"/>
            <w:noWrap/>
            <w:vAlign w:val="bottom"/>
          </w:tcPr>
          <w:p w14:paraId="65342562" w14:textId="77777777" w:rsidR="00A739E1" w:rsidRPr="002431C0" w:rsidRDefault="00A739E1" w:rsidP="0071296E">
            <w:pPr>
              <w:rPr>
                <w:bCs/>
                <w:sz w:val="20"/>
                <w:szCs w:val="20"/>
              </w:rPr>
            </w:pPr>
            <w:r w:rsidRPr="002431C0">
              <w:rPr>
                <w:bCs/>
                <w:sz w:val="20"/>
                <w:szCs w:val="20"/>
              </w:rPr>
              <w:t>Pro Forma Labor Non-Exec</w:t>
            </w:r>
          </w:p>
        </w:tc>
        <w:tc>
          <w:tcPr>
            <w:tcW w:w="1168" w:type="dxa"/>
            <w:tcBorders>
              <w:top w:val="nil"/>
              <w:left w:val="nil"/>
              <w:bottom w:val="single" w:sz="4" w:space="0" w:color="auto"/>
              <w:right w:val="nil"/>
            </w:tcBorders>
            <w:shd w:val="clear" w:color="auto" w:fill="auto"/>
            <w:vAlign w:val="bottom"/>
          </w:tcPr>
          <w:p w14:paraId="1C8B0F6C" w14:textId="77777777" w:rsidR="00A739E1" w:rsidRPr="002431C0" w:rsidRDefault="00A739E1" w:rsidP="0071296E">
            <w:pPr>
              <w:jc w:val="right"/>
              <w:rPr>
                <w:bCs/>
                <w:sz w:val="20"/>
                <w:szCs w:val="20"/>
              </w:rPr>
            </w:pPr>
            <w:r w:rsidRPr="002431C0">
              <w:rPr>
                <w:bCs/>
                <w:sz w:val="20"/>
                <w:szCs w:val="20"/>
              </w:rPr>
              <w:t>(1,872)</w:t>
            </w:r>
          </w:p>
        </w:tc>
        <w:tc>
          <w:tcPr>
            <w:tcW w:w="1160" w:type="dxa"/>
            <w:tcBorders>
              <w:top w:val="nil"/>
              <w:left w:val="single" w:sz="8" w:space="0" w:color="auto"/>
              <w:bottom w:val="single" w:sz="4" w:space="0" w:color="auto"/>
              <w:right w:val="single" w:sz="4" w:space="0" w:color="auto"/>
            </w:tcBorders>
            <w:shd w:val="clear" w:color="auto" w:fill="auto"/>
            <w:vAlign w:val="bottom"/>
          </w:tcPr>
          <w:p w14:paraId="1DDB6E84" w14:textId="77777777" w:rsidR="00A739E1" w:rsidRPr="002431C0" w:rsidRDefault="00A739E1" w:rsidP="0071296E">
            <w:pPr>
              <w:jc w:val="right"/>
              <w:rPr>
                <w:bCs/>
                <w:sz w:val="20"/>
                <w:szCs w:val="20"/>
              </w:rPr>
            </w:pPr>
            <w:r w:rsidRPr="002431C0">
              <w:rPr>
                <w:bCs/>
                <w:sz w:val="20"/>
                <w:szCs w:val="20"/>
              </w:rPr>
              <w:t>-</w:t>
            </w:r>
          </w:p>
        </w:tc>
        <w:tc>
          <w:tcPr>
            <w:tcW w:w="1584" w:type="dxa"/>
            <w:tcBorders>
              <w:top w:val="nil"/>
              <w:left w:val="nil"/>
              <w:bottom w:val="single" w:sz="4" w:space="0" w:color="auto"/>
              <w:right w:val="thinThickSmallGap" w:sz="24" w:space="0" w:color="auto"/>
            </w:tcBorders>
            <w:shd w:val="clear" w:color="auto" w:fill="auto"/>
            <w:noWrap/>
            <w:vAlign w:val="bottom"/>
          </w:tcPr>
          <w:p w14:paraId="062B6DFC" w14:textId="77777777" w:rsidR="00A739E1" w:rsidRPr="002431C0" w:rsidRDefault="00A739E1" w:rsidP="0071296E">
            <w:pPr>
              <w:jc w:val="right"/>
              <w:rPr>
                <w:bCs/>
                <w:sz w:val="20"/>
                <w:szCs w:val="20"/>
              </w:rPr>
            </w:pPr>
            <w:r w:rsidRPr="002431C0">
              <w:rPr>
                <w:bCs/>
                <w:sz w:val="20"/>
                <w:szCs w:val="20"/>
              </w:rPr>
              <w:t>3,018</w:t>
            </w:r>
          </w:p>
        </w:tc>
      </w:tr>
      <w:tr w:rsidR="00A739E1" w:rsidRPr="002431C0" w14:paraId="09F6C4DC" w14:textId="77777777" w:rsidTr="0071296E">
        <w:trPr>
          <w:trHeight w:val="255"/>
        </w:trPr>
        <w:tc>
          <w:tcPr>
            <w:tcW w:w="1098" w:type="dxa"/>
            <w:tcBorders>
              <w:top w:val="nil"/>
              <w:left w:val="thinThickSmallGap" w:sz="24" w:space="0" w:color="auto"/>
              <w:bottom w:val="single" w:sz="4" w:space="0" w:color="auto"/>
              <w:right w:val="single" w:sz="4" w:space="0" w:color="auto"/>
            </w:tcBorders>
            <w:shd w:val="clear" w:color="auto" w:fill="auto"/>
            <w:noWrap/>
            <w:vAlign w:val="bottom"/>
          </w:tcPr>
          <w:p w14:paraId="3719CB45" w14:textId="77777777" w:rsidR="00A739E1" w:rsidRPr="002431C0" w:rsidRDefault="00A739E1" w:rsidP="0071296E">
            <w:pPr>
              <w:rPr>
                <w:bCs/>
                <w:sz w:val="20"/>
                <w:szCs w:val="20"/>
              </w:rPr>
            </w:pPr>
            <w:r w:rsidRPr="002431C0">
              <w:rPr>
                <w:bCs/>
                <w:sz w:val="20"/>
                <w:szCs w:val="20"/>
              </w:rPr>
              <w:t>3.03</w:t>
            </w:r>
          </w:p>
        </w:tc>
        <w:tc>
          <w:tcPr>
            <w:tcW w:w="5580" w:type="dxa"/>
            <w:tcBorders>
              <w:top w:val="nil"/>
              <w:left w:val="nil"/>
              <w:bottom w:val="single" w:sz="4" w:space="0" w:color="auto"/>
              <w:right w:val="single" w:sz="4" w:space="0" w:color="auto"/>
            </w:tcBorders>
            <w:shd w:val="clear" w:color="auto" w:fill="auto"/>
            <w:noWrap/>
            <w:vAlign w:val="bottom"/>
          </w:tcPr>
          <w:p w14:paraId="7397F96B" w14:textId="77777777" w:rsidR="00A739E1" w:rsidRPr="002431C0" w:rsidRDefault="00A739E1" w:rsidP="0071296E">
            <w:pPr>
              <w:rPr>
                <w:bCs/>
                <w:sz w:val="20"/>
                <w:szCs w:val="20"/>
              </w:rPr>
            </w:pPr>
            <w:r w:rsidRPr="002431C0">
              <w:rPr>
                <w:bCs/>
                <w:sz w:val="20"/>
                <w:szCs w:val="20"/>
              </w:rPr>
              <w:t>Pro Forma Labor Exec</w:t>
            </w:r>
          </w:p>
        </w:tc>
        <w:tc>
          <w:tcPr>
            <w:tcW w:w="1168" w:type="dxa"/>
            <w:tcBorders>
              <w:top w:val="nil"/>
              <w:left w:val="nil"/>
              <w:bottom w:val="single" w:sz="4" w:space="0" w:color="auto"/>
              <w:right w:val="nil"/>
            </w:tcBorders>
            <w:shd w:val="clear" w:color="auto" w:fill="auto"/>
            <w:vAlign w:val="bottom"/>
          </w:tcPr>
          <w:p w14:paraId="28487888" w14:textId="77777777" w:rsidR="00A739E1" w:rsidRPr="002431C0" w:rsidRDefault="00A739E1" w:rsidP="0071296E">
            <w:pPr>
              <w:jc w:val="right"/>
              <w:rPr>
                <w:bCs/>
                <w:sz w:val="20"/>
                <w:szCs w:val="20"/>
              </w:rPr>
            </w:pPr>
            <w:r w:rsidRPr="002431C0">
              <w:rPr>
                <w:bCs/>
                <w:sz w:val="20"/>
                <w:szCs w:val="20"/>
              </w:rPr>
              <w:t>(79)</w:t>
            </w:r>
          </w:p>
        </w:tc>
        <w:tc>
          <w:tcPr>
            <w:tcW w:w="1160" w:type="dxa"/>
            <w:tcBorders>
              <w:top w:val="nil"/>
              <w:left w:val="single" w:sz="8" w:space="0" w:color="auto"/>
              <w:bottom w:val="single" w:sz="4" w:space="0" w:color="auto"/>
              <w:right w:val="single" w:sz="4" w:space="0" w:color="auto"/>
            </w:tcBorders>
            <w:shd w:val="clear" w:color="auto" w:fill="auto"/>
            <w:vAlign w:val="bottom"/>
          </w:tcPr>
          <w:p w14:paraId="7F44BA37" w14:textId="77777777" w:rsidR="00A739E1" w:rsidRPr="002431C0" w:rsidRDefault="00A739E1" w:rsidP="0071296E">
            <w:pPr>
              <w:jc w:val="right"/>
              <w:rPr>
                <w:bCs/>
                <w:sz w:val="20"/>
                <w:szCs w:val="20"/>
              </w:rPr>
            </w:pPr>
            <w:r w:rsidRPr="002431C0">
              <w:rPr>
                <w:bCs/>
                <w:sz w:val="20"/>
                <w:szCs w:val="20"/>
              </w:rPr>
              <w:t>-</w:t>
            </w:r>
          </w:p>
        </w:tc>
        <w:tc>
          <w:tcPr>
            <w:tcW w:w="1584" w:type="dxa"/>
            <w:tcBorders>
              <w:top w:val="nil"/>
              <w:left w:val="nil"/>
              <w:bottom w:val="single" w:sz="4" w:space="0" w:color="auto"/>
              <w:right w:val="thinThickSmallGap" w:sz="24" w:space="0" w:color="auto"/>
            </w:tcBorders>
            <w:shd w:val="clear" w:color="auto" w:fill="auto"/>
            <w:noWrap/>
            <w:vAlign w:val="bottom"/>
          </w:tcPr>
          <w:p w14:paraId="0AA8D4C2" w14:textId="77777777" w:rsidR="00A739E1" w:rsidRPr="002431C0" w:rsidRDefault="00A739E1" w:rsidP="0071296E">
            <w:pPr>
              <w:jc w:val="right"/>
              <w:rPr>
                <w:bCs/>
                <w:sz w:val="20"/>
                <w:szCs w:val="20"/>
              </w:rPr>
            </w:pPr>
            <w:r w:rsidRPr="002431C0">
              <w:rPr>
                <w:bCs/>
                <w:sz w:val="20"/>
                <w:szCs w:val="20"/>
              </w:rPr>
              <w:t>127</w:t>
            </w:r>
          </w:p>
        </w:tc>
      </w:tr>
      <w:tr w:rsidR="00A739E1" w:rsidRPr="002431C0" w14:paraId="56B66EDE" w14:textId="77777777" w:rsidTr="0071296E">
        <w:trPr>
          <w:trHeight w:val="255"/>
        </w:trPr>
        <w:tc>
          <w:tcPr>
            <w:tcW w:w="1098" w:type="dxa"/>
            <w:tcBorders>
              <w:top w:val="nil"/>
              <w:left w:val="thinThickSmallGap" w:sz="24" w:space="0" w:color="auto"/>
              <w:bottom w:val="single" w:sz="4" w:space="0" w:color="auto"/>
              <w:right w:val="single" w:sz="4" w:space="0" w:color="auto"/>
            </w:tcBorders>
            <w:shd w:val="clear" w:color="auto" w:fill="auto"/>
            <w:noWrap/>
            <w:vAlign w:val="bottom"/>
          </w:tcPr>
          <w:p w14:paraId="5AEAF01B" w14:textId="77777777" w:rsidR="00A739E1" w:rsidRPr="002431C0" w:rsidRDefault="00A739E1" w:rsidP="0071296E">
            <w:pPr>
              <w:rPr>
                <w:bCs/>
                <w:sz w:val="20"/>
                <w:szCs w:val="20"/>
              </w:rPr>
            </w:pPr>
            <w:r w:rsidRPr="002431C0">
              <w:rPr>
                <w:bCs/>
                <w:sz w:val="20"/>
                <w:szCs w:val="20"/>
              </w:rPr>
              <w:t>3.05</w:t>
            </w:r>
          </w:p>
        </w:tc>
        <w:tc>
          <w:tcPr>
            <w:tcW w:w="5580" w:type="dxa"/>
            <w:tcBorders>
              <w:top w:val="nil"/>
              <w:left w:val="nil"/>
              <w:bottom w:val="single" w:sz="4" w:space="0" w:color="auto"/>
              <w:right w:val="single" w:sz="4" w:space="0" w:color="auto"/>
            </w:tcBorders>
            <w:shd w:val="clear" w:color="auto" w:fill="auto"/>
            <w:noWrap/>
            <w:vAlign w:val="bottom"/>
          </w:tcPr>
          <w:p w14:paraId="020A20E4" w14:textId="77777777" w:rsidR="00A739E1" w:rsidRPr="002431C0" w:rsidRDefault="00A739E1" w:rsidP="0071296E">
            <w:pPr>
              <w:rPr>
                <w:bCs/>
                <w:sz w:val="20"/>
                <w:szCs w:val="20"/>
              </w:rPr>
            </w:pPr>
            <w:r w:rsidRPr="002431C0">
              <w:rPr>
                <w:bCs/>
                <w:sz w:val="20"/>
                <w:szCs w:val="20"/>
              </w:rPr>
              <w:t>Pro Forma Insurance Expense</w:t>
            </w:r>
          </w:p>
        </w:tc>
        <w:tc>
          <w:tcPr>
            <w:tcW w:w="1168" w:type="dxa"/>
            <w:tcBorders>
              <w:top w:val="nil"/>
              <w:left w:val="nil"/>
              <w:bottom w:val="single" w:sz="4" w:space="0" w:color="auto"/>
              <w:right w:val="nil"/>
            </w:tcBorders>
            <w:shd w:val="clear" w:color="auto" w:fill="auto"/>
            <w:vAlign w:val="bottom"/>
          </w:tcPr>
          <w:p w14:paraId="599C7F94" w14:textId="77777777" w:rsidR="00A739E1" w:rsidRPr="002431C0" w:rsidRDefault="00A739E1" w:rsidP="0071296E">
            <w:pPr>
              <w:jc w:val="right"/>
              <w:rPr>
                <w:bCs/>
                <w:sz w:val="20"/>
                <w:szCs w:val="20"/>
              </w:rPr>
            </w:pPr>
            <w:r w:rsidRPr="002431C0">
              <w:rPr>
                <w:bCs/>
                <w:sz w:val="20"/>
                <w:szCs w:val="20"/>
              </w:rPr>
              <w:t>35</w:t>
            </w:r>
          </w:p>
        </w:tc>
        <w:tc>
          <w:tcPr>
            <w:tcW w:w="1160" w:type="dxa"/>
            <w:tcBorders>
              <w:top w:val="nil"/>
              <w:left w:val="single" w:sz="8" w:space="0" w:color="auto"/>
              <w:bottom w:val="single" w:sz="4" w:space="0" w:color="auto"/>
              <w:right w:val="single" w:sz="4" w:space="0" w:color="auto"/>
            </w:tcBorders>
            <w:shd w:val="clear" w:color="auto" w:fill="auto"/>
            <w:vAlign w:val="bottom"/>
          </w:tcPr>
          <w:p w14:paraId="63D725CF" w14:textId="77777777" w:rsidR="00A739E1" w:rsidRPr="002431C0" w:rsidRDefault="00A739E1" w:rsidP="0071296E">
            <w:pPr>
              <w:jc w:val="right"/>
              <w:rPr>
                <w:bCs/>
                <w:sz w:val="20"/>
                <w:szCs w:val="20"/>
              </w:rPr>
            </w:pPr>
            <w:r w:rsidRPr="002431C0">
              <w:rPr>
                <w:bCs/>
                <w:sz w:val="20"/>
                <w:szCs w:val="20"/>
              </w:rPr>
              <w:t>-</w:t>
            </w:r>
          </w:p>
        </w:tc>
        <w:tc>
          <w:tcPr>
            <w:tcW w:w="1584" w:type="dxa"/>
            <w:tcBorders>
              <w:top w:val="nil"/>
              <w:left w:val="nil"/>
              <w:bottom w:val="single" w:sz="4" w:space="0" w:color="auto"/>
              <w:right w:val="thinThickSmallGap" w:sz="24" w:space="0" w:color="auto"/>
            </w:tcBorders>
            <w:shd w:val="clear" w:color="auto" w:fill="auto"/>
            <w:noWrap/>
            <w:vAlign w:val="bottom"/>
          </w:tcPr>
          <w:p w14:paraId="4FD26D42" w14:textId="77777777" w:rsidR="00A739E1" w:rsidRPr="002431C0" w:rsidRDefault="00A739E1" w:rsidP="0071296E">
            <w:pPr>
              <w:jc w:val="right"/>
              <w:rPr>
                <w:bCs/>
                <w:sz w:val="20"/>
                <w:szCs w:val="20"/>
              </w:rPr>
            </w:pPr>
            <w:r w:rsidRPr="002431C0">
              <w:rPr>
                <w:bCs/>
                <w:sz w:val="20"/>
                <w:szCs w:val="20"/>
              </w:rPr>
              <w:t>(56)</w:t>
            </w:r>
          </w:p>
        </w:tc>
      </w:tr>
      <w:tr w:rsidR="00A739E1" w:rsidRPr="002431C0" w14:paraId="45C54450" w14:textId="77777777" w:rsidTr="0071296E">
        <w:trPr>
          <w:trHeight w:val="255"/>
        </w:trPr>
        <w:tc>
          <w:tcPr>
            <w:tcW w:w="1098" w:type="dxa"/>
            <w:tcBorders>
              <w:top w:val="nil"/>
              <w:left w:val="thinThickSmallGap" w:sz="24" w:space="0" w:color="auto"/>
              <w:bottom w:val="single" w:sz="4" w:space="0" w:color="auto"/>
              <w:right w:val="single" w:sz="4" w:space="0" w:color="auto"/>
            </w:tcBorders>
            <w:shd w:val="clear" w:color="auto" w:fill="auto"/>
            <w:noWrap/>
            <w:vAlign w:val="bottom"/>
          </w:tcPr>
          <w:p w14:paraId="2FC81816" w14:textId="77777777" w:rsidR="00A739E1" w:rsidRPr="002431C0" w:rsidRDefault="00A739E1" w:rsidP="0071296E">
            <w:pPr>
              <w:rPr>
                <w:bCs/>
                <w:sz w:val="20"/>
                <w:szCs w:val="20"/>
              </w:rPr>
            </w:pPr>
            <w:r w:rsidRPr="002431C0">
              <w:rPr>
                <w:bCs/>
                <w:sz w:val="20"/>
                <w:szCs w:val="20"/>
              </w:rPr>
              <w:t>3.06</w:t>
            </w:r>
          </w:p>
        </w:tc>
        <w:tc>
          <w:tcPr>
            <w:tcW w:w="5580" w:type="dxa"/>
            <w:tcBorders>
              <w:top w:val="nil"/>
              <w:left w:val="nil"/>
              <w:bottom w:val="single" w:sz="4" w:space="0" w:color="auto"/>
              <w:right w:val="single" w:sz="4" w:space="0" w:color="auto"/>
            </w:tcBorders>
            <w:shd w:val="clear" w:color="auto" w:fill="auto"/>
            <w:noWrap/>
            <w:vAlign w:val="bottom"/>
          </w:tcPr>
          <w:p w14:paraId="2A50CAE0" w14:textId="77777777" w:rsidR="00A739E1" w:rsidRPr="002431C0" w:rsidRDefault="00A739E1" w:rsidP="0071296E">
            <w:pPr>
              <w:rPr>
                <w:bCs/>
                <w:sz w:val="20"/>
                <w:szCs w:val="20"/>
              </w:rPr>
            </w:pPr>
            <w:r w:rsidRPr="002431C0">
              <w:rPr>
                <w:bCs/>
                <w:sz w:val="20"/>
                <w:szCs w:val="20"/>
              </w:rPr>
              <w:t>Pro Forma Property Tax</w:t>
            </w:r>
          </w:p>
        </w:tc>
        <w:tc>
          <w:tcPr>
            <w:tcW w:w="1168" w:type="dxa"/>
            <w:tcBorders>
              <w:top w:val="nil"/>
              <w:left w:val="nil"/>
              <w:bottom w:val="single" w:sz="4" w:space="0" w:color="auto"/>
              <w:right w:val="nil"/>
            </w:tcBorders>
            <w:shd w:val="clear" w:color="auto" w:fill="auto"/>
            <w:vAlign w:val="bottom"/>
          </w:tcPr>
          <w:p w14:paraId="7883C6C4" w14:textId="77777777" w:rsidR="00A739E1" w:rsidRPr="002431C0" w:rsidRDefault="00A739E1" w:rsidP="0071296E">
            <w:pPr>
              <w:jc w:val="right"/>
              <w:rPr>
                <w:bCs/>
                <w:sz w:val="20"/>
                <w:szCs w:val="20"/>
              </w:rPr>
            </w:pPr>
            <w:r w:rsidRPr="002431C0">
              <w:rPr>
                <w:bCs/>
                <w:sz w:val="20"/>
                <w:szCs w:val="20"/>
              </w:rPr>
              <w:t>(733)</w:t>
            </w:r>
          </w:p>
        </w:tc>
        <w:tc>
          <w:tcPr>
            <w:tcW w:w="1160" w:type="dxa"/>
            <w:tcBorders>
              <w:top w:val="nil"/>
              <w:left w:val="single" w:sz="8" w:space="0" w:color="auto"/>
              <w:bottom w:val="single" w:sz="4" w:space="0" w:color="auto"/>
              <w:right w:val="single" w:sz="4" w:space="0" w:color="auto"/>
            </w:tcBorders>
            <w:shd w:val="clear" w:color="auto" w:fill="auto"/>
            <w:vAlign w:val="bottom"/>
          </w:tcPr>
          <w:p w14:paraId="726D53C6" w14:textId="77777777" w:rsidR="00A739E1" w:rsidRPr="002431C0" w:rsidRDefault="00A739E1" w:rsidP="0071296E">
            <w:pPr>
              <w:jc w:val="right"/>
              <w:rPr>
                <w:bCs/>
                <w:sz w:val="20"/>
                <w:szCs w:val="20"/>
              </w:rPr>
            </w:pPr>
            <w:r w:rsidRPr="002431C0">
              <w:rPr>
                <w:bCs/>
                <w:sz w:val="20"/>
                <w:szCs w:val="20"/>
              </w:rPr>
              <w:t>-</w:t>
            </w:r>
          </w:p>
        </w:tc>
        <w:tc>
          <w:tcPr>
            <w:tcW w:w="1584" w:type="dxa"/>
            <w:tcBorders>
              <w:top w:val="nil"/>
              <w:left w:val="nil"/>
              <w:bottom w:val="single" w:sz="4" w:space="0" w:color="auto"/>
              <w:right w:val="thinThickSmallGap" w:sz="24" w:space="0" w:color="auto"/>
            </w:tcBorders>
            <w:shd w:val="clear" w:color="auto" w:fill="auto"/>
            <w:noWrap/>
            <w:vAlign w:val="bottom"/>
          </w:tcPr>
          <w:p w14:paraId="6733B575" w14:textId="77777777" w:rsidR="00A739E1" w:rsidRPr="002431C0" w:rsidRDefault="00A739E1" w:rsidP="0071296E">
            <w:pPr>
              <w:jc w:val="right"/>
              <w:rPr>
                <w:bCs/>
                <w:sz w:val="20"/>
                <w:szCs w:val="20"/>
              </w:rPr>
            </w:pPr>
            <w:r w:rsidRPr="002431C0">
              <w:rPr>
                <w:bCs/>
                <w:sz w:val="20"/>
                <w:szCs w:val="20"/>
              </w:rPr>
              <w:t>1,182</w:t>
            </w:r>
          </w:p>
        </w:tc>
      </w:tr>
      <w:tr w:rsidR="00A739E1" w:rsidRPr="002431C0" w14:paraId="312D3FCD" w14:textId="77777777" w:rsidTr="0071296E">
        <w:trPr>
          <w:trHeight w:val="255"/>
        </w:trPr>
        <w:tc>
          <w:tcPr>
            <w:tcW w:w="1098" w:type="dxa"/>
            <w:tcBorders>
              <w:top w:val="nil"/>
              <w:left w:val="thinThickSmallGap" w:sz="24" w:space="0" w:color="auto"/>
              <w:bottom w:val="single" w:sz="4" w:space="0" w:color="auto"/>
              <w:right w:val="single" w:sz="4" w:space="0" w:color="auto"/>
            </w:tcBorders>
            <w:shd w:val="clear" w:color="auto" w:fill="auto"/>
            <w:noWrap/>
            <w:vAlign w:val="bottom"/>
          </w:tcPr>
          <w:p w14:paraId="3BDA7FBD" w14:textId="77777777" w:rsidR="00A739E1" w:rsidRPr="002431C0" w:rsidRDefault="00A739E1" w:rsidP="0071296E">
            <w:pPr>
              <w:rPr>
                <w:bCs/>
                <w:sz w:val="20"/>
                <w:szCs w:val="20"/>
              </w:rPr>
            </w:pPr>
            <w:r w:rsidRPr="002431C0">
              <w:rPr>
                <w:bCs/>
                <w:sz w:val="20"/>
                <w:szCs w:val="20"/>
              </w:rPr>
              <w:t>3.07</w:t>
            </w:r>
          </w:p>
        </w:tc>
        <w:tc>
          <w:tcPr>
            <w:tcW w:w="5580" w:type="dxa"/>
            <w:tcBorders>
              <w:top w:val="nil"/>
              <w:left w:val="nil"/>
              <w:bottom w:val="single" w:sz="4" w:space="0" w:color="auto"/>
              <w:right w:val="single" w:sz="4" w:space="0" w:color="auto"/>
            </w:tcBorders>
            <w:shd w:val="clear" w:color="auto" w:fill="auto"/>
            <w:noWrap/>
            <w:vAlign w:val="bottom"/>
          </w:tcPr>
          <w:p w14:paraId="486344DC" w14:textId="77777777" w:rsidR="00A739E1" w:rsidRPr="002431C0" w:rsidRDefault="00A739E1" w:rsidP="0071296E">
            <w:pPr>
              <w:rPr>
                <w:bCs/>
                <w:sz w:val="20"/>
                <w:szCs w:val="20"/>
              </w:rPr>
            </w:pPr>
            <w:r w:rsidRPr="002431C0">
              <w:rPr>
                <w:bCs/>
                <w:sz w:val="20"/>
                <w:szCs w:val="20"/>
              </w:rPr>
              <w:t>Pro Forma Information Tech/Service Expense</w:t>
            </w:r>
          </w:p>
        </w:tc>
        <w:tc>
          <w:tcPr>
            <w:tcW w:w="1168" w:type="dxa"/>
            <w:tcBorders>
              <w:top w:val="nil"/>
              <w:left w:val="nil"/>
              <w:bottom w:val="single" w:sz="4" w:space="0" w:color="auto"/>
              <w:right w:val="nil"/>
            </w:tcBorders>
            <w:shd w:val="clear" w:color="auto" w:fill="auto"/>
            <w:vAlign w:val="bottom"/>
          </w:tcPr>
          <w:p w14:paraId="2355858A" w14:textId="77777777" w:rsidR="00A739E1" w:rsidRPr="002431C0" w:rsidRDefault="00A739E1" w:rsidP="0071296E">
            <w:pPr>
              <w:jc w:val="right"/>
              <w:rPr>
                <w:bCs/>
                <w:sz w:val="20"/>
                <w:szCs w:val="20"/>
              </w:rPr>
            </w:pPr>
            <w:r w:rsidRPr="002431C0">
              <w:rPr>
                <w:bCs/>
                <w:sz w:val="20"/>
                <w:szCs w:val="20"/>
              </w:rPr>
              <w:t>(218)</w:t>
            </w:r>
          </w:p>
        </w:tc>
        <w:tc>
          <w:tcPr>
            <w:tcW w:w="1160" w:type="dxa"/>
            <w:tcBorders>
              <w:top w:val="nil"/>
              <w:left w:val="single" w:sz="8" w:space="0" w:color="auto"/>
              <w:bottom w:val="single" w:sz="4" w:space="0" w:color="auto"/>
              <w:right w:val="single" w:sz="4" w:space="0" w:color="auto"/>
            </w:tcBorders>
            <w:shd w:val="clear" w:color="auto" w:fill="auto"/>
            <w:vAlign w:val="bottom"/>
          </w:tcPr>
          <w:p w14:paraId="22F0BBE7" w14:textId="77777777" w:rsidR="00A739E1" w:rsidRPr="002431C0" w:rsidRDefault="00A739E1" w:rsidP="0071296E">
            <w:pPr>
              <w:jc w:val="right"/>
              <w:rPr>
                <w:bCs/>
                <w:sz w:val="20"/>
                <w:szCs w:val="20"/>
              </w:rPr>
            </w:pPr>
            <w:r w:rsidRPr="002431C0">
              <w:rPr>
                <w:bCs/>
                <w:sz w:val="20"/>
                <w:szCs w:val="20"/>
              </w:rPr>
              <w:t>-</w:t>
            </w:r>
          </w:p>
        </w:tc>
        <w:tc>
          <w:tcPr>
            <w:tcW w:w="1584" w:type="dxa"/>
            <w:tcBorders>
              <w:top w:val="nil"/>
              <w:left w:val="nil"/>
              <w:bottom w:val="single" w:sz="4" w:space="0" w:color="auto"/>
              <w:right w:val="thinThickSmallGap" w:sz="24" w:space="0" w:color="auto"/>
            </w:tcBorders>
            <w:shd w:val="clear" w:color="auto" w:fill="auto"/>
            <w:noWrap/>
            <w:vAlign w:val="bottom"/>
          </w:tcPr>
          <w:p w14:paraId="08654C50" w14:textId="77777777" w:rsidR="00A739E1" w:rsidRPr="002431C0" w:rsidRDefault="00A739E1" w:rsidP="0071296E">
            <w:pPr>
              <w:jc w:val="right"/>
              <w:rPr>
                <w:bCs/>
                <w:sz w:val="20"/>
                <w:szCs w:val="20"/>
              </w:rPr>
            </w:pPr>
            <w:r w:rsidRPr="002431C0">
              <w:rPr>
                <w:bCs/>
                <w:sz w:val="20"/>
                <w:szCs w:val="20"/>
              </w:rPr>
              <w:t>352</w:t>
            </w:r>
          </w:p>
        </w:tc>
      </w:tr>
      <w:tr w:rsidR="00A739E1" w:rsidRPr="002431C0" w14:paraId="23E6DB3F" w14:textId="77777777" w:rsidTr="0071296E">
        <w:trPr>
          <w:trHeight w:val="255"/>
        </w:trPr>
        <w:tc>
          <w:tcPr>
            <w:tcW w:w="1098" w:type="dxa"/>
            <w:tcBorders>
              <w:top w:val="nil"/>
              <w:left w:val="thinThickSmallGap" w:sz="24" w:space="0" w:color="auto"/>
              <w:bottom w:val="single" w:sz="4" w:space="0" w:color="auto"/>
              <w:right w:val="single" w:sz="4" w:space="0" w:color="auto"/>
            </w:tcBorders>
            <w:shd w:val="clear" w:color="auto" w:fill="auto"/>
            <w:noWrap/>
            <w:vAlign w:val="bottom"/>
          </w:tcPr>
          <w:p w14:paraId="2FF571CB" w14:textId="77777777" w:rsidR="00A739E1" w:rsidRPr="002431C0" w:rsidRDefault="00A739E1" w:rsidP="0071296E">
            <w:pPr>
              <w:rPr>
                <w:bCs/>
                <w:sz w:val="20"/>
                <w:szCs w:val="20"/>
              </w:rPr>
            </w:pPr>
            <w:r w:rsidRPr="002431C0">
              <w:rPr>
                <w:bCs/>
                <w:sz w:val="20"/>
                <w:szCs w:val="20"/>
              </w:rPr>
              <w:t>3.10</w:t>
            </w:r>
          </w:p>
        </w:tc>
        <w:tc>
          <w:tcPr>
            <w:tcW w:w="5580" w:type="dxa"/>
            <w:tcBorders>
              <w:top w:val="nil"/>
              <w:left w:val="nil"/>
              <w:bottom w:val="single" w:sz="4" w:space="0" w:color="auto"/>
              <w:right w:val="single" w:sz="4" w:space="0" w:color="auto"/>
            </w:tcBorders>
            <w:shd w:val="clear" w:color="auto" w:fill="auto"/>
            <w:noWrap/>
            <w:vAlign w:val="bottom"/>
          </w:tcPr>
          <w:p w14:paraId="761B35CF" w14:textId="77777777" w:rsidR="00A739E1" w:rsidRPr="002431C0" w:rsidRDefault="00A739E1" w:rsidP="0071296E">
            <w:pPr>
              <w:rPr>
                <w:bCs/>
                <w:sz w:val="20"/>
                <w:szCs w:val="20"/>
              </w:rPr>
            </w:pPr>
            <w:r w:rsidRPr="002431C0">
              <w:rPr>
                <w:bCs/>
                <w:sz w:val="20"/>
                <w:szCs w:val="20"/>
              </w:rPr>
              <w:t>Pro Forma Major Maint.-Hydro Thermal, Other</w:t>
            </w:r>
          </w:p>
        </w:tc>
        <w:tc>
          <w:tcPr>
            <w:tcW w:w="1168" w:type="dxa"/>
            <w:tcBorders>
              <w:top w:val="nil"/>
              <w:left w:val="nil"/>
              <w:bottom w:val="single" w:sz="4" w:space="0" w:color="auto"/>
              <w:right w:val="nil"/>
            </w:tcBorders>
            <w:shd w:val="clear" w:color="auto" w:fill="auto"/>
            <w:vAlign w:val="bottom"/>
          </w:tcPr>
          <w:p w14:paraId="0CEC47D4" w14:textId="77777777" w:rsidR="00A739E1" w:rsidRPr="002431C0" w:rsidRDefault="00A739E1" w:rsidP="0071296E">
            <w:pPr>
              <w:jc w:val="right"/>
              <w:rPr>
                <w:bCs/>
                <w:sz w:val="20"/>
                <w:szCs w:val="20"/>
              </w:rPr>
            </w:pPr>
            <w:r w:rsidRPr="002431C0">
              <w:rPr>
                <w:bCs/>
                <w:sz w:val="20"/>
                <w:szCs w:val="20"/>
              </w:rPr>
              <w:t>-</w:t>
            </w:r>
          </w:p>
        </w:tc>
        <w:tc>
          <w:tcPr>
            <w:tcW w:w="1160" w:type="dxa"/>
            <w:tcBorders>
              <w:top w:val="nil"/>
              <w:left w:val="single" w:sz="8" w:space="0" w:color="auto"/>
              <w:bottom w:val="single" w:sz="4" w:space="0" w:color="auto"/>
              <w:right w:val="single" w:sz="4" w:space="0" w:color="auto"/>
            </w:tcBorders>
            <w:shd w:val="clear" w:color="auto" w:fill="auto"/>
            <w:vAlign w:val="bottom"/>
          </w:tcPr>
          <w:p w14:paraId="5F8C4CC8" w14:textId="77777777" w:rsidR="00A739E1" w:rsidRPr="002431C0" w:rsidRDefault="00A739E1" w:rsidP="0071296E">
            <w:pPr>
              <w:jc w:val="right"/>
              <w:rPr>
                <w:bCs/>
                <w:sz w:val="20"/>
                <w:szCs w:val="20"/>
              </w:rPr>
            </w:pPr>
            <w:r w:rsidRPr="002431C0">
              <w:rPr>
                <w:bCs/>
                <w:sz w:val="20"/>
                <w:szCs w:val="20"/>
              </w:rPr>
              <w:t>-</w:t>
            </w:r>
          </w:p>
        </w:tc>
        <w:tc>
          <w:tcPr>
            <w:tcW w:w="1584" w:type="dxa"/>
            <w:tcBorders>
              <w:top w:val="nil"/>
              <w:left w:val="nil"/>
              <w:bottom w:val="single" w:sz="4" w:space="0" w:color="auto"/>
              <w:right w:val="thinThickSmallGap" w:sz="24" w:space="0" w:color="auto"/>
            </w:tcBorders>
            <w:shd w:val="clear" w:color="auto" w:fill="auto"/>
            <w:noWrap/>
            <w:vAlign w:val="bottom"/>
          </w:tcPr>
          <w:p w14:paraId="246A7A69" w14:textId="77777777" w:rsidR="00A739E1" w:rsidRPr="002431C0" w:rsidRDefault="00A739E1" w:rsidP="0071296E">
            <w:pPr>
              <w:jc w:val="right"/>
              <w:rPr>
                <w:bCs/>
                <w:sz w:val="20"/>
                <w:szCs w:val="20"/>
              </w:rPr>
            </w:pPr>
            <w:r w:rsidRPr="002431C0">
              <w:rPr>
                <w:bCs/>
                <w:sz w:val="20"/>
                <w:szCs w:val="20"/>
              </w:rPr>
              <w:t>-</w:t>
            </w:r>
          </w:p>
        </w:tc>
      </w:tr>
      <w:tr w:rsidR="00A739E1" w:rsidRPr="002431C0" w14:paraId="6400D598" w14:textId="77777777" w:rsidTr="0071296E">
        <w:trPr>
          <w:trHeight w:val="255"/>
        </w:trPr>
        <w:tc>
          <w:tcPr>
            <w:tcW w:w="1098" w:type="dxa"/>
            <w:tcBorders>
              <w:top w:val="nil"/>
              <w:left w:val="thinThickSmallGap" w:sz="24" w:space="0" w:color="auto"/>
              <w:bottom w:val="single" w:sz="4" w:space="0" w:color="auto"/>
              <w:right w:val="single" w:sz="4" w:space="0" w:color="auto"/>
            </w:tcBorders>
            <w:shd w:val="clear" w:color="auto" w:fill="auto"/>
            <w:noWrap/>
            <w:vAlign w:val="bottom"/>
          </w:tcPr>
          <w:p w14:paraId="6A75D634" w14:textId="77777777" w:rsidR="00A739E1" w:rsidRPr="002431C0" w:rsidRDefault="00A739E1" w:rsidP="0071296E">
            <w:pPr>
              <w:rPr>
                <w:bCs/>
                <w:sz w:val="20"/>
                <w:szCs w:val="20"/>
              </w:rPr>
            </w:pPr>
            <w:r w:rsidRPr="002431C0">
              <w:rPr>
                <w:bCs/>
                <w:sz w:val="20"/>
                <w:szCs w:val="20"/>
              </w:rPr>
              <w:t>3.11</w:t>
            </w:r>
          </w:p>
        </w:tc>
        <w:tc>
          <w:tcPr>
            <w:tcW w:w="5580" w:type="dxa"/>
            <w:tcBorders>
              <w:top w:val="nil"/>
              <w:left w:val="nil"/>
              <w:bottom w:val="single" w:sz="4" w:space="0" w:color="auto"/>
              <w:right w:val="single" w:sz="4" w:space="0" w:color="auto"/>
            </w:tcBorders>
            <w:shd w:val="clear" w:color="auto" w:fill="auto"/>
            <w:noWrap/>
            <w:vAlign w:val="bottom"/>
          </w:tcPr>
          <w:p w14:paraId="45A76C52" w14:textId="77777777" w:rsidR="00A739E1" w:rsidRPr="002431C0" w:rsidRDefault="00A739E1" w:rsidP="0071296E">
            <w:pPr>
              <w:rPr>
                <w:bCs/>
                <w:sz w:val="20"/>
                <w:szCs w:val="20"/>
              </w:rPr>
            </w:pPr>
            <w:r w:rsidRPr="002431C0">
              <w:rPr>
                <w:bCs/>
                <w:sz w:val="20"/>
                <w:szCs w:val="20"/>
              </w:rPr>
              <w:t>Planned Capital Add Dec 2014 EOP</w:t>
            </w:r>
          </w:p>
        </w:tc>
        <w:tc>
          <w:tcPr>
            <w:tcW w:w="1168" w:type="dxa"/>
            <w:tcBorders>
              <w:top w:val="nil"/>
              <w:left w:val="nil"/>
              <w:bottom w:val="single" w:sz="4" w:space="0" w:color="auto"/>
              <w:right w:val="nil"/>
            </w:tcBorders>
            <w:shd w:val="clear" w:color="auto" w:fill="auto"/>
            <w:vAlign w:val="bottom"/>
          </w:tcPr>
          <w:p w14:paraId="42F3610D" w14:textId="77777777" w:rsidR="00A739E1" w:rsidRPr="002431C0" w:rsidRDefault="00A739E1" w:rsidP="0071296E">
            <w:pPr>
              <w:jc w:val="right"/>
              <w:rPr>
                <w:bCs/>
                <w:sz w:val="20"/>
                <w:szCs w:val="20"/>
              </w:rPr>
            </w:pPr>
            <w:r w:rsidRPr="002431C0">
              <w:rPr>
                <w:bCs/>
                <w:sz w:val="20"/>
                <w:szCs w:val="20"/>
              </w:rPr>
              <w:t>(1,756)</w:t>
            </w:r>
          </w:p>
        </w:tc>
        <w:tc>
          <w:tcPr>
            <w:tcW w:w="1160" w:type="dxa"/>
            <w:tcBorders>
              <w:top w:val="nil"/>
              <w:left w:val="single" w:sz="8" w:space="0" w:color="auto"/>
              <w:bottom w:val="single" w:sz="4" w:space="0" w:color="auto"/>
              <w:right w:val="single" w:sz="4" w:space="0" w:color="auto"/>
            </w:tcBorders>
            <w:shd w:val="clear" w:color="auto" w:fill="auto"/>
            <w:vAlign w:val="bottom"/>
          </w:tcPr>
          <w:p w14:paraId="0DDF12B5" w14:textId="77777777" w:rsidR="00A739E1" w:rsidRPr="002431C0" w:rsidRDefault="00A739E1" w:rsidP="0071296E">
            <w:pPr>
              <w:jc w:val="right"/>
              <w:rPr>
                <w:bCs/>
                <w:sz w:val="20"/>
                <w:szCs w:val="20"/>
              </w:rPr>
            </w:pPr>
            <w:r w:rsidRPr="002431C0">
              <w:rPr>
                <w:bCs/>
                <w:sz w:val="20"/>
                <w:szCs w:val="20"/>
              </w:rPr>
              <w:t>(4,371)</w:t>
            </w:r>
          </w:p>
        </w:tc>
        <w:tc>
          <w:tcPr>
            <w:tcW w:w="1584" w:type="dxa"/>
            <w:tcBorders>
              <w:top w:val="nil"/>
              <w:left w:val="nil"/>
              <w:bottom w:val="single" w:sz="4" w:space="0" w:color="auto"/>
              <w:right w:val="thinThickSmallGap" w:sz="24" w:space="0" w:color="auto"/>
            </w:tcBorders>
            <w:shd w:val="clear" w:color="auto" w:fill="auto"/>
            <w:noWrap/>
            <w:vAlign w:val="bottom"/>
          </w:tcPr>
          <w:p w14:paraId="41DD5B35" w14:textId="77777777" w:rsidR="00A739E1" w:rsidRPr="002431C0" w:rsidRDefault="00A739E1" w:rsidP="0071296E">
            <w:pPr>
              <w:jc w:val="right"/>
              <w:rPr>
                <w:bCs/>
                <w:sz w:val="20"/>
                <w:szCs w:val="20"/>
              </w:rPr>
            </w:pPr>
            <w:r w:rsidRPr="002431C0">
              <w:rPr>
                <w:bCs/>
                <w:sz w:val="20"/>
                <w:szCs w:val="20"/>
              </w:rPr>
              <w:t>2,318</w:t>
            </w:r>
          </w:p>
        </w:tc>
      </w:tr>
      <w:tr w:rsidR="00A739E1" w:rsidRPr="002431C0" w14:paraId="36B6CB53" w14:textId="77777777" w:rsidTr="0071296E">
        <w:trPr>
          <w:trHeight w:val="258"/>
        </w:trPr>
        <w:tc>
          <w:tcPr>
            <w:tcW w:w="1098" w:type="dxa"/>
            <w:tcBorders>
              <w:top w:val="nil"/>
              <w:left w:val="thinThickSmallGap" w:sz="24" w:space="0" w:color="auto"/>
              <w:bottom w:val="single" w:sz="4" w:space="0" w:color="auto"/>
              <w:right w:val="single" w:sz="4" w:space="0" w:color="auto"/>
            </w:tcBorders>
            <w:shd w:val="clear" w:color="auto" w:fill="auto"/>
            <w:noWrap/>
            <w:vAlign w:val="bottom"/>
          </w:tcPr>
          <w:p w14:paraId="0F0F2427" w14:textId="77777777" w:rsidR="00A739E1" w:rsidRPr="002431C0" w:rsidRDefault="00A739E1" w:rsidP="0071296E">
            <w:pPr>
              <w:rPr>
                <w:bCs/>
                <w:sz w:val="20"/>
                <w:szCs w:val="20"/>
              </w:rPr>
            </w:pPr>
            <w:r w:rsidRPr="002431C0">
              <w:rPr>
                <w:bCs/>
                <w:sz w:val="20"/>
                <w:szCs w:val="20"/>
              </w:rPr>
              <w:t>3.12U</w:t>
            </w:r>
          </w:p>
        </w:tc>
        <w:tc>
          <w:tcPr>
            <w:tcW w:w="5580" w:type="dxa"/>
            <w:tcBorders>
              <w:top w:val="nil"/>
              <w:left w:val="nil"/>
              <w:bottom w:val="single" w:sz="4" w:space="0" w:color="auto"/>
              <w:right w:val="single" w:sz="4" w:space="0" w:color="auto"/>
            </w:tcBorders>
            <w:shd w:val="clear" w:color="auto" w:fill="auto"/>
            <w:noWrap/>
            <w:vAlign w:val="bottom"/>
          </w:tcPr>
          <w:p w14:paraId="52EAB047" w14:textId="77777777" w:rsidR="00A739E1" w:rsidRPr="002431C0" w:rsidRDefault="00A739E1" w:rsidP="0071296E">
            <w:pPr>
              <w:rPr>
                <w:bCs/>
                <w:sz w:val="20"/>
                <w:szCs w:val="20"/>
              </w:rPr>
            </w:pPr>
            <w:r w:rsidRPr="002431C0">
              <w:rPr>
                <w:bCs/>
                <w:sz w:val="20"/>
                <w:szCs w:val="20"/>
              </w:rPr>
              <w:t>Planned Cap. Add Dec 2014 EOP-Update(Incl. in 3.11)</w:t>
            </w:r>
          </w:p>
        </w:tc>
        <w:tc>
          <w:tcPr>
            <w:tcW w:w="1168" w:type="dxa"/>
            <w:tcBorders>
              <w:top w:val="nil"/>
              <w:left w:val="nil"/>
              <w:bottom w:val="single" w:sz="4" w:space="0" w:color="auto"/>
              <w:right w:val="nil"/>
            </w:tcBorders>
            <w:shd w:val="clear" w:color="auto" w:fill="auto"/>
            <w:vAlign w:val="bottom"/>
          </w:tcPr>
          <w:p w14:paraId="107971E8" w14:textId="77777777" w:rsidR="00A739E1" w:rsidRPr="002431C0" w:rsidRDefault="00A739E1" w:rsidP="0071296E">
            <w:pPr>
              <w:jc w:val="right"/>
              <w:rPr>
                <w:bCs/>
                <w:sz w:val="20"/>
                <w:szCs w:val="20"/>
              </w:rPr>
            </w:pPr>
            <w:r w:rsidRPr="002431C0">
              <w:rPr>
                <w:bCs/>
                <w:sz w:val="20"/>
                <w:szCs w:val="20"/>
              </w:rPr>
              <w:t>-</w:t>
            </w:r>
          </w:p>
        </w:tc>
        <w:tc>
          <w:tcPr>
            <w:tcW w:w="1160" w:type="dxa"/>
            <w:tcBorders>
              <w:top w:val="nil"/>
              <w:left w:val="single" w:sz="8" w:space="0" w:color="auto"/>
              <w:bottom w:val="single" w:sz="4" w:space="0" w:color="auto"/>
              <w:right w:val="nil"/>
            </w:tcBorders>
            <w:shd w:val="clear" w:color="auto" w:fill="auto"/>
            <w:vAlign w:val="bottom"/>
          </w:tcPr>
          <w:p w14:paraId="1E138A27" w14:textId="77777777" w:rsidR="00A739E1" w:rsidRPr="002431C0" w:rsidRDefault="00A739E1" w:rsidP="0071296E">
            <w:pPr>
              <w:jc w:val="right"/>
              <w:rPr>
                <w:bCs/>
                <w:sz w:val="20"/>
                <w:szCs w:val="20"/>
              </w:rPr>
            </w:pPr>
            <w:r w:rsidRPr="002431C0">
              <w:rPr>
                <w:bCs/>
                <w:sz w:val="20"/>
                <w:szCs w:val="20"/>
              </w:rPr>
              <w:t>-</w:t>
            </w:r>
          </w:p>
        </w:tc>
        <w:tc>
          <w:tcPr>
            <w:tcW w:w="1584" w:type="dxa"/>
            <w:tcBorders>
              <w:top w:val="nil"/>
              <w:left w:val="single" w:sz="4" w:space="0" w:color="auto"/>
              <w:bottom w:val="single" w:sz="4" w:space="0" w:color="auto"/>
              <w:right w:val="thinThickSmallGap" w:sz="24" w:space="0" w:color="auto"/>
            </w:tcBorders>
            <w:shd w:val="clear" w:color="auto" w:fill="auto"/>
            <w:noWrap/>
            <w:vAlign w:val="bottom"/>
          </w:tcPr>
          <w:p w14:paraId="6EA7CED6" w14:textId="77777777" w:rsidR="00A739E1" w:rsidRPr="002431C0" w:rsidRDefault="00A739E1" w:rsidP="0071296E">
            <w:pPr>
              <w:jc w:val="right"/>
              <w:rPr>
                <w:bCs/>
                <w:sz w:val="20"/>
                <w:szCs w:val="20"/>
              </w:rPr>
            </w:pPr>
            <w:r w:rsidRPr="002431C0">
              <w:rPr>
                <w:bCs/>
                <w:sz w:val="20"/>
                <w:szCs w:val="20"/>
              </w:rPr>
              <w:t>-</w:t>
            </w:r>
          </w:p>
        </w:tc>
      </w:tr>
      <w:tr w:rsidR="00A739E1" w:rsidRPr="002431C0" w14:paraId="184DD6C9" w14:textId="77777777" w:rsidTr="0071296E">
        <w:trPr>
          <w:trHeight w:val="255"/>
        </w:trPr>
        <w:tc>
          <w:tcPr>
            <w:tcW w:w="1098" w:type="dxa"/>
            <w:tcBorders>
              <w:top w:val="nil"/>
              <w:left w:val="thinThickSmallGap" w:sz="24" w:space="0" w:color="auto"/>
              <w:bottom w:val="single" w:sz="4" w:space="0" w:color="auto"/>
              <w:right w:val="single" w:sz="4" w:space="0" w:color="auto"/>
            </w:tcBorders>
            <w:shd w:val="clear" w:color="auto" w:fill="auto"/>
            <w:noWrap/>
            <w:vAlign w:val="bottom"/>
          </w:tcPr>
          <w:p w14:paraId="1DA2F211" w14:textId="77777777" w:rsidR="00A739E1" w:rsidRPr="002431C0" w:rsidRDefault="00A739E1" w:rsidP="0071296E">
            <w:pPr>
              <w:rPr>
                <w:bCs/>
                <w:sz w:val="20"/>
                <w:szCs w:val="20"/>
              </w:rPr>
            </w:pPr>
            <w:r w:rsidRPr="002431C0">
              <w:rPr>
                <w:bCs/>
                <w:sz w:val="20"/>
                <w:szCs w:val="20"/>
              </w:rPr>
              <w:t>3.13</w:t>
            </w:r>
          </w:p>
        </w:tc>
        <w:tc>
          <w:tcPr>
            <w:tcW w:w="5580" w:type="dxa"/>
            <w:tcBorders>
              <w:top w:val="nil"/>
              <w:left w:val="nil"/>
              <w:bottom w:val="single" w:sz="4" w:space="0" w:color="auto"/>
              <w:right w:val="single" w:sz="4" w:space="0" w:color="auto"/>
            </w:tcBorders>
            <w:shd w:val="clear" w:color="auto" w:fill="auto"/>
            <w:noWrap/>
            <w:vAlign w:val="bottom"/>
          </w:tcPr>
          <w:p w14:paraId="0F2D3186" w14:textId="77777777" w:rsidR="00A739E1" w:rsidRPr="002431C0" w:rsidRDefault="00A739E1" w:rsidP="0071296E">
            <w:pPr>
              <w:rPr>
                <w:bCs/>
                <w:sz w:val="20"/>
                <w:szCs w:val="20"/>
              </w:rPr>
            </w:pPr>
            <w:r w:rsidRPr="002431C0">
              <w:rPr>
                <w:bCs/>
                <w:sz w:val="20"/>
                <w:szCs w:val="20"/>
              </w:rPr>
              <w:t>WA CS2 &amp; Colstrip O&amp;M/ICNU 3.10</w:t>
            </w:r>
          </w:p>
        </w:tc>
        <w:tc>
          <w:tcPr>
            <w:tcW w:w="1168" w:type="dxa"/>
            <w:tcBorders>
              <w:top w:val="nil"/>
              <w:left w:val="nil"/>
              <w:bottom w:val="single" w:sz="4" w:space="0" w:color="auto"/>
              <w:right w:val="nil"/>
            </w:tcBorders>
            <w:shd w:val="clear" w:color="auto" w:fill="auto"/>
            <w:vAlign w:val="bottom"/>
          </w:tcPr>
          <w:p w14:paraId="53D18FC2" w14:textId="77777777" w:rsidR="00A739E1" w:rsidRPr="002431C0" w:rsidRDefault="00A739E1" w:rsidP="0071296E">
            <w:pPr>
              <w:jc w:val="right"/>
              <w:rPr>
                <w:bCs/>
                <w:sz w:val="20"/>
                <w:szCs w:val="20"/>
              </w:rPr>
            </w:pPr>
            <w:r w:rsidRPr="002431C0">
              <w:rPr>
                <w:bCs/>
                <w:sz w:val="20"/>
                <w:szCs w:val="20"/>
              </w:rPr>
              <w:t>180</w:t>
            </w:r>
          </w:p>
        </w:tc>
        <w:tc>
          <w:tcPr>
            <w:tcW w:w="1160" w:type="dxa"/>
            <w:tcBorders>
              <w:top w:val="nil"/>
              <w:left w:val="single" w:sz="8" w:space="0" w:color="auto"/>
              <w:bottom w:val="single" w:sz="4" w:space="0" w:color="auto"/>
              <w:right w:val="nil"/>
            </w:tcBorders>
            <w:shd w:val="clear" w:color="auto" w:fill="auto"/>
            <w:vAlign w:val="bottom"/>
          </w:tcPr>
          <w:p w14:paraId="2984FA84" w14:textId="77777777" w:rsidR="00A739E1" w:rsidRPr="002431C0" w:rsidRDefault="00A739E1" w:rsidP="0071296E">
            <w:pPr>
              <w:jc w:val="right"/>
              <w:rPr>
                <w:bCs/>
                <w:sz w:val="20"/>
                <w:szCs w:val="20"/>
              </w:rPr>
            </w:pPr>
            <w:r w:rsidRPr="002431C0">
              <w:rPr>
                <w:bCs/>
                <w:sz w:val="20"/>
                <w:szCs w:val="20"/>
              </w:rPr>
              <w:t>-</w:t>
            </w:r>
          </w:p>
        </w:tc>
        <w:tc>
          <w:tcPr>
            <w:tcW w:w="1584" w:type="dxa"/>
            <w:tcBorders>
              <w:top w:val="nil"/>
              <w:left w:val="single" w:sz="4" w:space="0" w:color="auto"/>
              <w:bottom w:val="single" w:sz="4" w:space="0" w:color="auto"/>
              <w:right w:val="thinThickSmallGap" w:sz="24" w:space="0" w:color="auto"/>
            </w:tcBorders>
            <w:shd w:val="clear" w:color="auto" w:fill="auto"/>
            <w:noWrap/>
            <w:vAlign w:val="bottom"/>
          </w:tcPr>
          <w:p w14:paraId="6D8B6926" w14:textId="77777777" w:rsidR="00A739E1" w:rsidRPr="002431C0" w:rsidRDefault="00A739E1" w:rsidP="0071296E">
            <w:pPr>
              <w:jc w:val="right"/>
              <w:rPr>
                <w:bCs/>
                <w:sz w:val="20"/>
                <w:szCs w:val="20"/>
              </w:rPr>
            </w:pPr>
            <w:r w:rsidRPr="002431C0">
              <w:rPr>
                <w:bCs/>
                <w:sz w:val="20"/>
                <w:szCs w:val="20"/>
              </w:rPr>
              <w:t>(290)</w:t>
            </w:r>
          </w:p>
        </w:tc>
      </w:tr>
      <w:tr w:rsidR="00A739E1" w:rsidRPr="002431C0" w14:paraId="2B830762" w14:textId="77777777" w:rsidTr="0071296E">
        <w:trPr>
          <w:trHeight w:val="255"/>
        </w:trPr>
        <w:tc>
          <w:tcPr>
            <w:tcW w:w="1098" w:type="dxa"/>
            <w:tcBorders>
              <w:top w:val="nil"/>
              <w:left w:val="thinThickSmallGap" w:sz="24" w:space="0" w:color="auto"/>
              <w:bottom w:val="single" w:sz="4" w:space="0" w:color="auto"/>
              <w:right w:val="single" w:sz="4" w:space="0" w:color="auto"/>
            </w:tcBorders>
            <w:shd w:val="clear" w:color="auto" w:fill="auto"/>
            <w:noWrap/>
            <w:vAlign w:val="bottom"/>
          </w:tcPr>
          <w:p w14:paraId="7D3599C8" w14:textId="77777777" w:rsidR="00A739E1" w:rsidRPr="002431C0" w:rsidRDefault="00A739E1" w:rsidP="0071296E">
            <w:pPr>
              <w:rPr>
                <w:bCs/>
                <w:sz w:val="20"/>
                <w:szCs w:val="20"/>
              </w:rPr>
            </w:pPr>
            <w:r w:rsidRPr="002431C0">
              <w:rPr>
                <w:bCs/>
                <w:sz w:val="20"/>
                <w:szCs w:val="20"/>
              </w:rPr>
              <w:t>PC-E3.13</w:t>
            </w:r>
          </w:p>
        </w:tc>
        <w:tc>
          <w:tcPr>
            <w:tcW w:w="5580" w:type="dxa"/>
            <w:tcBorders>
              <w:top w:val="nil"/>
              <w:left w:val="nil"/>
              <w:bottom w:val="single" w:sz="4" w:space="0" w:color="auto"/>
              <w:right w:val="single" w:sz="4" w:space="0" w:color="auto"/>
            </w:tcBorders>
            <w:shd w:val="clear" w:color="auto" w:fill="auto"/>
            <w:noWrap/>
            <w:vAlign w:val="bottom"/>
          </w:tcPr>
          <w:p w14:paraId="0C5999C7" w14:textId="77777777" w:rsidR="00A739E1" w:rsidRPr="002431C0" w:rsidRDefault="00A739E1" w:rsidP="0071296E">
            <w:pPr>
              <w:rPr>
                <w:bCs/>
                <w:sz w:val="20"/>
                <w:szCs w:val="20"/>
              </w:rPr>
            </w:pPr>
            <w:r w:rsidRPr="002431C0">
              <w:rPr>
                <w:bCs/>
                <w:sz w:val="20"/>
                <w:szCs w:val="20"/>
              </w:rPr>
              <w:t>Reflect Updated Repairs Tax Deduction</w:t>
            </w:r>
          </w:p>
        </w:tc>
        <w:tc>
          <w:tcPr>
            <w:tcW w:w="1168" w:type="dxa"/>
            <w:tcBorders>
              <w:top w:val="nil"/>
              <w:left w:val="nil"/>
              <w:bottom w:val="single" w:sz="4" w:space="0" w:color="auto"/>
              <w:right w:val="nil"/>
            </w:tcBorders>
            <w:shd w:val="clear" w:color="auto" w:fill="auto"/>
            <w:vAlign w:val="bottom"/>
          </w:tcPr>
          <w:p w14:paraId="646D0E2E" w14:textId="77777777" w:rsidR="00A739E1" w:rsidRPr="002431C0" w:rsidRDefault="00A739E1" w:rsidP="0071296E">
            <w:pPr>
              <w:jc w:val="right"/>
              <w:rPr>
                <w:bCs/>
                <w:sz w:val="20"/>
                <w:szCs w:val="20"/>
              </w:rPr>
            </w:pPr>
            <w:r w:rsidRPr="002431C0">
              <w:rPr>
                <w:bCs/>
                <w:sz w:val="20"/>
                <w:szCs w:val="20"/>
              </w:rPr>
              <w:t>(37)</w:t>
            </w:r>
          </w:p>
        </w:tc>
        <w:tc>
          <w:tcPr>
            <w:tcW w:w="1160" w:type="dxa"/>
            <w:tcBorders>
              <w:top w:val="nil"/>
              <w:left w:val="single" w:sz="8" w:space="0" w:color="auto"/>
              <w:bottom w:val="single" w:sz="4" w:space="0" w:color="auto"/>
              <w:right w:val="nil"/>
            </w:tcBorders>
            <w:shd w:val="clear" w:color="auto" w:fill="auto"/>
            <w:vAlign w:val="bottom"/>
          </w:tcPr>
          <w:p w14:paraId="46C5DEF7" w14:textId="77777777" w:rsidR="00A739E1" w:rsidRPr="002431C0" w:rsidRDefault="00A739E1" w:rsidP="0071296E">
            <w:pPr>
              <w:jc w:val="right"/>
              <w:rPr>
                <w:bCs/>
                <w:sz w:val="20"/>
                <w:szCs w:val="20"/>
              </w:rPr>
            </w:pPr>
            <w:r w:rsidRPr="002431C0">
              <w:rPr>
                <w:bCs/>
                <w:sz w:val="20"/>
                <w:szCs w:val="20"/>
              </w:rPr>
              <w:t>(3,896)</w:t>
            </w:r>
          </w:p>
        </w:tc>
        <w:tc>
          <w:tcPr>
            <w:tcW w:w="1584" w:type="dxa"/>
            <w:tcBorders>
              <w:top w:val="nil"/>
              <w:left w:val="single" w:sz="4" w:space="0" w:color="auto"/>
              <w:bottom w:val="single" w:sz="4" w:space="0" w:color="auto"/>
              <w:right w:val="thinThickSmallGap" w:sz="24" w:space="0" w:color="auto"/>
            </w:tcBorders>
            <w:shd w:val="clear" w:color="auto" w:fill="auto"/>
            <w:noWrap/>
            <w:vAlign w:val="bottom"/>
          </w:tcPr>
          <w:p w14:paraId="300784EB" w14:textId="77777777" w:rsidR="00A739E1" w:rsidRPr="002431C0" w:rsidRDefault="00A739E1" w:rsidP="0071296E">
            <w:pPr>
              <w:jc w:val="right"/>
              <w:rPr>
                <w:bCs/>
                <w:sz w:val="20"/>
                <w:szCs w:val="20"/>
              </w:rPr>
            </w:pPr>
            <w:r w:rsidRPr="002431C0">
              <w:rPr>
                <w:bCs/>
                <w:sz w:val="20"/>
                <w:szCs w:val="20"/>
              </w:rPr>
              <w:t>(398)</w:t>
            </w:r>
          </w:p>
        </w:tc>
      </w:tr>
      <w:tr w:rsidR="00A739E1" w:rsidRPr="002431C0" w14:paraId="0E422F14" w14:textId="77777777" w:rsidTr="0071296E">
        <w:trPr>
          <w:trHeight w:val="255"/>
        </w:trPr>
        <w:tc>
          <w:tcPr>
            <w:tcW w:w="1098" w:type="dxa"/>
            <w:tcBorders>
              <w:top w:val="nil"/>
              <w:left w:val="thinThickSmallGap" w:sz="24" w:space="0" w:color="auto"/>
              <w:bottom w:val="single" w:sz="4" w:space="0" w:color="auto"/>
              <w:right w:val="single" w:sz="4" w:space="0" w:color="auto"/>
            </w:tcBorders>
            <w:shd w:val="clear" w:color="auto" w:fill="auto"/>
            <w:noWrap/>
            <w:vAlign w:val="bottom"/>
          </w:tcPr>
          <w:p w14:paraId="5CBF168A" w14:textId="77777777" w:rsidR="00A739E1" w:rsidRPr="002431C0" w:rsidRDefault="00A739E1" w:rsidP="0071296E">
            <w:pPr>
              <w:rPr>
                <w:bCs/>
                <w:sz w:val="20"/>
                <w:szCs w:val="20"/>
              </w:rPr>
            </w:pPr>
            <w:r w:rsidRPr="002431C0">
              <w:rPr>
                <w:bCs/>
                <w:sz w:val="20"/>
                <w:szCs w:val="20"/>
              </w:rPr>
              <w:t>4.01</w:t>
            </w:r>
          </w:p>
        </w:tc>
        <w:tc>
          <w:tcPr>
            <w:tcW w:w="5580" w:type="dxa"/>
            <w:tcBorders>
              <w:top w:val="nil"/>
              <w:left w:val="nil"/>
              <w:bottom w:val="single" w:sz="4" w:space="0" w:color="auto"/>
              <w:right w:val="single" w:sz="4" w:space="0" w:color="auto"/>
            </w:tcBorders>
            <w:shd w:val="clear" w:color="auto" w:fill="auto"/>
            <w:noWrap/>
            <w:vAlign w:val="bottom"/>
          </w:tcPr>
          <w:p w14:paraId="29D0811A" w14:textId="77777777" w:rsidR="00A739E1" w:rsidRPr="002431C0" w:rsidRDefault="00A739E1" w:rsidP="0071296E">
            <w:pPr>
              <w:rPr>
                <w:bCs/>
                <w:sz w:val="20"/>
                <w:szCs w:val="20"/>
              </w:rPr>
            </w:pPr>
            <w:r w:rsidRPr="002431C0">
              <w:rPr>
                <w:bCs/>
                <w:sz w:val="20"/>
                <w:szCs w:val="20"/>
              </w:rPr>
              <w:t>Planned Capital Add 2015 EOP</w:t>
            </w:r>
          </w:p>
        </w:tc>
        <w:tc>
          <w:tcPr>
            <w:tcW w:w="1168" w:type="dxa"/>
            <w:tcBorders>
              <w:top w:val="nil"/>
              <w:left w:val="nil"/>
              <w:bottom w:val="single" w:sz="4" w:space="0" w:color="auto"/>
              <w:right w:val="nil"/>
            </w:tcBorders>
            <w:shd w:val="clear" w:color="auto" w:fill="auto"/>
            <w:vAlign w:val="bottom"/>
          </w:tcPr>
          <w:p w14:paraId="3EF59B89" w14:textId="77777777" w:rsidR="00A739E1" w:rsidRPr="002431C0" w:rsidRDefault="00A739E1" w:rsidP="0071296E">
            <w:pPr>
              <w:jc w:val="right"/>
              <w:rPr>
                <w:bCs/>
                <w:sz w:val="20"/>
                <w:szCs w:val="20"/>
              </w:rPr>
            </w:pPr>
            <w:r w:rsidRPr="002431C0">
              <w:rPr>
                <w:bCs/>
                <w:sz w:val="20"/>
                <w:szCs w:val="20"/>
              </w:rPr>
              <w:t>(2,601)</w:t>
            </w:r>
          </w:p>
        </w:tc>
        <w:tc>
          <w:tcPr>
            <w:tcW w:w="1160" w:type="dxa"/>
            <w:tcBorders>
              <w:top w:val="nil"/>
              <w:left w:val="single" w:sz="8" w:space="0" w:color="auto"/>
              <w:bottom w:val="single" w:sz="4" w:space="0" w:color="auto"/>
              <w:right w:val="nil"/>
            </w:tcBorders>
            <w:shd w:val="clear" w:color="auto" w:fill="auto"/>
            <w:vAlign w:val="bottom"/>
          </w:tcPr>
          <w:p w14:paraId="6F5CAF7B" w14:textId="77777777" w:rsidR="00A739E1" w:rsidRPr="002431C0" w:rsidRDefault="00A739E1" w:rsidP="0071296E">
            <w:pPr>
              <w:jc w:val="right"/>
              <w:rPr>
                <w:bCs/>
                <w:sz w:val="20"/>
                <w:szCs w:val="20"/>
              </w:rPr>
            </w:pPr>
            <w:r w:rsidRPr="002431C0">
              <w:rPr>
                <w:bCs/>
                <w:sz w:val="20"/>
                <w:szCs w:val="20"/>
              </w:rPr>
              <w:t>56,363</w:t>
            </w:r>
          </w:p>
        </w:tc>
        <w:tc>
          <w:tcPr>
            <w:tcW w:w="1584" w:type="dxa"/>
            <w:tcBorders>
              <w:top w:val="nil"/>
              <w:left w:val="single" w:sz="4" w:space="0" w:color="auto"/>
              <w:bottom w:val="single" w:sz="4" w:space="0" w:color="auto"/>
              <w:right w:val="thinThickSmallGap" w:sz="24" w:space="0" w:color="auto"/>
            </w:tcBorders>
            <w:shd w:val="clear" w:color="auto" w:fill="auto"/>
            <w:noWrap/>
            <w:vAlign w:val="bottom"/>
          </w:tcPr>
          <w:p w14:paraId="51C50448" w14:textId="77777777" w:rsidR="00A739E1" w:rsidRPr="002431C0" w:rsidRDefault="00A739E1" w:rsidP="0071296E">
            <w:pPr>
              <w:jc w:val="right"/>
              <w:rPr>
                <w:bCs/>
                <w:sz w:val="20"/>
                <w:szCs w:val="20"/>
              </w:rPr>
            </w:pPr>
            <w:r w:rsidRPr="002431C0">
              <w:rPr>
                <w:bCs/>
                <w:sz w:val="20"/>
                <w:szCs w:val="20"/>
              </w:rPr>
              <w:t>10,819</w:t>
            </w:r>
          </w:p>
        </w:tc>
      </w:tr>
      <w:tr w:rsidR="00A739E1" w:rsidRPr="002431C0" w14:paraId="043B9F98" w14:textId="77777777" w:rsidTr="0071296E">
        <w:trPr>
          <w:trHeight w:val="288"/>
        </w:trPr>
        <w:tc>
          <w:tcPr>
            <w:tcW w:w="1098" w:type="dxa"/>
            <w:tcBorders>
              <w:top w:val="nil"/>
              <w:left w:val="thinThickSmallGap" w:sz="24" w:space="0" w:color="auto"/>
              <w:bottom w:val="single" w:sz="4" w:space="0" w:color="auto"/>
              <w:right w:val="single" w:sz="4" w:space="0" w:color="auto"/>
            </w:tcBorders>
            <w:shd w:val="clear" w:color="auto" w:fill="auto"/>
            <w:noWrap/>
            <w:vAlign w:val="bottom"/>
          </w:tcPr>
          <w:p w14:paraId="1C14BB7B" w14:textId="77777777" w:rsidR="00A739E1" w:rsidRPr="002431C0" w:rsidRDefault="00A739E1" w:rsidP="0071296E">
            <w:pPr>
              <w:rPr>
                <w:bCs/>
                <w:sz w:val="20"/>
                <w:szCs w:val="20"/>
              </w:rPr>
            </w:pPr>
            <w:r w:rsidRPr="002431C0">
              <w:rPr>
                <w:bCs/>
                <w:sz w:val="20"/>
                <w:szCs w:val="20"/>
              </w:rPr>
              <w:t>4.02</w:t>
            </w:r>
          </w:p>
        </w:tc>
        <w:tc>
          <w:tcPr>
            <w:tcW w:w="5580" w:type="dxa"/>
            <w:tcBorders>
              <w:top w:val="nil"/>
              <w:left w:val="nil"/>
              <w:bottom w:val="single" w:sz="4" w:space="0" w:color="auto"/>
              <w:right w:val="single" w:sz="4" w:space="0" w:color="auto"/>
            </w:tcBorders>
            <w:shd w:val="clear" w:color="auto" w:fill="auto"/>
            <w:noWrap/>
            <w:vAlign w:val="bottom"/>
          </w:tcPr>
          <w:p w14:paraId="62690D69" w14:textId="77777777" w:rsidR="00A739E1" w:rsidRPr="002431C0" w:rsidRDefault="00A739E1" w:rsidP="0071296E">
            <w:pPr>
              <w:rPr>
                <w:bCs/>
                <w:sz w:val="20"/>
                <w:szCs w:val="20"/>
              </w:rPr>
            </w:pPr>
            <w:r w:rsidRPr="002431C0">
              <w:rPr>
                <w:bCs/>
                <w:sz w:val="20"/>
                <w:szCs w:val="20"/>
              </w:rPr>
              <w:t>Planned Capital Add 2016 AMA</w:t>
            </w:r>
          </w:p>
        </w:tc>
        <w:tc>
          <w:tcPr>
            <w:tcW w:w="1168" w:type="dxa"/>
            <w:tcBorders>
              <w:top w:val="nil"/>
              <w:left w:val="nil"/>
              <w:bottom w:val="single" w:sz="4" w:space="0" w:color="auto"/>
              <w:right w:val="nil"/>
            </w:tcBorders>
            <w:shd w:val="clear" w:color="auto" w:fill="auto"/>
            <w:vAlign w:val="bottom"/>
          </w:tcPr>
          <w:p w14:paraId="73346A08" w14:textId="77777777" w:rsidR="00A739E1" w:rsidRPr="002431C0" w:rsidRDefault="00A739E1" w:rsidP="0071296E">
            <w:pPr>
              <w:jc w:val="right"/>
              <w:rPr>
                <w:bCs/>
                <w:sz w:val="20"/>
                <w:szCs w:val="20"/>
              </w:rPr>
            </w:pPr>
            <w:r w:rsidRPr="002431C0">
              <w:rPr>
                <w:bCs/>
                <w:sz w:val="20"/>
                <w:szCs w:val="20"/>
              </w:rPr>
              <w:t>-</w:t>
            </w:r>
          </w:p>
        </w:tc>
        <w:tc>
          <w:tcPr>
            <w:tcW w:w="1160" w:type="dxa"/>
            <w:tcBorders>
              <w:top w:val="nil"/>
              <w:left w:val="single" w:sz="8" w:space="0" w:color="auto"/>
              <w:bottom w:val="single" w:sz="4" w:space="0" w:color="auto"/>
              <w:right w:val="nil"/>
            </w:tcBorders>
            <w:shd w:val="clear" w:color="auto" w:fill="auto"/>
            <w:vAlign w:val="bottom"/>
          </w:tcPr>
          <w:p w14:paraId="3CD49C88" w14:textId="77777777" w:rsidR="00A739E1" w:rsidRPr="002431C0" w:rsidRDefault="00A739E1" w:rsidP="0071296E">
            <w:pPr>
              <w:jc w:val="right"/>
              <w:rPr>
                <w:bCs/>
                <w:sz w:val="20"/>
                <w:szCs w:val="20"/>
              </w:rPr>
            </w:pPr>
            <w:r w:rsidRPr="002431C0">
              <w:rPr>
                <w:bCs/>
                <w:sz w:val="20"/>
                <w:szCs w:val="20"/>
              </w:rPr>
              <w:t>-</w:t>
            </w:r>
          </w:p>
        </w:tc>
        <w:tc>
          <w:tcPr>
            <w:tcW w:w="1584" w:type="dxa"/>
            <w:tcBorders>
              <w:top w:val="nil"/>
              <w:left w:val="single" w:sz="4" w:space="0" w:color="auto"/>
              <w:bottom w:val="single" w:sz="4" w:space="0" w:color="auto"/>
              <w:right w:val="thinThickSmallGap" w:sz="24" w:space="0" w:color="auto"/>
            </w:tcBorders>
            <w:shd w:val="clear" w:color="auto" w:fill="auto"/>
            <w:noWrap/>
            <w:vAlign w:val="bottom"/>
          </w:tcPr>
          <w:p w14:paraId="4385EF56" w14:textId="77777777" w:rsidR="00A739E1" w:rsidRPr="002431C0" w:rsidRDefault="00A739E1" w:rsidP="0071296E">
            <w:pPr>
              <w:jc w:val="right"/>
              <w:rPr>
                <w:bCs/>
                <w:sz w:val="20"/>
                <w:szCs w:val="20"/>
              </w:rPr>
            </w:pPr>
            <w:r w:rsidRPr="002431C0">
              <w:rPr>
                <w:bCs/>
                <w:sz w:val="20"/>
                <w:szCs w:val="20"/>
              </w:rPr>
              <w:t>-</w:t>
            </w:r>
          </w:p>
        </w:tc>
      </w:tr>
      <w:tr w:rsidR="00A739E1" w:rsidRPr="002431C0" w14:paraId="17658A59" w14:textId="77777777" w:rsidTr="0071296E">
        <w:trPr>
          <w:trHeight w:val="432"/>
        </w:trPr>
        <w:tc>
          <w:tcPr>
            <w:tcW w:w="1098" w:type="dxa"/>
            <w:tcBorders>
              <w:top w:val="nil"/>
              <w:left w:val="thinThickSmallGap" w:sz="24" w:space="0" w:color="auto"/>
              <w:bottom w:val="single" w:sz="4" w:space="0" w:color="auto"/>
              <w:right w:val="single" w:sz="4" w:space="0" w:color="auto"/>
            </w:tcBorders>
            <w:shd w:val="clear" w:color="auto" w:fill="auto"/>
            <w:noWrap/>
            <w:vAlign w:val="bottom"/>
          </w:tcPr>
          <w:p w14:paraId="7E664C87" w14:textId="77777777" w:rsidR="00A739E1" w:rsidRPr="002431C0" w:rsidRDefault="00A739E1" w:rsidP="0071296E">
            <w:pPr>
              <w:rPr>
                <w:bCs/>
                <w:sz w:val="20"/>
                <w:szCs w:val="20"/>
              </w:rPr>
            </w:pPr>
            <w:r w:rsidRPr="002431C0">
              <w:rPr>
                <w:bCs/>
                <w:sz w:val="20"/>
                <w:szCs w:val="20"/>
              </w:rPr>
              <w:t>4.04</w:t>
            </w:r>
          </w:p>
        </w:tc>
        <w:tc>
          <w:tcPr>
            <w:tcW w:w="5580" w:type="dxa"/>
            <w:tcBorders>
              <w:top w:val="nil"/>
              <w:left w:val="nil"/>
              <w:bottom w:val="single" w:sz="4" w:space="0" w:color="auto"/>
              <w:right w:val="single" w:sz="4" w:space="0" w:color="auto"/>
            </w:tcBorders>
            <w:shd w:val="clear" w:color="auto" w:fill="auto"/>
            <w:noWrap/>
            <w:vAlign w:val="bottom"/>
          </w:tcPr>
          <w:p w14:paraId="3592CDBB" w14:textId="77777777" w:rsidR="00A739E1" w:rsidRPr="002431C0" w:rsidRDefault="00A739E1" w:rsidP="0071296E">
            <w:pPr>
              <w:rPr>
                <w:bCs/>
                <w:sz w:val="20"/>
                <w:szCs w:val="20"/>
              </w:rPr>
            </w:pPr>
            <w:r w:rsidRPr="002431C0">
              <w:rPr>
                <w:bCs/>
                <w:sz w:val="20"/>
                <w:szCs w:val="20"/>
              </w:rPr>
              <w:t>O&amp;M Offsets</w:t>
            </w:r>
          </w:p>
        </w:tc>
        <w:tc>
          <w:tcPr>
            <w:tcW w:w="1168" w:type="dxa"/>
            <w:tcBorders>
              <w:top w:val="nil"/>
              <w:left w:val="nil"/>
              <w:bottom w:val="single" w:sz="4" w:space="0" w:color="auto"/>
              <w:right w:val="nil"/>
            </w:tcBorders>
            <w:shd w:val="clear" w:color="auto" w:fill="auto"/>
            <w:vAlign w:val="bottom"/>
          </w:tcPr>
          <w:p w14:paraId="5BEB4DFB" w14:textId="77777777" w:rsidR="00A739E1" w:rsidRPr="002431C0" w:rsidRDefault="00A739E1" w:rsidP="0071296E">
            <w:pPr>
              <w:jc w:val="right"/>
              <w:rPr>
                <w:bCs/>
                <w:sz w:val="20"/>
                <w:szCs w:val="20"/>
              </w:rPr>
            </w:pPr>
            <w:r w:rsidRPr="002431C0">
              <w:rPr>
                <w:bCs/>
                <w:sz w:val="20"/>
                <w:szCs w:val="20"/>
              </w:rPr>
              <w:t>309</w:t>
            </w:r>
          </w:p>
        </w:tc>
        <w:tc>
          <w:tcPr>
            <w:tcW w:w="1160" w:type="dxa"/>
            <w:tcBorders>
              <w:top w:val="nil"/>
              <w:left w:val="single" w:sz="8" w:space="0" w:color="auto"/>
              <w:bottom w:val="single" w:sz="4" w:space="0" w:color="auto"/>
              <w:right w:val="nil"/>
            </w:tcBorders>
            <w:shd w:val="clear" w:color="auto" w:fill="auto"/>
            <w:vAlign w:val="bottom"/>
          </w:tcPr>
          <w:p w14:paraId="6D1B8839" w14:textId="77777777" w:rsidR="00A739E1" w:rsidRPr="002431C0" w:rsidRDefault="00A739E1" w:rsidP="0071296E">
            <w:pPr>
              <w:jc w:val="right"/>
              <w:rPr>
                <w:bCs/>
                <w:sz w:val="20"/>
                <w:szCs w:val="20"/>
              </w:rPr>
            </w:pPr>
            <w:r w:rsidRPr="002431C0">
              <w:rPr>
                <w:bCs/>
                <w:sz w:val="20"/>
                <w:szCs w:val="20"/>
              </w:rPr>
              <w:t>-</w:t>
            </w:r>
          </w:p>
        </w:tc>
        <w:tc>
          <w:tcPr>
            <w:tcW w:w="1584" w:type="dxa"/>
            <w:tcBorders>
              <w:top w:val="nil"/>
              <w:left w:val="single" w:sz="4" w:space="0" w:color="auto"/>
              <w:bottom w:val="single" w:sz="4" w:space="0" w:color="auto"/>
              <w:right w:val="thinThickSmallGap" w:sz="24" w:space="0" w:color="auto"/>
            </w:tcBorders>
            <w:shd w:val="clear" w:color="auto" w:fill="auto"/>
            <w:noWrap/>
            <w:vAlign w:val="bottom"/>
          </w:tcPr>
          <w:p w14:paraId="5445DE14" w14:textId="77777777" w:rsidR="00A739E1" w:rsidRPr="002431C0" w:rsidRDefault="00A739E1" w:rsidP="0071296E">
            <w:pPr>
              <w:jc w:val="right"/>
              <w:rPr>
                <w:bCs/>
                <w:sz w:val="20"/>
                <w:szCs w:val="20"/>
              </w:rPr>
            </w:pPr>
            <w:r w:rsidRPr="002431C0">
              <w:rPr>
                <w:bCs/>
                <w:sz w:val="20"/>
                <w:szCs w:val="20"/>
              </w:rPr>
              <w:t>(498)</w:t>
            </w:r>
          </w:p>
        </w:tc>
      </w:tr>
      <w:tr w:rsidR="00A739E1" w:rsidRPr="002431C0" w14:paraId="1731F90E" w14:textId="77777777" w:rsidTr="0071296E">
        <w:trPr>
          <w:trHeight w:val="255"/>
        </w:trPr>
        <w:tc>
          <w:tcPr>
            <w:tcW w:w="1098" w:type="dxa"/>
            <w:tcBorders>
              <w:top w:val="nil"/>
              <w:left w:val="thinThickSmallGap" w:sz="24" w:space="0" w:color="auto"/>
              <w:bottom w:val="single" w:sz="4" w:space="0" w:color="auto"/>
              <w:right w:val="single" w:sz="4" w:space="0" w:color="auto"/>
            </w:tcBorders>
            <w:shd w:val="clear" w:color="auto" w:fill="auto"/>
            <w:noWrap/>
            <w:vAlign w:val="bottom"/>
          </w:tcPr>
          <w:p w14:paraId="2D792D15" w14:textId="77777777" w:rsidR="00A739E1" w:rsidRPr="002431C0" w:rsidRDefault="00A739E1" w:rsidP="0071296E">
            <w:pPr>
              <w:rPr>
                <w:bCs/>
                <w:sz w:val="20"/>
                <w:szCs w:val="20"/>
              </w:rPr>
            </w:pPr>
            <w:r w:rsidRPr="002431C0">
              <w:rPr>
                <w:bCs/>
                <w:sz w:val="20"/>
                <w:szCs w:val="20"/>
              </w:rPr>
              <w:t>4.05</w:t>
            </w:r>
          </w:p>
        </w:tc>
        <w:tc>
          <w:tcPr>
            <w:tcW w:w="5580" w:type="dxa"/>
            <w:tcBorders>
              <w:top w:val="nil"/>
              <w:left w:val="nil"/>
              <w:bottom w:val="single" w:sz="4" w:space="0" w:color="auto"/>
              <w:right w:val="single" w:sz="4" w:space="0" w:color="auto"/>
            </w:tcBorders>
            <w:shd w:val="clear" w:color="auto" w:fill="auto"/>
            <w:noWrap/>
            <w:vAlign w:val="bottom"/>
          </w:tcPr>
          <w:p w14:paraId="1CC353AD" w14:textId="77777777" w:rsidR="00A739E1" w:rsidRPr="002431C0" w:rsidRDefault="00A739E1" w:rsidP="0071296E">
            <w:pPr>
              <w:rPr>
                <w:bCs/>
                <w:sz w:val="20"/>
                <w:szCs w:val="20"/>
              </w:rPr>
            </w:pPr>
            <w:r w:rsidRPr="002431C0">
              <w:rPr>
                <w:bCs/>
                <w:sz w:val="20"/>
                <w:szCs w:val="20"/>
              </w:rPr>
              <w:t>Reconcile Pro Forma To Attrition</w:t>
            </w:r>
          </w:p>
        </w:tc>
        <w:tc>
          <w:tcPr>
            <w:tcW w:w="1168" w:type="dxa"/>
            <w:tcBorders>
              <w:top w:val="nil"/>
              <w:left w:val="nil"/>
              <w:bottom w:val="single" w:sz="4" w:space="0" w:color="auto"/>
              <w:right w:val="nil"/>
            </w:tcBorders>
            <w:shd w:val="clear" w:color="auto" w:fill="auto"/>
            <w:vAlign w:val="bottom"/>
          </w:tcPr>
          <w:p w14:paraId="0C6DCD8C" w14:textId="77777777" w:rsidR="00A739E1" w:rsidRPr="002431C0" w:rsidRDefault="00A739E1" w:rsidP="0071296E">
            <w:pPr>
              <w:jc w:val="right"/>
              <w:rPr>
                <w:bCs/>
                <w:sz w:val="20"/>
                <w:szCs w:val="20"/>
              </w:rPr>
            </w:pPr>
            <w:r w:rsidRPr="002431C0">
              <w:rPr>
                <w:bCs/>
                <w:sz w:val="20"/>
                <w:szCs w:val="20"/>
              </w:rPr>
              <w:t>-</w:t>
            </w:r>
          </w:p>
        </w:tc>
        <w:tc>
          <w:tcPr>
            <w:tcW w:w="1160" w:type="dxa"/>
            <w:tcBorders>
              <w:top w:val="nil"/>
              <w:left w:val="single" w:sz="8" w:space="0" w:color="auto"/>
              <w:bottom w:val="single" w:sz="4" w:space="0" w:color="auto"/>
              <w:right w:val="nil"/>
            </w:tcBorders>
            <w:shd w:val="clear" w:color="auto" w:fill="auto"/>
            <w:vAlign w:val="bottom"/>
          </w:tcPr>
          <w:p w14:paraId="6B732216" w14:textId="77777777" w:rsidR="00A739E1" w:rsidRPr="002431C0" w:rsidRDefault="00A739E1" w:rsidP="0071296E">
            <w:pPr>
              <w:jc w:val="right"/>
              <w:rPr>
                <w:bCs/>
                <w:sz w:val="20"/>
                <w:szCs w:val="20"/>
              </w:rPr>
            </w:pPr>
            <w:r w:rsidRPr="002431C0">
              <w:rPr>
                <w:bCs/>
                <w:sz w:val="20"/>
                <w:szCs w:val="20"/>
              </w:rPr>
              <w:t>-</w:t>
            </w:r>
          </w:p>
        </w:tc>
        <w:tc>
          <w:tcPr>
            <w:tcW w:w="1584" w:type="dxa"/>
            <w:tcBorders>
              <w:top w:val="nil"/>
              <w:left w:val="single" w:sz="4" w:space="0" w:color="auto"/>
              <w:bottom w:val="single" w:sz="4" w:space="0" w:color="auto"/>
              <w:right w:val="thinThickSmallGap" w:sz="24" w:space="0" w:color="auto"/>
            </w:tcBorders>
            <w:shd w:val="clear" w:color="auto" w:fill="auto"/>
            <w:noWrap/>
            <w:vAlign w:val="bottom"/>
          </w:tcPr>
          <w:p w14:paraId="3AEFA8F8" w14:textId="77777777" w:rsidR="00A739E1" w:rsidRPr="002431C0" w:rsidRDefault="00A739E1" w:rsidP="0071296E">
            <w:pPr>
              <w:jc w:val="right"/>
              <w:rPr>
                <w:bCs/>
                <w:sz w:val="20"/>
                <w:szCs w:val="20"/>
              </w:rPr>
            </w:pPr>
            <w:r w:rsidRPr="002431C0">
              <w:rPr>
                <w:bCs/>
                <w:sz w:val="20"/>
                <w:szCs w:val="20"/>
              </w:rPr>
              <w:t>-</w:t>
            </w:r>
          </w:p>
        </w:tc>
      </w:tr>
      <w:tr w:rsidR="00A739E1" w:rsidRPr="002431C0" w14:paraId="1B728BDE" w14:textId="77777777" w:rsidTr="0071296E">
        <w:trPr>
          <w:trHeight w:val="255"/>
        </w:trPr>
        <w:tc>
          <w:tcPr>
            <w:tcW w:w="1098" w:type="dxa"/>
            <w:tcBorders>
              <w:top w:val="nil"/>
              <w:left w:val="thinThickSmallGap" w:sz="24" w:space="0" w:color="auto"/>
              <w:bottom w:val="single" w:sz="18" w:space="0" w:color="auto"/>
              <w:right w:val="single" w:sz="4" w:space="0" w:color="auto"/>
            </w:tcBorders>
            <w:shd w:val="clear" w:color="auto" w:fill="auto"/>
            <w:noWrap/>
            <w:vAlign w:val="bottom"/>
          </w:tcPr>
          <w:p w14:paraId="732C4215" w14:textId="77777777" w:rsidR="00A739E1" w:rsidRPr="002431C0" w:rsidRDefault="00A739E1" w:rsidP="0071296E">
            <w:pPr>
              <w:rPr>
                <w:bCs/>
                <w:sz w:val="20"/>
                <w:szCs w:val="20"/>
              </w:rPr>
            </w:pPr>
            <w:r w:rsidRPr="002431C0">
              <w:rPr>
                <w:bCs/>
                <w:sz w:val="20"/>
                <w:szCs w:val="20"/>
              </w:rPr>
              <w:t>4.06N</w:t>
            </w:r>
          </w:p>
        </w:tc>
        <w:tc>
          <w:tcPr>
            <w:tcW w:w="5580" w:type="dxa"/>
            <w:tcBorders>
              <w:top w:val="nil"/>
              <w:left w:val="nil"/>
              <w:bottom w:val="single" w:sz="18" w:space="0" w:color="auto"/>
              <w:right w:val="single" w:sz="4" w:space="0" w:color="auto"/>
            </w:tcBorders>
            <w:shd w:val="clear" w:color="auto" w:fill="auto"/>
            <w:noWrap/>
            <w:vAlign w:val="bottom"/>
          </w:tcPr>
          <w:p w14:paraId="03F02215" w14:textId="77777777" w:rsidR="00A739E1" w:rsidRPr="002431C0" w:rsidRDefault="00A739E1" w:rsidP="0071296E">
            <w:pPr>
              <w:rPr>
                <w:bCs/>
                <w:sz w:val="20"/>
                <w:szCs w:val="20"/>
              </w:rPr>
            </w:pPr>
            <w:r w:rsidRPr="002431C0">
              <w:rPr>
                <w:bCs/>
                <w:sz w:val="20"/>
                <w:szCs w:val="20"/>
              </w:rPr>
              <w:t>Colstrip Refund Non-recurring</w:t>
            </w:r>
          </w:p>
        </w:tc>
        <w:tc>
          <w:tcPr>
            <w:tcW w:w="1168" w:type="dxa"/>
            <w:tcBorders>
              <w:top w:val="nil"/>
              <w:left w:val="nil"/>
              <w:bottom w:val="single" w:sz="18" w:space="0" w:color="auto"/>
              <w:right w:val="nil"/>
            </w:tcBorders>
            <w:shd w:val="clear" w:color="auto" w:fill="auto"/>
            <w:vAlign w:val="bottom"/>
          </w:tcPr>
          <w:p w14:paraId="2E583C3F" w14:textId="77777777" w:rsidR="00A739E1" w:rsidRPr="002431C0" w:rsidRDefault="00A739E1" w:rsidP="0071296E">
            <w:pPr>
              <w:jc w:val="right"/>
              <w:rPr>
                <w:bCs/>
                <w:sz w:val="20"/>
                <w:szCs w:val="20"/>
              </w:rPr>
            </w:pPr>
            <w:r w:rsidRPr="002431C0">
              <w:rPr>
                <w:bCs/>
                <w:sz w:val="20"/>
                <w:szCs w:val="20"/>
              </w:rPr>
              <w:t>-</w:t>
            </w:r>
          </w:p>
        </w:tc>
        <w:tc>
          <w:tcPr>
            <w:tcW w:w="1160" w:type="dxa"/>
            <w:tcBorders>
              <w:top w:val="nil"/>
              <w:left w:val="single" w:sz="8" w:space="0" w:color="auto"/>
              <w:bottom w:val="single" w:sz="18" w:space="0" w:color="auto"/>
              <w:right w:val="nil"/>
            </w:tcBorders>
            <w:shd w:val="clear" w:color="auto" w:fill="auto"/>
            <w:vAlign w:val="bottom"/>
          </w:tcPr>
          <w:p w14:paraId="0A0C14B5" w14:textId="77777777" w:rsidR="00A739E1" w:rsidRPr="002431C0" w:rsidRDefault="00A739E1" w:rsidP="0071296E">
            <w:pPr>
              <w:jc w:val="right"/>
              <w:rPr>
                <w:bCs/>
                <w:sz w:val="20"/>
                <w:szCs w:val="20"/>
              </w:rPr>
            </w:pPr>
            <w:r w:rsidRPr="002431C0">
              <w:rPr>
                <w:bCs/>
                <w:sz w:val="20"/>
                <w:szCs w:val="20"/>
              </w:rPr>
              <w:t>-</w:t>
            </w:r>
          </w:p>
        </w:tc>
        <w:tc>
          <w:tcPr>
            <w:tcW w:w="1584" w:type="dxa"/>
            <w:tcBorders>
              <w:top w:val="nil"/>
              <w:left w:val="single" w:sz="4" w:space="0" w:color="auto"/>
              <w:bottom w:val="single" w:sz="18" w:space="0" w:color="auto"/>
              <w:right w:val="thinThickSmallGap" w:sz="24" w:space="0" w:color="auto"/>
            </w:tcBorders>
            <w:shd w:val="clear" w:color="auto" w:fill="auto"/>
            <w:noWrap/>
            <w:vAlign w:val="bottom"/>
          </w:tcPr>
          <w:p w14:paraId="0C8312BD" w14:textId="77777777" w:rsidR="00A739E1" w:rsidRPr="002431C0" w:rsidRDefault="00A739E1" w:rsidP="0071296E">
            <w:pPr>
              <w:jc w:val="right"/>
              <w:rPr>
                <w:bCs/>
                <w:sz w:val="20"/>
                <w:szCs w:val="20"/>
              </w:rPr>
            </w:pPr>
            <w:r w:rsidRPr="002431C0">
              <w:rPr>
                <w:bCs/>
                <w:sz w:val="20"/>
                <w:szCs w:val="20"/>
              </w:rPr>
              <w:t>-</w:t>
            </w:r>
          </w:p>
        </w:tc>
      </w:tr>
      <w:tr w:rsidR="00A739E1" w:rsidRPr="002431C0" w14:paraId="4DAFC2DC" w14:textId="77777777" w:rsidTr="0071296E">
        <w:trPr>
          <w:trHeight w:val="255"/>
        </w:trPr>
        <w:tc>
          <w:tcPr>
            <w:tcW w:w="1098" w:type="dxa"/>
            <w:tcBorders>
              <w:top w:val="single" w:sz="18" w:space="0" w:color="auto"/>
              <w:left w:val="thinThickSmallGap" w:sz="24" w:space="0" w:color="auto"/>
              <w:bottom w:val="single" w:sz="4" w:space="0" w:color="auto"/>
              <w:right w:val="single" w:sz="4" w:space="0" w:color="auto"/>
            </w:tcBorders>
            <w:noWrap/>
            <w:vAlign w:val="bottom"/>
          </w:tcPr>
          <w:p w14:paraId="146C87C3" w14:textId="77777777" w:rsidR="00A739E1" w:rsidRPr="002431C0" w:rsidRDefault="00A739E1" w:rsidP="0071296E">
            <w:pPr>
              <w:jc w:val="center"/>
              <w:rPr>
                <w:sz w:val="20"/>
                <w:szCs w:val="20"/>
              </w:rPr>
            </w:pPr>
          </w:p>
        </w:tc>
        <w:tc>
          <w:tcPr>
            <w:tcW w:w="5580" w:type="dxa"/>
            <w:tcBorders>
              <w:top w:val="single" w:sz="18" w:space="0" w:color="auto"/>
              <w:left w:val="single" w:sz="4" w:space="0" w:color="auto"/>
              <w:bottom w:val="single" w:sz="4" w:space="0" w:color="auto"/>
              <w:right w:val="single" w:sz="4" w:space="0" w:color="auto"/>
            </w:tcBorders>
            <w:noWrap/>
            <w:vAlign w:val="bottom"/>
          </w:tcPr>
          <w:p w14:paraId="22A0FB97" w14:textId="77777777" w:rsidR="00A739E1" w:rsidRPr="002431C0" w:rsidRDefault="00A739E1" w:rsidP="0071296E">
            <w:pPr>
              <w:jc w:val="right"/>
              <w:rPr>
                <w:sz w:val="20"/>
                <w:szCs w:val="20"/>
              </w:rPr>
            </w:pPr>
            <w:r w:rsidRPr="002431C0">
              <w:rPr>
                <w:sz w:val="20"/>
                <w:szCs w:val="20"/>
              </w:rPr>
              <w:t>Total Electric Contested Adjustments</w:t>
            </w:r>
          </w:p>
        </w:tc>
        <w:tc>
          <w:tcPr>
            <w:tcW w:w="1168" w:type="dxa"/>
            <w:tcBorders>
              <w:top w:val="single" w:sz="18" w:space="0" w:color="auto"/>
              <w:left w:val="single" w:sz="4" w:space="0" w:color="auto"/>
              <w:bottom w:val="single" w:sz="4" w:space="0" w:color="auto"/>
              <w:right w:val="single" w:sz="4" w:space="0" w:color="auto"/>
            </w:tcBorders>
            <w:vAlign w:val="bottom"/>
          </w:tcPr>
          <w:p w14:paraId="14E088BB" w14:textId="77777777" w:rsidR="00A739E1" w:rsidRPr="002431C0" w:rsidRDefault="00A739E1" w:rsidP="0071296E">
            <w:pPr>
              <w:jc w:val="right"/>
              <w:rPr>
                <w:bCs/>
                <w:sz w:val="20"/>
                <w:szCs w:val="20"/>
              </w:rPr>
            </w:pPr>
            <w:r w:rsidRPr="002431C0">
              <w:rPr>
                <w:bCs/>
                <w:sz w:val="20"/>
                <w:szCs w:val="20"/>
              </w:rPr>
              <w:t>(6,532)</w:t>
            </w:r>
          </w:p>
        </w:tc>
        <w:tc>
          <w:tcPr>
            <w:tcW w:w="1160" w:type="dxa"/>
            <w:tcBorders>
              <w:top w:val="single" w:sz="18" w:space="0" w:color="auto"/>
              <w:left w:val="single" w:sz="4" w:space="0" w:color="auto"/>
              <w:bottom w:val="single" w:sz="4" w:space="0" w:color="auto"/>
              <w:right w:val="single" w:sz="4" w:space="0" w:color="auto"/>
            </w:tcBorders>
            <w:vAlign w:val="bottom"/>
          </w:tcPr>
          <w:p w14:paraId="04EA1C3E" w14:textId="77777777" w:rsidR="00A739E1" w:rsidRPr="002431C0" w:rsidRDefault="00A739E1" w:rsidP="0071296E">
            <w:pPr>
              <w:jc w:val="right"/>
              <w:rPr>
                <w:bCs/>
                <w:sz w:val="20"/>
                <w:szCs w:val="20"/>
              </w:rPr>
            </w:pPr>
            <w:r w:rsidRPr="002431C0">
              <w:rPr>
                <w:bCs/>
                <w:sz w:val="20"/>
                <w:szCs w:val="20"/>
              </w:rPr>
              <w:t>48,096</w:t>
            </w:r>
          </w:p>
        </w:tc>
        <w:tc>
          <w:tcPr>
            <w:tcW w:w="1584" w:type="dxa"/>
            <w:tcBorders>
              <w:top w:val="single" w:sz="18" w:space="0" w:color="auto"/>
              <w:left w:val="single" w:sz="4" w:space="0" w:color="auto"/>
              <w:bottom w:val="single" w:sz="4" w:space="0" w:color="auto"/>
              <w:right w:val="thickThinSmallGap" w:sz="24" w:space="0" w:color="auto"/>
            </w:tcBorders>
            <w:noWrap/>
            <w:vAlign w:val="bottom"/>
          </w:tcPr>
          <w:p w14:paraId="244A33BE" w14:textId="77777777" w:rsidR="00A739E1" w:rsidRPr="002431C0" w:rsidRDefault="00A739E1" w:rsidP="0071296E">
            <w:pPr>
              <w:jc w:val="right"/>
              <w:rPr>
                <w:bCs/>
                <w:sz w:val="20"/>
                <w:szCs w:val="20"/>
              </w:rPr>
            </w:pPr>
            <w:r w:rsidRPr="002431C0">
              <w:rPr>
                <w:bCs/>
                <w:sz w:val="20"/>
                <w:szCs w:val="20"/>
              </w:rPr>
              <w:t>16,187</w:t>
            </w:r>
          </w:p>
        </w:tc>
      </w:tr>
      <w:tr w:rsidR="00A739E1" w:rsidRPr="002431C0" w14:paraId="5B8A0FD0" w14:textId="77777777" w:rsidTr="0071296E">
        <w:trPr>
          <w:trHeight w:val="255"/>
        </w:trPr>
        <w:tc>
          <w:tcPr>
            <w:tcW w:w="1098" w:type="dxa"/>
            <w:tcBorders>
              <w:top w:val="single" w:sz="4" w:space="0" w:color="auto"/>
              <w:left w:val="thinThickSmallGap" w:sz="24" w:space="0" w:color="auto"/>
              <w:bottom w:val="single" w:sz="4" w:space="0" w:color="auto"/>
              <w:right w:val="single" w:sz="4" w:space="0" w:color="auto"/>
            </w:tcBorders>
            <w:noWrap/>
            <w:vAlign w:val="bottom"/>
          </w:tcPr>
          <w:p w14:paraId="6AD34CA8" w14:textId="77777777" w:rsidR="00A739E1" w:rsidRPr="002431C0" w:rsidRDefault="00A739E1" w:rsidP="0071296E">
            <w:pPr>
              <w:jc w:val="center"/>
              <w:rPr>
                <w:sz w:val="20"/>
                <w:szCs w:val="20"/>
              </w:rPr>
            </w:pPr>
          </w:p>
        </w:tc>
        <w:tc>
          <w:tcPr>
            <w:tcW w:w="5580" w:type="dxa"/>
            <w:tcBorders>
              <w:top w:val="single" w:sz="4" w:space="0" w:color="auto"/>
              <w:left w:val="single" w:sz="4" w:space="0" w:color="auto"/>
              <w:bottom w:val="single" w:sz="4" w:space="0" w:color="auto"/>
              <w:right w:val="single" w:sz="4" w:space="0" w:color="auto"/>
            </w:tcBorders>
            <w:noWrap/>
            <w:vAlign w:val="bottom"/>
          </w:tcPr>
          <w:p w14:paraId="4730C7F6" w14:textId="77777777" w:rsidR="00A739E1" w:rsidRPr="002431C0" w:rsidRDefault="00A739E1" w:rsidP="0071296E">
            <w:pPr>
              <w:rPr>
                <w:sz w:val="20"/>
                <w:szCs w:val="20"/>
              </w:rPr>
            </w:pPr>
            <w:r w:rsidRPr="002431C0">
              <w:rPr>
                <w:sz w:val="20"/>
                <w:szCs w:val="20"/>
              </w:rPr>
              <w:t>Add:</w:t>
            </w:r>
          </w:p>
        </w:tc>
        <w:tc>
          <w:tcPr>
            <w:tcW w:w="1168" w:type="dxa"/>
            <w:tcBorders>
              <w:top w:val="single" w:sz="4" w:space="0" w:color="auto"/>
              <w:left w:val="single" w:sz="4" w:space="0" w:color="auto"/>
              <w:bottom w:val="single" w:sz="4" w:space="0" w:color="auto"/>
              <w:right w:val="single" w:sz="4" w:space="0" w:color="auto"/>
            </w:tcBorders>
            <w:vAlign w:val="bottom"/>
          </w:tcPr>
          <w:p w14:paraId="3573F6D1" w14:textId="77777777" w:rsidR="00A739E1" w:rsidRPr="002431C0" w:rsidRDefault="00A739E1" w:rsidP="0071296E">
            <w:pPr>
              <w:rPr>
                <w:rFonts w:ascii="Arial" w:hAnsi="Arial" w:cs="Arial"/>
                <w:bCs/>
                <w:sz w:val="20"/>
                <w:szCs w:val="20"/>
              </w:rPr>
            </w:pPr>
          </w:p>
        </w:tc>
        <w:tc>
          <w:tcPr>
            <w:tcW w:w="1160" w:type="dxa"/>
            <w:tcBorders>
              <w:top w:val="single" w:sz="4" w:space="0" w:color="auto"/>
              <w:left w:val="single" w:sz="4" w:space="0" w:color="auto"/>
              <w:bottom w:val="single" w:sz="4" w:space="0" w:color="auto"/>
              <w:right w:val="single" w:sz="4" w:space="0" w:color="auto"/>
            </w:tcBorders>
            <w:vAlign w:val="bottom"/>
          </w:tcPr>
          <w:p w14:paraId="3CD09095" w14:textId="77777777" w:rsidR="00A739E1" w:rsidRPr="002431C0" w:rsidRDefault="00A739E1" w:rsidP="0071296E">
            <w:pPr>
              <w:rPr>
                <w:rFonts w:ascii="Arial" w:hAnsi="Arial" w:cs="Arial"/>
                <w:bCs/>
                <w:sz w:val="20"/>
                <w:szCs w:val="20"/>
              </w:rPr>
            </w:pPr>
          </w:p>
        </w:tc>
        <w:tc>
          <w:tcPr>
            <w:tcW w:w="1584" w:type="dxa"/>
            <w:tcBorders>
              <w:top w:val="single" w:sz="4" w:space="0" w:color="auto"/>
              <w:left w:val="single" w:sz="4" w:space="0" w:color="auto"/>
              <w:bottom w:val="single" w:sz="4" w:space="0" w:color="auto"/>
              <w:right w:val="thickThinSmallGap" w:sz="24" w:space="0" w:color="auto"/>
            </w:tcBorders>
            <w:noWrap/>
            <w:vAlign w:val="bottom"/>
          </w:tcPr>
          <w:p w14:paraId="28478A1C" w14:textId="77777777" w:rsidR="00A739E1" w:rsidRPr="002431C0" w:rsidRDefault="00A739E1" w:rsidP="0071296E">
            <w:pPr>
              <w:rPr>
                <w:rFonts w:ascii="Arial" w:hAnsi="Arial" w:cs="Arial"/>
                <w:bCs/>
                <w:sz w:val="20"/>
                <w:szCs w:val="20"/>
              </w:rPr>
            </w:pPr>
          </w:p>
        </w:tc>
      </w:tr>
      <w:tr w:rsidR="00A739E1" w:rsidRPr="002431C0" w14:paraId="6B98784A" w14:textId="77777777" w:rsidTr="0071296E">
        <w:trPr>
          <w:trHeight w:val="288"/>
        </w:trPr>
        <w:tc>
          <w:tcPr>
            <w:tcW w:w="1098" w:type="dxa"/>
            <w:tcBorders>
              <w:top w:val="single" w:sz="4" w:space="0" w:color="auto"/>
              <w:left w:val="thinThickSmallGap" w:sz="24" w:space="0" w:color="auto"/>
              <w:bottom w:val="single" w:sz="4" w:space="0" w:color="auto"/>
              <w:right w:val="single" w:sz="4" w:space="0" w:color="auto"/>
            </w:tcBorders>
            <w:noWrap/>
            <w:vAlign w:val="bottom"/>
          </w:tcPr>
          <w:p w14:paraId="5A8D8EE1" w14:textId="77777777" w:rsidR="00A739E1" w:rsidRPr="002431C0" w:rsidRDefault="00A739E1" w:rsidP="0071296E">
            <w:pPr>
              <w:jc w:val="center"/>
              <w:rPr>
                <w:sz w:val="20"/>
                <w:szCs w:val="20"/>
              </w:rPr>
            </w:pPr>
          </w:p>
        </w:tc>
        <w:tc>
          <w:tcPr>
            <w:tcW w:w="5580" w:type="dxa"/>
            <w:tcBorders>
              <w:top w:val="single" w:sz="4" w:space="0" w:color="auto"/>
              <w:left w:val="single" w:sz="4" w:space="0" w:color="auto"/>
              <w:bottom w:val="single" w:sz="4" w:space="0" w:color="auto"/>
              <w:right w:val="single" w:sz="4" w:space="0" w:color="auto"/>
            </w:tcBorders>
            <w:noWrap/>
            <w:vAlign w:val="bottom"/>
          </w:tcPr>
          <w:p w14:paraId="03AF324C" w14:textId="77777777" w:rsidR="00A739E1" w:rsidRPr="002431C0" w:rsidRDefault="00A739E1" w:rsidP="0071296E">
            <w:pPr>
              <w:jc w:val="right"/>
              <w:rPr>
                <w:bCs/>
                <w:sz w:val="20"/>
                <w:szCs w:val="20"/>
              </w:rPr>
            </w:pPr>
            <w:r w:rsidRPr="002431C0">
              <w:rPr>
                <w:bCs/>
                <w:sz w:val="20"/>
                <w:szCs w:val="20"/>
              </w:rPr>
              <w:t>Total Electric Uncontested Adjustments from Table B1</w:t>
            </w:r>
          </w:p>
        </w:tc>
        <w:tc>
          <w:tcPr>
            <w:tcW w:w="1168" w:type="dxa"/>
            <w:tcBorders>
              <w:top w:val="single" w:sz="4" w:space="0" w:color="auto"/>
              <w:left w:val="single" w:sz="4" w:space="0" w:color="auto"/>
              <w:bottom w:val="single" w:sz="4" w:space="0" w:color="auto"/>
              <w:right w:val="single" w:sz="4" w:space="0" w:color="auto"/>
            </w:tcBorders>
            <w:vAlign w:val="bottom"/>
          </w:tcPr>
          <w:p w14:paraId="732937F1" w14:textId="77777777" w:rsidR="00A739E1" w:rsidRPr="002431C0" w:rsidRDefault="00A739E1" w:rsidP="0071296E">
            <w:pPr>
              <w:jc w:val="right"/>
              <w:rPr>
                <w:bCs/>
                <w:sz w:val="20"/>
                <w:szCs w:val="20"/>
              </w:rPr>
            </w:pPr>
            <w:r w:rsidRPr="002431C0">
              <w:rPr>
                <w:bCs/>
                <w:sz w:val="20"/>
                <w:szCs w:val="20"/>
              </w:rPr>
              <w:t>125,058</w:t>
            </w:r>
          </w:p>
        </w:tc>
        <w:tc>
          <w:tcPr>
            <w:tcW w:w="1160" w:type="dxa"/>
            <w:tcBorders>
              <w:top w:val="single" w:sz="4" w:space="0" w:color="auto"/>
              <w:left w:val="single" w:sz="4" w:space="0" w:color="auto"/>
              <w:bottom w:val="single" w:sz="4" w:space="0" w:color="auto"/>
              <w:right w:val="single" w:sz="4" w:space="0" w:color="auto"/>
            </w:tcBorders>
            <w:vAlign w:val="bottom"/>
          </w:tcPr>
          <w:p w14:paraId="0F540A72" w14:textId="77777777" w:rsidR="00A739E1" w:rsidRPr="002431C0" w:rsidRDefault="00A739E1" w:rsidP="0071296E">
            <w:pPr>
              <w:jc w:val="right"/>
              <w:rPr>
                <w:bCs/>
                <w:sz w:val="20"/>
                <w:szCs w:val="20"/>
              </w:rPr>
            </w:pPr>
            <w:r w:rsidRPr="002431C0">
              <w:rPr>
                <w:bCs/>
                <w:sz w:val="20"/>
                <w:szCs w:val="20"/>
              </w:rPr>
              <w:t xml:space="preserve">1,267,795 </w:t>
            </w:r>
          </w:p>
        </w:tc>
        <w:tc>
          <w:tcPr>
            <w:tcW w:w="1584" w:type="dxa"/>
            <w:tcBorders>
              <w:top w:val="single" w:sz="4" w:space="0" w:color="auto"/>
              <w:left w:val="single" w:sz="4" w:space="0" w:color="auto"/>
              <w:bottom w:val="single" w:sz="4" w:space="0" w:color="auto"/>
              <w:right w:val="thickThinSmallGap" w:sz="24" w:space="0" w:color="auto"/>
            </w:tcBorders>
            <w:noWrap/>
            <w:vAlign w:val="bottom"/>
          </w:tcPr>
          <w:p w14:paraId="26216E7D" w14:textId="77777777" w:rsidR="00A739E1" w:rsidRPr="002431C0" w:rsidRDefault="00A739E1" w:rsidP="0071296E">
            <w:pPr>
              <w:jc w:val="right"/>
              <w:rPr>
                <w:bCs/>
                <w:sz w:val="20"/>
                <w:szCs w:val="20"/>
              </w:rPr>
            </w:pPr>
            <w:r w:rsidRPr="002431C0">
              <w:rPr>
                <w:bCs/>
                <w:sz w:val="20"/>
                <w:szCs w:val="20"/>
              </w:rPr>
              <w:t>(52,629)</w:t>
            </w:r>
          </w:p>
        </w:tc>
      </w:tr>
      <w:tr w:rsidR="00A739E1" w:rsidRPr="002431C0" w14:paraId="5A3B91C9" w14:textId="77777777" w:rsidTr="0071296E">
        <w:trPr>
          <w:trHeight w:val="288"/>
        </w:trPr>
        <w:tc>
          <w:tcPr>
            <w:tcW w:w="1098" w:type="dxa"/>
            <w:tcBorders>
              <w:top w:val="single" w:sz="4" w:space="0" w:color="auto"/>
              <w:left w:val="thinThickSmallGap" w:sz="24" w:space="0" w:color="auto"/>
              <w:bottom w:val="single" w:sz="4" w:space="0" w:color="auto"/>
              <w:right w:val="single" w:sz="4" w:space="0" w:color="auto"/>
            </w:tcBorders>
            <w:noWrap/>
            <w:vAlign w:val="bottom"/>
          </w:tcPr>
          <w:p w14:paraId="534BA8A4" w14:textId="77777777" w:rsidR="00A739E1" w:rsidRPr="002431C0" w:rsidRDefault="00A739E1" w:rsidP="0071296E">
            <w:pPr>
              <w:jc w:val="center"/>
              <w:rPr>
                <w:sz w:val="20"/>
                <w:szCs w:val="20"/>
              </w:rPr>
            </w:pPr>
          </w:p>
        </w:tc>
        <w:tc>
          <w:tcPr>
            <w:tcW w:w="5580" w:type="dxa"/>
            <w:tcBorders>
              <w:top w:val="single" w:sz="4" w:space="0" w:color="auto"/>
              <w:left w:val="single" w:sz="4" w:space="0" w:color="auto"/>
              <w:bottom w:val="single" w:sz="4" w:space="0" w:color="auto"/>
              <w:right w:val="single" w:sz="4" w:space="0" w:color="auto"/>
            </w:tcBorders>
            <w:noWrap/>
            <w:vAlign w:val="bottom"/>
          </w:tcPr>
          <w:p w14:paraId="18917BDD" w14:textId="77777777" w:rsidR="00A739E1" w:rsidRPr="002431C0" w:rsidRDefault="00A739E1" w:rsidP="0071296E">
            <w:pPr>
              <w:jc w:val="right"/>
              <w:rPr>
                <w:bCs/>
                <w:sz w:val="20"/>
                <w:szCs w:val="20"/>
              </w:rPr>
            </w:pPr>
            <w:r w:rsidRPr="002431C0">
              <w:rPr>
                <w:sz w:val="20"/>
                <w:szCs w:val="20"/>
              </w:rPr>
              <w:t>Attrition Allowance</w:t>
            </w:r>
          </w:p>
        </w:tc>
        <w:tc>
          <w:tcPr>
            <w:tcW w:w="1168" w:type="dxa"/>
            <w:tcBorders>
              <w:top w:val="single" w:sz="4" w:space="0" w:color="auto"/>
              <w:left w:val="single" w:sz="4" w:space="0" w:color="auto"/>
              <w:bottom w:val="single" w:sz="4" w:space="0" w:color="auto"/>
              <w:right w:val="single" w:sz="4" w:space="0" w:color="auto"/>
            </w:tcBorders>
            <w:vAlign w:val="bottom"/>
          </w:tcPr>
          <w:p w14:paraId="2049906C" w14:textId="77777777" w:rsidR="00A739E1" w:rsidRPr="002431C0" w:rsidRDefault="00A739E1" w:rsidP="0071296E">
            <w:pPr>
              <w:jc w:val="right"/>
              <w:rPr>
                <w:bCs/>
                <w:sz w:val="20"/>
                <w:szCs w:val="20"/>
              </w:rPr>
            </w:pPr>
          </w:p>
        </w:tc>
        <w:tc>
          <w:tcPr>
            <w:tcW w:w="1160" w:type="dxa"/>
            <w:tcBorders>
              <w:top w:val="single" w:sz="4" w:space="0" w:color="auto"/>
              <w:left w:val="single" w:sz="4" w:space="0" w:color="auto"/>
              <w:bottom w:val="single" w:sz="4" w:space="0" w:color="auto"/>
              <w:right w:val="single" w:sz="4" w:space="0" w:color="auto"/>
            </w:tcBorders>
            <w:vAlign w:val="bottom"/>
          </w:tcPr>
          <w:p w14:paraId="41364F7C" w14:textId="77777777" w:rsidR="00A739E1" w:rsidRPr="002431C0" w:rsidRDefault="00A739E1" w:rsidP="0071296E">
            <w:pPr>
              <w:jc w:val="right"/>
              <w:rPr>
                <w:bCs/>
                <w:sz w:val="20"/>
                <w:szCs w:val="20"/>
              </w:rPr>
            </w:pPr>
          </w:p>
        </w:tc>
        <w:tc>
          <w:tcPr>
            <w:tcW w:w="1584" w:type="dxa"/>
            <w:tcBorders>
              <w:top w:val="single" w:sz="4" w:space="0" w:color="auto"/>
              <w:left w:val="single" w:sz="4" w:space="0" w:color="auto"/>
              <w:bottom w:val="single" w:sz="4" w:space="0" w:color="auto"/>
              <w:right w:val="thickThinSmallGap" w:sz="24" w:space="0" w:color="auto"/>
            </w:tcBorders>
            <w:noWrap/>
            <w:vAlign w:val="bottom"/>
          </w:tcPr>
          <w:p w14:paraId="5B941020" w14:textId="77777777" w:rsidR="00A739E1" w:rsidRPr="002431C0" w:rsidRDefault="00A739E1" w:rsidP="0071296E">
            <w:pPr>
              <w:jc w:val="right"/>
              <w:rPr>
                <w:bCs/>
                <w:sz w:val="20"/>
                <w:szCs w:val="20"/>
              </w:rPr>
            </w:pPr>
            <w:r w:rsidRPr="002431C0">
              <w:rPr>
                <w:bCs/>
                <w:sz w:val="20"/>
                <w:szCs w:val="20"/>
              </w:rPr>
              <w:t>28,332</w:t>
            </w:r>
          </w:p>
        </w:tc>
      </w:tr>
      <w:tr w:rsidR="00A739E1" w:rsidRPr="002431C0" w14:paraId="6288EB40" w14:textId="77777777" w:rsidTr="0071296E">
        <w:trPr>
          <w:trHeight w:val="144"/>
        </w:trPr>
        <w:tc>
          <w:tcPr>
            <w:tcW w:w="1098" w:type="dxa"/>
            <w:tcBorders>
              <w:top w:val="single" w:sz="18" w:space="0" w:color="auto"/>
              <w:left w:val="thinThickSmallGap" w:sz="24" w:space="0" w:color="auto"/>
              <w:bottom w:val="thickThinSmallGap" w:sz="24" w:space="0" w:color="auto"/>
              <w:right w:val="single" w:sz="4" w:space="0" w:color="auto"/>
            </w:tcBorders>
            <w:noWrap/>
            <w:vAlign w:val="bottom"/>
          </w:tcPr>
          <w:p w14:paraId="3A54B705" w14:textId="77777777" w:rsidR="00A739E1" w:rsidRPr="002431C0" w:rsidRDefault="00A739E1" w:rsidP="0071296E">
            <w:pPr>
              <w:jc w:val="center"/>
              <w:rPr>
                <w:sz w:val="20"/>
                <w:szCs w:val="20"/>
              </w:rPr>
            </w:pPr>
          </w:p>
        </w:tc>
        <w:tc>
          <w:tcPr>
            <w:tcW w:w="5580" w:type="dxa"/>
            <w:tcBorders>
              <w:top w:val="single" w:sz="18" w:space="0" w:color="auto"/>
              <w:left w:val="single" w:sz="4" w:space="0" w:color="auto"/>
              <w:bottom w:val="thickThinSmallGap" w:sz="24" w:space="0" w:color="auto"/>
              <w:right w:val="single" w:sz="4" w:space="0" w:color="auto"/>
            </w:tcBorders>
            <w:noWrap/>
            <w:vAlign w:val="bottom"/>
          </w:tcPr>
          <w:p w14:paraId="5EFDFCFA" w14:textId="77777777" w:rsidR="00A739E1" w:rsidRPr="002431C0" w:rsidRDefault="00A739E1" w:rsidP="0071296E">
            <w:pPr>
              <w:jc w:val="right"/>
              <w:rPr>
                <w:bCs/>
                <w:sz w:val="20"/>
                <w:szCs w:val="20"/>
              </w:rPr>
            </w:pPr>
            <w:r w:rsidRPr="002431C0">
              <w:rPr>
                <w:bCs/>
                <w:sz w:val="20"/>
                <w:szCs w:val="20"/>
              </w:rPr>
              <w:t>Total Contested &amp; Uncontested Adjustments</w:t>
            </w:r>
          </w:p>
        </w:tc>
        <w:tc>
          <w:tcPr>
            <w:tcW w:w="1168" w:type="dxa"/>
            <w:tcBorders>
              <w:top w:val="single" w:sz="18" w:space="0" w:color="auto"/>
              <w:left w:val="single" w:sz="4" w:space="0" w:color="auto"/>
              <w:bottom w:val="thickThinSmallGap" w:sz="24" w:space="0" w:color="auto"/>
              <w:right w:val="single" w:sz="4" w:space="0" w:color="auto"/>
            </w:tcBorders>
            <w:vAlign w:val="bottom"/>
          </w:tcPr>
          <w:p w14:paraId="50DEEB92" w14:textId="77777777" w:rsidR="00A739E1" w:rsidRPr="002431C0" w:rsidRDefault="00A739E1" w:rsidP="0071296E">
            <w:pPr>
              <w:jc w:val="right"/>
              <w:rPr>
                <w:bCs/>
                <w:sz w:val="20"/>
                <w:szCs w:val="20"/>
              </w:rPr>
            </w:pPr>
            <w:r w:rsidRPr="002431C0">
              <w:rPr>
                <w:bCs/>
                <w:sz w:val="20"/>
                <w:szCs w:val="20"/>
              </w:rPr>
              <w:t>118,533</w:t>
            </w:r>
          </w:p>
        </w:tc>
        <w:tc>
          <w:tcPr>
            <w:tcW w:w="1160" w:type="dxa"/>
            <w:tcBorders>
              <w:top w:val="single" w:sz="18" w:space="0" w:color="auto"/>
              <w:left w:val="single" w:sz="4" w:space="0" w:color="auto"/>
              <w:bottom w:val="thickThinSmallGap" w:sz="24" w:space="0" w:color="auto"/>
              <w:right w:val="single" w:sz="4" w:space="0" w:color="auto"/>
            </w:tcBorders>
            <w:vAlign w:val="bottom"/>
          </w:tcPr>
          <w:p w14:paraId="13001755" w14:textId="77777777" w:rsidR="00A739E1" w:rsidRPr="002431C0" w:rsidRDefault="00A739E1" w:rsidP="0071296E">
            <w:pPr>
              <w:jc w:val="right"/>
              <w:rPr>
                <w:bCs/>
                <w:sz w:val="20"/>
                <w:szCs w:val="20"/>
              </w:rPr>
            </w:pPr>
            <w:r w:rsidRPr="002431C0">
              <w:rPr>
                <w:bCs/>
                <w:sz w:val="20"/>
                <w:szCs w:val="20"/>
              </w:rPr>
              <w:t xml:space="preserve"> 1,315,891</w:t>
            </w:r>
          </w:p>
        </w:tc>
        <w:tc>
          <w:tcPr>
            <w:tcW w:w="1584" w:type="dxa"/>
            <w:tcBorders>
              <w:top w:val="single" w:sz="18" w:space="0" w:color="auto"/>
              <w:left w:val="single" w:sz="4" w:space="0" w:color="auto"/>
              <w:bottom w:val="thickThinSmallGap" w:sz="24" w:space="0" w:color="auto"/>
              <w:right w:val="thickThinSmallGap" w:sz="24" w:space="0" w:color="auto"/>
            </w:tcBorders>
            <w:noWrap/>
            <w:vAlign w:val="bottom"/>
          </w:tcPr>
          <w:p w14:paraId="058BE2D0" w14:textId="77777777" w:rsidR="00A739E1" w:rsidRPr="002431C0" w:rsidRDefault="00A739E1" w:rsidP="0071296E">
            <w:pPr>
              <w:jc w:val="right"/>
              <w:rPr>
                <w:bCs/>
                <w:sz w:val="20"/>
                <w:szCs w:val="20"/>
              </w:rPr>
            </w:pPr>
            <w:r w:rsidRPr="002431C0">
              <w:rPr>
                <w:bCs/>
                <w:sz w:val="20"/>
                <w:szCs w:val="20"/>
              </w:rPr>
              <w:t>(8,110)</w:t>
            </w:r>
          </w:p>
        </w:tc>
      </w:tr>
    </w:tbl>
    <w:p w14:paraId="39B5DE1A" w14:textId="77777777" w:rsidR="00A739E1" w:rsidRPr="002431C0" w:rsidRDefault="00A739E1" w:rsidP="00A739E1">
      <w:pPr>
        <w:keepNext/>
        <w:keepLines/>
        <w:jc w:val="center"/>
        <w:rPr>
          <w:sz w:val="25"/>
          <w:szCs w:val="25"/>
        </w:rPr>
      </w:pPr>
      <w:r w:rsidRPr="002431C0">
        <w:rPr>
          <w:sz w:val="25"/>
          <w:szCs w:val="25"/>
        </w:rPr>
        <w:br w:type="page"/>
      </w:r>
    </w:p>
    <w:p w14:paraId="31329D4F" w14:textId="77777777" w:rsidR="00A739E1" w:rsidRPr="00436CA6" w:rsidRDefault="00A739E1" w:rsidP="00A6061E">
      <w:pPr>
        <w:pStyle w:val="Heading1"/>
        <w:jc w:val="center"/>
        <w:rPr>
          <w:rFonts w:ascii="Times New Roman" w:hAnsi="Times New Roman" w:cs="Times New Roman"/>
          <w:sz w:val="25"/>
          <w:szCs w:val="25"/>
        </w:rPr>
      </w:pPr>
      <w:bookmarkStart w:id="45" w:name="_Toc439838977"/>
      <w:r w:rsidRPr="00436CA6">
        <w:rPr>
          <w:rFonts w:ascii="Times New Roman" w:hAnsi="Times New Roman" w:cs="Times New Roman"/>
          <w:sz w:val="25"/>
          <w:szCs w:val="25"/>
        </w:rPr>
        <w:lastRenderedPageBreak/>
        <w:t>TABLE A2</w:t>
      </w:r>
      <w:bookmarkEnd w:id="45"/>
    </w:p>
    <w:p w14:paraId="7DC9B33E" w14:textId="77777777" w:rsidR="00A739E1" w:rsidRPr="00436CA6" w:rsidRDefault="00A739E1" w:rsidP="00A739E1">
      <w:pPr>
        <w:keepNext/>
        <w:keepLines/>
        <w:jc w:val="center"/>
        <w:rPr>
          <w:b/>
          <w:sz w:val="25"/>
          <w:szCs w:val="25"/>
        </w:rPr>
      </w:pPr>
      <w:r w:rsidRPr="00436CA6">
        <w:rPr>
          <w:b/>
          <w:sz w:val="25"/>
          <w:szCs w:val="25"/>
        </w:rPr>
        <w:t xml:space="preserve">Natural Gas - Contested Adjustments </w:t>
      </w:r>
    </w:p>
    <w:tbl>
      <w:tblPr>
        <w:tblpPr w:leftFromText="180" w:rightFromText="180" w:vertAnchor="text" w:horzAnchor="margin" w:tblpXSpec="center" w:tblpY="450"/>
        <w:tblW w:w="10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
        <w:gridCol w:w="5616"/>
        <w:gridCol w:w="1170"/>
        <w:gridCol w:w="1170"/>
        <w:gridCol w:w="1584"/>
      </w:tblGrid>
      <w:tr w:rsidR="00A739E1" w:rsidRPr="002431C0" w14:paraId="3EF7BC44" w14:textId="77777777" w:rsidTr="0071296E">
        <w:trPr>
          <w:trHeight w:val="255"/>
        </w:trPr>
        <w:tc>
          <w:tcPr>
            <w:tcW w:w="1098" w:type="dxa"/>
            <w:tcBorders>
              <w:top w:val="thinThickSmallGap" w:sz="24" w:space="0" w:color="auto"/>
              <w:left w:val="thinThickSmallGap" w:sz="24" w:space="0" w:color="auto"/>
              <w:bottom w:val="double" w:sz="4" w:space="0" w:color="auto"/>
              <w:right w:val="single" w:sz="4" w:space="0" w:color="auto"/>
            </w:tcBorders>
            <w:noWrap/>
            <w:vAlign w:val="bottom"/>
            <w:hideMark/>
          </w:tcPr>
          <w:p w14:paraId="3DEE3FAB" w14:textId="77777777" w:rsidR="00A739E1" w:rsidRPr="002431C0" w:rsidRDefault="00A739E1" w:rsidP="0071296E">
            <w:pPr>
              <w:jc w:val="center"/>
              <w:rPr>
                <w:bCs/>
                <w:sz w:val="20"/>
                <w:szCs w:val="20"/>
              </w:rPr>
            </w:pPr>
            <w:r w:rsidRPr="002431C0">
              <w:rPr>
                <w:sz w:val="20"/>
                <w:szCs w:val="20"/>
              </w:rPr>
              <w:t>Adj. No.</w:t>
            </w:r>
          </w:p>
        </w:tc>
        <w:tc>
          <w:tcPr>
            <w:tcW w:w="5616" w:type="dxa"/>
            <w:tcBorders>
              <w:top w:val="thinThickSmallGap" w:sz="24" w:space="0" w:color="auto"/>
              <w:left w:val="single" w:sz="4" w:space="0" w:color="auto"/>
              <w:bottom w:val="double" w:sz="4" w:space="0" w:color="auto"/>
              <w:right w:val="single" w:sz="4" w:space="0" w:color="auto"/>
            </w:tcBorders>
            <w:noWrap/>
            <w:vAlign w:val="bottom"/>
            <w:hideMark/>
          </w:tcPr>
          <w:p w14:paraId="780D5D8E" w14:textId="77777777" w:rsidR="00A739E1" w:rsidRPr="002431C0" w:rsidRDefault="00A739E1" w:rsidP="0071296E">
            <w:pPr>
              <w:jc w:val="center"/>
              <w:rPr>
                <w:bCs/>
                <w:sz w:val="20"/>
                <w:szCs w:val="20"/>
              </w:rPr>
            </w:pPr>
            <w:r w:rsidRPr="002431C0">
              <w:rPr>
                <w:bCs/>
                <w:sz w:val="20"/>
                <w:szCs w:val="20"/>
              </w:rPr>
              <w:t>Contested</w:t>
            </w:r>
            <w:r w:rsidRPr="002431C0">
              <w:rPr>
                <w:sz w:val="25"/>
                <w:szCs w:val="25"/>
              </w:rPr>
              <w:t xml:space="preserve"> </w:t>
            </w:r>
            <w:r w:rsidRPr="002431C0">
              <w:rPr>
                <w:bCs/>
                <w:sz w:val="20"/>
                <w:szCs w:val="20"/>
              </w:rPr>
              <w:t>Adjustment Description</w:t>
            </w:r>
          </w:p>
        </w:tc>
        <w:tc>
          <w:tcPr>
            <w:tcW w:w="1170" w:type="dxa"/>
            <w:tcBorders>
              <w:top w:val="thinThickSmallGap" w:sz="24" w:space="0" w:color="auto"/>
              <w:left w:val="single" w:sz="4" w:space="0" w:color="auto"/>
              <w:bottom w:val="double" w:sz="4" w:space="0" w:color="auto"/>
              <w:right w:val="single" w:sz="4" w:space="0" w:color="auto"/>
            </w:tcBorders>
            <w:vAlign w:val="bottom"/>
            <w:hideMark/>
          </w:tcPr>
          <w:p w14:paraId="33CB1A01" w14:textId="77777777" w:rsidR="00A739E1" w:rsidRPr="002431C0" w:rsidRDefault="00A739E1" w:rsidP="0071296E">
            <w:pPr>
              <w:jc w:val="center"/>
              <w:rPr>
                <w:sz w:val="20"/>
                <w:szCs w:val="20"/>
              </w:rPr>
            </w:pPr>
            <w:r w:rsidRPr="002431C0">
              <w:rPr>
                <w:sz w:val="20"/>
                <w:szCs w:val="20"/>
              </w:rPr>
              <w:t>Net Operating Income</w:t>
            </w:r>
          </w:p>
        </w:tc>
        <w:tc>
          <w:tcPr>
            <w:tcW w:w="1170" w:type="dxa"/>
            <w:tcBorders>
              <w:top w:val="thinThickSmallGap" w:sz="24" w:space="0" w:color="auto"/>
              <w:left w:val="single" w:sz="4" w:space="0" w:color="auto"/>
              <w:bottom w:val="double" w:sz="4" w:space="0" w:color="auto"/>
              <w:right w:val="single" w:sz="4" w:space="0" w:color="auto"/>
            </w:tcBorders>
            <w:vAlign w:val="bottom"/>
            <w:hideMark/>
          </w:tcPr>
          <w:p w14:paraId="11B1774D" w14:textId="77777777" w:rsidR="00A739E1" w:rsidRPr="002431C0" w:rsidRDefault="00A739E1" w:rsidP="0071296E">
            <w:pPr>
              <w:jc w:val="center"/>
              <w:rPr>
                <w:sz w:val="20"/>
                <w:szCs w:val="20"/>
              </w:rPr>
            </w:pPr>
            <w:r w:rsidRPr="002431C0">
              <w:rPr>
                <w:sz w:val="20"/>
                <w:szCs w:val="20"/>
              </w:rPr>
              <w:t>Rate Base</w:t>
            </w:r>
          </w:p>
        </w:tc>
        <w:tc>
          <w:tcPr>
            <w:tcW w:w="1584" w:type="dxa"/>
            <w:tcBorders>
              <w:top w:val="thinThickSmallGap" w:sz="24" w:space="0" w:color="auto"/>
              <w:left w:val="single" w:sz="4" w:space="0" w:color="auto"/>
              <w:bottom w:val="double" w:sz="4" w:space="0" w:color="auto"/>
              <w:right w:val="thickThinSmallGap" w:sz="24" w:space="0" w:color="auto"/>
            </w:tcBorders>
            <w:vAlign w:val="bottom"/>
            <w:hideMark/>
          </w:tcPr>
          <w:p w14:paraId="603A7DC4" w14:textId="77777777" w:rsidR="00A739E1" w:rsidRPr="002431C0" w:rsidRDefault="00A739E1" w:rsidP="0071296E">
            <w:pPr>
              <w:jc w:val="center"/>
              <w:rPr>
                <w:sz w:val="20"/>
                <w:szCs w:val="20"/>
              </w:rPr>
            </w:pPr>
            <w:r w:rsidRPr="002431C0">
              <w:rPr>
                <w:sz w:val="20"/>
                <w:szCs w:val="20"/>
              </w:rPr>
              <w:t>Revenue Requirement</w:t>
            </w:r>
          </w:p>
        </w:tc>
      </w:tr>
      <w:tr w:rsidR="00A739E1" w:rsidRPr="002431C0" w14:paraId="097879FB" w14:textId="77777777" w:rsidTr="0071296E">
        <w:trPr>
          <w:trHeight w:val="255"/>
        </w:trPr>
        <w:tc>
          <w:tcPr>
            <w:tcW w:w="1098" w:type="dxa"/>
            <w:tcBorders>
              <w:top w:val="double" w:sz="4" w:space="0" w:color="auto"/>
              <w:left w:val="thinThickSmallGap" w:sz="24" w:space="0" w:color="auto"/>
              <w:bottom w:val="single" w:sz="18" w:space="0" w:color="auto"/>
              <w:right w:val="single" w:sz="4" w:space="0" w:color="auto"/>
            </w:tcBorders>
            <w:shd w:val="clear" w:color="auto" w:fill="auto"/>
            <w:noWrap/>
            <w:vAlign w:val="bottom"/>
            <w:hideMark/>
          </w:tcPr>
          <w:p w14:paraId="40FE6467" w14:textId="77777777" w:rsidR="00A739E1" w:rsidRPr="002431C0" w:rsidRDefault="00A739E1" w:rsidP="0071296E">
            <w:pPr>
              <w:rPr>
                <w:sz w:val="20"/>
                <w:szCs w:val="20"/>
              </w:rPr>
            </w:pPr>
          </w:p>
        </w:tc>
        <w:tc>
          <w:tcPr>
            <w:tcW w:w="5616" w:type="dxa"/>
            <w:tcBorders>
              <w:top w:val="double" w:sz="4" w:space="0" w:color="auto"/>
              <w:left w:val="single" w:sz="4" w:space="0" w:color="auto"/>
              <w:bottom w:val="single" w:sz="18" w:space="0" w:color="auto"/>
              <w:right w:val="single" w:sz="4" w:space="0" w:color="auto"/>
            </w:tcBorders>
            <w:noWrap/>
            <w:vAlign w:val="bottom"/>
          </w:tcPr>
          <w:p w14:paraId="7A5EAC3D" w14:textId="77777777" w:rsidR="00A739E1" w:rsidRPr="002431C0" w:rsidRDefault="00A739E1" w:rsidP="0071296E">
            <w:pPr>
              <w:jc w:val="center"/>
              <w:rPr>
                <w:sz w:val="20"/>
                <w:szCs w:val="20"/>
              </w:rPr>
            </w:pPr>
          </w:p>
        </w:tc>
        <w:tc>
          <w:tcPr>
            <w:tcW w:w="3924" w:type="dxa"/>
            <w:gridSpan w:val="3"/>
            <w:tcBorders>
              <w:top w:val="double" w:sz="4" w:space="0" w:color="auto"/>
              <w:left w:val="single" w:sz="4" w:space="0" w:color="auto"/>
              <w:bottom w:val="single" w:sz="18" w:space="0" w:color="auto"/>
              <w:right w:val="thickThinSmallGap" w:sz="24" w:space="0" w:color="auto"/>
            </w:tcBorders>
            <w:vAlign w:val="bottom"/>
          </w:tcPr>
          <w:p w14:paraId="1D02A4C9" w14:textId="77777777" w:rsidR="00A739E1" w:rsidRPr="002431C0" w:rsidRDefault="00A739E1" w:rsidP="0071296E">
            <w:pPr>
              <w:jc w:val="center"/>
              <w:rPr>
                <w:sz w:val="20"/>
                <w:szCs w:val="20"/>
              </w:rPr>
            </w:pPr>
            <w:r w:rsidRPr="002431C0">
              <w:rPr>
                <w:sz w:val="16"/>
                <w:szCs w:val="20"/>
              </w:rPr>
              <w:t>(</w:t>
            </w:r>
            <w:r w:rsidRPr="002431C0">
              <w:rPr>
                <w:i/>
                <w:sz w:val="16"/>
                <w:szCs w:val="20"/>
              </w:rPr>
              <w:t>000’s of Dollars</w:t>
            </w:r>
            <w:r w:rsidRPr="002431C0">
              <w:rPr>
                <w:sz w:val="16"/>
                <w:szCs w:val="20"/>
              </w:rPr>
              <w:t>)</w:t>
            </w:r>
          </w:p>
        </w:tc>
      </w:tr>
      <w:tr w:rsidR="00A739E1" w:rsidRPr="002431C0" w14:paraId="6436B315" w14:textId="77777777" w:rsidTr="0071296E">
        <w:trPr>
          <w:trHeight w:val="288"/>
        </w:trPr>
        <w:tc>
          <w:tcPr>
            <w:tcW w:w="1098" w:type="dxa"/>
            <w:tcBorders>
              <w:top w:val="single" w:sz="18" w:space="0" w:color="auto"/>
              <w:left w:val="thinThickSmallGap" w:sz="24" w:space="0" w:color="auto"/>
              <w:bottom w:val="single" w:sz="4" w:space="0" w:color="auto"/>
              <w:right w:val="single" w:sz="4" w:space="0" w:color="auto"/>
            </w:tcBorders>
            <w:shd w:val="clear" w:color="auto" w:fill="auto"/>
            <w:noWrap/>
            <w:vAlign w:val="bottom"/>
          </w:tcPr>
          <w:p w14:paraId="6DEC462E" w14:textId="77777777" w:rsidR="00A739E1" w:rsidRPr="002431C0" w:rsidRDefault="00A739E1" w:rsidP="0071296E">
            <w:pPr>
              <w:rPr>
                <w:sz w:val="20"/>
                <w:szCs w:val="20"/>
              </w:rPr>
            </w:pPr>
            <w:r w:rsidRPr="002431C0">
              <w:rPr>
                <w:sz w:val="20"/>
                <w:szCs w:val="20"/>
              </w:rPr>
              <w:t>2.12</w:t>
            </w:r>
          </w:p>
        </w:tc>
        <w:tc>
          <w:tcPr>
            <w:tcW w:w="5616" w:type="dxa"/>
            <w:tcBorders>
              <w:top w:val="single" w:sz="18" w:space="0" w:color="auto"/>
              <w:left w:val="single" w:sz="4" w:space="0" w:color="auto"/>
              <w:bottom w:val="single" w:sz="4" w:space="0" w:color="auto"/>
              <w:right w:val="single" w:sz="4" w:space="0" w:color="auto"/>
            </w:tcBorders>
            <w:noWrap/>
            <w:vAlign w:val="bottom"/>
          </w:tcPr>
          <w:p w14:paraId="1C4D552A" w14:textId="77777777" w:rsidR="00A739E1" w:rsidRPr="002431C0" w:rsidRDefault="00A739E1" w:rsidP="0071296E">
            <w:pPr>
              <w:rPr>
                <w:sz w:val="20"/>
                <w:szCs w:val="20"/>
              </w:rPr>
            </w:pPr>
            <w:r w:rsidRPr="002431C0">
              <w:rPr>
                <w:bCs/>
                <w:sz w:val="20"/>
                <w:szCs w:val="20"/>
              </w:rPr>
              <w:t>Director Fees, Misc. Restating Adjustment</w:t>
            </w:r>
          </w:p>
        </w:tc>
        <w:tc>
          <w:tcPr>
            <w:tcW w:w="1170" w:type="dxa"/>
            <w:tcBorders>
              <w:top w:val="single" w:sz="18" w:space="0" w:color="auto"/>
              <w:left w:val="single" w:sz="4" w:space="0" w:color="auto"/>
              <w:bottom w:val="single" w:sz="4" w:space="0" w:color="auto"/>
              <w:right w:val="single" w:sz="4" w:space="0" w:color="auto"/>
            </w:tcBorders>
            <w:vAlign w:val="bottom"/>
          </w:tcPr>
          <w:p w14:paraId="5DC8E8E0" w14:textId="77777777" w:rsidR="00A739E1" w:rsidRPr="002431C0" w:rsidRDefault="00A739E1" w:rsidP="0071296E">
            <w:pPr>
              <w:jc w:val="right"/>
              <w:rPr>
                <w:sz w:val="20"/>
                <w:szCs w:val="20"/>
              </w:rPr>
            </w:pPr>
            <w:r w:rsidRPr="002431C0">
              <w:rPr>
                <w:sz w:val="20"/>
                <w:szCs w:val="20"/>
              </w:rPr>
              <w:t xml:space="preserve">  51</w:t>
            </w:r>
          </w:p>
        </w:tc>
        <w:tc>
          <w:tcPr>
            <w:tcW w:w="1170" w:type="dxa"/>
            <w:tcBorders>
              <w:top w:val="single" w:sz="18" w:space="0" w:color="auto"/>
              <w:left w:val="single" w:sz="4" w:space="0" w:color="auto"/>
              <w:bottom w:val="single" w:sz="4" w:space="0" w:color="auto"/>
              <w:right w:val="single" w:sz="4" w:space="0" w:color="auto"/>
            </w:tcBorders>
            <w:vAlign w:val="bottom"/>
          </w:tcPr>
          <w:p w14:paraId="7F9AB130" w14:textId="77777777" w:rsidR="00A739E1" w:rsidRPr="002431C0" w:rsidRDefault="00A739E1" w:rsidP="0071296E">
            <w:pPr>
              <w:jc w:val="right"/>
              <w:rPr>
                <w:sz w:val="20"/>
                <w:szCs w:val="20"/>
              </w:rPr>
            </w:pPr>
            <w:r w:rsidRPr="002431C0">
              <w:rPr>
                <w:sz w:val="20"/>
                <w:szCs w:val="20"/>
              </w:rPr>
              <w:t xml:space="preserve">               -</w:t>
            </w:r>
          </w:p>
        </w:tc>
        <w:tc>
          <w:tcPr>
            <w:tcW w:w="1584" w:type="dxa"/>
            <w:tcBorders>
              <w:top w:val="single" w:sz="18" w:space="0" w:color="auto"/>
              <w:left w:val="single" w:sz="4" w:space="0" w:color="auto"/>
              <w:bottom w:val="single" w:sz="4" w:space="0" w:color="auto"/>
              <w:right w:val="thickThinSmallGap" w:sz="24" w:space="0" w:color="auto"/>
            </w:tcBorders>
            <w:noWrap/>
            <w:vAlign w:val="bottom"/>
          </w:tcPr>
          <w:p w14:paraId="6C8C7A24" w14:textId="77777777" w:rsidR="00A739E1" w:rsidRPr="002431C0" w:rsidRDefault="00A739E1" w:rsidP="0071296E">
            <w:pPr>
              <w:jc w:val="right"/>
              <w:rPr>
                <w:sz w:val="20"/>
                <w:szCs w:val="20"/>
              </w:rPr>
            </w:pPr>
            <w:r w:rsidRPr="002431C0">
              <w:rPr>
                <w:sz w:val="20"/>
                <w:szCs w:val="20"/>
              </w:rPr>
              <w:t xml:space="preserve">                  (82)</w:t>
            </w:r>
          </w:p>
        </w:tc>
      </w:tr>
      <w:tr w:rsidR="00A739E1" w:rsidRPr="002431C0" w14:paraId="4CA0126D" w14:textId="77777777" w:rsidTr="0071296E">
        <w:trPr>
          <w:trHeight w:val="288"/>
        </w:trPr>
        <w:tc>
          <w:tcPr>
            <w:tcW w:w="1098" w:type="dxa"/>
            <w:tcBorders>
              <w:top w:val="single" w:sz="4" w:space="0" w:color="auto"/>
              <w:left w:val="thinThickSmallGap" w:sz="24" w:space="0" w:color="auto"/>
              <w:bottom w:val="single" w:sz="4" w:space="0" w:color="auto"/>
              <w:right w:val="single" w:sz="4" w:space="0" w:color="auto"/>
            </w:tcBorders>
            <w:shd w:val="clear" w:color="auto" w:fill="auto"/>
            <w:noWrap/>
            <w:vAlign w:val="bottom"/>
          </w:tcPr>
          <w:p w14:paraId="21811E26" w14:textId="77777777" w:rsidR="00A739E1" w:rsidRPr="002431C0" w:rsidRDefault="00A739E1" w:rsidP="0071296E">
            <w:pPr>
              <w:rPr>
                <w:sz w:val="20"/>
                <w:szCs w:val="20"/>
              </w:rPr>
            </w:pPr>
            <w:r w:rsidRPr="002431C0">
              <w:rPr>
                <w:sz w:val="20"/>
                <w:szCs w:val="20"/>
              </w:rPr>
              <w:t>2.15</w:t>
            </w:r>
          </w:p>
        </w:tc>
        <w:tc>
          <w:tcPr>
            <w:tcW w:w="5616" w:type="dxa"/>
            <w:tcBorders>
              <w:top w:val="single" w:sz="4" w:space="0" w:color="auto"/>
              <w:left w:val="single" w:sz="4" w:space="0" w:color="auto"/>
              <w:bottom w:val="single" w:sz="4" w:space="0" w:color="auto"/>
              <w:right w:val="single" w:sz="4" w:space="0" w:color="auto"/>
            </w:tcBorders>
            <w:noWrap/>
            <w:vAlign w:val="bottom"/>
          </w:tcPr>
          <w:p w14:paraId="716E5265" w14:textId="77777777" w:rsidR="00A739E1" w:rsidRPr="002431C0" w:rsidRDefault="00A739E1" w:rsidP="0071296E">
            <w:pPr>
              <w:rPr>
                <w:sz w:val="20"/>
                <w:szCs w:val="20"/>
              </w:rPr>
            </w:pPr>
            <w:r w:rsidRPr="002431C0">
              <w:rPr>
                <w:bCs/>
                <w:sz w:val="20"/>
                <w:szCs w:val="20"/>
              </w:rPr>
              <w:t>Restating Long-Term Incentive Plan</w:t>
            </w:r>
          </w:p>
        </w:tc>
        <w:tc>
          <w:tcPr>
            <w:tcW w:w="1170" w:type="dxa"/>
            <w:tcBorders>
              <w:top w:val="single" w:sz="4" w:space="0" w:color="auto"/>
              <w:left w:val="single" w:sz="4" w:space="0" w:color="auto"/>
              <w:bottom w:val="single" w:sz="4" w:space="0" w:color="auto"/>
              <w:right w:val="single" w:sz="4" w:space="0" w:color="auto"/>
            </w:tcBorders>
            <w:vAlign w:val="bottom"/>
          </w:tcPr>
          <w:p w14:paraId="305BEE8B" w14:textId="77777777" w:rsidR="00A739E1" w:rsidRPr="002431C0" w:rsidRDefault="00A739E1" w:rsidP="0071296E">
            <w:pPr>
              <w:jc w:val="right"/>
              <w:rPr>
                <w:sz w:val="20"/>
                <w:szCs w:val="20"/>
              </w:rPr>
            </w:pPr>
            <w:r w:rsidRPr="002431C0">
              <w:rPr>
                <w:sz w:val="20"/>
                <w:szCs w:val="20"/>
              </w:rPr>
              <w:t>46</w:t>
            </w:r>
          </w:p>
        </w:tc>
        <w:tc>
          <w:tcPr>
            <w:tcW w:w="1170" w:type="dxa"/>
            <w:tcBorders>
              <w:top w:val="single" w:sz="4" w:space="0" w:color="auto"/>
              <w:left w:val="single" w:sz="4" w:space="0" w:color="auto"/>
              <w:bottom w:val="single" w:sz="4" w:space="0" w:color="auto"/>
              <w:right w:val="single" w:sz="4" w:space="0" w:color="auto"/>
            </w:tcBorders>
            <w:vAlign w:val="bottom"/>
          </w:tcPr>
          <w:p w14:paraId="51DB1C18" w14:textId="77777777" w:rsidR="00A739E1" w:rsidRPr="002431C0" w:rsidRDefault="00A739E1" w:rsidP="0071296E">
            <w:pPr>
              <w:jc w:val="right"/>
              <w:rPr>
                <w:sz w:val="20"/>
                <w:szCs w:val="20"/>
              </w:rPr>
            </w:pPr>
            <w:r w:rsidRPr="002431C0">
              <w:rPr>
                <w:sz w:val="20"/>
                <w:szCs w:val="20"/>
              </w:rPr>
              <w:t>-</w:t>
            </w:r>
          </w:p>
        </w:tc>
        <w:tc>
          <w:tcPr>
            <w:tcW w:w="1584" w:type="dxa"/>
            <w:tcBorders>
              <w:top w:val="single" w:sz="4" w:space="0" w:color="auto"/>
              <w:left w:val="single" w:sz="4" w:space="0" w:color="auto"/>
              <w:bottom w:val="single" w:sz="4" w:space="0" w:color="auto"/>
              <w:right w:val="thickThinSmallGap" w:sz="24" w:space="0" w:color="auto"/>
            </w:tcBorders>
            <w:noWrap/>
            <w:vAlign w:val="bottom"/>
          </w:tcPr>
          <w:p w14:paraId="5DD19723" w14:textId="77777777" w:rsidR="00A739E1" w:rsidRPr="002431C0" w:rsidRDefault="00A739E1" w:rsidP="0071296E">
            <w:pPr>
              <w:jc w:val="right"/>
              <w:rPr>
                <w:sz w:val="20"/>
                <w:szCs w:val="20"/>
              </w:rPr>
            </w:pPr>
            <w:r w:rsidRPr="002431C0">
              <w:rPr>
                <w:sz w:val="20"/>
                <w:szCs w:val="20"/>
              </w:rPr>
              <w:t>(74)</w:t>
            </w:r>
          </w:p>
        </w:tc>
      </w:tr>
      <w:tr w:rsidR="00A739E1" w:rsidRPr="002431C0" w14:paraId="63807C36" w14:textId="77777777" w:rsidTr="0071296E">
        <w:trPr>
          <w:trHeight w:val="288"/>
        </w:trPr>
        <w:tc>
          <w:tcPr>
            <w:tcW w:w="1098" w:type="dxa"/>
            <w:tcBorders>
              <w:top w:val="single" w:sz="4" w:space="0" w:color="auto"/>
              <w:left w:val="thinThickSmallGap" w:sz="24" w:space="0" w:color="auto"/>
              <w:bottom w:val="single" w:sz="4" w:space="0" w:color="auto"/>
              <w:right w:val="single" w:sz="4" w:space="0" w:color="auto"/>
            </w:tcBorders>
            <w:shd w:val="clear" w:color="auto" w:fill="auto"/>
            <w:noWrap/>
            <w:vAlign w:val="bottom"/>
          </w:tcPr>
          <w:p w14:paraId="33EFAAFA" w14:textId="77777777" w:rsidR="00A739E1" w:rsidRPr="002431C0" w:rsidRDefault="00A739E1" w:rsidP="0071296E">
            <w:pPr>
              <w:rPr>
                <w:sz w:val="20"/>
                <w:szCs w:val="20"/>
              </w:rPr>
            </w:pPr>
            <w:r w:rsidRPr="002431C0">
              <w:rPr>
                <w:sz w:val="20"/>
                <w:szCs w:val="20"/>
              </w:rPr>
              <w:t>3.00</w:t>
            </w:r>
          </w:p>
        </w:tc>
        <w:tc>
          <w:tcPr>
            <w:tcW w:w="5616" w:type="dxa"/>
            <w:tcBorders>
              <w:top w:val="single" w:sz="4" w:space="0" w:color="auto"/>
              <w:left w:val="single" w:sz="4" w:space="0" w:color="auto"/>
              <w:bottom w:val="single" w:sz="4" w:space="0" w:color="auto"/>
              <w:right w:val="single" w:sz="4" w:space="0" w:color="auto"/>
            </w:tcBorders>
            <w:noWrap/>
            <w:vAlign w:val="bottom"/>
          </w:tcPr>
          <w:p w14:paraId="0C7F0853" w14:textId="77777777" w:rsidR="00A739E1" w:rsidRPr="002431C0" w:rsidRDefault="00A739E1" w:rsidP="0071296E">
            <w:pPr>
              <w:rPr>
                <w:sz w:val="20"/>
                <w:szCs w:val="20"/>
              </w:rPr>
            </w:pPr>
            <w:r w:rsidRPr="002431C0">
              <w:rPr>
                <w:bCs/>
                <w:sz w:val="20"/>
                <w:szCs w:val="20"/>
              </w:rPr>
              <w:t>Pro Forma Labor Non-Exec</w:t>
            </w:r>
          </w:p>
        </w:tc>
        <w:tc>
          <w:tcPr>
            <w:tcW w:w="1170" w:type="dxa"/>
            <w:tcBorders>
              <w:top w:val="single" w:sz="4" w:space="0" w:color="auto"/>
              <w:left w:val="single" w:sz="4" w:space="0" w:color="auto"/>
              <w:bottom w:val="single" w:sz="4" w:space="0" w:color="auto"/>
              <w:right w:val="single" w:sz="4" w:space="0" w:color="auto"/>
            </w:tcBorders>
            <w:vAlign w:val="bottom"/>
          </w:tcPr>
          <w:p w14:paraId="006F00EB" w14:textId="77777777" w:rsidR="00A739E1" w:rsidRPr="002431C0" w:rsidRDefault="00A739E1" w:rsidP="0071296E">
            <w:pPr>
              <w:jc w:val="right"/>
              <w:rPr>
                <w:sz w:val="20"/>
                <w:szCs w:val="20"/>
              </w:rPr>
            </w:pPr>
            <w:r w:rsidRPr="002431C0">
              <w:rPr>
                <w:sz w:val="20"/>
                <w:szCs w:val="20"/>
              </w:rPr>
              <w:t>(561)</w:t>
            </w:r>
          </w:p>
        </w:tc>
        <w:tc>
          <w:tcPr>
            <w:tcW w:w="1170" w:type="dxa"/>
            <w:tcBorders>
              <w:top w:val="single" w:sz="4" w:space="0" w:color="auto"/>
              <w:left w:val="single" w:sz="4" w:space="0" w:color="auto"/>
              <w:bottom w:val="single" w:sz="4" w:space="0" w:color="auto"/>
              <w:right w:val="single" w:sz="4" w:space="0" w:color="auto"/>
            </w:tcBorders>
            <w:vAlign w:val="bottom"/>
          </w:tcPr>
          <w:p w14:paraId="3D82E3A7" w14:textId="77777777" w:rsidR="00A739E1" w:rsidRPr="002431C0" w:rsidRDefault="00A739E1" w:rsidP="0071296E">
            <w:pPr>
              <w:jc w:val="right"/>
              <w:rPr>
                <w:sz w:val="20"/>
                <w:szCs w:val="20"/>
              </w:rPr>
            </w:pPr>
            <w:r w:rsidRPr="002431C0">
              <w:rPr>
                <w:sz w:val="20"/>
                <w:szCs w:val="20"/>
              </w:rPr>
              <w:t>-</w:t>
            </w:r>
          </w:p>
        </w:tc>
        <w:tc>
          <w:tcPr>
            <w:tcW w:w="1584" w:type="dxa"/>
            <w:tcBorders>
              <w:top w:val="single" w:sz="4" w:space="0" w:color="auto"/>
              <w:left w:val="single" w:sz="4" w:space="0" w:color="auto"/>
              <w:bottom w:val="single" w:sz="4" w:space="0" w:color="auto"/>
              <w:right w:val="thickThinSmallGap" w:sz="24" w:space="0" w:color="auto"/>
            </w:tcBorders>
            <w:noWrap/>
            <w:vAlign w:val="bottom"/>
          </w:tcPr>
          <w:p w14:paraId="616464EB" w14:textId="77777777" w:rsidR="00A739E1" w:rsidRPr="002431C0" w:rsidRDefault="00A739E1" w:rsidP="0071296E">
            <w:pPr>
              <w:jc w:val="right"/>
              <w:rPr>
                <w:sz w:val="20"/>
                <w:szCs w:val="20"/>
              </w:rPr>
            </w:pPr>
            <w:r w:rsidRPr="002431C0">
              <w:rPr>
                <w:sz w:val="20"/>
                <w:szCs w:val="20"/>
              </w:rPr>
              <w:t>905</w:t>
            </w:r>
          </w:p>
        </w:tc>
      </w:tr>
      <w:tr w:rsidR="00A739E1" w:rsidRPr="002431C0" w14:paraId="6C8EF9AD" w14:textId="77777777" w:rsidTr="0071296E">
        <w:trPr>
          <w:trHeight w:val="288"/>
        </w:trPr>
        <w:tc>
          <w:tcPr>
            <w:tcW w:w="1098" w:type="dxa"/>
            <w:tcBorders>
              <w:top w:val="single" w:sz="4" w:space="0" w:color="auto"/>
              <w:left w:val="thinThickSmallGap" w:sz="24" w:space="0" w:color="auto"/>
              <w:bottom w:val="single" w:sz="4" w:space="0" w:color="auto"/>
              <w:right w:val="single" w:sz="4" w:space="0" w:color="auto"/>
            </w:tcBorders>
            <w:shd w:val="clear" w:color="auto" w:fill="auto"/>
            <w:noWrap/>
            <w:vAlign w:val="bottom"/>
          </w:tcPr>
          <w:p w14:paraId="532A1296" w14:textId="77777777" w:rsidR="00A739E1" w:rsidRPr="002431C0" w:rsidRDefault="00A739E1" w:rsidP="0071296E">
            <w:pPr>
              <w:rPr>
                <w:sz w:val="20"/>
                <w:szCs w:val="20"/>
              </w:rPr>
            </w:pPr>
            <w:r w:rsidRPr="002431C0">
              <w:rPr>
                <w:sz w:val="20"/>
                <w:szCs w:val="20"/>
              </w:rPr>
              <w:t>3.01</w:t>
            </w:r>
          </w:p>
        </w:tc>
        <w:tc>
          <w:tcPr>
            <w:tcW w:w="5616" w:type="dxa"/>
            <w:tcBorders>
              <w:top w:val="single" w:sz="4" w:space="0" w:color="auto"/>
              <w:left w:val="single" w:sz="4" w:space="0" w:color="auto"/>
              <w:bottom w:val="single" w:sz="4" w:space="0" w:color="auto"/>
              <w:right w:val="single" w:sz="4" w:space="0" w:color="auto"/>
            </w:tcBorders>
            <w:noWrap/>
            <w:vAlign w:val="bottom"/>
          </w:tcPr>
          <w:p w14:paraId="1017DEB6" w14:textId="77777777" w:rsidR="00A739E1" w:rsidRPr="002431C0" w:rsidRDefault="00A739E1" w:rsidP="0071296E">
            <w:pPr>
              <w:rPr>
                <w:sz w:val="20"/>
                <w:szCs w:val="20"/>
              </w:rPr>
            </w:pPr>
            <w:r w:rsidRPr="002431C0">
              <w:rPr>
                <w:bCs/>
                <w:sz w:val="20"/>
                <w:szCs w:val="20"/>
              </w:rPr>
              <w:t>Pro Forma Labor Exec</w:t>
            </w:r>
          </w:p>
        </w:tc>
        <w:tc>
          <w:tcPr>
            <w:tcW w:w="1170" w:type="dxa"/>
            <w:tcBorders>
              <w:top w:val="single" w:sz="4" w:space="0" w:color="auto"/>
              <w:left w:val="single" w:sz="4" w:space="0" w:color="auto"/>
              <w:bottom w:val="single" w:sz="4" w:space="0" w:color="auto"/>
              <w:right w:val="single" w:sz="4" w:space="0" w:color="auto"/>
            </w:tcBorders>
            <w:vAlign w:val="bottom"/>
          </w:tcPr>
          <w:p w14:paraId="7EC793E7" w14:textId="77777777" w:rsidR="00A739E1" w:rsidRPr="002431C0" w:rsidRDefault="00A739E1" w:rsidP="0071296E">
            <w:pPr>
              <w:jc w:val="right"/>
              <w:rPr>
                <w:sz w:val="20"/>
                <w:szCs w:val="20"/>
              </w:rPr>
            </w:pPr>
            <w:r w:rsidRPr="002431C0">
              <w:rPr>
                <w:sz w:val="20"/>
                <w:szCs w:val="20"/>
              </w:rPr>
              <w:t>(14)</w:t>
            </w:r>
          </w:p>
        </w:tc>
        <w:tc>
          <w:tcPr>
            <w:tcW w:w="1170" w:type="dxa"/>
            <w:tcBorders>
              <w:top w:val="single" w:sz="4" w:space="0" w:color="auto"/>
              <w:left w:val="single" w:sz="4" w:space="0" w:color="auto"/>
              <w:bottom w:val="single" w:sz="4" w:space="0" w:color="auto"/>
              <w:right w:val="single" w:sz="4" w:space="0" w:color="auto"/>
            </w:tcBorders>
            <w:vAlign w:val="bottom"/>
          </w:tcPr>
          <w:p w14:paraId="4981F011" w14:textId="77777777" w:rsidR="00A739E1" w:rsidRPr="002431C0" w:rsidRDefault="00A739E1" w:rsidP="0071296E">
            <w:pPr>
              <w:jc w:val="right"/>
              <w:rPr>
                <w:sz w:val="20"/>
                <w:szCs w:val="20"/>
              </w:rPr>
            </w:pPr>
            <w:r w:rsidRPr="002431C0">
              <w:rPr>
                <w:sz w:val="20"/>
                <w:szCs w:val="20"/>
              </w:rPr>
              <w:t>-</w:t>
            </w:r>
          </w:p>
        </w:tc>
        <w:tc>
          <w:tcPr>
            <w:tcW w:w="1584" w:type="dxa"/>
            <w:tcBorders>
              <w:top w:val="single" w:sz="4" w:space="0" w:color="auto"/>
              <w:left w:val="single" w:sz="4" w:space="0" w:color="auto"/>
              <w:bottom w:val="single" w:sz="4" w:space="0" w:color="auto"/>
              <w:right w:val="thickThinSmallGap" w:sz="24" w:space="0" w:color="auto"/>
            </w:tcBorders>
            <w:noWrap/>
            <w:vAlign w:val="bottom"/>
          </w:tcPr>
          <w:p w14:paraId="18E38C6D" w14:textId="77777777" w:rsidR="00A739E1" w:rsidRPr="002431C0" w:rsidRDefault="00A739E1" w:rsidP="0071296E">
            <w:pPr>
              <w:jc w:val="right"/>
              <w:rPr>
                <w:sz w:val="20"/>
                <w:szCs w:val="20"/>
              </w:rPr>
            </w:pPr>
            <w:r w:rsidRPr="002431C0">
              <w:rPr>
                <w:sz w:val="20"/>
                <w:szCs w:val="20"/>
              </w:rPr>
              <w:t>23</w:t>
            </w:r>
          </w:p>
        </w:tc>
      </w:tr>
      <w:tr w:rsidR="00A739E1" w:rsidRPr="002431C0" w14:paraId="44B118F2" w14:textId="77777777" w:rsidTr="0071296E">
        <w:trPr>
          <w:trHeight w:val="288"/>
        </w:trPr>
        <w:tc>
          <w:tcPr>
            <w:tcW w:w="1098" w:type="dxa"/>
            <w:tcBorders>
              <w:top w:val="single" w:sz="4" w:space="0" w:color="auto"/>
              <w:left w:val="thinThickSmallGap" w:sz="24" w:space="0" w:color="auto"/>
              <w:bottom w:val="single" w:sz="4" w:space="0" w:color="auto"/>
              <w:right w:val="single" w:sz="4" w:space="0" w:color="auto"/>
            </w:tcBorders>
            <w:shd w:val="clear" w:color="auto" w:fill="auto"/>
            <w:noWrap/>
            <w:vAlign w:val="bottom"/>
          </w:tcPr>
          <w:p w14:paraId="440D5802" w14:textId="77777777" w:rsidR="00A739E1" w:rsidRPr="002431C0" w:rsidRDefault="00A739E1" w:rsidP="0071296E">
            <w:pPr>
              <w:rPr>
                <w:sz w:val="20"/>
                <w:szCs w:val="20"/>
              </w:rPr>
            </w:pPr>
            <w:r w:rsidRPr="002431C0">
              <w:rPr>
                <w:sz w:val="20"/>
                <w:szCs w:val="20"/>
              </w:rPr>
              <w:t>3.03</w:t>
            </w:r>
          </w:p>
        </w:tc>
        <w:tc>
          <w:tcPr>
            <w:tcW w:w="5616" w:type="dxa"/>
            <w:tcBorders>
              <w:top w:val="single" w:sz="4" w:space="0" w:color="auto"/>
              <w:left w:val="single" w:sz="4" w:space="0" w:color="auto"/>
              <w:bottom w:val="single" w:sz="4" w:space="0" w:color="auto"/>
              <w:right w:val="single" w:sz="4" w:space="0" w:color="auto"/>
            </w:tcBorders>
            <w:noWrap/>
            <w:vAlign w:val="bottom"/>
          </w:tcPr>
          <w:p w14:paraId="4EF62FCC" w14:textId="77777777" w:rsidR="00A739E1" w:rsidRPr="002431C0" w:rsidRDefault="00A739E1" w:rsidP="0071296E">
            <w:pPr>
              <w:rPr>
                <w:bCs/>
                <w:sz w:val="20"/>
                <w:szCs w:val="20"/>
              </w:rPr>
            </w:pPr>
            <w:r w:rsidRPr="002431C0">
              <w:rPr>
                <w:bCs/>
                <w:sz w:val="20"/>
                <w:szCs w:val="20"/>
              </w:rPr>
              <w:t>Pro Forma Insurance</w:t>
            </w:r>
          </w:p>
        </w:tc>
        <w:tc>
          <w:tcPr>
            <w:tcW w:w="1170" w:type="dxa"/>
            <w:tcBorders>
              <w:top w:val="single" w:sz="4" w:space="0" w:color="auto"/>
              <w:left w:val="single" w:sz="4" w:space="0" w:color="auto"/>
              <w:bottom w:val="single" w:sz="4" w:space="0" w:color="auto"/>
              <w:right w:val="single" w:sz="4" w:space="0" w:color="auto"/>
            </w:tcBorders>
            <w:vAlign w:val="bottom"/>
          </w:tcPr>
          <w:p w14:paraId="5594949A" w14:textId="77777777" w:rsidR="00A739E1" w:rsidRPr="002431C0" w:rsidRDefault="00A739E1" w:rsidP="0071296E">
            <w:pPr>
              <w:jc w:val="right"/>
              <w:rPr>
                <w:sz w:val="20"/>
                <w:szCs w:val="20"/>
              </w:rPr>
            </w:pPr>
            <w:r w:rsidRPr="002431C0">
              <w:rPr>
                <w:sz w:val="20"/>
                <w:szCs w:val="20"/>
              </w:rPr>
              <w:t>10</w:t>
            </w:r>
          </w:p>
        </w:tc>
        <w:tc>
          <w:tcPr>
            <w:tcW w:w="1170" w:type="dxa"/>
            <w:tcBorders>
              <w:top w:val="single" w:sz="4" w:space="0" w:color="auto"/>
              <w:left w:val="single" w:sz="4" w:space="0" w:color="auto"/>
              <w:bottom w:val="single" w:sz="4" w:space="0" w:color="auto"/>
              <w:right w:val="single" w:sz="4" w:space="0" w:color="auto"/>
            </w:tcBorders>
            <w:vAlign w:val="bottom"/>
          </w:tcPr>
          <w:p w14:paraId="4015BC93" w14:textId="77777777" w:rsidR="00A739E1" w:rsidRPr="002431C0" w:rsidRDefault="00A739E1" w:rsidP="0071296E">
            <w:pPr>
              <w:jc w:val="right"/>
              <w:rPr>
                <w:sz w:val="20"/>
                <w:szCs w:val="20"/>
              </w:rPr>
            </w:pPr>
            <w:r w:rsidRPr="002431C0">
              <w:rPr>
                <w:sz w:val="20"/>
                <w:szCs w:val="20"/>
              </w:rPr>
              <w:t>-</w:t>
            </w:r>
          </w:p>
        </w:tc>
        <w:tc>
          <w:tcPr>
            <w:tcW w:w="1584" w:type="dxa"/>
            <w:tcBorders>
              <w:top w:val="single" w:sz="4" w:space="0" w:color="auto"/>
              <w:left w:val="single" w:sz="4" w:space="0" w:color="auto"/>
              <w:bottom w:val="single" w:sz="4" w:space="0" w:color="auto"/>
              <w:right w:val="thickThinSmallGap" w:sz="24" w:space="0" w:color="auto"/>
            </w:tcBorders>
            <w:noWrap/>
            <w:vAlign w:val="bottom"/>
          </w:tcPr>
          <w:p w14:paraId="1CF02B12" w14:textId="77777777" w:rsidR="00A739E1" w:rsidRPr="002431C0" w:rsidRDefault="00A739E1" w:rsidP="0071296E">
            <w:pPr>
              <w:jc w:val="right"/>
              <w:rPr>
                <w:sz w:val="20"/>
                <w:szCs w:val="20"/>
              </w:rPr>
            </w:pPr>
            <w:r w:rsidRPr="002431C0">
              <w:rPr>
                <w:sz w:val="20"/>
                <w:szCs w:val="20"/>
              </w:rPr>
              <w:t>(16)</w:t>
            </w:r>
          </w:p>
        </w:tc>
      </w:tr>
      <w:tr w:rsidR="00A739E1" w:rsidRPr="002431C0" w14:paraId="63D36EB8" w14:textId="77777777" w:rsidTr="0071296E">
        <w:trPr>
          <w:trHeight w:val="288"/>
        </w:trPr>
        <w:tc>
          <w:tcPr>
            <w:tcW w:w="1098" w:type="dxa"/>
            <w:tcBorders>
              <w:top w:val="single" w:sz="4" w:space="0" w:color="auto"/>
              <w:left w:val="thinThickSmallGap" w:sz="24" w:space="0" w:color="auto"/>
              <w:bottom w:val="single" w:sz="4" w:space="0" w:color="auto"/>
              <w:right w:val="single" w:sz="4" w:space="0" w:color="auto"/>
            </w:tcBorders>
            <w:shd w:val="clear" w:color="auto" w:fill="auto"/>
            <w:noWrap/>
            <w:vAlign w:val="bottom"/>
          </w:tcPr>
          <w:p w14:paraId="5916D9B9" w14:textId="77777777" w:rsidR="00A739E1" w:rsidRPr="002431C0" w:rsidRDefault="00A739E1" w:rsidP="0071296E">
            <w:pPr>
              <w:rPr>
                <w:sz w:val="20"/>
                <w:szCs w:val="20"/>
              </w:rPr>
            </w:pPr>
            <w:r w:rsidRPr="002431C0">
              <w:rPr>
                <w:sz w:val="20"/>
                <w:szCs w:val="20"/>
              </w:rPr>
              <w:t>3.04</w:t>
            </w:r>
          </w:p>
        </w:tc>
        <w:tc>
          <w:tcPr>
            <w:tcW w:w="5616" w:type="dxa"/>
            <w:tcBorders>
              <w:top w:val="single" w:sz="4" w:space="0" w:color="auto"/>
              <w:left w:val="single" w:sz="4" w:space="0" w:color="auto"/>
              <w:bottom w:val="single" w:sz="4" w:space="0" w:color="auto"/>
              <w:right w:val="single" w:sz="4" w:space="0" w:color="auto"/>
            </w:tcBorders>
            <w:noWrap/>
            <w:vAlign w:val="bottom"/>
          </w:tcPr>
          <w:p w14:paraId="5CAB77EE" w14:textId="77777777" w:rsidR="00A739E1" w:rsidRPr="002431C0" w:rsidRDefault="00A739E1" w:rsidP="0071296E">
            <w:pPr>
              <w:rPr>
                <w:bCs/>
                <w:sz w:val="20"/>
                <w:szCs w:val="20"/>
              </w:rPr>
            </w:pPr>
            <w:r w:rsidRPr="002431C0">
              <w:rPr>
                <w:bCs/>
                <w:sz w:val="20"/>
                <w:szCs w:val="20"/>
              </w:rPr>
              <w:t>Pro Forma Property Tax</w:t>
            </w:r>
          </w:p>
        </w:tc>
        <w:tc>
          <w:tcPr>
            <w:tcW w:w="1170" w:type="dxa"/>
            <w:tcBorders>
              <w:top w:val="single" w:sz="4" w:space="0" w:color="auto"/>
              <w:left w:val="single" w:sz="4" w:space="0" w:color="auto"/>
              <w:bottom w:val="single" w:sz="4" w:space="0" w:color="auto"/>
              <w:right w:val="single" w:sz="4" w:space="0" w:color="auto"/>
            </w:tcBorders>
            <w:vAlign w:val="bottom"/>
          </w:tcPr>
          <w:p w14:paraId="3924CA9D" w14:textId="77777777" w:rsidR="00A739E1" w:rsidRPr="002431C0" w:rsidRDefault="00A739E1" w:rsidP="0071296E">
            <w:pPr>
              <w:jc w:val="right"/>
              <w:rPr>
                <w:sz w:val="20"/>
                <w:szCs w:val="20"/>
              </w:rPr>
            </w:pPr>
            <w:r w:rsidRPr="002431C0">
              <w:rPr>
                <w:sz w:val="20"/>
                <w:szCs w:val="20"/>
              </w:rPr>
              <w:t>(131)</w:t>
            </w:r>
          </w:p>
        </w:tc>
        <w:tc>
          <w:tcPr>
            <w:tcW w:w="1170" w:type="dxa"/>
            <w:tcBorders>
              <w:top w:val="single" w:sz="4" w:space="0" w:color="auto"/>
              <w:left w:val="single" w:sz="4" w:space="0" w:color="auto"/>
              <w:bottom w:val="single" w:sz="4" w:space="0" w:color="auto"/>
              <w:right w:val="single" w:sz="4" w:space="0" w:color="auto"/>
            </w:tcBorders>
            <w:vAlign w:val="bottom"/>
          </w:tcPr>
          <w:p w14:paraId="537DCB1E" w14:textId="77777777" w:rsidR="00A739E1" w:rsidRPr="002431C0" w:rsidRDefault="00A739E1" w:rsidP="0071296E">
            <w:pPr>
              <w:jc w:val="right"/>
              <w:rPr>
                <w:sz w:val="20"/>
                <w:szCs w:val="20"/>
              </w:rPr>
            </w:pPr>
            <w:r w:rsidRPr="002431C0">
              <w:rPr>
                <w:sz w:val="20"/>
                <w:szCs w:val="20"/>
              </w:rPr>
              <w:t>-</w:t>
            </w:r>
          </w:p>
        </w:tc>
        <w:tc>
          <w:tcPr>
            <w:tcW w:w="1584" w:type="dxa"/>
            <w:tcBorders>
              <w:top w:val="single" w:sz="4" w:space="0" w:color="auto"/>
              <w:left w:val="single" w:sz="4" w:space="0" w:color="auto"/>
              <w:bottom w:val="single" w:sz="4" w:space="0" w:color="auto"/>
              <w:right w:val="thickThinSmallGap" w:sz="24" w:space="0" w:color="auto"/>
            </w:tcBorders>
            <w:noWrap/>
            <w:vAlign w:val="bottom"/>
          </w:tcPr>
          <w:p w14:paraId="1BE60ED3" w14:textId="77777777" w:rsidR="00A739E1" w:rsidRPr="002431C0" w:rsidRDefault="00A739E1" w:rsidP="0071296E">
            <w:pPr>
              <w:jc w:val="right"/>
              <w:rPr>
                <w:sz w:val="20"/>
                <w:szCs w:val="20"/>
              </w:rPr>
            </w:pPr>
            <w:r w:rsidRPr="002431C0">
              <w:rPr>
                <w:sz w:val="20"/>
                <w:szCs w:val="20"/>
              </w:rPr>
              <w:t>211</w:t>
            </w:r>
          </w:p>
        </w:tc>
      </w:tr>
      <w:tr w:rsidR="00A739E1" w:rsidRPr="002431C0" w14:paraId="645CF0EE" w14:textId="77777777" w:rsidTr="0071296E">
        <w:trPr>
          <w:trHeight w:val="288"/>
        </w:trPr>
        <w:tc>
          <w:tcPr>
            <w:tcW w:w="1098" w:type="dxa"/>
            <w:tcBorders>
              <w:top w:val="single" w:sz="4" w:space="0" w:color="auto"/>
              <w:left w:val="thinThickSmallGap" w:sz="24" w:space="0" w:color="auto"/>
              <w:bottom w:val="single" w:sz="4" w:space="0" w:color="auto"/>
              <w:right w:val="single" w:sz="4" w:space="0" w:color="auto"/>
            </w:tcBorders>
            <w:shd w:val="clear" w:color="auto" w:fill="auto"/>
            <w:noWrap/>
            <w:vAlign w:val="bottom"/>
          </w:tcPr>
          <w:p w14:paraId="414B8048" w14:textId="77777777" w:rsidR="00A739E1" w:rsidRPr="002431C0" w:rsidRDefault="00A739E1" w:rsidP="0071296E">
            <w:pPr>
              <w:rPr>
                <w:sz w:val="20"/>
                <w:szCs w:val="20"/>
              </w:rPr>
            </w:pPr>
            <w:r w:rsidRPr="002431C0">
              <w:rPr>
                <w:sz w:val="20"/>
                <w:szCs w:val="20"/>
              </w:rPr>
              <w:t>3.05</w:t>
            </w:r>
          </w:p>
        </w:tc>
        <w:tc>
          <w:tcPr>
            <w:tcW w:w="5616" w:type="dxa"/>
            <w:tcBorders>
              <w:top w:val="single" w:sz="4" w:space="0" w:color="auto"/>
              <w:left w:val="single" w:sz="4" w:space="0" w:color="auto"/>
              <w:bottom w:val="single" w:sz="4" w:space="0" w:color="auto"/>
              <w:right w:val="single" w:sz="4" w:space="0" w:color="auto"/>
            </w:tcBorders>
            <w:noWrap/>
            <w:vAlign w:val="bottom"/>
          </w:tcPr>
          <w:p w14:paraId="0885122B" w14:textId="77777777" w:rsidR="00A739E1" w:rsidRPr="002431C0" w:rsidRDefault="00A739E1" w:rsidP="0071296E">
            <w:pPr>
              <w:rPr>
                <w:bCs/>
                <w:sz w:val="20"/>
                <w:szCs w:val="20"/>
              </w:rPr>
            </w:pPr>
            <w:r w:rsidRPr="002431C0">
              <w:rPr>
                <w:bCs/>
                <w:sz w:val="20"/>
                <w:szCs w:val="20"/>
              </w:rPr>
              <w:t>Pro Forma Information Tech/Serv Expense</w:t>
            </w:r>
          </w:p>
        </w:tc>
        <w:tc>
          <w:tcPr>
            <w:tcW w:w="1170" w:type="dxa"/>
            <w:tcBorders>
              <w:top w:val="single" w:sz="4" w:space="0" w:color="auto"/>
              <w:left w:val="single" w:sz="4" w:space="0" w:color="auto"/>
              <w:bottom w:val="single" w:sz="4" w:space="0" w:color="auto"/>
              <w:right w:val="single" w:sz="4" w:space="0" w:color="auto"/>
            </w:tcBorders>
            <w:vAlign w:val="bottom"/>
          </w:tcPr>
          <w:p w14:paraId="74169E16" w14:textId="77777777" w:rsidR="00A739E1" w:rsidRPr="002431C0" w:rsidRDefault="00A739E1" w:rsidP="0071296E">
            <w:pPr>
              <w:jc w:val="right"/>
              <w:rPr>
                <w:sz w:val="20"/>
                <w:szCs w:val="20"/>
              </w:rPr>
            </w:pPr>
            <w:r w:rsidRPr="002431C0">
              <w:rPr>
                <w:sz w:val="20"/>
                <w:szCs w:val="20"/>
              </w:rPr>
              <w:t>(9)</w:t>
            </w:r>
          </w:p>
        </w:tc>
        <w:tc>
          <w:tcPr>
            <w:tcW w:w="1170" w:type="dxa"/>
            <w:tcBorders>
              <w:top w:val="single" w:sz="4" w:space="0" w:color="auto"/>
              <w:left w:val="single" w:sz="4" w:space="0" w:color="auto"/>
              <w:bottom w:val="single" w:sz="4" w:space="0" w:color="auto"/>
              <w:right w:val="single" w:sz="4" w:space="0" w:color="auto"/>
            </w:tcBorders>
            <w:vAlign w:val="bottom"/>
          </w:tcPr>
          <w:p w14:paraId="22BBA11D" w14:textId="77777777" w:rsidR="00A739E1" w:rsidRPr="002431C0" w:rsidRDefault="00A739E1" w:rsidP="0071296E">
            <w:pPr>
              <w:jc w:val="right"/>
              <w:rPr>
                <w:sz w:val="20"/>
                <w:szCs w:val="20"/>
              </w:rPr>
            </w:pPr>
            <w:r w:rsidRPr="002431C0">
              <w:rPr>
                <w:sz w:val="20"/>
                <w:szCs w:val="20"/>
              </w:rPr>
              <w:t>-</w:t>
            </w:r>
          </w:p>
        </w:tc>
        <w:tc>
          <w:tcPr>
            <w:tcW w:w="1584" w:type="dxa"/>
            <w:tcBorders>
              <w:top w:val="single" w:sz="4" w:space="0" w:color="auto"/>
              <w:left w:val="single" w:sz="4" w:space="0" w:color="auto"/>
              <w:bottom w:val="single" w:sz="4" w:space="0" w:color="auto"/>
              <w:right w:val="thickThinSmallGap" w:sz="24" w:space="0" w:color="auto"/>
            </w:tcBorders>
            <w:noWrap/>
            <w:vAlign w:val="bottom"/>
          </w:tcPr>
          <w:p w14:paraId="13209766" w14:textId="77777777" w:rsidR="00A739E1" w:rsidRPr="002431C0" w:rsidRDefault="00A739E1" w:rsidP="0071296E">
            <w:pPr>
              <w:jc w:val="right"/>
              <w:rPr>
                <w:sz w:val="20"/>
                <w:szCs w:val="20"/>
              </w:rPr>
            </w:pPr>
            <w:r w:rsidRPr="002431C0">
              <w:rPr>
                <w:sz w:val="20"/>
                <w:szCs w:val="20"/>
              </w:rPr>
              <w:t>15</w:t>
            </w:r>
          </w:p>
        </w:tc>
      </w:tr>
      <w:tr w:rsidR="00A739E1" w:rsidRPr="002431C0" w14:paraId="3E2508E3" w14:textId="77777777" w:rsidTr="0071296E">
        <w:trPr>
          <w:trHeight w:val="288"/>
        </w:trPr>
        <w:tc>
          <w:tcPr>
            <w:tcW w:w="1098" w:type="dxa"/>
            <w:tcBorders>
              <w:top w:val="single" w:sz="4" w:space="0" w:color="auto"/>
              <w:left w:val="thinThickSmallGap" w:sz="24" w:space="0" w:color="auto"/>
              <w:bottom w:val="single" w:sz="4" w:space="0" w:color="auto"/>
              <w:right w:val="single" w:sz="4" w:space="0" w:color="auto"/>
            </w:tcBorders>
            <w:shd w:val="clear" w:color="auto" w:fill="auto"/>
            <w:noWrap/>
            <w:vAlign w:val="bottom"/>
          </w:tcPr>
          <w:p w14:paraId="5C93C23C" w14:textId="77777777" w:rsidR="00A739E1" w:rsidRPr="002431C0" w:rsidRDefault="00A739E1" w:rsidP="0071296E">
            <w:pPr>
              <w:rPr>
                <w:sz w:val="20"/>
                <w:szCs w:val="20"/>
              </w:rPr>
            </w:pPr>
            <w:r w:rsidRPr="002431C0">
              <w:rPr>
                <w:sz w:val="20"/>
                <w:szCs w:val="20"/>
              </w:rPr>
              <w:t>3.07</w:t>
            </w:r>
          </w:p>
        </w:tc>
        <w:tc>
          <w:tcPr>
            <w:tcW w:w="5616" w:type="dxa"/>
            <w:tcBorders>
              <w:top w:val="single" w:sz="4" w:space="0" w:color="auto"/>
              <w:left w:val="single" w:sz="4" w:space="0" w:color="auto"/>
              <w:bottom w:val="single" w:sz="4" w:space="0" w:color="auto"/>
              <w:right w:val="single" w:sz="4" w:space="0" w:color="auto"/>
            </w:tcBorders>
            <w:noWrap/>
            <w:vAlign w:val="bottom"/>
          </w:tcPr>
          <w:p w14:paraId="2B8F6797" w14:textId="77777777" w:rsidR="00A739E1" w:rsidRPr="002431C0" w:rsidRDefault="00A739E1" w:rsidP="0071296E">
            <w:pPr>
              <w:rPr>
                <w:sz w:val="20"/>
                <w:szCs w:val="20"/>
              </w:rPr>
            </w:pPr>
            <w:r w:rsidRPr="002431C0">
              <w:rPr>
                <w:sz w:val="20"/>
                <w:szCs w:val="20"/>
              </w:rPr>
              <w:t>Planned Capital Add Dec 2014 EOP</w:t>
            </w:r>
          </w:p>
        </w:tc>
        <w:tc>
          <w:tcPr>
            <w:tcW w:w="1170" w:type="dxa"/>
            <w:tcBorders>
              <w:top w:val="single" w:sz="4" w:space="0" w:color="auto"/>
              <w:left w:val="single" w:sz="4" w:space="0" w:color="auto"/>
              <w:bottom w:val="single" w:sz="4" w:space="0" w:color="auto"/>
              <w:right w:val="single" w:sz="4" w:space="0" w:color="auto"/>
            </w:tcBorders>
            <w:vAlign w:val="bottom"/>
          </w:tcPr>
          <w:p w14:paraId="3785E5FF" w14:textId="77777777" w:rsidR="00A739E1" w:rsidRPr="002431C0" w:rsidRDefault="00A739E1" w:rsidP="0071296E">
            <w:pPr>
              <w:jc w:val="right"/>
              <w:rPr>
                <w:sz w:val="20"/>
                <w:szCs w:val="20"/>
              </w:rPr>
            </w:pPr>
            <w:r w:rsidRPr="002431C0">
              <w:rPr>
                <w:sz w:val="20"/>
                <w:szCs w:val="20"/>
              </w:rPr>
              <w:t>(112)</w:t>
            </w:r>
          </w:p>
        </w:tc>
        <w:tc>
          <w:tcPr>
            <w:tcW w:w="1170" w:type="dxa"/>
            <w:tcBorders>
              <w:top w:val="single" w:sz="4" w:space="0" w:color="auto"/>
              <w:left w:val="single" w:sz="4" w:space="0" w:color="auto"/>
              <w:bottom w:val="single" w:sz="4" w:space="0" w:color="auto"/>
              <w:right w:val="single" w:sz="4" w:space="0" w:color="auto"/>
            </w:tcBorders>
            <w:vAlign w:val="bottom"/>
          </w:tcPr>
          <w:p w14:paraId="26D52ED2" w14:textId="77777777" w:rsidR="00A739E1" w:rsidRPr="002431C0" w:rsidRDefault="00A739E1" w:rsidP="0071296E">
            <w:pPr>
              <w:jc w:val="right"/>
              <w:rPr>
                <w:sz w:val="20"/>
                <w:szCs w:val="20"/>
              </w:rPr>
            </w:pPr>
            <w:r w:rsidRPr="002431C0">
              <w:rPr>
                <w:sz w:val="20"/>
                <w:szCs w:val="20"/>
              </w:rPr>
              <w:t>3,388</w:t>
            </w:r>
          </w:p>
        </w:tc>
        <w:tc>
          <w:tcPr>
            <w:tcW w:w="1584" w:type="dxa"/>
            <w:tcBorders>
              <w:top w:val="single" w:sz="4" w:space="0" w:color="auto"/>
              <w:left w:val="single" w:sz="4" w:space="0" w:color="auto"/>
              <w:bottom w:val="single" w:sz="4" w:space="0" w:color="auto"/>
              <w:right w:val="thickThinSmallGap" w:sz="24" w:space="0" w:color="auto"/>
            </w:tcBorders>
            <w:noWrap/>
            <w:vAlign w:val="bottom"/>
          </w:tcPr>
          <w:p w14:paraId="5B71F731" w14:textId="77777777" w:rsidR="00A739E1" w:rsidRPr="002431C0" w:rsidRDefault="00A739E1" w:rsidP="0071296E">
            <w:pPr>
              <w:jc w:val="right"/>
              <w:rPr>
                <w:sz w:val="20"/>
                <w:szCs w:val="20"/>
              </w:rPr>
            </w:pPr>
            <w:r w:rsidRPr="002431C0">
              <w:rPr>
                <w:sz w:val="20"/>
                <w:szCs w:val="20"/>
              </w:rPr>
              <w:t>579</w:t>
            </w:r>
          </w:p>
        </w:tc>
      </w:tr>
      <w:tr w:rsidR="00A739E1" w:rsidRPr="002431C0" w14:paraId="20765E7E" w14:textId="77777777" w:rsidTr="0071296E">
        <w:trPr>
          <w:trHeight w:val="288"/>
        </w:trPr>
        <w:tc>
          <w:tcPr>
            <w:tcW w:w="1098" w:type="dxa"/>
            <w:tcBorders>
              <w:top w:val="single" w:sz="4" w:space="0" w:color="auto"/>
              <w:left w:val="thinThickSmallGap" w:sz="24" w:space="0" w:color="auto"/>
              <w:bottom w:val="single" w:sz="4" w:space="0" w:color="auto"/>
              <w:right w:val="single" w:sz="4" w:space="0" w:color="auto"/>
            </w:tcBorders>
            <w:shd w:val="clear" w:color="auto" w:fill="auto"/>
            <w:noWrap/>
            <w:vAlign w:val="bottom"/>
          </w:tcPr>
          <w:p w14:paraId="2DD2D07F" w14:textId="77777777" w:rsidR="00A739E1" w:rsidRPr="002431C0" w:rsidRDefault="00A739E1" w:rsidP="0071296E">
            <w:pPr>
              <w:rPr>
                <w:color w:val="000000"/>
                <w:sz w:val="20"/>
                <w:szCs w:val="20"/>
              </w:rPr>
            </w:pPr>
            <w:r w:rsidRPr="002431C0">
              <w:rPr>
                <w:color w:val="000000"/>
                <w:sz w:val="20"/>
                <w:szCs w:val="20"/>
              </w:rPr>
              <w:t>3.07U</w:t>
            </w:r>
          </w:p>
        </w:tc>
        <w:tc>
          <w:tcPr>
            <w:tcW w:w="5616" w:type="dxa"/>
            <w:tcBorders>
              <w:top w:val="single" w:sz="4" w:space="0" w:color="auto"/>
              <w:left w:val="single" w:sz="4" w:space="0" w:color="auto"/>
              <w:bottom w:val="single" w:sz="4" w:space="0" w:color="auto"/>
              <w:right w:val="single" w:sz="4" w:space="0" w:color="auto"/>
            </w:tcBorders>
            <w:noWrap/>
            <w:vAlign w:val="bottom"/>
          </w:tcPr>
          <w:p w14:paraId="0B955E6C" w14:textId="77777777" w:rsidR="00A739E1" w:rsidRPr="002431C0" w:rsidRDefault="00A739E1" w:rsidP="0071296E">
            <w:pPr>
              <w:rPr>
                <w:color w:val="000000"/>
                <w:sz w:val="20"/>
                <w:szCs w:val="20"/>
              </w:rPr>
            </w:pPr>
            <w:r w:rsidRPr="002431C0">
              <w:rPr>
                <w:color w:val="000000"/>
                <w:sz w:val="20"/>
                <w:szCs w:val="20"/>
              </w:rPr>
              <w:t>Planned Capital Add-Dec. 2014 EOP-Update</w:t>
            </w:r>
          </w:p>
        </w:tc>
        <w:tc>
          <w:tcPr>
            <w:tcW w:w="1170" w:type="dxa"/>
            <w:tcBorders>
              <w:top w:val="single" w:sz="4" w:space="0" w:color="auto"/>
              <w:left w:val="single" w:sz="4" w:space="0" w:color="auto"/>
              <w:bottom w:val="single" w:sz="4" w:space="0" w:color="auto"/>
              <w:right w:val="single" w:sz="4" w:space="0" w:color="auto"/>
            </w:tcBorders>
            <w:vAlign w:val="bottom"/>
          </w:tcPr>
          <w:p w14:paraId="7C54173E" w14:textId="77777777" w:rsidR="00A739E1" w:rsidRPr="002431C0" w:rsidRDefault="00A739E1" w:rsidP="0071296E">
            <w:pPr>
              <w:jc w:val="right"/>
              <w:rPr>
                <w:color w:val="000000"/>
                <w:sz w:val="20"/>
                <w:szCs w:val="20"/>
              </w:rPr>
            </w:pPr>
            <w:r w:rsidRPr="002431C0">
              <w:rPr>
                <w:color w:val="000000"/>
                <w:sz w:val="20"/>
                <w:szCs w:val="20"/>
              </w:rPr>
              <w:t>-</w:t>
            </w:r>
          </w:p>
        </w:tc>
        <w:tc>
          <w:tcPr>
            <w:tcW w:w="1170" w:type="dxa"/>
            <w:tcBorders>
              <w:top w:val="single" w:sz="4" w:space="0" w:color="auto"/>
              <w:left w:val="single" w:sz="4" w:space="0" w:color="auto"/>
              <w:bottom w:val="single" w:sz="4" w:space="0" w:color="auto"/>
              <w:right w:val="single" w:sz="4" w:space="0" w:color="auto"/>
            </w:tcBorders>
            <w:vAlign w:val="center"/>
          </w:tcPr>
          <w:p w14:paraId="410CA6B3" w14:textId="77777777" w:rsidR="00A739E1" w:rsidRPr="002431C0" w:rsidRDefault="00A739E1" w:rsidP="0071296E">
            <w:pPr>
              <w:jc w:val="center"/>
              <w:rPr>
                <w:color w:val="000000"/>
                <w:sz w:val="20"/>
                <w:szCs w:val="20"/>
              </w:rPr>
            </w:pPr>
            <w:r w:rsidRPr="002431C0">
              <w:rPr>
                <w:color w:val="000000"/>
                <w:sz w:val="20"/>
                <w:szCs w:val="20"/>
              </w:rPr>
              <w:t>-</w:t>
            </w:r>
          </w:p>
        </w:tc>
        <w:tc>
          <w:tcPr>
            <w:tcW w:w="1584" w:type="dxa"/>
            <w:tcBorders>
              <w:top w:val="single" w:sz="4" w:space="0" w:color="auto"/>
              <w:left w:val="single" w:sz="4" w:space="0" w:color="auto"/>
              <w:bottom w:val="single" w:sz="4" w:space="0" w:color="auto"/>
              <w:right w:val="thickThinSmallGap" w:sz="24" w:space="0" w:color="auto"/>
            </w:tcBorders>
            <w:noWrap/>
            <w:vAlign w:val="bottom"/>
          </w:tcPr>
          <w:p w14:paraId="1D640090" w14:textId="77777777" w:rsidR="00A739E1" w:rsidRPr="002431C0" w:rsidRDefault="00A739E1" w:rsidP="0071296E">
            <w:pPr>
              <w:jc w:val="right"/>
              <w:rPr>
                <w:color w:val="000000"/>
                <w:sz w:val="20"/>
                <w:szCs w:val="20"/>
              </w:rPr>
            </w:pPr>
            <w:r w:rsidRPr="002431C0">
              <w:rPr>
                <w:color w:val="000000"/>
                <w:sz w:val="20"/>
                <w:szCs w:val="20"/>
              </w:rPr>
              <w:t>-</w:t>
            </w:r>
          </w:p>
        </w:tc>
      </w:tr>
      <w:tr w:rsidR="00A739E1" w:rsidRPr="002431C0" w14:paraId="633B5983" w14:textId="77777777" w:rsidTr="0071296E">
        <w:trPr>
          <w:trHeight w:val="288"/>
        </w:trPr>
        <w:tc>
          <w:tcPr>
            <w:tcW w:w="1098" w:type="dxa"/>
            <w:tcBorders>
              <w:top w:val="single" w:sz="4" w:space="0" w:color="auto"/>
              <w:left w:val="thinThickSmallGap" w:sz="24" w:space="0" w:color="auto"/>
              <w:bottom w:val="single" w:sz="4" w:space="0" w:color="auto"/>
              <w:right w:val="single" w:sz="4" w:space="0" w:color="auto"/>
            </w:tcBorders>
            <w:shd w:val="clear" w:color="auto" w:fill="auto"/>
            <w:noWrap/>
            <w:vAlign w:val="bottom"/>
          </w:tcPr>
          <w:p w14:paraId="7813DADE" w14:textId="77777777" w:rsidR="00A739E1" w:rsidRPr="002431C0" w:rsidRDefault="00A739E1" w:rsidP="0071296E">
            <w:pPr>
              <w:rPr>
                <w:sz w:val="20"/>
                <w:szCs w:val="20"/>
              </w:rPr>
            </w:pPr>
            <w:r w:rsidRPr="002431C0">
              <w:rPr>
                <w:sz w:val="20"/>
                <w:szCs w:val="20"/>
              </w:rPr>
              <w:t>3.08</w:t>
            </w:r>
          </w:p>
        </w:tc>
        <w:tc>
          <w:tcPr>
            <w:tcW w:w="5616" w:type="dxa"/>
            <w:tcBorders>
              <w:top w:val="single" w:sz="4" w:space="0" w:color="auto"/>
              <w:left w:val="single" w:sz="4" w:space="0" w:color="auto"/>
              <w:bottom w:val="single" w:sz="4" w:space="0" w:color="auto"/>
              <w:right w:val="single" w:sz="4" w:space="0" w:color="auto"/>
            </w:tcBorders>
            <w:noWrap/>
            <w:vAlign w:val="bottom"/>
          </w:tcPr>
          <w:p w14:paraId="2CC06159" w14:textId="77777777" w:rsidR="00A739E1" w:rsidRPr="002431C0" w:rsidRDefault="00A739E1" w:rsidP="0071296E">
            <w:pPr>
              <w:rPr>
                <w:sz w:val="20"/>
                <w:szCs w:val="20"/>
              </w:rPr>
            </w:pPr>
            <w:r w:rsidRPr="002431C0">
              <w:rPr>
                <w:sz w:val="20"/>
                <w:szCs w:val="20"/>
              </w:rPr>
              <w:t>Reflect Updated Repairs Tax Deduction (Incl. in 3.07U)</w:t>
            </w:r>
          </w:p>
        </w:tc>
        <w:tc>
          <w:tcPr>
            <w:tcW w:w="1170" w:type="dxa"/>
            <w:tcBorders>
              <w:top w:val="single" w:sz="4" w:space="0" w:color="auto"/>
              <w:left w:val="single" w:sz="4" w:space="0" w:color="auto"/>
              <w:bottom w:val="single" w:sz="4" w:space="0" w:color="auto"/>
              <w:right w:val="single" w:sz="4" w:space="0" w:color="auto"/>
            </w:tcBorders>
            <w:vAlign w:val="bottom"/>
          </w:tcPr>
          <w:p w14:paraId="6B635FFB" w14:textId="77777777" w:rsidR="00A739E1" w:rsidRPr="002431C0" w:rsidRDefault="00A739E1" w:rsidP="0071296E">
            <w:pPr>
              <w:jc w:val="right"/>
              <w:rPr>
                <w:sz w:val="20"/>
                <w:szCs w:val="20"/>
              </w:rPr>
            </w:pPr>
            <w:r w:rsidRPr="002431C0">
              <w:rPr>
                <w:sz w:val="20"/>
                <w:szCs w:val="20"/>
              </w:rPr>
              <w:t>33</w:t>
            </w:r>
          </w:p>
        </w:tc>
        <w:tc>
          <w:tcPr>
            <w:tcW w:w="1170" w:type="dxa"/>
            <w:tcBorders>
              <w:top w:val="single" w:sz="4" w:space="0" w:color="auto"/>
              <w:left w:val="single" w:sz="4" w:space="0" w:color="auto"/>
              <w:bottom w:val="single" w:sz="4" w:space="0" w:color="auto"/>
              <w:right w:val="single" w:sz="4" w:space="0" w:color="auto"/>
            </w:tcBorders>
            <w:vAlign w:val="bottom"/>
          </w:tcPr>
          <w:p w14:paraId="5E66196B" w14:textId="77777777" w:rsidR="00A739E1" w:rsidRPr="002431C0" w:rsidRDefault="00A739E1" w:rsidP="0071296E">
            <w:pPr>
              <w:jc w:val="right"/>
              <w:rPr>
                <w:sz w:val="20"/>
                <w:szCs w:val="20"/>
              </w:rPr>
            </w:pPr>
            <w:r w:rsidRPr="002431C0">
              <w:rPr>
                <w:sz w:val="20"/>
                <w:szCs w:val="20"/>
              </w:rPr>
              <w:t>3,500</w:t>
            </w:r>
          </w:p>
        </w:tc>
        <w:tc>
          <w:tcPr>
            <w:tcW w:w="1584" w:type="dxa"/>
            <w:tcBorders>
              <w:top w:val="single" w:sz="4" w:space="0" w:color="auto"/>
              <w:left w:val="single" w:sz="4" w:space="0" w:color="auto"/>
              <w:bottom w:val="single" w:sz="4" w:space="0" w:color="auto"/>
              <w:right w:val="thickThinSmallGap" w:sz="24" w:space="0" w:color="auto"/>
            </w:tcBorders>
            <w:noWrap/>
            <w:vAlign w:val="bottom"/>
          </w:tcPr>
          <w:p w14:paraId="0DE9F3D1" w14:textId="77777777" w:rsidR="00A739E1" w:rsidRPr="002431C0" w:rsidRDefault="00A739E1" w:rsidP="0071296E">
            <w:pPr>
              <w:jc w:val="right"/>
              <w:rPr>
                <w:sz w:val="20"/>
                <w:szCs w:val="20"/>
              </w:rPr>
            </w:pPr>
            <w:r w:rsidRPr="002431C0">
              <w:rPr>
                <w:sz w:val="20"/>
                <w:szCs w:val="20"/>
              </w:rPr>
              <w:t>358</w:t>
            </w:r>
          </w:p>
        </w:tc>
      </w:tr>
      <w:tr w:rsidR="00A739E1" w:rsidRPr="002431C0" w14:paraId="61A9F35F" w14:textId="77777777" w:rsidTr="0071296E">
        <w:trPr>
          <w:trHeight w:val="288"/>
        </w:trPr>
        <w:tc>
          <w:tcPr>
            <w:tcW w:w="1098" w:type="dxa"/>
            <w:tcBorders>
              <w:top w:val="single" w:sz="4" w:space="0" w:color="auto"/>
              <w:left w:val="thinThickSmallGap" w:sz="24" w:space="0" w:color="auto"/>
              <w:bottom w:val="single" w:sz="4" w:space="0" w:color="auto"/>
              <w:right w:val="single" w:sz="4" w:space="0" w:color="auto"/>
            </w:tcBorders>
            <w:shd w:val="clear" w:color="auto" w:fill="auto"/>
            <w:noWrap/>
            <w:vAlign w:val="bottom"/>
          </w:tcPr>
          <w:p w14:paraId="76E5E674" w14:textId="77777777" w:rsidR="00A739E1" w:rsidRPr="002431C0" w:rsidRDefault="00A739E1" w:rsidP="0071296E">
            <w:pPr>
              <w:rPr>
                <w:sz w:val="20"/>
                <w:szCs w:val="20"/>
              </w:rPr>
            </w:pPr>
            <w:r w:rsidRPr="002431C0">
              <w:rPr>
                <w:sz w:val="20"/>
                <w:szCs w:val="20"/>
              </w:rPr>
              <w:t>4.01</w:t>
            </w:r>
          </w:p>
        </w:tc>
        <w:tc>
          <w:tcPr>
            <w:tcW w:w="5616" w:type="dxa"/>
            <w:tcBorders>
              <w:top w:val="single" w:sz="4" w:space="0" w:color="auto"/>
              <w:left w:val="single" w:sz="4" w:space="0" w:color="auto"/>
              <w:bottom w:val="single" w:sz="4" w:space="0" w:color="auto"/>
              <w:right w:val="single" w:sz="4" w:space="0" w:color="auto"/>
            </w:tcBorders>
            <w:noWrap/>
            <w:vAlign w:val="bottom"/>
          </w:tcPr>
          <w:p w14:paraId="6CC6F79C" w14:textId="77777777" w:rsidR="00A739E1" w:rsidRPr="002431C0" w:rsidRDefault="00A739E1" w:rsidP="0071296E">
            <w:pPr>
              <w:rPr>
                <w:color w:val="000000"/>
                <w:sz w:val="20"/>
                <w:szCs w:val="20"/>
              </w:rPr>
            </w:pPr>
            <w:r w:rsidRPr="002431C0">
              <w:rPr>
                <w:color w:val="000000"/>
                <w:sz w:val="20"/>
                <w:szCs w:val="20"/>
              </w:rPr>
              <w:t>Planned Capital Add 2015 EOP</w:t>
            </w:r>
          </w:p>
        </w:tc>
        <w:tc>
          <w:tcPr>
            <w:tcW w:w="1170" w:type="dxa"/>
            <w:tcBorders>
              <w:top w:val="single" w:sz="4" w:space="0" w:color="auto"/>
              <w:left w:val="single" w:sz="4" w:space="0" w:color="auto"/>
              <w:bottom w:val="single" w:sz="4" w:space="0" w:color="auto"/>
              <w:right w:val="single" w:sz="4" w:space="0" w:color="auto"/>
            </w:tcBorders>
            <w:vAlign w:val="bottom"/>
          </w:tcPr>
          <w:p w14:paraId="28160519" w14:textId="77777777" w:rsidR="00A739E1" w:rsidRPr="002431C0" w:rsidRDefault="00A739E1" w:rsidP="0071296E">
            <w:pPr>
              <w:jc w:val="right"/>
              <w:rPr>
                <w:color w:val="000000"/>
                <w:sz w:val="20"/>
                <w:szCs w:val="20"/>
              </w:rPr>
            </w:pPr>
            <w:r w:rsidRPr="002431C0">
              <w:rPr>
                <w:color w:val="000000"/>
                <w:sz w:val="20"/>
                <w:szCs w:val="20"/>
              </w:rPr>
              <w:t>(757)</w:t>
            </w:r>
          </w:p>
        </w:tc>
        <w:tc>
          <w:tcPr>
            <w:tcW w:w="1170" w:type="dxa"/>
            <w:tcBorders>
              <w:top w:val="single" w:sz="4" w:space="0" w:color="auto"/>
              <w:left w:val="single" w:sz="4" w:space="0" w:color="auto"/>
              <w:bottom w:val="single" w:sz="4" w:space="0" w:color="auto"/>
              <w:right w:val="single" w:sz="4" w:space="0" w:color="auto"/>
            </w:tcBorders>
            <w:vAlign w:val="bottom"/>
          </w:tcPr>
          <w:p w14:paraId="6FCE596F" w14:textId="77777777" w:rsidR="00A739E1" w:rsidRPr="002431C0" w:rsidRDefault="00A739E1" w:rsidP="0071296E">
            <w:pPr>
              <w:jc w:val="right"/>
              <w:rPr>
                <w:color w:val="000000"/>
                <w:sz w:val="20"/>
                <w:szCs w:val="20"/>
              </w:rPr>
            </w:pPr>
            <w:r w:rsidRPr="002431C0">
              <w:rPr>
                <w:color w:val="000000"/>
                <w:sz w:val="20"/>
                <w:szCs w:val="20"/>
              </w:rPr>
              <w:t>15,953</w:t>
            </w:r>
          </w:p>
        </w:tc>
        <w:tc>
          <w:tcPr>
            <w:tcW w:w="1584" w:type="dxa"/>
            <w:tcBorders>
              <w:top w:val="single" w:sz="4" w:space="0" w:color="auto"/>
              <w:left w:val="single" w:sz="4" w:space="0" w:color="auto"/>
              <w:bottom w:val="single" w:sz="4" w:space="0" w:color="auto"/>
              <w:right w:val="thickThinSmallGap" w:sz="24" w:space="0" w:color="auto"/>
            </w:tcBorders>
            <w:noWrap/>
            <w:vAlign w:val="bottom"/>
          </w:tcPr>
          <w:p w14:paraId="5A49F0DB" w14:textId="77777777" w:rsidR="00A739E1" w:rsidRPr="002431C0" w:rsidRDefault="00A739E1" w:rsidP="0071296E">
            <w:pPr>
              <w:jc w:val="right"/>
              <w:rPr>
                <w:color w:val="000000"/>
                <w:sz w:val="20"/>
                <w:szCs w:val="20"/>
              </w:rPr>
            </w:pPr>
            <w:r w:rsidRPr="002431C0">
              <w:rPr>
                <w:color w:val="000000"/>
                <w:sz w:val="20"/>
                <w:szCs w:val="20"/>
              </w:rPr>
              <w:t>3,095</w:t>
            </w:r>
          </w:p>
        </w:tc>
      </w:tr>
      <w:tr w:rsidR="00A739E1" w:rsidRPr="002431C0" w14:paraId="559A86A2" w14:textId="77777777" w:rsidTr="0071296E">
        <w:trPr>
          <w:trHeight w:val="288"/>
        </w:trPr>
        <w:tc>
          <w:tcPr>
            <w:tcW w:w="1098" w:type="dxa"/>
            <w:tcBorders>
              <w:top w:val="single" w:sz="4" w:space="0" w:color="auto"/>
              <w:left w:val="thinThickSmallGap" w:sz="24" w:space="0" w:color="auto"/>
              <w:bottom w:val="single" w:sz="4" w:space="0" w:color="auto"/>
              <w:right w:val="single" w:sz="4" w:space="0" w:color="auto"/>
            </w:tcBorders>
            <w:shd w:val="clear" w:color="auto" w:fill="auto"/>
            <w:noWrap/>
            <w:vAlign w:val="bottom"/>
          </w:tcPr>
          <w:p w14:paraId="4FEA8057" w14:textId="77777777" w:rsidR="00A739E1" w:rsidRPr="002431C0" w:rsidRDefault="00A739E1" w:rsidP="0071296E">
            <w:pPr>
              <w:rPr>
                <w:sz w:val="20"/>
                <w:szCs w:val="20"/>
              </w:rPr>
            </w:pPr>
            <w:r w:rsidRPr="002431C0">
              <w:rPr>
                <w:sz w:val="20"/>
                <w:szCs w:val="20"/>
              </w:rPr>
              <w:t>4.02</w:t>
            </w:r>
          </w:p>
        </w:tc>
        <w:tc>
          <w:tcPr>
            <w:tcW w:w="5616" w:type="dxa"/>
            <w:tcBorders>
              <w:top w:val="single" w:sz="4" w:space="0" w:color="auto"/>
              <w:left w:val="single" w:sz="4" w:space="0" w:color="auto"/>
              <w:bottom w:val="single" w:sz="4" w:space="0" w:color="auto"/>
              <w:right w:val="single" w:sz="4" w:space="0" w:color="auto"/>
            </w:tcBorders>
            <w:noWrap/>
            <w:vAlign w:val="bottom"/>
          </w:tcPr>
          <w:p w14:paraId="724A7AF8" w14:textId="77777777" w:rsidR="00A739E1" w:rsidRPr="002431C0" w:rsidRDefault="00A739E1" w:rsidP="0071296E">
            <w:pPr>
              <w:rPr>
                <w:sz w:val="20"/>
                <w:szCs w:val="20"/>
              </w:rPr>
            </w:pPr>
            <w:r w:rsidRPr="002431C0">
              <w:rPr>
                <w:sz w:val="20"/>
                <w:szCs w:val="20"/>
              </w:rPr>
              <w:t>Planned Capital Add 2016 AMA</w:t>
            </w:r>
          </w:p>
        </w:tc>
        <w:tc>
          <w:tcPr>
            <w:tcW w:w="1170" w:type="dxa"/>
            <w:tcBorders>
              <w:top w:val="single" w:sz="4" w:space="0" w:color="auto"/>
              <w:left w:val="single" w:sz="4" w:space="0" w:color="auto"/>
              <w:bottom w:val="single" w:sz="4" w:space="0" w:color="auto"/>
              <w:right w:val="single" w:sz="4" w:space="0" w:color="auto"/>
            </w:tcBorders>
            <w:vAlign w:val="bottom"/>
          </w:tcPr>
          <w:p w14:paraId="2E5C757B" w14:textId="77777777" w:rsidR="00A739E1" w:rsidRPr="002431C0" w:rsidRDefault="00A739E1" w:rsidP="0071296E">
            <w:pPr>
              <w:jc w:val="right"/>
              <w:rPr>
                <w:sz w:val="20"/>
                <w:szCs w:val="20"/>
              </w:rPr>
            </w:pPr>
            <w:r w:rsidRPr="002431C0">
              <w:rPr>
                <w:sz w:val="20"/>
                <w:szCs w:val="20"/>
              </w:rPr>
              <w:t>-</w:t>
            </w:r>
          </w:p>
        </w:tc>
        <w:tc>
          <w:tcPr>
            <w:tcW w:w="1170" w:type="dxa"/>
            <w:tcBorders>
              <w:top w:val="single" w:sz="4" w:space="0" w:color="auto"/>
              <w:left w:val="single" w:sz="4" w:space="0" w:color="auto"/>
              <w:bottom w:val="single" w:sz="4" w:space="0" w:color="auto"/>
              <w:right w:val="single" w:sz="4" w:space="0" w:color="auto"/>
            </w:tcBorders>
            <w:vAlign w:val="bottom"/>
          </w:tcPr>
          <w:p w14:paraId="2C13AD0D" w14:textId="77777777" w:rsidR="00A739E1" w:rsidRPr="002431C0" w:rsidRDefault="00A739E1" w:rsidP="0071296E">
            <w:pPr>
              <w:jc w:val="right"/>
              <w:rPr>
                <w:sz w:val="20"/>
                <w:szCs w:val="20"/>
              </w:rPr>
            </w:pPr>
            <w:r w:rsidRPr="002431C0">
              <w:rPr>
                <w:sz w:val="20"/>
                <w:szCs w:val="20"/>
              </w:rPr>
              <w:t>-</w:t>
            </w:r>
          </w:p>
        </w:tc>
        <w:tc>
          <w:tcPr>
            <w:tcW w:w="1584" w:type="dxa"/>
            <w:tcBorders>
              <w:top w:val="single" w:sz="4" w:space="0" w:color="auto"/>
              <w:left w:val="single" w:sz="4" w:space="0" w:color="auto"/>
              <w:bottom w:val="single" w:sz="4" w:space="0" w:color="auto"/>
              <w:right w:val="thickThinSmallGap" w:sz="24" w:space="0" w:color="auto"/>
            </w:tcBorders>
            <w:noWrap/>
            <w:vAlign w:val="bottom"/>
          </w:tcPr>
          <w:p w14:paraId="09E29C80" w14:textId="77777777" w:rsidR="00A739E1" w:rsidRPr="002431C0" w:rsidRDefault="00A739E1" w:rsidP="0071296E">
            <w:pPr>
              <w:jc w:val="right"/>
              <w:rPr>
                <w:sz w:val="20"/>
                <w:szCs w:val="20"/>
              </w:rPr>
            </w:pPr>
            <w:r w:rsidRPr="002431C0">
              <w:rPr>
                <w:sz w:val="20"/>
                <w:szCs w:val="20"/>
              </w:rPr>
              <w:t>-</w:t>
            </w:r>
          </w:p>
        </w:tc>
      </w:tr>
      <w:tr w:rsidR="00A739E1" w:rsidRPr="002431C0" w14:paraId="78367685" w14:textId="77777777" w:rsidTr="0071296E">
        <w:trPr>
          <w:trHeight w:val="288"/>
        </w:trPr>
        <w:tc>
          <w:tcPr>
            <w:tcW w:w="1098" w:type="dxa"/>
            <w:tcBorders>
              <w:top w:val="single" w:sz="4" w:space="0" w:color="auto"/>
              <w:left w:val="thinThickSmallGap" w:sz="24" w:space="0" w:color="auto"/>
              <w:bottom w:val="single" w:sz="4" w:space="0" w:color="auto"/>
              <w:right w:val="single" w:sz="4" w:space="0" w:color="auto"/>
            </w:tcBorders>
            <w:shd w:val="clear" w:color="auto" w:fill="auto"/>
            <w:noWrap/>
            <w:vAlign w:val="bottom"/>
          </w:tcPr>
          <w:p w14:paraId="242BCE2B" w14:textId="77777777" w:rsidR="00A739E1" w:rsidRPr="002431C0" w:rsidRDefault="00A739E1" w:rsidP="0071296E">
            <w:pPr>
              <w:rPr>
                <w:sz w:val="20"/>
                <w:szCs w:val="20"/>
              </w:rPr>
            </w:pPr>
            <w:r w:rsidRPr="002431C0">
              <w:rPr>
                <w:sz w:val="20"/>
                <w:szCs w:val="20"/>
              </w:rPr>
              <w:t>4.03</w:t>
            </w:r>
          </w:p>
        </w:tc>
        <w:tc>
          <w:tcPr>
            <w:tcW w:w="5616" w:type="dxa"/>
            <w:tcBorders>
              <w:top w:val="single" w:sz="4" w:space="0" w:color="auto"/>
              <w:left w:val="single" w:sz="4" w:space="0" w:color="auto"/>
              <w:bottom w:val="single" w:sz="4" w:space="0" w:color="auto"/>
              <w:right w:val="single" w:sz="4" w:space="0" w:color="auto"/>
            </w:tcBorders>
            <w:noWrap/>
            <w:vAlign w:val="bottom"/>
          </w:tcPr>
          <w:p w14:paraId="3F910EE1" w14:textId="77777777" w:rsidR="00A739E1" w:rsidRPr="002431C0" w:rsidRDefault="00A739E1" w:rsidP="0071296E">
            <w:pPr>
              <w:rPr>
                <w:sz w:val="20"/>
                <w:szCs w:val="20"/>
              </w:rPr>
            </w:pPr>
            <w:r w:rsidRPr="002431C0">
              <w:rPr>
                <w:sz w:val="20"/>
                <w:szCs w:val="20"/>
              </w:rPr>
              <w:t>Project Compass Deferral, Regulatory Amortization</w:t>
            </w:r>
          </w:p>
        </w:tc>
        <w:tc>
          <w:tcPr>
            <w:tcW w:w="1170" w:type="dxa"/>
            <w:tcBorders>
              <w:top w:val="single" w:sz="4" w:space="0" w:color="auto"/>
              <w:left w:val="single" w:sz="4" w:space="0" w:color="auto"/>
              <w:bottom w:val="single" w:sz="4" w:space="0" w:color="auto"/>
              <w:right w:val="single" w:sz="4" w:space="0" w:color="auto"/>
            </w:tcBorders>
            <w:vAlign w:val="bottom"/>
          </w:tcPr>
          <w:p w14:paraId="3AF49D9D" w14:textId="77777777" w:rsidR="00A739E1" w:rsidRPr="002431C0" w:rsidRDefault="00A739E1" w:rsidP="0071296E">
            <w:pPr>
              <w:jc w:val="right"/>
              <w:rPr>
                <w:sz w:val="20"/>
                <w:szCs w:val="20"/>
              </w:rPr>
            </w:pPr>
            <w:r w:rsidRPr="002431C0">
              <w:rPr>
                <w:sz w:val="20"/>
                <w:szCs w:val="20"/>
              </w:rPr>
              <w:t>(743)</w:t>
            </w:r>
          </w:p>
        </w:tc>
        <w:tc>
          <w:tcPr>
            <w:tcW w:w="1170" w:type="dxa"/>
            <w:tcBorders>
              <w:top w:val="single" w:sz="4" w:space="0" w:color="auto"/>
              <w:left w:val="single" w:sz="4" w:space="0" w:color="auto"/>
              <w:bottom w:val="single" w:sz="4" w:space="0" w:color="auto"/>
              <w:right w:val="single" w:sz="4" w:space="0" w:color="auto"/>
            </w:tcBorders>
            <w:vAlign w:val="bottom"/>
          </w:tcPr>
          <w:p w14:paraId="554F5BA3" w14:textId="77777777" w:rsidR="00A739E1" w:rsidRPr="002431C0" w:rsidRDefault="00A739E1" w:rsidP="0071296E">
            <w:pPr>
              <w:jc w:val="right"/>
              <w:rPr>
                <w:sz w:val="20"/>
                <w:szCs w:val="20"/>
              </w:rPr>
            </w:pPr>
            <w:r w:rsidRPr="002431C0">
              <w:rPr>
                <w:sz w:val="20"/>
                <w:szCs w:val="20"/>
              </w:rPr>
              <w:t>-</w:t>
            </w:r>
          </w:p>
        </w:tc>
        <w:tc>
          <w:tcPr>
            <w:tcW w:w="1584" w:type="dxa"/>
            <w:tcBorders>
              <w:top w:val="single" w:sz="4" w:space="0" w:color="auto"/>
              <w:left w:val="single" w:sz="4" w:space="0" w:color="auto"/>
              <w:bottom w:val="single" w:sz="4" w:space="0" w:color="auto"/>
              <w:right w:val="thickThinSmallGap" w:sz="24" w:space="0" w:color="auto"/>
            </w:tcBorders>
            <w:noWrap/>
            <w:vAlign w:val="bottom"/>
          </w:tcPr>
          <w:p w14:paraId="607B609E" w14:textId="77777777" w:rsidR="00A739E1" w:rsidRPr="002431C0" w:rsidRDefault="00A739E1" w:rsidP="0071296E">
            <w:pPr>
              <w:jc w:val="right"/>
              <w:rPr>
                <w:sz w:val="20"/>
                <w:szCs w:val="20"/>
              </w:rPr>
            </w:pPr>
            <w:r w:rsidRPr="002431C0">
              <w:rPr>
                <w:sz w:val="20"/>
                <w:szCs w:val="20"/>
              </w:rPr>
              <w:t>1,198</w:t>
            </w:r>
          </w:p>
        </w:tc>
      </w:tr>
      <w:tr w:rsidR="00A739E1" w:rsidRPr="002431C0" w14:paraId="5A0D4F3B" w14:textId="77777777" w:rsidTr="0071296E">
        <w:trPr>
          <w:trHeight w:val="288"/>
        </w:trPr>
        <w:tc>
          <w:tcPr>
            <w:tcW w:w="1098" w:type="dxa"/>
            <w:tcBorders>
              <w:top w:val="single" w:sz="4" w:space="0" w:color="auto"/>
              <w:left w:val="thinThickSmallGap" w:sz="24" w:space="0" w:color="auto"/>
              <w:bottom w:val="single" w:sz="4" w:space="0" w:color="auto"/>
              <w:right w:val="single" w:sz="4" w:space="0" w:color="auto"/>
            </w:tcBorders>
            <w:shd w:val="clear" w:color="auto" w:fill="auto"/>
            <w:noWrap/>
            <w:vAlign w:val="bottom"/>
          </w:tcPr>
          <w:p w14:paraId="5C6DC673" w14:textId="77777777" w:rsidR="00A739E1" w:rsidRPr="002431C0" w:rsidRDefault="00A739E1" w:rsidP="0071296E">
            <w:pPr>
              <w:rPr>
                <w:sz w:val="20"/>
                <w:szCs w:val="20"/>
              </w:rPr>
            </w:pPr>
            <w:r w:rsidRPr="002431C0">
              <w:rPr>
                <w:sz w:val="20"/>
                <w:szCs w:val="20"/>
              </w:rPr>
              <w:t>4.04</w:t>
            </w:r>
          </w:p>
        </w:tc>
        <w:tc>
          <w:tcPr>
            <w:tcW w:w="5616" w:type="dxa"/>
            <w:tcBorders>
              <w:top w:val="single" w:sz="4" w:space="0" w:color="auto"/>
              <w:left w:val="single" w:sz="4" w:space="0" w:color="auto"/>
              <w:bottom w:val="single" w:sz="4" w:space="0" w:color="auto"/>
              <w:right w:val="single" w:sz="4" w:space="0" w:color="auto"/>
            </w:tcBorders>
            <w:noWrap/>
            <w:vAlign w:val="bottom"/>
          </w:tcPr>
          <w:p w14:paraId="7A63069C" w14:textId="77777777" w:rsidR="00A739E1" w:rsidRPr="002431C0" w:rsidRDefault="00A739E1" w:rsidP="0071296E">
            <w:pPr>
              <w:rPr>
                <w:sz w:val="20"/>
                <w:szCs w:val="20"/>
              </w:rPr>
            </w:pPr>
            <w:r w:rsidRPr="002431C0">
              <w:rPr>
                <w:sz w:val="20"/>
                <w:szCs w:val="20"/>
              </w:rPr>
              <w:t>O &amp; M Offsets</w:t>
            </w:r>
          </w:p>
        </w:tc>
        <w:tc>
          <w:tcPr>
            <w:tcW w:w="1170" w:type="dxa"/>
            <w:tcBorders>
              <w:top w:val="single" w:sz="4" w:space="0" w:color="auto"/>
              <w:left w:val="single" w:sz="4" w:space="0" w:color="auto"/>
              <w:bottom w:val="single" w:sz="4" w:space="0" w:color="auto"/>
              <w:right w:val="single" w:sz="4" w:space="0" w:color="auto"/>
            </w:tcBorders>
            <w:vAlign w:val="bottom"/>
          </w:tcPr>
          <w:p w14:paraId="440190E6" w14:textId="77777777" w:rsidR="00A739E1" w:rsidRPr="002431C0" w:rsidRDefault="00A739E1" w:rsidP="0071296E">
            <w:pPr>
              <w:jc w:val="right"/>
              <w:rPr>
                <w:sz w:val="20"/>
                <w:szCs w:val="20"/>
              </w:rPr>
            </w:pPr>
            <w:r w:rsidRPr="002431C0">
              <w:rPr>
                <w:sz w:val="20"/>
                <w:szCs w:val="20"/>
              </w:rPr>
              <w:t>18</w:t>
            </w:r>
          </w:p>
        </w:tc>
        <w:tc>
          <w:tcPr>
            <w:tcW w:w="1170" w:type="dxa"/>
            <w:tcBorders>
              <w:top w:val="single" w:sz="4" w:space="0" w:color="auto"/>
              <w:left w:val="single" w:sz="4" w:space="0" w:color="auto"/>
              <w:bottom w:val="single" w:sz="4" w:space="0" w:color="auto"/>
              <w:right w:val="single" w:sz="4" w:space="0" w:color="auto"/>
            </w:tcBorders>
            <w:vAlign w:val="bottom"/>
          </w:tcPr>
          <w:p w14:paraId="0B2095B5" w14:textId="77777777" w:rsidR="00A739E1" w:rsidRPr="002431C0" w:rsidRDefault="00A739E1" w:rsidP="0071296E">
            <w:pPr>
              <w:jc w:val="right"/>
              <w:rPr>
                <w:sz w:val="20"/>
                <w:szCs w:val="20"/>
              </w:rPr>
            </w:pPr>
            <w:r w:rsidRPr="002431C0">
              <w:rPr>
                <w:sz w:val="20"/>
                <w:szCs w:val="20"/>
              </w:rPr>
              <w:t>-</w:t>
            </w:r>
          </w:p>
        </w:tc>
        <w:tc>
          <w:tcPr>
            <w:tcW w:w="1584" w:type="dxa"/>
            <w:tcBorders>
              <w:top w:val="single" w:sz="4" w:space="0" w:color="auto"/>
              <w:left w:val="single" w:sz="4" w:space="0" w:color="auto"/>
              <w:bottom w:val="single" w:sz="4" w:space="0" w:color="auto"/>
              <w:right w:val="thickThinSmallGap" w:sz="24" w:space="0" w:color="auto"/>
            </w:tcBorders>
            <w:noWrap/>
            <w:vAlign w:val="bottom"/>
          </w:tcPr>
          <w:p w14:paraId="7C1C0589" w14:textId="77777777" w:rsidR="00A739E1" w:rsidRPr="002431C0" w:rsidRDefault="00A739E1" w:rsidP="0071296E">
            <w:pPr>
              <w:jc w:val="right"/>
              <w:rPr>
                <w:sz w:val="20"/>
                <w:szCs w:val="20"/>
              </w:rPr>
            </w:pPr>
            <w:r w:rsidRPr="002431C0">
              <w:rPr>
                <w:sz w:val="20"/>
                <w:szCs w:val="20"/>
              </w:rPr>
              <w:t>(29)</w:t>
            </w:r>
          </w:p>
        </w:tc>
      </w:tr>
      <w:tr w:rsidR="00A739E1" w:rsidRPr="002431C0" w14:paraId="3CA4B764" w14:textId="77777777" w:rsidTr="0071296E">
        <w:trPr>
          <w:trHeight w:val="288"/>
        </w:trPr>
        <w:tc>
          <w:tcPr>
            <w:tcW w:w="1098" w:type="dxa"/>
            <w:tcBorders>
              <w:top w:val="single" w:sz="4" w:space="0" w:color="auto"/>
              <w:left w:val="thinThickSmallGap" w:sz="24" w:space="0" w:color="auto"/>
              <w:bottom w:val="single" w:sz="18" w:space="0" w:color="auto"/>
              <w:right w:val="single" w:sz="4" w:space="0" w:color="auto"/>
            </w:tcBorders>
            <w:shd w:val="clear" w:color="auto" w:fill="auto"/>
            <w:noWrap/>
            <w:vAlign w:val="bottom"/>
          </w:tcPr>
          <w:p w14:paraId="4BA56B04" w14:textId="77777777" w:rsidR="00A739E1" w:rsidRPr="002431C0" w:rsidRDefault="00A739E1" w:rsidP="0071296E">
            <w:pPr>
              <w:rPr>
                <w:sz w:val="20"/>
                <w:szCs w:val="20"/>
              </w:rPr>
            </w:pPr>
            <w:r w:rsidRPr="002431C0">
              <w:rPr>
                <w:sz w:val="20"/>
                <w:szCs w:val="20"/>
              </w:rPr>
              <w:t>4.06</w:t>
            </w:r>
          </w:p>
        </w:tc>
        <w:tc>
          <w:tcPr>
            <w:tcW w:w="5616" w:type="dxa"/>
            <w:tcBorders>
              <w:top w:val="single" w:sz="4" w:space="0" w:color="auto"/>
              <w:left w:val="single" w:sz="4" w:space="0" w:color="auto"/>
              <w:bottom w:val="single" w:sz="18" w:space="0" w:color="auto"/>
              <w:right w:val="single" w:sz="4" w:space="0" w:color="auto"/>
            </w:tcBorders>
            <w:noWrap/>
            <w:vAlign w:val="bottom"/>
          </w:tcPr>
          <w:p w14:paraId="24075777" w14:textId="77777777" w:rsidR="00A739E1" w:rsidRPr="002431C0" w:rsidRDefault="00A739E1" w:rsidP="0071296E">
            <w:pPr>
              <w:rPr>
                <w:sz w:val="20"/>
                <w:szCs w:val="20"/>
              </w:rPr>
            </w:pPr>
            <w:r w:rsidRPr="002431C0">
              <w:rPr>
                <w:sz w:val="20"/>
                <w:szCs w:val="20"/>
              </w:rPr>
              <w:t>Reconcile Pro Forma to Attrition</w:t>
            </w:r>
          </w:p>
        </w:tc>
        <w:tc>
          <w:tcPr>
            <w:tcW w:w="1170" w:type="dxa"/>
            <w:tcBorders>
              <w:top w:val="single" w:sz="4" w:space="0" w:color="auto"/>
              <w:left w:val="single" w:sz="4" w:space="0" w:color="auto"/>
              <w:bottom w:val="single" w:sz="18" w:space="0" w:color="auto"/>
              <w:right w:val="single" w:sz="4" w:space="0" w:color="auto"/>
            </w:tcBorders>
            <w:vAlign w:val="bottom"/>
          </w:tcPr>
          <w:p w14:paraId="48B32FFF" w14:textId="77777777" w:rsidR="00A739E1" w:rsidRPr="002431C0" w:rsidRDefault="00A739E1" w:rsidP="0071296E">
            <w:pPr>
              <w:jc w:val="right"/>
              <w:rPr>
                <w:sz w:val="20"/>
                <w:szCs w:val="20"/>
              </w:rPr>
            </w:pPr>
            <w:r w:rsidRPr="002431C0">
              <w:rPr>
                <w:sz w:val="20"/>
                <w:szCs w:val="20"/>
              </w:rPr>
              <w:t>-</w:t>
            </w:r>
          </w:p>
        </w:tc>
        <w:tc>
          <w:tcPr>
            <w:tcW w:w="1170" w:type="dxa"/>
            <w:tcBorders>
              <w:top w:val="single" w:sz="4" w:space="0" w:color="auto"/>
              <w:left w:val="single" w:sz="4" w:space="0" w:color="auto"/>
              <w:bottom w:val="single" w:sz="18" w:space="0" w:color="auto"/>
              <w:right w:val="single" w:sz="4" w:space="0" w:color="auto"/>
            </w:tcBorders>
            <w:vAlign w:val="bottom"/>
          </w:tcPr>
          <w:p w14:paraId="1D451338" w14:textId="77777777" w:rsidR="00A739E1" w:rsidRPr="002431C0" w:rsidRDefault="00A739E1" w:rsidP="0071296E">
            <w:pPr>
              <w:jc w:val="right"/>
              <w:rPr>
                <w:sz w:val="20"/>
                <w:szCs w:val="20"/>
              </w:rPr>
            </w:pPr>
            <w:r w:rsidRPr="002431C0">
              <w:rPr>
                <w:sz w:val="20"/>
                <w:szCs w:val="20"/>
              </w:rPr>
              <w:t>-</w:t>
            </w:r>
          </w:p>
        </w:tc>
        <w:tc>
          <w:tcPr>
            <w:tcW w:w="1584" w:type="dxa"/>
            <w:tcBorders>
              <w:top w:val="single" w:sz="4" w:space="0" w:color="auto"/>
              <w:left w:val="single" w:sz="4" w:space="0" w:color="auto"/>
              <w:bottom w:val="single" w:sz="18" w:space="0" w:color="auto"/>
              <w:right w:val="thickThinSmallGap" w:sz="24" w:space="0" w:color="auto"/>
            </w:tcBorders>
            <w:noWrap/>
            <w:vAlign w:val="bottom"/>
          </w:tcPr>
          <w:p w14:paraId="7DFF0D0D" w14:textId="77777777" w:rsidR="00A739E1" w:rsidRPr="002431C0" w:rsidRDefault="00A739E1" w:rsidP="0071296E">
            <w:pPr>
              <w:jc w:val="right"/>
              <w:rPr>
                <w:sz w:val="20"/>
                <w:szCs w:val="20"/>
              </w:rPr>
            </w:pPr>
            <w:r w:rsidRPr="002431C0">
              <w:rPr>
                <w:sz w:val="20"/>
                <w:szCs w:val="20"/>
              </w:rPr>
              <w:t>-</w:t>
            </w:r>
          </w:p>
        </w:tc>
      </w:tr>
      <w:tr w:rsidR="00A739E1" w:rsidRPr="002431C0" w14:paraId="21203A06" w14:textId="77777777" w:rsidTr="0071296E">
        <w:trPr>
          <w:trHeight w:val="288"/>
        </w:trPr>
        <w:tc>
          <w:tcPr>
            <w:tcW w:w="1098" w:type="dxa"/>
            <w:tcBorders>
              <w:top w:val="single" w:sz="18" w:space="0" w:color="auto"/>
              <w:left w:val="thinThickSmallGap" w:sz="24" w:space="0" w:color="auto"/>
              <w:bottom w:val="single" w:sz="4" w:space="0" w:color="auto"/>
              <w:right w:val="single" w:sz="4" w:space="0" w:color="auto"/>
            </w:tcBorders>
            <w:shd w:val="clear" w:color="auto" w:fill="auto"/>
            <w:noWrap/>
            <w:vAlign w:val="bottom"/>
          </w:tcPr>
          <w:p w14:paraId="161C40FC" w14:textId="77777777" w:rsidR="00A739E1" w:rsidRPr="002431C0" w:rsidRDefault="00A739E1" w:rsidP="0071296E">
            <w:pPr>
              <w:jc w:val="center"/>
              <w:rPr>
                <w:sz w:val="20"/>
                <w:szCs w:val="20"/>
              </w:rPr>
            </w:pPr>
          </w:p>
        </w:tc>
        <w:tc>
          <w:tcPr>
            <w:tcW w:w="5616" w:type="dxa"/>
            <w:tcBorders>
              <w:top w:val="single" w:sz="18" w:space="0" w:color="auto"/>
              <w:left w:val="single" w:sz="4" w:space="0" w:color="auto"/>
              <w:bottom w:val="single" w:sz="4" w:space="0" w:color="auto"/>
              <w:right w:val="single" w:sz="4" w:space="0" w:color="auto"/>
            </w:tcBorders>
            <w:noWrap/>
            <w:vAlign w:val="bottom"/>
          </w:tcPr>
          <w:p w14:paraId="54F5CC3A" w14:textId="77777777" w:rsidR="00A739E1" w:rsidRPr="002431C0" w:rsidRDefault="00A739E1" w:rsidP="0071296E">
            <w:pPr>
              <w:jc w:val="right"/>
              <w:rPr>
                <w:bCs/>
                <w:sz w:val="20"/>
                <w:szCs w:val="20"/>
              </w:rPr>
            </w:pPr>
            <w:r w:rsidRPr="002431C0">
              <w:rPr>
                <w:sz w:val="20"/>
                <w:szCs w:val="20"/>
              </w:rPr>
              <w:t>Total Natural Gas Contested Adjustments</w:t>
            </w:r>
          </w:p>
        </w:tc>
        <w:tc>
          <w:tcPr>
            <w:tcW w:w="1170" w:type="dxa"/>
            <w:tcBorders>
              <w:top w:val="single" w:sz="18" w:space="0" w:color="auto"/>
              <w:left w:val="single" w:sz="4" w:space="0" w:color="auto"/>
              <w:bottom w:val="single" w:sz="4" w:space="0" w:color="auto"/>
              <w:right w:val="single" w:sz="4" w:space="0" w:color="auto"/>
            </w:tcBorders>
            <w:vAlign w:val="bottom"/>
          </w:tcPr>
          <w:p w14:paraId="74A8AE40" w14:textId="77777777" w:rsidR="00A739E1" w:rsidRPr="002431C0" w:rsidRDefault="00A739E1" w:rsidP="0071296E">
            <w:pPr>
              <w:jc w:val="right"/>
              <w:rPr>
                <w:sz w:val="20"/>
                <w:szCs w:val="20"/>
              </w:rPr>
            </w:pPr>
            <w:r w:rsidRPr="002431C0">
              <w:rPr>
                <w:sz w:val="20"/>
                <w:szCs w:val="20"/>
              </w:rPr>
              <w:t xml:space="preserve">     (2,170)</w:t>
            </w:r>
          </w:p>
        </w:tc>
        <w:tc>
          <w:tcPr>
            <w:tcW w:w="1170" w:type="dxa"/>
            <w:tcBorders>
              <w:top w:val="single" w:sz="18" w:space="0" w:color="auto"/>
              <w:left w:val="single" w:sz="4" w:space="0" w:color="auto"/>
              <w:bottom w:val="single" w:sz="4" w:space="0" w:color="auto"/>
              <w:right w:val="single" w:sz="4" w:space="0" w:color="auto"/>
            </w:tcBorders>
            <w:vAlign w:val="bottom"/>
          </w:tcPr>
          <w:p w14:paraId="0631BDA5" w14:textId="77777777" w:rsidR="00A739E1" w:rsidRPr="002431C0" w:rsidRDefault="00A739E1" w:rsidP="0071296E">
            <w:pPr>
              <w:jc w:val="right"/>
              <w:rPr>
                <w:sz w:val="20"/>
                <w:szCs w:val="20"/>
              </w:rPr>
            </w:pPr>
            <w:r w:rsidRPr="002431C0">
              <w:rPr>
                <w:sz w:val="20"/>
                <w:szCs w:val="20"/>
              </w:rPr>
              <w:t xml:space="preserve">      22,841</w:t>
            </w:r>
          </w:p>
        </w:tc>
        <w:tc>
          <w:tcPr>
            <w:tcW w:w="1584" w:type="dxa"/>
            <w:tcBorders>
              <w:top w:val="single" w:sz="18" w:space="0" w:color="auto"/>
              <w:left w:val="single" w:sz="4" w:space="0" w:color="auto"/>
              <w:bottom w:val="single" w:sz="4" w:space="0" w:color="auto"/>
              <w:right w:val="thickThinSmallGap" w:sz="24" w:space="0" w:color="auto"/>
            </w:tcBorders>
            <w:noWrap/>
            <w:vAlign w:val="bottom"/>
          </w:tcPr>
          <w:p w14:paraId="3D45281A" w14:textId="77777777" w:rsidR="00A739E1" w:rsidRPr="002431C0" w:rsidRDefault="00A739E1" w:rsidP="0071296E">
            <w:pPr>
              <w:jc w:val="right"/>
              <w:rPr>
                <w:sz w:val="20"/>
                <w:szCs w:val="20"/>
              </w:rPr>
            </w:pPr>
            <w:r w:rsidRPr="002431C0">
              <w:rPr>
                <w:sz w:val="20"/>
                <w:szCs w:val="20"/>
              </w:rPr>
              <w:t xml:space="preserve">                6,183</w:t>
            </w:r>
          </w:p>
        </w:tc>
      </w:tr>
      <w:tr w:rsidR="00A739E1" w:rsidRPr="002431C0" w14:paraId="3D79731C" w14:textId="77777777" w:rsidTr="0071296E">
        <w:trPr>
          <w:trHeight w:val="288"/>
        </w:trPr>
        <w:tc>
          <w:tcPr>
            <w:tcW w:w="1098" w:type="dxa"/>
            <w:tcBorders>
              <w:top w:val="single" w:sz="4" w:space="0" w:color="auto"/>
              <w:left w:val="thinThickSmallGap" w:sz="24" w:space="0" w:color="auto"/>
              <w:bottom w:val="single" w:sz="4" w:space="0" w:color="auto"/>
              <w:right w:val="single" w:sz="4" w:space="0" w:color="auto"/>
            </w:tcBorders>
            <w:shd w:val="clear" w:color="auto" w:fill="auto"/>
            <w:noWrap/>
            <w:vAlign w:val="bottom"/>
          </w:tcPr>
          <w:p w14:paraId="6C5EC414" w14:textId="77777777" w:rsidR="00A739E1" w:rsidRPr="002431C0" w:rsidRDefault="00A739E1" w:rsidP="0071296E">
            <w:pPr>
              <w:jc w:val="center"/>
              <w:rPr>
                <w:sz w:val="20"/>
                <w:szCs w:val="20"/>
              </w:rPr>
            </w:pPr>
          </w:p>
        </w:tc>
        <w:tc>
          <w:tcPr>
            <w:tcW w:w="5616" w:type="dxa"/>
            <w:tcBorders>
              <w:top w:val="single" w:sz="4" w:space="0" w:color="auto"/>
              <w:left w:val="single" w:sz="4" w:space="0" w:color="auto"/>
              <w:bottom w:val="single" w:sz="4" w:space="0" w:color="auto"/>
              <w:right w:val="single" w:sz="4" w:space="0" w:color="auto"/>
            </w:tcBorders>
            <w:noWrap/>
            <w:vAlign w:val="bottom"/>
          </w:tcPr>
          <w:p w14:paraId="0A95338C" w14:textId="77777777" w:rsidR="00A739E1" w:rsidRPr="002431C0" w:rsidRDefault="00A739E1" w:rsidP="0071296E">
            <w:pPr>
              <w:rPr>
                <w:sz w:val="20"/>
                <w:szCs w:val="20"/>
              </w:rPr>
            </w:pPr>
            <w:r w:rsidRPr="002431C0">
              <w:rPr>
                <w:sz w:val="20"/>
                <w:szCs w:val="20"/>
              </w:rPr>
              <w:t>Add:</w:t>
            </w:r>
          </w:p>
        </w:tc>
        <w:tc>
          <w:tcPr>
            <w:tcW w:w="1170" w:type="dxa"/>
            <w:tcBorders>
              <w:top w:val="single" w:sz="4" w:space="0" w:color="auto"/>
              <w:left w:val="single" w:sz="4" w:space="0" w:color="auto"/>
              <w:bottom w:val="single" w:sz="4" w:space="0" w:color="auto"/>
              <w:right w:val="single" w:sz="4" w:space="0" w:color="auto"/>
            </w:tcBorders>
            <w:vAlign w:val="bottom"/>
          </w:tcPr>
          <w:p w14:paraId="18E73424" w14:textId="77777777" w:rsidR="00A739E1" w:rsidRPr="002431C0" w:rsidRDefault="00A739E1" w:rsidP="0071296E">
            <w:pPr>
              <w:jc w:val="right"/>
              <w:rPr>
                <w:sz w:val="20"/>
                <w:szCs w:val="20"/>
              </w:rPr>
            </w:pPr>
          </w:p>
        </w:tc>
        <w:tc>
          <w:tcPr>
            <w:tcW w:w="1170" w:type="dxa"/>
            <w:tcBorders>
              <w:top w:val="single" w:sz="4" w:space="0" w:color="auto"/>
              <w:left w:val="single" w:sz="4" w:space="0" w:color="auto"/>
              <w:bottom w:val="single" w:sz="4" w:space="0" w:color="auto"/>
              <w:right w:val="single" w:sz="4" w:space="0" w:color="auto"/>
            </w:tcBorders>
            <w:vAlign w:val="bottom"/>
          </w:tcPr>
          <w:p w14:paraId="78C7F7FB" w14:textId="77777777" w:rsidR="00A739E1" w:rsidRPr="002431C0" w:rsidRDefault="00A739E1" w:rsidP="0071296E">
            <w:pPr>
              <w:jc w:val="right"/>
              <w:rPr>
                <w:sz w:val="20"/>
                <w:szCs w:val="20"/>
              </w:rPr>
            </w:pPr>
          </w:p>
        </w:tc>
        <w:tc>
          <w:tcPr>
            <w:tcW w:w="1584" w:type="dxa"/>
            <w:tcBorders>
              <w:top w:val="single" w:sz="4" w:space="0" w:color="auto"/>
              <w:left w:val="single" w:sz="4" w:space="0" w:color="auto"/>
              <w:bottom w:val="single" w:sz="4" w:space="0" w:color="auto"/>
              <w:right w:val="thickThinSmallGap" w:sz="24" w:space="0" w:color="auto"/>
            </w:tcBorders>
            <w:noWrap/>
            <w:vAlign w:val="bottom"/>
          </w:tcPr>
          <w:p w14:paraId="2A814D26" w14:textId="77777777" w:rsidR="00A739E1" w:rsidRPr="002431C0" w:rsidRDefault="00A739E1" w:rsidP="0071296E">
            <w:pPr>
              <w:jc w:val="right"/>
              <w:rPr>
                <w:sz w:val="20"/>
                <w:szCs w:val="20"/>
              </w:rPr>
            </w:pPr>
          </w:p>
        </w:tc>
      </w:tr>
      <w:tr w:rsidR="00A739E1" w:rsidRPr="002431C0" w14:paraId="5084B86B" w14:textId="77777777" w:rsidTr="0071296E">
        <w:trPr>
          <w:trHeight w:val="255"/>
        </w:trPr>
        <w:tc>
          <w:tcPr>
            <w:tcW w:w="1098" w:type="dxa"/>
            <w:tcBorders>
              <w:top w:val="single" w:sz="4" w:space="0" w:color="auto"/>
              <w:left w:val="thinThickSmallGap" w:sz="24" w:space="0" w:color="auto"/>
              <w:bottom w:val="single" w:sz="4" w:space="0" w:color="auto"/>
              <w:right w:val="single" w:sz="4" w:space="0" w:color="auto"/>
            </w:tcBorders>
            <w:noWrap/>
            <w:vAlign w:val="bottom"/>
          </w:tcPr>
          <w:p w14:paraId="7741DDDF" w14:textId="77777777" w:rsidR="00A739E1" w:rsidRPr="002431C0" w:rsidRDefault="00A739E1" w:rsidP="0071296E">
            <w:pPr>
              <w:jc w:val="center"/>
              <w:rPr>
                <w:sz w:val="20"/>
                <w:szCs w:val="20"/>
              </w:rPr>
            </w:pPr>
          </w:p>
        </w:tc>
        <w:tc>
          <w:tcPr>
            <w:tcW w:w="5616" w:type="dxa"/>
            <w:tcBorders>
              <w:top w:val="single" w:sz="4" w:space="0" w:color="auto"/>
              <w:left w:val="single" w:sz="4" w:space="0" w:color="auto"/>
              <w:bottom w:val="single" w:sz="4" w:space="0" w:color="auto"/>
              <w:right w:val="single" w:sz="4" w:space="0" w:color="auto"/>
            </w:tcBorders>
            <w:noWrap/>
            <w:vAlign w:val="bottom"/>
          </w:tcPr>
          <w:p w14:paraId="34E9B903" w14:textId="77777777" w:rsidR="00A739E1" w:rsidRPr="002431C0" w:rsidRDefault="00A739E1" w:rsidP="0071296E">
            <w:pPr>
              <w:jc w:val="right"/>
              <w:rPr>
                <w:sz w:val="20"/>
                <w:szCs w:val="20"/>
              </w:rPr>
            </w:pPr>
            <w:r w:rsidRPr="002431C0">
              <w:rPr>
                <w:sz w:val="20"/>
                <w:szCs w:val="20"/>
              </w:rPr>
              <w:t>Total Natural Gas Uncontested Adjustments from Table B2</w:t>
            </w:r>
          </w:p>
        </w:tc>
        <w:tc>
          <w:tcPr>
            <w:tcW w:w="1170" w:type="dxa"/>
            <w:tcBorders>
              <w:top w:val="single" w:sz="4" w:space="0" w:color="auto"/>
              <w:left w:val="single" w:sz="4" w:space="0" w:color="auto"/>
              <w:bottom w:val="single" w:sz="4" w:space="0" w:color="auto"/>
              <w:right w:val="single" w:sz="4" w:space="0" w:color="auto"/>
            </w:tcBorders>
            <w:vAlign w:val="bottom"/>
          </w:tcPr>
          <w:p w14:paraId="056B6B74" w14:textId="77777777" w:rsidR="00A739E1" w:rsidRPr="002431C0" w:rsidRDefault="00A739E1" w:rsidP="0071296E">
            <w:pPr>
              <w:jc w:val="right"/>
              <w:rPr>
                <w:sz w:val="20"/>
                <w:szCs w:val="20"/>
              </w:rPr>
            </w:pPr>
            <w:r w:rsidRPr="002431C0">
              <w:rPr>
                <w:sz w:val="20"/>
                <w:szCs w:val="20"/>
              </w:rPr>
              <w:t>18,925</w:t>
            </w:r>
          </w:p>
        </w:tc>
        <w:tc>
          <w:tcPr>
            <w:tcW w:w="1170" w:type="dxa"/>
            <w:tcBorders>
              <w:top w:val="single" w:sz="4" w:space="0" w:color="auto"/>
              <w:left w:val="single" w:sz="4" w:space="0" w:color="auto"/>
              <w:bottom w:val="single" w:sz="4" w:space="0" w:color="auto"/>
              <w:right w:val="single" w:sz="4" w:space="0" w:color="auto"/>
            </w:tcBorders>
            <w:vAlign w:val="bottom"/>
          </w:tcPr>
          <w:p w14:paraId="0505FFEF" w14:textId="77777777" w:rsidR="00A739E1" w:rsidRPr="002431C0" w:rsidRDefault="00A739E1" w:rsidP="0071296E">
            <w:pPr>
              <w:jc w:val="right"/>
              <w:rPr>
                <w:sz w:val="20"/>
                <w:szCs w:val="20"/>
              </w:rPr>
            </w:pPr>
            <w:r w:rsidRPr="002431C0">
              <w:rPr>
                <w:sz w:val="20"/>
                <w:szCs w:val="20"/>
              </w:rPr>
              <w:t>240,814</w:t>
            </w:r>
          </w:p>
        </w:tc>
        <w:tc>
          <w:tcPr>
            <w:tcW w:w="1584" w:type="dxa"/>
            <w:tcBorders>
              <w:top w:val="single" w:sz="4" w:space="0" w:color="auto"/>
              <w:left w:val="single" w:sz="4" w:space="0" w:color="auto"/>
              <w:bottom w:val="single" w:sz="4" w:space="0" w:color="auto"/>
              <w:right w:val="thickThinSmallGap" w:sz="24" w:space="0" w:color="auto"/>
            </w:tcBorders>
            <w:noWrap/>
            <w:vAlign w:val="bottom"/>
          </w:tcPr>
          <w:p w14:paraId="52382F8B" w14:textId="77777777" w:rsidR="00A739E1" w:rsidRPr="002431C0" w:rsidRDefault="00A739E1" w:rsidP="0071296E">
            <w:pPr>
              <w:jc w:val="right"/>
              <w:rPr>
                <w:sz w:val="20"/>
                <w:szCs w:val="20"/>
              </w:rPr>
            </w:pPr>
            <w:r w:rsidRPr="002431C0">
              <w:rPr>
                <w:sz w:val="20"/>
                <w:szCs w:val="20"/>
              </w:rPr>
              <w:t>(2,208)</w:t>
            </w:r>
          </w:p>
        </w:tc>
      </w:tr>
      <w:tr w:rsidR="00A739E1" w:rsidRPr="002431C0" w14:paraId="28E87744" w14:textId="77777777" w:rsidTr="0071296E">
        <w:trPr>
          <w:trHeight w:val="255"/>
        </w:trPr>
        <w:tc>
          <w:tcPr>
            <w:tcW w:w="1098" w:type="dxa"/>
            <w:tcBorders>
              <w:top w:val="single" w:sz="4" w:space="0" w:color="auto"/>
              <w:left w:val="thinThickSmallGap" w:sz="24" w:space="0" w:color="auto"/>
              <w:bottom w:val="single" w:sz="18" w:space="0" w:color="auto"/>
              <w:right w:val="single" w:sz="4" w:space="0" w:color="auto"/>
            </w:tcBorders>
            <w:noWrap/>
            <w:vAlign w:val="bottom"/>
          </w:tcPr>
          <w:p w14:paraId="0EA3C14F" w14:textId="77777777" w:rsidR="00A739E1" w:rsidRPr="002431C0" w:rsidRDefault="00A739E1" w:rsidP="0071296E">
            <w:pPr>
              <w:jc w:val="center"/>
              <w:rPr>
                <w:sz w:val="20"/>
                <w:szCs w:val="20"/>
              </w:rPr>
            </w:pPr>
          </w:p>
        </w:tc>
        <w:tc>
          <w:tcPr>
            <w:tcW w:w="5616" w:type="dxa"/>
            <w:tcBorders>
              <w:top w:val="single" w:sz="4" w:space="0" w:color="auto"/>
              <w:left w:val="single" w:sz="4" w:space="0" w:color="auto"/>
              <w:bottom w:val="single" w:sz="18" w:space="0" w:color="auto"/>
              <w:right w:val="single" w:sz="4" w:space="0" w:color="auto"/>
            </w:tcBorders>
            <w:noWrap/>
            <w:vAlign w:val="bottom"/>
          </w:tcPr>
          <w:p w14:paraId="3B3B9E69" w14:textId="77777777" w:rsidR="00A739E1" w:rsidRPr="002431C0" w:rsidRDefault="00A739E1" w:rsidP="0071296E">
            <w:pPr>
              <w:jc w:val="right"/>
              <w:rPr>
                <w:sz w:val="20"/>
                <w:szCs w:val="20"/>
              </w:rPr>
            </w:pPr>
            <w:r w:rsidRPr="002431C0">
              <w:rPr>
                <w:sz w:val="20"/>
                <w:szCs w:val="20"/>
              </w:rPr>
              <w:t>Attrition Allowance</w:t>
            </w:r>
          </w:p>
        </w:tc>
        <w:tc>
          <w:tcPr>
            <w:tcW w:w="1170" w:type="dxa"/>
            <w:tcBorders>
              <w:top w:val="single" w:sz="4" w:space="0" w:color="auto"/>
              <w:left w:val="single" w:sz="4" w:space="0" w:color="auto"/>
              <w:bottom w:val="single" w:sz="18" w:space="0" w:color="auto"/>
              <w:right w:val="single" w:sz="4" w:space="0" w:color="auto"/>
            </w:tcBorders>
            <w:vAlign w:val="bottom"/>
          </w:tcPr>
          <w:p w14:paraId="7938EA26" w14:textId="77777777" w:rsidR="00A739E1" w:rsidRPr="002431C0" w:rsidRDefault="00A739E1" w:rsidP="0071296E">
            <w:pPr>
              <w:jc w:val="right"/>
              <w:rPr>
                <w:sz w:val="20"/>
                <w:szCs w:val="20"/>
              </w:rPr>
            </w:pPr>
          </w:p>
        </w:tc>
        <w:tc>
          <w:tcPr>
            <w:tcW w:w="1170" w:type="dxa"/>
            <w:tcBorders>
              <w:top w:val="single" w:sz="4" w:space="0" w:color="auto"/>
              <w:left w:val="single" w:sz="4" w:space="0" w:color="auto"/>
              <w:bottom w:val="single" w:sz="18" w:space="0" w:color="auto"/>
              <w:right w:val="single" w:sz="4" w:space="0" w:color="auto"/>
            </w:tcBorders>
            <w:vAlign w:val="bottom"/>
          </w:tcPr>
          <w:p w14:paraId="177BA300" w14:textId="77777777" w:rsidR="00A739E1" w:rsidRPr="002431C0" w:rsidRDefault="00A739E1" w:rsidP="0071296E">
            <w:pPr>
              <w:jc w:val="right"/>
              <w:rPr>
                <w:sz w:val="20"/>
                <w:szCs w:val="20"/>
              </w:rPr>
            </w:pPr>
          </w:p>
        </w:tc>
        <w:tc>
          <w:tcPr>
            <w:tcW w:w="1584" w:type="dxa"/>
            <w:tcBorders>
              <w:top w:val="single" w:sz="4" w:space="0" w:color="auto"/>
              <w:left w:val="single" w:sz="4" w:space="0" w:color="auto"/>
              <w:bottom w:val="single" w:sz="18" w:space="0" w:color="auto"/>
              <w:right w:val="thickThinSmallGap" w:sz="24" w:space="0" w:color="auto"/>
            </w:tcBorders>
            <w:noWrap/>
            <w:vAlign w:val="bottom"/>
          </w:tcPr>
          <w:p w14:paraId="7D28FFC1" w14:textId="77777777" w:rsidR="00A739E1" w:rsidRPr="002431C0" w:rsidRDefault="00A739E1" w:rsidP="0071296E">
            <w:pPr>
              <w:jc w:val="right"/>
              <w:rPr>
                <w:sz w:val="20"/>
                <w:szCs w:val="20"/>
              </w:rPr>
            </w:pPr>
            <w:r w:rsidRPr="002431C0">
              <w:rPr>
                <w:sz w:val="20"/>
                <w:szCs w:val="20"/>
              </w:rPr>
              <w:t>6,849</w:t>
            </w:r>
          </w:p>
        </w:tc>
      </w:tr>
      <w:tr w:rsidR="00A739E1" w:rsidRPr="002431C0" w14:paraId="6275CB9C" w14:textId="77777777" w:rsidTr="0071296E">
        <w:trPr>
          <w:trHeight w:val="255"/>
        </w:trPr>
        <w:tc>
          <w:tcPr>
            <w:tcW w:w="1098" w:type="dxa"/>
            <w:tcBorders>
              <w:top w:val="single" w:sz="4" w:space="0" w:color="auto"/>
              <w:left w:val="thinThickSmallGap" w:sz="24" w:space="0" w:color="auto"/>
              <w:bottom w:val="thickThinSmallGap" w:sz="24" w:space="0" w:color="auto"/>
              <w:right w:val="single" w:sz="4" w:space="0" w:color="auto"/>
            </w:tcBorders>
            <w:noWrap/>
            <w:vAlign w:val="bottom"/>
          </w:tcPr>
          <w:p w14:paraId="793431C2" w14:textId="77777777" w:rsidR="00A739E1" w:rsidRPr="002431C0" w:rsidRDefault="00A739E1" w:rsidP="0071296E">
            <w:pPr>
              <w:jc w:val="center"/>
              <w:rPr>
                <w:sz w:val="20"/>
                <w:szCs w:val="20"/>
              </w:rPr>
            </w:pPr>
          </w:p>
        </w:tc>
        <w:tc>
          <w:tcPr>
            <w:tcW w:w="5616" w:type="dxa"/>
            <w:tcBorders>
              <w:top w:val="single" w:sz="4" w:space="0" w:color="auto"/>
              <w:left w:val="single" w:sz="4" w:space="0" w:color="auto"/>
              <w:bottom w:val="thickThinSmallGap" w:sz="24" w:space="0" w:color="auto"/>
              <w:right w:val="single" w:sz="4" w:space="0" w:color="auto"/>
            </w:tcBorders>
            <w:noWrap/>
            <w:vAlign w:val="bottom"/>
          </w:tcPr>
          <w:p w14:paraId="6265D94F" w14:textId="77777777" w:rsidR="00A739E1" w:rsidRPr="002431C0" w:rsidRDefault="00A739E1" w:rsidP="0071296E">
            <w:pPr>
              <w:jc w:val="right"/>
              <w:rPr>
                <w:sz w:val="20"/>
                <w:szCs w:val="20"/>
              </w:rPr>
            </w:pPr>
            <w:r w:rsidRPr="002431C0">
              <w:rPr>
                <w:sz w:val="20"/>
                <w:szCs w:val="20"/>
              </w:rPr>
              <w:t>Total Natural Gas Adjusted Results</w:t>
            </w:r>
          </w:p>
        </w:tc>
        <w:tc>
          <w:tcPr>
            <w:tcW w:w="1170" w:type="dxa"/>
            <w:tcBorders>
              <w:top w:val="single" w:sz="4" w:space="0" w:color="auto"/>
              <w:left w:val="single" w:sz="4" w:space="0" w:color="auto"/>
              <w:bottom w:val="thickThinSmallGap" w:sz="24" w:space="0" w:color="auto"/>
              <w:right w:val="single" w:sz="4" w:space="0" w:color="auto"/>
            </w:tcBorders>
            <w:vAlign w:val="bottom"/>
          </w:tcPr>
          <w:p w14:paraId="784E9306" w14:textId="77777777" w:rsidR="00A739E1" w:rsidRPr="002431C0" w:rsidRDefault="00A739E1" w:rsidP="0071296E">
            <w:pPr>
              <w:jc w:val="right"/>
              <w:rPr>
                <w:sz w:val="20"/>
                <w:szCs w:val="20"/>
              </w:rPr>
            </w:pPr>
            <w:r w:rsidRPr="002431C0">
              <w:rPr>
                <w:sz w:val="20"/>
                <w:szCs w:val="20"/>
              </w:rPr>
              <w:t xml:space="preserve">      16,754</w:t>
            </w:r>
          </w:p>
        </w:tc>
        <w:tc>
          <w:tcPr>
            <w:tcW w:w="1170" w:type="dxa"/>
            <w:tcBorders>
              <w:top w:val="single" w:sz="4" w:space="0" w:color="auto"/>
              <w:left w:val="single" w:sz="4" w:space="0" w:color="auto"/>
              <w:bottom w:val="thickThinSmallGap" w:sz="24" w:space="0" w:color="auto"/>
              <w:right w:val="single" w:sz="4" w:space="0" w:color="auto"/>
            </w:tcBorders>
            <w:vAlign w:val="bottom"/>
          </w:tcPr>
          <w:p w14:paraId="796B3986" w14:textId="77777777" w:rsidR="00A739E1" w:rsidRPr="002431C0" w:rsidRDefault="00A739E1" w:rsidP="0071296E">
            <w:pPr>
              <w:jc w:val="right"/>
              <w:rPr>
                <w:sz w:val="20"/>
                <w:szCs w:val="20"/>
              </w:rPr>
            </w:pPr>
            <w:r w:rsidRPr="002431C0">
              <w:rPr>
                <w:sz w:val="20"/>
                <w:szCs w:val="20"/>
              </w:rPr>
              <w:t xml:space="preserve">    263,655</w:t>
            </w:r>
          </w:p>
        </w:tc>
        <w:tc>
          <w:tcPr>
            <w:tcW w:w="1584" w:type="dxa"/>
            <w:tcBorders>
              <w:top w:val="single" w:sz="4" w:space="0" w:color="auto"/>
              <w:left w:val="single" w:sz="4" w:space="0" w:color="auto"/>
              <w:bottom w:val="thickThinSmallGap" w:sz="24" w:space="0" w:color="auto"/>
              <w:right w:val="thickThinSmallGap" w:sz="24" w:space="0" w:color="auto"/>
            </w:tcBorders>
            <w:noWrap/>
            <w:vAlign w:val="bottom"/>
          </w:tcPr>
          <w:p w14:paraId="218ABCB2" w14:textId="77777777" w:rsidR="00A739E1" w:rsidRPr="002431C0" w:rsidRDefault="00A739E1" w:rsidP="0071296E">
            <w:pPr>
              <w:jc w:val="right"/>
              <w:rPr>
                <w:sz w:val="20"/>
                <w:szCs w:val="20"/>
              </w:rPr>
            </w:pPr>
            <w:r w:rsidRPr="002431C0">
              <w:rPr>
                <w:sz w:val="20"/>
                <w:szCs w:val="20"/>
              </w:rPr>
              <w:t xml:space="preserve">               10,824</w:t>
            </w:r>
          </w:p>
        </w:tc>
      </w:tr>
    </w:tbl>
    <w:p w14:paraId="4028D87B" w14:textId="77777777" w:rsidR="00166E95" w:rsidRPr="002431C0" w:rsidRDefault="00166E95" w:rsidP="00166E95">
      <w:pPr>
        <w:keepNext/>
        <w:keepLines/>
        <w:jc w:val="center"/>
        <w:rPr>
          <w:sz w:val="25"/>
          <w:szCs w:val="25"/>
        </w:rPr>
      </w:pPr>
      <w:r w:rsidRPr="002431C0">
        <w:rPr>
          <w:sz w:val="25"/>
          <w:szCs w:val="25"/>
        </w:rPr>
        <w:br w:type="page"/>
      </w:r>
    </w:p>
    <w:p w14:paraId="7A05B13C" w14:textId="77777777" w:rsidR="00166E95" w:rsidRPr="002431C0" w:rsidRDefault="00166E95" w:rsidP="00166E95">
      <w:pPr>
        <w:keepNext/>
        <w:keepLines/>
        <w:jc w:val="center"/>
        <w:rPr>
          <w:sz w:val="25"/>
          <w:szCs w:val="25"/>
        </w:rPr>
      </w:pPr>
    </w:p>
    <w:p w14:paraId="6D946F15" w14:textId="77777777" w:rsidR="00166E95" w:rsidRPr="002431C0" w:rsidRDefault="00166E95" w:rsidP="00166E95">
      <w:pPr>
        <w:keepNext/>
        <w:spacing w:before="240" w:after="60"/>
        <w:jc w:val="center"/>
        <w:outlineLvl w:val="0"/>
        <w:rPr>
          <w:rFonts w:cs="Arial"/>
          <w:bCs/>
          <w:kern w:val="32"/>
          <w:sz w:val="25"/>
          <w:szCs w:val="25"/>
        </w:rPr>
      </w:pPr>
    </w:p>
    <w:p w14:paraId="7276657F" w14:textId="77777777" w:rsidR="00166E95" w:rsidRPr="002431C0" w:rsidRDefault="00166E95" w:rsidP="00166E95">
      <w:pPr>
        <w:keepNext/>
        <w:spacing w:before="240" w:after="60"/>
        <w:jc w:val="center"/>
        <w:outlineLvl w:val="0"/>
        <w:rPr>
          <w:rFonts w:cs="Arial"/>
          <w:bCs/>
          <w:kern w:val="32"/>
          <w:sz w:val="25"/>
          <w:szCs w:val="25"/>
        </w:rPr>
      </w:pPr>
    </w:p>
    <w:p w14:paraId="4320B67E" w14:textId="77777777" w:rsidR="00166E95" w:rsidRPr="002431C0" w:rsidRDefault="00166E95" w:rsidP="00166E95">
      <w:pPr>
        <w:keepNext/>
        <w:spacing w:before="240" w:after="60"/>
        <w:jc w:val="center"/>
        <w:outlineLvl w:val="0"/>
        <w:rPr>
          <w:rFonts w:cs="Arial"/>
          <w:bCs/>
          <w:kern w:val="32"/>
          <w:sz w:val="25"/>
          <w:szCs w:val="25"/>
        </w:rPr>
      </w:pPr>
    </w:p>
    <w:p w14:paraId="5905D544" w14:textId="77777777" w:rsidR="00166E95" w:rsidRPr="002431C0" w:rsidRDefault="00166E95" w:rsidP="00166E95">
      <w:pPr>
        <w:keepNext/>
        <w:spacing w:before="240" w:after="60"/>
        <w:jc w:val="center"/>
        <w:outlineLvl w:val="0"/>
        <w:rPr>
          <w:rFonts w:cs="Arial"/>
          <w:bCs/>
          <w:kern w:val="32"/>
          <w:sz w:val="25"/>
          <w:szCs w:val="25"/>
        </w:rPr>
      </w:pPr>
    </w:p>
    <w:p w14:paraId="4FD37535" w14:textId="77777777" w:rsidR="00166E95" w:rsidRPr="002431C0" w:rsidRDefault="00166E95" w:rsidP="00166E95">
      <w:pPr>
        <w:keepNext/>
        <w:spacing w:before="240" w:after="60"/>
        <w:jc w:val="center"/>
        <w:outlineLvl w:val="0"/>
        <w:rPr>
          <w:rFonts w:cs="Arial"/>
          <w:bCs/>
          <w:kern w:val="32"/>
          <w:sz w:val="25"/>
          <w:szCs w:val="25"/>
        </w:rPr>
      </w:pPr>
    </w:p>
    <w:p w14:paraId="7E44547B" w14:textId="77777777" w:rsidR="00166E95" w:rsidRPr="002431C0" w:rsidRDefault="00166E95" w:rsidP="00166E95">
      <w:pPr>
        <w:keepNext/>
        <w:spacing w:before="240" w:after="60"/>
        <w:jc w:val="center"/>
        <w:outlineLvl w:val="0"/>
        <w:rPr>
          <w:rFonts w:cs="Arial"/>
          <w:bCs/>
          <w:kern w:val="32"/>
          <w:sz w:val="25"/>
          <w:szCs w:val="25"/>
        </w:rPr>
      </w:pPr>
    </w:p>
    <w:p w14:paraId="1E69F7E9" w14:textId="77777777" w:rsidR="00166E95" w:rsidRPr="002431C0" w:rsidRDefault="00166E95" w:rsidP="00166E95">
      <w:pPr>
        <w:keepNext/>
        <w:spacing w:before="240" w:after="60"/>
        <w:jc w:val="center"/>
        <w:outlineLvl w:val="0"/>
        <w:rPr>
          <w:rFonts w:cs="Arial"/>
          <w:bCs/>
          <w:kern w:val="32"/>
          <w:sz w:val="25"/>
          <w:szCs w:val="25"/>
        </w:rPr>
      </w:pPr>
    </w:p>
    <w:p w14:paraId="6258579F" w14:textId="77777777" w:rsidR="00166E95" w:rsidRPr="002431C0" w:rsidRDefault="00166E95" w:rsidP="00166E95">
      <w:pPr>
        <w:keepNext/>
        <w:spacing w:before="240" w:after="60"/>
        <w:jc w:val="center"/>
        <w:outlineLvl w:val="0"/>
        <w:rPr>
          <w:rFonts w:cs="Arial"/>
          <w:bCs/>
          <w:kern w:val="32"/>
          <w:sz w:val="25"/>
          <w:szCs w:val="25"/>
        </w:rPr>
      </w:pPr>
    </w:p>
    <w:p w14:paraId="72264E84" w14:textId="77777777" w:rsidR="00166E95" w:rsidRPr="002431C0" w:rsidRDefault="00166E95" w:rsidP="00166E95">
      <w:pPr>
        <w:keepNext/>
        <w:spacing w:before="240" w:after="60"/>
        <w:jc w:val="center"/>
        <w:outlineLvl w:val="0"/>
        <w:rPr>
          <w:rFonts w:cs="Arial"/>
          <w:bCs/>
          <w:kern w:val="32"/>
          <w:sz w:val="25"/>
          <w:szCs w:val="25"/>
        </w:rPr>
      </w:pPr>
    </w:p>
    <w:p w14:paraId="429F2367" w14:textId="77777777" w:rsidR="00166E95" w:rsidRPr="002431C0" w:rsidRDefault="00166E95" w:rsidP="00166E95">
      <w:pPr>
        <w:keepNext/>
        <w:spacing w:before="240" w:after="60"/>
        <w:jc w:val="center"/>
        <w:outlineLvl w:val="0"/>
        <w:rPr>
          <w:rFonts w:cs="Arial"/>
          <w:bCs/>
          <w:kern w:val="32"/>
          <w:sz w:val="25"/>
          <w:szCs w:val="25"/>
        </w:rPr>
      </w:pPr>
    </w:p>
    <w:p w14:paraId="6E1DED39" w14:textId="77777777" w:rsidR="00166E95" w:rsidRPr="00436CA6" w:rsidRDefault="00166E95" w:rsidP="00A6061E">
      <w:pPr>
        <w:pStyle w:val="Heading1"/>
        <w:jc w:val="center"/>
        <w:rPr>
          <w:rFonts w:ascii="Times New Roman" w:hAnsi="Times New Roman" w:cs="Times New Roman"/>
          <w:sz w:val="25"/>
          <w:szCs w:val="25"/>
        </w:rPr>
      </w:pPr>
      <w:bookmarkStart w:id="46" w:name="_Toc373922819"/>
      <w:bookmarkStart w:id="47" w:name="_Toc439838978"/>
      <w:r w:rsidRPr="00436CA6">
        <w:rPr>
          <w:rFonts w:ascii="Times New Roman" w:hAnsi="Times New Roman" w:cs="Times New Roman"/>
          <w:sz w:val="25"/>
          <w:szCs w:val="25"/>
        </w:rPr>
        <w:t>APPENDIX B</w:t>
      </w:r>
      <w:bookmarkEnd w:id="46"/>
      <w:bookmarkEnd w:id="47"/>
    </w:p>
    <w:p w14:paraId="0D229680" w14:textId="77777777" w:rsidR="00166E95" w:rsidRPr="00436CA6" w:rsidRDefault="00166E95" w:rsidP="00166E95">
      <w:pPr>
        <w:keepNext/>
        <w:jc w:val="center"/>
        <w:outlineLvl w:val="0"/>
        <w:rPr>
          <w:rFonts w:cs="Arial"/>
          <w:b/>
          <w:bCs/>
          <w:kern w:val="32"/>
          <w:sz w:val="25"/>
          <w:szCs w:val="25"/>
        </w:rPr>
      </w:pPr>
    </w:p>
    <w:p w14:paraId="02F46A78" w14:textId="77777777" w:rsidR="00166E95" w:rsidRPr="00436CA6" w:rsidRDefault="00166E95" w:rsidP="00B07B05">
      <w:pPr>
        <w:pStyle w:val="NoSpacing"/>
        <w:jc w:val="center"/>
        <w:rPr>
          <w:b/>
          <w:sz w:val="25"/>
          <w:szCs w:val="25"/>
        </w:rPr>
      </w:pPr>
      <w:r w:rsidRPr="00436CA6">
        <w:rPr>
          <w:b/>
          <w:sz w:val="25"/>
          <w:szCs w:val="25"/>
        </w:rPr>
        <w:t>UNCONTESTED ADJUSTMENTS</w:t>
      </w:r>
    </w:p>
    <w:p w14:paraId="75A53962" w14:textId="77777777" w:rsidR="00166E95" w:rsidRPr="002431C0" w:rsidRDefault="00166E95" w:rsidP="00166E95">
      <w:pPr>
        <w:keepNext/>
        <w:spacing w:before="240" w:after="60"/>
        <w:jc w:val="center"/>
        <w:outlineLvl w:val="0"/>
        <w:rPr>
          <w:rFonts w:cs="Arial"/>
          <w:bCs/>
          <w:kern w:val="32"/>
          <w:sz w:val="25"/>
          <w:szCs w:val="25"/>
        </w:rPr>
      </w:pPr>
      <w:r w:rsidRPr="002431C0">
        <w:rPr>
          <w:rFonts w:cs="Arial"/>
          <w:bCs/>
          <w:kern w:val="32"/>
          <w:sz w:val="25"/>
          <w:szCs w:val="25"/>
        </w:rPr>
        <w:br w:type="page"/>
      </w:r>
    </w:p>
    <w:p w14:paraId="5E9762DB" w14:textId="77777777" w:rsidR="00166E95" w:rsidRPr="002431C0" w:rsidRDefault="00166E95" w:rsidP="00166E95">
      <w:pPr>
        <w:keepNext/>
        <w:keepLines/>
        <w:jc w:val="center"/>
        <w:rPr>
          <w:sz w:val="25"/>
          <w:szCs w:val="25"/>
        </w:rPr>
      </w:pPr>
    </w:p>
    <w:p w14:paraId="0CB7231B" w14:textId="77777777" w:rsidR="00A739E1" w:rsidRPr="00436CA6" w:rsidRDefault="00A739E1" w:rsidP="00A6061E">
      <w:pPr>
        <w:pStyle w:val="Heading1"/>
        <w:spacing w:before="0" w:after="0"/>
        <w:jc w:val="center"/>
        <w:rPr>
          <w:rFonts w:ascii="Times New Roman" w:hAnsi="Times New Roman" w:cs="Times New Roman"/>
          <w:sz w:val="25"/>
          <w:szCs w:val="25"/>
        </w:rPr>
      </w:pPr>
      <w:bookmarkStart w:id="48" w:name="_Toc439838979"/>
      <w:r w:rsidRPr="00436CA6">
        <w:rPr>
          <w:rFonts w:ascii="Times New Roman" w:hAnsi="Times New Roman" w:cs="Times New Roman"/>
          <w:sz w:val="25"/>
          <w:szCs w:val="25"/>
        </w:rPr>
        <w:t>TABLE B1</w:t>
      </w:r>
      <w:bookmarkEnd w:id="48"/>
    </w:p>
    <w:p w14:paraId="68CA74C9" w14:textId="77777777" w:rsidR="00A739E1" w:rsidRPr="00436CA6" w:rsidRDefault="00A739E1" w:rsidP="00A739E1">
      <w:pPr>
        <w:keepNext/>
        <w:keepLines/>
        <w:jc w:val="center"/>
        <w:rPr>
          <w:b/>
          <w:sz w:val="25"/>
          <w:szCs w:val="25"/>
        </w:rPr>
      </w:pPr>
      <w:r w:rsidRPr="00436CA6">
        <w:rPr>
          <w:b/>
          <w:sz w:val="25"/>
          <w:szCs w:val="25"/>
        </w:rPr>
        <w:t xml:space="preserve">Electric - Uncontested Adjustments </w:t>
      </w:r>
    </w:p>
    <w:tbl>
      <w:tblPr>
        <w:tblpPr w:leftFromText="180" w:rightFromText="180" w:vertAnchor="text" w:horzAnchor="margin" w:tblpXSpec="center" w:tblpY="332"/>
        <w:tblW w:w="107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0"/>
        <w:gridCol w:w="5472"/>
        <w:gridCol w:w="1191"/>
        <w:gridCol w:w="1386"/>
        <w:gridCol w:w="1512"/>
      </w:tblGrid>
      <w:tr w:rsidR="00A739E1" w:rsidRPr="002431C0" w14:paraId="6A01E248" w14:textId="77777777" w:rsidTr="0071296E">
        <w:trPr>
          <w:trHeight w:val="255"/>
        </w:trPr>
        <w:tc>
          <w:tcPr>
            <w:tcW w:w="1170" w:type="dxa"/>
            <w:tcBorders>
              <w:top w:val="thinThickSmallGap" w:sz="24" w:space="0" w:color="auto"/>
              <w:left w:val="thinThickSmallGap" w:sz="24" w:space="0" w:color="auto"/>
              <w:bottom w:val="double" w:sz="4" w:space="0" w:color="auto"/>
              <w:right w:val="single" w:sz="4" w:space="0" w:color="auto"/>
            </w:tcBorders>
            <w:noWrap/>
            <w:vAlign w:val="bottom"/>
            <w:hideMark/>
          </w:tcPr>
          <w:p w14:paraId="39EF22C7" w14:textId="77777777" w:rsidR="00A739E1" w:rsidRPr="002431C0" w:rsidRDefault="00A739E1" w:rsidP="0071296E">
            <w:pPr>
              <w:ind w:left="-111"/>
              <w:jc w:val="center"/>
              <w:rPr>
                <w:bCs/>
                <w:sz w:val="20"/>
                <w:szCs w:val="20"/>
              </w:rPr>
            </w:pPr>
            <w:r w:rsidRPr="002431C0">
              <w:rPr>
                <w:sz w:val="20"/>
                <w:szCs w:val="20"/>
              </w:rPr>
              <w:t>Adj. No.</w:t>
            </w:r>
          </w:p>
        </w:tc>
        <w:tc>
          <w:tcPr>
            <w:tcW w:w="5472" w:type="dxa"/>
            <w:tcBorders>
              <w:top w:val="thinThickSmallGap" w:sz="24" w:space="0" w:color="auto"/>
              <w:left w:val="single" w:sz="4" w:space="0" w:color="auto"/>
              <w:bottom w:val="double" w:sz="4" w:space="0" w:color="auto"/>
              <w:right w:val="single" w:sz="4" w:space="0" w:color="auto"/>
            </w:tcBorders>
            <w:noWrap/>
            <w:vAlign w:val="bottom"/>
            <w:hideMark/>
          </w:tcPr>
          <w:p w14:paraId="26160B61" w14:textId="77777777" w:rsidR="00A739E1" w:rsidRPr="002431C0" w:rsidRDefault="00A739E1" w:rsidP="0071296E">
            <w:pPr>
              <w:ind w:left="-111"/>
              <w:jc w:val="center"/>
              <w:rPr>
                <w:bCs/>
                <w:sz w:val="20"/>
                <w:szCs w:val="20"/>
              </w:rPr>
            </w:pPr>
            <w:r w:rsidRPr="002431C0">
              <w:rPr>
                <w:bCs/>
                <w:sz w:val="20"/>
                <w:szCs w:val="20"/>
              </w:rPr>
              <w:t>Uncontested</w:t>
            </w:r>
            <w:r w:rsidRPr="002431C0">
              <w:rPr>
                <w:sz w:val="25"/>
                <w:szCs w:val="25"/>
              </w:rPr>
              <w:t xml:space="preserve"> </w:t>
            </w:r>
            <w:r w:rsidRPr="002431C0">
              <w:rPr>
                <w:bCs/>
                <w:sz w:val="20"/>
                <w:szCs w:val="20"/>
              </w:rPr>
              <w:t>Adjustment Description</w:t>
            </w:r>
          </w:p>
        </w:tc>
        <w:tc>
          <w:tcPr>
            <w:tcW w:w="1191" w:type="dxa"/>
            <w:tcBorders>
              <w:top w:val="thinThickSmallGap" w:sz="24" w:space="0" w:color="auto"/>
              <w:left w:val="single" w:sz="4" w:space="0" w:color="auto"/>
              <w:bottom w:val="double" w:sz="4" w:space="0" w:color="auto"/>
              <w:right w:val="single" w:sz="4" w:space="0" w:color="auto"/>
            </w:tcBorders>
            <w:vAlign w:val="bottom"/>
            <w:hideMark/>
          </w:tcPr>
          <w:p w14:paraId="36BF4EF9" w14:textId="77777777" w:rsidR="00A739E1" w:rsidRPr="002431C0" w:rsidRDefault="00A739E1" w:rsidP="0071296E">
            <w:pPr>
              <w:ind w:left="-111"/>
              <w:jc w:val="center"/>
              <w:rPr>
                <w:sz w:val="20"/>
                <w:szCs w:val="20"/>
              </w:rPr>
            </w:pPr>
            <w:r w:rsidRPr="002431C0">
              <w:rPr>
                <w:sz w:val="20"/>
                <w:szCs w:val="20"/>
              </w:rPr>
              <w:t>Net Operating Income</w:t>
            </w:r>
          </w:p>
        </w:tc>
        <w:tc>
          <w:tcPr>
            <w:tcW w:w="1386" w:type="dxa"/>
            <w:tcBorders>
              <w:top w:val="thinThickSmallGap" w:sz="24" w:space="0" w:color="auto"/>
              <w:left w:val="single" w:sz="4" w:space="0" w:color="auto"/>
              <w:bottom w:val="double" w:sz="4" w:space="0" w:color="auto"/>
              <w:right w:val="single" w:sz="4" w:space="0" w:color="auto"/>
            </w:tcBorders>
            <w:vAlign w:val="bottom"/>
            <w:hideMark/>
          </w:tcPr>
          <w:p w14:paraId="64456BEA" w14:textId="77777777" w:rsidR="00A739E1" w:rsidRPr="002431C0" w:rsidRDefault="00A739E1" w:rsidP="0071296E">
            <w:pPr>
              <w:ind w:left="-111"/>
              <w:jc w:val="center"/>
              <w:rPr>
                <w:sz w:val="20"/>
                <w:szCs w:val="20"/>
              </w:rPr>
            </w:pPr>
            <w:r w:rsidRPr="002431C0">
              <w:rPr>
                <w:sz w:val="20"/>
                <w:szCs w:val="20"/>
              </w:rPr>
              <w:t>Rate Base</w:t>
            </w:r>
          </w:p>
        </w:tc>
        <w:tc>
          <w:tcPr>
            <w:tcW w:w="1512" w:type="dxa"/>
            <w:tcBorders>
              <w:top w:val="thinThickSmallGap" w:sz="24" w:space="0" w:color="auto"/>
              <w:left w:val="single" w:sz="4" w:space="0" w:color="auto"/>
              <w:bottom w:val="double" w:sz="4" w:space="0" w:color="auto"/>
              <w:right w:val="thickThinSmallGap" w:sz="24" w:space="0" w:color="auto"/>
            </w:tcBorders>
            <w:vAlign w:val="bottom"/>
            <w:hideMark/>
          </w:tcPr>
          <w:p w14:paraId="5649D875" w14:textId="77777777" w:rsidR="00A739E1" w:rsidRPr="002431C0" w:rsidRDefault="00A739E1" w:rsidP="0071296E">
            <w:pPr>
              <w:ind w:left="-111"/>
              <w:jc w:val="center"/>
              <w:rPr>
                <w:sz w:val="20"/>
                <w:szCs w:val="20"/>
              </w:rPr>
            </w:pPr>
            <w:r w:rsidRPr="002431C0">
              <w:rPr>
                <w:sz w:val="20"/>
                <w:szCs w:val="20"/>
              </w:rPr>
              <w:t>Revenue Requirement</w:t>
            </w:r>
          </w:p>
        </w:tc>
      </w:tr>
      <w:tr w:rsidR="00A739E1" w:rsidRPr="002431C0" w14:paraId="604A25A7" w14:textId="77777777" w:rsidTr="0071296E">
        <w:trPr>
          <w:trHeight w:val="255"/>
        </w:trPr>
        <w:tc>
          <w:tcPr>
            <w:tcW w:w="1170" w:type="dxa"/>
            <w:tcBorders>
              <w:top w:val="double" w:sz="4" w:space="0" w:color="auto"/>
              <w:left w:val="thinThickSmallGap" w:sz="24" w:space="0" w:color="auto"/>
              <w:bottom w:val="single" w:sz="18" w:space="0" w:color="auto"/>
              <w:right w:val="single" w:sz="4" w:space="0" w:color="auto"/>
            </w:tcBorders>
            <w:shd w:val="clear" w:color="auto" w:fill="auto"/>
            <w:noWrap/>
            <w:vAlign w:val="bottom"/>
            <w:hideMark/>
          </w:tcPr>
          <w:p w14:paraId="6552E5EE" w14:textId="77777777" w:rsidR="00A739E1" w:rsidRPr="002431C0" w:rsidRDefault="00A739E1" w:rsidP="0071296E">
            <w:pPr>
              <w:ind w:left="-111"/>
              <w:rPr>
                <w:sz w:val="20"/>
                <w:szCs w:val="20"/>
              </w:rPr>
            </w:pPr>
          </w:p>
        </w:tc>
        <w:tc>
          <w:tcPr>
            <w:tcW w:w="5472" w:type="dxa"/>
            <w:tcBorders>
              <w:top w:val="double" w:sz="4" w:space="0" w:color="auto"/>
              <w:left w:val="single" w:sz="4" w:space="0" w:color="auto"/>
              <w:bottom w:val="single" w:sz="18" w:space="0" w:color="auto"/>
              <w:right w:val="single" w:sz="4" w:space="0" w:color="auto"/>
            </w:tcBorders>
            <w:noWrap/>
            <w:vAlign w:val="bottom"/>
          </w:tcPr>
          <w:p w14:paraId="384BCC61" w14:textId="77777777" w:rsidR="00A739E1" w:rsidRPr="002431C0" w:rsidRDefault="00A739E1" w:rsidP="0071296E">
            <w:pPr>
              <w:ind w:left="-111"/>
              <w:jc w:val="center"/>
              <w:rPr>
                <w:sz w:val="20"/>
                <w:szCs w:val="20"/>
              </w:rPr>
            </w:pPr>
          </w:p>
        </w:tc>
        <w:tc>
          <w:tcPr>
            <w:tcW w:w="4089" w:type="dxa"/>
            <w:gridSpan w:val="3"/>
            <w:tcBorders>
              <w:top w:val="double" w:sz="4" w:space="0" w:color="auto"/>
              <w:left w:val="single" w:sz="4" w:space="0" w:color="auto"/>
              <w:bottom w:val="single" w:sz="18" w:space="0" w:color="auto"/>
              <w:right w:val="thickThinSmallGap" w:sz="24" w:space="0" w:color="auto"/>
            </w:tcBorders>
            <w:vAlign w:val="bottom"/>
          </w:tcPr>
          <w:p w14:paraId="4EEC74D0" w14:textId="77777777" w:rsidR="00A739E1" w:rsidRPr="002431C0" w:rsidRDefault="00A739E1" w:rsidP="0071296E">
            <w:pPr>
              <w:ind w:left="-111"/>
              <w:jc w:val="center"/>
              <w:rPr>
                <w:sz w:val="20"/>
                <w:szCs w:val="20"/>
              </w:rPr>
            </w:pPr>
            <w:r w:rsidRPr="002431C0">
              <w:rPr>
                <w:sz w:val="16"/>
                <w:szCs w:val="20"/>
              </w:rPr>
              <w:t>(</w:t>
            </w:r>
            <w:r w:rsidRPr="002431C0">
              <w:rPr>
                <w:i/>
                <w:sz w:val="16"/>
                <w:szCs w:val="20"/>
              </w:rPr>
              <w:t>000’s of Dollars</w:t>
            </w:r>
            <w:r w:rsidRPr="002431C0">
              <w:rPr>
                <w:sz w:val="16"/>
                <w:szCs w:val="20"/>
              </w:rPr>
              <w:t>)</w:t>
            </w:r>
          </w:p>
        </w:tc>
      </w:tr>
      <w:tr w:rsidR="00A739E1" w:rsidRPr="002431C0" w14:paraId="612D1B73" w14:textId="77777777" w:rsidTr="0071296E">
        <w:trPr>
          <w:trHeight w:val="288"/>
        </w:trPr>
        <w:tc>
          <w:tcPr>
            <w:tcW w:w="1170" w:type="dxa"/>
            <w:tcBorders>
              <w:top w:val="single" w:sz="18" w:space="0" w:color="auto"/>
              <w:left w:val="thinThickSmallGap" w:sz="24" w:space="0" w:color="auto"/>
              <w:bottom w:val="single" w:sz="4" w:space="0" w:color="auto"/>
              <w:right w:val="single" w:sz="4" w:space="0" w:color="auto"/>
            </w:tcBorders>
            <w:shd w:val="clear" w:color="auto" w:fill="auto"/>
            <w:noWrap/>
          </w:tcPr>
          <w:p w14:paraId="17936C8F" w14:textId="77777777" w:rsidR="00A739E1" w:rsidRPr="002431C0" w:rsidRDefault="00A739E1" w:rsidP="0071296E">
            <w:pPr>
              <w:ind w:left="-111"/>
              <w:rPr>
                <w:sz w:val="20"/>
                <w:szCs w:val="20"/>
              </w:rPr>
            </w:pPr>
            <w:r w:rsidRPr="002431C0">
              <w:rPr>
                <w:sz w:val="20"/>
                <w:szCs w:val="20"/>
              </w:rPr>
              <w:t>1.00</w:t>
            </w:r>
          </w:p>
        </w:tc>
        <w:tc>
          <w:tcPr>
            <w:tcW w:w="5472" w:type="dxa"/>
            <w:tcBorders>
              <w:top w:val="single" w:sz="4" w:space="0" w:color="auto"/>
              <w:left w:val="nil"/>
              <w:bottom w:val="single" w:sz="4" w:space="0" w:color="auto"/>
              <w:right w:val="nil"/>
            </w:tcBorders>
            <w:shd w:val="clear" w:color="auto" w:fill="auto"/>
            <w:noWrap/>
            <w:vAlign w:val="bottom"/>
          </w:tcPr>
          <w:p w14:paraId="0DB86B37" w14:textId="77777777" w:rsidR="00A739E1" w:rsidRPr="002431C0" w:rsidRDefault="00A739E1" w:rsidP="0071296E">
            <w:pPr>
              <w:ind w:left="-111"/>
              <w:rPr>
                <w:sz w:val="20"/>
                <w:szCs w:val="20"/>
              </w:rPr>
            </w:pPr>
            <w:r w:rsidRPr="002431C0">
              <w:rPr>
                <w:sz w:val="20"/>
                <w:szCs w:val="20"/>
              </w:rPr>
              <w:t>Results of Operations</w:t>
            </w:r>
          </w:p>
        </w:tc>
        <w:tc>
          <w:tcPr>
            <w:tcW w:w="1191" w:type="dxa"/>
            <w:tcBorders>
              <w:top w:val="single" w:sz="18" w:space="0" w:color="auto"/>
              <w:left w:val="single" w:sz="4" w:space="0" w:color="auto"/>
              <w:bottom w:val="single" w:sz="4" w:space="0" w:color="auto"/>
              <w:right w:val="single" w:sz="4" w:space="0" w:color="auto"/>
            </w:tcBorders>
            <w:vAlign w:val="bottom"/>
          </w:tcPr>
          <w:p w14:paraId="76F5D878" w14:textId="77777777" w:rsidR="00A739E1" w:rsidRPr="002431C0" w:rsidRDefault="00A739E1" w:rsidP="0071296E">
            <w:pPr>
              <w:ind w:left="-111"/>
              <w:jc w:val="right"/>
              <w:rPr>
                <w:sz w:val="20"/>
                <w:szCs w:val="20"/>
              </w:rPr>
            </w:pPr>
            <w:r w:rsidRPr="002431C0">
              <w:rPr>
                <w:sz w:val="20"/>
                <w:szCs w:val="20"/>
              </w:rPr>
              <w:t>102,983</w:t>
            </w:r>
          </w:p>
        </w:tc>
        <w:tc>
          <w:tcPr>
            <w:tcW w:w="1386" w:type="dxa"/>
            <w:tcBorders>
              <w:top w:val="single" w:sz="18" w:space="0" w:color="auto"/>
              <w:left w:val="single" w:sz="4" w:space="0" w:color="auto"/>
              <w:bottom w:val="single" w:sz="4" w:space="0" w:color="auto"/>
              <w:right w:val="single" w:sz="4" w:space="0" w:color="auto"/>
            </w:tcBorders>
            <w:vAlign w:val="bottom"/>
          </w:tcPr>
          <w:p w14:paraId="507E7C56" w14:textId="77777777" w:rsidR="00A739E1" w:rsidRPr="002431C0" w:rsidRDefault="00A739E1" w:rsidP="0071296E">
            <w:pPr>
              <w:ind w:left="-111"/>
              <w:jc w:val="right"/>
              <w:rPr>
                <w:sz w:val="20"/>
                <w:szCs w:val="20"/>
              </w:rPr>
            </w:pPr>
            <w:r w:rsidRPr="002431C0">
              <w:rPr>
                <w:sz w:val="20"/>
                <w:szCs w:val="20"/>
              </w:rPr>
              <w:t xml:space="preserve"> 1,260,500</w:t>
            </w:r>
          </w:p>
        </w:tc>
        <w:tc>
          <w:tcPr>
            <w:tcW w:w="1512" w:type="dxa"/>
            <w:tcBorders>
              <w:top w:val="single" w:sz="18" w:space="0" w:color="auto"/>
              <w:left w:val="single" w:sz="4" w:space="0" w:color="auto"/>
              <w:bottom w:val="single" w:sz="4" w:space="0" w:color="auto"/>
              <w:right w:val="thickThinSmallGap" w:sz="24" w:space="0" w:color="auto"/>
            </w:tcBorders>
            <w:noWrap/>
            <w:vAlign w:val="bottom"/>
          </w:tcPr>
          <w:p w14:paraId="1F74DC1E" w14:textId="77777777" w:rsidR="00A739E1" w:rsidRPr="002431C0" w:rsidRDefault="00A739E1" w:rsidP="0071296E">
            <w:pPr>
              <w:ind w:left="-111"/>
              <w:jc w:val="right"/>
              <w:rPr>
                <w:bCs/>
                <w:sz w:val="20"/>
                <w:szCs w:val="20"/>
              </w:rPr>
            </w:pPr>
            <w:r w:rsidRPr="002431C0">
              <w:rPr>
                <w:bCs/>
                <w:sz w:val="20"/>
                <w:szCs w:val="20"/>
              </w:rPr>
              <w:t>(17,886)</w:t>
            </w:r>
          </w:p>
        </w:tc>
      </w:tr>
      <w:tr w:rsidR="00A739E1" w:rsidRPr="002431C0" w14:paraId="599FB998" w14:textId="77777777" w:rsidTr="0071296E">
        <w:trPr>
          <w:trHeight w:val="288"/>
        </w:trPr>
        <w:tc>
          <w:tcPr>
            <w:tcW w:w="1170" w:type="dxa"/>
            <w:tcBorders>
              <w:top w:val="single" w:sz="4" w:space="0" w:color="auto"/>
              <w:left w:val="thinThickSmallGap" w:sz="24" w:space="0" w:color="auto"/>
              <w:bottom w:val="single" w:sz="4" w:space="0" w:color="auto"/>
              <w:right w:val="single" w:sz="4" w:space="0" w:color="auto"/>
            </w:tcBorders>
            <w:shd w:val="clear" w:color="auto" w:fill="auto"/>
            <w:noWrap/>
          </w:tcPr>
          <w:p w14:paraId="1A82FF98" w14:textId="77777777" w:rsidR="00A739E1" w:rsidRPr="002431C0" w:rsidRDefault="00A739E1" w:rsidP="0071296E">
            <w:pPr>
              <w:ind w:left="-111"/>
              <w:rPr>
                <w:sz w:val="20"/>
                <w:szCs w:val="20"/>
              </w:rPr>
            </w:pPr>
            <w:r w:rsidRPr="002431C0">
              <w:rPr>
                <w:sz w:val="20"/>
                <w:szCs w:val="20"/>
              </w:rPr>
              <w:t>1.01</w:t>
            </w:r>
          </w:p>
        </w:tc>
        <w:tc>
          <w:tcPr>
            <w:tcW w:w="5472" w:type="dxa"/>
            <w:tcBorders>
              <w:top w:val="single" w:sz="4" w:space="0" w:color="auto"/>
              <w:left w:val="nil"/>
              <w:bottom w:val="single" w:sz="4" w:space="0" w:color="auto"/>
              <w:right w:val="nil"/>
            </w:tcBorders>
            <w:shd w:val="clear" w:color="auto" w:fill="auto"/>
            <w:noWrap/>
            <w:vAlign w:val="bottom"/>
          </w:tcPr>
          <w:p w14:paraId="2E942484" w14:textId="77777777" w:rsidR="00A739E1" w:rsidRPr="002431C0" w:rsidRDefault="00A739E1" w:rsidP="0071296E">
            <w:pPr>
              <w:ind w:left="-111"/>
              <w:rPr>
                <w:sz w:val="20"/>
                <w:szCs w:val="20"/>
              </w:rPr>
            </w:pPr>
            <w:r w:rsidRPr="002431C0">
              <w:rPr>
                <w:sz w:val="20"/>
                <w:szCs w:val="20"/>
              </w:rPr>
              <w:t>Deferred FIT Rate Base</w:t>
            </w:r>
          </w:p>
        </w:tc>
        <w:tc>
          <w:tcPr>
            <w:tcW w:w="1191" w:type="dxa"/>
            <w:tcBorders>
              <w:top w:val="single" w:sz="4" w:space="0" w:color="auto"/>
              <w:left w:val="single" w:sz="4" w:space="0" w:color="auto"/>
              <w:bottom w:val="single" w:sz="4" w:space="0" w:color="auto"/>
              <w:right w:val="single" w:sz="4" w:space="0" w:color="auto"/>
            </w:tcBorders>
            <w:vAlign w:val="bottom"/>
          </w:tcPr>
          <w:p w14:paraId="04499B92" w14:textId="77777777" w:rsidR="00A739E1" w:rsidRPr="002431C0" w:rsidRDefault="00A739E1" w:rsidP="0071296E">
            <w:pPr>
              <w:ind w:left="-111"/>
              <w:jc w:val="right"/>
              <w:rPr>
                <w:sz w:val="20"/>
                <w:szCs w:val="20"/>
              </w:rPr>
            </w:pPr>
            <w:r w:rsidRPr="002431C0">
              <w:rPr>
                <w:sz w:val="20"/>
                <w:szCs w:val="20"/>
              </w:rPr>
              <w:t>(56)</w:t>
            </w:r>
          </w:p>
        </w:tc>
        <w:tc>
          <w:tcPr>
            <w:tcW w:w="1386" w:type="dxa"/>
            <w:tcBorders>
              <w:top w:val="single" w:sz="4" w:space="0" w:color="auto"/>
              <w:left w:val="single" w:sz="4" w:space="0" w:color="auto"/>
              <w:bottom w:val="single" w:sz="4" w:space="0" w:color="auto"/>
              <w:right w:val="single" w:sz="4" w:space="0" w:color="auto"/>
            </w:tcBorders>
            <w:vAlign w:val="bottom"/>
          </w:tcPr>
          <w:p w14:paraId="16E1EBAF" w14:textId="77777777" w:rsidR="00A739E1" w:rsidRPr="002431C0" w:rsidRDefault="00A739E1" w:rsidP="0071296E">
            <w:pPr>
              <w:ind w:left="-111"/>
              <w:jc w:val="right"/>
              <w:rPr>
                <w:sz w:val="20"/>
                <w:szCs w:val="20"/>
              </w:rPr>
            </w:pPr>
            <w:r w:rsidRPr="002431C0">
              <w:rPr>
                <w:sz w:val="20"/>
                <w:szCs w:val="20"/>
              </w:rPr>
              <w:t>(6,009)</w:t>
            </w:r>
          </w:p>
        </w:tc>
        <w:tc>
          <w:tcPr>
            <w:tcW w:w="1512" w:type="dxa"/>
            <w:tcBorders>
              <w:top w:val="single" w:sz="4" w:space="0" w:color="auto"/>
              <w:left w:val="single" w:sz="4" w:space="0" w:color="auto"/>
              <w:bottom w:val="single" w:sz="4" w:space="0" w:color="auto"/>
              <w:right w:val="thickThinSmallGap" w:sz="24" w:space="0" w:color="auto"/>
            </w:tcBorders>
            <w:noWrap/>
            <w:vAlign w:val="bottom"/>
          </w:tcPr>
          <w:p w14:paraId="741B6287" w14:textId="77777777" w:rsidR="00A739E1" w:rsidRPr="002431C0" w:rsidRDefault="00A739E1" w:rsidP="0071296E">
            <w:pPr>
              <w:ind w:left="-111"/>
              <w:jc w:val="right"/>
              <w:rPr>
                <w:bCs/>
                <w:sz w:val="20"/>
                <w:szCs w:val="20"/>
              </w:rPr>
            </w:pPr>
            <w:r w:rsidRPr="002431C0">
              <w:rPr>
                <w:bCs/>
                <w:sz w:val="20"/>
                <w:szCs w:val="20"/>
              </w:rPr>
              <w:t>(616)</w:t>
            </w:r>
          </w:p>
        </w:tc>
      </w:tr>
      <w:tr w:rsidR="00A739E1" w:rsidRPr="002431C0" w14:paraId="6F509837" w14:textId="77777777" w:rsidTr="0071296E">
        <w:trPr>
          <w:trHeight w:val="288"/>
        </w:trPr>
        <w:tc>
          <w:tcPr>
            <w:tcW w:w="1170" w:type="dxa"/>
            <w:tcBorders>
              <w:top w:val="single" w:sz="4" w:space="0" w:color="auto"/>
              <w:left w:val="thinThickSmallGap" w:sz="24" w:space="0" w:color="auto"/>
              <w:bottom w:val="single" w:sz="4" w:space="0" w:color="auto"/>
              <w:right w:val="single" w:sz="4" w:space="0" w:color="auto"/>
            </w:tcBorders>
            <w:shd w:val="clear" w:color="auto" w:fill="auto"/>
            <w:noWrap/>
          </w:tcPr>
          <w:p w14:paraId="5F9FF36E" w14:textId="77777777" w:rsidR="00A739E1" w:rsidRPr="002431C0" w:rsidRDefault="00A739E1" w:rsidP="0071296E">
            <w:pPr>
              <w:ind w:left="-111"/>
              <w:rPr>
                <w:sz w:val="20"/>
                <w:szCs w:val="20"/>
              </w:rPr>
            </w:pPr>
            <w:r w:rsidRPr="002431C0">
              <w:rPr>
                <w:sz w:val="20"/>
                <w:szCs w:val="20"/>
              </w:rPr>
              <w:t>1.02</w:t>
            </w:r>
          </w:p>
        </w:tc>
        <w:tc>
          <w:tcPr>
            <w:tcW w:w="5472" w:type="dxa"/>
            <w:tcBorders>
              <w:top w:val="single" w:sz="4" w:space="0" w:color="auto"/>
              <w:left w:val="nil"/>
              <w:bottom w:val="single" w:sz="4" w:space="0" w:color="auto"/>
              <w:right w:val="single" w:sz="8" w:space="0" w:color="000000"/>
            </w:tcBorders>
            <w:shd w:val="clear" w:color="auto" w:fill="auto"/>
            <w:noWrap/>
            <w:vAlign w:val="bottom"/>
          </w:tcPr>
          <w:p w14:paraId="164A9C6E" w14:textId="77777777" w:rsidR="00A739E1" w:rsidRPr="002431C0" w:rsidRDefault="00A739E1" w:rsidP="0071296E">
            <w:pPr>
              <w:ind w:left="-111"/>
              <w:rPr>
                <w:sz w:val="20"/>
                <w:szCs w:val="20"/>
              </w:rPr>
            </w:pPr>
            <w:r w:rsidRPr="002431C0">
              <w:rPr>
                <w:sz w:val="20"/>
                <w:szCs w:val="20"/>
              </w:rPr>
              <w:t>Deferred Debits and Credits</w:t>
            </w:r>
          </w:p>
        </w:tc>
        <w:tc>
          <w:tcPr>
            <w:tcW w:w="1191" w:type="dxa"/>
            <w:tcBorders>
              <w:top w:val="single" w:sz="4" w:space="0" w:color="auto"/>
              <w:left w:val="single" w:sz="4" w:space="0" w:color="auto"/>
              <w:bottom w:val="single" w:sz="4" w:space="0" w:color="auto"/>
              <w:right w:val="single" w:sz="4" w:space="0" w:color="auto"/>
            </w:tcBorders>
            <w:vAlign w:val="bottom"/>
          </w:tcPr>
          <w:p w14:paraId="475FD6CA" w14:textId="77777777" w:rsidR="00A739E1" w:rsidRPr="002431C0" w:rsidRDefault="00A739E1" w:rsidP="0071296E">
            <w:pPr>
              <w:ind w:left="-111"/>
              <w:jc w:val="right"/>
              <w:rPr>
                <w:sz w:val="20"/>
                <w:szCs w:val="20"/>
              </w:rPr>
            </w:pPr>
            <w:r w:rsidRPr="002431C0">
              <w:rPr>
                <w:sz w:val="20"/>
                <w:szCs w:val="20"/>
              </w:rPr>
              <w:t xml:space="preserve">614 </w:t>
            </w:r>
          </w:p>
        </w:tc>
        <w:tc>
          <w:tcPr>
            <w:tcW w:w="1386" w:type="dxa"/>
            <w:tcBorders>
              <w:top w:val="single" w:sz="4" w:space="0" w:color="auto"/>
              <w:left w:val="single" w:sz="4" w:space="0" w:color="auto"/>
              <w:bottom w:val="single" w:sz="4" w:space="0" w:color="auto"/>
              <w:right w:val="single" w:sz="4" w:space="0" w:color="auto"/>
            </w:tcBorders>
            <w:vAlign w:val="bottom"/>
          </w:tcPr>
          <w:p w14:paraId="42BFF161" w14:textId="77777777" w:rsidR="00A739E1" w:rsidRPr="002431C0" w:rsidRDefault="00A739E1" w:rsidP="0071296E">
            <w:pPr>
              <w:ind w:left="-111"/>
              <w:jc w:val="right"/>
              <w:rPr>
                <w:sz w:val="20"/>
                <w:szCs w:val="20"/>
              </w:rPr>
            </w:pPr>
            <w:r w:rsidRPr="002431C0">
              <w:rPr>
                <w:sz w:val="20"/>
                <w:szCs w:val="20"/>
              </w:rPr>
              <w:t>(7,399)</w:t>
            </w:r>
          </w:p>
        </w:tc>
        <w:tc>
          <w:tcPr>
            <w:tcW w:w="1512" w:type="dxa"/>
            <w:tcBorders>
              <w:top w:val="single" w:sz="4" w:space="0" w:color="auto"/>
              <w:left w:val="single" w:sz="4" w:space="0" w:color="auto"/>
              <w:bottom w:val="single" w:sz="4" w:space="0" w:color="auto"/>
              <w:right w:val="thickThinSmallGap" w:sz="24" w:space="0" w:color="auto"/>
            </w:tcBorders>
            <w:noWrap/>
            <w:vAlign w:val="bottom"/>
          </w:tcPr>
          <w:p w14:paraId="589BE297" w14:textId="77777777" w:rsidR="00A739E1" w:rsidRPr="002431C0" w:rsidRDefault="00A739E1" w:rsidP="0071296E">
            <w:pPr>
              <w:ind w:left="-111"/>
              <w:jc w:val="right"/>
              <w:rPr>
                <w:bCs/>
                <w:sz w:val="20"/>
                <w:szCs w:val="20"/>
              </w:rPr>
            </w:pPr>
            <w:r w:rsidRPr="002431C0">
              <w:rPr>
                <w:bCs/>
                <w:sz w:val="20"/>
                <w:szCs w:val="20"/>
              </w:rPr>
              <w:t>(1,860)</w:t>
            </w:r>
          </w:p>
        </w:tc>
      </w:tr>
      <w:tr w:rsidR="00A739E1" w:rsidRPr="002431C0" w14:paraId="79E3086E" w14:textId="77777777" w:rsidTr="0071296E">
        <w:trPr>
          <w:trHeight w:val="288"/>
        </w:trPr>
        <w:tc>
          <w:tcPr>
            <w:tcW w:w="1170" w:type="dxa"/>
            <w:tcBorders>
              <w:top w:val="single" w:sz="4" w:space="0" w:color="auto"/>
              <w:left w:val="thinThickSmallGap" w:sz="24" w:space="0" w:color="auto"/>
              <w:bottom w:val="single" w:sz="4" w:space="0" w:color="auto"/>
              <w:right w:val="single" w:sz="4" w:space="0" w:color="auto"/>
            </w:tcBorders>
            <w:shd w:val="clear" w:color="auto" w:fill="auto"/>
            <w:noWrap/>
          </w:tcPr>
          <w:p w14:paraId="01EC5C43" w14:textId="77777777" w:rsidR="00A739E1" w:rsidRPr="002431C0" w:rsidRDefault="00A739E1" w:rsidP="0071296E">
            <w:pPr>
              <w:ind w:left="-111"/>
              <w:rPr>
                <w:sz w:val="20"/>
                <w:szCs w:val="20"/>
              </w:rPr>
            </w:pPr>
            <w:r w:rsidRPr="002431C0">
              <w:rPr>
                <w:sz w:val="20"/>
                <w:szCs w:val="20"/>
              </w:rPr>
              <w:t>1.03</w:t>
            </w:r>
          </w:p>
        </w:tc>
        <w:tc>
          <w:tcPr>
            <w:tcW w:w="5472" w:type="dxa"/>
            <w:tcBorders>
              <w:top w:val="single" w:sz="4" w:space="0" w:color="auto"/>
              <w:left w:val="nil"/>
              <w:bottom w:val="single" w:sz="4" w:space="0" w:color="auto"/>
              <w:right w:val="nil"/>
            </w:tcBorders>
            <w:shd w:val="clear" w:color="auto" w:fill="auto"/>
            <w:noWrap/>
            <w:vAlign w:val="bottom"/>
          </w:tcPr>
          <w:p w14:paraId="639C2791" w14:textId="77777777" w:rsidR="00A739E1" w:rsidRPr="002431C0" w:rsidRDefault="00A739E1" w:rsidP="0071296E">
            <w:pPr>
              <w:ind w:left="-111"/>
              <w:rPr>
                <w:sz w:val="20"/>
                <w:szCs w:val="20"/>
              </w:rPr>
            </w:pPr>
            <w:r w:rsidRPr="002431C0">
              <w:rPr>
                <w:sz w:val="20"/>
                <w:szCs w:val="20"/>
              </w:rPr>
              <w:t>Working Capital</w:t>
            </w:r>
          </w:p>
        </w:tc>
        <w:tc>
          <w:tcPr>
            <w:tcW w:w="1191" w:type="dxa"/>
            <w:tcBorders>
              <w:top w:val="single" w:sz="4" w:space="0" w:color="auto"/>
              <w:left w:val="single" w:sz="4" w:space="0" w:color="auto"/>
              <w:bottom w:val="single" w:sz="4" w:space="0" w:color="auto"/>
              <w:right w:val="single" w:sz="4" w:space="0" w:color="auto"/>
            </w:tcBorders>
            <w:vAlign w:val="bottom"/>
          </w:tcPr>
          <w:p w14:paraId="78A6CC7A" w14:textId="77777777" w:rsidR="00A739E1" w:rsidRPr="002431C0" w:rsidRDefault="00A739E1" w:rsidP="0071296E">
            <w:pPr>
              <w:ind w:left="-111"/>
              <w:jc w:val="right"/>
              <w:rPr>
                <w:sz w:val="20"/>
                <w:szCs w:val="20"/>
              </w:rPr>
            </w:pPr>
            <w:r w:rsidRPr="002431C0">
              <w:rPr>
                <w:sz w:val="20"/>
                <w:szCs w:val="20"/>
              </w:rPr>
              <w:t xml:space="preserve">194 </w:t>
            </w:r>
          </w:p>
        </w:tc>
        <w:tc>
          <w:tcPr>
            <w:tcW w:w="1386" w:type="dxa"/>
            <w:tcBorders>
              <w:top w:val="single" w:sz="4" w:space="0" w:color="auto"/>
              <w:left w:val="single" w:sz="4" w:space="0" w:color="auto"/>
              <w:bottom w:val="single" w:sz="4" w:space="0" w:color="auto"/>
              <w:right w:val="single" w:sz="4" w:space="0" w:color="auto"/>
            </w:tcBorders>
            <w:vAlign w:val="bottom"/>
          </w:tcPr>
          <w:p w14:paraId="31FF5D41" w14:textId="77777777" w:rsidR="00A739E1" w:rsidRPr="002431C0" w:rsidRDefault="00A739E1" w:rsidP="0071296E">
            <w:pPr>
              <w:ind w:left="-111"/>
              <w:jc w:val="right"/>
              <w:rPr>
                <w:sz w:val="20"/>
                <w:szCs w:val="20"/>
              </w:rPr>
            </w:pPr>
            <w:r w:rsidRPr="002431C0">
              <w:rPr>
                <w:sz w:val="20"/>
                <w:szCs w:val="20"/>
              </w:rPr>
              <w:t>20,703</w:t>
            </w:r>
          </w:p>
        </w:tc>
        <w:tc>
          <w:tcPr>
            <w:tcW w:w="1512" w:type="dxa"/>
            <w:tcBorders>
              <w:top w:val="single" w:sz="4" w:space="0" w:color="auto"/>
              <w:left w:val="single" w:sz="4" w:space="0" w:color="auto"/>
              <w:bottom w:val="single" w:sz="4" w:space="0" w:color="auto"/>
              <w:right w:val="thickThinSmallGap" w:sz="24" w:space="0" w:color="auto"/>
            </w:tcBorders>
            <w:noWrap/>
            <w:vAlign w:val="bottom"/>
          </w:tcPr>
          <w:p w14:paraId="2CA9670C" w14:textId="77777777" w:rsidR="00A739E1" w:rsidRPr="002431C0" w:rsidRDefault="00A739E1" w:rsidP="0071296E">
            <w:pPr>
              <w:ind w:left="-111"/>
              <w:jc w:val="right"/>
              <w:rPr>
                <w:bCs/>
                <w:sz w:val="20"/>
                <w:szCs w:val="20"/>
              </w:rPr>
            </w:pPr>
            <w:r w:rsidRPr="002431C0">
              <w:rPr>
                <w:bCs/>
                <w:sz w:val="20"/>
                <w:szCs w:val="20"/>
              </w:rPr>
              <w:t xml:space="preserve">2,121 </w:t>
            </w:r>
          </w:p>
        </w:tc>
      </w:tr>
      <w:tr w:rsidR="00A739E1" w:rsidRPr="002431C0" w14:paraId="6A9D2BAC" w14:textId="77777777" w:rsidTr="0071296E">
        <w:trPr>
          <w:trHeight w:val="288"/>
        </w:trPr>
        <w:tc>
          <w:tcPr>
            <w:tcW w:w="1170" w:type="dxa"/>
            <w:tcBorders>
              <w:top w:val="single" w:sz="4" w:space="0" w:color="auto"/>
              <w:left w:val="thinThickSmallGap" w:sz="24" w:space="0" w:color="auto"/>
              <w:bottom w:val="single" w:sz="4" w:space="0" w:color="auto"/>
              <w:right w:val="single" w:sz="4" w:space="0" w:color="auto"/>
            </w:tcBorders>
            <w:shd w:val="clear" w:color="auto" w:fill="auto"/>
            <w:noWrap/>
          </w:tcPr>
          <w:p w14:paraId="15C75255" w14:textId="77777777" w:rsidR="00A739E1" w:rsidRPr="002431C0" w:rsidRDefault="00A739E1" w:rsidP="0071296E">
            <w:pPr>
              <w:ind w:left="-111"/>
              <w:rPr>
                <w:sz w:val="20"/>
                <w:szCs w:val="20"/>
              </w:rPr>
            </w:pPr>
            <w:r w:rsidRPr="002431C0">
              <w:rPr>
                <w:sz w:val="20"/>
                <w:szCs w:val="20"/>
              </w:rPr>
              <w:t>2.01</w:t>
            </w:r>
          </w:p>
        </w:tc>
        <w:tc>
          <w:tcPr>
            <w:tcW w:w="5472" w:type="dxa"/>
            <w:tcBorders>
              <w:top w:val="single" w:sz="4" w:space="0" w:color="auto"/>
              <w:left w:val="nil"/>
              <w:bottom w:val="single" w:sz="4" w:space="0" w:color="auto"/>
              <w:right w:val="nil"/>
            </w:tcBorders>
            <w:shd w:val="clear" w:color="auto" w:fill="auto"/>
            <w:noWrap/>
            <w:vAlign w:val="bottom"/>
          </w:tcPr>
          <w:p w14:paraId="1AAE4FC9" w14:textId="77777777" w:rsidR="00A739E1" w:rsidRPr="002431C0" w:rsidRDefault="00A739E1" w:rsidP="0071296E">
            <w:pPr>
              <w:ind w:left="-111"/>
              <w:rPr>
                <w:sz w:val="20"/>
                <w:szCs w:val="20"/>
              </w:rPr>
            </w:pPr>
            <w:r w:rsidRPr="002431C0">
              <w:rPr>
                <w:sz w:val="20"/>
                <w:szCs w:val="20"/>
              </w:rPr>
              <w:t>Eliminate B &amp; O Taxes</w:t>
            </w:r>
          </w:p>
        </w:tc>
        <w:tc>
          <w:tcPr>
            <w:tcW w:w="1191" w:type="dxa"/>
            <w:tcBorders>
              <w:top w:val="single" w:sz="4" w:space="0" w:color="auto"/>
              <w:left w:val="single" w:sz="4" w:space="0" w:color="auto"/>
              <w:bottom w:val="single" w:sz="4" w:space="0" w:color="auto"/>
              <w:right w:val="single" w:sz="4" w:space="0" w:color="auto"/>
            </w:tcBorders>
            <w:vAlign w:val="bottom"/>
          </w:tcPr>
          <w:p w14:paraId="2C37A1BF" w14:textId="77777777" w:rsidR="00A739E1" w:rsidRPr="002431C0" w:rsidRDefault="00A739E1" w:rsidP="0071296E">
            <w:pPr>
              <w:ind w:left="-111"/>
              <w:jc w:val="right"/>
              <w:rPr>
                <w:sz w:val="20"/>
                <w:szCs w:val="20"/>
              </w:rPr>
            </w:pPr>
            <w:r w:rsidRPr="002431C0">
              <w:rPr>
                <w:sz w:val="20"/>
                <w:szCs w:val="20"/>
              </w:rPr>
              <w:t>(57)</w:t>
            </w:r>
          </w:p>
        </w:tc>
        <w:tc>
          <w:tcPr>
            <w:tcW w:w="1386" w:type="dxa"/>
            <w:tcBorders>
              <w:top w:val="single" w:sz="4" w:space="0" w:color="auto"/>
              <w:left w:val="single" w:sz="4" w:space="0" w:color="auto"/>
              <w:bottom w:val="single" w:sz="4" w:space="0" w:color="auto"/>
              <w:right w:val="single" w:sz="4" w:space="0" w:color="auto"/>
            </w:tcBorders>
            <w:vAlign w:val="bottom"/>
          </w:tcPr>
          <w:p w14:paraId="6D44DA0D" w14:textId="77777777" w:rsidR="00A739E1" w:rsidRPr="002431C0" w:rsidRDefault="00A739E1" w:rsidP="0071296E">
            <w:pPr>
              <w:ind w:left="-111"/>
              <w:jc w:val="right"/>
              <w:rPr>
                <w:sz w:val="20"/>
                <w:szCs w:val="20"/>
              </w:rPr>
            </w:pPr>
            <w:r w:rsidRPr="002431C0">
              <w:rPr>
                <w:sz w:val="20"/>
                <w:szCs w:val="20"/>
              </w:rPr>
              <w:t xml:space="preserve">-   </w:t>
            </w:r>
          </w:p>
        </w:tc>
        <w:tc>
          <w:tcPr>
            <w:tcW w:w="1512" w:type="dxa"/>
            <w:tcBorders>
              <w:top w:val="single" w:sz="4" w:space="0" w:color="auto"/>
              <w:left w:val="single" w:sz="4" w:space="0" w:color="auto"/>
              <w:bottom w:val="single" w:sz="4" w:space="0" w:color="auto"/>
              <w:right w:val="thickThinSmallGap" w:sz="24" w:space="0" w:color="auto"/>
            </w:tcBorders>
            <w:noWrap/>
            <w:vAlign w:val="bottom"/>
          </w:tcPr>
          <w:p w14:paraId="056E115F" w14:textId="77777777" w:rsidR="00A739E1" w:rsidRPr="002431C0" w:rsidRDefault="00A739E1" w:rsidP="0071296E">
            <w:pPr>
              <w:ind w:left="-111"/>
              <w:jc w:val="right"/>
              <w:rPr>
                <w:bCs/>
                <w:sz w:val="20"/>
                <w:szCs w:val="20"/>
              </w:rPr>
            </w:pPr>
            <w:r w:rsidRPr="002431C0">
              <w:rPr>
                <w:bCs/>
                <w:sz w:val="20"/>
                <w:szCs w:val="20"/>
              </w:rPr>
              <w:t xml:space="preserve">92 </w:t>
            </w:r>
          </w:p>
        </w:tc>
      </w:tr>
      <w:tr w:rsidR="00A739E1" w:rsidRPr="002431C0" w14:paraId="240F6B19" w14:textId="77777777" w:rsidTr="0071296E">
        <w:trPr>
          <w:trHeight w:val="288"/>
        </w:trPr>
        <w:tc>
          <w:tcPr>
            <w:tcW w:w="1170" w:type="dxa"/>
            <w:tcBorders>
              <w:top w:val="single" w:sz="4" w:space="0" w:color="auto"/>
              <w:left w:val="thinThickSmallGap" w:sz="24" w:space="0" w:color="auto"/>
              <w:bottom w:val="single" w:sz="4" w:space="0" w:color="auto"/>
              <w:right w:val="single" w:sz="4" w:space="0" w:color="auto"/>
            </w:tcBorders>
            <w:shd w:val="clear" w:color="auto" w:fill="auto"/>
            <w:noWrap/>
          </w:tcPr>
          <w:p w14:paraId="2AA14E3C" w14:textId="77777777" w:rsidR="00A739E1" w:rsidRPr="002431C0" w:rsidRDefault="00A739E1" w:rsidP="0071296E">
            <w:pPr>
              <w:ind w:left="-111"/>
              <w:rPr>
                <w:sz w:val="20"/>
                <w:szCs w:val="20"/>
              </w:rPr>
            </w:pPr>
            <w:r w:rsidRPr="002431C0">
              <w:rPr>
                <w:sz w:val="20"/>
                <w:szCs w:val="20"/>
              </w:rPr>
              <w:t>2.02</w:t>
            </w:r>
          </w:p>
        </w:tc>
        <w:tc>
          <w:tcPr>
            <w:tcW w:w="5472" w:type="dxa"/>
            <w:tcBorders>
              <w:top w:val="single" w:sz="4" w:space="0" w:color="auto"/>
              <w:left w:val="nil"/>
              <w:bottom w:val="single" w:sz="4" w:space="0" w:color="auto"/>
              <w:right w:val="nil"/>
            </w:tcBorders>
            <w:shd w:val="clear" w:color="auto" w:fill="auto"/>
            <w:noWrap/>
            <w:vAlign w:val="bottom"/>
          </w:tcPr>
          <w:p w14:paraId="09432B18" w14:textId="77777777" w:rsidR="00A739E1" w:rsidRPr="002431C0" w:rsidRDefault="00A739E1" w:rsidP="0071296E">
            <w:pPr>
              <w:ind w:left="-111"/>
              <w:rPr>
                <w:sz w:val="20"/>
                <w:szCs w:val="20"/>
              </w:rPr>
            </w:pPr>
            <w:r w:rsidRPr="002431C0">
              <w:rPr>
                <w:sz w:val="20"/>
                <w:szCs w:val="20"/>
              </w:rPr>
              <w:t>Restate Property Tax</w:t>
            </w:r>
          </w:p>
        </w:tc>
        <w:tc>
          <w:tcPr>
            <w:tcW w:w="1191" w:type="dxa"/>
            <w:tcBorders>
              <w:top w:val="single" w:sz="4" w:space="0" w:color="auto"/>
              <w:left w:val="single" w:sz="4" w:space="0" w:color="auto"/>
              <w:bottom w:val="single" w:sz="4" w:space="0" w:color="auto"/>
              <w:right w:val="single" w:sz="4" w:space="0" w:color="auto"/>
            </w:tcBorders>
            <w:vAlign w:val="bottom"/>
          </w:tcPr>
          <w:p w14:paraId="70D8DC48" w14:textId="77777777" w:rsidR="00A739E1" w:rsidRPr="002431C0" w:rsidRDefault="00A739E1" w:rsidP="0071296E">
            <w:pPr>
              <w:ind w:left="-111"/>
              <w:jc w:val="right"/>
              <w:rPr>
                <w:sz w:val="20"/>
                <w:szCs w:val="20"/>
              </w:rPr>
            </w:pPr>
            <w:r w:rsidRPr="002431C0">
              <w:rPr>
                <w:sz w:val="20"/>
                <w:szCs w:val="20"/>
              </w:rPr>
              <w:t>(244)</w:t>
            </w:r>
          </w:p>
        </w:tc>
        <w:tc>
          <w:tcPr>
            <w:tcW w:w="1386" w:type="dxa"/>
            <w:tcBorders>
              <w:top w:val="single" w:sz="4" w:space="0" w:color="auto"/>
              <w:left w:val="single" w:sz="4" w:space="0" w:color="auto"/>
              <w:bottom w:val="single" w:sz="4" w:space="0" w:color="auto"/>
              <w:right w:val="single" w:sz="4" w:space="0" w:color="auto"/>
            </w:tcBorders>
            <w:vAlign w:val="bottom"/>
          </w:tcPr>
          <w:p w14:paraId="4A87A892" w14:textId="77777777" w:rsidR="00A739E1" w:rsidRPr="002431C0" w:rsidRDefault="00A739E1" w:rsidP="0071296E">
            <w:pPr>
              <w:ind w:left="-111"/>
              <w:jc w:val="right"/>
              <w:rPr>
                <w:sz w:val="20"/>
                <w:szCs w:val="20"/>
              </w:rPr>
            </w:pPr>
            <w:r w:rsidRPr="002431C0">
              <w:rPr>
                <w:sz w:val="20"/>
                <w:szCs w:val="20"/>
              </w:rPr>
              <w:t xml:space="preserve">-   </w:t>
            </w:r>
          </w:p>
        </w:tc>
        <w:tc>
          <w:tcPr>
            <w:tcW w:w="1512" w:type="dxa"/>
            <w:tcBorders>
              <w:top w:val="single" w:sz="4" w:space="0" w:color="auto"/>
              <w:left w:val="single" w:sz="4" w:space="0" w:color="auto"/>
              <w:bottom w:val="single" w:sz="4" w:space="0" w:color="auto"/>
              <w:right w:val="thickThinSmallGap" w:sz="24" w:space="0" w:color="auto"/>
            </w:tcBorders>
            <w:noWrap/>
            <w:vAlign w:val="bottom"/>
          </w:tcPr>
          <w:p w14:paraId="515AD0F7" w14:textId="77777777" w:rsidR="00A739E1" w:rsidRPr="002431C0" w:rsidRDefault="00A739E1" w:rsidP="0071296E">
            <w:pPr>
              <w:ind w:left="-111"/>
              <w:jc w:val="right"/>
              <w:rPr>
                <w:bCs/>
                <w:sz w:val="20"/>
                <w:szCs w:val="20"/>
              </w:rPr>
            </w:pPr>
            <w:r w:rsidRPr="002431C0">
              <w:rPr>
                <w:bCs/>
                <w:sz w:val="20"/>
                <w:szCs w:val="20"/>
              </w:rPr>
              <w:t xml:space="preserve">393 </w:t>
            </w:r>
          </w:p>
        </w:tc>
      </w:tr>
      <w:tr w:rsidR="00A739E1" w:rsidRPr="002431C0" w14:paraId="0FCF004D" w14:textId="77777777" w:rsidTr="0071296E">
        <w:trPr>
          <w:trHeight w:val="288"/>
        </w:trPr>
        <w:tc>
          <w:tcPr>
            <w:tcW w:w="1170" w:type="dxa"/>
            <w:tcBorders>
              <w:top w:val="single" w:sz="4" w:space="0" w:color="auto"/>
              <w:left w:val="thinThickSmallGap" w:sz="24" w:space="0" w:color="auto"/>
              <w:bottom w:val="single" w:sz="4" w:space="0" w:color="auto"/>
              <w:right w:val="single" w:sz="4" w:space="0" w:color="auto"/>
            </w:tcBorders>
            <w:shd w:val="clear" w:color="auto" w:fill="auto"/>
            <w:noWrap/>
          </w:tcPr>
          <w:p w14:paraId="7E8C6FFA" w14:textId="77777777" w:rsidR="00A739E1" w:rsidRPr="002431C0" w:rsidRDefault="00A739E1" w:rsidP="0071296E">
            <w:pPr>
              <w:ind w:left="-111"/>
              <w:rPr>
                <w:sz w:val="20"/>
                <w:szCs w:val="20"/>
              </w:rPr>
            </w:pPr>
            <w:r w:rsidRPr="002431C0">
              <w:rPr>
                <w:sz w:val="20"/>
                <w:szCs w:val="20"/>
              </w:rPr>
              <w:t>2.03</w:t>
            </w:r>
          </w:p>
        </w:tc>
        <w:tc>
          <w:tcPr>
            <w:tcW w:w="5472" w:type="dxa"/>
            <w:tcBorders>
              <w:top w:val="single" w:sz="4" w:space="0" w:color="auto"/>
              <w:left w:val="nil"/>
              <w:bottom w:val="single" w:sz="4" w:space="0" w:color="auto"/>
              <w:right w:val="nil"/>
            </w:tcBorders>
            <w:shd w:val="clear" w:color="auto" w:fill="auto"/>
            <w:noWrap/>
            <w:vAlign w:val="bottom"/>
          </w:tcPr>
          <w:p w14:paraId="6CB0B81D" w14:textId="77777777" w:rsidR="00A739E1" w:rsidRPr="002431C0" w:rsidRDefault="00A739E1" w:rsidP="0071296E">
            <w:pPr>
              <w:ind w:left="-111"/>
              <w:rPr>
                <w:sz w:val="20"/>
                <w:szCs w:val="20"/>
              </w:rPr>
            </w:pPr>
            <w:r w:rsidRPr="002431C0">
              <w:rPr>
                <w:sz w:val="20"/>
                <w:szCs w:val="20"/>
              </w:rPr>
              <w:t>Uncollectable. Expense</w:t>
            </w:r>
          </w:p>
        </w:tc>
        <w:tc>
          <w:tcPr>
            <w:tcW w:w="1191" w:type="dxa"/>
            <w:tcBorders>
              <w:top w:val="single" w:sz="4" w:space="0" w:color="auto"/>
              <w:left w:val="single" w:sz="4" w:space="0" w:color="auto"/>
              <w:bottom w:val="single" w:sz="4" w:space="0" w:color="auto"/>
              <w:right w:val="single" w:sz="4" w:space="0" w:color="auto"/>
            </w:tcBorders>
            <w:vAlign w:val="bottom"/>
          </w:tcPr>
          <w:p w14:paraId="529418C2" w14:textId="77777777" w:rsidR="00A739E1" w:rsidRPr="002431C0" w:rsidRDefault="00A739E1" w:rsidP="0071296E">
            <w:pPr>
              <w:ind w:left="-111"/>
              <w:jc w:val="right"/>
              <w:rPr>
                <w:sz w:val="20"/>
                <w:szCs w:val="20"/>
              </w:rPr>
            </w:pPr>
            <w:r w:rsidRPr="002431C0">
              <w:rPr>
                <w:sz w:val="20"/>
                <w:szCs w:val="20"/>
              </w:rPr>
              <w:t>(726)</w:t>
            </w:r>
          </w:p>
        </w:tc>
        <w:tc>
          <w:tcPr>
            <w:tcW w:w="1386" w:type="dxa"/>
            <w:tcBorders>
              <w:top w:val="single" w:sz="4" w:space="0" w:color="auto"/>
              <w:left w:val="single" w:sz="4" w:space="0" w:color="auto"/>
              <w:bottom w:val="single" w:sz="4" w:space="0" w:color="auto"/>
              <w:right w:val="single" w:sz="4" w:space="0" w:color="auto"/>
            </w:tcBorders>
            <w:vAlign w:val="bottom"/>
          </w:tcPr>
          <w:p w14:paraId="1686BDCB" w14:textId="77777777" w:rsidR="00A739E1" w:rsidRPr="002431C0" w:rsidRDefault="00A739E1" w:rsidP="0071296E">
            <w:pPr>
              <w:ind w:left="-111"/>
              <w:jc w:val="right"/>
              <w:rPr>
                <w:sz w:val="20"/>
                <w:szCs w:val="20"/>
              </w:rPr>
            </w:pPr>
            <w:r w:rsidRPr="002431C0">
              <w:rPr>
                <w:sz w:val="20"/>
                <w:szCs w:val="20"/>
              </w:rPr>
              <w:t xml:space="preserve">-   </w:t>
            </w:r>
          </w:p>
        </w:tc>
        <w:tc>
          <w:tcPr>
            <w:tcW w:w="1512" w:type="dxa"/>
            <w:tcBorders>
              <w:top w:val="single" w:sz="4" w:space="0" w:color="auto"/>
              <w:left w:val="single" w:sz="4" w:space="0" w:color="auto"/>
              <w:bottom w:val="single" w:sz="4" w:space="0" w:color="auto"/>
              <w:right w:val="thickThinSmallGap" w:sz="24" w:space="0" w:color="auto"/>
            </w:tcBorders>
            <w:noWrap/>
            <w:vAlign w:val="bottom"/>
          </w:tcPr>
          <w:p w14:paraId="4A2BDD20" w14:textId="77777777" w:rsidR="00A739E1" w:rsidRPr="002431C0" w:rsidRDefault="00A739E1" w:rsidP="0071296E">
            <w:pPr>
              <w:ind w:left="-111"/>
              <w:jc w:val="right"/>
              <w:rPr>
                <w:bCs/>
                <w:sz w:val="20"/>
                <w:szCs w:val="20"/>
              </w:rPr>
            </w:pPr>
            <w:r w:rsidRPr="002431C0">
              <w:rPr>
                <w:bCs/>
                <w:sz w:val="20"/>
                <w:szCs w:val="20"/>
              </w:rPr>
              <w:t xml:space="preserve">1,171 </w:t>
            </w:r>
          </w:p>
        </w:tc>
      </w:tr>
      <w:tr w:rsidR="00A739E1" w:rsidRPr="002431C0" w14:paraId="7DE6B220" w14:textId="77777777" w:rsidTr="0071296E">
        <w:trPr>
          <w:trHeight w:val="288"/>
        </w:trPr>
        <w:tc>
          <w:tcPr>
            <w:tcW w:w="1170" w:type="dxa"/>
            <w:tcBorders>
              <w:top w:val="single" w:sz="4" w:space="0" w:color="auto"/>
              <w:left w:val="thinThickSmallGap" w:sz="24" w:space="0" w:color="auto"/>
              <w:bottom w:val="single" w:sz="4" w:space="0" w:color="auto"/>
              <w:right w:val="single" w:sz="4" w:space="0" w:color="auto"/>
            </w:tcBorders>
            <w:shd w:val="clear" w:color="auto" w:fill="auto"/>
            <w:noWrap/>
          </w:tcPr>
          <w:p w14:paraId="134B3E20" w14:textId="77777777" w:rsidR="00A739E1" w:rsidRPr="002431C0" w:rsidRDefault="00A739E1" w:rsidP="0071296E">
            <w:pPr>
              <w:ind w:left="-111"/>
              <w:rPr>
                <w:sz w:val="20"/>
                <w:szCs w:val="20"/>
              </w:rPr>
            </w:pPr>
            <w:r w:rsidRPr="002431C0">
              <w:rPr>
                <w:sz w:val="20"/>
                <w:szCs w:val="20"/>
              </w:rPr>
              <w:t>2.04</w:t>
            </w:r>
          </w:p>
        </w:tc>
        <w:tc>
          <w:tcPr>
            <w:tcW w:w="5472" w:type="dxa"/>
            <w:tcBorders>
              <w:top w:val="single" w:sz="4" w:space="0" w:color="auto"/>
              <w:left w:val="nil"/>
              <w:bottom w:val="single" w:sz="4" w:space="0" w:color="auto"/>
              <w:right w:val="nil"/>
            </w:tcBorders>
            <w:shd w:val="clear" w:color="auto" w:fill="auto"/>
            <w:noWrap/>
            <w:vAlign w:val="bottom"/>
          </w:tcPr>
          <w:p w14:paraId="489B1549" w14:textId="77777777" w:rsidR="00A739E1" w:rsidRPr="002431C0" w:rsidRDefault="00A739E1" w:rsidP="0071296E">
            <w:pPr>
              <w:ind w:left="-111"/>
              <w:rPr>
                <w:sz w:val="20"/>
                <w:szCs w:val="20"/>
              </w:rPr>
            </w:pPr>
            <w:r w:rsidRPr="002431C0">
              <w:rPr>
                <w:sz w:val="20"/>
                <w:szCs w:val="20"/>
              </w:rPr>
              <w:t>Regulatory Expense</w:t>
            </w:r>
          </w:p>
        </w:tc>
        <w:tc>
          <w:tcPr>
            <w:tcW w:w="1191" w:type="dxa"/>
            <w:tcBorders>
              <w:top w:val="single" w:sz="4" w:space="0" w:color="auto"/>
              <w:left w:val="single" w:sz="4" w:space="0" w:color="auto"/>
              <w:bottom w:val="single" w:sz="4" w:space="0" w:color="auto"/>
              <w:right w:val="single" w:sz="4" w:space="0" w:color="auto"/>
            </w:tcBorders>
            <w:vAlign w:val="bottom"/>
          </w:tcPr>
          <w:p w14:paraId="008C6C30" w14:textId="77777777" w:rsidR="00A739E1" w:rsidRPr="002431C0" w:rsidRDefault="00A739E1" w:rsidP="0071296E">
            <w:pPr>
              <w:ind w:left="-111"/>
              <w:jc w:val="right"/>
              <w:rPr>
                <w:sz w:val="20"/>
                <w:szCs w:val="20"/>
              </w:rPr>
            </w:pPr>
            <w:r w:rsidRPr="002431C0">
              <w:rPr>
                <w:sz w:val="20"/>
                <w:szCs w:val="20"/>
              </w:rPr>
              <w:t xml:space="preserve">48 </w:t>
            </w:r>
          </w:p>
        </w:tc>
        <w:tc>
          <w:tcPr>
            <w:tcW w:w="1386" w:type="dxa"/>
            <w:tcBorders>
              <w:top w:val="single" w:sz="4" w:space="0" w:color="auto"/>
              <w:left w:val="single" w:sz="4" w:space="0" w:color="auto"/>
              <w:bottom w:val="single" w:sz="4" w:space="0" w:color="auto"/>
              <w:right w:val="single" w:sz="4" w:space="0" w:color="auto"/>
            </w:tcBorders>
            <w:vAlign w:val="bottom"/>
          </w:tcPr>
          <w:p w14:paraId="261F18AC" w14:textId="77777777" w:rsidR="00A739E1" w:rsidRPr="002431C0" w:rsidRDefault="00A739E1" w:rsidP="0071296E">
            <w:pPr>
              <w:ind w:left="-111"/>
              <w:jc w:val="right"/>
              <w:rPr>
                <w:sz w:val="20"/>
                <w:szCs w:val="20"/>
              </w:rPr>
            </w:pPr>
            <w:r w:rsidRPr="002431C0">
              <w:rPr>
                <w:sz w:val="20"/>
                <w:szCs w:val="20"/>
              </w:rPr>
              <w:t xml:space="preserve">-   </w:t>
            </w:r>
          </w:p>
        </w:tc>
        <w:tc>
          <w:tcPr>
            <w:tcW w:w="1512" w:type="dxa"/>
            <w:tcBorders>
              <w:top w:val="single" w:sz="4" w:space="0" w:color="auto"/>
              <w:left w:val="single" w:sz="4" w:space="0" w:color="auto"/>
              <w:bottom w:val="single" w:sz="4" w:space="0" w:color="auto"/>
              <w:right w:val="thickThinSmallGap" w:sz="24" w:space="0" w:color="auto"/>
            </w:tcBorders>
            <w:noWrap/>
            <w:vAlign w:val="bottom"/>
          </w:tcPr>
          <w:p w14:paraId="120250E9" w14:textId="77777777" w:rsidR="00A739E1" w:rsidRPr="002431C0" w:rsidRDefault="00A739E1" w:rsidP="0071296E">
            <w:pPr>
              <w:ind w:left="-111"/>
              <w:jc w:val="right"/>
              <w:rPr>
                <w:bCs/>
                <w:sz w:val="20"/>
                <w:szCs w:val="20"/>
              </w:rPr>
            </w:pPr>
            <w:r w:rsidRPr="002431C0">
              <w:rPr>
                <w:bCs/>
                <w:sz w:val="20"/>
                <w:szCs w:val="20"/>
              </w:rPr>
              <w:t xml:space="preserve"> (77)</w:t>
            </w:r>
          </w:p>
        </w:tc>
      </w:tr>
      <w:tr w:rsidR="00A739E1" w:rsidRPr="002431C0" w14:paraId="4B17AD17" w14:textId="77777777" w:rsidTr="0071296E">
        <w:trPr>
          <w:trHeight w:val="288"/>
        </w:trPr>
        <w:tc>
          <w:tcPr>
            <w:tcW w:w="1170" w:type="dxa"/>
            <w:tcBorders>
              <w:top w:val="single" w:sz="4" w:space="0" w:color="auto"/>
              <w:left w:val="thinThickSmallGap" w:sz="24" w:space="0" w:color="auto"/>
              <w:bottom w:val="single" w:sz="4" w:space="0" w:color="auto"/>
              <w:right w:val="single" w:sz="4" w:space="0" w:color="auto"/>
            </w:tcBorders>
            <w:shd w:val="clear" w:color="auto" w:fill="auto"/>
            <w:noWrap/>
          </w:tcPr>
          <w:p w14:paraId="164C7604" w14:textId="77777777" w:rsidR="00A739E1" w:rsidRPr="002431C0" w:rsidRDefault="00A739E1" w:rsidP="0071296E">
            <w:pPr>
              <w:ind w:left="-111"/>
              <w:rPr>
                <w:sz w:val="20"/>
                <w:szCs w:val="20"/>
              </w:rPr>
            </w:pPr>
            <w:r w:rsidRPr="002431C0">
              <w:rPr>
                <w:sz w:val="20"/>
                <w:szCs w:val="20"/>
              </w:rPr>
              <w:t>2.05</w:t>
            </w:r>
          </w:p>
        </w:tc>
        <w:tc>
          <w:tcPr>
            <w:tcW w:w="5472" w:type="dxa"/>
            <w:tcBorders>
              <w:top w:val="single" w:sz="4" w:space="0" w:color="auto"/>
              <w:left w:val="nil"/>
              <w:bottom w:val="single" w:sz="4" w:space="0" w:color="auto"/>
              <w:right w:val="nil"/>
            </w:tcBorders>
            <w:shd w:val="clear" w:color="auto" w:fill="auto"/>
            <w:noWrap/>
            <w:vAlign w:val="bottom"/>
          </w:tcPr>
          <w:p w14:paraId="0E584768" w14:textId="77777777" w:rsidR="00A739E1" w:rsidRPr="002431C0" w:rsidRDefault="00A739E1" w:rsidP="0071296E">
            <w:pPr>
              <w:ind w:left="-111"/>
              <w:rPr>
                <w:sz w:val="20"/>
                <w:szCs w:val="20"/>
              </w:rPr>
            </w:pPr>
            <w:r w:rsidRPr="002431C0">
              <w:rPr>
                <w:sz w:val="20"/>
                <w:szCs w:val="20"/>
              </w:rPr>
              <w:t>Injuries and Damages</w:t>
            </w:r>
          </w:p>
        </w:tc>
        <w:tc>
          <w:tcPr>
            <w:tcW w:w="1191" w:type="dxa"/>
            <w:tcBorders>
              <w:top w:val="single" w:sz="4" w:space="0" w:color="auto"/>
              <w:left w:val="single" w:sz="4" w:space="0" w:color="auto"/>
              <w:bottom w:val="single" w:sz="4" w:space="0" w:color="auto"/>
              <w:right w:val="single" w:sz="4" w:space="0" w:color="auto"/>
            </w:tcBorders>
            <w:vAlign w:val="bottom"/>
          </w:tcPr>
          <w:p w14:paraId="6BB80CFD" w14:textId="77777777" w:rsidR="00A739E1" w:rsidRPr="002431C0" w:rsidRDefault="00A739E1" w:rsidP="0071296E">
            <w:pPr>
              <w:ind w:left="-111"/>
              <w:jc w:val="right"/>
              <w:rPr>
                <w:sz w:val="20"/>
                <w:szCs w:val="20"/>
              </w:rPr>
            </w:pPr>
            <w:r w:rsidRPr="002431C0">
              <w:rPr>
                <w:sz w:val="20"/>
                <w:szCs w:val="20"/>
              </w:rPr>
              <w:t>(157)</w:t>
            </w:r>
          </w:p>
        </w:tc>
        <w:tc>
          <w:tcPr>
            <w:tcW w:w="1386" w:type="dxa"/>
            <w:tcBorders>
              <w:top w:val="single" w:sz="4" w:space="0" w:color="auto"/>
              <w:left w:val="single" w:sz="4" w:space="0" w:color="auto"/>
              <w:bottom w:val="single" w:sz="4" w:space="0" w:color="auto"/>
              <w:right w:val="single" w:sz="4" w:space="0" w:color="auto"/>
            </w:tcBorders>
            <w:vAlign w:val="bottom"/>
          </w:tcPr>
          <w:p w14:paraId="0ED72632" w14:textId="77777777" w:rsidR="00A739E1" w:rsidRPr="002431C0" w:rsidRDefault="00A739E1" w:rsidP="0071296E">
            <w:pPr>
              <w:ind w:left="-111"/>
              <w:jc w:val="right"/>
              <w:rPr>
                <w:sz w:val="20"/>
                <w:szCs w:val="20"/>
              </w:rPr>
            </w:pPr>
            <w:r w:rsidRPr="002431C0">
              <w:rPr>
                <w:sz w:val="20"/>
                <w:szCs w:val="20"/>
              </w:rPr>
              <w:t xml:space="preserve">-   </w:t>
            </w:r>
          </w:p>
        </w:tc>
        <w:tc>
          <w:tcPr>
            <w:tcW w:w="1512" w:type="dxa"/>
            <w:tcBorders>
              <w:top w:val="single" w:sz="4" w:space="0" w:color="auto"/>
              <w:left w:val="single" w:sz="4" w:space="0" w:color="auto"/>
              <w:bottom w:val="single" w:sz="4" w:space="0" w:color="auto"/>
              <w:right w:val="thickThinSmallGap" w:sz="24" w:space="0" w:color="auto"/>
            </w:tcBorders>
            <w:noWrap/>
            <w:vAlign w:val="bottom"/>
          </w:tcPr>
          <w:p w14:paraId="6EE10F5F" w14:textId="77777777" w:rsidR="00A739E1" w:rsidRPr="002431C0" w:rsidRDefault="00A739E1" w:rsidP="0071296E">
            <w:pPr>
              <w:ind w:left="-111"/>
              <w:jc w:val="right"/>
              <w:rPr>
                <w:bCs/>
                <w:sz w:val="20"/>
                <w:szCs w:val="20"/>
              </w:rPr>
            </w:pPr>
            <w:r w:rsidRPr="002431C0">
              <w:rPr>
                <w:bCs/>
                <w:sz w:val="20"/>
                <w:szCs w:val="20"/>
              </w:rPr>
              <w:t xml:space="preserve">253 </w:t>
            </w:r>
          </w:p>
        </w:tc>
      </w:tr>
      <w:tr w:rsidR="00A739E1" w:rsidRPr="002431C0" w14:paraId="0A249BB7" w14:textId="77777777" w:rsidTr="0071296E">
        <w:trPr>
          <w:trHeight w:val="288"/>
        </w:trPr>
        <w:tc>
          <w:tcPr>
            <w:tcW w:w="1170" w:type="dxa"/>
            <w:tcBorders>
              <w:top w:val="single" w:sz="4" w:space="0" w:color="auto"/>
              <w:left w:val="thinThickSmallGap" w:sz="24" w:space="0" w:color="auto"/>
              <w:bottom w:val="single" w:sz="4" w:space="0" w:color="auto"/>
              <w:right w:val="single" w:sz="4" w:space="0" w:color="auto"/>
            </w:tcBorders>
            <w:shd w:val="clear" w:color="auto" w:fill="auto"/>
            <w:noWrap/>
          </w:tcPr>
          <w:p w14:paraId="665835AD" w14:textId="77777777" w:rsidR="00A739E1" w:rsidRPr="002431C0" w:rsidRDefault="00A739E1" w:rsidP="0071296E">
            <w:pPr>
              <w:ind w:left="-111"/>
              <w:rPr>
                <w:sz w:val="20"/>
                <w:szCs w:val="20"/>
              </w:rPr>
            </w:pPr>
            <w:r w:rsidRPr="002431C0">
              <w:rPr>
                <w:sz w:val="20"/>
                <w:szCs w:val="20"/>
              </w:rPr>
              <w:t>2.06</w:t>
            </w:r>
          </w:p>
        </w:tc>
        <w:tc>
          <w:tcPr>
            <w:tcW w:w="5472" w:type="dxa"/>
            <w:tcBorders>
              <w:top w:val="single" w:sz="4" w:space="0" w:color="auto"/>
              <w:left w:val="nil"/>
              <w:bottom w:val="single" w:sz="4" w:space="0" w:color="auto"/>
              <w:right w:val="nil"/>
            </w:tcBorders>
            <w:shd w:val="clear" w:color="auto" w:fill="auto"/>
            <w:noWrap/>
            <w:vAlign w:val="bottom"/>
          </w:tcPr>
          <w:p w14:paraId="61102462" w14:textId="77777777" w:rsidR="00A739E1" w:rsidRPr="002431C0" w:rsidRDefault="00A739E1" w:rsidP="0071296E">
            <w:pPr>
              <w:ind w:left="-111"/>
              <w:rPr>
                <w:sz w:val="20"/>
                <w:szCs w:val="20"/>
              </w:rPr>
            </w:pPr>
            <w:r w:rsidRPr="002431C0">
              <w:rPr>
                <w:sz w:val="20"/>
                <w:szCs w:val="20"/>
              </w:rPr>
              <w:t>FIT/DFIT/ ITC/PTC Expense</w:t>
            </w:r>
          </w:p>
        </w:tc>
        <w:tc>
          <w:tcPr>
            <w:tcW w:w="1191" w:type="dxa"/>
            <w:tcBorders>
              <w:top w:val="single" w:sz="4" w:space="0" w:color="auto"/>
              <w:left w:val="single" w:sz="4" w:space="0" w:color="auto"/>
              <w:bottom w:val="single" w:sz="4" w:space="0" w:color="auto"/>
              <w:right w:val="single" w:sz="4" w:space="0" w:color="auto"/>
            </w:tcBorders>
            <w:vAlign w:val="bottom"/>
          </w:tcPr>
          <w:p w14:paraId="4350AB14" w14:textId="77777777" w:rsidR="00A739E1" w:rsidRPr="002431C0" w:rsidRDefault="00A739E1" w:rsidP="0071296E">
            <w:pPr>
              <w:ind w:left="-111"/>
              <w:jc w:val="right"/>
              <w:rPr>
                <w:sz w:val="20"/>
                <w:szCs w:val="20"/>
              </w:rPr>
            </w:pPr>
            <w:r w:rsidRPr="002431C0">
              <w:rPr>
                <w:sz w:val="20"/>
                <w:szCs w:val="20"/>
              </w:rPr>
              <w:t>(213)</w:t>
            </w:r>
          </w:p>
        </w:tc>
        <w:tc>
          <w:tcPr>
            <w:tcW w:w="1386" w:type="dxa"/>
            <w:tcBorders>
              <w:top w:val="single" w:sz="4" w:space="0" w:color="auto"/>
              <w:left w:val="single" w:sz="4" w:space="0" w:color="auto"/>
              <w:bottom w:val="single" w:sz="4" w:space="0" w:color="auto"/>
              <w:right w:val="single" w:sz="4" w:space="0" w:color="auto"/>
            </w:tcBorders>
            <w:vAlign w:val="bottom"/>
          </w:tcPr>
          <w:p w14:paraId="08BFF230" w14:textId="77777777" w:rsidR="00A739E1" w:rsidRPr="002431C0" w:rsidRDefault="00A739E1" w:rsidP="0071296E">
            <w:pPr>
              <w:ind w:left="-111"/>
              <w:jc w:val="right"/>
              <w:rPr>
                <w:sz w:val="20"/>
                <w:szCs w:val="20"/>
              </w:rPr>
            </w:pPr>
            <w:r w:rsidRPr="002431C0">
              <w:rPr>
                <w:sz w:val="20"/>
                <w:szCs w:val="20"/>
              </w:rPr>
              <w:t xml:space="preserve">-   </w:t>
            </w:r>
          </w:p>
        </w:tc>
        <w:tc>
          <w:tcPr>
            <w:tcW w:w="1512" w:type="dxa"/>
            <w:tcBorders>
              <w:top w:val="single" w:sz="4" w:space="0" w:color="auto"/>
              <w:left w:val="single" w:sz="4" w:space="0" w:color="auto"/>
              <w:bottom w:val="single" w:sz="4" w:space="0" w:color="auto"/>
              <w:right w:val="thickThinSmallGap" w:sz="24" w:space="0" w:color="auto"/>
            </w:tcBorders>
            <w:noWrap/>
            <w:vAlign w:val="bottom"/>
          </w:tcPr>
          <w:p w14:paraId="46BADFB2" w14:textId="77777777" w:rsidR="00A739E1" w:rsidRPr="002431C0" w:rsidRDefault="00A739E1" w:rsidP="0071296E">
            <w:pPr>
              <w:ind w:left="-111"/>
              <w:jc w:val="right"/>
              <w:rPr>
                <w:bCs/>
                <w:sz w:val="20"/>
                <w:szCs w:val="20"/>
              </w:rPr>
            </w:pPr>
            <w:r w:rsidRPr="002431C0">
              <w:rPr>
                <w:bCs/>
                <w:sz w:val="20"/>
                <w:szCs w:val="20"/>
              </w:rPr>
              <w:t xml:space="preserve">344 </w:t>
            </w:r>
          </w:p>
        </w:tc>
      </w:tr>
      <w:tr w:rsidR="00A739E1" w:rsidRPr="002431C0" w14:paraId="69D4AB73" w14:textId="77777777" w:rsidTr="0071296E">
        <w:trPr>
          <w:trHeight w:val="288"/>
        </w:trPr>
        <w:tc>
          <w:tcPr>
            <w:tcW w:w="1170" w:type="dxa"/>
            <w:tcBorders>
              <w:top w:val="single" w:sz="4" w:space="0" w:color="auto"/>
              <w:left w:val="thinThickSmallGap" w:sz="24" w:space="0" w:color="auto"/>
              <w:bottom w:val="single" w:sz="4" w:space="0" w:color="auto"/>
              <w:right w:val="single" w:sz="4" w:space="0" w:color="auto"/>
            </w:tcBorders>
            <w:shd w:val="clear" w:color="auto" w:fill="auto"/>
            <w:noWrap/>
          </w:tcPr>
          <w:p w14:paraId="39766C1C" w14:textId="77777777" w:rsidR="00A739E1" w:rsidRPr="002431C0" w:rsidRDefault="00A739E1" w:rsidP="0071296E">
            <w:pPr>
              <w:ind w:left="-111"/>
              <w:rPr>
                <w:sz w:val="20"/>
                <w:szCs w:val="20"/>
              </w:rPr>
            </w:pPr>
            <w:r w:rsidRPr="002431C0">
              <w:rPr>
                <w:sz w:val="20"/>
                <w:szCs w:val="20"/>
              </w:rPr>
              <w:t>2.07</w:t>
            </w:r>
          </w:p>
        </w:tc>
        <w:tc>
          <w:tcPr>
            <w:tcW w:w="5472" w:type="dxa"/>
            <w:tcBorders>
              <w:top w:val="single" w:sz="4" w:space="0" w:color="auto"/>
              <w:left w:val="nil"/>
              <w:bottom w:val="single" w:sz="4" w:space="0" w:color="auto"/>
              <w:right w:val="single" w:sz="8" w:space="0" w:color="000000"/>
            </w:tcBorders>
            <w:shd w:val="clear" w:color="auto" w:fill="auto"/>
            <w:noWrap/>
            <w:vAlign w:val="bottom"/>
          </w:tcPr>
          <w:p w14:paraId="0F1E4398" w14:textId="77777777" w:rsidR="00A739E1" w:rsidRPr="002431C0" w:rsidRDefault="00A739E1" w:rsidP="0071296E">
            <w:pPr>
              <w:ind w:left="-111"/>
              <w:rPr>
                <w:sz w:val="20"/>
                <w:szCs w:val="20"/>
              </w:rPr>
            </w:pPr>
            <w:r w:rsidRPr="002431C0">
              <w:rPr>
                <w:sz w:val="20"/>
                <w:szCs w:val="20"/>
              </w:rPr>
              <w:t>Office Space Charges to Subsidiaries</w:t>
            </w:r>
          </w:p>
        </w:tc>
        <w:tc>
          <w:tcPr>
            <w:tcW w:w="1191" w:type="dxa"/>
            <w:tcBorders>
              <w:top w:val="single" w:sz="4" w:space="0" w:color="auto"/>
              <w:left w:val="single" w:sz="4" w:space="0" w:color="auto"/>
              <w:bottom w:val="single" w:sz="4" w:space="0" w:color="auto"/>
              <w:right w:val="single" w:sz="4" w:space="0" w:color="auto"/>
            </w:tcBorders>
            <w:vAlign w:val="bottom"/>
          </w:tcPr>
          <w:p w14:paraId="1713D465" w14:textId="77777777" w:rsidR="00A739E1" w:rsidRPr="002431C0" w:rsidRDefault="00A739E1" w:rsidP="0071296E">
            <w:pPr>
              <w:ind w:left="-111"/>
              <w:jc w:val="right"/>
              <w:rPr>
                <w:sz w:val="20"/>
                <w:szCs w:val="20"/>
              </w:rPr>
            </w:pPr>
            <w:r w:rsidRPr="002431C0">
              <w:rPr>
                <w:sz w:val="20"/>
                <w:szCs w:val="20"/>
              </w:rPr>
              <w:t xml:space="preserve">10 </w:t>
            </w:r>
          </w:p>
        </w:tc>
        <w:tc>
          <w:tcPr>
            <w:tcW w:w="1386" w:type="dxa"/>
            <w:tcBorders>
              <w:top w:val="single" w:sz="4" w:space="0" w:color="auto"/>
              <w:left w:val="single" w:sz="4" w:space="0" w:color="auto"/>
              <w:bottom w:val="single" w:sz="4" w:space="0" w:color="auto"/>
              <w:right w:val="single" w:sz="4" w:space="0" w:color="auto"/>
            </w:tcBorders>
            <w:vAlign w:val="bottom"/>
          </w:tcPr>
          <w:p w14:paraId="6EC7E6AD" w14:textId="77777777" w:rsidR="00A739E1" w:rsidRPr="002431C0" w:rsidRDefault="00A739E1" w:rsidP="0071296E">
            <w:pPr>
              <w:ind w:left="-111"/>
              <w:jc w:val="right"/>
              <w:rPr>
                <w:sz w:val="20"/>
                <w:szCs w:val="20"/>
              </w:rPr>
            </w:pPr>
            <w:r w:rsidRPr="002431C0">
              <w:rPr>
                <w:sz w:val="20"/>
                <w:szCs w:val="20"/>
              </w:rPr>
              <w:t xml:space="preserve">-   </w:t>
            </w:r>
          </w:p>
        </w:tc>
        <w:tc>
          <w:tcPr>
            <w:tcW w:w="1512" w:type="dxa"/>
            <w:tcBorders>
              <w:top w:val="single" w:sz="4" w:space="0" w:color="auto"/>
              <w:left w:val="single" w:sz="4" w:space="0" w:color="auto"/>
              <w:bottom w:val="single" w:sz="4" w:space="0" w:color="auto"/>
              <w:right w:val="thickThinSmallGap" w:sz="24" w:space="0" w:color="auto"/>
            </w:tcBorders>
            <w:noWrap/>
            <w:vAlign w:val="bottom"/>
          </w:tcPr>
          <w:p w14:paraId="05E97FB3" w14:textId="77777777" w:rsidR="00A739E1" w:rsidRPr="002431C0" w:rsidRDefault="00A739E1" w:rsidP="0071296E">
            <w:pPr>
              <w:ind w:left="-111"/>
              <w:jc w:val="right"/>
              <w:rPr>
                <w:bCs/>
                <w:sz w:val="20"/>
                <w:szCs w:val="20"/>
              </w:rPr>
            </w:pPr>
            <w:r w:rsidRPr="002431C0">
              <w:rPr>
                <w:bCs/>
                <w:sz w:val="20"/>
                <w:szCs w:val="20"/>
              </w:rPr>
              <w:t>(17)</w:t>
            </w:r>
          </w:p>
        </w:tc>
      </w:tr>
      <w:tr w:rsidR="00A739E1" w:rsidRPr="002431C0" w14:paraId="2770E9DC" w14:textId="77777777" w:rsidTr="0071296E">
        <w:trPr>
          <w:trHeight w:val="288"/>
        </w:trPr>
        <w:tc>
          <w:tcPr>
            <w:tcW w:w="1170" w:type="dxa"/>
            <w:tcBorders>
              <w:top w:val="single" w:sz="4" w:space="0" w:color="auto"/>
              <w:left w:val="thinThickSmallGap" w:sz="24" w:space="0" w:color="auto"/>
              <w:bottom w:val="single" w:sz="4" w:space="0" w:color="auto"/>
              <w:right w:val="single" w:sz="4" w:space="0" w:color="auto"/>
            </w:tcBorders>
            <w:shd w:val="clear" w:color="auto" w:fill="auto"/>
            <w:noWrap/>
          </w:tcPr>
          <w:p w14:paraId="1EC2482D" w14:textId="77777777" w:rsidR="00A739E1" w:rsidRPr="002431C0" w:rsidRDefault="00A739E1" w:rsidP="0071296E">
            <w:pPr>
              <w:ind w:left="-111"/>
              <w:rPr>
                <w:sz w:val="20"/>
                <w:szCs w:val="20"/>
              </w:rPr>
            </w:pPr>
            <w:r w:rsidRPr="002431C0">
              <w:rPr>
                <w:sz w:val="20"/>
                <w:szCs w:val="20"/>
              </w:rPr>
              <w:t>2.08</w:t>
            </w:r>
          </w:p>
        </w:tc>
        <w:tc>
          <w:tcPr>
            <w:tcW w:w="5472" w:type="dxa"/>
            <w:tcBorders>
              <w:top w:val="single" w:sz="4" w:space="0" w:color="auto"/>
              <w:left w:val="nil"/>
              <w:bottom w:val="single" w:sz="4" w:space="0" w:color="auto"/>
              <w:right w:val="single" w:sz="8" w:space="0" w:color="000000"/>
            </w:tcBorders>
            <w:shd w:val="clear" w:color="auto" w:fill="auto"/>
            <w:noWrap/>
            <w:vAlign w:val="bottom"/>
          </w:tcPr>
          <w:p w14:paraId="1E57A152" w14:textId="77777777" w:rsidR="00A739E1" w:rsidRPr="002431C0" w:rsidRDefault="00A739E1" w:rsidP="0071296E">
            <w:pPr>
              <w:ind w:left="-111"/>
              <w:rPr>
                <w:sz w:val="20"/>
                <w:szCs w:val="20"/>
              </w:rPr>
            </w:pPr>
            <w:r w:rsidRPr="002431C0">
              <w:rPr>
                <w:sz w:val="20"/>
                <w:szCs w:val="20"/>
              </w:rPr>
              <w:t>Restate Excise Taxes</w:t>
            </w:r>
          </w:p>
        </w:tc>
        <w:tc>
          <w:tcPr>
            <w:tcW w:w="1191" w:type="dxa"/>
            <w:tcBorders>
              <w:top w:val="single" w:sz="4" w:space="0" w:color="auto"/>
              <w:left w:val="single" w:sz="4" w:space="0" w:color="auto"/>
              <w:bottom w:val="single" w:sz="4" w:space="0" w:color="auto"/>
              <w:right w:val="single" w:sz="4" w:space="0" w:color="auto"/>
            </w:tcBorders>
            <w:vAlign w:val="bottom"/>
          </w:tcPr>
          <w:p w14:paraId="22D47865" w14:textId="77777777" w:rsidR="00A739E1" w:rsidRPr="002431C0" w:rsidRDefault="00A739E1" w:rsidP="0071296E">
            <w:pPr>
              <w:ind w:left="-111"/>
              <w:jc w:val="right"/>
              <w:rPr>
                <w:sz w:val="20"/>
                <w:szCs w:val="20"/>
              </w:rPr>
            </w:pPr>
            <w:r w:rsidRPr="002431C0">
              <w:rPr>
                <w:sz w:val="20"/>
                <w:szCs w:val="20"/>
              </w:rPr>
              <w:t xml:space="preserve">127 </w:t>
            </w:r>
          </w:p>
        </w:tc>
        <w:tc>
          <w:tcPr>
            <w:tcW w:w="1386" w:type="dxa"/>
            <w:tcBorders>
              <w:top w:val="single" w:sz="4" w:space="0" w:color="auto"/>
              <w:left w:val="single" w:sz="4" w:space="0" w:color="auto"/>
              <w:bottom w:val="single" w:sz="4" w:space="0" w:color="auto"/>
              <w:right w:val="single" w:sz="4" w:space="0" w:color="auto"/>
            </w:tcBorders>
            <w:vAlign w:val="bottom"/>
          </w:tcPr>
          <w:p w14:paraId="4C1B779C" w14:textId="77777777" w:rsidR="00A739E1" w:rsidRPr="002431C0" w:rsidRDefault="00A739E1" w:rsidP="0071296E">
            <w:pPr>
              <w:ind w:left="-111"/>
              <w:jc w:val="right"/>
              <w:rPr>
                <w:sz w:val="20"/>
                <w:szCs w:val="20"/>
              </w:rPr>
            </w:pPr>
            <w:r w:rsidRPr="002431C0">
              <w:rPr>
                <w:sz w:val="20"/>
                <w:szCs w:val="20"/>
              </w:rPr>
              <w:t xml:space="preserve">- </w:t>
            </w:r>
          </w:p>
        </w:tc>
        <w:tc>
          <w:tcPr>
            <w:tcW w:w="1512" w:type="dxa"/>
            <w:tcBorders>
              <w:top w:val="single" w:sz="4" w:space="0" w:color="auto"/>
              <w:left w:val="single" w:sz="4" w:space="0" w:color="auto"/>
              <w:bottom w:val="single" w:sz="4" w:space="0" w:color="auto"/>
              <w:right w:val="thickThinSmallGap" w:sz="24" w:space="0" w:color="auto"/>
            </w:tcBorders>
            <w:noWrap/>
            <w:vAlign w:val="bottom"/>
          </w:tcPr>
          <w:p w14:paraId="54C868FF" w14:textId="77777777" w:rsidR="00A739E1" w:rsidRPr="002431C0" w:rsidRDefault="00A739E1" w:rsidP="0071296E">
            <w:pPr>
              <w:ind w:left="-111"/>
              <w:jc w:val="right"/>
              <w:rPr>
                <w:bCs/>
                <w:sz w:val="20"/>
                <w:szCs w:val="20"/>
              </w:rPr>
            </w:pPr>
            <w:r w:rsidRPr="002431C0">
              <w:rPr>
                <w:bCs/>
                <w:sz w:val="20"/>
                <w:szCs w:val="20"/>
              </w:rPr>
              <w:t>(204)</w:t>
            </w:r>
          </w:p>
        </w:tc>
      </w:tr>
      <w:tr w:rsidR="00A739E1" w:rsidRPr="002431C0" w14:paraId="6FEB7024" w14:textId="77777777" w:rsidTr="0071296E">
        <w:trPr>
          <w:trHeight w:val="288"/>
        </w:trPr>
        <w:tc>
          <w:tcPr>
            <w:tcW w:w="1170" w:type="dxa"/>
            <w:tcBorders>
              <w:top w:val="single" w:sz="4" w:space="0" w:color="auto"/>
              <w:left w:val="thinThickSmallGap" w:sz="24" w:space="0" w:color="auto"/>
              <w:bottom w:val="single" w:sz="4" w:space="0" w:color="auto"/>
              <w:right w:val="single" w:sz="4" w:space="0" w:color="auto"/>
            </w:tcBorders>
            <w:shd w:val="clear" w:color="auto" w:fill="auto"/>
            <w:noWrap/>
          </w:tcPr>
          <w:p w14:paraId="31C873FD" w14:textId="77777777" w:rsidR="00A739E1" w:rsidRPr="002431C0" w:rsidRDefault="00A739E1" w:rsidP="0071296E">
            <w:pPr>
              <w:ind w:left="-111"/>
              <w:rPr>
                <w:sz w:val="20"/>
                <w:szCs w:val="20"/>
              </w:rPr>
            </w:pPr>
            <w:r w:rsidRPr="002431C0">
              <w:rPr>
                <w:sz w:val="20"/>
                <w:szCs w:val="20"/>
              </w:rPr>
              <w:t>2.09</w:t>
            </w:r>
          </w:p>
        </w:tc>
        <w:tc>
          <w:tcPr>
            <w:tcW w:w="5472" w:type="dxa"/>
            <w:tcBorders>
              <w:top w:val="single" w:sz="4" w:space="0" w:color="auto"/>
              <w:left w:val="nil"/>
              <w:bottom w:val="single" w:sz="4" w:space="0" w:color="auto"/>
              <w:right w:val="nil"/>
            </w:tcBorders>
            <w:shd w:val="clear" w:color="auto" w:fill="auto"/>
            <w:noWrap/>
            <w:vAlign w:val="bottom"/>
          </w:tcPr>
          <w:p w14:paraId="72168D4B" w14:textId="77777777" w:rsidR="00A739E1" w:rsidRPr="002431C0" w:rsidRDefault="00A739E1" w:rsidP="0071296E">
            <w:pPr>
              <w:ind w:left="-111"/>
              <w:rPr>
                <w:sz w:val="20"/>
                <w:szCs w:val="20"/>
              </w:rPr>
            </w:pPr>
            <w:r w:rsidRPr="002431C0">
              <w:rPr>
                <w:sz w:val="20"/>
                <w:szCs w:val="20"/>
              </w:rPr>
              <w:t>Net Gains / Losses</w:t>
            </w:r>
          </w:p>
        </w:tc>
        <w:tc>
          <w:tcPr>
            <w:tcW w:w="1191" w:type="dxa"/>
            <w:tcBorders>
              <w:top w:val="single" w:sz="4" w:space="0" w:color="auto"/>
              <w:left w:val="single" w:sz="4" w:space="0" w:color="auto"/>
              <w:bottom w:val="single" w:sz="4" w:space="0" w:color="auto"/>
              <w:right w:val="single" w:sz="4" w:space="0" w:color="auto"/>
            </w:tcBorders>
            <w:vAlign w:val="bottom"/>
          </w:tcPr>
          <w:p w14:paraId="66377506" w14:textId="77777777" w:rsidR="00A739E1" w:rsidRPr="002431C0" w:rsidRDefault="00A739E1" w:rsidP="0071296E">
            <w:pPr>
              <w:ind w:left="-111"/>
              <w:jc w:val="right"/>
              <w:rPr>
                <w:sz w:val="20"/>
                <w:szCs w:val="20"/>
              </w:rPr>
            </w:pPr>
            <w:r w:rsidRPr="002431C0">
              <w:rPr>
                <w:sz w:val="20"/>
                <w:szCs w:val="20"/>
              </w:rPr>
              <w:t xml:space="preserve">59 </w:t>
            </w:r>
          </w:p>
        </w:tc>
        <w:tc>
          <w:tcPr>
            <w:tcW w:w="1386" w:type="dxa"/>
            <w:tcBorders>
              <w:top w:val="single" w:sz="4" w:space="0" w:color="auto"/>
              <w:left w:val="single" w:sz="4" w:space="0" w:color="auto"/>
              <w:bottom w:val="single" w:sz="4" w:space="0" w:color="auto"/>
              <w:right w:val="single" w:sz="4" w:space="0" w:color="auto"/>
            </w:tcBorders>
            <w:vAlign w:val="bottom"/>
          </w:tcPr>
          <w:p w14:paraId="78914DE7" w14:textId="77777777" w:rsidR="00A739E1" w:rsidRPr="002431C0" w:rsidRDefault="00A739E1" w:rsidP="0071296E">
            <w:pPr>
              <w:ind w:left="-111"/>
              <w:jc w:val="right"/>
              <w:rPr>
                <w:sz w:val="20"/>
                <w:szCs w:val="20"/>
              </w:rPr>
            </w:pPr>
            <w:r w:rsidRPr="002431C0">
              <w:rPr>
                <w:sz w:val="20"/>
                <w:szCs w:val="20"/>
              </w:rPr>
              <w:t xml:space="preserve">-   </w:t>
            </w:r>
          </w:p>
        </w:tc>
        <w:tc>
          <w:tcPr>
            <w:tcW w:w="1512" w:type="dxa"/>
            <w:tcBorders>
              <w:top w:val="single" w:sz="4" w:space="0" w:color="auto"/>
              <w:left w:val="single" w:sz="4" w:space="0" w:color="auto"/>
              <w:bottom w:val="single" w:sz="4" w:space="0" w:color="auto"/>
              <w:right w:val="thickThinSmallGap" w:sz="24" w:space="0" w:color="auto"/>
            </w:tcBorders>
            <w:noWrap/>
            <w:vAlign w:val="bottom"/>
          </w:tcPr>
          <w:p w14:paraId="7966983E" w14:textId="77777777" w:rsidR="00A739E1" w:rsidRPr="002431C0" w:rsidRDefault="00A739E1" w:rsidP="0071296E">
            <w:pPr>
              <w:ind w:left="-111"/>
              <w:jc w:val="right"/>
              <w:rPr>
                <w:bCs/>
                <w:sz w:val="20"/>
                <w:szCs w:val="20"/>
              </w:rPr>
            </w:pPr>
            <w:r w:rsidRPr="002431C0">
              <w:rPr>
                <w:bCs/>
                <w:sz w:val="20"/>
                <w:szCs w:val="20"/>
              </w:rPr>
              <w:t>(94)</w:t>
            </w:r>
          </w:p>
        </w:tc>
      </w:tr>
      <w:tr w:rsidR="00A739E1" w:rsidRPr="002431C0" w14:paraId="0625B451" w14:textId="77777777" w:rsidTr="0071296E">
        <w:trPr>
          <w:trHeight w:val="288"/>
        </w:trPr>
        <w:tc>
          <w:tcPr>
            <w:tcW w:w="1170" w:type="dxa"/>
            <w:tcBorders>
              <w:top w:val="single" w:sz="4" w:space="0" w:color="auto"/>
              <w:left w:val="thinThickSmallGap" w:sz="24" w:space="0" w:color="auto"/>
              <w:bottom w:val="single" w:sz="4" w:space="0" w:color="auto"/>
              <w:right w:val="single" w:sz="4" w:space="0" w:color="auto"/>
            </w:tcBorders>
            <w:shd w:val="clear" w:color="auto" w:fill="auto"/>
            <w:noWrap/>
          </w:tcPr>
          <w:p w14:paraId="363A0B64" w14:textId="77777777" w:rsidR="00A739E1" w:rsidRPr="002431C0" w:rsidRDefault="00A739E1" w:rsidP="0071296E">
            <w:pPr>
              <w:ind w:left="-111"/>
              <w:rPr>
                <w:sz w:val="20"/>
                <w:szCs w:val="20"/>
              </w:rPr>
            </w:pPr>
            <w:r w:rsidRPr="002431C0">
              <w:rPr>
                <w:sz w:val="20"/>
                <w:szCs w:val="20"/>
              </w:rPr>
              <w:t>2.10</w:t>
            </w:r>
          </w:p>
        </w:tc>
        <w:tc>
          <w:tcPr>
            <w:tcW w:w="5472" w:type="dxa"/>
            <w:tcBorders>
              <w:top w:val="nil"/>
              <w:left w:val="nil"/>
              <w:bottom w:val="single" w:sz="4" w:space="0" w:color="auto"/>
              <w:right w:val="single" w:sz="4" w:space="0" w:color="auto"/>
            </w:tcBorders>
            <w:shd w:val="clear" w:color="auto" w:fill="auto"/>
            <w:noWrap/>
            <w:vAlign w:val="bottom"/>
          </w:tcPr>
          <w:p w14:paraId="6BD3CDF9" w14:textId="77777777" w:rsidR="00A739E1" w:rsidRPr="002431C0" w:rsidRDefault="00A739E1" w:rsidP="0071296E">
            <w:pPr>
              <w:ind w:left="-111"/>
              <w:rPr>
                <w:sz w:val="20"/>
                <w:szCs w:val="20"/>
              </w:rPr>
            </w:pPr>
            <w:r w:rsidRPr="002431C0">
              <w:rPr>
                <w:sz w:val="20"/>
                <w:szCs w:val="20"/>
              </w:rPr>
              <w:t>Weather Normalization</w:t>
            </w:r>
          </w:p>
        </w:tc>
        <w:tc>
          <w:tcPr>
            <w:tcW w:w="1191" w:type="dxa"/>
            <w:tcBorders>
              <w:top w:val="single" w:sz="4" w:space="0" w:color="auto"/>
              <w:left w:val="single" w:sz="4" w:space="0" w:color="auto"/>
              <w:bottom w:val="single" w:sz="4" w:space="0" w:color="auto"/>
              <w:right w:val="single" w:sz="4" w:space="0" w:color="auto"/>
            </w:tcBorders>
            <w:vAlign w:val="bottom"/>
          </w:tcPr>
          <w:p w14:paraId="3791B0B6" w14:textId="77777777" w:rsidR="00A739E1" w:rsidRPr="002431C0" w:rsidRDefault="00A739E1" w:rsidP="0071296E">
            <w:pPr>
              <w:ind w:left="-111"/>
              <w:jc w:val="right"/>
              <w:rPr>
                <w:sz w:val="20"/>
                <w:szCs w:val="20"/>
              </w:rPr>
            </w:pPr>
            <w:r w:rsidRPr="002431C0">
              <w:rPr>
                <w:sz w:val="20"/>
                <w:szCs w:val="20"/>
              </w:rPr>
              <w:t>(4,375)</w:t>
            </w:r>
          </w:p>
        </w:tc>
        <w:tc>
          <w:tcPr>
            <w:tcW w:w="1386" w:type="dxa"/>
            <w:tcBorders>
              <w:top w:val="single" w:sz="4" w:space="0" w:color="auto"/>
              <w:left w:val="single" w:sz="4" w:space="0" w:color="auto"/>
              <w:bottom w:val="single" w:sz="4" w:space="0" w:color="auto"/>
              <w:right w:val="single" w:sz="4" w:space="0" w:color="auto"/>
            </w:tcBorders>
            <w:vAlign w:val="bottom"/>
          </w:tcPr>
          <w:p w14:paraId="6B34F548" w14:textId="77777777" w:rsidR="00A739E1" w:rsidRPr="002431C0" w:rsidRDefault="00A739E1" w:rsidP="0071296E">
            <w:pPr>
              <w:ind w:left="-111"/>
              <w:jc w:val="right"/>
              <w:rPr>
                <w:sz w:val="20"/>
                <w:szCs w:val="20"/>
              </w:rPr>
            </w:pPr>
            <w:r w:rsidRPr="002431C0">
              <w:rPr>
                <w:sz w:val="20"/>
                <w:szCs w:val="20"/>
              </w:rPr>
              <w:t xml:space="preserve">-   </w:t>
            </w:r>
          </w:p>
        </w:tc>
        <w:tc>
          <w:tcPr>
            <w:tcW w:w="1512" w:type="dxa"/>
            <w:tcBorders>
              <w:top w:val="single" w:sz="4" w:space="0" w:color="auto"/>
              <w:left w:val="single" w:sz="4" w:space="0" w:color="auto"/>
              <w:bottom w:val="single" w:sz="4" w:space="0" w:color="auto"/>
              <w:right w:val="thickThinSmallGap" w:sz="24" w:space="0" w:color="auto"/>
            </w:tcBorders>
            <w:noWrap/>
            <w:vAlign w:val="bottom"/>
          </w:tcPr>
          <w:p w14:paraId="69B2A9B7" w14:textId="77777777" w:rsidR="00A739E1" w:rsidRPr="002431C0" w:rsidRDefault="00A739E1" w:rsidP="0071296E">
            <w:pPr>
              <w:ind w:left="-111"/>
              <w:jc w:val="right"/>
              <w:rPr>
                <w:bCs/>
                <w:sz w:val="20"/>
                <w:szCs w:val="20"/>
              </w:rPr>
            </w:pPr>
            <w:r w:rsidRPr="002431C0">
              <w:rPr>
                <w:bCs/>
                <w:sz w:val="20"/>
                <w:szCs w:val="20"/>
              </w:rPr>
              <w:t xml:space="preserve">7,056 </w:t>
            </w:r>
          </w:p>
        </w:tc>
      </w:tr>
      <w:tr w:rsidR="00A739E1" w:rsidRPr="002431C0" w14:paraId="6F53C5FD" w14:textId="77777777" w:rsidTr="0071296E">
        <w:trPr>
          <w:trHeight w:val="288"/>
        </w:trPr>
        <w:tc>
          <w:tcPr>
            <w:tcW w:w="1170" w:type="dxa"/>
            <w:tcBorders>
              <w:top w:val="single" w:sz="4" w:space="0" w:color="auto"/>
              <w:left w:val="thinThickSmallGap" w:sz="24" w:space="0" w:color="auto"/>
              <w:bottom w:val="single" w:sz="4" w:space="0" w:color="auto"/>
              <w:right w:val="single" w:sz="4" w:space="0" w:color="auto"/>
            </w:tcBorders>
            <w:shd w:val="clear" w:color="auto" w:fill="auto"/>
            <w:noWrap/>
          </w:tcPr>
          <w:p w14:paraId="6F832AF0" w14:textId="77777777" w:rsidR="00A739E1" w:rsidRPr="002431C0" w:rsidRDefault="00A739E1" w:rsidP="0071296E">
            <w:pPr>
              <w:ind w:left="-111"/>
              <w:rPr>
                <w:sz w:val="20"/>
                <w:szCs w:val="20"/>
              </w:rPr>
            </w:pPr>
            <w:r w:rsidRPr="002431C0">
              <w:rPr>
                <w:sz w:val="20"/>
                <w:szCs w:val="20"/>
              </w:rPr>
              <w:t>2.11</w:t>
            </w:r>
          </w:p>
        </w:tc>
        <w:tc>
          <w:tcPr>
            <w:tcW w:w="5472" w:type="dxa"/>
            <w:tcBorders>
              <w:top w:val="single" w:sz="4" w:space="0" w:color="auto"/>
              <w:left w:val="nil"/>
              <w:bottom w:val="single" w:sz="4" w:space="0" w:color="auto"/>
              <w:right w:val="single" w:sz="8" w:space="0" w:color="000000"/>
            </w:tcBorders>
            <w:shd w:val="clear" w:color="auto" w:fill="auto"/>
            <w:noWrap/>
            <w:vAlign w:val="bottom"/>
          </w:tcPr>
          <w:p w14:paraId="16133D24" w14:textId="77777777" w:rsidR="00A739E1" w:rsidRPr="002431C0" w:rsidRDefault="00A739E1" w:rsidP="0071296E">
            <w:pPr>
              <w:ind w:left="-111"/>
              <w:rPr>
                <w:sz w:val="20"/>
                <w:szCs w:val="20"/>
              </w:rPr>
            </w:pPr>
            <w:r w:rsidRPr="002431C0">
              <w:rPr>
                <w:sz w:val="20"/>
                <w:szCs w:val="20"/>
              </w:rPr>
              <w:t>Eliminate Adder Schedules</w:t>
            </w:r>
          </w:p>
        </w:tc>
        <w:tc>
          <w:tcPr>
            <w:tcW w:w="1191" w:type="dxa"/>
            <w:tcBorders>
              <w:top w:val="single" w:sz="4" w:space="0" w:color="auto"/>
              <w:left w:val="single" w:sz="4" w:space="0" w:color="auto"/>
              <w:bottom w:val="single" w:sz="4" w:space="0" w:color="auto"/>
              <w:right w:val="single" w:sz="4" w:space="0" w:color="auto"/>
            </w:tcBorders>
            <w:vAlign w:val="bottom"/>
          </w:tcPr>
          <w:p w14:paraId="7B1D3C9B" w14:textId="77777777" w:rsidR="00A739E1" w:rsidRPr="002431C0" w:rsidRDefault="00A739E1" w:rsidP="0071296E">
            <w:pPr>
              <w:ind w:left="-111"/>
              <w:jc w:val="right"/>
              <w:rPr>
                <w:sz w:val="20"/>
                <w:szCs w:val="20"/>
              </w:rPr>
            </w:pPr>
            <w:r w:rsidRPr="002431C0">
              <w:rPr>
                <w:sz w:val="20"/>
                <w:szCs w:val="20"/>
              </w:rPr>
              <w:t>-</w:t>
            </w:r>
          </w:p>
        </w:tc>
        <w:tc>
          <w:tcPr>
            <w:tcW w:w="1386" w:type="dxa"/>
            <w:tcBorders>
              <w:top w:val="single" w:sz="4" w:space="0" w:color="auto"/>
              <w:left w:val="single" w:sz="4" w:space="0" w:color="auto"/>
              <w:bottom w:val="single" w:sz="4" w:space="0" w:color="auto"/>
              <w:right w:val="single" w:sz="4" w:space="0" w:color="auto"/>
            </w:tcBorders>
            <w:vAlign w:val="bottom"/>
          </w:tcPr>
          <w:p w14:paraId="2BAAFECB" w14:textId="77777777" w:rsidR="00A739E1" w:rsidRPr="002431C0" w:rsidRDefault="00A739E1" w:rsidP="0071296E">
            <w:pPr>
              <w:ind w:left="-111"/>
              <w:jc w:val="right"/>
              <w:rPr>
                <w:sz w:val="20"/>
                <w:szCs w:val="20"/>
              </w:rPr>
            </w:pPr>
            <w:r w:rsidRPr="002431C0">
              <w:rPr>
                <w:sz w:val="20"/>
                <w:szCs w:val="20"/>
              </w:rPr>
              <w:t xml:space="preserve">-   </w:t>
            </w:r>
          </w:p>
        </w:tc>
        <w:tc>
          <w:tcPr>
            <w:tcW w:w="1512" w:type="dxa"/>
            <w:tcBorders>
              <w:top w:val="single" w:sz="4" w:space="0" w:color="auto"/>
              <w:left w:val="single" w:sz="4" w:space="0" w:color="auto"/>
              <w:bottom w:val="single" w:sz="4" w:space="0" w:color="auto"/>
              <w:right w:val="thickThinSmallGap" w:sz="24" w:space="0" w:color="auto"/>
            </w:tcBorders>
            <w:noWrap/>
            <w:vAlign w:val="bottom"/>
          </w:tcPr>
          <w:p w14:paraId="59FD8E95" w14:textId="77777777" w:rsidR="00A739E1" w:rsidRPr="002431C0" w:rsidRDefault="00A739E1" w:rsidP="0071296E">
            <w:pPr>
              <w:ind w:left="-111"/>
              <w:jc w:val="right"/>
              <w:rPr>
                <w:bCs/>
                <w:sz w:val="20"/>
                <w:szCs w:val="20"/>
              </w:rPr>
            </w:pPr>
            <w:r w:rsidRPr="002431C0">
              <w:rPr>
                <w:bCs/>
                <w:sz w:val="20"/>
                <w:szCs w:val="20"/>
              </w:rPr>
              <w:t>-</w:t>
            </w:r>
          </w:p>
        </w:tc>
      </w:tr>
      <w:tr w:rsidR="00A739E1" w:rsidRPr="002431C0" w14:paraId="0F301736" w14:textId="77777777" w:rsidTr="0071296E">
        <w:trPr>
          <w:trHeight w:val="288"/>
        </w:trPr>
        <w:tc>
          <w:tcPr>
            <w:tcW w:w="1170" w:type="dxa"/>
            <w:tcBorders>
              <w:top w:val="single" w:sz="4" w:space="0" w:color="auto"/>
              <w:left w:val="thinThickSmallGap" w:sz="24" w:space="0" w:color="auto"/>
              <w:bottom w:val="single" w:sz="4" w:space="0" w:color="auto"/>
              <w:right w:val="single" w:sz="4" w:space="0" w:color="auto"/>
            </w:tcBorders>
            <w:shd w:val="clear" w:color="auto" w:fill="auto"/>
            <w:noWrap/>
          </w:tcPr>
          <w:p w14:paraId="7BDF6F45" w14:textId="77777777" w:rsidR="00A739E1" w:rsidRPr="002431C0" w:rsidRDefault="00A739E1" w:rsidP="0071296E">
            <w:pPr>
              <w:ind w:left="-111"/>
              <w:rPr>
                <w:sz w:val="20"/>
                <w:szCs w:val="20"/>
              </w:rPr>
            </w:pPr>
            <w:r w:rsidRPr="002431C0">
              <w:rPr>
                <w:sz w:val="20"/>
                <w:szCs w:val="20"/>
              </w:rPr>
              <w:t>2.13</w:t>
            </w:r>
          </w:p>
        </w:tc>
        <w:tc>
          <w:tcPr>
            <w:tcW w:w="5472" w:type="dxa"/>
            <w:tcBorders>
              <w:top w:val="nil"/>
              <w:left w:val="nil"/>
              <w:bottom w:val="single" w:sz="4" w:space="0" w:color="auto"/>
              <w:right w:val="single" w:sz="4" w:space="0" w:color="auto"/>
            </w:tcBorders>
            <w:shd w:val="clear" w:color="auto" w:fill="auto"/>
            <w:noWrap/>
            <w:vAlign w:val="bottom"/>
          </w:tcPr>
          <w:p w14:paraId="45BCADB7" w14:textId="77777777" w:rsidR="00A739E1" w:rsidRPr="002431C0" w:rsidRDefault="00A739E1" w:rsidP="0071296E">
            <w:pPr>
              <w:ind w:left="-111"/>
              <w:rPr>
                <w:sz w:val="20"/>
                <w:szCs w:val="20"/>
              </w:rPr>
            </w:pPr>
            <w:r w:rsidRPr="002431C0">
              <w:rPr>
                <w:sz w:val="20"/>
                <w:szCs w:val="20"/>
              </w:rPr>
              <w:t>Eliminate WA Power Cost Defer</w:t>
            </w:r>
          </w:p>
        </w:tc>
        <w:tc>
          <w:tcPr>
            <w:tcW w:w="1191" w:type="dxa"/>
            <w:tcBorders>
              <w:top w:val="single" w:sz="4" w:space="0" w:color="auto"/>
              <w:left w:val="single" w:sz="4" w:space="0" w:color="auto"/>
              <w:bottom w:val="single" w:sz="4" w:space="0" w:color="auto"/>
              <w:right w:val="single" w:sz="4" w:space="0" w:color="auto"/>
            </w:tcBorders>
            <w:vAlign w:val="bottom"/>
          </w:tcPr>
          <w:p w14:paraId="726124DD" w14:textId="77777777" w:rsidR="00A739E1" w:rsidRPr="002431C0" w:rsidRDefault="00A739E1" w:rsidP="0071296E">
            <w:pPr>
              <w:ind w:left="-111"/>
              <w:jc w:val="right"/>
              <w:rPr>
                <w:sz w:val="20"/>
                <w:szCs w:val="20"/>
              </w:rPr>
            </w:pPr>
            <w:r w:rsidRPr="002431C0">
              <w:rPr>
                <w:sz w:val="20"/>
                <w:szCs w:val="20"/>
              </w:rPr>
              <w:t xml:space="preserve">1,703 </w:t>
            </w:r>
          </w:p>
        </w:tc>
        <w:tc>
          <w:tcPr>
            <w:tcW w:w="1386" w:type="dxa"/>
            <w:tcBorders>
              <w:top w:val="single" w:sz="4" w:space="0" w:color="auto"/>
              <w:left w:val="single" w:sz="4" w:space="0" w:color="auto"/>
              <w:bottom w:val="single" w:sz="4" w:space="0" w:color="auto"/>
              <w:right w:val="single" w:sz="4" w:space="0" w:color="auto"/>
            </w:tcBorders>
            <w:vAlign w:val="bottom"/>
          </w:tcPr>
          <w:p w14:paraId="13D014E5" w14:textId="77777777" w:rsidR="00A739E1" w:rsidRPr="002431C0" w:rsidRDefault="00A739E1" w:rsidP="0071296E">
            <w:pPr>
              <w:ind w:left="-111"/>
              <w:jc w:val="right"/>
              <w:rPr>
                <w:sz w:val="20"/>
                <w:szCs w:val="20"/>
              </w:rPr>
            </w:pPr>
            <w:r w:rsidRPr="002431C0">
              <w:rPr>
                <w:sz w:val="20"/>
                <w:szCs w:val="20"/>
              </w:rPr>
              <w:t xml:space="preserve">-   </w:t>
            </w:r>
          </w:p>
        </w:tc>
        <w:tc>
          <w:tcPr>
            <w:tcW w:w="1512" w:type="dxa"/>
            <w:tcBorders>
              <w:top w:val="single" w:sz="4" w:space="0" w:color="auto"/>
              <w:left w:val="single" w:sz="4" w:space="0" w:color="auto"/>
              <w:bottom w:val="single" w:sz="4" w:space="0" w:color="auto"/>
              <w:right w:val="thickThinSmallGap" w:sz="24" w:space="0" w:color="auto"/>
            </w:tcBorders>
            <w:noWrap/>
            <w:vAlign w:val="bottom"/>
          </w:tcPr>
          <w:p w14:paraId="30BE4A2B" w14:textId="77777777" w:rsidR="00A739E1" w:rsidRPr="002431C0" w:rsidRDefault="00A739E1" w:rsidP="0071296E">
            <w:pPr>
              <w:ind w:left="-111"/>
              <w:jc w:val="right"/>
              <w:rPr>
                <w:bCs/>
                <w:sz w:val="20"/>
                <w:szCs w:val="20"/>
              </w:rPr>
            </w:pPr>
            <w:r w:rsidRPr="002431C0">
              <w:rPr>
                <w:bCs/>
                <w:sz w:val="20"/>
                <w:szCs w:val="20"/>
              </w:rPr>
              <w:t>(2,747)</w:t>
            </w:r>
          </w:p>
        </w:tc>
      </w:tr>
      <w:tr w:rsidR="00A739E1" w:rsidRPr="002431C0" w14:paraId="27B82AA3" w14:textId="77777777" w:rsidTr="0071296E">
        <w:trPr>
          <w:trHeight w:val="288"/>
        </w:trPr>
        <w:tc>
          <w:tcPr>
            <w:tcW w:w="1170" w:type="dxa"/>
            <w:tcBorders>
              <w:top w:val="single" w:sz="4" w:space="0" w:color="auto"/>
              <w:left w:val="thinThickSmallGap" w:sz="24" w:space="0" w:color="auto"/>
              <w:bottom w:val="single" w:sz="4" w:space="0" w:color="auto"/>
              <w:right w:val="single" w:sz="4" w:space="0" w:color="auto"/>
            </w:tcBorders>
            <w:shd w:val="clear" w:color="auto" w:fill="auto"/>
            <w:noWrap/>
          </w:tcPr>
          <w:p w14:paraId="42F71FF3" w14:textId="77777777" w:rsidR="00A739E1" w:rsidRPr="002431C0" w:rsidRDefault="00A739E1" w:rsidP="0071296E">
            <w:pPr>
              <w:ind w:left="-111"/>
              <w:rPr>
                <w:sz w:val="20"/>
                <w:szCs w:val="20"/>
              </w:rPr>
            </w:pPr>
            <w:r w:rsidRPr="002431C0">
              <w:rPr>
                <w:sz w:val="20"/>
                <w:szCs w:val="20"/>
              </w:rPr>
              <w:t>2.14</w:t>
            </w:r>
          </w:p>
        </w:tc>
        <w:tc>
          <w:tcPr>
            <w:tcW w:w="5472" w:type="dxa"/>
            <w:tcBorders>
              <w:top w:val="nil"/>
              <w:left w:val="nil"/>
              <w:bottom w:val="single" w:sz="4" w:space="0" w:color="auto"/>
              <w:right w:val="single" w:sz="4" w:space="0" w:color="auto"/>
            </w:tcBorders>
            <w:shd w:val="clear" w:color="auto" w:fill="auto"/>
            <w:noWrap/>
            <w:vAlign w:val="bottom"/>
          </w:tcPr>
          <w:p w14:paraId="1D9182FF" w14:textId="77777777" w:rsidR="00A739E1" w:rsidRPr="002431C0" w:rsidRDefault="00A739E1" w:rsidP="0071296E">
            <w:pPr>
              <w:ind w:left="-111"/>
              <w:rPr>
                <w:sz w:val="20"/>
                <w:szCs w:val="20"/>
              </w:rPr>
            </w:pPr>
            <w:r w:rsidRPr="002431C0">
              <w:rPr>
                <w:sz w:val="20"/>
                <w:szCs w:val="20"/>
              </w:rPr>
              <w:t>Nez Perce Settlement Adjustment</w:t>
            </w:r>
          </w:p>
        </w:tc>
        <w:tc>
          <w:tcPr>
            <w:tcW w:w="1191" w:type="dxa"/>
            <w:tcBorders>
              <w:top w:val="single" w:sz="4" w:space="0" w:color="auto"/>
              <w:left w:val="single" w:sz="4" w:space="0" w:color="auto"/>
              <w:bottom w:val="single" w:sz="4" w:space="0" w:color="auto"/>
              <w:right w:val="single" w:sz="4" w:space="0" w:color="auto"/>
            </w:tcBorders>
            <w:vAlign w:val="bottom"/>
          </w:tcPr>
          <w:p w14:paraId="725B42AE" w14:textId="77777777" w:rsidR="00A739E1" w:rsidRPr="002431C0" w:rsidRDefault="00A739E1" w:rsidP="0071296E">
            <w:pPr>
              <w:ind w:left="-111"/>
              <w:jc w:val="right"/>
              <w:rPr>
                <w:sz w:val="20"/>
                <w:szCs w:val="20"/>
              </w:rPr>
            </w:pPr>
            <w:r w:rsidRPr="002431C0">
              <w:rPr>
                <w:sz w:val="20"/>
                <w:szCs w:val="20"/>
              </w:rPr>
              <w:t>(9)</w:t>
            </w:r>
          </w:p>
        </w:tc>
        <w:tc>
          <w:tcPr>
            <w:tcW w:w="1386" w:type="dxa"/>
            <w:tcBorders>
              <w:top w:val="single" w:sz="4" w:space="0" w:color="auto"/>
              <w:left w:val="single" w:sz="4" w:space="0" w:color="auto"/>
              <w:bottom w:val="single" w:sz="4" w:space="0" w:color="auto"/>
              <w:right w:val="single" w:sz="4" w:space="0" w:color="auto"/>
            </w:tcBorders>
            <w:vAlign w:val="bottom"/>
          </w:tcPr>
          <w:p w14:paraId="321A0971" w14:textId="77777777" w:rsidR="00A739E1" w:rsidRPr="002431C0" w:rsidRDefault="00A739E1" w:rsidP="0071296E">
            <w:pPr>
              <w:ind w:left="-111"/>
              <w:jc w:val="right"/>
              <w:rPr>
                <w:sz w:val="20"/>
                <w:szCs w:val="20"/>
              </w:rPr>
            </w:pPr>
            <w:r w:rsidRPr="002431C0">
              <w:rPr>
                <w:sz w:val="20"/>
                <w:szCs w:val="20"/>
              </w:rPr>
              <w:t xml:space="preserve">-   </w:t>
            </w:r>
          </w:p>
        </w:tc>
        <w:tc>
          <w:tcPr>
            <w:tcW w:w="1512" w:type="dxa"/>
            <w:tcBorders>
              <w:top w:val="single" w:sz="4" w:space="0" w:color="auto"/>
              <w:left w:val="single" w:sz="4" w:space="0" w:color="auto"/>
              <w:bottom w:val="single" w:sz="4" w:space="0" w:color="auto"/>
              <w:right w:val="thickThinSmallGap" w:sz="24" w:space="0" w:color="auto"/>
            </w:tcBorders>
            <w:noWrap/>
            <w:vAlign w:val="bottom"/>
          </w:tcPr>
          <w:p w14:paraId="2BE9142F" w14:textId="77777777" w:rsidR="00A739E1" w:rsidRPr="002431C0" w:rsidRDefault="00A739E1" w:rsidP="0071296E">
            <w:pPr>
              <w:ind w:left="-111"/>
              <w:jc w:val="right"/>
              <w:rPr>
                <w:bCs/>
                <w:sz w:val="20"/>
                <w:szCs w:val="20"/>
              </w:rPr>
            </w:pPr>
            <w:r w:rsidRPr="002431C0">
              <w:rPr>
                <w:bCs/>
                <w:sz w:val="20"/>
                <w:szCs w:val="20"/>
              </w:rPr>
              <w:t xml:space="preserve">15 </w:t>
            </w:r>
          </w:p>
        </w:tc>
      </w:tr>
      <w:tr w:rsidR="00A739E1" w:rsidRPr="002431C0" w14:paraId="64C5B469" w14:textId="77777777" w:rsidTr="0071296E">
        <w:trPr>
          <w:trHeight w:val="288"/>
        </w:trPr>
        <w:tc>
          <w:tcPr>
            <w:tcW w:w="1170" w:type="dxa"/>
            <w:tcBorders>
              <w:top w:val="single" w:sz="4" w:space="0" w:color="auto"/>
              <w:left w:val="thinThickSmallGap" w:sz="24" w:space="0" w:color="auto"/>
              <w:bottom w:val="single" w:sz="4" w:space="0" w:color="auto"/>
              <w:right w:val="single" w:sz="4" w:space="0" w:color="auto"/>
            </w:tcBorders>
            <w:shd w:val="clear" w:color="auto" w:fill="auto"/>
            <w:noWrap/>
          </w:tcPr>
          <w:p w14:paraId="5F4887B4" w14:textId="77777777" w:rsidR="00A739E1" w:rsidRPr="002431C0" w:rsidRDefault="00A739E1" w:rsidP="0071296E">
            <w:pPr>
              <w:ind w:left="-111"/>
              <w:rPr>
                <w:sz w:val="20"/>
                <w:szCs w:val="20"/>
              </w:rPr>
            </w:pPr>
            <w:r w:rsidRPr="002431C0">
              <w:rPr>
                <w:sz w:val="20"/>
                <w:szCs w:val="20"/>
              </w:rPr>
              <w:t>2.15</w:t>
            </w:r>
          </w:p>
        </w:tc>
        <w:tc>
          <w:tcPr>
            <w:tcW w:w="5472" w:type="dxa"/>
            <w:tcBorders>
              <w:top w:val="single" w:sz="4" w:space="0" w:color="auto"/>
              <w:left w:val="nil"/>
              <w:bottom w:val="single" w:sz="4" w:space="0" w:color="auto"/>
              <w:right w:val="single" w:sz="8" w:space="0" w:color="000000"/>
            </w:tcBorders>
            <w:shd w:val="clear" w:color="auto" w:fill="auto"/>
            <w:noWrap/>
            <w:vAlign w:val="bottom"/>
          </w:tcPr>
          <w:p w14:paraId="7C8AF215" w14:textId="77777777" w:rsidR="00A739E1" w:rsidRPr="002431C0" w:rsidRDefault="00A739E1" w:rsidP="0071296E">
            <w:pPr>
              <w:ind w:left="-111"/>
              <w:rPr>
                <w:sz w:val="20"/>
                <w:szCs w:val="20"/>
              </w:rPr>
            </w:pPr>
            <w:r w:rsidRPr="002431C0">
              <w:rPr>
                <w:sz w:val="20"/>
                <w:szCs w:val="20"/>
              </w:rPr>
              <w:t>Restate Debt Interest</w:t>
            </w:r>
          </w:p>
        </w:tc>
        <w:tc>
          <w:tcPr>
            <w:tcW w:w="1191" w:type="dxa"/>
            <w:tcBorders>
              <w:top w:val="single" w:sz="4" w:space="0" w:color="auto"/>
              <w:left w:val="single" w:sz="4" w:space="0" w:color="auto"/>
              <w:bottom w:val="single" w:sz="4" w:space="0" w:color="auto"/>
              <w:right w:val="single" w:sz="4" w:space="0" w:color="auto"/>
            </w:tcBorders>
            <w:vAlign w:val="bottom"/>
          </w:tcPr>
          <w:p w14:paraId="79760CD5" w14:textId="77777777" w:rsidR="00A739E1" w:rsidRPr="002431C0" w:rsidRDefault="00A739E1" w:rsidP="0071296E">
            <w:pPr>
              <w:ind w:left="-111"/>
              <w:jc w:val="right"/>
              <w:rPr>
                <w:sz w:val="20"/>
                <w:szCs w:val="20"/>
              </w:rPr>
            </w:pPr>
            <w:r w:rsidRPr="002431C0">
              <w:rPr>
                <w:sz w:val="20"/>
                <w:szCs w:val="20"/>
              </w:rPr>
              <w:t>(869)</w:t>
            </w:r>
          </w:p>
        </w:tc>
        <w:tc>
          <w:tcPr>
            <w:tcW w:w="1386" w:type="dxa"/>
            <w:tcBorders>
              <w:top w:val="single" w:sz="4" w:space="0" w:color="auto"/>
              <w:left w:val="single" w:sz="4" w:space="0" w:color="auto"/>
              <w:bottom w:val="single" w:sz="4" w:space="0" w:color="auto"/>
              <w:right w:val="single" w:sz="4" w:space="0" w:color="auto"/>
            </w:tcBorders>
            <w:vAlign w:val="bottom"/>
          </w:tcPr>
          <w:p w14:paraId="40D7354D" w14:textId="77777777" w:rsidR="00A739E1" w:rsidRPr="002431C0" w:rsidRDefault="00A739E1" w:rsidP="0071296E">
            <w:pPr>
              <w:ind w:left="-111"/>
              <w:jc w:val="right"/>
              <w:rPr>
                <w:sz w:val="20"/>
                <w:szCs w:val="20"/>
              </w:rPr>
            </w:pPr>
            <w:r w:rsidRPr="002431C0">
              <w:rPr>
                <w:sz w:val="20"/>
                <w:szCs w:val="20"/>
              </w:rPr>
              <w:t xml:space="preserve">-   </w:t>
            </w:r>
          </w:p>
        </w:tc>
        <w:tc>
          <w:tcPr>
            <w:tcW w:w="1512" w:type="dxa"/>
            <w:tcBorders>
              <w:top w:val="single" w:sz="4" w:space="0" w:color="auto"/>
              <w:left w:val="single" w:sz="4" w:space="0" w:color="auto"/>
              <w:bottom w:val="single" w:sz="4" w:space="0" w:color="auto"/>
              <w:right w:val="thickThinSmallGap" w:sz="24" w:space="0" w:color="auto"/>
            </w:tcBorders>
            <w:noWrap/>
            <w:vAlign w:val="bottom"/>
          </w:tcPr>
          <w:p w14:paraId="1B24906F" w14:textId="77777777" w:rsidR="00A739E1" w:rsidRPr="002431C0" w:rsidRDefault="00A739E1" w:rsidP="0071296E">
            <w:pPr>
              <w:ind w:left="-111"/>
              <w:jc w:val="right"/>
              <w:rPr>
                <w:bCs/>
                <w:sz w:val="20"/>
                <w:szCs w:val="20"/>
              </w:rPr>
            </w:pPr>
            <w:r w:rsidRPr="002431C0">
              <w:rPr>
                <w:bCs/>
                <w:sz w:val="20"/>
                <w:szCs w:val="20"/>
              </w:rPr>
              <w:t xml:space="preserve">1,402 </w:t>
            </w:r>
          </w:p>
        </w:tc>
      </w:tr>
      <w:tr w:rsidR="00A739E1" w:rsidRPr="002431C0" w14:paraId="5A2BE720" w14:textId="77777777" w:rsidTr="0071296E">
        <w:trPr>
          <w:trHeight w:val="288"/>
        </w:trPr>
        <w:tc>
          <w:tcPr>
            <w:tcW w:w="1170" w:type="dxa"/>
            <w:tcBorders>
              <w:top w:val="single" w:sz="4" w:space="0" w:color="auto"/>
              <w:left w:val="thinThickSmallGap" w:sz="24" w:space="0" w:color="auto"/>
              <w:bottom w:val="single" w:sz="4" w:space="0" w:color="auto"/>
              <w:right w:val="single" w:sz="4" w:space="0" w:color="auto"/>
            </w:tcBorders>
            <w:shd w:val="clear" w:color="auto" w:fill="auto"/>
            <w:noWrap/>
          </w:tcPr>
          <w:p w14:paraId="0FA701EE" w14:textId="77777777" w:rsidR="00A739E1" w:rsidRPr="002431C0" w:rsidRDefault="00A739E1" w:rsidP="0071296E">
            <w:pPr>
              <w:ind w:left="-111"/>
              <w:rPr>
                <w:sz w:val="20"/>
                <w:szCs w:val="20"/>
              </w:rPr>
            </w:pPr>
            <w:r w:rsidRPr="002431C0">
              <w:rPr>
                <w:sz w:val="20"/>
                <w:szCs w:val="20"/>
              </w:rPr>
              <w:t>2.16</w:t>
            </w:r>
          </w:p>
        </w:tc>
        <w:tc>
          <w:tcPr>
            <w:tcW w:w="5472" w:type="dxa"/>
            <w:tcBorders>
              <w:top w:val="nil"/>
              <w:left w:val="nil"/>
              <w:bottom w:val="single" w:sz="4" w:space="0" w:color="auto"/>
              <w:right w:val="single" w:sz="4" w:space="0" w:color="auto"/>
            </w:tcBorders>
            <w:shd w:val="clear" w:color="auto" w:fill="auto"/>
            <w:noWrap/>
            <w:vAlign w:val="bottom"/>
          </w:tcPr>
          <w:p w14:paraId="1501BC83" w14:textId="77777777" w:rsidR="00A739E1" w:rsidRPr="002431C0" w:rsidRDefault="00A739E1" w:rsidP="0071296E">
            <w:pPr>
              <w:ind w:left="-111"/>
              <w:rPr>
                <w:sz w:val="20"/>
                <w:szCs w:val="20"/>
              </w:rPr>
            </w:pPr>
            <w:r w:rsidRPr="002431C0">
              <w:rPr>
                <w:sz w:val="20"/>
                <w:szCs w:val="20"/>
              </w:rPr>
              <w:t>Restate Incentive Expenses</w:t>
            </w:r>
          </w:p>
        </w:tc>
        <w:tc>
          <w:tcPr>
            <w:tcW w:w="1191" w:type="dxa"/>
            <w:tcBorders>
              <w:top w:val="single" w:sz="4" w:space="0" w:color="auto"/>
              <w:left w:val="single" w:sz="4" w:space="0" w:color="auto"/>
              <w:bottom w:val="single" w:sz="4" w:space="0" w:color="auto"/>
              <w:right w:val="single" w:sz="4" w:space="0" w:color="auto"/>
            </w:tcBorders>
            <w:vAlign w:val="bottom"/>
          </w:tcPr>
          <w:p w14:paraId="7EA9B824" w14:textId="77777777" w:rsidR="00A739E1" w:rsidRPr="002431C0" w:rsidRDefault="00A739E1" w:rsidP="0071296E">
            <w:pPr>
              <w:ind w:left="-111"/>
              <w:jc w:val="right"/>
              <w:rPr>
                <w:sz w:val="20"/>
                <w:szCs w:val="20"/>
              </w:rPr>
            </w:pPr>
            <w:r w:rsidRPr="002431C0">
              <w:rPr>
                <w:sz w:val="20"/>
                <w:szCs w:val="20"/>
              </w:rPr>
              <w:t xml:space="preserve">729 </w:t>
            </w:r>
          </w:p>
        </w:tc>
        <w:tc>
          <w:tcPr>
            <w:tcW w:w="1386" w:type="dxa"/>
            <w:tcBorders>
              <w:top w:val="single" w:sz="4" w:space="0" w:color="auto"/>
              <w:left w:val="single" w:sz="4" w:space="0" w:color="auto"/>
              <w:bottom w:val="single" w:sz="4" w:space="0" w:color="auto"/>
              <w:right w:val="single" w:sz="4" w:space="0" w:color="auto"/>
            </w:tcBorders>
            <w:vAlign w:val="bottom"/>
          </w:tcPr>
          <w:p w14:paraId="500A3304" w14:textId="77777777" w:rsidR="00A739E1" w:rsidRPr="002431C0" w:rsidRDefault="00A739E1" w:rsidP="0071296E">
            <w:pPr>
              <w:ind w:left="-111"/>
              <w:jc w:val="right"/>
              <w:rPr>
                <w:sz w:val="20"/>
                <w:szCs w:val="20"/>
              </w:rPr>
            </w:pPr>
            <w:r w:rsidRPr="002431C0">
              <w:rPr>
                <w:sz w:val="20"/>
                <w:szCs w:val="20"/>
              </w:rPr>
              <w:t xml:space="preserve">-   </w:t>
            </w:r>
          </w:p>
        </w:tc>
        <w:tc>
          <w:tcPr>
            <w:tcW w:w="1512" w:type="dxa"/>
            <w:tcBorders>
              <w:top w:val="single" w:sz="4" w:space="0" w:color="auto"/>
              <w:left w:val="single" w:sz="4" w:space="0" w:color="auto"/>
              <w:bottom w:val="single" w:sz="4" w:space="0" w:color="auto"/>
              <w:right w:val="thickThinSmallGap" w:sz="24" w:space="0" w:color="auto"/>
            </w:tcBorders>
            <w:noWrap/>
            <w:vAlign w:val="bottom"/>
          </w:tcPr>
          <w:p w14:paraId="3253F6B2" w14:textId="77777777" w:rsidR="00A739E1" w:rsidRPr="002431C0" w:rsidRDefault="00A739E1" w:rsidP="0071296E">
            <w:pPr>
              <w:ind w:left="-111"/>
              <w:jc w:val="right"/>
              <w:rPr>
                <w:bCs/>
                <w:sz w:val="20"/>
                <w:szCs w:val="20"/>
              </w:rPr>
            </w:pPr>
            <w:r w:rsidRPr="002431C0">
              <w:rPr>
                <w:bCs/>
                <w:sz w:val="20"/>
                <w:szCs w:val="20"/>
              </w:rPr>
              <w:t xml:space="preserve"> (1,175)</w:t>
            </w:r>
          </w:p>
        </w:tc>
      </w:tr>
      <w:tr w:rsidR="00A739E1" w:rsidRPr="002431C0" w14:paraId="7AA06E3F" w14:textId="77777777" w:rsidTr="0071296E">
        <w:trPr>
          <w:trHeight w:val="288"/>
        </w:trPr>
        <w:tc>
          <w:tcPr>
            <w:tcW w:w="1170" w:type="dxa"/>
            <w:tcBorders>
              <w:top w:val="single" w:sz="4" w:space="0" w:color="auto"/>
              <w:left w:val="thinThickSmallGap" w:sz="24" w:space="0" w:color="auto"/>
              <w:bottom w:val="single" w:sz="4" w:space="0" w:color="auto"/>
              <w:right w:val="single" w:sz="4" w:space="0" w:color="auto"/>
            </w:tcBorders>
            <w:shd w:val="clear" w:color="auto" w:fill="auto"/>
            <w:noWrap/>
          </w:tcPr>
          <w:p w14:paraId="614E9602" w14:textId="77777777" w:rsidR="00A739E1" w:rsidRPr="002431C0" w:rsidRDefault="00A739E1" w:rsidP="0071296E">
            <w:pPr>
              <w:ind w:left="-111"/>
              <w:rPr>
                <w:sz w:val="20"/>
                <w:szCs w:val="20"/>
              </w:rPr>
            </w:pPr>
            <w:r w:rsidRPr="002431C0">
              <w:rPr>
                <w:sz w:val="20"/>
                <w:szCs w:val="20"/>
              </w:rPr>
              <w:t>2.17</w:t>
            </w:r>
          </w:p>
        </w:tc>
        <w:tc>
          <w:tcPr>
            <w:tcW w:w="5472" w:type="dxa"/>
            <w:tcBorders>
              <w:top w:val="nil"/>
              <w:left w:val="nil"/>
              <w:bottom w:val="single" w:sz="4" w:space="0" w:color="auto"/>
              <w:right w:val="single" w:sz="4" w:space="0" w:color="auto"/>
            </w:tcBorders>
            <w:shd w:val="clear" w:color="auto" w:fill="auto"/>
            <w:noWrap/>
            <w:vAlign w:val="bottom"/>
          </w:tcPr>
          <w:p w14:paraId="1EDDAD56" w14:textId="77777777" w:rsidR="00A739E1" w:rsidRPr="002431C0" w:rsidRDefault="00A739E1" w:rsidP="0071296E">
            <w:pPr>
              <w:ind w:left="-111"/>
              <w:rPr>
                <w:sz w:val="20"/>
                <w:szCs w:val="20"/>
              </w:rPr>
            </w:pPr>
            <w:r w:rsidRPr="002431C0">
              <w:rPr>
                <w:sz w:val="20"/>
                <w:szCs w:val="20"/>
              </w:rPr>
              <w:t>Regulatory Amortization Restating Adj.</w:t>
            </w:r>
          </w:p>
        </w:tc>
        <w:tc>
          <w:tcPr>
            <w:tcW w:w="1191" w:type="dxa"/>
            <w:tcBorders>
              <w:top w:val="single" w:sz="4" w:space="0" w:color="auto"/>
              <w:left w:val="single" w:sz="4" w:space="0" w:color="auto"/>
              <w:bottom w:val="single" w:sz="4" w:space="0" w:color="auto"/>
              <w:right w:val="single" w:sz="4" w:space="0" w:color="auto"/>
            </w:tcBorders>
            <w:vAlign w:val="bottom"/>
          </w:tcPr>
          <w:p w14:paraId="394F7138" w14:textId="77777777" w:rsidR="00A739E1" w:rsidRPr="002431C0" w:rsidRDefault="00A739E1" w:rsidP="0071296E">
            <w:pPr>
              <w:ind w:left="-111"/>
              <w:jc w:val="right"/>
              <w:rPr>
                <w:sz w:val="20"/>
                <w:szCs w:val="20"/>
              </w:rPr>
            </w:pPr>
            <w:r w:rsidRPr="002431C0">
              <w:rPr>
                <w:sz w:val="20"/>
                <w:szCs w:val="20"/>
              </w:rPr>
              <w:t xml:space="preserve">1,604 </w:t>
            </w:r>
          </w:p>
        </w:tc>
        <w:tc>
          <w:tcPr>
            <w:tcW w:w="1386" w:type="dxa"/>
            <w:tcBorders>
              <w:top w:val="single" w:sz="4" w:space="0" w:color="auto"/>
              <w:left w:val="single" w:sz="4" w:space="0" w:color="auto"/>
              <w:bottom w:val="single" w:sz="4" w:space="0" w:color="auto"/>
              <w:right w:val="single" w:sz="4" w:space="0" w:color="auto"/>
            </w:tcBorders>
            <w:vAlign w:val="bottom"/>
          </w:tcPr>
          <w:p w14:paraId="37B734EE" w14:textId="77777777" w:rsidR="00A739E1" w:rsidRPr="002431C0" w:rsidRDefault="00A739E1" w:rsidP="0071296E">
            <w:pPr>
              <w:ind w:left="-111"/>
              <w:jc w:val="right"/>
              <w:rPr>
                <w:sz w:val="20"/>
                <w:szCs w:val="20"/>
              </w:rPr>
            </w:pPr>
            <w:r w:rsidRPr="002431C0">
              <w:rPr>
                <w:sz w:val="20"/>
                <w:szCs w:val="20"/>
              </w:rPr>
              <w:t xml:space="preserve">-   </w:t>
            </w:r>
          </w:p>
        </w:tc>
        <w:tc>
          <w:tcPr>
            <w:tcW w:w="1512" w:type="dxa"/>
            <w:tcBorders>
              <w:top w:val="single" w:sz="4" w:space="0" w:color="auto"/>
              <w:left w:val="single" w:sz="4" w:space="0" w:color="auto"/>
              <w:bottom w:val="single" w:sz="4" w:space="0" w:color="auto"/>
              <w:right w:val="thickThinSmallGap" w:sz="24" w:space="0" w:color="auto"/>
            </w:tcBorders>
            <w:noWrap/>
            <w:vAlign w:val="bottom"/>
          </w:tcPr>
          <w:p w14:paraId="0A766229" w14:textId="77777777" w:rsidR="00A739E1" w:rsidRPr="002431C0" w:rsidRDefault="00A739E1" w:rsidP="0071296E">
            <w:pPr>
              <w:ind w:left="-111"/>
              <w:jc w:val="right"/>
              <w:rPr>
                <w:bCs/>
                <w:sz w:val="20"/>
                <w:szCs w:val="20"/>
              </w:rPr>
            </w:pPr>
            <w:r w:rsidRPr="002431C0">
              <w:rPr>
                <w:bCs/>
                <w:sz w:val="20"/>
                <w:szCs w:val="20"/>
              </w:rPr>
              <w:t>(2,587)</w:t>
            </w:r>
          </w:p>
        </w:tc>
      </w:tr>
      <w:tr w:rsidR="00A739E1" w:rsidRPr="002431C0" w14:paraId="3A3E429A" w14:textId="77777777" w:rsidTr="0071296E">
        <w:trPr>
          <w:trHeight w:val="288"/>
        </w:trPr>
        <w:tc>
          <w:tcPr>
            <w:tcW w:w="1170" w:type="dxa"/>
            <w:tcBorders>
              <w:top w:val="single" w:sz="4" w:space="0" w:color="auto"/>
              <w:left w:val="thinThickSmallGap" w:sz="24" w:space="0" w:color="auto"/>
              <w:bottom w:val="single" w:sz="4" w:space="0" w:color="auto"/>
              <w:right w:val="single" w:sz="4" w:space="0" w:color="auto"/>
            </w:tcBorders>
            <w:noWrap/>
          </w:tcPr>
          <w:p w14:paraId="77B25F4B" w14:textId="77777777" w:rsidR="00A739E1" w:rsidRPr="002431C0" w:rsidRDefault="00A739E1" w:rsidP="0071296E">
            <w:pPr>
              <w:ind w:left="-111"/>
              <w:rPr>
                <w:sz w:val="20"/>
                <w:szCs w:val="20"/>
              </w:rPr>
            </w:pPr>
            <w:r w:rsidRPr="002431C0">
              <w:rPr>
                <w:sz w:val="20"/>
                <w:szCs w:val="20"/>
              </w:rPr>
              <w:t>3.00</w:t>
            </w:r>
          </w:p>
        </w:tc>
        <w:tc>
          <w:tcPr>
            <w:tcW w:w="5472" w:type="dxa"/>
            <w:tcBorders>
              <w:top w:val="single" w:sz="4" w:space="0" w:color="auto"/>
              <w:left w:val="single" w:sz="4" w:space="0" w:color="auto"/>
              <w:bottom w:val="single" w:sz="4" w:space="0" w:color="auto"/>
              <w:right w:val="single" w:sz="4" w:space="0" w:color="auto"/>
            </w:tcBorders>
            <w:noWrap/>
            <w:vAlign w:val="bottom"/>
          </w:tcPr>
          <w:p w14:paraId="10FEBC8E" w14:textId="77777777" w:rsidR="00A739E1" w:rsidRPr="002431C0" w:rsidRDefault="00A739E1" w:rsidP="0071296E">
            <w:pPr>
              <w:ind w:left="-111"/>
              <w:rPr>
                <w:sz w:val="20"/>
                <w:szCs w:val="20"/>
              </w:rPr>
            </w:pPr>
            <w:r w:rsidRPr="002431C0">
              <w:rPr>
                <w:sz w:val="20"/>
                <w:szCs w:val="20"/>
              </w:rPr>
              <w:t>Pro Forma Power Supply</w:t>
            </w:r>
          </w:p>
        </w:tc>
        <w:tc>
          <w:tcPr>
            <w:tcW w:w="1191" w:type="dxa"/>
            <w:tcBorders>
              <w:top w:val="single" w:sz="4" w:space="0" w:color="auto"/>
              <w:left w:val="single" w:sz="4" w:space="0" w:color="auto"/>
              <w:bottom w:val="single" w:sz="4" w:space="0" w:color="auto"/>
              <w:right w:val="single" w:sz="4" w:space="0" w:color="auto"/>
            </w:tcBorders>
            <w:vAlign w:val="bottom"/>
          </w:tcPr>
          <w:p w14:paraId="17945440" w14:textId="77777777" w:rsidR="00A739E1" w:rsidRPr="002431C0" w:rsidRDefault="00A739E1" w:rsidP="0071296E">
            <w:pPr>
              <w:ind w:left="-111"/>
              <w:jc w:val="right"/>
              <w:rPr>
                <w:sz w:val="20"/>
                <w:szCs w:val="20"/>
              </w:rPr>
            </w:pPr>
            <w:r w:rsidRPr="002431C0">
              <w:rPr>
                <w:sz w:val="20"/>
                <w:szCs w:val="20"/>
              </w:rPr>
              <w:t xml:space="preserve">15,815 </w:t>
            </w:r>
          </w:p>
        </w:tc>
        <w:tc>
          <w:tcPr>
            <w:tcW w:w="1386" w:type="dxa"/>
            <w:tcBorders>
              <w:top w:val="single" w:sz="4" w:space="0" w:color="auto"/>
              <w:left w:val="single" w:sz="4" w:space="0" w:color="auto"/>
              <w:bottom w:val="single" w:sz="4" w:space="0" w:color="auto"/>
              <w:right w:val="single" w:sz="4" w:space="0" w:color="auto"/>
            </w:tcBorders>
            <w:vAlign w:val="bottom"/>
          </w:tcPr>
          <w:p w14:paraId="3070EBB9" w14:textId="77777777" w:rsidR="00A739E1" w:rsidRPr="002431C0" w:rsidRDefault="00A739E1" w:rsidP="0071296E">
            <w:pPr>
              <w:ind w:left="-111"/>
              <w:jc w:val="right"/>
              <w:rPr>
                <w:sz w:val="20"/>
                <w:szCs w:val="20"/>
              </w:rPr>
            </w:pPr>
            <w:r w:rsidRPr="002431C0">
              <w:rPr>
                <w:sz w:val="20"/>
                <w:szCs w:val="20"/>
              </w:rPr>
              <w:t>-</w:t>
            </w:r>
          </w:p>
        </w:tc>
        <w:tc>
          <w:tcPr>
            <w:tcW w:w="1512" w:type="dxa"/>
            <w:tcBorders>
              <w:top w:val="single" w:sz="4" w:space="0" w:color="auto"/>
              <w:left w:val="single" w:sz="4" w:space="0" w:color="auto"/>
              <w:bottom w:val="single" w:sz="4" w:space="0" w:color="auto"/>
              <w:right w:val="thickThinSmallGap" w:sz="24" w:space="0" w:color="auto"/>
            </w:tcBorders>
            <w:noWrap/>
            <w:vAlign w:val="bottom"/>
          </w:tcPr>
          <w:p w14:paraId="770FF531" w14:textId="77777777" w:rsidR="00A739E1" w:rsidRPr="002431C0" w:rsidRDefault="00A739E1" w:rsidP="0071296E">
            <w:pPr>
              <w:ind w:left="-111"/>
              <w:jc w:val="right"/>
              <w:rPr>
                <w:bCs/>
                <w:sz w:val="20"/>
                <w:szCs w:val="20"/>
              </w:rPr>
            </w:pPr>
            <w:r w:rsidRPr="002431C0">
              <w:rPr>
                <w:bCs/>
                <w:sz w:val="20"/>
                <w:szCs w:val="20"/>
              </w:rPr>
              <w:t xml:space="preserve"> (25,508)</w:t>
            </w:r>
          </w:p>
        </w:tc>
      </w:tr>
      <w:tr w:rsidR="00A739E1" w:rsidRPr="002431C0" w14:paraId="3498646F" w14:textId="77777777" w:rsidTr="0071296E">
        <w:trPr>
          <w:trHeight w:val="288"/>
        </w:trPr>
        <w:tc>
          <w:tcPr>
            <w:tcW w:w="1170" w:type="dxa"/>
            <w:tcBorders>
              <w:top w:val="single" w:sz="4" w:space="0" w:color="auto"/>
              <w:left w:val="thinThickSmallGap" w:sz="24" w:space="0" w:color="auto"/>
              <w:bottom w:val="single" w:sz="4" w:space="0" w:color="auto"/>
              <w:right w:val="single" w:sz="4" w:space="0" w:color="auto"/>
            </w:tcBorders>
            <w:noWrap/>
          </w:tcPr>
          <w:p w14:paraId="018DD3B5" w14:textId="77777777" w:rsidR="00A739E1" w:rsidRPr="002431C0" w:rsidRDefault="00A739E1" w:rsidP="0071296E">
            <w:pPr>
              <w:ind w:left="-111"/>
              <w:rPr>
                <w:sz w:val="20"/>
                <w:szCs w:val="20"/>
              </w:rPr>
            </w:pPr>
            <w:r w:rsidRPr="002431C0">
              <w:rPr>
                <w:sz w:val="20"/>
                <w:szCs w:val="20"/>
              </w:rPr>
              <w:t>3.04</w:t>
            </w:r>
          </w:p>
        </w:tc>
        <w:tc>
          <w:tcPr>
            <w:tcW w:w="5472" w:type="dxa"/>
            <w:tcBorders>
              <w:top w:val="single" w:sz="4" w:space="0" w:color="auto"/>
              <w:left w:val="single" w:sz="4" w:space="0" w:color="auto"/>
              <w:bottom w:val="single" w:sz="4" w:space="0" w:color="auto"/>
              <w:right w:val="single" w:sz="4" w:space="0" w:color="auto"/>
            </w:tcBorders>
            <w:noWrap/>
            <w:vAlign w:val="bottom"/>
          </w:tcPr>
          <w:p w14:paraId="38FF7E5A" w14:textId="77777777" w:rsidR="00A739E1" w:rsidRPr="002431C0" w:rsidRDefault="00A739E1" w:rsidP="0071296E">
            <w:pPr>
              <w:ind w:left="-111"/>
              <w:rPr>
                <w:sz w:val="20"/>
                <w:szCs w:val="20"/>
              </w:rPr>
            </w:pPr>
            <w:r w:rsidRPr="002431C0">
              <w:rPr>
                <w:sz w:val="20"/>
                <w:szCs w:val="20"/>
              </w:rPr>
              <w:t>Pro Forma Employee Benefits</w:t>
            </w:r>
          </w:p>
        </w:tc>
        <w:tc>
          <w:tcPr>
            <w:tcW w:w="1191" w:type="dxa"/>
            <w:tcBorders>
              <w:top w:val="single" w:sz="4" w:space="0" w:color="auto"/>
              <w:left w:val="single" w:sz="4" w:space="0" w:color="auto"/>
              <w:bottom w:val="single" w:sz="4" w:space="0" w:color="auto"/>
              <w:right w:val="single" w:sz="4" w:space="0" w:color="auto"/>
            </w:tcBorders>
            <w:vAlign w:val="bottom"/>
          </w:tcPr>
          <w:p w14:paraId="3C9F13FF" w14:textId="77777777" w:rsidR="00A739E1" w:rsidRPr="002431C0" w:rsidRDefault="00A739E1" w:rsidP="0071296E">
            <w:pPr>
              <w:ind w:left="-111"/>
              <w:jc w:val="right"/>
              <w:rPr>
                <w:sz w:val="20"/>
                <w:szCs w:val="20"/>
              </w:rPr>
            </w:pPr>
            <w:r w:rsidRPr="002431C0">
              <w:rPr>
                <w:sz w:val="20"/>
                <w:szCs w:val="20"/>
              </w:rPr>
              <w:t>(2,077)</w:t>
            </w:r>
          </w:p>
        </w:tc>
        <w:tc>
          <w:tcPr>
            <w:tcW w:w="1386" w:type="dxa"/>
            <w:tcBorders>
              <w:top w:val="single" w:sz="4" w:space="0" w:color="auto"/>
              <w:left w:val="single" w:sz="4" w:space="0" w:color="auto"/>
              <w:bottom w:val="single" w:sz="4" w:space="0" w:color="auto"/>
              <w:right w:val="single" w:sz="4" w:space="0" w:color="auto"/>
            </w:tcBorders>
            <w:vAlign w:val="bottom"/>
          </w:tcPr>
          <w:p w14:paraId="3DCEDFA6" w14:textId="77777777" w:rsidR="00A739E1" w:rsidRPr="002431C0" w:rsidRDefault="00A739E1" w:rsidP="0071296E">
            <w:pPr>
              <w:ind w:left="-111"/>
              <w:jc w:val="right"/>
              <w:rPr>
                <w:sz w:val="20"/>
                <w:szCs w:val="20"/>
              </w:rPr>
            </w:pPr>
            <w:r w:rsidRPr="002431C0">
              <w:rPr>
                <w:sz w:val="20"/>
                <w:szCs w:val="20"/>
              </w:rPr>
              <w:t xml:space="preserve">-   </w:t>
            </w:r>
          </w:p>
        </w:tc>
        <w:tc>
          <w:tcPr>
            <w:tcW w:w="1512" w:type="dxa"/>
            <w:tcBorders>
              <w:top w:val="single" w:sz="4" w:space="0" w:color="auto"/>
              <w:left w:val="single" w:sz="4" w:space="0" w:color="auto"/>
              <w:bottom w:val="single" w:sz="4" w:space="0" w:color="auto"/>
              <w:right w:val="thickThinSmallGap" w:sz="24" w:space="0" w:color="auto"/>
            </w:tcBorders>
            <w:noWrap/>
            <w:vAlign w:val="bottom"/>
          </w:tcPr>
          <w:p w14:paraId="4466BE1E" w14:textId="77777777" w:rsidR="00A739E1" w:rsidRPr="002431C0" w:rsidRDefault="00A739E1" w:rsidP="0071296E">
            <w:pPr>
              <w:ind w:left="-111"/>
              <w:jc w:val="right"/>
              <w:rPr>
                <w:bCs/>
                <w:sz w:val="20"/>
                <w:szCs w:val="20"/>
              </w:rPr>
            </w:pPr>
            <w:r w:rsidRPr="002431C0">
              <w:rPr>
                <w:bCs/>
                <w:sz w:val="20"/>
                <w:szCs w:val="20"/>
              </w:rPr>
              <w:t xml:space="preserve">3,351 </w:t>
            </w:r>
          </w:p>
        </w:tc>
      </w:tr>
      <w:tr w:rsidR="00A739E1" w:rsidRPr="002431C0" w14:paraId="7A07E470" w14:textId="77777777" w:rsidTr="0071296E">
        <w:trPr>
          <w:trHeight w:val="288"/>
        </w:trPr>
        <w:tc>
          <w:tcPr>
            <w:tcW w:w="1170" w:type="dxa"/>
            <w:tcBorders>
              <w:top w:val="single" w:sz="4" w:space="0" w:color="auto"/>
              <w:left w:val="thinThickSmallGap" w:sz="24" w:space="0" w:color="auto"/>
              <w:bottom w:val="single" w:sz="4" w:space="0" w:color="auto"/>
              <w:right w:val="single" w:sz="4" w:space="0" w:color="auto"/>
            </w:tcBorders>
            <w:noWrap/>
          </w:tcPr>
          <w:p w14:paraId="5551C081" w14:textId="77777777" w:rsidR="00A739E1" w:rsidRPr="002431C0" w:rsidRDefault="00A739E1" w:rsidP="0071296E">
            <w:pPr>
              <w:ind w:left="-111"/>
              <w:rPr>
                <w:sz w:val="20"/>
                <w:szCs w:val="20"/>
              </w:rPr>
            </w:pPr>
            <w:r w:rsidRPr="002431C0">
              <w:rPr>
                <w:sz w:val="20"/>
                <w:szCs w:val="20"/>
              </w:rPr>
              <w:t>3.08</w:t>
            </w:r>
          </w:p>
        </w:tc>
        <w:tc>
          <w:tcPr>
            <w:tcW w:w="5472" w:type="dxa"/>
            <w:tcBorders>
              <w:top w:val="single" w:sz="4" w:space="0" w:color="auto"/>
              <w:left w:val="single" w:sz="4" w:space="0" w:color="auto"/>
              <w:bottom w:val="single" w:sz="4" w:space="0" w:color="auto"/>
              <w:right w:val="single" w:sz="4" w:space="0" w:color="auto"/>
            </w:tcBorders>
            <w:noWrap/>
            <w:vAlign w:val="bottom"/>
          </w:tcPr>
          <w:p w14:paraId="3C52E7F6" w14:textId="77777777" w:rsidR="00A739E1" w:rsidRPr="002431C0" w:rsidRDefault="00A739E1" w:rsidP="0071296E">
            <w:pPr>
              <w:ind w:left="-111"/>
              <w:rPr>
                <w:sz w:val="20"/>
                <w:szCs w:val="20"/>
              </w:rPr>
            </w:pPr>
            <w:r w:rsidRPr="002431C0">
              <w:rPr>
                <w:sz w:val="20"/>
                <w:szCs w:val="20"/>
              </w:rPr>
              <w:t>Pro Forma Lake Spokane Deferral</w:t>
            </w:r>
          </w:p>
        </w:tc>
        <w:tc>
          <w:tcPr>
            <w:tcW w:w="1191" w:type="dxa"/>
            <w:tcBorders>
              <w:top w:val="single" w:sz="4" w:space="0" w:color="auto"/>
              <w:left w:val="single" w:sz="4" w:space="0" w:color="auto"/>
              <w:bottom w:val="single" w:sz="4" w:space="0" w:color="auto"/>
              <w:right w:val="single" w:sz="4" w:space="0" w:color="auto"/>
            </w:tcBorders>
            <w:vAlign w:val="bottom"/>
          </w:tcPr>
          <w:p w14:paraId="53998CB3" w14:textId="77777777" w:rsidR="00A739E1" w:rsidRPr="002431C0" w:rsidRDefault="00A739E1" w:rsidP="0071296E">
            <w:pPr>
              <w:ind w:left="-111"/>
              <w:jc w:val="right"/>
              <w:rPr>
                <w:sz w:val="20"/>
                <w:szCs w:val="20"/>
              </w:rPr>
            </w:pPr>
            <w:r w:rsidRPr="002431C0">
              <w:rPr>
                <w:sz w:val="20"/>
                <w:szCs w:val="20"/>
              </w:rPr>
              <w:t>(189)</w:t>
            </w:r>
          </w:p>
        </w:tc>
        <w:tc>
          <w:tcPr>
            <w:tcW w:w="1386" w:type="dxa"/>
            <w:tcBorders>
              <w:top w:val="single" w:sz="4" w:space="0" w:color="auto"/>
              <w:left w:val="single" w:sz="4" w:space="0" w:color="auto"/>
              <w:bottom w:val="single" w:sz="4" w:space="0" w:color="auto"/>
              <w:right w:val="single" w:sz="4" w:space="0" w:color="auto"/>
            </w:tcBorders>
            <w:vAlign w:val="bottom"/>
          </w:tcPr>
          <w:p w14:paraId="44B7A20B" w14:textId="77777777" w:rsidR="00A739E1" w:rsidRPr="002431C0" w:rsidRDefault="00A739E1" w:rsidP="0071296E">
            <w:pPr>
              <w:ind w:left="-111"/>
              <w:jc w:val="right"/>
              <w:rPr>
                <w:sz w:val="20"/>
                <w:szCs w:val="20"/>
              </w:rPr>
            </w:pPr>
            <w:r w:rsidRPr="002431C0">
              <w:rPr>
                <w:sz w:val="20"/>
                <w:szCs w:val="20"/>
              </w:rPr>
              <w:t xml:space="preserve">-   </w:t>
            </w:r>
          </w:p>
        </w:tc>
        <w:tc>
          <w:tcPr>
            <w:tcW w:w="1512" w:type="dxa"/>
            <w:tcBorders>
              <w:top w:val="single" w:sz="4" w:space="0" w:color="auto"/>
              <w:left w:val="single" w:sz="4" w:space="0" w:color="auto"/>
              <w:bottom w:val="single" w:sz="4" w:space="0" w:color="auto"/>
              <w:right w:val="thickThinSmallGap" w:sz="24" w:space="0" w:color="auto"/>
            </w:tcBorders>
            <w:noWrap/>
            <w:vAlign w:val="bottom"/>
          </w:tcPr>
          <w:p w14:paraId="53D052DE" w14:textId="77777777" w:rsidR="00A739E1" w:rsidRPr="002431C0" w:rsidRDefault="00A739E1" w:rsidP="0071296E">
            <w:pPr>
              <w:ind w:left="-111"/>
              <w:jc w:val="right"/>
              <w:rPr>
                <w:bCs/>
                <w:sz w:val="20"/>
                <w:szCs w:val="20"/>
              </w:rPr>
            </w:pPr>
            <w:r w:rsidRPr="002431C0">
              <w:rPr>
                <w:bCs/>
                <w:sz w:val="20"/>
                <w:szCs w:val="20"/>
              </w:rPr>
              <w:t xml:space="preserve">305 </w:t>
            </w:r>
          </w:p>
        </w:tc>
      </w:tr>
      <w:tr w:rsidR="00A739E1" w:rsidRPr="002431C0" w14:paraId="720EC41C" w14:textId="77777777" w:rsidTr="0071296E">
        <w:trPr>
          <w:trHeight w:val="288"/>
        </w:trPr>
        <w:tc>
          <w:tcPr>
            <w:tcW w:w="1170" w:type="dxa"/>
            <w:tcBorders>
              <w:top w:val="single" w:sz="4" w:space="0" w:color="auto"/>
              <w:left w:val="thinThickSmallGap" w:sz="24" w:space="0" w:color="auto"/>
              <w:bottom w:val="single" w:sz="12" w:space="0" w:color="auto"/>
              <w:right w:val="single" w:sz="4" w:space="0" w:color="auto"/>
            </w:tcBorders>
            <w:noWrap/>
          </w:tcPr>
          <w:p w14:paraId="1BD39C11" w14:textId="77777777" w:rsidR="00A739E1" w:rsidRPr="002431C0" w:rsidRDefault="00A739E1" w:rsidP="0071296E">
            <w:pPr>
              <w:ind w:left="-111"/>
              <w:rPr>
                <w:sz w:val="20"/>
                <w:szCs w:val="20"/>
              </w:rPr>
            </w:pPr>
            <w:r w:rsidRPr="002431C0">
              <w:rPr>
                <w:sz w:val="20"/>
                <w:szCs w:val="20"/>
              </w:rPr>
              <w:t>3.09</w:t>
            </w:r>
          </w:p>
        </w:tc>
        <w:tc>
          <w:tcPr>
            <w:tcW w:w="5472" w:type="dxa"/>
            <w:tcBorders>
              <w:top w:val="single" w:sz="4" w:space="0" w:color="auto"/>
              <w:left w:val="single" w:sz="4" w:space="0" w:color="auto"/>
              <w:bottom w:val="single" w:sz="12" w:space="0" w:color="auto"/>
              <w:right w:val="single" w:sz="4" w:space="0" w:color="auto"/>
            </w:tcBorders>
            <w:noWrap/>
            <w:vAlign w:val="bottom"/>
          </w:tcPr>
          <w:p w14:paraId="201709ED" w14:textId="77777777" w:rsidR="00A739E1" w:rsidRPr="002431C0" w:rsidRDefault="00A739E1" w:rsidP="0071296E">
            <w:pPr>
              <w:ind w:left="-111"/>
              <w:rPr>
                <w:sz w:val="20"/>
                <w:szCs w:val="20"/>
              </w:rPr>
            </w:pPr>
            <w:r w:rsidRPr="002431C0">
              <w:rPr>
                <w:sz w:val="20"/>
                <w:szCs w:val="20"/>
              </w:rPr>
              <w:t>Pro Forma Revenue Normalization</w:t>
            </w:r>
          </w:p>
        </w:tc>
        <w:tc>
          <w:tcPr>
            <w:tcW w:w="1191" w:type="dxa"/>
            <w:tcBorders>
              <w:top w:val="single" w:sz="4" w:space="0" w:color="auto"/>
              <w:left w:val="single" w:sz="4" w:space="0" w:color="auto"/>
              <w:bottom w:val="single" w:sz="12" w:space="0" w:color="auto"/>
              <w:right w:val="single" w:sz="4" w:space="0" w:color="auto"/>
            </w:tcBorders>
            <w:vAlign w:val="bottom"/>
          </w:tcPr>
          <w:p w14:paraId="2EE48318" w14:textId="77777777" w:rsidR="00A739E1" w:rsidRPr="002431C0" w:rsidRDefault="00A739E1" w:rsidP="0071296E">
            <w:pPr>
              <w:ind w:left="-111"/>
              <w:jc w:val="right"/>
              <w:rPr>
                <w:sz w:val="20"/>
                <w:szCs w:val="20"/>
              </w:rPr>
            </w:pPr>
            <w:r w:rsidRPr="002431C0">
              <w:rPr>
                <w:sz w:val="20"/>
                <w:szCs w:val="20"/>
              </w:rPr>
              <w:t xml:space="preserve">10,144 </w:t>
            </w:r>
          </w:p>
        </w:tc>
        <w:tc>
          <w:tcPr>
            <w:tcW w:w="1386" w:type="dxa"/>
            <w:tcBorders>
              <w:top w:val="single" w:sz="4" w:space="0" w:color="auto"/>
              <w:left w:val="single" w:sz="4" w:space="0" w:color="auto"/>
              <w:bottom w:val="single" w:sz="12" w:space="0" w:color="auto"/>
              <w:right w:val="single" w:sz="4" w:space="0" w:color="auto"/>
            </w:tcBorders>
            <w:vAlign w:val="bottom"/>
          </w:tcPr>
          <w:p w14:paraId="0F85F9D3" w14:textId="77777777" w:rsidR="00A739E1" w:rsidRPr="002431C0" w:rsidRDefault="00A739E1" w:rsidP="0071296E">
            <w:pPr>
              <w:ind w:left="-111"/>
              <w:jc w:val="right"/>
              <w:rPr>
                <w:sz w:val="20"/>
                <w:szCs w:val="20"/>
              </w:rPr>
            </w:pPr>
            <w:r w:rsidRPr="002431C0">
              <w:rPr>
                <w:sz w:val="20"/>
                <w:szCs w:val="20"/>
              </w:rPr>
              <w:t xml:space="preserve">-   </w:t>
            </w:r>
          </w:p>
        </w:tc>
        <w:tc>
          <w:tcPr>
            <w:tcW w:w="1512" w:type="dxa"/>
            <w:tcBorders>
              <w:top w:val="single" w:sz="4" w:space="0" w:color="auto"/>
              <w:left w:val="single" w:sz="4" w:space="0" w:color="auto"/>
              <w:bottom w:val="single" w:sz="12" w:space="0" w:color="auto"/>
              <w:right w:val="thickThinSmallGap" w:sz="24" w:space="0" w:color="auto"/>
            </w:tcBorders>
            <w:noWrap/>
            <w:vAlign w:val="bottom"/>
          </w:tcPr>
          <w:p w14:paraId="21CDDFC8" w14:textId="77777777" w:rsidR="00A739E1" w:rsidRPr="002431C0" w:rsidRDefault="00A739E1" w:rsidP="0071296E">
            <w:pPr>
              <w:ind w:left="-111"/>
              <w:jc w:val="right"/>
              <w:rPr>
                <w:bCs/>
                <w:sz w:val="20"/>
                <w:szCs w:val="20"/>
              </w:rPr>
            </w:pPr>
            <w:r w:rsidRPr="002431C0">
              <w:rPr>
                <w:bCs/>
                <w:sz w:val="20"/>
                <w:szCs w:val="20"/>
              </w:rPr>
              <w:t>(16,361)</w:t>
            </w:r>
          </w:p>
        </w:tc>
      </w:tr>
      <w:tr w:rsidR="00A739E1" w:rsidRPr="002431C0" w14:paraId="7E2B9C8C" w14:textId="77777777" w:rsidTr="0071296E">
        <w:trPr>
          <w:trHeight w:val="288"/>
        </w:trPr>
        <w:tc>
          <w:tcPr>
            <w:tcW w:w="1170" w:type="dxa"/>
            <w:tcBorders>
              <w:top w:val="single" w:sz="12" w:space="0" w:color="auto"/>
              <w:left w:val="thinThickSmallGap" w:sz="24" w:space="0" w:color="auto"/>
              <w:bottom w:val="thinThickSmallGap" w:sz="24" w:space="0" w:color="auto"/>
              <w:right w:val="single" w:sz="4" w:space="0" w:color="auto"/>
            </w:tcBorders>
            <w:noWrap/>
          </w:tcPr>
          <w:p w14:paraId="3B8658D0" w14:textId="77777777" w:rsidR="00A739E1" w:rsidRPr="002431C0" w:rsidRDefault="00A739E1" w:rsidP="0071296E">
            <w:pPr>
              <w:ind w:left="-111"/>
              <w:rPr>
                <w:sz w:val="20"/>
                <w:szCs w:val="20"/>
              </w:rPr>
            </w:pPr>
          </w:p>
        </w:tc>
        <w:tc>
          <w:tcPr>
            <w:tcW w:w="5472" w:type="dxa"/>
            <w:tcBorders>
              <w:top w:val="single" w:sz="12" w:space="0" w:color="auto"/>
              <w:left w:val="single" w:sz="4" w:space="0" w:color="auto"/>
              <w:bottom w:val="thinThickSmallGap" w:sz="24" w:space="0" w:color="auto"/>
              <w:right w:val="single" w:sz="4" w:space="0" w:color="auto"/>
            </w:tcBorders>
            <w:noWrap/>
            <w:vAlign w:val="bottom"/>
          </w:tcPr>
          <w:p w14:paraId="2C09FA1B" w14:textId="77777777" w:rsidR="00A739E1" w:rsidRPr="002431C0" w:rsidRDefault="00A739E1" w:rsidP="0071296E">
            <w:pPr>
              <w:ind w:left="-111"/>
              <w:jc w:val="right"/>
              <w:rPr>
                <w:sz w:val="20"/>
                <w:szCs w:val="20"/>
              </w:rPr>
            </w:pPr>
            <w:r w:rsidRPr="002431C0">
              <w:rPr>
                <w:sz w:val="20"/>
                <w:szCs w:val="20"/>
              </w:rPr>
              <w:t xml:space="preserve"> Total Electric - Uncontested Adjustments</w:t>
            </w:r>
          </w:p>
        </w:tc>
        <w:tc>
          <w:tcPr>
            <w:tcW w:w="1191" w:type="dxa"/>
            <w:tcBorders>
              <w:top w:val="single" w:sz="12" w:space="0" w:color="auto"/>
              <w:left w:val="single" w:sz="4" w:space="0" w:color="auto"/>
              <w:bottom w:val="thinThickSmallGap" w:sz="24" w:space="0" w:color="auto"/>
              <w:right w:val="single" w:sz="4" w:space="0" w:color="auto"/>
            </w:tcBorders>
            <w:vAlign w:val="bottom"/>
          </w:tcPr>
          <w:p w14:paraId="15CCAFC8" w14:textId="77777777" w:rsidR="00A739E1" w:rsidRPr="002431C0" w:rsidRDefault="00A739E1" w:rsidP="0071296E">
            <w:pPr>
              <w:ind w:left="-111"/>
              <w:jc w:val="right"/>
              <w:rPr>
                <w:sz w:val="20"/>
                <w:szCs w:val="20"/>
              </w:rPr>
            </w:pPr>
            <w:r w:rsidRPr="002431C0">
              <w:rPr>
                <w:sz w:val="20"/>
                <w:szCs w:val="20"/>
              </w:rPr>
              <w:t xml:space="preserve">125,058 </w:t>
            </w:r>
          </w:p>
        </w:tc>
        <w:tc>
          <w:tcPr>
            <w:tcW w:w="1386" w:type="dxa"/>
            <w:tcBorders>
              <w:top w:val="single" w:sz="12" w:space="0" w:color="auto"/>
              <w:left w:val="single" w:sz="4" w:space="0" w:color="auto"/>
              <w:bottom w:val="thinThickSmallGap" w:sz="24" w:space="0" w:color="auto"/>
              <w:right w:val="single" w:sz="4" w:space="0" w:color="auto"/>
            </w:tcBorders>
            <w:vAlign w:val="bottom"/>
          </w:tcPr>
          <w:p w14:paraId="68805A8E" w14:textId="77777777" w:rsidR="00A739E1" w:rsidRPr="002431C0" w:rsidRDefault="00A739E1" w:rsidP="0071296E">
            <w:pPr>
              <w:ind w:left="-111"/>
              <w:jc w:val="right"/>
              <w:rPr>
                <w:sz w:val="20"/>
                <w:szCs w:val="20"/>
              </w:rPr>
            </w:pPr>
            <w:r w:rsidRPr="002431C0">
              <w:rPr>
                <w:sz w:val="20"/>
                <w:szCs w:val="20"/>
              </w:rPr>
              <w:t xml:space="preserve">1,267,795 </w:t>
            </w:r>
          </w:p>
        </w:tc>
        <w:tc>
          <w:tcPr>
            <w:tcW w:w="1512" w:type="dxa"/>
            <w:tcBorders>
              <w:top w:val="single" w:sz="12" w:space="0" w:color="auto"/>
              <w:left w:val="single" w:sz="4" w:space="0" w:color="auto"/>
              <w:bottom w:val="thinThickSmallGap" w:sz="24" w:space="0" w:color="auto"/>
              <w:right w:val="thickThinSmallGap" w:sz="24" w:space="0" w:color="auto"/>
            </w:tcBorders>
            <w:noWrap/>
            <w:vAlign w:val="bottom"/>
          </w:tcPr>
          <w:p w14:paraId="1F1EDDB1" w14:textId="77777777" w:rsidR="00A739E1" w:rsidRPr="002431C0" w:rsidRDefault="00A739E1" w:rsidP="0071296E">
            <w:pPr>
              <w:ind w:left="-111"/>
              <w:jc w:val="right"/>
              <w:rPr>
                <w:bCs/>
                <w:sz w:val="20"/>
                <w:szCs w:val="20"/>
              </w:rPr>
            </w:pPr>
            <w:r w:rsidRPr="002431C0">
              <w:rPr>
                <w:bCs/>
                <w:sz w:val="20"/>
                <w:szCs w:val="20"/>
              </w:rPr>
              <w:t xml:space="preserve"> (52,629)</w:t>
            </w:r>
          </w:p>
        </w:tc>
      </w:tr>
    </w:tbl>
    <w:p w14:paraId="32568631" w14:textId="77777777" w:rsidR="00166E95" w:rsidRPr="002431C0" w:rsidRDefault="00166E95" w:rsidP="00166E95">
      <w:pPr>
        <w:keepNext/>
        <w:keepLines/>
        <w:jc w:val="center"/>
        <w:rPr>
          <w:sz w:val="25"/>
          <w:szCs w:val="25"/>
        </w:rPr>
      </w:pPr>
    </w:p>
    <w:p w14:paraId="3C66D5D3" w14:textId="77777777" w:rsidR="00166E95" w:rsidRPr="002431C0" w:rsidRDefault="00166E95" w:rsidP="00166E95">
      <w:pPr>
        <w:keepNext/>
        <w:keepLines/>
        <w:jc w:val="center"/>
        <w:rPr>
          <w:sz w:val="25"/>
          <w:szCs w:val="25"/>
        </w:rPr>
      </w:pPr>
      <w:r w:rsidRPr="002431C0">
        <w:rPr>
          <w:sz w:val="25"/>
          <w:szCs w:val="25"/>
        </w:rPr>
        <w:br w:type="page"/>
      </w:r>
    </w:p>
    <w:p w14:paraId="5025D931" w14:textId="77777777" w:rsidR="00166E95" w:rsidRPr="002431C0" w:rsidRDefault="00166E95" w:rsidP="00166E95">
      <w:pPr>
        <w:keepNext/>
        <w:keepLines/>
        <w:jc w:val="center"/>
        <w:rPr>
          <w:sz w:val="25"/>
          <w:szCs w:val="25"/>
        </w:rPr>
      </w:pPr>
    </w:p>
    <w:p w14:paraId="2EC970FD" w14:textId="77777777" w:rsidR="00A739E1" w:rsidRPr="00436CA6" w:rsidRDefault="00A739E1" w:rsidP="00A6061E">
      <w:pPr>
        <w:pStyle w:val="Heading1"/>
        <w:spacing w:before="0" w:after="0"/>
        <w:jc w:val="center"/>
        <w:rPr>
          <w:rFonts w:ascii="Times New Roman" w:hAnsi="Times New Roman" w:cs="Times New Roman"/>
          <w:sz w:val="25"/>
          <w:szCs w:val="25"/>
        </w:rPr>
      </w:pPr>
      <w:bookmarkStart w:id="49" w:name="_Toc439838980"/>
      <w:r w:rsidRPr="00436CA6">
        <w:rPr>
          <w:rFonts w:ascii="Times New Roman" w:hAnsi="Times New Roman" w:cs="Times New Roman"/>
          <w:sz w:val="25"/>
          <w:szCs w:val="25"/>
        </w:rPr>
        <w:t>TABLE B2</w:t>
      </w:r>
      <w:bookmarkEnd w:id="49"/>
    </w:p>
    <w:p w14:paraId="010060F2" w14:textId="77777777" w:rsidR="00A739E1" w:rsidRPr="00436CA6" w:rsidRDefault="00A739E1" w:rsidP="00A739E1">
      <w:pPr>
        <w:keepNext/>
        <w:keepLines/>
        <w:jc w:val="center"/>
        <w:rPr>
          <w:rFonts w:cs="Arial"/>
          <w:b/>
          <w:bCs/>
          <w:kern w:val="32"/>
          <w:sz w:val="25"/>
          <w:szCs w:val="25"/>
        </w:rPr>
      </w:pPr>
      <w:r w:rsidRPr="00436CA6">
        <w:rPr>
          <w:b/>
          <w:sz w:val="25"/>
          <w:szCs w:val="25"/>
        </w:rPr>
        <w:t xml:space="preserve">Natural Gas - Uncontested Adjustments </w:t>
      </w:r>
    </w:p>
    <w:tbl>
      <w:tblPr>
        <w:tblpPr w:leftFromText="180" w:rightFromText="180" w:vertAnchor="text" w:horzAnchor="margin" w:tblpXSpec="center" w:tblpY="332"/>
        <w:tblW w:w="102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8"/>
        <w:gridCol w:w="5472"/>
        <w:gridCol w:w="1170"/>
        <w:gridCol w:w="1062"/>
        <w:gridCol w:w="1512"/>
      </w:tblGrid>
      <w:tr w:rsidR="00A739E1" w:rsidRPr="002431C0" w14:paraId="7B1BAC78" w14:textId="77777777" w:rsidTr="0071296E">
        <w:trPr>
          <w:trHeight w:val="255"/>
        </w:trPr>
        <w:tc>
          <w:tcPr>
            <w:tcW w:w="1008" w:type="dxa"/>
            <w:tcBorders>
              <w:top w:val="thinThickSmallGap" w:sz="24" w:space="0" w:color="auto"/>
              <w:left w:val="thinThickSmallGap" w:sz="24" w:space="0" w:color="auto"/>
              <w:bottom w:val="double" w:sz="4" w:space="0" w:color="auto"/>
              <w:right w:val="single" w:sz="4" w:space="0" w:color="auto"/>
            </w:tcBorders>
            <w:noWrap/>
            <w:vAlign w:val="bottom"/>
            <w:hideMark/>
          </w:tcPr>
          <w:p w14:paraId="0693DEE3" w14:textId="77777777" w:rsidR="00A739E1" w:rsidRPr="002431C0" w:rsidRDefault="00A739E1" w:rsidP="0071296E">
            <w:pPr>
              <w:jc w:val="center"/>
              <w:rPr>
                <w:bCs/>
                <w:sz w:val="20"/>
                <w:szCs w:val="20"/>
              </w:rPr>
            </w:pPr>
            <w:r w:rsidRPr="002431C0">
              <w:rPr>
                <w:sz w:val="20"/>
                <w:szCs w:val="20"/>
              </w:rPr>
              <w:t>Adj. No.</w:t>
            </w:r>
          </w:p>
        </w:tc>
        <w:tc>
          <w:tcPr>
            <w:tcW w:w="5472" w:type="dxa"/>
            <w:tcBorders>
              <w:top w:val="thinThickSmallGap" w:sz="24" w:space="0" w:color="auto"/>
              <w:left w:val="single" w:sz="4" w:space="0" w:color="auto"/>
              <w:bottom w:val="double" w:sz="4" w:space="0" w:color="auto"/>
              <w:right w:val="single" w:sz="4" w:space="0" w:color="auto"/>
            </w:tcBorders>
            <w:noWrap/>
            <w:vAlign w:val="bottom"/>
            <w:hideMark/>
          </w:tcPr>
          <w:p w14:paraId="71DA5C11" w14:textId="77777777" w:rsidR="00A739E1" w:rsidRPr="002431C0" w:rsidRDefault="00A739E1" w:rsidP="0071296E">
            <w:pPr>
              <w:jc w:val="center"/>
              <w:rPr>
                <w:bCs/>
                <w:sz w:val="20"/>
                <w:szCs w:val="20"/>
              </w:rPr>
            </w:pPr>
            <w:r w:rsidRPr="002431C0">
              <w:rPr>
                <w:bCs/>
                <w:sz w:val="20"/>
                <w:szCs w:val="20"/>
              </w:rPr>
              <w:t>Uncontested</w:t>
            </w:r>
            <w:r w:rsidRPr="002431C0">
              <w:rPr>
                <w:sz w:val="25"/>
                <w:szCs w:val="25"/>
              </w:rPr>
              <w:t xml:space="preserve"> </w:t>
            </w:r>
            <w:r w:rsidRPr="002431C0">
              <w:rPr>
                <w:bCs/>
                <w:sz w:val="20"/>
                <w:szCs w:val="20"/>
              </w:rPr>
              <w:t>Adjustment Description</w:t>
            </w:r>
          </w:p>
        </w:tc>
        <w:tc>
          <w:tcPr>
            <w:tcW w:w="1170" w:type="dxa"/>
            <w:tcBorders>
              <w:top w:val="thinThickSmallGap" w:sz="24" w:space="0" w:color="auto"/>
              <w:left w:val="single" w:sz="4" w:space="0" w:color="auto"/>
              <w:bottom w:val="double" w:sz="4" w:space="0" w:color="auto"/>
              <w:right w:val="single" w:sz="4" w:space="0" w:color="auto"/>
            </w:tcBorders>
            <w:vAlign w:val="bottom"/>
            <w:hideMark/>
          </w:tcPr>
          <w:p w14:paraId="610AE6F3" w14:textId="77777777" w:rsidR="00A739E1" w:rsidRPr="002431C0" w:rsidRDefault="00A739E1" w:rsidP="0071296E">
            <w:pPr>
              <w:jc w:val="center"/>
              <w:rPr>
                <w:sz w:val="20"/>
                <w:szCs w:val="20"/>
              </w:rPr>
            </w:pPr>
            <w:r w:rsidRPr="002431C0">
              <w:rPr>
                <w:sz w:val="20"/>
                <w:szCs w:val="20"/>
              </w:rPr>
              <w:t>Net Operating Income</w:t>
            </w:r>
          </w:p>
        </w:tc>
        <w:tc>
          <w:tcPr>
            <w:tcW w:w="1062" w:type="dxa"/>
            <w:tcBorders>
              <w:top w:val="thinThickSmallGap" w:sz="24" w:space="0" w:color="auto"/>
              <w:left w:val="single" w:sz="4" w:space="0" w:color="auto"/>
              <w:bottom w:val="double" w:sz="4" w:space="0" w:color="auto"/>
              <w:right w:val="single" w:sz="4" w:space="0" w:color="auto"/>
            </w:tcBorders>
            <w:vAlign w:val="bottom"/>
            <w:hideMark/>
          </w:tcPr>
          <w:p w14:paraId="7A4AF315" w14:textId="77777777" w:rsidR="00A739E1" w:rsidRPr="002431C0" w:rsidRDefault="00A739E1" w:rsidP="0071296E">
            <w:pPr>
              <w:jc w:val="center"/>
              <w:rPr>
                <w:sz w:val="20"/>
                <w:szCs w:val="20"/>
              </w:rPr>
            </w:pPr>
            <w:r w:rsidRPr="002431C0">
              <w:rPr>
                <w:sz w:val="20"/>
                <w:szCs w:val="20"/>
              </w:rPr>
              <w:t>Rate Base</w:t>
            </w:r>
          </w:p>
        </w:tc>
        <w:tc>
          <w:tcPr>
            <w:tcW w:w="1512" w:type="dxa"/>
            <w:tcBorders>
              <w:top w:val="thinThickSmallGap" w:sz="24" w:space="0" w:color="auto"/>
              <w:left w:val="single" w:sz="4" w:space="0" w:color="auto"/>
              <w:bottom w:val="double" w:sz="4" w:space="0" w:color="auto"/>
              <w:right w:val="thickThinSmallGap" w:sz="24" w:space="0" w:color="auto"/>
            </w:tcBorders>
            <w:vAlign w:val="bottom"/>
            <w:hideMark/>
          </w:tcPr>
          <w:p w14:paraId="285C61AB" w14:textId="77777777" w:rsidR="00A739E1" w:rsidRPr="002431C0" w:rsidRDefault="00A739E1" w:rsidP="0071296E">
            <w:pPr>
              <w:jc w:val="center"/>
              <w:rPr>
                <w:sz w:val="20"/>
                <w:szCs w:val="20"/>
              </w:rPr>
            </w:pPr>
            <w:r w:rsidRPr="002431C0">
              <w:rPr>
                <w:sz w:val="20"/>
                <w:szCs w:val="20"/>
              </w:rPr>
              <w:t>Revenue Requirement</w:t>
            </w:r>
          </w:p>
        </w:tc>
      </w:tr>
      <w:tr w:rsidR="00A739E1" w:rsidRPr="002431C0" w14:paraId="6EEB9399" w14:textId="77777777" w:rsidTr="0071296E">
        <w:trPr>
          <w:trHeight w:val="255"/>
        </w:trPr>
        <w:tc>
          <w:tcPr>
            <w:tcW w:w="1008" w:type="dxa"/>
            <w:tcBorders>
              <w:top w:val="double" w:sz="4" w:space="0" w:color="auto"/>
              <w:left w:val="thinThickSmallGap" w:sz="24" w:space="0" w:color="auto"/>
              <w:bottom w:val="single" w:sz="18" w:space="0" w:color="auto"/>
              <w:right w:val="single" w:sz="4" w:space="0" w:color="auto"/>
            </w:tcBorders>
            <w:shd w:val="clear" w:color="auto" w:fill="auto"/>
            <w:noWrap/>
            <w:vAlign w:val="bottom"/>
            <w:hideMark/>
          </w:tcPr>
          <w:p w14:paraId="6FB45F24" w14:textId="77777777" w:rsidR="00A739E1" w:rsidRPr="002431C0" w:rsidRDefault="00A739E1" w:rsidP="0071296E">
            <w:pPr>
              <w:rPr>
                <w:sz w:val="20"/>
                <w:szCs w:val="20"/>
              </w:rPr>
            </w:pPr>
          </w:p>
        </w:tc>
        <w:tc>
          <w:tcPr>
            <w:tcW w:w="5472" w:type="dxa"/>
            <w:tcBorders>
              <w:top w:val="double" w:sz="4" w:space="0" w:color="auto"/>
              <w:left w:val="single" w:sz="4" w:space="0" w:color="auto"/>
              <w:bottom w:val="single" w:sz="18" w:space="0" w:color="auto"/>
              <w:right w:val="single" w:sz="4" w:space="0" w:color="auto"/>
            </w:tcBorders>
            <w:noWrap/>
            <w:vAlign w:val="bottom"/>
          </w:tcPr>
          <w:p w14:paraId="75B2E97A" w14:textId="77777777" w:rsidR="00A739E1" w:rsidRPr="002431C0" w:rsidRDefault="00A739E1" w:rsidP="0071296E">
            <w:pPr>
              <w:jc w:val="center"/>
              <w:rPr>
                <w:sz w:val="20"/>
                <w:szCs w:val="20"/>
              </w:rPr>
            </w:pPr>
          </w:p>
        </w:tc>
        <w:tc>
          <w:tcPr>
            <w:tcW w:w="3744" w:type="dxa"/>
            <w:gridSpan w:val="3"/>
            <w:tcBorders>
              <w:top w:val="double" w:sz="4" w:space="0" w:color="auto"/>
              <w:left w:val="single" w:sz="4" w:space="0" w:color="auto"/>
              <w:bottom w:val="single" w:sz="18" w:space="0" w:color="auto"/>
              <w:right w:val="thickThinSmallGap" w:sz="24" w:space="0" w:color="auto"/>
            </w:tcBorders>
            <w:vAlign w:val="bottom"/>
          </w:tcPr>
          <w:p w14:paraId="6BB3E1D5" w14:textId="77777777" w:rsidR="00A739E1" w:rsidRPr="002431C0" w:rsidRDefault="00A739E1" w:rsidP="0071296E">
            <w:pPr>
              <w:jc w:val="center"/>
              <w:rPr>
                <w:sz w:val="20"/>
                <w:szCs w:val="20"/>
              </w:rPr>
            </w:pPr>
            <w:r w:rsidRPr="002431C0">
              <w:rPr>
                <w:sz w:val="16"/>
                <w:szCs w:val="20"/>
              </w:rPr>
              <w:t>(</w:t>
            </w:r>
            <w:r w:rsidRPr="002431C0">
              <w:rPr>
                <w:i/>
                <w:sz w:val="16"/>
                <w:szCs w:val="20"/>
              </w:rPr>
              <w:t>000’s of Dollars</w:t>
            </w:r>
            <w:r w:rsidRPr="002431C0">
              <w:rPr>
                <w:sz w:val="16"/>
                <w:szCs w:val="20"/>
              </w:rPr>
              <w:t>)</w:t>
            </w:r>
          </w:p>
        </w:tc>
      </w:tr>
      <w:tr w:rsidR="00A739E1" w:rsidRPr="002431C0" w14:paraId="581A519B" w14:textId="77777777" w:rsidTr="0071296E">
        <w:trPr>
          <w:trHeight w:val="255"/>
        </w:trPr>
        <w:tc>
          <w:tcPr>
            <w:tcW w:w="1008" w:type="dxa"/>
            <w:tcBorders>
              <w:top w:val="single" w:sz="18" w:space="0" w:color="auto"/>
              <w:left w:val="thinThickSmallGap" w:sz="24" w:space="0" w:color="auto"/>
              <w:bottom w:val="single" w:sz="4" w:space="0" w:color="auto"/>
              <w:right w:val="single" w:sz="4" w:space="0" w:color="auto"/>
            </w:tcBorders>
            <w:shd w:val="clear" w:color="auto" w:fill="auto"/>
            <w:noWrap/>
            <w:vAlign w:val="bottom"/>
          </w:tcPr>
          <w:p w14:paraId="5E8A5216" w14:textId="77777777" w:rsidR="00A739E1" w:rsidRPr="002431C0" w:rsidRDefault="00A739E1" w:rsidP="0071296E">
            <w:pPr>
              <w:rPr>
                <w:bCs/>
                <w:sz w:val="20"/>
                <w:szCs w:val="20"/>
              </w:rPr>
            </w:pPr>
            <w:r w:rsidRPr="002431C0">
              <w:rPr>
                <w:bCs/>
                <w:sz w:val="20"/>
                <w:szCs w:val="20"/>
              </w:rPr>
              <w:t>1.00</w:t>
            </w:r>
          </w:p>
        </w:tc>
        <w:tc>
          <w:tcPr>
            <w:tcW w:w="5472" w:type="dxa"/>
            <w:tcBorders>
              <w:top w:val="single" w:sz="4" w:space="0" w:color="auto"/>
              <w:left w:val="nil"/>
              <w:bottom w:val="single" w:sz="4" w:space="0" w:color="auto"/>
              <w:right w:val="nil"/>
            </w:tcBorders>
            <w:shd w:val="clear" w:color="auto" w:fill="auto"/>
            <w:noWrap/>
            <w:vAlign w:val="bottom"/>
          </w:tcPr>
          <w:p w14:paraId="7B7BF96B" w14:textId="77777777" w:rsidR="00A739E1" w:rsidRPr="002431C0" w:rsidRDefault="00A739E1" w:rsidP="0071296E">
            <w:pPr>
              <w:rPr>
                <w:bCs/>
                <w:sz w:val="20"/>
                <w:szCs w:val="20"/>
              </w:rPr>
            </w:pPr>
            <w:r w:rsidRPr="002431C0">
              <w:rPr>
                <w:bCs/>
                <w:sz w:val="20"/>
                <w:szCs w:val="20"/>
              </w:rPr>
              <w:t>Per Results Report</w:t>
            </w:r>
          </w:p>
        </w:tc>
        <w:tc>
          <w:tcPr>
            <w:tcW w:w="1170" w:type="dxa"/>
            <w:tcBorders>
              <w:top w:val="single" w:sz="18" w:space="0" w:color="auto"/>
              <w:left w:val="single" w:sz="4" w:space="0" w:color="auto"/>
              <w:bottom w:val="single" w:sz="4" w:space="0" w:color="auto"/>
              <w:right w:val="single" w:sz="4" w:space="0" w:color="auto"/>
            </w:tcBorders>
            <w:vAlign w:val="bottom"/>
          </w:tcPr>
          <w:p w14:paraId="5E1C7F7F" w14:textId="77777777" w:rsidR="00A739E1" w:rsidRPr="002431C0" w:rsidRDefault="00A739E1" w:rsidP="0071296E">
            <w:pPr>
              <w:jc w:val="right"/>
              <w:rPr>
                <w:sz w:val="20"/>
                <w:szCs w:val="20"/>
              </w:rPr>
            </w:pPr>
            <w:r w:rsidRPr="002431C0">
              <w:rPr>
                <w:sz w:val="20"/>
                <w:szCs w:val="20"/>
              </w:rPr>
              <w:t>15,002</w:t>
            </w:r>
          </w:p>
        </w:tc>
        <w:tc>
          <w:tcPr>
            <w:tcW w:w="1062" w:type="dxa"/>
            <w:tcBorders>
              <w:top w:val="single" w:sz="18" w:space="0" w:color="auto"/>
              <w:left w:val="single" w:sz="4" w:space="0" w:color="auto"/>
              <w:bottom w:val="single" w:sz="4" w:space="0" w:color="auto"/>
              <w:right w:val="single" w:sz="4" w:space="0" w:color="auto"/>
            </w:tcBorders>
            <w:vAlign w:val="bottom"/>
          </w:tcPr>
          <w:p w14:paraId="06540E45" w14:textId="77777777" w:rsidR="00A739E1" w:rsidRPr="002431C0" w:rsidRDefault="00A739E1" w:rsidP="0071296E">
            <w:pPr>
              <w:jc w:val="right"/>
              <w:rPr>
                <w:sz w:val="20"/>
                <w:szCs w:val="20"/>
              </w:rPr>
            </w:pPr>
            <w:r w:rsidRPr="002431C0">
              <w:rPr>
                <w:sz w:val="20"/>
                <w:szCs w:val="20"/>
              </w:rPr>
              <w:t>233,475</w:t>
            </w:r>
          </w:p>
        </w:tc>
        <w:tc>
          <w:tcPr>
            <w:tcW w:w="1512" w:type="dxa"/>
            <w:tcBorders>
              <w:top w:val="single" w:sz="18" w:space="0" w:color="auto"/>
              <w:left w:val="single" w:sz="4" w:space="0" w:color="auto"/>
              <w:bottom w:val="single" w:sz="4" w:space="0" w:color="auto"/>
              <w:right w:val="thickThinSmallGap" w:sz="24" w:space="0" w:color="auto"/>
            </w:tcBorders>
            <w:noWrap/>
            <w:vAlign w:val="bottom"/>
          </w:tcPr>
          <w:p w14:paraId="61B42C74" w14:textId="77777777" w:rsidR="00A739E1" w:rsidRPr="002431C0" w:rsidRDefault="00A739E1" w:rsidP="0071296E">
            <w:pPr>
              <w:jc w:val="right"/>
              <w:rPr>
                <w:sz w:val="20"/>
                <w:szCs w:val="20"/>
              </w:rPr>
            </w:pPr>
            <w:r w:rsidRPr="002431C0">
              <w:rPr>
                <w:sz w:val="20"/>
                <w:szCs w:val="20"/>
              </w:rPr>
              <w:t>3,255</w:t>
            </w:r>
          </w:p>
        </w:tc>
      </w:tr>
      <w:tr w:rsidR="00A739E1" w:rsidRPr="002431C0" w14:paraId="1AFE2496" w14:textId="77777777" w:rsidTr="0071296E">
        <w:trPr>
          <w:trHeight w:val="255"/>
        </w:trPr>
        <w:tc>
          <w:tcPr>
            <w:tcW w:w="1008" w:type="dxa"/>
            <w:tcBorders>
              <w:top w:val="single" w:sz="4" w:space="0" w:color="auto"/>
              <w:left w:val="thinThickSmallGap" w:sz="24" w:space="0" w:color="auto"/>
              <w:bottom w:val="single" w:sz="4" w:space="0" w:color="auto"/>
              <w:right w:val="single" w:sz="4" w:space="0" w:color="auto"/>
            </w:tcBorders>
            <w:shd w:val="clear" w:color="auto" w:fill="auto"/>
            <w:noWrap/>
            <w:vAlign w:val="bottom"/>
          </w:tcPr>
          <w:p w14:paraId="04B97DA1" w14:textId="77777777" w:rsidR="00A739E1" w:rsidRPr="002431C0" w:rsidRDefault="00A739E1" w:rsidP="0071296E">
            <w:pPr>
              <w:rPr>
                <w:bCs/>
                <w:sz w:val="20"/>
                <w:szCs w:val="20"/>
              </w:rPr>
            </w:pPr>
            <w:r w:rsidRPr="002431C0">
              <w:rPr>
                <w:bCs/>
                <w:sz w:val="20"/>
                <w:szCs w:val="20"/>
              </w:rPr>
              <w:t>1.01</w:t>
            </w:r>
          </w:p>
        </w:tc>
        <w:tc>
          <w:tcPr>
            <w:tcW w:w="5472" w:type="dxa"/>
            <w:tcBorders>
              <w:top w:val="single" w:sz="4" w:space="0" w:color="auto"/>
              <w:left w:val="nil"/>
              <w:bottom w:val="single" w:sz="4" w:space="0" w:color="auto"/>
              <w:right w:val="nil"/>
            </w:tcBorders>
            <w:shd w:val="clear" w:color="auto" w:fill="auto"/>
            <w:noWrap/>
            <w:vAlign w:val="bottom"/>
          </w:tcPr>
          <w:p w14:paraId="5B15468E" w14:textId="77777777" w:rsidR="00A739E1" w:rsidRPr="002431C0" w:rsidRDefault="00A739E1" w:rsidP="0071296E">
            <w:pPr>
              <w:rPr>
                <w:bCs/>
                <w:sz w:val="20"/>
                <w:szCs w:val="20"/>
              </w:rPr>
            </w:pPr>
            <w:r w:rsidRPr="002431C0">
              <w:rPr>
                <w:bCs/>
                <w:sz w:val="20"/>
                <w:szCs w:val="20"/>
              </w:rPr>
              <w:t>Deferred FIT Rate Base</w:t>
            </w:r>
          </w:p>
        </w:tc>
        <w:tc>
          <w:tcPr>
            <w:tcW w:w="1170" w:type="dxa"/>
            <w:tcBorders>
              <w:top w:val="single" w:sz="4" w:space="0" w:color="auto"/>
              <w:left w:val="single" w:sz="4" w:space="0" w:color="auto"/>
              <w:bottom w:val="single" w:sz="4" w:space="0" w:color="auto"/>
              <w:right w:val="single" w:sz="4" w:space="0" w:color="auto"/>
            </w:tcBorders>
            <w:vAlign w:val="bottom"/>
          </w:tcPr>
          <w:p w14:paraId="5A4090D9" w14:textId="77777777" w:rsidR="00A739E1" w:rsidRPr="002431C0" w:rsidRDefault="00A739E1" w:rsidP="0071296E">
            <w:pPr>
              <w:jc w:val="right"/>
              <w:rPr>
                <w:sz w:val="20"/>
                <w:szCs w:val="20"/>
              </w:rPr>
            </w:pPr>
            <w:r w:rsidRPr="002431C0">
              <w:rPr>
                <w:sz w:val="20"/>
                <w:szCs w:val="20"/>
              </w:rPr>
              <w:t>(28)</w:t>
            </w:r>
          </w:p>
        </w:tc>
        <w:tc>
          <w:tcPr>
            <w:tcW w:w="1062" w:type="dxa"/>
            <w:tcBorders>
              <w:top w:val="single" w:sz="4" w:space="0" w:color="auto"/>
              <w:left w:val="single" w:sz="4" w:space="0" w:color="auto"/>
              <w:bottom w:val="single" w:sz="4" w:space="0" w:color="auto"/>
              <w:right w:val="single" w:sz="4" w:space="0" w:color="auto"/>
            </w:tcBorders>
            <w:vAlign w:val="bottom"/>
          </w:tcPr>
          <w:p w14:paraId="7A01B7CF" w14:textId="77777777" w:rsidR="00A739E1" w:rsidRPr="002431C0" w:rsidRDefault="00A739E1" w:rsidP="0071296E">
            <w:pPr>
              <w:jc w:val="right"/>
              <w:rPr>
                <w:sz w:val="20"/>
                <w:szCs w:val="20"/>
              </w:rPr>
            </w:pPr>
            <w:r w:rsidRPr="002431C0">
              <w:rPr>
                <w:sz w:val="20"/>
                <w:szCs w:val="20"/>
              </w:rPr>
              <w:t>(3,032)</w:t>
            </w:r>
          </w:p>
        </w:tc>
        <w:tc>
          <w:tcPr>
            <w:tcW w:w="1512" w:type="dxa"/>
            <w:tcBorders>
              <w:top w:val="single" w:sz="4" w:space="0" w:color="auto"/>
              <w:left w:val="single" w:sz="4" w:space="0" w:color="auto"/>
              <w:bottom w:val="single" w:sz="4" w:space="0" w:color="auto"/>
              <w:right w:val="thickThinSmallGap" w:sz="24" w:space="0" w:color="auto"/>
            </w:tcBorders>
            <w:noWrap/>
            <w:vAlign w:val="bottom"/>
          </w:tcPr>
          <w:p w14:paraId="2EF57E61" w14:textId="77777777" w:rsidR="00A739E1" w:rsidRPr="002431C0" w:rsidRDefault="00A739E1" w:rsidP="0071296E">
            <w:pPr>
              <w:jc w:val="right"/>
              <w:rPr>
                <w:sz w:val="20"/>
                <w:szCs w:val="20"/>
              </w:rPr>
            </w:pPr>
            <w:r w:rsidRPr="002431C0">
              <w:rPr>
                <w:sz w:val="20"/>
                <w:szCs w:val="20"/>
              </w:rPr>
              <w:t>(311)</w:t>
            </w:r>
          </w:p>
        </w:tc>
      </w:tr>
      <w:tr w:rsidR="00A739E1" w:rsidRPr="002431C0" w14:paraId="3E8F21E1" w14:textId="77777777" w:rsidTr="0071296E">
        <w:trPr>
          <w:trHeight w:val="255"/>
        </w:trPr>
        <w:tc>
          <w:tcPr>
            <w:tcW w:w="1008" w:type="dxa"/>
            <w:tcBorders>
              <w:top w:val="single" w:sz="4" w:space="0" w:color="auto"/>
              <w:left w:val="thinThickSmallGap" w:sz="24" w:space="0" w:color="auto"/>
              <w:bottom w:val="single" w:sz="4" w:space="0" w:color="auto"/>
              <w:right w:val="single" w:sz="4" w:space="0" w:color="auto"/>
            </w:tcBorders>
            <w:shd w:val="clear" w:color="auto" w:fill="auto"/>
            <w:noWrap/>
            <w:vAlign w:val="bottom"/>
          </w:tcPr>
          <w:p w14:paraId="22CE3DB3" w14:textId="77777777" w:rsidR="00A739E1" w:rsidRPr="002431C0" w:rsidRDefault="00A739E1" w:rsidP="0071296E">
            <w:pPr>
              <w:rPr>
                <w:bCs/>
                <w:sz w:val="20"/>
                <w:szCs w:val="20"/>
              </w:rPr>
            </w:pPr>
            <w:r w:rsidRPr="002431C0">
              <w:rPr>
                <w:bCs/>
                <w:sz w:val="20"/>
                <w:szCs w:val="20"/>
              </w:rPr>
              <w:t>1.02</w:t>
            </w:r>
          </w:p>
        </w:tc>
        <w:tc>
          <w:tcPr>
            <w:tcW w:w="5472" w:type="dxa"/>
            <w:tcBorders>
              <w:top w:val="single" w:sz="4" w:space="0" w:color="auto"/>
              <w:left w:val="nil"/>
              <w:bottom w:val="single" w:sz="4" w:space="0" w:color="auto"/>
              <w:right w:val="single" w:sz="8" w:space="0" w:color="000000"/>
            </w:tcBorders>
            <w:shd w:val="clear" w:color="auto" w:fill="auto"/>
            <w:noWrap/>
            <w:vAlign w:val="bottom"/>
          </w:tcPr>
          <w:p w14:paraId="5D21C023" w14:textId="77777777" w:rsidR="00A739E1" w:rsidRPr="002431C0" w:rsidRDefault="00A739E1" w:rsidP="0071296E">
            <w:pPr>
              <w:rPr>
                <w:bCs/>
                <w:sz w:val="20"/>
                <w:szCs w:val="20"/>
              </w:rPr>
            </w:pPr>
            <w:r w:rsidRPr="002431C0">
              <w:rPr>
                <w:bCs/>
                <w:sz w:val="20"/>
                <w:szCs w:val="20"/>
              </w:rPr>
              <w:t>Deferred Debits and Credits</w:t>
            </w:r>
          </w:p>
        </w:tc>
        <w:tc>
          <w:tcPr>
            <w:tcW w:w="1170" w:type="dxa"/>
            <w:tcBorders>
              <w:top w:val="single" w:sz="4" w:space="0" w:color="auto"/>
              <w:left w:val="single" w:sz="4" w:space="0" w:color="auto"/>
              <w:bottom w:val="single" w:sz="4" w:space="0" w:color="auto"/>
              <w:right w:val="single" w:sz="4" w:space="0" w:color="auto"/>
            </w:tcBorders>
            <w:vAlign w:val="bottom"/>
          </w:tcPr>
          <w:p w14:paraId="72D4DCD2" w14:textId="77777777" w:rsidR="00A739E1" w:rsidRPr="002431C0" w:rsidRDefault="00A739E1" w:rsidP="0071296E">
            <w:pPr>
              <w:jc w:val="right"/>
              <w:rPr>
                <w:sz w:val="20"/>
                <w:szCs w:val="20"/>
              </w:rPr>
            </w:pPr>
            <w:r w:rsidRPr="002431C0">
              <w:rPr>
                <w:sz w:val="20"/>
                <w:szCs w:val="20"/>
              </w:rPr>
              <w:t>(1)</w:t>
            </w:r>
          </w:p>
        </w:tc>
        <w:tc>
          <w:tcPr>
            <w:tcW w:w="1062" w:type="dxa"/>
            <w:tcBorders>
              <w:top w:val="single" w:sz="4" w:space="0" w:color="auto"/>
              <w:left w:val="single" w:sz="4" w:space="0" w:color="auto"/>
              <w:bottom w:val="single" w:sz="4" w:space="0" w:color="auto"/>
              <w:right w:val="single" w:sz="4" w:space="0" w:color="auto"/>
            </w:tcBorders>
            <w:vAlign w:val="bottom"/>
          </w:tcPr>
          <w:p w14:paraId="6B2869E2" w14:textId="77777777" w:rsidR="00A739E1" w:rsidRPr="002431C0" w:rsidRDefault="00A739E1" w:rsidP="0071296E">
            <w:pPr>
              <w:jc w:val="right"/>
              <w:rPr>
                <w:sz w:val="20"/>
                <w:szCs w:val="20"/>
              </w:rPr>
            </w:pPr>
            <w:r w:rsidRPr="002431C0">
              <w:rPr>
                <w:sz w:val="20"/>
                <w:szCs w:val="20"/>
              </w:rPr>
              <w:t>-</w:t>
            </w:r>
          </w:p>
        </w:tc>
        <w:tc>
          <w:tcPr>
            <w:tcW w:w="1512" w:type="dxa"/>
            <w:tcBorders>
              <w:top w:val="single" w:sz="4" w:space="0" w:color="auto"/>
              <w:left w:val="single" w:sz="4" w:space="0" w:color="auto"/>
              <w:bottom w:val="single" w:sz="4" w:space="0" w:color="auto"/>
              <w:right w:val="thickThinSmallGap" w:sz="24" w:space="0" w:color="auto"/>
            </w:tcBorders>
            <w:noWrap/>
            <w:vAlign w:val="bottom"/>
          </w:tcPr>
          <w:p w14:paraId="0872FE36" w14:textId="77777777" w:rsidR="00A739E1" w:rsidRPr="002431C0" w:rsidRDefault="00A739E1" w:rsidP="0071296E">
            <w:pPr>
              <w:jc w:val="right"/>
              <w:rPr>
                <w:sz w:val="20"/>
                <w:szCs w:val="20"/>
              </w:rPr>
            </w:pPr>
            <w:r w:rsidRPr="002431C0">
              <w:rPr>
                <w:sz w:val="20"/>
                <w:szCs w:val="20"/>
              </w:rPr>
              <w:t>1</w:t>
            </w:r>
          </w:p>
        </w:tc>
      </w:tr>
      <w:tr w:rsidR="00A739E1" w:rsidRPr="002431C0" w14:paraId="39523622" w14:textId="77777777" w:rsidTr="0071296E">
        <w:trPr>
          <w:trHeight w:val="255"/>
        </w:trPr>
        <w:tc>
          <w:tcPr>
            <w:tcW w:w="1008" w:type="dxa"/>
            <w:tcBorders>
              <w:top w:val="single" w:sz="4" w:space="0" w:color="auto"/>
              <w:left w:val="thinThickSmallGap" w:sz="24" w:space="0" w:color="auto"/>
              <w:bottom w:val="single" w:sz="4" w:space="0" w:color="auto"/>
              <w:right w:val="single" w:sz="4" w:space="0" w:color="auto"/>
            </w:tcBorders>
            <w:shd w:val="clear" w:color="auto" w:fill="auto"/>
            <w:noWrap/>
            <w:vAlign w:val="bottom"/>
          </w:tcPr>
          <w:p w14:paraId="14137A6D" w14:textId="77777777" w:rsidR="00A739E1" w:rsidRPr="002431C0" w:rsidRDefault="00A739E1" w:rsidP="0071296E">
            <w:pPr>
              <w:rPr>
                <w:bCs/>
                <w:sz w:val="20"/>
                <w:szCs w:val="20"/>
              </w:rPr>
            </w:pPr>
            <w:r w:rsidRPr="002431C0">
              <w:rPr>
                <w:bCs/>
                <w:sz w:val="20"/>
                <w:szCs w:val="20"/>
              </w:rPr>
              <w:t>1.03</w:t>
            </w:r>
          </w:p>
        </w:tc>
        <w:tc>
          <w:tcPr>
            <w:tcW w:w="5472" w:type="dxa"/>
            <w:tcBorders>
              <w:top w:val="single" w:sz="4" w:space="0" w:color="auto"/>
              <w:left w:val="nil"/>
              <w:bottom w:val="single" w:sz="4" w:space="0" w:color="auto"/>
              <w:right w:val="nil"/>
            </w:tcBorders>
            <w:shd w:val="clear" w:color="auto" w:fill="auto"/>
            <w:noWrap/>
            <w:vAlign w:val="bottom"/>
          </w:tcPr>
          <w:p w14:paraId="4A4C583A" w14:textId="77777777" w:rsidR="00A739E1" w:rsidRPr="002431C0" w:rsidRDefault="00A739E1" w:rsidP="0071296E">
            <w:pPr>
              <w:rPr>
                <w:bCs/>
                <w:sz w:val="20"/>
                <w:szCs w:val="20"/>
              </w:rPr>
            </w:pPr>
            <w:r w:rsidRPr="002431C0">
              <w:rPr>
                <w:bCs/>
                <w:sz w:val="20"/>
                <w:szCs w:val="20"/>
              </w:rPr>
              <w:t>Working Capital</w:t>
            </w:r>
          </w:p>
        </w:tc>
        <w:tc>
          <w:tcPr>
            <w:tcW w:w="1170" w:type="dxa"/>
            <w:tcBorders>
              <w:top w:val="single" w:sz="4" w:space="0" w:color="auto"/>
              <w:left w:val="single" w:sz="4" w:space="0" w:color="auto"/>
              <w:bottom w:val="single" w:sz="4" w:space="0" w:color="auto"/>
              <w:right w:val="single" w:sz="4" w:space="0" w:color="auto"/>
            </w:tcBorders>
            <w:vAlign w:val="bottom"/>
          </w:tcPr>
          <w:p w14:paraId="6DE17E7C" w14:textId="77777777" w:rsidR="00A739E1" w:rsidRPr="002431C0" w:rsidRDefault="00A739E1" w:rsidP="0071296E">
            <w:pPr>
              <w:jc w:val="right"/>
              <w:rPr>
                <w:sz w:val="20"/>
                <w:szCs w:val="20"/>
              </w:rPr>
            </w:pPr>
            <w:r w:rsidRPr="002431C0">
              <w:rPr>
                <w:sz w:val="20"/>
                <w:szCs w:val="20"/>
              </w:rPr>
              <w:t>97</w:t>
            </w:r>
          </w:p>
        </w:tc>
        <w:tc>
          <w:tcPr>
            <w:tcW w:w="1062" w:type="dxa"/>
            <w:tcBorders>
              <w:top w:val="single" w:sz="4" w:space="0" w:color="auto"/>
              <w:left w:val="single" w:sz="4" w:space="0" w:color="auto"/>
              <w:bottom w:val="single" w:sz="4" w:space="0" w:color="auto"/>
              <w:right w:val="single" w:sz="4" w:space="0" w:color="auto"/>
            </w:tcBorders>
            <w:vAlign w:val="bottom"/>
          </w:tcPr>
          <w:p w14:paraId="7EBE5DF1" w14:textId="77777777" w:rsidR="00A739E1" w:rsidRPr="002431C0" w:rsidRDefault="00A739E1" w:rsidP="0071296E">
            <w:pPr>
              <w:jc w:val="right"/>
              <w:rPr>
                <w:sz w:val="20"/>
                <w:szCs w:val="20"/>
              </w:rPr>
            </w:pPr>
            <w:r w:rsidRPr="002431C0">
              <w:rPr>
                <w:sz w:val="20"/>
                <w:szCs w:val="20"/>
              </w:rPr>
              <w:t>10,371</w:t>
            </w:r>
          </w:p>
        </w:tc>
        <w:tc>
          <w:tcPr>
            <w:tcW w:w="1512" w:type="dxa"/>
            <w:tcBorders>
              <w:top w:val="single" w:sz="4" w:space="0" w:color="auto"/>
              <w:left w:val="single" w:sz="4" w:space="0" w:color="auto"/>
              <w:bottom w:val="single" w:sz="4" w:space="0" w:color="auto"/>
              <w:right w:val="thickThinSmallGap" w:sz="24" w:space="0" w:color="auto"/>
            </w:tcBorders>
            <w:noWrap/>
            <w:vAlign w:val="bottom"/>
          </w:tcPr>
          <w:p w14:paraId="6826F357" w14:textId="77777777" w:rsidR="00A739E1" w:rsidRPr="002431C0" w:rsidRDefault="00A739E1" w:rsidP="0071296E">
            <w:pPr>
              <w:jc w:val="right"/>
              <w:rPr>
                <w:sz w:val="20"/>
                <w:szCs w:val="20"/>
              </w:rPr>
            </w:pPr>
            <w:r w:rsidRPr="002431C0">
              <w:rPr>
                <w:sz w:val="20"/>
                <w:szCs w:val="20"/>
              </w:rPr>
              <w:t>1,062</w:t>
            </w:r>
          </w:p>
        </w:tc>
      </w:tr>
      <w:tr w:rsidR="00A739E1" w:rsidRPr="002431C0" w14:paraId="6D37C558" w14:textId="77777777" w:rsidTr="0071296E">
        <w:trPr>
          <w:trHeight w:val="255"/>
        </w:trPr>
        <w:tc>
          <w:tcPr>
            <w:tcW w:w="1008" w:type="dxa"/>
            <w:tcBorders>
              <w:top w:val="single" w:sz="4" w:space="0" w:color="auto"/>
              <w:left w:val="thinThickSmallGap" w:sz="24" w:space="0" w:color="auto"/>
              <w:bottom w:val="single" w:sz="4" w:space="0" w:color="auto"/>
              <w:right w:val="single" w:sz="4" w:space="0" w:color="auto"/>
            </w:tcBorders>
            <w:shd w:val="clear" w:color="auto" w:fill="auto"/>
            <w:noWrap/>
            <w:vAlign w:val="bottom"/>
          </w:tcPr>
          <w:p w14:paraId="21F394EA" w14:textId="77777777" w:rsidR="00A739E1" w:rsidRPr="002431C0" w:rsidRDefault="00A739E1" w:rsidP="0071296E">
            <w:pPr>
              <w:rPr>
                <w:bCs/>
                <w:sz w:val="20"/>
                <w:szCs w:val="20"/>
              </w:rPr>
            </w:pPr>
            <w:r w:rsidRPr="002431C0">
              <w:rPr>
                <w:bCs/>
                <w:sz w:val="20"/>
                <w:szCs w:val="20"/>
              </w:rPr>
              <w:t>2.01</w:t>
            </w:r>
          </w:p>
        </w:tc>
        <w:tc>
          <w:tcPr>
            <w:tcW w:w="5472" w:type="dxa"/>
            <w:tcBorders>
              <w:top w:val="single" w:sz="4" w:space="0" w:color="auto"/>
              <w:left w:val="nil"/>
              <w:bottom w:val="single" w:sz="4" w:space="0" w:color="auto"/>
              <w:right w:val="nil"/>
            </w:tcBorders>
            <w:shd w:val="clear" w:color="auto" w:fill="auto"/>
            <w:noWrap/>
            <w:vAlign w:val="bottom"/>
          </w:tcPr>
          <w:p w14:paraId="18A49154" w14:textId="77777777" w:rsidR="00A739E1" w:rsidRPr="002431C0" w:rsidRDefault="00A739E1" w:rsidP="0071296E">
            <w:pPr>
              <w:rPr>
                <w:bCs/>
                <w:sz w:val="20"/>
                <w:szCs w:val="20"/>
              </w:rPr>
            </w:pPr>
            <w:r w:rsidRPr="002431C0">
              <w:rPr>
                <w:bCs/>
                <w:sz w:val="20"/>
                <w:szCs w:val="20"/>
              </w:rPr>
              <w:t>Eliminate B &amp; O Taxes</w:t>
            </w:r>
          </w:p>
        </w:tc>
        <w:tc>
          <w:tcPr>
            <w:tcW w:w="1170" w:type="dxa"/>
            <w:tcBorders>
              <w:top w:val="single" w:sz="4" w:space="0" w:color="auto"/>
              <w:left w:val="single" w:sz="4" w:space="0" w:color="auto"/>
              <w:bottom w:val="single" w:sz="4" w:space="0" w:color="auto"/>
              <w:right w:val="single" w:sz="4" w:space="0" w:color="auto"/>
            </w:tcBorders>
            <w:vAlign w:val="bottom"/>
          </w:tcPr>
          <w:p w14:paraId="7C67FF74" w14:textId="77777777" w:rsidR="00A739E1" w:rsidRPr="002431C0" w:rsidRDefault="00A739E1" w:rsidP="0071296E">
            <w:pPr>
              <w:jc w:val="right"/>
              <w:rPr>
                <w:sz w:val="20"/>
                <w:szCs w:val="20"/>
              </w:rPr>
            </w:pPr>
            <w:r w:rsidRPr="002431C0">
              <w:rPr>
                <w:sz w:val="20"/>
                <w:szCs w:val="20"/>
              </w:rPr>
              <w:t>(7)</w:t>
            </w:r>
          </w:p>
        </w:tc>
        <w:tc>
          <w:tcPr>
            <w:tcW w:w="1062" w:type="dxa"/>
            <w:tcBorders>
              <w:top w:val="single" w:sz="4" w:space="0" w:color="auto"/>
              <w:left w:val="single" w:sz="4" w:space="0" w:color="auto"/>
              <w:bottom w:val="single" w:sz="4" w:space="0" w:color="auto"/>
              <w:right w:val="single" w:sz="4" w:space="0" w:color="auto"/>
            </w:tcBorders>
            <w:vAlign w:val="bottom"/>
          </w:tcPr>
          <w:p w14:paraId="3CC01155" w14:textId="77777777" w:rsidR="00A739E1" w:rsidRPr="002431C0" w:rsidRDefault="00A739E1" w:rsidP="0071296E">
            <w:pPr>
              <w:jc w:val="right"/>
              <w:rPr>
                <w:sz w:val="20"/>
                <w:szCs w:val="20"/>
              </w:rPr>
            </w:pPr>
            <w:r w:rsidRPr="002431C0">
              <w:rPr>
                <w:sz w:val="20"/>
                <w:szCs w:val="20"/>
              </w:rPr>
              <w:t>-</w:t>
            </w:r>
          </w:p>
        </w:tc>
        <w:tc>
          <w:tcPr>
            <w:tcW w:w="1512" w:type="dxa"/>
            <w:tcBorders>
              <w:top w:val="single" w:sz="4" w:space="0" w:color="auto"/>
              <w:left w:val="single" w:sz="4" w:space="0" w:color="auto"/>
              <w:bottom w:val="single" w:sz="4" w:space="0" w:color="auto"/>
              <w:right w:val="thickThinSmallGap" w:sz="24" w:space="0" w:color="auto"/>
            </w:tcBorders>
            <w:noWrap/>
            <w:vAlign w:val="bottom"/>
          </w:tcPr>
          <w:p w14:paraId="2F65BE06" w14:textId="77777777" w:rsidR="00A739E1" w:rsidRPr="002431C0" w:rsidRDefault="00A739E1" w:rsidP="0071296E">
            <w:pPr>
              <w:jc w:val="right"/>
              <w:rPr>
                <w:sz w:val="20"/>
                <w:szCs w:val="20"/>
              </w:rPr>
            </w:pPr>
            <w:r w:rsidRPr="002431C0">
              <w:rPr>
                <w:sz w:val="20"/>
                <w:szCs w:val="20"/>
              </w:rPr>
              <w:t>12</w:t>
            </w:r>
          </w:p>
        </w:tc>
      </w:tr>
      <w:tr w:rsidR="00A739E1" w:rsidRPr="002431C0" w14:paraId="36A884B7" w14:textId="77777777" w:rsidTr="0071296E">
        <w:trPr>
          <w:trHeight w:val="255"/>
        </w:trPr>
        <w:tc>
          <w:tcPr>
            <w:tcW w:w="1008" w:type="dxa"/>
            <w:tcBorders>
              <w:top w:val="single" w:sz="4" w:space="0" w:color="auto"/>
              <w:left w:val="thinThickSmallGap" w:sz="24" w:space="0" w:color="auto"/>
              <w:bottom w:val="single" w:sz="4" w:space="0" w:color="auto"/>
              <w:right w:val="single" w:sz="4" w:space="0" w:color="auto"/>
            </w:tcBorders>
            <w:shd w:val="clear" w:color="auto" w:fill="auto"/>
            <w:noWrap/>
            <w:vAlign w:val="bottom"/>
          </w:tcPr>
          <w:p w14:paraId="0F9AA0A8" w14:textId="77777777" w:rsidR="00A739E1" w:rsidRPr="002431C0" w:rsidRDefault="00A739E1" w:rsidP="0071296E">
            <w:pPr>
              <w:rPr>
                <w:bCs/>
                <w:sz w:val="20"/>
                <w:szCs w:val="20"/>
              </w:rPr>
            </w:pPr>
            <w:r w:rsidRPr="002431C0">
              <w:rPr>
                <w:bCs/>
                <w:sz w:val="20"/>
                <w:szCs w:val="20"/>
              </w:rPr>
              <w:t>2.02</w:t>
            </w:r>
          </w:p>
        </w:tc>
        <w:tc>
          <w:tcPr>
            <w:tcW w:w="5472" w:type="dxa"/>
            <w:tcBorders>
              <w:top w:val="single" w:sz="4" w:space="0" w:color="auto"/>
              <w:left w:val="nil"/>
              <w:bottom w:val="single" w:sz="4" w:space="0" w:color="auto"/>
              <w:right w:val="nil"/>
            </w:tcBorders>
            <w:shd w:val="clear" w:color="auto" w:fill="auto"/>
            <w:noWrap/>
            <w:vAlign w:val="bottom"/>
          </w:tcPr>
          <w:p w14:paraId="3A11FEDC" w14:textId="77777777" w:rsidR="00A739E1" w:rsidRPr="002431C0" w:rsidRDefault="00A739E1" w:rsidP="0071296E">
            <w:pPr>
              <w:rPr>
                <w:bCs/>
                <w:sz w:val="20"/>
                <w:szCs w:val="20"/>
              </w:rPr>
            </w:pPr>
            <w:r w:rsidRPr="002431C0">
              <w:rPr>
                <w:bCs/>
                <w:sz w:val="20"/>
                <w:szCs w:val="20"/>
              </w:rPr>
              <w:t>Restate Property Tax</w:t>
            </w:r>
          </w:p>
        </w:tc>
        <w:tc>
          <w:tcPr>
            <w:tcW w:w="1170" w:type="dxa"/>
            <w:tcBorders>
              <w:top w:val="single" w:sz="4" w:space="0" w:color="auto"/>
              <w:left w:val="single" w:sz="4" w:space="0" w:color="auto"/>
              <w:bottom w:val="single" w:sz="4" w:space="0" w:color="auto"/>
              <w:right w:val="single" w:sz="4" w:space="0" w:color="auto"/>
            </w:tcBorders>
            <w:vAlign w:val="bottom"/>
          </w:tcPr>
          <w:p w14:paraId="5F6B0FBE" w14:textId="77777777" w:rsidR="00A739E1" w:rsidRPr="002431C0" w:rsidRDefault="00A739E1" w:rsidP="0071296E">
            <w:pPr>
              <w:jc w:val="right"/>
              <w:rPr>
                <w:sz w:val="20"/>
                <w:szCs w:val="20"/>
              </w:rPr>
            </w:pPr>
            <w:r w:rsidRPr="002431C0">
              <w:rPr>
                <w:sz w:val="20"/>
                <w:szCs w:val="20"/>
              </w:rPr>
              <w:t>(52)</w:t>
            </w:r>
          </w:p>
        </w:tc>
        <w:tc>
          <w:tcPr>
            <w:tcW w:w="1062" w:type="dxa"/>
            <w:tcBorders>
              <w:top w:val="single" w:sz="4" w:space="0" w:color="auto"/>
              <w:left w:val="single" w:sz="4" w:space="0" w:color="auto"/>
              <w:bottom w:val="single" w:sz="4" w:space="0" w:color="auto"/>
              <w:right w:val="single" w:sz="4" w:space="0" w:color="auto"/>
            </w:tcBorders>
            <w:vAlign w:val="bottom"/>
          </w:tcPr>
          <w:p w14:paraId="2947D35A" w14:textId="77777777" w:rsidR="00A739E1" w:rsidRPr="002431C0" w:rsidRDefault="00A739E1" w:rsidP="0071296E">
            <w:pPr>
              <w:jc w:val="right"/>
              <w:rPr>
                <w:sz w:val="20"/>
                <w:szCs w:val="20"/>
              </w:rPr>
            </w:pPr>
            <w:r w:rsidRPr="002431C0">
              <w:rPr>
                <w:sz w:val="20"/>
                <w:szCs w:val="20"/>
              </w:rPr>
              <w:t>-</w:t>
            </w:r>
          </w:p>
        </w:tc>
        <w:tc>
          <w:tcPr>
            <w:tcW w:w="1512" w:type="dxa"/>
            <w:tcBorders>
              <w:top w:val="single" w:sz="4" w:space="0" w:color="auto"/>
              <w:left w:val="single" w:sz="4" w:space="0" w:color="auto"/>
              <w:bottom w:val="single" w:sz="4" w:space="0" w:color="auto"/>
              <w:right w:val="thickThinSmallGap" w:sz="24" w:space="0" w:color="auto"/>
            </w:tcBorders>
            <w:noWrap/>
            <w:vAlign w:val="bottom"/>
          </w:tcPr>
          <w:p w14:paraId="4383E9AE" w14:textId="77777777" w:rsidR="00A739E1" w:rsidRPr="002431C0" w:rsidRDefault="00A739E1" w:rsidP="0071296E">
            <w:pPr>
              <w:jc w:val="right"/>
              <w:rPr>
                <w:sz w:val="20"/>
                <w:szCs w:val="20"/>
              </w:rPr>
            </w:pPr>
            <w:r w:rsidRPr="002431C0">
              <w:rPr>
                <w:sz w:val="20"/>
                <w:szCs w:val="20"/>
              </w:rPr>
              <w:t>84</w:t>
            </w:r>
          </w:p>
        </w:tc>
      </w:tr>
      <w:tr w:rsidR="00A739E1" w:rsidRPr="002431C0" w14:paraId="2493904D" w14:textId="77777777" w:rsidTr="0071296E">
        <w:trPr>
          <w:trHeight w:val="255"/>
        </w:trPr>
        <w:tc>
          <w:tcPr>
            <w:tcW w:w="1008" w:type="dxa"/>
            <w:tcBorders>
              <w:top w:val="single" w:sz="4" w:space="0" w:color="auto"/>
              <w:left w:val="thinThickSmallGap" w:sz="24" w:space="0" w:color="auto"/>
              <w:bottom w:val="single" w:sz="4" w:space="0" w:color="auto"/>
              <w:right w:val="single" w:sz="4" w:space="0" w:color="auto"/>
            </w:tcBorders>
            <w:shd w:val="clear" w:color="auto" w:fill="auto"/>
            <w:noWrap/>
            <w:vAlign w:val="bottom"/>
          </w:tcPr>
          <w:p w14:paraId="79F82569" w14:textId="77777777" w:rsidR="00A739E1" w:rsidRPr="002431C0" w:rsidRDefault="00A739E1" w:rsidP="0071296E">
            <w:pPr>
              <w:rPr>
                <w:bCs/>
                <w:sz w:val="20"/>
                <w:szCs w:val="20"/>
              </w:rPr>
            </w:pPr>
            <w:r w:rsidRPr="002431C0">
              <w:rPr>
                <w:bCs/>
                <w:sz w:val="20"/>
                <w:szCs w:val="20"/>
              </w:rPr>
              <w:t>2.03</w:t>
            </w:r>
          </w:p>
        </w:tc>
        <w:tc>
          <w:tcPr>
            <w:tcW w:w="5472" w:type="dxa"/>
            <w:tcBorders>
              <w:top w:val="single" w:sz="4" w:space="0" w:color="auto"/>
              <w:left w:val="nil"/>
              <w:bottom w:val="single" w:sz="4" w:space="0" w:color="auto"/>
              <w:right w:val="nil"/>
            </w:tcBorders>
            <w:shd w:val="clear" w:color="auto" w:fill="auto"/>
            <w:noWrap/>
            <w:vAlign w:val="bottom"/>
          </w:tcPr>
          <w:p w14:paraId="3FC0318B" w14:textId="77777777" w:rsidR="00A739E1" w:rsidRPr="002431C0" w:rsidRDefault="00A739E1" w:rsidP="0071296E">
            <w:pPr>
              <w:rPr>
                <w:bCs/>
                <w:sz w:val="20"/>
                <w:szCs w:val="20"/>
              </w:rPr>
            </w:pPr>
            <w:r w:rsidRPr="002431C0">
              <w:rPr>
                <w:bCs/>
                <w:sz w:val="20"/>
                <w:szCs w:val="20"/>
              </w:rPr>
              <w:t>Uncollectible Expense</w:t>
            </w:r>
          </w:p>
        </w:tc>
        <w:tc>
          <w:tcPr>
            <w:tcW w:w="1170" w:type="dxa"/>
            <w:tcBorders>
              <w:top w:val="single" w:sz="4" w:space="0" w:color="auto"/>
              <w:left w:val="single" w:sz="4" w:space="0" w:color="auto"/>
              <w:bottom w:val="single" w:sz="4" w:space="0" w:color="auto"/>
              <w:right w:val="single" w:sz="4" w:space="0" w:color="auto"/>
            </w:tcBorders>
            <w:vAlign w:val="bottom"/>
          </w:tcPr>
          <w:p w14:paraId="4B3979D6" w14:textId="77777777" w:rsidR="00A739E1" w:rsidRPr="002431C0" w:rsidRDefault="00A739E1" w:rsidP="0071296E">
            <w:pPr>
              <w:jc w:val="right"/>
              <w:rPr>
                <w:sz w:val="20"/>
                <w:szCs w:val="20"/>
              </w:rPr>
            </w:pPr>
            <w:r w:rsidRPr="002431C0">
              <w:rPr>
                <w:sz w:val="20"/>
                <w:szCs w:val="20"/>
              </w:rPr>
              <w:t>98</w:t>
            </w:r>
          </w:p>
        </w:tc>
        <w:tc>
          <w:tcPr>
            <w:tcW w:w="1062" w:type="dxa"/>
            <w:tcBorders>
              <w:top w:val="single" w:sz="4" w:space="0" w:color="auto"/>
              <w:left w:val="single" w:sz="4" w:space="0" w:color="auto"/>
              <w:bottom w:val="single" w:sz="4" w:space="0" w:color="auto"/>
              <w:right w:val="single" w:sz="4" w:space="0" w:color="auto"/>
            </w:tcBorders>
            <w:vAlign w:val="bottom"/>
          </w:tcPr>
          <w:p w14:paraId="7703E67F" w14:textId="77777777" w:rsidR="00A739E1" w:rsidRPr="002431C0" w:rsidRDefault="00A739E1" w:rsidP="0071296E">
            <w:pPr>
              <w:jc w:val="right"/>
              <w:rPr>
                <w:sz w:val="20"/>
                <w:szCs w:val="20"/>
              </w:rPr>
            </w:pPr>
            <w:r w:rsidRPr="002431C0">
              <w:rPr>
                <w:sz w:val="20"/>
                <w:szCs w:val="20"/>
              </w:rPr>
              <w:t>-</w:t>
            </w:r>
          </w:p>
        </w:tc>
        <w:tc>
          <w:tcPr>
            <w:tcW w:w="1512" w:type="dxa"/>
            <w:tcBorders>
              <w:top w:val="single" w:sz="4" w:space="0" w:color="auto"/>
              <w:left w:val="single" w:sz="4" w:space="0" w:color="auto"/>
              <w:bottom w:val="single" w:sz="4" w:space="0" w:color="auto"/>
              <w:right w:val="thickThinSmallGap" w:sz="24" w:space="0" w:color="auto"/>
            </w:tcBorders>
            <w:noWrap/>
            <w:vAlign w:val="bottom"/>
          </w:tcPr>
          <w:p w14:paraId="6BAE9B95" w14:textId="77777777" w:rsidR="00A739E1" w:rsidRPr="002431C0" w:rsidRDefault="00A739E1" w:rsidP="0071296E">
            <w:pPr>
              <w:jc w:val="right"/>
              <w:rPr>
                <w:sz w:val="20"/>
                <w:szCs w:val="20"/>
              </w:rPr>
            </w:pPr>
            <w:r w:rsidRPr="002431C0">
              <w:rPr>
                <w:sz w:val="20"/>
                <w:szCs w:val="20"/>
              </w:rPr>
              <w:t>(157)</w:t>
            </w:r>
          </w:p>
        </w:tc>
      </w:tr>
      <w:tr w:rsidR="00A739E1" w:rsidRPr="002431C0" w14:paraId="73EBA738" w14:textId="77777777" w:rsidTr="0071296E">
        <w:trPr>
          <w:trHeight w:val="255"/>
        </w:trPr>
        <w:tc>
          <w:tcPr>
            <w:tcW w:w="1008" w:type="dxa"/>
            <w:tcBorders>
              <w:top w:val="single" w:sz="4" w:space="0" w:color="auto"/>
              <w:left w:val="thinThickSmallGap" w:sz="24" w:space="0" w:color="auto"/>
              <w:bottom w:val="single" w:sz="4" w:space="0" w:color="auto"/>
              <w:right w:val="single" w:sz="4" w:space="0" w:color="auto"/>
            </w:tcBorders>
            <w:shd w:val="clear" w:color="auto" w:fill="auto"/>
            <w:noWrap/>
            <w:vAlign w:val="bottom"/>
          </w:tcPr>
          <w:p w14:paraId="4C13A679" w14:textId="77777777" w:rsidR="00A739E1" w:rsidRPr="002431C0" w:rsidRDefault="00A739E1" w:rsidP="0071296E">
            <w:pPr>
              <w:rPr>
                <w:bCs/>
                <w:sz w:val="20"/>
                <w:szCs w:val="20"/>
              </w:rPr>
            </w:pPr>
            <w:r w:rsidRPr="002431C0">
              <w:rPr>
                <w:bCs/>
                <w:sz w:val="20"/>
                <w:szCs w:val="20"/>
              </w:rPr>
              <w:t>2.04</w:t>
            </w:r>
          </w:p>
        </w:tc>
        <w:tc>
          <w:tcPr>
            <w:tcW w:w="5472" w:type="dxa"/>
            <w:tcBorders>
              <w:top w:val="single" w:sz="4" w:space="0" w:color="auto"/>
              <w:left w:val="nil"/>
              <w:bottom w:val="single" w:sz="4" w:space="0" w:color="auto"/>
              <w:right w:val="nil"/>
            </w:tcBorders>
            <w:shd w:val="clear" w:color="auto" w:fill="auto"/>
            <w:noWrap/>
            <w:vAlign w:val="bottom"/>
          </w:tcPr>
          <w:p w14:paraId="28E65B42" w14:textId="77777777" w:rsidR="00A739E1" w:rsidRPr="002431C0" w:rsidRDefault="00A739E1" w:rsidP="0071296E">
            <w:pPr>
              <w:rPr>
                <w:bCs/>
                <w:sz w:val="20"/>
                <w:szCs w:val="20"/>
              </w:rPr>
            </w:pPr>
            <w:r w:rsidRPr="002431C0">
              <w:rPr>
                <w:bCs/>
                <w:sz w:val="20"/>
                <w:szCs w:val="20"/>
              </w:rPr>
              <w:t>Regulatory Expense</w:t>
            </w:r>
          </w:p>
        </w:tc>
        <w:tc>
          <w:tcPr>
            <w:tcW w:w="1170" w:type="dxa"/>
            <w:tcBorders>
              <w:top w:val="single" w:sz="4" w:space="0" w:color="auto"/>
              <w:left w:val="single" w:sz="4" w:space="0" w:color="auto"/>
              <w:bottom w:val="single" w:sz="4" w:space="0" w:color="auto"/>
              <w:right w:val="single" w:sz="4" w:space="0" w:color="auto"/>
            </w:tcBorders>
            <w:vAlign w:val="bottom"/>
          </w:tcPr>
          <w:p w14:paraId="2847AAA6" w14:textId="77777777" w:rsidR="00A739E1" w:rsidRPr="002431C0" w:rsidRDefault="00A739E1" w:rsidP="0071296E">
            <w:pPr>
              <w:jc w:val="right"/>
              <w:rPr>
                <w:sz w:val="20"/>
                <w:szCs w:val="20"/>
              </w:rPr>
            </w:pPr>
            <w:r w:rsidRPr="002431C0">
              <w:rPr>
                <w:sz w:val="20"/>
                <w:szCs w:val="20"/>
              </w:rPr>
              <w:t>(21)</w:t>
            </w:r>
          </w:p>
        </w:tc>
        <w:tc>
          <w:tcPr>
            <w:tcW w:w="1062" w:type="dxa"/>
            <w:tcBorders>
              <w:top w:val="single" w:sz="4" w:space="0" w:color="auto"/>
              <w:left w:val="single" w:sz="4" w:space="0" w:color="auto"/>
              <w:bottom w:val="single" w:sz="4" w:space="0" w:color="auto"/>
              <w:right w:val="single" w:sz="4" w:space="0" w:color="auto"/>
            </w:tcBorders>
            <w:vAlign w:val="bottom"/>
          </w:tcPr>
          <w:p w14:paraId="606A7A92" w14:textId="77777777" w:rsidR="00A739E1" w:rsidRPr="002431C0" w:rsidRDefault="00A739E1" w:rsidP="0071296E">
            <w:pPr>
              <w:jc w:val="right"/>
              <w:rPr>
                <w:sz w:val="20"/>
                <w:szCs w:val="20"/>
              </w:rPr>
            </w:pPr>
            <w:r w:rsidRPr="002431C0">
              <w:rPr>
                <w:sz w:val="20"/>
                <w:szCs w:val="20"/>
              </w:rPr>
              <w:t>-</w:t>
            </w:r>
          </w:p>
        </w:tc>
        <w:tc>
          <w:tcPr>
            <w:tcW w:w="1512" w:type="dxa"/>
            <w:tcBorders>
              <w:top w:val="single" w:sz="4" w:space="0" w:color="auto"/>
              <w:left w:val="single" w:sz="4" w:space="0" w:color="auto"/>
              <w:bottom w:val="single" w:sz="4" w:space="0" w:color="auto"/>
              <w:right w:val="thickThinSmallGap" w:sz="24" w:space="0" w:color="auto"/>
            </w:tcBorders>
            <w:noWrap/>
            <w:vAlign w:val="bottom"/>
          </w:tcPr>
          <w:p w14:paraId="6FED0BD4" w14:textId="77777777" w:rsidR="00A739E1" w:rsidRPr="002431C0" w:rsidRDefault="00A739E1" w:rsidP="0071296E">
            <w:pPr>
              <w:jc w:val="right"/>
              <w:rPr>
                <w:sz w:val="20"/>
                <w:szCs w:val="20"/>
              </w:rPr>
            </w:pPr>
            <w:r w:rsidRPr="002431C0">
              <w:rPr>
                <w:sz w:val="20"/>
                <w:szCs w:val="20"/>
              </w:rPr>
              <w:t>34</w:t>
            </w:r>
          </w:p>
        </w:tc>
      </w:tr>
      <w:tr w:rsidR="00A739E1" w:rsidRPr="002431C0" w14:paraId="14A10D50" w14:textId="77777777" w:rsidTr="0071296E">
        <w:trPr>
          <w:trHeight w:val="255"/>
        </w:trPr>
        <w:tc>
          <w:tcPr>
            <w:tcW w:w="1008" w:type="dxa"/>
            <w:tcBorders>
              <w:top w:val="single" w:sz="4" w:space="0" w:color="auto"/>
              <w:left w:val="thinThickSmallGap" w:sz="24" w:space="0" w:color="auto"/>
              <w:bottom w:val="single" w:sz="4" w:space="0" w:color="auto"/>
              <w:right w:val="single" w:sz="4" w:space="0" w:color="auto"/>
            </w:tcBorders>
            <w:shd w:val="clear" w:color="auto" w:fill="auto"/>
            <w:noWrap/>
            <w:vAlign w:val="bottom"/>
          </w:tcPr>
          <w:p w14:paraId="327AFC11" w14:textId="77777777" w:rsidR="00A739E1" w:rsidRPr="002431C0" w:rsidRDefault="00A739E1" w:rsidP="0071296E">
            <w:pPr>
              <w:rPr>
                <w:bCs/>
                <w:sz w:val="20"/>
                <w:szCs w:val="20"/>
              </w:rPr>
            </w:pPr>
            <w:r w:rsidRPr="002431C0">
              <w:rPr>
                <w:bCs/>
                <w:sz w:val="20"/>
                <w:szCs w:val="20"/>
              </w:rPr>
              <w:t>2.05</w:t>
            </w:r>
          </w:p>
        </w:tc>
        <w:tc>
          <w:tcPr>
            <w:tcW w:w="5472" w:type="dxa"/>
            <w:tcBorders>
              <w:top w:val="single" w:sz="4" w:space="0" w:color="auto"/>
              <w:left w:val="nil"/>
              <w:bottom w:val="single" w:sz="4" w:space="0" w:color="auto"/>
              <w:right w:val="nil"/>
            </w:tcBorders>
            <w:shd w:val="clear" w:color="auto" w:fill="auto"/>
            <w:noWrap/>
            <w:vAlign w:val="bottom"/>
          </w:tcPr>
          <w:p w14:paraId="3324E13B" w14:textId="77777777" w:rsidR="00A739E1" w:rsidRPr="002431C0" w:rsidRDefault="00A739E1" w:rsidP="0071296E">
            <w:pPr>
              <w:rPr>
                <w:bCs/>
                <w:sz w:val="20"/>
                <w:szCs w:val="20"/>
              </w:rPr>
            </w:pPr>
            <w:r w:rsidRPr="002431C0">
              <w:rPr>
                <w:bCs/>
                <w:sz w:val="20"/>
                <w:szCs w:val="20"/>
              </w:rPr>
              <w:t>Injuries and Damages</w:t>
            </w:r>
          </w:p>
        </w:tc>
        <w:tc>
          <w:tcPr>
            <w:tcW w:w="1170" w:type="dxa"/>
            <w:tcBorders>
              <w:top w:val="single" w:sz="4" w:space="0" w:color="auto"/>
              <w:left w:val="single" w:sz="4" w:space="0" w:color="auto"/>
              <w:bottom w:val="single" w:sz="4" w:space="0" w:color="auto"/>
              <w:right w:val="single" w:sz="4" w:space="0" w:color="auto"/>
            </w:tcBorders>
            <w:vAlign w:val="bottom"/>
          </w:tcPr>
          <w:p w14:paraId="28E17218" w14:textId="77777777" w:rsidR="00A739E1" w:rsidRPr="002431C0" w:rsidRDefault="00A739E1" w:rsidP="0071296E">
            <w:pPr>
              <w:jc w:val="right"/>
              <w:rPr>
                <w:color w:val="000000"/>
                <w:sz w:val="20"/>
                <w:szCs w:val="20"/>
              </w:rPr>
            </w:pPr>
            <w:r w:rsidRPr="002431C0">
              <w:rPr>
                <w:color w:val="000000"/>
                <w:sz w:val="20"/>
                <w:szCs w:val="20"/>
              </w:rPr>
              <w:t>(182)</w:t>
            </w:r>
          </w:p>
        </w:tc>
        <w:tc>
          <w:tcPr>
            <w:tcW w:w="1062" w:type="dxa"/>
            <w:tcBorders>
              <w:top w:val="single" w:sz="4" w:space="0" w:color="auto"/>
              <w:left w:val="single" w:sz="4" w:space="0" w:color="auto"/>
              <w:bottom w:val="single" w:sz="4" w:space="0" w:color="auto"/>
              <w:right w:val="single" w:sz="4" w:space="0" w:color="auto"/>
            </w:tcBorders>
            <w:vAlign w:val="bottom"/>
          </w:tcPr>
          <w:p w14:paraId="6BE2DE81" w14:textId="77777777" w:rsidR="00A739E1" w:rsidRPr="002431C0" w:rsidRDefault="00A739E1" w:rsidP="0071296E">
            <w:pPr>
              <w:jc w:val="right"/>
              <w:rPr>
                <w:color w:val="000000"/>
                <w:sz w:val="20"/>
                <w:szCs w:val="20"/>
              </w:rPr>
            </w:pPr>
            <w:r w:rsidRPr="002431C0">
              <w:rPr>
                <w:color w:val="000000"/>
                <w:sz w:val="20"/>
                <w:szCs w:val="20"/>
              </w:rPr>
              <w:t>-</w:t>
            </w:r>
          </w:p>
        </w:tc>
        <w:tc>
          <w:tcPr>
            <w:tcW w:w="1512" w:type="dxa"/>
            <w:tcBorders>
              <w:top w:val="single" w:sz="4" w:space="0" w:color="auto"/>
              <w:left w:val="single" w:sz="4" w:space="0" w:color="auto"/>
              <w:bottom w:val="single" w:sz="4" w:space="0" w:color="auto"/>
              <w:right w:val="thickThinSmallGap" w:sz="24" w:space="0" w:color="auto"/>
            </w:tcBorders>
            <w:noWrap/>
            <w:vAlign w:val="bottom"/>
          </w:tcPr>
          <w:p w14:paraId="797EE841" w14:textId="77777777" w:rsidR="00A739E1" w:rsidRPr="002431C0" w:rsidRDefault="00A739E1" w:rsidP="0071296E">
            <w:pPr>
              <w:jc w:val="right"/>
              <w:rPr>
                <w:color w:val="000000"/>
                <w:sz w:val="20"/>
                <w:szCs w:val="20"/>
              </w:rPr>
            </w:pPr>
            <w:r w:rsidRPr="002431C0">
              <w:rPr>
                <w:color w:val="000000"/>
                <w:sz w:val="20"/>
                <w:szCs w:val="20"/>
              </w:rPr>
              <w:t>293</w:t>
            </w:r>
          </w:p>
        </w:tc>
      </w:tr>
      <w:tr w:rsidR="00A739E1" w:rsidRPr="002431C0" w14:paraId="5A720547" w14:textId="77777777" w:rsidTr="0071296E">
        <w:trPr>
          <w:trHeight w:val="255"/>
        </w:trPr>
        <w:tc>
          <w:tcPr>
            <w:tcW w:w="1008" w:type="dxa"/>
            <w:tcBorders>
              <w:top w:val="single" w:sz="4" w:space="0" w:color="auto"/>
              <w:left w:val="thinThickSmallGap" w:sz="24" w:space="0" w:color="auto"/>
              <w:bottom w:val="single" w:sz="4" w:space="0" w:color="auto"/>
              <w:right w:val="single" w:sz="4" w:space="0" w:color="auto"/>
            </w:tcBorders>
            <w:shd w:val="clear" w:color="auto" w:fill="auto"/>
            <w:noWrap/>
            <w:vAlign w:val="bottom"/>
          </w:tcPr>
          <w:p w14:paraId="018867BE" w14:textId="77777777" w:rsidR="00A739E1" w:rsidRPr="002431C0" w:rsidRDefault="00A739E1" w:rsidP="0071296E">
            <w:pPr>
              <w:rPr>
                <w:bCs/>
                <w:sz w:val="20"/>
                <w:szCs w:val="20"/>
              </w:rPr>
            </w:pPr>
            <w:r w:rsidRPr="002431C0">
              <w:rPr>
                <w:bCs/>
                <w:sz w:val="20"/>
                <w:szCs w:val="20"/>
              </w:rPr>
              <w:t>2.06</w:t>
            </w:r>
          </w:p>
        </w:tc>
        <w:tc>
          <w:tcPr>
            <w:tcW w:w="5472" w:type="dxa"/>
            <w:tcBorders>
              <w:top w:val="single" w:sz="4" w:space="0" w:color="auto"/>
              <w:left w:val="nil"/>
              <w:bottom w:val="single" w:sz="4" w:space="0" w:color="auto"/>
              <w:right w:val="nil"/>
            </w:tcBorders>
            <w:shd w:val="clear" w:color="auto" w:fill="auto"/>
            <w:noWrap/>
            <w:vAlign w:val="bottom"/>
          </w:tcPr>
          <w:p w14:paraId="6900A7E8" w14:textId="77777777" w:rsidR="00A739E1" w:rsidRPr="002431C0" w:rsidRDefault="00A739E1" w:rsidP="0071296E">
            <w:pPr>
              <w:rPr>
                <w:bCs/>
                <w:sz w:val="20"/>
                <w:szCs w:val="20"/>
              </w:rPr>
            </w:pPr>
            <w:r w:rsidRPr="002431C0">
              <w:rPr>
                <w:bCs/>
                <w:sz w:val="20"/>
                <w:szCs w:val="20"/>
              </w:rPr>
              <w:t>FIT / DFIT Expense</w:t>
            </w:r>
          </w:p>
        </w:tc>
        <w:tc>
          <w:tcPr>
            <w:tcW w:w="1170" w:type="dxa"/>
            <w:tcBorders>
              <w:top w:val="single" w:sz="4" w:space="0" w:color="auto"/>
              <w:left w:val="single" w:sz="4" w:space="0" w:color="auto"/>
              <w:bottom w:val="single" w:sz="4" w:space="0" w:color="auto"/>
              <w:right w:val="single" w:sz="4" w:space="0" w:color="auto"/>
            </w:tcBorders>
            <w:vAlign w:val="bottom"/>
          </w:tcPr>
          <w:p w14:paraId="59365ED9" w14:textId="77777777" w:rsidR="00A739E1" w:rsidRPr="002431C0" w:rsidRDefault="00A739E1" w:rsidP="0071296E">
            <w:pPr>
              <w:jc w:val="right"/>
              <w:rPr>
                <w:sz w:val="20"/>
                <w:szCs w:val="20"/>
              </w:rPr>
            </w:pPr>
            <w:r w:rsidRPr="002431C0">
              <w:rPr>
                <w:sz w:val="20"/>
                <w:szCs w:val="20"/>
              </w:rPr>
              <w:t>-</w:t>
            </w:r>
          </w:p>
        </w:tc>
        <w:tc>
          <w:tcPr>
            <w:tcW w:w="1062" w:type="dxa"/>
            <w:tcBorders>
              <w:top w:val="single" w:sz="4" w:space="0" w:color="auto"/>
              <w:left w:val="single" w:sz="4" w:space="0" w:color="auto"/>
              <w:bottom w:val="single" w:sz="4" w:space="0" w:color="auto"/>
              <w:right w:val="single" w:sz="4" w:space="0" w:color="auto"/>
            </w:tcBorders>
            <w:vAlign w:val="bottom"/>
          </w:tcPr>
          <w:p w14:paraId="15E1A1E5" w14:textId="77777777" w:rsidR="00A739E1" w:rsidRPr="002431C0" w:rsidRDefault="00A739E1" w:rsidP="0071296E">
            <w:pPr>
              <w:jc w:val="right"/>
              <w:rPr>
                <w:sz w:val="20"/>
                <w:szCs w:val="20"/>
              </w:rPr>
            </w:pPr>
            <w:r w:rsidRPr="002431C0">
              <w:rPr>
                <w:sz w:val="20"/>
                <w:szCs w:val="20"/>
              </w:rPr>
              <w:t>-</w:t>
            </w:r>
          </w:p>
        </w:tc>
        <w:tc>
          <w:tcPr>
            <w:tcW w:w="1512" w:type="dxa"/>
            <w:tcBorders>
              <w:top w:val="single" w:sz="4" w:space="0" w:color="auto"/>
              <w:left w:val="single" w:sz="4" w:space="0" w:color="auto"/>
              <w:bottom w:val="single" w:sz="4" w:space="0" w:color="auto"/>
              <w:right w:val="thickThinSmallGap" w:sz="24" w:space="0" w:color="auto"/>
            </w:tcBorders>
            <w:noWrap/>
            <w:vAlign w:val="bottom"/>
          </w:tcPr>
          <w:p w14:paraId="0C0C99B9" w14:textId="77777777" w:rsidR="00A739E1" w:rsidRPr="002431C0" w:rsidRDefault="00A739E1" w:rsidP="0071296E">
            <w:pPr>
              <w:jc w:val="right"/>
              <w:rPr>
                <w:sz w:val="20"/>
                <w:szCs w:val="20"/>
              </w:rPr>
            </w:pPr>
            <w:r w:rsidRPr="002431C0">
              <w:rPr>
                <w:sz w:val="20"/>
                <w:szCs w:val="20"/>
              </w:rPr>
              <w:t>-</w:t>
            </w:r>
          </w:p>
        </w:tc>
      </w:tr>
      <w:tr w:rsidR="00A739E1" w:rsidRPr="002431C0" w14:paraId="0A2269C1" w14:textId="77777777" w:rsidTr="0071296E">
        <w:trPr>
          <w:trHeight w:val="255"/>
        </w:trPr>
        <w:tc>
          <w:tcPr>
            <w:tcW w:w="1008" w:type="dxa"/>
            <w:tcBorders>
              <w:top w:val="single" w:sz="4" w:space="0" w:color="auto"/>
              <w:left w:val="thinThickSmallGap" w:sz="24" w:space="0" w:color="auto"/>
              <w:bottom w:val="single" w:sz="4" w:space="0" w:color="auto"/>
              <w:right w:val="single" w:sz="4" w:space="0" w:color="auto"/>
            </w:tcBorders>
            <w:shd w:val="clear" w:color="auto" w:fill="auto"/>
            <w:noWrap/>
            <w:vAlign w:val="bottom"/>
          </w:tcPr>
          <w:p w14:paraId="63416209" w14:textId="77777777" w:rsidR="00A739E1" w:rsidRPr="002431C0" w:rsidRDefault="00A739E1" w:rsidP="0071296E">
            <w:pPr>
              <w:rPr>
                <w:bCs/>
                <w:sz w:val="20"/>
                <w:szCs w:val="20"/>
              </w:rPr>
            </w:pPr>
            <w:r w:rsidRPr="002431C0">
              <w:rPr>
                <w:bCs/>
                <w:sz w:val="20"/>
                <w:szCs w:val="20"/>
              </w:rPr>
              <w:t>2.07</w:t>
            </w:r>
          </w:p>
        </w:tc>
        <w:tc>
          <w:tcPr>
            <w:tcW w:w="5472" w:type="dxa"/>
            <w:tcBorders>
              <w:top w:val="single" w:sz="4" w:space="0" w:color="auto"/>
              <w:left w:val="nil"/>
              <w:bottom w:val="single" w:sz="4" w:space="0" w:color="auto"/>
              <w:right w:val="single" w:sz="8" w:space="0" w:color="000000"/>
            </w:tcBorders>
            <w:shd w:val="clear" w:color="auto" w:fill="auto"/>
            <w:noWrap/>
            <w:vAlign w:val="bottom"/>
          </w:tcPr>
          <w:p w14:paraId="5E5AED07" w14:textId="77777777" w:rsidR="00A739E1" w:rsidRPr="002431C0" w:rsidRDefault="00A739E1" w:rsidP="0071296E">
            <w:pPr>
              <w:rPr>
                <w:bCs/>
                <w:sz w:val="20"/>
                <w:szCs w:val="20"/>
              </w:rPr>
            </w:pPr>
            <w:r w:rsidRPr="002431C0">
              <w:rPr>
                <w:bCs/>
                <w:sz w:val="20"/>
                <w:szCs w:val="20"/>
              </w:rPr>
              <w:t>Office Space Charges to Subs</w:t>
            </w:r>
          </w:p>
        </w:tc>
        <w:tc>
          <w:tcPr>
            <w:tcW w:w="1170" w:type="dxa"/>
            <w:tcBorders>
              <w:top w:val="single" w:sz="4" w:space="0" w:color="auto"/>
              <w:left w:val="single" w:sz="4" w:space="0" w:color="auto"/>
              <w:bottom w:val="single" w:sz="4" w:space="0" w:color="auto"/>
              <w:right w:val="single" w:sz="4" w:space="0" w:color="auto"/>
            </w:tcBorders>
            <w:vAlign w:val="bottom"/>
          </w:tcPr>
          <w:p w14:paraId="614405C0" w14:textId="77777777" w:rsidR="00A739E1" w:rsidRPr="002431C0" w:rsidRDefault="00A739E1" w:rsidP="0071296E">
            <w:pPr>
              <w:jc w:val="right"/>
              <w:rPr>
                <w:color w:val="000000"/>
                <w:sz w:val="20"/>
                <w:szCs w:val="20"/>
              </w:rPr>
            </w:pPr>
            <w:r w:rsidRPr="002431C0">
              <w:rPr>
                <w:color w:val="000000"/>
                <w:sz w:val="20"/>
                <w:szCs w:val="20"/>
              </w:rPr>
              <w:t>1</w:t>
            </w:r>
          </w:p>
        </w:tc>
        <w:tc>
          <w:tcPr>
            <w:tcW w:w="1062" w:type="dxa"/>
            <w:tcBorders>
              <w:top w:val="single" w:sz="4" w:space="0" w:color="auto"/>
              <w:left w:val="single" w:sz="4" w:space="0" w:color="auto"/>
              <w:bottom w:val="single" w:sz="4" w:space="0" w:color="auto"/>
              <w:right w:val="single" w:sz="4" w:space="0" w:color="auto"/>
            </w:tcBorders>
            <w:vAlign w:val="bottom"/>
          </w:tcPr>
          <w:p w14:paraId="099D7949" w14:textId="77777777" w:rsidR="00A739E1" w:rsidRPr="002431C0" w:rsidRDefault="00A739E1" w:rsidP="0071296E">
            <w:pPr>
              <w:jc w:val="right"/>
              <w:rPr>
                <w:color w:val="000000"/>
                <w:sz w:val="20"/>
                <w:szCs w:val="20"/>
              </w:rPr>
            </w:pPr>
            <w:r w:rsidRPr="002431C0">
              <w:rPr>
                <w:color w:val="000000"/>
                <w:sz w:val="20"/>
                <w:szCs w:val="20"/>
              </w:rPr>
              <w:t>-</w:t>
            </w:r>
          </w:p>
        </w:tc>
        <w:tc>
          <w:tcPr>
            <w:tcW w:w="1512" w:type="dxa"/>
            <w:tcBorders>
              <w:top w:val="single" w:sz="4" w:space="0" w:color="auto"/>
              <w:left w:val="single" w:sz="4" w:space="0" w:color="auto"/>
              <w:bottom w:val="single" w:sz="4" w:space="0" w:color="auto"/>
              <w:right w:val="thickThinSmallGap" w:sz="24" w:space="0" w:color="auto"/>
            </w:tcBorders>
            <w:noWrap/>
            <w:vAlign w:val="bottom"/>
          </w:tcPr>
          <w:p w14:paraId="79429386" w14:textId="77777777" w:rsidR="00A739E1" w:rsidRPr="002431C0" w:rsidRDefault="00A739E1" w:rsidP="0071296E">
            <w:pPr>
              <w:jc w:val="right"/>
              <w:rPr>
                <w:color w:val="000000"/>
                <w:sz w:val="20"/>
                <w:szCs w:val="20"/>
              </w:rPr>
            </w:pPr>
            <w:r w:rsidRPr="002431C0">
              <w:rPr>
                <w:color w:val="000000"/>
                <w:sz w:val="20"/>
                <w:szCs w:val="20"/>
              </w:rPr>
              <w:t>(2)</w:t>
            </w:r>
          </w:p>
        </w:tc>
      </w:tr>
      <w:tr w:rsidR="00A739E1" w:rsidRPr="002431C0" w14:paraId="11111E97" w14:textId="77777777" w:rsidTr="0071296E">
        <w:trPr>
          <w:trHeight w:val="258"/>
        </w:trPr>
        <w:tc>
          <w:tcPr>
            <w:tcW w:w="1008" w:type="dxa"/>
            <w:tcBorders>
              <w:top w:val="single" w:sz="4" w:space="0" w:color="auto"/>
              <w:left w:val="thinThickSmallGap" w:sz="24" w:space="0" w:color="auto"/>
              <w:bottom w:val="single" w:sz="4" w:space="0" w:color="auto"/>
              <w:right w:val="single" w:sz="4" w:space="0" w:color="auto"/>
            </w:tcBorders>
            <w:shd w:val="clear" w:color="auto" w:fill="auto"/>
            <w:noWrap/>
            <w:vAlign w:val="bottom"/>
          </w:tcPr>
          <w:p w14:paraId="653FBE25" w14:textId="77777777" w:rsidR="00A739E1" w:rsidRPr="002431C0" w:rsidRDefault="00A739E1" w:rsidP="0071296E">
            <w:pPr>
              <w:rPr>
                <w:bCs/>
                <w:color w:val="000000"/>
                <w:sz w:val="20"/>
                <w:szCs w:val="20"/>
              </w:rPr>
            </w:pPr>
            <w:r w:rsidRPr="002431C0">
              <w:rPr>
                <w:bCs/>
                <w:color w:val="000000"/>
                <w:sz w:val="20"/>
                <w:szCs w:val="20"/>
              </w:rPr>
              <w:t>2.08</w:t>
            </w:r>
          </w:p>
        </w:tc>
        <w:tc>
          <w:tcPr>
            <w:tcW w:w="5472" w:type="dxa"/>
            <w:tcBorders>
              <w:top w:val="single" w:sz="4" w:space="0" w:color="auto"/>
              <w:left w:val="nil"/>
              <w:bottom w:val="single" w:sz="4" w:space="0" w:color="auto"/>
              <w:right w:val="single" w:sz="8" w:space="0" w:color="000000"/>
            </w:tcBorders>
            <w:shd w:val="clear" w:color="auto" w:fill="auto"/>
            <w:noWrap/>
            <w:vAlign w:val="bottom"/>
          </w:tcPr>
          <w:p w14:paraId="596E71A6" w14:textId="77777777" w:rsidR="00A739E1" w:rsidRPr="002431C0" w:rsidRDefault="00A739E1" w:rsidP="0071296E">
            <w:pPr>
              <w:rPr>
                <w:bCs/>
                <w:color w:val="000000"/>
                <w:sz w:val="20"/>
                <w:szCs w:val="20"/>
              </w:rPr>
            </w:pPr>
            <w:r w:rsidRPr="002431C0">
              <w:rPr>
                <w:bCs/>
                <w:color w:val="000000"/>
                <w:sz w:val="20"/>
                <w:szCs w:val="20"/>
              </w:rPr>
              <w:t>Restate Excise Taxes</w:t>
            </w:r>
          </w:p>
        </w:tc>
        <w:tc>
          <w:tcPr>
            <w:tcW w:w="1170" w:type="dxa"/>
            <w:tcBorders>
              <w:top w:val="single" w:sz="4" w:space="0" w:color="auto"/>
              <w:left w:val="single" w:sz="4" w:space="0" w:color="auto"/>
              <w:bottom w:val="single" w:sz="4" w:space="0" w:color="auto"/>
              <w:right w:val="single" w:sz="4" w:space="0" w:color="auto"/>
            </w:tcBorders>
            <w:vAlign w:val="bottom"/>
          </w:tcPr>
          <w:p w14:paraId="7D0ACFD5" w14:textId="77777777" w:rsidR="00A739E1" w:rsidRPr="002431C0" w:rsidRDefault="00A739E1" w:rsidP="0071296E">
            <w:pPr>
              <w:jc w:val="right"/>
              <w:rPr>
                <w:sz w:val="20"/>
                <w:szCs w:val="20"/>
              </w:rPr>
            </w:pPr>
            <w:r w:rsidRPr="002431C0">
              <w:rPr>
                <w:sz w:val="20"/>
                <w:szCs w:val="20"/>
              </w:rPr>
              <w:t>-</w:t>
            </w:r>
          </w:p>
        </w:tc>
        <w:tc>
          <w:tcPr>
            <w:tcW w:w="1062" w:type="dxa"/>
            <w:tcBorders>
              <w:top w:val="single" w:sz="4" w:space="0" w:color="auto"/>
              <w:left w:val="single" w:sz="4" w:space="0" w:color="auto"/>
              <w:bottom w:val="single" w:sz="4" w:space="0" w:color="auto"/>
              <w:right w:val="single" w:sz="4" w:space="0" w:color="auto"/>
            </w:tcBorders>
            <w:vAlign w:val="bottom"/>
          </w:tcPr>
          <w:p w14:paraId="22D4191D" w14:textId="77777777" w:rsidR="00A739E1" w:rsidRPr="002431C0" w:rsidRDefault="00A739E1" w:rsidP="0071296E">
            <w:pPr>
              <w:jc w:val="right"/>
              <w:rPr>
                <w:sz w:val="20"/>
                <w:szCs w:val="20"/>
              </w:rPr>
            </w:pPr>
            <w:r w:rsidRPr="002431C0">
              <w:rPr>
                <w:sz w:val="20"/>
                <w:szCs w:val="20"/>
              </w:rPr>
              <w:t>-</w:t>
            </w:r>
          </w:p>
        </w:tc>
        <w:tc>
          <w:tcPr>
            <w:tcW w:w="1512" w:type="dxa"/>
            <w:tcBorders>
              <w:top w:val="single" w:sz="4" w:space="0" w:color="auto"/>
              <w:left w:val="single" w:sz="4" w:space="0" w:color="auto"/>
              <w:bottom w:val="single" w:sz="4" w:space="0" w:color="auto"/>
              <w:right w:val="thickThinSmallGap" w:sz="24" w:space="0" w:color="auto"/>
            </w:tcBorders>
            <w:noWrap/>
            <w:vAlign w:val="bottom"/>
          </w:tcPr>
          <w:p w14:paraId="3DD43564" w14:textId="77777777" w:rsidR="00A739E1" w:rsidRPr="002431C0" w:rsidRDefault="00A739E1" w:rsidP="0071296E">
            <w:pPr>
              <w:jc w:val="right"/>
              <w:rPr>
                <w:sz w:val="20"/>
                <w:szCs w:val="20"/>
              </w:rPr>
            </w:pPr>
            <w:r w:rsidRPr="002431C0">
              <w:rPr>
                <w:sz w:val="20"/>
                <w:szCs w:val="20"/>
              </w:rPr>
              <w:t>-</w:t>
            </w:r>
          </w:p>
        </w:tc>
      </w:tr>
      <w:tr w:rsidR="00A739E1" w:rsidRPr="002431C0" w14:paraId="1FAE8ABE" w14:textId="77777777" w:rsidTr="0071296E">
        <w:trPr>
          <w:trHeight w:val="255"/>
        </w:trPr>
        <w:tc>
          <w:tcPr>
            <w:tcW w:w="1008" w:type="dxa"/>
            <w:tcBorders>
              <w:top w:val="single" w:sz="4" w:space="0" w:color="auto"/>
              <w:left w:val="thinThickSmallGap" w:sz="24" w:space="0" w:color="auto"/>
              <w:bottom w:val="single" w:sz="4" w:space="0" w:color="auto"/>
              <w:right w:val="single" w:sz="4" w:space="0" w:color="auto"/>
            </w:tcBorders>
            <w:shd w:val="clear" w:color="auto" w:fill="auto"/>
            <w:noWrap/>
            <w:vAlign w:val="bottom"/>
          </w:tcPr>
          <w:p w14:paraId="58CF317D" w14:textId="77777777" w:rsidR="00A739E1" w:rsidRPr="002431C0" w:rsidRDefault="00A739E1" w:rsidP="0071296E">
            <w:pPr>
              <w:rPr>
                <w:bCs/>
                <w:sz w:val="20"/>
                <w:szCs w:val="20"/>
              </w:rPr>
            </w:pPr>
            <w:r w:rsidRPr="002431C0">
              <w:rPr>
                <w:bCs/>
                <w:sz w:val="20"/>
                <w:szCs w:val="20"/>
              </w:rPr>
              <w:t>2.09</w:t>
            </w:r>
          </w:p>
        </w:tc>
        <w:tc>
          <w:tcPr>
            <w:tcW w:w="5472" w:type="dxa"/>
            <w:tcBorders>
              <w:top w:val="single" w:sz="4" w:space="0" w:color="auto"/>
              <w:left w:val="nil"/>
              <w:bottom w:val="single" w:sz="4" w:space="0" w:color="auto"/>
              <w:right w:val="nil"/>
            </w:tcBorders>
            <w:shd w:val="clear" w:color="auto" w:fill="auto"/>
            <w:noWrap/>
            <w:vAlign w:val="bottom"/>
          </w:tcPr>
          <w:p w14:paraId="1FAA6FD0" w14:textId="77777777" w:rsidR="00A739E1" w:rsidRPr="002431C0" w:rsidRDefault="00A739E1" w:rsidP="0071296E">
            <w:pPr>
              <w:rPr>
                <w:bCs/>
                <w:sz w:val="20"/>
                <w:szCs w:val="20"/>
              </w:rPr>
            </w:pPr>
            <w:r w:rsidRPr="002431C0">
              <w:rPr>
                <w:bCs/>
                <w:sz w:val="20"/>
                <w:szCs w:val="20"/>
              </w:rPr>
              <w:t>Net Gains/Losses</w:t>
            </w:r>
          </w:p>
        </w:tc>
        <w:tc>
          <w:tcPr>
            <w:tcW w:w="1170" w:type="dxa"/>
            <w:tcBorders>
              <w:top w:val="single" w:sz="4" w:space="0" w:color="auto"/>
              <w:left w:val="single" w:sz="4" w:space="0" w:color="auto"/>
              <w:bottom w:val="single" w:sz="4" w:space="0" w:color="auto"/>
              <w:right w:val="single" w:sz="4" w:space="0" w:color="auto"/>
            </w:tcBorders>
            <w:vAlign w:val="bottom"/>
          </w:tcPr>
          <w:p w14:paraId="68904B83" w14:textId="77777777" w:rsidR="00A739E1" w:rsidRPr="002431C0" w:rsidRDefault="00A739E1" w:rsidP="0071296E">
            <w:pPr>
              <w:jc w:val="right"/>
              <w:rPr>
                <w:sz w:val="20"/>
                <w:szCs w:val="20"/>
              </w:rPr>
            </w:pPr>
            <w:r w:rsidRPr="002431C0">
              <w:rPr>
                <w:sz w:val="20"/>
                <w:szCs w:val="20"/>
              </w:rPr>
              <w:t>3</w:t>
            </w:r>
          </w:p>
        </w:tc>
        <w:tc>
          <w:tcPr>
            <w:tcW w:w="1062" w:type="dxa"/>
            <w:tcBorders>
              <w:top w:val="single" w:sz="4" w:space="0" w:color="auto"/>
              <w:left w:val="single" w:sz="4" w:space="0" w:color="auto"/>
              <w:bottom w:val="single" w:sz="4" w:space="0" w:color="auto"/>
              <w:right w:val="single" w:sz="4" w:space="0" w:color="auto"/>
            </w:tcBorders>
            <w:vAlign w:val="bottom"/>
          </w:tcPr>
          <w:p w14:paraId="02ADCF57" w14:textId="77777777" w:rsidR="00A739E1" w:rsidRPr="002431C0" w:rsidRDefault="00A739E1" w:rsidP="0071296E">
            <w:pPr>
              <w:jc w:val="right"/>
              <w:rPr>
                <w:sz w:val="20"/>
                <w:szCs w:val="20"/>
              </w:rPr>
            </w:pPr>
            <w:r w:rsidRPr="002431C0">
              <w:rPr>
                <w:sz w:val="20"/>
                <w:szCs w:val="20"/>
              </w:rPr>
              <w:t>-</w:t>
            </w:r>
          </w:p>
        </w:tc>
        <w:tc>
          <w:tcPr>
            <w:tcW w:w="1512" w:type="dxa"/>
            <w:tcBorders>
              <w:top w:val="single" w:sz="4" w:space="0" w:color="auto"/>
              <w:left w:val="single" w:sz="4" w:space="0" w:color="auto"/>
              <w:bottom w:val="single" w:sz="4" w:space="0" w:color="auto"/>
              <w:right w:val="thickThinSmallGap" w:sz="24" w:space="0" w:color="auto"/>
            </w:tcBorders>
            <w:noWrap/>
            <w:vAlign w:val="bottom"/>
          </w:tcPr>
          <w:p w14:paraId="60F7DB8D" w14:textId="77777777" w:rsidR="00A739E1" w:rsidRPr="002431C0" w:rsidRDefault="00A739E1" w:rsidP="0071296E">
            <w:pPr>
              <w:jc w:val="right"/>
              <w:rPr>
                <w:sz w:val="20"/>
                <w:szCs w:val="20"/>
              </w:rPr>
            </w:pPr>
            <w:r w:rsidRPr="002431C0">
              <w:rPr>
                <w:sz w:val="20"/>
                <w:szCs w:val="20"/>
              </w:rPr>
              <w:t>(5)</w:t>
            </w:r>
          </w:p>
        </w:tc>
      </w:tr>
      <w:tr w:rsidR="00A739E1" w:rsidRPr="002431C0" w14:paraId="34B8817A" w14:textId="77777777" w:rsidTr="0071296E">
        <w:trPr>
          <w:trHeight w:val="255"/>
        </w:trPr>
        <w:tc>
          <w:tcPr>
            <w:tcW w:w="1008" w:type="dxa"/>
            <w:tcBorders>
              <w:top w:val="single" w:sz="4" w:space="0" w:color="auto"/>
              <w:left w:val="thinThickSmallGap" w:sz="24" w:space="0" w:color="auto"/>
              <w:bottom w:val="single" w:sz="4" w:space="0" w:color="auto"/>
              <w:right w:val="single" w:sz="4" w:space="0" w:color="auto"/>
            </w:tcBorders>
            <w:shd w:val="clear" w:color="auto" w:fill="auto"/>
            <w:noWrap/>
            <w:vAlign w:val="bottom"/>
          </w:tcPr>
          <w:p w14:paraId="060D4F54" w14:textId="77777777" w:rsidR="00A739E1" w:rsidRPr="002431C0" w:rsidRDefault="00A739E1" w:rsidP="0071296E">
            <w:pPr>
              <w:rPr>
                <w:bCs/>
                <w:sz w:val="20"/>
                <w:szCs w:val="20"/>
              </w:rPr>
            </w:pPr>
            <w:r w:rsidRPr="002431C0">
              <w:rPr>
                <w:bCs/>
                <w:sz w:val="20"/>
                <w:szCs w:val="20"/>
              </w:rPr>
              <w:t>2.10</w:t>
            </w:r>
          </w:p>
        </w:tc>
        <w:tc>
          <w:tcPr>
            <w:tcW w:w="5472" w:type="dxa"/>
            <w:tcBorders>
              <w:top w:val="nil"/>
              <w:left w:val="nil"/>
              <w:bottom w:val="single" w:sz="4" w:space="0" w:color="auto"/>
              <w:right w:val="single" w:sz="4" w:space="0" w:color="auto"/>
            </w:tcBorders>
            <w:shd w:val="clear" w:color="auto" w:fill="auto"/>
            <w:noWrap/>
            <w:vAlign w:val="bottom"/>
          </w:tcPr>
          <w:p w14:paraId="47A8F4C0" w14:textId="77777777" w:rsidR="00A739E1" w:rsidRPr="002431C0" w:rsidRDefault="00A739E1" w:rsidP="0071296E">
            <w:pPr>
              <w:rPr>
                <w:bCs/>
                <w:sz w:val="20"/>
                <w:szCs w:val="20"/>
              </w:rPr>
            </w:pPr>
            <w:r w:rsidRPr="002431C0">
              <w:rPr>
                <w:bCs/>
                <w:sz w:val="20"/>
                <w:szCs w:val="20"/>
              </w:rPr>
              <w:t>Weather Normalization / Gas Cost Adj.</w:t>
            </w:r>
          </w:p>
        </w:tc>
        <w:tc>
          <w:tcPr>
            <w:tcW w:w="1170" w:type="dxa"/>
            <w:tcBorders>
              <w:top w:val="single" w:sz="4" w:space="0" w:color="auto"/>
              <w:left w:val="single" w:sz="4" w:space="0" w:color="auto"/>
              <w:bottom w:val="single" w:sz="4" w:space="0" w:color="auto"/>
              <w:right w:val="single" w:sz="4" w:space="0" w:color="auto"/>
            </w:tcBorders>
            <w:vAlign w:val="bottom"/>
          </w:tcPr>
          <w:p w14:paraId="37C23C2C" w14:textId="77777777" w:rsidR="00A739E1" w:rsidRPr="002431C0" w:rsidRDefault="00A739E1" w:rsidP="0071296E">
            <w:pPr>
              <w:jc w:val="right"/>
              <w:rPr>
                <w:sz w:val="20"/>
                <w:szCs w:val="20"/>
              </w:rPr>
            </w:pPr>
            <w:r w:rsidRPr="002431C0">
              <w:rPr>
                <w:sz w:val="20"/>
                <w:szCs w:val="20"/>
              </w:rPr>
              <w:t>(497)</w:t>
            </w:r>
          </w:p>
        </w:tc>
        <w:tc>
          <w:tcPr>
            <w:tcW w:w="1062" w:type="dxa"/>
            <w:tcBorders>
              <w:top w:val="single" w:sz="4" w:space="0" w:color="auto"/>
              <w:left w:val="single" w:sz="4" w:space="0" w:color="auto"/>
              <w:bottom w:val="single" w:sz="4" w:space="0" w:color="auto"/>
              <w:right w:val="single" w:sz="4" w:space="0" w:color="auto"/>
            </w:tcBorders>
            <w:vAlign w:val="bottom"/>
          </w:tcPr>
          <w:p w14:paraId="318B3655" w14:textId="77777777" w:rsidR="00A739E1" w:rsidRPr="002431C0" w:rsidRDefault="00A739E1" w:rsidP="0071296E">
            <w:pPr>
              <w:jc w:val="right"/>
              <w:rPr>
                <w:sz w:val="20"/>
                <w:szCs w:val="20"/>
              </w:rPr>
            </w:pPr>
            <w:r w:rsidRPr="002431C0">
              <w:rPr>
                <w:sz w:val="20"/>
                <w:szCs w:val="20"/>
              </w:rPr>
              <w:t>-</w:t>
            </w:r>
          </w:p>
        </w:tc>
        <w:tc>
          <w:tcPr>
            <w:tcW w:w="1512" w:type="dxa"/>
            <w:tcBorders>
              <w:top w:val="single" w:sz="4" w:space="0" w:color="auto"/>
              <w:left w:val="single" w:sz="4" w:space="0" w:color="auto"/>
              <w:bottom w:val="single" w:sz="4" w:space="0" w:color="auto"/>
              <w:right w:val="thickThinSmallGap" w:sz="24" w:space="0" w:color="auto"/>
            </w:tcBorders>
            <w:noWrap/>
            <w:vAlign w:val="bottom"/>
          </w:tcPr>
          <w:p w14:paraId="44B02642" w14:textId="77777777" w:rsidR="00A739E1" w:rsidRPr="002431C0" w:rsidRDefault="00A739E1" w:rsidP="0071296E">
            <w:pPr>
              <w:jc w:val="right"/>
              <w:rPr>
                <w:sz w:val="20"/>
                <w:szCs w:val="20"/>
              </w:rPr>
            </w:pPr>
            <w:r w:rsidRPr="002431C0">
              <w:rPr>
                <w:sz w:val="20"/>
                <w:szCs w:val="20"/>
              </w:rPr>
              <w:t>801</w:t>
            </w:r>
          </w:p>
        </w:tc>
      </w:tr>
      <w:tr w:rsidR="00A739E1" w:rsidRPr="002431C0" w14:paraId="7664BE1E" w14:textId="77777777" w:rsidTr="0071296E">
        <w:trPr>
          <w:trHeight w:val="255"/>
        </w:trPr>
        <w:tc>
          <w:tcPr>
            <w:tcW w:w="1008" w:type="dxa"/>
            <w:tcBorders>
              <w:top w:val="single" w:sz="4" w:space="0" w:color="auto"/>
              <w:left w:val="thinThickSmallGap" w:sz="24" w:space="0" w:color="auto"/>
              <w:bottom w:val="single" w:sz="4" w:space="0" w:color="auto"/>
              <w:right w:val="single" w:sz="4" w:space="0" w:color="auto"/>
            </w:tcBorders>
            <w:shd w:val="clear" w:color="auto" w:fill="auto"/>
            <w:noWrap/>
            <w:vAlign w:val="bottom"/>
          </w:tcPr>
          <w:p w14:paraId="254BF472" w14:textId="77777777" w:rsidR="00A739E1" w:rsidRPr="002431C0" w:rsidRDefault="00A739E1" w:rsidP="0071296E">
            <w:pPr>
              <w:rPr>
                <w:bCs/>
                <w:sz w:val="20"/>
                <w:szCs w:val="20"/>
              </w:rPr>
            </w:pPr>
            <w:r w:rsidRPr="002431C0">
              <w:rPr>
                <w:bCs/>
                <w:sz w:val="20"/>
                <w:szCs w:val="20"/>
              </w:rPr>
              <w:t>2.11</w:t>
            </w:r>
          </w:p>
        </w:tc>
        <w:tc>
          <w:tcPr>
            <w:tcW w:w="5472" w:type="dxa"/>
            <w:tcBorders>
              <w:top w:val="single" w:sz="4" w:space="0" w:color="auto"/>
              <w:left w:val="nil"/>
              <w:bottom w:val="single" w:sz="4" w:space="0" w:color="auto"/>
              <w:right w:val="single" w:sz="8" w:space="0" w:color="000000"/>
            </w:tcBorders>
            <w:shd w:val="clear" w:color="auto" w:fill="auto"/>
            <w:noWrap/>
            <w:vAlign w:val="bottom"/>
          </w:tcPr>
          <w:p w14:paraId="6DED8C0F" w14:textId="77777777" w:rsidR="00A739E1" w:rsidRPr="002431C0" w:rsidRDefault="00A739E1" w:rsidP="0071296E">
            <w:pPr>
              <w:rPr>
                <w:bCs/>
                <w:sz w:val="20"/>
                <w:szCs w:val="20"/>
              </w:rPr>
            </w:pPr>
            <w:r w:rsidRPr="002431C0">
              <w:rPr>
                <w:bCs/>
                <w:sz w:val="20"/>
                <w:szCs w:val="20"/>
              </w:rPr>
              <w:t>Eliminate Adder Schedules</w:t>
            </w:r>
          </w:p>
        </w:tc>
        <w:tc>
          <w:tcPr>
            <w:tcW w:w="1170" w:type="dxa"/>
            <w:tcBorders>
              <w:top w:val="single" w:sz="4" w:space="0" w:color="auto"/>
              <w:left w:val="single" w:sz="4" w:space="0" w:color="auto"/>
              <w:bottom w:val="single" w:sz="4" w:space="0" w:color="auto"/>
              <w:right w:val="single" w:sz="4" w:space="0" w:color="auto"/>
            </w:tcBorders>
            <w:vAlign w:val="bottom"/>
          </w:tcPr>
          <w:p w14:paraId="4D2302B3" w14:textId="77777777" w:rsidR="00A739E1" w:rsidRPr="002431C0" w:rsidRDefault="00A739E1" w:rsidP="0071296E">
            <w:pPr>
              <w:jc w:val="right"/>
              <w:rPr>
                <w:sz w:val="20"/>
                <w:szCs w:val="20"/>
              </w:rPr>
            </w:pPr>
            <w:r w:rsidRPr="002431C0">
              <w:rPr>
                <w:sz w:val="20"/>
                <w:szCs w:val="20"/>
              </w:rPr>
              <w:t>-</w:t>
            </w:r>
          </w:p>
        </w:tc>
        <w:tc>
          <w:tcPr>
            <w:tcW w:w="1062" w:type="dxa"/>
            <w:tcBorders>
              <w:top w:val="single" w:sz="4" w:space="0" w:color="auto"/>
              <w:left w:val="single" w:sz="4" w:space="0" w:color="auto"/>
              <w:bottom w:val="single" w:sz="4" w:space="0" w:color="auto"/>
              <w:right w:val="single" w:sz="4" w:space="0" w:color="auto"/>
            </w:tcBorders>
            <w:vAlign w:val="bottom"/>
          </w:tcPr>
          <w:p w14:paraId="532B728E" w14:textId="77777777" w:rsidR="00A739E1" w:rsidRPr="002431C0" w:rsidRDefault="00A739E1" w:rsidP="0071296E">
            <w:pPr>
              <w:jc w:val="right"/>
              <w:rPr>
                <w:sz w:val="20"/>
                <w:szCs w:val="20"/>
              </w:rPr>
            </w:pPr>
            <w:r w:rsidRPr="002431C0">
              <w:rPr>
                <w:sz w:val="20"/>
                <w:szCs w:val="20"/>
              </w:rPr>
              <w:t>-</w:t>
            </w:r>
          </w:p>
        </w:tc>
        <w:tc>
          <w:tcPr>
            <w:tcW w:w="1512" w:type="dxa"/>
            <w:tcBorders>
              <w:top w:val="single" w:sz="4" w:space="0" w:color="auto"/>
              <w:left w:val="single" w:sz="4" w:space="0" w:color="auto"/>
              <w:bottom w:val="single" w:sz="4" w:space="0" w:color="auto"/>
              <w:right w:val="thickThinSmallGap" w:sz="24" w:space="0" w:color="auto"/>
            </w:tcBorders>
            <w:noWrap/>
            <w:vAlign w:val="bottom"/>
          </w:tcPr>
          <w:p w14:paraId="44D69025" w14:textId="77777777" w:rsidR="00A739E1" w:rsidRPr="002431C0" w:rsidRDefault="00A739E1" w:rsidP="0071296E">
            <w:pPr>
              <w:jc w:val="right"/>
              <w:rPr>
                <w:sz w:val="20"/>
                <w:szCs w:val="20"/>
              </w:rPr>
            </w:pPr>
            <w:r w:rsidRPr="002431C0">
              <w:rPr>
                <w:sz w:val="20"/>
                <w:szCs w:val="20"/>
              </w:rPr>
              <w:t>-</w:t>
            </w:r>
          </w:p>
        </w:tc>
      </w:tr>
      <w:tr w:rsidR="00A739E1" w:rsidRPr="002431C0" w14:paraId="58EBCE80" w14:textId="77777777" w:rsidTr="0071296E">
        <w:trPr>
          <w:trHeight w:val="288"/>
        </w:trPr>
        <w:tc>
          <w:tcPr>
            <w:tcW w:w="1008" w:type="dxa"/>
            <w:tcBorders>
              <w:top w:val="single" w:sz="4" w:space="0" w:color="auto"/>
              <w:left w:val="thinThickSmallGap" w:sz="24" w:space="0" w:color="auto"/>
              <w:bottom w:val="single" w:sz="4" w:space="0" w:color="auto"/>
              <w:right w:val="single" w:sz="4" w:space="0" w:color="auto"/>
            </w:tcBorders>
            <w:shd w:val="clear" w:color="auto" w:fill="auto"/>
            <w:noWrap/>
            <w:vAlign w:val="bottom"/>
          </w:tcPr>
          <w:p w14:paraId="11DE8D92" w14:textId="77777777" w:rsidR="00A739E1" w:rsidRPr="002431C0" w:rsidRDefault="00A739E1" w:rsidP="0071296E">
            <w:pPr>
              <w:rPr>
                <w:bCs/>
                <w:sz w:val="20"/>
                <w:szCs w:val="20"/>
              </w:rPr>
            </w:pPr>
            <w:r w:rsidRPr="002431C0">
              <w:rPr>
                <w:bCs/>
                <w:sz w:val="20"/>
                <w:szCs w:val="20"/>
              </w:rPr>
              <w:t>2.13</w:t>
            </w:r>
          </w:p>
        </w:tc>
        <w:tc>
          <w:tcPr>
            <w:tcW w:w="5472" w:type="dxa"/>
            <w:tcBorders>
              <w:top w:val="nil"/>
              <w:left w:val="nil"/>
              <w:bottom w:val="single" w:sz="4" w:space="0" w:color="auto"/>
              <w:right w:val="single" w:sz="4" w:space="0" w:color="auto"/>
            </w:tcBorders>
            <w:shd w:val="clear" w:color="auto" w:fill="auto"/>
            <w:noWrap/>
            <w:vAlign w:val="bottom"/>
          </w:tcPr>
          <w:p w14:paraId="21E9D981" w14:textId="77777777" w:rsidR="00A739E1" w:rsidRPr="002431C0" w:rsidRDefault="00A739E1" w:rsidP="0071296E">
            <w:pPr>
              <w:rPr>
                <w:bCs/>
                <w:sz w:val="20"/>
                <w:szCs w:val="20"/>
              </w:rPr>
            </w:pPr>
            <w:r w:rsidRPr="002431C0">
              <w:rPr>
                <w:bCs/>
                <w:sz w:val="20"/>
                <w:szCs w:val="20"/>
              </w:rPr>
              <w:t>Restating Incentive Adjustment</w:t>
            </w:r>
          </w:p>
        </w:tc>
        <w:tc>
          <w:tcPr>
            <w:tcW w:w="1170" w:type="dxa"/>
            <w:tcBorders>
              <w:top w:val="single" w:sz="4" w:space="0" w:color="auto"/>
              <w:left w:val="single" w:sz="4" w:space="0" w:color="auto"/>
              <w:bottom w:val="single" w:sz="4" w:space="0" w:color="auto"/>
              <w:right w:val="single" w:sz="4" w:space="0" w:color="auto"/>
            </w:tcBorders>
            <w:vAlign w:val="bottom"/>
          </w:tcPr>
          <w:p w14:paraId="2349FDEF" w14:textId="77777777" w:rsidR="00A739E1" w:rsidRPr="002431C0" w:rsidRDefault="00A739E1" w:rsidP="0071296E">
            <w:pPr>
              <w:jc w:val="right"/>
              <w:rPr>
                <w:sz w:val="20"/>
                <w:szCs w:val="20"/>
              </w:rPr>
            </w:pPr>
            <w:r w:rsidRPr="002431C0">
              <w:rPr>
                <w:sz w:val="20"/>
                <w:szCs w:val="20"/>
              </w:rPr>
              <w:t>216</w:t>
            </w:r>
          </w:p>
        </w:tc>
        <w:tc>
          <w:tcPr>
            <w:tcW w:w="1062" w:type="dxa"/>
            <w:tcBorders>
              <w:top w:val="single" w:sz="4" w:space="0" w:color="auto"/>
              <w:left w:val="single" w:sz="4" w:space="0" w:color="auto"/>
              <w:bottom w:val="single" w:sz="4" w:space="0" w:color="auto"/>
              <w:right w:val="single" w:sz="4" w:space="0" w:color="auto"/>
            </w:tcBorders>
            <w:vAlign w:val="bottom"/>
          </w:tcPr>
          <w:p w14:paraId="689F8C05" w14:textId="77777777" w:rsidR="00A739E1" w:rsidRPr="002431C0" w:rsidRDefault="00A739E1" w:rsidP="0071296E">
            <w:pPr>
              <w:jc w:val="right"/>
              <w:rPr>
                <w:sz w:val="20"/>
                <w:szCs w:val="20"/>
              </w:rPr>
            </w:pPr>
            <w:r w:rsidRPr="002431C0">
              <w:rPr>
                <w:sz w:val="20"/>
                <w:szCs w:val="20"/>
              </w:rPr>
              <w:t>-</w:t>
            </w:r>
          </w:p>
        </w:tc>
        <w:tc>
          <w:tcPr>
            <w:tcW w:w="1512" w:type="dxa"/>
            <w:tcBorders>
              <w:top w:val="single" w:sz="4" w:space="0" w:color="auto"/>
              <w:left w:val="single" w:sz="4" w:space="0" w:color="auto"/>
              <w:bottom w:val="single" w:sz="4" w:space="0" w:color="auto"/>
              <w:right w:val="thickThinSmallGap" w:sz="24" w:space="0" w:color="auto"/>
            </w:tcBorders>
            <w:noWrap/>
            <w:vAlign w:val="bottom"/>
          </w:tcPr>
          <w:p w14:paraId="4BCB7F9F" w14:textId="77777777" w:rsidR="00A739E1" w:rsidRPr="002431C0" w:rsidRDefault="00A739E1" w:rsidP="0071296E">
            <w:pPr>
              <w:jc w:val="right"/>
              <w:rPr>
                <w:sz w:val="20"/>
                <w:szCs w:val="20"/>
              </w:rPr>
            </w:pPr>
            <w:r w:rsidRPr="002431C0">
              <w:rPr>
                <w:sz w:val="20"/>
                <w:szCs w:val="20"/>
              </w:rPr>
              <w:t xml:space="preserve">(349)             </w:t>
            </w:r>
          </w:p>
        </w:tc>
      </w:tr>
      <w:tr w:rsidR="00A739E1" w:rsidRPr="002431C0" w14:paraId="161482F6" w14:textId="77777777" w:rsidTr="0071296E">
        <w:trPr>
          <w:trHeight w:val="288"/>
        </w:trPr>
        <w:tc>
          <w:tcPr>
            <w:tcW w:w="1008" w:type="dxa"/>
            <w:tcBorders>
              <w:top w:val="single" w:sz="4" w:space="0" w:color="auto"/>
              <w:left w:val="thinThickSmallGap" w:sz="24" w:space="0" w:color="auto"/>
              <w:bottom w:val="single" w:sz="4" w:space="0" w:color="auto"/>
              <w:right w:val="single" w:sz="4" w:space="0" w:color="auto"/>
            </w:tcBorders>
            <w:shd w:val="clear" w:color="auto" w:fill="auto"/>
            <w:noWrap/>
            <w:vAlign w:val="bottom"/>
          </w:tcPr>
          <w:p w14:paraId="695DF93C" w14:textId="77777777" w:rsidR="00A739E1" w:rsidRPr="002431C0" w:rsidRDefault="00A739E1" w:rsidP="0071296E">
            <w:pPr>
              <w:rPr>
                <w:bCs/>
                <w:color w:val="000000"/>
                <w:sz w:val="20"/>
                <w:szCs w:val="20"/>
              </w:rPr>
            </w:pPr>
            <w:r w:rsidRPr="002431C0">
              <w:rPr>
                <w:bCs/>
                <w:color w:val="000000"/>
                <w:sz w:val="20"/>
                <w:szCs w:val="20"/>
              </w:rPr>
              <w:t>2.14</w:t>
            </w:r>
          </w:p>
        </w:tc>
        <w:tc>
          <w:tcPr>
            <w:tcW w:w="5472" w:type="dxa"/>
            <w:tcBorders>
              <w:top w:val="nil"/>
              <w:left w:val="nil"/>
              <w:bottom w:val="single" w:sz="4" w:space="0" w:color="auto"/>
              <w:right w:val="single" w:sz="4" w:space="0" w:color="auto"/>
            </w:tcBorders>
            <w:shd w:val="clear" w:color="auto" w:fill="auto"/>
            <w:noWrap/>
            <w:vAlign w:val="bottom"/>
          </w:tcPr>
          <w:p w14:paraId="552F72D9" w14:textId="77777777" w:rsidR="00A739E1" w:rsidRPr="002431C0" w:rsidRDefault="00A739E1" w:rsidP="0071296E">
            <w:pPr>
              <w:rPr>
                <w:bCs/>
                <w:color w:val="000000"/>
                <w:sz w:val="20"/>
                <w:szCs w:val="20"/>
              </w:rPr>
            </w:pPr>
            <w:r w:rsidRPr="002431C0">
              <w:rPr>
                <w:bCs/>
                <w:color w:val="000000"/>
                <w:sz w:val="20"/>
                <w:szCs w:val="20"/>
              </w:rPr>
              <w:t>Restate Debt Interest</w:t>
            </w:r>
          </w:p>
        </w:tc>
        <w:tc>
          <w:tcPr>
            <w:tcW w:w="1170" w:type="dxa"/>
            <w:tcBorders>
              <w:top w:val="single" w:sz="4" w:space="0" w:color="auto"/>
              <w:left w:val="single" w:sz="4" w:space="0" w:color="auto"/>
              <w:bottom w:val="single" w:sz="4" w:space="0" w:color="auto"/>
              <w:right w:val="single" w:sz="4" w:space="0" w:color="auto"/>
            </w:tcBorders>
            <w:vAlign w:val="bottom"/>
          </w:tcPr>
          <w:p w14:paraId="1855D8EF" w14:textId="77777777" w:rsidR="00A739E1" w:rsidRPr="002431C0" w:rsidRDefault="00A739E1" w:rsidP="0071296E">
            <w:pPr>
              <w:jc w:val="right"/>
              <w:rPr>
                <w:sz w:val="20"/>
                <w:szCs w:val="20"/>
              </w:rPr>
            </w:pPr>
            <w:r w:rsidRPr="002431C0">
              <w:rPr>
                <w:sz w:val="20"/>
                <w:szCs w:val="20"/>
              </w:rPr>
              <w:t>(161)</w:t>
            </w:r>
          </w:p>
        </w:tc>
        <w:tc>
          <w:tcPr>
            <w:tcW w:w="1062" w:type="dxa"/>
            <w:tcBorders>
              <w:top w:val="single" w:sz="4" w:space="0" w:color="auto"/>
              <w:left w:val="single" w:sz="4" w:space="0" w:color="auto"/>
              <w:bottom w:val="single" w:sz="4" w:space="0" w:color="auto"/>
              <w:right w:val="single" w:sz="4" w:space="0" w:color="auto"/>
            </w:tcBorders>
            <w:vAlign w:val="bottom"/>
          </w:tcPr>
          <w:p w14:paraId="30700418" w14:textId="77777777" w:rsidR="00A739E1" w:rsidRPr="002431C0" w:rsidRDefault="00A739E1" w:rsidP="0071296E">
            <w:pPr>
              <w:jc w:val="right"/>
              <w:rPr>
                <w:sz w:val="20"/>
                <w:szCs w:val="20"/>
              </w:rPr>
            </w:pPr>
            <w:r w:rsidRPr="002431C0">
              <w:rPr>
                <w:sz w:val="20"/>
                <w:szCs w:val="20"/>
              </w:rPr>
              <w:t>-</w:t>
            </w:r>
          </w:p>
        </w:tc>
        <w:tc>
          <w:tcPr>
            <w:tcW w:w="1512" w:type="dxa"/>
            <w:tcBorders>
              <w:top w:val="single" w:sz="4" w:space="0" w:color="auto"/>
              <w:left w:val="single" w:sz="4" w:space="0" w:color="auto"/>
              <w:bottom w:val="single" w:sz="4" w:space="0" w:color="auto"/>
              <w:right w:val="thickThinSmallGap" w:sz="24" w:space="0" w:color="auto"/>
            </w:tcBorders>
            <w:noWrap/>
            <w:vAlign w:val="bottom"/>
          </w:tcPr>
          <w:p w14:paraId="5459DA32" w14:textId="77777777" w:rsidR="00A739E1" w:rsidRPr="002431C0" w:rsidRDefault="00A739E1" w:rsidP="0071296E">
            <w:pPr>
              <w:jc w:val="right"/>
              <w:rPr>
                <w:sz w:val="20"/>
                <w:szCs w:val="20"/>
              </w:rPr>
            </w:pPr>
            <w:r w:rsidRPr="002431C0">
              <w:rPr>
                <w:sz w:val="20"/>
                <w:szCs w:val="20"/>
              </w:rPr>
              <w:t>260</w:t>
            </w:r>
          </w:p>
        </w:tc>
      </w:tr>
      <w:tr w:rsidR="00A739E1" w:rsidRPr="002431C0" w14:paraId="50DBC3D3" w14:textId="77777777" w:rsidTr="0071296E">
        <w:trPr>
          <w:trHeight w:val="288"/>
        </w:trPr>
        <w:tc>
          <w:tcPr>
            <w:tcW w:w="1008" w:type="dxa"/>
            <w:tcBorders>
              <w:top w:val="single" w:sz="4" w:space="0" w:color="auto"/>
              <w:left w:val="thinThickSmallGap" w:sz="24" w:space="0" w:color="auto"/>
              <w:bottom w:val="single" w:sz="4" w:space="0" w:color="auto"/>
              <w:right w:val="single" w:sz="4" w:space="0" w:color="auto"/>
            </w:tcBorders>
            <w:shd w:val="clear" w:color="auto" w:fill="auto"/>
            <w:noWrap/>
            <w:vAlign w:val="bottom"/>
          </w:tcPr>
          <w:p w14:paraId="2BF0E631" w14:textId="77777777" w:rsidR="00A739E1" w:rsidRPr="002431C0" w:rsidRDefault="00A739E1" w:rsidP="0071296E">
            <w:pPr>
              <w:rPr>
                <w:bCs/>
                <w:color w:val="000000"/>
                <w:sz w:val="20"/>
                <w:szCs w:val="20"/>
              </w:rPr>
            </w:pPr>
            <w:r w:rsidRPr="002431C0">
              <w:rPr>
                <w:bCs/>
                <w:color w:val="000000"/>
                <w:sz w:val="20"/>
                <w:szCs w:val="20"/>
              </w:rPr>
              <w:t>3.02</w:t>
            </w:r>
          </w:p>
        </w:tc>
        <w:tc>
          <w:tcPr>
            <w:tcW w:w="5472" w:type="dxa"/>
            <w:tcBorders>
              <w:top w:val="single" w:sz="4" w:space="0" w:color="auto"/>
              <w:left w:val="nil"/>
              <w:bottom w:val="single" w:sz="4" w:space="0" w:color="auto"/>
              <w:right w:val="single" w:sz="8" w:space="0" w:color="000000"/>
            </w:tcBorders>
            <w:shd w:val="clear" w:color="auto" w:fill="auto"/>
            <w:noWrap/>
            <w:vAlign w:val="bottom"/>
          </w:tcPr>
          <w:p w14:paraId="53BBC2F0" w14:textId="77777777" w:rsidR="00A739E1" w:rsidRPr="002431C0" w:rsidRDefault="00A739E1" w:rsidP="0071296E">
            <w:pPr>
              <w:rPr>
                <w:bCs/>
                <w:color w:val="000000"/>
                <w:sz w:val="20"/>
                <w:szCs w:val="20"/>
              </w:rPr>
            </w:pPr>
            <w:r w:rsidRPr="002431C0">
              <w:rPr>
                <w:bCs/>
                <w:color w:val="000000"/>
                <w:sz w:val="20"/>
                <w:szCs w:val="20"/>
              </w:rPr>
              <w:t>Pro Forma Employee Benefits</w:t>
            </w:r>
          </w:p>
        </w:tc>
        <w:tc>
          <w:tcPr>
            <w:tcW w:w="1170" w:type="dxa"/>
            <w:tcBorders>
              <w:top w:val="single" w:sz="4" w:space="0" w:color="auto"/>
              <w:left w:val="single" w:sz="4" w:space="0" w:color="auto"/>
              <w:bottom w:val="single" w:sz="4" w:space="0" w:color="auto"/>
              <w:right w:val="single" w:sz="4" w:space="0" w:color="auto"/>
            </w:tcBorders>
            <w:vAlign w:val="bottom"/>
          </w:tcPr>
          <w:p w14:paraId="6532428F" w14:textId="77777777" w:rsidR="00A739E1" w:rsidRPr="002431C0" w:rsidRDefault="00A739E1" w:rsidP="0071296E">
            <w:pPr>
              <w:jc w:val="right"/>
              <w:rPr>
                <w:sz w:val="20"/>
                <w:szCs w:val="20"/>
              </w:rPr>
            </w:pPr>
            <w:r w:rsidRPr="002431C0">
              <w:rPr>
                <w:sz w:val="20"/>
                <w:szCs w:val="20"/>
              </w:rPr>
              <w:t>(626)</w:t>
            </w:r>
          </w:p>
        </w:tc>
        <w:tc>
          <w:tcPr>
            <w:tcW w:w="1062" w:type="dxa"/>
            <w:tcBorders>
              <w:top w:val="single" w:sz="4" w:space="0" w:color="auto"/>
              <w:left w:val="single" w:sz="4" w:space="0" w:color="auto"/>
              <w:bottom w:val="single" w:sz="4" w:space="0" w:color="auto"/>
              <w:right w:val="single" w:sz="4" w:space="0" w:color="auto"/>
            </w:tcBorders>
            <w:vAlign w:val="bottom"/>
          </w:tcPr>
          <w:p w14:paraId="54304BD4" w14:textId="77777777" w:rsidR="00A739E1" w:rsidRPr="002431C0" w:rsidRDefault="00A739E1" w:rsidP="0071296E">
            <w:pPr>
              <w:jc w:val="right"/>
              <w:rPr>
                <w:sz w:val="20"/>
                <w:szCs w:val="20"/>
              </w:rPr>
            </w:pPr>
            <w:r w:rsidRPr="002431C0">
              <w:rPr>
                <w:sz w:val="20"/>
                <w:szCs w:val="20"/>
              </w:rPr>
              <w:t>-</w:t>
            </w:r>
          </w:p>
        </w:tc>
        <w:tc>
          <w:tcPr>
            <w:tcW w:w="1512" w:type="dxa"/>
            <w:tcBorders>
              <w:top w:val="single" w:sz="4" w:space="0" w:color="auto"/>
              <w:left w:val="single" w:sz="4" w:space="0" w:color="auto"/>
              <w:bottom w:val="single" w:sz="4" w:space="0" w:color="auto"/>
              <w:right w:val="thickThinSmallGap" w:sz="24" w:space="0" w:color="auto"/>
            </w:tcBorders>
            <w:noWrap/>
            <w:vAlign w:val="bottom"/>
          </w:tcPr>
          <w:p w14:paraId="5BD9E2B9" w14:textId="77777777" w:rsidR="00A739E1" w:rsidRPr="002431C0" w:rsidRDefault="00A739E1" w:rsidP="0071296E">
            <w:pPr>
              <w:jc w:val="right"/>
              <w:rPr>
                <w:sz w:val="20"/>
                <w:szCs w:val="20"/>
              </w:rPr>
            </w:pPr>
            <w:r w:rsidRPr="002431C0">
              <w:rPr>
                <w:sz w:val="20"/>
                <w:szCs w:val="20"/>
              </w:rPr>
              <w:t>1,009</w:t>
            </w:r>
          </w:p>
        </w:tc>
      </w:tr>
      <w:tr w:rsidR="00A739E1" w:rsidRPr="002431C0" w14:paraId="2DC0DD60" w14:textId="77777777" w:rsidTr="0071296E">
        <w:trPr>
          <w:trHeight w:val="288"/>
        </w:trPr>
        <w:tc>
          <w:tcPr>
            <w:tcW w:w="1008" w:type="dxa"/>
            <w:tcBorders>
              <w:top w:val="single" w:sz="4" w:space="0" w:color="auto"/>
              <w:left w:val="thinThickSmallGap" w:sz="24" w:space="0" w:color="auto"/>
              <w:bottom w:val="single" w:sz="4" w:space="0" w:color="auto"/>
              <w:right w:val="single" w:sz="4" w:space="0" w:color="auto"/>
            </w:tcBorders>
            <w:shd w:val="clear" w:color="auto" w:fill="auto"/>
            <w:noWrap/>
            <w:vAlign w:val="bottom"/>
          </w:tcPr>
          <w:p w14:paraId="19F44FB8" w14:textId="77777777" w:rsidR="00A739E1" w:rsidRPr="002431C0" w:rsidRDefault="00A739E1" w:rsidP="0071296E">
            <w:pPr>
              <w:rPr>
                <w:bCs/>
                <w:sz w:val="20"/>
                <w:szCs w:val="20"/>
              </w:rPr>
            </w:pPr>
            <w:r w:rsidRPr="002431C0">
              <w:rPr>
                <w:bCs/>
                <w:sz w:val="20"/>
                <w:szCs w:val="20"/>
              </w:rPr>
              <w:t>3.06</w:t>
            </w:r>
          </w:p>
        </w:tc>
        <w:tc>
          <w:tcPr>
            <w:tcW w:w="5472" w:type="dxa"/>
            <w:tcBorders>
              <w:top w:val="nil"/>
              <w:left w:val="nil"/>
              <w:bottom w:val="single" w:sz="4" w:space="0" w:color="auto"/>
              <w:right w:val="single" w:sz="4" w:space="0" w:color="auto"/>
            </w:tcBorders>
            <w:shd w:val="clear" w:color="auto" w:fill="auto"/>
            <w:noWrap/>
            <w:vAlign w:val="bottom"/>
          </w:tcPr>
          <w:p w14:paraId="4CA3060F" w14:textId="77777777" w:rsidR="00A739E1" w:rsidRPr="002431C0" w:rsidRDefault="00A739E1" w:rsidP="0071296E">
            <w:pPr>
              <w:rPr>
                <w:bCs/>
                <w:sz w:val="20"/>
                <w:szCs w:val="20"/>
              </w:rPr>
            </w:pPr>
            <w:r w:rsidRPr="002431C0">
              <w:rPr>
                <w:bCs/>
                <w:sz w:val="20"/>
                <w:szCs w:val="20"/>
              </w:rPr>
              <w:t>Pro Forma Revenue Normalization</w:t>
            </w:r>
          </w:p>
        </w:tc>
        <w:tc>
          <w:tcPr>
            <w:tcW w:w="1170" w:type="dxa"/>
            <w:tcBorders>
              <w:top w:val="single" w:sz="4" w:space="0" w:color="auto"/>
              <w:left w:val="single" w:sz="4" w:space="0" w:color="auto"/>
              <w:bottom w:val="single" w:sz="4" w:space="0" w:color="auto"/>
              <w:right w:val="single" w:sz="4" w:space="0" w:color="auto"/>
            </w:tcBorders>
            <w:vAlign w:val="bottom"/>
          </w:tcPr>
          <w:p w14:paraId="252C3A7A" w14:textId="77777777" w:rsidR="00A739E1" w:rsidRPr="002431C0" w:rsidRDefault="00A739E1" w:rsidP="0071296E">
            <w:pPr>
              <w:jc w:val="right"/>
              <w:rPr>
                <w:sz w:val="20"/>
                <w:szCs w:val="20"/>
              </w:rPr>
            </w:pPr>
            <w:r w:rsidRPr="002431C0">
              <w:rPr>
                <w:sz w:val="20"/>
                <w:szCs w:val="20"/>
              </w:rPr>
              <w:t>5,541</w:t>
            </w:r>
          </w:p>
        </w:tc>
        <w:tc>
          <w:tcPr>
            <w:tcW w:w="1062" w:type="dxa"/>
            <w:tcBorders>
              <w:top w:val="single" w:sz="4" w:space="0" w:color="auto"/>
              <w:left w:val="single" w:sz="4" w:space="0" w:color="auto"/>
              <w:bottom w:val="single" w:sz="4" w:space="0" w:color="auto"/>
              <w:right w:val="single" w:sz="4" w:space="0" w:color="auto"/>
            </w:tcBorders>
            <w:vAlign w:val="bottom"/>
          </w:tcPr>
          <w:p w14:paraId="2CCC29AC" w14:textId="77777777" w:rsidR="00A739E1" w:rsidRPr="002431C0" w:rsidRDefault="00A739E1" w:rsidP="0071296E">
            <w:pPr>
              <w:jc w:val="right"/>
              <w:rPr>
                <w:sz w:val="20"/>
                <w:szCs w:val="20"/>
              </w:rPr>
            </w:pPr>
            <w:r w:rsidRPr="002431C0">
              <w:rPr>
                <w:sz w:val="20"/>
                <w:szCs w:val="20"/>
              </w:rPr>
              <w:t>-</w:t>
            </w:r>
          </w:p>
        </w:tc>
        <w:tc>
          <w:tcPr>
            <w:tcW w:w="1512" w:type="dxa"/>
            <w:tcBorders>
              <w:top w:val="single" w:sz="4" w:space="0" w:color="auto"/>
              <w:left w:val="single" w:sz="4" w:space="0" w:color="auto"/>
              <w:bottom w:val="single" w:sz="4" w:space="0" w:color="auto"/>
              <w:right w:val="thickThinSmallGap" w:sz="24" w:space="0" w:color="auto"/>
            </w:tcBorders>
            <w:noWrap/>
            <w:vAlign w:val="bottom"/>
          </w:tcPr>
          <w:p w14:paraId="2F676CAC" w14:textId="77777777" w:rsidR="00A739E1" w:rsidRPr="002431C0" w:rsidRDefault="00A739E1" w:rsidP="0071296E">
            <w:pPr>
              <w:jc w:val="right"/>
              <w:rPr>
                <w:sz w:val="20"/>
                <w:szCs w:val="20"/>
              </w:rPr>
            </w:pPr>
            <w:r w:rsidRPr="002431C0">
              <w:rPr>
                <w:sz w:val="20"/>
                <w:szCs w:val="20"/>
              </w:rPr>
              <w:t>(8,935)</w:t>
            </w:r>
          </w:p>
        </w:tc>
      </w:tr>
      <w:tr w:rsidR="00A739E1" w:rsidRPr="002431C0" w14:paraId="2CED7E84" w14:textId="77777777" w:rsidTr="0071296E">
        <w:trPr>
          <w:trHeight w:val="288"/>
        </w:trPr>
        <w:tc>
          <w:tcPr>
            <w:tcW w:w="1008" w:type="dxa"/>
            <w:tcBorders>
              <w:top w:val="single" w:sz="4" w:space="0" w:color="auto"/>
              <w:left w:val="thinThickSmallGap" w:sz="24" w:space="0" w:color="auto"/>
              <w:bottom w:val="single" w:sz="12" w:space="0" w:color="auto"/>
              <w:right w:val="single" w:sz="4" w:space="0" w:color="auto"/>
            </w:tcBorders>
            <w:shd w:val="clear" w:color="auto" w:fill="auto"/>
            <w:noWrap/>
            <w:vAlign w:val="bottom"/>
          </w:tcPr>
          <w:p w14:paraId="5AF96C03" w14:textId="77777777" w:rsidR="00A739E1" w:rsidRPr="002431C0" w:rsidRDefault="00A739E1" w:rsidP="0071296E">
            <w:pPr>
              <w:rPr>
                <w:bCs/>
                <w:sz w:val="20"/>
                <w:szCs w:val="20"/>
              </w:rPr>
            </w:pPr>
            <w:r w:rsidRPr="002431C0">
              <w:rPr>
                <w:bCs/>
                <w:sz w:val="20"/>
                <w:szCs w:val="20"/>
              </w:rPr>
              <w:t>4.05</w:t>
            </w:r>
          </w:p>
        </w:tc>
        <w:tc>
          <w:tcPr>
            <w:tcW w:w="5472" w:type="dxa"/>
            <w:tcBorders>
              <w:top w:val="nil"/>
              <w:left w:val="nil"/>
              <w:bottom w:val="single" w:sz="12" w:space="0" w:color="auto"/>
              <w:right w:val="single" w:sz="4" w:space="0" w:color="auto"/>
            </w:tcBorders>
            <w:shd w:val="clear" w:color="auto" w:fill="auto"/>
            <w:noWrap/>
            <w:vAlign w:val="bottom"/>
          </w:tcPr>
          <w:p w14:paraId="2DB19B83" w14:textId="77777777" w:rsidR="00A739E1" w:rsidRPr="002431C0" w:rsidRDefault="00A739E1" w:rsidP="0071296E">
            <w:pPr>
              <w:rPr>
                <w:bCs/>
                <w:sz w:val="20"/>
                <w:szCs w:val="20"/>
              </w:rPr>
            </w:pPr>
            <w:r w:rsidRPr="002431C0">
              <w:rPr>
                <w:bCs/>
                <w:sz w:val="20"/>
                <w:szCs w:val="20"/>
              </w:rPr>
              <w:t>Pro Forma Atmospheric Testing</w:t>
            </w:r>
          </w:p>
        </w:tc>
        <w:tc>
          <w:tcPr>
            <w:tcW w:w="1170" w:type="dxa"/>
            <w:tcBorders>
              <w:top w:val="single" w:sz="4" w:space="0" w:color="auto"/>
              <w:left w:val="single" w:sz="4" w:space="0" w:color="auto"/>
              <w:bottom w:val="single" w:sz="12" w:space="0" w:color="auto"/>
              <w:right w:val="single" w:sz="4" w:space="0" w:color="auto"/>
            </w:tcBorders>
            <w:vAlign w:val="bottom"/>
          </w:tcPr>
          <w:p w14:paraId="11A7C410" w14:textId="77777777" w:rsidR="00A739E1" w:rsidRPr="002431C0" w:rsidRDefault="00A739E1" w:rsidP="0071296E">
            <w:pPr>
              <w:jc w:val="right"/>
              <w:rPr>
                <w:sz w:val="20"/>
                <w:szCs w:val="20"/>
              </w:rPr>
            </w:pPr>
            <w:r w:rsidRPr="002431C0">
              <w:rPr>
                <w:sz w:val="20"/>
                <w:szCs w:val="20"/>
              </w:rPr>
              <w:t>(460)</w:t>
            </w:r>
          </w:p>
        </w:tc>
        <w:tc>
          <w:tcPr>
            <w:tcW w:w="1062" w:type="dxa"/>
            <w:tcBorders>
              <w:top w:val="single" w:sz="4" w:space="0" w:color="auto"/>
              <w:left w:val="single" w:sz="4" w:space="0" w:color="auto"/>
              <w:bottom w:val="single" w:sz="12" w:space="0" w:color="auto"/>
              <w:right w:val="single" w:sz="4" w:space="0" w:color="auto"/>
            </w:tcBorders>
            <w:vAlign w:val="bottom"/>
          </w:tcPr>
          <w:p w14:paraId="6C195AA0" w14:textId="77777777" w:rsidR="00A739E1" w:rsidRPr="002431C0" w:rsidRDefault="00A739E1" w:rsidP="0071296E">
            <w:pPr>
              <w:jc w:val="right"/>
              <w:rPr>
                <w:sz w:val="20"/>
                <w:szCs w:val="20"/>
              </w:rPr>
            </w:pPr>
            <w:r w:rsidRPr="002431C0">
              <w:rPr>
                <w:sz w:val="20"/>
                <w:szCs w:val="20"/>
              </w:rPr>
              <w:t>-</w:t>
            </w:r>
          </w:p>
        </w:tc>
        <w:tc>
          <w:tcPr>
            <w:tcW w:w="1512" w:type="dxa"/>
            <w:tcBorders>
              <w:top w:val="single" w:sz="4" w:space="0" w:color="auto"/>
              <w:left w:val="single" w:sz="4" w:space="0" w:color="auto"/>
              <w:bottom w:val="single" w:sz="12" w:space="0" w:color="auto"/>
              <w:right w:val="thickThinSmallGap" w:sz="24" w:space="0" w:color="auto"/>
            </w:tcBorders>
            <w:noWrap/>
            <w:vAlign w:val="bottom"/>
          </w:tcPr>
          <w:p w14:paraId="23B68A89" w14:textId="77777777" w:rsidR="00A739E1" w:rsidRPr="002431C0" w:rsidRDefault="00A739E1" w:rsidP="0071296E">
            <w:pPr>
              <w:jc w:val="right"/>
              <w:rPr>
                <w:sz w:val="20"/>
                <w:szCs w:val="20"/>
              </w:rPr>
            </w:pPr>
            <w:r w:rsidRPr="002431C0">
              <w:rPr>
                <w:sz w:val="20"/>
                <w:szCs w:val="20"/>
              </w:rPr>
              <w:t>741</w:t>
            </w:r>
          </w:p>
        </w:tc>
      </w:tr>
      <w:tr w:rsidR="00A739E1" w:rsidRPr="002431C0" w14:paraId="087C9821" w14:textId="77777777" w:rsidTr="0071296E">
        <w:trPr>
          <w:trHeight w:val="255"/>
        </w:trPr>
        <w:tc>
          <w:tcPr>
            <w:tcW w:w="1008" w:type="dxa"/>
            <w:tcBorders>
              <w:top w:val="single" w:sz="12" w:space="0" w:color="auto"/>
              <w:left w:val="thinThickSmallGap" w:sz="24" w:space="0" w:color="auto"/>
              <w:bottom w:val="thickThinSmallGap" w:sz="24" w:space="0" w:color="auto"/>
              <w:right w:val="single" w:sz="4" w:space="0" w:color="auto"/>
            </w:tcBorders>
            <w:noWrap/>
            <w:vAlign w:val="bottom"/>
          </w:tcPr>
          <w:p w14:paraId="2E1B5224" w14:textId="77777777" w:rsidR="00A739E1" w:rsidRPr="002431C0" w:rsidRDefault="00A739E1" w:rsidP="0071296E">
            <w:pPr>
              <w:jc w:val="center"/>
              <w:rPr>
                <w:sz w:val="20"/>
                <w:szCs w:val="20"/>
              </w:rPr>
            </w:pPr>
          </w:p>
        </w:tc>
        <w:tc>
          <w:tcPr>
            <w:tcW w:w="5472" w:type="dxa"/>
            <w:tcBorders>
              <w:top w:val="single" w:sz="12" w:space="0" w:color="auto"/>
              <w:left w:val="single" w:sz="4" w:space="0" w:color="auto"/>
              <w:bottom w:val="thickThinSmallGap" w:sz="24" w:space="0" w:color="auto"/>
              <w:right w:val="single" w:sz="4" w:space="0" w:color="auto"/>
            </w:tcBorders>
            <w:noWrap/>
            <w:vAlign w:val="bottom"/>
          </w:tcPr>
          <w:p w14:paraId="692AEDCA" w14:textId="77777777" w:rsidR="00A739E1" w:rsidRPr="002431C0" w:rsidRDefault="00A739E1" w:rsidP="0071296E">
            <w:pPr>
              <w:jc w:val="center"/>
              <w:rPr>
                <w:sz w:val="20"/>
                <w:szCs w:val="20"/>
              </w:rPr>
            </w:pPr>
            <w:r w:rsidRPr="002431C0">
              <w:rPr>
                <w:sz w:val="20"/>
                <w:szCs w:val="20"/>
              </w:rPr>
              <w:t>Total Natural Gas - Uncontested Adjustments</w:t>
            </w:r>
          </w:p>
        </w:tc>
        <w:tc>
          <w:tcPr>
            <w:tcW w:w="1170" w:type="dxa"/>
            <w:tcBorders>
              <w:top w:val="single" w:sz="12" w:space="0" w:color="auto"/>
              <w:left w:val="single" w:sz="4" w:space="0" w:color="auto"/>
              <w:bottom w:val="thickThinSmallGap" w:sz="24" w:space="0" w:color="auto"/>
              <w:right w:val="single" w:sz="4" w:space="0" w:color="auto"/>
            </w:tcBorders>
            <w:vAlign w:val="bottom"/>
          </w:tcPr>
          <w:p w14:paraId="2EF15FDC" w14:textId="77777777" w:rsidR="00A739E1" w:rsidRPr="002431C0" w:rsidRDefault="00A739E1" w:rsidP="0071296E">
            <w:pPr>
              <w:jc w:val="right"/>
              <w:rPr>
                <w:sz w:val="20"/>
                <w:szCs w:val="20"/>
              </w:rPr>
            </w:pPr>
            <w:r w:rsidRPr="002431C0">
              <w:rPr>
                <w:sz w:val="20"/>
                <w:szCs w:val="20"/>
              </w:rPr>
              <w:t>18,925</w:t>
            </w:r>
          </w:p>
        </w:tc>
        <w:tc>
          <w:tcPr>
            <w:tcW w:w="1062" w:type="dxa"/>
            <w:tcBorders>
              <w:top w:val="single" w:sz="12" w:space="0" w:color="auto"/>
              <w:left w:val="single" w:sz="4" w:space="0" w:color="auto"/>
              <w:bottom w:val="thickThinSmallGap" w:sz="24" w:space="0" w:color="auto"/>
              <w:right w:val="single" w:sz="4" w:space="0" w:color="auto"/>
            </w:tcBorders>
            <w:vAlign w:val="bottom"/>
          </w:tcPr>
          <w:p w14:paraId="7CF74FF6" w14:textId="77777777" w:rsidR="00A739E1" w:rsidRPr="002431C0" w:rsidRDefault="00A739E1" w:rsidP="0071296E">
            <w:pPr>
              <w:jc w:val="right"/>
              <w:rPr>
                <w:sz w:val="20"/>
                <w:szCs w:val="20"/>
              </w:rPr>
            </w:pPr>
            <w:r w:rsidRPr="002431C0">
              <w:rPr>
                <w:sz w:val="20"/>
                <w:szCs w:val="20"/>
              </w:rPr>
              <w:t>240,814</w:t>
            </w:r>
          </w:p>
        </w:tc>
        <w:tc>
          <w:tcPr>
            <w:tcW w:w="1512" w:type="dxa"/>
            <w:tcBorders>
              <w:top w:val="single" w:sz="12" w:space="0" w:color="auto"/>
              <w:left w:val="single" w:sz="4" w:space="0" w:color="auto"/>
              <w:bottom w:val="thickThinSmallGap" w:sz="24" w:space="0" w:color="auto"/>
              <w:right w:val="thickThinSmallGap" w:sz="24" w:space="0" w:color="auto"/>
            </w:tcBorders>
            <w:noWrap/>
            <w:vAlign w:val="bottom"/>
          </w:tcPr>
          <w:p w14:paraId="36C396CA" w14:textId="77777777" w:rsidR="00A739E1" w:rsidRPr="002431C0" w:rsidRDefault="00A739E1" w:rsidP="0071296E">
            <w:pPr>
              <w:jc w:val="right"/>
              <w:rPr>
                <w:sz w:val="20"/>
                <w:szCs w:val="20"/>
              </w:rPr>
            </w:pPr>
            <w:r w:rsidRPr="002431C0">
              <w:rPr>
                <w:sz w:val="20"/>
                <w:szCs w:val="20"/>
              </w:rPr>
              <w:t>(2,207)</w:t>
            </w:r>
          </w:p>
        </w:tc>
      </w:tr>
    </w:tbl>
    <w:p w14:paraId="2206B1DA" w14:textId="77777777" w:rsidR="00166E95" w:rsidRPr="002431C0" w:rsidRDefault="00166E95" w:rsidP="00166E95">
      <w:pPr>
        <w:keepNext/>
        <w:spacing w:before="240" w:after="60"/>
        <w:outlineLvl w:val="0"/>
        <w:rPr>
          <w:rFonts w:cs="Arial"/>
          <w:bCs/>
          <w:kern w:val="32"/>
          <w:sz w:val="25"/>
          <w:szCs w:val="25"/>
        </w:rPr>
      </w:pPr>
    </w:p>
    <w:p w14:paraId="75E1B639" w14:textId="77777777" w:rsidR="00166E95" w:rsidRPr="002431C0" w:rsidRDefault="00166E95">
      <w:pPr>
        <w:rPr>
          <w:kern w:val="32"/>
        </w:rPr>
      </w:pPr>
      <w:r w:rsidRPr="002431C0">
        <w:br w:type="page"/>
      </w:r>
    </w:p>
    <w:p w14:paraId="6F18A8F2" w14:textId="77777777" w:rsidR="00166E95" w:rsidRPr="002431C0" w:rsidRDefault="00166E95">
      <w:pPr>
        <w:rPr>
          <w:bCs/>
          <w:kern w:val="32"/>
          <w:sz w:val="26"/>
          <w:szCs w:val="26"/>
          <w:u w:val="single"/>
        </w:rPr>
      </w:pPr>
    </w:p>
    <w:p w14:paraId="2016344B" w14:textId="77777777" w:rsidR="003D42C5" w:rsidRPr="002431C0" w:rsidRDefault="003D42C5" w:rsidP="005446ED">
      <w:pPr>
        <w:keepNext/>
        <w:spacing w:before="240" w:after="60"/>
        <w:jc w:val="center"/>
        <w:outlineLvl w:val="0"/>
        <w:rPr>
          <w:rFonts w:cs="Arial"/>
          <w:sz w:val="25"/>
          <w:szCs w:val="25"/>
        </w:rPr>
      </w:pPr>
    </w:p>
    <w:p w14:paraId="0EE0D5C6" w14:textId="77777777" w:rsidR="00166E95" w:rsidRPr="002431C0" w:rsidRDefault="00166E95" w:rsidP="005446ED">
      <w:pPr>
        <w:keepNext/>
        <w:spacing w:before="240" w:after="60"/>
        <w:jc w:val="center"/>
        <w:outlineLvl w:val="0"/>
        <w:rPr>
          <w:sz w:val="25"/>
          <w:szCs w:val="25"/>
        </w:rPr>
      </w:pPr>
    </w:p>
    <w:p w14:paraId="6275CD11" w14:textId="77777777" w:rsidR="00166E95" w:rsidRPr="002431C0" w:rsidRDefault="00166E95" w:rsidP="005446ED">
      <w:pPr>
        <w:keepNext/>
        <w:spacing w:before="240" w:after="60"/>
        <w:jc w:val="center"/>
        <w:outlineLvl w:val="0"/>
        <w:rPr>
          <w:sz w:val="25"/>
          <w:szCs w:val="25"/>
        </w:rPr>
      </w:pPr>
    </w:p>
    <w:p w14:paraId="5C48F198" w14:textId="77777777" w:rsidR="00166E95" w:rsidRPr="002431C0" w:rsidRDefault="00166E95" w:rsidP="005446ED">
      <w:pPr>
        <w:keepNext/>
        <w:spacing w:before="240" w:after="60"/>
        <w:jc w:val="center"/>
        <w:outlineLvl w:val="0"/>
        <w:rPr>
          <w:sz w:val="25"/>
          <w:szCs w:val="25"/>
        </w:rPr>
      </w:pPr>
    </w:p>
    <w:p w14:paraId="75694E0D" w14:textId="77777777" w:rsidR="00166E95" w:rsidRPr="002431C0" w:rsidRDefault="00166E95" w:rsidP="005446ED">
      <w:pPr>
        <w:keepNext/>
        <w:spacing w:before="240" w:after="60"/>
        <w:jc w:val="center"/>
        <w:outlineLvl w:val="0"/>
        <w:rPr>
          <w:sz w:val="25"/>
          <w:szCs w:val="25"/>
        </w:rPr>
      </w:pPr>
    </w:p>
    <w:p w14:paraId="63E42FE6" w14:textId="77777777" w:rsidR="00166E95" w:rsidRPr="002431C0" w:rsidRDefault="00166E95" w:rsidP="005446ED">
      <w:pPr>
        <w:keepNext/>
        <w:spacing w:before="240" w:after="60"/>
        <w:jc w:val="center"/>
        <w:outlineLvl w:val="0"/>
        <w:rPr>
          <w:sz w:val="25"/>
          <w:szCs w:val="25"/>
        </w:rPr>
      </w:pPr>
    </w:p>
    <w:p w14:paraId="440E690A" w14:textId="77777777" w:rsidR="00166E95" w:rsidRPr="002431C0" w:rsidRDefault="00166E95" w:rsidP="005446ED">
      <w:pPr>
        <w:keepNext/>
        <w:spacing w:before="240" w:after="60"/>
        <w:jc w:val="center"/>
        <w:outlineLvl w:val="0"/>
        <w:rPr>
          <w:sz w:val="25"/>
          <w:szCs w:val="25"/>
        </w:rPr>
      </w:pPr>
    </w:p>
    <w:p w14:paraId="77E08058" w14:textId="77777777" w:rsidR="00166E95" w:rsidRPr="002431C0" w:rsidRDefault="00166E95" w:rsidP="005446ED">
      <w:pPr>
        <w:keepNext/>
        <w:spacing w:before="240" w:after="60"/>
        <w:jc w:val="center"/>
        <w:outlineLvl w:val="0"/>
        <w:rPr>
          <w:rFonts w:cs="Arial"/>
          <w:sz w:val="25"/>
          <w:szCs w:val="25"/>
        </w:rPr>
      </w:pPr>
    </w:p>
    <w:p w14:paraId="7AA89664" w14:textId="77777777" w:rsidR="004E5965" w:rsidRPr="002431C0" w:rsidRDefault="004E5965" w:rsidP="004E5965"/>
    <w:p w14:paraId="309E8638" w14:textId="77777777" w:rsidR="001C5489" w:rsidRPr="00436CA6" w:rsidRDefault="001C5489" w:rsidP="009D6042">
      <w:pPr>
        <w:pStyle w:val="Heading1"/>
        <w:spacing w:before="0" w:after="0" w:line="288" w:lineRule="auto"/>
        <w:jc w:val="center"/>
        <w:rPr>
          <w:rFonts w:ascii="Times New Roman" w:hAnsi="Times New Roman" w:cs="Times New Roman"/>
          <w:sz w:val="26"/>
          <w:szCs w:val="26"/>
          <w:u w:val="single"/>
        </w:rPr>
      </w:pPr>
      <w:bookmarkStart w:id="50" w:name="_Toc439838981"/>
      <w:r w:rsidRPr="00436CA6">
        <w:rPr>
          <w:rFonts w:ascii="Times New Roman" w:hAnsi="Times New Roman" w:cs="Times New Roman"/>
          <w:sz w:val="26"/>
          <w:szCs w:val="26"/>
          <w:u w:val="single"/>
        </w:rPr>
        <w:t xml:space="preserve">APPENDIX </w:t>
      </w:r>
      <w:r w:rsidR="00166E95" w:rsidRPr="00436CA6">
        <w:rPr>
          <w:rFonts w:ascii="Times New Roman" w:hAnsi="Times New Roman" w:cs="Times New Roman"/>
          <w:sz w:val="26"/>
          <w:szCs w:val="26"/>
          <w:u w:val="single"/>
        </w:rPr>
        <w:t>C</w:t>
      </w:r>
      <w:bookmarkEnd w:id="40"/>
      <w:bookmarkEnd w:id="50"/>
    </w:p>
    <w:p w14:paraId="4C8FF0FA" w14:textId="77777777" w:rsidR="001C5489" w:rsidRPr="00436CA6" w:rsidRDefault="001C5489" w:rsidP="001C5489">
      <w:pPr>
        <w:rPr>
          <w:b/>
        </w:rPr>
      </w:pPr>
    </w:p>
    <w:p w14:paraId="491C9078" w14:textId="77777777" w:rsidR="001C5489" w:rsidRPr="00436CA6" w:rsidRDefault="001C5489" w:rsidP="001C5489">
      <w:pPr>
        <w:jc w:val="center"/>
        <w:rPr>
          <w:b/>
          <w:sz w:val="25"/>
          <w:szCs w:val="25"/>
        </w:rPr>
      </w:pPr>
      <w:r w:rsidRPr="00436CA6">
        <w:rPr>
          <w:b/>
          <w:sz w:val="25"/>
          <w:szCs w:val="25"/>
        </w:rPr>
        <w:t>SETTLEMENT STIPULATION</w:t>
      </w:r>
    </w:p>
    <w:p w14:paraId="67DF29C7" w14:textId="77777777" w:rsidR="002B79EA" w:rsidRPr="002431C0" w:rsidRDefault="00B34C76" w:rsidP="00853A29">
      <w:pPr>
        <w:jc w:val="center"/>
      </w:pPr>
      <w:r w:rsidRPr="00436CA6">
        <w:rPr>
          <w:b/>
          <w:bCs/>
          <w:sz w:val="26"/>
          <w:szCs w:val="26"/>
        </w:rPr>
        <w:t>DOCKETS UE-</w:t>
      </w:r>
      <w:r w:rsidR="00853A29" w:rsidRPr="00436CA6">
        <w:rPr>
          <w:b/>
          <w:bCs/>
          <w:sz w:val="26"/>
          <w:szCs w:val="26"/>
        </w:rPr>
        <w:t>1</w:t>
      </w:r>
      <w:r w:rsidR="005D0137" w:rsidRPr="00436CA6">
        <w:rPr>
          <w:b/>
          <w:bCs/>
          <w:sz w:val="26"/>
          <w:szCs w:val="26"/>
        </w:rPr>
        <w:t>50204</w:t>
      </w:r>
      <w:r w:rsidR="00183EE2" w:rsidRPr="00436CA6">
        <w:rPr>
          <w:b/>
          <w:bCs/>
          <w:sz w:val="26"/>
          <w:szCs w:val="26"/>
        </w:rPr>
        <w:t xml:space="preserve"> and</w:t>
      </w:r>
      <w:r w:rsidRPr="00436CA6">
        <w:rPr>
          <w:b/>
          <w:bCs/>
          <w:sz w:val="26"/>
          <w:szCs w:val="26"/>
        </w:rPr>
        <w:t xml:space="preserve"> UG-</w:t>
      </w:r>
      <w:r w:rsidR="00853A29" w:rsidRPr="00436CA6">
        <w:rPr>
          <w:b/>
          <w:bCs/>
          <w:sz w:val="26"/>
          <w:szCs w:val="26"/>
        </w:rPr>
        <w:t>1</w:t>
      </w:r>
      <w:r w:rsidR="005D0137" w:rsidRPr="00436CA6">
        <w:rPr>
          <w:b/>
          <w:bCs/>
          <w:sz w:val="26"/>
          <w:szCs w:val="26"/>
        </w:rPr>
        <w:t>50205</w:t>
      </w:r>
      <w:r w:rsidR="00853A29" w:rsidRPr="00436CA6">
        <w:rPr>
          <w:b/>
          <w:bCs/>
          <w:sz w:val="26"/>
          <w:szCs w:val="26"/>
        </w:rPr>
        <w:t xml:space="preserve"> (consolidated</w:t>
      </w:r>
      <w:r w:rsidR="00853A29" w:rsidRPr="002431C0">
        <w:rPr>
          <w:bCs/>
          <w:sz w:val="26"/>
          <w:szCs w:val="26"/>
        </w:rPr>
        <w:t>)</w:t>
      </w:r>
    </w:p>
    <w:sectPr w:rsidR="002B79EA" w:rsidRPr="002431C0" w:rsidSect="00F52154">
      <w:headerReference w:type="default" r:id="rId11"/>
      <w:headerReference w:type="first" r:id="rId12"/>
      <w:type w:val="continuous"/>
      <w:pgSz w:w="12240" w:h="15840" w:code="1"/>
      <w:pgMar w:top="1440" w:right="1440" w:bottom="1440" w:left="2160" w:header="1440" w:footer="1685" w:gutter="0"/>
      <w:paperSrc w:first="1025" w:other="1025"/>
      <w:pgNumType w:start="1"/>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CCC667" w14:textId="77777777" w:rsidR="00493377" w:rsidRDefault="00493377">
      <w:r>
        <w:separator/>
      </w:r>
    </w:p>
  </w:endnote>
  <w:endnote w:type="continuationSeparator" w:id="0">
    <w:p w14:paraId="22B83EAD" w14:textId="77777777" w:rsidR="00493377" w:rsidRDefault="00493377">
      <w:r>
        <w:continuationSeparator/>
      </w:r>
    </w:p>
  </w:endnote>
  <w:endnote w:type="continuationNotice" w:id="1">
    <w:p w14:paraId="3EA64BF2" w14:textId="77777777" w:rsidR="00493377" w:rsidRDefault="004933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4F7102" w14:textId="77777777" w:rsidR="00493377" w:rsidRDefault="00493377">
      <w:r>
        <w:separator/>
      </w:r>
    </w:p>
  </w:footnote>
  <w:footnote w:type="continuationSeparator" w:id="0">
    <w:p w14:paraId="788505E5" w14:textId="77777777" w:rsidR="00493377" w:rsidRDefault="00493377">
      <w:r>
        <w:continuationSeparator/>
      </w:r>
    </w:p>
  </w:footnote>
  <w:footnote w:type="continuationNotice" w:id="1">
    <w:p w14:paraId="10661A99" w14:textId="77777777" w:rsidR="00493377" w:rsidRDefault="00493377"/>
  </w:footnote>
  <w:footnote w:id="2">
    <w:p w14:paraId="11513A11" w14:textId="77777777" w:rsidR="00493377" w:rsidRPr="00E4103A" w:rsidRDefault="00493377" w:rsidP="00211D97">
      <w:pPr>
        <w:pStyle w:val="FootnoteText"/>
        <w:spacing w:after="120"/>
        <w:rPr>
          <w:szCs w:val="22"/>
        </w:rPr>
      </w:pPr>
      <w:r w:rsidRPr="00BD1EB2">
        <w:rPr>
          <w:rStyle w:val="FootnoteReference"/>
          <w:szCs w:val="22"/>
        </w:rPr>
        <w:footnoteRef/>
      </w:r>
      <w:r w:rsidRPr="00BD1EB2">
        <w:rPr>
          <w:szCs w:val="22"/>
        </w:rPr>
        <w:t xml:space="preserve"> In formal proceedings, such as this, the Commission’s regulatory staff</w:t>
      </w:r>
      <w:r>
        <w:rPr>
          <w:szCs w:val="22"/>
        </w:rPr>
        <w:t xml:space="preserve"> participates like any other party, while the Commissioners make the decision.  To assure fairness, the Commissioners, the presiding administrative law judge, and the Commissioners’ policy and accounting advisors do not discuss the merits of this proceeding with the regulatory staff, or any other party, without giving notice and opportunity for all parties to participate.</w:t>
      </w:r>
      <w:r w:rsidRPr="00BD1EB2">
        <w:rPr>
          <w:szCs w:val="22"/>
        </w:rPr>
        <w:t xml:space="preserve">  </w:t>
      </w:r>
      <w:r w:rsidRPr="00342629">
        <w:rPr>
          <w:i/>
          <w:szCs w:val="22"/>
        </w:rPr>
        <w:t>See</w:t>
      </w:r>
      <w:r>
        <w:rPr>
          <w:szCs w:val="22"/>
        </w:rPr>
        <w:t xml:space="preserve">, </w:t>
      </w:r>
      <w:r w:rsidRPr="00E4103A">
        <w:rPr>
          <w:iCs/>
          <w:szCs w:val="22"/>
        </w:rPr>
        <w:t>RCW 34.05.455.</w:t>
      </w:r>
    </w:p>
  </w:footnote>
  <w:footnote w:id="3">
    <w:p w14:paraId="742D5DDD" w14:textId="7BC7A63C" w:rsidR="00493377" w:rsidRDefault="00493377" w:rsidP="00F52154">
      <w:pPr>
        <w:pStyle w:val="FootnoteText"/>
        <w:spacing w:after="120"/>
      </w:pPr>
      <w:r>
        <w:rPr>
          <w:rStyle w:val="FootnoteReference"/>
        </w:rPr>
        <w:footnoteRef/>
      </w:r>
      <w:r>
        <w:t xml:space="preserve"> Morris, Exh. No. SLM-1T at 3:4-5 and 3:20-21.</w:t>
      </w:r>
    </w:p>
  </w:footnote>
  <w:footnote w:id="4">
    <w:p w14:paraId="0B76D043" w14:textId="77777777" w:rsidR="00493377" w:rsidRDefault="00493377" w:rsidP="00F52154">
      <w:pPr>
        <w:pStyle w:val="FootnoteText"/>
        <w:spacing w:after="120"/>
      </w:pPr>
      <w:r>
        <w:rPr>
          <w:rStyle w:val="FootnoteReference"/>
        </w:rPr>
        <w:footnoteRef/>
      </w:r>
      <w:r>
        <w:t xml:space="preserve"> </w:t>
      </w:r>
      <w:r>
        <w:rPr>
          <w:i/>
        </w:rPr>
        <w:t>Id.</w:t>
      </w:r>
    </w:p>
  </w:footnote>
  <w:footnote w:id="5">
    <w:p w14:paraId="6820603F" w14:textId="77777777" w:rsidR="00493377" w:rsidRDefault="00493377" w:rsidP="00F52154">
      <w:pPr>
        <w:pStyle w:val="FootnoteText"/>
        <w:spacing w:after="120"/>
      </w:pPr>
      <w:r>
        <w:rPr>
          <w:rStyle w:val="FootnoteReference"/>
        </w:rPr>
        <w:footnoteRef/>
      </w:r>
      <w:r>
        <w:t xml:space="preserve"> </w:t>
      </w:r>
      <w:r>
        <w:rPr>
          <w:i/>
        </w:rPr>
        <w:t>Id.</w:t>
      </w:r>
    </w:p>
  </w:footnote>
  <w:footnote w:id="6">
    <w:p w14:paraId="3D193CC9" w14:textId="0656572F" w:rsidR="00493377" w:rsidRDefault="00493377" w:rsidP="00CB48CC">
      <w:pPr>
        <w:pStyle w:val="FootnoteText"/>
        <w:spacing w:after="120"/>
      </w:pPr>
      <w:r>
        <w:rPr>
          <w:rStyle w:val="FootnoteReference"/>
        </w:rPr>
        <w:footnoteRef/>
      </w:r>
      <w:r>
        <w:t xml:space="preserve"> </w:t>
      </w:r>
      <w:r>
        <w:rPr>
          <w:i/>
        </w:rPr>
        <w:t xml:space="preserve">See </w:t>
      </w:r>
      <w:r>
        <w:t>Appendix C following this Order. The Energy Project did not join in the Settlement; however, The Energy Project did not file testimony in opposition to the Settlement.</w:t>
      </w:r>
    </w:p>
  </w:footnote>
  <w:footnote w:id="7">
    <w:p w14:paraId="0C3DB414" w14:textId="77777777" w:rsidR="00493377" w:rsidRPr="00477D07" w:rsidRDefault="00493377" w:rsidP="00F52154">
      <w:pPr>
        <w:pStyle w:val="FootnoteText"/>
        <w:spacing w:after="120"/>
        <w:rPr>
          <w:szCs w:val="22"/>
        </w:rPr>
      </w:pPr>
      <w:r w:rsidRPr="00477D07">
        <w:rPr>
          <w:rStyle w:val="FootnoteReference"/>
          <w:szCs w:val="22"/>
        </w:rPr>
        <w:footnoteRef/>
      </w:r>
      <w:r w:rsidRPr="00477D07">
        <w:rPr>
          <w:szCs w:val="22"/>
        </w:rPr>
        <w:t xml:space="preserve"> </w:t>
      </w:r>
      <w:r>
        <w:rPr>
          <w:szCs w:val="22"/>
        </w:rPr>
        <w:t>Exh. No. 6</w:t>
      </w:r>
      <w:r w:rsidRPr="00477D07">
        <w:rPr>
          <w:szCs w:val="22"/>
        </w:rPr>
        <w:t>.</w:t>
      </w:r>
    </w:p>
  </w:footnote>
  <w:footnote w:id="8">
    <w:p w14:paraId="36321A90" w14:textId="7F1198B4" w:rsidR="00493377" w:rsidRDefault="00493377" w:rsidP="00E93C96">
      <w:pPr>
        <w:pStyle w:val="FootnoteText"/>
        <w:spacing w:after="120"/>
      </w:pPr>
      <w:r>
        <w:rPr>
          <w:rStyle w:val="FootnoteReference"/>
        </w:rPr>
        <w:footnoteRef/>
      </w:r>
      <w:r>
        <w:t xml:space="preserve"> Staff filed a Motion for Leave to File Supplemental Argument on Brief (Motion) on December 4, 2015. This Motion was denied on December 8, 2015, by Order 04.</w:t>
      </w:r>
    </w:p>
  </w:footnote>
  <w:footnote w:id="9">
    <w:p w14:paraId="3B31E21A" w14:textId="77777777" w:rsidR="00493377" w:rsidRDefault="00493377" w:rsidP="00896DD5">
      <w:pPr>
        <w:pStyle w:val="FootnoteText"/>
        <w:spacing w:after="120"/>
      </w:pPr>
      <w:r>
        <w:rPr>
          <w:rStyle w:val="FootnoteReference"/>
        </w:rPr>
        <w:footnoteRef/>
      </w:r>
      <w:r>
        <w:t xml:space="preserve"> Settlement, ¶ 3.</w:t>
      </w:r>
    </w:p>
  </w:footnote>
  <w:footnote w:id="10">
    <w:p w14:paraId="03BBC67B" w14:textId="77777777" w:rsidR="00493377" w:rsidRDefault="00493377" w:rsidP="00896DD5">
      <w:pPr>
        <w:pStyle w:val="FootnoteText"/>
        <w:spacing w:after="120"/>
      </w:pPr>
      <w:r>
        <w:rPr>
          <w:rStyle w:val="FootnoteReference"/>
        </w:rPr>
        <w:footnoteRef/>
      </w:r>
      <w:r>
        <w:t xml:space="preserve"> Joint Motion for an Order Approving Settlement, ¶ 2.</w:t>
      </w:r>
    </w:p>
  </w:footnote>
  <w:footnote w:id="11">
    <w:p w14:paraId="55BA17A7" w14:textId="77777777" w:rsidR="00493377" w:rsidRPr="00254189" w:rsidRDefault="00493377" w:rsidP="00896DD5">
      <w:pPr>
        <w:pStyle w:val="FootnoteText"/>
        <w:spacing w:after="120"/>
      </w:pPr>
      <w:r>
        <w:rPr>
          <w:rStyle w:val="FootnoteReference"/>
        </w:rPr>
        <w:footnoteRef/>
      </w:r>
      <w:r>
        <w:t xml:space="preserve"> </w:t>
      </w:r>
      <w:r>
        <w:rPr>
          <w:i/>
        </w:rPr>
        <w:t>Id.</w:t>
      </w:r>
      <w:r>
        <w:t>, ¶ 4.</w:t>
      </w:r>
    </w:p>
  </w:footnote>
  <w:footnote w:id="12">
    <w:p w14:paraId="5F2A39A2" w14:textId="611C2FCB" w:rsidR="00493377" w:rsidRPr="00254189" w:rsidRDefault="00493377" w:rsidP="00896DD5">
      <w:pPr>
        <w:pStyle w:val="FootnoteText"/>
        <w:spacing w:after="120"/>
      </w:pPr>
      <w:r>
        <w:rPr>
          <w:rStyle w:val="FootnoteReference"/>
        </w:rPr>
        <w:footnoteRef/>
      </w:r>
      <w:r>
        <w:t xml:space="preserve"> </w:t>
      </w:r>
      <w:r>
        <w:rPr>
          <w:i/>
        </w:rPr>
        <w:t>Id.</w:t>
      </w:r>
      <w:r>
        <w:t>, ¶ 5. The statutory effective date of Avista’s general rate request in these combined dockets is January 11, 2016.</w:t>
      </w:r>
    </w:p>
  </w:footnote>
  <w:footnote w:id="13">
    <w:p w14:paraId="71F1DF21" w14:textId="77777777" w:rsidR="00493377" w:rsidRPr="004A0AAC" w:rsidRDefault="00493377" w:rsidP="00896DD5">
      <w:pPr>
        <w:pStyle w:val="FootnoteText"/>
        <w:spacing w:after="120"/>
        <w:rPr>
          <w:i/>
        </w:rPr>
      </w:pPr>
      <w:r>
        <w:rPr>
          <w:rStyle w:val="FootnoteReference"/>
        </w:rPr>
        <w:footnoteRef/>
      </w:r>
      <w:r>
        <w:t xml:space="preserve"> </w:t>
      </w:r>
      <w:r>
        <w:rPr>
          <w:i/>
        </w:rPr>
        <w:t>Id.</w:t>
      </w:r>
    </w:p>
  </w:footnote>
  <w:footnote w:id="14">
    <w:p w14:paraId="6709E8AD" w14:textId="77777777" w:rsidR="00493377" w:rsidRPr="00216DE6" w:rsidRDefault="00493377" w:rsidP="00896DD5">
      <w:pPr>
        <w:pStyle w:val="FootnoteText"/>
        <w:spacing w:after="120"/>
      </w:pPr>
      <w:r>
        <w:rPr>
          <w:rStyle w:val="FootnoteReference"/>
        </w:rPr>
        <w:footnoteRef/>
      </w:r>
      <w:r>
        <w:t xml:space="preserve"> Settlement, ¶ 5(c).</w:t>
      </w:r>
    </w:p>
  </w:footnote>
  <w:footnote w:id="15">
    <w:p w14:paraId="02302013" w14:textId="77777777" w:rsidR="00493377" w:rsidRPr="00216DE6" w:rsidRDefault="00493377" w:rsidP="00896DD5">
      <w:pPr>
        <w:pStyle w:val="FootnoteText"/>
        <w:spacing w:after="120"/>
      </w:pPr>
      <w:r>
        <w:rPr>
          <w:rStyle w:val="FootnoteReference"/>
        </w:rPr>
        <w:footnoteRef/>
      </w:r>
      <w:r>
        <w:t xml:space="preserve"> </w:t>
      </w:r>
      <w:r>
        <w:rPr>
          <w:i/>
        </w:rPr>
        <w:t>Id.</w:t>
      </w:r>
      <w:r>
        <w:t>, ¶¶ 5(d) and (e).</w:t>
      </w:r>
    </w:p>
  </w:footnote>
  <w:footnote w:id="16">
    <w:p w14:paraId="0B4B299C" w14:textId="77777777" w:rsidR="00493377" w:rsidRPr="00763750" w:rsidRDefault="00493377" w:rsidP="00896DD5">
      <w:pPr>
        <w:pStyle w:val="FootnoteText"/>
        <w:spacing w:after="120"/>
      </w:pPr>
      <w:r>
        <w:rPr>
          <w:rStyle w:val="FootnoteReference"/>
        </w:rPr>
        <w:footnoteRef/>
      </w:r>
      <w:r>
        <w:t xml:space="preserve"> </w:t>
      </w:r>
      <w:r>
        <w:rPr>
          <w:i/>
        </w:rPr>
        <w:t>Id.</w:t>
      </w:r>
      <w:r>
        <w:t>, ¶¶ 6(a) and 7(a).</w:t>
      </w:r>
    </w:p>
  </w:footnote>
  <w:footnote w:id="17">
    <w:p w14:paraId="5D87FBB2" w14:textId="77777777" w:rsidR="00493377" w:rsidRPr="009F3567" w:rsidRDefault="00493377" w:rsidP="00896DD5">
      <w:pPr>
        <w:pStyle w:val="FootnoteText"/>
        <w:spacing w:after="120"/>
      </w:pPr>
      <w:r>
        <w:rPr>
          <w:rStyle w:val="FootnoteReference"/>
        </w:rPr>
        <w:footnoteRef/>
      </w:r>
      <w:r>
        <w:t xml:space="preserve"> </w:t>
      </w:r>
      <w:r>
        <w:rPr>
          <w:i/>
        </w:rPr>
        <w:t>Id.</w:t>
      </w:r>
      <w:r>
        <w:t>, ¶ 7(b)(i).</w:t>
      </w:r>
    </w:p>
  </w:footnote>
  <w:footnote w:id="18">
    <w:p w14:paraId="44CFCB13" w14:textId="77777777" w:rsidR="00493377" w:rsidRPr="009F3567" w:rsidRDefault="00493377" w:rsidP="00896DD5">
      <w:pPr>
        <w:pStyle w:val="FootnoteText"/>
        <w:spacing w:after="120"/>
      </w:pPr>
      <w:r>
        <w:rPr>
          <w:rStyle w:val="FootnoteReference"/>
        </w:rPr>
        <w:footnoteRef/>
      </w:r>
      <w:r>
        <w:t xml:space="preserve"> </w:t>
      </w:r>
      <w:r>
        <w:rPr>
          <w:i/>
        </w:rPr>
        <w:t>Id.</w:t>
      </w:r>
      <w:r>
        <w:t>, ¶ 7(b)(ii).</w:t>
      </w:r>
    </w:p>
  </w:footnote>
  <w:footnote w:id="19">
    <w:p w14:paraId="72AE6646" w14:textId="77777777" w:rsidR="00493377" w:rsidRPr="009F3567" w:rsidRDefault="00493377" w:rsidP="00896DD5">
      <w:pPr>
        <w:pStyle w:val="FootnoteText"/>
        <w:spacing w:after="120"/>
      </w:pPr>
      <w:r>
        <w:rPr>
          <w:rStyle w:val="FootnoteReference"/>
        </w:rPr>
        <w:footnoteRef/>
      </w:r>
      <w:r>
        <w:t xml:space="preserve"> </w:t>
      </w:r>
      <w:r>
        <w:rPr>
          <w:i/>
        </w:rPr>
        <w:t>Id.</w:t>
      </w:r>
      <w:r>
        <w:t>, ¶ 7(b)(iii).</w:t>
      </w:r>
    </w:p>
  </w:footnote>
  <w:footnote w:id="20">
    <w:p w14:paraId="27968B7C" w14:textId="77777777" w:rsidR="00493377" w:rsidRPr="009F3567" w:rsidRDefault="00493377" w:rsidP="00896DD5">
      <w:pPr>
        <w:pStyle w:val="FootnoteText"/>
        <w:spacing w:after="120"/>
      </w:pPr>
      <w:r>
        <w:rPr>
          <w:rStyle w:val="FootnoteReference"/>
        </w:rPr>
        <w:footnoteRef/>
      </w:r>
      <w:r>
        <w:t xml:space="preserve"> </w:t>
      </w:r>
      <w:r>
        <w:rPr>
          <w:i/>
        </w:rPr>
        <w:t>Id.</w:t>
      </w:r>
    </w:p>
  </w:footnote>
  <w:footnote w:id="21">
    <w:p w14:paraId="5571D7DB" w14:textId="77777777" w:rsidR="00493377" w:rsidRPr="009F3567" w:rsidRDefault="00493377" w:rsidP="00896DD5">
      <w:pPr>
        <w:pStyle w:val="FootnoteText"/>
        <w:spacing w:after="120"/>
        <w:rPr>
          <w:i/>
        </w:rPr>
      </w:pPr>
      <w:r>
        <w:rPr>
          <w:rStyle w:val="FootnoteReference"/>
        </w:rPr>
        <w:footnoteRef/>
      </w:r>
      <w:r>
        <w:t xml:space="preserve"> </w:t>
      </w:r>
      <w:r>
        <w:rPr>
          <w:i/>
        </w:rPr>
        <w:t>Id.</w:t>
      </w:r>
    </w:p>
  </w:footnote>
  <w:footnote w:id="22">
    <w:p w14:paraId="0B72D529" w14:textId="77777777" w:rsidR="00493377" w:rsidRDefault="00493377" w:rsidP="00896DD5">
      <w:pPr>
        <w:pStyle w:val="FootnoteText"/>
        <w:spacing w:after="120"/>
      </w:pPr>
      <w:r>
        <w:rPr>
          <w:rStyle w:val="FootnoteReference"/>
        </w:rPr>
        <w:footnoteRef/>
      </w:r>
      <w:r>
        <w:t xml:space="preserve"> Norwood, Exh. No. 2 at 13:7-8.</w:t>
      </w:r>
    </w:p>
  </w:footnote>
  <w:footnote w:id="23">
    <w:p w14:paraId="4F684F40" w14:textId="77777777" w:rsidR="00493377" w:rsidRPr="00C159EF" w:rsidRDefault="00493377" w:rsidP="00896DD5">
      <w:pPr>
        <w:pStyle w:val="FootnoteText"/>
        <w:spacing w:after="120"/>
      </w:pPr>
      <w:r>
        <w:rPr>
          <w:rStyle w:val="FootnoteReference"/>
        </w:rPr>
        <w:footnoteRef/>
      </w:r>
      <w:r>
        <w:t xml:space="preserve"> McGuire, Exh. No. 2 at 15:15-17.</w:t>
      </w:r>
    </w:p>
  </w:footnote>
  <w:footnote w:id="24">
    <w:p w14:paraId="6FB51D6B" w14:textId="77777777" w:rsidR="00493377" w:rsidRPr="00AF6F54" w:rsidRDefault="00493377" w:rsidP="00896DD5">
      <w:pPr>
        <w:pStyle w:val="FootnoteText"/>
        <w:spacing w:after="120"/>
      </w:pPr>
      <w:r>
        <w:rPr>
          <w:rStyle w:val="FootnoteReference"/>
        </w:rPr>
        <w:footnoteRef/>
      </w:r>
      <w:r>
        <w:t xml:space="preserve"> </w:t>
      </w:r>
      <w:r>
        <w:rPr>
          <w:i/>
        </w:rPr>
        <w:t>Id.</w:t>
      </w:r>
      <w:r>
        <w:t xml:space="preserve"> at 15:16-19.</w:t>
      </w:r>
    </w:p>
  </w:footnote>
  <w:footnote w:id="25">
    <w:p w14:paraId="1236838A" w14:textId="77777777" w:rsidR="00493377" w:rsidRPr="003117D1" w:rsidRDefault="00493377" w:rsidP="00896DD5">
      <w:pPr>
        <w:pStyle w:val="FootnoteText"/>
        <w:spacing w:after="120"/>
      </w:pPr>
      <w:r>
        <w:rPr>
          <w:rStyle w:val="FootnoteReference"/>
        </w:rPr>
        <w:footnoteRef/>
      </w:r>
      <w:r>
        <w:t xml:space="preserve"> </w:t>
      </w:r>
      <w:r>
        <w:rPr>
          <w:i/>
        </w:rPr>
        <w:t>Id.</w:t>
      </w:r>
      <w:r>
        <w:t xml:space="preserve"> at 16:6-10.</w:t>
      </w:r>
    </w:p>
  </w:footnote>
  <w:footnote w:id="26">
    <w:p w14:paraId="50610DBD" w14:textId="77777777" w:rsidR="00493377" w:rsidRPr="003117D1" w:rsidRDefault="00493377" w:rsidP="00896DD5">
      <w:pPr>
        <w:pStyle w:val="FootnoteText"/>
        <w:spacing w:after="120"/>
      </w:pPr>
      <w:r>
        <w:rPr>
          <w:rStyle w:val="FootnoteReference"/>
        </w:rPr>
        <w:footnoteRef/>
      </w:r>
      <w:r>
        <w:t xml:space="preserve"> </w:t>
      </w:r>
      <w:r>
        <w:rPr>
          <w:i/>
        </w:rPr>
        <w:t>Id.</w:t>
      </w:r>
      <w:r>
        <w:t xml:space="preserve"> at 16:18-17:2.</w:t>
      </w:r>
    </w:p>
  </w:footnote>
  <w:footnote w:id="27">
    <w:p w14:paraId="3658E5E0" w14:textId="77777777" w:rsidR="00493377" w:rsidRPr="00FE7296" w:rsidRDefault="00493377" w:rsidP="00896DD5">
      <w:pPr>
        <w:pStyle w:val="FootnoteText"/>
        <w:spacing w:after="120"/>
      </w:pPr>
      <w:r>
        <w:rPr>
          <w:rStyle w:val="FootnoteReference"/>
        </w:rPr>
        <w:footnoteRef/>
      </w:r>
      <w:r>
        <w:t xml:space="preserve"> </w:t>
      </w:r>
      <w:r>
        <w:rPr>
          <w:i/>
        </w:rPr>
        <w:t>Id.</w:t>
      </w:r>
      <w:r>
        <w:t xml:space="preserve"> at 17:10-12.</w:t>
      </w:r>
    </w:p>
  </w:footnote>
  <w:footnote w:id="28">
    <w:p w14:paraId="0B779087" w14:textId="55A4C248" w:rsidR="00493377" w:rsidRPr="00BC163F" w:rsidRDefault="00493377" w:rsidP="00896DD5">
      <w:pPr>
        <w:pStyle w:val="FootnoteText"/>
        <w:spacing w:after="120"/>
      </w:pPr>
      <w:r>
        <w:rPr>
          <w:rStyle w:val="FootnoteReference"/>
        </w:rPr>
        <w:footnoteRef/>
      </w:r>
      <w:r>
        <w:t xml:space="preserve"> </w:t>
      </w:r>
      <w:r>
        <w:rPr>
          <w:i/>
        </w:rPr>
        <w:t>Id.</w:t>
      </w:r>
      <w:r>
        <w:t xml:space="preserve"> at 18:10-15 (citing</w:t>
      </w:r>
      <w:r w:rsidRPr="00E72F71">
        <w:rPr>
          <w:i/>
          <w:szCs w:val="22"/>
        </w:rPr>
        <w:t xml:space="preserve"> </w:t>
      </w:r>
      <w:r>
        <w:rPr>
          <w:i/>
          <w:szCs w:val="22"/>
        </w:rPr>
        <w:t>WUTC</w:t>
      </w:r>
      <w:r w:rsidRPr="00091985">
        <w:rPr>
          <w:i/>
          <w:szCs w:val="22"/>
        </w:rPr>
        <w:t xml:space="preserve"> v. Pacific Power &amp; Light Company</w:t>
      </w:r>
      <w:r>
        <w:rPr>
          <w:szCs w:val="22"/>
        </w:rPr>
        <w:t>, Docket UE-140762, Order 08, ¶</w:t>
      </w:r>
      <w:r w:rsidRPr="00091985">
        <w:rPr>
          <w:szCs w:val="22"/>
        </w:rPr>
        <w:t xml:space="preserve"> </w:t>
      </w:r>
      <w:r>
        <w:rPr>
          <w:szCs w:val="22"/>
        </w:rPr>
        <w:t>216</w:t>
      </w:r>
      <w:r w:rsidRPr="00091985">
        <w:rPr>
          <w:szCs w:val="22"/>
        </w:rPr>
        <w:t xml:space="preserve"> (Mar. 21, 2015)</w:t>
      </w:r>
      <w:r>
        <w:rPr>
          <w:szCs w:val="22"/>
        </w:rPr>
        <w:t xml:space="preserve"> [</w:t>
      </w:r>
      <w:r w:rsidRPr="007D1A8F">
        <w:rPr>
          <w:i/>
          <w:szCs w:val="22"/>
        </w:rPr>
        <w:t>PPL Order 08</w:t>
      </w:r>
      <w:r>
        <w:rPr>
          <w:szCs w:val="22"/>
        </w:rPr>
        <w:t>]</w:t>
      </w:r>
      <w:r>
        <w:t>.</w:t>
      </w:r>
    </w:p>
  </w:footnote>
  <w:footnote w:id="29">
    <w:p w14:paraId="04F04FD5" w14:textId="77777777" w:rsidR="00493377" w:rsidRDefault="00493377" w:rsidP="00896DD5">
      <w:pPr>
        <w:pStyle w:val="FootnoteText"/>
        <w:spacing w:after="120"/>
      </w:pPr>
      <w:r>
        <w:rPr>
          <w:rStyle w:val="FootnoteReference"/>
        </w:rPr>
        <w:footnoteRef/>
      </w:r>
      <w:r>
        <w:t xml:space="preserve"> Johnson, Exh. No. 2 at 22:11-12.</w:t>
      </w:r>
    </w:p>
  </w:footnote>
  <w:footnote w:id="30">
    <w:p w14:paraId="1233481E" w14:textId="77777777" w:rsidR="00493377" w:rsidRPr="00AC2B04" w:rsidRDefault="00493377" w:rsidP="00896DD5">
      <w:pPr>
        <w:pStyle w:val="FootnoteText"/>
        <w:spacing w:after="120"/>
      </w:pPr>
      <w:r>
        <w:rPr>
          <w:rStyle w:val="FootnoteReference"/>
        </w:rPr>
        <w:footnoteRef/>
      </w:r>
      <w:r>
        <w:t xml:space="preserve"> </w:t>
      </w:r>
      <w:r>
        <w:rPr>
          <w:i/>
        </w:rPr>
        <w:t>Id.</w:t>
      </w:r>
      <w:r>
        <w:t xml:space="preserve"> at 23:8-9.</w:t>
      </w:r>
    </w:p>
  </w:footnote>
  <w:footnote w:id="31">
    <w:p w14:paraId="5462610B" w14:textId="77777777" w:rsidR="00493377" w:rsidRPr="00AC2B04" w:rsidRDefault="00493377" w:rsidP="00896DD5">
      <w:pPr>
        <w:pStyle w:val="FootnoteText"/>
        <w:spacing w:after="120"/>
      </w:pPr>
      <w:r>
        <w:rPr>
          <w:rStyle w:val="FootnoteReference"/>
        </w:rPr>
        <w:footnoteRef/>
      </w:r>
      <w:r>
        <w:t xml:space="preserve"> </w:t>
      </w:r>
      <w:r>
        <w:rPr>
          <w:i/>
        </w:rPr>
        <w:t>Id.</w:t>
      </w:r>
      <w:r>
        <w:t xml:space="preserve"> at 23: 12-15.</w:t>
      </w:r>
    </w:p>
  </w:footnote>
  <w:footnote w:id="32">
    <w:p w14:paraId="5D31BB09" w14:textId="77777777" w:rsidR="00493377" w:rsidRDefault="00493377" w:rsidP="00896DD5">
      <w:pPr>
        <w:pStyle w:val="FootnoteText"/>
        <w:spacing w:after="120"/>
      </w:pPr>
      <w:r>
        <w:rPr>
          <w:rStyle w:val="FootnoteReference"/>
        </w:rPr>
        <w:footnoteRef/>
      </w:r>
      <w:r>
        <w:t xml:space="preserve"> Finklea, Exh. No. 2 at 28:2-4.</w:t>
      </w:r>
    </w:p>
  </w:footnote>
  <w:footnote w:id="33">
    <w:p w14:paraId="57E13284" w14:textId="77777777" w:rsidR="00493377" w:rsidRDefault="00493377" w:rsidP="00896DD5">
      <w:pPr>
        <w:pStyle w:val="FootnoteText"/>
        <w:spacing w:after="120"/>
      </w:pPr>
      <w:r>
        <w:rPr>
          <w:rStyle w:val="FootnoteReference"/>
        </w:rPr>
        <w:footnoteRef/>
      </w:r>
      <w:r>
        <w:t xml:space="preserve"> Mullins, Exh. No. 2 at 25:18-19.</w:t>
      </w:r>
    </w:p>
  </w:footnote>
  <w:footnote w:id="34">
    <w:p w14:paraId="755BE185" w14:textId="77777777" w:rsidR="00493377" w:rsidRPr="007542E6" w:rsidRDefault="00493377" w:rsidP="00896DD5">
      <w:pPr>
        <w:pStyle w:val="FootnoteText"/>
        <w:spacing w:after="120"/>
      </w:pPr>
      <w:r>
        <w:rPr>
          <w:rStyle w:val="FootnoteReference"/>
        </w:rPr>
        <w:footnoteRef/>
      </w:r>
      <w:r>
        <w:t xml:space="preserve"> </w:t>
      </w:r>
      <w:r>
        <w:rPr>
          <w:i/>
        </w:rPr>
        <w:t>Id.</w:t>
      </w:r>
      <w:r>
        <w:t xml:space="preserve"> at 26:6-8.</w:t>
      </w:r>
    </w:p>
  </w:footnote>
  <w:footnote w:id="35">
    <w:p w14:paraId="60E796E9" w14:textId="77777777" w:rsidR="00493377" w:rsidRDefault="00493377" w:rsidP="00896DD5">
      <w:pPr>
        <w:pStyle w:val="FootnoteText"/>
        <w:spacing w:after="120"/>
      </w:pPr>
      <w:r>
        <w:rPr>
          <w:rStyle w:val="FootnoteReference"/>
        </w:rPr>
        <w:footnoteRef/>
      </w:r>
      <w:r>
        <w:t xml:space="preserve"> WAC 480-07-730(3).</w:t>
      </w:r>
    </w:p>
  </w:footnote>
  <w:footnote w:id="36">
    <w:p w14:paraId="2F95628E" w14:textId="6F813C6A" w:rsidR="00493377" w:rsidRDefault="00493377" w:rsidP="0085495C">
      <w:pPr>
        <w:pStyle w:val="FootnoteText"/>
        <w:spacing w:after="120"/>
      </w:pPr>
      <w:r>
        <w:rPr>
          <w:rStyle w:val="FootnoteReference"/>
        </w:rPr>
        <w:footnoteRef/>
      </w:r>
      <w:r>
        <w:t xml:space="preserve"> </w:t>
      </w:r>
      <w:r w:rsidRPr="00F664E9">
        <w:t xml:space="preserve">In its initial case, Avista proposed a pro forma adjustment for </w:t>
      </w:r>
      <w:r>
        <w:t>Operations and Maintenance (</w:t>
      </w:r>
      <w:r w:rsidRPr="00F664E9">
        <w:t>O&amp;M</w:t>
      </w:r>
      <w:r>
        <w:t>)</w:t>
      </w:r>
      <w:r w:rsidRPr="00F664E9">
        <w:t xml:space="preserve"> costs </w:t>
      </w:r>
      <w:r>
        <w:t>that</w:t>
      </w:r>
      <w:r w:rsidRPr="00F664E9">
        <w:t xml:space="preserve"> would be reduced or eliminated in the post-test year period spanning from October 1, 2014, through December 31, 2016.</w:t>
      </w:r>
      <w:r>
        <w:t xml:space="preserve"> </w:t>
      </w:r>
      <w:r w:rsidRPr="00D12F6F">
        <w:t>Schuh, Exh. No. KKS-1T at 25:7-9.</w:t>
      </w:r>
      <w:r>
        <w:t xml:space="preserve"> </w:t>
      </w:r>
      <w:r w:rsidRPr="00CD50FA">
        <w:t xml:space="preserve">Avista identified $139,000 </w:t>
      </w:r>
      <w:r>
        <w:t>in additional O&amp;M o</w:t>
      </w:r>
      <w:r w:rsidRPr="00CD50FA">
        <w:t>ffsets after it established its final revenue requirement in this case.</w:t>
      </w:r>
      <w:r>
        <w:t xml:space="preserve"> </w:t>
      </w:r>
      <w:r w:rsidRPr="00D12F6F">
        <w:t>Smith, Exh. No. JSS-1T at n.18.</w:t>
      </w:r>
      <w:r>
        <w:t xml:space="preserve"> </w:t>
      </w:r>
      <w:r w:rsidRPr="00F664E9">
        <w:t>These offsets are discussed in detail in the Company’s business cases provided as support for its proposed capital additions.</w:t>
      </w:r>
      <w:r>
        <w:t xml:space="preserve"> </w:t>
      </w:r>
      <w:r w:rsidRPr="00D12F6F">
        <w:t xml:space="preserve">Schuh, Exh. No. KKS-1T at 4:18-20. </w:t>
      </w:r>
      <w:r>
        <w:t>They</w:t>
      </w:r>
      <w:r w:rsidRPr="00D12F6F">
        <w:t xml:space="preserve"> include, for example, O&amp;M savings related to securing a well water supply for the Kettle Falls Generating Facility, reducing ash abrasion in the facility’s ash collector, reducing transmission line losses, and allocating O&amp;M costs for additional parking at the Central Office to all services and jurisdictions.</w:t>
      </w:r>
      <w:r>
        <w:t xml:space="preserve"> </w:t>
      </w:r>
      <w:r w:rsidRPr="00CD50FA">
        <w:t>On response, Staff supports the inc</w:t>
      </w:r>
      <w:r>
        <w:t>lusion of these additional O&amp;M o</w:t>
      </w:r>
      <w:r w:rsidRPr="00CD50FA">
        <w:t>ffsets</w:t>
      </w:r>
      <w:r>
        <w:t xml:space="preserve"> in its recommended O&amp;M offsets adjustment</w:t>
      </w:r>
      <w:r w:rsidRPr="00CD50FA">
        <w:t>.</w:t>
      </w:r>
      <w:r>
        <w:t xml:space="preserve"> </w:t>
      </w:r>
      <w:r w:rsidRPr="00D12F6F">
        <w:t>Hancock, Exh. No. CSH-1T at 29:17-19.</w:t>
      </w:r>
      <w:r>
        <w:t xml:space="preserve"> Consistent with Commission practice and Staff’s recommended pro forma capital additions as approved herein, the Commission accepts Staff’s recommended O&amp;M offsets adjustment.</w:t>
      </w:r>
    </w:p>
  </w:footnote>
  <w:footnote w:id="37">
    <w:p w14:paraId="10F2A95F" w14:textId="0765A7B7" w:rsidR="00493377" w:rsidRDefault="00493377" w:rsidP="00F664E9">
      <w:pPr>
        <w:pStyle w:val="FootnoteText"/>
        <w:spacing w:after="120"/>
      </w:pPr>
      <w:r>
        <w:rPr>
          <w:rStyle w:val="FootnoteReference"/>
        </w:rPr>
        <w:footnoteRef/>
      </w:r>
      <w:r>
        <w:t xml:space="preserve"> </w:t>
      </w:r>
      <w:r w:rsidRPr="000600C1">
        <w:t>Nor</w:t>
      </w:r>
      <w:r>
        <w:t>wood, Exh. No. KON-1T at 28:7-12.</w:t>
      </w:r>
    </w:p>
  </w:footnote>
  <w:footnote w:id="38">
    <w:p w14:paraId="48585570" w14:textId="6B99B45C" w:rsidR="00493377" w:rsidRDefault="00493377" w:rsidP="00F664E9">
      <w:pPr>
        <w:pStyle w:val="FootnoteText"/>
        <w:spacing w:after="120"/>
      </w:pPr>
      <w:r>
        <w:rPr>
          <w:rStyle w:val="FootnoteReference"/>
        </w:rPr>
        <w:footnoteRef/>
      </w:r>
      <w:r>
        <w:t xml:space="preserve"> </w:t>
      </w:r>
      <w:r>
        <w:rPr>
          <w:i/>
        </w:rPr>
        <w:t>Id.</w:t>
      </w:r>
      <w:r>
        <w:t xml:space="preserve"> at 28:7-15.</w:t>
      </w:r>
    </w:p>
  </w:footnote>
  <w:footnote w:id="39">
    <w:p w14:paraId="7FD27ECD" w14:textId="77777777" w:rsidR="00493377" w:rsidRDefault="00493377" w:rsidP="00070CD0">
      <w:pPr>
        <w:pStyle w:val="FootnoteText"/>
        <w:spacing w:after="120"/>
      </w:pPr>
      <w:r>
        <w:rPr>
          <w:rStyle w:val="FootnoteReference"/>
        </w:rPr>
        <w:footnoteRef/>
      </w:r>
      <w:r>
        <w:t xml:space="preserve"> ICNU and Public Counsel use the electric plant additions on an AMA basis for test year ending September 30, 2014, while Public Counsel recommends natural gas plant additions on an end-of-period (EOP) basis for the test year ending September 30. 2014.</w:t>
      </w:r>
    </w:p>
  </w:footnote>
  <w:footnote w:id="40">
    <w:p w14:paraId="49578BDD" w14:textId="44035B18" w:rsidR="00493377" w:rsidRPr="003868A4" w:rsidRDefault="00493377" w:rsidP="001C1E26">
      <w:pPr>
        <w:pStyle w:val="FootnoteText"/>
        <w:spacing w:after="120"/>
        <w:rPr>
          <w:szCs w:val="22"/>
        </w:rPr>
      </w:pPr>
      <w:r w:rsidRPr="003868A4">
        <w:rPr>
          <w:rStyle w:val="FootnoteReference"/>
          <w:szCs w:val="22"/>
        </w:rPr>
        <w:footnoteRef/>
      </w:r>
      <w:r w:rsidRPr="003868A4">
        <w:rPr>
          <w:szCs w:val="22"/>
        </w:rPr>
        <w:t xml:space="preserve"> Hancock relies on the Commission’s Order in the 2014 PacifiCorp </w:t>
      </w:r>
      <w:r>
        <w:rPr>
          <w:szCs w:val="22"/>
        </w:rPr>
        <w:t>general rate case</w:t>
      </w:r>
      <w:r w:rsidRPr="003868A4">
        <w:rPr>
          <w:szCs w:val="22"/>
        </w:rPr>
        <w:t xml:space="preserve"> for guidance for these criterion. </w:t>
      </w:r>
      <w:r w:rsidRPr="007D1A8F">
        <w:rPr>
          <w:i/>
          <w:szCs w:val="22"/>
        </w:rPr>
        <w:t>PPL Order 08</w:t>
      </w:r>
      <w:r w:rsidRPr="00E72F71">
        <w:rPr>
          <w:szCs w:val="22"/>
        </w:rPr>
        <w:t>, ¶¶ 150, 170.</w:t>
      </w:r>
    </w:p>
  </w:footnote>
  <w:footnote w:id="41">
    <w:p w14:paraId="3E9D6DD5" w14:textId="77777777" w:rsidR="00493377" w:rsidRPr="003868A4" w:rsidRDefault="00493377" w:rsidP="001C1E26">
      <w:pPr>
        <w:pStyle w:val="FootnoteText"/>
        <w:spacing w:after="120"/>
        <w:rPr>
          <w:szCs w:val="22"/>
        </w:rPr>
      </w:pPr>
      <w:r w:rsidRPr="003868A4">
        <w:rPr>
          <w:rStyle w:val="FootnoteReference"/>
          <w:szCs w:val="22"/>
        </w:rPr>
        <w:footnoteRef/>
      </w:r>
      <w:r w:rsidRPr="003868A4">
        <w:rPr>
          <w:szCs w:val="22"/>
        </w:rPr>
        <w:t xml:space="preserve"> Hancock, Exh. No. CSH-1T at 21 (Table 4).</w:t>
      </w:r>
    </w:p>
  </w:footnote>
  <w:footnote w:id="42">
    <w:p w14:paraId="388B6856" w14:textId="77777777" w:rsidR="00493377" w:rsidRPr="003868A4" w:rsidRDefault="00493377" w:rsidP="001C1E26">
      <w:pPr>
        <w:pStyle w:val="FootnoteText"/>
        <w:spacing w:after="120"/>
        <w:rPr>
          <w:i/>
          <w:szCs w:val="22"/>
        </w:rPr>
      </w:pPr>
      <w:r w:rsidRPr="003868A4">
        <w:rPr>
          <w:rStyle w:val="FootnoteReference"/>
          <w:szCs w:val="22"/>
        </w:rPr>
        <w:footnoteRef/>
      </w:r>
      <w:r w:rsidRPr="003868A4">
        <w:rPr>
          <w:szCs w:val="22"/>
        </w:rPr>
        <w:t xml:space="preserve"> </w:t>
      </w:r>
      <w:r w:rsidRPr="003868A4">
        <w:rPr>
          <w:i/>
          <w:szCs w:val="22"/>
        </w:rPr>
        <w:t>Id</w:t>
      </w:r>
      <w:r w:rsidRPr="003868A4">
        <w:rPr>
          <w:szCs w:val="22"/>
        </w:rPr>
        <w:t>.</w:t>
      </w:r>
    </w:p>
  </w:footnote>
  <w:footnote w:id="43">
    <w:p w14:paraId="572E6A8E" w14:textId="77777777" w:rsidR="00493377" w:rsidRPr="003868A4" w:rsidRDefault="00493377" w:rsidP="001C1E26">
      <w:pPr>
        <w:pStyle w:val="FootnoteText"/>
        <w:spacing w:after="120"/>
        <w:rPr>
          <w:szCs w:val="22"/>
        </w:rPr>
      </w:pPr>
      <w:r w:rsidRPr="003868A4">
        <w:rPr>
          <w:rStyle w:val="FootnoteReference"/>
          <w:szCs w:val="22"/>
        </w:rPr>
        <w:footnoteRef/>
      </w:r>
      <w:r w:rsidRPr="003868A4">
        <w:rPr>
          <w:szCs w:val="22"/>
        </w:rPr>
        <w:t xml:space="preserve"> </w:t>
      </w:r>
      <w:r>
        <w:rPr>
          <w:i/>
          <w:szCs w:val="22"/>
        </w:rPr>
        <w:t>Id.</w:t>
      </w:r>
      <w:r w:rsidRPr="003868A4">
        <w:rPr>
          <w:szCs w:val="22"/>
        </w:rPr>
        <w:t xml:space="preserve"> at 12:1-21. The formula in the WAC is 0.5 percent of Washington-allocated net utility plant in service. WAC 480-140-040.</w:t>
      </w:r>
    </w:p>
  </w:footnote>
  <w:footnote w:id="44">
    <w:p w14:paraId="2ABAB615" w14:textId="4FCA6DB3" w:rsidR="00493377" w:rsidRDefault="00493377" w:rsidP="00F664E9">
      <w:pPr>
        <w:pStyle w:val="FootnoteText"/>
        <w:spacing w:after="120"/>
      </w:pPr>
      <w:r>
        <w:rPr>
          <w:rStyle w:val="FootnoteReference"/>
        </w:rPr>
        <w:footnoteRef/>
      </w:r>
      <w:r>
        <w:t xml:space="preserve"> Gomez, Exh. No. DCG-1T at 13:1-8. </w:t>
      </w:r>
      <w:r w:rsidRPr="00334ECB">
        <w:t xml:space="preserve">These 14 ERs comprise $276.7 million (almost 62 percent) of Avista’s total estimate of its </w:t>
      </w:r>
      <w:r>
        <w:t>as-filed</w:t>
      </w:r>
      <w:r w:rsidRPr="00334ECB">
        <w:t xml:space="preserve"> system-level capital additions for 2015</w:t>
      </w:r>
      <w:r>
        <w:t>.</w:t>
      </w:r>
      <w:r w:rsidRPr="00BE2F0D">
        <w:rPr>
          <w:rFonts w:asciiTheme="minorHAnsi" w:hAnsiTheme="minorHAnsi"/>
          <w:szCs w:val="22"/>
        </w:rPr>
        <w:t xml:space="preserve"> </w:t>
      </w:r>
      <w:r w:rsidRPr="00BE2F0D">
        <w:t>Han</w:t>
      </w:r>
      <w:r>
        <w:t>cock, Exh. No. CSH-1T at 13:4-17.</w:t>
      </w:r>
    </w:p>
  </w:footnote>
  <w:footnote w:id="45">
    <w:p w14:paraId="57E81E11" w14:textId="690A5DD6" w:rsidR="00493377" w:rsidRPr="003868A4" w:rsidRDefault="00493377" w:rsidP="00F664E9">
      <w:pPr>
        <w:pStyle w:val="FootnoteText"/>
        <w:spacing w:after="120"/>
      </w:pPr>
      <w:r w:rsidRPr="003868A4">
        <w:rPr>
          <w:rStyle w:val="FootnoteReference"/>
          <w:szCs w:val="22"/>
        </w:rPr>
        <w:footnoteRef/>
      </w:r>
      <w:r w:rsidRPr="003868A4">
        <w:t xml:space="preserve"> </w:t>
      </w:r>
      <w:r w:rsidRPr="007D1A8F">
        <w:rPr>
          <w:i/>
        </w:rPr>
        <w:t>Id</w:t>
      </w:r>
      <w:r>
        <w:t>.</w:t>
      </w:r>
      <w:r w:rsidRPr="003868A4">
        <w:t xml:space="preserve"> at 21:8-23:15.</w:t>
      </w:r>
    </w:p>
  </w:footnote>
  <w:footnote w:id="46">
    <w:p w14:paraId="7ED6553A" w14:textId="77777777" w:rsidR="00493377" w:rsidRPr="00CA48D7" w:rsidRDefault="00493377" w:rsidP="00F664E9">
      <w:pPr>
        <w:pStyle w:val="FootnoteText"/>
        <w:spacing w:after="120"/>
        <w:rPr>
          <w:szCs w:val="22"/>
        </w:rPr>
      </w:pPr>
      <w:r w:rsidRPr="00CA48D7">
        <w:rPr>
          <w:rStyle w:val="FootnoteReference"/>
          <w:szCs w:val="22"/>
        </w:rPr>
        <w:footnoteRef/>
      </w:r>
      <w:r w:rsidRPr="00CA48D7">
        <w:rPr>
          <w:szCs w:val="22"/>
        </w:rPr>
        <w:t xml:space="preserve"> Ramas, Exh. No. DMR-1CT at 57:17-58:5.</w:t>
      </w:r>
      <w:r w:rsidRPr="007D1A8F">
        <w:rPr>
          <w:szCs w:val="22"/>
        </w:rPr>
        <w:t xml:space="preserve"> These pro forma plant additions include </w:t>
      </w:r>
      <w:r w:rsidRPr="00CA48D7">
        <w:rPr>
          <w:szCs w:val="22"/>
        </w:rPr>
        <w:t>Clark Fork Protection, Mitigation and Enhancement, Project Compass and Aldyl-A pipe replacement.</w:t>
      </w:r>
    </w:p>
  </w:footnote>
  <w:footnote w:id="47">
    <w:p w14:paraId="7F909737" w14:textId="437F260D" w:rsidR="00493377" w:rsidRDefault="00493377" w:rsidP="00F664E9">
      <w:pPr>
        <w:pStyle w:val="FootnoteText"/>
        <w:spacing w:after="120"/>
      </w:pPr>
      <w:r>
        <w:rPr>
          <w:rStyle w:val="FootnoteReference"/>
        </w:rPr>
        <w:footnoteRef/>
      </w:r>
      <w:r>
        <w:t xml:space="preserve"> </w:t>
      </w:r>
      <w:r>
        <w:rPr>
          <w:i/>
        </w:rPr>
        <w:t>Id.</w:t>
      </w:r>
      <w:r>
        <w:t xml:space="preserve"> at 60:15-61:3</w:t>
      </w:r>
      <w:r w:rsidRPr="007D1A8F">
        <w:t xml:space="preserve">. </w:t>
      </w:r>
    </w:p>
  </w:footnote>
  <w:footnote w:id="48">
    <w:p w14:paraId="690610A4" w14:textId="77777777" w:rsidR="00493377" w:rsidRDefault="00493377" w:rsidP="00F664E9">
      <w:pPr>
        <w:pStyle w:val="FootnoteText"/>
        <w:spacing w:after="120"/>
      </w:pPr>
      <w:r>
        <w:rPr>
          <w:rStyle w:val="FootnoteReference"/>
        </w:rPr>
        <w:footnoteRef/>
      </w:r>
      <w:r>
        <w:t xml:space="preserve"> </w:t>
      </w:r>
      <w:r>
        <w:rPr>
          <w:i/>
        </w:rPr>
        <w:t>Id.</w:t>
      </w:r>
      <w:r>
        <w:t xml:space="preserve"> at 60:18-61:3.</w:t>
      </w:r>
    </w:p>
  </w:footnote>
  <w:footnote w:id="49">
    <w:p w14:paraId="28B94091" w14:textId="77777777" w:rsidR="00493377" w:rsidRPr="003868A4" w:rsidRDefault="00493377" w:rsidP="00F664E9">
      <w:pPr>
        <w:pStyle w:val="FootnoteText"/>
        <w:spacing w:after="120"/>
        <w:rPr>
          <w:szCs w:val="22"/>
        </w:rPr>
      </w:pPr>
      <w:r w:rsidRPr="003868A4">
        <w:rPr>
          <w:rStyle w:val="FootnoteReference"/>
          <w:szCs w:val="22"/>
        </w:rPr>
        <w:footnoteRef/>
      </w:r>
      <w:r w:rsidRPr="003868A4">
        <w:rPr>
          <w:szCs w:val="22"/>
        </w:rPr>
        <w:t xml:space="preserve"> Hancock, Exh. No. CSH-9T at 4:16-5:7.</w:t>
      </w:r>
    </w:p>
  </w:footnote>
  <w:footnote w:id="50">
    <w:p w14:paraId="65EEBE1C" w14:textId="757564D7" w:rsidR="00493377" w:rsidRPr="003868A4" w:rsidRDefault="00493377" w:rsidP="00F664E9">
      <w:pPr>
        <w:pStyle w:val="FootnoteText"/>
        <w:spacing w:after="120"/>
        <w:rPr>
          <w:szCs w:val="22"/>
        </w:rPr>
      </w:pPr>
      <w:r w:rsidRPr="003868A4">
        <w:rPr>
          <w:rStyle w:val="FootnoteReference"/>
          <w:szCs w:val="22"/>
        </w:rPr>
        <w:footnoteRef/>
      </w:r>
      <w:r w:rsidRPr="003868A4">
        <w:rPr>
          <w:szCs w:val="22"/>
        </w:rPr>
        <w:t xml:space="preserve"> Mullins, Exh. No. BGM-1CT at 24:4-10.</w:t>
      </w:r>
    </w:p>
  </w:footnote>
  <w:footnote w:id="51">
    <w:p w14:paraId="1300244C" w14:textId="616E08DC" w:rsidR="00493377" w:rsidRPr="008463A9" w:rsidRDefault="00493377" w:rsidP="00F664E9">
      <w:pPr>
        <w:pStyle w:val="FootnoteText"/>
        <w:spacing w:after="120"/>
        <w:rPr>
          <w:szCs w:val="22"/>
        </w:rPr>
      </w:pPr>
      <w:r w:rsidRPr="003868A4">
        <w:rPr>
          <w:rStyle w:val="FootnoteReference"/>
          <w:szCs w:val="22"/>
        </w:rPr>
        <w:footnoteRef/>
      </w:r>
      <w:r>
        <w:rPr>
          <w:szCs w:val="22"/>
        </w:rPr>
        <w:t xml:space="preserve"> </w:t>
      </w:r>
      <w:r w:rsidRPr="003868A4">
        <w:rPr>
          <w:i/>
          <w:szCs w:val="22"/>
        </w:rPr>
        <w:t>Id.</w:t>
      </w:r>
      <w:r w:rsidRPr="003868A4">
        <w:rPr>
          <w:szCs w:val="22"/>
        </w:rPr>
        <w:t xml:space="preserve"> at 25:22-26:3. Mr. Mullins provides an exa</w:t>
      </w:r>
      <w:r>
        <w:rPr>
          <w:szCs w:val="22"/>
        </w:rPr>
        <w:t xml:space="preserve">mple of a blanket capital item: </w:t>
      </w:r>
      <w:r w:rsidRPr="003868A4">
        <w:rPr>
          <w:szCs w:val="22"/>
        </w:rPr>
        <w:t xml:space="preserve">Technology Refresh to Sustain Business Process is </w:t>
      </w:r>
      <w:r>
        <w:rPr>
          <w:szCs w:val="22"/>
        </w:rPr>
        <w:t>“</w:t>
      </w:r>
      <w:r w:rsidRPr="003868A4">
        <w:rPr>
          <w:szCs w:val="22"/>
        </w:rPr>
        <w:t>for routine replacements of and upgrades to existing applications and hardware.”</w:t>
      </w:r>
      <w:r>
        <w:rPr>
          <w:szCs w:val="22"/>
        </w:rPr>
        <w:t xml:space="preserve"> </w:t>
      </w:r>
      <w:r>
        <w:rPr>
          <w:i/>
          <w:szCs w:val="22"/>
        </w:rPr>
        <w:t>Id.</w:t>
      </w:r>
      <w:r>
        <w:rPr>
          <w:szCs w:val="22"/>
        </w:rPr>
        <w:t xml:space="preserve"> at 25:2-3.</w:t>
      </w:r>
    </w:p>
  </w:footnote>
  <w:footnote w:id="52">
    <w:p w14:paraId="077D2F36" w14:textId="77777777" w:rsidR="00493377" w:rsidRDefault="00493377" w:rsidP="00F664E9">
      <w:pPr>
        <w:pStyle w:val="FootnoteText"/>
        <w:spacing w:after="120"/>
      </w:pPr>
      <w:r>
        <w:rPr>
          <w:rStyle w:val="FootnoteReference"/>
        </w:rPr>
        <w:footnoteRef/>
      </w:r>
      <w:r>
        <w:t xml:space="preserve"> </w:t>
      </w:r>
      <w:r>
        <w:rPr>
          <w:i/>
        </w:rPr>
        <w:t>Id.</w:t>
      </w:r>
      <w:r>
        <w:t xml:space="preserve"> at 26:4-11.</w:t>
      </w:r>
    </w:p>
  </w:footnote>
  <w:footnote w:id="53">
    <w:p w14:paraId="6888D58D" w14:textId="77777777" w:rsidR="00493377" w:rsidRDefault="00493377" w:rsidP="00F664E9">
      <w:pPr>
        <w:pStyle w:val="FootnoteText"/>
        <w:spacing w:after="120"/>
      </w:pPr>
      <w:r>
        <w:rPr>
          <w:rStyle w:val="FootnoteReference"/>
        </w:rPr>
        <w:footnoteRef/>
      </w:r>
      <w:r>
        <w:t xml:space="preserve"> </w:t>
      </w:r>
      <w:r>
        <w:rPr>
          <w:i/>
        </w:rPr>
        <w:t>Id.</w:t>
      </w:r>
      <w:r>
        <w:t xml:space="preserve"> at 27:3-7.</w:t>
      </w:r>
    </w:p>
  </w:footnote>
  <w:footnote w:id="54">
    <w:p w14:paraId="64755F22" w14:textId="77777777" w:rsidR="00493377" w:rsidRDefault="00493377" w:rsidP="00F664E9">
      <w:pPr>
        <w:pStyle w:val="FootnoteText"/>
        <w:spacing w:after="120"/>
      </w:pPr>
      <w:r>
        <w:rPr>
          <w:rStyle w:val="FootnoteReference"/>
        </w:rPr>
        <w:footnoteRef/>
      </w:r>
      <w:r>
        <w:t xml:space="preserve"> </w:t>
      </w:r>
      <w:r w:rsidRPr="00613108">
        <w:t>Norw</w:t>
      </w:r>
      <w:r>
        <w:t>ood, Exh. No. KON-1T at 12:3-11.</w:t>
      </w:r>
    </w:p>
  </w:footnote>
  <w:footnote w:id="55">
    <w:p w14:paraId="05CF7E30" w14:textId="77777777" w:rsidR="00493377" w:rsidRPr="003868A4" w:rsidRDefault="00493377" w:rsidP="001C1E26">
      <w:pPr>
        <w:pStyle w:val="FootnoteText"/>
        <w:spacing w:after="120"/>
        <w:rPr>
          <w:szCs w:val="22"/>
        </w:rPr>
      </w:pPr>
      <w:r w:rsidRPr="003868A4">
        <w:rPr>
          <w:rStyle w:val="FootnoteReference"/>
          <w:szCs w:val="22"/>
        </w:rPr>
        <w:footnoteRef/>
      </w:r>
      <w:r w:rsidRPr="003868A4">
        <w:rPr>
          <w:szCs w:val="22"/>
        </w:rPr>
        <w:t xml:space="preserve"> </w:t>
      </w:r>
      <w:r>
        <w:rPr>
          <w:i/>
          <w:szCs w:val="22"/>
        </w:rPr>
        <w:t>Id.</w:t>
      </w:r>
      <w:r w:rsidRPr="003868A4">
        <w:rPr>
          <w:szCs w:val="22"/>
        </w:rPr>
        <w:t xml:space="preserve"> at 2:20-27.</w:t>
      </w:r>
    </w:p>
  </w:footnote>
  <w:footnote w:id="56">
    <w:p w14:paraId="04289AF5" w14:textId="77777777" w:rsidR="00493377" w:rsidRDefault="00493377" w:rsidP="00F664E9">
      <w:pPr>
        <w:pStyle w:val="FootnoteText"/>
        <w:spacing w:after="120"/>
      </w:pPr>
      <w:r>
        <w:rPr>
          <w:rStyle w:val="FootnoteReference"/>
        </w:rPr>
        <w:footnoteRef/>
      </w:r>
      <w:r>
        <w:t xml:space="preserve"> </w:t>
      </w:r>
      <w:r>
        <w:rPr>
          <w:i/>
        </w:rPr>
        <w:t>Id.</w:t>
      </w:r>
      <w:r>
        <w:t xml:space="preserve"> at 28:7-29:12.</w:t>
      </w:r>
    </w:p>
  </w:footnote>
  <w:footnote w:id="57">
    <w:p w14:paraId="24CD603A" w14:textId="77777777" w:rsidR="00493377" w:rsidRPr="003868A4" w:rsidRDefault="00493377" w:rsidP="001C1E26">
      <w:pPr>
        <w:pStyle w:val="FootnoteText"/>
        <w:spacing w:after="120"/>
        <w:rPr>
          <w:szCs w:val="22"/>
        </w:rPr>
      </w:pPr>
      <w:r w:rsidRPr="003868A4">
        <w:rPr>
          <w:rStyle w:val="FootnoteReference"/>
          <w:szCs w:val="22"/>
        </w:rPr>
        <w:footnoteRef/>
      </w:r>
      <w:r w:rsidRPr="003868A4">
        <w:rPr>
          <w:szCs w:val="22"/>
        </w:rPr>
        <w:t xml:space="preserve"> </w:t>
      </w:r>
      <w:r w:rsidRPr="003868A4">
        <w:rPr>
          <w:i/>
          <w:szCs w:val="22"/>
        </w:rPr>
        <w:t>Id.</w:t>
      </w:r>
      <w:r w:rsidRPr="003868A4">
        <w:rPr>
          <w:szCs w:val="22"/>
        </w:rPr>
        <w:t xml:space="preserve"> at 20:1-23.</w:t>
      </w:r>
    </w:p>
  </w:footnote>
  <w:footnote w:id="58">
    <w:p w14:paraId="75F165E3" w14:textId="2CBE2C3C" w:rsidR="00493377" w:rsidRDefault="00493377" w:rsidP="001C1E26">
      <w:pPr>
        <w:pStyle w:val="FootnoteText"/>
      </w:pPr>
      <w:r>
        <w:rPr>
          <w:rStyle w:val="FootnoteReference"/>
        </w:rPr>
        <w:footnoteRef/>
      </w:r>
      <w:r>
        <w:t xml:space="preserve"> </w:t>
      </w:r>
      <w:r w:rsidRPr="00844E9F">
        <w:rPr>
          <w:i/>
        </w:rPr>
        <w:t xml:space="preserve">See </w:t>
      </w:r>
      <w:r>
        <w:rPr>
          <w:i/>
        </w:rPr>
        <w:t>WUTC</w:t>
      </w:r>
      <w:r w:rsidRPr="001C3720">
        <w:rPr>
          <w:i/>
        </w:rPr>
        <w:t xml:space="preserve">. v. </w:t>
      </w:r>
      <w:r>
        <w:rPr>
          <w:i/>
        </w:rPr>
        <w:t>Pacific Power &amp; Light Co</w:t>
      </w:r>
      <w:r w:rsidRPr="001C3720">
        <w:rPr>
          <w:i/>
        </w:rPr>
        <w:t>.</w:t>
      </w:r>
      <w:r w:rsidRPr="001C3720">
        <w:t xml:space="preserve">, </w:t>
      </w:r>
      <w:r>
        <w:t>Docket UE-130043, Order 05, ¶ 198 (Dec. 4, 2013).</w:t>
      </w:r>
    </w:p>
  </w:footnote>
  <w:footnote w:id="59">
    <w:p w14:paraId="48DEA6FB" w14:textId="77777777" w:rsidR="00493377" w:rsidRDefault="00493377" w:rsidP="00BC0D6A">
      <w:pPr>
        <w:pStyle w:val="FootnoteText"/>
        <w:spacing w:after="120"/>
      </w:pPr>
      <w:r>
        <w:rPr>
          <w:rStyle w:val="FootnoteReference"/>
        </w:rPr>
        <w:footnoteRef/>
      </w:r>
      <w:r>
        <w:t xml:space="preserve"> </w:t>
      </w:r>
      <w:r w:rsidRPr="00BA5C0E">
        <w:t>Ramas,</w:t>
      </w:r>
      <w:r>
        <w:t xml:space="preserve"> Exh. No. DMR-26T at 14:1-16:9.</w:t>
      </w:r>
    </w:p>
  </w:footnote>
  <w:footnote w:id="60">
    <w:p w14:paraId="1A747486" w14:textId="77777777" w:rsidR="00493377" w:rsidRDefault="00493377" w:rsidP="00C504F0">
      <w:pPr>
        <w:pStyle w:val="FootnoteText"/>
        <w:spacing w:after="120"/>
      </w:pPr>
      <w:r>
        <w:rPr>
          <w:rStyle w:val="FootnoteReference"/>
        </w:rPr>
        <w:footnoteRef/>
      </w:r>
      <w:r>
        <w:t xml:space="preserve"> </w:t>
      </w:r>
      <w:r w:rsidRPr="002C747B">
        <w:t xml:space="preserve">Hancock, Exh. No. CSH-1T at </w:t>
      </w:r>
      <w:r>
        <w:t>20:9-21:6</w:t>
      </w:r>
      <w:r w:rsidRPr="002C747B">
        <w:t>.</w:t>
      </w:r>
      <w:r>
        <w:t xml:space="preserve"> </w:t>
      </w:r>
    </w:p>
  </w:footnote>
  <w:footnote w:id="61">
    <w:p w14:paraId="5E95A289" w14:textId="77777777" w:rsidR="00493377" w:rsidRDefault="00493377" w:rsidP="007E1AB9">
      <w:pPr>
        <w:pStyle w:val="FootnoteText"/>
        <w:spacing w:after="120"/>
      </w:pPr>
      <w:r>
        <w:rPr>
          <w:rStyle w:val="FootnoteReference"/>
        </w:rPr>
        <w:footnoteRef/>
      </w:r>
      <w:r>
        <w:t xml:space="preserve"> When developing an attrition adjustment, parties first provide a revenue requirement analysis based on a modified historical test year. Parties then perform an attrition study to determine the utility’s revenue requirement in the rate year. The attrition adjustment is the difference between the revenue requirement provided by the modified historical test year and the revenue requirement provided by the attrition study. </w:t>
      </w:r>
    </w:p>
  </w:footnote>
  <w:footnote w:id="62">
    <w:p w14:paraId="62FA72B6" w14:textId="187F0454" w:rsidR="00493377" w:rsidRPr="00345B14" w:rsidRDefault="00493377" w:rsidP="00E351BF">
      <w:pPr>
        <w:pStyle w:val="FootnoteText"/>
        <w:spacing w:after="120"/>
      </w:pPr>
      <w:r w:rsidRPr="00345B14">
        <w:rPr>
          <w:rStyle w:val="FootnoteReference"/>
        </w:rPr>
        <w:footnoteRef/>
      </w:r>
      <w:r>
        <w:t xml:space="preserve"> See </w:t>
      </w:r>
      <w:r w:rsidRPr="0046651B">
        <w:rPr>
          <w:i/>
        </w:rPr>
        <w:t>e.g.</w:t>
      </w:r>
      <w:r w:rsidRPr="00345B14">
        <w:t xml:space="preserve">, </w:t>
      </w:r>
      <w:r>
        <w:rPr>
          <w:i/>
        </w:rPr>
        <w:t>WUTC</w:t>
      </w:r>
      <w:r w:rsidRPr="00345B14">
        <w:rPr>
          <w:i/>
        </w:rPr>
        <w:t xml:space="preserve"> v. </w:t>
      </w:r>
      <w:r w:rsidRPr="00B64B20">
        <w:rPr>
          <w:i/>
        </w:rPr>
        <w:t>Washington</w:t>
      </w:r>
      <w:r>
        <w:rPr>
          <w:i/>
        </w:rPr>
        <w:t xml:space="preserve"> Natural Gas</w:t>
      </w:r>
      <w:r>
        <w:t>,</w:t>
      </w:r>
      <w:r w:rsidRPr="00B64B20">
        <w:rPr>
          <w:i/>
        </w:rPr>
        <w:t xml:space="preserve"> </w:t>
      </w:r>
      <w:r>
        <w:t xml:space="preserve">Docket </w:t>
      </w:r>
      <w:r w:rsidRPr="00345B14">
        <w:t xml:space="preserve">UG-920840, </w:t>
      </w:r>
      <w:r>
        <w:t>4th</w:t>
      </w:r>
      <w:r w:rsidRPr="00345B14">
        <w:t xml:space="preserve"> Supp. Order</w:t>
      </w:r>
      <w:r>
        <w:t xml:space="preserve"> at 29 (Sept. 27, 1993)</w:t>
      </w:r>
      <w:r w:rsidRPr="00345B14">
        <w:t xml:space="preserve">; </w:t>
      </w:r>
      <w:r>
        <w:rPr>
          <w:i/>
        </w:rPr>
        <w:t>WUTC</w:t>
      </w:r>
      <w:r w:rsidRPr="001C3720">
        <w:rPr>
          <w:i/>
        </w:rPr>
        <w:t xml:space="preserve"> </w:t>
      </w:r>
      <w:r w:rsidRPr="00345B14">
        <w:rPr>
          <w:i/>
        </w:rPr>
        <w:t xml:space="preserve">v. </w:t>
      </w:r>
      <w:r w:rsidRPr="00B64B20">
        <w:rPr>
          <w:i/>
        </w:rPr>
        <w:t>Washington</w:t>
      </w:r>
      <w:r>
        <w:rPr>
          <w:i/>
        </w:rPr>
        <w:t xml:space="preserve"> Water </w:t>
      </w:r>
      <w:r w:rsidRPr="00A62E9E">
        <w:rPr>
          <w:i/>
        </w:rPr>
        <w:t>Power</w:t>
      </w:r>
      <w:r>
        <w:t xml:space="preserve">, Cause </w:t>
      </w:r>
      <w:r w:rsidRPr="00A62E9E">
        <w:t>U</w:t>
      </w:r>
      <w:r w:rsidRPr="00345B14">
        <w:t xml:space="preserve">-82-10/11, </w:t>
      </w:r>
      <w:r>
        <w:t>2nd</w:t>
      </w:r>
      <w:r w:rsidRPr="00345B14">
        <w:t xml:space="preserve"> Supp. Order</w:t>
      </w:r>
      <w:r>
        <w:t>, at 31 (Dec. 29. 1985)</w:t>
      </w:r>
      <w:r w:rsidRPr="00345B14">
        <w:t xml:space="preserve">; </w:t>
      </w:r>
      <w:r>
        <w:rPr>
          <w:i/>
        </w:rPr>
        <w:t>WUTC</w:t>
      </w:r>
      <w:r w:rsidRPr="00345B14">
        <w:rPr>
          <w:i/>
        </w:rPr>
        <w:t xml:space="preserve"> v. </w:t>
      </w:r>
      <w:r w:rsidRPr="00B64B20">
        <w:rPr>
          <w:i/>
        </w:rPr>
        <w:t>Pacific Power</w:t>
      </w:r>
      <w:r>
        <w:rPr>
          <w:i/>
        </w:rPr>
        <w:t xml:space="preserve"> and Light, </w:t>
      </w:r>
      <w:r>
        <w:t xml:space="preserve">Cause </w:t>
      </w:r>
      <w:r w:rsidRPr="00345B14">
        <w:t xml:space="preserve">U-83-33, </w:t>
      </w:r>
      <w:r>
        <w:t>2nd</w:t>
      </w:r>
      <w:r w:rsidRPr="00345B14">
        <w:t xml:space="preserve"> Supp. Order</w:t>
      </w:r>
      <w:r>
        <w:t>,</w:t>
      </w:r>
      <w:r w:rsidRPr="00187304">
        <w:t xml:space="preserve"> at </w:t>
      </w:r>
      <w:r>
        <w:t>29</w:t>
      </w:r>
      <w:r w:rsidRPr="00345B14">
        <w:t xml:space="preserve"> (Feb. 9, 1984); </w:t>
      </w:r>
      <w:r>
        <w:rPr>
          <w:i/>
        </w:rPr>
        <w:t>WUTC</w:t>
      </w:r>
      <w:r w:rsidRPr="001C3720">
        <w:rPr>
          <w:i/>
        </w:rPr>
        <w:t xml:space="preserve"> </w:t>
      </w:r>
      <w:r w:rsidRPr="00345B14">
        <w:rPr>
          <w:i/>
        </w:rPr>
        <w:t xml:space="preserve">v. </w:t>
      </w:r>
      <w:r w:rsidRPr="00B64B20">
        <w:rPr>
          <w:i/>
        </w:rPr>
        <w:t xml:space="preserve">Washington </w:t>
      </w:r>
      <w:r>
        <w:rPr>
          <w:i/>
        </w:rPr>
        <w:t xml:space="preserve">Water Power, </w:t>
      </w:r>
      <w:r>
        <w:t xml:space="preserve">Cause </w:t>
      </w:r>
      <w:r w:rsidRPr="00345B14">
        <w:t xml:space="preserve">U-84-28, </w:t>
      </w:r>
      <w:r>
        <w:t>2nd</w:t>
      </w:r>
      <w:r w:rsidRPr="00345B14">
        <w:t xml:space="preserve"> Supp. Order </w:t>
      </w:r>
      <w:r>
        <w:t>at 19-20</w:t>
      </w:r>
      <w:r w:rsidRPr="00345B14">
        <w:t xml:space="preserve"> (Jan. 10, 1985); </w:t>
      </w:r>
      <w:r>
        <w:rPr>
          <w:i/>
        </w:rPr>
        <w:t>WUTC</w:t>
      </w:r>
      <w:r w:rsidRPr="00345B14">
        <w:rPr>
          <w:i/>
        </w:rPr>
        <w:t xml:space="preserve"> v. </w:t>
      </w:r>
      <w:r w:rsidRPr="00B64B20">
        <w:rPr>
          <w:i/>
        </w:rPr>
        <w:t>Pacific Power</w:t>
      </w:r>
      <w:r>
        <w:rPr>
          <w:i/>
        </w:rPr>
        <w:t xml:space="preserve"> and Light, </w:t>
      </w:r>
      <w:r>
        <w:t xml:space="preserve">Cause </w:t>
      </w:r>
      <w:r w:rsidRPr="00345B14">
        <w:t xml:space="preserve">U-86-02, </w:t>
      </w:r>
      <w:r>
        <w:t>2nd</w:t>
      </w:r>
      <w:r w:rsidRPr="00345B14">
        <w:t xml:space="preserve"> Supp. Order</w:t>
      </w:r>
      <w:r>
        <w:t xml:space="preserve"> at 32-33 (Sept. 19, 1986).</w:t>
      </w:r>
    </w:p>
  </w:footnote>
  <w:footnote w:id="63">
    <w:p w14:paraId="687D946A" w14:textId="483196D7" w:rsidR="00493377" w:rsidRPr="00345B14" w:rsidRDefault="00493377" w:rsidP="00B43557">
      <w:pPr>
        <w:pStyle w:val="FootnoteText"/>
        <w:spacing w:after="120"/>
      </w:pPr>
      <w:r w:rsidRPr="00345B14">
        <w:rPr>
          <w:rStyle w:val="FootnoteReference"/>
        </w:rPr>
        <w:footnoteRef/>
      </w:r>
      <w:r w:rsidRPr="00345B14">
        <w:t xml:space="preserve"> </w:t>
      </w:r>
      <w:r>
        <w:rPr>
          <w:i/>
        </w:rPr>
        <w:t>WUTC</w:t>
      </w:r>
      <w:r w:rsidRPr="00345B14">
        <w:rPr>
          <w:i/>
        </w:rPr>
        <w:t xml:space="preserve"> v. </w:t>
      </w:r>
      <w:r w:rsidRPr="00B64B20">
        <w:rPr>
          <w:i/>
        </w:rPr>
        <w:t>Washington Natural Gas</w:t>
      </w:r>
      <w:r>
        <w:t>, Cause</w:t>
      </w:r>
      <w:r w:rsidRPr="00B64B20">
        <w:t xml:space="preserve"> </w:t>
      </w:r>
      <w:r>
        <w:t>No. U-80-111, 3rd</w:t>
      </w:r>
      <w:r w:rsidRPr="00345B14">
        <w:t xml:space="preserve"> Supp. Order (Sept. 24, 1981); </w:t>
      </w:r>
      <w:r>
        <w:rPr>
          <w:i/>
        </w:rPr>
        <w:t>WUTC</w:t>
      </w:r>
      <w:r w:rsidRPr="00345B14">
        <w:rPr>
          <w:i/>
        </w:rPr>
        <w:t xml:space="preserve"> v.</w:t>
      </w:r>
      <w:r w:rsidRPr="00B64B20">
        <w:t xml:space="preserve"> </w:t>
      </w:r>
      <w:r w:rsidRPr="00B64B20">
        <w:rPr>
          <w:i/>
        </w:rPr>
        <w:t>Puget Sound Power and Light</w:t>
      </w:r>
      <w:r>
        <w:t>, Cause</w:t>
      </w:r>
      <w:r w:rsidRPr="00345B14">
        <w:rPr>
          <w:i/>
        </w:rPr>
        <w:t xml:space="preserve"> </w:t>
      </w:r>
      <w:r>
        <w:rPr>
          <w:i/>
        </w:rPr>
        <w:t xml:space="preserve">No. </w:t>
      </w:r>
      <w:r>
        <w:t>U-81-41, 2nd Supp. Order (Mar. 12, 1982)</w:t>
      </w:r>
      <w:r w:rsidRPr="00345B14">
        <w:t xml:space="preserve">; </w:t>
      </w:r>
      <w:r w:rsidRPr="00345B14">
        <w:rPr>
          <w:i/>
        </w:rPr>
        <w:t xml:space="preserve">WUTC v. </w:t>
      </w:r>
      <w:r w:rsidRPr="00B64B20">
        <w:rPr>
          <w:i/>
        </w:rPr>
        <w:t>Pacific Power</w:t>
      </w:r>
      <w:r>
        <w:rPr>
          <w:i/>
        </w:rPr>
        <w:t xml:space="preserve"> and Light</w:t>
      </w:r>
      <w:r>
        <w:t>, Cause</w:t>
      </w:r>
      <w:r w:rsidRPr="00345B14">
        <w:t xml:space="preserve"> U-82-12/35, </w:t>
      </w:r>
      <w:r>
        <w:t>4th</w:t>
      </w:r>
      <w:r w:rsidRPr="00345B14">
        <w:t xml:space="preserve"> Supp. Order</w:t>
      </w:r>
      <w:r>
        <w:t xml:space="preserve"> (Feb. 2, 1983)</w:t>
      </w:r>
      <w:r w:rsidRPr="00345B14">
        <w:t xml:space="preserve">; </w:t>
      </w:r>
      <w:r>
        <w:rPr>
          <w:i/>
        </w:rPr>
        <w:t>WUTC</w:t>
      </w:r>
      <w:r w:rsidRPr="00345B14">
        <w:rPr>
          <w:i/>
        </w:rPr>
        <w:t xml:space="preserve"> v. </w:t>
      </w:r>
      <w:r w:rsidRPr="00B64B20">
        <w:rPr>
          <w:i/>
        </w:rPr>
        <w:t xml:space="preserve">Washington </w:t>
      </w:r>
      <w:r>
        <w:rPr>
          <w:i/>
        </w:rPr>
        <w:t xml:space="preserve">Water Power, </w:t>
      </w:r>
      <w:r>
        <w:t xml:space="preserve">Cause </w:t>
      </w:r>
      <w:r w:rsidRPr="00345B14">
        <w:t xml:space="preserve">U-84-28, </w:t>
      </w:r>
      <w:r>
        <w:t>2nd</w:t>
      </w:r>
      <w:r w:rsidRPr="00345B14">
        <w:t xml:space="preserve"> Supp. Order (Jan. 10, 1985); </w:t>
      </w:r>
      <w:r>
        <w:rPr>
          <w:i/>
        </w:rPr>
        <w:t>WUTC</w:t>
      </w:r>
      <w:r w:rsidRPr="00345B14">
        <w:rPr>
          <w:i/>
        </w:rPr>
        <w:t xml:space="preserve"> v. </w:t>
      </w:r>
      <w:r w:rsidRPr="00B64B20">
        <w:rPr>
          <w:i/>
        </w:rPr>
        <w:t>Pacific Power</w:t>
      </w:r>
      <w:r>
        <w:rPr>
          <w:i/>
        </w:rPr>
        <w:t xml:space="preserve"> and Light, </w:t>
      </w:r>
      <w:r>
        <w:t xml:space="preserve">Cause </w:t>
      </w:r>
      <w:r w:rsidRPr="00345B14">
        <w:t xml:space="preserve">U-84-65, </w:t>
      </w:r>
      <w:r>
        <w:t>4th</w:t>
      </w:r>
      <w:r w:rsidRPr="00345B14">
        <w:t xml:space="preserve"> Supp. Order (Aug. 2, 1985); </w:t>
      </w:r>
      <w:r>
        <w:rPr>
          <w:i/>
        </w:rPr>
        <w:t>WUTC</w:t>
      </w:r>
      <w:r w:rsidRPr="00345B14">
        <w:rPr>
          <w:i/>
        </w:rPr>
        <w:t xml:space="preserve"> v. </w:t>
      </w:r>
      <w:r w:rsidRPr="00B64B20">
        <w:rPr>
          <w:i/>
        </w:rPr>
        <w:t>Pacific Power</w:t>
      </w:r>
      <w:r>
        <w:rPr>
          <w:i/>
        </w:rPr>
        <w:t xml:space="preserve"> and Light, </w:t>
      </w:r>
      <w:r>
        <w:t xml:space="preserve">Cause </w:t>
      </w:r>
      <w:r w:rsidRPr="00345B14">
        <w:t xml:space="preserve">U-86-02, </w:t>
      </w:r>
      <w:r>
        <w:t>2nd</w:t>
      </w:r>
      <w:r w:rsidRPr="00345B14">
        <w:t xml:space="preserve"> Supp. Order (Sept. 19, 1986); </w:t>
      </w:r>
      <w:r>
        <w:rPr>
          <w:i/>
        </w:rPr>
        <w:t>WUTC</w:t>
      </w:r>
      <w:r w:rsidRPr="00345B14">
        <w:rPr>
          <w:i/>
        </w:rPr>
        <w:t xml:space="preserve"> v. </w:t>
      </w:r>
      <w:r w:rsidRPr="00B64B20">
        <w:rPr>
          <w:i/>
        </w:rPr>
        <w:t>Washington</w:t>
      </w:r>
      <w:r>
        <w:rPr>
          <w:i/>
        </w:rPr>
        <w:t xml:space="preserve"> Natural Gas</w:t>
      </w:r>
      <w:r>
        <w:t>,</w:t>
      </w:r>
      <w:r w:rsidRPr="00B64B20">
        <w:rPr>
          <w:i/>
        </w:rPr>
        <w:t xml:space="preserve"> </w:t>
      </w:r>
      <w:r>
        <w:t xml:space="preserve">Docket </w:t>
      </w:r>
      <w:r w:rsidRPr="00345B14">
        <w:t xml:space="preserve">UG-920840, </w:t>
      </w:r>
      <w:r>
        <w:t>4th</w:t>
      </w:r>
      <w:r w:rsidRPr="00345B14">
        <w:t xml:space="preserve"> Supp. Order (Sept. 27, 1993).</w:t>
      </w:r>
    </w:p>
  </w:footnote>
  <w:footnote w:id="64">
    <w:p w14:paraId="34B38D16" w14:textId="41887275" w:rsidR="00493377" w:rsidRPr="00345B14" w:rsidRDefault="00493377" w:rsidP="00B43557">
      <w:pPr>
        <w:pStyle w:val="FootnoteText"/>
        <w:spacing w:after="120"/>
      </w:pPr>
      <w:r w:rsidRPr="00345B14">
        <w:rPr>
          <w:rStyle w:val="FootnoteReference"/>
        </w:rPr>
        <w:footnoteRef/>
      </w:r>
      <w:r w:rsidRPr="00345B14">
        <w:t xml:space="preserve"> </w:t>
      </w:r>
      <w:r>
        <w:rPr>
          <w:i/>
        </w:rPr>
        <w:t xml:space="preserve">WUTC </w:t>
      </w:r>
      <w:r w:rsidRPr="00345B14">
        <w:rPr>
          <w:i/>
        </w:rPr>
        <w:t xml:space="preserve">v. </w:t>
      </w:r>
      <w:r w:rsidRPr="00B64B20">
        <w:rPr>
          <w:i/>
        </w:rPr>
        <w:t>Washington</w:t>
      </w:r>
      <w:r>
        <w:rPr>
          <w:i/>
        </w:rPr>
        <w:t xml:space="preserve"> Water </w:t>
      </w:r>
      <w:r w:rsidRPr="00A62E9E">
        <w:rPr>
          <w:i/>
        </w:rPr>
        <w:t>Power</w:t>
      </w:r>
      <w:r>
        <w:t xml:space="preserve">, Cause </w:t>
      </w:r>
      <w:r w:rsidRPr="00345B14">
        <w:t xml:space="preserve">U-81-15/16, </w:t>
      </w:r>
      <w:r>
        <w:t>2nd</w:t>
      </w:r>
      <w:r w:rsidRPr="00345B14">
        <w:t xml:space="preserve"> Supp. Order (Nov. 25, 1981); </w:t>
      </w:r>
      <w:r>
        <w:rPr>
          <w:i/>
        </w:rPr>
        <w:t>WUTC</w:t>
      </w:r>
      <w:r w:rsidRPr="00345B14">
        <w:rPr>
          <w:i/>
        </w:rPr>
        <w:t xml:space="preserve"> v.</w:t>
      </w:r>
      <w:r w:rsidRPr="00B64B20">
        <w:t xml:space="preserve"> </w:t>
      </w:r>
      <w:r w:rsidRPr="00B64B20">
        <w:rPr>
          <w:i/>
        </w:rPr>
        <w:t>Puget Sound Power and Light</w:t>
      </w:r>
      <w:r>
        <w:t>, Cause</w:t>
      </w:r>
      <w:r w:rsidRPr="00345B14">
        <w:rPr>
          <w:i/>
        </w:rPr>
        <w:t xml:space="preserve"> </w:t>
      </w:r>
      <w:r w:rsidRPr="00345B14">
        <w:t xml:space="preserve">U-82-38, </w:t>
      </w:r>
      <w:r>
        <w:t>3rd</w:t>
      </w:r>
      <w:r w:rsidRPr="00345B14">
        <w:t xml:space="preserve"> Supp. Order (July 22, 1983)</w:t>
      </w:r>
      <w:r>
        <w:t>.</w:t>
      </w:r>
    </w:p>
  </w:footnote>
  <w:footnote w:id="65">
    <w:p w14:paraId="67385204" w14:textId="532605EE" w:rsidR="00493377" w:rsidRPr="00345B14" w:rsidRDefault="00493377" w:rsidP="00B43557">
      <w:pPr>
        <w:pStyle w:val="FootnoteText"/>
        <w:spacing w:after="120"/>
      </w:pPr>
      <w:r w:rsidRPr="00345B14">
        <w:rPr>
          <w:rStyle w:val="FootnoteReference"/>
        </w:rPr>
        <w:footnoteRef/>
      </w:r>
      <w:r w:rsidRPr="00345B14">
        <w:t xml:space="preserve"> </w:t>
      </w:r>
      <w:r>
        <w:rPr>
          <w:i/>
        </w:rPr>
        <w:t>WUTC</w:t>
      </w:r>
      <w:r w:rsidRPr="00345B14">
        <w:rPr>
          <w:i/>
        </w:rPr>
        <w:t xml:space="preserve"> v. </w:t>
      </w:r>
      <w:r w:rsidRPr="00B64B20">
        <w:rPr>
          <w:i/>
        </w:rPr>
        <w:t>Washington</w:t>
      </w:r>
      <w:r>
        <w:rPr>
          <w:i/>
        </w:rPr>
        <w:t xml:space="preserve"> Water </w:t>
      </w:r>
      <w:r w:rsidRPr="00A62E9E">
        <w:rPr>
          <w:i/>
        </w:rPr>
        <w:t>Power</w:t>
      </w:r>
      <w:r>
        <w:t xml:space="preserve">, Cause </w:t>
      </w:r>
      <w:r w:rsidRPr="00345B14">
        <w:t xml:space="preserve">U-81-15/16, </w:t>
      </w:r>
      <w:r>
        <w:t>2nd</w:t>
      </w:r>
      <w:r w:rsidRPr="00345B14">
        <w:t xml:space="preserve"> Supp. Order</w:t>
      </w:r>
      <w:r>
        <w:t xml:space="preserve"> </w:t>
      </w:r>
      <w:r w:rsidRPr="00345B14">
        <w:t xml:space="preserve">(Nov. 25, 1981); </w:t>
      </w:r>
      <w:r>
        <w:rPr>
          <w:i/>
        </w:rPr>
        <w:t>WUTC</w:t>
      </w:r>
      <w:r w:rsidRPr="00345B14">
        <w:rPr>
          <w:i/>
        </w:rPr>
        <w:t xml:space="preserve"> v. </w:t>
      </w:r>
      <w:r w:rsidRPr="00B64B20">
        <w:rPr>
          <w:i/>
        </w:rPr>
        <w:t>Washington</w:t>
      </w:r>
      <w:r>
        <w:rPr>
          <w:i/>
        </w:rPr>
        <w:t xml:space="preserve"> Water </w:t>
      </w:r>
      <w:r w:rsidRPr="00A62E9E">
        <w:rPr>
          <w:i/>
        </w:rPr>
        <w:t>Power</w:t>
      </w:r>
      <w:r>
        <w:t xml:space="preserve">, Cause </w:t>
      </w:r>
      <w:r w:rsidRPr="00A62E9E">
        <w:t>U</w:t>
      </w:r>
      <w:r w:rsidRPr="00345B14">
        <w:t xml:space="preserve">-82-10/11, </w:t>
      </w:r>
      <w:r>
        <w:t>2nd</w:t>
      </w:r>
      <w:r w:rsidRPr="00345B14">
        <w:t xml:space="preserve"> Supp. Order</w:t>
      </w:r>
      <w:r>
        <w:t xml:space="preserve"> (Dec. 29. 1985)</w:t>
      </w:r>
      <w:r w:rsidRPr="00345B14">
        <w:t xml:space="preserve">; </w:t>
      </w:r>
      <w:r>
        <w:rPr>
          <w:i/>
        </w:rPr>
        <w:t>WUTC</w:t>
      </w:r>
      <w:r w:rsidRPr="00345B14">
        <w:rPr>
          <w:i/>
        </w:rPr>
        <w:t xml:space="preserve"> v.</w:t>
      </w:r>
      <w:r w:rsidRPr="00B64B20">
        <w:t xml:space="preserve"> </w:t>
      </w:r>
      <w:r w:rsidRPr="00B64B20">
        <w:rPr>
          <w:i/>
        </w:rPr>
        <w:t>Puget Sound Power and Light</w:t>
      </w:r>
      <w:r>
        <w:t>, Cause</w:t>
      </w:r>
      <w:r w:rsidRPr="00345B14">
        <w:rPr>
          <w:i/>
        </w:rPr>
        <w:t xml:space="preserve"> </w:t>
      </w:r>
      <w:r w:rsidRPr="00345B14">
        <w:t xml:space="preserve">U-82-38, </w:t>
      </w:r>
      <w:r>
        <w:t>3rd</w:t>
      </w:r>
      <w:r w:rsidRPr="00345B14">
        <w:t xml:space="preserve"> Supp. Orde</w:t>
      </w:r>
      <w:r>
        <w:t xml:space="preserve">r, at 29 (July 22, 1983); </w:t>
      </w:r>
      <w:r>
        <w:rPr>
          <w:i/>
        </w:rPr>
        <w:t>WUTC</w:t>
      </w:r>
      <w:r w:rsidRPr="00345B14">
        <w:rPr>
          <w:i/>
        </w:rPr>
        <w:t xml:space="preserve"> v. </w:t>
      </w:r>
      <w:r w:rsidRPr="00B64B20">
        <w:rPr>
          <w:i/>
        </w:rPr>
        <w:t xml:space="preserve">Washington </w:t>
      </w:r>
      <w:r>
        <w:rPr>
          <w:i/>
        </w:rPr>
        <w:t xml:space="preserve">Water Power, </w:t>
      </w:r>
      <w:r>
        <w:t xml:space="preserve">Cause </w:t>
      </w:r>
      <w:r w:rsidRPr="00345B14">
        <w:t xml:space="preserve">U-84-28, </w:t>
      </w:r>
      <w:r>
        <w:t>2nd Supp. Order (Jan. 10, 1985).</w:t>
      </w:r>
    </w:p>
  </w:footnote>
  <w:footnote w:id="66">
    <w:p w14:paraId="3FFC87CF" w14:textId="75F00CB6" w:rsidR="00493377" w:rsidRPr="00345B14" w:rsidRDefault="00493377" w:rsidP="00B43557">
      <w:pPr>
        <w:pStyle w:val="FootnoteText"/>
        <w:spacing w:after="120"/>
      </w:pPr>
      <w:r w:rsidRPr="00345B14">
        <w:rPr>
          <w:rStyle w:val="FootnoteReference"/>
        </w:rPr>
        <w:footnoteRef/>
      </w:r>
      <w:r w:rsidRPr="00345B14">
        <w:t xml:space="preserve"> </w:t>
      </w:r>
      <w:r>
        <w:rPr>
          <w:i/>
        </w:rPr>
        <w:t>WUTC</w:t>
      </w:r>
      <w:r w:rsidRPr="00345B14">
        <w:rPr>
          <w:i/>
        </w:rPr>
        <w:t xml:space="preserve"> v. </w:t>
      </w:r>
      <w:r w:rsidRPr="00B64B20">
        <w:rPr>
          <w:i/>
        </w:rPr>
        <w:t>Washington</w:t>
      </w:r>
      <w:r>
        <w:rPr>
          <w:i/>
        </w:rPr>
        <w:t xml:space="preserve"> Natural Gas</w:t>
      </w:r>
      <w:r>
        <w:t xml:space="preserve">, Cause </w:t>
      </w:r>
      <w:r w:rsidRPr="00345B14">
        <w:t xml:space="preserve">U-82-22/37, </w:t>
      </w:r>
      <w:r>
        <w:t>3rd</w:t>
      </w:r>
      <w:r w:rsidRPr="00345B14">
        <w:t xml:space="preserve"> Supp. Order (Dec. 29, 1982).</w:t>
      </w:r>
    </w:p>
  </w:footnote>
  <w:footnote w:id="67">
    <w:p w14:paraId="55F2EB3C" w14:textId="3BD6F977" w:rsidR="00493377" w:rsidRPr="00345B14" w:rsidRDefault="00493377" w:rsidP="00B43557">
      <w:pPr>
        <w:pStyle w:val="FootnoteText"/>
        <w:spacing w:after="120"/>
      </w:pPr>
      <w:r w:rsidRPr="00345B14">
        <w:rPr>
          <w:rStyle w:val="FootnoteReference"/>
        </w:rPr>
        <w:footnoteRef/>
      </w:r>
      <w:r w:rsidRPr="00345B14">
        <w:t xml:space="preserve"> </w:t>
      </w:r>
      <w:r>
        <w:rPr>
          <w:i/>
        </w:rPr>
        <w:t>WUTC</w:t>
      </w:r>
      <w:r w:rsidRPr="00345B14">
        <w:rPr>
          <w:i/>
        </w:rPr>
        <w:t xml:space="preserve"> v. </w:t>
      </w:r>
      <w:r w:rsidRPr="00B64B20">
        <w:rPr>
          <w:i/>
        </w:rPr>
        <w:t>Washington</w:t>
      </w:r>
      <w:r>
        <w:rPr>
          <w:i/>
        </w:rPr>
        <w:t xml:space="preserve"> Water </w:t>
      </w:r>
      <w:r w:rsidRPr="00A62E9E">
        <w:rPr>
          <w:i/>
        </w:rPr>
        <w:t>Power</w:t>
      </w:r>
      <w:r>
        <w:t xml:space="preserve">, Cause </w:t>
      </w:r>
      <w:r w:rsidRPr="00345B14">
        <w:t xml:space="preserve">U-81-15/16, </w:t>
      </w:r>
      <w:r>
        <w:t>2nd</w:t>
      </w:r>
      <w:r w:rsidRPr="00345B14">
        <w:t xml:space="preserve"> Supp. Order</w:t>
      </w:r>
      <w:r>
        <w:t xml:space="preserve"> (Nov. 25, 1981); </w:t>
      </w:r>
      <w:r>
        <w:rPr>
          <w:i/>
        </w:rPr>
        <w:t>WUTC</w:t>
      </w:r>
      <w:r w:rsidRPr="00345B14">
        <w:rPr>
          <w:i/>
        </w:rPr>
        <w:t xml:space="preserve"> v. </w:t>
      </w:r>
      <w:r w:rsidRPr="00B64B20">
        <w:rPr>
          <w:i/>
        </w:rPr>
        <w:t>Pacific Power</w:t>
      </w:r>
      <w:r>
        <w:rPr>
          <w:i/>
        </w:rPr>
        <w:t xml:space="preserve"> and Light, </w:t>
      </w:r>
      <w:r>
        <w:t>Cause</w:t>
      </w:r>
      <w:r w:rsidRPr="00345B14">
        <w:t xml:space="preserve"> U-81-17, </w:t>
      </w:r>
      <w:r>
        <w:t>2nd</w:t>
      </w:r>
      <w:r w:rsidRPr="00345B14">
        <w:t xml:space="preserve"> Supp. Order (Dec. 16, 1981); </w:t>
      </w:r>
      <w:r>
        <w:rPr>
          <w:i/>
        </w:rPr>
        <w:t>WUTC</w:t>
      </w:r>
      <w:r w:rsidRPr="00345B14">
        <w:rPr>
          <w:i/>
        </w:rPr>
        <w:t xml:space="preserve"> v.</w:t>
      </w:r>
      <w:r w:rsidRPr="00B64B20">
        <w:t xml:space="preserve"> </w:t>
      </w:r>
      <w:r w:rsidRPr="00B64B20">
        <w:rPr>
          <w:i/>
        </w:rPr>
        <w:t>Puget Sound Power and Light</w:t>
      </w:r>
      <w:r>
        <w:t>, Cause</w:t>
      </w:r>
      <w:r w:rsidRPr="00345B14">
        <w:rPr>
          <w:i/>
        </w:rPr>
        <w:t xml:space="preserve"> </w:t>
      </w:r>
      <w:r>
        <w:t>U-81-41, 2nd Supp. Order (Mar. 12, 1982).</w:t>
      </w:r>
    </w:p>
  </w:footnote>
  <w:footnote w:id="68">
    <w:p w14:paraId="5DC6A10A" w14:textId="278BC787" w:rsidR="00493377" w:rsidRPr="00345B14" w:rsidRDefault="00493377" w:rsidP="00B43557">
      <w:pPr>
        <w:pStyle w:val="FootnoteText"/>
        <w:spacing w:after="120"/>
      </w:pPr>
      <w:r w:rsidRPr="00345B14">
        <w:rPr>
          <w:rStyle w:val="FootnoteReference"/>
        </w:rPr>
        <w:footnoteRef/>
      </w:r>
      <w:r w:rsidRPr="00345B14">
        <w:t xml:space="preserve"> </w:t>
      </w:r>
      <w:r>
        <w:rPr>
          <w:i/>
        </w:rPr>
        <w:t>WUTC</w:t>
      </w:r>
      <w:r w:rsidRPr="00345B14">
        <w:rPr>
          <w:i/>
        </w:rPr>
        <w:t xml:space="preserve"> v. </w:t>
      </w:r>
      <w:r w:rsidRPr="00B64B20">
        <w:rPr>
          <w:i/>
        </w:rPr>
        <w:t>Washington</w:t>
      </w:r>
      <w:r>
        <w:rPr>
          <w:i/>
        </w:rPr>
        <w:t xml:space="preserve"> Water </w:t>
      </w:r>
      <w:r w:rsidRPr="00A62E9E">
        <w:rPr>
          <w:i/>
        </w:rPr>
        <w:t>Power</w:t>
      </w:r>
      <w:r>
        <w:t xml:space="preserve">, Cause </w:t>
      </w:r>
      <w:r w:rsidRPr="00A62E9E">
        <w:t>U</w:t>
      </w:r>
      <w:r w:rsidRPr="00345B14">
        <w:t xml:space="preserve">-82-10/11, </w:t>
      </w:r>
      <w:r>
        <w:t>2nd</w:t>
      </w:r>
      <w:r w:rsidRPr="00345B14">
        <w:t xml:space="preserve"> Supp. Order, </w:t>
      </w:r>
      <w:r w:rsidRPr="00187304">
        <w:t xml:space="preserve">at </w:t>
      </w:r>
      <w:r>
        <w:t>31 (Dec. 29. 1985).</w:t>
      </w:r>
    </w:p>
  </w:footnote>
  <w:footnote w:id="69">
    <w:p w14:paraId="281CDCC5" w14:textId="10D9D988" w:rsidR="00493377" w:rsidRDefault="00493377" w:rsidP="00B43557">
      <w:pPr>
        <w:pStyle w:val="FootnoteText"/>
        <w:spacing w:after="120"/>
      </w:pPr>
      <w:r>
        <w:rPr>
          <w:rStyle w:val="FootnoteReference"/>
        </w:rPr>
        <w:footnoteRef/>
      </w:r>
      <w:r>
        <w:t xml:space="preserve"> </w:t>
      </w:r>
      <w:r w:rsidRPr="001C3720">
        <w:rPr>
          <w:i/>
        </w:rPr>
        <w:t xml:space="preserve">See </w:t>
      </w:r>
      <w:r>
        <w:rPr>
          <w:i/>
        </w:rPr>
        <w:t>WUTC</w:t>
      </w:r>
      <w:r w:rsidRPr="001C3720">
        <w:rPr>
          <w:i/>
        </w:rPr>
        <w:t xml:space="preserve"> v. Wash. Natural Gas</w:t>
      </w:r>
      <w:r w:rsidRPr="001C3720">
        <w:t>, Docket No. UG-920840, 4</w:t>
      </w:r>
      <w:r w:rsidRPr="00F65483">
        <w:t>th</w:t>
      </w:r>
      <w:r w:rsidRPr="001C3720">
        <w:t xml:space="preserve"> Supp</w:t>
      </w:r>
      <w:r>
        <w:t xml:space="preserve">. Order at </w:t>
      </w:r>
      <w:r w:rsidRPr="001C3720">
        <w:t>30 (Sept. 27, 1993).</w:t>
      </w:r>
    </w:p>
  </w:footnote>
  <w:footnote w:id="70">
    <w:p w14:paraId="764E26C3" w14:textId="72D81FB3" w:rsidR="00493377" w:rsidRDefault="00493377" w:rsidP="00B43557">
      <w:pPr>
        <w:pStyle w:val="FootnoteText"/>
        <w:spacing w:after="120"/>
      </w:pPr>
      <w:r>
        <w:rPr>
          <w:rStyle w:val="FootnoteReference"/>
        </w:rPr>
        <w:footnoteRef/>
      </w:r>
      <w:r>
        <w:t xml:space="preserve"> </w:t>
      </w:r>
      <w:r w:rsidRPr="00B432D2">
        <w:rPr>
          <w:i/>
        </w:rPr>
        <w:t xml:space="preserve">See </w:t>
      </w:r>
      <w:r>
        <w:rPr>
          <w:i/>
        </w:rPr>
        <w:t>WUTC</w:t>
      </w:r>
      <w:r w:rsidRPr="00B432D2">
        <w:rPr>
          <w:i/>
        </w:rPr>
        <w:t xml:space="preserve"> v. Puget Sound Energy,</w:t>
      </w:r>
      <w:r>
        <w:t xml:space="preserve"> </w:t>
      </w:r>
      <w:r w:rsidRPr="00F039F7">
        <w:t>Dockets UE-111048/UG-111049</w:t>
      </w:r>
      <w:r>
        <w:t xml:space="preserve">, </w:t>
      </w:r>
      <w:r w:rsidRPr="00F039F7">
        <w:t xml:space="preserve">Order </w:t>
      </w:r>
      <w:r>
        <w:t>08, ¶ 489 (May 7, 2012) [</w:t>
      </w:r>
      <w:r w:rsidRPr="009D3465">
        <w:rPr>
          <w:i/>
        </w:rPr>
        <w:t>PSE Order 08</w:t>
      </w:r>
      <w:r>
        <w:t>].</w:t>
      </w:r>
    </w:p>
  </w:footnote>
  <w:footnote w:id="71">
    <w:p w14:paraId="2F3205B2" w14:textId="77777777" w:rsidR="00493377" w:rsidRDefault="00493377" w:rsidP="00B43557">
      <w:pPr>
        <w:pStyle w:val="FootnoteText"/>
        <w:spacing w:after="120"/>
      </w:pPr>
      <w:r>
        <w:rPr>
          <w:rStyle w:val="FootnoteReference"/>
        </w:rPr>
        <w:footnoteRef/>
      </w:r>
      <w:r>
        <w:t xml:space="preserve"> </w:t>
      </w:r>
      <w:r w:rsidRPr="009D3465">
        <w:rPr>
          <w:i/>
        </w:rPr>
        <w:t>PSE Order 08</w:t>
      </w:r>
      <w:r>
        <w:t xml:space="preserve"> at ¶ 490 (original footnotes omitted).</w:t>
      </w:r>
    </w:p>
  </w:footnote>
  <w:footnote w:id="72">
    <w:p w14:paraId="2D114512" w14:textId="4AC5BF10" w:rsidR="00493377" w:rsidRPr="00B432D2" w:rsidRDefault="00493377" w:rsidP="00B43557">
      <w:pPr>
        <w:spacing w:after="120"/>
      </w:pPr>
      <w:r w:rsidRPr="00440D01">
        <w:rPr>
          <w:rStyle w:val="FootnoteReference"/>
          <w:sz w:val="22"/>
        </w:rPr>
        <w:footnoteRef/>
      </w:r>
      <w:r w:rsidRPr="00440D01">
        <w:rPr>
          <w:sz w:val="22"/>
        </w:rPr>
        <w:t xml:space="preserve"> </w:t>
      </w:r>
      <w:r w:rsidRPr="00440D01">
        <w:rPr>
          <w:i/>
          <w:sz w:val="22"/>
        </w:rPr>
        <w:t xml:space="preserve">See </w:t>
      </w:r>
      <w:r>
        <w:rPr>
          <w:i/>
          <w:sz w:val="22"/>
          <w:szCs w:val="22"/>
        </w:rPr>
        <w:t>WUTC</w:t>
      </w:r>
      <w:r w:rsidRPr="00440D01">
        <w:rPr>
          <w:i/>
          <w:sz w:val="22"/>
        </w:rPr>
        <w:t xml:space="preserve"> v. Avista Corp., </w:t>
      </w:r>
      <w:r w:rsidRPr="00440D01">
        <w:rPr>
          <w:sz w:val="22"/>
        </w:rPr>
        <w:t>Do</w:t>
      </w:r>
      <w:r>
        <w:rPr>
          <w:sz w:val="22"/>
        </w:rPr>
        <w:t>ckets UE-120436 and UG-120437 (c</w:t>
      </w:r>
      <w:r w:rsidRPr="00440D01">
        <w:rPr>
          <w:sz w:val="22"/>
        </w:rPr>
        <w:t>onsolidated), Order 09 and Do</w:t>
      </w:r>
      <w:r>
        <w:rPr>
          <w:sz w:val="22"/>
        </w:rPr>
        <w:t>ckets UE-110876 and UG-110877 (c</w:t>
      </w:r>
      <w:r w:rsidRPr="00440D01">
        <w:rPr>
          <w:sz w:val="22"/>
        </w:rPr>
        <w:t xml:space="preserve">onsolidated), Order 14, </w:t>
      </w:r>
      <w:r>
        <w:rPr>
          <w:sz w:val="22"/>
        </w:rPr>
        <w:t>(</w:t>
      </w:r>
      <w:r w:rsidRPr="00440D01">
        <w:rPr>
          <w:sz w:val="22"/>
        </w:rPr>
        <w:t>Dec</w:t>
      </w:r>
      <w:r>
        <w:rPr>
          <w:sz w:val="22"/>
        </w:rPr>
        <w:t>.</w:t>
      </w:r>
      <w:r w:rsidRPr="00440D01">
        <w:rPr>
          <w:sz w:val="22"/>
        </w:rPr>
        <w:t xml:space="preserve"> 26, 2012</w:t>
      </w:r>
      <w:r>
        <w:rPr>
          <w:sz w:val="22"/>
        </w:rPr>
        <w:t>) [</w:t>
      </w:r>
      <w:r w:rsidRPr="009D3465">
        <w:rPr>
          <w:i/>
          <w:sz w:val="22"/>
        </w:rPr>
        <w:t>Avista Order</w:t>
      </w:r>
      <w:r>
        <w:rPr>
          <w:i/>
          <w:sz w:val="22"/>
        </w:rPr>
        <w:t>s</w:t>
      </w:r>
      <w:r w:rsidRPr="009D3465">
        <w:rPr>
          <w:i/>
          <w:sz w:val="22"/>
        </w:rPr>
        <w:t xml:space="preserve"> 09</w:t>
      </w:r>
      <w:r>
        <w:rPr>
          <w:i/>
          <w:sz w:val="22"/>
        </w:rPr>
        <w:t xml:space="preserve"> &amp; 14</w:t>
      </w:r>
      <w:r>
        <w:rPr>
          <w:sz w:val="22"/>
        </w:rPr>
        <w:t>]</w:t>
      </w:r>
      <w:r w:rsidRPr="00440D01">
        <w:rPr>
          <w:sz w:val="22"/>
        </w:rPr>
        <w:t xml:space="preserve">.  </w:t>
      </w:r>
    </w:p>
  </w:footnote>
  <w:footnote w:id="73">
    <w:p w14:paraId="0A93A15A" w14:textId="76874E1E" w:rsidR="00493377" w:rsidRDefault="00493377" w:rsidP="00B43557">
      <w:pPr>
        <w:pStyle w:val="FootnoteText"/>
        <w:spacing w:after="120"/>
      </w:pPr>
      <w:r>
        <w:rPr>
          <w:rStyle w:val="FootnoteReference"/>
        </w:rPr>
        <w:footnoteRef/>
      </w:r>
      <w:r>
        <w:t xml:space="preserve"> Although other parties, including Public Counsel and ICNU, supported the settlement they did not specifically concede to whether the agreed-upon revenue requirements account for the effects of attrition.  </w:t>
      </w:r>
    </w:p>
  </w:footnote>
  <w:footnote w:id="74">
    <w:p w14:paraId="5CA1BD0E" w14:textId="0D54D3B8" w:rsidR="00493377" w:rsidRDefault="00493377" w:rsidP="00B43557">
      <w:pPr>
        <w:pStyle w:val="FootnoteText"/>
        <w:spacing w:after="120"/>
      </w:pPr>
      <w:r>
        <w:rPr>
          <w:rStyle w:val="FootnoteReference"/>
        </w:rPr>
        <w:footnoteRef/>
      </w:r>
      <w:r>
        <w:t xml:space="preserve"> </w:t>
      </w:r>
      <w:r w:rsidRPr="00436CA6">
        <w:t>Avista Orders 09 &amp; 14,</w:t>
      </w:r>
      <w:r w:rsidRPr="00440D01">
        <w:t xml:space="preserve"> </w:t>
      </w:r>
      <w:r>
        <w:t>¶ 10</w:t>
      </w:r>
      <w:r w:rsidRPr="00440D01">
        <w:t xml:space="preserve">.  </w:t>
      </w:r>
      <w:r>
        <w:t xml:space="preserve"> </w:t>
      </w:r>
      <w:r w:rsidRPr="00440D01">
        <w:t xml:space="preserve"> </w:t>
      </w:r>
      <w:r>
        <w:t xml:space="preserve"> </w:t>
      </w:r>
    </w:p>
  </w:footnote>
  <w:footnote w:id="75">
    <w:p w14:paraId="43DEA73D" w14:textId="77777777" w:rsidR="00493377" w:rsidRDefault="00493377" w:rsidP="00B43557">
      <w:pPr>
        <w:pStyle w:val="FootnoteText"/>
        <w:spacing w:after="120"/>
      </w:pPr>
      <w:r>
        <w:rPr>
          <w:rStyle w:val="FootnoteReference"/>
        </w:rPr>
        <w:footnoteRef/>
      </w:r>
      <w:r>
        <w:t xml:space="preserve"> </w:t>
      </w:r>
      <w:r w:rsidRPr="00C1571F">
        <w:rPr>
          <w:i/>
        </w:rPr>
        <w:t>Id</w:t>
      </w:r>
      <w:r>
        <w:rPr>
          <w:i/>
        </w:rPr>
        <w:t>.</w:t>
      </w:r>
      <w:r>
        <w:t xml:space="preserve">, ¶ 11.  </w:t>
      </w:r>
    </w:p>
  </w:footnote>
  <w:footnote w:id="76">
    <w:p w14:paraId="4FC2B13E" w14:textId="77777777" w:rsidR="00493377" w:rsidRDefault="00493377" w:rsidP="00B43557">
      <w:pPr>
        <w:pStyle w:val="FootnoteText"/>
        <w:spacing w:after="120"/>
      </w:pPr>
      <w:r>
        <w:rPr>
          <w:rStyle w:val="FootnoteReference"/>
        </w:rPr>
        <w:footnoteRef/>
      </w:r>
      <w:r>
        <w:t xml:space="preserve"> </w:t>
      </w:r>
      <w:r w:rsidRPr="00C1571F">
        <w:rPr>
          <w:i/>
        </w:rPr>
        <w:t>Id</w:t>
      </w:r>
      <w:r>
        <w:t xml:space="preserve">., ¶ 12.  </w:t>
      </w:r>
    </w:p>
  </w:footnote>
  <w:footnote w:id="77">
    <w:p w14:paraId="7B166871" w14:textId="77777777" w:rsidR="00493377" w:rsidRDefault="00493377" w:rsidP="00B43557">
      <w:pPr>
        <w:pStyle w:val="FootnoteText"/>
        <w:spacing w:after="120"/>
      </w:pPr>
      <w:r>
        <w:rPr>
          <w:rStyle w:val="FootnoteReference"/>
        </w:rPr>
        <w:footnoteRef/>
      </w:r>
      <w:r>
        <w:t xml:space="preserve"> </w:t>
      </w:r>
      <w:r w:rsidRPr="00C1571F">
        <w:rPr>
          <w:i/>
        </w:rPr>
        <w:t>Id</w:t>
      </w:r>
      <w:r>
        <w:t xml:space="preserve">., ¶ 70.  </w:t>
      </w:r>
    </w:p>
  </w:footnote>
  <w:footnote w:id="78">
    <w:p w14:paraId="25B1BDD9" w14:textId="77777777" w:rsidR="00493377" w:rsidRDefault="00493377" w:rsidP="00B43557">
      <w:pPr>
        <w:pStyle w:val="FootnoteText"/>
        <w:spacing w:after="120"/>
      </w:pPr>
      <w:r>
        <w:rPr>
          <w:rStyle w:val="FootnoteReference"/>
        </w:rPr>
        <w:footnoteRef/>
      </w:r>
      <w:r>
        <w:t xml:space="preserve"> </w:t>
      </w:r>
      <w:r w:rsidRPr="00C1571F">
        <w:rPr>
          <w:i/>
        </w:rPr>
        <w:t>Id</w:t>
      </w:r>
      <w:r>
        <w:t>., ¶ 71.</w:t>
      </w:r>
    </w:p>
  </w:footnote>
  <w:footnote w:id="79">
    <w:p w14:paraId="2ECCFEFB" w14:textId="36A7F2B1" w:rsidR="00493377" w:rsidRDefault="00493377" w:rsidP="00B43557">
      <w:pPr>
        <w:pStyle w:val="FootnoteText"/>
        <w:spacing w:after="120"/>
      </w:pPr>
      <w:r>
        <w:rPr>
          <w:rStyle w:val="FootnoteReference"/>
        </w:rPr>
        <w:footnoteRef/>
      </w:r>
      <w:r>
        <w:t xml:space="preserve"> </w:t>
      </w:r>
      <w:r w:rsidRPr="00C1571F">
        <w:rPr>
          <w:i/>
        </w:rPr>
        <w:t>Id</w:t>
      </w:r>
      <w:r>
        <w:t xml:space="preserve">., ¶ 72 (emphasis added).  </w:t>
      </w:r>
    </w:p>
  </w:footnote>
  <w:footnote w:id="80">
    <w:p w14:paraId="095EB229" w14:textId="1101058E" w:rsidR="00493377" w:rsidRDefault="00493377" w:rsidP="00B43557">
      <w:pPr>
        <w:pStyle w:val="FootnoteText"/>
        <w:spacing w:after="120"/>
      </w:pPr>
      <w:r>
        <w:rPr>
          <w:rStyle w:val="FootnoteReference"/>
        </w:rPr>
        <w:footnoteRef/>
      </w:r>
      <w:r>
        <w:t xml:space="preserve"> </w:t>
      </w:r>
      <w:r w:rsidRPr="00C1571F">
        <w:rPr>
          <w:i/>
        </w:rPr>
        <w:t>Id</w:t>
      </w:r>
      <w:r>
        <w:t>., ¶ 73.  (original footnotes omitted).</w:t>
      </w:r>
    </w:p>
  </w:footnote>
  <w:footnote w:id="81">
    <w:p w14:paraId="44946C5B" w14:textId="55AF0AA0" w:rsidR="00493377" w:rsidRDefault="00493377" w:rsidP="00E351BF">
      <w:pPr>
        <w:pStyle w:val="FootnoteText"/>
        <w:spacing w:after="120"/>
      </w:pPr>
      <w:r>
        <w:rPr>
          <w:rStyle w:val="FootnoteReference"/>
        </w:rPr>
        <w:footnoteRef/>
      </w:r>
      <w:r>
        <w:t xml:space="preserve"> </w:t>
      </w:r>
      <w:r>
        <w:rPr>
          <w:i/>
        </w:rPr>
        <w:t>WUTC</w:t>
      </w:r>
      <w:r w:rsidRPr="00327DC0">
        <w:rPr>
          <w:i/>
        </w:rPr>
        <w:t xml:space="preserve"> v. Puget Sound Energy</w:t>
      </w:r>
      <w:r w:rsidRPr="00327DC0">
        <w:t>, Dockets UE-121697/UG-121705 &amp; UE-130137/UG-130138 (</w:t>
      </w:r>
      <w:r>
        <w:t>consolidated), Order 07, ¶¶ 149-150</w:t>
      </w:r>
      <w:r w:rsidRPr="00327DC0">
        <w:t xml:space="preserve"> (June 25, 2013)</w:t>
      </w:r>
      <w:r>
        <w:t xml:space="preserve"> (footnotes omitted) [</w:t>
      </w:r>
      <w:r w:rsidRPr="007D1A8F">
        <w:rPr>
          <w:i/>
        </w:rPr>
        <w:t>PSE Order 07</w:t>
      </w:r>
      <w:r>
        <w:t>]</w:t>
      </w:r>
      <w:r w:rsidRPr="00327DC0">
        <w:t>.</w:t>
      </w:r>
    </w:p>
  </w:footnote>
  <w:footnote w:id="82">
    <w:p w14:paraId="6E264252" w14:textId="77777777" w:rsidR="00493377" w:rsidRDefault="00493377" w:rsidP="00E351BF">
      <w:pPr>
        <w:pStyle w:val="FootnoteText"/>
        <w:spacing w:after="120"/>
      </w:pPr>
      <w:r>
        <w:rPr>
          <w:rStyle w:val="FootnoteReference"/>
        </w:rPr>
        <w:footnoteRef/>
      </w:r>
      <w:r>
        <w:t xml:space="preserve"> </w:t>
      </w:r>
      <w:r>
        <w:rPr>
          <w:i/>
        </w:rPr>
        <w:t>Id.</w:t>
      </w:r>
      <w:r>
        <w:t xml:space="preserve"> ¶ 171</w:t>
      </w:r>
      <w:r w:rsidRPr="00327DC0">
        <w:t>.</w:t>
      </w:r>
    </w:p>
  </w:footnote>
  <w:footnote w:id="83">
    <w:p w14:paraId="670CBF28" w14:textId="7E5615E3" w:rsidR="00493377" w:rsidRDefault="00493377" w:rsidP="00E351BF">
      <w:pPr>
        <w:pStyle w:val="FootnoteText"/>
        <w:spacing w:after="120"/>
      </w:pPr>
      <w:r>
        <w:rPr>
          <w:rStyle w:val="FootnoteReference"/>
        </w:rPr>
        <w:footnoteRef/>
      </w:r>
      <w:r>
        <w:t xml:space="preserve"> </w:t>
      </w:r>
      <w:r w:rsidRPr="004E0EF7">
        <w:rPr>
          <w:i/>
        </w:rPr>
        <w:t xml:space="preserve">See </w:t>
      </w:r>
      <w:r>
        <w:rPr>
          <w:i/>
        </w:rPr>
        <w:t>WUTC</w:t>
      </w:r>
      <w:r w:rsidRPr="004E0EF7">
        <w:rPr>
          <w:i/>
        </w:rPr>
        <w:t xml:space="preserve"> v. Avista Corp., </w:t>
      </w:r>
      <w:r>
        <w:t>Dockets UE-140188 and</w:t>
      </w:r>
      <w:r w:rsidRPr="00DF24E5">
        <w:t xml:space="preserve"> </w:t>
      </w:r>
      <w:r>
        <w:t>UG-140189 (consolidated), Order 05 (Nov. 25, 2014).</w:t>
      </w:r>
    </w:p>
  </w:footnote>
  <w:footnote w:id="84">
    <w:p w14:paraId="525C6A70" w14:textId="77777777" w:rsidR="00493377" w:rsidRDefault="00493377" w:rsidP="00B43557">
      <w:pPr>
        <w:pStyle w:val="FootnoteText"/>
        <w:spacing w:after="120"/>
      </w:pPr>
      <w:r>
        <w:rPr>
          <w:rStyle w:val="FootnoteReference"/>
        </w:rPr>
        <w:footnoteRef/>
      </w:r>
      <w:r>
        <w:t xml:space="preserve"> </w:t>
      </w:r>
      <w:r w:rsidRPr="00272E0C">
        <w:rPr>
          <w:i/>
        </w:rPr>
        <w:t>Id</w:t>
      </w:r>
      <w:r>
        <w:rPr>
          <w:i/>
        </w:rPr>
        <w:t>.</w:t>
      </w:r>
      <w:r>
        <w:t xml:space="preserve">, ¶ 49.  </w:t>
      </w:r>
    </w:p>
  </w:footnote>
  <w:footnote w:id="85">
    <w:p w14:paraId="44FE46C1" w14:textId="502E5B16" w:rsidR="00493377" w:rsidRPr="00DA5B6F" w:rsidRDefault="00493377" w:rsidP="00143DF4">
      <w:pPr>
        <w:pStyle w:val="FootnoteText"/>
        <w:spacing w:after="120"/>
        <w:rPr>
          <w:i/>
        </w:rPr>
      </w:pPr>
      <w:r>
        <w:rPr>
          <w:rStyle w:val="FootnoteReference"/>
        </w:rPr>
        <w:footnoteRef/>
      </w:r>
      <w:r>
        <w:t xml:space="preserve"> </w:t>
      </w:r>
      <w:r w:rsidRPr="008E6B3C">
        <w:rPr>
          <w:i/>
        </w:rPr>
        <w:t>PSE Order 07</w:t>
      </w:r>
      <w:r>
        <w:t>, ¶¶ 146, 149-150</w:t>
      </w:r>
      <w:r w:rsidRPr="00DA5B6F">
        <w:t>.</w:t>
      </w:r>
    </w:p>
  </w:footnote>
  <w:footnote w:id="86">
    <w:p w14:paraId="59F8D496" w14:textId="77777777" w:rsidR="00493377" w:rsidRPr="009A3E87" w:rsidRDefault="00493377" w:rsidP="00692867">
      <w:pPr>
        <w:pStyle w:val="FootnoteText"/>
        <w:spacing w:after="120"/>
      </w:pPr>
      <w:r w:rsidRPr="009A3E87">
        <w:rPr>
          <w:rStyle w:val="FootnoteReference"/>
        </w:rPr>
        <w:footnoteRef/>
      </w:r>
      <w:r w:rsidRPr="009A3E87">
        <w:t xml:space="preserve"> </w:t>
      </w:r>
      <w:r>
        <w:t xml:space="preserve">Morris, Exh. No. SLM-1T </w:t>
      </w:r>
      <w:r w:rsidRPr="009A3E87">
        <w:t>at 10:12-14.</w:t>
      </w:r>
    </w:p>
  </w:footnote>
  <w:footnote w:id="87">
    <w:p w14:paraId="3A0058EE" w14:textId="77777777" w:rsidR="00493377" w:rsidRDefault="00493377" w:rsidP="00692867">
      <w:pPr>
        <w:pStyle w:val="FootnoteText"/>
        <w:spacing w:after="120"/>
      </w:pPr>
      <w:r>
        <w:rPr>
          <w:rStyle w:val="FootnoteReference"/>
        </w:rPr>
        <w:footnoteRef/>
      </w:r>
      <w:r>
        <w:t xml:space="preserve"> </w:t>
      </w:r>
      <w:r w:rsidRPr="00831366">
        <w:rPr>
          <w:i/>
        </w:rPr>
        <w:t>Id</w:t>
      </w:r>
      <w:r>
        <w:t>.</w:t>
      </w:r>
      <w:r w:rsidRPr="009A3E87">
        <w:t xml:space="preserve"> </w:t>
      </w:r>
      <w:r>
        <w:t>at 11.</w:t>
      </w:r>
    </w:p>
  </w:footnote>
  <w:footnote w:id="88">
    <w:p w14:paraId="3A608584" w14:textId="16C5D9D7" w:rsidR="00493377" w:rsidRPr="003528AE" w:rsidRDefault="00493377" w:rsidP="00692867">
      <w:pPr>
        <w:pStyle w:val="FootnoteText"/>
        <w:spacing w:after="120"/>
        <w:rPr>
          <w:szCs w:val="22"/>
        </w:rPr>
      </w:pPr>
      <w:r w:rsidRPr="003528AE">
        <w:rPr>
          <w:rStyle w:val="FootnoteReference"/>
          <w:szCs w:val="22"/>
        </w:rPr>
        <w:footnoteRef/>
      </w:r>
      <w:r w:rsidRPr="003528AE">
        <w:rPr>
          <w:szCs w:val="22"/>
        </w:rPr>
        <w:t xml:space="preserve"> </w:t>
      </w:r>
      <w:r>
        <w:rPr>
          <w:i/>
          <w:szCs w:val="22"/>
        </w:rPr>
        <w:t>Id</w:t>
      </w:r>
      <w:r w:rsidRPr="003528AE">
        <w:rPr>
          <w:szCs w:val="22"/>
        </w:rPr>
        <w:t>. See also pages 6, 8</w:t>
      </w:r>
      <w:r>
        <w:rPr>
          <w:szCs w:val="22"/>
        </w:rPr>
        <w:t>,</w:t>
      </w:r>
      <w:r w:rsidRPr="003528AE">
        <w:rPr>
          <w:szCs w:val="22"/>
        </w:rPr>
        <w:t xml:space="preserve"> and 9 showing graphs of the steady rise of inflation adjust</w:t>
      </w:r>
      <w:r>
        <w:rPr>
          <w:szCs w:val="22"/>
        </w:rPr>
        <w:t>ed</w:t>
      </w:r>
      <w:r w:rsidRPr="003528AE">
        <w:rPr>
          <w:szCs w:val="22"/>
        </w:rPr>
        <w:t xml:space="preserve"> electric plant investment, the decline in use-per-customer since </w:t>
      </w:r>
      <w:r>
        <w:rPr>
          <w:szCs w:val="22"/>
        </w:rPr>
        <w:t>the late 1970’s</w:t>
      </w:r>
      <w:r w:rsidRPr="003528AE">
        <w:rPr>
          <w:szCs w:val="22"/>
        </w:rPr>
        <w:t xml:space="preserve">, and the increase in retail rates that also began in the late </w:t>
      </w:r>
      <w:r>
        <w:rPr>
          <w:szCs w:val="22"/>
        </w:rPr>
        <w:t>1970’s</w:t>
      </w:r>
      <w:r w:rsidRPr="003528AE">
        <w:rPr>
          <w:szCs w:val="22"/>
        </w:rPr>
        <w:t>.</w:t>
      </w:r>
    </w:p>
  </w:footnote>
  <w:footnote w:id="89">
    <w:p w14:paraId="23EEF7BD" w14:textId="77777777" w:rsidR="00493377" w:rsidRPr="009A3E87" w:rsidRDefault="00493377" w:rsidP="00692867">
      <w:pPr>
        <w:pStyle w:val="FootnoteText"/>
        <w:spacing w:after="120"/>
      </w:pPr>
      <w:r w:rsidRPr="009A3E87">
        <w:rPr>
          <w:rStyle w:val="FootnoteReference"/>
        </w:rPr>
        <w:footnoteRef/>
      </w:r>
      <w:r w:rsidRPr="009A3E87">
        <w:t xml:space="preserve"> </w:t>
      </w:r>
      <w:r w:rsidRPr="009A3E87">
        <w:rPr>
          <w:i/>
        </w:rPr>
        <w:t>Id.</w:t>
      </w:r>
      <w:r w:rsidRPr="009A3E87">
        <w:t xml:space="preserve"> at 10:14-17.</w:t>
      </w:r>
    </w:p>
  </w:footnote>
  <w:footnote w:id="90">
    <w:p w14:paraId="44AD024B" w14:textId="02B45F15" w:rsidR="00493377" w:rsidRDefault="00493377" w:rsidP="00C429C0">
      <w:pPr>
        <w:pStyle w:val="FootnoteText"/>
        <w:spacing w:after="120"/>
      </w:pPr>
      <w:r>
        <w:rPr>
          <w:rStyle w:val="FootnoteReference"/>
        </w:rPr>
        <w:footnoteRef/>
      </w:r>
      <w:r>
        <w:t xml:space="preserve"> Forsyth, Exh. No. GDF-1T; Andrews, Exh. No. EMA-1T.</w:t>
      </w:r>
    </w:p>
  </w:footnote>
  <w:footnote w:id="91">
    <w:p w14:paraId="46620F99" w14:textId="22A31A91" w:rsidR="00493377" w:rsidRPr="003528AE" w:rsidRDefault="00493377" w:rsidP="0078595C">
      <w:pPr>
        <w:pStyle w:val="FootnoteText"/>
        <w:spacing w:after="120"/>
        <w:rPr>
          <w:szCs w:val="22"/>
        </w:rPr>
      </w:pPr>
      <w:r w:rsidRPr="003528AE">
        <w:rPr>
          <w:rStyle w:val="FootnoteReference"/>
          <w:szCs w:val="22"/>
        </w:rPr>
        <w:footnoteRef/>
      </w:r>
      <w:r w:rsidRPr="003528AE">
        <w:rPr>
          <w:szCs w:val="22"/>
        </w:rPr>
        <w:t xml:space="preserve"> Smith, Exh. No. JSS-1T</w:t>
      </w:r>
      <w:r>
        <w:rPr>
          <w:szCs w:val="22"/>
        </w:rPr>
        <w:t>;</w:t>
      </w:r>
      <w:r w:rsidRPr="003528AE">
        <w:rPr>
          <w:szCs w:val="22"/>
        </w:rPr>
        <w:t xml:space="preserve"> Schuh, Exh. No KKS-1T.</w:t>
      </w:r>
    </w:p>
  </w:footnote>
  <w:footnote w:id="92">
    <w:p w14:paraId="0B32D589" w14:textId="66CF48FF" w:rsidR="00493377" w:rsidRDefault="00493377" w:rsidP="00C429C0">
      <w:pPr>
        <w:pStyle w:val="FootnoteText"/>
        <w:spacing w:after="120"/>
      </w:pPr>
      <w:r>
        <w:rPr>
          <w:rStyle w:val="FootnoteReference"/>
        </w:rPr>
        <w:footnoteRef/>
      </w:r>
      <w:r>
        <w:t xml:space="preserve"> Norwood, Exh. No. KON-1T at 16:11-20.</w:t>
      </w:r>
    </w:p>
  </w:footnote>
  <w:footnote w:id="93">
    <w:p w14:paraId="0DBFC013" w14:textId="7A507C60" w:rsidR="00493377" w:rsidRDefault="00493377" w:rsidP="0078595C">
      <w:pPr>
        <w:pStyle w:val="FootnoteText"/>
        <w:spacing w:after="120"/>
      </w:pPr>
      <w:r>
        <w:rPr>
          <w:rStyle w:val="FootnoteReference"/>
        </w:rPr>
        <w:footnoteRef/>
      </w:r>
      <w:r>
        <w:t xml:space="preserve"> </w:t>
      </w:r>
      <w:r>
        <w:rPr>
          <w:i/>
        </w:rPr>
        <w:t>Id.</w:t>
      </w:r>
      <w:r>
        <w:t xml:space="preserve"> at 15:18-22.</w:t>
      </w:r>
    </w:p>
  </w:footnote>
  <w:footnote w:id="94">
    <w:p w14:paraId="10385705" w14:textId="77777777" w:rsidR="00493377" w:rsidRPr="005237E9" w:rsidRDefault="00493377" w:rsidP="0078595C">
      <w:pPr>
        <w:pStyle w:val="FootnoteText"/>
        <w:spacing w:after="120"/>
        <w:rPr>
          <w:i/>
        </w:rPr>
      </w:pPr>
      <w:r>
        <w:rPr>
          <w:rStyle w:val="FootnoteReference"/>
        </w:rPr>
        <w:footnoteRef/>
      </w:r>
      <w:r>
        <w:t xml:space="preserve"> </w:t>
      </w:r>
      <w:r>
        <w:rPr>
          <w:i/>
        </w:rPr>
        <w:t>Id.</w:t>
      </w:r>
    </w:p>
  </w:footnote>
  <w:footnote w:id="95">
    <w:p w14:paraId="5C6F248B" w14:textId="09B523AD" w:rsidR="00493377" w:rsidRPr="004766A3" w:rsidRDefault="00493377" w:rsidP="0078595C">
      <w:pPr>
        <w:pStyle w:val="FootnoteText"/>
        <w:spacing w:after="120"/>
        <w:rPr>
          <w:szCs w:val="22"/>
        </w:rPr>
      </w:pPr>
      <w:r w:rsidRPr="004766A3">
        <w:rPr>
          <w:rStyle w:val="FootnoteReference"/>
          <w:szCs w:val="22"/>
        </w:rPr>
        <w:footnoteRef/>
      </w:r>
      <w:r w:rsidRPr="004766A3">
        <w:rPr>
          <w:szCs w:val="22"/>
        </w:rPr>
        <w:t xml:space="preserve"> </w:t>
      </w:r>
      <w:r>
        <w:rPr>
          <w:szCs w:val="22"/>
        </w:rPr>
        <w:t>Andrews, Exh. No. EMA-1T at 13:12-14:1.</w:t>
      </w:r>
    </w:p>
  </w:footnote>
  <w:footnote w:id="96">
    <w:p w14:paraId="105DCAD5" w14:textId="3AB38331" w:rsidR="00493377" w:rsidRDefault="00493377" w:rsidP="0078595C">
      <w:pPr>
        <w:pStyle w:val="FootnoteText"/>
        <w:spacing w:after="120"/>
      </w:pPr>
      <w:r>
        <w:rPr>
          <w:rStyle w:val="FootnoteReference"/>
        </w:rPr>
        <w:footnoteRef/>
      </w:r>
      <w:r>
        <w:t xml:space="preserve"> </w:t>
      </w:r>
      <w:r w:rsidRPr="00BE0227">
        <w:t xml:space="preserve">However, on rebuttal Avista abandons the use of the CGF and adopts Staff’s recommendation to use a least-squares linear regression for calculating growth trends.  </w:t>
      </w:r>
    </w:p>
  </w:footnote>
  <w:footnote w:id="97">
    <w:p w14:paraId="793B03D9" w14:textId="77777777" w:rsidR="00493377" w:rsidRPr="003528AE" w:rsidRDefault="00493377" w:rsidP="0078595C">
      <w:pPr>
        <w:pStyle w:val="FootnoteText"/>
        <w:spacing w:after="120"/>
        <w:rPr>
          <w:szCs w:val="22"/>
        </w:rPr>
      </w:pPr>
      <w:r w:rsidRPr="003528AE">
        <w:rPr>
          <w:rStyle w:val="FootnoteReference"/>
          <w:szCs w:val="22"/>
        </w:rPr>
        <w:footnoteRef/>
      </w:r>
      <w:r w:rsidRPr="003528AE">
        <w:rPr>
          <w:szCs w:val="22"/>
        </w:rPr>
        <w:t xml:space="preserve"> Forsyth, Exh. No. GDF-1T at 4:15-5:15.</w:t>
      </w:r>
    </w:p>
  </w:footnote>
  <w:footnote w:id="98">
    <w:p w14:paraId="680F9E0E" w14:textId="3B995800" w:rsidR="00493377" w:rsidRPr="003528AE" w:rsidRDefault="00493377" w:rsidP="0078595C">
      <w:pPr>
        <w:pStyle w:val="FootnoteText"/>
        <w:spacing w:after="120"/>
        <w:rPr>
          <w:szCs w:val="22"/>
        </w:rPr>
      </w:pPr>
      <w:r w:rsidRPr="003528AE">
        <w:rPr>
          <w:rStyle w:val="FootnoteReference"/>
          <w:szCs w:val="22"/>
        </w:rPr>
        <w:footnoteRef/>
      </w:r>
      <w:r w:rsidRPr="003528AE">
        <w:rPr>
          <w:szCs w:val="22"/>
        </w:rPr>
        <w:t xml:space="preserve"> </w:t>
      </w:r>
      <w:r w:rsidRPr="003528AE">
        <w:rPr>
          <w:i/>
          <w:szCs w:val="22"/>
        </w:rPr>
        <w:t>Id.</w:t>
      </w:r>
      <w:r w:rsidRPr="003528AE">
        <w:rPr>
          <w:szCs w:val="22"/>
        </w:rPr>
        <w:t xml:space="preserve"> at 4:15-5:19.</w:t>
      </w:r>
      <w:r w:rsidRPr="00BE0227">
        <w:t xml:space="preserve"> </w:t>
      </w:r>
      <w:r w:rsidRPr="00BE0227">
        <w:rPr>
          <w:szCs w:val="22"/>
        </w:rPr>
        <w:t xml:space="preserve">On rebuttal, Avista holds to the use of this </w:t>
      </w:r>
      <w:r>
        <w:rPr>
          <w:szCs w:val="22"/>
        </w:rPr>
        <w:t xml:space="preserve">historical </w:t>
      </w:r>
      <w:r w:rsidRPr="00BE0227">
        <w:rPr>
          <w:szCs w:val="22"/>
        </w:rPr>
        <w:t>time period</w:t>
      </w:r>
      <w:r w:rsidRPr="004766A3">
        <w:rPr>
          <w:szCs w:val="22"/>
        </w:rPr>
        <w:t xml:space="preserve"> for purposes of trending rate base and expenses forward to 2016. </w:t>
      </w:r>
      <w:r>
        <w:rPr>
          <w:szCs w:val="22"/>
        </w:rPr>
        <w:t xml:space="preserve">By the close of the case, </w:t>
      </w:r>
      <w:r w:rsidRPr="004766A3">
        <w:rPr>
          <w:szCs w:val="22"/>
        </w:rPr>
        <w:t xml:space="preserve">both Avista and Staff use historic data </w:t>
      </w:r>
      <w:r>
        <w:rPr>
          <w:szCs w:val="22"/>
        </w:rPr>
        <w:t>i</w:t>
      </w:r>
      <w:r w:rsidRPr="004766A3">
        <w:rPr>
          <w:szCs w:val="22"/>
        </w:rPr>
        <w:t>n thei</w:t>
      </w:r>
      <w:r>
        <w:rPr>
          <w:szCs w:val="22"/>
        </w:rPr>
        <w:t xml:space="preserve">r respective attrition analyses </w:t>
      </w:r>
      <w:r w:rsidRPr="004766A3">
        <w:rPr>
          <w:szCs w:val="22"/>
        </w:rPr>
        <w:t xml:space="preserve">from normalized CBRs to develop trends, or escalation factors, that are applied to restated test year amounts to escalate expenses and rate base to the 2016 rate year. </w:t>
      </w:r>
      <w:r>
        <w:rPr>
          <w:szCs w:val="22"/>
        </w:rPr>
        <w:t xml:space="preserve">Avista and Staff use the 2014 CBR ending December 31, 2014, to restate the test year that otherwise ends September 30, 2014, essentially using the 2014 CBR as a basis for escalating costs to 2016 levels.  </w:t>
      </w:r>
      <w:r w:rsidRPr="004766A3">
        <w:rPr>
          <w:szCs w:val="22"/>
        </w:rPr>
        <w:t xml:space="preserve">Avista and Staff also use load forecasts to derive retail revenue levels for 2016.  </w:t>
      </w:r>
    </w:p>
  </w:footnote>
  <w:footnote w:id="99">
    <w:p w14:paraId="3A2F739A" w14:textId="77777777" w:rsidR="00493377" w:rsidRPr="003528AE" w:rsidRDefault="00493377" w:rsidP="0078595C">
      <w:pPr>
        <w:pStyle w:val="FootnoteText"/>
        <w:spacing w:after="120"/>
        <w:rPr>
          <w:szCs w:val="22"/>
        </w:rPr>
      </w:pPr>
      <w:r w:rsidRPr="003528AE">
        <w:rPr>
          <w:rStyle w:val="FootnoteReference"/>
          <w:szCs w:val="22"/>
        </w:rPr>
        <w:footnoteRef/>
      </w:r>
      <w:r w:rsidRPr="003528AE">
        <w:rPr>
          <w:szCs w:val="22"/>
        </w:rPr>
        <w:t xml:space="preserve"> Andrews, Exh. No. EMA-1T at 29:1-32:5.</w:t>
      </w:r>
    </w:p>
  </w:footnote>
  <w:footnote w:id="100">
    <w:p w14:paraId="58A27D25" w14:textId="1D692F4A" w:rsidR="00493377" w:rsidRPr="003528AE" w:rsidRDefault="00493377" w:rsidP="00143DF4">
      <w:pPr>
        <w:pStyle w:val="FootnoteText"/>
        <w:spacing w:after="120"/>
        <w:rPr>
          <w:szCs w:val="22"/>
        </w:rPr>
      </w:pPr>
      <w:r w:rsidRPr="003528AE">
        <w:rPr>
          <w:rStyle w:val="FootnoteReference"/>
          <w:szCs w:val="22"/>
        </w:rPr>
        <w:footnoteRef/>
      </w:r>
      <w:r w:rsidRPr="003528AE">
        <w:rPr>
          <w:szCs w:val="22"/>
        </w:rPr>
        <w:t xml:space="preserve"> </w:t>
      </w:r>
      <w:r w:rsidRPr="003528AE">
        <w:rPr>
          <w:i/>
          <w:szCs w:val="22"/>
        </w:rPr>
        <w:t>Id.</w:t>
      </w:r>
      <w:r w:rsidRPr="003528AE">
        <w:rPr>
          <w:szCs w:val="22"/>
        </w:rPr>
        <w:t xml:space="preserve"> at 32:16-17</w:t>
      </w:r>
      <w:r>
        <w:rPr>
          <w:szCs w:val="22"/>
        </w:rPr>
        <w:t>;</w:t>
      </w:r>
      <w:r w:rsidRPr="003528AE">
        <w:rPr>
          <w:szCs w:val="22"/>
        </w:rPr>
        <w:t xml:space="preserve"> 33:15-16.</w:t>
      </w:r>
    </w:p>
  </w:footnote>
  <w:footnote w:id="101">
    <w:p w14:paraId="3D72E432" w14:textId="77777777" w:rsidR="00493377" w:rsidRDefault="00493377" w:rsidP="0078595C">
      <w:pPr>
        <w:pStyle w:val="FootnoteText"/>
        <w:spacing w:after="120"/>
      </w:pPr>
      <w:r>
        <w:rPr>
          <w:rStyle w:val="FootnoteReference"/>
        </w:rPr>
        <w:footnoteRef/>
      </w:r>
      <w:r>
        <w:t xml:space="preserve"> McGuire, Exh. No. CRM-1T at 20:11-16.</w:t>
      </w:r>
    </w:p>
  </w:footnote>
  <w:footnote w:id="102">
    <w:p w14:paraId="1C9BA7F3" w14:textId="0F2200F1" w:rsidR="00493377" w:rsidRDefault="00493377" w:rsidP="0078595C">
      <w:pPr>
        <w:pStyle w:val="FootnoteText"/>
        <w:spacing w:after="120"/>
      </w:pPr>
      <w:r>
        <w:rPr>
          <w:rStyle w:val="FootnoteReference"/>
        </w:rPr>
        <w:footnoteRef/>
      </w:r>
      <w:r>
        <w:t xml:space="preserve"> </w:t>
      </w:r>
      <w:r w:rsidRPr="001C61D4">
        <w:rPr>
          <w:i/>
          <w:szCs w:val="22"/>
        </w:rPr>
        <w:t>Id</w:t>
      </w:r>
      <w:r>
        <w:rPr>
          <w:szCs w:val="22"/>
        </w:rPr>
        <w:t>. at 5:13-20; 29:9-33:15.</w:t>
      </w:r>
    </w:p>
  </w:footnote>
  <w:footnote w:id="103">
    <w:p w14:paraId="2420F301" w14:textId="7CC06256" w:rsidR="00493377" w:rsidRPr="003528AE" w:rsidRDefault="00493377" w:rsidP="0078595C">
      <w:pPr>
        <w:pStyle w:val="FootnoteText"/>
        <w:spacing w:after="120"/>
        <w:rPr>
          <w:szCs w:val="22"/>
        </w:rPr>
      </w:pPr>
      <w:r w:rsidRPr="003528AE">
        <w:rPr>
          <w:rStyle w:val="FootnoteReference"/>
          <w:szCs w:val="22"/>
        </w:rPr>
        <w:footnoteRef/>
      </w:r>
      <w:r w:rsidRPr="003528AE">
        <w:rPr>
          <w:szCs w:val="22"/>
        </w:rPr>
        <w:t xml:space="preserve"> </w:t>
      </w:r>
      <w:r>
        <w:rPr>
          <w:i/>
          <w:szCs w:val="22"/>
        </w:rPr>
        <w:t>Id.</w:t>
      </w:r>
      <w:r w:rsidRPr="003528AE">
        <w:rPr>
          <w:szCs w:val="22"/>
        </w:rPr>
        <w:t xml:space="preserve"> at 45:6-19 (</w:t>
      </w:r>
      <w:r w:rsidRPr="00C429C0">
        <w:rPr>
          <w:rFonts w:eastAsia="Calibri"/>
          <w:szCs w:val="22"/>
        </w:rPr>
        <w:t xml:space="preserve">emphasis </w:t>
      </w:r>
      <w:r>
        <w:rPr>
          <w:rFonts w:eastAsia="Calibri"/>
          <w:szCs w:val="22"/>
        </w:rPr>
        <w:t xml:space="preserve">and underlining </w:t>
      </w:r>
      <w:r w:rsidRPr="00C429C0">
        <w:rPr>
          <w:rFonts w:eastAsia="Calibri"/>
          <w:szCs w:val="22"/>
        </w:rPr>
        <w:t>in original)</w:t>
      </w:r>
      <w:r w:rsidRPr="003528AE">
        <w:rPr>
          <w:szCs w:val="22"/>
        </w:rPr>
        <w:t>.</w:t>
      </w:r>
    </w:p>
  </w:footnote>
  <w:footnote w:id="104">
    <w:p w14:paraId="269356D8" w14:textId="77777777" w:rsidR="00493377" w:rsidRDefault="00493377" w:rsidP="0078595C">
      <w:pPr>
        <w:pStyle w:val="FootnoteText"/>
        <w:spacing w:after="120"/>
      </w:pPr>
      <w:r>
        <w:rPr>
          <w:rStyle w:val="FootnoteReference"/>
        </w:rPr>
        <w:footnoteRef/>
      </w:r>
      <w:r>
        <w:t xml:space="preserve"> </w:t>
      </w:r>
      <w:r w:rsidRPr="00651FBC">
        <w:t xml:space="preserve">McGuire, Exh. No. CRM-1T at </w:t>
      </w:r>
      <w:r>
        <w:t>37:19-38:2.</w:t>
      </w:r>
    </w:p>
  </w:footnote>
  <w:footnote w:id="105">
    <w:p w14:paraId="7D776E84" w14:textId="77777777" w:rsidR="00493377" w:rsidRDefault="00493377" w:rsidP="0078595C">
      <w:pPr>
        <w:pStyle w:val="FootnoteText"/>
        <w:spacing w:after="120"/>
      </w:pPr>
      <w:r>
        <w:rPr>
          <w:rStyle w:val="FootnoteReference"/>
        </w:rPr>
        <w:footnoteRef/>
      </w:r>
      <w:r>
        <w:t xml:space="preserve"> McGuire, TR 462:10-463:18; 481:9-15.</w:t>
      </w:r>
    </w:p>
  </w:footnote>
  <w:footnote w:id="106">
    <w:p w14:paraId="69D7AAD2" w14:textId="77777777" w:rsidR="00493377" w:rsidRDefault="00493377" w:rsidP="0078595C">
      <w:pPr>
        <w:pStyle w:val="FootnoteText"/>
        <w:spacing w:after="120"/>
      </w:pPr>
      <w:r>
        <w:rPr>
          <w:rStyle w:val="FootnoteReference"/>
        </w:rPr>
        <w:footnoteRef/>
      </w:r>
      <w:r>
        <w:t xml:space="preserve"> </w:t>
      </w:r>
      <w:r w:rsidRPr="008D3D4F">
        <w:t xml:space="preserve">McGuire, Exh. No. CRM-1T at </w:t>
      </w:r>
      <w:r>
        <w:t>48:13-18.</w:t>
      </w:r>
    </w:p>
  </w:footnote>
  <w:footnote w:id="107">
    <w:p w14:paraId="478AF122" w14:textId="31CDEBEA" w:rsidR="00493377" w:rsidRDefault="00493377" w:rsidP="0078595C">
      <w:pPr>
        <w:pStyle w:val="FootnoteText"/>
        <w:spacing w:after="120"/>
      </w:pPr>
      <w:r>
        <w:rPr>
          <w:rStyle w:val="FootnoteReference"/>
        </w:rPr>
        <w:footnoteRef/>
      </w:r>
      <w:r>
        <w:t xml:space="preserve"> </w:t>
      </w:r>
      <w:r>
        <w:rPr>
          <w:i/>
        </w:rPr>
        <w:t>Id.</w:t>
      </w:r>
      <w:r w:rsidRPr="00053A16">
        <w:t xml:space="preserve"> at </w:t>
      </w:r>
      <w:r>
        <w:t>50:6-9.</w:t>
      </w:r>
    </w:p>
  </w:footnote>
  <w:footnote w:id="108">
    <w:p w14:paraId="38517E38" w14:textId="4C866854" w:rsidR="00493377" w:rsidRDefault="00493377" w:rsidP="0078595C">
      <w:pPr>
        <w:pStyle w:val="FootnoteText"/>
        <w:spacing w:after="120"/>
      </w:pPr>
      <w:r>
        <w:rPr>
          <w:rStyle w:val="FootnoteReference"/>
        </w:rPr>
        <w:footnoteRef/>
      </w:r>
      <w:r>
        <w:t xml:space="preserve"> </w:t>
      </w:r>
      <w:r>
        <w:rPr>
          <w:i/>
        </w:rPr>
        <w:t>Id.</w:t>
      </w:r>
      <w:r w:rsidRPr="00053A16">
        <w:t xml:space="preserve"> at </w:t>
      </w:r>
      <w:r>
        <w:t>49:19-50:9; 51:3-4.</w:t>
      </w:r>
    </w:p>
  </w:footnote>
  <w:footnote w:id="109">
    <w:p w14:paraId="2963EE28" w14:textId="4CC5D745" w:rsidR="00493377" w:rsidRPr="003528AE" w:rsidRDefault="00493377" w:rsidP="0078595C">
      <w:pPr>
        <w:pStyle w:val="FootnoteText"/>
        <w:spacing w:after="120"/>
        <w:rPr>
          <w:szCs w:val="22"/>
        </w:rPr>
      </w:pPr>
      <w:r w:rsidRPr="003528AE">
        <w:rPr>
          <w:rStyle w:val="FootnoteReference"/>
          <w:szCs w:val="22"/>
        </w:rPr>
        <w:footnoteRef/>
      </w:r>
      <w:r w:rsidRPr="003528AE">
        <w:rPr>
          <w:szCs w:val="22"/>
        </w:rPr>
        <w:t xml:space="preserve"> </w:t>
      </w:r>
      <w:r w:rsidRPr="003528AE">
        <w:rPr>
          <w:i/>
          <w:szCs w:val="22"/>
        </w:rPr>
        <w:t>Id.</w:t>
      </w:r>
      <w:r w:rsidRPr="003528AE">
        <w:rPr>
          <w:szCs w:val="22"/>
        </w:rPr>
        <w:t xml:space="preserve"> at </w:t>
      </w:r>
      <w:r>
        <w:rPr>
          <w:szCs w:val="22"/>
        </w:rPr>
        <w:t>39:9-14</w:t>
      </w:r>
      <w:r w:rsidRPr="003528AE">
        <w:rPr>
          <w:szCs w:val="22"/>
        </w:rPr>
        <w:t>.</w:t>
      </w:r>
    </w:p>
  </w:footnote>
  <w:footnote w:id="110">
    <w:p w14:paraId="79B436C4" w14:textId="77777777" w:rsidR="00493377" w:rsidRPr="003528AE" w:rsidRDefault="00493377" w:rsidP="0078595C">
      <w:pPr>
        <w:pStyle w:val="FootnoteText"/>
        <w:spacing w:after="120"/>
        <w:rPr>
          <w:szCs w:val="22"/>
        </w:rPr>
      </w:pPr>
      <w:r w:rsidRPr="003528AE">
        <w:rPr>
          <w:rStyle w:val="FootnoteReference"/>
          <w:szCs w:val="22"/>
        </w:rPr>
        <w:footnoteRef/>
      </w:r>
      <w:r w:rsidRPr="003528AE">
        <w:rPr>
          <w:szCs w:val="22"/>
        </w:rPr>
        <w:t xml:space="preserve"> </w:t>
      </w:r>
      <w:r w:rsidRPr="003528AE">
        <w:rPr>
          <w:i/>
          <w:szCs w:val="22"/>
        </w:rPr>
        <w:t xml:space="preserve">Id. </w:t>
      </w:r>
      <w:r w:rsidRPr="003528AE">
        <w:rPr>
          <w:szCs w:val="22"/>
        </w:rPr>
        <w:t>at 39:9-14.</w:t>
      </w:r>
    </w:p>
  </w:footnote>
  <w:footnote w:id="111">
    <w:p w14:paraId="11A5ECED" w14:textId="77777777" w:rsidR="00493377" w:rsidRPr="003528AE" w:rsidRDefault="00493377" w:rsidP="0078595C">
      <w:pPr>
        <w:pStyle w:val="FootnoteText"/>
        <w:spacing w:after="120"/>
        <w:rPr>
          <w:szCs w:val="22"/>
        </w:rPr>
      </w:pPr>
      <w:r w:rsidRPr="003528AE">
        <w:rPr>
          <w:rStyle w:val="FootnoteReference"/>
          <w:szCs w:val="22"/>
        </w:rPr>
        <w:footnoteRef/>
      </w:r>
      <w:r w:rsidRPr="003528AE">
        <w:rPr>
          <w:szCs w:val="22"/>
        </w:rPr>
        <w:t xml:space="preserve"> </w:t>
      </w:r>
      <w:r w:rsidRPr="003528AE">
        <w:rPr>
          <w:i/>
          <w:szCs w:val="22"/>
        </w:rPr>
        <w:t>Id.</w:t>
      </w:r>
      <w:r w:rsidRPr="003528AE">
        <w:rPr>
          <w:szCs w:val="22"/>
        </w:rPr>
        <w:t xml:space="preserve"> at 40:8-17. Arithmetic average is the equal weighting of each term that is being averaged.</w:t>
      </w:r>
    </w:p>
  </w:footnote>
  <w:footnote w:id="112">
    <w:p w14:paraId="49785926" w14:textId="77777777" w:rsidR="00493377" w:rsidRPr="003528AE" w:rsidRDefault="00493377" w:rsidP="00143DF4">
      <w:pPr>
        <w:pStyle w:val="FootnoteText"/>
        <w:spacing w:after="120"/>
        <w:rPr>
          <w:szCs w:val="22"/>
        </w:rPr>
      </w:pPr>
      <w:r w:rsidRPr="003528AE">
        <w:rPr>
          <w:rStyle w:val="FootnoteReference"/>
          <w:szCs w:val="22"/>
        </w:rPr>
        <w:footnoteRef/>
      </w:r>
      <w:r w:rsidRPr="003528AE">
        <w:rPr>
          <w:szCs w:val="22"/>
        </w:rPr>
        <w:t xml:space="preserve"> </w:t>
      </w:r>
      <w:r w:rsidRPr="003528AE">
        <w:rPr>
          <w:i/>
          <w:szCs w:val="22"/>
        </w:rPr>
        <w:t>Id.</w:t>
      </w:r>
      <w:r w:rsidRPr="003528AE">
        <w:rPr>
          <w:szCs w:val="22"/>
        </w:rPr>
        <w:t xml:space="preserve"> at 40:3-5.</w:t>
      </w:r>
    </w:p>
  </w:footnote>
  <w:footnote w:id="113">
    <w:p w14:paraId="2900E9DD" w14:textId="14236ADC" w:rsidR="00493377" w:rsidRPr="003528AE" w:rsidRDefault="00493377" w:rsidP="00143DF4">
      <w:pPr>
        <w:pStyle w:val="FootnoteText"/>
        <w:spacing w:after="120"/>
        <w:rPr>
          <w:szCs w:val="22"/>
        </w:rPr>
      </w:pPr>
      <w:r w:rsidRPr="003528AE">
        <w:rPr>
          <w:rStyle w:val="FootnoteReference"/>
          <w:szCs w:val="22"/>
        </w:rPr>
        <w:footnoteRef/>
      </w:r>
      <w:r w:rsidRPr="003528AE">
        <w:rPr>
          <w:szCs w:val="22"/>
        </w:rPr>
        <w:t xml:space="preserve"> </w:t>
      </w:r>
      <w:r w:rsidRPr="007D1A8F">
        <w:rPr>
          <w:i/>
          <w:szCs w:val="22"/>
        </w:rPr>
        <w:t>Id</w:t>
      </w:r>
      <w:r>
        <w:rPr>
          <w:szCs w:val="22"/>
        </w:rPr>
        <w:t>. at 40:12-17.</w:t>
      </w:r>
      <w:r w:rsidRPr="003528AE">
        <w:rPr>
          <w:szCs w:val="22"/>
        </w:rPr>
        <w:t xml:space="preserve"> </w:t>
      </w:r>
    </w:p>
  </w:footnote>
  <w:footnote w:id="114">
    <w:p w14:paraId="23187BB5" w14:textId="6AC4F31E" w:rsidR="00493377" w:rsidRDefault="00493377" w:rsidP="001A3202">
      <w:pPr>
        <w:pStyle w:val="FootnoteText"/>
        <w:spacing w:after="120"/>
      </w:pPr>
      <w:r>
        <w:rPr>
          <w:rStyle w:val="FootnoteReference"/>
        </w:rPr>
        <w:footnoteRef/>
      </w:r>
      <w:r>
        <w:t xml:space="preserve"> </w:t>
      </w:r>
      <w:r>
        <w:rPr>
          <w:i/>
        </w:rPr>
        <w:t>Id.</w:t>
      </w:r>
      <w:r>
        <w:t xml:space="preserve"> at 8:16-17; 43:14-17.</w:t>
      </w:r>
    </w:p>
  </w:footnote>
  <w:footnote w:id="115">
    <w:p w14:paraId="56623D38" w14:textId="2DC737AA" w:rsidR="00493377" w:rsidRPr="009A3E87" w:rsidRDefault="00493377" w:rsidP="00B8710A">
      <w:pPr>
        <w:pStyle w:val="FootnoteText"/>
        <w:spacing w:after="120"/>
      </w:pPr>
      <w:r w:rsidRPr="009A3E87">
        <w:rPr>
          <w:rStyle w:val="FootnoteReference"/>
        </w:rPr>
        <w:footnoteRef/>
      </w:r>
      <w:r w:rsidRPr="009A3E87">
        <w:t xml:space="preserve"> </w:t>
      </w:r>
      <w:r w:rsidRPr="007D1A8F">
        <w:rPr>
          <w:i/>
        </w:rPr>
        <w:t>Id</w:t>
      </w:r>
      <w:r>
        <w:t>.</w:t>
      </w:r>
      <w:r w:rsidRPr="009A3E87">
        <w:t xml:space="preserve"> at 20:14-15.</w:t>
      </w:r>
      <w:r>
        <w:t xml:space="preserve"> (Emphasis removed).</w:t>
      </w:r>
    </w:p>
  </w:footnote>
  <w:footnote w:id="116">
    <w:p w14:paraId="11D35E7F" w14:textId="0FD741A6" w:rsidR="00493377" w:rsidRPr="009A3E87" w:rsidRDefault="00493377" w:rsidP="00B8710A">
      <w:pPr>
        <w:pStyle w:val="FootnoteText"/>
        <w:spacing w:after="120"/>
      </w:pPr>
      <w:r w:rsidRPr="009A3E87">
        <w:rPr>
          <w:rStyle w:val="FootnoteReference"/>
        </w:rPr>
        <w:footnoteRef/>
      </w:r>
      <w:r w:rsidRPr="009A3E87">
        <w:t xml:space="preserve"> </w:t>
      </w:r>
      <w:r w:rsidRPr="00704590">
        <w:rPr>
          <w:i/>
        </w:rPr>
        <w:t>Id</w:t>
      </w:r>
      <w:r>
        <w:t>.</w:t>
      </w:r>
      <w:r w:rsidRPr="009A3E87">
        <w:rPr>
          <w:i/>
        </w:rPr>
        <w:t xml:space="preserve"> </w:t>
      </w:r>
      <w:r w:rsidRPr="009A3E87">
        <w:t>at 23:4-11.</w:t>
      </w:r>
    </w:p>
  </w:footnote>
  <w:footnote w:id="117">
    <w:p w14:paraId="74DCD6BF" w14:textId="77777777" w:rsidR="00493377" w:rsidRPr="009A3E87" w:rsidRDefault="00493377" w:rsidP="00B8710A">
      <w:pPr>
        <w:pStyle w:val="FootnoteText"/>
        <w:spacing w:after="120"/>
      </w:pPr>
      <w:r w:rsidRPr="009A3E87">
        <w:rPr>
          <w:rStyle w:val="FootnoteReference"/>
        </w:rPr>
        <w:footnoteRef/>
      </w:r>
      <w:r w:rsidRPr="009A3E87">
        <w:t xml:space="preserve"> </w:t>
      </w:r>
      <w:r w:rsidRPr="00704590">
        <w:rPr>
          <w:i/>
        </w:rPr>
        <w:t>Id</w:t>
      </w:r>
      <w:r>
        <w:t>.</w:t>
      </w:r>
      <w:r w:rsidRPr="009A3E87">
        <w:rPr>
          <w:i/>
        </w:rPr>
        <w:t xml:space="preserve"> </w:t>
      </w:r>
      <w:r w:rsidRPr="009A3E87">
        <w:t>at 20:16-2</w:t>
      </w:r>
      <w:r>
        <w:t>0. See also Cebulko, Exh. BTC-1T at 6:10-18.</w:t>
      </w:r>
    </w:p>
  </w:footnote>
  <w:footnote w:id="118">
    <w:p w14:paraId="57274875" w14:textId="77777777" w:rsidR="00493377" w:rsidRPr="009A3E87" w:rsidRDefault="00493377" w:rsidP="00B8710A">
      <w:pPr>
        <w:pStyle w:val="FootnoteText"/>
        <w:spacing w:after="120"/>
      </w:pPr>
      <w:r w:rsidRPr="009A3E87">
        <w:rPr>
          <w:rStyle w:val="FootnoteReference"/>
        </w:rPr>
        <w:footnoteRef/>
      </w:r>
      <w:r w:rsidRPr="009A3E87">
        <w:t xml:space="preserve"> Gomez, Exh. No. DCG-1TC at 61:2-4.  RCW 80.28.010(2) states that a utility “shall furnish and supply such service, instrumentalities and facilities as shall be safe, adequate and efficient, and in all respects just and reasonable.”</w:t>
      </w:r>
    </w:p>
  </w:footnote>
  <w:footnote w:id="119">
    <w:p w14:paraId="1913A013" w14:textId="1C9060E1" w:rsidR="00493377" w:rsidRPr="009A3E87" w:rsidRDefault="00493377" w:rsidP="00B8710A">
      <w:pPr>
        <w:pStyle w:val="FootnoteText"/>
        <w:spacing w:after="120"/>
      </w:pPr>
      <w:r w:rsidRPr="009A3E87">
        <w:rPr>
          <w:rStyle w:val="FootnoteReference"/>
        </w:rPr>
        <w:footnoteRef/>
      </w:r>
      <w:r w:rsidRPr="009A3E87">
        <w:t xml:space="preserve"> </w:t>
      </w:r>
      <w:r w:rsidRPr="00704590">
        <w:rPr>
          <w:i/>
        </w:rPr>
        <w:t>Id</w:t>
      </w:r>
      <w:r>
        <w:t>.</w:t>
      </w:r>
      <w:r w:rsidRPr="009A3E87">
        <w:t xml:space="preserve"> at 62:10</w:t>
      </w:r>
      <w:r>
        <w:t>-</w:t>
      </w:r>
      <w:r w:rsidRPr="009A3E87">
        <w:t>63:18.</w:t>
      </w:r>
    </w:p>
  </w:footnote>
  <w:footnote w:id="120">
    <w:p w14:paraId="7A9E8A1E" w14:textId="77777777" w:rsidR="00493377" w:rsidRPr="009A3E87" w:rsidRDefault="00493377" w:rsidP="00B8710A">
      <w:pPr>
        <w:pStyle w:val="FootnoteText"/>
        <w:spacing w:after="120"/>
      </w:pPr>
      <w:r w:rsidRPr="009A3E87">
        <w:rPr>
          <w:rStyle w:val="FootnoteReference"/>
        </w:rPr>
        <w:footnoteRef/>
      </w:r>
      <w:r w:rsidRPr="009A3E87">
        <w:t xml:space="preserve"> The annual reliability report provides two metrics representing the duration and frequency of outages, System Average Interruption Duration Index (SAIDI) and System Average Interruption Frequency Index (SAIFI). SAIDI is calculated by dividing the total number of minutes of customer interruption by the total number of customers. SAIFI is calculated by dividing the total number of customer interruptions by the total number of customers served.</w:t>
      </w:r>
    </w:p>
  </w:footnote>
  <w:footnote w:id="121">
    <w:p w14:paraId="2F25A18D" w14:textId="647FE763" w:rsidR="00493377" w:rsidRPr="009A3E87" w:rsidRDefault="00493377" w:rsidP="00B8710A">
      <w:pPr>
        <w:pStyle w:val="FootnoteText"/>
        <w:spacing w:after="120"/>
      </w:pPr>
      <w:r w:rsidRPr="009A3E87">
        <w:rPr>
          <w:rStyle w:val="FootnoteReference"/>
        </w:rPr>
        <w:footnoteRef/>
      </w:r>
      <w:r w:rsidRPr="009A3E87">
        <w:t xml:space="preserve"> Cebulko, Exh. No. BTC-1T at 4:5-11</w:t>
      </w:r>
      <w:r>
        <w:t>;</w:t>
      </w:r>
      <w:r w:rsidRPr="009A3E87">
        <w:t xml:space="preserve"> 7:1-2.</w:t>
      </w:r>
    </w:p>
  </w:footnote>
  <w:footnote w:id="122">
    <w:p w14:paraId="51B3736A" w14:textId="43FCCB07" w:rsidR="00493377" w:rsidRPr="009A3E87" w:rsidRDefault="00493377" w:rsidP="00B8710A">
      <w:pPr>
        <w:pStyle w:val="FootnoteText"/>
        <w:spacing w:after="120"/>
      </w:pPr>
      <w:r w:rsidRPr="009A3E87">
        <w:rPr>
          <w:rStyle w:val="FootnoteReference"/>
        </w:rPr>
        <w:footnoteRef/>
      </w:r>
      <w:r w:rsidRPr="009A3E87">
        <w:t xml:space="preserve"> </w:t>
      </w:r>
      <w:r w:rsidRPr="009A3E87">
        <w:rPr>
          <w:i/>
        </w:rPr>
        <w:t>Id.</w:t>
      </w:r>
      <w:r w:rsidRPr="009A3E87">
        <w:t xml:space="preserve"> at 2:18-20</w:t>
      </w:r>
      <w:r>
        <w:t>;</w:t>
      </w:r>
      <w:r w:rsidRPr="009A3E87">
        <w:t xml:space="preserve"> 7:22-23</w:t>
      </w:r>
      <w:r>
        <w:t>;</w:t>
      </w:r>
      <w:r w:rsidRPr="009A3E87">
        <w:t xml:space="preserve"> 8:4-14.</w:t>
      </w:r>
    </w:p>
  </w:footnote>
  <w:footnote w:id="123">
    <w:p w14:paraId="6C5F9780" w14:textId="6C4F9A91" w:rsidR="00493377" w:rsidRPr="009A3E87" w:rsidRDefault="00493377" w:rsidP="00B8710A">
      <w:pPr>
        <w:pStyle w:val="FootnoteText"/>
        <w:spacing w:after="120"/>
      </w:pPr>
      <w:r w:rsidRPr="009A3E87">
        <w:rPr>
          <w:rStyle w:val="FootnoteReference"/>
        </w:rPr>
        <w:footnoteRef/>
      </w:r>
      <w:r w:rsidRPr="009A3E87">
        <w:t xml:space="preserve"> McGuire, Exh. No. CRM-1T at 24:</w:t>
      </w:r>
      <w:r>
        <w:t>17-</w:t>
      </w:r>
      <w:r w:rsidRPr="009A3E87">
        <w:t>18.</w:t>
      </w:r>
    </w:p>
  </w:footnote>
  <w:footnote w:id="124">
    <w:p w14:paraId="2A43FC38" w14:textId="77777777" w:rsidR="00493377" w:rsidRPr="009A3E87" w:rsidRDefault="00493377" w:rsidP="00B8710A">
      <w:pPr>
        <w:pStyle w:val="FootnoteText"/>
        <w:spacing w:after="120"/>
      </w:pPr>
      <w:r w:rsidRPr="009A3E87">
        <w:rPr>
          <w:rStyle w:val="FootnoteReference"/>
        </w:rPr>
        <w:footnoteRef/>
      </w:r>
      <w:r w:rsidRPr="009A3E87">
        <w:t xml:space="preserve"> Staff</w:t>
      </w:r>
      <w:r>
        <w:t>’s</w:t>
      </w:r>
      <w:r w:rsidRPr="009A3E87">
        <w:t xml:space="preserve"> </w:t>
      </w:r>
      <w:r>
        <w:t>B</w:t>
      </w:r>
      <w:r w:rsidRPr="009A3E87">
        <w:t xml:space="preserve">rief, </w:t>
      </w:r>
      <w:r>
        <w:t>¶</w:t>
      </w:r>
      <w:r w:rsidRPr="009A3E87">
        <w:t xml:space="preserve"> 24.</w:t>
      </w:r>
    </w:p>
  </w:footnote>
  <w:footnote w:id="125">
    <w:p w14:paraId="332D2A18" w14:textId="77777777" w:rsidR="00493377" w:rsidRPr="003528AE" w:rsidRDefault="00493377" w:rsidP="0009104A">
      <w:pPr>
        <w:pStyle w:val="FootnoteText"/>
        <w:spacing w:after="120"/>
        <w:rPr>
          <w:szCs w:val="22"/>
        </w:rPr>
      </w:pPr>
      <w:r w:rsidRPr="003528AE">
        <w:rPr>
          <w:rStyle w:val="FootnoteReference"/>
          <w:szCs w:val="22"/>
        </w:rPr>
        <w:footnoteRef/>
      </w:r>
      <w:r w:rsidRPr="003528AE">
        <w:rPr>
          <w:szCs w:val="22"/>
        </w:rPr>
        <w:t xml:space="preserve"> Ramas, Exh. No. DMR-1T at 64:11-19.</w:t>
      </w:r>
    </w:p>
  </w:footnote>
  <w:footnote w:id="126">
    <w:p w14:paraId="66B4BA8D" w14:textId="79758DCB" w:rsidR="00493377" w:rsidRPr="003528AE" w:rsidRDefault="00493377" w:rsidP="0009104A">
      <w:pPr>
        <w:pStyle w:val="FootnoteText"/>
        <w:spacing w:after="120"/>
        <w:rPr>
          <w:szCs w:val="22"/>
        </w:rPr>
      </w:pPr>
      <w:r w:rsidRPr="003528AE">
        <w:rPr>
          <w:rStyle w:val="FootnoteReference"/>
          <w:szCs w:val="22"/>
        </w:rPr>
        <w:footnoteRef/>
      </w:r>
      <w:r w:rsidRPr="003528AE">
        <w:rPr>
          <w:szCs w:val="22"/>
        </w:rPr>
        <w:t xml:space="preserve"> </w:t>
      </w:r>
      <w:r>
        <w:rPr>
          <w:i/>
          <w:szCs w:val="22"/>
        </w:rPr>
        <w:t>Id.</w:t>
      </w:r>
      <w:r w:rsidRPr="003528AE">
        <w:rPr>
          <w:szCs w:val="22"/>
        </w:rPr>
        <w:t xml:space="preserve"> at </w:t>
      </w:r>
      <w:r>
        <w:rPr>
          <w:szCs w:val="22"/>
        </w:rPr>
        <w:t>5:12-14</w:t>
      </w:r>
      <w:r w:rsidRPr="003528AE">
        <w:rPr>
          <w:szCs w:val="22"/>
        </w:rPr>
        <w:t>.</w:t>
      </w:r>
    </w:p>
  </w:footnote>
  <w:footnote w:id="127">
    <w:p w14:paraId="68796C13" w14:textId="5405A1B6" w:rsidR="00493377" w:rsidRPr="003528AE" w:rsidRDefault="00493377" w:rsidP="00143DF4">
      <w:pPr>
        <w:pStyle w:val="FootnoteText"/>
        <w:spacing w:after="120"/>
        <w:rPr>
          <w:szCs w:val="22"/>
        </w:rPr>
      </w:pPr>
      <w:r w:rsidRPr="003528AE">
        <w:rPr>
          <w:rStyle w:val="FootnoteReference"/>
          <w:szCs w:val="22"/>
        </w:rPr>
        <w:footnoteRef/>
      </w:r>
      <w:r w:rsidRPr="003528AE">
        <w:rPr>
          <w:szCs w:val="22"/>
        </w:rPr>
        <w:t xml:space="preserve"> Mullins, Exh. No. BGM-1CT at 2:13-15</w:t>
      </w:r>
      <w:r>
        <w:rPr>
          <w:szCs w:val="22"/>
        </w:rPr>
        <w:t>;</w:t>
      </w:r>
      <w:r w:rsidRPr="003528AE">
        <w:rPr>
          <w:szCs w:val="22"/>
        </w:rPr>
        <w:t xml:space="preserve"> 3:3-6.</w:t>
      </w:r>
    </w:p>
  </w:footnote>
  <w:footnote w:id="128">
    <w:p w14:paraId="15341316" w14:textId="77777777" w:rsidR="00493377" w:rsidRPr="003528AE" w:rsidRDefault="00493377" w:rsidP="00143DF4">
      <w:pPr>
        <w:pStyle w:val="FootnoteText"/>
        <w:spacing w:after="120"/>
        <w:rPr>
          <w:szCs w:val="22"/>
        </w:rPr>
      </w:pPr>
      <w:r w:rsidRPr="003528AE">
        <w:rPr>
          <w:rStyle w:val="FootnoteReference"/>
          <w:szCs w:val="22"/>
        </w:rPr>
        <w:footnoteRef/>
      </w:r>
      <w:r w:rsidRPr="003528AE">
        <w:rPr>
          <w:szCs w:val="22"/>
        </w:rPr>
        <w:t xml:space="preserve"> </w:t>
      </w:r>
      <w:r w:rsidRPr="003528AE">
        <w:rPr>
          <w:i/>
          <w:szCs w:val="22"/>
        </w:rPr>
        <w:t>Id.</w:t>
      </w:r>
      <w:r w:rsidRPr="003528AE">
        <w:rPr>
          <w:szCs w:val="22"/>
        </w:rPr>
        <w:t xml:space="preserve"> at 4, Table 1.</w:t>
      </w:r>
    </w:p>
  </w:footnote>
  <w:footnote w:id="129">
    <w:p w14:paraId="2D2577FE" w14:textId="79F6DE08" w:rsidR="00493377" w:rsidRDefault="00493377" w:rsidP="00A5304D">
      <w:pPr>
        <w:pStyle w:val="FootnoteText"/>
        <w:spacing w:after="120"/>
      </w:pPr>
      <w:r>
        <w:rPr>
          <w:rStyle w:val="FootnoteReference"/>
        </w:rPr>
        <w:footnoteRef/>
      </w:r>
      <w:r>
        <w:t xml:space="preserve"> Mullins, Exh. No. BGM-6 at 3:15.</w:t>
      </w:r>
    </w:p>
  </w:footnote>
  <w:footnote w:id="130">
    <w:p w14:paraId="1142D266" w14:textId="77777777" w:rsidR="00493377" w:rsidRDefault="00493377" w:rsidP="0009104A">
      <w:pPr>
        <w:pStyle w:val="FootnoteText"/>
        <w:spacing w:after="120"/>
      </w:pPr>
      <w:r>
        <w:rPr>
          <w:rStyle w:val="FootnoteReference"/>
        </w:rPr>
        <w:footnoteRef/>
      </w:r>
      <w:r>
        <w:t xml:space="preserve"> ICNU’s Brief, ¶ 7.</w:t>
      </w:r>
    </w:p>
  </w:footnote>
  <w:footnote w:id="131">
    <w:p w14:paraId="4B8E44BB" w14:textId="77777777" w:rsidR="00493377" w:rsidRDefault="00493377" w:rsidP="0009104A">
      <w:pPr>
        <w:pStyle w:val="FootnoteText"/>
        <w:spacing w:after="120"/>
      </w:pPr>
      <w:r w:rsidRPr="00467FD0">
        <w:rPr>
          <w:rStyle w:val="FootnoteReference"/>
        </w:rPr>
        <w:footnoteRef/>
      </w:r>
      <w:r w:rsidRPr="00467FD0">
        <w:t xml:space="preserve"> </w:t>
      </w:r>
      <w:r w:rsidRPr="00272E0C">
        <w:rPr>
          <w:i/>
        </w:rPr>
        <w:t>Id.</w:t>
      </w:r>
      <w:r>
        <w:t>, ¶ 10</w:t>
      </w:r>
      <w:r w:rsidRPr="00467FD0">
        <w:t xml:space="preserve"> </w:t>
      </w:r>
      <w:r>
        <w:t>(citations omitted)</w:t>
      </w:r>
      <w:r w:rsidRPr="00467FD0">
        <w:t>.</w:t>
      </w:r>
      <w:r w:rsidRPr="00DB4645">
        <w:t xml:space="preserve">  </w:t>
      </w:r>
    </w:p>
  </w:footnote>
  <w:footnote w:id="132">
    <w:p w14:paraId="2BEFA42F" w14:textId="77777777" w:rsidR="00493377" w:rsidRDefault="00493377" w:rsidP="0009104A">
      <w:pPr>
        <w:pStyle w:val="FootnoteText"/>
        <w:spacing w:after="120"/>
      </w:pPr>
      <w:r>
        <w:rPr>
          <w:rStyle w:val="FootnoteReference"/>
        </w:rPr>
        <w:footnoteRef/>
      </w:r>
      <w:r>
        <w:t xml:space="preserve"> </w:t>
      </w:r>
      <w:r>
        <w:rPr>
          <w:i/>
        </w:rPr>
        <w:t>Id.</w:t>
      </w:r>
    </w:p>
  </w:footnote>
  <w:footnote w:id="133">
    <w:p w14:paraId="73962D3A" w14:textId="77777777" w:rsidR="00493377" w:rsidRDefault="00493377" w:rsidP="0009104A">
      <w:pPr>
        <w:pStyle w:val="FootnoteText"/>
        <w:spacing w:after="120"/>
      </w:pPr>
      <w:r>
        <w:rPr>
          <w:rStyle w:val="FootnoteReference"/>
        </w:rPr>
        <w:footnoteRef/>
      </w:r>
      <w:r>
        <w:t xml:space="preserve"> </w:t>
      </w:r>
      <w:r w:rsidRPr="00565D73">
        <w:t>Gor</w:t>
      </w:r>
      <w:r>
        <w:t>man, Exh. No. MPG-1T at 17:19-22.</w:t>
      </w:r>
    </w:p>
  </w:footnote>
  <w:footnote w:id="134">
    <w:p w14:paraId="63520C85" w14:textId="7719989B" w:rsidR="00493377" w:rsidRDefault="00493377" w:rsidP="0009104A">
      <w:pPr>
        <w:pStyle w:val="FootnoteText"/>
        <w:spacing w:after="120"/>
      </w:pPr>
      <w:r>
        <w:rPr>
          <w:rStyle w:val="FootnoteReference"/>
        </w:rPr>
        <w:footnoteRef/>
      </w:r>
      <w:r>
        <w:t xml:space="preserve"> </w:t>
      </w:r>
      <w:r w:rsidRPr="000B78DF">
        <w:rPr>
          <w:i/>
        </w:rPr>
        <w:t>Id</w:t>
      </w:r>
      <w:r>
        <w:t>.</w:t>
      </w:r>
      <w:r w:rsidRPr="00522F4B">
        <w:t xml:space="preserve"> at </w:t>
      </w:r>
      <w:r>
        <w:t>18:1-6.</w:t>
      </w:r>
    </w:p>
  </w:footnote>
  <w:footnote w:id="135">
    <w:p w14:paraId="5DB72D4C" w14:textId="77777777" w:rsidR="00493377" w:rsidRDefault="00493377" w:rsidP="0009104A">
      <w:pPr>
        <w:pStyle w:val="FootnoteText"/>
        <w:spacing w:after="120"/>
      </w:pPr>
      <w:r>
        <w:rPr>
          <w:rStyle w:val="FootnoteReference"/>
        </w:rPr>
        <w:footnoteRef/>
      </w:r>
      <w:r>
        <w:t xml:space="preserve"> </w:t>
      </w:r>
      <w:r w:rsidRPr="000B78DF">
        <w:rPr>
          <w:i/>
        </w:rPr>
        <w:t>Id</w:t>
      </w:r>
      <w:r>
        <w:t>. at 18:20-26.</w:t>
      </w:r>
    </w:p>
  </w:footnote>
  <w:footnote w:id="136">
    <w:p w14:paraId="445169EC" w14:textId="77777777" w:rsidR="00493377" w:rsidRPr="003528AE" w:rsidRDefault="00493377" w:rsidP="0009104A">
      <w:pPr>
        <w:pStyle w:val="FootnoteText"/>
        <w:spacing w:after="120"/>
        <w:rPr>
          <w:szCs w:val="22"/>
        </w:rPr>
      </w:pPr>
      <w:r w:rsidRPr="003528AE">
        <w:rPr>
          <w:rStyle w:val="FootnoteReference"/>
          <w:szCs w:val="22"/>
        </w:rPr>
        <w:footnoteRef/>
      </w:r>
      <w:r w:rsidRPr="003528AE">
        <w:rPr>
          <w:szCs w:val="22"/>
        </w:rPr>
        <w:t xml:space="preserve"> Staff uses 3 percent as a stand-in for the 2009-2014 period. </w:t>
      </w:r>
    </w:p>
  </w:footnote>
  <w:footnote w:id="137">
    <w:p w14:paraId="3F3195DD" w14:textId="45F5C7BF" w:rsidR="00493377" w:rsidRPr="003528AE" w:rsidRDefault="00493377" w:rsidP="00143DF4">
      <w:pPr>
        <w:pStyle w:val="FootnoteText"/>
        <w:spacing w:after="120"/>
        <w:rPr>
          <w:szCs w:val="22"/>
        </w:rPr>
      </w:pPr>
      <w:r w:rsidRPr="003528AE">
        <w:rPr>
          <w:rStyle w:val="FootnoteReference"/>
          <w:szCs w:val="22"/>
        </w:rPr>
        <w:footnoteRef/>
      </w:r>
      <w:r w:rsidRPr="003528AE">
        <w:rPr>
          <w:szCs w:val="22"/>
        </w:rPr>
        <w:t xml:space="preserve"> The cost of net benefits fell dramatically between 2013 and 2014.</w:t>
      </w:r>
      <w:r>
        <w:rPr>
          <w:szCs w:val="22"/>
        </w:rPr>
        <w:t xml:space="preserve"> Andrews, Exh. No. EMA-5T at 31:1-8.</w:t>
      </w:r>
    </w:p>
  </w:footnote>
  <w:footnote w:id="138">
    <w:p w14:paraId="598D8F75" w14:textId="4C903A13" w:rsidR="00493377" w:rsidRPr="00B418BC" w:rsidRDefault="00493377" w:rsidP="00B418BC">
      <w:pPr>
        <w:pStyle w:val="FootnoteText"/>
        <w:spacing w:after="120"/>
      </w:pPr>
      <w:r>
        <w:rPr>
          <w:rStyle w:val="FootnoteReference"/>
        </w:rPr>
        <w:footnoteRef/>
      </w:r>
      <w:r>
        <w:t xml:space="preserve"> </w:t>
      </w:r>
      <w:r>
        <w:rPr>
          <w:i/>
        </w:rPr>
        <w:t>Id.</w:t>
      </w:r>
      <w:r>
        <w:t xml:space="preserve"> at 33:4-6.</w:t>
      </w:r>
    </w:p>
  </w:footnote>
  <w:footnote w:id="139">
    <w:p w14:paraId="6C4F1A05" w14:textId="6EF1A45C" w:rsidR="00493377" w:rsidRPr="003528AE" w:rsidRDefault="00493377" w:rsidP="00143DF4">
      <w:pPr>
        <w:pStyle w:val="FootnoteText"/>
        <w:spacing w:after="120"/>
        <w:rPr>
          <w:szCs w:val="22"/>
        </w:rPr>
      </w:pPr>
      <w:r w:rsidRPr="003528AE">
        <w:rPr>
          <w:rStyle w:val="FootnoteReference"/>
          <w:szCs w:val="22"/>
        </w:rPr>
        <w:footnoteRef/>
      </w:r>
      <w:r w:rsidRPr="003528AE">
        <w:rPr>
          <w:szCs w:val="22"/>
        </w:rPr>
        <w:t xml:space="preserve"> </w:t>
      </w:r>
      <w:r>
        <w:rPr>
          <w:i/>
          <w:szCs w:val="22"/>
        </w:rPr>
        <w:t>Id.</w:t>
      </w:r>
      <w:r w:rsidRPr="003528AE">
        <w:rPr>
          <w:szCs w:val="22"/>
        </w:rPr>
        <w:t xml:space="preserve"> at 18, Table 5.</w:t>
      </w:r>
    </w:p>
  </w:footnote>
  <w:footnote w:id="140">
    <w:p w14:paraId="31A630BF" w14:textId="0DF13E9A" w:rsidR="00493377" w:rsidRPr="003528AE" w:rsidRDefault="00493377" w:rsidP="00143DF4">
      <w:pPr>
        <w:pStyle w:val="FootnoteText"/>
        <w:spacing w:after="120"/>
        <w:rPr>
          <w:szCs w:val="22"/>
        </w:rPr>
      </w:pPr>
      <w:r w:rsidRPr="003528AE">
        <w:rPr>
          <w:rStyle w:val="FootnoteReference"/>
          <w:szCs w:val="22"/>
        </w:rPr>
        <w:footnoteRef/>
      </w:r>
      <w:r w:rsidRPr="003528AE">
        <w:rPr>
          <w:szCs w:val="22"/>
        </w:rPr>
        <w:t xml:space="preserve"> The Company points out that the average of its proposed electric and natural gas O&amp;M escalation rates is 4.26 percent, slightly lower than the Company’s current financial forecast of the annual increase in O&amp;M from 2014 to 2016 of 4.45 percent for the combined electric and natural gas systems. </w:t>
      </w:r>
      <w:r>
        <w:rPr>
          <w:i/>
          <w:szCs w:val="22"/>
        </w:rPr>
        <w:t>Id.</w:t>
      </w:r>
      <w:r w:rsidRPr="003528AE">
        <w:rPr>
          <w:szCs w:val="22"/>
        </w:rPr>
        <w:t xml:space="preserve"> at 34:16-17 and 32:1-2</w:t>
      </w:r>
      <w:r>
        <w:rPr>
          <w:szCs w:val="22"/>
        </w:rPr>
        <w:t>0</w:t>
      </w:r>
      <w:r w:rsidRPr="003528AE">
        <w:rPr>
          <w:szCs w:val="22"/>
        </w:rPr>
        <w:t>.</w:t>
      </w:r>
    </w:p>
  </w:footnote>
  <w:footnote w:id="141">
    <w:p w14:paraId="4FA8DDD6" w14:textId="2CA2DA1C" w:rsidR="00493377" w:rsidRPr="003528AE" w:rsidRDefault="00493377" w:rsidP="00143DF4">
      <w:pPr>
        <w:pStyle w:val="FootnoteText"/>
        <w:spacing w:after="120"/>
        <w:rPr>
          <w:szCs w:val="22"/>
        </w:rPr>
      </w:pPr>
      <w:r w:rsidRPr="003528AE">
        <w:rPr>
          <w:rStyle w:val="FootnoteReference"/>
          <w:szCs w:val="22"/>
        </w:rPr>
        <w:footnoteRef/>
      </w:r>
      <w:r w:rsidRPr="003528AE">
        <w:rPr>
          <w:szCs w:val="22"/>
        </w:rPr>
        <w:t xml:space="preserve"> </w:t>
      </w:r>
      <w:r>
        <w:rPr>
          <w:i/>
          <w:szCs w:val="22"/>
        </w:rPr>
        <w:t>Id.</w:t>
      </w:r>
      <w:r>
        <w:rPr>
          <w:szCs w:val="22"/>
        </w:rPr>
        <w:t xml:space="preserve"> at 30:13-14; 32:7-16. </w:t>
      </w:r>
      <w:r w:rsidRPr="003528AE">
        <w:rPr>
          <w:szCs w:val="22"/>
        </w:rPr>
        <w:t xml:space="preserve">In its direct testimony, Avista derived and rejected the use of an escalation rate based on the use </w:t>
      </w:r>
      <w:r>
        <w:rPr>
          <w:szCs w:val="22"/>
        </w:rPr>
        <w:t xml:space="preserve">of 2007-2014 time period data. </w:t>
      </w:r>
      <w:r w:rsidRPr="003528AE">
        <w:rPr>
          <w:szCs w:val="22"/>
        </w:rPr>
        <w:t>Now it returns to that time period data but removes net benefits.</w:t>
      </w:r>
      <w:r>
        <w:rPr>
          <w:szCs w:val="22"/>
        </w:rPr>
        <w:t xml:space="preserve"> </w:t>
      </w:r>
    </w:p>
  </w:footnote>
  <w:footnote w:id="142">
    <w:p w14:paraId="4AA4394C" w14:textId="737FDF65" w:rsidR="00493377" w:rsidRPr="003528AE" w:rsidRDefault="00493377" w:rsidP="0009104A">
      <w:pPr>
        <w:pStyle w:val="FootnoteText"/>
        <w:spacing w:after="120"/>
        <w:rPr>
          <w:szCs w:val="22"/>
        </w:rPr>
      </w:pPr>
      <w:r w:rsidRPr="003528AE">
        <w:rPr>
          <w:rStyle w:val="FootnoteReference"/>
          <w:szCs w:val="22"/>
        </w:rPr>
        <w:footnoteRef/>
      </w:r>
      <w:r w:rsidRPr="003528AE">
        <w:rPr>
          <w:szCs w:val="22"/>
        </w:rPr>
        <w:t xml:space="preserve"> </w:t>
      </w:r>
      <w:r>
        <w:rPr>
          <w:i/>
          <w:szCs w:val="22"/>
        </w:rPr>
        <w:t>Id.</w:t>
      </w:r>
      <w:r>
        <w:rPr>
          <w:szCs w:val="22"/>
        </w:rPr>
        <w:t xml:space="preserve"> </w:t>
      </w:r>
      <w:r w:rsidRPr="003528AE">
        <w:rPr>
          <w:szCs w:val="22"/>
        </w:rPr>
        <w:t xml:space="preserve">at </w:t>
      </w:r>
      <w:r>
        <w:rPr>
          <w:szCs w:val="22"/>
        </w:rPr>
        <w:t>30:11-14</w:t>
      </w:r>
      <w:r w:rsidRPr="003528AE">
        <w:rPr>
          <w:szCs w:val="22"/>
        </w:rPr>
        <w:t>.</w:t>
      </w:r>
    </w:p>
  </w:footnote>
  <w:footnote w:id="143">
    <w:p w14:paraId="1936FB72" w14:textId="77777777" w:rsidR="00493377" w:rsidRPr="003528AE" w:rsidRDefault="00493377" w:rsidP="0009104A">
      <w:pPr>
        <w:pStyle w:val="FootnoteText"/>
        <w:spacing w:after="120"/>
        <w:rPr>
          <w:szCs w:val="22"/>
        </w:rPr>
      </w:pPr>
      <w:r w:rsidRPr="003528AE">
        <w:rPr>
          <w:rStyle w:val="FootnoteReference"/>
          <w:szCs w:val="22"/>
        </w:rPr>
        <w:footnoteRef/>
      </w:r>
      <w:r w:rsidRPr="003528AE">
        <w:rPr>
          <w:szCs w:val="22"/>
        </w:rPr>
        <w:t xml:space="preserve"> See </w:t>
      </w:r>
      <w:r w:rsidRPr="003528AE">
        <w:rPr>
          <w:bCs/>
          <w:szCs w:val="22"/>
        </w:rPr>
        <w:t>Gorman, Exh. No. MPG-1T at 3:4-6.</w:t>
      </w:r>
    </w:p>
  </w:footnote>
  <w:footnote w:id="144">
    <w:p w14:paraId="6D58FEEE" w14:textId="77777777" w:rsidR="00493377" w:rsidRPr="003528AE" w:rsidRDefault="00493377" w:rsidP="0009104A">
      <w:pPr>
        <w:pStyle w:val="FootnoteText"/>
        <w:spacing w:after="120"/>
        <w:rPr>
          <w:szCs w:val="22"/>
        </w:rPr>
      </w:pPr>
      <w:r w:rsidRPr="003528AE">
        <w:rPr>
          <w:rStyle w:val="FootnoteReference"/>
          <w:szCs w:val="22"/>
        </w:rPr>
        <w:footnoteRef/>
      </w:r>
      <w:r w:rsidRPr="003528AE">
        <w:rPr>
          <w:szCs w:val="22"/>
        </w:rPr>
        <w:t xml:space="preserve"> Andrews, Exh. No. EMA-5T at 37:16-38:</w:t>
      </w:r>
      <w:r>
        <w:rPr>
          <w:szCs w:val="22"/>
        </w:rPr>
        <w:t>5</w:t>
      </w:r>
      <w:r w:rsidRPr="003528AE">
        <w:rPr>
          <w:szCs w:val="22"/>
        </w:rPr>
        <w:t>.</w:t>
      </w:r>
    </w:p>
  </w:footnote>
  <w:footnote w:id="145">
    <w:p w14:paraId="0A38EB59" w14:textId="77777777" w:rsidR="00493377" w:rsidRPr="003528AE" w:rsidRDefault="00493377" w:rsidP="0009104A">
      <w:pPr>
        <w:pStyle w:val="FootnoteText"/>
        <w:spacing w:after="120"/>
        <w:rPr>
          <w:szCs w:val="22"/>
        </w:rPr>
      </w:pPr>
      <w:r w:rsidRPr="003528AE">
        <w:rPr>
          <w:rStyle w:val="FootnoteReference"/>
          <w:szCs w:val="22"/>
        </w:rPr>
        <w:footnoteRef/>
      </w:r>
      <w:r w:rsidRPr="003528AE">
        <w:rPr>
          <w:szCs w:val="22"/>
        </w:rPr>
        <w:t xml:space="preserve"> </w:t>
      </w:r>
      <w:r>
        <w:rPr>
          <w:i/>
          <w:szCs w:val="22"/>
        </w:rPr>
        <w:t>Id.</w:t>
      </w:r>
      <w:r w:rsidRPr="003528AE">
        <w:rPr>
          <w:szCs w:val="22"/>
        </w:rPr>
        <w:t xml:space="preserve"> </w:t>
      </w:r>
    </w:p>
  </w:footnote>
  <w:footnote w:id="146">
    <w:p w14:paraId="1C533B67" w14:textId="77777777" w:rsidR="00493377" w:rsidRDefault="00493377" w:rsidP="00143DF4">
      <w:pPr>
        <w:pStyle w:val="FootnoteText"/>
        <w:spacing w:after="120"/>
      </w:pPr>
      <w:r>
        <w:rPr>
          <w:rStyle w:val="FootnoteReference"/>
        </w:rPr>
        <w:footnoteRef/>
      </w:r>
      <w:r>
        <w:t xml:space="preserve"> Norwood, Exh. No. KON-1T at 8:6-9; 9:10-29; 11:6-12.</w:t>
      </w:r>
      <w:r w:rsidRPr="000A02B7">
        <w:rPr>
          <w:rFonts w:eastAsia="MS Mincho"/>
          <w:sz w:val="24"/>
          <w:szCs w:val="24"/>
          <w:lang w:eastAsia="ar-SA"/>
        </w:rPr>
        <w:t xml:space="preserve"> </w:t>
      </w:r>
      <w:r w:rsidRPr="000A02B7">
        <w:t xml:space="preserve">Company witness Mr. </w:t>
      </w:r>
      <w:r>
        <w:t xml:space="preserve">Scott </w:t>
      </w:r>
      <w:r w:rsidRPr="000A02B7">
        <w:t xml:space="preserve">Kinney provides details related to generating plant capital additions, Company witness Mr. </w:t>
      </w:r>
      <w:r>
        <w:t xml:space="preserve">Bryan </w:t>
      </w:r>
      <w:r w:rsidRPr="000A02B7">
        <w:t xml:space="preserve">Cox for transmission plant, Mr. </w:t>
      </w:r>
      <w:r>
        <w:t xml:space="preserve">James </w:t>
      </w:r>
      <w:r w:rsidRPr="000A02B7">
        <w:t>Kensok for information technology, and Ms. Schuh for common plant and other capital investment.</w:t>
      </w:r>
    </w:p>
  </w:footnote>
  <w:footnote w:id="147">
    <w:p w14:paraId="401A9E08" w14:textId="77777777" w:rsidR="00493377" w:rsidRDefault="00493377" w:rsidP="00143DF4">
      <w:pPr>
        <w:pStyle w:val="FootnoteText"/>
        <w:spacing w:after="120"/>
      </w:pPr>
      <w:r>
        <w:rPr>
          <w:rStyle w:val="FootnoteReference"/>
        </w:rPr>
        <w:footnoteRef/>
      </w:r>
      <w:r>
        <w:t xml:space="preserve"> </w:t>
      </w:r>
      <w:r>
        <w:rPr>
          <w:i/>
        </w:rPr>
        <w:t>Id.</w:t>
      </w:r>
      <w:r w:rsidRPr="00CA79B8">
        <w:t xml:space="preserve"> at </w:t>
      </w:r>
      <w:r>
        <w:t>9:12-29.</w:t>
      </w:r>
    </w:p>
  </w:footnote>
  <w:footnote w:id="148">
    <w:p w14:paraId="582D7AE9" w14:textId="77777777" w:rsidR="00493377" w:rsidRDefault="00493377" w:rsidP="00143DF4">
      <w:pPr>
        <w:pStyle w:val="FootnoteText"/>
        <w:spacing w:after="120"/>
      </w:pPr>
      <w:r>
        <w:rPr>
          <w:rStyle w:val="FootnoteReference"/>
        </w:rPr>
        <w:footnoteRef/>
      </w:r>
      <w:r>
        <w:t xml:space="preserve"> </w:t>
      </w:r>
      <w:r w:rsidRPr="0031674A">
        <w:t>S</w:t>
      </w:r>
      <w:r>
        <w:t>c</w:t>
      </w:r>
      <w:r w:rsidRPr="0031674A">
        <w:t xml:space="preserve">huh, Exh. No. KKS-1T at </w:t>
      </w:r>
      <w:r>
        <w:t>4:14-20</w:t>
      </w:r>
      <w:r w:rsidRPr="0031674A">
        <w:t>.</w:t>
      </w:r>
    </w:p>
  </w:footnote>
  <w:footnote w:id="149">
    <w:p w14:paraId="3C909094" w14:textId="77777777" w:rsidR="00493377" w:rsidRDefault="00493377" w:rsidP="0009104A">
      <w:pPr>
        <w:pStyle w:val="FootnoteText"/>
        <w:spacing w:after="120"/>
      </w:pPr>
      <w:r>
        <w:rPr>
          <w:rStyle w:val="FootnoteReference"/>
        </w:rPr>
        <w:footnoteRef/>
      </w:r>
      <w:r>
        <w:t xml:space="preserve"> </w:t>
      </w:r>
      <w:r>
        <w:rPr>
          <w:i/>
        </w:rPr>
        <w:t>Id</w:t>
      </w:r>
      <w:r>
        <w:t>. at 5:6-7.</w:t>
      </w:r>
    </w:p>
  </w:footnote>
  <w:footnote w:id="150">
    <w:p w14:paraId="1107537D" w14:textId="77777777" w:rsidR="00493377" w:rsidRDefault="00493377" w:rsidP="0009104A">
      <w:pPr>
        <w:pStyle w:val="FootnoteText"/>
        <w:spacing w:after="120"/>
      </w:pPr>
      <w:r>
        <w:rPr>
          <w:rStyle w:val="FootnoteReference"/>
        </w:rPr>
        <w:footnoteRef/>
      </w:r>
      <w:r>
        <w:t xml:space="preserve"> Schuh, Exh. No. KKS-5.</w:t>
      </w:r>
    </w:p>
  </w:footnote>
  <w:footnote w:id="151">
    <w:p w14:paraId="7DA135DE" w14:textId="77777777" w:rsidR="00493377" w:rsidRPr="009A3E87" w:rsidRDefault="00493377" w:rsidP="001E57E3">
      <w:pPr>
        <w:pStyle w:val="FootnoteText"/>
        <w:spacing w:after="120"/>
      </w:pPr>
      <w:r w:rsidRPr="009A3E87">
        <w:rPr>
          <w:rStyle w:val="FootnoteReference"/>
        </w:rPr>
        <w:footnoteRef/>
      </w:r>
      <w:r w:rsidRPr="009A3E87">
        <w:t xml:space="preserve"> La Bolle, Exh. No. LDL-1T at 26:11-13.</w:t>
      </w:r>
    </w:p>
  </w:footnote>
  <w:footnote w:id="152">
    <w:p w14:paraId="2C9C9391" w14:textId="77777777" w:rsidR="00493377" w:rsidRPr="009A3E87" w:rsidRDefault="00493377" w:rsidP="001E57E3">
      <w:pPr>
        <w:pStyle w:val="FootnoteText"/>
        <w:spacing w:after="120"/>
      </w:pPr>
      <w:r w:rsidRPr="009A3E87">
        <w:rPr>
          <w:rStyle w:val="FootnoteReference"/>
        </w:rPr>
        <w:footnoteRef/>
      </w:r>
      <w:r w:rsidRPr="009A3E87">
        <w:t xml:space="preserve"> </w:t>
      </w:r>
      <w:r w:rsidRPr="009A3E87">
        <w:rPr>
          <w:i/>
        </w:rPr>
        <w:t>Id.</w:t>
      </w:r>
      <w:r w:rsidRPr="009A3E87">
        <w:t xml:space="preserve"> at 26:5-6.</w:t>
      </w:r>
    </w:p>
  </w:footnote>
  <w:footnote w:id="153">
    <w:p w14:paraId="0DD5ED48" w14:textId="77777777" w:rsidR="00493377" w:rsidRPr="009A3E87" w:rsidRDefault="00493377" w:rsidP="001E57E3">
      <w:pPr>
        <w:pStyle w:val="FootnoteText"/>
        <w:spacing w:after="120"/>
      </w:pPr>
      <w:r w:rsidRPr="009A3E87">
        <w:rPr>
          <w:rStyle w:val="FootnoteReference"/>
        </w:rPr>
        <w:footnoteRef/>
      </w:r>
      <w:r>
        <w:t xml:space="preserve"> Smith, </w:t>
      </w:r>
      <w:r w:rsidRPr="009A3E87">
        <w:t>TR 502:1-12</w:t>
      </w:r>
      <w:r>
        <w:t>.</w:t>
      </w:r>
    </w:p>
  </w:footnote>
  <w:footnote w:id="154">
    <w:p w14:paraId="44A25571" w14:textId="77777777" w:rsidR="00493377" w:rsidRDefault="00493377" w:rsidP="001E57E3">
      <w:pPr>
        <w:pStyle w:val="FootnoteText"/>
        <w:spacing w:after="120"/>
      </w:pPr>
      <w:r>
        <w:rPr>
          <w:rStyle w:val="FootnoteReference"/>
        </w:rPr>
        <w:footnoteRef/>
      </w:r>
      <w:r>
        <w:t xml:space="preserve"> McGuire, Exhibit No. CRM-1T at 24:5-11.</w:t>
      </w:r>
    </w:p>
  </w:footnote>
  <w:footnote w:id="155">
    <w:p w14:paraId="22B497D6" w14:textId="77777777" w:rsidR="00493377" w:rsidRDefault="00493377" w:rsidP="001E57E3">
      <w:pPr>
        <w:pStyle w:val="FootnoteText"/>
        <w:spacing w:after="120"/>
      </w:pPr>
      <w:r>
        <w:rPr>
          <w:rStyle w:val="FootnoteReference"/>
        </w:rPr>
        <w:footnoteRef/>
      </w:r>
      <w:r>
        <w:t xml:space="preserve"> </w:t>
      </w:r>
      <w:r w:rsidRPr="00E3147B">
        <w:rPr>
          <w:i/>
        </w:rPr>
        <w:t>Id</w:t>
      </w:r>
      <w:r>
        <w:t>. at 24:19-21.</w:t>
      </w:r>
    </w:p>
  </w:footnote>
  <w:footnote w:id="156">
    <w:p w14:paraId="33A931BF" w14:textId="77777777" w:rsidR="00493377" w:rsidRDefault="00493377" w:rsidP="001E57E3">
      <w:pPr>
        <w:pStyle w:val="FootnoteText"/>
        <w:spacing w:after="120"/>
      </w:pPr>
      <w:r>
        <w:rPr>
          <w:rStyle w:val="FootnoteReference"/>
        </w:rPr>
        <w:footnoteRef/>
      </w:r>
      <w:r>
        <w:t xml:space="preserve"> Avista’s Brief, ¶ 3.</w:t>
      </w:r>
    </w:p>
  </w:footnote>
  <w:footnote w:id="157">
    <w:p w14:paraId="7CE644B9" w14:textId="77777777" w:rsidR="00493377" w:rsidRPr="0060362A" w:rsidRDefault="00493377" w:rsidP="001E57E3">
      <w:pPr>
        <w:tabs>
          <w:tab w:val="left" w:pos="1440"/>
        </w:tabs>
        <w:spacing w:after="120"/>
        <w:ind w:left="270" w:hanging="270"/>
        <w:jc w:val="both"/>
        <w:rPr>
          <w:sz w:val="20"/>
          <w:szCs w:val="20"/>
        </w:rPr>
      </w:pPr>
      <w:r w:rsidRPr="007E4583">
        <w:rPr>
          <w:rStyle w:val="FootnoteReference"/>
          <w:sz w:val="22"/>
        </w:rPr>
        <w:footnoteRef/>
      </w:r>
      <w:r w:rsidRPr="007E4583">
        <w:rPr>
          <w:sz w:val="22"/>
          <w:szCs w:val="20"/>
        </w:rPr>
        <w:t xml:space="preserve"> </w:t>
      </w:r>
      <w:r>
        <w:rPr>
          <w:i/>
          <w:sz w:val="22"/>
          <w:szCs w:val="20"/>
        </w:rPr>
        <w:t>Id.,</w:t>
      </w:r>
      <w:r w:rsidRPr="007E4583">
        <w:rPr>
          <w:sz w:val="22"/>
          <w:szCs w:val="20"/>
        </w:rPr>
        <w:t xml:space="preserve"> ¶ 11.</w:t>
      </w:r>
    </w:p>
  </w:footnote>
  <w:footnote w:id="158">
    <w:p w14:paraId="6F3EABFF" w14:textId="77777777" w:rsidR="00493377" w:rsidRDefault="00493377" w:rsidP="001E57E3">
      <w:pPr>
        <w:pStyle w:val="FootnoteText"/>
        <w:spacing w:after="120"/>
        <w:ind w:left="270" w:hanging="270"/>
      </w:pPr>
      <w:r>
        <w:rPr>
          <w:rStyle w:val="FootnoteReference"/>
        </w:rPr>
        <w:footnoteRef/>
      </w:r>
      <w:r>
        <w:t xml:space="preserve"> McGuire, Exh. No. CRM-1T at 28:8-10.</w:t>
      </w:r>
    </w:p>
  </w:footnote>
  <w:footnote w:id="159">
    <w:p w14:paraId="57F170C7" w14:textId="2734C0C8" w:rsidR="00493377" w:rsidRDefault="00493377" w:rsidP="000D3A6B">
      <w:pPr>
        <w:pStyle w:val="FootnoteText"/>
        <w:spacing w:after="120"/>
      </w:pPr>
      <w:r>
        <w:rPr>
          <w:rStyle w:val="FootnoteReference"/>
        </w:rPr>
        <w:footnoteRef/>
      </w:r>
      <w:r>
        <w:t xml:space="preserve"> McGuire, TR 445:24-446:3.</w:t>
      </w:r>
    </w:p>
  </w:footnote>
  <w:footnote w:id="160">
    <w:p w14:paraId="525958D6" w14:textId="2F5C04FC" w:rsidR="00493377" w:rsidRDefault="00493377" w:rsidP="001E57E3">
      <w:pPr>
        <w:pStyle w:val="FootnoteText"/>
        <w:spacing w:after="120"/>
      </w:pPr>
      <w:r>
        <w:rPr>
          <w:rStyle w:val="FootnoteReference"/>
        </w:rPr>
        <w:footnoteRef/>
      </w:r>
      <w:r>
        <w:t xml:space="preserve"> Andrews, Exh. No. EMA-1T at 14:6-7.</w:t>
      </w:r>
    </w:p>
  </w:footnote>
  <w:footnote w:id="161">
    <w:p w14:paraId="259FF9A1" w14:textId="50BE7253" w:rsidR="00493377" w:rsidRPr="00177A54" w:rsidRDefault="00493377" w:rsidP="00177A54">
      <w:pPr>
        <w:pStyle w:val="FootnoteText"/>
        <w:spacing w:after="120"/>
      </w:pPr>
      <w:r>
        <w:rPr>
          <w:rStyle w:val="FootnoteReference"/>
        </w:rPr>
        <w:footnoteRef/>
      </w:r>
      <w:r>
        <w:t xml:space="preserve"> </w:t>
      </w:r>
      <w:r>
        <w:rPr>
          <w:i/>
        </w:rPr>
        <w:t>See</w:t>
      </w:r>
      <w:r>
        <w:t xml:space="preserve"> Morris, Exh. No. SLM-1T at 10-11.</w:t>
      </w:r>
    </w:p>
  </w:footnote>
  <w:footnote w:id="162">
    <w:p w14:paraId="6745CA90" w14:textId="61426862" w:rsidR="00493377" w:rsidRPr="00177A54" w:rsidRDefault="00493377">
      <w:pPr>
        <w:pStyle w:val="FootnoteText"/>
      </w:pPr>
      <w:r>
        <w:rPr>
          <w:rStyle w:val="FootnoteReference"/>
        </w:rPr>
        <w:footnoteRef/>
      </w:r>
      <w:r>
        <w:t xml:space="preserve"> </w:t>
      </w:r>
      <w:r>
        <w:rPr>
          <w:i/>
        </w:rPr>
        <w:t>Id.</w:t>
      </w:r>
      <w:r>
        <w:t xml:space="preserve"> at 6:18-19; 7.</w:t>
      </w:r>
    </w:p>
  </w:footnote>
  <w:footnote w:id="163">
    <w:p w14:paraId="7B0419DA" w14:textId="77777777" w:rsidR="00493377" w:rsidRDefault="00493377" w:rsidP="001E57E3">
      <w:pPr>
        <w:pStyle w:val="FootnoteText"/>
        <w:spacing w:after="120"/>
      </w:pPr>
      <w:r>
        <w:rPr>
          <w:rStyle w:val="FootnoteReference"/>
        </w:rPr>
        <w:footnoteRef/>
      </w:r>
      <w:r>
        <w:t xml:space="preserve"> </w:t>
      </w:r>
      <w:r w:rsidRPr="0056083A">
        <w:t>McGuire, TR. 441:19-24</w:t>
      </w:r>
      <w:r>
        <w:t>; Norwood, Exh. No. KON-5</w:t>
      </w:r>
      <w:r w:rsidRPr="0056083A">
        <w:t>.</w:t>
      </w:r>
    </w:p>
  </w:footnote>
  <w:footnote w:id="164">
    <w:p w14:paraId="6760B5C1" w14:textId="2B7D9806" w:rsidR="00493377" w:rsidRPr="005051E5" w:rsidRDefault="00493377" w:rsidP="001E57E3">
      <w:pPr>
        <w:pStyle w:val="FootnoteText"/>
        <w:spacing w:after="120"/>
      </w:pPr>
      <w:r w:rsidRPr="005051E5">
        <w:rPr>
          <w:rStyle w:val="FootnoteReference"/>
        </w:rPr>
        <w:footnoteRef/>
      </w:r>
      <w:r>
        <w:t xml:space="preserve"> Ramas, </w:t>
      </w:r>
      <w:r w:rsidRPr="005051E5">
        <w:t>Exh. No. DMR-1T</w:t>
      </w:r>
      <w:r>
        <w:t xml:space="preserve"> at</w:t>
      </w:r>
      <w:r w:rsidRPr="005051E5">
        <w:t xml:space="preserve"> 25; </w:t>
      </w:r>
      <w:r>
        <w:t xml:space="preserve">Mullins, </w:t>
      </w:r>
      <w:r w:rsidRPr="005051E5">
        <w:t>Exh. No. BGM-1T</w:t>
      </w:r>
      <w:r>
        <w:t xml:space="preserve">at </w:t>
      </w:r>
      <w:r w:rsidRPr="005051E5">
        <w:t xml:space="preserve">8.  </w:t>
      </w:r>
    </w:p>
  </w:footnote>
  <w:footnote w:id="165">
    <w:p w14:paraId="2F5F1011" w14:textId="2299E368" w:rsidR="00493377" w:rsidRDefault="00493377" w:rsidP="00C246FA">
      <w:pPr>
        <w:pStyle w:val="FootnoteText"/>
        <w:spacing w:after="120"/>
      </w:pPr>
      <w:r>
        <w:rPr>
          <w:rStyle w:val="FootnoteReference"/>
        </w:rPr>
        <w:footnoteRef/>
      </w:r>
      <w:r>
        <w:t xml:space="preserve"> Avista notes that its </w:t>
      </w:r>
      <w:r w:rsidRPr="00125F68">
        <w:t>rate of</w:t>
      </w:r>
      <w:r>
        <w:t xml:space="preserve"> capital</w:t>
      </w:r>
      <w:r w:rsidRPr="00125F68">
        <w:t xml:space="preserve"> additions</w:t>
      </w:r>
      <w:r>
        <w:t xml:space="preserve"> increased dramatically in 2007, and has remained at an elevated rate since. </w:t>
      </w:r>
      <w:r w:rsidRPr="003528AE">
        <w:rPr>
          <w:szCs w:val="22"/>
        </w:rPr>
        <w:t>Forsyth, Exh. No. GDF-1T at 4:15</w:t>
      </w:r>
      <w:r>
        <w:rPr>
          <w:szCs w:val="22"/>
        </w:rPr>
        <w:t>-</w:t>
      </w:r>
      <w:r w:rsidRPr="003528AE">
        <w:rPr>
          <w:szCs w:val="22"/>
        </w:rPr>
        <w:t>5:15.</w:t>
      </w:r>
      <w:r>
        <w:rPr>
          <w:szCs w:val="22"/>
        </w:rPr>
        <w:t xml:space="preserve"> </w:t>
      </w:r>
    </w:p>
  </w:footnote>
  <w:footnote w:id="166">
    <w:p w14:paraId="797C7DA0" w14:textId="2B9CB26D" w:rsidR="00493377" w:rsidRDefault="00493377" w:rsidP="00C246FA">
      <w:pPr>
        <w:pStyle w:val="FootnoteText"/>
        <w:spacing w:after="120"/>
      </w:pPr>
      <w:r>
        <w:rPr>
          <w:rStyle w:val="FootnoteReference"/>
        </w:rPr>
        <w:footnoteRef/>
      </w:r>
      <w:r>
        <w:t xml:space="preserve"> Although Staff’s brief may differ in its emphasis, Mr. McGuire, the key Staff witness on attrition and final revenue requirement, was clear in his testimony and at hearing that if the Commission only used a modified historical test year with known and measurable pro forma adjustments, the Company would likely experience attrition in the rate year and would not have a reasonable opportunity to earn a fair rate of return.  McGuire, Exh. No. CRM-1T at 9:17-18; 28:8-13; McGuire, TR 437:14-20; 442:23-443:4.</w:t>
      </w:r>
    </w:p>
  </w:footnote>
  <w:footnote w:id="167">
    <w:p w14:paraId="0105F62E" w14:textId="5C929216" w:rsidR="00493377" w:rsidRDefault="00493377" w:rsidP="00533730">
      <w:pPr>
        <w:pStyle w:val="FootnoteText"/>
        <w:spacing w:after="120"/>
      </w:pPr>
      <w:r>
        <w:rPr>
          <w:rStyle w:val="FootnoteReference"/>
        </w:rPr>
        <w:footnoteRef/>
      </w:r>
      <w:r>
        <w:t xml:space="preserve"> </w:t>
      </w:r>
      <w:r w:rsidRPr="002D083A">
        <w:rPr>
          <w:i/>
        </w:rPr>
        <w:t>Avista</w:t>
      </w:r>
      <w:r w:rsidRPr="007D1A8F">
        <w:rPr>
          <w:i/>
        </w:rPr>
        <w:t xml:space="preserve"> Order 09 &amp;14</w:t>
      </w:r>
      <w:r w:rsidRPr="00C75304">
        <w:t>,</w:t>
      </w:r>
      <w:r>
        <w:rPr>
          <w:i/>
        </w:rPr>
        <w:t xml:space="preserve"> </w:t>
      </w:r>
      <w:r>
        <w:t>¶ 73. (original footnotes omitted).</w:t>
      </w:r>
    </w:p>
  </w:footnote>
  <w:footnote w:id="168">
    <w:p w14:paraId="45EE2595" w14:textId="77777777" w:rsidR="00493377" w:rsidRDefault="00493377" w:rsidP="00533730">
      <w:pPr>
        <w:pStyle w:val="FootnoteText"/>
        <w:spacing w:after="120"/>
      </w:pPr>
      <w:r>
        <w:rPr>
          <w:rStyle w:val="FootnoteReference"/>
        </w:rPr>
        <w:footnoteRef/>
      </w:r>
      <w:r>
        <w:t xml:space="preserve"> The Company used a compound growth factor</w:t>
      </w:r>
      <w:r w:rsidRPr="00236218">
        <w:rPr>
          <w:sz w:val="24"/>
          <w:szCs w:val="24"/>
        </w:rPr>
        <w:t xml:space="preserve"> </w:t>
      </w:r>
      <w:r w:rsidRPr="00236218">
        <w:t>for fitting a line to the data</w:t>
      </w:r>
      <w:r>
        <w:t>.</w:t>
      </w:r>
    </w:p>
  </w:footnote>
  <w:footnote w:id="169">
    <w:p w14:paraId="507DC678" w14:textId="0C95AE5E" w:rsidR="00493377" w:rsidRDefault="00493377" w:rsidP="00533730">
      <w:pPr>
        <w:pStyle w:val="FootnoteText"/>
        <w:spacing w:after="120"/>
      </w:pPr>
      <w:r>
        <w:rPr>
          <w:rStyle w:val="FootnoteReference"/>
        </w:rPr>
        <w:footnoteRef/>
      </w:r>
      <w:r>
        <w:t xml:space="preserve"> Staff uses a least square method for fitting a line to the data. </w:t>
      </w:r>
    </w:p>
  </w:footnote>
  <w:footnote w:id="170">
    <w:p w14:paraId="0433CD2D" w14:textId="40AD8806" w:rsidR="00493377" w:rsidRDefault="00493377" w:rsidP="00533730">
      <w:pPr>
        <w:pStyle w:val="FootnoteText"/>
        <w:spacing w:after="120"/>
      </w:pPr>
      <w:r>
        <w:rPr>
          <w:rStyle w:val="FootnoteReference"/>
        </w:rPr>
        <w:footnoteRef/>
      </w:r>
      <w:r>
        <w:t xml:space="preserve"> McGuire, TR 462:10-463:18; 481:9-15.</w:t>
      </w:r>
    </w:p>
  </w:footnote>
  <w:footnote w:id="171">
    <w:p w14:paraId="5252FA2F" w14:textId="1F4421A3" w:rsidR="00493377" w:rsidRDefault="00493377" w:rsidP="00533730">
      <w:pPr>
        <w:pStyle w:val="FootnoteText"/>
        <w:spacing w:after="120"/>
      </w:pPr>
      <w:r>
        <w:rPr>
          <w:rStyle w:val="FootnoteReference"/>
        </w:rPr>
        <w:footnoteRef/>
      </w:r>
      <w:r>
        <w:t xml:space="preserve"> </w:t>
      </w:r>
      <w:r>
        <w:rPr>
          <w:i/>
        </w:rPr>
        <w:t>Id.</w:t>
      </w:r>
      <w:r>
        <w:t xml:space="preserve"> at 484:14 – 485:11.</w:t>
      </w:r>
    </w:p>
  </w:footnote>
  <w:footnote w:id="172">
    <w:p w14:paraId="033FEACB" w14:textId="77777777" w:rsidR="00493377" w:rsidRPr="00272E0C" w:rsidRDefault="00493377" w:rsidP="00533730">
      <w:pPr>
        <w:pStyle w:val="FootnoteText"/>
        <w:spacing w:after="120"/>
        <w:rPr>
          <w:i/>
        </w:rPr>
      </w:pPr>
      <w:r w:rsidRPr="007E4583">
        <w:rPr>
          <w:rStyle w:val="FootnoteReference"/>
        </w:rPr>
        <w:footnoteRef/>
      </w:r>
      <w:r>
        <w:t xml:space="preserve"> Mullins, Exh. No. BGM-1CT at 13:5-11 (</w:t>
      </w:r>
      <w:r w:rsidRPr="00AF26C2">
        <w:rPr>
          <w:u w:val="single"/>
        </w:rPr>
        <w:t>citing</w:t>
      </w:r>
      <w:r>
        <w:t xml:space="preserve"> </w:t>
      </w:r>
      <w:r w:rsidRPr="00AF26C2">
        <w:t xml:space="preserve">Harvey Averch &amp; Leland L. Johnson, </w:t>
      </w:r>
      <w:r>
        <w:rPr>
          <w:i/>
        </w:rPr>
        <w:t xml:space="preserve">Behavior of the </w:t>
      </w:r>
      <w:r w:rsidRPr="00AF26C2">
        <w:rPr>
          <w:i/>
        </w:rPr>
        <w:t>Firm Under Regulatory Constraint</w:t>
      </w:r>
      <w:r w:rsidRPr="00AF26C2">
        <w:t>, 52 Am. Econ. Rev.</w:t>
      </w:r>
      <w:r>
        <w:t xml:space="preserve"> 996, 1052 (1962)).</w:t>
      </w:r>
    </w:p>
  </w:footnote>
  <w:footnote w:id="173">
    <w:p w14:paraId="389F206C" w14:textId="77777777" w:rsidR="00493377" w:rsidRDefault="00493377" w:rsidP="009D0D0F">
      <w:pPr>
        <w:pStyle w:val="FootnoteText"/>
        <w:spacing w:after="120"/>
        <w:ind w:left="720" w:hanging="720"/>
        <w:rPr>
          <w:u w:val="single"/>
        </w:rPr>
      </w:pPr>
      <w:r w:rsidRPr="007E4583">
        <w:rPr>
          <w:rStyle w:val="FootnoteReference"/>
        </w:rPr>
        <w:footnoteRef/>
      </w:r>
      <w:r>
        <w:t xml:space="preserve"> </w:t>
      </w:r>
      <w:r w:rsidRPr="004F2C19">
        <w:rPr>
          <w:i/>
        </w:rPr>
        <w:t>Id.</w:t>
      </w:r>
      <w:r>
        <w:t xml:space="preserve"> at 14:3-9.</w:t>
      </w:r>
    </w:p>
  </w:footnote>
  <w:footnote w:id="174">
    <w:p w14:paraId="4BAB92D2" w14:textId="5C2D9878" w:rsidR="00493377" w:rsidRDefault="00493377" w:rsidP="009D0D0F">
      <w:pPr>
        <w:pStyle w:val="FootnoteText"/>
        <w:spacing w:after="120"/>
      </w:pPr>
      <w:r>
        <w:rPr>
          <w:rStyle w:val="FootnoteReference"/>
        </w:rPr>
        <w:footnoteRef/>
      </w:r>
      <w:r>
        <w:t xml:space="preserve"> Additionally, Avista benefits from </w:t>
      </w:r>
      <w:r w:rsidRPr="008E02C3">
        <w:t xml:space="preserve">a </w:t>
      </w:r>
      <w:r>
        <w:t xml:space="preserve">full electric and natural gas </w:t>
      </w:r>
      <w:r w:rsidRPr="008E02C3">
        <w:t>decoupling mechanism</w:t>
      </w:r>
      <w:r>
        <w:t>, starting in January 2015,</w:t>
      </w:r>
      <w:r w:rsidRPr="008E02C3">
        <w:t xml:space="preserve"> which removes the link between the </w:t>
      </w:r>
      <w:r>
        <w:t>C</w:t>
      </w:r>
      <w:r w:rsidRPr="008E02C3">
        <w:t xml:space="preserve">ompany’s distribution revenues and </w:t>
      </w:r>
      <w:r>
        <w:t xml:space="preserve">its </w:t>
      </w:r>
      <w:r w:rsidRPr="008E02C3">
        <w:t>volumetric rates.</w:t>
      </w:r>
    </w:p>
  </w:footnote>
  <w:footnote w:id="175">
    <w:p w14:paraId="102C55FD" w14:textId="0681C6F4" w:rsidR="00493377" w:rsidRPr="00292923" w:rsidRDefault="00493377" w:rsidP="009D0D0F">
      <w:pPr>
        <w:pStyle w:val="FootnoteText"/>
        <w:spacing w:after="120"/>
        <w:rPr>
          <w:u w:val="single"/>
        </w:rPr>
      </w:pPr>
      <w:r w:rsidRPr="007E4583">
        <w:rPr>
          <w:rStyle w:val="FootnoteReference"/>
        </w:rPr>
        <w:footnoteRef/>
      </w:r>
      <w:r>
        <w:t xml:space="preserve"> </w:t>
      </w:r>
      <w:r>
        <w:rPr>
          <w:i/>
        </w:rPr>
        <w:t xml:space="preserve">Investigation of Possible Ratemaking Mechanisms to Address Utility Earnings Attrition, </w:t>
      </w:r>
      <w:r w:rsidRPr="00292923">
        <w:t>Docket U-150040, P</w:t>
      </w:r>
      <w:r>
        <w:t xml:space="preserve">ublic </w:t>
      </w:r>
      <w:r w:rsidRPr="00292923">
        <w:t>C</w:t>
      </w:r>
      <w:r>
        <w:t>ounsel’s</w:t>
      </w:r>
      <w:r w:rsidRPr="00292923">
        <w:t xml:space="preserve"> Comments</w:t>
      </w:r>
      <w:r>
        <w:t>,</w:t>
      </w:r>
      <w:r w:rsidRPr="00292923">
        <w:t xml:space="preserve"> </w:t>
      </w:r>
      <w:r>
        <w:t xml:space="preserve">¶ 40 </w:t>
      </w:r>
      <w:r w:rsidRPr="0088125F">
        <w:t>(Mar</w:t>
      </w:r>
      <w:r>
        <w:t>.</w:t>
      </w:r>
      <w:r w:rsidRPr="0088125F">
        <w:t xml:space="preserve"> 27, 2015)</w:t>
      </w:r>
      <w:r>
        <w:t xml:space="preserve"> (quoting the testimony of David C. Gomez in Avista’s 2014 GRC, Dockets UE-140188/UG-140149)</w:t>
      </w:r>
      <w:r w:rsidRPr="00292923">
        <w:t xml:space="preserve">. </w:t>
      </w:r>
    </w:p>
  </w:footnote>
  <w:footnote w:id="176">
    <w:p w14:paraId="6DB02C42" w14:textId="77777777" w:rsidR="00493377" w:rsidRDefault="00493377" w:rsidP="009D0D0F">
      <w:pPr>
        <w:pStyle w:val="FootnoteText"/>
        <w:spacing w:after="120"/>
      </w:pPr>
      <w:r>
        <w:rPr>
          <w:rStyle w:val="FootnoteReference"/>
        </w:rPr>
        <w:footnoteRef/>
      </w:r>
      <w:r>
        <w:t xml:space="preserve"> Schuh, Exh. No. KKS-5 (attachment NGD-7 and NGD-1.1); Kopczynski, Exh. No. DFK-1T at 20:7-21.</w:t>
      </w:r>
    </w:p>
  </w:footnote>
  <w:footnote w:id="177">
    <w:p w14:paraId="1A9EDD7C" w14:textId="77777777" w:rsidR="00493377" w:rsidRDefault="00493377" w:rsidP="009D0D0F">
      <w:pPr>
        <w:pStyle w:val="FootnoteText"/>
        <w:spacing w:after="120"/>
      </w:pPr>
      <w:r>
        <w:rPr>
          <w:rStyle w:val="FootnoteReference"/>
        </w:rPr>
        <w:footnoteRef/>
      </w:r>
      <w:r>
        <w:t xml:space="preserve"> Gomez, Exh. No. DCG-1TC at 32:8-10.</w:t>
      </w:r>
    </w:p>
  </w:footnote>
  <w:footnote w:id="178">
    <w:p w14:paraId="5BA39B1D" w14:textId="4E702928" w:rsidR="00493377" w:rsidRPr="00EF49A5" w:rsidRDefault="00493377" w:rsidP="009D0D0F">
      <w:pPr>
        <w:pStyle w:val="FootnoteText"/>
        <w:spacing w:after="120"/>
        <w:rPr>
          <w:i/>
        </w:rPr>
      </w:pPr>
      <w:r>
        <w:rPr>
          <w:rStyle w:val="FootnoteReference"/>
        </w:rPr>
        <w:footnoteRef/>
      </w:r>
      <w:r>
        <w:t xml:space="preserve"> </w:t>
      </w:r>
      <w:r>
        <w:rPr>
          <w:i/>
        </w:rPr>
        <w:t xml:space="preserve">In the Matter of the Policy of the Washington Utilities and Transportation Commission Related to Replacing Pipeline Facilities with an Elevated Risk of Failure, </w:t>
      </w:r>
      <w:r>
        <w:t xml:space="preserve">Docket No. UG-120715, </w:t>
      </w:r>
      <w:r w:rsidRPr="009905B9">
        <w:t>¶</w:t>
      </w:r>
      <w:r>
        <w:t xml:space="preserve"> </w:t>
      </w:r>
      <w:r w:rsidRPr="009905B9">
        <w:t>37</w:t>
      </w:r>
      <w:r>
        <w:t xml:space="preserve"> (Dec. 31, 2012)</w:t>
      </w:r>
      <w:r>
        <w:rPr>
          <w:i/>
        </w:rPr>
        <w:t xml:space="preserve">. </w:t>
      </w:r>
    </w:p>
  </w:footnote>
  <w:footnote w:id="179">
    <w:p w14:paraId="486C22BF" w14:textId="77777777" w:rsidR="00493377" w:rsidRDefault="00493377" w:rsidP="009D0D0F">
      <w:pPr>
        <w:pStyle w:val="FootnoteText"/>
        <w:spacing w:after="120"/>
      </w:pPr>
      <w:r>
        <w:rPr>
          <w:rStyle w:val="FootnoteReference"/>
        </w:rPr>
        <w:footnoteRef/>
      </w:r>
      <w:r>
        <w:t xml:space="preserve"> Andrews, Exh. No. EMA-5T at 33:11-15; McGuire, Exh. No. CRM-1T at 40:7-17.</w:t>
      </w:r>
    </w:p>
  </w:footnote>
  <w:footnote w:id="180">
    <w:p w14:paraId="777DCC7B" w14:textId="7DFB2C62" w:rsidR="00493377" w:rsidRDefault="00493377" w:rsidP="009D0D0F">
      <w:pPr>
        <w:pStyle w:val="FootnoteText"/>
        <w:spacing w:after="120"/>
      </w:pPr>
      <w:r>
        <w:rPr>
          <w:rStyle w:val="FootnoteReference"/>
        </w:rPr>
        <w:footnoteRef/>
      </w:r>
      <w:r>
        <w:t xml:space="preserve"> McGuire, Exh. No. CRM-40:8-17.</w:t>
      </w:r>
    </w:p>
  </w:footnote>
  <w:footnote w:id="181">
    <w:p w14:paraId="1DC89D2B" w14:textId="48EC121F" w:rsidR="00493377" w:rsidRDefault="00493377" w:rsidP="00334E8F">
      <w:pPr>
        <w:pStyle w:val="FootnoteText"/>
        <w:spacing w:after="120"/>
      </w:pPr>
      <w:r>
        <w:rPr>
          <w:rStyle w:val="FootnoteReference"/>
        </w:rPr>
        <w:footnoteRef/>
      </w:r>
      <w:r>
        <w:t xml:space="preserve"> The escalation rate for the multi-year trend must be developed using Staff’s least-squares regression methodology.</w:t>
      </w:r>
    </w:p>
  </w:footnote>
  <w:footnote w:id="182">
    <w:p w14:paraId="05BFD742" w14:textId="052AD31E" w:rsidR="00493377" w:rsidRDefault="00493377" w:rsidP="00DE1959">
      <w:pPr>
        <w:pStyle w:val="FootnoteText"/>
        <w:spacing w:after="120"/>
      </w:pPr>
      <w:r>
        <w:rPr>
          <w:rStyle w:val="FootnoteReference"/>
        </w:rPr>
        <w:footnoteRef/>
      </w:r>
      <w:r>
        <w:t xml:space="preserve"> Norwood, Exh. No. KON-1T at 9:3-7; Mullins, Exh. No. </w:t>
      </w:r>
      <w:r w:rsidRPr="00107E1D">
        <w:t>Exh. No. BGM-4C at 1</w:t>
      </w:r>
      <w:r>
        <w:t>8</w:t>
      </w:r>
      <w:r w:rsidRPr="00107E1D">
        <w:t xml:space="preserve"> (the Company’s Response to ICNU DR 69, Att. A at 37</w:t>
      </w:r>
      <w:r>
        <w:t xml:space="preserve">) (Avista’s Capital Planning Group </w:t>
      </w:r>
      <w:r w:rsidRPr="00107E1D">
        <w:t>“has a list of shovel-ready work that can be activated in November should there be any available funds.</w:t>
      </w:r>
      <w:r>
        <w:t>”).</w:t>
      </w:r>
    </w:p>
  </w:footnote>
  <w:footnote w:id="183">
    <w:p w14:paraId="2BB1A292" w14:textId="3BBA327E" w:rsidR="00493377" w:rsidRDefault="00493377" w:rsidP="00DE1959">
      <w:pPr>
        <w:pStyle w:val="FootnoteText"/>
        <w:spacing w:after="120"/>
      </w:pPr>
      <w:r>
        <w:rPr>
          <w:rStyle w:val="FootnoteReference"/>
        </w:rPr>
        <w:footnoteRef/>
      </w:r>
      <w:r>
        <w:t xml:space="preserve"> Smith, Exh. No. </w:t>
      </w:r>
      <w:r w:rsidRPr="006E4948">
        <w:t>JSS-1T</w:t>
      </w:r>
      <w:r>
        <w:t>; Smith, Exh. No. JSS-4T; Schuh, Exh. No. KKS-1T; Schuh, Exh. No. KKS-6T.</w:t>
      </w:r>
    </w:p>
  </w:footnote>
  <w:footnote w:id="184">
    <w:p w14:paraId="58B6793A" w14:textId="77777777" w:rsidR="00493377" w:rsidRDefault="00493377" w:rsidP="00DE1959">
      <w:pPr>
        <w:pStyle w:val="FootnoteText"/>
        <w:spacing w:after="120"/>
      </w:pPr>
      <w:r>
        <w:rPr>
          <w:rStyle w:val="FootnoteReference"/>
        </w:rPr>
        <w:footnoteRef/>
      </w:r>
      <w:r>
        <w:t xml:space="preserve"> LaBolle, Exh. No. LDL-1T at 21:3-22:8.</w:t>
      </w:r>
    </w:p>
  </w:footnote>
  <w:footnote w:id="185">
    <w:p w14:paraId="6B559D21" w14:textId="27846A05" w:rsidR="00493377" w:rsidRDefault="00493377" w:rsidP="00DE1959">
      <w:pPr>
        <w:pStyle w:val="FootnoteText"/>
        <w:spacing w:after="120"/>
      </w:pPr>
      <w:r>
        <w:rPr>
          <w:rStyle w:val="FootnoteReference"/>
        </w:rPr>
        <w:footnoteRef/>
      </w:r>
      <w:r>
        <w:t xml:space="preserve"> </w:t>
      </w:r>
      <w:r w:rsidRPr="000E3E7B">
        <w:rPr>
          <w:szCs w:val="22"/>
        </w:rPr>
        <w:t>Norwood, TR. 118: 9</w:t>
      </w:r>
      <w:r>
        <w:rPr>
          <w:szCs w:val="22"/>
        </w:rPr>
        <w:t>-</w:t>
      </w:r>
      <w:r w:rsidRPr="000E3E7B">
        <w:rPr>
          <w:szCs w:val="22"/>
        </w:rPr>
        <w:t>120:13.</w:t>
      </w:r>
    </w:p>
  </w:footnote>
  <w:footnote w:id="186">
    <w:p w14:paraId="672F459F" w14:textId="77777777" w:rsidR="00493377" w:rsidRDefault="00493377" w:rsidP="00D65ABF">
      <w:pPr>
        <w:pStyle w:val="FootnoteText"/>
        <w:spacing w:after="120"/>
      </w:pPr>
      <w:r w:rsidRPr="007E4583">
        <w:rPr>
          <w:rStyle w:val="FootnoteReference"/>
        </w:rPr>
        <w:footnoteRef/>
      </w:r>
      <w:r>
        <w:t xml:space="preserve"> ICNU’s Brief, ¶ 12.   </w:t>
      </w:r>
    </w:p>
  </w:footnote>
  <w:footnote w:id="187">
    <w:p w14:paraId="363EB4F0" w14:textId="77777777" w:rsidR="00493377" w:rsidRDefault="00493377" w:rsidP="00D65ABF">
      <w:pPr>
        <w:pStyle w:val="FootnoteText"/>
        <w:spacing w:after="120"/>
      </w:pPr>
      <w:r>
        <w:rPr>
          <w:rStyle w:val="FootnoteReference"/>
        </w:rPr>
        <w:footnoteRef/>
      </w:r>
      <w:r>
        <w:t xml:space="preserve"> Schuh, Exh. No. KKS-1T at 4:16-20.</w:t>
      </w:r>
    </w:p>
  </w:footnote>
  <w:footnote w:id="188">
    <w:p w14:paraId="1EB0230C" w14:textId="77777777" w:rsidR="00493377" w:rsidRDefault="00493377" w:rsidP="00D65ABF">
      <w:pPr>
        <w:pStyle w:val="FootnoteText"/>
        <w:spacing w:after="120"/>
      </w:pPr>
      <w:r>
        <w:rPr>
          <w:rStyle w:val="FootnoteReference"/>
        </w:rPr>
        <w:footnoteRef/>
      </w:r>
      <w:r>
        <w:t xml:space="preserve"> M</w:t>
      </w:r>
      <w:r w:rsidRPr="00AE2A0B">
        <w:t>ost projects</w:t>
      </w:r>
      <w:r>
        <w:t xml:space="preserve"> did not list any </w:t>
      </w:r>
      <w:r w:rsidRPr="00AE2A0B">
        <w:t>alternative</w:t>
      </w:r>
      <w:r>
        <w:t>s</w:t>
      </w:r>
      <w:r w:rsidRPr="00AE2A0B">
        <w:t xml:space="preserve">. </w:t>
      </w:r>
      <w:r>
        <w:t>O</w:t>
      </w:r>
      <w:r w:rsidRPr="00AE2A0B">
        <w:t xml:space="preserve">f those </w:t>
      </w:r>
      <w:r>
        <w:t xml:space="preserve">projects </w:t>
      </w:r>
      <w:r w:rsidRPr="00AE2A0B">
        <w:t>that list</w:t>
      </w:r>
      <w:r>
        <w:t>ed</w:t>
      </w:r>
      <w:r w:rsidRPr="00AE2A0B">
        <w:t xml:space="preserve"> alternatives, </w:t>
      </w:r>
      <w:r>
        <w:t xml:space="preserve">most include only a </w:t>
      </w:r>
      <w:r w:rsidRPr="00AE2A0B">
        <w:t>no action</w:t>
      </w:r>
      <w:r>
        <w:t xml:space="preserve"> alternative</w:t>
      </w:r>
      <w:r w:rsidRPr="00AE2A0B">
        <w:t>. Of the distribution projects over $20</w:t>
      </w:r>
      <w:r>
        <w:t xml:space="preserve"> </w:t>
      </w:r>
      <w:r w:rsidRPr="00AE2A0B">
        <w:t>m</w:t>
      </w:r>
      <w:r>
        <w:t>illion</w:t>
      </w:r>
      <w:r w:rsidRPr="00AE2A0B">
        <w:t xml:space="preserve">, only Wood Pole Management included </w:t>
      </w:r>
      <w:r>
        <w:t xml:space="preserve">an </w:t>
      </w:r>
      <w:r w:rsidRPr="00AE2A0B">
        <w:t>alternatives</w:t>
      </w:r>
      <w:r>
        <w:t xml:space="preserve"> beyond no action</w:t>
      </w:r>
      <w:r w:rsidRPr="00AE2A0B">
        <w:t>.</w:t>
      </w:r>
    </w:p>
  </w:footnote>
  <w:footnote w:id="189">
    <w:p w14:paraId="663D3E40" w14:textId="1414AEF6" w:rsidR="00493377" w:rsidRDefault="00493377" w:rsidP="00D65ABF">
      <w:pPr>
        <w:pStyle w:val="FootnoteText"/>
        <w:spacing w:after="120"/>
      </w:pPr>
      <w:r>
        <w:rPr>
          <w:rStyle w:val="FootnoteReference"/>
        </w:rPr>
        <w:footnoteRef/>
      </w:r>
      <w:r>
        <w:t xml:space="preserve"> </w:t>
      </w:r>
      <w:r w:rsidRPr="000E3E7B">
        <w:rPr>
          <w:szCs w:val="22"/>
        </w:rPr>
        <w:t>Norwood, TR 119:9-16.</w:t>
      </w:r>
      <w:r w:rsidRPr="008256F8">
        <w:rPr>
          <w:sz w:val="24"/>
          <w:szCs w:val="24"/>
        </w:rPr>
        <w:t xml:space="preserve"> </w:t>
      </w:r>
    </w:p>
  </w:footnote>
  <w:footnote w:id="190">
    <w:p w14:paraId="568A149C" w14:textId="77777777" w:rsidR="00493377" w:rsidRDefault="00493377" w:rsidP="00D65ABF">
      <w:pPr>
        <w:spacing w:after="120"/>
      </w:pPr>
      <w:r w:rsidRPr="005C1472">
        <w:rPr>
          <w:rStyle w:val="FootnoteReference"/>
          <w:sz w:val="22"/>
        </w:rPr>
        <w:footnoteRef/>
      </w:r>
      <w:r w:rsidRPr="005C1472">
        <w:rPr>
          <w:sz w:val="22"/>
        </w:rPr>
        <w:t xml:space="preserve"> The </w:t>
      </w:r>
      <w:r w:rsidRPr="007658CE">
        <w:rPr>
          <w:sz w:val="22"/>
        </w:rPr>
        <w:t>2013 Asset Management Distribution Program Update</w:t>
      </w:r>
      <w:r>
        <w:rPr>
          <w:sz w:val="22"/>
        </w:rPr>
        <w:t xml:space="preserve"> </w:t>
      </w:r>
      <w:r w:rsidRPr="005C1472">
        <w:rPr>
          <w:sz w:val="22"/>
        </w:rPr>
        <w:t>provides a detailed assessment of the benefits associated with some of Avista’s asset management programs, including reduced outage frequency, and associated operations and maintenance savings. These metrics are valuable, and provide information to assist the Company in making prudent investment decisions. It may be useful for Avista to work with Staff to provide this information in a more refined format. However, the majority of programs and assets listed do not have an asset management program, or specific metrics to track their impact on system safety or reliability.</w:t>
      </w:r>
      <w:r w:rsidRPr="005C1472">
        <w:rPr>
          <w:sz w:val="20"/>
        </w:rPr>
        <w:t xml:space="preserve">  </w:t>
      </w:r>
      <w:r w:rsidRPr="007658CE">
        <w:rPr>
          <w:sz w:val="22"/>
        </w:rPr>
        <w:t xml:space="preserve">Labolle, Exh. No. LDL-2.  </w:t>
      </w:r>
    </w:p>
  </w:footnote>
  <w:footnote w:id="191">
    <w:p w14:paraId="5A501506" w14:textId="6106F941" w:rsidR="00493377" w:rsidRDefault="00493377" w:rsidP="00D65ABF">
      <w:pPr>
        <w:pStyle w:val="FootnoteText"/>
        <w:spacing w:after="120"/>
      </w:pPr>
      <w:r>
        <w:rPr>
          <w:rStyle w:val="FootnoteReference"/>
        </w:rPr>
        <w:footnoteRef/>
      </w:r>
      <w:r>
        <w:t xml:space="preserve"> </w:t>
      </w:r>
      <w:r>
        <w:rPr>
          <w:i/>
        </w:rPr>
        <w:t>In the Matter of the Petition of Puget Sound Energy and Northwest Energy Coalition for an Order Authorizing PSE to Implement Electric and Natural Gas Decoupling Mechanisms and to Record Accounting Entries Asso</w:t>
      </w:r>
      <w:r w:rsidR="00FD5E4F">
        <w:rPr>
          <w:i/>
        </w:rPr>
        <w:t>c</w:t>
      </w:r>
      <w:r>
        <w:rPr>
          <w:i/>
        </w:rPr>
        <w:t xml:space="preserve">iated with the Mechanisms, </w:t>
      </w:r>
      <w:r>
        <w:t>Dockets No. UE-130137 and UG-130138 (consolidated), Order 07, ¶ 171 (June 25, 2013).</w:t>
      </w:r>
    </w:p>
  </w:footnote>
  <w:footnote w:id="192">
    <w:p w14:paraId="4D4369A3" w14:textId="77777777" w:rsidR="00493377" w:rsidRDefault="00493377" w:rsidP="00D65ABF">
      <w:pPr>
        <w:pStyle w:val="FootnoteText"/>
        <w:spacing w:after="120"/>
      </w:pPr>
      <w:r>
        <w:rPr>
          <w:rStyle w:val="FootnoteReference"/>
        </w:rPr>
        <w:footnoteRef/>
      </w:r>
      <w:r>
        <w:t xml:space="preserve"> Norwood, TR 97:10-25.</w:t>
      </w:r>
    </w:p>
  </w:footnote>
  <w:footnote w:id="193">
    <w:p w14:paraId="2EA9AFDB" w14:textId="34F2FF1A" w:rsidR="00493377" w:rsidRDefault="00493377" w:rsidP="00A23E61">
      <w:pPr>
        <w:pStyle w:val="FootnoteText"/>
        <w:spacing w:after="120"/>
      </w:pPr>
      <w:r>
        <w:rPr>
          <w:rStyle w:val="FootnoteReference"/>
        </w:rPr>
        <w:footnoteRef/>
      </w:r>
      <w:r>
        <w:t xml:space="preserve"> </w:t>
      </w:r>
      <w:r w:rsidRPr="003868A4">
        <w:rPr>
          <w:szCs w:val="22"/>
        </w:rPr>
        <w:t>Hancock, Exh. No.</w:t>
      </w:r>
      <w:r>
        <w:rPr>
          <w:szCs w:val="22"/>
        </w:rPr>
        <w:t xml:space="preserve"> CSH-2 at </w:t>
      </w:r>
      <w:r w:rsidRPr="003868A4">
        <w:rPr>
          <w:szCs w:val="22"/>
        </w:rPr>
        <w:t xml:space="preserve">1 </w:t>
      </w:r>
      <w:r>
        <w:rPr>
          <w:szCs w:val="22"/>
        </w:rPr>
        <w:t>(</w:t>
      </w:r>
      <w:r>
        <w:t>Revised Oct. 13, 2015).</w:t>
      </w:r>
    </w:p>
  </w:footnote>
  <w:footnote w:id="194">
    <w:p w14:paraId="28EF562B" w14:textId="27E29600" w:rsidR="00493377" w:rsidRPr="00544A34" w:rsidRDefault="00493377" w:rsidP="00D65ABF">
      <w:pPr>
        <w:pStyle w:val="FootnoteText"/>
        <w:spacing w:after="120"/>
      </w:pPr>
      <w:r w:rsidRPr="00544A34">
        <w:rPr>
          <w:rStyle w:val="FootnoteReference"/>
        </w:rPr>
        <w:footnoteRef/>
      </w:r>
      <w:r w:rsidRPr="00544A34">
        <w:t xml:space="preserve"> </w:t>
      </w:r>
      <w:r w:rsidRPr="00544A34">
        <w:rPr>
          <w:i/>
        </w:rPr>
        <w:t>See</w:t>
      </w:r>
      <w:r w:rsidRPr="00544A34">
        <w:t xml:space="preserve"> </w:t>
      </w:r>
      <w:r w:rsidRPr="00544A34">
        <w:rPr>
          <w:i/>
        </w:rPr>
        <w:t xml:space="preserve">Fed.  Power Comm 'n v. Hope Natural Gas Co., </w:t>
      </w:r>
      <w:r w:rsidRPr="00544A34">
        <w:t>320 U.S. 591, 603, 64 S. Ct. 281, 88 L. Ed. 333 (1944) (</w:t>
      </w:r>
      <w:r w:rsidRPr="00544A34">
        <w:rPr>
          <w:i/>
        </w:rPr>
        <w:t>Hope</w:t>
      </w:r>
      <w:r w:rsidRPr="00544A34">
        <w:t xml:space="preserve">) (the methods by which government regulators determine a utility's  rate are inconsequential so long as the </w:t>
      </w:r>
      <w:r w:rsidRPr="00544A34">
        <w:rPr>
          <w:i/>
        </w:rPr>
        <w:t xml:space="preserve">end result </w:t>
      </w:r>
      <w:r w:rsidRPr="00544A34">
        <w:t>is fair).</w:t>
      </w:r>
    </w:p>
  </w:footnote>
  <w:footnote w:id="195">
    <w:p w14:paraId="00C97AB4" w14:textId="77777777" w:rsidR="00493377" w:rsidRPr="00544A34" w:rsidRDefault="00493377" w:rsidP="00D65ABF">
      <w:pPr>
        <w:pStyle w:val="FootnoteText"/>
        <w:spacing w:after="120"/>
      </w:pPr>
      <w:r w:rsidRPr="00544A34">
        <w:rPr>
          <w:rStyle w:val="FootnoteReference"/>
        </w:rPr>
        <w:footnoteRef/>
      </w:r>
      <w:r w:rsidRPr="00544A34">
        <w:t xml:space="preserve"> </w:t>
      </w:r>
      <w:r w:rsidRPr="00544A34">
        <w:rPr>
          <w:i/>
        </w:rPr>
        <w:t xml:space="preserve">Id. </w:t>
      </w:r>
      <w:r w:rsidRPr="00544A34">
        <w:t>at 602.</w:t>
      </w:r>
    </w:p>
  </w:footnote>
  <w:footnote w:id="196">
    <w:p w14:paraId="4C74FF04" w14:textId="77777777" w:rsidR="00493377" w:rsidRPr="00544A34" w:rsidRDefault="00493377" w:rsidP="00D65ABF">
      <w:pPr>
        <w:pStyle w:val="FootnoteText"/>
        <w:spacing w:after="120"/>
      </w:pPr>
      <w:r w:rsidRPr="00544A34">
        <w:rPr>
          <w:rStyle w:val="FootnoteReference"/>
        </w:rPr>
        <w:footnoteRef/>
      </w:r>
      <w:r w:rsidRPr="00544A34">
        <w:t xml:space="preserve"> </w:t>
      </w:r>
      <w:r w:rsidRPr="00544A34">
        <w:rPr>
          <w:i/>
        </w:rPr>
        <w:t>Id.</w:t>
      </w:r>
      <w:r w:rsidRPr="00544A34">
        <w:t xml:space="preserve"> This language became known as the "end result" test.</w:t>
      </w:r>
    </w:p>
  </w:footnote>
  <w:footnote w:id="197">
    <w:p w14:paraId="3F681C10" w14:textId="6838EB18" w:rsidR="00493377" w:rsidRPr="00544A34" w:rsidRDefault="00493377" w:rsidP="00D65ABF">
      <w:pPr>
        <w:pStyle w:val="FootnoteText"/>
        <w:spacing w:after="120"/>
      </w:pPr>
      <w:r w:rsidRPr="00544A34">
        <w:rPr>
          <w:rStyle w:val="FootnoteReference"/>
        </w:rPr>
        <w:footnoteRef/>
      </w:r>
      <w:r w:rsidRPr="00544A34">
        <w:t xml:space="preserve"> </w:t>
      </w:r>
      <w:r w:rsidRPr="00D05CA9">
        <w:rPr>
          <w:i/>
        </w:rPr>
        <w:t xml:space="preserve">In re Permian Basin Area Rate Cases, </w:t>
      </w:r>
      <w:r w:rsidRPr="00D05CA9">
        <w:t>390 U.S. 747, 791–92, 88 S. Ct. 1344, 1372–73, 20 L. Ed. 2d 312 (1968) (</w:t>
      </w:r>
      <w:r w:rsidRPr="00D05CA9">
        <w:rPr>
          <w:i/>
        </w:rPr>
        <w:t>Permian Basin</w:t>
      </w:r>
      <w:r w:rsidRPr="00D05CA9">
        <w:t>)</w:t>
      </w:r>
      <w:r w:rsidRPr="00544A34">
        <w:t xml:space="preserve">. </w:t>
      </w:r>
      <w:r>
        <w:t xml:space="preserve">The Court stated: “The Commission cannot confine its inquiries either to the computation of costs of service or to conjectures about prospective responses of the capital market; it is instead obliged at each step of the regulatory process to assess the requirements of the broad public interests entrusted to its protection by Congress.  Accordingly, the ‘end result’ of the Commission’s order must be measured as much by the success with which they protect those interests as by the effectiveness with which they ‘maintain credit … and … attract capital’.” 390 U.S. at 791. </w:t>
      </w:r>
      <w:r w:rsidRPr="00544A34">
        <w:t xml:space="preserve">See also, </w:t>
      </w:r>
      <w:r w:rsidRPr="00DF45DE">
        <w:rPr>
          <w:i/>
        </w:rPr>
        <w:t>People’s Organization for Washington Energy Resources v. Washington Utilities &amp; Transportation Comm’n</w:t>
      </w:r>
      <w:r w:rsidRPr="00DF45DE">
        <w:t xml:space="preserve">, 104 Wn.2d 798, </w:t>
      </w:r>
      <w:r w:rsidRPr="00544A34">
        <w:t>811-12</w:t>
      </w:r>
      <w:r w:rsidRPr="00DF45DE">
        <w:t xml:space="preserve">, 711 P.2d 319 (1985) </w:t>
      </w:r>
      <w:r>
        <w:t>(</w:t>
      </w:r>
      <w:r w:rsidRPr="00544A34">
        <w:rPr>
          <w:i/>
        </w:rPr>
        <w:t>POWER</w:t>
      </w:r>
      <w:r>
        <w:t xml:space="preserve">) </w:t>
      </w:r>
      <w:r w:rsidRPr="00544A34">
        <w:t xml:space="preserve">(quoting </w:t>
      </w:r>
      <w:r w:rsidRPr="00544A34">
        <w:rPr>
          <w:i/>
        </w:rPr>
        <w:t>Permian Basin</w:t>
      </w:r>
      <w:r w:rsidRPr="00544A34">
        <w:t>).</w:t>
      </w:r>
    </w:p>
  </w:footnote>
  <w:footnote w:id="198">
    <w:p w14:paraId="18096E6D" w14:textId="77777777" w:rsidR="00493377" w:rsidRDefault="00493377" w:rsidP="00D65ABF">
      <w:pPr>
        <w:pStyle w:val="FootnoteText"/>
        <w:spacing w:after="120"/>
      </w:pPr>
      <w:r>
        <w:rPr>
          <w:rStyle w:val="FootnoteReference"/>
        </w:rPr>
        <w:footnoteRef/>
      </w:r>
      <w:r>
        <w:t xml:space="preserve"> In addition to </w:t>
      </w:r>
      <w:r w:rsidRPr="00FA0F7C">
        <w:rPr>
          <w:i/>
        </w:rPr>
        <w:t>Hope</w:t>
      </w:r>
      <w:r>
        <w:t xml:space="preserve"> and </w:t>
      </w:r>
      <w:r w:rsidRPr="00FA0F7C">
        <w:rPr>
          <w:i/>
        </w:rPr>
        <w:t>Permian Basin</w:t>
      </w:r>
      <w:r>
        <w:t xml:space="preserve">, the Court cites </w:t>
      </w:r>
      <w:r w:rsidRPr="00FA0F7C">
        <w:rPr>
          <w:i/>
        </w:rPr>
        <w:t>Jewell v. State Utils. &amp; Transp.</w:t>
      </w:r>
      <w:r w:rsidRPr="00FA0F7C">
        <w:t xml:space="preserve"> </w:t>
      </w:r>
      <w:r w:rsidRPr="00FA0F7C">
        <w:rPr>
          <w:i/>
        </w:rPr>
        <w:t>Comm'n</w:t>
      </w:r>
      <w:r w:rsidRPr="00FA0F7C">
        <w:t>, 90 Wash.2d 775, 776, 585 P.2d 1167 (1978).</w:t>
      </w:r>
    </w:p>
  </w:footnote>
  <w:footnote w:id="199">
    <w:p w14:paraId="3CDE128E" w14:textId="77777777" w:rsidR="00493377" w:rsidRPr="00544A34" w:rsidRDefault="00493377" w:rsidP="00D65ABF">
      <w:pPr>
        <w:pStyle w:val="FootnoteText"/>
        <w:spacing w:after="120"/>
      </w:pPr>
      <w:r w:rsidRPr="00544A34">
        <w:rPr>
          <w:rStyle w:val="FootnoteReference"/>
        </w:rPr>
        <w:footnoteRef/>
      </w:r>
      <w:r w:rsidRPr="00544A34">
        <w:t xml:space="preserve"> 104 Wn.2d at 812.</w:t>
      </w:r>
    </w:p>
  </w:footnote>
  <w:footnote w:id="200">
    <w:p w14:paraId="2E7AABF3" w14:textId="77777777" w:rsidR="00493377" w:rsidRPr="00544A34" w:rsidRDefault="00493377" w:rsidP="00D65ABF">
      <w:pPr>
        <w:pStyle w:val="FootnoteText"/>
        <w:spacing w:after="120"/>
      </w:pPr>
      <w:r w:rsidRPr="00544A34">
        <w:rPr>
          <w:rStyle w:val="FootnoteReference"/>
        </w:rPr>
        <w:footnoteRef/>
      </w:r>
      <w:r w:rsidRPr="00544A34">
        <w:t xml:space="preserve"> </w:t>
      </w:r>
      <w:r w:rsidRPr="00544A34">
        <w:rPr>
          <w:i/>
        </w:rPr>
        <w:t>Id.</w:t>
      </w:r>
    </w:p>
  </w:footnote>
  <w:footnote w:id="201">
    <w:p w14:paraId="3323655E" w14:textId="77777777" w:rsidR="00493377" w:rsidRPr="00544A34" w:rsidRDefault="00493377" w:rsidP="00D65ABF">
      <w:pPr>
        <w:pStyle w:val="FootnoteText"/>
        <w:spacing w:after="120"/>
      </w:pPr>
      <w:r w:rsidRPr="00544A34">
        <w:rPr>
          <w:rStyle w:val="FootnoteReference"/>
        </w:rPr>
        <w:footnoteRef/>
      </w:r>
      <w:r w:rsidRPr="00544A34">
        <w:t xml:space="preserve"> </w:t>
      </w:r>
      <w:r w:rsidRPr="00544A34">
        <w:rPr>
          <w:i/>
        </w:rPr>
        <w:t>Id.</w:t>
      </w:r>
      <w:r w:rsidRPr="00544A34">
        <w:t xml:space="preserve"> at 813 (quoting </w:t>
      </w:r>
      <w:r w:rsidRPr="00544A34">
        <w:rPr>
          <w:i/>
        </w:rPr>
        <w:t>Bluefield Water Works &amp; Imp. Co. v. Public Serv. Comm'n</w:t>
      </w:r>
      <w:r w:rsidRPr="00544A34">
        <w:t>, 262 U.S. 679, 692, 43 S.Ct. 675, 67 L.Ed. 1176 (1923)).</w:t>
      </w:r>
    </w:p>
  </w:footnote>
  <w:footnote w:id="202">
    <w:p w14:paraId="3C2456FA" w14:textId="63ABCE81" w:rsidR="00493377" w:rsidRDefault="00493377" w:rsidP="007D1A8F">
      <w:pPr>
        <w:pStyle w:val="FootnoteText"/>
        <w:spacing w:after="120"/>
      </w:pPr>
      <w:r>
        <w:rPr>
          <w:rStyle w:val="FootnoteReference"/>
        </w:rPr>
        <w:footnoteRef/>
      </w:r>
      <w:r>
        <w:t xml:space="preserve"> These two modifications are in addition to the four corrections the Company makes on rebuttal to Staff’s attrition analysis.</w:t>
      </w:r>
    </w:p>
  </w:footnote>
  <w:footnote w:id="203">
    <w:p w14:paraId="5CA33CCE" w14:textId="77777777" w:rsidR="00493377" w:rsidRDefault="00493377" w:rsidP="00C847BF">
      <w:pPr>
        <w:pStyle w:val="FootnoteText"/>
        <w:spacing w:after="120"/>
      </w:pPr>
      <w:r>
        <w:rPr>
          <w:rStyle w:val="FootnoteReference"/>
        </w:rPr>
        <w:footnoteRef/>
      </w:r>
      <w:r>
        <w:t xml:space="preserve"> Andrews, Exh. No. EMA-1T at 28:6-8.</w:t>
      </w:r>
    </w:p>
  </w:footnote>
  <w:footnote w:id="204">
    <w:p w14:paraId="7D6091DC" w14:textId="5A4C296F" w:rsidR="00493377" w:rsidRDefault="00493377" w:rsidP="00C847BF">
      <w:pPr>
        <w:pStyle w:val="FootnoteText"/>
        <w:spacing w:after="120"/>
      </w:pPr>
      <w:r>
        <w:rPr>
          <w:rStyle w:val="FootnoteReference"/>
        </w:rPr>
        <w:footnoteRef/>
      </w:r>
      <w:r>
        <w:t xml:space="preserve"> </w:t>
      </w:r>
      <w:r w:rsidRPr="00FC3A50">
        <w:rPr>
          <w:i/>
        </w:rPr>
        <w:t>Id</w:t>
      </w:r>
      <w:r>
        <w:t xml:space="preserve">. at 28:3-5. Mr. McGuire states that despite several requests, </w:t>
      </w:r>
      <w:r w:rsidRPr="00885624">
        <w:t xml:space="preserve">Staff </w:t>
      </w:r>
      <w:r>
        <w:t>“</w:t>
      </w:r>
      <w:r w:rsidRPr="00885624">
        <w:t>could not determine whether the proposed 3.0 percent growth rate was reasonable or unreasonable.</w:t>
      </w:r>
      <w:r>
        <w:t>” McGuire, Exh. No. CRM-1T at 40:11-12.</w:t>
      </w:r>
    </w:p>
  </w:footnote>
  <w:footnote w:id="205">
    <w:p w14:paraId="7CC89BC1" w14:textId="36DE5B9F" w:rsidR="00493377" w:rsidRDefault="00493377" w:rsidP="00C847BF">
      <w:pPr>
        <w:pStyle w:val="FootnoteText"/>
        <w:spacing w:after="120"/>
      </w:pPr>
      <w:r>
        <w:rPr>
          <w:rStyle w:val="FootnoteReference"/>
        </w:rPr>
        <w:footnoteRef/>
      </w:r>
      <w:r>
        <w:t xml:space="preserve">  </w:t>
      </w:r>
      <w:r w:rsidRPr="007D1A8F">
        <w:rPr>
          <w:i/>
        </w:rPr>
        <w:t>Id</w:t>
      </w:r>
      <w:r>
        <w:t>. at 39:8-40:17.</w:t>
      </w:r>
    </w:p>
  </w:footnote>
  <w:footnote w:id="206">
    <w:p w14:paraId="370C3E9D" w14:textId="77777777" w:rsidR="00493377" w:rsidRDefault="00493377" w:rsidP="00C847BF">
      <w:pPr>
        <w:pStyle w:val="FootnoteText"/>
        <w:spacing w:after="120"/>
      </w:pPr>
      <w:r>
        <w:rPr>
          <w:rStyle w:val="FootnoteReference"/>
        </w:rPr>
        <w:footnoteRef/>
      </w:r>
      <w:r>
        <w:t xml:space="preserve"> Andrews, Exh. No. EMA-5T at 29:6-33:10.</w:t>
      </w:r>
    </w:p>
  </w:footnote>
  <w:footnote w:id="207">
    <w:p w14:paraId="0B58DC66" w14:textId="7E8D70A6" w:rsidR="00493377" w:rsidRDefault="00493377" w:rsidP="00C847BF">
      <w:pPr>
        <w:pStyle w:val="FootnoteText"/>
        <w:spacing w:after="120"/>
      </w:pPr>
      <w:r>
        <w:rPr>
          <w:rStyle w:val="FootnoteReference"/>
        </w:rPr>
        <w:footnoteRef/>
      </w:r>
      <w:r>
        <w:t xml:space="preserve"> </w:t>
      </w:r>
      <w:r w:rsidRPr="007D1A8F">
        <w:rPr>
          <w:i/>
        </w:rPr>
        <w:t>Id</w:t>
      </w:r>
      <w:r>
        <w:t>. at 32:7-16 (Table No. 6).</w:t>
      </w:r>
    </w:p>
  </w:footnote>
  <w:footnote w:id="208">
    <w:p w14:paraId="2C0D8438" w14:textId="77777777" w:rsidR="00493377" w:rsidRPr="009A3E87" w:rsidRDefault="00493377" w:rsidP="00C847BF">
      <w:pPr>
        <w:pStyle w:val="FootnoteText"/>
        <w:spacing w:after="120"/>
      </w:pPr>
      <w:r w:rsidRPr="009A3E87">
        <w:rPr>
          <w:rStyle w:val="FootnoteReference"/>
        </w:rPr>
        <w:footnoteRef/>
      </w:r>
      <w:r w:rsidRPr="009A3E87">
        <w:t xml:space="preserve"> Gomez, Exh. DCG-1CT at 62:12-13.</w:t>
      </w:r>
    </w:p>
  </w:footnote>
  <w:footnote w:id="209">
    <w:p w14:paraId="1D96115E" w14:textId="77777777" w:rsidR="00493377" w:rsidRDefault="00493377" w:rsidP="00C847BF">
      <w:pPr>
        <w:pStyle w:val="FootnoteText"/>
        <w:spacing w:after="120"/>
      </w:pPr>
      <w:r>
        <w:rPr>
          <w:rStyle w:val="FootnoteReference"/>
        </w:rPr>
        <w:footnoteRef/>
      </w:r>
      <w:r>
        <w:t xml:space="preserve"> Cebulko, Exh. No. BTC at 2:18-20.</w:t>
      </w:r>
    </w:p>
  </w:footnote>
  <w:footnote w:id="210">
    <w:p w14:paraId="6C7F3C6F" w14:textId="77777777" w:rsidR="00493377" w:rsidRPr="00931D6F" w:rsidRDefault="00493377" w:rsidP="00272E0C">
      <w:pPr>
        <w:spacing w:after="120"/>
        <w:rPr>
          <w:sz w:val="22"/>
          <w:szCs w:val="22"/>
        </w:rPr>
      </w:pPr>
      <w:r w:rsidRPr="00931D6F">
        <w:rPr>
          <w:rStyle w:val="FootnoteReference"/>
          <w:sz w:val="22"/>
          <w:szCs w:val="22"/>
        </w:rPr>
        <w:footnoteRef/>
      </w:r>
      <w:r w:rsidRPr="00931D6F">
        <w:rPr>
          <w:sz w:val="22"/>
          <w:szCs w:val="22"/>
        </w:rPr>
        <w:t xml:space="preserve"> Norwood, Exh. No. KON-1T at 45:15-46:6; Andrews, Exh. No. EMA-5T at 13:6-15:8; Smith, Exh. No. JSS-4T at 23:2-3. Avista no longer supports its two earlier positions regarding major maintenance.</w:t>
      </w:r>
    </w:p>
  </w:footnote>
  <w:footnote w:id="211">
    <w:p w14:paraId="683E6216" w14:textId="77777777" w:rsidR="00493377" w:rsidRDefault="00493377" w:rsidP="00272E0C">
      <w:pPr>
        <w:pStyle w:val="FootnoteText"/>
        <w:spacing w:after="120"/>
      </w:pPr>
      <w:r>
        <w:rPr>
          <w:rStyle w:val="FootnoteReference"/>
        </w:rPr>
        <w:footnoteRef/>
      </w:r>
      <w:r>
        <w:t xml:space="preserve"> </w:t>
      </w:r>
      <w:r w:rsidRPr="002611B2">
        <w:rPr>
          <w:rFonts w:eastAsia="Calibri"/>
        </w:rPr>
        <w:t>At Colstrip, major maintenance occurs on each unit every three years.</w:t>
      </w:r>
      <w:r>
        <w:rPr>
          <w:rFonts w:eastAsia="Calibri"/>
        </w:rPr>
        <w:t xml:space="preserve"> </w:t>
      </w:r>
      <w:r w:rsidRPr="004C459D">
        <w:t>Johnson, Exh. No. WGJ-1T at 14:8-9.</w:t>
      </w:r>
      <w:r>
        <w:t xml:space="preserve"> </w:t>
      </w:r>
      <w:r w:rsidRPr="002611B2">
        <w:rPr>
          <w:rFonts w:eastAsia="Calibri"/>
        </w:rPr>
        <w:t>At Coyote Springs 2, major maintenance normally occurs every four years.</w:t>
      </w:r>
      <w:r>
        <w:rPr>
          <w:rFonts w:eastAsia="Calibri"/>
        </w:rPr>
        <w:t xml:space="preserve"> </w:t>
      </w:r>
      <w:r w:rsidRPr="004C459D">
        <w:t>Ball, Exh. No. JLB-1T at 13:8.</w:t>
      </w:r>
    </w:p>
  </w:footnote>
  <w:footnote w:id="212">
    <w:p w14:paraId="3C45D842" w14:textId="77777777" w:rsidR="00493377" w:rsidRPr="004C459D" w:rsidRDefault="00493377" w:rsidP="00272E0C">
      <w:pPr>
        <w:pStyle w:val="FootnoteText"/>
        <w:spacing w:after="120"/>
      </w:pPr>
      <w:r w:rsidRPr="004C459D">
        <w:rPr>
          <w:rStyle w:val="FootnoteReference"/>
        </w:rPr>
        <w:footnoteRef/>
      </w:r>
      <w:r w:rsidRPr="004C459D">
        <w:t xml:space="preserve"> Johnson, Exh. No. WGJ-1T at 15:3-4</w:t>
      </w:r>
      <w:r>
        <w:t>; Ball, Exh. No. JLB-1T at 9:6-11</w:t>
      </w:r>
      <w:r w:rsidRPr="004C459D">
        <w:t>.</w:t>
      </w:r>
    </w:p>
  </w:footnote>
  <w:footnote w:id="213">
    <w:p w14:paraId="5E8635E4" w14:textId="77777777" w:rsidR="00493377" w:rsidRPr="001F290E" w:rsidRDefault="00493377" w:rsidP="004C5235">
      <w:pPr>
        <w:pStyle w:val="FootnoteText"/>
        <w:spacing w:after="120"/>
      </w:pPr>
      <w:r w:rsidRPr="004C459D">
        <w:rPr>
          <w:rStyle w:val="FootnoteReference"/>
        </w:rPr>
        <w:footnoteRef/>
      </w:r>
      <w:r w:rsidRPr="004C459D">
        <w:t xml:space="preserve"> Johnson, Exh. No. WGJ-1T at 15:3-4. Avista states that “both plants have highly variable maintenance schedules that are dependent on factors outside the Company’s control,” but does not explain why costs will be higher. </w:t>
      </w:r>
      <w:r w:rsidRPr="004C459D">
        <w:rPr>
          <w:i/>
        </w:rPr>
        <w:t>Id</w:t>
      </w:r>
      <w:r w:rsidRPr="004C459D">
        <w:t>. at 14:15-17.</w:t>
      </w:r>
    </w:p>
  </w:footnote>
  <w:footnote w:id="214">
    <w:p w14:paraId="5DCE4478" w14:textId="77777777" w:rsidR="00493377" w:rsidRPr="004C459D" w:rsidRDefault="00493377" w:rsidP="004C5235">
      <w:pPr>
        <w:pStyle w:val="FootnoteText"/>
        <w:spacing w:after="120"/>
      </w:pPr>
      <w:r w:rsidRPr="004C459D">
        <w:rPr>
          <w:rStyle w:val="FootnoteReference"/>
        </w:rPr>
        <w:footnoteRef/>
      </w:r>
      <w:r w:rsidRPr="004C459D">
        <w:t xml:space="preserve"> Johnson, Exh. No. WGJ-1T at 15:5-7.</w:t>
      </w:r>
    </w:p>
  </w:footnote>
  <w:footnote w:id="215">
    <w:p w14:paraId="4D2584DD" w14:textId="6C4C3BF9" w:rsidR="00493377" w:rsidRDefault="00493377" w:rsidP="004C5235">
      <w:pPr>
        <w:pStyle w:val="FootnoteText"/>
        <w:spacing w:after="120"/>
      </w:pPr>
      <w:r w:rsidRPr="003532D8">
        <w:rPr>
          <w:rStyle w:val="FootnoteReference"/>
          <w:szCs w:val="22"/>
        </w:rPr>
        <w:footnoteRef/>
      </w:r>
      <w:r w:rsidRPr="003532D8">
        <w:rPr>
          <w:szCs w:val="22"/>
        </w:rPr>
        <w:t xml:space="preserve"> In its initial filing, Avista proposed to move the recovery of O&amp;M expenses at Colstrip and Coyote Springs 2 from general rates to the Energy Recovery Mechanism (ERM). In the Settlement, Avista dropped its request to recover these expenses through the ERM. </w:t>
      </w:r>
      <w:r>
        <w:rPr>
          <w:szCs w:val="22"/>
        </w:rPr>
        <w:t>Subsequently</w:t>
      </w:r>
      <w:r w:rsidRPr="003532D8">
        <w:rPr>
          <w:szCs w:val="22"/>
        </w:rPr>
        <w:t>, Avista proposed to recover the entire cost of forecasted generation plant O&amp;M, including major maintenance, through general rates in one year. Norwood, Exh. No. KON-1T at 43:1-3. In response testimony</w:t>
      </w:r>
      <w:r>
        <w:rPr>
          <w:szCs w:val="22"/>
        </w:rPr>
        <w:t>,</w:t>
      </w:r>
      <w:r w:rsidRPr="003532D8">
        <w:rPr>
          <w:szCs w:val="22"/>
        </w:rPr>
        <w:t xml:space="preserve"> ICNU, P</w:t>
      </w:r>
      <w:r w:rsidRPr="00347940">
        <w:rPr>
          <w:szCs w:val="22"/>
        </w:rPr>
        <w:t xml:space="preserve">ublic Counsel, and Staff objected to including the entire major maintenance amount in </w:t>
      </w:r>
      <w:r>
        <w:rPr>
          <w:szCs w:val="22"/>
        </w:rPr>
        <w:t>a single</w:t>
      </w:r>
      <w:r w:rsidRPr="00347940">
        <w:rPr>
          <w:szCs w:val="22"/>
        </w:rPr>
        <w:t xml:space="preserve"> year’s rates because major maintenance does not occur every year. Mullins, Exh. No. BGM-1T at 36:7-16; Ball, Exh. No. JLB-1T at 13:5-11; Ramas, Exh. No. </w:t>
      </w:r>
      <w:r w:rsidRPr="000F2A00">
        <w:rPr>
          <w:szCs w:val="22"/>
        </w:rPr>
        <w:t>DMR-1T at 50:2-9. Staff notes that Avista’s second proposal would provide the Company</w:t>
      </w:r>
      <w:r w:rsidRPr="004C459D">
        <w:t xml:space="preserve"> revenue to fully recover these costs every year until the next rate proceeding</w:t>
      </w:r>
      <w:r>
        <w:t>,</w:t>
      </w:r>
      <w:r w:rsidRPr="004C459D">
        <w:t xml:space="preserve"> even though these costs do not occur every year. Ball, Exh. No. JLB-1T at 13:5-11.</w:t>
      </w:r>
    </w:p>
  </w:footnote>
  <w:footnote w:id="216">
    <w:p w14:paraId="3366E0E3" w14:textId="77777777" w:rsidR="00493377" w:rsidRPr="004C459D" w:rsidRDefault="00493377" w:rsidP="004C5235">
      <w:pPr>
        <w:pStyle w:val="FootnoteText"/>
        <w:spacing w:after="120"/>
      </w:pPr>
      <w:r w:rsidRPr="004C459D">
        <w:rPr>
          <w:rStyle w:val="FootnoteReference"/>
        </w:rPr>
        <w:footnoteRef/>
      </w:r>
      <w:r w:rsidRPr="004C459D">
        <w:t xml:space="preserve"> Norwood, Exh. No. KON-1T at 45:15-46:6.</w:t>
      </w:r>
    </w:p>
  </w:footnote>
  <w:footnote w:id="217">
    <w:p w14:paraId="0CCE2CB3" w14:textId="77777777" w:rsidR="00493377" w:rsidRPr="004C459D" w:rsidRDefault="00493377" w:rsidP="004C5235">
      <w:pPr>
        <w:pStyle w:val="FootnoteText"/>
        <w:spacing w:after="120"/>
      </w:pPr>
      <w:r w:rsidRPr="004C459D">
        <w:rPr>
          <w:rStyle w:val="FootnoteReference"/>
        </w:rPr>
        <w:footnoteRef/>
      </w:r>
      <w:r w:rsidRPr="004C459D">
        <w:t xml:space="preserve"> In Avista’s initial filing, test year expenses for Colstrip O&amp;M included a one-time refund. On rebuttal Avista adds Electric Adjustment 4.06N to remove this one-time refund and increase Colstrip’s Washington-allocated test year expenses by $1.09 million. Andrews, Exh. No. EMA-5T at 14:1-15:8.</w:t>
      </w:r>
    </w:p>
  </w:footnote>
  <w:footnote w:id="218">
    <w:p w14:paraId="5C958666" w14:textId="77777777" w:rsidR="00493377" w:rsidRDefault="00493377" w:rsidP="004C5235">
      <w:pPr>
        <w:pStyle w:val="FootnoteText"/>
        <w:spacing w:after="120"/>
      </w:pPr>
      <w:r w:rsidRPr="004C459D">
        <w:rPr>
          <w:rStyle w:val="FootnoteReference"/>
        </w:rPr>
        <w:footnoteRef/>
      </w:r>
      <w:r w:rsidRPr="004C459D">
        <w:t xml:space="preserve"> Smith, Exh. No. JSS-4T at 23:2-3.</w:t>
      </w:r>
    </w:p>
  </w:footnote>
  <w:footnote w:id="219">
    <w:p w14:paraId="6F51D9CF" w14:textId="77777777" w:rsidR="00493377" w:rsidRDefault="00493377" w:rsidP="00AE3DB9">
      <w:pPr>
        <w:pStyle w:val="FootnoteText"/>
        <w:spacing w:after="120"/>
      </w:pPr>
      <w:r>
        <w:rPr>
          <w:rStyle w:val="FootnoteReference"/>
        </w:rPr>
        <w:footnoteRef/>
      </w:r>
      <w:r>
        <w:t xml:space="preserve"> </w:t>
      </w:r>
      <w:r w:rsidRPr="00DE497D">
        <w:t>Normaliz</w:t>
      </w:r>
      <w:r>
        <w:t>ed expenses or normaliz</w:t>
      </w:r>
      <w:r w:rsidRPr="00DE497D">
        <w:t>ation is the replacement of test year expense levels with a multi-year average of expenses.</w:t>
      </w:r>
    </w:p>
  </w:footnote>
  <w:footnote w:id="220">
    <w:p w14:paraId="321DC37A" w14:textId="77777777" w:rsidR="00493377" w:rsidRPr="004C459D" w:rsidRDefault="00493377" w:rsidP="00AE3DB9">
      <w:pPr>
        <w:pStyle w:val="FootnoteText"/>
        <w:spacing w:after="120"/>
      </w:pPr>
      <w:r w:rsidRPr="004C459D">
        <w:rPr>
          <w:rStyle w:val="FootnoteReference"/>
        </w:rPr>
        <w:footnoteRef/>
      </w:r>
      <w:r w:rsidRPr="004C459D">
        <w:t xml:space="preserve"> Mullins, Exh. No. BGM-1T at 36:21-37:3.</w:t>
      </w:r>
    </w:p>
  </w:footnote>
  <w:footnote w:id="221">
    <w:p w14:paraId="3AE0DABD" w14:textId="77777777" w:rsidR="00493377" w:rsidRDefault="00493377" w:rsidP="00AE3DB9">
      <w:pPr>
        <w:pStyle w:val="FootnoteText"/>
        <w:spacing w:after="120"/>
      </w:pPr>
      <w:r>
        <w:rPr>
          <w:rStyle w:val="FootnoteReference"/>
        </w:rPr>
        <w:footnoteRef/>
      </w:r>
      <w:r>
        <w:t xml:space="preserve"> </w:t>
      </w:r>
      <w:r w:rsidRPr="004C459D">
        <w:t>Ball, Exh. No. JLB-1T at 12</w:t>
      </w:r>
      <w:r>
        <w:t xml:space="preserve">:2-6. </w:t>
      </w:r>
      <w:r w:rsidRPr="00F93270">
        <w:rPr>
          <w:rFonts w:eastAsia="Calibri"/>
        </w:rPr>
        <w:t>Basic O&amp;M includes all expenses that are not major maintenance.</w:t>
      </w:r>
    </w:p>
  </w:footnote>
  <w:footnote w:id="222">
    <w:p w14:paraId="5F346012" w14:textId="329F93D8" w:rsidR="00493377" w:rsidRPr="004C459D" w:rsidRDefault="00493377" w:rsidP="00AE3DB9">
      <w:pPr>
        <w:pStyle w:val="FootnoteText"/>
        <w:spacing w:after="120"/>
        <w:rPr>
          <w:i/>
        </w:rPr>
      </w:pPr>
      <w:r w:rsidRPr="004C459D">
        <w:rPr>
          <w:rStyle w:val="FootnoteReference"/>
        </w:rPr>
        <w:footnoteRef/>
      </w:r>
      <w:r w:rsidRPr="004C459D">
        <w:t xml:space="preserve"> </w:t>
      </w:r>
      <w:r>
        <w:t>Staff’s</w:t>
      </w:r>
      <w:r w:rsidRPr="004C459D">
        <w:t xml:space="preserve"> </w:t>
      </w:r>
      <w:r>
        <w:t>analysis</w:t>
      </w:r>
      <w:r w:rsidRPr="004C459D">
        <w:t xml:space="preserve"> involves Colstrip and Coyote Springs 2 only.</w:t>
      </w:r>
    </w:p>
  </w:footnote>
  <w:footnote w:id="223">
    <w:p w14:paraId="77568374" w14:textId="77777777" w:rsidR="00493377" w:rsidRPr="004C459D" w:rsidRDefault="00493377" w:rsidP="00AE3DB9">
      <w:pPr>
        <w:pStyle w:val="FootnoteText"/>
        <w:spacing w:after="120"/>
      </w:pPr>
      <w:r w:rsidRPr="004C459D">
        <w:rPr>
          <w:rStyle w:val="FootnoteReference"/>
        </w:rPr>
        <w:footnoteRef/>
      </w:r>
      <w:r w:rsidRPr="004C459D">
        <w:t xml:space="preserve"> Ball, Exh. No. JLB-1T at 12:14-20. </w:t>
      </w:r>
      <w:r>
        <w:t xml:space="preserve">We note that </w:t>
      </w:r>
      <w:r w:rsidRPr="004C459D">
        <w:t xml:space="preserve">Staff </w:t>
      </w:r>
      <w:r>
        <w:t xml:space="preserve">does not specify what analysis Mr. Ball used to create the </w:t>
      </w:r>
      <w:r w:rsidRPr="004C459D">
        <w:t>line of best fit.</w:t>
      </w:r>
    </w:p>
  </w:footnote>
  <w:footnote w:id="224">
    <w:p w14:paraId="4CFDEF14" w14:textId="19804C23" w:rsidR="00493377" w:rsidRPr="004C459D" w:rsidRDefault="00493377" w:rsidP="00AE3DB9">
      <w:pPr>
        <w:pStyle w:val="FootnoteText"/>
        <w:spacing w:after="120"/>
      </w:pPr>
      <w:r w:rsidRPr="004C459D">
        <w:rPr>
          <w:rStyle w:val="FootnoteReference"/>
        </w:rPr>
        <w:footnoteRef/>
      </w:r>
      <w:r w:rsidRPr="004C459D">
        <w:t xml:space="preserve"> Ball, Exh. No. JLB-4C at 2 and 4. </w:t>
      </w:r>
    </w:p>
  </w:footnote>
  <w:footnote w:id="225">
    <w:p w14:paraId="44C9A882" w14:textId="77777777" w:rsidR="00493377" w:rsidRPr="004C459D" w:rsidRDefault="00493377" w:rsidP="00AE3DB9">
      <w:pPr>
        <w:pStyle w:val="FootnoteText"/>
        <w:spacing w:after="120"/>
        <w:rPr>
          <w:szCs w:val="22"/>
        </w:rPr>
      </w:pPr>
      <w:r w:rsidRPr="004C459D">
        <w:rPr>
          <w:rStyle w:val="FootnoteReference"/>
          <w:szCs w:val="22"/>
        </w:rPr>
        <w:footnoteRef/>
      </w:r>
      <w:r w:rsidRPr="004C459D">
        <w:rPr>
          <w:szCs w:val="22"/>
        </w:rPr>
        <w:t xml:space="preserve"> Ball, Exh. No. JLB-1T at 13:15-19.</w:t>
      </w:r>
    </w:p>
  </w:footnote>
  <w:footnote w:id="226">
    <w:p w14:paraId="07525FB1" w14:textId="77777777" w:rsidR="00493377" w:rsidRPr="004C459D" w:rsidRDefault="00493377" w:rsidP="00AE3DB9">
      <w:pPr>
        <w:pStyle w:val="FootnoteText"/>
        <w:spacing w:after="120"/>
        <w:rPr>
          <w:szCs w:val="22"/>
        </w:rPr>
      </w:pPr>
      <w:r w:rsidRPr="004C459D">
        <w:rPr>
          <w:rStyle w:val="FootnoteReference"/>
          <w:szCs w:val="22"/>
        </w:rPr>
        <w:footnoteRef/>
      </w:r>
      <w:r w:rsidRPr="004C459D">
        <w:rPr>
          <w:szCs w:val="22"/>
        </w:rPr>
        <w:t xml:space="preserve"> </w:t>
      </w:r>
      <w:r>
        <w:rPr>
          <w:i/>
          <w:szCs w:val="22"/>
        </w:rPr>
        <w:t>Id.</w:t>
      </w:r>
      <w:r w:rsidRPr="004C459D">
        <w:rPr>
          <w:szCs w:val="22"/>
        </w:rPr>
        <w:t xml:space="preserve"> at 15:15-18.</w:t>
      </w:r>
    </w:p>
  </w:footnote>
  <w:footnote w:id="227">
    <w:p w14:paraId="7E2DC251" w14:textId="77777777" w:rsidR="00493377" w:rsidRPr="004C459D" w:rsidRDefault="00493377" w:rsidP="00AE3DB9">
      <w:pPr>
        <w:pStyle w:val="FootnoteText"/>
        <w:spacing w:after="120"/>
        <w:rPr>
          <w:szCs w:val="22"/>
        </w:rPr>
      </w:pPr>
      <w:r w:rsidRPr="004C459D">
        <w:rPr>
          <w:rStyle w:val="FootnoteReference"/>
          <w:szCs w:val="22"/>
        </w:rPr>
        <w:footnoteRef/>
      </w:r>
      <w:r w:rsidRPr="004C459D">
        <w:rPr>
          <w:szCs w:val="22"/>
        </w:rPr>
        <w:t xml:space="preserve"> </w:t>
      </w:r>
      <w:r>
        <w:rPr>
          <w:i/>
          <w:szCs w:val="22"/>
        </w:rPr>
        <w:t>Id.</w:t>
      </w:r>
      <w:r w:rsidRPr="004C459D">
        <w:rPr>
          <w:szCs w:val="22"/>
        </w:rPr>
        <w:t xml:space="preserve"> at 14:3-12.</w:t>
      </w:r>
    </w:p>
  </w:footnote>
  <w:footnote w:id="228">
    <w:p w14:paraId="3C84A665" w14:textId="77777777" w:rsidR="00493377" w:rsidRPr="004C459D" w:rsidRDefault="00493377" w:rsidP="00AE3DB9">
      <w:pPr>
        <w:pStyle w:val="FootnoteText"/>
        <w:spacing w:after="120"/>
      </w:pPr>
      <w:r w:rsidRPr="004C459D">
        <w:rPr>
          <w:rStyle w:val="FootnoteReference"/>
        </w:rPr>
        <w:footnoteRef/>
      </w:r>
      <w:r w:rsidRPr="004C459D">
        <w:t xml:space="preserve"> Mullins, Exh. No. BGM-1T at 36:19-21; Ball, Exh. No. JLB-1T at 13:5-11.</w:t>
      </w:r>
    </w:p>
  </w:footnote>
  <w:footnote w:id="229">
    <w:p w14:paraId="47F04C07" w14:textId="77777777" w:rsidR="00493377" w:rsidRDefault="00493377" w:rsidP="00AE3DB9">
      <w:pPr>
        <w:pStyle w:val="FootnoteText"/>
        <w:spacing w:after="120"/>
      </w:pPr>
      <w:r>
        <w:rPr>
          <w:rStyle w:val="FootnoteReference"/>
        </w:rPr>
        <w:footnoteRef/>
      </w:r>
      <w:r>
        <w:t xml:space="preserve"> Ramas, Exh. No. DMR-1CT at 51:21-52:6. </w:t>
      </w:r>
      <w:r w:rsidRPr="009A4C27">
        <w:t>Public Counsel’s analysis of historical O&amp;M data was particularly informative</w:t>
      </w:r>
      <w:r>
        <w:t>. Ramas, Exh. No. DMR-2 at 7</w:t>
      </w:r>
      <w:r w:rsidRPr="004C459D">
        <w:t>.</w:t>
      </w:r>
    </w:p>
  </w:footnote>
  <w:footnote w:id="230">
    <w:p w14:paraId="68A1927D" w14:textId="77777777" w:rsidR="00493377" w:rsidRPr="004C459D" w:rsidRDefault="00493377" w:rsidP="00AE3DB9">
      <w:pPr>
        <w:pStyle w:val="FootnoteText"/>
        <w:spacing w:after="120"/>
        <w:rPr>
          <w:szCs w:val="22"/>
        </w:rPr>
      </w:pPr>
      <w:r w:rsidRPr="004C459D">
        <w:rPr>
          <w:rStyle w:val="FootnoteReference"/>
          <w:szCs w:val="22"/>
        </w:rPr>
        <w:footnoteRef/>
      </w:r>
      <w:r w:rsidRPr="004C459D">
        <w:rPr>
          <w:szCs w:val="22"/>
        </w:rPr>
        <w:t xml:space="preserve"> Norwood, Exh. No. KON-1T at 44:18-20.</w:t>
      </w:r>
    </w:p>
  </w:footnote>
  <w:footnote w:id="231">
    <w:p w14:paraId="197DBF79" w14:textId="77777777" w:rsidR="00493377" w:rsidRDefault="00493377" w:rsidP="00AE3DB9">
      <w:pPr>
        <w:pStyle w:val="FootnoteText"/>
        <w:spacing w:after="120"/>
      </w:pPr>
      <w:r>
        <w:rPr>
          <w:rStyle w:val="FootnoteReference"/>
        </w:rPr>
        <w:footnoteRef/>
      </w:r>
      <w:r>
        <w:t xml:space="preserve"> </w:t>
      </w:r>
      <w:r>
        <w:rPr>
          <w:i/>
          <w:szCs w:val="22"/>
        </w:rPr>
        <w:t>Id.</w:t>
      </w:r>
      <w:r w:rsidRPr="004C459D">
        <w:rPr>
          <w:szCs w:val="22"/>
        </w:rPr>
        <w:t xml:space="preserve"> at 45:</w:t>
      </w:r>
      <w:r>
        <w:rPr>
          <w:szCs w:val="22"/>
        </w:rPr>
        <w:t>2</w:t>
      </w:r>
      <w:r w:rsidRPr="004C459D">
        <w:rPr>
          <w:szCs w:val="22"/>
        </w:rPr>
        <w:t>-14.</w:t>
      </w:r>
    </w:p>
  </w:footnote>
  <w:footnote w:id="232">
    <w:p w14:paraId="08273451" w14:textId="77777777" w:rsidR="00493377" w:rsidRPr="004C459D" w:rsidRDefault="00493377" w:rsidP="00AE3DB9">
      <w:pPr>
        <w:pStyle w:val="FootnoteText"/>
        <w:spacing w:after="120"/>
        <w:rPr>
          <w:szCs w:val="22"/>
        </w:rPr>
      </w:pPr>
      <w:r w:rsidRPr="004C459D">
        <w:rPr>
          <w:rStyle w:val="FootnoteReference"/>
          <w:szCs w:val="22"/>
        </w:rPr>
        <w:footnoteRef/>
      </w:r>
      <w:r w:rsidRPr="004C459D">
        <w:rPr>
          <w:szCs w:val="22"/>
        </w:rPr>
        <w:t xml:space="preserve"> </w:t>
      </w:r>
      <w:r>
        <w:rPr>
          <w:i/>
          <w:szCs w:val="22"/>
        </w:rPr>
        <w:t>Id.</w:t>
      </w:r>
      <w:r w:rsidRPr="004C459D">
        <w:rPr>
          <w:szCs w:val="22"/>
        </w:rPr>
        <w:t xml:space="preserve"> at 45:5-14.</w:t>
      </w:r>
    </w:p>
  </w:footnote>
  <w:footnote w:id="233">
    <w:p w14:paraId="630EB31B" w14:textId="1BB066D8" w:rsidR="00493377" w:rsidRPr="004C459D" w:rsidRDefault="00493377" w:rsidP="00AE3DB9">
      <w:pPr>
        <w:pStyle w:val="FootnoteText"/>
        <w:spacing w:after="120"/>
      </w:pPr>
      <w:r w:rsidRPr="004C459D">
        <w:rPr>
          <w:rStyle w:val="FootnoteReference"/>
        </w:rPr>
        <w:footnoteRef/>
      </w:r>
      <w:r w:rsidRPr="004C459D">
        <w:t xml:space="preserve"> </w:t>
      </w:r>
      <w:r w:rsidRPr="007D1A8F">
        <w:rPr>
          <w:i/>
        </w:rPr>
        <w:t>Id</w:t>
      </w:r>
      <w:r>
        <w:t>.</w:t>
      </w:r>
      <w:r w:rsidRPr="004C459D">
        <w:t xml:space="preserve"> at 47:3-5.</w:t>
      </w:r>
    </w:p>
  </w:footnote>
  <w:footnote w:id="234">
    <w:p w14:paraId="45FA0F0A" w14:textId="77777777" w:rsidR="00493377" w:rsidRPr="004C459D" w:rsidRDefault="00493377" w:rsidP="00AE3DB9">
      <w:pPr>
        <w:pStyle w:val="FootnoteText"/>
        <w:spacing w:after="120"/>
      </w:pPr>
      <w:r w:rsidRPr="004C459D">
        <w:rPr>
          <w:rStyle w:val="FootnoteReference"/>
        </w:rPr>
        <w:footnoteRef/>
      </w:r>
      <w:r w:rsidRPr="004C459D">
        <w:t xml:space="preserve"> </w:t>
      </w:r>
      <w:r>
        <w:rPr>
          <w:i/>
        </w:rPr>
        <w:t>Id.</w:t>
      </w:r>
      <w:r w:rsidRPr="004C459D">
        <w:t xml:space="preserve"> at 45:3-9.</w:t>
      </w:r>
    </w:p>
  </w:footnote>
  <w:footnote w:id="235">
    <w:p w14:paraId="251FD29E" w14:textId="77777777" w:rsidR="00493377" w:rsidRPr="004C459D" w:rsidRDefault="00493377" w:rsidP="00AE3DB9">
      <w:pPr>
        <w:pStyle w:val="FootnoteText"/>
        <w:spacing w:after="120"/>
      </w:pPr>
      <w:r w:rsidRPr="004C459D">
        <w:rPr>
          <w:rStyle w:val="FootnoteReference"/>
        </w:rPr>
        <w:footnoteRef/>
      </w:r>
      <w:r w:rsidRPr="004C459D">
        <w:t xml:space="preserve"> </w:t>
      </w:r>
      <w:r>
        <w:rPr>
          <w:i/>
        </w:rPr>
        <w:t>Id.</w:t>
      </w:r>
      <w:r w:rsidRPr="004C459D">
        <w:t xml:space="preserve"> at 45:12-14.</w:t>
      </w:r>
    </w:p>
  </w:footnote>
  <w:footnote w:id="236">
    <w:p w14:paraId="50DFC506" w14:textId="3A2795F3" w:rsidR="00493377" w:rsidRPr="004C459D" w:rsidRDefault="00493377" w:rsidP="00AE3DB9">
      <w:pPr>
        <w:pStyle w:val="FootnoteText"/>
        <w:spacing w:after="120"/>
      </w:pPr>
      <w:r w:rsidRPr="004C459D">
        <w:rPr>
          <w:rStyle w:val="FootnoteReference"/>
        </w:rPr>
        <w:footnoteRef/>
      </w:r>
      <w:r w:rsidRPr="004C459D">
        <w:t xml:space="preserve"> </w:t>
      </w:r>
      <w:r>
        <w:rPr>
          <w:i/>
        </w:rPr>
        <w:t>Id.</w:t>
      </w:r>
      <w:r w:rsidRPr="004C459D">
        <w:t xml:space="preserve"> at 47:20-48:19</w:t>
      </w:r>
      <w:r>
        <w:t>.</w:t>
      </w:r>
    </w:p>
  </w:footnote>
  <w:footnote w:id="237">
    <w:p w14:paraId="29B77298" w14:textId="77777777" w:rsidR="00493377" w:rsidRPr="000F2A00" w:rsidRDefault="00493377" w:rsidP="00AE3DB9">
      <w:pPr>
        <w:pStyle w:val="FootnoteText"/>
        <w:spacing w:after="120"/>
        <w:rPr>
          <w:szCs w:val="22"/>
        </w:rPr>
      </w:pPr>
      <w:r w:rsidRPr="000F2A00">
        <w:rPr>
          <w:rStyle w:val="FootnoteReference"/>
          <w:szCs w:val="22"/>
        </w:rPr>
        <w:footnoteRef/>
      </w:r>
      <w:r w:rsidRPr="000F2A00">
        <w:rPr>
          <w:szCs w:val="22"/>
        </w:rPr>
        <w:t xml:space="preserve"> ICNU</w:t>
      </w:r>
      <w:r>
        <w:rPr>
          <w:szCs w:val="22"/>
        </w:rPr>
        <w:t>’s Brief,</w:t>
      </w:r>
      <w:r w:rsidRPr="000F2A00">
        <w:rPr>
          <w:szCs w:val="22"/>
        </w:rPr>
        <w:t xml:space="preserve"> ¶ 49.</w:t>
      </w:r>
    </w:p>
  </w:footnote>
  <w:footnote w:id="238">
    <w:p w14:paraId="7DB3E8BD" w14:textId="77777777" w:rsidR="00493377" w:rsidRDefault="00493377" w:rsidP="00AE3DB9">
      <w:pPr>
        <w:pStyle w:val="FootnoteText"/>
        <w:spacing w:after="120"/>
      </w:pPr>
      <w:r w:rsidRPr="004C459D">
        <w:rPr>
          <w:rStyle w:val="FootnoteReference"/>
        </w:rPr>
        <w:footnoteRef/>
      </w:r>
      <w:r w:rsidRPr="004C459D">
        <w:t xml:space="preserve"> Ramas, Exh. No. DMR-1T at 53:14-20; Ramas, Exh. No. DMR-2 at 8.</w:t>
      </w:r>
    </w:p>
  </w:footnote>
  <w:footnote w:id="239">
    <w:p w14:paraId="79F48B59" w14:textId="77777777" w:rsidR="00493377" w:rsidRDefault="00493377" w:rsidP="00CD6F72">
      <w:pPr>
        <w:pStyle w:val="FootnoteText"/>
        <w:spacing w:after="120"/>
      </w:pPr>
      <w:r w:rsidRPr="004913D6">
        <w:rPr>
          <w:rStyle w:val="FootnoteReference"/>
        </w:rPr>
        <w:footnoteRef/>
      </w:r>
      <w:r w:rsidRPr="004913D6">
        <w:t xml:space="preserve"> Staff</w:t>
      </w:r>
      <w:r>
        <w:t>’s Brief,</w:t>
      </w:r>
      <w:r w:rsidRPr="004913D6">
        <w:t xml:space="preserve"> ¶ 108.</w:t>
      </w:r>
    </w:p>
  </w:footnote>
  <w:footnote w:id="240">
    <w:p w14:paraId="3592DCBA" w14:textId="77777777" w:rsidR="00493377" w:rsidRPr="004C459D" w:rsidRDefault="00493377" w:rsidP="00AE3DB9">
      <w:pPr>
        <w:pStyle w:val="FootnoteText"/>
        <w:spacing w:after="120"/>
      </w:pPr>
      <w:r w:rsidRPr="004C459D">
        <w:rPr>
          <w:rStyle w:val="FootnoteReference"/>
        </w:rPr>
        <w:footnoteRef/>
      </w:r>
      <w:r w:rsidRPr="004C459D">
        <w:t xml:space="preserve"> Ball, Exh. No. JLB-1T at 8:3-9:3.</w:t>
      </w:r>
    </w:p>
  </w:footnote>
  <w:footnote w:id="241">
    <w:p w14:paraId="614F2B73" w14:textId="77777777" w:rsidR="00493377" w:rsidRDefault="00493377" w:rsidP="00227194">
      <w:pPr>
        <w:pStyle w:val="FootnoteText"/>
        <w:spacing w:after="120"/>
      </w:pPr>
      <w:r>
        <w:rPr>
          <w:rStyle w:val="FootnoteReference"/>
        </w:rPr>
        <w:footnoteRef/>
      </w:r>
      <w:r>
        <w:t xml:space="preserve"> Kensok, Exh. No. JMK-1T at 19:14-15.</w:t>
      </w:r>
    </w:p>
  </w:footnote>
  <w:footnote w:id="242">
    <w:p w14:paraId="3542B3B8" w14:textId="27CACE3A" w:rsidR="00493377" w:rsidRPr="0001384F" w:rsidRDefault="00493377" w:rsidP="00227194">
      <w:pPr>
        <w:pStyle w:val="FootnoteText"/>
        <w:spacing w:after="120"/>
      </w:pPr>
      <w:r w:rsidRPr="0001384F">
        <w:rPr>
          <w:rStyle w:val="FootnoteReference"/>
        </w:rPr>
        <w:footnoteRef/>
      </w:r>
      <w:r w:rsidRPr="0001384F">
        <w:t xml:space="preserve"> </w:t>
      </w:r>
      <w:r w:rsidRPr="001F064A">
        <w:rPr>
          <w:i/>
        </w:rPr>
        <w:t>WUTC v. Avista</w:t>
      </w:r>
      <w:r>
        <w:rPr>
          <w:i/>
        </w:rPr>
        <w:t>,</w:t>
      </w:r>
      <w:r w:rsidRPr="0001384F">
        <w:t xml:space="preserve"> Dockets UE-140188 and UG-140189 (</w:t>
      </w:r>
      <w:r w:rsidRPr="00D20511">
        <w:t>consolidated</w:t>
      </w:r>
      <w:r w:rsidRPr="0001384F">
        <w:t>), Full Settlement Stipulation, ¶ 7</w:t>
      </w:r>
      <w:r>
        <w:t xml:space="preserve"> (Aug. 18, 2014)</w:t>
      </w:r>
      <w:r w:rsidRPr="0001384F">
        <w:t>.</w:t>
      </w:r>
    </w:p>
  </w:footnote>
  <w:footnote w:id="243">
    <w:p w14:paraId="5AF5649F" w14:textId="77777777" w:rsidR="00493377" w:rsidRPr="0001384F" w:rsidRDefault="00493377" w:rsidP="00227194">
      <w:pPr>
        <w:pStyle w:val="FootnoteText"/>
        <w:spacing w:after="120"/>
      </w:pPr>
      <w:r w:rsidRPr="0001384F">
        <w:rPr>
          <w:rStyle w:val="FootnoteReference"/>
        </w:rPr>
        <w:footnoteRef/>
      </w:r>
      <w:r w:rsidRPr="0001384F">
        <w:t xml:space="preserve"> Kensok, Exh. No. JMK-1T at 19:14-15; Smith, Exh. No. JSS-1T at 50:13-18; Smith, Exh. No. JSS-3 at 9, column 4.05.</w:t>
      </w:r>
    </w:p>
  </w:footnote>
  <w:footnote w:id="244">
    <w:p w14:paraId="13220C3E" w14:textId="24BB46AF" w:rsidR="00493377" w:rsidRPr="0001384F" w:rsidRDefault="00493377" w:rsidP="00227194">
      <w:pPr>
        <w:pStyle w:val="FootnoteText"/>
        <w:spacing w:after="120"/>
      </w:pPr>
      <w:r w:rsidRPr="0001384F">
        <w:rPr>
          <w:rStyle w:val="FootnoteReference"/>
        </w:rPr>
        <w:footnoteRef/>
      </w:r>
      <w:r w:rsidRPr="0001384F">
        <w:t xml:space="preserve"> Gomez, Exh. No. DCG-1TC at 49:10-13</w:t>
      </w:r>
      <w:r>
        <w:t>;</w:t>
      </w:r>
      <w:r w:rsidRPr="0001384F">
        <w:t xml:space="preserve"> 50:8. Shaded information is confidential.</w:t>
      </w:r>
    </w:p>
  </w:footnote>
  <w:footnote w:id="245">
    <w:p w14:paraId="1C3C7041" w14:textId="77777777" w:rsidR="00493377" w:rsidRPr="0001384F" w:rsidRDefault="00493377" w:rsidP="00227194">
      <w:pPr>
        <w:pStyle w:val="FootnoteText"/>
        <w:spacing w:after="120"/>
      </w:pPr>
      <w:r w:rsidRPr="0001384F">
        <w:rPr>
          <w:rStyle w:val="FootnoteReference"/>
        </w:rPr>
        <w:footnoteRef/>
      </w:r>
      <w:r w:rsidRPr="0001384F">
        <w:t xml:space="preserve"> </w:t>
      </w:r>
      <w:r w:rsidRPr="0001384F">
        <w:rPr>
          <w:i/>
        </w:rPr>
        <w:t>Id.</w:t>
      </w:r>
      <w:r w:rsidRPr="0001384F">
        <w:t xml:space="preserve"> at 49:13-16. Staff identifies various expense levels associated with Project Compass, ranging from $95.1 million as filed to $109.9 million in response to a data request. Staff uses $96.7 million as a starting point to calculate its proposed adjustments to this project’s transfer to plant amounts. Gomez, Exh. No. DCG-1TC at 47:1-11.</w:t>
      </w:r>
    </w:p>
  </w:footnote>
  <w:footnote w:id="246">
    <w:p w14:paraId="55AB3D43" w14:textId="77777777" w:rsidR="00493377" w:rsidRPr="0001384F" w:rsidRDefault="00493377" w:rsidP="00227194">
      <w:pPr>
        <w:pStyle w:val="FootnoteText"/>
        <w:spacing w:after="120"/>
      </w:pPr>
      <w:r w:rsidRPr="0001384F">
        <w:rPr>
          <w:rStyle w:val="FootnoteReference"/>
        </w:rPr>
        <w:footnoteRef/>
      </w:r>
      <w:r w:rsidRPr="0001384F">
        <w:t xml:space="preserve"> Gomez, Exh. No. DCG-31C at 26 and 28.</w:t>
      </w:r>
    </w:p>
  </w:footnote>
  <w:footnote w:id="247">
    <w:p w14:paraId="4072B6C7" w14:textId="77777777" w:rsidR="00493377" w:rsidRPr="0001384F" w:rsidRDefault="00493377" w:rsidP="00227194">
      <w:pPr>
        <w:pStyle w:val="FootnoteText"/>
        <w:spacing w:after="120"/>
      </w:pPr>
      <w:r w:rsidRPr="0001384F">
        <w:rPr>
          <w:rStyle w:val="FootnoteReference"/>
        </w:rPr>
        <w:footnoteRef/>
      </w:r>
      <w:r w:rsidRPr="0001384F">
        <w:t xml:space="preserve"> Kensok, Exh. No. JMK-6CT at 16:23; Gomez, Exh. No. DCG-1TC at 52 n. 95; Gomez, Exh. No. DCG-15C at 5.</w:t>
      </w:r>
    </w:p>
  </w:footnote>
  <w:footnote w:id="248">
    <w:p w14:paraId="0BDAB5E8" w14:textId="77777777" w:rsidR="00493377" w:rsidRPr="0001384F" w:rsidRDefault="00493377" w:rsidP="00227194">
      <w:pPr>
        <w:pStyle w:val="FootnoteText"/>
        <w:spacing w:after="120"/>
      </w:pPr>
      <w:r w:rsidRPr="0001384F">
        <w:rPr>
          <w:rStyle w:val="FootnoteReference"/>
        </w:rPr>
        <w:footnoteRef/>
      </w:r>
      <w:r w:rsidRPr="0001384F">
        <w:t xml:space="preserve"> Gomez, Exh. No. DCG-15C at 4-5.</w:t>
      </w:r>
    </w:p>
  </w:footnote>
  <w:footnote w:id="249">
    <w:p w14:paraId="60812EF1" w14:textId="77777777" w:rsidR="00493377" w:rsidRPr="0001384F" w:rsidRDefault="00493377" w:rsidP="00227194">
      <w:pPr>
        <w:pStyle w:val="FootnoteText"/>
        <w:spacing w:after="120"/>
      </w:pPr>
      <w:r w:rsidRPr="0001384F">
        <w:rPr>
          <w:rStyle w:val="FootnoteReference"/>
        </w:rPr>
        <w:footnoteRef/>
      </w:r>
      <w:r w:rsidRPr="0001384F">
        <w:t xml:space="preserve"> Gomez, Exh. No. DCG-1TC at 56:12.</w:t>
      </w:r>
      <w:r>
        <w:t xml:space="preserve"> </w:t>
      </w:r>
      <w:r w:rsidRPr="00840EAD">
        <w:t>We refer to EP2M/Five Point/Ernst and Young as “the Contractor” when the</w:t>
      </w:r>
      <w:r>
        <w:t xml:space="preserve"> entity’s name is not relevant.</w:t>
      </w:r>
    </w:p>
  </w:footnote>
  <w:footnote w:id="250">
    <w:p w14:paraId="56F2AD17" w14:textId="77777777" w:rsidR="00493377" w:rsidRPr="0001384F" w:rsidRDefault="00493377" w:rsidP="00227194">
      <w:pPr>
        <w:pStyle w:val="FootnoteText"/>
        <w:spacing w:after="120"/>
      </w:pPr>
      <w:r w:rsidRPr="0001384F">
        <w:rPr>
          <w:rStyle w:val="FootnoteReference"/>
        </w:rPr>
        <w:footnoteRef/>
      </w:r>
      <w:r w:rsidRPr="0001384F">
        <w:t xml:space="preserve"> </w:t>
      </w:r>
      <w:r w:rsidRPr="0001384F">
        <w:rPr>
          <w:i/>
        </w:rPr>
        <w:t>Id.</w:t>
      </w:r>
      <w:r w:rsidRPr="0001384F">
        <w:t xml:space="preserve"> at 57:6-7. The extension included a not-to-exceed amount of $6.2 million.</w:t>
      </w:r>
    </w:p>
  </w:footnote>
  <w:footnote w:id="251">
    <w:p w14:paraId="36E72785" w14:textId="77777777" w:rsidR="00493377" w:rsidRPr="0001384F" w:rsidRDefault="00493377" w:rsidP="00227194">
      <w:pPr>
        <w:pStyle w:val="FootnoteText"/>
        <w:spacing w:after="120"/>
      </w:pPr>
      <w:r w:rsidRPr="0001384F">
        <w:rPr>
          <w:rStyle w:val="FootnoteReference"/>
        </w:rPr>
        <w:footnoteRef/>
      </w:r>
      <w:r w:rsidRPr="0001384F">
        <w:t xml:space="preserve"> Gomez, Exh. No. DCG-1TC at 49:12 </w:t>
      </w:r>
      <w:r w:rsidRPr="0001384F">
        <w:rPr>
          <w:i/>
        </w:rPr>
        <w:t xml:space="preserve">citing </w:t>
      </w:r>
      <w:r w:rsidRPr="0001384F">
        <w:t>Kensok, Exh. No. JMK-2 at 12 (The additional capital budget breaks down as $4.7 million from Avista Labor / Loadings, $3.6 million from AFUDC, $3.2 million from system integrators, $3.2 million from technology contractors, $2.2 million from contingency, and $1.1 million from other). Staff proposes this as a “post-attrition adjustment” so that the impact of the disallowance is not subsumed by the attrition adjustment.</w:t>
      </w:r>
    </w:p>
  </w:footnote>
  <w:footnote w:id="252">
    <w:p w14:paraId="5CE3DCD3" w14:textId="77777777" w:rsidR="00493377" w:rsidRPr="0001384F" w:rsidRDefault="00493377" w:rsidP="00227194">
      <w:pPr>
        <w:pStyle w:val="FootnoteText"/>
        <w:spacing w:after="120"/>
      </w:pPr>
      <w:r w:rsidRPr="0001384F">
        <w:rPr>
          <w:rStyle w:val="FootnoteReference"/>
        </w:rPr>
        <w:footnoteRef/>
      </w:r>
      <w:r w:rsidRPr="0001384F">
        <w:t xml:space="preserve"> Gomez, Exh. No. DCG-1TC at 51:12-52:5.</w:t>
      </w:r>
    </w:p>
  </w:footnote>
  <w:footnote w:id="253">
    <w:p w14:paraId="2C9B7DBE" w14:textId="3F9369D0" w:rsidR="00493377" w:rsidRPr="0001384F" w:rsidRDefault="00493377" w:rsidP="00227194">
      <w:pPr>
        <w:pStyle w:val="FootnoteText"/>
        <w:spacing w:after="120"/>
      </w:pPr>
      <w:r w:rsidRPr="0001384F">
        <w:rPr>
          <w:rStyle w:val="FootnoteReference"/>
        </w:rPr>
        <w:footnoteRef/>
      </w:r>
      <w:r w:rsidRPr="0001384F">
        <w:t xml:space="preserve"> </w:t>
      </w:r>
      <w:r w:rsidRPr="0001384F">
        <w:rPr>
          <w:i/>
        </w:rPr>
        <w:t>Id.</w:t>
      </w:r>
      <w:r w:rsidRPr="0001384F">
        <w:t xml:space="preserve"> at 52:5</w:t>
      </w:r>
      <w:r>
        <w:t xml:space="preserve"> – </w:t>
      </w:r>
      <w:r w:rsidRPr="0001384F">
        <w:t>54:13.</w:t>
      </w:r>
    </w:p>
  </w:footnote>
  <w:footnote w:id="254">
    <w:p w14:paraId="333D6EF7" w14:textId="77777777" w:rsidR="00493377" w:rsidRPr="0001384F" w:rsidRDefault="00493377" w:rsidP="00227194">
      <w:pPr>
        <w:pStyle w:val="FootnoteText"/>
        <w:spacing w:after="120"/>
      </w:pPr>
      <w:r w:rsidRPr="0001384F">
        <w:rPr>
          <w:rStyle w:val="FootnoteReference"/>
        </w:rPr>
        <w:footnoteRef/>
      </w:r>
      <w:r w:rsidRPr="0001384F">
        <w:t xml:space="preserve"> </w:t>
      </w:r>
      <w:r>
        <w:rPr>
          <w:i/>
        </w:rPr>
        <w:t>Id.</w:t>
      </w:r>
      <w:r w:rsidRPr="0001384F">
        <w:t xml:space="preserve"> at 54:5-13.</w:t>
      </w:r>
    </w:p>
  </w:footnote>
  <w:footnote w:id="255">
    <w:p w14:paraId="56D6D5D1" w14:textId="77777777" w:rsidR="00493377" w:rsidRPr="0001384F" w:rsidRDefault="00493377" w:rsidP="00227194">
      <w:pPr>
        <w:pStyle w:val="FootnoteText"/>
        <w:spacing w:after="120"/>
      </w:pPr>
      <w:r w:rsidRPr="0001384F">
        <w:rPr>
          <w:rStyle w:val="FootnoteReference"/>
        </w:rPr>
        <w:footnoteRef/>
      </w:r>
      <w:r w:rsidRPr="0001384F">
        <w:t xml:space="preserve"> Kensok, Exh. No. JMK-6CT at 14:1-2; Gomez, Exh. No. DCG-17C at 12.</w:t>
      </w:r>
    </w:p>
  </w:footnote>
  <w:footnote w:id="256">
    <w:p w14:paraId="0AD595D6" w14:textId="77777777" w:rsidR="00493377" w:rsidRPr="0001384F" w:rsidRDefault="00493377" w:rsidP="00227194">
      <w:pPr>
        <w:pStyle w:val="FootnoteText"/>
        <w:spacing w:after="120"/>
      </w:pPr>
      <w:r w:rsidRPr="0001384F">
        <w:rPr>
          <w:rStyle w:val="FootnoteReference"/>
        </w:rPr>
        <w:footnoteRef/>
      </w:r>
      <w:r w:rsidRPr="0001384F">
        <w:t xml:space="preserve"> Gomez, Exh. No. DCG-1TC at 51:12-52:5 and 56:1-6. Staff points to a report prepared for the Executive Steering Committee in January 2014 that says “Five Point has been challenged with resources to deliver integration and configuration code to meet Project deliverable dates.” Gomez, Exh. No. DCG-15C, Attachment B at 5.</w:t>
      </w:r>
    </w:p>
  </w:footnote>
  <w:footnote w:id="257">
    <w:p w14:paraId="3EE1DD3A" w14:textId="77777777" w:rsidR="00493377" w:rsidRPr="0001384F" w:rsidRDefault="00493377" w:rsidP="00227194">
      <w:pPr>
        <w:pStyle w:val="FootnoteText"/>
        <w:spacing w:after="120"/>
      </w:pPr>
      <w:r w:rsidRPr="0001384F">
        <w:rPr>
          <w:rStyle w:val="FootnoteReference"/>
        </w:rPr>
        <w:footnoteRef/>
      </w:r>
      <w:r w:rsidRPr="0001384F">
        <w:t xml:space="preserve"> Gomez, Exh. No. DCG-1TC at 55:2-5.</w:t>
      </w:r>
    </w:p>
  </w:footnote>
  <w:footnote w:id="258">
    <w:p w14:paraId="79F0D388" w14:textId="77777777" w:rsidR="00493377" w:rsidRPr="0001384F" w:rsidRDefault="00493377" w:rsidP="00227194">
      <w:pPr>
        <w:pStyle w:val="FootnoteText"/>
        <w:spacing w:after="120"/>
      </w:pPr>
      <w:r w:rsidRPr="0001384F">
        <w:rPr>
          <w:rStyle w:val="FootnoteReference"/>
        </w:rPr>
        <w:footnoteRef/>
      </w:r>
      <w:r w:rsidRPr="0001384F">
        <w:t xml:space="preserve"> </w:t>
      </w:r>
      <w:r>
        <w:rPr>
          <w:i/>
        </w:rPr>
        <w:t>Id.</w:t>
      </w:r>
      <w:r w:rsidRPr="0001384F">
        <w:t xml:space="preserve"> at 57:14-17.</w:t>
      </w:r>
    </w:p>
  </w:footnote>
  <w:footnote w:id="259">
    <w:p w14:paraId="55F1719D" w14:textId="154F19EC" w:rsidR="00493377" w:rsidRPr="0001384F" w:rsidRDefault="00493377" w:rsidP="00227194">
      <w:pPr>
        <w:pStyle w:val="FootnoteText"/>
        <w:spacing w:after="120"/>
      </w:pPr>
      <w:r w:rsidRPr="0001384F">
        <w:rPr>
          <w:rStyle w:val="FootnoteReference"/>
        </w:rPr>
        <w:footnoteRef/>
      </w:r>
      <w:r w:rsidRPr="0001384F">
        <w:t xml:space="preserve"> </w:t>
      </w:r>
      <w:r>
        <w:rPr>
          <w:i/>
        </w:rPr>
        <w:t>Id.</w:t>
      </w:r>
      <w:r w:rsidRPr="0001384F">
        <w:t xml:space="preserve"> at 49:20</w:t>
      </w:r>
      <w:r>
        <w:t xml:space="preserve"> – </w:t>
      </w:r>
      <w:r w:rsidRPr="0001384F">
        <w:t>50:6.</w:t>
      </w:r>
    </w:p>
  </w:footnote>
  <w:footnote w:id="260">
    <w:p w14:paraId="2AA066FB" w14:textId="77777777" w:rsidR="00493377" w:rsidRPr="0001384F" w:rsidRDefault="00493377" w:rsidP="00227194">
      <w:pPr>
        <w:pStyle w:val="FootnoteText"/>
        <w:spacing w:after="120"/>
      </w:pPr>
      <w:r w:rsidRPr="0001384F">
        <w:rPr>
          <w:rStyle w:val="FootnoteReference"/>
        </w:rPr>
        <w:footnoteRef/>
      </w:r>
      <w:r w:rsidRPr="0001384F">
        <w:t xml:space="preserve"> </w:t>
      </w:r>
      <w:r>
        <w:rPr>
          <w:i/>
        </w:rPr>
        <w:t>Id.</w:t>
      </w:r>
      <w:r w:rsidRPr="0001384F">
        <w:t xml:space="preserve"> at 59:6-10.</w:t>
      </w:r>
    </w:p>
  </w:footnote>
  <w:footnote w:id="261">
    <w:p w14:paraId="669B87F1" w14:textId="77777777" w:rsidR="00493377" w:rsidRPr="0001384F" w:rsidRDefault="00493377" w:rsidP="00227194">
      <w:pPr>
        <w:pStyle w:val="FootnoteText"/>
        <w:spacing w:after="120"/>
      </w:pPr>
      <w:r w:rsidRPr="0001384F">
        <w:rPr>
          <w:rStyle w:val="FootnoteReference"/>
        </w:rPr>
        <w:footnoteRef/>
      </w:r>
      <w:r w:rsidRPr="0001384F">
        <w:t xml:space="preserve"> Kensok, Exh. No. JMK-6CT at 14:17-15:7; </w:t>
      </w:r>
      <w:r w:rsidRPr="0001384F">
        <w:rPr>
          <w:i/>
        </w:rPr>
        <w:t>Id</w:t>
      </w:r>
      <w:r w:rsidRPr="0001384F">
        <w:t xml:space="preserve">. at 18:2-3. </w:t>
      </w:r>
    </w:p>
  </w:footnote>
  <w:footnote w:id="262">
    <w:p w14:paraId="77BB23CE" w14:textId="77777777" w:rsidR="00493377" w:rsidRPr="0001384F" w:rsidRDefault="00493377" w:rsidP="00227194">
      <w:pPr>
        <w:pStyle w:val="FootnoteText"/>
        <w:tabs>
          <w:tab w:val="left" w:pos="7090"/>
        </w:tabs>
        <w:spacing w:after="120"/>
      </w:pPr>
      <w:r w:rsidRPr="0001384F">
        <w:rPr>
          <w:rStyle w:val="FootnoteReference"/>
        </w:rPr>
        <w:footnoteRef/>
      </w:r>
      <w:r w:rsidRPr="0001384F">
        <w:t xml:space="preserve"> Gomez, Exh. No. DCG-19 at 31 (emphasis added).</w:t>
      </w:r>
    </w:p>
  </w:footnote>
  <w:footnote w:id="263">
    <w:p w14:paraId="61598E52" w14:textId="77777777" w:rsidR="00493377" w:rsidRPr="0001384F" w:rsidRDefault="00493377" w:rsidP="00227194">
      <w:pPr>
        <w:pStyle w:val="FootnoteText"/>
        <w:spacing w:after="120"/>
      </w:pPr>
      <w:r w:rsidRPr="0001384F">
        <w:rPr>
          <w:rStyle w:val="FootnoteReference"/>
        </w:rPr>
        <w:footnoteRef/>
      </w:r>
      <w:r w:rsidRPr="0001384F">
        <w:t xml:space="preserve"> Kensok, Exh. No. JMK-6CT at 16:3-6.</w:t>
      </w:r>
    </w:p>
  </w:footnote>
  <w:footnote w:id="264">
    <w:p w14:paraId="43B5BCA0" w14:textId="16A21F8B" w:rsidR="00493377" w:rsidRPr="0001384F" w:rsidRDefault="00493377" w:rsidP="00227194">
      <w:pPr>
        <w:pStyle w:val="FootnoteText"/>
        <w:spacing w:after="120"/>
      </w:pPr>
      <w:r w:rsidRPr="0001384F">
        <w:rPr>
          <w:rStyle w:val="FootnoteReference"/>
        </w:rPr>
        <w:footnoteRef/>
      </w:r>
      <w:r w:rsidRPr="0001384F">
        <w:t xml:space="preserve"> </w:t>
      </w:r>
      <w:r>
        <w:rPr>
          <w:i/>
        </w:rPr>
        <w:t>Id.</w:t>
      </w:r>
      <w:r w:rsidRPr="0001384F">
        <w:t xml:space="preserve"> at 16:16</w:t>
      </w:r>
      <w:r>
        <w:t xml:space="preserve"> – </w:t>
      </w:r>
      <w:r w:rsidRPr="0001384F">
        <w:t>18:2. Staff does not allege that Avista was aware of the transaction earlier.</w:t>
      </w:r>
    </w:p>
  </w:footnote>
  <w:footnote w:id="265">
    <w:p w14:paraId="7E9A5BA0" w14:textId="77777777" w:rsidR="00493377" w:rsidRPr="0001384F" w:rsidRDefault="00493377" w:rsidP="00227194">
      <w:pPr>
        <w:pStyle w:val="FootnoteText"/>
        <w:spacing w:after="120"/>
      </w:pPr>
      <w:r w:rsidRPr="0001384F">
        <w:rPr>
          <w:rStyle w:val="FootnoteReference"/>
        </w:rPr>
        <w:footnoteRef/>
      </w:r>
      <w:r w:rsidRPr="0001384F">
        <w:t xml:space="preserve"> </w:t>
      </w:r>
      <w:r w:rsidRPr="0001384F">
        <w:rPr>
          <w:i/>
        </w:rPr>
        <w:t>Id.</w:t>
      </w:r>
      <w:r w:rsidRPr="0001384F">
        <w:t xml:space="preserve"> at 7:4-10:12</w:t>
      </w:r>
    </w:p>
  </w:footnote>
  <w:footnote w:id="266">
    <w:p w14:paraId="02B9F5C6" w14:textId="64A0E2CC" w:rsidR="00493377" w:rsidRPr="0001384F" w:rsidRDefault="00493377" w:rsidP="00227194">
      <w:pPr>
        <w:pStyle w:val="FootnoteText"/>
        <w:spacing w:after="120"/>
      </w:pPr>
      <w:r w:rsidRPr="0001384F">
        <w:rPr>
          <w:rStyle w:val="FootnoteReference"/>
        </w:rPr>
        <w:footnoteRef/>
      </w:r>
      <w:r w:rsidRPr="0001384F">
        <w:t xml:space="preserve"> </w:t>
      </w:r>
      <w:r w:rsidRPr="0001384F">
        <w:rPr>
          <w:i/>
        </w:rPr>
        <w:t>Id.</w:t>
      </w:r>
      <w:r w:rsidRPr="0001384F">
        <w:t xml:space="preserve"> at 18:4</w:t>
      </w:r>
      <w:r>
        <w:t xml:space="preserve"> – </w:t>
      </w:r>
      <w:r w:rsidRPr="0001384F">
        <w:t>20:26.</w:t>
      </w:r>
    </w:p>
  </w:footnote>
  <w:footnote w:id="267">
    <w:p w14:paraId="33166F18" w14:textId="0B299B02" w:rsidR="00493377" w:rsidRPr="0001384F" w:rsidRDefault="00493377" w:rsidP="00227194">
      <w:pPr>
        <w:pStyle w:val="FootnoteText"/>
        <w:spacing w:after="120"/>
      </w:pPr>
      <w:r w:rsidRPr="0001384F">
        <w:rPr>
          <w:rStyle w:val="FootnoteReference"/>
        </w:rPr>
        <w:footnoteRef/>
      </w:r>
      <w:r w:rsidRPr="0001384F">
        <w:t xml:space="preserve"> </w:t>
      </w:r>
      <w:r>
        <w:rPr>
          <w:i/>
        </w:rPr>
        <w:t>Id.</w:t>
      </w:r>
      <w:r w:rsidRPr="0001384F">
        <w:t xml:space="preserve"> at 23:21</w:t>
      </w:r>
      <w:r>
        <w:t xml:space="preserve"> – </w:t>
      </w:r>
      <w:r w:rsidRPr="0001384F">
        <w:t xml:space="preserve">24:2. </w:t>
      </w:r>
    </w:p>
  </w:footnote>
  <w:footnote w:id="268">
    <w:p w14:paraId="7EB0AE1B" w14:textId="77777777" w:rsidR="00493377" w:rsidRPr="00840EAD" w:rsidRDefault="00493377" w:rsidP="00227194">
      <w:pPr>
        <w:pStyle w:val="FootnoteText"/>
        <w:spacing w:after="120"/>
      </w:pPr>
      <w:r>
        <w:rPr>
          <w:rStyle w:val="FootnoteReference"/>
        </w:rPr>
        <w:footnoteRef/>
      </w:r>
      <w:r>
        <w:t xml:space="preserve"> </w:t>
      </w:r>
      <w:r w:rsidRPr="00840EAD">
        <w:rPr>
          <w:i/>
        </w:rPr>
        <w:t>Id</w:t>
      </w:r>
      <w:r w:rsidRPr="00840EAD">
        <w:t>.</w:t>
      </w:r>
    </w:p>
  </w:footnote>
  <w:footnote w:id="269">
    <w:p w14:paraId="5B14301A" w14:textId="77777777" w:rsidR="00493377" w:rsidRPr="0001384F" w:rsidRDefault="00493377" w:rsidP="00227194">
      <w:pPr>
        <w:pStyle w:val="FootnoteText"/>
        <w:spacing w:after="120"/>
      </w:pPr>
      <w:r w:rsidRPr="0001384F">
        <w:rPr>
          <w:rStyle w:val="FootnoteReference"/>
        </w:rPr>
        <w:footnoteRef/>
      </w:r>
      <w:r w:rsidRPr="0001384F">
        <w:t xml:space="preserve"> </w:t>
      </w:r>
      <w:r>
        <w:rPr>
          <w:i/>
        </w:rPr>
        <w:t>Id.</w:t>
      </w:r>
      <w:r w:rsidRPr="0001384F">
        <w:t xml:space="preserve"> at 25:8-18.</w:t>
      </w:r>
    </w:p>
  </w:footnote>
  <w:footnote w:id="270">
    <w:p w14:paraId="30863DAC" w14:textId="77777777" w:rsidR="00493377" w:rsidRPr="0001384F" w:rsidRDefault="00493377" w:rsidP="00227194">
      <w:pPr>
        <w:pStyle w:val="FootnoteText"/>
        <w:spacing w:after="120"/>
      </w:pPr>
      <w:r w:rsidRPr="0001384F">
        <w:rPr>
          <w:rStyle w:val="FootnoteReference"/>
        </w:rPr>
        <w:footnoteRef/>
      </w:r>
      <w:r w:rsidRPr="0001384F">
        <w:t xml:space="preserve"> </w:t>
      </w:r>
      <w:r w:rsidRPr="0001384F">
        <w:rPr>
          <w:i/>
        </w:rPr>
        <w:t>Id</w:t>
      </w:r>
      <w:r w:rsidRPr="0001384F">
        <w:t xml:space="preserve">. </w:t>
      </w:r>
    </w:p>
  </w:footnote>
  <w:footnote w:id="271">
    <w:p w14:paraId="28F8BC5D" w14:textId="77777777" w:rsidR="00493377" w:rsidRPr="0001384F" w:rsidRDefault="00493377" w:rsidP="00227194">
      <w:pPr>
        <w:pStyle w:val="FootnoteText"/>
        <w:spacing w:after="120"/>
      </w:pPr>
      <w:r w:rsidRPr="0001384F">
        <w:rPr>
          <w:rStyle w:val="FootnoteReference"/>
        </w:rPr>
        <w:footnoteRef/>
      </w:r>
      <w:r w:rsidRPr="0001384F">
        <w:t xml:space="preserve"> </w:t>
      </w:r>
      <w:r>
        <w:rPr>
          <w:i/>
        </w:rPr>
        <w:t>Id.</w:t>
      </w:r>
      <w:r w:rsidRPr="0001384F">
        <w:t xml:space="preserve"> at 24:10-12.</w:t>
      </w:r>
    </w:p>
  </w:footnote>
  <w:footnote w:id="272">
    <w:p w14:paraId="695EFD32" w14:textId="77777777" w:rsidR="00493377" w:rsidRPr="0001384F" w:rsidRDefault="00493377" w:rsidP="00227194">
      <w:pPr>
        <w:pStyle w:val="FootnoteText"/>
        <w:spacing w:after="120"/>
      </w:pPr>
      <w:r w:rsidRPr="0001384F">
        <w:rPr>
          <w:rStyle w:val="FootnoteReference"/>
        </w:rPr>
        <w:footnoteRef/>
      </w:r>
      <w:r w:rsidRPr="0001384F">
        <w:t xml:space="preserve"> Kensok, Exh. No. JMK-6CT at 29:1-9. The plan is available as Exhibit No. JMK-12C.</w:t>
      </w:r>
    </w:p>
  </w:footnote>
  <w:footnote w:id="273">
    <w:p w14:paraId="7C2456F4" w14:textId="77777777" w:rsidR="00493377" w:rsidRPr="0001384F" w:rsidRDefault="00493377" w:rsidP="00227194">
      <w:pPr>
        <w:pStyle w:val="FootnoteText"/>
        <w:spacing w:after="120"/>
      </w:pPr>
      <w:r w:rsidRPr="0001384F">
        <w:rPr>
          <w:rStyle w:val="FootnoteReference"/>
        </w:rPr>
        <w:footnoteRef/>
      </w:r>
      <w:r w:rsidRPr="0001384F">
        <w:t xml:space="preserve"> </w:t>
      </w:r>
      <w:r>
        <w:rPr>
          <w:i/>
        </w:rPr>
        <w:t>Id.</w:t>
      </w:r>
      <w:r w:rsidRPr="0001384F">
        <w:t xml:space="preserve"> at 29:10-13.</w:t>
      </w:r>
    </w:p>
  </w:footnote>
  <w:footnote w:id="274">
    <w:p w14:paraId="2B92C0D0" w14:textId="77777777" w:rsidR="00493377" w:rsidRDefault="00493377" w:rsidP="00227194">
      <w:pPr>
        <w:pStyle w:val="FootnoteText"/>
        <w:spacing w:after="120"/>
      </w:pPr>
      <w:r>
        <w:rPr>
          <w:rStyle w:val="FootnoteReference"/>
        </w:rPr>
        <w:footnoteRef/>
      </w:r>
      <w:r>
        <w:t xml:space="preserve"> Staff’s Brief, ¶ 75.</w:t>
      </w:r>
    </w:p>
  </w:footnote>
  <w:footnote w:id="275">
    <w:p w14:paraId="37FBB179" w14:textId="3CD40228" w:rsidR="00493377" w:rsidRPr="0001384F" w:rsidRDefault="00493377" w:rsidP="00227194">
      <w:pPr>
        <w:pStyle w:val="FootnoteText"/>
        <w:spacing w:after="120"/>
      </w:pPr>
      <w:r w:rsidRPr="0001384F">
        <w:rPr>
          <w:rStyle w:val="FootnoteReference"/>
        </w:rPr>
        <w:footnoteRef/>
      </w:r>
      <w:r w:rsidRPr="0001384F">
        <w:t xml:space="preserve"> </w:t>
      </w:r>
      <w:r w:rsidRPr="0001384F">
        <w:rPr>
          <w:i/>
        </w:rPr>
        <w:t>WUTC v. Puget Sound Energy, Inc.,</w:t>
      </w:r>
      <w:r w:rsidRPr="0001384F">
        <w:t xml:space="preserve"> Docket UE-031725, Order 12</w:t>
      </w:r>
      <w:r>
        <w:t>,</w:t>
      </w:r>
      <w:r w:rsidRPr="0001384F">
        <w:t xml:space="preserve"> ¶ 19 (Apr</w:t>
      </w:r>
      <w:r>
        <w:t>.</w:t>
      </w:r>
      <w:r w:rsidRPr="0001384F">
        <w:t xml:space="preserve"> 7, 2004).  </w:t>
      </w:r>
    </w:p>
  </w:footnote>
  <w:footnote w:id="276">
    <w:p w14:paraId="0D2B5FC9" w14:textId="77777777" w:rsidR="00493377" w:rsidRPr="00FF7C35" w:rsidRDefault="00493377" w:rsidP="00057724">
      <w:pPr>
        <w:pStyle w:val="FootnoteText"/>
        <w:spacing w:after="120"/>
        <w:rPr>
          <w:szCs w:val="22"/>
        </w:rPr>
      </w:pPr>
      <w:r w:rsidRPr="00685D00">
        <w:rPr>
          <w:rStyle w:val="FootnoteReference"/>
          <w:szCs w:val="22"/>
        </w:rPr>
        <w:footnoteRef/>
      </w:r>
      <w:r w:rsidRPr="00685D00">
        <w:rPr>
          <w:szCs w:val="22"/>
        </w:rPr>
        <w:t xml:space="preserve"> Kopczynski, Exh. No. DFK-1T at 15:9. Avista currently uses a less sophisticated Automated Meter Reading (AMR) technology</w:t>
      </w:r>
      <w:r>
        <w:rPr>
          <w:szCs w:val="22"/>
        </w:rPr>
        <w:t xml:space="preserve"> in its Idaho and Oregon service territory.</w:t>
      </w:r>
    </w:p>
  </w:footnote>
  <w:footnote w:id="277">
    <w:p w14:paraId="5406574B" w14:textId="77777777" w:rsidR="00493377" w:rsidRPr="00FF7C35" w:rsidRDefault="00493377" w:rsidP="00057724">
      <w:pPr>
        <w:pStyle w:val="FootnoteText"/>
        <w:spacing w:after="120"/>
        <w:rPr>
          <w:szCs w:val="22"/>
        </w:rPr>
      </w:pPr>
      <w:r w:rsidRPr="00FF7C35">
        <w:rPr>
          <w:rStyle w:val="FootnoteReference"/>
          <w:szCs w:val="22"/>
        </w:rPr>
        <w:footnoteRef/>
      </w:r>
      <w:r w:rsidRPr="00FF7C35">
        <w:rPr>
          <w:szCs w:val="22"/>
        </w:rPr>
        <w:t xml:space="preserve"> Norwood, Exh. No. KON-1T at 40:17-19</w:t>
      </w:r>
      <w:r>
        <w:rPr>
          <w:szCs w:val="22"/>
        </w:rPr>
        <w:t xml:space="preserve">, and </w:t>
      </w:r>
      <w:r w:rsidRPr="00FF7C35">
        <w:rPr>
          <w:szCs w:val="22"/>
        </w:rPr>
        <w:t>41:1.</w:t>
      </w:r>
    </w:p>
  </w:footnote>
  <w:footnote w:id="278">
    <w:p w14:paraId="124FB7B5" w14:textId="77777777" w:rsidR="00493377" w:rsidRPr="00685D00" w:rsidRDefault="00493377" w:rsidP="00057724">
      <w:pPr>
        <w:pStyle w:val="FootnoteText"/>
        <w:spacing w:after="120"/>
        <w:rPr>
          <w:szCs w:val="22"/>
        </w:rPr>
      </w:pPr>
      <w:r>
        <w:rPr>
          <w:rStyle w:val="FootnoteReference"/>
        </w:rPr>
        <w:footnoteRef/>
      </w:r>
      <w:r>
        <w:t xml:space="preserve"> </w:t>
      </w:r>
      <w:r w:rsidRPr="00685D00">
        <w:rPr>
          <w:szCs w:val="22"/>
        </w:rPr>
        <w:t>Kopczynski, Exh. No. DFK-5 at 10-12.</w:t>
      </w:r>
    </w:p>
  </w:footnote>
  <w:footnote w:id="279">
    <w:p w14:paraId="17475DF8" w14:textId="77777777" w:rsidR="00493377" w:rsidRPr="00685D00" w:rsidRDefault="00493377" w:rsidP="00057724">
      <w:pPr>
        <w:pStyle w:val="FootnoteText"/>
        <w:spacing w:after="120"/>
        <w:rPr>
          <w:szCs w:val="22"/>
        </w:rPr>
      </w:pPr>
      <w:r w:rsidRPr="00685D00">
        <w:rPr>
          <w:rStyle w:val="FootnoteReference"/>
          <w:szCs w:val="22"/>
        </w:rPr>
        <w:footnoteRef/>
      </w:r>
      <w:r w:rsidRPr="00685D00">
        <w:rPr>
          <w:szCs w:val="22"/>
        </w:rPr>
        <w:t xml:space="preserve"> </w:t>
      </w:r>
      <w:r w:rsidRPr="00685D00">
        <w:rPr>
          <w:i/>
          <w:szCs w:val="22"/>
        </w:rPr>
        <w:t>Id</w:t>
      </w:r>
      <w:r w:rsidRPr="00685D00">
        <w:rPr>
          <w:szCs w:val="22"/>
        </w:rPr>
        <w:t xml:space="preserve">. </w:t>
      </w:r>
      <w:r>
        <w:rPr>
          <w:szCs w:val="22"/>
        </w:rPr>
        <w:t>a</w:t>
      </w:r>
      <w:r w:rsidRPr="00685D00">
        <w:rPr>
          <w:szCs w:val="22"/>
        </w:rPr>
        <w:t>t 11-17.</w:t>
      </w:r>
    </w:p>
  </w:footnote>
  <w:footnote w:id="280">
    <w:p w14:paraId="4ED11F68" w14:textId="7BEA5AF1" w:rsidR="00493377" w:rsidRDefault="00493377" w:rsidP="00057724">
      <w:pPr>
        <w:pStyle w:val="FootnoteText"/>
        <w:spacing w:after="120"/>
      </w:pPr>
      <w:r>
        <w:rPr>
          <w:rStyle w:val="FootnoteReference"/>
        </w:rPr>
        <w:footnoteRef/>
      </w:r>
      <w:r>
        <w:t xml:space="preserve"> </w:t>
      </w:r>
      <w:r w:rsidRPr="00822CA3">
        <w:rPr>
          <w:i/>
        </w:rPr>
        <w:t>Id</w:t>
      </w:r>
      <w:r>
        <w:t>.</w:t>
      </w:r>
    </w:p>
  </w:footnote>
  <w:footnote w:id="281">
    <w:p w14:paraId="47AEA535" w14:textId="77777777" w:rsidR="00493377" w:rsidRPr="00FF7C35" w:rsidRDefault="00493377" w:rsidP="00057724">
      <w:pPr>
        <w:pStyle w:val="FootnoteText"/>
        <w:spacing w:after="120"/>
        <w:rPr>
          <w:szCs w:val="22"/>
        </w:rPr>
      </w:pPr>
      <w:r w:rsidRPr="00FF7C35">
        <w:rPr>
          <w:rStyle w:val="FootnoteReference"/>
          <w:szCs w:val="22"/>
        </w:rPr>
        <w:footnoteRef/>
      </w:r>
      <w:r w:rsidRPr="00FF7C35">
        <w:rPr>
          <w:szCs w:val="22"/>
        </w:rPr>
        <w:t xml:space="preserve"> Kopzcynski, Exh. No. DFK-1T at 8-10. Public Counsel and The Energy Project assert that this trend “occurred as a result of significant grants totaling $4 billion under the American Reinvestment and Recovery Act,” and are not indicative of cost-effective investments. Alexander, Exh. No. BRA-1T at 11:17-21.</w:t>
      </w:r>
    </w:p>
  </w:footnote>
  <w:footnote w:id="282">
    <w:p w14:paraId="1204C696" w14:textId="68AFBA52" w:rsidR="00493377" w:rsidRPr="00FF7C35" w:rsidRDefault="00493377" w:rsidP="00057724">
      <w:pPr>
        <w:pStyle w:val="FootnoteText"/>
        <w:spacing w:after="120"/>
        <w:rPr>
          <w:szCs w:val="22"/>
        </w:rPr>
      </w:pPr>
      <w:r w:rsidRPr="00FF7C35">
        <w:rPr>
          <w:rStyle w:val="FootnoteReference"/>
          <w:szCs w:val="22"/>
        </w:rPr>
        <w:footnoteRef/>
      </w:r>
      <w:r w:rsidRPr="00FF7C35">
        <w:rPr>
          <w:szCs w:val="22"/>
        </w:rPr>
        <w:t xml:space="preserve"> Kopzcynski, Exh. No. DFK-1T at 14:22</w:t>
      </w:r>
      <w:r>
        <w:rPr>
          <w:szCs w:val="22"/>
        </w:rPr>
        <w:t xml:space="preserve"> – </w:t>
      </w:r>
      <w:r w:rsidRPr="00FF7C35">
        <w:rPr>
          <w:szCs w:val="22"/>
        </w:rPr>
        <w:t>15:3 (net present value revenue requirement).</w:t>
      </w:r>
    </w:p>
  </w:footnote>
  <w:footnote w:id="283">
    <w:p w14:paraId="5C432449" w14:textId="77777777" w:rsidR="00493377" w:rsidRPr="00FF7C35" w:rsidRDefault="00493377" w:rsidP="00057724">
      <w:pPr>
        <w:pStyle w:val="FootnoteText"/>
        <w:spacing w:after="120"/>
        <w:rPr>
          <w:szCs w:val="22"/>
        </w:rPr>
      </w:pPr>
      <w:r w:rsidRPr="00FF7C35">
        <w:rPr>
          <w:rStyle w:val="FootnoteReference"/>
          <w:szCs w:val="22"/>
        </w:rPr>
        <w:footnoteRef/>
      </w:r>
      <w:r w:rsidRPr="00FF7C35">
        <w:rPr>
          <w:szCs w:val="22"/>
        </w:rPr>
        <w:t xml:space="preserve"> </w:t>
      </w:r>
      <w:r>
        <w:rPr>
          <w:i/>
          <w:szCs w:val="22"/>
        </w:rPr>
        <w:t>Id.</w:t>
      </w:r>
      <w:r w:rsidRPr="00FF7C35">
        <w:rPr>
          <w:szCs w:val="22"/>
        </w:rPr>
        <w:t xml:space="preserve"> at 15:3-7 (net present value benefits).</w:t>
      </w:r>
    </w:p>
  </w:footnote>
  <w:footnote w:id="284">
    <w:p w14:paraId="16D3DC6A" w14:textId="77777777" w:rsidR="00493377" w:rsidRPr="00FF7C35" w:rsidRDefault="00493377" w:rsidP="00057724">
      <w:pPr>
        <w:pStyle w:val="FootnoteText"/>
        <w:spacing w:after="120"/>
        <w:rPr>
          <w:szCs w:val="22"/>
        </w:rPr>
      </w:pPr>
      <w:r w:rsidRPr="00FF7C35">
        <w:rPr>
          <w:rStyle w:val="FootnoteReference"/>
          <w:szCs w:val="22"/>
        </w:rPr>
        <w:footnoteRef/>
      </w:r>
      <w:r w:rsidRPr="00FF7C35">
        <w:rPr>
          <w:szCs w:val="22"/>
        </w:rPr>
        <w:t xml:space="preserve"> Kopzcynski, Exh. No. DFK-1T at 15. </w:t>
      </w:r>
    </w:p>
  </w:footnote>
  <w:footnote w:id="285">
    <w:p w14:paraId="58BB8474" w14:textId="77777777" w:rsidR="00493377" w:rsidRPr="00FF7C35" w:rsidRDefault="00493377" w:rsidP="00057724">
      <w:pPr>
        <w:pStyle w:val="FootnoteText"/>
        <w:spacing w:after="120"/>
        <w:rPr>
          <w:szCs w:val="22"/>
        </w:rPr>
      </w:pPr>
      <w:r w:rsidRPr="00FF7C35">
        <w:rPr>
          <w:rStyle w:val="FootnoteReference"/>
          <w:szCs w:val="22"/>
        </w:rPr>
        <w:footnoteRef/>
      </w:r>
      <w:r w:rsidRPr="00FF7C35">
        <w:rPr>
          <w:szCs w:val="22"/>
        </w:rPr>
        <w:t xml:space="preserve"> Alexander, Exh. No. BRA-1T at 5:11-12.</w:t>
      </w:r>
    </w:p>
  </w:footnote>
  <w:footnote w:id="286">
    <w:p w14:paraId="2CD54DF4" w14:textId="77777777" w:rsidR="00493377" w:rsidRDefault="00493377" w:rsidP="00057724">
      <w:pPr>
        <w:pStyle w:val="FootnoteText"/>
        <w:spacing w:after="120"/>
      </w:pPr>
      <w:r>
        <w:rPr>
          <w:rStyle w:val="FootnoteReference"/>
        </w:rPr>
        <w:footnoteRef/>
      </w:r>
      <w:r>
        <w:t xml:space="preserve"> La Bolle, TR 374:11-13; La Bolle, Exh. No. LDL-16 at 2.</w:t>
      </w:r>
    </w:p>
  </w:footnote>
  <w:footnote w:id="287">
    <w:p w14:paraId="0E1C4E21" w14:textId="77777777" w:rsidR="00493377" w:rsidRPr="00FF7C35" w:rsidRDefault="00493377" w:rsidP="00057724">
      <w:pPr>
        <w:pStyle w:val="FootnoteText"/>
        <w:spacing w:after="120"/>
        <w:rPr>
          <w:szCs w:val="22"/>
        </w:rPr>
      </w:pPr>
      <w:r w:rsidRPr="00FF7C35">
        <w:rPr>
          <w:rStyle w:val="FootnoteReference"/>
          <w:szCs w:val="22"/>
        </w:rPr>
        <w:footnoteRef/>
      </w:r>
      <w:r w:rsidRPr="00FF7C35">
        <w:rPr>
          <w:szCs w:val="22"/>
        </w:rPr>
        <w:t xml:space="preserve"> La Bolle, Exh. No. LDL-1T at 4:5.</w:t>
      </w:r>
    </w:p>
  </w:footnote>
  <w:footnote w:id="288">
    <w:p w14:paraId="6EEDFC36" w14:textId="77777777" w:rsidR="00493377" w:rsidRPr="001A7856" w:rsidRDefault="00493377" w:rsidP="00057724">
      <w:pPr>
        <w:pStyle w:val="FootnoteText"/>
        <w:spacing w:after="120"/>
        <w:rPr>
          <w:szCs w:val="22"/>
        </w:rPr>
      </w:pPr>
      <w:r>
        <w:rPr>
          <w:rStyle w:val="FootnoteReference"/>
        </w:rPr>
        <w:footnoteRef/>
      </w:r>
      <w:r>
        <w:t xml:space="preserve"> </w:t>
      </w:r>
      <w:r w:rsidRPr="00FF7C35">
        <w:rPr>
          <w:szCs w:val="22"/>
        </w:rPr>
        <w:t>Norw</w:t>
      </w:r>
      <w:r>
        <w:rPr>
          <w:szCs w:val="22"/>
        </w:rPr>
        <w:t>ood, Exh. No. KON-1T at 40:20-21.</w:t>
      </w:r>
    </w:p>
  </w:footnote>
  <w:footnote w:id="289">
    <w:p w14:paraId="3AF1949C" w14:textId="77777777" w:rsidR="00493377" w:rsidRDefault="00493377" w:rsidP="00057724">
      <w:pPr>
        <w:pStyle w:val="FootnoteText"/>
        <w:spacing w:after="120"/>
      </w:pPr>
      <w:r>
        <w:rPr>
          <w:rStyle w:val="FootnoteReference"/>
        </w:rPr>
        <w:footnoteRef/>
      </w:r>
      <w:r>
        <w:t xml:space="preserve"> Avista’s Response to BR No. 3 at p. 1. </w:t>
      </w:r>
    </w:p>
  </w:footnote>
  <w:footnote w:id="290">
    <w:p w14:paraId="60DEFB36" w14:textId="77777777" w:rsidR="00493377" w:rsidRPr="009C4BD8" w:rsidRDefault="00493377" w:rsidP="00057724">
      <w:pPr>
        <w:pStyle w:val="FootnoteText"/>
        <w:spacing w:after="120"/>
        <w:rPr>
          <w:i/>
        </w:rPr>
      </w:pPr>
      <w:r>
        <w:rPr>
          <w:rStyle w:val="FootnoteReference"/>
        </w:rPr>
        <w:footnoteRef/>
      </w:r>
      <w:r>
        <w:t xml:space="preserve"> </w:t>
      </w:r>
      <w:r>
        <w:rPr>
          <w:i/>
        </w:rPr>
        <w:t>Id.</w:t>
      </w:r>
    </w:p>
  </w:footnote>
  <w:footnote w:id="291">
    <w:p w14:paraId="0F481DCF" w14:textId="63952720" w:rsidR="00493377" w:rsidRPr="00FF7C35" w:rsidRDefault="00493377" w:rsidP="00057724">
      <w:pPr>
        <w:pStyle w:val="FootnoteText"/>
        <w:spacing w:after="120"/>
        <w:rPr>
          <w:szCs w:val="22"/>
        </w:rPr>
      </w:pPr>
      <w:r w:rsidRPr="00FF7C35">
        <w:rPr>
          <w:rStyle w:val="FootnoteReference"/>
          <w:szCs w:val="22"/>
        </w:rPr>
        <w:footnoteRef/>
      </w:r>
      <w:r w:rsidRPr="00FF7C35">
        <w:rPr>
          <w:szCs w:val="22"/>
        </w:rPr>
        <w:t xml:space="preserve"> Norw</w:t>
      </w:r>
      <w:r>
        <w:rPr>
          <w:szCs w:val="22"/>
        </w:rPr>
        <w:t>ood, Exh. No. KON-1T</w:t>
      </w:r>
      <w:r w:rsidRPr="00FF7C35">
        <w:rPr>
          <w:szCs w:val="22"/>
        </w:rPr>
        <w:t xml:space="preserve"> at 41:1</w:t>
      </w:r>
      <w:r>
        <w:rPr>
          <w:szCs w:val="22"/>
        </w:rPr>
        <w:t>7</w:t>
      </w:r>
      <w:r w:rsidRPr="00FF7C35">
        <w:rPr>
          <w:szCs w:val="22"/>
        </w:rPr>
        <w:t xml:space="preserve">-20. </w:t>
      </w:r>
    </w:p>
  </w:footnote>
  <w:footnote w:id="292">
    <w:p w14:paraId="5CAC3DB4" w14:textId="77777777" w:rsidR="00493377" w:rsidRPr="00FF7C35" w:rsidRDefault="00493377" w:rsidP="00057724">
      <w:pPr>
        <w:pStyle w:val="FootnoteText"/>
        <w:spacing w:after="120"/>
        <w:rPr>
          <w:szCs w:val="22"/>
        </w:rPr>
      </w:pPr>
      <w:r w:rsidRPr="00FF7C35">
        <w:rPr>
          <w:rStyle w:val="FootnoteReference"/>
          <w:szCs w:val="22"/>
        </w:rPr>
        <w:footnoteRef/>
      </w:r>
      <w:r w:rsidRPr="00FF7C35">
        <w:rPr>
          <w:szCs w:val="22"/>
        </w:rPr>
        <w:t xml:space="preserve"> </w:t>
      </w:r>
      <w:r w:rsidRPr="00FF7C35">
        <w:rPr>
          <w:i/>
          <w:szCs w:val="22"/>
        </w:rPr>
        <w:t>Id.</w:t>
      </w:r>
      <w:r w:rsidRPr="00FF7C35">
        <w:rPr>
          <w:szCs w:val="22"/>
        </w:rPr>
        <w:t xml:space="preserve"> at 42:3-4. </w:t>
      </w:r>
    </w:p>
  </w:footnote>
  <w:footnote w:id="293">
    <w:p w14:paraId="56C8025F" w14:textId="6603C87B" w:rsidR="00493377" w:rsidRPr="00FF7C35" w:rsidRDefault="00493377" w:rsidP="00057724">
      <w:pPr>
        <w:pStyle w:val="FootnoteText"/>
        <w:spacing w:after="120"/>
        <w:rPr>
          <w:szCs w:val="22"/>
        </w:rPr>
      </w:pPr>
      <w:r w:rsidRPr="00FF7C35">
        <w:rPr>
          <w:rStyle w:val="FootnoteReference"/>
          <w:szCs w:val="22"/>
        </w:rPr>
        <w:footnoteRef/>
      </w:r>
      <w:r w:rsidRPr="00FF7C35">
        <w:rPr>
          <w:szCs w:val="22"/>
        </w:rPr>
        <w:t xml:space="preserve"> Nightingale, Exh. No. DN-1T at 5:3</w:t>
      </w:r>
      <w:r>
        <w:rPr>
          <w:szCs w:val="22"/>
        </w:rPr>
        <w:t>-</w:t>
      </w:r>
      <w:r w:rsidRPr="00FF7C35">
        <w:rPr>
          <w:szCs w:val="22"/>
        </w:rPr>
        <w:t>6:7.</w:t>
      </w:r>
    </w:p>
  </w:footnote>
  <w:footnote w:id="294">
    <w:p w14:paraId="520FEA80" w14:textId="77777777" w:rsidR="00493377" w:rsidRPr="00FF7C35" w:rsidRDefault="00493377" w:rsidP="00057724">
      <w:pPr>
        <w:pStyle w:val="FootnoteText"/>
        <w:spacing w:after="120"/>
        <w:rPr>
          <w:szCs w:val="22"/>
        </w:rPr>
      </w:pPr>
      <w:r w:rsidRPr="00FF7C35">
        <w:rPr>
          <w:rStyle w:val="FootnoteReference"/>
          <w:szCs w:val="22"/>
        </w:rPr>
        <w:footnoteRef/>
      </w:r>
      <w:r w:rsidRPr="00FF7C35">
        <w:rPr>
          <w:szCs w:val="22"/>
        </w:rPr>
        <w:t xml:space="preserve"> At the time of rebuttal testimony, Avista had issued an RFP for new electric meters and a meter data management system. Norwood, Exh. No. KON-1T at 40:11-14.</w:t>
      </w:r>
    </w:p>
  </w:footnote>
  <w:footnote w:id="295">
    <w:p w14:paraId="47A4113B" w14:textId="77777777" w:rsidR="00493377" w:rsidRPr="00FF7C35" w:rsidRDefault="00493377" w:rsidP="00057724">
      <w:pPr>
        <w:pStyle w:val="FootnoteText"/>
        <w:spacing w:after="120"/>
        <w:rPr>
          <w:szCs w:val="22"/>
        </w:rPr>
      </w:pPr>
      <w:r w:rsidRPr="00FF7C35">
        <w:rPr>
          <w:rStyle w:val="FootnoteReference"/>
          <w:szCs w:val="22"/>
        </w:rPr>
        <w:footnoteRef/>
      </w:r>
      <w:r w:rsidRPr="00FF7C35">
        <w:rPr>
          <w:szCs w:val="22"/>
        </w:rPr>
        <w:t xml:space="preserve"> Nightingale, Exh. No. DN-1T at 7-10.</w:t>
      </w:r>
    </w:p>
  </w:footnote>
  <w:footnote w:id="296">
    <w:p w14:paraId="7C35F160" w14:textId="4D5AB4AE" w:rsidR="00493377" w:rsidRDefault="00493377" w:rsidP="00057724">
      <w:pPr>
        <w:spacing w:after="120" w:line="288" w:lineRule="auto"/>
      </w:pPr>
      <w:r>
        <w:rPr>
          <w:rStyle w:val="FootnoteReference"/>
        </w:rPr>
        <w:footnoteRef/>
      </w:r>
      <w:r>
        <w:t xml:space="preserve"> </w:t>
      </w:r>
      <w:r w:rsidRPr="00DE2603">
        <w:rPr>
          <w:i/>
          <w:sz w:val="22"/>
        </w:rPr>
        <w:t>Id.</w:t>
      </w:r>
      <w:r w:rsidRPr="00DE2603">
        <w:rPr>
          <w:sz w:val="22"/>
        </w:rPr>
        <w:t xml:space="preserve"> at 4:4-5.</w:t>
      </w:r>
    </w:p>
  </w:footnote>
  <w:footnote w:id="297">
    <w:p w14:paraId="3E532D6A" w14:textId="77777777" w:rsidR="00493377" w:rsidRDefault="00493377" w:rsidP="00057724">
      <w:pPr>
        <w:pStyle w:val="FootnoteText"/>
        <w:spacing w:after="120"/>
      </w:pPr>
      <w:r>
        <w:rPr>
          <w:rStyle w:val="FootnoteReference"/>
        </w:rPr>
        <w:footnoteRef/>
      </w:r>
      <w:r>
        <w:t xml:space="preserve"> Alexander, Exh. No. BRA-1T at 10:11-12.</w:t>
      </w:r>
    </w:p>
  </w:footnote>
  <w:footnote w:id="298">
    <w:p w14:paraId="18020012" w14:textId="77777777" w:rsidR="00493377" w:rsidRPr="00FF7C35" w:rsidRDefault="00493377" w:rsidP="00057724">
      <w:pPr>
        <w:pStyle w:val="FootnoteText"/>
        <w:spacing w:after="120"/>
        <w:rPr>
          <w:szCs w:val="22"/>
        </w:rPr>
      </w:pPr>
      <w:r w:rsidRPr="00FF7C35">
        <w:rPr>
          <w:rStyle w:val="FootnoteReference"/>
          <w:szCs w:val="22"/>
        </w:rPr>
        <w:footnoteRef/>
      </w:r>
      <w:r w:rsidRPr="00FF7C35">
        <w:rPr>
          <w:szCs w:val="22"/>
        </w:rPr>
        <w:t xml:space="preserve"> Mullins, Exh. No. BGM-1CT at 5:1-9; Alexander, Exh. No. BRA-1T at 9. Avista provided at least five different cost estimates, two of which come from the Company’s initial filing. Those estimates include capital costs ranging from $131 million to $165.5 million, and annual O&amp;M costs ranging from -$5.8 million to $5.8 million. Alexander, Exh. No. BRA-1T at 7:16-18.</w:t>
      </w:r>
    </w:p>
  </w:footnote>
  <w:footnote w:id="299">
    <w:p w14:paraId="1FC96DBC" w14:textId="68F98578" w:rsidR="00493377" w:rsidRPr="00FF7C35" w:rsidRDefault="00493377" w:rsidP="00057724">
      <w:pPr>
        <w:pStyle w:val="FootnoteText"/>
        <w:spacing w:after="120"/>
        <w:rPr>
          <w:szCs w:val="22"/>
        </w:rPr>
      </w:pPr>
      <w:r w:rsidRPr="00FF7C35">
        <w:rPr>
          <w:rStyle w:val="FootnoteReference"/>
          <w:szCs w:val="22"/>
        </w:rPr>
        <w:footnoteRef/>
      </w:r>
      <w:r w:rsidRPr="00FF7C35">
        <w:rPr>
          <w:szCs w:val="22"/>
        </w:rPr>
        <w:t xml:space="preserve"> </w:t>
      </w:r>
      <w:r>
        <w:rPr>
          <w:szCs w:val="22"/>
        </w:rPr>
        <w:t xml:space="preserve">Alexander, Exh. No. BRA-1T </w:t>
      </w:r>
      <w:r w:rsidRPr="00FF7C35">
        <w:rPr>
          <w:szCs w:val="22"/>
        </w:rPr>
        <w:t>at 16:2-8.</w:t>
      </w:r>
    </w:p>
  </w:footnote>
  <w:footnote w:id="300">
    <w:p w14:paraId="0D838BCF" w14:textId="77777777" w:rsidR="00493377" w:rsidRPr="00FF7C35" w:rsidRDefault="00493377" w:rsidP="00057724">
      <w:pPr>
        <w:pStyle w:val="FootnoteText"/>
        <w:spacing w:after="120"/>
        <w:rPr>
          <w:szCs w:val="22"/>
        </w:rPr>
      </w:pPr>
      <w:r w:rsidRPr="00FF7C35">
        <w:rPr>
          <w:rStyle w:val="FootnoteReference"/>
          <w:szCs w:val="22"/>
        </w:rPr>
        <w:footnoteRef/>
      </w:r>
      <w:r w:rsidRPr="00FF7C35">
        <w:rPr>
          <w:szCs w:val="22"/>
        </w:rPr>
        <w:t xml:space="preserve"> Norwood, Exh. No. KON-1T at 40:17-19.</w:t>
      </w:r>
    </w:p>
  </w:footnote>
  <w:footnote w:id="301">
    <w:p w14:paraId="0A9734C2" w14:textId="77777777" w:rsidR="00493377" w:rsidRPr="00FF7C35" w:rsidRDefault="00493377" w:rsidP="00057724">
      <w:pPr>
        <w:pStyle w:val="FootnoteText"/>
        <w:spacing w:after="120"/>
        <w:rPr>
          <w:szCs w:val="22"/>
        </w:rPr>
      </w:pPr>
      <w:r w:rsidRPr="00FF7C35">
        <w:rPr>
          <w:rStyle w:val="FootnoteReference"/>
          <w:szCs w:val="22"/>
        </w:rPr>
        <w:footnoteRef/>
      </w:r>
      <w:r w:rsidRPr="00FF7C35">
        <w:rPr>
          <w:szCs w:val="22"/>
        </w:rPr>
        <w:t xml:space="preserve"> Alexander, Exh. No. BRA-1T at 23:12-14.</w:t>
      </w:r>
      <w:r>
        <w:rPr>
          <w:szCs w:val="22"/>
        </w:rPr>
        <w:t xml:space="preserve"> </w:t>
      </w:r>
      <w:r w:rsidRPr="00E4502B">
        <w:rPr>
          <w:szCs w:val="22"/>
        </w:rPr>
        <w:t xml:space="preserve">She notes that WAC 480-100-128(6)(k) requires a utility employee dispatched to disconnect service to accept payment from the customer to avoid disconnection, and several states have rejected proposals to eliminate employee visits for disconnection. </w:t>
      </w:r>
      <w:r>
        <w:rPr>
          <w:i/>
          <w:szCs w:val="22"/>
        </w:rPr>
        <w:t>Id</w:t>
      </w:r>
      <w:r>
        <w:rPr>
          <w:szCs w:val="22"/>
        </w:rPr>
        <w:t>.</w:t>
      </w:r>
      <w:r w:rsidRPr="00E4502B">
        <w:rPr>
          <w:szCs w:val="22"/>
        </w:rPr>
        <w:t xml:space="preserve"> at 26-27. New York, Ohio, and Maryland declined to eliminate employee visits for residential disconnections, and California requires an employee visit if the utility has evidence that the disconnection will cause an adverse medical condition. She notes that between 2009 and 2012, the Company annually accepted between 5,000 and 6,000 payments at the door to stop disconnection of service. </w:t>
      </w:r>
      <w:r w:rsidRPr="00E4502B">
        <w:rPr>
          <w:i/>
          <w:szCs w:val="22"/>
        </w:rPr>
        <w:t>Id.</w:t>
      </w:r>
      <w:r w:rsidRPr="00E4502B">
        <w:rPr>
          <w:szCs w:val="22"/>
        </w:rPr>
        <w:t xml:space="preserve"> at 24:1-2.</w:t>
      </w:r>
      <w:r>
        <w:rPr>
          <w:szCs w:val="22"/>
        </w:rPr>
        <w:t xml:space="preserve"> </w:t>
      </w:r>
      <w:r w:rsidRPr="00E4502B">
        <w:rPr>
          <w:szCs w:val="22"/>
        </w:rPr>
        <w:t xml:space="preserve">Ms. Alexander concludes that several policies related to AMI, including remote disconnection, data access, and opt-out policies will require significant regulatory proceedings </w:t>
      </w:r>
      <w:r>
        <w:rPr>
          <w:szCs w:val="22"/>
        </w:rPr>
        <w:t xml:space="preserve">for which </w:t>
      </w:r>
      <w:r w:rsidRPr="00E4502B">
        <w:rPr>
          <w:szCs w:val="22"/>
        </w:rPr>
        <w:t>Avista has not budgeted in this project.</w:t>
      </w:r>
      <w:r w:rsidRPr="00E4502B">
        <w:rPr>
          <w:i/>
          <w:szCs w:val="22"/>
        </w:rPr>
        <w:t xml:space="preserve"> Id.</w:t>
      </w:r>
      <w:r w:rsidRPr="00E4502B">
        <w:rPr>
          <w:szCs w:val="22"/>
        </w:rPr>
        <w:t xml:space="preserve"> at 18:17-19:4-19.</w:t>
      </w:r>
    </w:p>
  </w:footnote>
  <w:footnote w:id="302">
    <w:p w14:paraId="52E1635B" w14:textId="77777777" w:rsidR="00493377" w:rsidRPr="00FF7C35" w:rsidRDefault="00493377" w:rsidP="00057724">
      <w:pPr>
        <w:pStyle w:val="FootnoteText"/>
        <w:spacing w:after="120"/>
        <w:rPr>
          <w:szCs w:val="22"/>
        </w:rPr>
      </w:pPr>
      <w:r w:rsidRPr="00FF7C35">
        <w:rPr>
          <w:rStyle w:val="FootnoteReference"/>
          <w:szCs w:val="22"/>
        </w:rPr>
        <w:footnoteRef/>
      </w:r>
      <w:r w:rsidRPr="00FF7C35">
        <w:rPr>
          <w:szCs w:val="22"/>
        </w:rPr>
        <w:t xml:space="preserve"> </w:t>
      </w:r>
      <w:r w:rsidRPr="00FF7C35">
        <w:rPr>
          <w:i/>
          <w:szCs w:val="22"/>
        </w:rPr>
        <w:t>Id.</w:t>
      </w:r>
      <w:r w:rsidRPr="00FF7C35">
        <w:rPr>
          <w:szCs w:val="22"/>
        </w:rPr>
        <w:t xml:space="preserve"> at 34-38. Avista calculates a $2.2 million benefit of outage avoidance to its customers by multiplying the number of outage minutes avoided by a dollar amount. The dollar amount is based on an ICE calculator that the U.S. Department of Energy developed to evaluate smart grid projects. Kopzcynski, Exh. No. DFK-5 at 13. Ms. Alexander questions the methodology supporting the ICE calculator, and notes that it has not been approved or used by state regulatory commissions in a litigated rate proceedings. Alexander, Exh. No. BRA-1T at 35:10-17. Avista responds that the methodology is commonly used in the utility industry, citing to an industry standard. La Bolle, Exh. N</w:t>
      </w:r>
      <w:r>
        <w:rPr>
          <w:szCs w:val="22"/>
        </w:rPr>
        <w:t>o. LDL-1T at 12:14-13:10.</w:t>
      </w:r>
    </w:p>
  </w:footnote>
  <w:footnote w:id="303">
    <w:p w14:paraId="2BAD6C8E" w14:textId="77777777" w:rsidR="00493377" w:rsidRPr="00FF7C35" w:rsidRDefault="00493377" w:rsidP="00057724">
      <w:pPr>
        <w:pStyle w:val="FootnoteText"/>
        <w:spacing w:after="120"/>
        <w:rPr>
          <w:szCs w:val="22"/>
        </w:rPr>
      </w:pPr>
      <w:r w:rsidRPr="00FF7C35">
        <w:rPr>
          <w:rStyle w:val="FootnoteReference"/>
          <w:szCs w:val="22"/>
        </w:rPr>
        <w:footnoteRef/>
      </w:r>
      <w:r w:rsidRPr="00FF7C35">
        <w:rPr>
          <w:szCs w:val="22"/>
        </w:rPr>
        <w:t xml:space="preserve"> Mullins, Exh. No. BGM-1CT at 32:11-20.</w:t>
      </w:r>
    </w:p>
  </w:footnote>
  <w:footnote w:id="304">
    <w:p w14:paraId="372A5CE7" w14:textId="77777777" w:rsidR="00493377" w:rsidRPr="00FF7C35" w:rsidRDefault="00493377" w:rsidP="00057724">
      <w:pPr>
        <w:pStyle w:val="FootnoteText"/>
        <w:spacing w:after="120"/>
        <w:rPr>
          <w:szCs w:val="22"/>
        </w:rPr>
      </w:pPr>
      <w:r w:rsidRPr="00FF7C35">
        <w:rPr>
          <w:rStyle w:val="FootnoteReference"/>
          <w:szCs w:val="22"/>
        </w:rPr>
        <w:footnoteRef/>
      </w:r>
      <w:r w:rsidRPr="00FF7C35">
        <w:rPr>
          <w:szCs w:val="22"/>
        </w:rPr>
        <w:t xml:space="preserve"> </w:t>
      </w:r>
      <w:r w:rsidRPr="00FF7C35">
        <w:rPr>
          <w:i/>
          <w:szCs w:val="22"/>
        </w:rPr>
        <w:t>Id.</w:t>
      </w:r>
      <w:r w:rsidRPr="00FF7C35">
        <w:rPr>
          <w:szCs w:val="22"/>
        </w:rPr>
        <w:t xml:space="preserve"> at 33:4-8.</w:t>
      </w:r>
    </w:p>
  </w:footnote>
  <w:footnote w:id="305">
    <w:p w14:paraId="6F3AD12C" w14:textId="77777777" w:rsidR="00493377" w:rsidRPr="00FF7C35" w:rsidRDefault="00493377" w:rsidP="00057724">
      <w:pPr>
        <w:pStyle w:val="FootnoteText"/>
        <w:spacing w:after="120"/>
        <w:rPr>
          <w:szCs w:val="22"/>
        </w:rPr>
      </w:pPr>
      <w:r w:rsidRPr="00FF7C35">
        <w:rPr>
          <w:rStyle w:val="FootnoteReference"/>
          <w:szCs w:val="22"/>
        </w:rPr>
        <w:footnoteRef/>
      </w:r>
      <w:r w:rsidRPr="00FF7C35">
        <w:rPr>
          <w:szCs w:val="22"/>
        </w:rPr>
        <w:t xml:space="preserve"> Nightingale, Exh. No. DN-1T at 12-14.  He also points to a 2007 Policy Statement </w:t>
      </w:r>
      <w:r>
        <w:rPr>
          <w:szCs w:val="22"/>
        </w:rPr>
        <w:t>that</w:t>
      </w:r>
      <w:r w:rsidRPr="00FF7C35">
        <w:rPr>
          <w:szCs w:val="22"/>
        </w:rPr>
        <w:t xml:space="preserve"> includes a “broad range of factors” the Commission would consider when “examining advanced metering,” noting that Avista should be prepared to address those factors. </w:t>
      </w:r>
      <w:r w:rsidRPr="00FF7C35">
        <w:rPr>
          <w:i/>
          <w:szCs w:val="22"/>
        </w:rPr>
        <w:t>Interpretive and Policy Statement Regarding Energy Policy Act of 2005 Standards for Net-Metering, Fuel Sources, Fossil Fuel Generation Efficiency and Time-Based Metering,</w:t>
      </w:r>
      <w:r w:rsidRPr="00FF7C35">
        <w:rPr>
          <w:szCs w:val="22"/>
        </w:rPr>
        <w:t xml:space="preserve"> Docket UE-060649 at 10-11 (August 23, 2007). In addition, Staff notes other factors that Avista should be prepared to consider: cybersecurity, the benefits of energy storage batteries, the benefits of synchrophasers and the benefits of grid voltage regulation and grid stability. Nightingale, Exh. No. DN-1T at 14.</w:t>
      </w:r>
    </w:p>
  </w:footnote>
  <w:footnote w:id="306">
    <w:p w14:paraId="79466E9F" w14:textId="77777777" w:rsidR="00493377" w:rsidRPr="00FF7C35" w:rsidRDefault="00493377" w:rsidP="00057724">
      <w:pPr>
        <w:pStyle w:val="FootnoteText"/>
        <w:spacing w:after="120"/>
        <w:rPr>
          <w:szCs w:val="22"/>
        </w:rPr>
      </w:pPr>
      <w:r w:rsidRPr="00FF7C35">
        <w:rPr>
          <w:rStyle w:val="FootnoteReference"/>
          <w:szCs w:val="22"/>
        </w:rPr>
        <w:footnoteRef/>
      </w:r>
      <w:r w:rsidRPr="00FF7C35">
        <w:rPr>
          <w:szCs w:val="22"/>
        </w:rPr>
        <w:t xml:space="preserve"> </w:t>
      </w:r>
      <w:r w:rsidRPr="00FF7C35">
        <w:rPr>
          <w:i/>
          <w:szCs w:val="22"/>
        </w:rPr>
        <w:t>Id</w:t>
      </w:r>
      <w:r w:rsidRPr="00FF7C35">
        <w:rPr>
          <w:szCs w:val="22"/>
        </w:rPr>
        <w:t>.</w:t>
      </w:r>
    </w:p>
  </w:footnote>
  <w:footnote w:id="307">
    <w:p w14:paraId="1E0ECF5C" w14:textId="77777777" w:rsidR="00493377" w:rsidRPr="00FF7C35" w:rsidRDefault="00493377" w:rsidP="00057724">
      <w:pPr>
        <w:pStyle w:val="FootnoteText"/>
        <w:spacing w:after="120"/>
        <w:rPr>
          <w:szCs w:val="22"/>
        </w:rPr>
      </w:pPr>
      <w:r w:rsidRPr="00FF7C35">
        <w:rPr>
          <w:rStyle w:val="FootnoteReference"/>
          <w:szCs w:val="22"/>
        </w:rPr>
        <w:footnoteRef/>
      </w:r>
      <w:r w:rsidRPr="00FF7C35">
        <w:rPr>
          <w:szCs w:val="22"/>
        </w:rPr>
        <w:t xml:space="preserve"> Nightingale, Exh. No. DN-1T at 7-16.</w:t>
      </w:r>
    </w:p>
  </w:footnote>
  <w:footnote w:id="308">
    <w:p w14:paraId="3935D12B" w14:textId="77777777" w:rsidR="00493377" w:rsidRDefault="00493377" w:rsidP="00057724">
      <w:pPr>
        <w:pStyle w:val="FootnoteText"/>
        <w:spacing w:after="120"/>
      </w:pPr>
      <w:r>
        <w:rPr>
          <w:rStyle w:val="FootnoteReference"/>
        </w:rPr>
        <w:footnoteRef/>
      </w:r>
      <w:r>
        <w:t xml:space="preserve"> Staff’s Brief, ¶ 77; Public Counsel’s Brief, ¶ 92.</w:t>
      </w:r>
    </w:p>
  </w:footnote>
  <w:footnote w:id="309">
    <w:p w14:paraId="60A622CE" w14:textId="77777777" w:rsidR="00493377" w:rsidRDefault="00493377" w:rsidP="00057724">
      <w:pPr>
        <w:pStyle w:val="FootnoteText"/>
        <w:spacing w:after="120"/>
      </w:pPr>
      <w:r>
        <w:rPr>
          <w:rStyle w:val="FootnoteReference"/>
        </w:rPr>
        <w:footnoteRef/>
      </w:r>
      <w:r>
        <w:t xml:space="preserve"> Staff’s Brief, ¶ 90.</w:t>
      </w:r>
    </w:p>
  </w:footnote>
  <w:footnote w:id="310">
    <w:p w14:paraId="60921DEA" w14:textId="77777777" w:rsidR="00493377" w:rsidRDefault="00493377" w:rsidP="00057724">
      <w:pPr>
        <w:pStyle w:val="FootnoteText"/>
        <w:spacing w:after="120"/>
      </w:pPr>
      <w:r>
        <w:rPr>
          <w:rStyle w:val="FootnoteReference"/>
        </w:rPr>
        <w:footnoteRef/>
      </w:r>
      <w:r>
        <w:t xml:space="preserve"> Public Counsel’s Brief, ¶ 122.</w:t>
      </w:r>
    </w:p>
  </w:footnote>
  <w:footnote w:id="311">
    <w:p w14:paraId="138C349B" w14:textId="77777777" w:rsidR="00493377" w:rsidRDefault="00493377" w:rsidP="00057724">
      <w:pPr>
        <w:pStyle w:val="FootnoteText"/>
        <w:spacing w:after="120"/>
      </w:pPr>
      <w:r>
        <w:rPr>
          <w:rStyle w:val="FootnoteReference"/>
        </w:rPr>
        <w:footnoteRef/>
      </w:r>
      <w:r>
        <w:t xml:space="preserve"> Indeed, Company witness Kopczynski states “I'm not aware of any time that this Commission has ever authorized anything [by] pre-approval.” Kopczynski, TR 299:9-11. While the company claims it is not asking for preapproval, we are concerned that any “guidance” we offer would be viewed as such. </w:t>
      </w:r>
    </w:p>
  </w:footnote>
  <w:footnote w:id="312">
    <w:p w14:paraId="04CACC8B" w14:textId="77777777" w:rsidR="00493377" w:rsidRDefault="00493377" w:rsidP="00057724">
      <w:pPr>
        <w:pStyle w:val="FootnoteText"/>
        <w:spacing w:after="120"/>
      </w:pPr>
      <w:r>
        <w:rPr>
          <w:rStyle w:val="FootnoteReference"/>
        </w:rPr>
        <w:footnoteRef/>
      </w:r>
      <w:r>
        <w:t xml:space="preserve"> Kopczynski, </w:t>
      </w:r>
      <w:r w:rsidRPr="005236FD">
        <w:t>TR 318-319</w:t>
      </w:r>
      <w:r>
        <w:t>; TR 333-334. While Mr. Kopczynski testifies that the Board does not decide on individual projects, we note that it retains ultimate responsibility for overseeing management’s decisions regarding individual projects.</w:t>
      </w:r>
    </w:p>
  </w:footnote>
  <w:footnote w:id="313">
    <w:p w14:paraId="7315A6BE" w14:textId="77777777" w:rsidR="00493377" w:rsidRDefault="00493377" w:rsidP="00057724">
      <w:pPr>
        <w:pStyle w:val="FootnoteText"/>
        <w:spacing w:after="120"/>
      </w:pPr>
      <w:r>
        <w:rPr>
          <w:rStyle w:val="FootnoteReference"/>
        </w:rPr>
        <w:footnoteRef/>
      </w:r>
      <w:r>
        <w:t xml:space="preserve"> </w:t>
      </w:r>
      <w:r w:rsidRPr="000460E8">
        <w:t xml:space="preserve">Norwood, </w:t>
      </w:r>
      <w:r>
        <w:t>TR</w:t>
      </w:r>
      <w:r w:rsidRPr="000460E8">
        <w:t xml:space="preserve"> 114:17-21.</w:t>
      </w:r>
    </w:p>
  </w:footnote>
  <w:footnote w:id="314">
    <w:p w14:paraId="20AAB459" w14:textId="0776AC54" w:rsidR="00493377" w:rsidRDefault="00493377" w:rsidP="00057724">
      <w:pPr>
        <w:pStyle w:val="FootnoteText"/>
        <w:spacing w:after="120"/>
      </w:pPr>
      <w:r>
        <w:rPr>
          <w:rStyle w:val="FootnoteReference"/>
        </w:rPr>
        <w:footnoteRef/>
      </w:r>
      <w:r>
        <w:t xml:space="preserve"> </w:t>
      </w:r>
      <w:r w:rsidRPr="00F631CD">
        <w:rPr>
          <w:i/>
        </w:rPr>
        <w:t>WUTC v. Puget Sound Energy, Inc.,</w:t>
      </w:r>
      <w:r w:rsidRPr="00F631CD">
        <w:t xml:space="preserve"> Docket UG-110723, Order 07</w:t>
      </w:r>
      <w:r>
        <w:t>,</w:t>
      </w:r>
      <w:r w:rsidRPr="00F631CD">
        <w:t xml:space="preserve"> ¶¶ 35</w:t>
      </w:r>
      <w:r>
        <w:t>-36</w:t>
      </w:r>
      <w:r w:rsidRPr="00F631CD">
        <w:t xml:space="preserve"> (May 18, 2012)</w:t>
      </w:r>
      <w:r w:rsidRPr="00F631CD">
        <w:fldChar w:fldCharType="begin"/>
      </w:r>
      <w:r w:rsidRPr="00F631CD">
        <w:instrText xml:space="preserve"> A \l "</w:instrText>
      </w:r>
      <w:r w:rsidRPr="00F631CD">
        <w:rPr>
          <w:i/>
        </w:rPr>
        <w:instrText>WUTC v. Puget Sound Energy, Inc.,</w:instrText>
      </w:r>
      <w:r w:rsidRPr="00F631CD">
        <w:instrText xml:space="preserve"> </w:instrText>
      </w:r>
      <w:r w:rsidRPr="00F631CD">
        <w:br/>
        <w:instrText xml:space="preserve">Docket UG-110723, Order 07 (May 18, 2012)" \s "WUTC v. Puget Sound Energy, Inc., Docket UG-110723, Order 07  35 (May 18, 2012)" \c 3 </w:instrText>
      </w:r>
      <w:r w:rsidRPr="00F631CD">
        <w:fldChar w:fldCharType="separate"/>
      </w:r>
      <w:r w:rsidR="00DB6D34">
        <w:rPr>
          <w:b/>
          <w:bCs/>
        </w:rPr>
        <w:t>Error! Bookmark not defined.</w:t>
      </w:r>
      <w:r w:rsidRPr="00F631CD">
        <w:fldChar w:fldCharType="end"/>
      </w:r>
      <w:r>
        <w:t xml:space="preserve"> (A utility “</w:t>
      </w:r>
      <w:r w:rsidRPr="00F631CD">
        <w:t xml:space="preserve">alone shoulders the obligation to </w:t>
      </w:r>
      <w:r>
        <w:t>. . .</w:t>
      </w:r>
      <w:r w:rsidRPr="00F631CD">
        <w:t xml:space="preserve"> determine which </w:t>
      </w:r>
      <w:r>
        <w:t>[projects]</w:t>
      </w:r>
      <w:r w:rsidRPr="00F631CD">
        <w:t xml:space="preserve"> should be constructed and when.</w:t>
      </w:r>
      <w:r>
        <w:t>”).</w:t>
      </w:r>
    </w:p>
  </w:footnote>
  <w:footnote w:id="315">
    <w:p w14:paraId="4FD56E68" w14:textId="1CCFA9CC" w:rsidR="00493377" w:rsidRDefault="00493377" w:rsidP="00057724">
      <w:pPr>
        <w:pStyle w:val="FootnoteText"/>
        <w:spacing w:after="120"/>
      </w:pPr>
      <w:r>
        <w:rPr>
          <w:rStyle w:val="FootnoteReference"/>
        </w:rPr>
        <w:footnoteRef/>
      </w:r>
      <w:r>
        <w:t xml:space="preserve"> </w:t>
      </w:r>
      <w:r w:rsidRPr="0060455D">
        <w:rPr>
          <w:i/>
        </w:rPr>
        <w:t>WUTC v. Puget Sound Energy, Inc.</w:t>
      </w:r>
      <w:r w:rsidRPr="0060455D">
        <w:t>, Docket UE-031725, Order No. 12</w:t>
      </w:r>
      <w:r>
        <w:t>,</w:t>
      </w:r>
      <w:r w:rsidRPr="0060455D">
        <w:t xml:space="preserve"> ¶ 19 (Apr</w:t>
      </w:r>
      <w:r>
        <w:t>. 7, 2004)</w:t>
      </w:r>
      <w:r w:rsidRPr="0060455D">
        <w:t>.</w:t>
      </w:r>
    </w:p>
  </w:footnote>
  <w:footnote w:id="316">
    <w:p w14:paraId="1A65BAFB" w14:textId="3F411ECF" w:rsidR="00493377" w:rsidRDefault="00493377" w:rsidP="00057724">
      <w:pPr>
        <w:pStyle w:val="FootnoteText"/>
        <w:spacing w:after="120"/>
      </w:pPr>
      <w:r>
        <w:rPr>
          <w:rStyle w:val="FootnoteReference"/>
        </w:rPr>
        <w:footnoteRef/>
      </w:r>
      <w:r>
        <w:t xml:space="preserve"> </w:t>
      </w:r>
      <w:r w:rsidRPr="00FF7C35">
        <w:rPr>
          <w:szCs w:val="22"/>
        </w:rPr>
        <w:t>Kopzcynski</w:t>
      </w:r>
      <w:r>
        <w:rPr>
          <w:szCs w:val="22"/>
        </w:rPr>
        <w:t>, TR 306:20 – 307-11.</w:t>
      </w:r>
    </w:p>
  </w:footnote>
  <w:footnote w:id="317">
    <w:p w14:paraId="4BC2F0BF" w14:textId="4047B8D3" w:rsidR="00493377" w:rsidRDefault="00493377" w:rsidP="00057724">
      <w:pPr>
        <w:pStyle w:val="FootnoteText"/>
        <w:spacing w:after="120"/>
      </w:pPr>
      <w:r>
        <w:rPr>
          <w:rStyle w:val="FootnoteReference"/>
        </w:rPr>
        <w:footnoteRef/>
      </w:r>
      <w:r>
        <w:t xml:space="preserve"> </w:t>
      </w:r>
      <w:r w:rsidRPr="000E35C8">
        <w:t>Kopzcynski</w:t>
      </w:r>
      <w:r w:rsidRPr="00057724">
        <w:t>,</w:t>
      </w:r>
      <w:r w:rsidRPr="00057724" w:rsidDel="000E35C8">
        <w:t xml:space="preserve"> </w:t>
      </w:r>
      <w:r w:rsidRPr="00057724">
        <w:t>TR 343:15</w:t>
      </w:r>
      <w:r>
        <w:t xml:space="preserve"> – </w:t>
      </w:r>
      <w:r w:rsidRPr="00057724">
        <w:t>344:16.</w:t>
      </w:r>
    </w:p>
  </w:footnote>
  <w:footnote w:id="318">
    <w:p w14:paraId="109AA6C2" w14:textId="77777777" w:rsidR="00493377" w:rsidRPr="00FF7C35" w:rsidRDefault="00493377" w:rsidP="00057724">
      <w:pPr>
        <w:pStyle w:val="FootnoteText"/>
        <w:spacing w:after="120"/>
        <w:rPr>
          <w:szCs w:val="22"/>
        </w:rPr>
      </w:pPr>
      <w:r w:rsidRPr="00FF7C35">
        <w:rPr>
          <w:rStyle w:val="FootnoteReference"/>
          <w:szCs w:val="22"/>
        </w:rPr>
        <w:footnoteRef/>
      </w:r>
      <w:r w:rsidRPr="00FF7C35">
        <w:rPr>
          <w:szCs w:val="22"/>
        </w:rPr>
        <w:t xml:space="preserve"> </w:t>
      </w:r>
      <w:r>
        <w:t xml:space="preserve">Norwood, Exh. No. KON-1T </w:t>
      </w:r>
      <w:r>
        <w:rPr>
          <w:szCs w:val="22"/>
        </w:rPr>
        <w:t>at 42:3-4.</w:t>
      </w:r>
    </w:p>
  </w:footnote>
  <w:footnote w:id="319">
    <w:p w14:paraId="17FC0C03" w14:textId="77777777" w:rsidR="00493377" w:rsidRPr="00DC4E17" w:rsidRDefault="00493377" w:rsidP="00057724">
      <w:pPr>
        <w:pStyle w:val="FootnoteText"/>
        <w:spacing w:after="120"/>
      </w:pPr>
      <w:r>
        <w:rPr>
          <w:rStyle w:val="FootnoteReference"/>
        </w:rPr>
        <w:footnoteRef/>
      </w:r>
      <w:r>
        <w:t xml:space="preserve"> See, </w:t>
      </w:r>
      <w:r w:rsidRPr="00DC4E17">
        <w:rPr>
          <w:i/>
        </w:rPr>
        <w:t>e.</w:t>
      </w:r>
      <w:r>
        <w:rPr>
          <w:i/>
        </w:rPr>
        <w:t>g.</w:t>
      </w:r>
      <w:r w:rsidRPr="00DC4E17">
        <w:t>,</w:t>
      </w:r>
      <w:r>
        <w:t xml:space="preserve"> </w:t>
      </w:r>
      <w:r w:rsidRPr="00DC4E17">
        <w:rPr>
          <w:i/>
        </w:rPr>
        <w:t>In re</w:t>
      </w:r>
      <w:r w:rsidRPr="00DC4E17">
        <w:t xml:space="preserve"> </w:t>
      </w:r>
      <w:r>
        <w:rPr>
          <w:i/>
        </w:rPr>
        <w:t>P</w:t>
      </w:r>
      <w:r w:rsidRPr="00DC4E17">
        <w:rPr>
          <w:i/>
        </w:rPr>
        <w:t>etition of Avista</w:t>
      </w:r>
      <w:r>
        <w:rPr>
          <w:i/>
        </w:rPr>
        <w:t xml:space="preserve"> Corp. </w:t>
      </w:r>
      <w:r w:rsidRPr="00DC4E17">
        <w:rPr>
          <w:i/>
        </w:rPr>
        <w:t>For An Accounting Order to Defer Costs Related to Improving Dissolve</w:t>
      </w:r>
      <w:r>
        <w:rPr>
          <w:i/>
        </w:rPr>
        <w:t>d Oxygen Levels in Lake Spokane</w:t>
      </w:r>
      <w:r>
        <w:t>, Docket UE-131576, Order 01 ¶ 5 (</w:t>
      </w:r>
      <w:r w:rsidRPr="00DC4E17">
        <w:t>Sept</w:t>
      </w:r>
      <w:r>
        <w:t>.</w:t>
      </w:r>
      <w:r w:rsidRPr="00DC4E17">
        <w:t xml:space="preserve"> 26, 2013</w:t>
      </w:r>
      <w:r>
        <w:t xml:space="preserve">) (Accounting petition filed on Aug. 27, 2013 and approved on Sept. 26, 2013. A </w:t>
      </w:r>
      <w:r w:rsidRPr="00DC4E17">
        <w:t xml:space="preserve">determination </w:t>
      </w:r>
      <w:r>
        <w:t xml:space="preserve">of </w:t>
      </w:r>
      <w:r w:rsidRPr="00DC4E17">
        <w:t xml:space="preserve">prudence </w:t>
      </w:r>
      <w:r>
        <w:t>and</w:t>
      </w:r>
      <w:r w:rsidRPr="00DC4E17">
        <w:t xml:space="preserve"> the eligibility for recovery of </w:t>
      </w:r>
      <w:r>
        <w:t xml:space="preserve">any costs to occur </w:t>
      </w:r>
      <w:r w:rsidRPr="00DC4E17">
        <w:t xml:space="preserve">in </w:t>
      </w:r>
      <w:r>
        <w:t xml:space="preserve">the Company’s </w:t>
      </w:r>
      <w:r w:rsidRPr="00DC4E17">
        <w:t xml:space="preserve">next general rate case or a </w:t>
      </w:r>
      <w:r>
        <w:t>future</w:t>
      </w:r>
      <w:r w:rsidRPr="00DC4E17">
        <w:t xml:space="preserve"> filing</w:t>
      </w:r>
      <w:r>
        <w:t>.).</w:t>
      </w:r>
    </w:p>
  </w:footnote>
  <w:footnote w:id="320">
    <w:p w14:paraId="44862D2F" w14:textId="77777777" w:rsidR="00493377" w:rsidRPr="00473EC4" w:rsidRDefault="00493377" w:rsidP="00057724">
      <w:pPr>
        <w:pStyle w:val="FootnoteText"/>
        <w:spacing w:after="120"/>
        <w:rPr>
          <w:i/>
        </w:rPr>
      </w:pPr>
      <w:r>
        <w:rPr>
          <w:rStyle w:val="FootnoteReference"/>
        </w:rPr>
        <w:footnoteRef/>
      </w:r>
      <w:r>
        <w:t xml:space="preserve"> Norwood</w:t>
      </w:r>
      <w:r w:rsidRPr="003F010F">
        <w:t xml:space="preserve">, Exh. No. </w:t>
      </w:r>
      <w:r>
        <w:t>KON</w:t>
      </w:r>
      <w:r w:rsidRPr="003F010F">
        <w:t xml:space="preserve">-1T at </w:t>
      </w:r>
      <w:r>
        <w:t>4</w:t>
      </w:r>
      <w:r w:rsidRPr="003F010F">
        <w:t>1:</w:t>
      </w:r>
      <w:r>
        <w:t>8</w:t>
      </w:r>
      <w:r w:rsidRPr="003F010F">
        <w:t>-1</w:t>
      </w:r>
      <w:r>
        <w:t>1</w:t>
      </w:r>
      <w:r w:rsidRPr="003F010F">
        <w:t>.</w:t>
      </w:r>
    </w:p>
  </w:footnote>
  <w:footnote w:id="321">
    <w:p w14:paraId="6A803A77" w14:textId="77777777" w:rsidR="00493377" w:rsidRDefault="00493377" w:rsidP="00BD3952">
      <w:pPr>
        <w:pStyle w:val="FootnoteText"/>
        <w:spacing w:after="120"/>
      </w:pPr>
      <w:r w:rsidRPr="00473EC4">
        <w:rPr>
          <w:rStyle w:val="FootnoteReference"/>
          <w:i/>
        </w:rPr>
        <w:footnoteRef/>
      </w:r>
      <w:r w:rsidRPr="00473EC4">
        <w:rPr>
          <w:i/>
        </w:rPr>
        <w:t xml:space="preserve"> See Accounting Standards Code</w:t>
      </w:r>
      <w:r>
        <w:rPr>
          <w:i/>
        </w:rPr>
        <w:t xml:space="preserve"> -</w:t>
      </w:r>
      <w:r w:rsidRPr="00473EC4">
        <w:rPr>
          <w:i/>
        </w:rPr>
        <w:t xml:space="preserve"> </w:t>
      </w:r>
      <w:r w:rsidRPr="002022CC">
        <w:rPr>
          <w:i/>
        </w:rPr>
        <w:t>Regulated</w:t>
      </w:r>
      <w:r>
        <w:t xml:space="preserve"> Operations</w:t>
      </w:r>
      <w:r w:rsidRPr="00E64A61">
        <w:rPr>
          <w:i/>
        </w:rPr>
        <w:t xml:space="preserve"> </w:t>
      </w:r>
      <w:r w:rsidRPr="00473EC4">
        <w:rPr>
          <w:i/>
        </w:rPr>
        <w:t>980-340-25-1</w:t>
      </w:r>
      <w:r>
        <w:t>.</w:t>
      </w:r>
    </w:p>
  </w:footnote>
  <w:footnote w:id="322">
    <w:p w14:paraId="186159DF" w14:textId="77777777" w:rsidR="00493377" w:rsidRDefault="00493377" w:rsidP="00057724">
      <w:pPr>
        <w:pStyle w:val="FootnoteText"/>
        <w:spacing w:after="120"/>
      </w:pPr>
      <w:r>
        <w:rPr>
          <w:rStyle w:val="FootnoteReference"/>
        </w:rPr>
        <w:footnoteRef/>
      </w:r>
      <w:r>
        <w:t xml:space="preserve"> Mullins, Exh. No. BGM-1CT at 32:11-33:8.</w:t>
      </w:r>
    </w:p>
  </w:footnote>
  <w:footnote w:id="323">
    <w:p w14:paraId="4F48CC40" w14:textId="77777777" w:rsidR="00493377" w:rsidRPr="00443155" w:rsidRDefault="00493377" w:rsidP="000E31BE">
      <w:pPr>
        <w:pStyle w:val="FootnoteText"/>
        <w:spacing w:after="120"/>
        <w:rPr>
          <w:szCs w:val="22"/>
        </w:rPr>
      </w:pPr>
      <w:r w:rsidRPr="00443155">
        <w:rPr>
          <w:rStyle w:val="FootnoteReference"/>
          <w:szCs w:val="22"/>
        </w:rPr>
        <w:footnoteRef/>
      </w:r>
      <w:r w:rsidRPr="00443155">
        <w:rPr>
          <w:szCs w:val="22"/>
        </w:rPr>
        <w:t xml:space="preserve"> Ramas, Exh. No. DMR-1CT at 35:18-36:10.</w:t>
      </w:r>
    </w:p>
  </w:footnote>
  <w:footnote w:id="324">
    <w:p w14:paraId="36D08A3E" w14:textId="77777777" w:rsidR="00493377" w:rsidRPr="00443155" w:rsidRDefault="00493377" w:rsidP="000E31BE">
      <w:pPr>
        <w:pStyle w:val="FootnoteText"/>
        <w:spacing w:after="120"/>
        <w:rPr>
          <w:szCs w:val="22"/>
        </w:rPr>
      </w:pPr>
      <w:r w:rsidRPr="00443155">
        <w:rPr>
          <w:rStyle w:val="FootnoteReference"/>
          <w:szCs w:val="22"/>
        </w:rPr>
        <w:footnoteRef/>
      </w:r>
      <w:r w:rsidRPr="00443155">
        <w:rPr>
          <w:szCs w:val="22"/>
        </w:rPr>
        <w:t xml:space="preserve"> </w:t>
      </w:r>
      <w:r>
        <w:rPr>
          <w:i/>
          <w:szCs w:val="22"/>
        </w:rPr>
        <w:t>Id.</w:t>
      </w:r>
      <w:r w:rsidRPr="00443155">
        <w:rPr>
          <w:szCs w:val="22"/>
        </w:rPr>
        <w:t xml:space="preserve"> at 36:10-37:8.</w:t>
      </w:r>
    </w:p>
  </w:footnote>
  <w:footnote w:id="325">
    <w:p w14:paraId="795441F0" w14:textId="045B2E1B" w:rsidR="00493377" w:rsidRPr="00443155" w:rsidRDefault="00493377" w:rsidP="000E31BE">
      <w:pPr>
        <w:pStyle w:val="FootnoteText"/>
        <w:spacing w:after="120"/>
        <w:rPr>
          <w:szCs w:val="22"/>
        </w:rPr>
      </w:pPr>
      <w:r w:rsidRPr="00443155">
        <w:rPr>
          <w:rStyle w:val="FootnoteReference"/>
          <w:szCs w:val="22"/>
        </w:rPr>
        <w:footnoteRef/>
      </w:r>
      <w:r w:rsidRPr="00443155">
        <w:rPr>
          <w:szCs w:val="22"/>
        </w:rPr>
        <w:t xml:space="preserve"> Mullins, Exh. No. BGM-1CT at 42:18-20 </w:t>
      </w:r>
      <w:r>
        <w:rPr>
          <w:szCs w:val="22"/>
        </w:rPr>
        <w:t>(</w:t>
      </w:r>
      <w:r w:rsidRPr="00443155">
        <w:rPr>
          <w:i/>
          <w:szCs w:val="22"/>
        </w:rPr>
        <w:t>citing</w:t>
      </w:r>
      <w:r w:rsidRPr="00443155">
        <w:rPr>
          <w:szCs w:val="22"/>
        </w:rPr>
        <w:t xml:space="preserve"> </w:t>
      </w:r>
      <w:r w:rsidRPr="00443155">
        <w:rPr>
          <w:i/>
          <w:szCs w:val="22"/>
        </w:rPr>
        <w:t>WUTC v. Pacific Power</w:t>
      </w:r>
      <w:r w:rsidRPr="00443155">
        <w:rPr>
          <w:szCs w:val="22"/>
        </w:rPr>
        <w:t xml:space="preserve">, Docket UE-140762 </w:t>
      </w:r>
      <w:r w:rsidRPr="00443155">
        <w:rPr>
          <w:i/>
          <w:szCs w:val="22"/>
        </w:rPr>
        <w:t>et al.</w:t>
      </w:r>
      <w:r w:rsidRPr="00443155">
        <w:rPr>
          <w:szCs w:val="22"/>
        </w:rPr>
        <w:t>, Order 08, ¶¶ 31-41 (Mar</w:t>
      </w:r>
      <w:r>
        <w:rPr>
          <w:szCs w:val="22"/>
        </w:rPr>
        <w:t>.</w:t>
      </w:r>
      <w:r w:rsidRPr="00443155">
        <w:rPr>
          <w:szCs w:val="22"/>
        </w:rPr>
        <w:t xml:space="preserve"> 25, 2015)</w:t>
      </w:r>
      <w:r>
        <w:rPr>
          <w:szCs w:val="22"/>
        </w:rPr>
        <w:t>)</w:t>
      </w:r>
      <w:r w:rsidRPr="00443155">
        <w:rPr>
          <w:szCs w:val="22"/>
        </w:rPr>
        <w:t xml:space="preserve">. </w:t>
      </w:r>
    </w:p>
  </w:footnote>
  <w:footnote w:id="326">
    <w:p w14:paraId="30729717" w14:textId="0CC31AE9" w:rsidR="00493377" w:rsidRPr="00443155" w:rsidRDefault="00493377" w:rsidP="000E31BE">
      <w:pPr>
        <w:pStyle w:val="FootnoteText"/>
        <w:spacing w:after="120"/>
        <w:rPr>
          <w:szCs w:val="22"/>
        </w:rPr>
      </w:pPr>
      <w:r w:rsidRPr="00443155">
        <w:rPr>
          <w:rStyle w:val="FootnoteReference"/>
          <w:szCs w:val="22"/>
        </w:rPr>
        <w:footnoteRef/>
      </w:r>
      <w:r w:rsidRPr="00443155">
        <w:rPr>
          <w:szCs w:val="22"/>
        </w:rPr>
        <w:t xml:space="preserve"> Ball, Exh. No. JLB-1T at 20:5-14; </w:t>
      </w:r>
      <w:r w:rsidRPr="00443155">
        <w:rPr>
          <w:i/>
          <w:szCs w:val="22"/>
        </w:rPr>
        <w:t>WUTC v. Puget Sound Energy</w:t>
      </w:r>
      <w:r w:rsidRPr="00443155">
        <w:rPr>
          <w:szCs w:val="22"/>
        </w:rPr>
        <w:t>, Dockets UE-090704 and UG-090705, Order 11, ¶¶ 88 (Apr</w:t>
      </w:r>
      <w:r>
        <w:rPr>
          <w:szCs w:val="22"/>
        </w:rPr>
        <w:t>.</w:t>
      </w:r>
      <w:r w:rsidRPr="00443155">
        <w:rPr>
          <w:szCs w:val="22"/>
        </w:rPr>
        <w:t xml:space="preserve"> 2, 2010) (rejecting union contract increases in October 2009 in a case where the test year ended December, 31 2008).</w:t>
      </w:r>
    </w:p>
  </w:footnote>
  <w:footnote w:id="327">
    <w:p w14:paraId="371B0D6C" w14:textId="77777777" w:rsidR="00493377" w:rsidRPr="00443155" w:rsidRDefault="00493377" w:rsidP="000E31BE">
      <w:pPr>
        <w:pStyle w:val="FootnoteText"/>
        <w:spacing w:after="120"/>
        <w:rPr>
          <w:szCs w:val="22"/>
        </w:rPr>
      </w:pPr>
      <w:r w:rsidRPr="00443155">
        <w:rPr>
          <w:rStyle w:val="FootnoteReference"/>
          <w:szCs w:val="22"/>
        </w:rPr>
        <w:footnoteRef/>
      </w:r>
      <w:r w:rsidRPr="00443155">
        <w:rPr>
          <w:szCs w:val="22"/>
        </w:rPr>
        <w:t xml:space="preserve"> Ramas, Exh. No. DMR-1CT at 37:11-38:3</w:t>
      </w:r>
      <w:r>
        <w:rPr>
          <w:szCs w:val="22"/>
        </w:rPr>
        <w:t>.</w:t>
      </w:r>
    </w:p>
  </w:footnote>
  <w:footnote w:id="328">
    <w:p w14:paraId="23DEA753" w14:textId="77777777" w:rsidR="00493377" w:rsidRPr="00443155" w:rsidRDefault="00493377" w:rsidP="000E31BE">
      <w:pPr>
        <w:pStyle w:val="FootnoteText"/>
        <w:spacing w:after="120"/>
        <w:rPr>
          <w:szCs w:val="22"/>
        </w:rPr>
      </w:pPr>
      <w:r w:rsidRPr="00443155">
        <w:rPr>
          <w:rStyle w:val="FootnoteReference"/>
          <w:szCs w:val="22"/>
        </w:rPr>
        <w:footnoteRef/>
      </w:r>
      <w:r w:rsidRPr="00443155">
        <w:rPr>
          <w:szCs w:val="22"/>
        </w:rPr>
        <w:t xml:space="preserve"> Mullins, Exh. No. BGM-1CT at 43:3-20.</w:t>
      </w:r>
    </w:p>
  </w:footnote>
  <w:footnote w:id="329">
    <w:p w14:paraId="2FC5F2BF" w14:textId="181E2D36" w:rsidR="00493377" w:rsidRPr="00443155" w:rsidRDefault="00493377" w:rsidP="000E31BE">
      <w:pPr>
        <w:pStyle w:val="FootnoteText"/>
        <w:spacing w:after="120"/>
        <w:rPr>
          <w:szCs w:val="22"/>
        </w:rPr>
      </w:pPr>
      <w:r w:rsidRPr="00443155">
        <w:rPr>
          <w:rStyle w:val="FootnoteReference"/>
          <w:szCs w:val="22"/>
        </w:rPr>
        <w:footnoteRef/>
      </w:r>
      <w:r w:rsidRPr="00443155">
        <w:rPr>
          <w:szCs w:val="22"/>
        </w:rPr>
        <w:t xml:space="preserve"> </w:t>
      </w:r>
      <w:r>
        <w:rPr>
          <w:i/>
          <w:szCs w:val="22"/>
        </w:rPr>
        <w:t>Id.</w:t>
      </w:r>
      <w:r w:rsidRPr="00443155">
        <w:rPr>
          <w:szCs w:val="22"/>
        </w:rPr>
        <w:t xml:space="preserve"> at 43:21-44:5.</w:t>
      </w:r>
    </w:p>
  </w:footnote>
  <w:footnote w:id="330">
    <w:p w14:paraId="57FE49D3" w14:textId="77777777" w:rsidR="00493377" w:rsidRPr="00443155" w:rsidRDefault="00493377" w:rsidP="000E31BE">
      <w:pPr>
        <w:pStyle w:val="FootnoteText"/>
        <w:spacing w:after="120"/>
        <w:rPr>
          <w:szCs w:val="22"/>
        </w:rPr>
      </w:pPr>
      <w:r w:rsidRPr="00443155">
        <w:rPr>
          <w:rStyle w:val="FootnoteReference"/>
          <w:szCs w:val="22"/>
        </w:rPr>
        <w:footnoteRef/>
      </w:r>
      <w:r w:rsidRPr="00443155">
        <w:rPr>
          <w:szCs w:val="22"/>
        </w:rPr>
        <w:t xml:space="preserve"> Ramas, Exh. No. DMR-1CT at 39:6-19.</w:t>
      </w:r>
    </w:p>
  </w:footnote>
  <w:footnote w:id="331">
    <w:p w14:paraId="51630595" w14:textId="77777777" w:rsidR="00493377" w:rsidRPr="00443155" w:rsidRDefault="00493377" w:rsidP="000E31BE">
      <w:pPr>
        <w:pStyle w:val="FootnoteText"/>
        <w:spacing w:after="120"/>
        <w:rPr>
          <w:szCs w:val="22"/>
        </w:rPr>
      </w:pPr>
      <w:r w:rsidRPr="00443155">
        <w:rPr>
          <w:rStyle w:val="FootnoteReference"/>
          <w:szCs w:val="22"/>
        </w:rPr>
        <w:footnoteRef/>
      </w:r>
      <w:r w:rsidRPr="00443155">
        <w:rPr>
          <w:szCs w:val="22"/>
        </w:rPr>
        <w:t xml:space="preserve"> Smith, Exh. No. JSS-4T at 34:20-27.</w:t>
      </w:r>
    </w:p>
  </w:footnote>
  <w:footnote w:id="332">
    <w:p w14:paraId="5EDA0E7A" w14:textId="77777777" w:rsidR="00493377" w:rsidRPr="00443155" w:rsidRDefault="00493377" w:rsidP="000E31BE">
      <w:pPr>
        <w:pStyle w:val="FootnoteText"/>
        <w:spacing w:after="120"/>
        <w:rPr>
          <w:szCs w:val="22"/>
        </w:rPr>
      </w:pPr>
      <w:r w:rsidRPr="00443155">
        <w:rPr>
          <w:rStyle w:val="FootnoteReference"/>
          <w:szCs w:val="22"/>
        </w:rPr>
        <w:footnoteRef/>
      </w:r>
      <w:r w:rsidRPr="00443155">
        <w:rPr>
          <w:szCs w:val="22"/>
        </w:rPr>
        <w:t xml:space="preserve"> Ball, Exh. No. JLB-1T at 20:17-21:2.</w:t>
      </w:r>
    </w:p>
  </w:footnote>
  <w:footnote w:id="333">
    <w:p w14:paraId="6E6A46FE" w14:textId="77777777" w:rsidR="00493377" w:rsidRPr="00B41C70" w:rsidRDefault="00493377" w:rsidP="000E31BE">
      <w:pPr>
        <w:pStyle w:val="FootnoteText"/>
        <w:spacing w:after="120"/>
        <w:rPr>
          <w:szCs w:val="22"/>
        </w:rPr>
      </w:pPr>
      <w:r w:rsidRPr="00B41C70">
        <w:rPr>
          <w:rStyle w:val="FootnoteReference"/>
          <w:szCs w:val="22"/>
        </w:rPr>
        <w:footnoteRef/>
      </w:r>
      <w:r w:rsidRPr="00B41C70">
        <w:rPr>
          <w:szCs w:val="22"/>
        </w:rPr>
        <w:t xml:space="preserve"> Smith, Exh. No. JSS-1T at 21:4-7.</w:t>
      </w:r>
    </w:p>
  </w:footnote>
  <w:footnote w:id="334">
    <w:p w14:paraId="7E3274F5" w14:textId="77777777" w:rsidR="00493377" w:rsidRPr="00B41C70" w:rsidRDefault="00493377" w:rsidP="000E31BE">
      <w:pPr>
        <w:pStyle w:val="FootnoteText"/>
        <w:spacing w:after="120"/>
        <w:rPr>
          <w:szCs w:val="22"/>
        </w:rPr>
      </w:pPr>
      <w:r w:rsidRPr="00B41C70">
        <w:rPr>
          <w:rStyle w:val="FootnoteReference"/>
          <w:szCs w:val="22"/>
        </w:rPr>
        <w:footnoteRef/>
      </w:r>
      <w:r w:rsidRPr="00B41C70">
        <w:rPr>
          <w:szCs w:val="22"/>
        </w:rPr>
        <w:t xml:space="preserve"> Ramas, Exh. No. DMR-1CT at 33:9-19.</w:t>
      </w:r>
    </w:p>
  </w:footnote>
  <w:footnote w:id="335">
    <w:p w14:paraId="70BDD06A" w14:textId="77777777" w:rsidR="00493377" w:rsidRPr="00B41C70" w:rsidRDefault="00493377" w:rsidP="000E31BE">
      <w:pPr>
        <w:pStyle w:val="FootnoteText"/>
        <w:spacing w:after="120"/>
        <w:rPr>
          <w:szCs w:val="22"/>
        </w:rPr>
      </w:pPr>
      <w:r w:rsidRPr="00B41C70">
        <w:rPr>
          <w:rStyle w:val="FootnoteReference"/>
          <w:szCs w:val="22"/>
        </w:rPr>
        <w:footnoteRef/>
      </w:r>
      <w:r w:rsidRPr="00B41C70">
        <w:rPr>
          <w:szCs w:val="22"/>
        </w:rPr>
        <w:t xml:space="preserve"> Smith, Exh. No. JSS-1T at 21:9-21.</w:t>
      </w:r>
    </w:p>
  </w:footnote>
  <w:footnote w:id="336">
    <w:p w14:paraId="3CF164A0" w14:textId="77777777" w:rsidR="00493377" w:rsidRDefault="00493377" w:rsidP="009C04C5">
      <w:pPr>
        <w:pStyle w:val="FootnoteText"/>
        <w:spacing w:after="120"/>
      </w:pPr>
      <w:r>
        <w:rPr>
          <w:rStyle w:val="FootnoteReference"/>
        </w:rPr>
        <w:footnoteRef/>
      </w:r>
      <w:r>
        <w:t xml:space="preserve"> </w:t>
      </w:r>
      <w:r>
        <w:rPr>
          <w:i/>
        </w:rPr>
        <w:t>Id.</w:t>
      </w:r>
      <w:r>
        <w:t xml:space="preserve"> at 22:3-5.</w:t>
      </w:r>
    </w:p>
  </w:footnote>
  <w:footnote w:id="337">
    <w:p w14:paraId="13AE1A2E" w14:textId="77777777" w:rsidR="00493377" w:rsidRPr="00B41C70" w:rsidRDefault="00493377" w:rsidP="000E31BE">
      <w:pPr>
        <w:pStyle w:val="FootnoteText"/>
        <w:spacing w:after="120"/>
        <w:rPr>
          <w:szCs w:val="22"/>
        </w:rPr>
      </w:pPr>
      <w:r w:rsidRPr="00B41C70">
        <w:rPr>
          <w:rStyle w:val="FootnoteReference"/>
          <w:szCs w:val="22"/>
        </w:rPr>
        <w:footnoteRef/>
      </w:r>
      <w:r w:rsidRPr="00B41C70">
        <w:rPr>
          <w:szCs w:val="22"/>
        </w:rPr>
        <w:t xml:space="preserve"> Ramas, Exh. No. DMR-1CT at 34:18-26; Ball, Exh. No. JLB-1T at 31:17-32:9; Mullins, Exh. No. BGM-1CT at 38:20-39:8. They </w:t>
      </w:r>
      <w:r>
        <w:rPr>
          <w:szCs w:val="22"/>
        </w:rPr>
        <w:t xml:space="preserve">also </w:t>
      </w:r>
      <w:r w:rsidRPr="00B41C70">
        <w:rPr>
          <w:szCs w:val="22"/>
        </w:rPr>
        <w:t xml:space="preserve">oppose Avista’s plan to include the retention bonus rates, because the retention bonus is paid in stock. </w:t>
      </w:r>
    </w:p>
  </w:footnote>
  <w:footnote w:id="338">
    <w:p w14:paraId="192F1833" w14:textId="321417D1" w:rsidR="00493377" w:rsidRPr="00B41C70" w:rsidRDefault="00493377" w:rsidP="000E31BE">
      <w:pPr>
        <w:pStyle w:val="FootnoteText"/>
        <w:spacing w:after="120"/>
        <w:rPr>
          <w:szCs w:val="22"/>
        </w:rPr>
      </w:pPr>
      <w:r w:rsidRPr="00B41C70">
        <w:rPr>
          <w:rStyle w:val="FootnoteReference"/>
          <w:szCs w:val="22"/>
        </w:rPr>
        <w:footnoteRef/>
      </w:r>
      <w:r w:rsidRPr="00B41C70">
        <w:rPr>
          <w:szCs w:val="22"/>
        </w:rPr>
        <w:t xml:space="preserve"> </w:t>
      </w:r>
      <w:r w:rsidRPr="00B41C70">
        <w:rPr>
          <w:i/>
          <w:szCs w:val="22"/>
        </w:rPr>
        <w:t>Id</w:t>
      </w:r>
      <w:r w:rsidRPr="00B41C70">
        <w:rPr>
          <w:szCs w:val="22"/>
        </w:rPr>
        <w:t>.</w:t>
      </w:r>
      <w:r>
        <w:rPr>
          <w:szCs w:val="22"/>
        </w:rPr>
        <w:t xml:space="preserve"> </w:t>
      </w:r>
    </w:p>
  </w:footnote>
  <w:footnote w:id="339">
    <w:p w14:paraId="6D88561D" w14:textId="77777777" w:rsidR="00493377" w:rsidRPr="00B41C70" w:rsidRDefault="00493377" w:rsidP="00F3626C">
      <w:pPr>
        <w:pStyle w:val="FootnoteText"/>
        <w:spacing w:after="120"/>
        <w:rPr>
          <w:szCs w:val="22"/>
        </w:rPr>
      </w:pPr>
      <w:r w:rsidRPr="00B41C70">
        <w:rPr>
          <w:rStyle w:val="FootnoteReference"/>
          <w:szCs w:val="22"/>
        </w:rPr>
        <w:footnoteRef/>
      </w:r>
      <w:r w:rsidRPr="00B41C70">
        <w:rPr>
          <w:szCs w:val="22"/>
        </w:rPr>
        <w:t xml:space="preserve"> Mullins, Exh. No. BGM-1CT at 38:20-39:8.</w:t>
      </w:r>
    </w:p>
  </w:footnote>
  <w:footnote w:id="340">
    <w:p w14:paraId="225C8475" w14:textId="77777777" w:rsidR="00493377" w:rsidRPr="00B41C70" w:rsidRDefault="00493377" w:rsidP="000E31BE">
      <w:pPr>
        <w:pStyle w:val="FootnoteText"/>
        <w:spacing w:after="120"/>
        <w:rPr>
          <w:szCs w:val="22"/>
        </w:rPr>
      </w:pPr>
      <w:r w:rsidRPr="00B41C70">
        <w:rPr>
          <w:rStyle w:val="FootnoteReference"/>
          <w:szCs w:val="22"/>
        </w:rPr>
        <w:footnoteRef/>
      </w:r>
      <w:r w:rsidRPr="00B41C70">
        <w:rPr>
          <w:szCs w:val="22"/>
        </w:rPr>
        <w:t xml:space="preserve"> Smith, Exh. No. JSS-4T at 29:16-22.</w:t>
      </w:r>
    </w:p>
  </w:footnote>
  <w:footnote w:id="341">
    <w:p w14:paraId="525241F6" w14:textId="77777777" w:rsidR="00493377" w:rsidRPr="00B41C70" w:rsidRDefault="00493377" w:rsidP="000E31BE">
      <w:pPr>
        <w:pStyle w:val="FootnoteText"/>
        <w:spacing w:after="120"/>
        <w:rPr>
          <w:szCs w:val="22"/>
        </w:rPr>
      </w:pPr>
      <w:r w:rsidRPr="00B41C70">
        <w:rPr>
          <w:rStyle w:val="FootnoteReference"/>
          <w:szCs w:val="22"/>
        </w:rPr>
        <w:footnoteRef/>
      </w:r>
      <w:r w:rsidRPr="00B41C70">
        <w:rPr>
          <w:szCs w:val="22"/>
        </w:rPr>
        <w:t xml:space="preserve"> Smith, Exh. No. JSS-1T at 26:10-27:8; Ball, Exh. No. JLB-1T at 20:26-21:9. </w:t>
      </w:r>
    </w:p>
  </w:footnote>
  <w:footnote w:id="342">
    <w:p w14:paraId="38B962D1" w14:textId="03024032" w:rsidR="00493377" w:rsidRPr="00B41C70" w:rsidRDefault="00493377" w:rsidP="000E31BE">
      <w:pPr>
        <w:pStyle w:val="FootnoteText"/>
        <w:spacing w:after="120"/>
        <w:rPr>
          <w:szCs w:val="22"/>
        </w:rPr>
      </w:pPr>
      <w:r w:rsidRPr="00B41C70">
        <w:rPr>
          <w:rStyle w:val="FootnoteReference"/>
          <w:szCs w:val="22"/>
        </w:rPr>
        <w:footnoteRef/>
      </w:r>
      <w:r w:rsidRPr="00B41C70">
        <w:rPr>
          <w:szCs w:val="22"/>
        </w:rPr>
        <w:t xml:space="preserve"> </w:t>
      </w:r>
      <w:r>
        <w:rPr>
          <w:szCs w:val="22"/>
        </w:rPr>
        <w:t xml:space="preserve">Smith, Exh. No. JSS-1T </w:t>
      </w:r>
      <w:r w:rsidRPr="00B41C70">
        <w:rPr>
          <w:szCs w:val="22"/>
        </w:rPr>
        <w:t>at 26:10-27:8. Electric Adjustment 3.03, Gas Adjustment Gas 3.01.</w:t>
      </w:r>
      <w:r>
        <w:rPr>
          <w:szCs w:val="22"/>
        </w:rPr>
        <w:t xml:space="preserve"> </w:t>
      </w:r>
    </w:p>
  </w:footnote>
  <w:footnote w:id="343">
    <w:p w14:paraId="3B10CDB5" w14:textId="5AC422F7" w:rsidR="00493377" w:rsidRPr="00B41C70" w:rsidRDefault="00493377" w:rsidP="000E31BE">
      <w:pPr>
        <w:pStyle w:val="FootnoteText"/>
        <w:spacing w:after="120"/>
        <w:rPr>
          <w:b/>
          <w:szCs w:val="22"/>
        </w:rPr>
      </w:pPr>
      <w:r w:rsidRPr="00B41C70">
        <w:rPr>
          <w:rStyle w:val="FootnoteReference"/>
          <w:szCs w:val="22"/>
        </w:rPr>
        <w:footnoteRef/>
      </w:r>
      <w:r w:rsidRPr="00B41C70">
        <w:rPr>
          <w:szCs w:val="22"/>
        </w:rPr>
        <w:t xml:space="preserve"> Ball, Exh. No. JLB-1T at 21:1-18</w:t>
      </w:r>
      <w:r>
        <w:rPr>
          <w:szCs w:val="22"/>
        </w:rPr>
        <w:t>.</w:t>
      </w:r>
    </w:p>
  </w:footnote>
  <w:footnote w:id="344">
    <w:p w14:paraId="0EB0742B" w14:textId="77777777" w:rsidR="00493377" w:rsidRPr="00B41C70" w:rsidRDefault="00493377" w:rsidP="000E31BE">
      <w:pPr>
        <w:pStyle w:val="FootnoteText"/>
        <w:spacing w:after="120"/>
        <w:rPr>
          <w:szCs w:val="22"/>
        </w:rPr>
      </w:pPr>
      <w:r w:rsidRPr="00B41C70">
        <w:rPr>
          <w:rStyle w:val="FootnoteReference"/>
          <w:szCs w:val="22"/>
        </w:rPr>
        <w:footnoteRef/>
      </w:r>
      <w:r w:rsidRPr="00B41C70">
        <w:rPr>
          <w:szCs w:val="22"/>
        </w:rPr>
        <w:t xml:space="preserve"> Smith, Exh. No. JSS-1T at 26:10-27:8.</w:t>
      </w:r>
    </w:p>
  </w:footnote>
  <w:footnote w:id="345">
    <w:p w14:paraId="2265602D" w14:textId="77777777" w:rsidR="00493377" w:rsidRPr="00B41C70" w:rsidRDefault="00493377" w:rsidP="000E31BE">
      <w:pPr>
        <w:pStyle w:val="FootnoteText"/>
        <w:spacing w:after="120"/>
        <w:rPr>
          <w:szCs w:val="22"/>
        </w:rPr>
      </w:pPr>
      <w:r w:rsidRPr="00B41C70">
        <w:rPr>
          <w:rStyle w:val="FootnoteReference"/>
          <w:szCs w:val="22"/>
        </w:rPr>
        <w:footnoteRef/>
      </w:r>
      <w:r w:rsidRPr="00B41C70">
        <w:rPr>
          <w:szCs w:val="22"/>
        </w:rPr>
        <w:t xml:space="preserve"> Ball, Exh. No. JLB-1T at 21:11-18.</w:t>
      </w:r>
    </w:p>
  </w:footnote>
  <w:footnote w:id="346">
    <w:p w14:paraId="26276DEC" w14:textId="77777777" w:rsidR="00493377" w:rsidRPr="00B41C70" w:rsidRDefault="00493377" w:rsidP="000E31BE">
      <w:pPr>
        <w:pStyle w:val="FootnoteText"/>
        <w:spacing w:after="120"/>
        <w:rPr>
          <w:szCs w:val="22"/>
        </w:rPr>
      </w:pPr>
      <w:r w:rsidRPr="00B41C70">
        <w:rPr>
          <w:rStyle w:val="FootnoteReference"/>
          <w:szCs w:val="22"/>
        </w:rPr>
        <w:footnoteRef/>
      </w:r>
      <w:r w:rsidRPr="00B41C70">
        <w:rPr>
          <w:szCs w:val="22"/>
        </w:rPr>
        <w:t xml:space="preserve"> </w:t>
      </w:r>
      <w:r w:rsidRPr="00B41C70">
        <w:rPr>
          <w:i/>
          <w:szCs w:val="22"/>
        </w:rPr>
        <w:t>Id.</w:t>
      </w:r>
      <w:r w:rsidRPr="00B41C70">
        <w:rPr>
          <w:szCs w:val="22"/>
        </w:rPr>
        <w:t xml:space="preserve"> at 21:15-16.</w:t>
      </w:r>
    </w:p>
  </w:footnote>
  <w:footnote w:id="347">
    <w:p w14:paraId="51B0CCD4" w14:textId="77777777" w:rsidR="00493377" w:rsidRPr="00B41C70" w:rsidRDefault="00493377" w:rsidP="000E31BE">
      <w:pPr>
        <w:pStyle w:val="FootnoteText"/>
        <w:spacing w:after="120"/>
        <w:rPr>
          <w:szCs w:val="22"/>
        </w:rPr>
      </w:pPr>
      <w:r w:rsidRPr="00B41C70">
        <w:rPr>
          <w:rStyle w:val="FootnoteReference"/>
          <w:szCs w:val="22"/>
        </w:rPr>
        <w:footnoteRef/>
      </w:r>
      <w:r w:rsidRPr="00B41C70">
        <w:rPr>
          <w:szCs w:val="22"/>
        </w:rPr>
        <w:t xml:space="preserve"> Smith, Exh. No. JSS-4T at 35:13-21.</w:t>
      </w:r>
    </w:p>
  </w:footnote>
  <w:footnote w:id="348">
    <w:p w14:paraId="1EE848C4" w14:textId="4C548C19" w:rsidR="00493377" w:rsidRPr="00354023" w:rsidRDefault="00493377" w:rsidP="00354023">
      <w:pPr>
        <w:pStyle w:val="FootnoteText"/>
        <w:spacing w:after="120"/>
        <w:rPr>
          <w:i/>
        </w:rPr>
      </w:pPr>
      <w:r>
        <w:rPr>
          <w:rStyle w:val="FootnoteReference"/>
        </w:rPr>
        <w:footnoteRef/>
      </w:r>
      <w:r>
        <w:t xml:space="preserve"> </w:t>
      </w:r>
      <w:r>
        <w:rPr>
          <w:i/>
        </w:rPr>
        <w:t>Id.</w:t>
      </w:r>
    </w:p>
  </w:footnote>
  <w:footnote w:id="349">
    <w:p w14:paraId="06AEAF8B" w14:textId="77777777" w:rsidR="00493377" w:rsidRPr="00B41C70" w:rsidRDefault="00493377" w:rsidP="000E31BE">
      <w:pPr>
        <w:pStyle w:val="FootnoteText"/>
        <w:spacing w:after="120"/>
        <w:rPr>
          <w:szCs w:val="22"/>
        </w:rPr>
      </w:pPr>
      <w:r w:rsidRPr="00B41C70">
        <w:rPr>
          <w:rStyle w:val="FootnoteReference"/>
          <w:szCs w:val="22"/>
        </w:rPr>
        <w:footnoteRef/>
      </w:r>
      <w:r w:rsidRPr="00B41C70">
        <w:rPr>
          <w:szCs w:val="22"/>
        </w:rPr>
        <w:t xml:space="preserve"> Mullins, Exh. No. BGM-1CT at 37:20-38:2.</w:t>
      </w:r>
    </w:p>
  </w:footnote>
  <w:footnote w:id="350">
    <w:p w14:paraId="769128C1" w14:textId="77777777" w:rsidR="00493377" w:rsidRPr="00B41C70" w:rsidRDefault="00493377" w:rsidP="000E31BE">
      <w:pPr>
        <w:pStyle w:val="FootnoteText"/>
        <w:spacing w:after="120"/>
        <w:rPr>
          <w:szCs w:val="22"/>
        </w:rPr>
      </w:pPr>
      <w:r w:rsidRPr="00B41C70">
        <w:rPr>
          <w:rStyle w:val="FootnoteReference"/>
          <w:szCs w:val="22"/>
        </w:rPr>
        <w:footnoteRef/>
      </w:r>
      <w:r w:rsidRPr="00B41C70">
        <w:rPr>
          <w:szCs w:val="22"/>
        </w:rPr>
        <w:t xml:space="preserve"> Smith, Exh. No. JSS-4T at 36:4-7.</w:t>
      </w:r>
    </w:p>
  </w:footnote>
  <w:footnote w:id="351">
    <w:p w14:paraId="39D57C55" w14:textId="77777777" w:rsidR="00493377" w:rsidRPr="00B41C70" w:rsidRDefault="00493377" w:rsidP="000E31BE">
      <w:pPr>
        <w:pStyle w:val="FootnoteText"/>
        <w:spacing w:after="120"/>
        <w:rPr>
          <w:szCs w:val="22"/>
        </w:rPr>
      </w:pPr>
      <w:r w:rsidRPr="00B41C70">
        <w:rPr>
          <w:rStyle w:val="FootnoteReference"/>
          <w:szCs w:val="22"/>
        </w:rPr>
        <w:footnoteRef/>
      </w:r>
      <w:r w:rsidRPr="00B41C70">
        <w:rPr>
          <w:szCs w:val="22"/>
        </w:rPr>
        <w:t xml:space="preserve"> </w:t>
      </w:r>
      <w:r w:rsidRPr="00B41C70">
        <w:rPr>
          <w:i/>
          <w:szCs w:val="22"/>
        </w:rPr>
        <w:t>Id.</w:t>
      </w:r>
      <w:r w:rsidRPr="00B41C70">
        <w:rPr>
          <w:szCs w:val="22"/>
        </w:rPr>
        <w:t xml:space="preserve"> at 36:13-19.</w:t>
      </w:r>
    </w:p>
  </w:footnote>
  <w:footnote w:id="352">
    <w:p w14:paraId="4E0FAB69" w14:textId="77777777" w:rsidR="00493377" w:rsidRPr="00B41C70" w:rsidRDefault="00493377" w:rsidP="00A83D25">
      <w:pPr>
        <w:pStyle w:val="FootnoteText"/>
        <w:spacing w:after="120"/>
        <w:rPr>
          <w:szCs w:val="22"/>
        </w:rPr>
      </w:pPr>
      <w:r w:rsidRPr="00B41C70">
        <w:rPr>
          <w:rStyle w:val="FootnoteReference"/>
          <w:szCs w:val="22"/>
        </w:rPr>
        <w:footnoteRef/>
      </w:r>
      <w:r w:rsidRPr="00B41C70">
        <w:rPr>
          <w:szCs w:val="22"/>
        </w:rPr>
        <w:t xml:space="preserve"> </w:t>
      </w:r>
      <w:r w:rsidRPr="00B41C70">
        <w:rPr>
          <w:i/>
          <w:szCs w:val="22"/>
        </w:rPr>
        <w:t>Id.</w:t>
      </w:r>
      <w:r w:rsidRPr="00B41C70">
        <w:rPr>
          <w:szCs w:val="22"/>
        </w:rPr>
        <w:t xml:space="preserve"> at 37:2-14.</w:t>
      </w:r>
    </w:p>
  </w:footnote>
  <w:footnote w:id="353">
    <w:p w14:paraId="4A2FAF83" w14:textId="77777777" w:rsidR="00493377" w:rsidRPr="00B41C70" w:rsidRDefault="00493377" w:rsidP="00A83D25">
      <w:pPr>
        <w:pStyle w:val="FootnoteText"/>
        <w:spacing w:after="120"/>
        <w:rPr>
          <w:szCs w:val="22"/>
        </w:rPr>
      </w:pPr>
      <w:r w:rsidRPr="00B41C70">
        <w:rPr>
          <w:rStyle w:val="FootnoteReference"/>
          <w:szCs w:val="22"/>
        </w:rPr>
        <w:footnoteRef/>
      </w:r>
      <w:r w:rsidRPr="00B41C70">
        <w:rPr>
          <w:szCs w:val="22"/>
        </w:rPr>
        <w:t xml:space="preserve"> Smith, Exh. No. JSS-1T at 45:5-7.</w:t>
      </w:r>
    </w:p>
  </w:footnote>
  <w:footnote w:id="354">
    <w:p w14:paraId="226D22A9" w14:textId="77777777" w:rsidR="00493377" w:rsidRPr="00B41C70" w:rsidRDefault="00493377" w:rsidP="009C060E">
      <w:pPr>
        <w:pStyle w:val="FootnoteText"/>
        <w:spacing w:after="120"/>
        <w:rPr>
          <w:szCs w:val="22"/>
        </w:rPr>
      </w:pPr>
      <w:r w:rsidRPr="00B41C70">
        <w:rPr>
          <w:rStyle w:val="FootnoteReference"/>
          <w:szCs w:val="22"/>
        </w:rPr>
        <w:footnoteRef/>
      </w:r>
      <w:r w:rsidRPr="00B41C70">
        <w:rPr>
          <w:szCs w:val="22"/>
        </w:rPr>
        <w:t xml:space="preserve"> Mullins, Exh. No. BGM-1CT at 39:10-18, </w:t>
      </w:r>
      <w:r w:rsidRPr="00B41C70">
        <w:rPr>
          <w:i/>
          <w:szCs w:val="22"/>
        </w:rPr>
        <w:t>citing</w:t>
      </w:r>
      <w:r w:rsidRPr="00B41C70">
        <w:rPr>
          <w:szCs w:val="22"/>
        </w:rPr>
        <w:t xml:space="preserve"> </w:t>
      </w:r>
      <w:r w:rsidRPr="00B41C70">
        <w:rPr>
          <w:i/>
          <w:szCs w:val="22"/>
        </w:rPr>
        <w:t>WUTC v. Avista</w:t>
      </w:r>
      <w:r w:rsidRPr="00B41C70">
        <w:rPr>
          <w:szCs w:val="22"/>
        </w:rPr>
        <w:t>, Dockets UE-090134 and UG-090135 (consolidated), Order 10, ¶ 142 (Dec. 22, 2009).</w:t>
      </w:r>
    </w:p>
  </w:footnote>
  <w:footnote w:id="355">
    <w:p w14:paraId="4FD780B7" w14:textId="77777777" w:rsidR="00493377" w:rsidRPr="001F064A" w:rsidRDefault="00493377" w:rsidP="00A83D25">
      <w:pPr>
        <w:pStyle w:val="FootnoteText"/>
        <w:spacing w:after="120"/>
      </w:pPr>
      <w:r w:rsidRPr="001F064A">
        <w:rPr>
          <w:rStyle w:val="FootnoteReference"/>
        </w:rPr>
        <w:footnoteRef/>
      </w:r>
      <w:r w:rsidRPr="001F064A">
        <w:t xml:space="preserve"> </w:t>
      </w:r>
      <w:r w:rsidRPr="001F064A">
        <w:rPr>
          <w:i/>
        </w:rPr>
        <w:t>WUTC v. Avista</w:t>
      </w:r>
      <w:r w:rsidRPr="001F064A">
        <w:t>, Dockets UE-140188 and UG-140189 (</w:t>
      </w:r>
      <w:r w:rsidRPr="001F064A">
        <w:rPr>
          <w:i/>
        </w:rPr>
        <w:t>consolidated</w:t>
      </w:r>
      <w:r w:rsidRPr="001F064A">
        <w:t>), Order 05, ¶ 5 (Nov. 25, 201</w:t>
      </w:r>
      <w:r>
        <w:t>4</w:t>
      </w:r>
      <w:r w:rsidRPr="001F064A">
        <w:t xml:space="preserve">).  </w:t>
      </w:r>
    </w:p>
  </w:footnote>
  <w:footnote w:id="356">
    <w:p w14:paraId="1971C5B9" w14:textId="77777777" w:rsidR="00493377" w:rsidRPr="001F064A" w:rsidRDefault="00493377" w:rsidP="00A83D25">
      <w:pPr>
        <w:pStyle w:val="FootnoteText"/>
        <w:spacing w:after="120"/>
      </w:pPr>
      <w:r w:rsidRPr="001F064A">
        <w:rPr>
          <w:rStyle w:val="FootnoteReference"/>
        </w:rPr>
        <w:footnoteRef/>
      </w:r>
      <w:r w:rsidRPr="001F064A">
        <w:t xml:space="preserve"> Williams, Exh. No. JMW-1T at 5:4-6.  </w:t>
      </w:r>
    </w:p>
  </w:footnote>
  <w:footnote w:id="357">
    <w:p w14:paraId="3CBB0A7F" w14:textId="77777777" w:rsidR="00493377" w:rsidRPr="001F064A" w:rsidRDefault="00493377" w:rsidP="00A83D25">
      <w:pPr>
        <w:pStyle w:val="FootnoteText"/>
        <w:spacing w:after="120"/>
      </w:pPr>
      <w:r w:rsidRPr="001F064A">
        <w:rPr>
          <w:rStyle w:val="FootnoteReference"/>
        </w:rPr>
        <w:footnoteRef/>
      </w:r>
      <w:r w:rsidRPr="001F064A">
        <w:t xml:space="preserve"> </w:t>
      </w:r>
      <w:r w:rsidRPr="001F064A">
        <w:rPr>
          <w:i/>
        </w:rPr>
        <w:t>WUTC v. Avista</w:t>
      </w:r>
      <w:r w:rsidRPr="001F064A">
        <w:t>, Dockets UE-140188 and UG-140189 (</w:t>
      </w:r>
      <w:r w:rsidRPr="001F064A">
        <w:rPr>
          <w:i/>
        </w:rPr>
        <w:t>consolidated</w:t>
      </w:r>
      <w:r w:rsidRPr="001F064A">
        <w:t xml:space="preserve">), Order 07 (June 25, 2015).  </w:t>
      </w:r>
    </w:p>
  </w:footnote>
  <w:footnote w:id="358">
    <w:p w14:paraId="6E8E7E21" w14:textId="77777777" w:rsidR="00493377" w:rsidRPr="001F064A" w:rsidRDefault="00493377" w:rsidP="00A83D25">
      <w:pPr>
        <w:pStyle w:val="FootnoteText"/>
        <w:spacing w:after="120"/>
      </w:pPr>
      <w:r w:rsidRPr="001F064A">
        <w:rPr>
          <w:rStyle w:val="FootnoteReference"/>
        </w:rPr>
        <w:footnoteRef/>
      </w:r>
      <w:r w:rsidRPr="001F064A">
        <w:t xml:space="preserve"> Williams, Exh. No. JMW-1T at 2:13-17.</w:t>
      </w:r>
    </w:p>
  </w:footnote>
  <w:footnote w:id="359">
    <w:p w14:paraId="6B89A994" w14:textId="77777777" w:rsidR="00493377" w:rsidRPr="001F064A" w:rsidRDefault="00493377" w:rsidP="00A83D25">
      <w:pPr>
        <w:pStyle w:val="FootnoteText"/>
        <w:spacing w:after="120"/>
      </w:pPr>
      <w:r w:rsidRPr="001F064A">
        <w:rPr>
          <w:rStyle w:val="FootnoteReference"/>
        </w:rPr>
        <w:footnoteRef/>
      </w:r>
      <w:r w:rsidRPr="001F064A">
        <w:t xml:space="preserve"> Williams, Exh. No. JMW-2 at 1.</w:t>
      </w:r>
    </w:p>
  </w:footnote>
  <w:footnote w:id="360">
    <w:p w14:paraId="1B3B7AB2" w14:textId="77777777" w:rsidR="00493377" w:rsidRPr="001F064A" w:rsidRDefault="00493377" w:rsidP="00A83D25">
      <w:pPr>
        <w:pStyle w:val="FootnoteText"/>
        <w:spacing w:after="120"/>
      </w:pPr>
      <w:r w:rsidRPr="001F064A">
        <w:rPr>
          <w:rStyle w:val="FootnoteReference"/>
        </w:rPr>
        <w:footnoteRef/>
      </w:r>
      <w:r w:rsidRPr="001F064A">
        <w:t xml:space="preserve"> Collins, Exh. No. SMC-1T at 3:18-22.</w:t>
      </w:r>
    </w:p>
  </w:footnote>
  <w:footnote w:id="361">
    <w:p w14:paraId="53DEAFBE" w14:textId="77777777" w:rsidR="00493377" w:rsidRPr="001F064A" w:rsidRDefault="00493377" w:rsidP="00A83D25">
      <w:pPr>
        <w:pStyle w:val="FootnoteText"/>
        <w:spacing w:after="120"/>
      </w:pPr>
      <w:r w:rsidRPr="001F064A">
        <w:rPr>
          <w:rStyle w:val="FootnoteReference"/>
        </w:rPr>
        <w:footnoteRef/>
      </w:r>
      <w:r w:rsidRPr="001F064A">
        <w:t xml:space="preserve"> Collins, Exh. No. SMC-5 at 1.</w:t>
      </w:r>
    </w:p>
  </w:footnote>
  <w:footnote w:id="362">
    <w:p w14:paraId="2108E4E4" w14:textId="77777777" w:rsidR="00493377" w:rsidRPr="001F064A" w:rsidRDefault="00493377" w:rsidP="00A83D25">
      <w:pPr>
        <w:pStyle w:val="FootnoteText"/>
        <w:spacing w:after="120"/>
      </w:pPr>
      <w:r w:rsidRPr="001F064A">
        <w:rPr>
          <w:rStyle w:val="FootnoteReference"/>
        </w:rPr>
        <w:footnoteRef/>
      </w:r>
      <w:r w:rsidRPr="001F064A">
        <w:t xml:space="preserve"> </w:t>
      </w:r>
      <w:r>
        <w:t>Collins, Exh. No. SMC-1T at 13:1-3.</w:t>
      </w:r>
    </w:p>
  </w:footnote>
  <w:footnote w:id="363">
    <w:p w14:paraId="6D41C2A3" w14:textId="77777777" w:rsidR="00493377" w:rsidRPr="001F064A" w:rsidRDefault="00493377" w:rsidP="00A83D25">
      <w:pPr>
        <w:pStyle w:val="FootnoteText"/>
        <w:spacing w:after="120"/>
      </w:pPr>
      <w:r w:rsidRPr="001F064A">
        <w:rPr>
          <w:rStyle w:val="FootnoteReference"/>
        </w:rPr>
        <w:footnoteRef/>
      </w:r>
      <w:r w:rsidRPr="001F064A">
        <w:t xml:space="preserve"> Ehrbar, Exh. No. PDE-8T at 8:1-6; 9:17-19.  The Company proposes to base LIRAP funding levels on the final approved base tariff rates as well as the then-current Schedule 150 (Purchase Gas Adjustment) rates.  The Company chose 7 percent based on Staff’s proposed increase of $475,000 compared to the updated total current LIRAP funding level of $7,048,065 (approx. 7 percent).</w:t>
      </w:r>
    </w:p>
  </w:footnote>
  <w:footnote w:id="364">
    <w:p w14:paraId="0ED4CFD1" w14:textId="77777777" w:rsidR="00493377" w:rsidRPr="001F064A" w:rsidRDefault="00493377" w:rsidP="00A83D25">
      <w:pPr>
        <w:pStyle w:val="FootnoteText"/>
        <w:spacing w:after="120"/>
      </w:pPr>
      <w:r w:rsidRPr="001F064A">
        <w:rPr>
          <w:rStyle w:val="FootnoteReference"/>
        </w:rPr>
        <w:footnoteRef/>
      </w:r>
      <w:r w:rsidRPr="001F064A">
        <w:t xml:space="preserve"> </w:t>
      </w:r>
      <w:r w:rsidRPr="001F064A">
        <w:rPr>
          <w:i/>
        </w:rPr>
        <w:t>Id.</w:t>
      </w:r>
      <w:r w:rsidRPr="001F064A">
        <w:t xml:space="preserve"> at 10:1-3.</w:t>
      </w:r>
    </w:p>
  </w:footnote>
  <w:footnote w:id="365">
    <w:p w14:paraId="15354E49" w14:textId="77777777" w:rsidR="00493377" w:rsidRPr="001F064A" w:rsidRDefault="00493377" w:rsidP="00A83D25">
      <w:pPr>
        <w:pStyle w:val="FootnoteText"/>
        <w:spacing w:after="120"/>
      </w:pPr>
      <w:r w:rsidRPr="001F064A">
        <w:rPr>
          <w:rStyle w:val="FootnoteReference"/>
        </w:rPr>
        <w:footnoteRef/>
      </w:r>
      <w:r w:rsidRPr="001F064A">
        <w:t xml:space="preserve"> Reynolds, TR at 538:13-16</w:t>
      </w:r>
      <w:r>
        <w:t>.</w:t>
      </w:r>
    </w:p>
  </w:footnote>
  <w:footnote w:id="366">
    <w:p w14:paraId="3908F354" w14:textId="77777777" w:rsidR="00493377" w:rsidRPr="001F064A" w:rsidRDefault="00493377" w:rsidP="00A83D25">
      <w:pPr>
        <w:pStyle w:val="FootnoteText"/>
        <w:spacing w:after="120"/>
      </w:pPr>
      <w:r w:rsidRPr="001F064A">
        <w:rPr>
          <w:rStyle w:val="FootnoteReference"/>
        </w:rPr>
        <w:footnoteRef/>
      </w:r>
      <w:r w:rsidRPr="001F064A">
        <w:t xml:space="preserve"> </w:t>
      </w:r>
      <w:r>
        <w:rPr>
          <w:i/>
        </w:rPr>
        <w:t>Id.</w:t>
      </w:r>
      <w:r w:rsidRPr="001F064A">
        <w:t xml:space="preserve"> at 540:2-5.</w:t>
      </w:r>
    </w:p>
  </w:footnote>
  <w:footnote w:id="367">
    <w:p w14:paraId="276BA8D2" w14:textId="77777777" w:rsidR="00493377" w:rsidRDefault="00493377" w:rsidP="00A83D25">
      <w:pPr>
        <w:pStyle w:val="FootnoteText"/>
        <w:spacing w:after="120"/>
      </w:pPr>
      <w:r>
        <w:rPr>
          <w:rStyle w:val="FootnoteReference"/>
        </w:rPr>
        <w:footnoteRef/>
      </w:r>
      <w:r>
        <w:t xml:space="preserve"> The Energy Project’s Brief at 6.</w:t>
      </w:r>
    </w:p>
  </w:footnote>
  <w:footnote w:id="368">
    <w:p w14:paraId="683848D1" w14:textId="77777777" w:rsidR="00493377" w:rsidRPr="001F064A" w:rsidRDefault="00493377" w:rsidP="00A83D25">
      <w:pPr>
        <w:pStyle w:val="FootnoteText"/>
        <w:spacing w:after="120"/>
      </w:pPr>
      <w:r w:rsidRPr="001F064A">
        <w:rPr>
          <w:rStyle w:val="FootnoteReference"/>
        </w:rPr>
        <w:footnoteRef/>
      </w:r>
      <w:r>
        <w:t xml:space="preserve"> Collins, TR at 606:18-23.</w:t>
      </w:r>
    </w:p>
  </w:footnote>
  <w:footnote w:id="369">
    <w:p w14:paraId="524E7389" w14:textId="77777777" w:rsidR="00493377" w:rsidRPr="001F064A" w:rsidRDefault="00493377" w:rsidP="00A83D25">
      <w:pPr>
        <w:pStyle w:val="FootnoteText"/>
        <w:spacing w:after="120"/>
      </w:pPr>
      <w:r w:rsidRPr="001F064A">
        <w:rPr>
          <w:rStyle w:val="FootnoteReference"/>
        </w:rPr>
        <w:footnoteRef/>
      </w:r>
      <w:r w:rsidRPr="001F064A">
        <w:rPr>
          <w:rStyle w:val="FootnoteReference"/>
        </w:rPr>
        <w:t xml:space="preserve"> </w:t>
      </w:r>
      <w:r w:rsidRPr="001F064A">
        <w:t>According to a study conducted by Eastern Washington University, 51,130 households within Avista’s service territory (22.5 percent) earn income at or below 125 percent of the Federal Poverty Level. Collins, Exh. No. SMC-1T at 8:5-8; Collins, Exh. No. SMC-4</w:t>
      </w:r>
      <w:r>
        <w:t>.</w:t>
      </w:r>
    </w:p>
  </w:footnote>
  <w:footnote w:id="370">
    <w:p w14:paraId="26B3210B" w14:textId="77777777" w:rsidR="00493377" w:rsidRPr="001F064A" w:rsidRDefault="00493377" w:rsidP="00A83D25">
      <w:pPr>
        <w:pStyle w:val="FootnoteText"/>
        <w:spacing w:after="120"/>
      </w:pPr>
      <w:r w:rsidRPr="001F064A">
        <w:rPr>
          <w:rStyle w:val="FootnoteReference"/>
        </w:rPr>
        <w:footnoteRef/>
      </w:r>
      <w:r w:rsidRPr="001F064A">
        <w:t xml:space="preserve"> Williams, Exh. No. JMW</w:t>
      </w:r>
      <w:r>
        <w:t>-</w:t>
      </w:r>
      <w:r w:rsidRPr="001F064A">
        <w:t>1T, at 7:4-7.</w:t>
      </w:r>
    </w:p>
  </w:footnote>
  <w:footnote w:id="371">
    <w:p w14:paraId="41076768" w14:textId="77777777" w:rsidR="00493377" w:rsidRPr="001F064A" w:rsidRDefault="00493377" w:rsidP="00A83D25">
      <w:pPr>
        <w:pStyle w:val="FootnoteText"/>
        <w:spacing w:after="120"/>
      </w:pPr>
      <w:r w:rsidRPr="001F064A">
        <w:rPr>
          <w:rStyle w:val="FootnoteReference"/>
        </w:rPr>
        <w:footnoteRef/>
      </w:r>
      <w:r w:rsidRPr="001F064A">
        <w:t xml:space="preserve"> </w:t>
      </w:r>
      <w:r w:rsidRPr="001F064A">
        <w:rPr>
          <w:i/>
        </w:rPr>
        <w:t>Id.</w:t>
      </w:r>
      <w:r w:rsidRPr="001F064A">
        <w:t xml:space="preserve"> at 9:22-23.</w:t>
      </w:r>
    </w:p>
  </w:footnote>
  <w:footnote w:id="372">
    <w:p w14:paraId="5416D466" w14:textId="77777777" w:rsidR="00493377" w:rsidRPr="001F064A" w:rsidRDefault="00493377" w:rsidP="00A83D25">
      <w:pPr>
        <w:pStyle w:val="FootnoteText"/>
        <w:spacing w:after="120"/>
      </w:pPr>
      <w:r w:rsidRPr="001F064A">
        <w:rPr>
          <w:rStyle w:val="FootnoteReference"/>
        </w:rPr>
        <w:footnoteRef/>
      </w:r>
      <w:r w:rsidRPr="001F064A">
        <w:t xml:space="preserve"> </w:t>
      </w:r>
      <w:r>
        <w:rPr>
          <w:i/>
        </w:rPr>
        <w:t>Id.</w:t>
      </w:r>
      <w:r w:rsidRPr="001F064A">
        <w:t xml:space="preserve"> at 10:18-21.</w:t>
      </w:r>
    </w:p>
  </w:footnote>
  <w:footnote w:id="373">
    <w:p w14:paraId="0ADF422C" w14:textId="77777777" w:rsidR="00493377" w:rsidRPr="001F064A" w:rsidRDefault="00493377" w:rsidP="00A83D25">
      <w:pPr>
        <w:pStyle w:val="FootnoteText"/>
        <w:spacing w:after="120"/>
      </w:pPr>
      <w:r w:rsidRPr="001F064A">
        <w:rPr>
          <w:rStyle w:val="FootnoteReference"/>
        </w:rPr>
        <w:footnoteRef/>
      </w:r>
      <w:r w:rsidRPr="001F064A">
        <w:t xml:space="preserve"> Collins, Exh. No. SMC-1T at 12:14-16</w:t>
      </w:r>
      <w:r>
        <w:t>.</w:t>
      </w:r>
    </w:p>
  </w:footnote>
  <w:footnote w:id="374">
    <w:p w14:paraId="31FA41CA" w14:textId="77777777" w:rsidR="00493377" w:rsidRPr="001F064A" w:rsidRDefault="00493377" w:rsidP="00A83D25">
      <w:pPr>
        <w:pStyle w:val="FootnoteText"/>
        <w:spacing w:after="120"/>
      </w:pPr>
      <w:r w:rsidRPr="001F064A">
        <w:rPr>
          <w:rStyle w:val="FootnoteReference"/>
        </w:rPr>
        <w:footnoteRef/>
      </w:r>
      <w:r w:rsidRPr="001F064A">
        <w:t xml:space="preserve"> Collins, TR at 606:18-19</w:t>
      </w:r>
      <w:r>
        <w:t>.</w:t>
      </w:r>
    </w:p>
  </w:footnote>
  <w:footnote w:id="375">
    <w:p w14:paraId="68BAB7E0" w14:textId="70395DC2" w:rsidR="00493377" w:rsidRPr="001F064A" w:rsidRDefault="00493377" w:rsidP="00A83D25">
      <w:pPr>
        <w:pStyle w:val="FootnoteText"/>
        <w:spacing w:after="120"/>
      </w:pPr>
      <w:r w:rsidRPr="001F064A">
        <w:rPr>
          <w:rStyle w:val="FootnoteReference"/>
        </w:rPr>
        <w:footnoteRef/>
      </w:r>
      <w:r w:rsidRPr="001F064A">
        <w:t xml:space="preserve"> Avista proposes a five-year funding plan to increase Schedules 92 and 192 by </w:t>
      </w:r>
      <w:r>
        <w:t>7</w:t>
      </w:r>
      <w:r w:rsidRPr="001F064A">
        <w:t xml:space="preserve"> percent or two times the final approved base rate increases for Schedule 1 and Schedule 101 cu</w:t>
      </w:r>
      <w:r>
        <w:t xml:space="preserve">stomers, whichever is greater. Ehrbar, Exh. No. </w:t>
      </w:r>
      <w:r w:rsidRPr="001F064A">
        <w:t>PDE-8T at 8:1-13</w:t>
      </w:r>
      <w:r>
        <w:t>.</w:t>
      </w:r>
    </w:p>
  </w:footnote>
  <w:footnote w:id="376">
    <w:p w14:paraId="5E2CEFE1" w14:textId="77777777" w:rsidR="00493377" w:rsidRDefault="00493377" w:rsidP="00CE3CDC">
      <w:pPr>
        <w:pStyle w:val="FootnoteText"/>
        <w:spacing w:after="120"/>
      </w:pPr>
      <w:r>
        <w:rPr>
          <w:rStyle w:val="FootnoteReference"/>
        </w:rPr>
        <w:footnoteRef/>
      </w:r>
      <w:r>
        <w:t xml:space="preserve"> This will likely include LIRAP, </w:t>
      </w:r>
      <w:r w:rsidRPr="004850E6">
        <w:t>LIRAP Heat, LIRAP Senior Energy Outreach, and LIRAP Share</w:t>
      </w:r>
      <w:r>
        <w:t>.</w:t>
      </w:r>
    </w:p>
  </w:footnote>
  <w:footnote w:id="377">
    <w:p w14:paraId="7CFB6CF7" w14:textId="77777777" w:rsidR="00493377" w:rsidRPr="00BA1668" w:rsidRDefault="00493377" w:rsidP="005B2996">
      <w:pPr>
        <w:pStyle w:val="FootnoteText"/>
        <w:spacing w:after="120"/>
      </w:pPr>
      <w:r w:rsidRPr="00BA1668">
        <w:rPr>
          <w:rStyle w:val="FootnoteReference"/>
        </w:rPr>
        <w:footnoteRef/>
      </w:r>
      <w:r w:rsidRPr="00BA1668">
        <w:t xml:space="preserve"> Smith, Exh. No. JSS-1T at 31:1-5.</w:t>
      </w:r>
    </w:p>
  </w:footnote>
  <w:footnote w:id="378">
    <w:p w14:paraId="549044F4" w14:textId="77777777" w:rsidR="00493377" w:rsidRPr="00BA1668" w:rsidRDefault="00493377" w:rsidP="005B2996">
      <w:pPr>
        <w:pStyle w:val="FootnoteText"/>
        <w:spacing w:after="120"/>
      </w:pPr>
      <w:r w:rsidRPr="00BA1668">
        <w:rPr>
          <w:rStyle w:val="FootnoteReference"/>
        </w:rPr>
        <w:footnoteRef/>
      </w:r>
      <w:r w:rsidRPr="00BA1668">
        <w:t xml:space="preserve"> Ramas, Exh. No. DMR-1CT at 43:15-17; Mullins, Exh. No. BGM-1CT at 30:1-4.</w:t>
      </w:r>
    </w:p>
  </w:footnote>
  <w:footnote w:id="379">
    <w:p w14:paraId="3DB21CFB" w14:textId="77777777" w:rsidR="00493377" w:rsidRPr="00BA1668" w:rsidRDefault="00493377" w:rsidP="005B2996">
      <w:pPr>
        <w:pStyle w:val="FootnoteText"/>
        <w:spacing w:after="120"/>
      </w:pPr>
      <w:r w:rsidRPr="00BA1668">
        <w:rPr>
          <w:rStyle w:val="FootnoteReference"/>
        </w:rPr>
        <w:footnoteRef/>
      </w:r>
      <w:r w:rsidRPr="00BA1668">
        <w:t xml:space="preserve"> Ramas, Exh. No. DMR-1CT at 43:17-20; Mullins, Exh. No. BGM-5T at 13:9-12.</w:t>
      </w:r>
    </w:p>
  </w:footnote>
  <w:footnote w:id="380">
    <w:p w14:paraId="750EA8F0" w14:textId="77777777" w:rsidR="00493377" w:rsidRPr="00BA1668" w:rsidRDefault="00493377" w:rsidP="005B2996">
      <w:pPr>
        <w:pStyle w:val="FootnoteText"/>
        <w:spacing w:after="120"/>
      </w:pPr>
      <w:r w:rsidRPr="00BA1668">
        <w:rPr>
          <w:rStyle w:val="FootnoteReference"/>
        </w:rPr>
        <w:footnoteRef/>
      </w:r>
      <w:r w:rsidRPr="00BA1668">
        <w:t xml:space="preserve"> Ramas, Exh. No. DMR-1CT at 44:1-6. The test year in the Company’s direct filing ended September 30, 2014, and was adjusted with projected amounts for the fourth quarter to calendar 2014. However, in data responses prior to rebuttal and in rebuttal the Company replaced, and Public Counsel accepted, the use of 2014 actuals as the de facto test year. </w:t>
      </w:r>
    </w:p>
  </w:footnote>
  <w:footnote w:id="381">
    <w:p w14:paraId="4E7404A2" w14:textId="77777777" w:rsidR="00493377" w:rsidRPr="00BA1668" w:rsidRDefault="00493377" w:rsidP="005B2996">
      <w:pPr>
        <w:pStyle w:val="FootnoteText"/>
        <w:spacing w:after="120"/>
      </w:pPr>
      <w:r w:rsidRPr="00BA1668">
        <w:rPr>
          <w:rStyle w:val="FootnoteReference"/>
        </w:rPr>
        <w:footnoteRef/>
      </w:r>
      <w:r w:rsidRPr="00BA1668">
        <w:t xml:space="preserve"> </w:t>
      </w:r>
      <w:r>
        <w:rPr>
          <w:i/>
        </w:rPr>
        <w:t>Id.</w:t>
      </w:r>
      <w:r w:rsidRPr="00BA1668">
        <w:t xml:space="preserve"> at 44:6-11.</w:t>
      </w:r>
    </w:p>
  </w:footnote>
  <w:footnote w:id="382">
    <w:p w14:paraId="53E2A805" w14:textId="77777777" w:rsidR="00493377" w:rsidRPr="00BA1668" w:rsidRDefault="00493377" w:rsidP="005B2996">
      <w:pPr>
        <w:pStyle w:val="FootnoteText"/>
        <w:spacing w:after="120"/>
      </w:pPr>
      <w:r w:rsidRPr="00BA1668">
        <w:rPr>
          <w:rStyle w:val="FootnoteReference"/>
        </w:rPr>
        <w:footnoteRef/>
      </w:r>
      <w:r w:rsidRPr="00BA1668">
        <w:t xml:space="preserve"> Mullins, Exh. No. BGM-5T at 13:6-14.</w:t>
      </w:r>
    </w:p>
  </w:footnote>
  <w:footnote w:id="383">
    <w:p w14:paraId="3954BA9B" w14:textId="77777777" w:rsidR="00493377" w:rsidRPr="00BA1668" w:rsidRDefault="00493377" w:rsidP="005B2996">
      <w:pPr>
        <w:pStyle w:val="FootnoteText"/>
        <w:spacing w:after="120"/>
      </w:pPr>
      <w:r w:rsidRPr="00BA1668">
        <w:rPr>
          <w:rStyle w:val="FootnoteReference"/>
        </w:rPr>
        <w:footnoteRef/>
      </w:r>
      <w:r w:rsidRPr="00BA1668">
        <w:t xml:space="preserve"> Smith, Exh No. JSS-4T at 39:8-11.</w:t>
      </w:r>
    </w:p>
  </w:footnote>
  <w:footnote w:id="384">
    <w:p w14:paraId="0287B0A4" w14:textId="77777777" w:rsidR="00493377" w:rsidRPr="00BA1668" w:rsidRDefault="00493377" w:rsidP="005B2996">
      <w:pPr>
        <w:pStyle w:val="FootnoteText"/>
        <w:spacing w:after="120"/>
      </w:pPr>
      <w:r w:rsidRPr="00BA1668">
        <w:rPr>
          <w:rStyle w:val="FootnoteReference"/>
        </w:rPr>
        <w:footnoteRef/>
      </w:r>
      <w:r w:rsidRPr="00BA1668">
        <w:t xml:space="preserve"> </w:t>
      </w:r>
      <w:r w:rsidRPr="00BA1668">
        <w:rPr>
          <w:i/>
        </w:rPr>
        <w:t>Id.</w:t>
      </w:r>
      <w:r w:rsidRPr="00BA1668">
        <w:t xml:space="preserve"> at 39:14-16. </w:t>
      </w:r>
    </w:p>
  </w:footnote>
  <w:footnote w:id="385">
    <w:p w14:paraId="2A903F5F" w14:textId="19A652EA" w:rsidR="00493377" w:rsidRDefault="00493377" w:rsidP="00667E30">
      <w:pPr>
        <w:pStyle w:val="FootnoteText"/>
        <w:spacing w:after="120"/>
      </w:pPr>
      <w:r>
        <w:rPr>
          <w:rStyle w:val="FootnoteReference"/>
        </w:rPr>
        <w:footnoteRef/>
      </w:r>
      <w:r>
        <w:t xml:space="preserve"> </w:t>
      </w:r>
      <w:r>
        <w:rPr>
          <w:i/>
          <w:szCs w:val="22"/>
        </w:rPr>
        <w:t xml:space="preserve">PPL </w:t>
      </w:r>
      <w:r w:rsidRPr="007D1A8F">
        <w:rPr>
          <w:i/>
          <w:szCs w:val="22"/>
        </w:rPr>
        <w:t>Order 08</w:t>
      </w:r>
      <w:r>
        <w:rPr>
          <w:szCs w:val="22"/>
        </w:rPr>
        <w:t>, ¶¶ 44</w:t>
      </w:r>
      <w:r w:rsidRPr="003868A4">
        <w:rPr>
          <w:szCs w:val="22"/>
        </w:rPr>
        <w:t xml:space="preserve">, </w:t>
      </w:r>
      <w:r>
        <w:rPr>
          <w:szCs w:val="22"/>
        </w:rPr>
        <w:t>165</w:t>
      </w:r>
      <w:r w:rsidRPr="003868A4">
        <w:rPr>
          <w:szCs w:val="22"/>
        </w:rPr>
        <w:t>.</w:t>
      </w:r>
    </w:p>
  </w:footnote>
  <w:footnote w:id="386">
    <w:p w14:paraId="7ADBF767" w14:textId="1E6872B6" w:rsidR="00493377" w:rsidRPr="00BA1668" w:rsidRDefault="00493377" w:rsidP="00092ECD">
      <w:pPr>
        <w:pStyle w:val="FootnoteText"/>
        <w:spacing w:after="120"/>
      </w:pPr>
      <w:r w:rsidRPr="00BA1668">
        <w:rPr>
          <w:rStyle w:val="FootnoteReference"/>
        </w:rPr>
        <w:footnoteRef/>
      </w:r>
      <w:r w:rsidRPr="00BA1668">
        <w:t xml:space="preserve"> Public Counsel</w:t>
      </w:r>
      <w:r>
        <w:t>’s</w:t>
      </w:r>
      <w:r w:rsidRPr="00BA1668">
        <w:t xml:space="preserve"> Brief</w:t>
      </w:r>
      <w:r>
        <w:t>,</w:t>
      </w:r>
      <w:r w:rsidRPr="00BA1668">
        <w:t xml:space="preserve"> ¶ 72</w:t>
      </w:r>
      <w:r>
        <w:t xml:space="preserve">; ICNU’s Brief, </w:t>
      </w:r>
      <w:r w:rsidRPr="00BA1668">
        <w:t>¶</w:t>
      </w:r>
      <w:r>
        <w:t xml:space="preserve"> 47.</w:t>
      </w:r>
    </w:p>
  </w:footnote>
  <w:footnote w:id="387">
    <w:p w14:paraId="63AF1DBB" w14:textId="77777777" w:rsidR="00493377" w:rsidRPr="00206B81" w:rsidRDefault="00493377" w:rsidP="00092ECD">
      <w:pPr>
        <w:pStyle w:val="FootnoteText"/>
        <w:spacing w:after="120"/>
        <w:rPr>
          <w:szCs w:val="22"/>
        </w:rPr>
      </w:pPr>
      <w:r w:rsidRPr="00206B81">
        <w:rPr>
          <w:rStyle w:val="FootnoteReference"/>
          <w:szCs w:val="22"/>
        </w:rPr>
        <w:footnoteRef/>
      </w:r>
      <w:r w:rsidRPr="00206B81">
        <w:rPr>
          <w:szCs w:val="22"/>
        </w:rPr>
        <w:t xml:space="preserve"> Smith, Exh. No. JSS-1T at 30:1-4</w:t>
      </w:r>
      <w:r>
        <w:rPr>
          <w:szCs w:val="22"/>
        </w:rPr>
        <w:t>.</w:t>
      </w:r>
    </w:p>
  </w:footnote>
  <w:footnote w:id="388">
    <w:p w14:paraId="50147DC0" w14:textId="77777777" w:rsidR="00493377" w:rsidRPr="00206B81" w:rsidRDefault="00493377" w:rsidP="005B2996">
      <w:pPr>
        <w:pStyle w:val="FootnoteText"/>
        <w:spacing w:after="120"/>
        <w:rPr>
          <w:szCs w:val="22"/>
        </w:rPr>
      </w:pPr>
      <w:r w:rsidRPr="00206B81">
        <w:rPr>
          <w:rStyle w:val="FootnoteReference"/>
          <w:szCs w:val="22"/>
        </w:rPr>
        <w:footnoteRef/>
      </w:r>
      <w:r w:rsidRPr="00206B81">
        <w:rPr>
          <w:szCs w:val="22"/>
        </w:rPr>
        <w:t xml:space="preserve"> </w:t>
      </w:r>
      <w:r>
        <w:rPr>
          <w:i/>
          <w:szCs w:val="22"/>
        </w:rPr>
        <w:t>Id.</w:t>
      </w:r>
      <w:r w:rsidRPr="00206B81">
        <w:rPr>
          <w:szCs w:val="22"/>
        </w:rPr>
        <w:t xml:space="preserve"> at 30:5-8; </w:t>
      </w:r>
      <w:r w:rsidRPr="00206B81">
        <w:rPr>
          <w:i/>
          <w:szCs w:val="22"/>
        </w:rPr>
        <w:t>WUTC v. Avista</w:t>
      </w:r>
      <w:r w:rsidRPr="00206B81">
        <w:rPr>
          <w:szCs w:val="22"/>
        </w:rPr>
        <w:t>, Dockets UE-090134 and UG-090135 (</w:t>
      </w:r>
      <w:r w:rsidRPr="00BF0A1F">
        <w:rPr>
          <w:i/>
          <w:szCs w:val="22"/>
        </w:rPr>
        <w:t>consolidated</w:t>
      </w:r>
      <w:r w:rsidRPr="00206B81">
        <w:rPr>
          <w:szCs w:val="22"/>
        </w:rPr>
        <w:t xml:space="preserve">), Order 10, ¶ 137 (Dec. 22, 2009).  </w:t>
      </w:r>
    </w:p>
  </w:footnote>
  <w:footnote w:id="389">
    <w:p w14:paraId="3D292164" w14:textId="6C0AE1C5" w:rsidR="00493377" w:rsidRPr="00206B81" w:rsidRDefault="00493377" w:rsidP="005B2996">
      <w:pPr>
        <w:pStyle w:val="FootnoteText"/>
        <w:spacing w:after="120"/>
        <w:rPr>
          <w:szCs w:val="22"/>
        </w:rPr>
      </w:pPr>
      <w:r w:rsidRPr="00206B81">
        <w:rPr>
          <w:rStyle w:val="FootnoteReference"/>
          <w:szCs w:val="22"/>
        </w:rPr>
        <w:footnoteRef/>
      </w:r>
      <w:r w:rsidRPr="00206B81">
        <w:rPr>
          <w:szCs w:val="22"/>
        </w:rPr>
        <w:t xml:space="preserve"> Smith, Exh. No. JSS-1T at 30:11-14.</w:t>
      </w:r>
    </w:p>
  </w:footnote>
  <w:footnote w:id="390">
    <w:p w14:paraId="6DF2CFB8" w14:textId="77777777" w:rsidR="00493377" w:rsidRPr="00206B81" w:rsidRDefault="00493377" w:rsidP="005B2996">
      <w:pPr>
        <w:pStyle w:val="FootnoteText"/>
        <w:spacing w:after="120"/>
        <w:rPr>
          <w:szCs w:val="22"/>
        </w:rPr>
      </w:pPr>
      <w:r w:rsidRPr="00206B81">
        <w:rPr>
          <w:rStyle w:val="FootnoteReference"/>
          <w:szCs w:val="22"/>
        </w:rPr>
        <w:footnoteRef/>
      </w:r>
      <w:r w:rsidRPr="00206B81">
        <w:rPr>
          <w:szCs w:val="22"/>
        </w:rPr>
        <w:t xml:space="preserve"> Ball, Exh. No. JLB-1T at 24:11-13.</w:t>
      </w:r>
    </w:p>
  </w:footnote>
  <w:footnote w:id="391">
    <w:p w14:paraId="1717B03F" w14:textId="77777777" w:rsidR="00493377" w:rsidRPr="00206B81" w:rsidRDefault="00493377" w:rsidP="005B2996">
      <w:pPr>
        <w:pStyle w:val="FootnoteText"/>
        <w:spacing w:after="120"/>
        <w:rPr>
          <w:szCs w:val="22"/>
        </w:rPr>
      </w:pPr>
      <w:r w:rsidRPr="00206B81">
        <w:rPr>
          <w:rStyle w:val="FootnoteReference"/>
          <w:szCs w:val="22"/>
        </w:rPr>
        <w:footnoteRef/>
      </w:r>
      <w:r w:rsidRPr="00206B81">
        <w:rPr>
          <w:szCs w:val="22"/>
        </w:rPr>
        <w:t xml:space="preserve"> </w:t>
      </w:r>
      <w:r>
        <w:rPr>
          <w:i/>
          <w:szCs w:val="22"/>
        </w:rPr>
        <w:t>Id.</w:t>
      </w:r>
      <w:r w:rsidRPr="00206B81">
        <w:rPr>
          <w:szCs w:val="22"/>
        </w:rPr>
        <w:t xml:space="preserve"> at 24:8-9.</w:t>
      </w:r>
    </w:p>
  </w:footnote>
  <w:footnote w:id="392">
    <w:p w14:paraId="02D111AB" w14:textId="77777777" w:rsidR="00493377" w:rsidRPr="00206B81" w:rsidRDefault="00493377" w:rsidP="005B2996">
      <w:pPr>
        <w:pStyle w:val="FootnoteText"/>
        <w:spacing w:after="120"/>
        <w:rPr>
          <w:szCs w:val="22"/>
        </w:rPr>
      </w:pPr>
      <w:r w:rsidRPr="00206B81">
        <w:rPr>
          <w:rStyle w:val="FootnoteReference"/>
          <w:szCs w:val="22"/>
        </w:rPr>
        <w:footnoteRef/>
      </w:r>
      <w:r w:rsidRPr="00206B81">
        <w:rPr>
          <w:szCs w:val="22"/>
        </w:rPr>
        <w:t xml:space="preserve"> </w:t>
      </w:r>
      <w:r>
        <w:rPr>
          <w:i/>
          <w:szCs w:val="22"/>
        </w:rPr>
        <w:t>Id.</w:t>
      </w:r>
      <w:r w:rsidRPr="00206B81">
        <w:rPr>
          <w:szCs w:val="22"/>
        </w:rPr>
        <w:t xml:space="preserve"> at 24:7-16.</w:t>
      </w:r>
    </w:p>
  </w:footnote>
  <w:footnote w:id="393">
    <w:p w14:paraId="299F8A1D" w14:textId="76C6D7FC" w:rsidR="00493377" w:rsidRPr="00206B81" w:rsidRDefault="00493377" w:rsidP="005B2996">
      <w:pPr>
        <w:pStyle w:val="FootnoteText"/>
        <w:spacing w:after="120"/>
        <w:rPr>
          <w:szCs w:val="22"/>
        </w:rPr>
      </w:pPr>
      <w:r w:rsidRPr="00206B81">
        <w:rPr>
          <w:rStyle w:val="FootnoteReference"/>
          <w:szCs w:val="22"/>
        </w:rPr>
        <w:footnoteRef/>
      </w:r>
      <w:r w:rsidRPr="00206B81">
        <w:rPr>
          <w:szCs w:val="22"/>
        </w:rPr>
        <w:t xml:space="preserve"> Ramas, Exh. No. DMR-1CT at 41:13-16.</w:t>
      </w:r>
    </w:p>
  </w:footnote>
  <w:footnote w:id="394">
    <w:p w14:paraId="68824ED4" w14:textId="77777777" w:rsidR="00493377" w:rsidRPr="00206B81" w:rsidRDefault="00493377" w:rsidP="005B2996">
      <w:pPr>
        <w:pStyle w:val="FootnoteText"/>
        <w:spacing w:after="120"/>
        <w:rPr>
          <w:szCs w:val="22"/>
        </w:rPr>
      </w:pPr>
      <w:r w:rsidRPr="00206B81">
        <w:rPr>
          <w:rStyle w:val="FootnoteReference"/>
          <w:szCs w:val="22"/>
        </w:rPr>
        <w:footnoteRef/>
      </w:r>
      <w:r w:rsidRPr="00206B81">
        <w:rPr>
          <w:szCs w:val="22"/>
        </w:rPr>
        <w:t xml:space="preserve"> </w:t>
      </w:r>
      <w:r>
        <w:rPr>
          <w:i/>
          <w:szCs w:val="22"/>
        </w:rPr>
        <w:t>Id.</w:t>
      </w:r>
      <w:r w:rsidRPr="00206B81">
        <w:rPr>
          <w:szCs w:val="22"/>
        </w:rPr>
        <w:t xml:space="preserve"> at 41:18-23 and 42:1-7.</w:t>
      </w:r>
    </w:p>
  </w:footnote>
  <w:footnote w:id="395">
    <w:p w14:paraId="6A17191E" w14:textId="77777777" w:rsidR="00493377" w:rsidRPr="00206B81" w:rsidRDefault="00493377" w:rsidP="005B2996">
      <w:pPr>
        <w:pStyle w:val="FootnoteText"/>
        <w:spacing w:after="120"/>
        <w:rPr>
          <w:szCs w:val="22"/>
        </w:rPr>
      </w:pPr>
      <w:r w:rsidRPr="00206B81">
        <w:rPr>
          <w:rStyle w:val="FootnoteReference"/>
          <w:szCs w:val="22"/>
        </w:rPr>
        <w:footnoteRef/>
      </w:r>
      <w:r w:rsidRPr="00206B81">
        <w:rPr>
          <w:szCs w:val="22"/>
        </w:rPr>
        <w:t xml:space="preserve"> Smith, Exh. No. JSS-4T at 19:6-9.</w:t>
      </w:r>
    </w:p>
  </w:footnote>
  <w:footnote w:id="396">
    <w:p w14:paraId="132B88A4" w14:textId="77777777" w:rsidR="00493377" w:rsidRPr="00206B81" w:rsidRDefault="00493377" w:rsidP="005B2996">
      <w:pPr>
        <w:pStyle w:val="FootnoteText"/>
        <w:spacing w:after="120"/>
        <w:rPr>
          <w:szCs w:val="22"/>
        </w:rPr>
      </w:pPr>
      <w:r w:rsidRPr="00206B81">
        <w:rPr>
          <w:rStyle w:val="FootnoteReference"/>
          <w:szCs w:val="22"/>
        </w:rPr>
        <w:footnoteRef/>
      </w:r>
      <w:r w:rsidRPr="00206B81">
        <w:rPr>
          <w:szCs w:val="22"/>
        </w:rPr>
        <w:t xml:space="preserve"> </w:t>
      </w:r>
      <w:r>
        <w:rPr>
          <w:i/>
          <w:szCs w:val="22"/>
        </w:rPr>
        <w:t>Id.</w:t>
      </w:r>
      <w:r w:rsidRPr="00206B81">
        <w:rPr>
          <w:szCs w:val="22"/>
        </w:rPr>
        <w:t xml:space="preserve"> at 19:10-11.</w:t>
      </w:r>
      <w:r>
        <w:rPr>
          <w:szCs w:val="22"/>
        </w:rPr>
        <w:t xml:space="preserve"> General Liability and D&amp;O insurance are based on 2015 actuals. The “actual” expense amount for 2015 property insurance includes the actual property policy premium for 2015 through December 1, 2015, plus a one-month prorated total based on the projected premium of the 12-month policy period beginning December 1, 2015.</w:t>
      </w:r>
    </w:p>
  </w:footnote>
  <w:footnote w:id="397">
    <w:p w14:paraId="0825AEE8" w14:textId="77777777" w:rsidR="00493377" w:rsidRPr="00206B81" w:rsidRDefault="00493377" w:rsidP="005B2996">
      <w:pPr>
        <w:pStyle w:val="FootnoteText"/>
        <w:spacing w:after="120"/>
        <w:rPr>
          <w:szCs w:val="22"/>
        </w:rPr>
      </w:pPr>
      <w:r w:rsidRPr="00206B81">
        <w:rPr>
          <w:rStyle w:val="FootnoteReference"/>
          <w:szCs w:val="22"/>
        </w:rPr>
        <w:footnoteRef/>
      </w:r>
      <w:r w:rsidRPr="00206B81">
        <w:rPr>
          <w:szCs w:val="22"/>
        </w:rPr>
        <w:t xml:space="preserve"> </w:t>
      </w:r>
      <w:r>
        <w:rPr>
          <w:i/>
          <w:szCs w:val="22"/>
        </w:rPr>
        <w:t>Id.</w:t>
      </w:r>
      <w:r w:rsidRPr="00206B81">
        <w:rPr>
          <w:szCs w:val="22"/>
        </w:rPr>
        <w:t xml:space="preserve"> at 20:23-24</w:t>
      </w:r>
      <w:r>
        <w:rPr>
          <w:szCs w:val="22"/>
        </w:rPr>
        <w:t xml:space="preserve">; </w:t>
      </w:r>
      <w:r w:rsidRPr="00206B81">
        <w:rPr>
          <w:szCs w:val="22"/>
        </w:rPr>
        <w:t>21:1-17.</w:t>
      </w:r>
    </w:p>
  </w:footnote>
  <w:footnote w:id="398">
    <w:p w14:paraId="28B3BE05" w14:textId="1A9FAAE6" w:rsidR="00493377" w:rsidRDefault="00493377" w:rsidP="00667E30">
      <w:pPr>
        <w:pStyle w:val="FootnoteText"/>
        <w:spacing w:after="120"/>
      </w:pPr>
      <w:r>
        <w:rPr>
          <w:rStyle w:val="FootnoteReference"/>
        </w:rPr>
        <w:footnoteRef/>
      </w:r>
      <w:r>
        <w:t xml:space="preserve"> </w:t>
      </w:r>
      <w:r>
        <w:rPr>
          <w:i/>
          <w:szCs w:val="22"/>
        </w:rPr>
        <w:t>PPL</w:t>
      </w:r>
      <w:r>
        <w:rPr>
          <w:szCs w:val="22"/>
        </w:rPr>
        <w:t xml:space="preserve"> Order 08, ¶¶ 44</w:t>
      </w:r>
      <w:r w:rsidRPr="003868A4">
        <w:rPr>
          <w:szCs w:val="22"/>
        </w:rPr>
        <w:t xml:space="preserve">, </w:t>
      </w:r>
      <w:r>
        <w:rPr>
          <w:szCs w:val="22"/>
        </w:rPr>
        <w:t>165</w:t>
      </w:r>
      <w:r w:rsidRPr="003868A4">
        <w:rPr>
          <w:szCs w:val="22"/>
        </w:rPr>
        <w:t>.</w:t>
      </w:r>
    </w:p>
  </w:footnote>
  <w:footnote w:id="399">
    <w:p w14:paraId="128D8116" w14:textId="77777777" w:rsidR="00493377" w:rsidRDefault="00493377" w:rsidP="00667E30">
      <w:pPr>
        <w:pStyle w:val="FootnoteText"/>
        <w:spacing w:after="120"/>
      </w:pPr>
      <w:r>
        <w:rPr>
          <w:rStyle w:val="FootnoteReference"/>
        </w:rPr>
        <w:footnoteRef/>
      </w:r>
      <w:r>
        <w:t xml:space="preserve"> Public Counsel’s Brief, </w:t>
      </w:r>
      <w:r w:rsidRPr="00BA1668">
        <w:t>¶</w:t>
      </w:r>
      <w:r>
        <w:t xml:space="preserve"> 66.</w:t>
      </w:r>
    </w:p>
  </w:footnote>
  <w:footnote w:id="400">
    <w:p w14:paraId="599DF678" w14:textId="72742842" w:rsidR="00493377" w:rsidRPr="00206B81" w:rsidRDefault="00493377" w:rsidP="00667E30">
      <w:pPr>
        <w:pStyle w:val="FootnoteText"/>
        <w:spacing w:after="120"/>
        <w:rPr>
          <w:szCs w:val="22"/>
        </w:rPr>
      </w:pPr>
      <w:r w:rsidRPr="00206B81">
        <w:rPr>
          <w:rStyle w:val="FootnoteReference"/>
          <w:szCs w:val="22"/>
        </w:rPr>
        <w:footnoteRef/>
      </w:r>
      <w:r w:rsidRPr="00206B81">
        <w:rPr>
          <w:szCs w:val="22"/>
        </w:rPr>
        <w:t xml:space="preserve"> </w:t>
      </w:r>
      <w:r w:rsidRPr="00206B81">
        <w:rPr>
          <w:i/>
          <w:szCs w:val="22"/>
        </w:rPr>
        <w:t>WUTC v. Avista</w:t>
      </w:r>
      <w:r w:rsidRPr="00206B81">
        <w:rPr>
          <w:szCs w:val="22"/>
        </w:rPr>
        <w:t>, Dockets UE-090134 and UG-090135 (</w:t>
      </w:r>
      <w:r w:rsidRPr="00092ECD">
        <w:rPr>
          <w:szCs w:val="22"/>
        </w:rPr>
        <w:t>consolidated)</w:t>
      </w:r>
      <w:r w:rsidRPr="00206B81">
        <w:rPr>
          <w:szCs w:val="22"/>
        </w:rPr>
        <w:t>, Order 10</w:t>
      </w:r>
      <w:r>
        <w:rPr>
          <w:szCs w:val="22"/>
        </w:rPr>
        <w:t>,</w:t>
      </w:r>
      <w:r w:rsidRPr="00206B81">
        <w:rPr>
          <w:szCs w:val="22"/>
        </w:rPr>
        <w:t xml:space="preserve"> ¶ 137 (Dec</w:t>
      </w:r>
      <w:r>
        <w:rPr>
          <w:szCs w:val="22"/>
        </w:rPr>
        <w:t>.</w:t>
      </w:r>
      <w:r w:rsidRPr="00206B81">
        <w:rPr>
          <w:szCs w:val="22"/>
        </w:rPr>
        <w:t xml:space="preserve"> 22, 2009).  </w:t>
      </w:r>
    </w:p>
  </w:footnote>
  <w:footnote w:id="401">
    <w:p w14:paraId="3C1C52A2" w14:textId="200EA9A3" w:rsidR="00493377" w:rsidRDefault="00493377" w:rsidP="005B72A2">
      <w:pPr>
        <w:pStyle w:val="FootnoteText"/>
        <w:spacing w:after="120"/>
      </w:pPr>
      <w:r>
        <w:rPr>
          <w:rStyle w:val="FootnoteReference"/>
        </w:rPr>
        <w:footnoteRef/>
      </w:r>
      <w:r>
        <w:t xml:space="preserve"> Smith, Exh. No. JSS-1T at 7, n. 2.</w:t>
      </w:r>
    </w:p>
  </w:footnote>
  <w:footnote w:id="402">
    <w:p w14:paraId="504E5A88" w14:textId="74AABA5F" w:rsidR="00493377" w:rsidRPr="005B72A2" w:rsidRDefault="00493377" w:rsidP="005B72A2">
      <w:pPr>
        <w:pStyle w:val="FootnoteText"/>
        <w:spacing w:after="120"/>
        <w:rPr>
          <w:i/>
        </w:rPr>
      </w:pPr>
      <w:r>
        <w:rPr>
          <w:rStyle w:val="FootnoteReference"/>
        </w:rPr>
        <w:footnoteRef/>
      </w:r>
      <w:r>
        <w:t xml:space="preserve"> </w:t>
      </w:r>
      <w:r>
        <w:rPr>
          <w:i/>
        </w:rPr>
        <w:t>Id.</w:t>
      </w:r>
    </w:p>
  </w:footnote>
  <w:footnote w:id="403">
    <w:p w14:paraId="1C052C64" w14:textId="78843906" w:rsidR="00493377" w:rsidRDefault="00493377" w:rsidP="00092ECD">
      <w:pPr>
        <w:pStyle w:val="FootnoteText"/>
        <w:spacing w:after="120"/>
      </w:pPr>
      <w:r>
        <w:rPr>
          <w:rStyle w:val="FootnoteReference"/>
        </w:rPr>
        <w:footnoteRef/>
      </w:r>
      <w:r>
        <w:t xml:space="preserve"> Schuh, Exh.</w:t>
      </w:r>
      <w:r w:rsidR="00FD5E4F">
        <w:t xml:space="preserve"> </w:t>
      </w:r>
      <w:r>
        <w:t>No. KKS-6T at 17:4-18:21.</w:t>
      </w:r>
    </w:p>
  </w:footnote>
  <w:footnote w:id="404">
    <w:p w14:paraId="0D84C728" w14:textId="21E19392" w:rsidR="00493377" w:rsidRDefault="00493377" w:rsidP="00092ECD">
      <w:pPr>
        <w:pStyle w:val="FootnoteText"/>
        <w:spacing w:after="120"/>
      </w:pPr>
      <w:r>
        <w:rPr>
          <w:rStyle w:val="FootnoteReference"/>
        </w:rPr>
        <w:footnoteRef/>
      </w:r>
      <w:r>
        <w:t xml:space="preserve"> Public Counsel’s Brief, ¶</w:t>
      </w:r>
      <w:r>
        <w:rPr>
          <w:rFonts w:cstheme="minorHAnsi"/>
        </w:rPr>
        <w:t>¶ 73-87.</w:t>
      </w:r>
    </w:p>
  </w:footnote>
  <w:footnote w:id="405">
    <w:p w14:paraId="39D9004E" w14:textId="059475F0" w:rsidR="00493377" w:rsidRDefault="00493377" w:rsidP="00A8434D">
      <w:pPr>
        <w:pStyle w:val="FootnoteText"/>
        <w:spacing w:after="120"/>
      </w:pPr>
      <w:r>
        <w:rPr>
          <w:rStyle w:val="FootnoteReference"/>
        </w:rPr>
        <w:footnoteRef/>
      </w:r>
      <w:r>
        <w:t xml:space="preserve"> Avista Response to Bench Request No. 15, Attachment A.</w:t>
      </w:r>
    </w:p>
  </w:footnote>
  <w:footnote w:id="406">
    <w:p w14:paraId="54ED81B5" w14:textId="4CF56988" w:rsidR="00493377" w:rsidRPr="00DB7FC9" w:rsidRDefault="00493377" w:rsidP="00A8434D">
      <w:pPr>
        <w:pStyle w:val="FootnoteText"/>
        <w:spacing w:after="120"/>
      </w:pPr>
      <w:r>
        <w:rPr>
          <w:rStyle w:val="FootnoteReference"/>
        </w:rPr>
        <w:footnoteRef/>
      </w:r>
      <w:r>
        <w:t xml:space="preserve"> </w:t>
      </w:r>
      <w:r>
        <w:rPr>
          <w:i/>
        </w:rPr>
        <w:t xml:space="preserve">WUTC v. PacifiCorp d/b/a Pacific Power &amp; Light Company, </w:t>
      </w:r>
      <w:r>
        <w:t xml:space="preserve">Docket UE-100749, Order 06, </w:t>
      </w:r>
      <w:r>
        <w:rPr>
          <w:rFonts w:cstheme="minorHAnsi"/>
        </w:rPr>
        <w:t>¶</w:t>
      </w:r>
      <w:r>
        <w:t xml:space="preserve"> 261 (Mar. 25, 2011).</w:t>
      </w:r>
    </w:p>
  </w:footnote>
  <w:footnote w:id="407">
    <w:p w14:paraId="1D2BAF92" w14:textId="18F2EC95" w:rsidR="00493377" w:rsidRPr="00D12F6F" w:rsidRDefault="00493377" w:rsidP="005B2996">
      <w:pPr>
        <w:pStyle w:val="FootnoteText"/>
        <w:spacing w:after="120"/>
      </w:pPr>
      <w:r w:rsidRPr="00D12F6F">
        <w:rPr>
          <w:rStyle w:val="FootnoteReference"/>
        </w:rPr>
        <w:footnoteRef/>
      </w:r>
      <w:r w:rsidRPr="00D12F6F">
        <w:t xml:space="preserve"> Mullins, Exh. BGM-1CT at 41:18-24, 42:4-10. ICNU based its calculation on the average cost of a one-way ticket from Spokane to the Company’s most common destinations: Seattle (Olympia), Boise, and Portland (Salem). ICNU then applied a 100</w:t>
      </w:r>
      <w:r>
        <w:t xml:space="preserve"> percent </w:t>
      </w:r>
      <w:r w:rsidRPr="00D12F6F">
        <w:t>adder to reflect the fact that the Company sometimes purchases flights outside of the region.</w:t>
      </w:r>
    </w:p>
  </w:footnote>
  <w:footnote w:id="408">
    <w:p w14:paraId="2FFB27BE" w14:textId="77777777" w:rsidR="00493377" w:rsidRPr="00D12F6F" w:rsidRDefault="00493377" w:rsidP="005B2996">
      <w:pPr>
        <w:pStyle w:val="FootnoteText"/>
        <w:spacing w:after="120"/>
      </w:pPr>
      <w:r w:rsidRPr="00D12F6F">
        <w:rPr>
          <w:rStyle w:val="FootnoteReference"/>
        </w:rPr>
        <w:footnoteRef/>
      </w:r>
      <w:r w:rsidRPr="00D12F6F">
        <w:t xml:space="preserve"> Mullins, Exh. BGM-5T at 13:18-19.</w:t>
      </w:r>
    </w:p>
  </w:footnote>
  <w:footnote w:id="409">
    <w:p w14:paraId="5130643C" w14:textId="77777777" w:rsidR="00493377" w:rsidRPr="00D12F6F" w:rsidRDefault="00493377" w:rsidP="00C30510">
      <w:pPr>
        <w:pStyle w:val="FootnoteText"/>
        <w:spacing w:after="120"/>
        <w:rPr>
          <w:sz w:val="20"/>
        </w:rPr>
      </w:pPr>
      <w:r w:rsidRPr="00D12F6F">
        <w:rPr>
          <w:rStyle w:val="FootnoteReference"/>
          <w:sz w:val="20"/>
        </w:rPr>
        <w:footnoteRef/>
      </w:r>
      <w:r w:rsidRPr="00D12F6F">
        <w:rPr>
          <w:sz w:val="20"/>
        </w:rPr>
        <w:t xml:space="preserve"> </w:t>
      </w:r>
      <w:r w:rsidRPr="00C30510">
        <w:rPr>
          <w:szCs w:val="22"/>
        </w:rPr>
        <w:t>The Company considers airfare plus any meals, hotels, ground transportation, work time lost to airline schedules, check-ins, ticketing, security, boarding and drive time.</w:t>
      </w:r>
    </w:p>
  </w:footnote>
  <w:footnote w:id="410">
    <w:p w14:paraId="48824530" w14:textId="77777777" w:rsidR="00493377" w:rsidRPr="00D12F6F" w:rsidRDefault="00493377" w:rsidP="005B2996">
      <w:pPr>
        <w:pStyle w:val="FootnoteText"/>
        <w:spacing w:after="120"/>
      </w:pPr>
      <w:r w:rsidRPr="00D12F6F">
        <w:rPr>
          <w:rStyle w:val="FootnoteReference"/>
        </w:rPr>
        <w:footnoteRef/>
      </w:r>
      <w:r>
        <w:t xml:space="preserve"> Smith, Exh. JSS-4T at 31:</w:t>
      </w:r>
      <w:r w:rsidRPr="00D12F6F">
        <w:t>18, 32:1-2.</w:t>
      </w:r>
    </w:p>
  </w:footnote>
  <w:footnote w:id="411">
    <w:p w14:paraId="48A511C9" w14:textId="77777777" w:rsidR="00493377" w:rsidRPr="00D12F6F" w:rsidRDefault="00493377" w:rsidP="00160B6D">
      <w:pPr>
        <w:pStyle w:val="FootnoteText"/>
        <w:spacing w:after="120"/>
      </w:pPr>
      <w:r w:rsidRPr="00D12F6F">
        <w:rPr>
          <w:rStyle w:val="FootnoteReference"/>
        </w:rPr>
        <w:footnoteRef/>
      </w:r>
      <w:r w:rsidRPr="00D12F6F">
        <w:t xml:space="preserve"> ICNU</w:t>
      </w:r>
      <w:r>
        <w:t>’s</w:t>
      </w:r>
      <w:r w:rsidRPr="00D12F6F">
        <w:t xml:space="preserve"> Brief</w:t>
      </w:r>
      <w:r>
        <w:t>,</w:t>
      </w:r>
      <w:r w:rsidRPr="00D12F6F">
        <w:t xml:space="preserve"> ¶ 52.</w:t>
      </w:r>
    </w:p>
  </w:footnote>
  <w:footnote w:id="412">
    <w:p w14:paraId="7FA83391" w14:textId="77777777" w:rsidR="00493377" w:rsidRPr="00943E08" w:rsidRDefault="00493377" w:rsidP="006D44FB">
      <w:pPr>
        <w:pStyle w:val="FootnoteText"/>
        <w:spacing w:after="120"/>
      </w:pPr>
      <w:r w:rsidRPr="00943E08">
        <w:rPr>
          <w:rStyle w:val="FootnoteReference"/>
        </w:rPr>
        <w:footnoteRef/>
      </w:r>
      <w:r w:rsidRPr="00943E08">
        <w:t xml:space="preserve"> </w:t>
      </w:r>
      <w:r w:rsidRPr="00FD1001">
        <w:t xml:space="preserve">Cox, Exh. No. BAC-1T at </w:t>
      </w:r>
      <w:r>
        <w:t>3</w:t>
      </w:r>
      <w:r w:rsidRPr="00FD1001">
        <w:t>:</w:t>
      </w:r>
      <w:r>
        <w:t>1</w:t>
      </w:r>
      <w:r w:rsidRPr="00FD1001">
        <w:t>-</w:t>
      </w:r>
      <w:r>
        <w:t>24</w:t>
      </w:r>
      <w:r w:rsidRPr="00FD1001">
        <w:t>.</w:t>
      </w:r>
    </w:p>
  </w:footnote>
  <w:footnote w:id="413">
    <w:p w14:paraId="72CF42ED" w14:textId="77777777" w:rsidR="00493377" w:rsidRPr="00943E08" w:rsidRDefault="00493377" w:rsidP="006D44FB">
      <w:pPr>
        <w:pStyle w:val="FootnoteText"/>
        <w:spacing w:after="120"/>
      </w:pPr>
      <w:r w:rsidRPr="00943E08">
        <w:rPr>
          <w:rStyle w:val="FootnoteReference"/>
        </w:rPr>
        <w:footnoteRef/>
      </w:r>
      <w:r w:rsidRPr="00943E08">
        <w:t xml:space="preserve"> Ba</w:t>
      </w:r>
      <w:r>
        <w:t>ll, Exh. No. JLB-1T at 16:12-18:36-37.</w:t>
      </w:r>
    </w:p>
  </w:footnote>
  <w:footnote w:id="414">
    <w:p w14:paraId="144764AD" w14:textId="77777777" w:rsidR="00493377" w:rsidRDefault="00493377" w:rsidP="006D44FB">
      <w:pPr>
        <w:pStyle w:val="FootnoteText"/>
      </w:pPr>
      <w:r>
        <w:rPr>
          <w:rStyle w:val="FootnoteReference"/>
        </w:rPr>
        <w:footnoteRef/>
      </w:r>
      <w:r>
        <w:t xml:space="preserve"> </w:t>
      </w:r>
      <w:r w:rsidRPr="0079615C">
        <w:t xml:space="preserve">Smith, Exh. No. JSS-4T at </w:t>
      </w:r>
      <w:r>
        <w:t>13:17-14:4.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E6394E" w14:textId="77777777" w:rsidR="00493377" w:rsidRPr="00A3058F" w:rsidRDefault="00493377">
    <w:pPr>
      <w:pStyle w:val="Header"/>
      <w:tabs>
        <w:tab w:val="left" w:pos="7500"/>
      </w:tabs>
      <w:rPr>
        <w:rStyle w:val="PageNumber"/>
        <w:b/>
        <w:sz w:val="20"/>
        <w:szCs w:val="20"/>
      </w:rPr>
    </w:pPr>
    <w:r w:rsidRPr="00A3058F">
      <w:rPr>
        <w:b/>
        <w:sz w:val="20"/>
        <w:szCs w:val="20"/>
      </w:rPr>
      <w:t>DOCKET</w:t>
    </w:r>
    <w:r>
      <w:rPr>
        <w:b/>
        <w:sz w:val="20"/>
        <w:szCs w:val="20"/>
      </w:rPr>
      <w:t>S</w:t>
    </w:r>
    <w:r w:rsidRPr="00A3058F">
      <w:rPr>
        <w:b/>
        <w:sz w:val="20"/>
        <w:szCs w:val="20"/>
      </w:rPr>
      <w:t xml:space="preserve"> UE-</w:t>
    </w:r>
    <w:r>
      <w:rPr>
        <w:b/>
        <w:sz w:val="20"/>
        <w:szCs w:val="20"/>
      </w:rPr>
      <w:t>150204 and UG-150205 (</w:t>
    </w:r>
    <w:r>
      <w:rPr>
        <w:b/>
        <w:i/>
        <w:sz w:val="20"/>
        <w:szCs w:val="20"/>
      </w:rPr>
      <w:t>consolidated</w:t>
    </w:r>
    <w:r w:rsidRPr="00EB40B5">
      <w:rPr>
        <w:b/>
        <w:sz w:val="20"/>
        <w:szCs w:val="20"/>
      </w:rPr>
      <w:t>)</w:t>
    </w:r>
    <w:r w:rsidRPr="00A3058F">
      <w:rPr>
        <w:b/>
        <w:sz w:val="20"/>
        <w:szCs w:val="20"/>
      </w:rPr>
      <w:tab/>
    </w:r>
    <w:r w:rsidRPr="00A3058F">
      <w:rPr>
        <w:b/>
        <w:sz w:val="20"/>
        <w:szCs w:val="20"/>
      </w:rPr>
      <w:tab/>
      <w:t xml:space="preserve">PAGE </w:t>
    </w:r>
    <w:r w:rsidRPr="00AF4197">
      <w:rPr>
        <w:b/>
        <w:sz w:val="20"/>
        <w:szCs w:val="20"/>
      </w:rPr>
      <w:fldChar w:fldCharType="begin"/>
    </w:r>
    <w:r w:rsidRPr="00AF4197">
      <w:rPr>
        <w:b/>
        <w:sz w:val="20"/>
        <w:szCs w:val="20"/>
      </w:rPr>
      <w:instrText xml:space="preserve"> PAGE   \* MERGEFORMAT </w:instrText>
    </w:r>
    <w:r w:rsidRPr="00AF4197">
      <w:rPr>
        <w:b/>
        <w:sz w:val="20"/>
        <w:szCs w:val="20"/>
      </w:rPr>
      <w:fldChar w:fldCharType="separate"/>
    </w:r>
    <w:r w:rsidR="00D03D43">
      <w:rPr>
        <w:b/>
        <w:noProof/>
        <w:sz w:val="20"/>
        <w:szCs w:val="20"/>
      </w:rPr>
      <w:t>20</w:t>
    </w:r>
    <w:r w:rsidRPr="00AF4197">
      <w:rPr>
        <w:b/>
        <w:sz w:val="20"/>
        <w:szCs w:val="20"/>
      </w:rPr>
      <w:fldChar w:fldCharType="end"/>
    </w:r>
  </w:p>
  <w:p w14:paraId="2E313A88" w14:textId="77777777" w:rsidR="00493377" w:rsidRDefault="00493377" w:rsidP="0034257A">
    <w:pPr>
      <w:pStyle w:val="Header"/>
      <w:tabs>
        <w:tab w:val="left" w:pos="7500"/>
      </w:tabs>
      <w:rPr>
        <w:b/>
        <w:sz w:val="20"/>
        <w:szCs w:val="20"/>
      </w:rPr>
    </w:pPr>
    <w:r w:rsidRPr="00A3058F">
      <w:rPr>
        <w:b/>
        <w:sz w:val="20"/>
        <w:szCs w:val="20"/>
      </w:rPr>
      <w:t xml:space="preserve">ORDER </w:t>
    </w:r>
    <w:r>
      <w:rPr>
        <w:b/>
        <w:sz w:val="20"/>
        <w:szCs w:val="20"/>
      </w:rPr>
      <w:t>05</w:t>
    </w:r>
  </w:p>
  <w:p w14:paraId="319F3B0A" w14:textId="77777777" w:rsidR="00493377" w:rsidRPr="00A3058F" w:rsidRDefault="00493377">
    <w:pPr>
      <w:pStyle w:val="Header"/>
      <w:tabs>
        <w:tab w:val="left" w:pos="7500"/>
      </w:tabs>
      <w:rPr>
        <w:b/>
        <w:bCs/>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1A32E9" w14:textId="2CD7BACE" w:rsidR="00493377" w:rsidRPr="00A93991" w:rsidRDefault="00493377" w:rsidP="00A221EB">
    <w:pPr>
      <w:pStyle w:val="Header"/>
      <w:tabs>
        <w:tab w:val="clear" w:pos="4320"/>
        <w:tab w:val="clear" w:pos="8640"/>
        <w:tab w:val="left" w:pos="5490"/>
        <w:tab w:val="right" w:pos="8500"/>
      </w:tabs>
      <w:rPr>
        <w:b/>
        <w:sz w:val="20"/>
        <w:szCs w:val="20"/>
      </w:rPr>
    </w:pPr>
    <w:r>
      <w:rPr>
        <w:b/>
        <w:sz w:val="20"/>
        <w:szCs w:val="20"/>
      </w:rPr>
      <w:tab/>
    </w:r>
    <w:r>
      <w:rPr>
        <w:b/>
        <w:sz w:val="20"/>
        <w:szCs w:val="20"/>
      </w:rPr>
      <w:tab/>
    </w:r>
    <w:r w:rsidR="00A221EB">
      <w:rPr>
        <w:b/>
        <w:sz w:val="20"/>
        <w:szCs w:val="20"/>
      </w:rPr>
      <w:t>[Service Date January 6, 2016]</w:t>
    </w:r>
    <w:r w:rsidR="00A221EB">
      <w:rPr>
        <w:b/>
        <w:sz w:val="20"/>
        <w:szCs w:val="20"/>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C57BA4"/>
    <w:multiLevelType w:val="hybridMultilevel"/>
    <w:tmpl w:val="6E9EFE8C"/>
    <w:lvl w:ilvl="0" w:tplc="E6840E5E">
      <w:start w:val="1"/>
      <w:numFmt w:val="upp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 w15:restartNumberingAfterBreak="0">
    <w:nsid w:val="13C23A60"/>
    <w:multiLevelType w:val="hybridMultilevel"/>
    <w:tmpl w:val="7A522138"/>
    <w:lvl w:ilvl="0" w:tplc="04090001">
      <w:start w:val="1"/>
      <w:numFmt w:val="bullet"/>
      <w:lvlText w:val=""/>
      <w:lvlJc w:val="left"/>
      <w:pPr>
        <w:ind w:left="775" w:hanging="360"/>
      </w:pPr>
      <w:rPr>
        <w:rFonts w:ascii="Symbol" w:hAnsi="Symbol" w:hint="default"/>
      </w:rPr>
    </w:lvl>
    <w:lvl w:ilvl="1" w:tplc="04090003" w:tentative="1">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2" w15:restartNumberingAfterBreak="0">
    <w:nsid w:val="140C4439"/>
    <w:multiLevelType w:val="hybridMultilevel"/>
    <w:tmpl w:val="8A00A92C"/>
    <w:lvl w:ilvl="0" w:tplc="5B08A2AA">
      <w:start w:val="1"/>
      <w:numFmt w:val="decimal"/>
      <w:lvlText w:val="%1."/>
      <w:lvlJc w:val="left"/>
      <w:pPr>
        <w:ind w:left="720" w:hanging="360"/>
      </w:pPr>
      <w:rPr>
        <w:rFonts w:hint="default"/>
        <w:b/>
      </w:rPr>
    </w:lvl>
    <w:lvl w:ilvl="1" w:tplc="69B6FF9E">
      <w:start w:val="1"/>
      <w:numFmt w:val="lowerLetter"/>
      <w:lvlText w:val="%2."/>
      <w:lvlJc w:val="left"/>
      <w:pPr>
        <w:ind w:left="1440" w:hanging="360"/>
      </w:pPr>
      <w:rPr>
        <w:b/>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64204C"/>
    <w:multiLevelType w:val="hybridMultilevel"/>
    <w:tmpl w:val="DFC4F3AE"/>
    <w:lvl w:ilvl="0" w:tplc="A81CD388">
      <w:start w:val="1"/>
      <w:numFmt w:val="decimal"/>
      <w:pStyle w:val="FindingsConclusions"/>
      <w:lvlText w:val="%1"/>
      <w:lvlJc w:val="left"/>
      <w:pPr>
        <w:tabs>
          <w:tab w:val="num" w:pos="1080"/>
        </w:tabs>
        <w:ind w:left="1080" w:hanging="1080"/>
      </w:pPr>
      <w:rPr>
        <w:rFonts w:hint="default"/>
        <w:b w:val="0"/>
        <w:i/>
        <w:sz w:val="20"/>
      </w:rPr>
    </w:lvl>
    <w:lvl w:ilvl="1" w:tplc="5B08A2AA">
      <w:start w:val="1"/>
      <w:numFmt w:val="decimal"/>
      <w:lvlText w:val="%2."/>
      <w:lvlJc w:val="left"/>
      <w:pPr>
        <w:tabs>
          <w:tab w:val="num" w:pos="1800"/>
        </w:tabs>
        <w:ind w:left="1800" w:hanging="720"/>
      </w:pPr>
      <w:rPr>
        <w:rFonts w:hint="default"/>
        <w:b/>
      </w:rPr>
    </w:lvl>
    <w:lvl w:ilvl="2" w:tplc="41E444FC">
      <w:start w:val="5"/>
      <w:numFmt w:val="bullet"/>
      <w:lvlText w:val=""/>
      <w:lvlJc w:val="left"/>
      <w:pPr>
        <w:tabs>
          <w:tab w:val="num" w:pos="2340"/>
        </w:tabs>
        <w:ind w:left="2340" w:hanging="360"/>
      </w:pPr>
      <w:rPr>
        <w:rFonts w:ascii="Symbol" w:eastAsia="Times New Roman" w:hAnsi="Symbol" w:cs="Times New Roman" w:hint="default"/>
      </w:rPr>
    </w:lvl>
    <w:lvl w:ilvl="3" w:tplc="FC0C1A50">
      <w:start w:val="1"/>
      <w:numFmt w:val="lowerLetter"/>
      <w:lvlText w:val="%4."/>
      <w:lvlJc w:val="left"/>
      <w:pPr>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42C70C3"/>
    <w:multiLevelType w:val="hybridMultilevel"/>
    <w:tmpl w:val="79227B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DD0033"/>
    <w:multiLevelType w:val="hybridMultilevel"/>
    <w:tmpl w:val="982C67E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DC64367"/>
    <w:multiLevelType w:val="hybridMultilevel"/>
    <w:tmpl w:val="35B8570C"/>
    <w:lvl w:ilvl="0" w:tplc="04090013">
      <w:start w:val="1"/>
      <w:numFmt w:val="upperRoman"/>
      <w:lvlText w:val="%1."/>
      <w:lvlJc w:val="right"/>
      <w:pPr>
        <w:ind w:left="2880" w:hanging="720"/>
      </w:pPr>
      <w:rPr>
        <w:rFonts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 w15:restartNumberingAfterBreak="0">
    <w:nsid w:val="35716566"/>
    <w:multiLevelType w:val="hybridMultilevel"/>
    <w:tmpl w:val="6E4CCD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40D45095"/>
    <w:multiLevelType w:val="hybridMultilevel"/>
    <w:tmpl w:val="4ADAF874"/>
    <w:lvl w:ilvl="0" w:tplc="0F324B7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67D677A"/>
    <w:multiLevelType w:val="hybridMultilevel"/>
    <w:tmpl w:val="EE306248"/>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10" w15:restartNumberingAfterBreak="0">
    <w:nsid w:val="48936824"/>
    <w:multiLevelType w:val="hybridMultilevel"/>
    <w:tmpl w:val="19041B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5B0148E"/>
    <w:multiLevelType w:val="hybridMultilevel"/>
    <w:tmpl w:val="5B5AE1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32600B8"/>
    <w:multiLevelType w:val="hybridMultilevel"/>
    <w:tmpl w:val="9544BE68"/>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13" w15:restartNumberingAfterBreak="0">
    <w:nsid w:val="64D9160F"/>
    <w:multiLevelType w:val="hybridMultilevel"/>
    <w:tmpl w:val="B75601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8931D5B"/>
    <w:multiLevelType w:val="hybridMultilevel"/>
    <w:tmpl w:val="A24CDA98"/>
    <w:lvl w:ilvl="0" w:tplc="F5E014C2">
      <w:start w:val="1"/>
      <w:numFmt w:val="decimal"/>
      <w:pStyle w:val="WUTCParagraph"/>
      <w:lvlText w:val="%1"/>
      <w:lvlJc w:val="left"/>
      <w:pPr>
        <w:tabs>
          <w:tab w:val="num" w:pos="0"/>
        </w:tabs>
        <w:ind w:left="0" w:hanging="720"/>
      </w:pPr>
      <w:rPr>
        <w:rFonts w:ascii="Palatino Linotype" w:hAnsi="Palatino Linotype"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72405C39"/>
    <w:multiLevelType w:val="hybridMultilevel"/>
    <w:tmpl w:val="2A5C76B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7DE5F76"/>
    <w:multiLevelType w:val="hybridMultilevel"/>
    <w:tmpl w:val="155CE4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B776582"/>
    <w:multiLevelType w:val="hybridMultilevel"/>
    <w:tmpl w:val="5FD26F46"/>
    <w:lvl w:ilvl="0" w:tplc="7070FB3A">
      <w:start w:val="1"/>
      <w:numFmt w:val="upperLetter"/>
      <w:lvlText w:val="%1."/>
      <w:lvlJc w:val="left"/>
      <w:pPr>
        <w:ind w:left="720" w:hanging="360"/>
      </w:pPr>
      <w:rPr>
        <w:rFonts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F7500BD"/>
    <w:multiLevelType w:val="hybridMultilevel"/>
    <w:tmpl w:val="1BECACA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abstractNumId w:val="3"/>
  </w:num>
  <w:num w:numId="2">
    <w:abstractNumId w:val="9"/>
  </w:num>
  <w:num w:numId="3">
    <w:abstractNumId w:val="2"/>
  </w:num>
  <w:num w:numId="4">
    <w:abstractNumId w:val="4"/>
  </w:num>
  <w:num w:numId="5">
    <w:abstractNumId w:val="1"/>
  </w:num>
  <w:num w:numId="6">
    <w:abstractNumId w:val="16"/>
  </w:num>
  <w:num w:numId="7">
    <w:abstractNumId w:val="7"/>
  </w:num>
  <w:num w:numId="8">
    <w:abstractNumId w:val="17"/>
  </w:num>
  <w:num w:numId="9">
    <w:abstractNumId w:val="13"/>
  </w:num>
  <w:num w:numId="10">
    <w:abstractNumId w:val="12"/>
  </w:num>
  <w:num w:numId="11">
    <w:abstractNumId w:val="18"/>
  </w:num>
  <w:num w:numId="12">
    <w:abstractNumId w:val="11"/>
  </w:num>
  <w:num w:numId="13">
    <w:abstractNumId w:val="6"/>
  </w:num>
  <w:num w:numId="14">
    <w:abstractNumId w:val="5"/>
  </w:num>
  <w:num w:numId="15">
    <w:abstractNumId w:val="14"/>
  </w:num>
  <w:num w:numId="16">
    <w:abstractNumId w:val="10"/>
  </w:num>
  <w:num w:numId="17">
    <w:abstractNumId w:val="0"/>
  </w:num>
  <w:num w:numId="18">
    <w:abstractNumId w:val="3"/>
  </w:num>
  <w:num w:numId="19">
    <w:abstractNumId w:val="3"/>
    <w:lvlOverride w:ilvl="0">
      <w:startOverride w:val="1"/>
    </w:lvlOverride>
    <w:lvlOverride w:ilvl="1">
      <w:startOverride w:val="2"/>
    </w:lvlOverride>
  </w:num>
  <w:num w:numId="20">
    <w:abstractNumId w:val="3"/>
    <w:lvlOverride w:ilvl="0">
      <w:startOverride w:val="1"/>
    </w:lvlOverride>
  </w:num>
  <w:num w:numId="21">
    <w:abstractNumId w:val="3"/>
    <w:lvlOverride w:ilvl="0">
      <w:startOverride w:val="1"/>
    </w:lvlOverride>
  </w:num>
  <w:num w:numId="22">
    <w:abstractNumId w:val="3"/>
    <w:lvlOverride w:ilvl="0">
      <w:startOverride w:val="1"/>
    </w:lvlOverride>
  </w:num>
  <w:num w:numId="23">
    <w:abstractNumId w:val="3"/>
    <w:lvlOverride w:ilvl="0">
      <w:startOverride w:val="1"/>
    </w:lvlOverride>
  </w:num>
  <w:num w:numId="24">
    <w:abstractNumId w:val="3"/>
    <w:lvlOverride w:ilvl="0">
      <w:startOverride w:val="1"/>
    </w:lvlOverride>
  </w:num>
  <w:num w:numId="25">
    <w:abstractNumId w:val="3"/>
    <w:lvlOverride w:ilvl="0">
      <w:startOverride w:val="1"/>
    </w:lvlOverride>
  </w:num>
  <w:num w:numId="26">
    <w:abstractNumId w:val="3"/>
    <w:lvlOverride w:ilvl="0">
      <w:startOverride w:val="1"/>
    </w:lvlOverride>
  </w:num>
  <w:num w:numId="27">
    <w:abstractNumId w:val="3"/>
    <w:lvlOverride w:ilvl="0">
      <w:startOverride w:val="1"/>
    </w:lvlOverride>
  </w:num>
  <w:num w:numId="28">
    <w:abstractNumId w:val="3"/>
    <w:lvlOverride w:ilvl="0">
      <w:startOverride w:val="1"/>
    </w:lvlOverride>
  </w:num>
  <w:num w:numId="29">
    <w:abstractNumId w:val="3"/>
    <w:lvlOverride w:ilvl="0">
      <w:startOverride w:val="1"/>
    </w:lvlOverride>
  </w:num>
  <w:num w:numId="30">
    <w:abstractNumId w:val="3"/>
    <w:lvlOverride w:ilvl="0">
      <w:startOverride w:val="1"/>
    </w:lvlOverride>
  </w:num>
  <w:num w:numId="31">
    <w:abstractNumId w:val="3"/>
    <w:lvlOverride w:ilvl="0">
      <w:startOverride w:val="1"/>
    </w:lvlOverride>
  </w:num>
  <w:num w:numId="32">
    <w:abstractNumId w:val="3"/>
    <w:lvlOverride w:ilvl="0">
      <w:startOverride w:val="1"/>
    </w:lvlOverride>
  </w:num>
  <w:num w:numId="33">
    <w:abstractNumId w:val="3"/>
    <w:lvlOverride w:ilvl="0">
      <w:startOverride w:val="1"/>
    </w:lvlOverride>
  </w:num>
  <w:num w:numId="34">
    <w:abstractNumId w:val="3"/>
    <w:lvlOverride w:ilvl="0">
      <w:startOverride w:val="1"/>
    </w:lvlOverride>
  </w:num>
  <w:num w:numId="35">
    <w:abstractNumId w:val="3"/>
    <w:lvlOverride w:ilvl="0">
      <w:startOverride w:val="1"/>
    </w:lvlOverride>
  </w:num>
  <w:num w:numId="36">
    <w:abstractNumId w:val="3"/>
    <w:lvlOverride w:ilvl="0">
      <w:startOverride w:val="1"/>
    </w:lvlOverride>
  </w:num>
  <w:num w:numId="37">
    <w:abstractNumId w:val="3"/>
    <w:lvlOverride w:ilvl="0">
      <w:startOverride w:val="1"/>
    </w:lvlOverride>
    <w:lvlOverride w:ilvl="1">
      <w:startOverride w:val="2"/>
    </w:lvlOverride>
  </w:num>
  <w:num w:numId="38">
    <w:abstractNumId w:val="8"/>
  </w:num>
  <w:num w:numId="39">
    <w:abstractNumId w:val="1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removePersonalInformation/>
  <w:removeDateAndTime/>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2"/>
  <w:noPunctuationKerning/>
  <w:characterSpacingControl w:val="doNotCompress"/>
  <w:hdrShapeDefaults>
    <o:shapedefaults v:ext="edit" spidmax="4505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523D"/>
    <w:rsid w:val="00000357"/>
    <w:rsid w:val="000007B0"/>
    <w:rsid w:val="00000CB4"/>
    <w:rsid w:val="0000286E"/>
    <w:rsid w:val="00010F74"/>
    <w:rsid w:val="00012302"/>
    <w:rsid w:val="0001314C"/>
    <w:rsid w:val="00013790"/>
    <w:rsid w:val="000147FC"/>
    <w:rsid w:val="000159B7"/>
    <w:rsid w:val="00016522"/>
    <w:rsid w:val="0001732D"/>
    <w:rsid w:val="00017B9B"/>
    <w:rsid w:val="000201E1"/>
    <w:rsid w:val="000208AF"/>
    <w:rsid w:val="00020FB4"/>
    <w:rsid w:val="00023B49"/>
    <w:rsid w:val="00023F20"/>
    <w:rsid w:val="00024758"/>
    <w:rsid w:val="00024C92"/>
    <w:rsid w:val="00024F34"/>
    <w:rsid w:val="000262F5"/>
    <w:rsid w:val="00026DC1"/>
    <w:rsid w:val="0002746E"/>
    <w:rsid w:val="00030100"/>
    <w:rsid w:val="000309FC"/>
    <w:rsid w:val="000324DF"/>
    <w:rsid w:val="0003266C"/>
    <w:rsid w:val="00032998"/>
    <w:rsid w:val="00032B87"/>
    <w:rsid w:val="000335F0"/>
    <w:rsid w:val="00033982"/>
    <w:rsid w:val="00034524"/>
    <w:rsid w:val="0003469D"/>
    <w:rsid w:val="00036EC8"/>
    <w:rsid w:val="00036F14"/>
    <w:rsid w:val="00036F9F"/>
    <w:rsid w:val="000400DF"/>
    <w:rsid w:val="00040110"/>
    <w:rsid w:val="00042719"/>
    <w:rsid w:val="000443A9"/>
    <w:rsid w:val="0004583F"/>
    <w:rsid w:val="0004585E"/>
    <w:rsid w:val="0004796B"/>
    <w:rsid w:val="00050223"/>
    <w:rsid w:val="000516EA"/>
    <w:rsid w:val="000519C1"/>
    <w:rsid w:val="00052575"/>
    <w:rsid w:val="0005471E"/>
    <w:rsid w:val="000553DB"/>
    <w:rsid w:val="00056220"/>
    <w:rsid w:val="00057724"/>
    <w:rsid w:val="000615F6"/>
    <w:rsid w:val="000619D9"/>
    <w:rsid w:val="000646DA"/>
    <w:rsid w:val="00064E70"/>
    <w:rsid w:val="0006635E"/>
    <w:rsid w:val="00066E1C"/>
    <w:rsid w:val="0006728F"/>
    <w:rsid w:val="00067314"/>
    <w:rsid w:val="00067E87"/>
    <w:rsid w:val="00070CD0"/>
    <w:rsid w:val="00070FB1"/>
    <w:rsid w:val="00071087"/>
    <w:rsid w:val="00071678"/>
    <w:rsid w:val="00071D55"/>
    <w:rsid w:val="00074209"/>
    <w:rsid w:val="000749EC"/>
    <w:rsid w:val="000776DC"/>
    <w:rsid w:val="00081147"/>
    <w:rsid w:val="0008167B"/>
    <w:rsid w:val="00083923"/>
    <w:rsid w:val="00083B1C"/>
    <w:rsid w:val="000845FD"/>
    <w:rsid w:val="00084FF4"/>
    <w:rsid w:val="0008508B"/>
    <w:rsid w:val="00086E37"/>
    <w:rsid w:val="000902B4"/>
    <w:rsid w:val="0009104A"/>
    <w:rsid w:val="0009120E"/>
    <w:rsid w:val="00091417"/>
    <w:rsid w:val="00092ECD"/>
    <w:rsid w:val="00093519"/>
    <w:rsid w:val="00094097"/>
    <w:rsid w:val="000955E7"/>
    <w:rsid w:val="00095A81"/>
    <w:rsid w:val="000960FC"/>
    <w:rsid w:val="00097C8B"/>
    <w:rsid w:val="000A18F8"/>
    <w:rsid w:val="000A341B"/>
    <w:rsid w:val="000A403E"/>
    <w:rsid w:val="000A49A5"/>
    <w:rsid w:val="000A65AE"/>
    <w:rsid w:val="000A6651"/>
    <w:rsid w:val="000A76C8"/>
    <w:rsid w:val="000B034F"/>
    <w:rsid w:val="000B2109"/>
    <w:rsid w:val="000B371E"/>
    <w:rsid w:val="000B4A00"/>
    <w:rsid w:val="000B5E1F"/>
    <w:rsid w:val="000B715E"/>
    <w:rsid w:val="000C0C9A"/>
    <w:rsid w:val="000C1BF5"/>
    <w:rsid w:val="000C22CE"/>
    <w:rsid w:val="000C3468"/>
    <w:rsid w:val="000C44A4"/>
    <w:rsid w:val="000C55DB"/>
    <w:rsid w:val="000C796F"/>
    <w:rsid w:val="000C7E9B"/>
    <w:rsid w:val="000D17D1"/>
    <w:rsid w:val="000D1BD4"/>
    <w:rsid w:val="000D3A6B"/>
    <w:rsid w:val="000D4629"/>
    <w:rsid w:val="000D5327"/>
    <w:rsid w:val="000D7085"/>
    <w:rsid w:val="000D78CF"/>
    <w:rsid w:val="000E1D48"/>
    <w:rsid w:val="000E31BE"/>
    <w:rsid w:val="000E3E7B"/>
    <w:rsid w:val="000E5C2E"/>
    <w:rsid w:val="000E7AB9"/>
    <w:rsid w:val="000E7CDC"/>
    <w:rsid w:val="000F0BFD"/>
    <w:rsid w:val="000F297F"/>
    <w:rsid w:val="000F2CED"/>
    <w:rsid w:val="000F5D57"/>
    <w:rsid w:val="000F5EF9"/>
    <w:rsid w:val="000F6DE7"/>
    <w:rsid w:val="000F6E49"/>
    <w:rsid w:val="000F72FD"/>
    <w:rsid w:val="000F77CF"/>
    <w:rsid w:val="000F7DE3"/>
    <w:rsid w:val="000F7F77"/>
    <w:rsid w:val="00100332"/>
    <w:rsid w:val="00100566"/>
    <w:rsid w:val="00103CD2"/>
    <w:rsid w:val="00105473"/>
    <w:rsid w:val="00106640"/>
    <w:rsid w:val="001066EB"/>
    <w:rsid w:val="0011014C"/>
    <w:rsid w:val="001114EF"/>
    <w:rsid w:val="001121C5"/>
    <w:rsid w:val="00112AB8"/>
    <w:rsid w:val="00113D2F"/>
    <w:rsid w:val="0011477C"/>
    <w:rsid w:val="00115A22"/>
    <w:rsid w:val="00115F0C"/>
    <w:rsid w:val="00116E61"/>
    <w:rsid w:val="00117A40"/>
    <w:rsid w:val="0012091B"/>
    <w:rsid w:val="001220B1"/>
    <w:rsid w:val="001221D9"/>
    <w:rsid w:val="00122A12"/>
    <w:rsid w:val="00122D17"/>
    <w:rsid w:val="0012401E"/>
    <w:rsid w:val="001265D1"/>
    <w:rsid w:val="00130349"/>
    <w:rsid w:val="00130E15"/>
    <w:rsid w:val="0013106B"/>
    <w:rsid w:val="001316C5"/>
    <w:rsid w:val="001317B9"/>
    <w:rsid w:val="00132749"/>
    <w:rsid w:val="001338E3"/>
    <w:rsid w:val="00134553"/>
    <w:rsid w:val="00134770"/>
    <w:rsid w:val="00134A6B"/>
    <w:rsid w:val="00135734"/>
    <w:rsid w:val="00135F80"/>
    <w:rsid w:val="00136191"/>
    <w:rsid w:val="001372B0"/>
    <w:rsid w:val="00137C23"/>
    <w:rsid w:val="001413A3"/>
    <w:rsid w:val="00142547"/>
    <w:rsid w:val="00142743"/>
    <w:rsid w:val="00143B5A"/>
    <w:rsid w:val="00143DF4"/>
    <w:rsid w:val="00144728"/>
    <w:rsid w:val="00144B92"/>
    <w:rsid w:val="001478FD"/>
    <w:rsid w:val="00147CED"/>
    <w:rsid w:val="00151690"/>
    <w:rsid w:val="00151F27"/>
    <w:rsid w:val="00153B11"/>
    <w:rsid w:val="00155040"/>
    <w:rsid w:val="00156B2F"/>
    <w:rsid w:val="0015751F"/>
    <w:rsid w:val="00160B6D"/>
    <w:rsid w:val="001611DF"/>
    <w:rsid w:val="001614A7"/>
    <w:rsid w:val="00161D01"/>
    <w:rsid w:val="001622D8"/>
    <w:rsid w:val="00163856"/>
    <w:rsid w:val="001639BF"/>
    <w:rsid w:val="00165D2E"/>
    <w:rsid w:val="00166B29"/>
    <w:rsid w:val="00166E95"/>
    <w:rsid w:val="0017442C"/>
    <w:rsid w:val="0017610D"/>
    <w:rsid w:val="001762FE"/>
    <w:rsid w:val="00176838"/>
    <w:rsid w:val="00176CDD"/>
    <w:rsid w:val="00176E3B"/>
    <w:rsid w:val="00177471"/>
    <w:rsid w:val="00177A54"/>
    <w:rsid w:val="001814D2"/>
    <w:rsid w:val="0018156E"/>
    <w:rsid w:val="00181F6E"/>
    <w:rsid w:val="0018207C"/>
    <w:rsid w:val="0018213F"/>
    <w:rsid w:val="00183B12"/>
    <w:rsid w:val="00183EE2"/>
    <w:rsid w:val="001869E4"/>
    <w:rsid w:val="00186FAD"/>
    <w:rsid w:val="00187304"/>
    <w:rsid w:val="00190527"/>
    <w:rsid w:val="00193EA4"/>
    <w:rsid w:val="001A2035"/>
    <w:rsid w:val="001A3202"/>
    <w:rsid w:val="001A5664"/>
    <w:rsid w:val="001A59C8"/>
    <w:rsid w:val="001A5C65"/>
    <w:rsid w:val="001A69E3"/>
    <w:rsid w:val="001A7DC8"/>
    <w:rsid w:val="001A7DE6"/>
    <w:rsid w:val="001B0DC7"/>
    <w:rsid w:val="001B278C"/>
    <w:rsid w:val="001B3597"/>
    <w:rsid w:val="001B3B73"/>
    <w:rsid w:val="001B4CE5"/>
    <w:rsid w:val="001B4D9E"/>
    <w:rsid w:val="001B5A4D"/>
    <w:rsid w:val="001B6A96"/>
    <w:rsid w:val="001B6BB1"/>
    <w:rsid w:val="001B70F0"/>
    <w:rsid w:val="001B76E5"/>
    <w:rsid w:val="001B7DC3"/>
    <w:rsid w:val="001C114B"/>
    <w:rsid w:val="001C1E26"/>
    <w:rsid w:val="001C26BF"/>
    <w:rsid w:val="001C452F"/>
    <w:rsid w:val="001C51FF"/>
    <w:rsid w:val="001C5489"/>
    <w:rsid w:val="001C6360"/>
    <w:rsid w:val="001C739D"/>
    <w:rsid w:val="001C776B"/>
    <w:rsid w:val="001D1C1F"/>
    <w:rsid w:val="001D2A75"/>
    <w:rsid w:val="001D2D1A"/>
    <w:rsid w:val="001D3103"/>
    <w:rsid w:val="001D36D6"/>
    <w:rsid w:val="001D3EA6"/>
    <w:rsid w:val="001D5624"/>
    <w:rsid w:val="001D75FA"/>
    <w:rsid w:val="001D7A48"/>
    <w:rsid w:val="001E072D"/>
    <w:rsid w:val="001E132B"/>
    <w:rsid w:val="001E1649"/>
    <w:rsid w:val="001E224F"/>
    <w:rsid w:val="001E2B3C"/>
    <w:rsid w:val="001E3C96"/>
    <w:rsid w:val="001E4C32"/>
    <w:rsid w:val="001E56B7"/>
    <w:rsid w:val="001E57E3"/>
    <w:rsid w:val="001F31CC"/>
    <w:rsid w:val="001F3B9F"/>
    <w:rsid w:val="001F462D"/>
    <w:rsid w:val="001F4CD9"/>
    <w:rsid w:val="001F51D8"/>
    <w:rsid w:val="001F54B7"/>
    <w:rsid w:val="001F5662"/>
    <w:rsid w:val="001F5693"/>
    <w:rsid w:val="001F5D2E"/>
    <w:rsid w:val="001F7579"/>
    <w:rsid w:val="001F7C7B"/>
    <w:rsid w:val="00200AA6"/>
    <w:rsid w:val="00200C58"/>
    <w:rsid w:val="00203370"/>
    <w:rsid w:val="00203AED"/>
    <w:rsid w:val="00204337"/>
    <w:rsid w:val="002047B5"/>
    <w:rsid w:val="00204CC2"/>
    <w:rsid w:val="00204CCB"/>
    <w:rsid w:val="00204F94"/>
    <w:rsid w:val="0020684B"/>
    <w:rsid w:val="00207D98"/>
    <w:rsid w:val="00210B72"/>
    <w:rsid w:val="00211D97"/>
    <w:rsid w:val="002126AF"/>
    <w:rsid w:val="002130A7"/>
    <w:rsid w:val="0021399F"/>
    <w:rsid w:val="00215145"/>
    <w:rsid w:val="00216DE6"/>
    <w:rsid w:val="002170E3"/>
    <w:rsid w:val="00220DE0"/>
    <w:rsid w:val="002214C6"/>
    <w:rsid w:val="00221FEE"/>
    <w:rsid w:val="0022258C"/>
    <w:rsid w:val="002227A6"/>
    <w:rsid w:val="00222C70"/>
    <w:rsid w:val="00222E8F"/>
    <w:rsid w:val="002232D4"/>
    <w:rsid w:val="00223CEE"/>
    <w:rsid w:val="002267F5"/>
    <w:rsid w:val="002270EA"/>
    <w:rsid w:val="00227194"/>
    <w:rsid w:val="00227918"/>
    <w:rsid w:val="0023263D"/>
    <w:rsid w:val="002327A0"/>
    <w:rsid w:val="00233403"/>
    <w:rsid w:val="00233BC1"/>
    <w:rsid w:val="00237564"/>
    <w:rsid w:val="00237800"/>
    <w:rsid w:val="00237FAC"/>
    <w:rsid w:val="0024089B"/>
    <w:rsid w:val="002412C7"/>
    <w:rsid w:val="00241872"/>
    <w:rsid w:val="00241D69"/>
    <w:rsid w:val="00242FD2"/>
    <w:rsid w:val="002431C0"/>
    <w:rsid w:val="0024372D"/>
    <w:rsid w:val="0024400F"/>
    <w:rsid w:val="0024536A"/>
    <w:rsid w:val="00245951"/>
    <w:rsid w:val="0024771F"/>
    <w:rsid w:val="00250079"/>
    <w:rsid w:val="002503B4"/>
    <w:rsid w:val="00250400"/>
    <w:rsid w:val="0025071B"/>
    <w:rsid w:val="00250EAD"/>
    <w:rsid w:val="0025149F"/>
    <w:rsid w:val="00254189"/>
    <w:rsid w:val="00255DF4"/>
    <w:rsid w:val="00255E8D"/>
    <w:rsid w:val="002611B2"/>
    <w:rsid w:val="0026225E"/>
    <w:rsid w:val="002630A7"/>
    <w:rsid w:val="0026352B"/>
    <w:rsid w:val="0026559C"/>
    <w:rsid w:val="00265D89"/>
    <w:rsid w:val="00266DA2"/>
    <w:rsid w:val="0027078C"/>
    <w:rsid w:val="00272E0C"/>
    <w:rsid w:val="00273CBB"/>
    <w:rsid w:val="00273E97"/>
    <w:rsid w:val="002758D1"/>
    <w:rsid w:val="00280C29"/>
    <w:rsid w:val="00281143"/>
    <w:rsid w:val="0028197C"/>
    <w:rsid w:val="00281CC5"/>
    <w:rsid w:val="002853CE"/>
    <w:rsid w:val="002860F7"/>
    <w:rsid w:val="002863E0"/>
    <w:rsid w:val="0028643C"/>
    <w:rsid w:val="002875EA"/>
    <w:rsid w:val="00290475"/>
    <w:rsid w:val="002905AB"/>
    <w:rsid w:val="00290CD1"/>
    <w:rsid w:val="0029188B"/>
    <w:rsid w:val="0029203A"/>
    <w:rsid w:val="002938AD"/>
    <w:rsid w:val="00294903"/>
    <w:rsid w:val="00294EFD"/>
    <w:rsid w:val="002950EC"/>
    <w:rsid w:val="002959DD"/>
    <w:rsid w:val="002A0890"/>
    <w:rsid w:val="002A0BD8"/>
    <w:rsid w:val="002A1059"/>
    <w:rsid w:val="002A1F24"/>
    <w:rsid w:val="002A3667"/>
    <w:rsid w:val="002A4D0E"/>
    <w:rsid w:val="002A4FEF"/>
    <w:rsid w:val="002A560A"/>
    <w:rsid w:val="002A7C2E"/>
    <w:rsid w:val="002B1715"/>
    <w:rsid w:val="002B19BE"/>
    <w:rsid w:val="002B208E"/>
    <w:rsid w:val="002B2D55"/>
    <w:rsid w:val="002B48C5"/>
    <w:rsid w:val="002B4D62"/>
    <w:rsid w:val="002B79EA"/>
    <w:rsid w:val="002B7E9A"/>
    <w:rsid w:val="002C12B1"/>
    <w:rsid w:val="002C16C2"/>
    <w:rsid w:val="002C1ECB"/>
    <w:rsid w:val="002C44D1"/>
    <w:rsid w:val="002C46D4"/>
    <w:rsid w:val="002D01AE"/>
    <w:rsid w:val="002D083A"/>
    <w:rsid w:val="002D50E6"/>
    <w:rsid w:val="002D5128"/>
    <w:rsid w:val="002D5537"/>
    <w:rsid w:val="002D64F4"/>
    <w:rsid w:val="002D7BCD"/>
    <w:rsid w:val="002E0B5E"/>
    <w:rsid w:val="002E1251"/>
    <w:rsid w:val="002E1838"/>
    <w:rsid w:val="002E1995"/>
    <w:rsid w:val="002E28AE"/>
    <w:rsid w:val="002E2A3C"/>
    <w:rsid w:val="002E2CAC"/>
    <w:rsid w:val="002E421D"/>
    <w:rsid w:val="002E4C85"/>
    <w:rsid w:val="002E5BD2"/>
    <w:rsid w:val="002E7CC9"/>
    <w:rsid w:val="002F213F"/>
    <w:rsid w:val="002F2594"/>
    <w:rsid w:val="002F288C"/>
    <w:rsid w:val="002F35F4"/>
    <w:rsid w:val="002F3615"/>
    <w:rsid w:val="002F3E3E"/>
    <w:rsid w:val="002F4B2B"/>
    <w:rsid w:val="002F511B"/>
    <w:rsid w:val="002F5DAB"/>
    <w:rsid w:val="002F7C99"/>
    <w:rsid w:val="00300729"/>
    <w:rsid w:val="00300941"/>
    <w:rsid w:val="00301528"/>
    <w:rsid w:val="00301582"/>
    <w:rsid w:val="00301809"/>
    <w:rsid w:val="003032DB"/>
    <w:rsid w:val="00303B31"/>
    <w:rsid w:val="00304FC8"/>
    <w:rsid w:val="0030533C"/>
    <w:rsid w:val="003057EE"/>
    <w:rsid w:val="00305AD2"/>
    <w:rsid w:val="0030616D"/>
    <w:rsid w:val="00311523"/>
    <w:rsid w:val="003117D1"/>
    <w:rsid w:val="003123EC"/>
    <w:rsid w:val="00312710"/>
    <w:rsid w:val="00312876"/>
    <w:rsid w:val="00312900"/>
    <w:rsid w:val="00312FC0"/>
    <w:rsid w:val="00313E84"/>
    <w:rsid w:val="00314DE5"/>
    <w:rsid w:val="003153D8"/>
    <w:rsid w:val="0031555F"/>
    <w:rsid w:val="00315686"/>
    <w:rsid w:val="00315F7F"/>
    <w:rsid w:val="00316308"/>
    <w:rsid w:val="00316CB3"/>
    <w:rsid w:val="0031787F"/>
    <w:rsid w:val="00320FC3"/>
    <w:rsid w:val="00322666"/>
    <w:rsid w:val="00322C50"/>
    <w:rsid w:val="0032506D"/>
    <w:rsid w:val="003254FE"/>
    <w:rsid w:val="003270CD"/>
    <w:rsid w:val="00327DF9"/>
    <w:rsid w:val="00332F1D"/>
    <w:rsid w:val="00333288"/>
    <w:rsid w:val="00334E8F"/>
    <w:rsid w:val="00336664"/>
    <w:rsid w:val="00337069"/>
    <w:rsid w:val="003370BA"/>
    <w:rsid w:val="00337865"/>
    <w:rsid w:val="003411BA"/>
    <w:rsid w:val="003418DD"/>
    <w:rsid w:val="00341F6A"/>
    <w:rsid w:val="0034257A"/>
    <w:rsid w:val="003442DB"/>
    <w:rsid w:val="00347544"/>
    <w:rsid w:val="0035043F"/>
    <w:rsid w:val="00350A43"/>
    <w:rsid w:val="00350B5A"/>
    <w:rsid w:val="00350E3E"/>
    <w:rsid w:val="00353735"/>
    <w:rsid w:val="00354023"/>
    <w:rsid w:val="00354D2E"/>
    <w:rsid w:val="00355125"/>
    <w:rsid w:val="0035581D"/>
    <w:rsid w:val="003568A3"/>
    <w:rsid w:val="00356FE5"/>
    <w:rsid w:val="00360219"/>
    <w:rsid w:val="003615AC"/>
    <w:rsid w:val="00361B23"/>
    <w:rsid w:val="003622CA"/>
    <w:rsid w:val="003633BB"/>
    <w:rsid w:val="00363675"/>
    <w:rsid w:val="0036467C"/>
    <w:rsid w:val="00365485"/>
    <w:rsid w:val="00367259"/>
    <w:rsid w:val="00370778"/>
    <w:rsid w:val="00370C5B"/>
    <w:rsid w:val="003729A1"/>
    <w:rsid w:val="00372C8A"/>
    <w:rsid w:val="00376871"/>
    <w:rsid w:val="0037732E"/>
    <w:rsid w:val="00377D84"/>
    <w:rsid w:val="00381239"/>
    <w:rsid w:val="003814A6"/>
    <w:rsid w:val="003827BB"/>
    <w:rsid w:val="00382E07"/>
    <w:rsid w:val="0038336A"/>
    <w:rsid w:val="003838B4"/>
    <w:rsid w:val="00393E21"/>
    <w:rsid w:val="00393EB3"/>
    <w:rsid w:val="00394513"/>
    <w:rsid w:val="00394F38"/>
    <w:rsid w:val="0039670F"/>
    <w:rsid w:val="003A015A"/>
    <w:rsid w:val="003A0851"/>
    <w:rsid w:val="003A12AE"/>
    <w:rsid w:val="003A13E2"/>
    <w:rsid w:val="003A20D5"/>
    <w:rsid w:val="003A283E"/>
    <w:rsid w:val="003A2EE0"/>
    <w:rsid w:val="003A3755"/>
    <w:rsid w:val="003A3D29"/>
    <w:rsid w:val="003A4A28"/>
    <w:rsid w:val="003A5CB1"/>
    <w:rsid w:val="003A61A9"/>
    <w:rsid w:val="003A627C"/>
    <w:rsid w:val="003A62CF"/>
    <w:rsid w:val="003A66B2"/>
    <w:rsid w:val="003A7D5D"/>
    <w:rsid w:val="003B061B"/>
    <w:rsid w:val="003B1068"/>
    <w:rsid w:val="003B28B0"/>
    <w:rsid w:val="003B4527"/>
    <w:rsid w:val="003C0488"/>
    <w:rsid w:val="003C0E2C"/>
    <w:rsid w:val="003C113B"/>
    <w:rsid w:val="003C1D0F"/>
    <w:rsid w:val="003C3A3D"/>
    <w:rsid w:val="003C4427"/>
    <w:rsid w:val="003C4E2F"/>
    <w:rsid w:val="003C4E46"/>
    <w:rsid w:val="003C4E68"/>
    <w:rsid w:val="003C5193"/>
    <w:rsid w:val="003C556C"/>
    <w:rsid w:val="003C69A3"/>
    <w:rsid w:val="003C741B"/>
    <w:rsid w:val="003C772A"/>
    <w:rsid w:val="003C7AA0"/>
    <w:rsid w:val="003C7E90"/>
    <w:rsid w:val="003C7F59"/>
    <w:rsid w:val="003D3457"/>
    <w:rsid w:val="003D35F1"/>
    <w:rsid w:val="003D42C5"/>
    <w:rsid w:val="003D595F"/>
    <w:rsid w:val="003D6235"/>
    <w:rsid w:val="003D6D99"/>
    <w:rsid w:val="003D74CC"/>
    <w:rsid w:val="003E0311"/>
    <w:rsid w:val="003E212D"/>
    <w:rsid w:val="003E286C"/>
    <w:rsid w:val="003E2D9B"/>
    <w:rsid w:val="003E3D5C"/>
    <w:rsid w:val="003E4566"/>
    <w:rsid w:val="003E5B9D"/>
    <w:rsid w:val="003E5CA0"/>
    <w:rsid w:val="003E5F23"/>
    <w:rsid w:val="003E5F47"/>
    <w:rsid w:val="003E6587"/>
    <w:rsid w:val="003E672D"/>
    <w:rsid w:val="003E744E"/>
    <w:rsid w:val="003F00DC"/>
    <w:rsid w:val="003F0395"/>
    <w:rsid w:val="003F1521"/>
    <w:rsid w:val="003F26CE"/>
    <w:rsid w:val="003F39BB"/>
    <w:rsid w:val="003F3C33"/>
    <w:rsid w:val="003F528C"/>
    <w:rsid w:val="0040277A"/>
    <w:rsid w:val="00402DCB"/>
    <w:rsid w:val="004044A1"/>
    <w:rsid w:val="004049E7"/>
    <w:rsid w:val="0040521C"/>
    <w:rsid w:val="004058B8"/>
    <w:rsid w:val="0041167F"/>
    <w:rsid w:val="004116DA"/>
    <w:rsid w:val="00414D6D"/>
    <w:rsid w:val="00415611"/>
    <w:rsid w:val="00415A15"/>
    <w:rsid w:val="00415CF5"/>
    <w:rsid w:val="00416314"/>
    <w:rsid w:val="00417161"/>
    <w:rsid w:val="00420B00"/>
    <w:rsid w:val="00420BC4"/>
    <w:rsid w:val="00420F84"/>
    <w:rsid w:val="00423382"/>
    <w:rsid w:val="0042370B"/>
    <w:rsid w:val="00424C97"/>
    <w:rsid w:val="004263BE"/>
    <w:rsid w:val="00426D95"/>
    <w:rsid w:val="00430487"/>
    <w:rsid w:val="00431795"/>
    <w:rsid w:val="00431DA9"/>
    <w:rsid w:val="00433462"/>
    <w:rsid w:val="004337AA"/>
    <w:rsid w:val="00433EA5"/>
    <w:rsid w:val="00435303"/>
    <w:rsid w:val="00435362"/>
    <w:rsid w:val="00435FBD"/>
    <w:rsid w:val="004366CF"/>
    <w:rsid w:val="00436CA6"/>
    <w:rsid w:val="00437061"/>
    <w:rsid w:val="004375B4"/>
    <w:rsid w:val="00440C11"/>
    <w:rsid w:val="00440D01"/>
    <w:rsid w:val="00441258"/>
    <w:rsid w:val="00441F74"/>
    <w:rsid w:val="004429BF"/>
    <w:rsid w:val="0044367F"/>
    <w:rsid w:val="00444025"/>
    <w:rsid w:val="00444E8D"/>
    <w:rsid w:val="00445B96"/>
    <w:rsid w:val="00446D7F"/>
    <w:rsid w:val="0044777A"/>
    <w:rsid w:val="004502F0"/>
    <w:rsid w:val="00450F54"/>
    <w:rsid w:val="0045139B"/>
    <w:rsid w:val="00451F7F"/>
    <w:rsid w:val="00452385"/>
    <w:rsid w:val="00452BEA"/>
    <w:rsid w:val="004533D2"/>
    <w:rsid w:val="00454A30"/>
    <w:rsid w:val="00457434"/>
    <w:rsid w:val="004634D2"/>
    <w:rsid w:val="00465CB3"/>
    <w:rsid w:val="00467784"/>
    <w:rsid w:val="0047050E"/>
    <w:rsid w:val="00470D9E"/>
    <w:rsid w:val="00471CF2"/>
    <w:rsid w:val="00473EC4"/>
    <w:rsid w:val="0047497D"/>
    <w:rsid w:val="00475197"/>
    <w:rsid w:val="00475BE5"/>
    <w:rsid w:val="00476A0E"/>
    <w:rsid w:val="0047704F"/>
    <w:rsid w:val="00477854"/>
    <w:rsid w:val="0048059D"/>
    <w:rsid w:val="00481502"/>
    <w:rsid w:val="00483100"/>
    <w:rsid w:val="004839F2"/>
    <w:rsid w:val="00483D04"/>
    <w:rsid w:val="00484207"/>
    <w:rsid w:val="004842E7"/>
    <w:rsid w:val="00484F90"/>
    <w:rsid w:val="004850E6"/>
    <w:rsid w:val="00486531"/>
    <w:rsid w:val="004872E7"/>
    <w:rsid w:val="00487C29"/>
    <w:rsid w:val="00487EB4"/>
    <w:rsid w:val="0049005C"/>
    <w:rsid w:val="0049055F"/>
    <w:rsid w:val="004906A5"/>
    <w:rsid w:val="00490D3C"/>
    <w:rsid w:val="004910F2"/>
    <w:rsid w:val="0049157A"/>
    <w:rsid w:val="00492416"/>
    <w:rsid w:val="0049312D"/>
    <w:rsid w:val="00493377"/>
    <w:rsid w:val="00494206"/>
    <w:rsid w:val="0049492E"/>
    <w:rsid w:val="00494A7E"/>
    <w:rsid w:val="004952A4"/>
    <w:rsid w:val="0049626A"/>
    <w:rsid w:val="004962DD"/>
    <w:rsid w:val="004963E4"/>
    <w:rsid w:val="00497B3A"/>
    <w:rsid w:val="004A02D1"/>
    <w:rsid w:val="004A097B"/>
    <w:rsid w:val="004A0AAC"/>
    <w:rsid w:val="004A154D"/>
    <w:rsid w:val="004A1BF7"/>
    <w:rsid w:val="004A2701"/>
    <w:rsid w:val="004A4423"/>
    <w:rsid w:val="004A455D"/>
    <w:rsid w:val="004A48C5"/>
    <w:rsid w:val="004A50F1"/>
    <w:rsid w:val="004A5E8C"/>
    <w:rsid w:val="004A65C7"/>
    <w:rsid w:val="004A7D1E"/>
    <w:rsid w:val="004B14A6"/>
    <w:rsid w:val="004B215D"/>
    <w:rsid w:val="004B24DD"/>
    <w:rsid w:val="004B3077"/>
    <w:rsid w:val="004B3380"/>
    <w:rsid w:val="004B3C0B"/>
    <w:rsid w:val="004B3DC3"/>
    <w:rsid w:val="004B5551"/>
    <w:rsid w:val="004B5CFA"/>
    <w:rsid w:val="004C17D7"/>
    <w:rsid w:val="004C2DC4"/>
    <w:rsid w:val="004C460E"/>
    <w:rsid w:val="004C4667"/>
    <w:rsid w:val="004C4686"/>
    <w:rsid w:val="004C5235"/>
    <w:rsid w:val="004C5CAD"/>
    <w:rsid w:val="004C65F3"/>
    <w:rsid w:val="004D028A"/>
    <w:rsid w:val="004D0E26"/>
    <w:rsid w:val="004D2673"/>
    <w:rsid w:val="004D41BB"/>
    <w:rsid w:val="004D4947"/>
    <w:rsid w:val="004D5C4D"/>
    <w:rsid w:val="004D62EF"/>
    <w:rsid w:val="004D6327"/>
    <w:rsid w:val="004D656C"/>
    <w:rsid w:val="004D7C55"/>
    <w:rsid w:val="004E182A"/>
    <w:rsid w:val="004E1A71"/>
    <w:rsid w:val="004E2C9B"/>
    <w:rsid w:val="004E3745"/>
    <w:rsid w:val="004E3A23"/>
    <w:rsid w:val="004E4260"/>
    <w:rsid w:val="004E489F"/>
    <w:rsid w:val="004E4C1F"/>
    <w:rsid w:val="004E5187"/>
    <w:rsid w:val="004E521E"/>
    <w:rsid w:val="004E5965"/>
    <w:rsid w:val="004E599B"/>
    <w:rsid w:val="004E5E3B"/>
    <w:rsid w:val="004E6783"/>
    <w:rsid w:val="004F0424"/>
    <w:rsid w:val="004F0674"/>
    <w:rsid w:val="004F0691"/>
    <w:rsid w:val="004F20BC"/>
    <w:rsid w:val="004F2C19"/>
    <w:rsid w:val="004F2E52"/>
    <w:rsid w:val="004F425A"/>
    <w:rsid w:val="004F447A"/>
    <w:rsid w:val="004F4AA3"/>
    <w:rsid w:val="004F52E8"/>
    <w:rsid w:val="004F5339"/>
    <w:rsid w:val="004F5D4C"/>
    <w:rsid w:val="004F68DD"/>
    <w:rsid w:val="004F7D9E"/>
    <w:rsid w:val="00501732"/>
    <w:rsid w:val="00501C2C"/>
    <w:rsid w:val="00502847"/>
    <w:rsid w:val="005033AD"/>
    <w:rsid w:val="00506281"/>
    <w:rsid w:val="0050663B"/>
    <w:rsid w:val="005067A2"/>
    <w:rsid w:val="00510ABC"/>
    <w:rsid w:val="00512B48"/>
    <w:rsid w:val="00512D91"/>
    <w:rsid w:val="00512FBF"/>
    <w:rsid w:val="00513934"/>
    <w:rsid w:val="00513942"/>
    <w:rsid w:val="00514880"/>
    <w:rsid w:val="00517B2D"/>
    <w:rsid w:val="005226E3"/>
    <w:rsid w:val="0052351E"/>
    <w:rsid w:val="005237E9"/>
    <w:rsid w:val="005246A9"/>
    <w:rsid w:val="005266CF"/>
    <w:rsid w:val="005272F9"/>
    <w:rsid w:val="00527BE7"/>
    <w:rsid w:val="005315E2"/>
    <w:rsid w:val="00532CAF"/>
    <w:rsid w:val="00532E41"/>
    <w:rsid w:val="005332E5"/>
    <w:rsid w:val="005336BD"/>
    <w:rsid w:val="00533730"/>
    <w:rsid w:val="00534494"/>
    <w:rsid w:val="00535B6A"/>
    <w:rsid w:val="00535E10"/>
    <w:rsid w:val="0053608A"/>
    <w:rsid w:val="00540729"/>
    <w:rsid w:val="005409E3"/>
    <w:rsid w:val="0054205F"/>
    <w:rsid w:val="0054348C"/>
    <w:rsid w:val="0054352B"/>
    <w:rsid w:val="0054374E"/>
    <w:rsid w:val="005446ED"/>
    <w:rsid w:val="00546F61"/>
    <w:rsid w:val="00547129"/>
    <w:rsid w:val="005473EB"/>
    <w:rsid w:val="00551345"/>
    <w:rsid w:val="00552CF9"/>
    <w:rsid w:val="00556A81"/>
    <w:rsid w:val="005576A7"/>
    <w:rsid w:val="005578B1"/>
    <w:rsid w:val="005618D2"/>
    <w:rsid w:val="00562D7A"/>
    <w:rsid w:val="00563FDC"/>
    <w:rsid w:val="00564523"/>
    <w:rsid w:val="0056542D"/>
    <w:rsid w:val="00566ABC"/>
    <w:rsid w:val="0056783F"/>
    <w:rsid w:val="005679BD"/>
    <w:rsid w:val="00570C58"/>
    <w:rsid w:val="005716D1"/>
    <w:rsid w:val="0057514E"/>
    <w:rsid w:val="005764B9"/>
    <w:rsid w:val="00577382"/>
    <w:rsid w:val="00577605"/>
    <w:rsid w:val="00580132"/>
    <w:rsid w:val="00580A07"/>
    <w:rsid w:val="005828F9"/>
    <w:rsid w:val="00582AFE"/>
    <w:rsid w:val="00582D8F"/>
    <w:rsid w:val="00583164"/>
    <w:rsid w:val="00584D20"/>
    <w:rsid w:val="00584DBB"/>
    <w:rsid w:val="005855A4"/>
    <w:rsid w:val="0058694A"/>
    <w:rsid w:val="00587665"/>
    <w:rsid w:val="005876D7"/>
    <w:rsid w:val="005906B1"/>
    <w:rsid w:val="00592F9C"/>
    <w:rsid w:val="005930A4"/>
    <w:rsid w:val="0059397C"/>
    <w:rsid w:val="00594127"/>
    <w:rsid w:val="005949D0"/>
    <w:rsid w:val="00594EEE"/>
    <w:rsid w:val="005971DF"/>
    <w:rsid w:val="005A097C"/>
    <w:rsid w:val="005A09F0"/>
    <w:rsid w:val="005A145F"/>
    <w:rsid w:val="005A1FD4"/>
    <w:rsid w:val="005A272D"/>
    <w:rsid w:val="005A2B62"/>
    <w:rsid w:val="005A308A"/>
    <w:rsid w:val="005A36FE"/>
    <w:rsid w:val="005A37BC"/>
    <w:rsid w:val="005A3BFE"/>
    <w:rsid w:val="005A4896"/>
    <w:rsid w:val="005A55C2"/>
    <w:rsid w:val="005A5C07"/>
    <w:rsid w:val="005A608F"/>
    <w:rsid w:val="005A6598"/>
    <w:rsid w:val="005A689B"/>
    <w:rsid w:val="005A79AE"/>
    <w:rsid w:val="005A7A12"/>
    <w:rsid w:val="005B0F91"/>
    <w:rsid w:val="005B2996"/>
    <w:rsid w:val="005B402D"/>
    <w:rsid w:val="005B5089"/>
    <w:rsid w:val="005B7178"/>
    <w:rsid w:val="005B72A2"/>
    <w:rsid w:val="005C1472"/>
    <w:rsid w:val="005C1A51"/>
    <w:rsid w:val="005C1FD4"/>
    <w:rsid w:val="005C46BD"/>
    <w:rsid w:val="005C6966"/>
    <w:rsid w:val="005D0137"/>
    <w:rsid w:val="005D11AE"/>
    <w:rsid w:val="005D315B"/>
    <w:rsid w:val="005D373E"/>
    <w:rsid w:val="005D5C57"/>
    <w:rsid w:val="005E0F24"/>
    <w:rsid w:val="005E162C"/>
    <w:rsid w:val="005E2ABF"/>
    <w:rsid w:val="005E2C0D"/>
    <w:rsid w:val="005E2EFB"/>
    <w:rsid w:val="005E3825"/>
    <w:rsid w:val="005E545C"/>
    <w:rsid w:val="005E5983"/>
    <w:rsid w:val="005E5C0D"/>
    <w:rsid w:val="005F0CFA"/>
    <w:rsid w:val="005F1405"/>
    <w:rsid w:val="005F153A"/>
    <w:rsid w:val="005F3BC6"/>
    <w:rsid w:val="005F6618"/>
    <w:rsid w:val="005F712F"/>
    <w:rsid w:val="005F7AA2"/>
    <w:rsid w:val="00604FA8"/>
    <w:rsid w:val="00605101"/>
    <w:rsid w:val="00605DE1"/>
    <w:rsid w:val="00606933"/>
    <w:rsid w:val="00610FE6"/>
    <w:rsid w:val="00612E50"/>
    <w:rsid w:val="00613084"/>
    <w:rsid w:val="00613F21"/>
    <w:rsid w:val="006164DF"/>
    <w:rsid w:val="006173A6"/>
    <w:rsid w:val="00621D9C"/>
    <w:rsid w:val="0062213F"/>
    <w:rsid w:val="0062391D"/>
    <w:rsid w:val="00626618"/>
    <w:rsid w:val="0063023B"/>
    <w:rsid w:val="0063030C"/>
    <w:rsid w:val="0063159C"/>
    <w:rsid w:val="0063287A"/>
    <w:rsid w:val="00632D28"/>
    <w:rsid w:val="006339B9"/>
    <w:rsid w:val="006364E8"/>
    <w:rsid w:val="00636D0D"/>
    <w:rsid w:val="00636D82"/>
    <w:rsid w:val="006379C1"/>
    <w:rsid w:val="00637AD3"/>
    <w:rsid w:val="006415CE"/>
    <w:rsid w:val="006418A3"/>
    <w:rsid w:val="006443A9"/>
    <w:rsid w:val="006448E1"/>
    <w:rsid w:val="0064495E"/>
    <w:rsid w:val="00644E21"/>
    <w:rsid w:val="0064523D"/>
    <w:rsid w:val="00645676"/>
    <w:rsid w:val="00645EAD"/>
    <w:rsid w:val="006463BF"/>
    <w:rsid w:val="00647794"/>
    <w:rsid w:val="00647CA1"/>
    <w:rsid w:val="006501B4"/>
    <w:rsid w:val="00651344"/>
    <w:rsid w:val="0065344D"/>
    <w:rsid w:val="006537C7"/>
    <w:rsid w:val="006548F6"/>
    <w:rsid w:val="00654B62"/>
    <w:rsid w:val="0065722D"/>
    <w:rsid w:val="00657C3C"/>
    <w:rsid w:val="0066102B"/>
    <w:rsid w:val="0066138E"/>
    <w:rsid w:val="00661B90"/>
    <w:rsid w:val="00665FB8"/>
    <w:rsid w:val="006673D8"/>
    <w:rsid w:val="00667E30"/>
    <w:rsid w:val="00670D33"/>
    <w:rsid w:val="00671D25"/>
    <w:rsid w:val="00673765"/>
    <w:rsid w:val="00674AF0"/>
    <w:rsid w:val="0067642E"/>
    <w:rsid w:val="00680D1A"/>
    <w:rsid w:val="00682321"/>
    <w:rsid w:val="0068444F"/>
    <w:rsid w:val="006865CB"/>
    <w:rsid w:val="0068758C"/>
    <w:rsid w:val="006902C1"/>
    <w:rsid w:val="0069098B"/>
    <w:rsid w:val="00690F2C"/>
    <w:rsid w:val="00692566"/>
    <w:rsid w:val="00692867"/>
    <w:rsid w:val="00694452"/>
    <w:rsid w:val="006955D8"/>
    <w:rsid w:val="00695A64"/>
    <w:rsid w:val="00695BF7"/>
    <w:rsid w:val="00697A09"/>
    <w:rsid w:val="006A091F"/>
    <w:rsid w:val="006A2469"/>
    <w:rsid w:val="006A2566"/>
    <w:rsid w:val="006A29F7"/>
    <w:rsid w:val="006A4CAF"/>
    <w:rsid w:val="006A5054"/>
    <w:rsid w:val="006A5ADF"/>
    <w:rsid w:val="006A694C"/>
    <w:rsid w:val="006A7594"/>
    <w:rsid w:val="006B07D7"/>
    <w:rsid w:val="006B212C"/>
    <w:rsid w:val="006B4083"/>
    <w:rsid w:val="006B518D"/>
    <w:rsid w:val="006B5B88"/>
    <w:rsid w:val="006B731C"/>
    <w:rsid w:val="006B7888"/>
    <w:rsid w:val="006B7BB1"/>
    <w:rsid w:val="006B7DFD"/>
    <w:rsid w:val="006C0E03"/>
    <w:rsid w:val="006C48F0"/>
    <w:rsid w:val="006C4B3F"/>
    <w:rsid w:val="006C4CD6"/>
    <w:rsid w:val="006C5371"/>
    <w:rsid w:val="006C5A3B"/>
    <w:rsid w:val="006C64A0"/>
    <w:rsid w:val="006C7270"/>
    <w:rsid w:val="006C799E"/>
    <w:rsid w:val="006C7A1A"/>
    <w:rsid w:val="006D03D5"/>
    <w:rsid w:val="006D0D7C"/>
    <w:rsid w:val="006D0DE5"/>
    <w:rsid w:val="006D1366"/>
    <w:rsid w:val="006D1CC4"/>
    <w:rsid w:val="006D44FB"/>
    <w:rsid w:val="006D47FB"/>
    <w:rsid w:val="006D491D"/>
    <w:rsid w:val="006D4CB1"/>
    <w:rsid w:val="006D5178"/>
    <w:rsid w:val="006D6F73"/>
    <w:rsid w:val="006D7D13"/>
    <w:rsid w:val="006E1E9F"/>
    <w:rsid w:val="006E21ED"/>
    <w:rsid w:val="006E29D9"/>
    <w:rsid w:val="006E33BA"/>
    <w:rsid w:val="006E3811"/>
    <w:rsid w:val="006E38C1"/>
    <w:rsid w:val="006E40A5"/>
    <w:rsid w:val="006E4760"/>
    <w:rsid w:val="006E4A01"/>
    <w:rsid w:val="006E4BEE"/>
    <w:rsid w:val="006E6F18"/>
    <w:rsid w:val="006F1F39"/>
    <w:rsid w:val="006F27F6"/>
    <w:rsid w:val="006F289B"/>
    <w:rsid w:val="006F3E5E"/>
    <w:rsid w:val="006F50CB"/>
    <w:rsid w:val="006F6299"/>
    <w:rsid w:val="00700A5B"/>
    <w:rsid w:val="00701951"/>
    <w:rsid w:val="00702B7B"/>
    <w:rsid w:val="00703077"/>
    <w:rsid w:val="0070386E"/>
    <w:rsid w:val="007038C7"/>
    <w:rsid w:val="00703EE5"/>
    <w:rsid w:val="00704413"/>
    <w:rsid w:val="00704562"/>
    <w:rsid w:val="00704872"/>
    <w:rsid w:val="007050AA"/>
    <w:rsid w:val="00705F32"/>
    <w:rsid w:val="0070692B"/>
    <w:rsid w:val="0071069F"/>
    <w:rsid w:val="00710868"/>
    <w:rsid w:val="00711471"/>
    <w:rsid w:val="00711D8D"/>
    <w:rsid w:val="0071296E"/>
    <w:rsid w:val="00712AF3"/>
    <w:rsid w:val="00715ADC"/>
    <w:rsid w:val="0071717A"/>
    <w:rsid w:val="00721611"/>
    <w:rsid w:val="0072319E"/>
    <w:rsid w:val="00724B96"/>
    <w:rsid w:val="00726875"/>
    <w:rsid w:val="00726EC4"/>
    <w:rsid w:val="00730703"/>
    <w:rsid w:val="00730F8B"/>
    <w:rsid w:val="00731988"/>
    <w:rsid w:val="0073286A"/>
    <w:rsid w:val="00733887"/>
    <w:rsid w:val="00736D0A"/>
    <w:rsid w:val="00736D3A"/>
    <w:rsid w:val="00740AE6"/>
    <w:rsid w:val="00740ED6"/>
    <w:rsid w:val="007448F5"/>
    <w:rsid w:val="00744E59"/>
    <w:rsid w:val="00745688"/>
    <w:rsid w:val="00746B5B"/>
    <w:rsid w:val="007479D2"/>
    <w:rsid w:val="0075002E"/>
    <w:rsid w:val="007513CD"/>
    <w:rsid w:val="00751592"/>
    <w:rsid w:val="00751AD5"/>
    <w:rsid w:val="00753114"/>
    <w:rsid w:val="00753801"/>
    <w:rsid w:val="007542E6"/>
    <w:rsid w:val="0075609B"/>
    <w:rsid w:val="007573E5"/>
    <w:rsid w:val="00760C32"/>
    <w:rsid w:val="00760FA0"/>
    <w:rsid w:val="00761721"/>
    <w:rsid w:val="007623D2"/>
    <w:rsid w:val="007626CE"/>
    <w:rsid w:val="00763750"/>
    <w:rsid w:val="00764FE3"/>
    <w:rsid w:val="00765FAD"/>
    <w:rsid w:val="00770125"/>
    <w:rsid w:val="007707C6"/>
    <w:rsid w:val="007708A7"/>
    <w:rsid w:val="00771276"/>
    <w:rsid w:val="00771703"/>
    <w:rsid w:val="00772153"/>
    <w:rsid w:val="007721F9"/>
    <w:rsid w:val="007736D3"/>
    <w:rsid w:val="007742EB"/>
    <w:rsid w:val="00777234"/>
    <w:rsid w:val="0077744C"/>
    <w:rsid w:val="007819AF"/>
    <w:rsid w:val="007825EA"/>
    <w:rsid w:val="00783D24"/>
    <w:rsid w:val="00783D55"/>
    <w:rsid w:val="0078595C"/>
    <w:rsid w:val="00786C1C"/>
    <w:rsid w:val="00787B9C"/>
    <w:rsid w:val="00787DAE"/>
    <w:rsid w:val="00787DC2"/>
    <w:rsid w:val="00792FFD"/>
    <w:rsid w:val="00793F5D"/>
    <w:rsid w:val="0079456A"/>
    <w:rsid w:val="00794E4B"/>
    <w:rsid w:val="00794E62"/>
    <w:rsid w:val="007951D6"/>
    <w:rsid w:val="00795C4F"/>
    <w:rsid w:val="00796A55"/>
    <w:rsid w:val="007970E9"/>
    <w:rsid w:val="007977F3"/>
    <w:rsid w:val="007A1D0C"/>
    <w:rsid w:val="007A3588"/>
    <w:rsid w:val="007A368E"/>
    <w:rsid w:val="007A394E"/>
    <w:rsid w:val="007A4AEF"/>
    <w:rsid w:val="007A5580"/>
    <w:rsid w:val="007A6431"/>
    <w:rsid w:val="007A6AA2"/>
    <w:rsid w:val="007B12D4"/>
    <w:rsid w:val="007B167E"/>
    <w:rsid w:val="007B2DA4"/>
    <w:rsid w:val="007B37AC"/>
    <w:rsid w:val="007B3835"/>
    <w:rsid w:val="007B4E87"/>
    <w:rsid w:val="007B634B"/>
    <w:rsid w:val="007B6757"/>
    <w:rsid w:val="007B7BD3"/>
    <w:rsid w:val="007C091F"/>
    <w:rsid w:val="007C0A8F"/>
    <w:rsid w:val="007C0EED"/>
    <w:rsid w:val="007C13D8"/>
    <w:rsid w:val="007C188F"/>
    <w:rsid w:val="007C1AE8"/>
    <w:rsid w:val="007C2B76"/>
    <w:rsid w:val="007C2BFB"/>
    <w:rsid w:val="007C46EC"/>
    <w:rsid w:val="007C64A8"/>
    <w:rsid w:val="007C7B56"/>
    <w:rsid w:val="007D1068"/>
    <w:rsid w:val="007D1A8F"/>
    <w:rsid w:val="007D3255"/>
    <w:rsid w:val="007D32E2"/>
    <w:rsid w:val="007D3C64"/>
    <w:rsid w:val="007D533F"/>
    <w:rsid w:val="007D5C4F"/>
    <w:rsid w:val="007D6392"/>
    <w:rsid w:val="007D68B3"/>
    <w:rsid w:val="007E15E5"/>
    <w:rsid w:val="007E1AB9"/>
    <w:rsid w:val="007E310F"/>
    <w:rsid w:val="007E43AA"/>
    <w:rsid w:val="007E4583"/>
    <w:rsid w:val="007E4E24"/>
    <w:rsid w:val="007E51B2"/>
    <w:rsid w:val="007E66A5"/>
    <w:rsid w:val="007E68C9"/>
    <w:rsid w:val="007E790D"/>
    <w:rsid w:val="007F6CE0"/>
    <w:rsid w:val="00800121"/>
    <w:rsid w:val="0080213D"/>
    <w:rsid w:val="00802153"/>
    <w:rsid w:val="008031DD"/>
    <w:rsid w:val="00805EBF"/>
    <w:rsid w:val="008063FE"/>
    <w:rsid w:val="00810364"/>
    <w:rsid w:val="00810F94"/>
    <w:rsid w:val="00811791"/>
    <w:rsid w:val="008119B6"/>
    <w:rsid w:val="00812FBC"/>
    <w:rsid w:val="00814B10"/>
    <w:rsid w:val="00815613"/>
    <w:rsid w:val="0081567E"/>
    <w:rsid w:val="00820210"/>
    <w:rsid w:val="00820346"/>
    <w:rsid w:val="00820751"/>
    <w:rsid w:val="0082077F"/>
    <w:rsid w:val="0082136A"/>
    <w:rsid w:val="00822CA3"/>
    <w:rsid w:val="008240D2"/>
    <w:rsid w:val="00824799"/>
    <w:rsid w:val="00824DEC"/>
    <w:rsid w:val="00825156"/>
    <w:rsid w:val="0082598E"/>
    <w:rsid w:val="0082609C"/>
    <w:rsid w:val="00826D1E"/>
    <w:rsid w:val="00827053"/>
    <w:rsid w:val="00827233"/>
    <w:rsid w:val="0083198C"/>
    <w:rsid w:val="0083256C"/>
    <w:rsid w:val="008330FF"/>
    <w:rsid w:val="00833962"/>
    <w:rsid w:val="008341A6"/>
    <w:rsid w:val="008343AF"/>
    <w:rsid w:val="008344E3"/>
    <w:rsid w:val="0084068E"/>
    <w:rsid w:val="008413C1"/>
    <w:rsid w:val="00843CEB"/>
    <w:rsid w:val="00845815"/>
    <w:rsid w:val="008463A9"/>
    <w:rsid w:val="008476BE"/>
    <w:rsid w:val="008479C9"/>
    <w:rsid w:val="00847A63"/>
    <w:rsid w:val="00850AD3"/>
    <w:rsid w:val="00851753"/>
    <w:rsid w:val="008520C4"/>
    <w:rsid w:val="00852D87"/>
    <w:rsid w:val="00853A29"/>
    <w:rsid w:val="00853BAE"/>
    <w:rsid w:val="0085495C"/>
    <w:rsid w:val="008551C9"/>
    <w:rsid w:val="00855240"/>
    <w:rsid w:val="0085558C"/>
    <w:rsid w:val="00855941"/>
    <w:rsid w:val="008560D7"/>
    <w:rsid w:val="00856D2B"/>
    <w:rsid w:val="00856DCD"/>
    <w:rsid w:val="008571E2"/>
    <w:rsid w:val="00857595"/>
    <w:rsid w:val="008575DA"/>
    <w:rsid w:val="00860509"/>
    <w:rsid w:val="00860641"/>
    <w:rsid w:val="0086130A"/>
    <w:rsid w:val="008619D9"/>
    <w:rsid w:val="00861A93"/>
    <w:rsid w:val="00861C6B"/>
    <w:rsid w:val="00862108"/>
    <w:rsid w:val="008628C8"/>
    <w:rsid w:val="00862D0B"/>
    <w:rsid w:val="0086319F"/>
    <w:rsid w:val="0086406F"/>
    <w:rsid w:val="0086445E"/>
    <w:rsid w:val="00864519"/>
    <w:rsid w:val="00865A8C"/>
    <w:rsid w:val="00871A60"/>
    <w:rsid w:val="008743B8"/>
    <w:rsid w:val="00875A80"/>
    <w:rsid w:val="00875DD8"/>
    <w:rsid w:val="008767AF"/>
    <w:rsid w:val="00880EAC"/>
    <w:rsid w:val="00881328"/>
    <w:rsid w:val="00884A4D"/>
    <w:rsid w:val="0088501F"/>
    <w:rsid w:val="008852A0"/>
    <w:rsid w:val="0088676A"/>
    <w:rsid w:val="008902E9"/>
    <w:rsid w:val="008949EC"/>
    <w:rsid w:val="00894F90"/>
    <w:rsid w:val="00896191"/>
    <w:rsid w:val="00896DD5"/>
    <w:rsid w:val="008A08A2"/>
    <w:rsid w:val="008A1A08"/>
    <w:rsid w:val="008A221D"/>
    <w:rsid w:val="008A3FD5"/>
    <w:rsid w:val="008A4B7F"/>
    <w:rsid w:val="008A6068"/>
    <w:rsid w:val="008A64BE"/>
    <w:rsid w:val="008A7705"/>
    <w:rsid w:val="008B0348"/>
    <w:rsid w:val="008B1F43"/>
    <w:rsid w:val="008B23AC"/>
    <w:rsid w:val="008B390E"/>
    <w:rsid w:val="008B46E9"/>
    <w:rsid w:val="008B4B49"/>
    <w:rsid w:val="008B5E38"/>
    <w:rsid w:val="008B647B"/>
    <w:rsid w:val="008B74CC"/>
    <w:rsid w:val="008C0F3B"/>
    <w:rsid w:val="008C2D78"/>
    <w:rsid w:val="008C3A8A"/>
    <w:rsid w:val="008C5164"/>
    <w:rsid w:val="008C5275"/>
    <w:rsid w:val="008C55F3"/>
    <w:rsid w:val="008C6103"/>
    <w:rsid w:val="008C644E"/>
    <w:rsid w:val="008D0447"/>
    <w:rsid w:val="008D0517"/>
    <w:rsid w:val="008D2386"/>
    <w:rsid w:val="008D2936"/>
    <w:rsid w:val="008D3550"/>
    <w:rsid w:val="008D4E30"/>
    <w:rsid w:val="008D70BC"/>
    <w:rsid w:val="008D7FFD"/>
    <w:rsid w:val="008E1A5A"/>
    <w:rsid w:val="008E2948"/>
    <w:rsid w:val="008E33CA"/>
    <w:rsid w:val="008F01FD"/>
    <w:rsid w:val="008F2D34"/>
    <w:rsid w:val="008F3D5E"/>
    <w:rsid w:val="008F43A5"/>
    <w:rsid w:val="008F68A2"/>
    <w:rsid w:val="008F695B"/>
    <w:rsid w:val="008F7E1D"/>
    <w:rsid w:val="008F7E23"/>
    <w:rsid w:val="009007A5"/>
    <w:rsid w:val="00900AB2"/>
    <w:rsid w:val="00901BC7"/>
    <w:rsid w:val="00905433"/>
    <w:rsid w:val="00910F3A"/>
    <w:rsid w:val="009124C2"/>
    <w:rsid w:val="009136A8"/>
    <w:rsid w:val="009147A8"/>
    <w:rsid w:val="0091559A"/>
    <w:rsid w:val="00916BCE"/>
    <w:rsid w:val="0092011C"/>
    <w:rsid w:val="00921162"/>
    <w:rsid w:val="009215D1"/>
    <w:rsid w:val="009218D2"/>
    <w:rsid w:val="00922670"/>
    <w:rsid w:val="009232EF"/>
    <w:rsid w:val="0092416C"/>
    <w:rsid w:val="00925287"/>
    <w:rsid w:val="00926519"/>
    <w:rsid w:val="00927751"/>
    <w:rsid w:val="0093047F"/>
    <w:rsid w:val="00930F32"/>
    <w:rsid w:val="00931D6F"/>
    <w:rsid w:val="00932D9D"/>
    <w:rsid w:val="009332D9"/>
    <w:rsid w:val="00935320"/>
    <w:rsid w:val="00935719"/>
    <w:rsid w:val="00935F00"/>
    <w:rsid w:val="00937C1F"/>
    <w:rsid w:val="00937D11"/>
    <w:rsid w:val="00937F03"/>
    <w:rsid w:val="009400C3"/>
    <w:rsid w:val="009402B2"/>
    <w:rsid w:val="0094070D"/>
    <w:rsid w:val="0094096E"/>
    <w:rsid w:val="00940B13"/>
    <w:rsid w:val="00941516"/>
    <w:rsid w:val="009418E1"/>
    <w:rsid w:val="00943A9F"/>
    <w:rsid w:val="00943F56"/>
    <w:rsid w:val="00943FFE"/>
    <w:rsid w:val="0094428E"/>
    <w:rsid w:val="009455E5"/>
    <w:rsid w:val="0094590A"/>
    <w:rsid w:val="00945912"/>
    <w:rsid w:val="0094621D"/>
    <w:rsid w:val="009462D8"/>
    <w:rsid w:val="009464B2"/>
    <w:rsid w:val="009466EA"/>
    <w:rsid w:val="00947BC9"/>
    <w:rsid w:val="00954750"/>
    <w:rsid w:val="00955D5D"/>
    <w:rsid w:val="00957382"/>
    <w:rsid w:val="00957541"/>
    <w:rsid w:val="009576B5"/>
    <w:rsid w:val="00957EFA"/>
    <w:rsid w:val="009627F9"/>
    <w:rsid w:val="00963D08"/>
    <w:rsid w:val="00963D7D"/>
    <w:rsid w:val="00964120"/>
    <w:rsid w:val="00964B9E"/>
    <w:rsid w:val="00966571"/>
    <w:rsid w:val="00966D6E"/>
    <w:rsid w:val="00967F42"/>
    <w:rsid w:val="00971DA6"/>
    <w:rsid w:val="0097217E"/>
    <w:rsid w:val="00972F01"/>
    <w:rsid w:val="00974167"/>
    <w:rsid w:val="00974998"/>
    <w:rsid w:val="00975749"/>
    <w:rsid w:val="00976301"/>
    <w:rsid w:val="00976F04"/>
    <w:rsid w:val="00977605"/>
    <w:rsid w:val="009817F2"/>
    <w:rsid w:val="00983AD0"/>
    <w:rsid w:val="00985A07"/>
    <w:rsid w:val="009900D4"/>
    <w:rsid w:val="009905DE"/>
    <w:rsid w:val="00991923"/>
    <w:rsid w:val="00991CB4"/>
    <w:rsid w:val="00991E68"/>
    <w:rsid w:val="009926F4"/>
    <w:rsid w:val="00992C6F"/>
    <w:rsid w:val="00992FD2"/>
    <w:rsid w:val="00995600"/>
    <w:rsid w:val="00997B0D"/>
    <w:rsid w:val="009A04F7"/>
    <w:rsid w:val="009A0FAF"/>
    <w:rsid w:val="009A14DC"/>
    <w:rsid w:val="009A1987"/>
    <w:rsid w:val="009A2552"/>
    <w:rsid w:val="009A39C2"/>
    <w:rsid w:val="009A3FB7"/>
    <w:rsid w:val="009A421D"/>
    <w:rsid w:val="009A5006"/>
    <w:rsid w:val="009A614B"/>
    <w:rsid w:val="009A62A9"/>
    <w:rsid w:val="009B0BED"/>
    <w:rsid w:val="009B1153"/>
    <w:rsid w:val="009B1C51"/>
    <w:rsid w:val="009B1D59"/>
    <w:rsid w:val="009B2011"/>
    <w:rsid w:val="009B2039"/>
    <w:rsid w:val="009B2521"/>
    <w:rsid w:val="009B37E5"/>
    <w:rsid w:val="009B3BBB"/>
    <w:rsid w:val="009B4586"/>
    <w:rsid w:val="009B647D"/>
    <w:rsid w:val="009B64C8"/>
    <w:rsid w:val="009B75CE"/>
    <w:rsid w:val="009C04C5"/>
    <w:rsid w:val="009C050C"/>
    <w:rsid w:val="009C060E"/>
    <w:rsid w:val="009C17C4"/>
    <w:rsid w:val="009C1CBE"/>
    <w:rsid w:val="009C2BF1"/>
    <w:rsid w:val="009C349C"/>
    <w:rsid w:val="009C4B93"/>
    <w:rsid w:val="009C4BD8"/>
    <w:rsid w:val="009C6DCA"/>
    <w:rsid w:val="009C6DEC"/>
    <w:rsid w:val="009D0D0F"/>
    <w:rsid w:val="009D120A"/>
    <w:rsid w:val="009D274C"/>
    <w:rsid w:val="009D2A7D"/>
    <w:rsid w:val="009D309B"/>
    <w:rsid w:val="009D3465"/>
    <w:rsid w:val="009D369A"/>
    <w:rsid w:val="009D3B8C"/>
    <w:rsid w:val="009D3CA3"/>
    <w:rsid w:val="009D4E3B"/>
    <w:rsid w:val="009D6042"/>
    <w:rsid w:val="009D73B2"/>
    <w:rsid w:val="009E026B"/>
    <w:rsid w:val="009E0A5F"/>
    <w:rsid w:val="009E109C"/>
    <w:rsid w:val="009E18F2"/>
    <w:rsid w:val="009E271D"/>
    <w:rsid w:val="009E2C99"/>
    <w:rsid w:val="009E3DB7"/>
    <w:rsid w:val="009E4B37"/>
    <w:rsid w:val="009F03CC"/>
    <w:rsid w:val="009F1E33"/>
    <w:rsid w:val="009F2F54"/>
    <w:rsid w:val="009F3567"/>
    <w:rsid w:val="009F39AA"/>
    <w:rsid w:val="009F3C66"/>
    <w:rsid w:val="009F5811"/>
    <w:rsid w:val="009F6C2C"/>
    <w:rsid w:val="009F6E7D"/>
    <w:rsid w:val="009F7EA7"/>
    <w:rsid w:val="00A018F7"/>
    <w:rsid w:val="00A01A16"/>
    <w:rsid w:val="00A032C1"/>
    <w:rsid w:val="00A03326"/>
    <w:rsid w:val="00A03B74"/>
    <w:rsid w:val="00A05261"/>
    <w:rsid w:val="00A06AF5"/>
    <w:rsid w:val="00A10884"/>
    <w:rsid w:val="00A10FF3"/>
    <w:rsid w:val="00A11208"/>
    <w:rsid w:val="00A115A6"/>
    <w:rsid w:val="00A12AC0"/>
    <w:rsid w:val="00A1313C"/>
    <w:rsid w:val="00A1546F"/>
    <w:rsid w:val="00A15598"/>
    <w:rsid w:val="00A169EB"/>
    <w:rsid w:val="00A17221"/>
    <w:rsid w:val="00A174CA"/>
    <w:rsid w:val="00A17B2C"/>
    <w:rsid w:val="00A20447"/>
    <w:rsid w:val="00A221EB"/>
    <w:rsid w:val="00A2254B"/>
    <w:rsid w:val="00A22808"/>
    <w:rsid w:val="00A23E61"/>
    <w:rsid w:val="00A240F5"/>
    <w:rsid w:val="00A24A68"/>
    <w:rsid w:val="00A25934"/>
    <w:rsid w:val="00A26969"/>
    <w:rsid w:val="00A27B9B"/>
    <w:rsid w:val="00A27D9C"/>
    <w:rsid w:val="00A3058F"/>
    <w:rsid w:val="00A31EA0"/>
    <w:rsid w:val="00A3223A"/>
    <w:rsid w:val="00A34ACB"/>
    <w:rsid w:val="00A35C2E"/>
    <w:rsid w:val="00A35F2D"/>
    <w:rsid w:val="00A36099"/>
    <w:rsid w:val="00A42163"/>
    <w:rsid w:val="00A42D07"/>
    <w:rsid w:val="00A44D90"/>
    <w:rsid w:val="00A458EB"/>
    <w:rsid w:val="00A466E0"/>
    <w:rsid w:val="00A46851"/>
    <w:rsid w:val="00A46B70"/>
    <w:rsid w:val="00A46D5D"/>
    <w:rsid w:val="00A47C2B"/>
    <w:rsid w:val="00A50349"/>
    <w:rsid w:val="00A513EA"/>
    <w:rsid w:val="00A5304D"/>
    <w:rsid w:val="00A53751"/>
    <w:rsid w:val="00A556EE"/>
    <w:rsid w:val="00A55AFF"/>
    <w:rsid w:val="00A56A49"/>
    <w:rsid w:val="00A56E88"/>
    <w:rsid w:val="00A56FF6"/>
    <w:rsid w:val="00A57D45"/>
    <w:rsid w:val="00A6061E"/>
    <w:rsid w:val="00A60912"/>
    <w:rsid w:val="00A61101"/>
    <w:rsid w:val="00A61EA6"/>
    <w:rsid w:val="00A63D21"/>
    <w:rsid w:val="00A65711"/>
    <w:rsid w:val="00A65D8D"/>
    <w:rsid w:val="00A66DFE"/>
    <w:rsid w:val="00A70A63"/>
    <w:rsid w:val="00A70D52"/>
    <w:rsid w:val="00A70DE3"/>
    <w:rsid w:val="00A7125C"/>
    <w:rsid w:val="00A717B8"/>
    <w:rsid w:val="00A7195E"/>
    <w:rsid w:val="00A72A6B"/>
    <w:rsid w:val="00A73417"/>
    <w:rsid w:val="00A739E1"/>
    <w:rsid w:val="00A73BCA"/>
    <w:rsid w:val="00A74BD9"/>
    <w:rsid w:val="00A7708E"/>
    <w:rsid w:val="00A80382"/>
    <w:rsid w:val="00A80B43"/>
    <w:rsid w:val="00A81214"/>
    <w:rsid w:val="00A812B5"/>
    <w:rsid w:val="00A8259D"/>
    <w:rsid w:val="00A825C7"/>
    <w:rsid w:val="00A83D25"/>
    <w:rsid w:val="00A8434D"/>
    <w:rsid w:val="00A85F58"/>
    <w:rsid w:val="00A90E97"/>
    <w:rsid w:val="00A91241"/>
    <w:rsid w:val="00A933F5"/>
    <w:rsid w:val="00A93592"/>
    <w:rsid w:val="00A93991"/>
    <w:rsid w:val="00A94A17"/>
    <w:rsid w:val="00A955ED"/>
    <w:rsid w:val="00A956AE"/>
    <w:rsid w:val="00A96F31"/>
    <w:rsid w:val="00A97BC2"/>
    <w:rsid w:val="00AA08D3"/>
    <w:rsid w:val="00AA1864"/>
    <w:rsid w:val="00AA1962"/>
    <w:rsid w:val="00AA2E43"/>
    <w:rsid w:val="00AA5758"/>
    <w:rsid w:val="00AA5C0C"/>
    <w:rsid w:val="00AA5EF9"/>
    <w:rsid w:val="00AA721A"/>
    <w:rsid w:val="00AA762A"/>
    <w:rsid w:val="00AA7EAC"/>
    <w:rsid w:val="00AB050D"/>
    <w:rsid w:val="00AB0E6F"/>
    <w:rsid w:val="00AB1E17"/>
    <w:rsid w:val="00AB232F"/>
    <w:rsid w:val="00AB2602"/>
    <w:rsid w:val="00AB422E"/>
    <w:rsid w:val="00AB4A10"/>
    <w:rsid w:val="00AB5028"/>
    <w:rsid w:val="00AB54CF"/>
    <w:rsid w:val="00AB6AA3"/>
    <w:rsid w:val="00AB7E90"/>
    <w:rsid w:val="00AC1C34"/>
    <w:rsid w:val="00AC1FF1"/>
    <w:rsid w:val="00AC2B04"/>
    <w:rsid w:val="00AC2D6C"/>
    <w:rsid w:val="00AC4488"/>
    <w:rsid w:val="00AC5B41"/>
    <w:rsid w:val="00AC6A82"/>
    <w:rsid w:val="00AD0199"/>
    <w:rsid w:val="00AD08D6"/>
    <w:rsid w:val="00AD0995"/>
    <w:rsid w:val="00AD10CE"/>
    <w:rsid w:val="00AD33FB"/>
    <w:rsid w:val="00AD50FF"/>
    <w:rsid w:val="00AD5AC6"/>
    <w:rsid w:val="00AD5B4F"/>
    <w:rsid w:val="00AD5C48"/>
    <w:rsid w:val="00AD6B02"/>
    <w:rsid w:val="00AE0040"/>
    <w:rsid w:val="00AE0317"/>
    <w:rsid w:val="00AE03DD"/>
    <w:rsid w:val="00AE05BB"/>
    <w:rsid w:val="00AE1805"/>
    <w:rsid w:val="00AE1A00"/>
    <w:rsid w:val="00AE2522"/>
    <w:rsid w:val="00AE3DB9"/>
    <w:rsid w:val="00AE3F16"/>
    <w:rsid w:val="00AE4399"/>
    <w:rsid w:val="00AE51A0"/>
    <w:rsid w:val="00AE5864"/>
    <w:rsid w:val="00AE5A97"/>
    <w:rsid w:val="00AE6198"/>
    <w:rsid w:val="00AF08BD"/>
    <w:rsid w:val="00AF403C"/>
    <w:rsid w:val="00AF4197"/>
    <w:rsid w:val="00AF6F54"/>
    <w:rsid w:val="00B0008D"/>
    <w:rsid w:val="00B0094B"/>
    <w:rsid w:val="00B01B5C"/>
    <w:rsid w:val="00B02A38"/>
    <w:rsid w:val="00B0319E"/>
    <w:rsid w:val="00B06AD6"/>
    <w:rsid w:val="00B07B05"/>
    <w:rsid w:val="00B10005"/>
    <w:rsid w:val="00B11141"/>
    <w:rsid w:val="00B13A14"/>
    <w:rsid w:val="00B15731"/>
    <w:rsid w:val="00B16332"/>
    <w:rsid w:val="00B1684C"/>
    <w:rsid w:val="00B16D84"/>
    <w:rsid w:val="00B2284E"/>
    <w:rsid w:val="00B237DB"/>
    <w:rsid w:val="00B25E57"/>
    <w:rsid w:val="00B25E60"/>
    <w:rsid w:val="00B26310"/>
    <w:rsid w:val="00B270E0"/>
    <w:rsid w:val="00B2744D"/>
    <w:rsid w:val="00B27BB4"/>
    <w:rsid w:val="00B3102E"/>
    <w:rsid w:val="00B3111F"/>
    <w:rsid w:val="00B3123E"/>
    <w:rsid w:val="00B31CE7"/>
    <w:rsid w:val="00B32ECE"/>
    <w:rsid w:val="00B33C93"/>
    <w:rsid w:val="00B34C76"/>
    <w:rsid w:val="00B34E92"/>
    <w:rsid w:val="00B35C32"/>
    <w:rsid w:val="00B3796D"/>
    <w:rsid w:val="00B41454"/>
    <w:rsid w:val="00B418BC"/>
    <w:rsid w:val="00B41CD9"/>
    <w:rsid w:val="00B41E92"/>
    <w:rsid w:val="00B43393"/>
    <w:rsid w:val="00B43557"/>
    <w:rsid w:val="00B43B69"/>
    <w:rsid w:val="00B45097"/>
    <w:rsid w:val="00B4519C"/>
    <w:rsid w:val="00B4694A"/>
    <w:rsid w:val="00B506CB"/>
    <w:rsid w:val="00B517F6"/>
    <w:rsid w:val="00B56F47"/>
    <w:rsid w:val="00B57D6C"/>
    <w:rsid w:val="00B57E89"/>
    <w:rsid w:val="00B60692"/>
    <w:rsid w:val="00B6071C"/>
    <w:rsid w:val="00B60F8E"/>
    <w:rsid w:val="00B61645"/>
    <w:rsid w:val="00B616AB"/>
    <w:rsid w:val="00B6178D"/>
    <w:rsid w:val="00B64E63"/>
    <w:rsid w:val="00B664D3"/>
    <w:rsid w:val="00B667E8"/>
    <w:rsid w:val="00B66F44"/>
    <w:rsid w:val="00B6780A"/>
    <w:rsid w:val="00B7093E"/>
    <w:rsid w:val="00B72847"/>
    <w:rsid w:val="00B74A81"/>
    <w:rsid w:val="00B75638"/>
    <w:rsid w:val="00B75A24"/>
    <w:rsid w:val="00B75C4A"/>
    <w:rsid w:val="00B7704B"/>
    <w:rsid w:val="00B80C7D"/>
    <w:rsid w:val="00B81261"/>
    <w:rsid w:val="00B8210C"/>
    <w:rsid w:val="00B8267C"/>
    <w:rsid w:val="00B8365F"/>
    <w:rsid w:val="00B83E8A"/>
    <w:rsid w:val="00B8471E"/>
    <w:rsid w:val="00B84732"/>
    <w:rsid w:val="00B8552D"/>
    <w:rsid w:val="00B8647F"/>
    <w:rsid w:val="00B87014"/>
    <w:rsid w:val="00B8710A"/>
    <w:rsid w:val="00B87D0E"/>
    <w:rsid w:val="00B90833"/>
    <w:rsid w:val="00B90CB9"/>
    <w:rsid w:val="00B90D37"/>
    <w:rsid w:val="00B9290E"/>
    <w:rsid w:val="00B929D0"/>
    <w:rsid w:val="00B95EE0"/>
    <w:rsid w:val="00B97996"/>
    <w:rsid w:val="00BA1A4E"/>
    <w:rsid w:val="00BA23D1"/>
    <w:rsid w:val="00BA3764"/>
    <w:rsid w:val="00BA6127"/>
    <w:rsid w:val="00BA6920"/>
    <w:rsid w:val="00BB02A9"/>
    <w:rsid w:val="00BB169F"/>
    <w:rsid w:val="00BB188E"/>
    <w:rsid w:val="00BB2296"/>
    <w:rsid w:val="00BB2DAF"/>
    <w:rsid w:val="00BB2E3E"/>
    <w:rsid w:val="00BC0D6A"/>
    <w:rsid w:val="00BC1145"/>
    <w:rsid w:val="00BC163F"/>
    <w:rsid w:val="00BC17A4"/>
    <w:rsid w:val="00BC1F86"/>
    <w:rsid w:val="00BC273E"/>
    <w:rsid w:val="00BC3FF1"/>
    <w:rsid w:val="00BC4617"/>
    <w:rsid w:val="00BC484B"/>
    <w:rsid w:val="00BC54C9"/>
    <w:rsid w:val="00BC7A5A"/>
    <w:rsid w:val="00BC7B3E"/>
    <w:rsid w:val="00BD11D0"/>
    <w:rsid w:val="00BD161A"/>
    <w:rsid w:val="00BD191C"/>
    <w:rsid w:val="00BD222F"/>
    <w:rsid w:val="00BD2C68"/>
    <w:rsid w:val="00BD3749"/>
    <w:rsid w:val="00BD3952"/>
    <w:rsid w:val="00BD3B79"/>
    <w:rsid w:val="00BD3EA8"/>
    <w:rsid w:val="00BD5507"/>
    <w:rsid w:val="00BD687F"/>
    <w:rsid w:val="00BD69A6"/>
    <w:rsid w:val="00BD77D9"/>
    <w:rsid w:val="00BE02B4"/>
    <w:rsid w:val="00BE0322"/>
    <w:rsid w:val="00BE08B9"/>
    <w:rsid w:val="00BE0EE5"/>
    <w:rsid w:val="00BE16C8"/>
    <w:rsid w:val="00BE1E62"/>
    <w:rsid w:val="00BE201D"/>
    <w:rsid w:val="00BE352E"/>
    <w:rsid w:val="00BE3D20"/>
    <w:rsid w:val="00BE54C8"/>
    <w:rsid w:val="00BE5D44"/>
    <w:rsid w:val="00BE6A78"/>
    <w:rsid w:val="00BE6D67"/>
    <w:rsid w:val="00BF0947"/>
    <w:rsid w:val="00BF1B6A"/>
    <w:rsid w:val="00BF299E"/>
    <w:rsid w:val="00BF32DC"/>
    <w:rsid w:val="00BF6B15"/>
    <w:rsid w:val="00BF7EDE"/>
    <w:rsid w:val="00C0131C"/>
    <w:rsid w:val="00C01D48"/>
    <w:rsid w:val="00C01DE8"/>
    <w:rsid w:val="00C022B8"/>
    <w:rsid w:val="00C0341B"/>
    <w:rsid w:val="00C03AE9"/>
    <w:rsid w:val="00C03BE8"/>
    <w:rsid w:val="00C04422"/>
    <w:rsid w:val="00C05089"/>
    <w:rsid w:val="00C05860"/>
    <w:rsid w:val="00C05D13"/>
    <w:rsid w:val="00C0605F"/>
    <w:rsid w:val="00C06675"/>
    <w:rsid w:val="00C06F5C"/>
    <w:rsid w:val="00C103DE"/>
    <w:rsid w:val="00C1064E"/>
    <w:rsid w:val="00C12D92"/>
    <w:rsid w:val="00C147CE"/>
    <w:rsid w:val="00C1571F"/>
    <w:rsid w:val="00C159EF"/>
    <w:rsid w:val="00C162B5"/>
    <w:rsid w:val="00C17734"/>
    <w:rsid w:val="00C179A1"/>
    <w:rsid w:val="00C23BC9"/>
    <w:rsid w:val="00C24012"/>
    <w:rsid w:val="00C2401F"/>
    <w:rsid w:val="00C24396"/>
    <w:rsid w:val="00C246D0"/>
    <w:rsid w:val="00C246FA"/>
    <w:rsid w:val="00C260CC"/>
    <w:rsid w:val="00C26469"/>
    <w:rsid w:val="00C27ACD"/>
    <w:rsid w:val="00C27F5A"/>
    <w:rsid w:val="00C30510"/>
    <w:rsid w:val="00C3112F"/>
    <w:rsid w:val="00C313A4"/>
    <w:rsid w:val="00C32F43"/>
    <w:rsid w:val="00C34242"/>
    <w:rsid w:val="00C34B05"/>
    <w:rsid w:val="00C40B11"/>
    <w:rsid w:val="00C417B1"/>
    <w:rsid w:val="00C42021"/>
    <w:rsid w:val="00C42286"/>
    <w:rsid w:val="00C429C0"/>
    <w:rsid w:val="00C431B7"/>
    <w:rsid w:val="00C4341E"/>
    <w:rsid w:val="00C4403F"/>
    <w:rsid w:val="00C465E9"/>
    <w:rsid w:val="00C46B6D"/>
    <w:rsid w:val="00C504F0"/>
    <w:rsid w:val="00C5092C"/>
    <w:rsid w:val="00C5092F"/>
    <w:rsid w:val="00C50B4E"/>
    <w:rsid w:val="00C512E0"/>
    <w:rsid w:val="00C51662"/>
    <w:rsid w:val="00C51DC0"/>
    <w:rsid w:val="00C5360E"/>
    <w:rsid w:val="00C53D55"/>
    <w:rsid w:val="00C53E36"/>
    <w:rsid w:val="00C550DC"/>
    <w:rsid w:val="00C56310"/>
    <w:rsid w:val="00C60319"/>
    <w:rsid w:val="00C611BB"/>
    <w:rsid w:val="00C616D4"/>
    <w:rsid w:val="00C61727"/>
    <w:rsid w:val="00C62D63"/>
    <w:rsid w:val="00C63797"/>
    <w:rsid w:val="00C641C8"/>
    <w:rsid w:val="00C64F87"/>
    <w:rsid w:val="00C657BA"/>
    <w:rsid w:val="00C67FF4"/>
    <w:rsid w:val="00C748B8"/>
    <w:rsid w:val="00C74A18"/>
    <w:rsid w:val="00C75CEF"/>
    <w:rsid w:val="00C77185"/>
    <w:rsid w:val="00C7752A"/>
    <w:rsid w:val="00C8056B"/>
    <w:rsid w:val="00C811F2"/>
    <w:rsid w:val="00C827A9"/>
    <w:rsid w:val="00C847BF"/>
    <w:rsid w:val="00C8483E"/>
    <w:rsid w:val="00C85722"/>
    <w:rsid w:val="00C85B0E"/>
    <w:rsid w:val="00C85F5F"/>
    <w:rsid w:val="00C87793"/>
    <w:rsid w:val="00C91758"/>
    <w:rsid w:val="00C9222E"/>
    <w:rsid w:val="00C92299"/>
    <w:rsid w:val="00C93D1B"/>
    <w:rsid w:val="00C94960"/>
    <w:rsid w:val="00C9551E"/>
    <w:rsid w:val="00C9562C"/>
    <w:rsid w:val="00C95E7A"/>
    <w:rsid w:val="00C96E8D"/>
    <w:rsid w:val="00C96F9C"/>
    <w:rsid w:val="00CA2A68"/>
    <w:rsid w:val="00CA3136"/>
    <w:rsid w:val="00CA3392"/>
    <w:rsid w:val="00CA351A"/>
    <w:rsid w:val="00CA48D7"/>
    <w:rsid w:val="00CA4ED5"/>
    <w:rsid w:val="00CA569C"/>
    <w:rsid w:val="00CA5FCE"/>
    <w:rsid w:val="00CA6C6D"/>
    <w:rsid w:val="00CB08B6"/>
    <w:rsid w:val="00CB1365"/>
    <w:rsid w:val="00CB23CE"/>
    <w:rsid w:val="00CB2A1D"/>
    <w:rsid w:val="00CB2B85"/>
    <w:rsid w:val="00CB48CC"/>
    <w:rsid w:val="00CB48DB"/>
    <w:rsid w:val="00CB5AA2"/>
    <w:rsid w:val="00CB63A5"/>
    <w:rsid w:val="00CB6783"/>
    <w:rsid w:val="00CB6AE9"/>
    <w:rsid w:val="00CC020C"/>
    <w:rsid w:val="00CC032B"/>
    <w:rsid w:val="00CC1B29"/>
    <w:rsid w:val="00CC3108"/>
    <w:rsid w:val="00CC4AC9"/>
    <w:rsid w:val="00CC4E29"/>
    <w:rsid w:val="00CC5051"/>
    <w:rsid w:val="00CC50FF"/>
    <w:rsid w:val="00CC5128"/>
    <w:rsid w:val="00CC5501"/>
    <w:rsid w:val="00CC561A"/>
    <w:rsid w:val="00CC5973"/>
    <w:rsid w:val="00CC6C28"/>
    <w:rsid w:val="00CC764F"/>
    <w:rsid w:val="00CC7B04"/>
    <w:rsid w:val="00CC7B60"/>
    <w:rsid w:val="00CD10C0"/>
    <w:rsid w:val="00CD1118"/>
    <w:rsid w:val="00CD2339"/>
    <w:rsid w:val="00CD269D"/>
    <w:rsid w:val="00CD28B1"/>
    <w:rsid w:val="00CD3D49"/>
    <w:rsid w:val="00CD5D30"/>
    <w:rsid w:val="00CD6F72"/>
    <w:rsid w:val="00CD76AC"/>
    <w:rsid w:val="00CE0D34"/>
    <w:rsid w:val="00CE27D6"/>
    <w:rsid w:val="00CE2892"/>
    <w:rsid w:val="00CE3524"/>
    <w:rsid w:val="00CE3CDC"/>
    <w:rsid w:val="00CE41C1"/>
    <w:rsid w:val="00CE44E1"/>
    <w:rsid w:val="00CE4A7D"/>
    <w:rsid w:val="00CE552A"/>
    <w:rsid w:val="00CE7D37"/>
    <w:rsid w:val="00CF00C1"/>
    <w:rsid w:val="00CF0760"/>
    <w:rsid w:val="00CF20DB"/>
    <w:rsid w:val="00CF2D00"/>
    <w:rsid w:val="00CF3CD9"/>
    <w:rsid w:val="00CF3F68"/>
    <w:rsid w:val="00CF4076"/>
    <w:rsid w:val="00CF5D4E"/>
    <w:rsid w:val="00CF6307"/>
    <w:rsid w:val="00CF784B"/>
    <w:rsid w:val="00CF7FEB"/>
    <w:rsid w:val="00D022F6"/>
    <w:rsid w:val="00D023C4"/>
    <w:rsid w:val="00D03904"/>
    <w:rsid w:val="00D03D43"/>
    <w:rsid w:val="00D0442B"/>
    <w:rsid w:val="00D053AD"/>
    <w:rsid w:val="00D1007C"/>
    <w:rsid w:val="00D10286"/>
    <w:rsid w:val="00D11918"/>
    <w:rsid w:val="00D11C08"/>
    <w:rsid w:val="00D131F9"/>
    <w:rsid w:val="00D133EF"/>
    <w:rsid w:val="00D13F08"/>
    <w:rsid w:val="00D14F18"/>
    <w:rsid w:val="00D15610"/>
    <w:rsid w:val="00D16724"/>
    <w:rsid w:val="00D17551"/>
    <w:rsid w:val="00D20249"/>
    <w:rsid w:val="00D202F1"/>
    <w:rsid w:val="00D20511"/>
    <w:rsid w:val="00D22221"/>
    <w:rsid w:val="00D229C1"/>
    <w:rsid w:val="00D2395D"/>
    <w:rsid w:val="00D24472"/>
    <w:rsid w:val="00D25CC0"/>
    <w:rsid w:val="00D27AAC"/>
    <w:rsid w:val="00D30231"/>
    <w:rsid w:val="00D30650"/>
    <w:rsid w:val="00D31C31"/>
    <w:rsid w:val="00D31D7B"/>
    <w:rsid w:val="00D33E11"/>
    <w:rsid w:val="00D368A5"/>
    <w:rsid w:val="00D41455"/>
    <w:rsid w:val="00D42841"/>
    <w:rsid w:val="00D42AC8"/>
    <w:rsid w:val="00D431E2"/>
    <w:rsid w:val="00D44443"/>
    <w:rsid w:val="00D44D71"/>
    <w:rsid w:val="00D456E7"/>
    <w:rsid w:val="00D46E3F"/>
    <w:rsid w:val="00D4730E"/>
    <w:rsid w:val="00D4799C"/>
    <w:rsid w:val="00D5126D"/>
    <w:rsid w:val="00D5294C"/>
    <w:rsid w:val="00D52D0C"/>
    <w:rsid w:val="00D55A1F"/>
    <w:rsid w:val="00D56275"/>
    <w:rsid w:val="00D568C4"/>
    <w:rsid w:val="00D57277"/>
    <w:rsid w:val="00D57B81"/>
    <w:rsid w:val="00D60029"/>
    <w:rsid w:val="00D60940"/>
    <w:rsid w:val="00D60DC5"/>
    <w:rsid w:val="00D6261C"/>
    <w:rsid w:val="00D62EC9"/>
    <w:rsid w:val="00D64F53"/>
    <w:rsid w:val="00D65000"/>
    <w:rsid w:val="00D658A3"/>
    <w:rsid w:val="00D65ABF"/>
    <w:rsid w:val="00D66738"/>
    <w:rsid w:val="00D668A4"/>
    <w:rsid w:val="00D67891"/>
    <w:rsid w:val="00D70BB7"/>
    <w:rsid w:val="00D71404"/>
    <w:rsid w:val="00D7152B"/>
    <w:rsid w:val="00D71CC7"/>
    <w:rsid w:val="00D73B75"/>
    <w:rsid w:val="00D8082E"/>
    <w:rsid w:val="00D808FE"/>
    <w:rsid w:val="00D829DE"/>
    <w:rsid w:val="00D83D21"/>
    <w:rsid w:val="00D84951"/>
    <w:rsid w:val="00D84C1C"/>
    <w:rsid w:val="00D84CB1"/>
    <w:rsid w:val="00D85A72"/>
    <w:rsid w:val="00D90268"/>
    <w:rsid w:val="00D9029F"/>
    <w:rsid w:val="00D91554"/>
    <w:rsid w:val="00D91D11"/>
    <w:rsid w:val="00D92241"/>
    <w:rsid w:val="00D92664"/>
    <w:rsid w:val="00D92D5F"/>
    <w:rsid w:val="00D92DAA"/>
    <w:rsid w:val="00D92FD5"/>
    <w:rsid w:val="00D93305"/>
    <w:rsid w:val="00D94439"/>
    <w:rsid w:val="00D9510E"/>
    <w:rsid w:val="00D95410"/>
    <w:rsid w:val="00D96DC7"/>
    <w:rsid w:val="00DA0025"/>
    <w:rsid w:val="00DA1BCF"/>
    <w:rsid w:val="00DA22EF"/>
    <w:rsid w:val="00DA32A8"/>
    <w:rsid w:val="00DA5DBB"/>
    <w:rsid w:val="00DA5F88"/>
    <w:rsid w:val="00DA67B5"/>
    <w:rsid w:val="00DA7F2A"/>
    <w:rsid w:val="00DB2066"/>
    <w:rsid w:val="00DB32AF"/>
    <w:rsid w:val="00DB3396"/>
    <w:rsid w:val="00DB532E"/>
    <w:rsid w:val="00DB54BF"/>
    <w:rsid w:val="00DB5DB5"/>
    <w:rsid w:val="00DB5DFD"/>
    <w:rsid w:val="00DB633E"/>
    <w:rsid w:val="00DB6D34"/>
    <w:rsid w:val="00DB7E79"/>
    <w:rsid w:val="00DC014B"/>
    <w:rsid w:val="00DC06D9"/>
    <w:rsid w:val="00DC0EB5"/>
    <w:rsid w:val="00DC1377"/>
    <w:rsid w:val="00DC1967"/>
    <w:rsid w:val="00DC2871"/>
    <w:rsid w:val="00DC2C00"/>
    <w:rsid w:val="00DC3734"/>
    <w:rsid w:val="00DC4342"/>
    <w:rsid w:val="00DC464F"/>
    <w:rsid w:val="00DC74E1"/>
    <w:rsid w:val="00DC7B3C"/>
    <w:rsid w:val="00DD0410"/>
    <w:rsid w:val="00DD0C7A"/>
    <w:rsid w:val="00DD0DCE"/>
    <w:rsid w:val="00DD14F2"/>
    <w:rsid w:val="00DD14F4"/>
    <w:rsid w:val="00DD25DB"/>
    <w:rsid w:val="00DD4469"/>
    <w:rsid w:val="00DD4EB2"/>
    <w:rsid w:val="00DD6AF1"/>
    <w:rsid w:val="00DE17AE"/>
    <w:rsid w:val="00DE1959"/>
    <w:rsid w:val="00DE1A51"/>
    <w:rsid w:val="00DE2585"/>
    <w:rsid w:val="00DE2603"/>
    <w:rsid w:val="00DE3482"/>
    <w:rsid w:val="00DE3898"/>
    <w:rsid w:val="00DE452E"/>
    <w:rsid w:val="00DE497D"/>
    <w:rsid w:val="00DE5B48"/>
    <w:rsid w:val="00DE7B33"/>
    <w:rsid w:val="00DF015B"/>
    <w:rsid w:val="00DF02C4"/>
    <w:rsid w:val="00DF3192"/>
    <w:rsid w:val="00DF60A2"/>
    <w:rsid w:val="00E00106"/>
    <w:rsid w:val="00E001DA"/>
    <w:rsid w:val="00E02381"/>
    <w:rsid w:val="00E02986"/>
    <w:rsid w:val="00E034C9"/>
    <w:rsid w:val="00E03A2B"/>
    <w:rsid w:val="00E064C0"/>
    <w:rsid w:val="00E064E0"/>
    <w:rsid w:val="00E1008C"/>
    <w:rsid w:val="00E105D7"/>
    <w:rsid w:val="00E122E5"/>
    <w:rsid w:val="00E12B40"/>
    <w:rsid w:val="00E12C72"/>
    <w:rsid w:val="00E13DBB"/>
    <w:rsid w:val="00E13F0B"/>
    <w:rsid w:val="00E141C7"/>
    <w:rsid w:val="00E15006"/>
    <w:rsid w:val="00E20C4F"/>
    <w:rsid w:val="00E20EA3"/>
    <w:rsid w:val="00E21373"/>
    <w:rsid w:val="00E21E5C"/>
    <w:rsid w:val="00E225F2"/>
    <w:rsid w:val="00E228E4"/>
    <w:rsid w:val="00E24094"/>
    <w:rsid w:val="00E24535"/>
    <w:rsid w:val="00E259A1"/>
    <w:rsid w:val="00E262E4"/>
    <w:rsid w:val="00E27792"/>
    <w:rsid w:val="00E27E8E"/>
    <w:rsid w:val="00E320B5"/>
    <w:rsid w:val="00E33972"/>
    <w:rsid w:val="00E351BF"/>
    <w:rsid w:val="00E35DCB"/>
    <w:rsid w:val="00E360D0"/>
    <w:rsid w:val="00E3633B"/>
    <w:rsid w:val="00E404CD"/>
    <w:rsid w:val="00E421EF"/>
    <w:rsid w:val="00E42F47"/>
    <w:rsid w:val="00E459F6"/>
    <w:rsid w:val="00E45E5E"/>
    <w:rsid w:val="00E46605"/>
    <w:rsid w:val="00E468F3"/>
    <w:rsid w:val="00E47453"/>
    <w:rsid w:val="00E50171"/>
    <w:rsid w:val="00E504E6"/>
    <w:rsid w:val="00E52257"/>
    <w:rsid w:val="00E52504"/>
    <w:rsid w:val="00E53A32"/>
    <w:rsid w:val="00E56FAF"/>
    <w:rsid w:val="00E57A6D"/>
    <w:rsid w:val="00E6499B"/>
    <w:rsid w:val="00E64A61"/>
    <w:rsid w:val="00E64C38"/>
    <w:rsid w:val="00E6614D"/>
    <w:rsid w:val="00E66ED6"/>
    <w:rsid w:val="00E674E8"/>
    <w:rsid w:val="00E67A29"/>
    <w:rsid w:val="00E70853"/>
    <w:rsid w:val="00E70C1B"/>
    <w:rsid w:val="00E71B2D"/>
    <w:rsid w:val="00E72785"/>
    <w:rsid w:val="00E72F71"/>
    <w:rsid w:val="00E76BFC"/>
    <w:rsid w:val="00E77DD3"/>
    <w:rsid w:val="00E80124"/>
    <w:rsid w:val="00E81E77"/>
    <w:rsid w:val="00E8410E"/>
    <w:rsid w:val="00E84131"/>
    <w:rsid w:val="00E849C2"/>
    <w:rsid w:val="00E853E6"/>
    <w:rsid w:val="00E901A0"/>
    <w:rsid w:val="00E9036E"/>
    <w:rsid w:val="00E913FC"/>
    <w:rsid w:val="00E93C96"/>
    <w:rsid w:val="00E95059"/>
    <w:rsid w:val="00E9557D"/>
    <w:rsid w:val="00E9598E"/>
    <w:rsid w:val="00E963C4"/>
    <w:rsid w:val="00EA14AB"/>
    <w:rsid w:val="00EA1C75"/>
    <w:rsid w:val="00EA24F5"/>
    <w:rsid w:val="00EA5EE4"/>
    <w:rsid w:val="00EA5EEC"/>
    <w:rsid w:val="00EB0AD2"/>
    <w:rsid w:val="00EB1CE1"/>
    <w:rsid w:val="00EB2091"/>
    <w:rsid w:val="00EB3402"/>
    <w:rsid w:val="00EB3D65"/>
    <w:rsid w:val="00EB4044"/>
    <w:rsid w:val="00EB5D94"/>
    <w:rsid w:val="00EB66A5"/>
    <w:rsid w:val="00EB6D44"/>
    <w:rsid w:val="00EB7F38"/>
    <w:rsid w:val="00EC0905"/>
    <w:rsid w:val="00EC1D4F"/>
    <w:rsid w:val="00EC21E0"/>
    <w:rsid w:val="00EC3627"/>
    <w:rsid w:val="00EC51B7"/>
    <w:rsid w:val="00EC6569"/>
    <w:rsid w:val="00EC707C"/>
    <w:rsid w:val="00EC75EE"/>
    <w:rsid w:val="00EC7954"/>
    <w:rsid w:val="00EC7A9C"/>
    <w:rsid w:val="00ED0120"/>
    <w:rsid w:val="00ED0914"/>
    <w:rsid w:val="00ED141E"/>
    <w:rsid w:val="00ED1C1A"/>
    <w:rsid w:val="00ED39BC"/>
    <w:rsid w:val="00ED43A1"/>
    <w:rsid w:val="00ED4934"/>
    <w:rsid w:val="00ED5E7B"/>
    <w:rsid w:val="00ED78A4"/>
    <w:rsid w:val="00ED79AE"/>
    <w:rsid w:val="00ED7C6E"/>
    <w:rsid w:val="00EE0B6A"/>
    <w:rsid w:val="00EE2311"/>
    <w:rsid w:val="00EE2972"/>
    <w:rsid w:val="00EE439A"/>
    <w:rsid w:val="00EE59D2"/>
    <w:rsid w:val="00EE6012"/>
    <w:rsid w:val="00EE61A1"/>
    <w:rsid w:val="00EF1BBC"/>
    <w:rsid w:val="00EF1BEA"/>
    <w:rsid w:val="00EF1C56"/>
    <w:rsid w:val="00EF1FB3"/>
    <w:rsid w:val="00EF2087"/>
    <w:rsid w:val="00EF2274"/>
    <w:rsid w:val="00EF28EA"/>
    <w:rsid w:val="00EF2C1A"/>
    <w:rsid w:val="00EF39A5"/>
    <w:rsid w:val="00EF4697"/>
    <w:rsid w:val="00EF49A5"/>
    <w:rsid w:val="00EF50FB"/>
    <w:rsid w:val="00EF5A24"/>
    <w:rsid w:val="00EF5D1E"/>
    <w:rsid w:val="00EF6A63"/>
    <w:rsid w:val="00F00B1C"/>
    <w:rsid w:val="00F01B32"/>
    <w:rsid w:val="00F01D20"/>
    <w:rsid w:val="00F02A8A"/>
    <w:rsid w:val="00F03D4E"/>
    <w:rsid w:val="00F0423A"/>
    <w:rsid w:val="00F042B5"/>
    <w:rsid w:val="00F0613B"/>
    <w:rsid w:val="00F11E1B"/>
    <w:rsid w:val="00F1337E"/>
    <w:rsid w:val="00F13FD3"/>
    <w:rsid w:val="00F13FD5"/>
    <w:rsid w:val="00F14EE3"/>
    <w:rsid w:val="00F152F5"/>
    <w:rsid w:val="00F16FD3"/>
    <w:rsid w:val="00F17312"/>
    <w:rsid w:val="00F20659"/>
    <w:rsid w:val="00F213BA"/>
    <w:rsid w:val="00F2175A"/>
    <w:rsid w:val="00F22562"/>
    <w:rsid w:val="00F22FBD"/>
    <w:rsid w:val="00F243CB"/>
    <w:rsid w:val="00F257C8"/>
    <w:rsid w:val="00F25CA3"/>
    <w:rsid w:val="00F26281"/>
    <w:rsid w:val="00F268BC"/>
    <w:rsid w:val="00F27917"/>
    <w:rsid w:val="00F27FE5"/>
    <w:rsid w:val="00F303B5"/>
    <w:rsid w:val="00F311ED"/>
    <w:rsid w:val="00F3373A"/>
    <w:rsid w:val="00F3557B"/>
    <w:rsid w:val="00F35590"/>
    <w:rsid w:val="00F35ED6"/>
    <w:rsid w:val="00F361FD"/>
    <w:rsid w:val="00F3626C"/>
    <w:rsid w:val="00F36543"/>
    <w:rsid w:val="00F36598"/>
    <w:rsid w:val="00F366EB"/>
    <w:rsid w:val="00F36922"/>
    <w:rsid w:val="00F36A1B"/>
    <w:rsid w:val="00F374A2"/>
    <w:rsid w:val="00F40811"/>
    <w:rsid w:val="00F40CF9"/>
    <w:rsid w:val="00F41535"/>
    <w:rsid w:val="00F43C59"/>
    <w:rsid w:val="00F44803"/>
    <w:rsid w:val="00F4684A"/>
    <w:rsid w:val="00F47E1C"/>
    <w:rsid w:val="00F514DD"/>
    <w:rsid w:val="00F52154"/>
    <w:rsid w:val="00F527C7"/>
    <w:rsid w:val="00F52846"/>
    <w:rsid w:val="00F52C58"/>
    <w:rsid w:val="00F52EBB"/>
    <w:rsid w:val="00F53E7F"/>
    <w:rsid w:val="00F54D59"/>
    <w:rsid w:val="00F54EB2"/>
    <w:rsid w:val="00F55C84"/>
    <w:rsid w:val="00F562E6"/>
    <w:rsid w:val="00F5751D"/>
    <w:rsid w:val="00F60C65"/>
    <w:rsid w:val="00F60E63"/>
    <w:rsid w:val="00F611FF"/>
    <w:rsid w:val="00F62416"/>
    <w:rsid w:val="00F6355C"/>
    <w:rsid w:val="00F638CF"/>
    <w:rsid w:val="00F63DC7"/>
    <w:rsid w:val="00F664E9"/>
    <w:rsid w:val="00F67AD3"/>
    <w:rsid w:val="00F701E0"/>
    <w:rsid w:val="00F71A69"/>
    <w:rsid w:val="00F71FED"/>
    <w:rsid w:val="00F74668"/>
    <w:rsid w:val="00F753CA"/>
    <w:rsid w:val="00F77656"/>
    <w:rsid w:val="00F80BF9"/>
    <w:rsid w:val="00F8208E"/>
    <w:rsid w:val="00F82200"/>
    <w:rsid w:val="00F83EBA"/>
    <w:rsid w:val="00F843E2"/>
    <w:rsid w:val="00F85607"/>
    <w:rsid w:val="00F86538"/>
    <w:rsid w:val="00F86E71"/>
    <w:rsid w:val="00F872AF"/>
    <w:rsid w:val="00F90F23"/>
    <w:rsid w:val="00F9121A"/>
    <w:rsid w:val="00F91E54"/>
    <w:rsid w:val="00F92795"/>
    <w:rsid w:val="00F9348C"/>
    <w:rsid w:val="00F93AC2"/>
    <w:rsid w:val="00F93EAE"/>
    <w:rsid w:val="00F947F6"/>
    <w:rsid w:val="00F95215"/>
    <w:rsid w:val="00F957FB"/>
    <w:rsid w:val="00F95A53"/>
    <w:rsid w:val="00F967AA"/>
    <w:rsid w:val="00F96B14"/>
    <w:rsid w:val="00FA07A6"/>
    <w:rsid w:val="00FA08F3"/>
    <w:rsid w:val="00FA23E1"/>
    <w:rsid w:val="00FA2667"/>
    <w:rsid w:val="00FA2E4B"/>
    <w:rsid w:val="00FA40AB"/>
    <w:rsid w:val="00FA4140"/>
    <w:rsid w:val="00FA4A32"/>
    <w:rsid w:val="00FA7CA2"/>
    <w:rsid w:val="00FB002B"/>
    <w:rsid w:val="00FB03BF"/>
    <w:rsid w:val="00FB20EF"/>
    <w:rsid w:val="00FB373E"/>
    <w:rsid w:val="00FB4C69"/>
    <w:rsid w:val="00FB4E19"/>
    <w:rsid w:val="00FB4F63"/>
    <w:rsid w:val="00FB50D8"/>
    <w:rsid w:val="00FB567F"/>
    <w:rsid w:val="00FB5CBF"/>
    <w:rsid w:val="00FB680A"/>
    <w:rsid w:val="00FB6C9D"/>
    <w:rsid w:val="00FC0F04"/>
    <w:rsid w:val="00FC2A8F"/>
    <w:rsid w:val="00FC2E10"/>
    <w:rsid w:val="00FC3EFA"/>
    <w:rsid w:val="00FC4F59"/>
    <w:rsid w:val="00FC5217"/>
    <w:rsid w:val="00FC565B"/>
    <w:rsid w:val="00FC57F3"/>
    <w:rsid w:val="00FC61CB"/>
    <w:rsid w:val="00FC685D"/>
    <w:rsid w:val="00FC77FF"/>
    <w:rsid w:val="00FC7D26"/>
    <w:rsid w:val="00FD0942"/>
    <w:rsid w:val="00FD1050"/>
    <w:rsid w:val="00FD1BA3"/>
    <w:rsid w:val="00FD450C"/>
    <w:rsid w:val="00FD5A58"/>
    <w:rsid w:val="00FD5C2F"/>
    <w:rsid w:val="00FD5E4F"/>
    <w:rsid w:val="00FD62E2"/>
    <w:rsid w:val="00FD6C3B"/>
    <w:rsid w:val="00FD6EAB"/>
    <w:rsid w:val="00FD77A3"/>
    <w:rsid w:val="00FE029D"/>
    <w:rsid w:val="00FE096A"/>
    <w:rsid w:val="00FE1DE5"/>
    <w:rsid w:val="00FE1F9C"/>
    <w:rsid w:val="00FE3A56"/>
    <w:rsid w:val="00FE4253"/>
    <w:rsid w:val="00FE6303"/>
    <w:rsid w:val="00FE6CC0"/>
    <w:rsid w:val="00FE7296"/>
    <w:rsid w:val="00FE7364"/>
    <w:rsid w:val="00FF0DB1"/>
    <w:rsid w:val="00FF12A2"/>
    <w:rsid w:val="00FF1447"/>
    <w:rsid w:val="00FF19BE"/>
    <w:rsid w:val="00FF4B50"/>
    <w:rsid w:val="00FF724F"/>
    <w:rsid w:val="00FF739C"/>
    <w:rsid w:val="00FF74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shapelayout v:ext="edit">
      <o:idmap v:ext="edit" data="1"/>
    </o:shapelayout>
  </w:shapeDefaults>
  <w:decimalSymbol w:val="."/>
  <w:listSeparator w:val=","/>
  <w14:docId w14:val="6C40356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footnote text" w:uiPriority="99" w:qFormat="1"/>
    <w:lsdException w:name="annotation text" w:uiPriority="99"/>
    <w:lsdException w:name="header" w:uiPriority="99"/>
    <w:lsdException w:name="caption" w:semiHidden="1" w:unhideWhenUsed="1" w:qFormat="1"/>
    <w:lsdException w:name="footnote reference" w:uiPriority="99" w:qFormat="1"/>
    <w:lsdException w:name="annotation reference" w:uiPriority="99"/>
    <w:lsdException w:name="Title" w:qFormat="1"/>
    <w:lsdException w:name="Default Paragraph Font" w:uiPriority="1"/>
    <w:lsdException w:name="Subtitle" w:qFormat="1"/>
    <w:lsdException w:name="Hyperlink" w:uiPriority="99"/>
    <w:lsdException w:name="Strong" w:qFormat="1"/>
    <w:lsdException w:name="Emphasis" w:qFormat="1"/>
    <w:lsdException w:name="Plain Text"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04F7"/>
    <w:rPr>
      <w:sz w:val="24"/>
      <w:szCs w:val="24"/>
    </w:rPr>
  </w:style>
  <w:style w:type="paragraph" w:styleId="Heading1">
    <w:name w:val="heading 1"/>
    <w:basedOn w:val="Normal"/>
    <w:next w:val="Normal"/>
    <w:qFormat/>
    <w:rsid w:val="004E3A23"/>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4E3A23"/>
    <w:pPr>
      <w:keepNext/>
      <w:jc w:val="center"/>
      <w:outlineLvl w:val="1"/>
    </w:pPr>
    <w:rPr>
      <w:u w:val="single"/>
    </w:rPr>
  </w:style>
  <w:style w:type="paragraph" w:styleId="Heading3">
    <w:name w:val="heading 3"/>
    <w:basedOn w:val="Normal"/>
    <w:next w:val="Normal"/>
    <w:link w:val="Heading3Char"/>
    <w:qFormat/>
    <w:rsid w:val="004E3A23"/>
    <w:pPr>
      <w:keepNext/>
      <w:jc w:val="center"/>
      <w:outlineLvl w:val="2"/>
    </w:pPr>
    <w:rPr>
      <w:rFonts w:ascii="Palatino Linotype" w:hAnsi="Palatino Linotype"/>
      <w:b/>
      <w:bCs/>
    </w:rPr>
  </w:style>
  <w:style w:type="paragraph" w:styleId="Heading4">
    <w:name w:val="heading 4"/>
    <w:basedOn w:val="Normal"/>
    <w:next w:val="Normal"/>
    <w:link w:val="Heading4Char"/>
    <w:qFormat/>
    <w:rsid w:val="00D52D0C"/>
    <w:pPr>
      <w:keepNext/>
      <w:spacing w:before="240" w:after="60"/>
      <w:outlineLvl w:val="3"/>
    </w:pPr>
    <w:rPr>
      <w:b/>
      <w:bCs/>
      <w:sz w:val="28"/>
      <w:szCs w:val="28"/>
    </w:rPr>
  </w:style>
  <w:style w:type="paragraph" w:styleId="Heading5">
    <w:name w:val="heading 5"/>
    <w:basedOn w:val="Normal"/>
    <w:next w:val="Normal"/>
    <w:link w:val="Heading5Char"/>
    <w:unhideWhenUsed/>
    <w:qFormat/>
    <w:rsid w:val="00726EC4"/>
    <w:pPr>
      <w:spacing w:before="240" w:after="60"/>
      <w:outlineLvl w:val="4"/>
    </w:pPr>
    <w:rPr>
      <w:rFonts w:ascii="Calibri" w:hAnsi="Calibri"/>
      <w:b/>
      <w:bCs/>
      <w:i/>
      <w:iCs/>
      <w:sz w:val="26"/>
      <w:szCs w:val="26"/>
    </w:rPr>
  </w:style>
  <w:style w:type="paragraph" w:styleId="Heading6">
    <w:name w:val="heading 6"/>
    <w:basedOn w:val="Normal"/>
    <w:next w:val="Normal"/>
    <w:link w:val="Heading6Char"/>
    <w:unhideWhenUsed/>
    <w:qFormat/>
    <w:rsid w:val="00CB6AE9"/>
    <w:p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E3A23"/>
    <w:pPr>
      <w:tabs>
        <w:tab w:val="center" w:pos="4320"/>
        <w:tab w:val="right" w:pos="8640"/>
      </w:tabs>
    </w:pPr>
  </w:style>
  <w:style w:type="paragraph" w:styleId="Footer">
    <w:name w:val="footer"/>
    <w:basedOn w:val="Normal"/>
    <w:rsid w:val="004E3A23"/>
    <w:pPr>
      <w:tabs>
        <w:tab w:val="center" w:pos="4320"/>
        <w:tab w:val="right" w:pos="8640"/>
      </w:tabs>
    </w:pPr>
  </w:style>
  <w:style w:type="character" w:styleId="PageNumber">
    <w:name w:val="page number"/>
    <w:basedOn w:val="DefaultParagraphFont"/>
    <w:rsid w:val="004E3A23"/>
  </w:style>
  <w:style w:type="paragraph" w:styleId="BodyText">
    <w:name w:val="Body Text"/>
    <w:basedOn w:val="Normal"/>
    <w:link w:val="BodyTextChar"/>
    <w:rsid w:val="004E3A23"/>
    <w:pPr>
      <w:jc w:val="center"/>
    </w:pPr>
  </w:style>
  <w:style w:type="paragraph" w:customStyle="1" w:styleId="plain">
    <w:name w:val="plain"/>
    <w:basedOn w:val="Normal"/>
    <w:rsid w:val="004E3A23"/>
    <w:pPr>
      <w:spacing w:line="240" w:lineRule="atLeast"/>
    </w:pPr>
    <w:rPr>
      <w:sz w:val="26"/>
      <w:szCs w:val="20"/>
    </w:rPr>
  </w:style>
  <w:style w:type="paragraph" w:customStyle="1" w:styleId="FindingsConclusions">
    <w:name w:val="Findings &amp; Conclusions"/>
    <w:basedOn w:val="Normal"/>
    <w:rsid w:val="004E3A23"/>
    <w:pPr>
      <w:numPr>
        <w:numId w:val="1"/>
      </w:numPr>
    </w:pPr>
  </w:style>
  <w:style w:type="paragraph" w:styleId="BodyText3">
    <w:name w:val="Body Text 3"/>
    <w:basedOn w:val="Normal"/>
    <w:rsid w:val="004E3A23"/>
    <w:pPr>
      <w:tabs>
        <w:tab w:val="left" w:pos="1152"/>
        <w:tab w:val="left" w:pos="2304"/>
        <w:tab w:val="left" w:pos="3456"/>
        <w:tab w:val="left" w:pos="4608"/>
        <w:tab w:val="left" w:pos="5760"/>
        <w:tab w:val="left" w:pos="6912"/>
        <w:tab w:val="left" w:pos="8064"/>
        <w:tab w:val="left" w:pos="9216"/>
      </w:tabs>
    </w:pPr>
    <w:rPr>
      <w:rFonts w:ascii="Arial" w:hAnsi="Arial"/>
      <w:b/>
      <w:szCs w:val="20"/>
    </w:rPr>
  </w:style>
  <w:style w:type="paragraph" w:styleId="BalloonText">
    <w:name w:val="Balloon Text"/>
    <w:basedOn w:val="Normal"/>
    <w:semiHidden/>
    <w:rsid w:val="00190527"/>
    <w:rPr>
      <w:rFonts w:ascii="Tahoma" w:hAnsi="Tahoma" w:cs="Tahoma"/>
      <w:sz w:val="16"/>
      <w:szCs w:val="16"/>
    </w:rPr>
  </w:style>
  <w:style w:type="table" w:styleId="TableGrid">
    <w:name w:val="Table Grid"/>
    <w:basedOn w:val="TableNormal"/>
    <w:rsid w:val="00471C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Footnote Text Char,Footnote Text Char1 Char,Footnote Text Char Char Char,Footnote Text Char1 Char Char Char,Footnote Text Char Char Char Char Char,Footnote Text Char Char1 Char,Footnote Text Char1 Char1 Char,Footnote Text Char Char1,fn,f,1"/>
    <w:basedOn w:val="Normal"/>
    <w:link w:val="FootnoteTextChar1"/>
    <w:uiPriority w:val="99"/>
    <w:qFormat/>
    <w:rsid w:val="00FF1447"/>
    <w:rPr>
      <w:sz w:val="22"/>
      <w:szCs w:val="20"/>
    </w:rPr>
  </w:style>
  <w:style w:type="character" w:styleId="FootnoteReference">
    <w:name w:val="footnote reference"/>
    <w:aliases w:val="Style 12,(NECG) Footnote Reference,Style 13,Appel note de bas de p,Style 124,fr,o,Style 3,FR,Style 17,Footnote Reference/,Style 6,callout,Style 9,Style 20,Footnote 1r,Style 15,o1,fr1,o2,fr2,o3,fr3,Style 18,Style 7,Style 8,Style 19"/>
    <w:uiPriority w:val="99"/>
    <w:qFormat/>
    <w:rsid w:val="00C67FF4"/>
    <w:rPr>
      <w:vertAlign w:val="superscript"/>
    </w:rPr>
  </w:style>
  <w:style w:type="character" w:customStyle="1" w:styleId="RCWSLText">
    <w:name w:val="RCWSLText"/>
    <w:rsid w:val="00C67FF4"/>
    <w:rPr>
      <w:rFonts w:ascii="Courier New" w:hAnsi="Courier New" w:cs="Courier New"/>
      <w:sz w:val="24"/>
      <w:szCs w:val="24"/>
      <w:lang w:val="en-US"/>
    </w:rPr>
  </w:style>
  <w:style w:type="character" w:styleId="Hyperlink">
    <w:name w:val="Hyperlink"/>
    <w:uiPriority w:val="99"/>
    <w:rsid w:val="00161D01"/>
    <w:rPr>
      <w:color w:val="0000FF"/>
      <w:u w:val="single"/>
    </w:rPr>
  </w:style>
  <w:style w:type="character" w:customStyle="1" w:styleId="Hypertext">
    <w:name w:val="Hypertext"/>
    <w:rsid w:val="00D52D0C"/>
    <w:rPr>
      <w:color w:val="0000FF"/>
      <w:u w:val="single"/>
    </w:rPr>
  </w:style>
  <w:style w:type="paragraph" w:customStyle="1" w:styleId="Level1">
    <w:name w:val="Level 1"/>
    <w:basedOn w:val="Normal"/>
    <w:rsid w:val="00F40811"/>
    <w:pPr>
      <w:widowControl w:val="0"/>
      <w:autoSpaceDE w:val="0"/>
      <w:autoSpaceDN w:val="0"/>
      <w:adjustRightInd w:val="0"/>
      <w:ind w:left="720" w:hanging="720"/>
    </w:pPr>
    <w:rPr>
      <w:rFonts w:ascii="Arial" w:hAnsi="Arial"/>
      <w:sz w:val="20"/>
    </w:rPr>
  </w:style>
  <w:style w:type="paragraph" w:styleId="ListParagraph">
    <w:name w:val="List Paragraph"/>
    <w:basedOn w:val="Normal"/>
    <w:uiPriority w:val="34"/>
    <w:qFormat/>
    <w:rsid w:val="0031555F"/>
    <w:pPr>
      <w:ind w:left="720"/>
    </w:pPr>
  </w:style>
  <w:style w:type="character" w:customStyle="1" w:styleId="Heading3Char">
    <w:name w:val="Heading 3 Char"/>
    <w:link w:val="Heading3"/>
    <w:rsid w:val="009A04F7"/>
    <w:rPr>
      <w:rFonts w:ascii="Palatino Linotype" w:hAnsi="Palatino Linotype"/>
      <w:b/>
      <w:bCs/>
      <w:sz w:val="24"/>
      <w:szCs w:val="24"/>
    </w:rPr>
  </w:style>
  <w:style w:type="character" w:customStyle="1" w:styleId="Heading4Char">
    <w:name w:val="Heading 4 Char"/>
    <w:link w:val="Heading4"/>
    <w:rsid w:val="009A04F7"/>
    <w:rPr>
      <w:b/>
      <w:bCs/>
      <w:sz w:val="28"/>
      <w:szCs w:val="28"/>
    </w:rPr>
  </w:style>
  <w:style w:type="character" w:customStyle="1" w:styleId="BodyTextChar">
    <w:name w:val="Body Text Char"/>
    <w:link w:val="BodyText"/>
    <w:rsid w:val="00C63797"/>
    <w:rPr>
      <w:sz w:val="24"/>
      <w:szCs w:val="24"/>
    </w:rPr>
  </w:style>
  <w:style w:type="paragraph" w:styleId="BodyTextIndent">
    <w:name w:val="Body Text Indent"/>
    <w:basedOn w:val="Normal"/>
    <w:link w:val="BodyTextIndentChar"/>
    <w:rsid w:val="002B2D55"/>
    <w:pPr>
      <w:spacing w:after="120"/>
      <w:ind w:left="360"/>
    </w:pPr>
  </w:style>
  <w:style w:type="character" w:customStyle="1" w:styleId="BodyTextIndentChar">
    <w:name w:val="Body Text Indent Char"/>
    <w:link w:val="BodyTextIndent"/>
    <w:rsid w:val="002B2D55"/>
    <w:rPr>
      <w:sz w:val="24"/>
      <w:szCs w:val="24"/>
    </w:rPr>
  </w:style>
  <w:style w:type="paragraph" w:styleId="BodyTextIndent2">
    <w:name w:val="Body Text Indent 2"/>
    <w:basedOn w:val="Normal"/>
    <w:link w:val="BodyTextIndent2Char"/>
    <w:rsid w:val="002B2D55"/>
    <w:pPr>
      <w:spacing w:after="120" w:line="480" w:lineRule="auto"/>
      <w:ind w:left="360"/>
    </w:pPr>
  </w:style>
  <w:style w:type="character" w:customStyle="1" w:styleId="BodyTextIndent2Char">
    <w:name w:val="Body Text Indent 2 Char"/>
    <w:link w:val="BodyTextIndent2"/>
    <w:rsid w:val="002B2D55"/>
    <w:rPr>
      <w:sz w:val="24"/>
      <w:szCs w:val="24"/>
    </w:rPr>
  </w:style>
  <w:style w:type="character" w:styleId="CommentReference">
    <w:name w:val="annotation reference"/>
    <w:uiPriority w:val="99"/>
    <w:rsid w:val="00A31EA0"/>
    <w:rPr>
      <w:sz w:val="16"/>
      <w:szCs w:val="16"/>
    </w:rPr>
  </w:style>
  <w:style w:type="paragraph" w:styleId="CommentText">
    <w:name w:val="annotation text"/>
    <w:basedOn w:val="Normal"/>
    <w:link w:val="CommentTextChar"/>
    <w:uiPriority w:val="99"/>
    <w:rsid w:val="00A31EA0"/>
    <w:rPr>
      <w:sz w:val="20"/>
      <w:szCs w:val="20"/>
    </w:rPr>
  </w:style>
  <w:style w:type="character" w:customStyle="1" w:styleId="CommentTextChar">
    <w:name w:val="Comment Text Char"/>
    <w:basedOn w:val="DefaultParagraphFont"/>
    <w:link w:val="CommentText"/>
    <w:uiPriority w:val="99"/>
    <w:rsid w:val="00A31EA0"/>
  </w:style>
  <w:style w:type="paragraph" w:styleId="CommentSubject">
    <w:name w:val="annotation subject"/>
    <w:basedOn w:val="CommentText"/>
    <w:next w:val="CommentText"/>
    <w:link w:val="CommentSubjectChar"/>
    <w:rsid w:val="00A31EA0"/>
    <w:rPr>
      <w:b/>
      <w:bCs/>
    </w:rPr>
  </w:style>
  <w:style w:type="character" w:customStyle="1" w:styleId="CommentSubjectChar">
    <w:name w:val="Comment Subject Char"/>
    <w:link w:val="CommentSubject"/>
    <w:rsid w:val="00A31EA0"/>
    <w:rPr>
      <w:b/>
      <w:bCs/>
    </w:rPr>
  </w:style>
  <w:style w:type="paragraph" w:styleId="Revision">
    <w:name w:val="Revision"/>
    <w:hidden/>
    <w:uiPriority w:val="99"/>
    <w:semiHidden/>
    <w:rsid w:val="00A31EA0"/>
    <w:rPr>
      <w:sz w:val="24"/>
      <w:szCs w:val="24"/>
    </w:rPr>
  </w:style>
  <w:style w:type="character" w:customStyle="1" w:styleId="HeaderChar">
    <w:name w:val="Header Char"/>
    <w:link w:val="Header"/>
    <w:uiPriority w:val="99"/>
    <w:rsid w:val="002B79EA"/>
    <w:rPr>
      <w:sz w:val="24"/>
      <w:szCs w:val="24"/>
    </w:rPr>
  </w:style>
  <w:style w:type="character" w:customStyle="1" w:styleId="FootnoteTextChar1">
    <w:name w:val="Footnote Text Char1"/>
    <w:aliases w:val="Footnote Text Char Char,Footnote Text Char1 Char Char,Footnote Text Char Char Char Char,Footnote Text Char1 Char Char Char Char,Footnote Text Char Char Char Char Char Char,Footnote Text Char Char1 Char Char,fn Char,f Char,1 Char"/>
    <w:link w:val="FootnoteText"/>
    <w:uiPriority w:val="99"/>
    <w:locked/>
    <w:rsid w:val="00FF1447"/>
    <w:rPr>
      <w:sz w:val="22"/>
    </w:rPr>
  </w:style>
  <w:style w:type="paragraph" w:styleId="PlainText">
    <w:name w:val="Plain Text"/>
    <w:basedOn w:val="Normal"/>
    <w:link w:val="PlainTextChar"/>
    <w:uiPriority w:val="99"/>
    <w:unhideWhenUsed/>
    <w:rsid w:val="000C3468"/>
    <w:rPr>
      <w:rFonts w:ascii="Consolas" w:eastAsia="Calibri" w:hAnsi="Consolas"/>
      <w:sz w:val="21"/>
      <w:szCs w:val="21"/>
    </w:rPr>
  </w:style>
  <w:style w:type="character" w:customStyle="1" w:styleId="PlainTextChar">
    <w:name w:val="Plain Text Char"/>
    <w:link w:val="PlainText"/>
    <w:uiPriority w:val="99"/>
    <w:rsid w:val="000C3468"/>
    <w:rPr>
      <w:rFonts w:ascii="Consolas" w:eastAsia="Calibri" w:hAnsi="Consolas"/>
      <w:sz w:val="21"/>
      <w:szCs w:val="21"/>
    </w:rPr>
  </w:style>
  <w:style w:type="character" w:customStyle="1" w:styleId="FootnoteCharacters">
    <w:name w:val="Footnote Characters"/>
    <w:rsid w:val="00A7195E"/>
    <w:rPr>
      <w:rFonts w:cs="Times New Roman"/>
      <w:vertAlign w:val="superscript"/>
    </w:rPr>
  </w:style>
  <w:style w:type="paragraph" w:customStyle="1" w:styleId="Default">
    <w:name w:val="Default"/>
    <w:rsid w:val="0092011C"/>
    <w:pPr>
      <w:autoSpaceDE w:val="0"/>
      <w:autoSpaceDN w:val="0"/>
      <w:adjustRightInd w:val="0"/>
    </w:pPr>
    <w:rPr>
      <w:rFonts w:ascii="Arial" w:hAnsi="Arial" w:cs="Arial"/>
      <w:color w:val="000000"/>
      <w:sz w:val="24"/>
      <w:szCs w:val="24"/>
    </w:rPr>
  </w:style>
  <w:style w:type="paragraph" w:styleId="NoSpacing">
    <w:name w:val="No Spacing"/>
    <w:uiPriority w:val="1"/>
    <w:qFormat/>
    <w:rsid w:val="000960FC"/>
    <w:rPr>
      <w:sz w:val="24"/>
      <w:szCs w:val="24"/>
    </w:rPr>
  </w:style>
  <w:style w:type="character" w:customStyle="1" w:styleId="Heading5Char">
    <w:name w:val="Heading 5 Char"/>
    <w:link w:val="Heading5"/>
    <w:rsid w:val="00726EC4"/>
    <w:rPr>
      <w:rFonts w:ascii="Calibri" w:eastAsia="Times New Roman" w:hAnsi="Calibri" w:cs="Times New Roman"/>
      <w:b/>
      <w:bCs/>
      <w:i/>
      <w:iCs/>
      <w:sz w:val="26"/>
      <w:szCs w:val="26"/>
    </w:rPr>
  </w:style>
  <w:style w:type="paragraph" w:styleId="TOC1">
    <w:name w:val="toc 1"/>
    <w:basedOn w:val="Normal"/>
    <w:next w:val="Normal"/>
    <w:autoRedefine/>
    <w:uiPriority w:val="39"/>
    <w:rsid w:val="00787DC2"/>
  </w:style>
  <w:style w:type="paragraph" w:styleId="TOC2">
    <w:name w:val="toc 2"/>
    <w:basedOn w:val="Normal"/>
    <w:next w:val="Normal"/>
    <w:autoRedefine/>
    <w:uiPriority w:val="39"/>
    <w:rsid w:val="002431C0"/>
    <w:pPr>
      <w:tabs>
        <w:tab w:val="left" w:pos="720"/>
        <w:tab w:val="right" w:leader="dot" w:pos="8630"/>
      </w:tabs>
      <w:ind w:left="240"/>
    </w:pPr>
    <w:rPr>
      <w:b/>
      <w:noProof/>
    </w:rPr>
  </w:style>
  <w:style w:type="paragraph" w:styleId="TOC3">
    <w:name w:val="toc 3"/>
    <w:basedOn w:val="Normal"/>
    <w:next w:val="Normal"/>
    <w:autoRedefine/>
    <w:uiPriority w:val="39"/>
    <w:rsid w:val="00787DC2"/>
    <w:pPr>
      <w:ind w:left="480"/>
    </w:pPr>
  </w:style>
  <w:style w:type="paragraph" w:styleId="TOC4">
    <w:name w:val="toc 4"/>
    <w:basedOn w:val="Normal"/>
    <w:next w:val="Normal"/>
    <w:autoRedefine/>
    <w:uiPriority w:val="39"/>
    <w:rsid w:val="00787DC2"/>
    <w:pPr>
      <w:ind w:left="720"/>
    </w:pPr>
  </w:style>
  <w:style w:type="paragraph" w:styleId="TOC5">
    <w:name w:val="toc 5"/>
    <w:basedOn w:val="Normal"/>
    <w:next w:val="Normal"/>
    <w:autoRedefine/>
    <w:uiPriority w:val="39"/>
    <w:rsid w:val="00787DC2"/>
    <w:pPr>
      <w:ind w:left="960"/>
    </w:pPr>
  </w:style>
  <w:style w:type="character" w:customStyle="1" w:styleId="Heading6Char">
    <w:name w:val="Heading 6 Char"/>
    <w:link w:val="Heading6"/>
    <w:rsid w:val="00CB6AE9"/>
    <w:rPr>
      <w:rFonts w:ascii="Calibri" w:eastAsia="Times New Roman" w:hAnsi="Calibri" w:cs="Times New Roman"/>
      <w:b/>
      <w:bCs/>
      <w:sz w:val="22"/>
      <w:szCs w:val="22"/>
    </w:rPr>
  </w:style>
  <w:style w:type="paragraph" w:styleId="TOC6">
    <w:name w:val="toc 6"/>
    <w:basedOn w:val="Normal"/>
    <w:next w:val="Normal"/>
    <w:autoRedefine/>
    <w:uiPriority w:val="39"/>
    <w:rsid w:val="007E790D"/>
    <w:pPr>
      <w:ind w:left="1200"/>
    </w:pPr>
  </w:style>
  <w:style w:type="character" w:customStyle="1" w:styleId="Heading2Char">
    <w:name w:val="Heading 2 Char"/>
    <w:link w:val="Heading2"/>
    <w:rsid w:val="004910F2"/>
    <w:rPr>
      <w:sz w:val="24"/>
      <w:szCs w:val="24"/>
      <w:u w:val="single"/>
    </w:rPr>
  </w:style>
  <w:style w:type="paragraph" w:styleId="Caption">
    <w:name w:val="caption"/>
    <w:basedOn w:val="Normal"/>
    <w:next w:val="Normal"/>
    <w:unhideWhenUsed/>
    <w:qFormat/>
    <w:rsid w:val="00513934"/>
    <w:pPr>
      <w:spacing w:after="200"/>
    </w:pPr>
    <w:rPr>
      <w:i/>
      <w:iCs/>
      <w:color w:val="44546A" w:themeColor="text2"/>
      <w:sz w:val="18"/>
      <w:szCs w:val="18"/>
    </w:rPr>
  </w:style>
  <w:style w:type="character" w:customStyle="1" w:styleId="FootnoteTextChar2Char1Char">
    <w:name w:val="Footnote Text Char2 Char1 Char"/>
    <w:aliases w:val="Footnote Text Char1 Char Char1 Char,Footnote Text Char2 Char Char1 Char1 Char,Footnote Text Char1 Char Char Char Char1 Char,Footnote Text Char2 Char Char1 Char Char Char Char,Footnote Text Char2 Char"/>
    <w:basedOn w:val="DefaultParagraphFont"/>
    <w:uiPriority w:val="99"/>
    <w:rsid w:val="00B7093E"/>
    <w:rPr>
      <w:rFonts w:ascii="Times New Roman" w:hAnsi="Times New Roman" w:cs="Times New Roman"/>
      <w:sz w:val="20"/>
      <w:szCs w:val="20"/>
    </w:rPr>
  </w:style>
  <w:style w:type="character" w:customStyle="1" w:styleId="FootnoteTextChar1CharChar1">
    <w:name w:val="Footnote Text Char1 Char Char1"/>
    <w:aliases w:val="Footnote Text Char Char Char Char1,Footnote Text Char1 Char Char Char Char1,Footnote Text Char Char Char Char Char Char1,Footnote Text Char Char1 Char Char1,Footnote Text Char1 Char1 Char Char"/>
    <w:basedOn w:val="DefaultParagraphFont"/>
    <w:uiPriority w:val="99"/>
    <w:rsid w:val="00DD25DB"/>
    <w:rPr>
      <w:sz w:val="22"/>
      <w:szCs w:val="20"/>
    </w:rPr>
  </w:style>
  <w:style w:type="paragraph" w:customStyle="1" w:styleId="WUTCParagraph">
    <w:name w:val="WUTC Paragraph"/>
    <w:basedOn w:val="Normal"/>
    <w:rsid w:val="00605101"/>
    <w:pPr>
      <w:numPr>
        <w:numId w:val="15"/>
      </w:numPr>
      <w:tabs>
        <w:tab w:val="clear" w:pos="0"/>
        <w:tab w:val="left" w:pos="1440"/>
      </w:tabs>
      <w:spacing w:line="48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7931077">
      <w:bodyDiv w:val="1"/>
      <w:marLeft w:val="0"/>
      <w:marRight w:val="0"/>
      <w:marTop w:val="0"/>
      <w:marBottom w:val="0"/>
      <w:divBdr>
        <w:top w:val="none" w:sz="0" w:space="0" w:color="auto"/>
        <w:left w:val="none" w:sz="0" w:space="0" w:color="auto"/>
        <w:bottom w:val="none" w:sz="0" w:space="0" w:color="auto"/>
        <w:right w:val="none" w:sz="0" w:space="0" w:color="auto"/>
      </w:divBdr>
    </w:div>
    <w:div w:id="1648826468">
      <w:bodyDiv w:val="1"/>
      <w:marLeft w:val="0"/>
      <w:marRight w:val="0"/>
      <w:marTop w:val="0"/>
      <w:marBottom w:val="0"/>
      <w:divBdr>
        <w:top w:val="none" w:sz="0" w:space="0" w:color="auto"/>
        <w:left w:val="none" w:sz="0" w:space="0" w:color="auto"/>
        <w:bottom w:val="none" w:sz="0" w:space="0" w:color="auto"/>
        <w:right w:val="none" w:sz="0" w:space="0" w:color="auto"/>
      </w:divBdr>
    </w:div>
    <w:div w:id="1903371567">
      <w:bodyDiv w:val="1"/>
      <w:marLeft w:val="0"/>
      <w:marRight w:val="0"/>
      <w:marTop w:val="0"/>
      <w:marBottom w:val="0"/>
      <w:divBdr>
        <w:top w:val="none" w:sz="0" w:space="0" w:color="auto"/>
        <w:left w:val="none" w:sz="0" w:space="0" w:color="auto"/>
        <w:bottom w:val="none" w:sz="0" w:space="0" w:color="auto"/>
        <w:right w:val="none" w:sz="0" w:space="0" w:color="auto"/>
      </w:divBdr>
    </w:div>
    <w:div w:id="2117477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Order - Final</DocumentSetType>
    <IsConfidential xmlns="dc463f71-b30c-4ab2-9473-d307f9d35888">false</IsConfidential>
    <AgendaOrder xmlns="dc463f71-b30c-4ab2-9473-d307f9d35888">false</AgendaOrder>
    <CaseType xmlns="dc463f71-b30c-4ab2-9473-d307f9d35888">Tariff Revision</CaseType>
    <IndustryCode xmlns="dc463f71-b30c-4ab2-9473-d307f9d35888">150</IndustryCode>
    <CaseStatus xmlns="dc463f71-b30c-4ab2-9473-d307f9d35888">Closed</CaseStatus>
    <OpenedDate xmlns="dc463f71-b30c-4ab2-9473-d307f9d35888">2015-02-09T08:00:00+00:00</OpenedDate>
    <Date1 xmlns="dc463f71-b30c-4ab2-9473-d307f9d35888">2016-01-06T08:00:00+00:00</Date1>
    <IsDocumentOrder xmlns="dc463f71-b30c-4ab2-9473-d307f9d35888">true</IsDocumentOrder>
    <IsHighlyConfidential xmlns="dc463f71-b30c-4ab2-9473-d307f9d35888">false</IsHighlyConfidential>
    <CaseCompanyNames xmlns="dc463f71-b30c-4ab2-9473-d307f9d35888">Avista Corporation</CaseCompanyNames>
    <DocketNumber xmlns="dc463f71-b30c-4ab2-9473-d307f9d35888">150205</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5A7FDE4436DDBF4D82FDD1C15667C2E2" ma:contentTypeVersion="111" ma:contentTypeDescription="" ma:contentTypeScope="" ma:versionID="58d692e03ed714662b0f5c41d5920cb4">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14476AD-6115-4ABE-A3D0-4C2C162FF0A9}"/>
</file>

<file path=customXml/itemProps2.xml><?xml version="1.0" encoding="utf-8"?>
<ds:datastoreItem xmlns:ds="http://schemas.openxmlformats.org/officeDocument/2006/customXml" ds:itemID="{4F3EBB89-FABF-49EF-9299-DAAA7F575062}"/>
</file>

<file path=customXml/itemProps3.xml><?xml version="1.0" encoding="utf-8"?>
<ds:datastoreItem xmlns:ds="http://schemas.openxmlformats.org/officeDocument/2006/customXml" ds:itemID="{49858A88-5689-413E-8818-D10EB44A4AC0}"/>
</file>

<file path=customXml/itemProps4.xml><?xml version="1.0" encoding="utf-8"?>
<ds:datastoreItem xmlns:ds="http://schemas.openxmlformats.org/officeDocument/2006/customXml" ds:itemID="{4F3F0090-E910-4951-A100-A2544DFABEB9}"/>
</file>

<file path=customXml/itemProps5.xml><?xml version="1.0" encoding="utf-8"?>
<ds:datastoreItem xmlns:ds="http://schemas.openxmlformats.org/officeDocument/2006/customXml" ds:itemID="{327C2972-F96C-4DFD-927C-38070763C791}"/>
</file>

<file path=docProps/app.xml><?xml version="1.0" encoding="utf-8"?>
<Properties xmlns="http://schemas.openxmlformats.org/officeDocument/2006/extended-properties" xmlns:vt="http://schemas.openxmlformats.org/officeDocument/2006/docPropsVTypes">
  <Template>Normal</Template>
  <TotalTime>0</TotalTime>
  <Pages>101</Pages>
  <Words>27678</Words>
  <Characters>157767</Characters>
  <Application>Microsoft Office Word</Application>
  <DocSecurity>0</DocSecurity>
  <Lines>1314</Lines>
  <Paragraphs>370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185075</CharactersWithSpaces>
  <SharedDoc>false</SharedDoc>
  <HLinks>
    <vt:vector size="6" baseType="variant">
      <vt:variant>
        <vt:i4>1179721</vt:i4>
      </vt:variant>
      <vt:variant>
        <vt:i4>0</vt:i4>
      </vt:variant>
      <vt:variant>
        <vt:i4>0</vt:i4>
      </vt:variant>
      <vt:variant>
        <vt:i4>5</vt:i4>
      </vt:variant>
      <vt:variant>
        <vt:lpwstr>http://www.raponline.org/document/download/id/861</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2016-01-06T19:34:00Z</dcterms:created>
  <dcterms:modified xsi:type="dcterms:W3CDTF">2016-01-06T19:34:00Z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0x0101006E56B4D1795A2E4DB2F0B01679ED314A005A7FDE4436DDBF4D82FDD1C15667C2E2</vt:lpwstr>
  </property>
  <property fmtid="{D5CDD505-2E9C-101B-9397-08002B2CF9AE}" pid="3" name="_docset_NoMedatataSyncRequired">
    <vt:lpwstr>False</vt:lpwstr>
  </property>
</Properties>
</file>