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50CFDD" w14:textId="77777777" w:rsidR="00F27132" w:rsidRPr="00FC682A" w:rsidRDefault="00F27132">
      <w:pPr>
        <w:pStyle w:val="Title"/>
        <w:rPr>
          <w:rFonts w:ascii="Times New Roman" w:hAnsi="Times New Roman"/>
        </w:rPr>
      </w:pPr>
      <w:bookmarkStart w:id="0" w:name="_GoBack"/>
      <w:bookmarkEnd w:id="0"/>
      <w:r w:rsidRPr="00FC682A">
        <w:rPr>
          <w:rFonts w:ascii="Times New Roman" w:hAnsi="Times New Roman"/>
        </w:rPr>
        <w:t>BEFORE THE WASHINGTON</w:t>
      </w:r>
    </w:p>
    <w:p w14:paraId="4350CFDE" w14:textId="77777777" w:rsidR="00F27132" w:rsidRPr="00FC682A" w:rsidRDefault="00F27132">
      <w:pPr>
        <w:jc w:val="center"/>
        <w:rPr>
          <w:b/>
        </w:rPr>
      </w:pPr>
      <w:r w:rsidRPr="00FC682A">
        <w:rPr>
          <w:b/>
        </w:rPr>
        <w:t xml:space="preserve">UTILITIES AND TRANSPORTATION </w:t>
      </w:r>
      <w:r w:rsidR="007D0082">
        <w:rPr>
          <w:b/>
        </w:rPr>
        <w:t>COMMISSION</w:t>
      </w:r>
    </w:p>
    <w:p w14:paraId="4350CFDF" w14:textId="77777777" w:rsidR="00F27132" w:rsidRPr="00FC682A" w:rsidRDefault="00F27132">
      <w:pPr>
        <w:jc w:val="center"/>
        <w:rPr>
          <w:b/>
        </w:rPr>
      </w:pPr>
    </w:p>
    <w:tbl>
      <w:tblPr>
        <w:tblW w:w="8652" w:type="dxa"/>
        <w:tblLook w:val="01E0" w:firstRow="1" w:lastRow="1" w:firstColumn="1" w:lastColumn="1" w:noHBand="0" w:noVBand="0"/>
      </w:tblPr>
      <w:tblGrid>
        <w:gridCol w:w="4320"/>
        <w:gridCol w:w="270"/>
        <w:gridCol w:w="4062"/>
      </w:tblGrid>
      <w:tr w:rsidR="00F27132" w:rsidRPr="00FC682A" w14:paraId="4350CFF1" w14:textId="77777777" w:rsidTr="00D3750E">
        <w:tc>
          <w:tcPr>
            <w:tcW w:w="4320" w:type="dxa"/>
            <w:tcBorders>
              <w:bottom w:val="single" w:sz="4" w:space="0" w:color="auto"/>
              <w:right w:val="single" w:sz="4" w:space="0" w:color="auto"/>
            </w:tcBorders>
          </w:tcPr>
          <w:p w14:paraId="4350CFE0" w14:textId="77777777" w:rsidR="00F27132" w:rsidRPr="00FC682A" w:rsidRDefault="00F27132">
            <w:r w:rsidRPr="00FC682A">
              <w:t xml:space="preserve">WASHINGTON UTILITIES AND TRANSPORTATION </w:t>
            </w:r>
            <w:r w:rsidR="007D0082">
              <w:t>COMMISSION</w:t>
            </w:r>
            <w:r w:rsidRPr="00FC682A">
              <w:t>,</w:t>
            </w:r>
          </w:p>
          <w:p w14:paraId="4350CFE1" w14:textId="77777777" w:rsidR="00F27132" w:rsidRPr="00FC682A" w:rsidRDefault="00F27132"/>
          <w:p w14:paraId="4350CFE2" w14:textId="77777777" w:rsidR="00F27132" w:rsidRPr="00FC682A" w:rsidRDefault="00F27132" w:rsidP="00FC14B5">
            <w:pPr>
              <w:jc w:val="center"/>
            </w:pPr>
            <w:r w:rsidRPr="00FC682A">
              <w:t>Complainant,</w:t>
            </w:r>
          </w:p>
          <w:p w14:paraId="4350CFE3" w14:textId="77777777" w:rsidR="00F27132" w:rsidRPr="00FC682A" w:rsidRDefault="00F27132"/>
          <w:p w14:paraId="4350CFE4" w14:textId="77777777" w:rsidR="00F27132" w:rsidRPr="00FC682A" w:rsidRDefault="00F27132" w:rsidP="00FC14B5">
            <w:pPr>
              <w:jc w:val="center"/>
            </w:pPr>
            <w:r w:rsidRPr="00FC682A">
              <w:t>v.</w:t>
            </w:r>
          </w:p>
          <w:p w14:paraId="4350CFE5" w14:textId="77777777" w:rsidR="00F27132" w:rsidRPr="00FC682A" w:rsidRDefault="00F27132" w:rsidP="009900C2">
            <w:pPr>
              <w:jc w:val="center"/>
            </w:pPr>
          </w:p>
          <w:p w14:paraId="4350CFE6" w14:textId="77777777" w:rsidR="009900C2" w:rsidRPr="00FC682A" w:rsidRDefault="004A04F9" w:rsidP="00635BBB">
            <w:r>
              <w:t>ILIAD WATER COMPANY, LLC</w:t>
            </w:r>
            <w:r w:rsidR="00F27132" w:rsidRPr="00FC682A">
              <w:t>,</w:t>
            </w:r>
          </w:p>
          <w:p w14:paraId="4350CFE7" w14:textId="77777777" w:rsidR="00FC14B5" w:rsidRPr="00FC682A" w:rsidRDefault="00FC14B5" w:rsidP="009900C2">
            <w:pPr>
              <w:jc w:val="center"/>
            </w:pPr>
          </w:p>
          <w:p w14:paraId="4350CFE8" w14:textId="77777777" w:rsidR="00F27132" w:rsidRPr="00FC682A" w:rsidRDefault="00F27132" w:rsidP="009900C2">
            <w:pPr>
              <w:jc w:val="center"/>
            </w:pPr>
            <w:r w:rsidRPr="00FC682A">
              <w:t>Respondent.</w:t>
            </w:r>
          </w:p>
          <w:p w14:paraId="4350CFE9" w14:textId="77777777" w:rsidR="00F27132" w:rsidRPr="00FC682A" w:rsidRDefault="00F27132"/>
        </w:tc>
        <w:tc>
          <w:tcPr>
            <w:tcW w:w="270" w:type="dxa"/>
            <w:tcBorders>
              <w:left w:val="single" w:sz="4" w:space="0" w:color="auto"/>
            </w:tcBorders>
          </w:tcPr>
          <w:p w14:paraId="4350CFEA" w14:textId="77777777" w:rsidR="00F27132" w:rsidRPr="00FC682A" w:rsidRDefault="00F27132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4062" w:type="dxa"/>
          </w:tcPr>
          <w:p w14:paraId="4350CFEB" w14:textId="77777777" w:rsidR="00F27132" w:rsidRPr="00FC682A" w:rsidRDefault="003F2878">
            <w:pPr>
              <w:rPr>
                <w:b/>
              </w:rPr>
            </w:pPr>
            <w:r w:rsidRPr="00FC682A">
              <w:t>DOCKET</w:t>
            </w:r>
            <w:r w:rsidR="00F27132" w:rsidRPr="00FC682A">
              <w:t xml:space="preserve"> </w:t>
            </w:r>
            <w:r w:rsidR="004A04F9">
              <w:t>UW-161155</w:t>
            </w:r>
          </w:p>
          <w:p w14:paraId="4350CFEC" w14:textId="77777777" w:rsidR="00F27132" w:rsidRPr="00FC682A" w:rsidRDefault="00F27132">
            <w:pPr>
              <w:rPr>
                <w:b/>
              </w:rPr>
            </w:pPr>
          </w:p>
          <w:p w14:paraId="4350CFED" w14:textId="5133FD54" w:rsidR="00F27132" w:rsidRPr="00FC682A" w:rsidRDefault="003F2878">
            <w:pPr>
              <w:rPr>
                <w:b/>
              </w:rPr>
            </w:pPr>
            <w:r w:rsidRPr="00FC682A">
              <w:t xml:space="preserve">ORDER </w:t>
            </w:r>
            <w:r w:rsidR="004A04F9">
              <w:t>0</w:t>
            </w:r>
            <w:r w:rsidR="004A580E">
              <w:t>2</w:t>
            </w:r>
          </w:p>
          <w:p w14:paraId="4350CFEE" w14:textId="77777777" w:rsidR="00F27132" w:rsidRDefault="00F27132"/>
          <w:p w14:paraId="4350CFEF" w14:textId="77777777" w:rsidR="00BE0C93" w:rsidRPr="00FC682A" w:rsidRDefault="00BE0C93"/>
          <w:p w14:paraId="4350CFF0" w14:textId="33DF3441" w:rsidR="00F27132" w:rsidRPr="00FC682A" w:rsidRDefault="00865C80">
            <w:r>
              <w:t xml:space="preserve">ORDER DISMISSING </w:t>
            </w:r>
            <w:r w:rsidR="00693CAB">
              <w:t>COMPLAINT</w:t>
            </w:r>
            <w:r>
              <w:t xml:space="preserve"> AND ORDER SUSPENDING TARIFF REVISION; ALLOWING REVISED RATES TO BECOME EFFECTIVE</w:t>
            </w:r>
          </w:p>
        </w:tc>
      </w:tr>
    </w:tbl>
    <w:p w14:paraId="4350CFF2" w14:textId="77777777" w:rsidR="00F27132" w:rsidRPr="00FC682A" w:rsidRDefault="00F27132">
      <w:pPr>
        <w:jc w:val="center"/>
        <w:rPr>
          <w:b/>
        </w:rPr>
      </w:pPr>
    </w:p>
    <w:p w14:paraId="4350CFF3" w14:textId="77777777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BACKGROUND</w:t>
      </w:r>
    </w:p>
    <w:p w14:paraId="04F0000C" w14:textId="77777777" w:rsidR="008E0AB9" w:rsidRDefault="008E0AB9" w:rsidP="00AF021F"/>
    <w:p w14:paraId="289B998D" w14:textId="14E478C2" w:rsidR="002213DB" w:rsidRDefault="00F27132" w:rsidP="00BC35CC">
      <w:pPr>
        <w:numPr>
          <w:ilvl w:val="0"/>
          <w:numId w:val="1"/>
        </w:numPr>
        <w:spacing w:line="320" w:lineRule="exact"/>
      </w:pPr>
      <w:r w:rsidRPr="00FC682A">
        <w:t>On</w:t>
      </w:r>
      <w:r w:rsidR="00C665A5" w:rsidRPr="00FC682A">
        <w:t xml:space="preserve"> </w:t>
      </w:r>
      <w:r w:rsidR="004A04F9">
        <w:t>October 21, 2016</w:t>
      </w:r>
      <w:r w:rsidRPr="00FC682A">
        <w:t xml:space="preserve">, </w:t>
      </w:r>
      <w:r w:rsidR="004A04F9" w:rsidRPr="008E0AB9">
        <w:rPr>
          <w:bCs/>
        </w:rPr>
        <w:t>Iliad Water</w:t>
      </w:r>
      <w:r w:rsidR="004A04F9">
        <w:t xml:space="preserve"> Company, LLC</w:t>
      </w:r>
      <w:r w:rsidRPr="00FC682A">
        <w:t>, (</w:t>
      </w:r>
      <w:r w:rsidR="004A04F9" w:rsidRPr="008E0AB9">
        <w:rPr>
          <w:bCs/>
        </w:rPr>
        <w:t>Iliad Water</w:t>
      </w:r>
      <w:r w:rsidR="00AE37A9" w:rsidRPr="008E0AB9">
        <w:rPr>
          <w:bCs/>
        </w:rPr>
        <w:t xml:space="preserve"> or Company</w:t>
      </w:r>
      <w:r w:rsidRPr="00FC682A">
        <w:t xml:space="preserve">) filed with </w:t>
      </w:r>
      <w:r w:rsidR="007051A9">
        <w:t xml:space="preserve">the </w:t>
      </w:r>
      <w:r w:rsidR="00AF021F" w:rsidRPr="00AF021F">
        <w:rPr>
          <w:szCs w:val="22"/>
        </w:rPr>
        <w:t xml:space="preserve">Washington Utilities and Transportation Commission (Commission) </w:t>
      </w:r>
      <w:r w:rsidR="00865C80">
        <w:rPr>
          <w:noProof/>
        </w:rPr>
        <w:t>revisions</w:t>
      </w:r>
      <w:r w:rsidRPr="00FC682A">
        <w:t xml:space="preserve"> to its currently effective Tariff </w:t>
      </w:r>
      <w:r w:rsidR="00510E4C">
        <w:t>WN U-</w:t>
      </w:r>
      <w:r w:rsidR="004A04F9">
        <w:t>1</w:t>
      </w:r>
      <w:r w:rsidR="00AF021F">
        <w:t>. The proposed revisions would</w:t>
      </w:r>
      <w:r w:rsidR="005A6788">
        <w:t xml:space="preserve"> </w:t>
      </w:r>
      <w:r w:rsidR="00865C80">
        <w:t xml:space="preserve">generate approximately $318,300 (143 percent) in additional annual revenue. </w:t>
      </w:r>
      <w:r w:rsidR="002213DB">
        <w:br/>
      </w:r>
    </w:p>
    <w:p w14:paraId="0BCEAFDE" w14:textId="77E36591" w:rsidR="002D0B56" w:rsidRDefault="00865C80" w:rsidP="002213DB">
      <w:pPr>
        <w:pStyle w:val="FindingsConclusions"/>
      </w:pPr>
      <w:r>
        <w:t xml:space="preserve">On December 22, 2016, the Commission </w:t>
      </w:r>
      <w:r w:rsidR="002213DB">
        <w:t>entered</w:t>
      </w:r>
      <w:r>
        <w:t xml:space="preserve"> Order 01, Complaint and Order Suspending Tariff Revision</w:t>
      </w:r>
      <w:r w:rsidR="00DB35D2">
        <w:t>s</w:t>
      </w:r>
      <w:r>
        <w:t xml:space="preserve"> (Order 01</w:t>
      </w:r>
      <w:r w:rsidR="002213DB">
        <w:t>)</w:t>
      </w:r>
      <w:r w:rsidR="002213DB" w:rsidRPr="00190566">
        <w:t xml:space="preserve"> pending an investigation to determine whether the Company’s tariff </w:t>
      </w:r>
      <w:r w:rsidR="002213DB" w:rsidRPr="00190566">
        <w:rPr>
          <w:noProof/>
        </w:rPr>
        <w:t>revisions</w:t>
      </w:r>
      <w:r w:rsidR="002213DB" w:rsidRPr="00190566">
        <w:t xml:space="preserve"> are fair, just, reasonable, and sufficient.</w:t>
      </w:r>
      <w:r w:rsidR="002D0B56">
        <w:br/>
      </w:r>
    </w:p>
    <w:p w14:paraId="282698E3" w14:textId="61BBEBA3" w:rsidR="00EB5E8D" w:rsidRDefault="00AF021F" w:rsidP="00865C80">
      <w:pPr>
        <w:numPr>
          <w:ilvl w:val="0"/>
          <w:numId w:val="1"/>
        </w:numPr>
        <w:spacing w:line="320" w:lineRule="exact"/>
      </w:pPr>
      <w:r>
        <w:t>This is</w:t>
      </w:r>
      <w:r w:rsidR="00C3089E">
        <w:t xml:space="preserve"> Iliad Water</w:t>
      </w:r>
      <w:r w:rsidR="008E0AB9">
        <w:t xml:space="preserve">’s first general rate filing </w:t>
      </w:r>
      <w:r w:rsidR="00C3089E">
        <w:t xml:space="preserve">since the Company </w:t>
      </w:r>
      <w:r w:rsidR="007051A9">
        <w:t>merged eight of its water systems with</w:t>
      </w:r>
      <w:r w:rsidR="004F2083">
        <w:t xml:space="preserve"> Iliad Water Services </w:t>
      </w:r>
      <w:r w:rsidR="008E0AB9">
        <w:t xml:space="preserve">and </w:t>
      </w:r>
      <w:r w:rsidR="00602F74">
        <w:t xml:space="preserve">subsequently </w:t>
      </w:r>
      <w:r w:rsidR="008E0AB9">
        <w:t>transfer</w:t>
      </w:r>
      <w:r w:rsidR="007051A9">
        <w:t>red</w:t>
      </w:r>
      <w:r w:rsidR="008E0AB9">
        <w:t xml:space="preserve"> control </w:t>
      </w:r>
      <w:r w:rsidR="0080334C">
        <w:t xml:space="preserve">of Iliad Water Services </w:t>
      </w:r>
      <w:r w:rsidR="004F2083">
        <w:t>to Iliad Water</w:t>
      </w:r>
      <w:r w:rsidR="008E0AB9">
        <w:t>.</w:t>
      </w:r>
      <w:r>
        <w:rPr>
          <w:rStyle w:val="FootnoteReference"/>
        </w:rPr>
        <w:footnoteReference w:id="1"/>
      </w:r>
      <w:r w:rsidR="00EB5E8D">
        <w:t xml:space="preserve"> The filing proposes a single tariff rate across</w:t>
      </w:r>
      <w:r w:rsidR="003140CA">
        <w:t xml:space="preserve"> the following</w:t>
      </w:r>
      <w:r w:rsidR="00EB5E8D">
        <w:t xml:space="preserve"> 10 systems owned and operated by Iliad Water: </w:t>
      </w:r>
    </w:p>
    <w:tbl>
      <w:tblPr>
        <w:tblStyle w:val="TableGrid"/>
        <w:tblW w:w="8599" w:type="dxa"/>
        <w:tblLook w:val="04A0" w:firstRow="1" w:lastRow="0" w:firstColumn="1" w:lastColumn="0" w:noHBand="0" w:noVBand="1"/>
      </w:tblPr>
      <w:tblGrid>
        <w:gridCol w:w="3548"/>
        <w:gridCol w:w="1445"/>
        <w:gridCol w:w="1382"/>
        <w:gridCol w:w="2224"/>
      </w:tblGrid>
      <w:tr w:rsidR="00EB5E8D" w14:paraId="11B8C178" w14:textId="77777777" w:rsidTr="00DF1C99">
        <w:trPr>
          <w:trHeight w:val="575"/>
        </w:trPr>
        <w:tc>
          <w:tcPr>
            <w:tcW w:w="8599" w:type="dxa"/>
            <w:gridSpan w:val="4"/>
            <w:shd w:val="clear" w:color="auto" w:fill="EDEDED" w:themeFill="accent3" w:themeFillTint="33"/>
            <w:vAlign w:val="center"/>
          </w:tcPr>
          <w:p w14:paraId="22863555" w14:textId="77777777" w:rsidR="00EB5E8D" w:rsidRPr="00EB5E8D" w:rsidRDefault="00EB5E8D" w:rsidP="00DF1C99">
            <w:pPr>
              <w:jc w:val="center"/>
              <w:rPr>
                <w:rFonts w:ascii="Times New Roman" w:hAnsi="Times New Roman"/>
                <w:b/>
              </w:rPr>
            </w:pPr>
            <w:r w:rsidRPr="00EB5E8D">
              <w:rPr>
                <w:rFonts w:ascii="Times New Roman" w:hAnsi="Times New Roman"/>
                <w:b/>
              </w:rPr>
              <w:lastRenderedPageBreak/>
              <w:t>10 Regulated Water Systems</w:t>
            </w:r>
          </w:p>
        </w:tc>
      </w:tr>
      <w:tr w:rsidR="00EB5E8D" w14:paraId="5C532B22" w14:textId="77777777" w:rsidTr="00F45125">
        <w:trPr>
          <w:trHeight w:val="556"/>
        </w:trPr>
        <w:tc>
          <w:tcPr>
            <w:tcW w:w="3548" w:type="dxa"/>
            <w:shd w:val="clear" w:color="auto" w:fill="EDEDED" w:themeFill="accent3" w:themeFillTint="33"/>
            <w:vAlign w:val="bottom"/>
          </w:tcPr>
          <w:p w14:paraId="77E2C5EC" w14:textId="697BCF3E" w:rsidR="00EB5E8D" w:rsidRPr="00EB5E8D" w:rsidRDefault="00EB5E8D" w:rsidP="002174A6">
            <w:pPr>
              <w:jc w:val="center"/>
              <w:rPr>
                <w:rFonts w:ascii="Times New Roman" w:hAnsi="Times New Roman"/>
                <w:b/>
              </w:rPr>
            </w:pPr>
            <w:r w:rsidRPr="00EB5E8D">
              <w:rPr>
                <w:rFonts w:ascii="Times New Roman" w:hAnsi="Times New Roman"/>
                <w:b/>
              </w:rPr>
              <w:t>Name – by System</w:t>
            </w:r>
          </w:p>
        </w:tc>
        <w:tc>
          <w:tcPr>
            <w:tcW w:w="1445" w:type="dxa"/>
            <w:shd w:val="clear" w:color="auto" w:fill="EDEDED" w:themeFill="accent3" w:themeFillTint="33"/>
            <w:vAlign w:val="bottom"/>
          </w:tcPr>
          <w:p w14:paraId="51CFEAD1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  <w:b/>
              </w:rPr>
            </w:pPr>
            <w:r w:rsidRPr="00EB5E8D">
              <w:rPr>
                <w:rFonts w:ascii="Times New Roman" w:hAnsi="Times New Roman"/>
                <w:b/>
              </w:rPr>
              <w:t>DOH  ID#</w:t>
            </w:r>
          </w:p>
        </w:tc>
        <w:tc>
          <w:tcPr>
            <w:tcW w:w="1382" w:type="dxa"/>
            <w:shd w:val="clear" w:color="auto" w:fill="EDEDED" w:themeFill="accent3" w:themeFillTint="33"/>
            <w:vAlign w:val="bottom"/>
          </w:tcPr>
          <w:p w14:paraId="307025F9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  <w:b/>
              </w:rPr>
            </w:pPr>
            <w:r w:rsidRPr="00EB5E8D">
              <w:rPr>
                <w:rFonts w:ascii="Times New Roman" w:hAnsi="Times New Roman"/>
                <w:b/>
              </w:rPr>
              <w:t>Customer Count</w:t>
            </w:r>
          </w:p>
        </w:tc>
        <w:tc>
          <w:tcPr>
            <w:tcW w:w="2224" w:type="dxa"/>
            <w:shd w:val="clear" w:color="auto" w:fill="EDEDED" w:themeFill="accent3" w:themeFillTint="33"/>
            <w:vAlign w:val="bottom"/>
          </w:tcPr>
          <w:p w14:paraId="596D9753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  <w:b/>
              </w:rPr>
            </w:pPr>
            <w:r w:rsidRPr="00EB5E8D">
              <w:rPr>
                <w:rFonts w:ascii="Times New Roman" w:hAnsi="Times New Roman"/>
                <w:b/>
              </w:rPr>
              <w:t>County</w:t>
            </w:r>
          </w:p>
        </w:tc>
      </w:tr>
      <w:tr w:rsidR="00EB5E8D" w14:paraId="272B9460" w14:textId="77777777" w:rsidTr="00F45125">
        <w:trPr>
          <w:trHeight w:val="277"/>
        </w:trPr>
        <w:tc>
          <w:tcPr>
            <w:tcW w:w="3548" w:type="dxa"/>
          </w:tcPr>
          <w:p w14:paraId="7DAAAB56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Fragaria Landing</w:t>
            </w:r>
          </w:p>
        </w:tc>
        <w:tc>
          <w:tcPr>
            <w:tcW w:w="1445" w:type="dxa"/>
          </w:tcPr>
          <w:p w14:paraId="177C0957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266519</w:t>
            </w:r>
          </w:p>
        </w:tc>
        <w:tc>
          <w:tcPr>
            <w:tcW w:w="1382" w:type="dxa"/>
          </w:tcPr>
          <w:p w14:paraId="0C7F1544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97</w:t>
            </w:r>
          </w:p>
        </w:tc>
        <w:tc>
          <w:tcPr>
            <w:tcW w:w="2224" w:type="dxa"/>
          </w:tcPr>
          <w:p w14:paraId="025F9033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Kitsap</w:t>
            </w:r>
          </w:p>
        </w:tc>
      </w:tr>
      <w:tr w:rsidR="00EB5E8D" w14:paraId="7DB0EEB0" w14:textId="77777777" w:rsidTr="00F45125">
        <w:trPr>
          <w:trHeight w:val="266"/>
        </w:trPr>
        <w:tc>
          <w:tcPr>
            <w:tcW w:w="3548" w:type="dxa"/>
          </w:tcPr>
          <w:p w14:paraId="4DE7E1EC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Hunt I &amp; II</w:t>
            </w:r>
          </w:p>
        </w:tc>
        <w:tc>
          <w:tcPr>
            <w:tcW w:w="1445" w:type="dxa"/>
          </w:tcPr>
          <w:p w14:paraId="53D2EA4F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00567T</w:t>
            </w:r>
          </w:p>
        </w:tc>
        <w:tc>
          <w:tcPr>
            <w:tcW w:w="1382" w:type="dxa"/>
          </w:tcPr>
          <w:p w14:paraId="5D73AECA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32</w:t>
            </w:r>
          </w:p>
        </w:tc>
        <w:tc>
          <w:tcPr>
            <w:tcW w:w="2224" w:type="dxa"/>
          </w:tcPr>
          <w:p w14:paraId="3A057046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Kitsap</w:t>
            </w:r>
          </w:p>
        </w:tc>
      </w:tr>
      <w:tr w:rsidR="00EB5E8D" w14:paraId="750F42F9" w14:textId="77777777" w:rsidTr="00F45125">
        <w:trPr>
          <w:trHeight w:val="277"/>
        </w:trPr>
        <w:tc>
          <w:tcPr>
            <w:tcW w:w="3548" w:type="dxa"/>
          </w:tcPr>
          <w:p w14:paraId="07C1DE29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Lowper</w:t>
            </w:r>
          </w:p>
        </w:tc>
        <w:tc>
          <w:tcPr>
            <w:tcW w:w="1445" w:type="dxa"/>
          </w:tcPr>
          <w:p w14:paraId="33748710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019595</w:t>
            </w:r>
          </w:p>
        </w:tc>
        <w:tc>
          <w:tcPr>
            <w:tcW w:w="1382" w:type="dxa"/>
          </w:tcPr>
          <w:p w14:paraId="186E452F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7</w:t>
            </w:r>
          </w:p>
        </w:tc>
        <w:tc>
          <w:tcPr>
            <w:tcW w:w="2224" w:type="dxa"/>
          </w:tcPr>
          <w:p w14:paraId="5960E3C8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Clallam</w:t>
            </w:r>
          </w:p>
        </w:tc>
      </w:tr>
      <w:tr w:rsidR="00EB5E8D" w14:paraId="1259D700" w14:textId="77777777" w:rsidTr="00F45125">
        <w:trPr>
          <w:trHeight w:val="277"/>
        </w:trPr>
        <w:tc>
          <w:tcPr>
            <w:tcW w:w="3548" w:type="dxa"/>
          </w:tcPr>
          <w:p w14:paraId="65894A0F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Marbello</w:t>
            </w:r>
          </w:p>
        </w:tc>
        <w:tc>
          <w:tcPr>
            <w:tcW w:w="1445" w:type="dxa"/>
          </w:tcPr>
          <w:p w14:paraId="5EEB082D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51530M</w:t>
            </w:r>
          </w:p>
        </w:tc>
        <w:tc>
          <w:tcPr>
            <w:tcW w:w="1382" w:type="dxa"/>
          </w:tcPr>
          <w:p w14:paraId="79A5814F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97</w:t>
            </w:r>
          </w:p>
        </w:tc>
        <w:tc>
          <w:tcPr>
            <w:tcW w:w="2224" w:type="dxa"/>
          </w:tcPr>
          <w:p w14:paraId="5D5EA12B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Snohomish</w:t>
            </w:r>
          </w:p>
        </w:tc>
      </w:tr>
      <w:tr w:rsidR="00EB5E8D" w14:paraId="5D69A5D6" w14:textId="77777777" w:rsidTr="00F45125">
        <w:trPr>
          <w:trHeight w:val="277"/>
        </w:trPr>
        <w:tc>
          <w:tcPr>
            <w:tcW w:w="3548" w:type="dxa"/>
          </w:tcPr>
          <w:p w14:paraId="1B99CF74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Cherry Creek</w:t>
            </w:r>
          </w:p>
        </w:tc>
        <w:tc>
          <w:tcPr>
            <w:tcW w:w="1445" w:type="dxa"/>
          </w:tcPr>
          <w:p w14:paraId="76B84E4F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23101W</w:t>
            </w:r>
          </w:p>
        </w:tc>
        <w:tc>
          <w:tcPr>
            <w:tcW w:w="1382" w:type="dxa"/>
          </w:tcPr>
          <w:p w14:paraId="17A11D3F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57</w:t>
            </w:r>
          </w:p>
        </w:tc>
        <w:tc>
          <w:tcPr>
            <w:tcW w:w="2224" w:type="dxa"/>
          </w:tcPr>
          <w:p w14:paraId="1AEBA6C5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Snohomish</w:t>
            </w:r>
          </w:p>
        </w:tc>
      </w:tr>
      <w:tr w:rsidR="00EB5E8D" w14:paraId="27E178BD" w14:textId="77777777" w:rsidTr="00F45125">
        <w:trPr>
          <w:trHeight w:val="277"/>
        </w:trPr>
        <w:tc>
          <w:tcPr>
            <w:tcW w:w="3548" w:type="dxa"/>
          </w:tcPr>
          <w:p w14:paraId="390BED84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Alder Lake</w:t>
            </w:r>
          </w:p>
        </w:tc>
        <w:tc>
          <w:tcPr>
            <w:tcW w:w="1445" w:type="dxa"/>
          </w:tcPr>
          <w:p w14:paraId="19A3B493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221957</w:t>
            </w:r>
          </w:p>
        </w:tc>
        <w:tc>
          <w:tcPr>
            <w:tcW w:w="1382" w:type="dxa"/>
          </w:tcPr>
          <w:p w14:paraId="38533A27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37</w:t>
            </w:r>
          </w:p>
        </w:tc>
        <w:tc>
          <w:tcPr>
            <w:tcW w:w="2224" w:type="dxa"/>
          </w:tcPr>
          <w:p w14:paraId="6BEAC055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Pierce</w:t>
            </w:r>
          </w:p>
        </w:tc>
      </w:tr>
      <w:tr w:rsidR="00EB5E8D" w14:paraId="59B3DC3D" w14:textId="77777777" w:rsidTr="00F45125">
        <w:trPr>
          <w:trHeight w:val="277"/>
        </w:trPr>
        <w:tc>
          <w:tcPr>
            <w:tcW w:w="3548" w:type="dxa"/>
          </w:tcPr>
          <w:p w14:paraId="0FE1A7E1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Cascade Crest</w:t>
            </w:r>
          </w:p>
        </w:tc>
        <w:tc>
          <w:tcPr>
            <w:tcW w:w="1445" w:type="dxa"/>
          </w:tcPr>
          <w:p w14:paraId="5EF22593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31203Y</w:t>
            </w:r>
          </w:p>
        </w:tc>
        <w:tc>
          <w:tcPr>
            <w:tcW w:w="1382" w:type="dxa"/>
          </w:tcPr>
          <w:p w14:paraId="0A985325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23</w:t>
            </w:r>
          </w:p>
        </w:tc>
        <w:tc>
          <w:tcPr>
            <w:tcW w:w="2224" w:type="dxa"/>
          </w:tcPr>
          <w:p w14:paraId="10BA64A6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Snohomish</w:t>
            </w:r>
          </w:p>
        </w:tc>
      </w:tr>
      <w:tr w:rsidR="00EB5E8D" w14:paraId="4B8C2992" w14:textId="77777777" w:rsidTr="00F45125">
        <w:trPr>
          <w:trHeight w:val="266"/>
        </w:trPr>
        <w:tc>
          <w:tcPr>
            <w:tcW w:w="3548" w:type="dxa"/>
          </w:tcPr>
          <w:p w14:paraId="6415093E" w14:textId="1987BC17" w:rsidR="00EB5E8D" w:rsidRPr="00EB5E8D" w:rsidRDefault="00EB5E8D" w:rsidP="003140CA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Sunwood Graham</w:t>
            </w:r>
          </w:p>
        </w:tc>
        <w:tc>
          <w:tcPr>
            <w:tcW w:w="1445" w:type="dxa"/>
          </w:tcPr>
          <w:p w14:paraId="16107DBF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620345</w:t>
            </w:r>
          </w:p>
        </w:tc>
        <w:tc>
          <w:tcPr>
            <w:tcW w:w="1382" w:type="dxa"/>
          </w:tcPr>
          <w:p w14:paraId="11B4C349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126</w:t>
            </w:r>
          </w:p>
        </w:tc>
        <w:tc>
          <w:tcPr>
            <w:tcW w:w="2224" w:type="dxa"/>
          </w:tcPr>
          <w:p w14:paraId="5EB47227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Pierce</w:t>
            </w:r>
          </w:p>
        </w:tc>
      </w:tr>
      <w:tr w:rsidR="00EB5E8D" w14:paraId="6E4F88CA" w14:textId="77777777" w:rsidTr="00F45125">
        <w:trPr>
          <w:trHeight w:val="277"/>
        </w:trPr>
        <w:tc>
          <w:tcPr>
            <w:tcW w:w="3548" w:type="dxa"/>
          </w:tcPr>
          <w:p w14:paraId="5B2392FD" w14:textId="074785FE" w:rsidR="00EB5E8D" w:rsidRPr="00EB5E8D" w:rsidRDefault="00EB5E8D" w:rsidP="003140CA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Northwest</w:t>
            </w:r>
          </w:p>
        </w:tc>
        <w:tc>
          <w:tcPr>
            <w:tcW w:w="1445" w:type="dxa"/>
          </w:tcPr>
          <w:p w14:paraId="7ECAE2A7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619472</w:t>
            </w:r>
          </w:p>
        </w:tc>
        <w:tc>
          <w:tcPr>
            <w:tcW w:w="1382" w:type="dxa"/>
          </w:tcPr>
          <w:p w14:paraId="48660C57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40</w:t>
            </w:r>
          </w:p>
        </w:tc>
        <w:tc>
          <w:tcPr>
            <w:tcW w:w="2224" w:type="dxa"/>
          </w:tcPr>
          <w:p w14:paraId="0DF44032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Snohomish</w:t>
            </w:r>
          </w:p>
        </w:tc>
      </w:tr>
      <w:tr w:rsidR="00EB5E8D" w14:paraId="0AD61605" w14:textId="77777777" w:rsidTr="00F45125">
        <w:trPr>
          <w:trHeight w:val="277"/>
        </w:trPr>
        <w:tc>
          <w:tcPr>
            <w:tcW w:w="3548" w:type="dxa"/>
          </w:tcPr>
          <w:p w14:paraId="7C3FAA49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Western Stavis</w:t>
            </w:r>
          </w:p>
        </w:tc>
        <w:tc>
          <w:tcPr>
            <w:tcW w:w="1445" w:type="dxa"/>
          </w:tcPr>
          <w:p w14:paraId="3174AAEE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63216O</w:t>
            </w:r>
          </w:p>
        </w:tc>
        <w:tc>
          <w:tcPr>
            <w:tcW w:w="1382" w:type="dxa"/>
          </w:tcPr>
          <w:p w14:paraId="63CE4267" w14:textId="77777777" w:rsidR="00EB5E8D" w:rsidRPr="00EB5E8D" w:rsidRDefault="00EB5E8D" w:rsidP="002174A6">
            <w:pPr>
              <w:jc w:val="center"/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14</w:t>
            </w:r>
          </w:p>
        </w:tc>
        <w:tc>
          <w:tcPr>
            <w:tcW w:w="2224" w:type="dxa"/>
          </w:tcPr>
          <w:p w14:paraId="7AD6505E" w14:textId="77777777" w:rsidR="00EB5E8D" w:rsidRPr="00EB5E8D" w:rsidRDefault="00EB5E8D" w:rsidP="002174A6">
            <w:pPr>
              <w:rPr>
                <w:rFonts w:ascii="Times New Roman" w:hAnsi="Times New Roman"/>
              </w:rPr>
            </w:pPr>
            <w:r w:rsidRPr="00EB5E8D">
              <w:rPr>
                <w:rFonts w:ascii="Times New Roman" w:hAnsi="Times New Roman"/>
              </w:rPr>
              <w:t>Kitsap</w:t>
            </w:r>
          </w:p>
        </w:tc>
      </w:tr>
    </w:tbl>
    <w:p w14:paraId="0711FDD8" w14:textId="4948910F" w:rsidR="00D340D2" w:rsidRDefault="00D340D2" w:rsidP="0057372A">
      <w:pPr>
        <w:spacing w:line="320" w:lineRule="exact"/>
      </w:pPr>
    </w:p>
    <w:p w14:paraId="5843F267" w14:textId="4F680B40" w:rsidR="00D340D2" w:rsidRDefault="003140CA" w:rsidP="00D340D2">
      <w:pPr>
        <w:numPr>
          <w:ilvl w:val="0"/>
          <w:numId w:val="1"/>
        </w:numPr>
        <w:spacing w:line="288" w:lineRule="auto"/>
      </w:pPr>
      <w:r>
        <w:t>T</w:t>
      </w:r>
      <w:r w:rsidR="0057372A">
        <w:t xml:space="preserve">he Commission currently regulates </w:t>
      </w:r>
      <w:r>
        <w:t>all but the Sunwood Graham and Northwest systems. Because</w:t>
      </w:r>
      <w:r w:rsidR="0080334C">
        <w:t xml:space="preserve"> the Company has previously filed general rate cases for</w:t>
      </w:r>
      <w:r>
        <w:t xml:space="preserve"> </w:t>
      </w:r>
      <w:r w:rsidR="00F74B82">
        <w:t>very</w:t>
      </w:r>
      <w:r w:rsidR="0057372A">
        <w:t xml:space="preserve"> few </w:t>
      </w:r>
      <w:r w:rsidR="007051A9">
        <w:t>of the</w:t>
      </w:r>
      <w:r w:rsidR="0080334C">
        <w:t>se</w:t>
      </w:r>
      <w:r w:rsidR="007051A9">
        <w:t xml:space="preserve"> water systems</w:t>
      </w:r>
      <w:r>
        <w:t xml:space="preserve">, this </w:t>
      </w:r>
      <w:r w:rsidR="0057372A">
        <w:t>filing presented Commission staff (Staff) with its first opportunity to perform a full review of the water systems’ historical records of costs and expenses</w:t>
      </w:r>
      <w:r>
        <w:t xml:space="preserve"> for the services </w:t>
      </w:r>
      <w:r w:rsidR="00602F74">
        <w:t>provided</w:t>
      </w:r>
      <w:r w:rsidR="0057372A">
        <w:t>.</w:t>
      </w:r>
      <w:r w:rsidR="0057372A">
        <w:br/>
      </w:r>
    </w:p>
    <w:p w14:paraId="51FFC3A6" w14:textId="014BA6BB" w:rsidR="0080334C" w:rsidRDefault="0057372A" w:rsidP="003140CA">
      <w:pPr>
        <w:pStyle w:val="ListParagraph"/>
        <w:numPr>
          <w:ilvl w:val="0"/>
          <w:numId w:val="1"/>
        </w:numPr>
        <w:spacing w:line="276" w:lineRule="auto"/>
      </w:pPr>
      <w:r>
        <w:t xml:space="preserve">Iliad Water is </w:t>
      </w:r>
      <w:r w:rsidR="00F74B82">
        <w:t xml:space="preserve">also </w:t>
      </w:r>
      <w:r>
        <w:t xml:space="preserve">currently </w:t>
      </w:r>
      <w:r w:rsidR="00E37A1D">
        <w:t xml:space="preserve">completing its purchase of </w:t>
      </w:r>
      <w:r w:rsidR="007D2BDA">
        <w:t xml:space="preserve">the following </w:t>
      </w:r>
      <w:r w:rsidR="00A57180">
        <w:t xml:space="preserve">13 </w:t>
      </w:r>
      <w:r>
        <w:t>water systems</w:t>
      </w:r>
      <w:r w:rsidR="00A57180">
        <w:t>,</w:t>
      </w:r>
      <w:r>
        <w:t xml:space="preserve"> </w:t>
      </w:r>
      <w:r w:rsidR="00A57180">
        <w:t>w</w:t>
      </w:r>
      <w:r w:rsidR="00C3089E">
        <w:t>h</w:t>
      </w:r>
      <w:r w:rsidR="00A57180">
        <w:t>ich the Company</w:t>
      </w:r>
      <w:r w:rsidR="00E37A1D">
        <w:t xml:space="preserve"> </w:t>
      </w:r>
      <w:r>
        <w:t xml:space="preserve">previously operated and managed under </w:t>
      </w:r>
      <w:r w:rsidR="003140CA">
        <w:t xml:space="preserve">service </w:t>
      </w:r>
      <w:r>
        <w:t>contracts</w:t>
      </w:r>
      <w:r w:rsidR="007D2BDA">
        <w:t>:</w:t>
      </w:r>
      <w:r w:rsidR="007D2BDA">
        <w:br/>
      </w:r>
    </w:p>
    <w:tbl>
      <w:tblPr>
        <w:tblStyle w:val="TableGrid"/>
        <w:tblW w:w="8587" w:type="dxa"/>
        <w:tblLook w:val="04A0" w:firstRow="1" w:lastRow="0" w:firstColumn="1" w:lastColumn="0" w:noHBand="0" w:noVBand="1"/>
      </w:tblPr>
      <w:tblGrid>
        <w:gridCol w:w="3606"/>
        <w:gridCol w:w="1380"/>
        <w:gridCol w:w="1380"/>
        <w:gridCol w:w="2221"/>
      </w:tblGrid>
      <w:tr w:rsidR="0080334C" w:rsidRPr="00136AD2" w14:paraId="4286317C" w14:textId="77777777" w:rsidTr="00DF1C99">
        <w:trPr>
          <w:trHeight w:val="575"/>
        </w:trPr>
        <w:tc>
          <w:tcPr>
            <w:tcW w:w="8587" w:type="dxa"/>
            <w:gridSpan w:val="4"/>
            <w:shd w:val="clear" w:color="auto" w:fill="EDEDED" w:themeFill="accent3" w:themeFillTint="33"/>
            <w:vAlign w:val="center"/>
          </w:tcPr>
          <w:p w14:paraId="5C018CDF" w14:textId="15AA8BC7" w:rsidR="00DF1C99" w:rsidRPr="0080334C" w:rsidRDefault="0080334C" w:rsidP="00DF1C99">
            <w:pPr>
              <w:jc w:val="center"/>
              <w:rPr>
                <w:rFonts w:ascii="Times New Roman" w:hAnsi="Times New Roman"/>
                <w:b/>
              </w:rPr>
            </w:pPr>
            <w:r w:rsidRPr="0080334C">
              <w:rPr>
                <w:rFonts w:ascii="Times New Roman" w:eastAsia="Times New Roman" w:hAnsi="Times New Roman"/>
                <w:b/>
                <w:color w:val="000000"/>
              </w:rPr>
              <w:t>13 Unregulated Water Systems</w:t>
            </w:r>
          </w:p>
        </w:tc>
      </w:tr>
      <w:tr w:rsidR="0080334C" w:rsidRPr="00136AD2" w14:paraId="6A883BCB" w14:textId="77777777" w:rsidTr="00DF1C99">
        <w:trPr>
          <w:trHeight w:val="567"/>
        </w:trPr>
        <w:tc>
          <w:tcPr>
            <w:tcW w:w="3606" w:type="dxa"/>
            <w:shd w:val="clear" w:color="auto" w:fill="EDEDED" w:themeFill="accent3" w:themeFillTint="33"/>
            <w:vAlign w:val="bottom"/>
          </w:tcPr>
          <w:p w14:paraId="31254028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  <w:b/>
              </w:rPr>
            </w:pPr>
            <w:r w:rsidRPr="0080334C">
              <w:rPr>
                <w:rFonts w:ascii="Times New Roman" w:hAnsi="Times New Roman"/>
                <w:b/>
              </w:rPr>
              <w:t>Name – system</w:t>
            </w:r>
          </w:p>
        </w:tc>
        <w:tc>
          <w:tcPr>
            <w:tcW w:w="1380" w:type="dxa"/>
            <w:shd w:val="clear" w:color="auto" w:fill="EDEDED" w:themeFill="accent3" w:themeFillTint="33"/>
            <w:vAlign w:val="bottom"/>
          </w:tcPr>
          <w:p w14:paraId="7D1B1DC3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  <w:b/>
              </w:rPr>
            </w:pPr>
            <w:r w:rsidRPr="0080334C">
              <w:rPr>
                <w:rFonts w:ascii="Times New Roman" w:hAnsi="Times New Roman"/>
                <w:b/>
              </w:rPr>
              <w:t>DOH  ID#</w:t>
            </w:r>
          </w:p>
        </w:tc>
        <w:tc>
          <w:tcPr>
            <w:tcW w:w="1380" w:type="dxa"/>
            <w:shd w:val="clear" w:color="auto" w:fill="EDEDED" w:themeFill="accent3" w:themeFillTint="33"/>
            <w:vAlign w:val="bottom"/>
          </w:tcPr>
          <w:p w14:paraId="1451BCE0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  <w:b/>
              </w:rPr>
            </w:pPr>
            <w:r w:rsidRPr="0080334C">
              <w:rPr>
                <w:rFonts w:ascii="Times New Roman" w:hAnsi="Times New Roman"/>
                <w:b/>
              </w:rPr>
              <w:t>Customer Count</w:t>
            </w:r>
          </w:p>
        </w:tc>
        <w:tc>
          <w:tcPr>
            <w:tcW w:w="2219" w:type="dxa"/>
            <w:shd w:val="clear" w:color="auto" w:fill="EDEDED" w:themeFill="accent3" w:themeFillTint="33"/>
            <w:vAlign w:val="bottom"/>
          </w:tcPr>
          <w:p w14:paraId="1EC79ABE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  <w:b/>
              </w:rPr>
            </w:pPr>
            <w:r w:rsidRPr="0080334C">
              <w:rPr>
                <w:rFonts w:ascii="Times New Roman" w:hAnsi="Times New Roman"/>
                <w:b/>
              </w:rPr>
              <w:t>County</w:t>
            </w:r>
          </w:p>
        </w:tc>
      </w:tr>
      <w:tr w:rsidR="0080334C" w14:paraId="42F66213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076AD39C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85 Acres</w:t>
            </w:r>
          </w:p>
        </w:tc>
        <w:tc>
          <w:tcPr>
            <w:tcW w:w="1380" w:type="dxa"/>
            <w:vAlign w:val="bottom"/>
          </w:tcPr>
          <w:p w14:paraId="2844BAA0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225905</w:t>
            </w:r>
          </w:p>
        </w:tc>
        <w:tc>
          <w:tcPr>
            <w:tcW w:w="1380" w:type="dxa"/>
            <w:vAlign w:val="bottom"/>
          </w:tcPr>
          <w:p w14:paraId="6FB85361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2219" w:type="dxa"/>
          </w:tcPr>
          <w:p w14:paraId="0D63A67B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King</w:t>
            </w:r>
          </w:p>
        </w:tc>
      </w:tr>
      <w:tr w:rsidR="0080334C" w14:paraId="515C90C3" w14:textId="77777777" w:rsidTr="00DF1C99">
        <w:trPr>
          <w:trHeight w:val="272"/>
        </w:trPr>
        <w:tc>
          <w:tcPr>
            <w:tcW w:w="3606" w:type="dxa"/>
            <w:vAlign w:val="bottom"/>
          </w:tcPr>
          <w:p w14:paraId="011D3EE2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State/Marysville</w:t>
            </w:r>
          </w:p>
        </w:tc>
        <w:tc>
          <w:tcPr>
            <w:tcW w:w="1380" w:type="dxa"/>
            <w:vAlign w:val="bottom"/>
          </w:tcPr>
          <w:p w14:paraId="5A021E9F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094045</w:t>
            </w:r>
          </w:p>
        </w:tc>
        <w:tc>
          <w:tcPr>
            <w:tcW w:w="1380" w:type="dxa"/>
            <w:vAlign w:val="bottom"/>
          </w:tcPr>
          <w:p w14:paraId="1E5D8E49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2219" w:type="dxa"/>
          </w:tcPr>
          <w:p w14:paraId="06284144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Snohomish</w:t>
            </w:r>
          </w:p>
        </w:tc>
      </w:tr>
      <w:tr w:rsidR="0080334C" w14:paraId="6D37B121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672A787B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Cliftonwood</w:t>
            </w:r>
          </w:p>
        </w:tc>
        <w:tc>
          <w:tcPr>
            <w:tcW w:w="1380" w:type="dxa"/>
            <w:vAlign w:val="bottom"/>
          </w:tcPr>
          <w:p w14:paraId="635CF93F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32027B</w:t>
            </w:r>
          </w:p>
        </w:tc>
        <w:tc>
          <w:tcPr>
            <w:tcW w:w="1380" w:type="dxa"/>
            <w:vAlign w:val="bottom"/>
          </w:tcPr>
          <w:p w14:paraId="00D2DBAE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2219" w:type="dxa"/>
          </w:tcPr>
          <w:p w14:paraId="34424401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Kitsap</w:t>
            </w:r>
          </w:p>
        </w:tc>
      </w:tr>
      <w:tr w:rsidR="0080334C" w14:paraId="379EDD6D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0C93315F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Hunt III</w:t>
            </w:r>
          </w:p>
        </w:tc>
        <w:tc>
          <w:tcPr>
            <w:tcW w:w="1380" w:type="dxa"/>
            <w:vAlign w:val="bottom"/>
          </w:tcPr>
          <w:p w14:paraId="05D9B473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01591J</w:t>
            </w:r>
          </w:p>
        </w:tc>
        <w:tc>
          <w:tcPr>
            <w:tcW w:w="1380" w:type="dxa"/>
            <w:vAlign w:val="bottom"/>
          </w:tcPr>
          <w:p w14:paraId="0BEC5654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2219" w:type="dxa"/>
          </w:tcPr>
          <w:p w14:paraId="04B890FD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Kitsap</w:t>
            </w:r>
          </w:p>
        </w:tc>
      </w:tr>
      <w:tr w:rsidR="0080334C" w14:paraId="5106C296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64A17C2E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Parkwood</w:t>
            </w:r>
          </w:p>
        </w:tc>
        <w:tc>
          <w:tcPr>
            <w:tcW w:w="1380" w:type="dxa"/>
            <w:vAlign w:val="bottom"/>
          </w:tcPr>
          <w:p w14:paraId="2225EBE5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231917</w:t>
            </w:r>
          </w:p>
        </w:tc>
        <w:tc>
          <w:tcPr>
            <w:tcW w:w="1380" w:type="dxa"/>
            <w:vAlign w:val="bottom"/>
          </w:tcPr>
          <w:p w14:paraId="23D77B59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2219" w:type="dxa"/>
          </w:tcPr>
          <w:p w14:paraId="1CA3BFEE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Island</w:t>
            </w:r>
          </w:p>
        </w:tc>
      </w:tr>
      <w:tr w:rsidR="0080334C" w14:paraId="22369323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0B63C605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Skyview</w:t>
            </w:r>
          </w:p>
        </w:tc>
        <w:tc>
          <w:tcPr>
            <w:tcW w:w="1380" w:type="dxa"/>
            <w:vAlign w:val="bottom"/>
          </w:tcPr>
          <w:p w14:paraId="0DB052E9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31141U</w:t>
            </w:r>
          </w:p>
        </w:tc>
        <w:tc>
          <w:tcPr>
            <w:tcW w:w="1380" w:type="dxa"/>
            <w:vAlign w:val="bottom"/>
          </w:tcPr>
          <w:p w14:paraId="406964C0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2219" w:type="dxa"/>
          </w:tcPr>
          <w:p w14:paraId="264AE4C1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Snohomish</w:t>
            </w:r>
          </w:p>
        </w:tc>
      </w:tr>
      <w:tr w:rsidR="0080334C" w14:paraId="7E78C347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22B76315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Stilliridge</w:t>
            </w:r>
          </w:p>
        </w:tc>
        <w:tc>
          <w:tcPr>
            <w:tcW w:w="1380" w:type="dxa"/>
            <w:vAlign w:val="bottom"/>
          </w:tcPr>
          <w:p w14:paraId="7060ED66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187072</w:t>
            </w:r>
          </w:p>
        </w:tc>
        <w:tc>
          <w:tcPr>
            <w:tcW w:w="1380" w:type="dxa"/>
            <w:vAlign w:val="bottom"/>
          </w:tcPr>
          <w:p w14:paraId="51805AEA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2219" w:type="dxa"/>
          </w:tcPr>
          <w:p w14:paraId="442C9C66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Snohomish</w:t>
            </w:r>
          </w:p>
        </w:tc>
      </w:tr>
      <w:tr w:rsidR="0080334C" w14:paraId="0B71E2C2" w14:textId="77777777" w:rsidTr="00DF1C99">
        <w:trPr>
          <w:trHeight w:val="272"/>
        </w:trPr>
        <w:tc>
          <w:tcPr>
            <w:tcW w:w="3606" w:type="dxa"/>
            <w:vAlign w:val="bottom"/>
          </w:tcPr>
          <w:p w14:paraId="79E86CE8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Suddenview</w:t>
            </w:r>
          </w:p>
        </w:tc>
        <w:tc>
          <w:tcPr>
            <w:tcW w:w="1380" w:type="dxa"/>
            <w:vAlign w:val="bottom"/>
          </w:tcPr>
          <w:p w14:paraId="64A6F2B2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12451F</w:t>
            </w:r>
          </w:p>
        </w:tc>
        <w:tc>
          <w:tcPr>
            <w:tcW w:w="1380" w:type="dxa"/>
            <w:vAlign w:val="bottom"/>
          </w:tcPr>
          <w:p w14:paraId="73B97E96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2219" w:type="dxa"/>
          </w:tcPr>
          <w:p w14:paraId="2E3A3E39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Snohomish</w:t>
            </w:r>
          </w:p>
        </w:tc>
      </w:tr>
      <w:tr w:rsidR="0080334C" w14:paraId="2BADBA59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2B14DBFC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Sunland Shores</w:t>
            </w:r>
          </w:p>
        </w:tc>
        <w:tc>
          <w:tcPr>
            <w:tcW w:w="1380" w:type="dxa"/>
            <w:vAlign w:val="bottom"/>
          </w:tcPr>
          <w:p w14:paraId="5A480C2A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85257Q</w:t>
            </w:r>
          </w:p>
        </w:tc>
        <w:tc>
          <w:tcPr>
            <w:tcW w:w="1380" w:type="dxa"/>
            <w:vAlign w:val="bottom"/>
          </w:tcPr>
          <w:p w14:paraId="19079B40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2219" w:type="dxa"/>
          </w:tcPr>
          <w:p w14:paraId="53DBA09E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Clallam</w:t>
            </w:r>
          </w:p>
        </w:tc>
      </w:tr>
      <w:tr w:rsidR="0080334C" w14:paraId="1A43399F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42D29FDB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Sunnyhills</w:t>
            </w:r>
          </w:p>
        </w:tc>
        <w:tc>
          <w:tcPr>
            <w:tcW w:w="1380" w:type="dxa"/>
            <w:vAlign w:val="bottom"/>
          </w:tcPr>
          <w:p w14:paraId="254B5EE4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23391F</w:t>
            </w:r>
          </w:p>
        </w:tc>
        <w:tc>
          <w:tcPr>
            <w:tcW w:w="1380" w:type="dxa"/>
            <w:vAlign w:val="bottom"/>
          </w:tcPr>
          <w:p w14:paraId="57840B7F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219" w:type="dxa"/>
          </w:tcPr>
          <w:p w14:paraId="7FB9E997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Lincoln</w:t>
            </w:r>
          </w:p>
        </w:tc>
      </w:tr>
      <w:tr w:rsidR="0080334C" w14:paraId="169A49CB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200654AB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Tala Pt</w:t>
            </w:r>
          </w:p>
        </w:tc>
        <w:tc>
          <w:tcPr>
            <w:tcW w:w="1380" w:type="dxa"/>
            <w:vAlign w:val="bottom"/>
          </w:tcPr>
          <w:p w14:paraId="2DEAD7AC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602030</w:t>
            </w:r>
          </w:p>
        </w:tc>
        <w:tc>
          <w:tcPr>
            <w:tcW w:w="1380" w:type="dxa"/>
            <w:vAlign w:val="bottom"/>
          </w:tcPr>
          <w:p w14:paraId="2560BA20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219" w:type="dxa"/>
          </w:tcPr>
          <w:p w14:paraId="0AD132E6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Jefferson</w:t>
            </w:r>
          </w:p>
        </w:tc>
      </w:tr>
      <w:tr w:rsidR="0080334C" w14:paraId="083364EA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380DB8FA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Vashon</w:t>
            </w:r>
          </w:p>
        </w:tc>
        <w:tc>
          <w:tcPr>
            <w:tcW w:w="1380" w:type="dxa"/>
            <w:vAlign w:val="bottom"/>
          </w:tcPr>
          <w:p w14:paraId="017E2C8F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AA614K</w:t>
            </w:r>
          </w:p>
        </w:tc>
        <w:tc>
          <w:tcPr>
            <w:tcW w:w="1380" w:type="dxa"/>
            <w:vAlign w:val="bottom"/>
          </w:tcPr>
          <w:p w14:paraId="60802657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219" w:type="dxa"/>
          </w:tcPr>
          <w:p w14:paraId="2F4BC0E2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King</w:t>
            </w:r>
          </w:p>
        </w:tc>
      </w:tr>
      <w:tr w:rsidR="0080334C" w14:paraId="226E98E2" w14:textId="77777777" w:rsidTr="00DF1C99">
        <w:trPr>
          <w:trHeight w:val="283"/>
        </w:trPr>
        <w:tc>
          <w:tcPr>
            <w:tcW w:w="3606" w:type="dxa"/>
            <w:vAlign w:val="bottom"/>
          </w:tcPr>
          <w:p w14:paraId="36B30B13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Vista Glen</w:t>
            </w:r>
          </w:p>
        </w:tc>
        <w:tc>
          <w:tcPr>
            <w:tcW w:w="1380" w:type="dxa"/>
            <w:vAlign w:val="bottom"/>
          </w:tcPr>
          <w:p w14:paraId="0DBC95DF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64340V</w:t>
            </w:r>
          </w:p>
        </w:tc>
        <w:tc>
          <w:tcPr>
            <w:tcW w:w="1380" w:type="dxa"/>
            <w:vAlign w:val="bottom"/>
          </w:tcPr>
          <w:p w14:paraId="16CE47CF" w14:textId="77777777" w:rsidR="0080334C" w:rsidRPr="0080334C" w:rsidRDefault="0080334C" w:rsidP="002174A6">
            <w:pPr>
              <w:jc w:val="center"/>
              <w:rPr>
                <w:rFonts w:ascii="Times New Roman" w:hAnsi="Times New Roman"/>
              </w:rPr>
            </w:pPr>
            <w:r w:rsidRPr="0080334C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2219" w:type="dxa"/>
          </w:tcPr>
          <w:p w14:paraId="02A581BB" w14:textId="77777777" w:rsidR="0080334C" w:rsidRPr="0080334C" w:rsidRDefault="0080334C" w:rsidP="002174A6">
            <w:pPr>
              <w:rPr>
                <w:rFonts w:ascii="Times New Roman" w:hAnsi="Times New Roman"/>
              </w:rPr>
            </w:pPr>
            <w:r w:rsidRPr="0080334C">
              <w:rPr>
                <w:rFonts w:ascii="Times New Roman" w:hAnsi="Times New Roman"/>
              </w:rPr>
              <w:t>Snohomish</w:t>
            </w:r>
          </w:p>
        </w:tc>
      </w:tr>
    </w:tbl>
    <w:p w14:paraId="3E6CB965" w14:textId="11D47653" w:rsidR="000E2F17" w:rsidRDefault="0057372A" w:rsidP="003140CA">
      <w:pPr>
        <w:pStyle w:val="ListParagraph"/>
        <w:numPr>
          <w:ilvl w:val="0"/>
          <w:numId w:val="1"/>
        </w:numPr>
        <w:spacing w:line="276" w:lineRule="auto"/>
      </w:pPr>
      <w:r>
        <w:lastRenderedPageBreak/>
        <w:t>The Company plans</w:t>
      </w:r>
      <w:r w:rsidR="002213DB">
        <w:t xml:space="preserve"> to file </w:t>
      </w:r>
      <w:r w:rsidR="0080334C">
        <w:t xml:space="preserve">a </w:t>
      </w:r>
      <w:r w:rsidR="002213DB">
        <w:t>tariff</w:t>
      </w:r>
      <w:r w:rsidR="0080334C">
        <w:t xml:space="preserve"> revision to add</w:t>
      </w:r>
      <w:r w:rsidR="002213DB">
        <w:t xml:space="preserve"> </w:t>
      </w:r>
      <w:r w:rsidR="00E37A1D">
        <w:t xml:space="preserve">these </w:t>
      </w:r>
      <w:r>
        <w:t xml:space="preserve">13 water systems </w:t>
      </w:r>
      <w:r w:rsidR="00F74B82">
        <w:t xml:space="preserve">to its tariff </w:t>
      </w:r>
      <w:r w:rsidR="00E47C71" w:rsidRPr="008C79A0">
        <w:t>within 60 to 90</w:t>
      </w:r>
      <w:r w:rsidR="002213DB" w:rsidRPr="008C79A0">
        <w:t xml:space="preserve"> days</w:t>
      </w:r>
      <w:r w:rsidR="0080334C">
        <w:t xml:space="preserve"> of the effective date of this Order</w:t>
      </w:r>
      <w:r>
        <w:t xml:space="preserve">. </w:t>
      </w:r>
      <w:r w:rsidR="003140CA">
        <w:t xml:space="preserve">When </w:t>
      </w:r>
      <w:r>
        <w:t xml:space="preserve">meter rates </w:t>
      </w:r>
      <w:r w:rsidR="003140CA">
        <w:t xml:space="preserve">have been </w:t>
      </w:r>
      <w:r>
        <w:t xml:space="preserve">in effect for </w:t>
      </w:r>
      <w:r w:rsidR="003140CA">
        <w:t xml:space="preserve">all 23 systems for </w:t>
      </w:r>
      <w:r w:rsidR="00C3089E">
        <w:t xml:space="preserve">a period of </w:t>
      </w:r>
      <w:r w:rsidR="003140CA">
        <w:t>one</w:t>
      </w:r>
      <w:r>
        <w:t xml:space="preserve"> year, the Company </w:t>
      </w:r>
      <w:r w:rsidR="00F74B82">
        <w:t>has agreed to</w:t>
      </w:r>
      <w:r>
        <w:t xml:space="preserve"> </w:t>
      </w:r>
      <w:r w:rsidR="003140CA">
        <w:t>file another general rate case</w:t>
      </w:r>
      <w:r w:rsidR="00E37A1D">
        <w:t xml:space="preserve"> to allow Staff to perform a full review of all of the water systems’ historical records</w:t>
      </w:r>
      <w:r>
        <w:t>.</w:t>
      </w:r>
      <w:r w:rsidR="0080334C">
        <w:t xml:space="preserve"> That rate filing will also address the Company’s transition from </w:t>
      </w:r>
      <w:r w:rsidR="00586A8B">
        <w:t xml:space="preserve">an affiliated </w:t>
      </w:r>
      <w:r w:rsidR="0080334C">
        <w:t>contract</w:t>
      </w:r>
      <w:r w:rsidR="00586A8B">
        <w:t xml:space="preserve"> for</w:t>
      </w:r>
      <w:r w:rsidR="0080334C">
        <w:t xml:space="preserve"> services to operating as a stand-alone water company.</w:t>
      </w:r>
      <w:r w:rsidR="000E2F17">
        <w:br/>
      </w:r>
    </w:p>
    <w:p w14:paraId="2F1B3E91" w14:textId="542D6787" w:rsidR="000E2F17" w:rsidRDefault="000E2F17" w:rsidP="000E2F17">
      <w:pPr>
        <w:numPr>
          <w:ilvl w:val="0"/>
          <w:numId w:val="1"/>
        </w:numPr>
        <w:spacing w:line="288" w:lineRule="auto"/>
      </w:pPr>
      <w:r>
        <w:rPr>
          <w:color w:val="000000"/>
        </w:rPr>
        <w:t xml:space="preserve">On October 21, 2016, the Company notified its customers by mail of the proposed rate increase. </w:t>
      </w:r>
      <w:r w:rsidR="009E15D4">
        <w:rPr>
          <w:color w:val="000000"/>
        </w:rPr>
        <w:t>Staff received 16</w:t>
      </w:r>
      <w:r w:rsidRPr="000E2F17">
        <w:rPr>
          <w:color w:val="000000"/>
        </w:rPr>
        <w:t>0 consumer comments, all opposed to the proposed rate increase.</w:t>
      </w:r>
      <w:r>
        <w:rPr>
          <w:color w:val="000000"/>
        </w:rPr>
        <w:t xml:space="preserve"> Staff attended a community meeting organized by customers on the Marbello </w:t>
      </w:r>
      <w:r w:rsidR="009E15D4">
        <w:rPr>
          <w:color w:val="000000"/>
        </w:rPr>
        <w:t xml:space="preserve">and Sunwood Graham </w:t>
      </w:r>
      <w:r>
        <w:rPr>
          <w:color w:val="000000"/>
        </w:rPr>
        <w:t>system</w:t>
      </w:r>
      <w:r w:rsidR="009E15D4">
        <w:rPr>
          <w:color w:val="000000"/>
        </w:rPr>
        <w:t>s</w:t>
      </w:r>
      <w:r>
        <w:rPr>
          <w:color w:val="000000"/>
        </w:rPr>
        <w:t xml:space="preserve"> and met with concerned customers following the Commission’s December 22, 2016,</w:t>
      </w:r>
      <w:r w:rsidR="009E15D4">
        <w:rPr>
          <w:color w:val="000000"/>
        </w:rPr>
        <w:t xml:space="preserve"> and February 23, 2017</w:t>
      </w:r>
      <w:r w:rsidR="00E71E65">
        <w:rPr>
          <w:color w:val="000000"/>
        </w:rPr>
        <w:t>,</w:t>
      </w:r>
      <w:r>
        <w:rPr>
          <w:color w:val="000000"/>
        </w:rPr>
        <w:t xml:space="preserve"> open meeting</w:t>
      </w:r>
      <w:r w:rsidR="009E15D4">
        <w:rPr>
          <w:color w:val="000000"/>
        </w:rPr>
        <w:t>s</w:t>
      </w:r>
      <w:r>
        <w:rPr>
          <w:color w:val="000000"/>
        </w:rPr>
        <w:t>.</w:t>
      </w:r>
      <w:r w:rsidR="00A248F1">
        <w:rPr>
          <w:rStyle w:val="FootnoteReference"/>
          <w:color w:val="000000"/>
        </w:rPr>
        <w:footnoteReference w:id="2"/>
      </w:r>
      <w:r>
        <w:rPr>
          <w:color w:val="000000"/>
        </w:rPr>
        <w:t xml:space="preserve"> </w:t>
      </w:r>
    </w:p>
    <w:p w14:paraId="54B3CF98" w14:textId="14366037" w:rsidR="0057372A" w:rsidRDefault="0057372A" w:rsidP="00A13BCB">
      <w:pPr>
        <w:spacing w:line="288" w:lineRule="auto"/>
      </w:pPr>
    </w:p>
    <w:p w14:paraId="277A450A" w14:textId="28D5C640" w:rsidR="00F74B82" w:rsidRDefault="00A13BCB" w:rsidP="00F74B82">
      <w:pPr>
        <w:pStyle w:val="ListParagraph"/>
        <w:numPr>
          <w:ilvl w:val="0"/>
          <w:numId w:val="1"/>
        </w:numPr>
        <w:spacing w:line="276" w:lineRule="auto"/>
      </w:pPr>
      <w:r>
        <w:t xml:space="preserve">Staff </w:t>
      </w:r>
      <w:r w:rsidR="004E4FB5">
        <w:t>evaluated</w:t>
      </w:r>
      <w:r>
        <w:t xml:space="preserve"> </w:t>
      </w:r>
      <w:r w:rsidR="0057372A">
        <w:t xml:space="preserve">several rate structures designed to allow the Company to collect the additional required revenue </w:t>
      </w:r>
      <w:r>
        <w:t>and</w:t>
      </w:r>
      <w:r w:rsidR="0057372A">
        <w:t xml:space="preserve"> </w:t>
      </w:r>
      <w:r w:rsidR="004E4FB5">
        <w:t>determined</w:t>
      </w:r>
      <w:r w:rsidR="0057372A">
        <w:t xml:space="preserve"> that </w:t>
      </w:r>
      <w:r w:rsidR="00602F74">
        <w:t xml:space="preserve">a </w:t>
      </w:r>
      <w:r w:rsidR="0057372A">
        <w:t>single tariff pricing rate structure</w:t>
      </w:r>
      <w:r w:rsidR="00602F74">
        <w:t xml:space="preserve"> will best serve the public interest by removing</w:t>
      </w:r>
      <w:r w:rsidR="0057372A">
        <w:t xml:space="preserve"> all surcharges </w:t>
      </w:r>
      <w:r w:rsidR="004E4FB5">
        <w:t>and spread</w:t>
      </w:r>
      <w:r w:rsidR="00602F74">
        <w:t>ing</w:t>
      </w:r>
      <w:r w:rsidR="0057372A">
        <w:t xml:space="preserve"> operating costs equally across all customers. </w:t>
      </w:r>
      <w:r w:rsidR="00184937">
        <w:t>Staff and the Company agree that a $1</w:t>
      </w:r>
      <w:r w:rsidR="009E15D4">
        <w:t>61,036 (44</w:t>
      </w:r>
      <w:r w:rsidR="00184937">
        <w:t xml:space="preserve"> percent) increase</w:t>
      </w:r>
      <w:r w:rsidR="004E4FB5">
        <w:t xml:space="preserve"> in additional annual revenue –</w:t>
      </w:r>
      <w:r>
        <w:t xml:space="preserve"> rather than a $318,300 increase</w:t>
      </w:r>
      <w:r w:rsidR="004E4FB5">
        <w:t xml:space="preserve"> </w:t>
      </w:r>
      <w:r w:rsidR="00693CAB">
        <w:t>– will</w:t>
      </w:r>
      <w:r w:rsidR="007051A9">
        <w:t xml:space="preserve"> result in rates that are</w:t>
      </w:r>
      <w:r w:rsidR="00184937">
        <w:t xml:space="preserve"> fair, just, reasonable, and sufficient. </w:t>
      </w:r>
    </w:p>
    <w:p w14:paraId="4E9F2DF9" w14:textId="77777777" w:rsidR="00F74B82" w:rsidRDefault="00F74B82" w:rsidP="00F74B82">
      <w:pPr>
        <w:pStyle w:val="ListParagraph"/>
      </w:pPr>
    </w:p>
    <w:p w14:paraId="0132055F" w14:textId="1673375B" w:rsidR="00184937" w:rsidRDefault="00A13BCB" w:rsidP="00E47C71">
      <w:pPr>
        <w:pStyle w:val="ListParagraph"/>
        <w:numPr>
          <w:ilvl w:val="0"/>
          <w:numId w:val="1"/>
        </w:numPr>
        <w:spacing w:line="276" w:lineRule="auto"/>
      </w:pPr>
      <w:r>
        <w:t xml:space="preserve">The Commission contacted customers who </w:t>
      </w:r>
      <w:r w:rsidR="00602F74">
        <w:t>filed</w:t>
      </w:r>
      <w:r>
        <w:t xml:space="preserve"> comments </w:t>
      </w:r>
      <w:r w:rsidR="00DE142C">
        <w:t xml:space="preserve">and notified them about the revised proposed rate </w:t>
      </w:r>
      <w:r>
        <w:t xml:space="preserve">increase. </w:t>
      </w:r>
      <w:r w:rsidR="00F74B82">
        <w:t>Several</w:t>
      </w:r>
      <w:r w:rsidR="00F74B82" w:rsidRPr="00F74B82">
        <w:rPr>
          <w:color w:val="000000"/>
        </w:rPr>
        <w:t xml:space="preserve"> customers </w:t>
      </w:r>
      <w:r w:rsidR="00F74B82">
        <w:rPr>
          <w:color w:val="000000"/>
        </w:rPr>
        <w:t xml:space="preserve">requested assistance with </w:t>
      </w:r>
      <w:r w:rsidR="00693CAB">
        <w:rPr>
          <w:color w:val="000000"/>
        </w:rPr>
        <w:t>calculating their</w:t>
      </w:r>
      <w:r w:rsidR="00F74B82">
        <w:rPr>
          <w:color w:val="000000"/>
        </w:rPr>
        <w:t xml:space="preserve"> bills using S</w:t>
      </w:r>
      <w:r w:rsidR="00F74B82" w:rsidRPr="00F74B82">
        <w:rPr>
          <w:color w:val="000000"/>
        </w:rPr>
        <w:t>taff</w:t>
      </w:r>
      <w:r w:rsidR="00F74B82">
        <w:rPr>
          <w:color w:val="000000"/>
        </w:rPr>
        <w:t>’s</w:t>
      </w:r>
      <w:r w:rsidR="00F74B82" w:rsidRPr="00F74B82">
        <w:rPr>
          <w:color w:val="000000"/>
        </w:rPr>
        <w:t xml:space="preserve"> recom</w:t>
      </w:r>
      <w:r w:rsidR="00E47C71">
        <w:rPr>
          <w:color w:val="000000"/>
        </w:rPr>
        <w:t>mended rates. Two customers expressed concerns that</w:t>
      </w:r>
      <w:r w:rsidR="00F74B82" w:rsidRPr="00F74B82">
        <w:rPr>
          <w:color w:val="000000"/>
        </w:rPr>
        <w:t xml:space="preserve"> the rates are still too high</w:t>
      </w:r>
      <w:r w:rsidR="00F74B82">
        <w:rPr>
          <w:color w:val="000000"/>
        </w:rPr>
        <w:t>,</w:t>
      </w:r>
      <w:r w:rsidR="00F74B82" w:rsidRPr="00F74B82">
        <w:rPr>
          <w:color w:val="000000"/>
        </w:rPr>
        <w:t xml:space="preserve"> and two others were </w:t>
      </w:r>
      <w:r w:rsidR="00F74B82">
        <w:rPr>
          <w:color w:val="000000"/>
        </w:rPr>
        <w:t>satisfied</w:t>
      </w:r>
      <w:r w:rsidR="00F74B82" w:rsidRPr="00F74B82">
        <w:rPr>
          <w:color w:val="000000"/>
        </w:rPr>
        <w:t xml:space="preserve"> that </w:t>
      </w:r>
      <w:r w:rsidR="00F74B82">
        <w:rPr>
          <w:color w:val="000000"/>
        </w:rPr>
        <w:t>Staff is recommending reduced rates</w:t>
      </w:r>
      <w:r w:rsidR="00F74B82" w:rsidRPr="00F74B82">
        <w:rPr>
          <w:color w:val="000000"/>
        </w:rPr>
        <w:t>.</w:t>
      </w:r>
      <w:r w:rsidR="00E47C71">
        <w:rPr>
          <w:color w:val="000000"/>
        </w:rPr>
        <w:t xml:space="preserve"> </w:t>
      </w:r>
      <w:r w:rsidR="002213DB" w:rsidRPr="00190566">
        <w:t>The customers’ comments do not change Staff’s opinion that the Company’s financial information supports the revised revenue requirement, and that the revised rates and charges are fair, jus</w:t>
      </w:r>
      <w:r w:rsidR="00602F74">
        <w:t xml:space="preserve">t, reasonable, and sufficient. </w:t>
      </w:r>
      <w:r w:rsidR="002213DB" w:rsidRPr="00190566">
        <w:t>Staff’s review shows that the expenses are reasonable and required as part of the Company’s operation.</w:t>
      </w:r>
      <w:r w:rsidR="00602F74">
        <w:t xml:space="preserve"> Accordingly</w:t>
      </w:r>
      <w:r w:rsidR="00184937">
        <w:t xml:space="preserve">, Staff recommends the Commission allow the revised rates and tariff revision filed by Iliad Water on </w:t>
      </w:r>
      <w:r w:rsidR="009E15D4">
        <w:t>March</w:t>
      </w:r>
      <w:r w:rsidR="00184937">
        <w:t xml:space="preserve"> </w:t>
      </w:r>
      <w:r w:rsidR="00A01A62">
        <w:t>20</w:t>
      </w:r>
      <w:r w:rsidR="00184937" w:rsidRPr="00A702BC">
        <w:t>,</w:t>
      </w:r>
      <w:r w:rsidR="00184937">
        <w:t xml:space="preserve"> 2017, to become effective on </w:t>
      </w:r>
      <w:r w:rsidR="009E15D4">
        <w:t>April</w:t>
      </w:r>
      <w:r w:rsidR="007051A9">
        <w:t xml:space="preserve"> 1</w:t>
      </w:r>
      <w:r w:rsidR="00E47C71">
        <w:t xml:space="preserve">, 2017. </w:t>
      </w:r>
      <w:r w:rsidR="00184937">
        <w:br/>
      </w:r>
    </w:p>
    <w:p w14:paraId="739EEDD3" w14:textId="68DF48AE" w:rsidR="00184937" w:rsidRDefault="00184937" w:rsidP="00184937">
      <w:pPr>
        <w:spacing w:line="276" w:lineRule="auto"/>
        <w:jc w:val="center"/>
      </w:pPr>
      <w:r>
        <w:rPr>
          <w:b/>
        </w:rPr>
        <w:lastRenderedPageBreak/>
        <w:t>DISCUSSION</w:t>
      </w:r>
      <w:r>
        <w:br/>
      </w:r>
    </w:p>
    <w:p w14:paraId="214F2580" w14:textId="7DDCC2B1" w:rsidR="0057372A" w:rsidRDefault="00184937" w:rsidP="00A57180">
      <w:pPr>
        <w:numPr>
          <w:ilvl w:val="0"/>
          <w:numId w:val="1"/>
        </w:numPr>
        <w:spacing w:line="288" w:lineRule="auto"/>
      </w:pPr>
      <w:r>
        <w:t>We agree with Staff’s recommendation and dismiss Order 01 to allow Iliad’s revised rates</w:t>
      </w:r>
      <w:r w:rsidR="00602F74">
        <w:t>,</w:t>
      </w:r>
      <w:r w:rsidR="009E15D4">
        <w:t xml:space="preserve"> as filed on March</w:t>
      </w:r>
      <w:r>
        <w:t xml:space="preserve"> </w:t>
      </w:r>
      <w:r w:rsidR="00A01A62" w:rsidRPr="00A01A62">
        <w:t>20</w:t>
      </w:r>
      <w:r>
        <w:t>, 2017, to go in</w:t>
      </w:r>
      <w:r w:rsidR="007051A9">
        <w:t xml:space="preserve">to effect on </w:t>
      </w:r>
      <w:r w:rsidR="009E15D4">
        <w:t>April</w:t>
      </w:r>
      <w:r w:rsidR="007051A9" w:rsidRPr="007051A9">
        <w:t xml:space="preserve"> 1, 2017.</w:t>
      </w:r>
      <w:r w:rsidR="002213DB">
        <w:t xml:space="preserve"> As outlined in </w:t>
      </w:r>
      <w:r w:rsidR="00602F74">
        <w:t>Staff’s</w:t>
      </w:r>
      <w:r w:rsidR="002213DB">
        <w:t xml:space="preserve"> memo, Staff made multiple adjustments to the original filing to create a Company rate base that nets the historical differences of the separate water system assets, depreciation, and contributions in aid of construction under common ownership,</w:t>
      </w:r>
      <w:r w:rsidR="00602F74">
        <w:t xml:space="preserve"> </w:t>
      </w:r>
      <w:r w:rsidR="002213DB">
        <w:t>which</w:t>
      </w:r>
      <w:r w:rsidR="00602F74">
        <w:t xml:space="preserve"> </w:t>
      </w:r>
      <w:r w:rsidR="002213DB">
        <w:t xml:space="preserve">results in rates that are fair, just, reasonable, and sufficient. We </w:t>
      </w:r>
      <w:r w:rsidR="00A57180">
        <w:t>also find</w:t>
      </w:r>
      <w:r w:rsidR="002213DB">
        <w:t xml:space="preserve"> that the single tariff rate structure</w:t>
      </w:r>
      <w:r w:rsidR="00E47C71">
        <w:t>, which maximizes economies of scale,</w:t>
      </w:r>
      <w:r w:rsidR="002213DB">
        <w:t xml:space="preserve"> is</w:t>
      </w:r>
      <w:r w:rsidR="00602F74">
        <w:t xml:space="preserve"> </w:t>
      </w:r>
      <w:r w:rsidR="00C3089E">
        <w:t>in the public interest</w:t>
      </w:r>
      <w:r w:rsidR="00602F74">
        <w:t>.</w:t>
      </w:r>
      <w:r w:rsidR="002213DB">
        <w:t xml:space="preserve"> </w:t>
      </w:r>
      <w:r w:rsidR="007051A9">
        <w:t xml:space="preserve">Under a single tariff rate, the </w:t>
      </w:r>
      <w:r w:rsidR="0057372A">
        <w:t>impacts of any large plant costs or operating expenses</w:t>
      </w:r>
      <w:r w:rsidR="007051A9">
        <w:t xml:space="preserve"> will be minimized</w:t>
      </w:r>
      <w:r w:rsidR="00E47C71">
        <w:t xml:space="preserve"> on a per-customer basis</w:t>
      </w:r>
      <w:r w:rsidR="0057372A">
        <w:t xml:space="preserve">. </w:t>
      </w:r>
      <w:r w:rsidR="007D2BDA">
        <w:br/>
      </w:r>
    </w:p>
    <w:p w14:paraId="7038C04A" w14:textId="42E58948" w:rsidR="00D340D2" w:rsidRPr="00FC682A" w:rsidRDefault="00C3089E" w:rsidP="004D4811">
      <w:pPr>
        <w:numPr>
          <w:ilvl w:val="0"/>
          <w:numId w:val="1"/>
        </w:numPr>
        <w:spacing w:line="288" w:lineRule="auto"/>
      </w:pPr>
      <w:r>
        <w:t>Consistent with</w:t>
      </w:r>
      <w:r w:rsidR="00A57180">
        <w:t xml:space="preserve"> its representations, w</w:t>
      </w:r>
      <w:r w:rsidR="007D2BDA">
        <w:t xml:space="preserve">e require the Company to file </w:t>
      </w:r>
      <w:r w:rsidR="00E47C71">
        <w:t xml:space="preserve">a tariff revision to establish </w:t>
      </w:r>
      <w:r w:rsidR="007D2BDA">
        <w:t xml:space="preserve">Commission jurisdiction over the 13 additional water systems </w:t>
      </w:r>
      <w:r w:rsidR="00E47C71">
        <w:t>listed in paragraph 5 within 6</w:t>
      </w:r>
      <w:r w:rsidR="007D2BDA">
        <w:t>0 days of the effective date of this Order.</w:t>
      </w:r>
      <w:r w:rsidR="00E47C71">
        <w:t xml:space="preserve"> </w:t>
      </w:r>
      <w:r w:rsidR="007D2BDA">
        <w:t>Finally, we require Iliad Water to file a</w:t>
      </w:r>
      <w:r w:rsidR="00E47C71">
        <w:t xml:space="preserve"> </w:t>
      </w:r>
      <w:r w:rsidR="007D2BDA">
        <w:t xml:space="preserve">general rate case </w:t>
      </w:r>
      <w:r w:rsidR="009E15D4">
        <w:t xml:space="preserve">with an effective date </w:t>
      </w:r>
      <w:r w:rsidR="007D2BDA">
        <w:t>no later th</w:t>
      </w:r>
      <w:r w:rsidR="00E47C71">
        <w:t>an 1</w:t>
      </w:r>
      <w:r w:rsidR="009E15D4">
        <w:t>5</w:t>
      </w:r>
      <w:r w:rsidR="00E47C71">
        <w:t xml:space="preserve"> months from the date the Company revises its tariff to include all </w:t>
      </w:r>
      <w:r w:rsidR="007D2BDA">
        <w:t>23 water systems.</w:t>
      </w:r>
    </w:p>
    <w:p w14:paraId="4350CFF8" w14:textId="77777777" w:rsidR="00F27132" w:rsidRPr="00FC682A" w:rsidRDefault="00F27132" w:rsidP="00127C1C">
      <w:pPr>
        <w:spacing w:line="320" w:lineRule="exact"/>
      </w:pPr>
    </w:p>
    <w:p w14:paraId="4350CFF9" w14:textId="77777777" w:rsidR="00F27132" w:rsidRPr="00FC682A" w:rsidRDefault="00F27132" w:rsidP="00127C1C">
      <w:pPr>
        <w:spacing w:line="320" w:lineRule="exact"/>
        <w:ind w:left="-360" w:firstLine="360"/>
        <w:jc w:val="center"/>
        <w:rPr>
          <w:b/>
        </w:rPr>
      </w:pPr>
      <w:r w:rsidRPr="00FC682A">
        <w:rPr>
          <w:b/>
        </w:rPr>
        <w:t>FINDINGS AND CONCLUSIONS</w:t>
      </w:r>
    </w:p>
    <w:p w14:paraId="4350CFFA" w14:textId="77777777" w:rsidR="00F27132" w:rsidRPr="00FC682A" w:rsidRDefault="00F27132" w:rsidP="00127C1C">
      <w:pPr>
        <w:spacing w:line="320" w:lineRule="exact"/>
        <w:jc w:val="center"/>
      </w:pPr>
    </w:p>
    <w:p w14:paraId="4350CFFB" w14:textId="130789ED" w:rsidR="00C665A5" w:rsidRPr="00D009AA" w:rsidRDefault="00F27132" w:rsidP="00127C1C">
      <w:pPr>
        <w:numPr>
          <w:ilvl w:val="0"/>
          <w:numId w:val="1"/>
        </w:numPr>
        <w:spacing w:line="320" w:lineRule="exact"/>
        <w:ind w:left="720" w:hanging="1440"/>
      </w:pPr>
      <w:r w:rsidRPr="00FC682A">
        <w:t>(1)</w:t>
      </w:r>
      <w:r w:rsidRPr="00FC682A">
        <w:tab/>
        <w:t xml:space="preserve">The </w:t>
      </w:r>
      <w:r w:rsidR="007D0082">
        <w:t>Commission</w:t>
      </w:r>
      <w:r w:rsidRPr="00FC682A">
        <w:t xml:space="preserve"> is an agency of the </w:t>
      </w:r>
      <w:r w:rsidR="009900C2" w:rsidRPr="00FC682A">
        <w:t>S</w:t>
      </w:r>
      <w:r w:rsidRPr="00FC682A">
        <w:t xml:space="preserve">tate of Washington vested by statute with the authority to regulate rates, regulations, practices, accounts, securities, transfers of </w:t>
      </w:r>
      <w:r w:rsidR="000D2057" w:rsidRPr="00FC682A">
        <w:t>property and affiliated interest</w:t>
      </w:r>
      <w:r w:rsidR="004D0C22" w:rsidRPr="00FC682A">
        <w:t>s</w:t>
      </w:r>
      <w:r w:rsidR="000D2057" w:rsidRPr="00FC682A">
        <w:t xml:space="preserve"> of </w:t>
      </w:r>
      <w:r w:rsidRPr="00FC682A">
        <w:t xml:space="preserve">public service companies, including </w:t>
      </w:r>
      <w:r w:rsidR="004A04F9">
        <w:t>water</w:t>
      </w:r>
      <w:r w:rsidRPr="00FC682A">
        <w:t xml:space="preserve"> companies. </w:t>
      </w:r>
    </w:p>
    <w:p w14:paraId="4350CFFC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4350CFFD" w14:textId="41B73654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(2)</w:t>
      </w:r>
      <w:r w:rsidRPr="00FC682A">
        <w:tab/>
      </w:r>
      <w:r w:rsidR="004A04F9">
        <w:t>Iliad Water</w:t>
      </w:r>
      <w:r w:rsidRPr="00FC682A">
        <w:t xml:space="preserve"> is </w:t>
      </w:r>
      <w:r w:rsidR="004A04F9" w:rsidRPr="00FC682A">
        <w:rPr>
          <w:noProof/>
        </w:rPr>
        <w:t>a water</w:t>
      </w:r>
      <w:r w:rsidR="00F5678A" w:rsidRPr="00FC682A">
        <w:t xml:space="preserve"> </w:t>
      </w:r>
      <w:r w:rsidRPr="00FC682A">
        <w:t xml:space="preserve">company and a public service company subject to </w:t>
      </w:r>
      <w:r w:rsidR="007D0082">
        <w:t>Commission</w:t>
      </w:r>
      <w:r w:rsidRPr="00FC682A">
        <w:t xml:space="preserve"> jurisdiction.</w:t>
      </w:r>
      <w:r w:rsidR="00D340D2">
        <w:br/>
      </w:r>
    </w:p>
    <w:p w14:paraId="4350CFFE" w14:textId="7BA17463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  <w:t xml:space="preserve">This matter </w:t>
      </w:r>
      <w:r w:rsidR="000D2057" w:rsidRPr="00FC682A">
        <w:t>came</w:t>
      </w:r>
      <w:r w:rsidRPr="00FC682A">
        <w:t xml:space="preserve"> before the </w:t>
      </w:r>
      <w:r w:rsidR="007D0082">
        <w:t>Commission</w:t>
      </w:r>
      <w:r w:rsidRPr="00FC682A">
        <w:t xml:space="preserve"> at its regularly scheduled meeting on</w:t>
      </w:r>
      <w:r w:rsidR="00A318F1" w:rsidRPr="00FC682A">
        <w:t xml:space="preserve"> </w:t>
      </w:r>
      <w:r w:rsidR="00662CF9">
        <w:t>March</w:t>
      </w:r>
      <w:r w:rsidR="007D2BDA">
        <w:t xml:space="preserve"> 2</w:t>
      </w:r>
      <w:r w:rsidR="00662CF9">
        <w:t>9</w:t>
      </w:r>
      <w:r w:rsidR="004A04F9">
        <w:t>, 201</w:t>
      </w:r>
      <w:r w:rsidR="007D2BDA">
        <w:t>7</w:t>
      </w:r>
      <w:r w:rsidR="00F5678A" w:rsidRPr="00FC682A">
        <w:t>.</w:t>
      </w:r>
    </w:p>
    <w:p w14:paraId="4350CFFF" w14:textId="77777777" w:rsidR="00F27132" w:rsidRPr="00FC682A" w:rsidRDefault="00F27132" w:rsidP="00127C1C">
      <w:pPr>
        <w:spacing w:line="320" w:lineRule="exact"/>
        <w:rPr>
          <w:b/>
        </w:rPr>
      </w:pPr>
    </w:p>
    <w:p w14:paraId="4350D000" w14:textId="1C4050BD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</w:r>
      <w:r w:rsidR="007D2BDA" w:rsidRPr="00190566">
        <w:t xml:space="preserve">The tariff </w:t>
      </w:r>
      <w:r w:rsidR="007D2BDA" w:rsidRPr="00190566">
        <w:rPr>
          <w:noProof/>
        </w:rPr>
        <w:t>revision</w:t>
      </w:r>
      <w:r w:rsidR="007D2BDA" w:rsidRPr="00190566">
        <w:t xml:space="preserve"> presently under consideration </w:t>
      </w:r>
      <w:r w:rsidR="007D2BDA" w:rsidRPr="00190566">
        <w:rPr>
          <w:noProof/>
        </w:rPr>
        <w:t>is</w:t>
      </w:r>
      <w:r w:rsidR="007D2BDA" w:rsidRPr="00190566">
        <w:t xml:space="preserve"> fair, just, reasonable, and sufficient because the Company has demonstrated the need for additional annual revenue and for revision of the Company’s rate structure.</w:t>
      </w:r>
    </w:p>
    <w:p w14:paraId="4350D001" w14:textId="77777777" w:rsidR="00F27132" w:rsidRPr="00FC682A" w:rsidRDefault="00F27132" w:rsidP="00127C1C">
      <w:pPr>
        <w:spacing w:line="320" w:lineRule="exact"/>
        <w:rPr>
          <w:b/>
        </w:rPr>
      </w:pPr>
    </w:p>
    <w:p w14:paraId="4350D009" w14:textId="7682857C" w:rsidR="00F27132" w:rsidRPr="00FC682A" w:rsidRDefault="00F27132" w:rsidP="007D2BDA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(5)</w:t>
      </w:r>
      <w:r w:rsidRPr="00FC682A">
        <w:tab/>
      </w:r>
      <w:r w:rsidR="007D2BDA" w:rsidRPr="00190566">
        <w:t xml:space="preserve">After reviewing the revised tariff </w:t>
      </w:r>
      <w:r w:rsidR="007D2BDA" w:rsidRPr="00190566">
        <w:rPr>
          <w:noProof/>
        </w:rPr>
        <w:t>revision</w:t>
      </w:r>
      <w:r w:rsidR="007D2BDA" w:rsidRPr="00190566">
        <w:t xml:space="preserve"> </w:t>
      </w:r>
      <w:r w:rsidR="007D2BDA">
        <w:t>Iliad Water</w:t>
      </w:r>
      <w:r w:rsidR="007D2BDA" w:rsidRPr="00190566">
        <w:t xml:space="preserve"> filed</w:t>
      </w:r>
      <w:r w:rsidR="007D2BDA">
        <w:t xml:space="preserve"> </w:t>
      </w:r>
      <w:r w:rsidR="007D2BDA" w:rsidRPr="00190566">
        <w:t>in Docket UW-1</w:t>
      </w:r>
      <w:r w:rsidR="007D2BDA">
        <w:t>61155</w:t>
      </w:r>
      <w:r w:rsidR="007D2BDA" w:rsidRPr="00190566">
        <w:t xml:space="preserve"> and giving due consideration, the Commission finds it is consistent with the public interest to dismiss the Complaint and Order Suspending Tariff </w:t>
      </w:r>
      <w:r w:rsidR="007D2BDA" w:rsidRPr="00190566">
        <w:rPr>
          <w:noProof/>
        </w:rPr>
        <w:t>Revision</w:t>
      </w:r>
      <w:r w:rsidR="007D2BDA" w:rsidRPr="00190566">
        <w:t xml:space="preserve"> in </w:t>
      </w:r>
      <w:r w:rsidR="007D2BDA" w:rsidRPr="00190566">
        <w:lastRenderedPageBreak/>
        <w:t>Docket UW-1</w:t>
      </w:r>
      <w:r w:rsidR="007D2BDA">
        <w:t>61155</w:t>
      </w:r>
      <w:r w:rsidR="007D2BDA" w:rsidRPr="00190566">
        <w:t xml:space="preserve">, dated </w:t>
      </w:r>
      <w:r w:rsidR="007D2BDA">
        <w:t>December 22, 2016</w:t>
      </w:r>
      <w:r w:rsidR="007D2BDA" w:rsidRPr="00190566">
        <w:t xml:space="preserve">, and allow the revised rates and tariff </w:t>
      </w:r>
      <w:r w:rsidR="007D2BDA" w:rsidRPr="00190566">
        <w:rPr>
          <w:noProof/>
        </w:rPr>
        <w:t>revision</w:t>
      </w:r>
      <w:r w:rsidR="007D2BDA" w:rsidRPr="00190566">
        <w:t xml:space="preserve"> filed on </w:t>
      </w:r>
      <w:r w:rsidR="009E15D4">
        <w:t>March</w:t>
      </w:r>
      <w:r w:rsidR="007D2BDA" w:rsidRPr="00A702BC">
        <w:t xml:space="preserve"> </w:t>
      </w:r>
      <w:r w:rsidR="00A01A62">
        <w:t>20</w:t>
      </w:r>
      <w:r w:rsidR="007D2BDA" w:rsidRPr="00A702BC">
        <w:t>,</w:t>
      </w:r>
      <w:r w:rsidR="007D2BDA">
        <w:t xml:space="preserve"> 2017</w:t>
      </w:r>
      <w:r w:rsidR="007D2BDA" w:rsidRPr="00190566">
        <w:t xml:space="preserve">, to become effective on </w:t>
      </w:r>
      <w:r w:rsidR="009E15D4">
        <w:t>April</w:t>
      </w:r>
      <w:r w:rsidR="007D2BDA">
        <w:t xml:space="preserve"> 1, 2017</w:t>
      </w:r>
      <w:r w:rsidR="007D2BDA" w:rsidRPr="00190566">
        <w:t>.</w:t>
      </w:r>
      <w:r w:rsidR="007D2BDA">
        <w:br/>
      </w:r>
    </w:p>
    <w:p w14:paraId="4350D00A" w14:textId="6B612154" w:rsidR="00F27132" w:rsidRPr="00FC682A" w:rsidRDefault="00F27132" w:rsidP="00127C1C">
      <w:pPr>
        <w:spacing w:line="320" w:lineRule="exact"/>
        <w:jc w:val="center"/>
        <w:rPr>
          <w:b/>
        </w:rPr>
      </w:pPr>
      <w:r w:rsidRPr="00FC682A">
        <w:rPr>
          <w:b/>
        </w:rPr>
        <w:t>ORDER</w:t>
      </w:r>
    </w:p>
    <w:p w14:paraId="4350D00B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4350D00C" w14:textId="77777777" w:rsidR="00F27132" w:rsidRPr="00FC682A" w:rsidRDefault="00F27132" w:rsidP="00127C1C">
      <w:pPr>
        <w:spacing w:line="320" w:lineRule="exact"/>
        <w:rPr>
          <w:b/>
        </w:rPr>
      </w:pPr>
      <w:r w:rsidRPr="00FC682A">
        <w:rPr>
          <w:b/>
        </w:rPr>
        <w:t xml:space="preserve">THE </w:t>
      </w:r>
      <w:r w:rsidR="007D0082">
        <w:rPr>
          <w:b/>
        </w:rPr>
        <w:t>COMMISSION</w:t>
      </w:r>
      <w:r w:rsidRPr="00FC682A">
        <w:rPr>
          <w:b/>
        </w:rPr>
        <w:t xml:space="preserve"> ORDERS:</w:t>
      </w:r>
    </w:p>
    <w:p w14:paraId="4350D00D" w14:textId="77777777" w:rsidR="00F27132" w:rsidRPr="00FC682A" w:rsidRDefault="00F27132" w:rsidP="00127C1C">
      <w:pPr>
        <w:spacing w:line="320" w:lineRule="exact"/>
        <w:jc w:val="center"/>
        <w:rPr>
          <w:b/>
        </w:rPr>
      </w:pPr>
    </w:p>
    <w:p w14:paraId="4350D00E" w14:textId="419C6348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(1)</w:t>
      </w:r>
      <w:r w:rsidRPr="00FC682A">
        <w:tab/>
      </w:r>
      <w:r w:rsidR="007D2BDA">
        <w:t>Order 01, the Complaint and Order Suspending Tariff Revision in Docket UW-161155, entered on December 22, 2016, is dismissed.</w:t>
      </w:r>
    </w:p>
    <w:p w14:paraId="4350D00F" w14:textId="77777777" w:rsidR="00F27132" w:rsidRPr="00FC682A" w:rsidRDefault="00F27132" w:rsidP="00127C1C">
      <w:pPr>
        <w:spacing w:line="320" w:lineRule="exact"/>
        <w:ind w:left="-360"/>
        <w:rPr>
          <w:b/>
        </w:rPr>
      </w:pPr>
    </w:p>
    <w:p w14:paraId="4350D010" w14:textId="35FBE707" w:rsidR="00F27132" w:rsidRPr="00FC682A" w:rsidRDefault="00F27132" w:rsidP="00F45125">
      <w:pPr>
        <w:numPr>
          <w:ilvl w:val="0"/>
          <w:numId w:val="1"/>
        </w:numPr>
        <w:spacing w:line="320" w:lineRule="exact"/>
        <w:ind w:left="720" w:right="-180" w:hanging="1440"/>
        <w:rPr>
          <w:b/>
        </w:rPr>
      </w:pPr>
      <w:r w:rsidRPr="00FC682A">
        <w:t>(2)</w:t>
      </w:r>
      <w:r w:rsidRPr="00FC682A">
        <w:tab/>
      </w:r>
      <w:r w:rsidR="004D4811">
        <w:t xml:space="preserve">The </w:t>
      </w:r>
      <w:r w:rsidR="007D2BDA">
        <w:t xml:space="preserve">tariff revision filed in this docket on October 21, 2016, as revised on </w:t>
      </w:r>
      <w:r w:rsidR="009E15D4">
        <w:t>March</w:t>
      </w:r>
      <w:r w:rsidR="007D2BDA" w:rsidRPr="00A702BC">
        <w:t xml:space="preserve"> </w:t>
      </w:r>
      <w:r w:rsidR="00A01A62">
        <w:t>20</w:t>
      </w:r>
      <w:r w:rsidR="007D2BDA" w:rsidRPr="00A702BC">
        <w:t>,</w:t>
      </w:r>
      <w:r w:rsidR="007D2BDA">
        <w:t xml:space="preserve"> 20</w:t>
      </w:r>
      <w:r w:rsidR="009E15D4">
        <w:t>17, shall become effective on April</w:t>
      </w:r>
      <w:r w:rsidR="007D2BDA">
        <w:t xml:space="preserve"> 1, 2017.</w:t>
      </w:r>
    </w:p>
    <w:p w14:paraId="4350D011" w14:textId="77777777" w:rsidR="00F27132" w:rsidRPr="00FC682A" w:rsidRDefault="00F27132" w:rsidP="00127C1C">
      <w:pPr>
        <w:spacing w:line="320" w:lineRule="exact"/>
        <w:rPr>
          <w:b/>
        </w:rPr>
      </w:pPr>
    </w:p>
    <w:p w14:paraId="4350D012" w14:textId="0D0D434E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(3)</w:t>
      </w:r>
      <w:r w:rsidRPr="00FC682A">
        <w:tab/>
      </w:r>
      <w:r w:rsidR="004A04F9">
        <w:t>Iliad Water Company, LLC</w:t>
      </w:r>
      <w:r w:rsidR="004C0D94" w:rsidRPr="00FC682A">
        <w:t xml:space="preserve"> </w:t>
      </w:r>
      <w:r w:rsidRPr="00FC682A">
        <w:t xml:space="preserve">must </w:t>
      </w:r>
      <w:r w:rsidR="007D2BDA">
        <w:t xml:space="preserve">file with the Commission a revision to its tariff to </w:t>
      </w:r>
      <w:r w:rsidR="004D4811">
        <w:t>include</w:t>
      </w:r>
      <w:r w:rsidR="007D2BDA">
        <w:t xml:space="preserve"> t</w:t>
      </w:r>
      <w:r w:rsidR="00E47C71">
        <w:t xml:space="preserve">he 13 water systems listed in </w:t>
      </w:r>
      <w:r w:rsidR="00E47C71" w:rsidRPr="00340727">
        <w:t>paragraph 5,</w:t>
      </w:r>
      <w:r w:rsidR="00E47C71">
        <w:t xml:space="preserve"> above, no later </w:t>
      </w:r>
      <w:r w:rsidR="00693CAB">
        <w:t>than</w:t>
      </w:r>
      <w:r w:rsidR="00E47C71">
        <w:t xml:space="preserve"> 60 days f</w:t>
      </w:r>
      <w:r w:rsidR="004D4811">
        <w:t>rom the effective date of this O</w:t>
      </w:r>
      <w:r w:rsidR="00E47C71">
        <w:t>rder.</w:t>
      </w:r>
    </w:p>
    <w:p w14:paraId="4350D013" w14:textId="77777777" w:rsidR="000D2057" w:rsidRPr="00FC682A" w:rsidRDefault="000D2057" w:rsidP="00127C1C">
      <w:pPr>
        <w:spacing w:line="320" w:lineRule="exact"/>
        <w:rPr>
          <w:b/>
        </w:rPr>
      </w:pPr>
    </w:p>
    <w:p w14:paraId="4350D014" w14:textId="04E387FE" w:rsidR="00F27132" w:rsidRPr="00FC682A" w:rsidRDefault="00F27132" w:rsidP="00127C1C">
      <w:pPr>
        <w:numPr>
          <w:ilvl w:val="0"/>
          <w:numId w:val="1"/>
        </w:numPr>
        <w:spacing w:line="320" w:lineRule="exact"/>
        <w:ind w:left="720" w:hanging="1440"/>
        <w:rPr>
          <w:b/>
        </w:rPr>
      </w:pPr>
      <w:r w:rsidRPr="00FC682A">
        <w:t>(4)</w:t>
      </w:r>
      <w:r w:rsidRPr="00FC682A">
        <w:tab/>
      </w:r>
      <w:r w:rsidR="00E47C71">
        <w:t>Iliad Water Company, LLC mus</w:t>
      </w:r>
      <w:r w:rsidR="00CD4300">
        <w:t>t file a general rate case with an effective date</w:t>
      </w:r>
      <w:r w:rsidR="00E47C71">
        <w:t xml:space="preserve"> 1</w:t>
      </w:r>
      <w:r w:rsidR="00662CF9">
        <w:t>5</w:t>
      </w:r>
      <w:r w:rsidR="00E47C71">
        <w:t xml:space="preserve"> months </w:t>
      </w:r>
      <w:r w:rsidR="00CD4300">
        <w:t xml:space="preserve">after </w:t>
      </w:r>
      <w:r w:rsidR="00E47C71">
        <w:t xml:space="preserve">the date it revises its tariff to include the </w:t>
      </w:r>
      <w:r w:rsidR="004D4811">
        <w:t>13</w:t>
      </w:r>
      <w:r w:rsidR="00E47C71">
        <w:t xml:space="preserve"> water systems listed in </w:t>
      </w:r>
      <w:r w:rsidR="00E47C71" w:rsidRPr="00340727">
        <w:t>paragraph 5,</w:t>
      </w:r>
      <w:r w:rsidR="00E47C71">
        <w:t xml:space="preserve"> above.</w:t>
      </w:r>
    </w:p>
    <w:p w14:paraId="4350D017" w14:textId="77777777" w:rsidR="00F27132" w:rsidRPr="00FC682A" w:rsidRDefault="00F27132" w:rsidP="00127C1C">
      <w:pPr>
        <w:spacing w:line="320" w:lineRule="exact"/>
        <w:rPr>
          <w:b/>
        </w:rPr>
      </w:pPr>
    </w:p>
    <w:p w14:paraId="4350D018" w14:textId="69518F3A" w:rsidR="00F27132" w:rsidRPr="00FC682A" w:rsidRDefault="00F27132" w:rsidP="00127C1C">
      <w:pPr>
        <w:spacing w:line="320" w:lineRule="exact"/>
        <w:rPr>
          <w:b/>
        </w:rPr>
      </w:pPr>
      <w:r w:rsidRPr="00FC682A">
        <w:t xml:space="preserve">DATED at Olympia, Washington, and effective </w:t>
      </w:r>
      <w:r w:rsidR="00662CF9">
        <w:t>March</w:t>
      </w:r>
      <w:r w:rsidR="00FC184E">
        <w:t xml:space="preserve"> 2</w:t>
      </w:r>
      <w:r w:rsidR="00662CF9">
        <w:t>9</w:t>
      </w:r>
      <w:r w:rsidR="00FC184E">
        <w:t>, 2017</w:t>
      </w:r>
      <w:r w:rsidRPr="00FC682A">
        <w:t>.</w:t>
      </w:r>
    </w:p>
    <w:p w14:paraId="4350D019" w14:textId="77777777" w:rsidR="00F27132" w:rsidRPr="00FC682A" w:rsidRDefault="00F27132" w:rsidP="00127C1C">
      <w:pPr>
        <w:spacing w:line="320" w:lineRule="exact"/>
        <w:rPr>
          <w:b/>
        </w:rPr>
      </w:pPr>
    </w:p>
    <w:p w14:paraId="4350D01A" w14:textId="77777777" w:rsidR="002114EE" w:rsidRDefault="002114EE" w:rsidP="002114EE">
      <w:pPr>
        <w:spacing w:line="320" w:lineRule="exact"/>
        <w:jc w:val="center"/>
      </w:pPr>
      <w:smartTag w:uri="urn:schemas-microsoft-com:office:smarttags" w:element="State">
        <w:smartTag w:uri="urn:schemas-microsoft-com:office:smarttags" w:element="City">
          <w:r>
            <w:t>WASHINGTON</w:t>
          </w:r>
        </w:smartTag>
      </w:smartTag>
      <w:r>
        <w:t xml:space="preserve"> UTILITIES AND TRANSPORTATION </w:t>
      </w:r>
      <w:r w:rsidR="007D0082">
        <w:t>COMMISSION</w:t>
      </w:r>
    </w:p>
    <w:p w14:paraId="4350D01B" w14:textId="77777777" w:rsidR="002114EE" w:rsidRDefault="002114EE" w:rsidP="002114EE">
      <w:pPr>
        <w:spacing w:line="320" w:lineRule="exact"/>
      </w:pPr>
    </w:p>
    <w:p w14:paraId="4350D01C" w14:textId="77777777" w:rsidR="002114EE" w:rsidRDefault="002114EE" w:rsidP="002114EE">
      <w:pPr>
        <w:spacing w:line="320" w:lineRule="exact"/>
      </w:pPr>
    </w:p>
    <w:p w14:paraId="4350D01D" w14:textId="77777777" w:rsidR="002114EE" w:rsidRDefault="002114EE" w:rsidP="002114EE">
      <w:pPr>
        <w:spacing w:line="320" w:lineRule="exact"/>
      </w:pPr>
    </w:p>
    <w:p w14:paraId="4350D020" w14:textId="3125FBE6" w:rsidR="002114EE" w:rsidRDefault="002114EE" w:rsidP="00662CF9">
      <w:pPr>
        <w:spacing w:line="320" w:lineRule="exact"/>
      </w:pPr>
      <w:r>
        <w:tab/>
      </w:r>
      <w:r>
        <w:tab/>
      </w:r>
      <w:r>
        <w:tab/>
      </w:r>
      <w:r>
        <w:tab/>
        <w:t>DAVID W. DANNER, Chairman</w:t>
      </w:r>
      <w:r w:rsidR="00C3089E">
        <w:br/>
      </w:r>
    </w:p>
    <w:p w14:paraId="4350D021" w14:textId="77777777" w:rsidR="002114EE" w:rsidRDefault="002114EE" w:rsidP="002114EE">
      <w:pPr>
        <w:spacing w:line="320" w:lineRule="exact"/>
      </w:pPr>
    </w:p>
    <w:p w14:paraId="712CE3CC" w14:textId="77777777" w:rsidR="00C3089E" w:rsidRDefault="00C3089E" w:rsidP="002114EE">
      <w:pPr>
        <w:spacing w:line="320" w:lineRule="exact"/>
      </w:pPr>
    </w:p>
    <w:p w14:paraId="622BFE38" w14:textId="77777777" w:rsidR="00C3089E" w:rsidRDefault="00C3089E" w:rsidP="002114EE">
      <w:pPr>
        <w:spacing w:line="320" w:lineRule="exact"/>
      </w:pPr>
    </w:p>
    <w:p w14:paraId="4350D026" w14:textId="48DC19CA" w:rsidR="00BE0C93" w:rsidRDefault="002114EE" w:rsidP="00841C43">
      <w:pPr>
        <w:spacing w:line="320" w:lineRule="exact"/>
        <w:sectPr w:rsidR="00BE0C93" w:rsidSect="00BE0C93">
          <w:headerReference w:type="default" r:id="rId11"/>
          <w:type w:val="continuous"/>
          <w:pgSz w:w="12240" w:h="15840" w:code="1"/>
          <w:pgMar w:top="1440" w:right="1440" w:bottom="1440" w:left="2160" w:header="1008" w:footer="720" w:gutter="0"/>
          <w:cols w:space="720"/>
          <w:titlePg/>
          <w:docGrid w:linePitch="360"/>
        </w:sectPr>
      </w:pPr>
      <w:r>
        <w:tab/>
      </w:r>
      <w:r>
        <w:tab/>
      </w:r>
      <w:r>
        <w:tab/>
      </w:r>
      <w:r>
        <w:tab/>
      </w:r>
      <w:r w:rsidR="00BE0C93">
        <w:t>ANN E. RENDAHL</w:t>
      </w:r>
      <w:r>
        <w:t xml:space="preserve">, </w:t>
      </w:r>
      <w:r w:rsidR="007D0082">
        <w:t>Commission</w:t>
      </w:r>
      <w:r>
        <w:t>er</w:t>
      </w:r>
    </w:p>
    <w:p w14:paraId="4350D027" w14:textId="77777777" w:rsidR="00F27132" w:rsidRPr="00FC682A" w:rsidRDefault="00F27132" w:rsidP="00BE0C93">
      <w:pPr>
        <w:spacing w:line="320" w:lineRule="exact"/>
        <w:ind w:left="2160" w:firstLine="720"/>
        <w:rPr>
          <w:b/>
        </w:rPr>
      </w:pPr>
    </w:p>
    <w:sectPr w:rsidR="00F27132" w:rsidRPr="00FC682A" w:rsidSect="00D53767">
      <w:type w:val="continuous"/>
      <w:pgSz w:w="12240" w:h="15840" w:code="1"/>
      <w:pgMar w:top="1440" w:right="1440" w:bottom="1440" w:left="216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F3F97A" w14:textId="77777777" w:rsidR="00D770C6" w:rsidRDefault="00D770C6">
      <w:r>
        <w:separator/>
      </w:r>
    </w:p>
  </w:endnote>
  <w:endnote w:type="continuationSeparator" w:id="0">
    <w:p w14:paraId="1CFB14D1" w14:textId="77777777" w:rsidR="00D770C6" w:rsidRDefault="00D7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3FB78" w14:textId="77777777" w:rsidR="00D770C6" w:rsidRDefault="00D770C6">
      <w:r>
        <w:separator/>
      </w:r>
    </w:p>
  </w:footnote>
  <w:footnote w:type="continuationSeparator" w:id="0">
    <w:p w14:paraId="6AAB9B35" w14:textId="77777777" w:rsidR="00D770C6" w:rsidRDefault="00D770C6">
      <w:r>
        <w:continuationSeparator/>
      </w:r>
    </w:p>
  </w:footnote>
  <w:footnote w:id="1">
    <w:p w14:paraId="0CCC5A5C" w14:textId="782558BE" w:rsidR="003A355C" w:rsidRPr="003A355C" w:rsidRDefault="00AF021F" w:rsidP="00D3750E">
      <w:pPr>
        <w:spacing w:line="264" w:lineRule="auto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F021F">
        <w:rPr>
          <w:sz w:val="22"/>
          <w:szCs w:val="22"/>
        </w:rPr>
        <w:t xml:space="preserve">On July 31, 2015, the </w:t>
      </w:r>
      <w:r w:rsidRPr="00AF021F">
        <w:rPr>
          <w:sz w:val="22"/>
        </w:rPr>
        <w:t>Commission</w:t>
      </w:r>
      <w:r w:rsidRPr="00AF021F">
        <w:rPr>
          <w:sz w:val="22"/>
          <w:szCs w:val="22"/>
        </w:rPr>
        <w:t xml:space="preserve"> approved the sale and transfer of stock and merger of Fragaria Landing Water Company (Fragaria), Lowper Inc. d/b/a Lowper Water Company (Lowper), Marbello Water Co., Inc. (Marbello), and SJM Water Service, Inc. (SJM) with Iliad Water Services, Inc. (Iliad Water Services) in Docket UW-150688. Iliad Water Services, as the only surviving entity, adopted and combined </w:t>
      </w:r>
      <w:r>
        <w:rPr>
          <w:sz w:val="22"/>
          <w:szCs w:val="22"/>
        </w:rPr>
        <w:t>each company’s</w:t>
      </w:r>
      <w:r w:rsidRPr="00AF021F">
        <w:rPr>
          <w:sz w:val="22"/>
          <w:szCs w:val="22"/>
        </w:rPr>
        <w:t xml:space="preserve"> tariff</w:t>
      </w:r>
      <w:r>
        <w:rPr>
          <w:sz w:val="22"/>
          <w:szCs w:val="22"/>
        </w:rPr>
        <w:t xml:space="preserve"> </w:t>
      </w:r>
      <w:r w:rsidR="007051A9">
        <w:rPr>
          <w:sz w:val="22"/>
          <w:szCs w:val="22"/>
        </w:rPr>
        <w:t xml:space="preserve">(a total of eight water systems) </w:t>
      </w:r>
      <w:r w:rsidRPr="00AF021F">
        <w:rPr>
          <w:sz w:val="22"/>
          <w:szCs w:val="22"/>
        </w:rPr>
        <w:t>with its currently effective tariff. On August 27, 2015, the Commission removed Fragaria, Lowper, Marbello, and SJM from Commission regulation and cancelled each company’s tariff in Docket UW-151639.</w:t>
      </w:r>
      <w:r w:rsidR="007051A9">
        <w:rPr>
          <w:sz w:val="22"/>
          <w:szCs w:val="22"/>
        </w:rPr>
        <w:t xml:space="preserve"> </w:t>
      </w:r>
      <w:r w:rsidRPr="00AF021F">
        <w:rPr>
          <w:sz w:val="22"/>
          <w:szCs w:val="22"/>
        </w:rPr>
        <w:t xml:space="preserve">On June 23, 2016, the Commission granted the joint application of Iliad Water Services and Iliad Water </w:t>
      </w:r>
      <w:r w:rsidR="00DB35D2">
        <w:rPr>
          <w:sz w:val="22"/>
          <w:szCs w:val="22"/>
        </w:rPr>
        <w:t>to</w:t>
      </w:r>
      <w:r w:rsidRPr="00AF021F">
        <w:rPr>
          <w:sz w:val="22"/>
          <w:szCs w:val="22"/>
        </w:rPr>
        <w:t xml:space="preserve"> transfer control of Iliad Water Services to Iliad Water in Docket UW-160784.</w:t>
      </w:r>
      <w:r>
        <w:t xml:space="preserve"> </w:t>
      </w:r>
      <w:r w:rsidR="003A355C" w:rsidRPr="00FC6BFB">
        <w:rPr>
          <w:sz w:val="22"/>
          <w:szCs w:val="22"/>
        </w:rPr>
        <w:t xml:space="preserve">The Commission accepts the tariff revisions filed by Iliad Water in </w:t>
      </w:r>
      <w:r w:rsidR="00FC6BFB">
        <w:rPr>
          <w:sz w:val="22"/>
          <w:szCs w:val="22"/>
        </w:rPr>
        <w:t>Docket UW-161155</w:t>
      </w:r>
      <w:r w:rsidR="00DB35D2" w:rsidRPr="00FC6BFB">
        <w:rPr>
          <w:sz w:val="22"/>
          <w:szCs w:val="22"/>
        </w:rPr>
        <w:t>, reflecting the Company’s new name,</w:t>
      </w:r>
      <w:r w:rsidR="003A355C" w:rsidRPr="00FC6BFB">
        <w:rPr>
          <w:sz w:val="22"/>
          <w:szCs w:val="22"/>
        </w:rPr>
        <w:t xml:space="preserve"> for the purpose of compliance with Docket UW-160784, and </w:t>
      </w:r>
      <w:r w:rsidR="00FC6BFB" w:rsidRPr="00FC6BFB">
        <w:rPr>
          <w:sz w:val="22"/>
          <w:szCs w:val="22"/>
        </w:rPr>
        <w:t xml:space="preserve">to establish rates </w:t>
      </w:r>
      <w:r w:rsidR="00FC6BFB">
        <w:rPr>
          <w:sz w:val="22"/>
          <w:szCs w:val="22"/>
        </w:rPr>
        <w:t xml:space="preserve">as </w:t>
      </w:r>
      <w:r w:rsidR="00FC6BFB" w:rsidRPr="00FC6BFB">
        <w:rPr>
          <w:sz w:val="22"/>
          <w:szCs w:val="22"/>
        </w:rPr>
        <w:t>approved by the Commission</w:t>
      </w:r>
      <w:r w:rsidR="00FC6BFB">
        <w:rPr>
          <w:sz w:val="22"/>
          <w:szCs w:val="22"/>
        </w:rPr>
        <w:t xml:space="preserve"> for compliance purposes in Docket UW-161155</w:t>
      </w:r>
      <w:r w:rsidR="003A355C" w:rsidRPr="00FC6BFB">
        <w:rPr>
          <w:sz w:val="22"/>
          <w:szCs w:val="22"/>
        </w:rPr>
        <w:t>.</w:t>
      </w:r>
      <w:r w:rsidR="00DB35D2">
        <w:rPr>
          <w:sz w:val="22"/>
          <w:szCs w:val="22"/>
        </w:rPr>
        <w:t xml:space="preserve"> </w:t>
      </w:r>
    </w:p>
  </w:footnote>
  <w:footnote w:id="2">
    <w:p w14:paraId="18D03388" w14:textId="67962310" w:rsidR="00A248F1" w:rsidRDefault="00A248F1" w:rsidP="00D3750E">
      <w:pPr>
        <w:spacing w:line="264" w:lineRule="auto"/>
      </w:pPr>
      <w:r>
        <w:rPr>
          <w:rStyle w:val="FootnoteReference"/>
        </w:rPr>
        <w:footnoteRef/>
      </w:r>
      <w:r>
        <w:t xml:space="preserve"> </w:t>
      </w:r>
      <w:r w:rsidRPr="00A248F1">
        <w:rPr>
          <w:sz w:val="22"/>
          <w:szCs w:val="22"/>
        </w:rPr>
        <w:t xml:space="preserve">Six customers on the Cherry Creek system </w:t>
      </w:r>
      <w:r>
        <w:rPr>
          <w:sz w:val="22"/>
          <w:szCs w:val="22"/>
        </w:rPr>
        <w:t xml:space="preserve">filed comments addressing </w:t>
      </w:r>
      <w:r w:rsidRPr="00A248F1">
        <w:rPr>
          <w:sz w:val="22"/>
          <w:szCs w:val="22"/>
        </w:rPr>
        <w:t>water quality issues. Staff contacted the Department of Health (DOH</w:t>
      </w:r>
      <w:r>
        <w:rPr>
          <w:sz w:val="22"/>
          <w:szCs w:val="22"/>
        </w:rPr>
        <w:t>), and an</w:t>
      </w:r>
      <w:r w:rsidRPr="00A248F1">
        <w:rPr>
          <w:sz w:val="22"/>
        </w:rPr>
        <w:t xml:space="preserve"> engineer from the Division of Drinking Water</w:t>
      </w:r>
      <w:r w:rsidRPr="00A248F1">
        <w:rPr>
          <w:sz w:val="20"/>
          <w:szCs w:val="22"/>
        </w:rPr>
        <w:t xml:space="preserve"> </w:t>
      </w:r>
      <w:r w:rsidRPr="00A248F1">
        <w:rPr>
          <w:sz w:val="22"/>
        </w:rPr>
        <w:t xml:space="preserve">provided a customer complaint log for the system. Nearly all </w:t>
      </w:r>
      <w:r>
        <w:rPr>
          <w:sz w:val="22"/>
        </w:rPr>
        <w:t xml:space="preserve">of </w:t>
      </w:r>
      <w:r w:rsidRPr="00A248F1">
        <w:rPr>
          <w:sz w:val="22"/>
        </w:rPr>
        <w:t>the complaints</w:t>
      </w:r>
      <w:r>
        <w:rPr>
          <w:sz w:val="22"/>
        </w:rPr>
        <w:t xml:space="preserve"> − the most recent of which was filed in 2010 −</w:t>
      </w:r>
      <w:r w:rsidRPr="00A248F1">
        <w:rPr>
          <w:sz w:val="22"/>
        </w:rPr>
        <w:t xml:space="preserve"> </w:t>
      </w:r>
      <w:r>
        <w:rPr>
          <w:sz w:val="22"/>
        </w:rPr>
        <w:t>addressed</w:t>
      </w:r>
      <w:r w:rsidRPr="00A248F1">
        <w:rPr>
          <w:sz w:val="22"/>
        </w:rPr>
        <w:t xml:space="preserve"> iron and manganese</w:t>
      </w:r>
      <w:r>
        <w:rPr>
          <w:sz w:val="22"/>
        </w:rPr>
        <w:t xml:space="preserve"> levels</w:t>
      </w:r>
      <w:r w:rsidRPr="00A248F1">
        <w:rPr>
          <w:sz w:val="22"/>
        </w:rPr>
        <w:t xml:space="preserve">. </w:t>
      </w:r>
      <w:r w:rsidRPr="00A248F1">
        <w:rPr>
          <w:sz w:val="22"/>
          <w:szCs w:val="22"/>
        </w:rPr>
        <w:t xml:space="preserve">DOH advised that customers concerned about the aesthetic </w:t>
      </w:r>
      <w:r w:rsidR="00693CAB">
        <w:rPr>
          <w:sz w:val="22"/>
          <w:szCs w:val="22"/>
        </w:rPr>
        <w:t xml:space="preserve">effect </w:t>
      </w:r>
      <w:r>
        <w:rPr>
          <w:sz w:val="22"/>
          <w:szCs w:val="22"/>
        </w:rPr>
        <w:t>of</w:t>
      </w:r>
      <w:r w:rsidRPr="00A248F1">
        <w:rPr>
          <w:sz w:val="22"/>
          <w:szCs w:val="22"/>
        </w:rPr>
        <w:t xml:space="preserve"> manganese can petition the </w:t>
      </w:r>
      <w:r>
        <w:rPr>
          <w:sz w:val="22"/>
          <w:szCs w:val="22"/>
        </w:rPr>
        <w:t>C</w:t>
      </w:r>
      <w:r w:rsidRPr="00A248F1">
        <w:rPr>
          <w:sz w:val="22"/>
          <w:szCs w:val="22"/>
        </w:rPr>
        <w:t xml:space="preserve">ompany to install </w:t>
      </w:r>
      <w:r>
        <w:rPr>
          <w:sz w:val="22"/>
          <w:szCs w:val="22"/>
        </w:rPr>
        <w:t xml:space="preserve">a </w:t>
      </w:r>
      <w:r w:rsidRPr="00A248F1">
        <w:rPr>
          <w:sz w:val="22"/>
          <w:szCs w:val="22"/>
        </w:rPr>
        <w:t>treatment</w:t>
      </w:r>
      <w:r>
        <w:rPr>
          <w:sz w:val="22"/>
          <w:szCs w:val="22"/>
        </w:rPr>
        <w:t xml:space="preserve"> system</w:t>
      </w:r>
      <w:r w:rsidRPr="00A248F1">
        <w:rPr>
          <w:sz w:val="22"/>
          <w:szCs w:val="22"/>
        </w:rPr>
        <w:t xml:space="preserve">. DOH also provided an advisory document, “Secondary Contaminant Treatment Requirements and Options,” which </w:t>
      </w:r>
      <w:r>
        <w:rPr>
          <w:sz w:val="22"/>
          <w:szCs w:val="22"/>
        </w:rPr>
        <w:t>S</w:t>
      </w:r>
      <w:r w:rsidRPr="00A248F1">
        <w:rPr>
          <w:sz w:val="22"/>
          <w:szCs w:val="22"/>
        </w:rPr>
        <w:t>taff provided to customers. The DOH water system database shows no active compliance issues with the Cherry Creek system.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0D02D" w14:textId="77777777" w:rsidR="00CE2DE3" w:rsidRPr="00A748CC" w:rsidRDefault="00CE2DE3" w:rsidP="00BE0C93">
    <w:pPr>
      <w:pStyle w:val="Header"/>
      <w:tabs>
        <w:tab w:val="clear" w:pos="8640"/>
        <w:tab w:val="left" w:pos="7000"/>
        <w:tab w:val="right" w:pos="8460"/>
      </w:tabs>
      <w:rPr>
        <w:rStyle w:val="PageNumber"/>
        <w:b/>
        <w:sz w:val="20"/>
      </w:rPr>
    </w:pPr>
    <w:r w:rsidRPr="00A748CC">
      <w:rPr>
        <w:b/>
        <w:sz w:val="20"/>
      </w:rPr>
      <w:t xml:space="preserve">DOCKET </w:t>
    </w:r>
    <w:r w:rsidR="004A04F9" w:rsidRPr="004A04F9">
      <w:rPr>
        <w:b/>
        <w:sz w:val="20"/>
      </w:rPr>
      <w:t>UW-161155</w:t>
    </w:r>
    <w:r w:rsidR="00BE0C93">
      <w:rPr>
        <w:b/>
        <w:sz w:val="20"/>
      </w:rPr>
      <w:tab/>
    </w:r>
    <w:r w:rsidR="00BE0C93">
      <w:rPr>
        <w:b/>
        <w:sz w:val="20"/>
      </w:rPr>
      <w:tab/>
    </w:r>
    <w:r w:rsidR="00BE0C93">
      <w:rPr>
        <w:b/>
        <w:sz w:val="20"/>
      </w:rPr>
      <w:tab/>
    </w:r>
    <w:r w:rsidRPr="00A748CC">
      <w:rPr>
        <w:b/>
        <w:sz w:val="20"/>
      </w:rPr>
      <w:t xml:space="preserve">PAGE </w:t>
    </w:r>
    <w:r w:rsidRPr="00A748CC">
      <w:rPr>
        <w:rStyle w:val="PageNumber"/>
        <w:b/>
        <w:sz w:val="20"/>
      </w:rPr>
      <w:fldChar w:fldCharType="begin"/>
    </w:r>
    <w:r w:rsidRPr="00A748CC">
      <w:rPr>
        <w:rStyle w:val="PageNumber"/>
        <w:b/>
        <w:sz w:val="20"/>
      </w:rPr>
      <w:instrText xml:space="preserve"> PAGE </w:instrText>
    </w:r>
    <w:r w:rsidRPr="00A748CC">
      <w:rPr>
        <w:rStyle w:val="PageNumber"/>
        <w:b/>
        <w:sz w:val="20"/>
      </w:rPr>
      <w:fldChar w:fldCharType="separate"/>
    </w:r>
    <w:r w:rsidR="00767F7F">
      <w:rPr>
        <w:rStyle w:val="PageNumber"/>
        <w:b/>
        <w:noProof/>
        <w:sz w:val="20"/>
      </w:rPr>
      <w:t>3</w:t>
    </w:r>
    <w:r w:rsidRPr="00A748CC">
      <w:rPr>
        <w:rStyle w:val="PageNumber"/>
        <w:b/>
        <w:sz w:val="20"/>
      </w:rPr>
      <w:fldChar w:fldCharType="end"/>
    </w:r>
  </w:p>
  <w:p w14:paraId="4350D02E" w14:textId="71C46D8F" w:rsidR="00CE2DE3" w:rsidRPr="0050337D" w:rsidRDefault="00CE2DE3" w:rsidP="00680AE9">
    <w:pPr>
      <w:pStyle w:val="Header"/>
      <w:tabs>
        <w:tab w:val="left" w:pos="7000"/>
      </w:tabs>
      <w:rPr>
        <w:rStyle w:val="PageNumber"/>
        <w:sz w:val="20"/>
      </w:rPr>
    </w:pPr>
    <w:r w:rsidRPr="00A748CC">
      <w:rPr>
        <w:rStyle w:val="PageNumber"/>
        <w:b/>
        <w:sz w:val="20"/>
      </w:rPr>
      <w:t xml:space="preserve">ORDER </w:t>
    </w:r>
    <w:r w:rsidR="004A04F9" w:rsidRPr="004A04F9">
      <w:rPr>
        <w:b/>
        <w:sz w:val="20"/>
      </w:rPr>
      <w:t>0</w:t>
    </w:r>
    <w:r w:rsidR="00602F74">
      <w:rPr>
        <w:b/>
        <w:sz w:val="20"/>
      </w:rPr>
      <w:t>2</w:t>
    </w:r>
  </w:p>
  <w:p w14:paraId="4350D02F" w14:textId="77777777" w:rsidR="00CE2DE3" w:rsidRPr="003F2878" w:rsidRDefault="00CE2DE3">
    <w:pPr>
      <w:pStyle w:val="Header"/>
      <w:rPr>
        <w:rStyle w:val="PageNumber"/>
        <w:b/>
        <w:sz w:val="20"/>
        <w:szCs w:val="20"/>
      </w:rPr>
    </w:pPr>
  </w:p>
  <w:p w14:paraId="4350D030" w14:textId="77777777" w:rsidR="00CE2DE3" w:rsidRPr="00F94149" w:rsidRDefault="00CE2DE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172"/>
    <w:multiLevelType w:val="multilevel"/>
    <w:tmpl w:val="C00C0A4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2F70F3"/>
    <w:multiLevelType w:val="hybridMultilevel"/>
    <w:tmpl w:val="ABB26EB8"/>
    <w:lvl w:ilvl="0" w:tplc="2C94A620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B0FE7F0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2FA4FC0A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A551D0"/>
    <w:multiLevelType w:val="hybridMultilevel"/>
    <w:tmpl w:val="170EE05C"/>
    <w:lvl w:ilvl="0" w:tplc="A4C0C38C">
      <w:start w:val="1"/>
      <w:numFmt w:val="decimal"/>
      <w:pStyle w:val="FindingsConclusions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B7669"/>
    <w:multiLevelType w:val="multilevel"/>
    <w:tmpl w:val="C10A4A22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14"/>
    <w:rsid w:val="00011425"/>
    <w:rsid w:val="00013171"/>
    <w:rsid w:val="0002361C"/>
    <w:rsid w:val="00081520"/>
    <w:rsid w:val="00090B12"/>
    <w:rsid w:val="000B4A18"/>
    <w:rsid w:val="000D2057"/>
    <w:rsid w:val="000E2F17"/>
    <w:rsid w:val="00127C1C"/>
    <w:rsid w:val="00146297"/>
    <w:rsid w:val="0015323D"/>
    <w:rsid w:val="00184937"/>
    <w:rsid w:val="001A0A3A"/>
    <w:rsid w:val="001B037C"/>
    <w:rsid w:val="001F79BC"/>
    <w:rsid w:val="002114EE"/>
    <w:rsid w:val="002213DB"/>
    <w:rsid w:val="00227611"/>
    <w:rsid w:val="0027349F"/>
    <w:rsid w:val="002A6B3C"/>
    <w:rsid w:val="002B2590"/>
    <w:rsid w:val="002B56E1"/>
    <w:rsid w:val="002C5393"/>
    <w:rsid w:val="002D0B56"/>
    <w:rsid w:val="002D40D4"/>
    <w:rsid w:val="002E6105"/>
    <w:rsid w:val="002F50C7"/>
    <w:rsid w:val="003140CA"/>
    <w:rsid w:val="00337633"/>
    <w:rsid w:val="00340727"/>
    <w:rsid w:val="003527B9"/>
    <w:rsid w:val="00356514"/>
    <w:rsid w:val="00356C0F"/>
    <w:rsid w:val="003812A2"/>
    <w:rsid w:val="003A355C"/>
    <w:rsid w:val="003F0448"/>
    <w:rsid w:val="003F2878"/>
    <w:rsid w:val="003F609B"/>
    <w:rsid w:val="00406D96"/>
    <w:rsid w:val="00407557"/>
    <w:rsid w:val="00426DA6"/>
    <w:rsid w:val="004300C0"/>
    <w:rsid w:val="0046188B"/>
    <w:rsid w:val="00461EF3"/>
    <w:rsid w:val="004957EB"/>
    <w:rsid w:val="00495D6D"/>
    <w:rsid w:val="004A04F9"/>
    <w:rsid w:val="004A580E"/>
    <w:rsid w:val="004B04CC"/>
    <w:rsid w:val="004C0D94"/>
    <w:rsid w:val="004C25FB"/>
    <w:rsid w:val="004C3145"/>
    <w:rsid w:val="004C4AFB"/>
    <w:rsid w:val="004D0C22"/>
    <w:rsid w:val="004D4811"/>
    <w:rsid w:val="004E4FB5"/>
    <w:rsid w:val="004F0EBB"/>
    <w:rsid w:val="004F2083"/>
    <w:rsid w:val="00501969"/>
    <w:rsid w:val="00510E4C"/>
    <w:rsid w:val="00516B2E"/>
    <w:rsid w:val="00521F67"/>
    <w:rsid w:val="0053279B"/>
    <w:rsid w:val="00552131"/>
    <w:rsid w:val="00560E01"/>
    <w:rsid w:val="0057372A"/>
    <w:rsid w:val="00586A8B"/>
    <w:rsid w:val="005A6788"/>
    <w:rsid w:val="005B7D2B"/>
    <w:rsid w:val="005D2509"/>
    <w:rsid w:val="005F221D"/>
    <w:rsid w:val="00600838"/>
    <w:rsid w:val="00602F74"/>
    <w:rsid w:val="0061259A"/>
    <w:rsid w:val="00625ADE"/>
    <w:rsid w:val="00635BBB"/>
    <w:rsid w:val="0063718F"/>
    <w:rsid w:val="00662CF9"/>
    <w:rsid w:val="00680AE9"/>
    <w:rsid w:val="00693CAB"/>
    <w:rsid w:val="00695098"/>
    <w:rsid w:val="006C0E1A"/>
    <w:rsid w:val="006D340F"/>
    <w:rsid w:val="006F75CF"/>
    <w:rsid w:val="007051A9"/>
    <w:rsid w:val="007335AD"/>
    <w:rsid w:val="00767254"/>
    <w:rsid w:val="00767F7F"/>
    <w:rsid w:val="00777DC4"/>
    <w:rsid w:val="007B20B2"/>
    <w:rsid w:val="007B59BA"/>
    <w:rsid w:val="007D0082"/>
    <w:rsid w:val="007D2BDA"/>
    <w:rsid w:val="007F057A"/>
    <w:rsid w:val="0080334C"/>
    <w:rsid w:val="00841C43"/>
    <w:rsid w:val="00852F1D"/>
    <w:rsid w:val="00865C80"/>
    <w:rsid w:val="008832EF"/>
    <w:rsid w:val="008B07EC"/>
    <w:rsid w:val="008C79A0"/>
    <w:rsid w:val="008D421B"/>
    <w:rsid w:val="008E0AB9"/>
    <w:rsid w:val="008E0AEB"/>
    <w:rsid w:val="008F3EBB"/>
    <w:rsid w:val="009260F0"/>
    <w:rsid w:val="00946C88"/>
    <w:rsid w:val="00950142"/>
    <w:rsid w:val="00951DDB"/>
    <w:rsid w:val="00960126"/>
    <w:rsid w:val="0096761D"/>
    <w:rsid w:val="00972186"/>
    <w:rsid w:val="009900C2"/>
    <w:rsid w:val="009A085B"/>
    <w:rsid w:val="009A20AF"/>
    <w:rsid w:val="009D6558"/>
    <w:rsid w:val="009E15D4"/>
    <w:rsid w:val="009E251E"/>
    <w:rsid w:val="009F1A98"/>
    <w:rsid w:val="00A01A62"/>
    <w:rsid w:val="00A029C7"/>
    <w:rsid w:val="00A12FFE"/>
    <w:rsid w:val="00A13BCB"/>
    <w:rsid w:val="00A20ABA"/>
    <w:rsid w:val="00A248F1"/>
    <w:rsid w:val="00A318F1"/>
    <w:rsid w:val="00A57180"/>
    <w:rsid w:val="00A702BC"/>
    <w:rsid w:val="00AC6AF7"/>
    <w:rsid w:val="00AE37A9"/>
    <w:rsid w:val="00AE3B26"/>
    <w:rsid w:val="00AF021F"/>
    <w:rsid w:val="00AF5C8B"/>
    <w:rsid w:val="00B03157"/>
    <w:rsid w:val="00B149EF"/>
    <w:rsid w:val="00B30A88"/>
    <w:rsid w:val="00BA3E8E"/>
    <w:rsid w:val="00BB5218"/>
    <w:rsid w:val="00BD570A"/>
    <w:rsid w:val="00BE04BD"/>
    <w:rsid w:val="00BE0C93"/>
    <w:rsid w:val="00C3089E"/>
    <w:rsid w:val="00C314C2"/>
    <w:rsid w:val="00C665A5"/>
    <w:rsid w:val="00C722E9"/>
    <w:rsid w:val="00C92A29"/>
    <w:rsid w:val="00C9545C"/>
    <w:rsid w:val="00CC4FDE"/>
    <w:rsid w:val="00CD4300"/>
    <w:rsid w:val="00CD4AB2"/>
    <w:rsid w:val="00CE2DE3"/>
    <w:rsid w:val="00CE47E0"/>
    <w:rsid w:val="00D009AA"/>
    <w:rsid w:val="00D10115"/>
    <w:rsid w:val="00D340D2"/>
    <w:rsid w:val="00D3750E"/>
    <w:rsid w:val="00D53767"/>
    <w:rsid w:val="00D74D27"/>
    <w:rsid w:val="00D75E43"/>
    <w:rsid w:val="00D770C6"/>
    <w:rsid w:val="00D8751C"/>
    <w:rsid w:val="00D9407A"/>
    <w:rsid w:val="00DB35D2"/>
    <w:rsid w:val="00DE142C"/>
    <w:rsid w:val="00DE45DC"/>
    <w:rsid w:val="00DF1C99"/>
    <w:rsid w:val="00E34056"/>
    <w:rsid w:val="00E37A1D"/>
    <w:rsid w:val="00E47C71"/>
    <w:rsid w:val="00E54657"/>
    <w:rsid w:val="00E71E65"/>
    <w:rsid w:val="00E964D6"/>
    <w:rsid w:val="00EB01CA"/>
    <w:rsid w:val="00EB5E8D"/>
    <w:rsid w:val="00ED4794"/>
    <w:rsid w:val="00EE35B4"/>
    <w:rsid w:val="00F27132"/>
    <w:rsid w:val="00F45125"/>
    <w:rsid w:val="00F5678A"/>
    <w:rsid w:val="00F65360"/>
    <w:rsid w:val="00F67A47"/>
    <w:rsid w:val="00F74B82"/>
    <w:rsid w:val="00F901F4"/>
    <w:rsid w:val="00F94149"/>
    <w:rsid w:val="00FB39BF"/>
    <w:rsid w:val="00FB7630"/>
    <w:rsid w:val="00FC14B5"/>
    <w:rsid w:val="00FC184E"/>
    <w:rsid w:val="00FC682A"/>
    <w:rsid w:val="00FC6BFB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350CFDD"/>
  <w15:chartTrackingRefBased/>
  <w15:docId w15:val="{263595CE-5F35-4C27-BB1A-103C952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Palatino Linotype" w:hAnsi="Palatino Linotyp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Palatino Linotype" w:hAnsi="Palatino Linotype"/>
      <w:b/>
    </w:rPr>
  </w:style>
  <w:style w:type="paragraph" w:styleId="BalloonText">
    <w:name w:val="Balloon Text"/>
    <w:basedOn w:val="Normal"/>
    <w:semiHidden/>
    <w:rsid w:val="00F65360"/>
    <w:rPr>
      <w:rFonts w:ascii="Tahoma" w:hAnsi="Tahoma" w:cs="Tahoma"/>
      <w:sz w:val="16"/>
      <w:szCs w:val="16"/>
    </w:rPr>
  </w:style>
  <w:style w:type="character" w:styleId="Hyperlink">
    <w:name w:val="Hyperlink"/>
    <w:rsid w:val="00C665A5"/>
    <w:rPr>
      <w:color w:val="0000FF"/>
      <w:u w:val="none"/>
    </w:rPr>
  </w:style>
  <w:style w:type="character" w:styleId="FollowedHyperlink">
    <w:name w:val="FollowedHyperlink"/>
    <w:rsid w:val="008832E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340D2"/>
    <w:pPr>
      <w:ind w:left="720"/>
    </w:pPr>
  </w:style>
  <w:style w:type="paragraph" w:styleId="FootnoteText">
    <w:name w:val="footnote text"/>
    <w:basedOn w:val="Normal"/>
    <w:link w:val="FootnoteTextChar"/>
    <w:rsid w:val="002D0B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0B56"/>
  </w:style>
  <w:style w:type="character" w:styleId="FootnoteReference">
    <w:name w:val="footnote reference"/>
    <w:basedOn w:val="DefaultParagraphFont"/>
    <w:rsid w:val="002D0B56"/>
    <w:rPr>
      <w:vertAlign w:val="superscript"/>
    </w:rPr>
  </w:style>
  <w:style w:type="table" w:styleId="TableGrid">
    <w:name w:val="Table Grid"/>
    <w:basedOn w:val="TableNormal"/>
    <w:uiPriority w:val="59"/>
    <w:rsid w:val="00EB5E8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ndingsConclusions">
    <w:name w:val="Findings &amp; Conclusions"/>
    <w:basedOn w:val="Normal"/>
    <w:autoRedefine/>
    <w:rsid w:val="002213DB"/>
    <w:pPr>
      <w:numPr>
        <w:numId w:val="1"/>
      </w:numPr>
      <w:spacing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evall\Desktop\UW-161155%20Orde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Order - Final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160</IndustryCode>
    <CaseStatus xmlns="dc463f71-b30c-4ab2-9473-d307f9d35888">Closed</CaseStatus>
    <OpenedDate xmlns="dc463f71-b30c-4ab2-9473-d307f9d35888">2016-10-21T07:00:00+00:00</OpenedDate>
    <Date1 xmlns="dc463f71-b30c-4ab2-9473-d307f9d35888">2017-03-29T07:00:00+00:00</Date1>
    <IsDocumentOrder xmlns="dc463f71-b30c-4ab2-9473-d307f9d35888">true</IsDocumentOrder>
    <IsHighlyConfidential xmlns="dc463f71-b30c-4ab2-9473-d307f9d35888">false</IsHighlyConfidential>
    <CaseCompanyNames xmlns="dc463f71-b30c-4ab2-9473-d307f9d35888">Iliad Water Service, Inc.</CaseCompanyNames>
    <Nickname xmlns="http://schemas.microsoft.com/sharepoint/v3" xsi:nil="true"/>
    <DocketNumber xmlns="dc463f71-b30c-4ab2-9473-d307f9d35888">161155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B58109430BB2344BA7FDD945FCD2DD0" ma:contentTypeVersion="104" ma:contentTypeDescription="" ma:contentTypeScope="" ma:versionID="a375f3f4c01074438c5485b5d741b74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52E1892-8B5A-4CB8-AF03-96107567E7D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51276d0-61bc-4dad-b75c-21dfd12630ad"/>
    <ds:schemaRef ds:uri="A1FDD4F4-F647-4EC1-A235-4CF8E516FBD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0451A9-D463-4351-84C2-DA22196C3553}"/>
</file>

<file path=customXml/itemProps3.xml><?xml version="1.0" encoding="utf-8"?>
<ds:datastoreItem xmlns:ds="http://schemas.openxmlformats.org/officeDocument/2006/customXml" ds:itemID="{83C61717-A887-423F-BF5F-E42D79D40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E13039-2EA8-46E1-B3CF-F79B28461D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A67E1B-746E-4430-BBB3-3C9D09FD07BD}"/>
</file>

<file path=docProps/app.xml><?xml version="1.0" encoding="utf-8"?>
<Properties xmlns="http://schemas.openxmlformats.org/officeDocument/2006/extended-properties" xmlns:vt="http://schemas.openxmlformats.org/officeDocument/2006/docPropsVTypes">
  <Template>UW-161155 Order 01</Template>
  <TotalTime>0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UW-161155 - Order 02</vt:lpstr>
    </vt:vector>
  </TitlesOfParts>
  <Company>UTC</Company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UW-161155 - Order 02</dc:title>
  <dc:subject/>
  <dc:creator>Pearson, Rayne (UTC)</dc:creator>
  <cp:keywords/>
  <dc:description/>
  <cp:lastModifiedBy>Kern, Cathy (UTC)</cp:lastModifiedBy>
  <cp:revision>2</cp:revision>
  <cp:lastPrinted>2002-12-02T22:04:00Z</cp:lastPrinted>
  <dcterms:created xsi:type="dcterms:W3CDTF">2017-03-28T23:06:00Z</dcterms:created>
  <dcterms:modified xsi:type="dcterms:W3CDTF">2017-03-28T23:06:00Z</dcterms:modified>
  <cp:category>Generic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0x0101006E56B4D1795A2E4DB2F0B01679ED314A00EB58109430BB2344BA7FDD945FCD2DD0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