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75682D" w:rsidRDefault="0075682D" w:rsidP="0075682D">
      <w:pPr>
        <w:spacing w:after="0" w:line="240" w:lineRule="auto"/>
        <w:jc w:val="center"/>
        <w:rPr>
          <w:rFonts w:ascii="Times New Roman" w:hAnsi="Times New Roman"/>
          <w:b/>
          <w:sz w:val="24"/>
          <w:szCs w:val="20"/>
        </w:rPr>
      </w:pPr>
    </w:p>
    <w:p w:rsidR="00F45170" w:rsidRPr="004D206B" w:rsidRDefault="00F45170" w:rsidP="0075682D">
      <w:pPr>
        <w:spacing w:after="0" w:line="240" w:lineRule="auto"/>
        <w:jc w:val="center"/>
        <w:rPr>
          <w:rFonts w:ascii="Times New Roman" w:hAnsi="Times New Roman"/>
          <w:b/>
          <w:sz w:val="24"/>
          <w:szCs w:val="20"/>
        </w:rPr>
      </w:pPr>
      <w:r w:rsidRPr="004D206B">
        <w:rPr>
          <w:rFonts w:ascii="Times New Roman" w:hAnsi="Times New Roman"/>
          <w:b/>
          <w:sz w:val="24"/>
          <w:szCs w:val="20"/>
        </w:rPr>
        <w:t>BEFORE THE WASHINGTON UTILITIES AND TRANSPORTATION COMMISSION</w:t>
      </w:r>
    </w:p>
    <w:p w:rsidR="00F45170" w:rsidRPr="004D206B" w:rsidRDefault="00F45170" w:rsidP="004D206B">
      <w:pPr>
        <w:spacing w:after="0" w:line="240" w:lineRule="auto"/>
        <w:rPr>
          <w:rFonts w:ascii="Times New Roman" w:hAnsi="Times New Roman"/>
          <w:b/>
          <w:sz w:val="24"/>
          <w:szCs w:val="20"/>
        </w:rPr>
      </w:pPr>
    </w:p>
    <w:tbl>
      <w:tblPr>
        <w:tblW w:w="0" w:type="auto"/>
        <w:tblLayout w:type="fixed"/>
        <w:tblLook w:val="0000"/>
      </w:tblPr>
      <w:tblGrid>
        <w:gridCol w:w="5328"/>
        <w:gridCol w:w="4230"/>
      </w:tblGrid>
      <w:tr w:rsidR="00F45170" w:rsidRPr="004D206B" w:rsidTr="000D2130">
        <w:tc>
          <w:tcPr>
            <w:tcW w:w="5328" w:type="dxa"/>
            <w:tcBorders>
              <w:bottom w:val="single" w:sz="4" w:space="0" w:color="auto"/>
              <w:right w:val="single" w:sz="4" w:space="0" w:color="auto"/>
            </w:tcBorders>
          </w:tcPr>
          <w:p w:rsidR="00F45170" w:rsidRPr="004D206B" w:rsidRDefault="00F45170" w:rsidP="004D206B">
            <w:pPr>
              <w:tabs>
                <w:tab w:val="left" w:pos="2160"/>
              </w:tabs>
              <w:spacing w:after="0" w:line="240" w:lineRule="auto"/>
              <w:rPr>
                <w:rFonts w:ascii="Times New Roman" w:hAnsi="Times New Roman"/>
                <w:bCs/>
                <w:sz w:val="26"/>
                <w:szCs w:val="24"/>
              </w:rPr>
            </w:pPr>
            <w:r w:rsidRPr="004D206B">
              <w:rPr>
                <w:rFonts w:ascii="Times New Roman" w:hAnsi="Times New Roman"/>
                <w:bCs/>
                <w:sz w:val="26"/>
                <w:szCs w:val="24"/>
              </w:rPr>
              <w:t>In the Matter of the Petition of</w:t>
            </w:r>
          </w:p>
          <w:p w:rsidR="00F45170" w:rsidRPr="004D206B" w:rsidRDefault="00F45170" w:rsidP="004D206B">
            <w:pPr>
              <w:tabs>
                <w:tab w:val="left" w:pos="2160"/>
              </w:tabs>
              <w:spacing w:after="0" w:line="240" w:lineRule="auto"/>
              <w:rPr>
                <w:rFonts w:ascii="Times New Roman" w:hAnsi="Times New Roman"/>
                <w:bCs/>
                <w:sz w:val="26"/>
                <w:szCs w:val="24"/>
              </w:rPr>
            </w:pPr>
          </w:p>
          <w:p w:rsidR="00F45170" w:rsidRPr="004D206B" w:rsidRDefault="00F45170" w:rsidP="004D206B">
            <w:pPr>
              <w:tabs>
                <w:tab w:val="left" w:pos="2160"/>
              </w:tabs>
              <w:spacing w:after="0" w:line="240" w:lineRule="auto"/>
              <w:rPr>
                <w:rFonts w:ascii="Times New Roman" w:hAnsi="Times New Roman"/>
                <w:bCs/>
                <w:sz w:val="26"/>
                <w:szCs w:val="24"/>
              </w:rPr>
            </w:pPr>
            <w:r w:rsidRPr="004D206B">
              <w:rPr>
                <w:rFonts w:ascii="Times New Roman" w:hAnsi="Times New Roman"/>
                <w:bCs/>
                <w:sz w:val="26"/>
                <w:szCs w:val="24"/>
              </w:rPr>
              <w:t xml:space="preserve">THE CENTURYLINK COMPANIES – QWEST CORPORATION; CENTURYTEL OF </w:t>
            </w:r>
            <w:smartTag w:uri="urn:schemas-microsoft-com:office:smarttags" w:element="State">
              <w:smartTag w:uri="urn:schemas-microsoft-com:office:smarttags" w:element="place">
                <w:r w:rsidRPr="004D206B">
                  <w:rPr>
                    <w:rFonts w:ascii="Times New Roman" w:hAnsi="Times New Roman"/>
                    <w:bCs/>
                    <w:sz w:val="26"/>
                    <w:szCs w:val="24"/>
                  </w:rPr>
                  <w:t>WASHINGTON</w:t>
                </w:r>
              </w:smartTag>
            </w:smartTag>
            <w:r w:rsidRPr="004D206B">
              <w:rPr>
                <w:rFonts w:ascii="Times New Roman" w:hAnsi="Times New Roman"/>
                <w:bCs/>
                <w:sz w:val="26"/>
                <w:szCs w:val="24"/>
              </w:rPr>
              <w:t>; CENTURYTEL OF INTERISLAND; CENTURYTEL OF COWICHE; AND UNITED TELEPHONE COMPANY OF THE NORTHWEST</w:t>
            </w:r>
          </w:p>
          <w:p w:rsidR="00F45170" w:rsidRPr="004D206B" w:rsidRDefault="00F45170" w:rsidP="004D206B">
            <w:pPr>
              <w:tabs>
                <w:tab w:val="left" w:pos="2160"/>
              </w:tabs>
              <w:spacing w:after="0" w:line="240" w:lineRule="auto"/>
              <w:rPr>
                <w:rFonts w:ascii="Times New Roman" w:hAnsi="Times New Roman"/>
                <w:bCs/>
                <w:sz w:val="26"/>
                <w:szCs w:val="24"/>
              </w:rPr>
            </w:pPr>
          </w:p>
          <w:p w:rsidR="00F45170" w:rsidRPr="004D206B" w:rsidRDefault="00F45170" w:rsidP="004D206B">
            <w:pPr>
              <w:tabs>
                <w:tab w:val="left" w:pos="2160"/>
              </w:tabs>
              <w:spacing w:after="0" w:line="240" w:lineRule="auto"/>
              <w:rPr>
                <w:rFonts w:ascii="Times New Roman" w:hAnsi="Times New Roman"/>
                <w:bCs/>
                <w:sz w:val="26"/>
                <w:szCs w:val="24"/>
              </w:rPr>
            </w:pPr>
            <w:r w:rsidRPr="004D206B">
              <w:rPr>
                <w:rFonts w:ascii="Times New Roman" w:hAnsi="Times New Roman"/>
                <w:bCs/>
                <w:sz w:val="26"/>
                <w:szCs w:val="24"/>
              </w:rPr>
              <w:t>To be Regulated Under an Alternative Form of Regulation Pursuant to RCW 80.36.135.</w:t>
            </w:r>
          </w:p>
        </w:tc>
        <w:tc>
          <w:tcPr>
            <w:tcW w:w="4230" w:type="dxa"/>
            <w:tcBorders>
              <w:left w:val="nil"/>
            </w:tcBorders>
          </w:tcPr>
          <w:p w:rsidR="00F45170" w:rsidRPr="004D206B" w:rsidRDefault="00F45170" w:rsidP="004D206B">
            <w:pPr>
              <w:spacing w:after="0" w:line="240" w:lineRule="auto"/>
              <w:ind w:left="342"/>
              <w:rPr>
                <w:rFonts w:ascii="Times New Roman" w:hAnsi="Times New Roman"/>
                <w:sz w:val="26"/>
                <w:szCs w:val="24"/>
              </w:rPr>
            </w:pPr>
          </w:p>
          <w:p w:rsidR="00F45170" w:rsidRPr="004D206B" w:rsidRDefault="00F45170" w:rsidP="004D206B">
            <w:pPr>
              <w:spacing w:after="0" w:line="240" w:lineRule="auto"/>
              <w:ind w:left="342"/>
              <w:rPr>
                <w:rFonts w:ascii="Times New Roman" w:hAnsi="Times New Roman"/>
                <w:sz w:val="26"/>
                <w:szCs w:val="24"/>
              </w:rPr>
            </w:pPr>
            <w:r w:rsidRPr="004D206B">
              <w:rPr>
                <w:rFonts w:ascii="Times New Roman" w:hAnsi="Times New Roman"/>
                <w:sz w:val="26"/>
                <w:szCs w:val="24"/>
              </w:rPr>
              <w:t>Docket No. UT-130477</w:t>
            </w:r>
          </w:p>
          <w:p w:rsidR="00F45170" w:rsidRPr="004D206B" w:rsidRDefault="00F45170" w:rsidP="004D206B">
            <w:pPr>
              <w:spacing w:after="0" w:line="240" w:lineRule="auto"/>
              <w:ind w:left="342"/>
              <w:rPr>
                <w:rFonts w:ascii="Times New Roman" w:hAnsi="Times New Roman"/>
                <w:sz w:val="26"/>
                <w:szCs w:val="24"/>
              </w:rPr>
            </w:pPr>
          </w:p>
          <w:p w:rsidR="00F45170" w:rsidRPr="004D206B" w:rsidRDefault="00F45170" w:rsidP="004D206B">
            <w:pPr>
              <w:spacing w:after="0" w:line="240" w:lineRule="auto"/>
              <w:ind w:left="342"/>
              <w:rPr>
                <w:rFonts w:ascii="Times New Roman" w:hAnsi="Times New Roman"/>
                <w:b/>
                <w:sz w:val="26"/>
                <w:szCs w:val="24"/>
              </w:rPr>
            </w:pPr>
            <w:r w:rsidRPr="004D206B">
              <w:rPr>
                <w:rFonts w:ascii="Times New Roman" w:hAnsi="Times New Roman"/>
                <w:b/>
                <w:sz w:val="26"/>
                <w:szCs w:val="24"/>
              </w:rPr>
              <w:t>STIPULATED PLAN FOR ALTERNATIVE FORM OF REGULATION</w:t>
            </w:r>
          </w:p>
          <w:p w:rsidR="00F45170" w:rsidRPr="004D206B" w:rsidRDefault="00F45170" w:rsidP="004D206B">
            <w:pPr>
              <w:spacing w:after="0" w:line="240" w:lineRule="auto"/>
              <w:ind w:left="342"/>
              <w:rPr>
                <w:rFonts w:ascii="Times New Roman" w:hAnsi="Times New Roman"/>
                <w:sz w:val="26"/>
                <w:szCs w:val="24"/>
              </w:rPr>
            </w:pPr>
          </w:p>
          <w:p w:rsidR="00F45170" w:rsidRPr="004D206B" w:rsidRDefault="00F45170" w:rsidP="004D206B">
            <w:pPr>
              <w:spacing w:after="0" w:line="240" w:lineRule="auto"/>
              <w:ind w:left="342"/>
              <w:rPr>
                <w:rFonts w:ascii="Times New Roman" w:hAnsi="Times New Roman"/>
                <w:sz w:val="26"/>
                <w:szCs w:val="24"/>
              </w:rPr>
            </w:pPr>
          </w:p>
        </w:tc>
      </w:tr>
    </w:tbl>
    <w:p w:rsidR="00F45170" w:rsidRPr="004D206B" w:rsidRDefault="00F45170" w:rsidP="004D206B">
      <w:pPr>
        <w:spacing w:after="0" w:line="240" w:lineRule="auto"/>
        <w:rPr>
          <w:rFonts w:ascii="Times New Roman" w:hAnsi="Times New Roman"/>
          <w:sz w:val="26"/>
          <w:szCs w:val="26"/>
        </w:rPr>
      </w:pPr>
    </w:p>
    <w:p w:rsidR="00F45170" w:rsidRDefault="00F45170" w:rsidP="004D206B">
      <w:pPr>
        <w:widowControl w:val="0"/>
        <w:suppressLineNumbers/>
        <w:jc w:val="center"/>
        <w:rPr>
          <w:rFonts w:ascii="Times New Roman" w:hAnsi="Times New Roman"/>
          <w:b/>
        </w:rPr>
      </w:pPr>
    </w:p>
    <w:p w:rsidR="00F45170" w:rsidRDefault="00F45170">
      <w:pPr>
        <w:pStyle w:val="Default"/>
        <w:spacing w:line="480" w:lineRule="auto"/>
      </w:pPr>
    </w:p>
    <w:p w:rsidR="00F45170" w:rsidRDefault="00F45170">
      <w:pPr>
        <w:pStyle w:val="Default"/>
      </w:pPr>
    </w:p>
    <w:p w:rsidR="00F45170" w:rsidRDefault="00F45170">
      <w:pPr>
        <w:pStyle w:val="Default"/>
        <w:jc w:val="center"/>
        <w:rPr>
          <w:b/>
        </w:rPr>
      </w:pPr>
      <w:smartTag w:uri="urn:schemas-microsoft-com:office:smarttags" w:element="PlaceName">
        <w:r>
          <w:rPr>
            <w:b/>
          </w:rPr>
          <w:t>T</w:t>
        </w:r>
      </w:smartTag>
      <w:r>
        <w:rPr>
          <w:b/>
        </w:rPr>
        <w:t>ES</w:t>
      </w:r>
      <w:smartTag w:uri="urn:schemas-microsoft-com:office:smarttags" w:element="PlaceName">
        <w:r>
          <w:rPr>
            <w:b/>
          </w:rPr>
          <w:t>T</w:t>
        </w:r>
      </w:smartTag>
      <w:r>
        <w:rPr>
          <w:b/>
        </w:rPr>
        <w:t>IMONY IN SUPPOR</w:t>
      </w:r>
      <w:smartTag w:uri="urn:schemas-microsoft-com:office:smarttags" w:element="PlaceName">
        <w:r>
          <w:rPr>
            <w:b/>
          </w:rPr>
          <w:t>T</w:t>
        </w:r>
      </w:smartTag>
      <w:r>
        <w:rPr>
          <w:b/>
        </w:rPr>
        <w:t xml:space="preserve"> OF SETTLEMENT AGREEMENT</w:t>
      </w:r>
    </w:p>
    <w:p w:rsidR="00F45170" w:rsidRDefault="00F45170">
      <w:pPr>
        <w:pStyle w:val="Default"/>
        <w:jc w:val="center"/>
        <w:rPr>
          <w:b/>
        </w:rPr>
      </w:pPr>
    </w:p>
    <w:p w:rsidR="00F45170" w:rsidRDefault="00F45170">
      <w:pPr>
        <w:pStyle w:val="Default"/>
        <w:jc w:val="center"/>
        <w:rPr>
          <w:b/>
        </w:rPr>
      </w:pPr>
    </w:p>
    <w:p w:rsidR="00F45170" w:rsidRDefault="00F45170">
      <w:pPr>
        <w:pStyle w:val="Default"/>
        <w:jc w:val="center"/>
        <w:rPr>
          <w:b/>
        </w:rPr>
      </w:pPr>
      <w:r>
        <w:rPr>
          <w:b/>
        </w:rPr>
        <w:t xml:space="preserve">BY </w:t>
      </w:r>
    </w:p>
    <w:p w:rsidR="00F45170" w:rsidRDefault="00F45170">
      <w:pPr>
        <w:pStyle w:val="Default"/>
        <w:jc w:val="center"/>
        <w:rPr>
          <w:b/>
        </w:rPr>
      </w:pPr>
    </w:p>
    <w:p w:rsidR="00F45170" w:rsidRDefault="00F45170">
      <w:pPr>
        <w:pStyle w:val="Default"/>
        <w:jc w:val="center"/>
        <w:rPr>
          <w:b/>
        </w:rPr>
      </w:pPr>
    </w:p>
    <w:p w:rsidR="00F45170" w:rsidRDefault="00F45170" w:rsidP="005E3BC7">
      <w:pPr>
        <w:pStyle w:val="Default"/>
        <w:jc w:val="center"/>
        <w:rPr>
          <w:b/>
        </w:rPr>
      </w:pPr>
      <w:r>
        <w:rPr>
          <w:b/>
        </w:rPr>
        <w:t>THE PETITIONING CEN</w:t>
      </w:r>
      <w:smartTag w:uri="urn:schemas-microsoft-com:office:smarttags" w:element="PlaceName">
        <w:r>
          <w:rPr>
            <w:b/>
          </w:rPr>
          <w:t>T</w:t>
        </w:r>
      </w:smartTag>
      <w:r>
        <w:rPr>
          <w:b/>
        </w:rPr>
        <w:t>URYLINK ILECs</w:t>
      </w:r>
    </w:p>
    <w:p w:rsidR="00F45170" w:rsidRDefault="00F45170">
      <w:pPr>
        <w:pStyle w:val="Default"/>
        <w:jc w:val="center"/>
        <w:rPr>
          <w:b/>
        </w:rPr>
      </w:pPr>
      <w:r>
        <w:rPr>
          <w:b/>
        </w:rPr>
        <w:t>COMMISSION STAFF</w:t>
      </w:r>
    </w:p>
    <w:p w:rsidR="00F45170" w:rsidRDefault="00F45170">
      <w:pPr>
        <w:pStyle w:val="Default"/>
        <w:jc w:val="center"/>
        <w:rPr>
          <w:b/>
        </w:rPr>
      </w:pPr>
      <w:r>
        <w:rPr>
          <w:b/>
        </w:rPr>
        <w:t>PUBLIC COUNSEL</w:t>
      </w:r>
    </w:p>
    <w:p w:rsidR="00F45170" w:rsidRDefault="00F45170">
      <w:pPr>
        <w:pStyle w:val="Default"/>
        <w:spacing w:line="480" w:lineRule="auto"/>
        <w:jc w:val="center"/>
        <w:rPr>
          <w:b/>
        </w:rPr>
      </w:pPr>
    </w:p>
    <w:p w:rsidR="00F45170" w:rsidRDefault="00F45170">
      <w:pPr>
        <w:pStyle w:val="Default"/>
        <w:spacing w:line="480" w:lineRule="auto"/>
        <w:jc w:val="center"/>
        <w:rPr>
          <w:b/>
        </w:rPr>
      </w:pPr>
    </w:p>
    <w:p w:rsidR="00F45170" w:rsidRDefault="00F45170">
      <w:pPr>
        <w:pStyle w:val="Default"/>
        <w:spacing w:line="480" w:lineRule="auto"/>
        <w:jc w:val="center"/>
        <w:rPr>
          <w:b/>
        </w:rPr>
        <w:sectPr w:rsidR="00F45170">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r>
        <w:rPr>
          <w:b/>
        </w:rPr>
        <w:t>September 19, 2013</w:t>
      </w:r>
    </w:p>
    <w:p w:rsidR="00F45170" w:rsidRDefault="00F45170" w:rsidP="00B14870">
      <w:pPr>
        <w:pStyle w:val="Default"/>
        <w:spacing w:line="480" w:lineRule="exact"/>
        <w:jc w:val="center"/>
        <w:rPr>
          <w:b/>
        </w:rPr>
      </w:pPr>
      <w:r>
        <w:rPr>
          <w:b/>
        </w:rPr>
        <w:lastRenderedPageBreak/>
        <w:t>I.  IN</w:t>
      </w:r>
      <w:smartTag w:uri="urn:schemas-microsoft-com:office:smarttags" w:element="PlaceName">
        <w:r>
          <w:rPr>
            <w:b/>
          </w:rPr>
          <w:t>T</w:t>
        </w:r>
      </w:smartTag>
      <w:r>
        <w:rPr>
          <w:b/>
        </w:rPr>
        <w:t>RODUC</w:t>
      </w:r>
      <w:smartTag w:uri="urn:schemas-microsoft-com:office:smarttags" w:element="PlaceName">
        <w:r>
          <w:rPr>
            <w:b/>
          </w:rPr>
          <w:t>T</w:t>
        </w:r>
      </w:smartTag>
      <w:r>
        <w:rPr>
          <w:b/>
        </w:rPr>
        <w:t>ION</w:t>
      </w:r>
    </w:p>
    <w:p w:rsidR="00F45170" w:rsidRDefault="00F45170" w:rsidP="00B14870">
      <w:pPr>
        <w:pStyle w:val="Default"/>
        <w:spacing w:line="480" w:lineRule="exact"/>
        <w:rPr>
          <w:b/>
        </w:rPr>
      </w:pPr>
      <w:r>
        <w:rPr>
          <w:b/>
        </w:rPr>
        <w:t>Q.</w:t>
      </w:r>
      <w:r>
        <w:rPr>
          <w:b/>
        </w:rPr>
        <w:tab/>
        <w:t>Who is sponsoring this testimony?</w:t>
      </w:r>
    </w:p>
    <w:p w:rsidR="00F45170" w:rsidRDefault="00F45170" w:rsidP="00564972">
      <w:pPr>
        <w:pStyle w:val="Default"/>
        <w:spacing w:line="480" w:lineRule="exact"/>
        <w:ind w:left="720" w:hanging="720"/>
      </w:pPr>
      <w:r w:rsidRPr="00564972">
        <w:rPr>
          <w:b/>
        </w:rPr>
        <w:t>A.</w:t>
      </w:r>
      <w:r>
        <w:rPr>
          <w:b/>
        </w:rPr>
        <w:tab/>
      </w:r>
      <w:smartTag w:uri="urn:schemas-microsoft-com:office:smarttags" w:element="PlaceName">
        <w:r>
          <w:t>T</w:t>
        </w:r>
      </w:smartTag>
      <w:r>
        <w:t xml:space="preserve">his testimony is jointly sponsored by the petitioning CenturyLink companies (“Petitioners” or “CenturyLink”), Commission Staff (“Staff”), and the Office of Public Counsel (“Public Counsel”) (collectively “the Parties”) and is offered in support of the AFOR Settlement Agreement entered into between Petitioners, Staff, and Public Counsel.  </w:t>
      </w:r>
    </w:p>
    <w:p w:rsidR="00F45170" w:rsidRDefault="00F45170" w:rsidP="00B14870">
      <w:pPr>
        <w:pStyle w:val="Default"/>
        <w:spacing w:line="480" w:lineRule="exact"/>
      </w:pPr>
    </w:p>
    <w:p w:rsidR="00F45170" w:rsidRDefault="00F45170" w:rsidP="00B14870">
      <w:pPr>
        <w:pStyle w:val="Default"/>
        <w:spacing w:line="480" w:lineRule="exact"/>
        <w:rPr>
          <w:b/>
        </w:rPr>
      </w:pPr>
      <w:r>
        <w:rPr>
          <w:b/>
        </w:rPr>
        <w:t>Q.</w:t>
      </w:r>
      <w:r>
        <w:rPr>
          <w:b/>
        </w:rPr>
        <w:tab/>
        <w:t>Please state your names.</w:t>
      </w:r>
    </w:p>
    <w:p w:rsidR="00F45170" w:rsidRDefault="00F45170" w:rsidP="00564972">
      <w:pPr>
        <w:pStyle w:val="Default"/>
        <w:spacing w:line="480" w:lineRule="exact"/>
        <w:ind w:left="720" w:hanging="720"/>
      </w:pPr>
      <w:r w:rsidRPr="00564972">
        <w:rPr>
          <w:b/>
        </w:rPr>
        <w:t>A.</w:t>
      </w:r>
      <w:r>
        <w:tab/>
        <w:t xml:space="preserve">Our names are:  Mark Reynolds (CenturyLink), William Weinman (Staff), and </w:t>
      </w:r>
      <w:r w:rsidR="00794193">
        <w:t xml:space="preserve">Stefanie </w:t>
      </w:r>
      <w:r>
        <w:t>Johnson (Public Counsel).</w:t>
      </w:r>
    </w:p>
    <w:p w:rsidR="00F45170" w:rsidRDefault="00F45170" w:rsidP="00564972">
      <w:pPr>
        <w:pStyle w:val="Default"/>
        <w:spacing w:line="480" w:lineRule="exact"/>
        <w:ind w:left="720" w:hanging="720"/>
      </w:pPr>
    </w:p>
    <w:p w:rsidR="00F45170" w:rsidRDefault="00F45170" w:rsidP="00564972">
      <w:pPr>
        <w:pStyle w:val="Default"/>
        <w:spacing w:line="480" w:lineRule="exact"/>
        <w:ind w:left="720" w:hanging="720"/>
        <w:rPr>
          <w:b/>
        </w:rPr>
      </w:pPr>
      <w:r>
        <w:rPr>
          <w:b/>
        </w:rPr>
        <w:t>Q.</w:t>
      </w:r>
      <w:r>
        <w:rPr>
          <w:b/>
        </w:rPr>
        <w:tab/>
        <w:t>Please describe your backgrounds and qualifications.</w:t>
      </w:r>
    </w:p>
    <w:p w:rsidR="00F45170" w:rsidRDefault="00F45170" w:rsidP="00564972">
      <w:pPr>
        <w:pStyle w:val="Default"/>
        <w:spacing w:line="480" w:lineRule="exact"/>
        <w:ind w:left="720" w:hanging="720"/>
      </w:pPr>
      <w:r w:rsidRPr="00564972">
        <w:rPr>
          <w:b/>
        </w:rPr>
        <w:t>A.</w:t>
      </w:r>
      <w:r>
        <w:tab/>
        <w:t xml:space="preserve">Mark Reynolds previously filed direct testimony in this docket, and Mr. Reynolds’ testimony contains that information.  For Mr. </w:t>
      </w:r>
      <w:proofErr w:type="spellStart"/>
      <w:r>
        <w:t>Weinman’s</w:t>
      </w:r>
      <w:proofErr w:type="spellEnd"/>
      <w:r>
        <w:t xml:space="preserve"> information, please see Section </w:t>
      </w:r>
      <w:r w:rsidR="007F6E06">
        <w:t xml:space="preserve">V </w:t>
      </w:r>
      <w:r w:rsidR="009768E5">
        <w:t xml:space="preserve">of this testimony.  For </w:t>
      </w:r>
      <w:r>
        <w:t xml:space="preserve">Ms. Johnson’s information, please see </w:t>
      </w:r>
      <w:proofErr w:type="gramStart"/>
      <w:r>
        <w:t xml:space="preserve">Section  </w:t>
      </w:r>
      <w:r w:rsidR="007F6E06">
        <w:t>VI</w:t>
      </w:r>
      <w:proofErr w:type="gramEnd"/>
      <w:r w:rsidR="007F6E06">
        <w:t xml:space="preserve"> </w:t>
      </w:r>
      <w:r>
        <w:t>of this testimony.</w:t>
      </w:r>
    </w:p>
    <w:p w:rsidR="00F45170" w:rsidRDefault="00F45170" w:rsidP="00564972">
      <w:pPr>
        <w:pStyle w:val="Default"/>
        <w:spacing w:line="480" w:lineRule="exact"/>
        <w:ind w:left="720" w:hanging="720"/>
      </w:pPr>
    </w:p>
    <w:p w:rsidR="00F45170" w:rsidRDefault="00F45170" w:rsidP="00564972">
      <w:pPr>
        <w:pStyle w:val="Default"/>
        <w:spacing w:line="480" w:lineRule="exact"/>
        <w:ind w:left="720" w:hanging="720"/>
        <w:rPr>
          <w:b/>
        </w:rPr>
      </w:pPr>
      <w:r>
        <w:rPr>
          <w:b/>
        </w:rPr>
        <w:t>Q.</w:t>
      </w:r>
      <w:r>
        <w:rPr>
          <w:b/>
        </w:rPr>
        <w:tab/>
        <w:t>What is the purpose of your testimony?</w:t>
      </w:r>
    </w:p>
    <w:p w:rsidR="00F45170" w:rsidRDefault="00F45170" w:rsidP="00564972">
      <w:pPr>
        <w:pStyle w:val="Default"/>
        <w:spacing w:line="480" w:lineRule="exact"/>
        <w:ind w:left="720" w:hanging="720"/>
      </w:pPr>
      <w:r w:rsidRPr="00564972">
        <w:rPr>
          <w:b/>
        </w:rPr>
        <w:t>A.</w:t>
      </w:r>
      <w:r>
        <w:tab/>
        <w:t>Our testimony describes and supports all provisions of the AFOR Settlement Agreement agreed upon by the Petitioners, Staff, and Public Counsel on August 22, 2013, and filed with the Commission on that same date (“AFOR Settlement Agreement”).</w:t>
      </w:r>
    </w:p>
    <w:p w:rsidR="00F45170" w:rsidRDefault="00F45170" w:rsidP="00564972">
      <w:pPr>
        <w:pStyle w:val="Default"/>
        <w:spacing w:line="480" w:lineRule="exact"/>
        <w:ind w:left="720" w:hanging="720"/>
      </w:pPr>
      <w:r>
        <w:tab/>
      </w:r>
      <w:r>
        <w:rPr>
          <w:bCs/>
        </w:rPr>
        <w:t>As explained in greater detail below, under the AFOR Settlement Agreement, t</w:t>
      </w:r>
      <w:r>
        <w:t xml:space="preserve">he Parties agree that the </w:t>
      </w:r>
      <w:proofErr w:type="gramStart"/>
      <w:r>
        <w:t>AFOR,</w:t>
      </w:r>
      <w:proofErr w:type="gramEnd"/>
      <w:r>
        <w:t xml:space="preserve"> as set forth in Attachment/Appendix A to that agreement, is consistent with the public interest standard described in RCW 80.36.135 and should be </w:t>
      </w:r>
      <w:r>
        <w:lastRenderedPageBreak/>
        <w:t>approved.  The Parties request that the Commission issue an order approving the AFOR Settlement Agreement, including the AFOR as the new form of regulation for the Petitioners.</w:t>
      </w:r>
    </w:p>
    <w:p w:rsidR="00F45170" w:rsidRDefault="00F45170" w:rsidP="00564972">
      <w:pPr>
        <w:pStyle w:val="Default"/>
        <w:spacing w:line="480" w:lineRule="exact"/>
        <w:ind w:left="720" w:hanging="720"/>
      </w:pPr>
    </w:p>
    <w:p w:rsidR="00F45170" w:rsidRDefault="00F45170" w:rsidP="00564972">
      <w:pPr>
        <w:pStyle w:val="Default"/>
        <w:spacing w:line="480" w:lineRule="exact"/>
        <w:ind w:left="720" w:hanging="720"/>
        <w:jc w:val="center"/>
        <w:rPr>
          <w:b/>
        </w:rPr>
      </w:pPr>
      <w:r>
        <w:rPr>
          <w:b/>
        </w:rPr>
        <w:t>II</w:t>
      </w:r>
      <w:proofErr w:type="gramStart"/>
      <w:r>
        <w:rPr>
          <w:b/>
        </w:rPr>
        <w:t>.  BACKGROUND</w:t>
      </w:r>
      <w:proofErr w:type="gramEnd"/>
    </w:p>
    <w:p w:rsidR="00F45170" w:rsidRDefault="00F45170" w:rsidP="00564972">
      <w:pPr>
        <w:pStyle w:val="Default"/>
        <w:spacing w:line="480" w:lineRule="exact"/>
        <w:ind w:left="720" w:hanging="720"/>
        <w:rPr>
          <w:b/>
        </w:rPr>
      </w:pPr>
      <w:r>
        <w:rPr>
          <w:b/>
        </w:rPr>
        <w:t>Q.</w:t>
      </w:r>
      <w:r>
        <w:rPr>
          <w:b/>
        </w:rPr>
        <w:tab/>
        <w:t>Please briefly describe the history of the proceeding.</w:t>
      </w:r>
    </w:p>
    <w:p w:rsidR="00F45170" w:rsidRDefault="00F45170" w:rsidP="00564972">
      <w:pPr>
        <w:pStyle w:val="Default"/>
        <w:spacing w:line="480" w:lineRule="exact"/>
        <w:ind w:left="720" w:hanging="720"/>
      </w:pPr>
      <w:r w:rsidRPr="00564972">
        <w:rPr>
          <w:b/>
        </w:rPr>
        <w:t>A.</w:t>
      </w:r>
      <w:r>
        <w:tab/>
        <w:t>When the Commission approved the merger of CenturyLink, Inc., and Qwest Communications International Inc. on March 14, 2011, the approval incorporated the terms of various settlement agreements.  One of those terms was a requirement that the five CenturyLink ILECs would petition the Commission for an AFOR during the period of April 2014 and April 2015.</w:t>
      </w:r>
      <w:r>
        <w:rPr>
          <w:rStyle w:val="FootnoteReference"/>
        </w:rPr>
        <w:footnoteReference w:id="1"/>
      </w:r>
      <w:r>
        <w:t xml:space="preserve"> </w:t>
      </w:r>
    </w:p>
    <w:p w:rsidR="00F45170" w:rsidRDefault="00F45170" w:rsidP="00564972">
      <w:pPr>
        <w:pStyle w:val="Default"/>
        <w:spacing w:line="480" w:lineRule="exact"/>
        <w:ind w:left="720" w:hanging="720"/>
      </w:pPr>
      <w:r>
        <w:tab/>
        <w:t xml:space="preserve">Subsequently, CenturyLink petitioned the Commission for a waiver or modification of that condition to allow a filing in 2013.  In Order 20 in the Merger proceeding, the Commission granted the request to allow a filing immediately.  </w:t>
      </w:r>
    </w:p>
    <w:p w:rsidR="00F45170" w:rsidRDefault="00F45170" w:rsidP="00564972">
      <w:pPr>
        <w:pStyle w:val="Default"/>
        <w:spacing w:line="480" w:lineRule="exact"/>
        <w:ind w:left="720" w:hanging="720"/>
      </w:pPr>
      <w:r>
        <w:tab/>
        <w:t xml:space="preserve">On April 1, 2013 CenturyLink filed the AFOR petition that is at issue in this case, including the direct testimony of Mark Reynolds and John Felz. </w:t>
      </w:r>
    </w:p>
    <w:p w:rsidR="00F45170" w:rsidRDefault="00F45170" w:rsidP="00564972">
      <w:pPr>
        <w:pStyle w:val="Default"/>
        <w:spacing w:line="480" w:lineRule="exact"/>
        <w:ind w:left="720" w:hanging="720"/>
      </w:pPr>
      <w:r>
        <w:tab/>
        <w:t xml:space="preserve">On May 1, 2013 the Commission held a prehearing conference and established a procedural schedule, including a date for a settlement conference which was held on August 5, 2013.  The </w:t>
      </w:r>
      <w:r w:rsidR="0037794E">
        <w:t>Parties</w:t>
      </w:r>
      <w:r>
        <w:t xml:space="preserve"> also engaged in informal discussions in furtherance of settlement.  These discussions resulted in the AFOR Settlement Agreement that is now before the Commission.  The AFOR Settlement Agreement was filed with the Commission on August 2</w:t>
      </w:r>
      <w:r w:rsidR="006A3D7F">
        <w:t>2</w:t>
      </w:r>
      <w:r>
        <w:t xml:space="preserve">, 2013.  </w:t>
      </w:r>
    </w:p>
    <w:p w:rsidR="00F45170" w:rsidRDefault="00F45170" w:rsidP="00564972">
      <w:pPr>
        <w:pStyle w:val="Default"/>
        <w:spacing w:line="480" w:lineRule="exact"/>
        <w:ind w:left="720" w:hanging="720"/>
      </w:pPr>
      <w:r>
        <w:lastRenderedPageBreak/>
        <w:tab/>
        <w:t>The Parties agreed to file testimony in support of the AFOR Settlement Agreement no later than September 19, 2013, and to ask the Commission to hold a settlement hearing on the regularly scheduled hearing dates starting October 15, 2013.</w:t>
      </w:r>
    </w:p>
    <w:p w:rsidR="00F45170" w:rsidRDefault="00F45170" w:rsidP="00564972">
      <w:pPr>
        <w:pStyle w:val="Default"/>
        <w:spacing w:line="480" w:lineRule="exact"/>
        <w:ind w:left="720" w:hanging="720"/>
        <w:rPr>
          <w:rStyle w:val="PlainTextChar"/>
          <w:rFonts w:ascii="Times New Roman" w:eastAsia="Calibri" w:hAnsi="Times New Roman" w:cs="Times New Roman"/>
          <w:caps/>
        </w:rPr>
      </w:pPr>
    </w:p>
    <w:p w:rsidR="00F45170" w:rsidRDefault="00F45170" w:rsidP="00564972">
      <w:pPr>
        <w:pStyle w:val="Default"/>
        <w:spacing w:line="480" w:lineRule="exact"/>
        <w:ind w:left="720" w:hanging="720"/>
      </w:pPr>
      <w:r>
        <w:rPr>
          <w:rStyle w:val="PlainTextChar"/>
          <w:rFonts w:ascii="Times New Roman" w:eastAsia="Calibri" w:hAnsi="Times New Roman" w:cs="Times New Roman"/>
          <w:b/>
          <w:caps/>
        </w:rPr>
        <w:t>q.</w:t>
      </w:r>
      <w:r>
        <w:rPr>
          <w:rStyle w:val="PlainTextChar"/>
          <w:rFonts w:ascii="Times New Roman" w:eastAsia="Calibri" w:hAnsi="Times New Roman" w:cs="Times New Roman"/>
          <w:b/>
          <w:caps/>
        </w:rPr>
        <w:tab/>
      </w:r>
      <w:r w:rsidRPr="00564972">
        <w:rPr>
          <w:rStyle w:val="PlainTextChar"/>
          <w:rFonts w:ascii="Times New Roman Bold" w:eastAsia="Calibri" w:hAnsi="Times New Roman Bold" w:cs="Times New Roman"/>
          <w:b/>
        </w:rPr>
        <w:t>P</w:t>
      </w:r>
      <w:r>
        <w:rPr>
          <w:rStyle w:val="PlainTextChar"/>
          <w:rFonts w:ascii="Times New Roman Bold" w:eastAsia="Calibri" w:hAnsi="Times New Roman Bold" w:cs="Times New Roman"/>
          <w:b/>
        </w:rPr>
        <w:t>lease Describe the Proposed Settlement Agreement</w:t>
      </w:r>
      <w:r>
        <w:t>.</w:t>
      </w:r>
    </w:p>
    <w:p w:rsidR="00F45170" w:rsidRDefault="00F45170" w:rsidP="00564972">
      <w:pPr>
        <w:pStyle w:val="Default"/>
        <w:spacing w:line="480" w:lineRule="exact"/>
        <w:ind w:left="720" w:hanging="720"/>
      </w:pPr>
      <w:r>
        <w:rPr>
          <w:b/>
        </w:rPr>
        <w:t>A.</w:t>
      </w:r>
      <w:r>
        <w:rPr>
          <w:b/>
        </w:rPr>
        <w:tab/>
      </w:r>
      <w:r w:rsidRPr="00564972">
        <w:t xml:space="preserve">This AFOR Settlement Agreement provides that the CenturyLink companies’ plan for an AFOR, as set forth in Attachment/Appendix A, is consistent with the public interest standard in RCW 80.36.135, and meets the other requirements of that statute.  </w:t>
      </w:r>
    </w:p>
    <w:p w:rsidR="00F45170" w:rsidRDefault="00F45170" w:rsidP="00FD4F21">
      <w:pPr>
        <w:pStyle w:val="Default"/>
        <w:spacing w:line="480" w:lineRule="exact"/>
        <w:ind w:left="720" w:hanging="720"/>
      </w:pPr>
      <w:r>
        <w:tab/>
      </w:r>
      <w:r w:rsidRPr="00564972">
        <w:t xml:space="preserve">The AFOR will generally allow the CenturyLink companies to operate as if they were competitively classified, with certain exceptions and limitations.  </w:t>
      </w:r>
    </w:p>
    <w:p w:rsidR="00FD4F21" w:rsidRDefault="00FD4F21" w:rsidP="00794193">
      <w:pPr>
        <w:pStyle w:val="Default"/>
        <w:spacing w:line="480" w:lineRule="exact"/>
        <w:ind w:left="720" w:hanging="720"/>
      </w:pPr>
    </w:p>
    <w:p w:rsidR="00F45170" w:rsidRDefault="00F45170" w:rsidP="0046658C">
      <w:pPr>
        <w:pStyle w:val="Default"/>
        <w:spacing w:line="480" w:lineRule="exact"/>
        <w:ind w:left="720" w:hanging="720"/>
        <w:jc w:val="center"/>
        <w:rPr>
          <w:b/>
          <w:caps/>
        </w:rPr>
      </w:pPr>
      <w:r>
        <w:rPr>
          <w:b/>
        </w:rPr>
        <w:t>III</w:t>
      </w:r>
      <w:proofErr w:type="gramStart"/>
      <w:r>
        <w:rPr>
          <w:b/>
        </w:rPr>
        <w:t xml:space="preserve">.  </w:t>
      </w:r>
      <w:r w:rsidR="00FD4F21">
        <w:rPr>
          <w:b/>
        </w:rPr>
        <w:t>JOINT</w:t>
      </w:r>
      <w:proofErr w:type="gramEnd"/>
      <w:r w:rsidR="00FD4F21">
        <w:rPr>
          <w:b/>
        </w:rPr>
        <w:t xml:space="preserve"> </w:t>
      </w:r>
      <w:r>
        <w:rPr>
          <w:b/>
          <w:caps/>
        </w:rPr>
        <w:t>testimony</w:t>
      </w:r>
    </w:p>
    <w:p w:rsidR="00FD4F21" w:rsidRDefault="00FD4F21" w:rsidP="0046658C">
      <w:pPr>
        <w:pStyle w:val="Default"/>
        <w:spacing w:line="480" w:lineRule="exact"/>
        <w:ind w:left="720" w:hanging="720"/>
        <w:jc w:val="center"/>
        <w:rPr>
          <w:b/>
          <w:caps/>
        </w:rPr>
      </w:pPr>
    </w:p>
    <w:p w:rsidR="00F45170" w:rsidRDefault="00F45170" w:rsidP="0046658C">
      <w:pPr>
        <w:pStyle w:val="Default"/>
        <w:spacing w:line="480" w:lineRule="exact"/>
        <w:ind w:left="720" w:hanging="720"/>
        <w:rPr>
          <w:b/>
        </w:rPr>
      </w:pPr>
      <w:r>
        <w:rPr>
          <w:b/>
        </w:rPr>
        <w:t>Q.</w:t>
      </w:r>
      <w:r>
        <w:rPr>
          <w:b/>
        </w:rPr>
        <w:tab/>
        <w:t>What is the settling Parties’ position on the requirements of the AFOR statute?</w:t>
      </w:r>
    </w:p>
    <w:p w:rsidR="00F45170" w:rsidRDefault="00F45170" w:rsidP="0046658C">
      <w:pPr>
        <w:pStyle w:val="Default"/>
        <w:spacing w:line="480" w:lineRule="exact"/>
        <w:ind w:left="720" w:hanging="720"/>
        <w:rPr>
          <w:spacing w:val="4"/>
          <w:szCs w:val="20"/>
        </w:rPr>
      </w:pPr>
      <w:r w:rsidRPr="00564972">
        <w:rPr>
          <w:b/>
        </w:rPr>
        <w:t>A.</w:t>
      </w:r>
      <w:r>
        <w:tab/>
      </w:r>
      <w:r w:rsidRPr="00B9475E">
        <w:rPr>
          <w:spacing w:val="4"/>
          <w:szCs w:val="20"/>
        </w:rPr>
        <w:t xml:space="preserve">The Parties agree that </w:t>
      </w:r>
      <w:r w:rsidR="007F6E06">
        <w:rPr>
          <w:spacing w:val="4"/>
          <w:szCs w:val="20"/>
        </w:rPr>
        <w:t xml:space="preserve">the AFOR meets the requirements </w:t>
      </w:r>
      <w:r w:rsidRPr="00B9475E">
        <w:rPr>
          <w:spacing w:val="4"/>
          <w:szCs w:val="20"/>
        </w:rPr>
        <w:t xml:space="preserve">of the AFOR statute.  The public policy goals cited by the statute include those declared in RCW 80.36.300 and those listed in RCW 80.36.135.  We will first address the public policy goals in RCW 80.36.300. </w:t>
      </w:r>
    </w:p>
    <w:p w:rsidR="00F45170" w:rsidRDefault="00F45170" w:rsidP="00564972">
      <w:pPr>
        <w:pStyle w:val="Default"/>
        <w:spacing w:line="480" w:lineRule="exact"/>
        <w:ind w:left="720" w:hanging="720"/>
        <w:rPr>
          <w:spacing w:val="4"/>
          <w:szCs w:val="20"/>
        </w:rPr>
      </w:pPr>
    </w:p>
    <w:p w:rsidR="00F45170" w:rsidRDefault="00F45170" w:rsidP="00E42DE4">
      <w:pPr>
        <w:pStyle w:val="Default"/>
        <w:spacing w:line="480" w:lineRule="exact"/>
        <w:ind w:left="720" w:hanging="720"/>
        <w:rPr>
          <w:b/>
          <w:bCs/>
          <w:u w:val="single"/>
        </w:rPr>
      </w:pPr>
      <w:r w:rsidRPr="00B9475E">
        <w:rPr>
          <w:b/>
          <w:bCs/>
        </w:rPr>
        <w:t>1.</w:t>
      </w:r>
      <w:r w:rsidRPr="00B9475E">
        <w:rPr>
          <w:b/>
          <w:bCs/>
        </w:rPr>
        <w:tab/>
      </w:r>
      <w:r w:rsidRPr="00B9475E">
        <w:rPr>
          <w:b/>
          <w:bCs/>
          <w:u w:val="single"/>
        </w:rPr>
        <w:t xml:space="preserve">Preserve affordable universal telecommunication service </w:t>
      </w:r>
    </w:p>
    <w:p w:rsidR="00F45170" w:rsidRDefault="00F45170" w:rsidP="00E42DE4">
      <w:pPr>
        <w:pStyle w:val="Default"/>
        <w:spacing w:line="480" w:lineRule="exact"/>
        <w:ind w:left="720" w:hanging="720"/>
        <w:rPr>
          <w:spacing w:val="4"/>
          <w:szCs w:val="20"/>
        </w:rPr>
      </w:pPr>
      <w:r>
        <w:rPr>
          <w:bCs/>
        </w:rPr>
        <w:tab/>
      </w:r>
      <w:r>
        <w:rPr>
          <w:spacing w:val="4"/>
          <w:szCs w:val="20"/>
        </w:rPr>
        <w:t xml:space="preserve">The </w:t>
      </w:r>
      <w:r w:rsidRPr="00B9475E">
        <w:rPr>
          <w:spacing w:val="4"/>
          <w:szCs w:val="20"/>
        </w:rPr>
        <w:t xml:space="preserve">AFOR addresses this goal in variety of ways.  First, the AFOR allows CenturyLink to be more competitive in the marketplace, which will help ensure its survival and the survival of its services which provide customers with more choices at affordable rates.  Finally, for </w:t>
      </w:r>
      <w:r>
        <w:rPr>
          <w:spacing w:val="4"/>
          <w:szCs w:val="20"/>
        </w:rPr>
        <w:t>stand-alone residential s</w:t>
      </w:r>
      <w:r w:rsidRPr="00B9475E">
        <w:rPr>
          <w:spacing w:val="4"/>
          <w:szCs w:val="20"/>
        </w:rPr>
        <w:t xml:space="preserve">ervices that would be treated as </w:t>
      </w:r>
      <w:r w:rsidRPr="00B9475E">
        <w:rPr>
          <w:spacing w:val="4"/>
          <w:szCs w:val="20"/>
        </w:rPr>
        <w:lastRenderedPageBreak/>
        <w:t>competitively classified services as a result of the AFOR,</w:t>
      </w:r>
      <w:r>
        <w:t xml:space="preserve"> </w:t>
      </w:r>
      <w:r w:rsidRPr="00B9475E">
        <w:rPr>
          <w:spacing w:val="4"/>
          <w:szCs w:val="20"/>
        </w:rPr>
        <w:t>CenturyLink commits to not</w:t>
      </w:r>
      <w:r>
        <w:rPr>
          <w:spacing w:val="4"/>
          <w:szCs w:val="20"/>
        </w:rPr>
        <w:t xml:space="preserve"> further</w:t>
      </w:r>
      <w:r w:rsidRPr="00B9475E">
        <w:rPr>
          <w:spacing w:val="4"/>
          <w:szCs w:val="20"/>
        </w:rPr>
        <w:t xml:space="preserve"> geographically de-average the non-recurring</w:t>
      </w:r>
      <w:r>
        <w:rPr>
          <w:spacing w:val="4"/>
          <w:szCs w:val="20"/>
        </w:rPr>
        <w:t xml:space="preserve"> and monthly recurring rates.  Other commitments regarding movement toward a statewide rate for stand-alone residential service are discussed below in the point by point discussion of the AFOR Plan.</w:t>
      </w:r>
    </w:p>
    <w:p w:rsidR="00F45170" w:rsidRDefault="00F45170" w:rsidP="007C72A6">
      <w:pPr>
        <w:pStyle w:val="Default"/>
        <w:spacing w:line="480" w:lineRule="exact"/>
        <w:ind w:left="720" w:hanging="720"/>
        <w:rPr>
          <w:spacing w:val="4"/>
          <w:szCs w:val="20"/>
        </w:rPr>
      </w:pPr>
    </w:p>
    <w:p w:rsidR="00F45170" w:rsidRDefault="00F45170" w:rsidP="007C72A6">
      <w:pPr>
        <w:pStyle w:val="Default"/>
        <w:spacing w:line="480" w:lineRule="exact"/>
        <w:ind w:left="720" w:hanging="720"/>
        <w:rPr>
          <w:bCs/>
        </w:rPr>
      </w:pPr>
      <w:r w:rsidRPr="00B9475E">
        <w:rPr>
          <w:b/>
          <w:bCs/>
        </w:rPr>
        <w:t>2.</w:t>
      </w:r>
      <w:r w:rsidRPr="00B9475E">
        <w:rPr>
          <w:b/>
          <w:bCs/>
        </w:rPr>
        <w:tab/>
      </w:r>
      <w:r w:rsidRPr="001709C6">
        <w:rPr>
          <w:b/>
          <w:bCs/>
          <w:u w:val="single"/>
        </w:rPr>
        <w:t>Maintain and advance the efficiency and availability of telecommunications service</w:t>
      </w:r>
      <w:r>
        <w:rPr>
          <w:b/>
          <w:bCs/>
          <w:u w:val="single"/>
        </w:rPr>
        <w:t>.</w:t>
      </w:r>
    </w:p>
    <w:p w:rsidR="00F45170" w:rsidRDefault="00F45170" w:rsidP="007C72A6">
      <w:pPr>
        <w:pStyle w:val="Default"/>
        <w:spacing w:line="480" w:lineRule="exact"/>
        <w:ind w:left="720" w:hanging="720"/>
      </w:pPr>
      <w:r w:rsidRPr="007C72A6">
        <w:rPr>
          <w:bCs/>
        </w:rPr>
        <w:tab/>
      </w:r>
      <w:r w:rsidRPr="007C72A6">
        <w:t xml:space="preserve">CenturyLink’s AFOR allows it to be more competitive in the market by enhancing its efficiency which </w:t>
      </w:r>
      <w:r w:rsidR="00C25CC8">
        <w:t xml:space="preserve">in turn </w:t>
      </w:r>
      <w:r w:rsidRPr="007C72A6">
        <w:t>increases its chances of survival and the survival of its services that</w:t>
      </w:r>
      <w:r w:rsidR="007F6E06">
        <w:t xml:space="preserve"> </w:t>
      </w:r>
      <w:r w:rsidR="00C25CC8">
        <w:t>continuing to</w:t>
      </w:r>
      <w:r w:rsidRPr="007C72A6">
        <w:t xml:space="preserve"> </w:t>
      </w:r>
      <w:r w:rsidR="00C25CC8">
        <w:t xml:space="preserve">be able </w:t>
      </w:r>
      <w:r w:rsidRPr="007C72A6">
        <w:t xml:space="preserve">provide customers with more choices at affordable rates.  Efficiency gains directly attributable to the AFOR include streamlined reporting and more efficient accounting and product management and pricing processes. </w:t>
      </w:r>
    </w:p>
    <w:p w:rsidR="00F45170" w:rsidRDefault="00F45170" w:rsidP="007C72A6">
      <w:pPr>
        <w:pStyle w:val="Default"/>
        <w:spacing w:line="480" w:lineRule="exact"/>
        <w:ind w:left="720" w:hanging="720"/>
      </w:pPr>
    </w:p>
    <w:p w:rsidR="00F45170" w:rsidRDefault="00F45170" w:rsidP="001C3C06">
      <w:pPr>
        <w:pStyle w:val="Default"/>
        <w:spacing w:line="480" w:lineRule="exact"/>
        <w:ind w:left="720" w:hanging="720"/>
        <w:rPr>
          <w:bCs/>
        </w:rPr>
      </w:pPr>
      <w:r w:rsidRPr="00B9475E">
        <w:rPr>
          <w:b/>
          <w:bCs/>
        </w:rPr>
        <w:t>3.</w:t>
      </w:r>
      <w:r w:rsidRPr="00B9475E">
        <w:rPr>
          <w:b/>
          <w:bCs/>
        </w:rPr>
        <w:tab/>
      </w:r>
      <w:r w:rsidRPr="001709C6">
        <w:rPr>
          <w:b/>
          <w:bCs/>
          <w:u w:val="single"/>
        </w:rPr>
        <w:t xml:space="preserve">Ensure that customers pay only reasonable charges for telecommunications service  </w:t>
      </w:r>
    </w:p>
    <w:p w:rsidR="00F45170" w:rsidRDefault="00F45170" w:rsidP="001C3C06">
      <w:pPr>
        <w:pStyle w:val="Default"/>
        <w:spacing w:line="480" w:lineRule="exact"/>
        <w:ind w:left="720" w:hanging="720"/>
      </w:pPr>
      <w:r>
        <w:rPr>
          <w:bCs/>
        </w:rPr>
        <w:tab/>
      </w:r>
      <w:r w:rsidRPr="001C3C06">
        <w:t xml:space="preserve">Whether CenturyLink’s AFOR Petition is granted or not, its prices will remain constrained by the competitive market.  </w:t>
      </w:r>
    </w:p>
    <w:p w:rsidR="00F45170" w:rsidRDefault="00F45170" w:rsidP="001C3C06">
      <w:pPr>
        <w:pStyle w:val="Default"/>
        <w:spacing w:line="480" w:lineRule="exact"/>
        <w:ind w:left="720" w:hanging="720"/>
      </w:pPr>
    </w:p>
    <w:p w:rsidR="00F45170" w:rsidRDefault="00F45170" w:rsidP="0046658C">
      <w:pPr>
        <w:pStyle w:val="Default"/>
        <w:keepNext/>
        <w:keepLines/>
        <w:ind w:left="720" w:hanging="720"/>
        <w:rPr>
          <w:bCs/>
        </w:rPr>
      </w:pPr>
      <w:r w:rsidRPr="00B9475E">
        <w:rPr>
          <w:b/>
          <w:bCs/>
        </w:rPr>
        <w:t>4.</w:t>
      </w:r>
      <w:r w:rsidRPr="00B9475E">
        <w:rPr>
          <w:b/>
          <w:bCs/>
        </w:rPr>
        <w:tab/>
      </w:r>
      <w:r w:rsidRPr="001709C6">
        <w:rPr>
          <w:b/>
          <w:bCs/>
          <w:u w:val="single"/>
        </w:rPr>
        <w:t>Ensure that rates for noncompetitive telecommunications services do not subsidize the competitive ventures of regulated telecommunications companies</w:t>
      </w:r>
    </w:p>
    <w:p w:rsidR="00F45170" w:rsidRDefault="00F45170" w:rsidP="0046658C">
      <w:pPr>
        <w:pStyle w:val="Default"/>
        <w:keepNext/>
        <w:keepLines/>
        <w:spacing w:line="480" w:lineRule="exact"/>
        <w:ind w:left="720" w:hanging="720"/>
      </w:pPr>
      <w:r>
        <w:rPr>
          <w:bCs/>
        </w:rPr>
        <w:tab/>
      </w:r>
      <w:r w:rsidRPr="001C3C06">
        <w:t xml:space="preserve">CenturyLink has committed to comply with the restrictions against below-cost pricing in RCW 80.36.330(3), which means that no services will be sold below cost.  As such, they will not be subsidized by other services. </w:t>
      </w:r>
    </w:p>
    <w:p w:rsidR="00F45170" w:rsidRDefault="00F45170" w:rsidP="001C3C06">
      <w:pPr>
        <w:pStyle w:val="Default"/>
        <w:spacing w:line="480" w:lineRule="exact"/>
        <w:ind w:left="720" w:hanging="720"/>
      </w:pPr>
    </w:p>
    <w:p w:rsidR="00F45170" w:rsidRDefault="00F45170" w:rsidP="00E42DE4">
      <w:pPr>
        <w:pStyle w:val="Default"/>
        <w:keepNext/>
        <w:keepLines/>
        <w:ind w:left="720" w:hanging="720"/>
        <w:rPr>
          <w:bCs/>
        </w:rPr>
      </w:pPr>
      <w:r w:rsidRPr="00B9475E">
        <w:rPr>
          <w:b/>
          <w:bCs/>
        </w:rPr>
        <w:lastRenderedPageBreak/>
        <w:t>5.</w:t>
      </w:r>
      <w:r w:rsidRPr="00B9475E">
        <w:rPr>
          <w:b/>
          <w:bCs/>
        </w:rPr>
        <w:tab/>
      </w:r>
      <w:r w:rsidRPr="001709C6">
        <w:rPr>
          <w:b/>
          <w:bCs/>
          <w:u w:val="single"/>
        </w:rPr>
        <w:t>Promote diversity in the supply of telecommunications services and products in telecommunications markets throughout the state</w:t>
      </w:r>
    </w:p>
    <w:p w:rsidR="00F45170" w:rsidRDefault="00F45170" w:rsidP="00E42DE4">
      <w:pPr>
        <w:pStyle w:val="Default"/>
        <w:keepNext/>
        <w:keepLines/>
        <w:spacing w:line="480" w:lineRule="exact"/>
        <w:ind w:left="720" w:hanging="720"/>
      </w:pPr>
      <w:r>
        <w:rPr>
          <w:bCs/>
        </w:rPr>
        <w:tab/>
      </w:r>
      <w:r w:rsidRPr="001C3C06">
        <w:t xml:space="preserve">As previously stated, the AFOR allows CenturyLink to be more competitive in the marketplace which will help ensure its survival and the survival of its services which provide customers with more choices at affordable rates.  As Mr. </w:t>
      </w:r>
      <w:proofErr w:type="spellStart"/>
      <w:r w:rsidRPr="001C3C06">
        <w:t>Felz’s</w:t>
      </w:r>
      <w:proofErr w:type="spellEnd"/>
      <w:r w:rsidRPr="001C3C06">
        <w:t xml:space="preserve"> testimony explains, the past ten years have seen a tremendous increase in the number of telecommunications related products and vendors available to consumers in all markets, and that trend will certainly continue over the next five years.  </w:t>
      </w:r>
      <w:r w:rsidR="003E074B">
        <w:t xml:space="preserve">Regulating </w:t>
      </w:r>
      <w:r w:rsidR="00821F69" w:rsidRPr="00821F69">
        <w:t xml:space="preserve">CenturyLink </w:t>
      </w:r>
      <w:r w:rsidR="003E074B">
        <w:t xml:space="preserve">much as the Commission regulates CLECs would help </w:t>
      </w:r>
      <w:r w:rsidR="00CA13DF">
        <w:t>level the playing field among carriers</w:t>
      </w:r>
      <w:r w:rsidR="00821F69" w:rsidRPr="00821F69">
        <w:t xml:space="preserve"> in this </w:t>
      </w:r>
      <w:r w:rsidR="003E074B" w:rsidRPr="003E074B">
        <w:t>already</w:t>
      </w:r>
      <w:r w:rsidR="00821F69" w:rsidRPr="00821F69">
        <w:t xml:space="preserve"> </w:t>
      </w:r>
      <w:r w:rsidR="00CA13DF">
        <w:t xml:space="preserve">diverse </w:t>
      </w:r>
      <w:r w:rsidR="003E074B">
        <w:t>market</w:t>
      </w:r>
      <w:r w:rsidR="00CA13DF">
        <w:t>.</w:t>
      </w:r>
      <w:r w:rsidR="003E074B">
        <w:t xml:space="preserve"> </w:t>
      </w:r>
      <w:r w:rsidRPr="001C3C06">
        <w:t xml:space="preserve">CenturyLink’s AFOR is a </w:t>
      </w:r>
      <w:r w:rsidR="00CA13DF">
        <w:t xml:space="preserve">significant </w:t>
      </w:r>
      <w:r w:rsidRPr="001C3C06">
        <w:t>step in that direction.</w:t>
      </w:r>
    </w:p>
    <w:p w:rsidR="00F45170" w:rsidRDefault="00F45170" w:rsidP="001C3C06">
      <w:pPr>
        <w:pStyle w:val="Default"/>
        <w:spacing w:line="480" w:lineRule="exact"/>
        <w:ind w:left="720" w:hanging="720"/>
      </w:pPr>
    </w:p>
    <w:p w:rsidR="00F45170" w:rsidRDefault="00F45170" w:rsidP="0046658C">
      <w:pPr>
        <w:pStyle w:val="Default"/>
        <w:ind w:left="720" w:hanging="720"/>
        <w:rPr>
          <w:bCs/>
        </w:rPr>
      </w:pPr>
      <w:r w:rsidRPr="00B9475E">
        <w:rPr>
          <w:b/>
          <w:bCs/>
        </w:rPr>
        <w:t>6.</w:t>
      </w:r>
      <w:r w:rsidRPr="00B9475E">
        <w:rPr>
          <w:b/>
          <w:bCs/>
        </w:rPr>
        <w:tab/>
      </w:r>
      <w:r w:rsidRPr="001709C6">
        <w:rPr>
          <w:b/>
          <w:bCs/>
          <w:u w:val="single"/>
        </w:rPr>
        <w:t xml:space="preserve">Permit flexible regulation of competitive telecommunications companies and services </w:t>
      </w:r>
    </w:p>
    <w:p w:rsidR="00F45170" w:rsidRDefault="00F45170" w:rsidP="0046658C">
      <w:pPr>
        <w:pStyle w:val="Default"/>
        <w:spacing w:line="480" w:lineRule="exact"/>
        <w:ind w:left="720" w:hanging="720"/>
      </w:pPr>
      <w:r>
        <w:rPr>
          <w:bCs/>
        </w:rPr>
        <w:tab/>
      </w:r>
      <w:r w:rsidRPr="001C3C06">
        <w:t>The AFOR meets this goal.  Recognizing that its competitors that utilize cable and wireless networks are unregulated, the AFOR helps move the company in the direction of regulatory parity.</w:t>
      </w:r>
    </w:p>
    <w:p w:rsidR="00F45170" w:rsidRDefault="00F45170" w:rsidP="001C3C06">
      <w:pPr>
        <w:pStyle w:val="Default"/>
        <w:spacing w:line="480" w:lineRule="exact"/>
        <w:ind w:left="720" w:hanging="720"/>
      </w:pPr>
    </w:p>
    <w:p w:rsidR="00F45170" w:rsidRDefault="00F45170" w:rsidP="0046658C">
      <w:pPr>
        <w:pStyle w:val="Default"/>
        <w:keepNext/>
        <w:keepLines/>
        <w:ind w:left="720" w:hanging="720"/>
        <w:rPr>
          <w:caps/>
        </w:rPr>
      </w:pPr>
      <w:r w:rsidRPr="001C3C06">
        <w:rPr>
          <w:b/>
        </w:rPr>
        <w:t>Q.</w:t>
      </w:r>
      <w:r w:rsidRPr="001C3C06">
        <w:rPr>
          <w:b/>
        </w:rPr>
        <w:tab/>
      </w:r>
      <w:r w:rsidRPr="001C3C06">
        <w:rPr>
          <w:rFonts w:ascii="Times New Roman Bold" w:hAnsi="Times New Roman Bold"/>
          <w:b/>
        </w:rPr>
        <w:t>Please address how Cent</w:t>
      </w:r>
      <w:r>
        <w:rPr>
          <w:rFonts w:ascii="Times New Roman Bold" w:hAnsi="Times New Roman Bold"/>
          <w:b/>
        </w:rPr>
        <w:t>uryL</w:t>
      </w:r>
      <w:r w:rsidRPr="001C3C06">
        <w:rPr>
          <w:rFonts w:ascii="Times New Roman Bold" w:hAnsi="Times New Roman Bold"/>
          <w:b/>
        </w:rPr>
        <w:t xml:space="preserve">ink’s </w:t>
      </w:r>
      <w:r>
        <w:rPr>
          <w:rFonts w:ascii="Times New Roman Bold" w:hAnsi="Times New Roman Bold"/>
          <w:b/>
        </w:rPr>
        <w:t>AFOR</w:t>
      </w:r>
      <w:r w:rsidRPr="001C3C06">
        <w:rPr>
          <w:rFonts w:ascii="Times New Roman Bold" w:hAnsi="Times New Roman Bold"/>
          <w:b/>
        </w:rPr>
        <w:t xml:space="preserve"> proposal addresses the public policy goals of RCW 80.36.135.</w:t>
      </w:r>
    </w:p>
    <w:p w:rsidR="00F45170" w:rsidRDefault="00F45170" w:rsidP="0046658C">
      <w:pPr>
        <w:pStyle w:val="Default"/>
        <w:keepNext/>
        <w:keepLines/>
        <w:spacing w:line="480" w:lineRule="exact"/>
        <w:ind w:left="720" w:hanging="720"/>
      </w:pPr>
      <w:r>
        <w:rPr>
          <w:b/>
          <w:caps/>
        </w:rPr>
        <w:t>A.</w:t>
      </w:r>
      <w:r>
        <w:rPr>
          <w:b/>
          <w:caps/>
        </w:rPr>
        <w:tab/>
      </w:r>
      <w:r w:rsidRPr="001C3C06">
        <w:t xml:space="preserve">The following response addresses how CenturyLink’s AFOR satisfies the public policy goals listed for RCW 80.36.135. </w:t>
      </w:r>
    </w:p>
    <w:p w:rsidR="0075682D" w:rsidRDefault="0075682D" w:rsidP="001C3C06">
      <w:pPr>
        <w:pStyle w:val="Default"/>
        <w:spacing w:line="480" w:lineRule="exact"/>
        <w:ind w:left="720" w:hanging="720"/>
      </w:pPr>
    </w:p>
    <w:p w:rsidR="00F45170" w:rsidRDefault="00F45170" w:rsidP="00EA4053">
      <w:pPr>
        <w:pStyle w:val="Default"/>
        <w:tabs>
          <w:tab w:val="left" w:pos="720"/>
        </w:tabs>
        <w:ind w:left="1440" w:hanging="1440"/>
        <w:rPr>
          <w:bCs/>
        </w:rPr>
      </w:pPr>
      <w:r>
        <w:tab/>
      </w:r>
      <w:r w:rsidRPr="00083C3D">
        <w:rPr>
          <w:b/>
          <w:bCs/>
        </w:rPr>
        <w:t>1.</w:t>
      </w:r>
      <w:r w:rsidRPr="00083C3D">
        <w:rPr>
          <w:b/>
          <w:bCs/>
        </w:rPr>
        <w:tab/>
      </w:r>
      <w:r w:rsidRPr="00083C3D">
        <w:rPr>
          <w:b/>
          <w:bCs/>
          <w:u w:val="single"/>
        </w:rPr>
        <w:t xml:space="preserve">Facilitate the broad deployment of technological improvements and advanced telecommunications services to underserved areas or underserved customer classes  </w:t>
      </w:r>
    </w:p>
    <w:p w:rsidR="00F45170" w:rsidRDefault="00F45170" w:rsidP="00762AF5">
      <w:pPr>
        <w:pStyle w:val="Default"/>
        <w:spacing w:line="480" w:lineRule="exact"/>
        <w:ind w:left="720" w:hanging="720"/>
      </w:pPr>
      <w:r>
        <w:rPr>
          <w:bCs/>
        </w:rPr>
        <w:tab/>
      </w:r>
      <w:r w:rsidRPr="00762AF5">
        <w:t xml:space="preserve">Nothing in the AFOR affects CenturyLink’s ongoing commitment to deploy quality and technologically current products to its customers throughout its operating territory.  </w:t>
      </w:r>
      <w:r w:rsidRPr="00762AF5">
        <w:lastRenderedPageBreak/>
        <w:t>CenturyLink’s commitment and performance in terms of deploying advanced services is best illustrated by its recent deployment history.  CenturyLink has met and exceeded its merger commitments for broadband deployment.</w:t>
      </w:r>
      <w:r w:rsidRPr="00762AF5">
        <w:rPr>
          <w:vertAlign w:val="superscript"/>
        </w:rPr>
        <w:footnoteReference w:id="2"/>
      </w:r>
      <w:r w:rsidRPr="00762AF5">
        <w:t xml:space="preserve">  CenturyLink expects to continue to deploy facilities enabling advanced services in order to meet market demands and competitive pressures.  The </w:t>
      </w:r>
      <w:r w:rsidR="0037794E">
        <w:t>Parties</w:t>
      </w:r>
      <w:r w:rsidR="00B76D23">
        <w:t xml:space="preserve"> expect that regulation under an AFOR will </w:t>
      </w:r>
      <w:r w:rsidR="007975BC">
        <w:t>facilitate CenturyLink’s ability</w:t>
      </w:r>
      <w:r w:rsidRPr="00762AF5">
        <w:t xml:space="preserve"> to deploy advanced services to </w:t>
      </w:r>
      <w:r w:rsidR="007975BC">
        <w:t xml:space="preserve">more effectively </w:t>
      </w:r>
      <w:r w:rsidRPr="00762AF5">
        <w:t xml:space="preserve">compete with other providers. </w:t>
      </w:r>
    </w:p>
    <w:p w:rsidR="00F45170" w:rsidRDefault="00F45170" w:rsidP="00E42DE4">
      <w:pPr>
        <w:pStyle w:val="Default"/>
        <w:spacing w:line="480" w:lineRule="exact"/>
        <w:ind w:left="720" w:hanging="720"/>
        <w:rPr>
          <w:bCs/>
        </w:rPr>
      </w:pPr>
      <w:r>
        <w:tab/>
      </w:r>
      <w:r w:rsidRPr="00083C3D">
        <w:rPr>
          <w:b/>
          <w:bCs/>
        </w:rPr>
        <w:t>2.</w:t>
      </w:r>
      <w:r w:rsidRPr="00083C3D">
        <w:rPr>
          <w:b/>
          <w:bCs/>
        </w:rPr>
        <w:tab/>
      </w:r>
      <w:r w:rsidRPr="00083C3D">
        <w:rPr>
          <w:b/>
          <w:bCs/>
          <w:u w:val="single"/>
        </w:rPr>
        <w:t xml:space="preserve">Improve the efficiency of the regulatory process </w:t>
      </w:r>
    </w:p>
    <w:p w:rsidR="00F45170" w:rsidRDefault="00F45170" w:rsidP="00E42DE4">
      <w:pPr>
        <w:pStyle w:val="Default"/>
        <w:spacing w:line="480" w:lineRule="exact"/>
        <w:ind w:left="720" w:hanging="720"/>
      </w:pPr>
      <w:r>
        <w:rPr>
          <w:bCs/>
        </w:rPr>
        <w:tab/>
      </w:r>
      <w:r w:rsidRPr="00762AF5">
        <w:t xml:space="preserve">CenturyLink’s AFOR improves the efficiency of the regulatory process through streamlined financial and service quality reporting and more efficient accounting and product management and pricing processes.  The AFOR would </w:t>
      </w:r>
      <w:proofErr w:type="gramStart"/>
      <w:r w:rsidRPr="00762AF5">
        <w:t xml:space="preserve">eliminate </w:t>
      </w:r>
      <w:r w:rsidR="00BB27DF">
        <w:t xml:space="preserve"> several</w:t>
      </w:r>
      <w:proofErr w:type="gramEnd"/>
      <w:r w:rsidRPr="00762AF5">
        <w:t xml:space="preserve"> quarterly financial reports</w:t>
      </w:r>
      <w:r w:rsidR="00BB27DF">
        <w:t>, which would make CenturyLink’s reporting detail more consistent</w:t>
      </w:r>
      <w:r w:rsidRPr="00762AF5">
        <w:t xml:space="preserve"> with</w:t>
      </w:r>
      <w:r w:rsidR="00BB27DF">
        <w:t xml:space="preserve"> that</w:t>
      </w:r>
      <w:r w:rsidRPr="00762AF5">
        <w:t xml:space="preserve"> of other similarly situated companies, and significantly reduce the regulatory filings </w:t>
      </w:r>
      <w:r w:rsidR="00BB27DF">
        <w:t>for</w:t>
      </w:r>
      <w:r w:rsidR="00BB27DF" w:rsidRPr="00762AF5">
        <w:t xml:space="preserve"> </w:t>
      </w:r>
      <w:r w:rsidRPr="00762AF5">
        <w:t xml:space="preserve">a number of services that would be treated as competitively classified services if the AFOR is approved.  </w:t>
      </w:r>
    </w:p>
    <w:p w:rsidR="00F45170" w:rsidRDefault="00F45170" w:rsidP="00E42DE4">
      <w:pPr>
        <w:pStyle w:val="Default"/>
        <w:spacing w:line="480" w:lineRule="exact"/>
        <w:ind w:left="720" w:hanging="720"/>
      </w:pPr>
    </w:p>
    <w:p w:rsidR="00F45170" w:rsidRDefault="00F45170" w:rsidP="00EA4053">
      <w:pPr>
        <w:pStyle w:val="Default"/>
        <w:tabs>
          <w:tab w:val="left" w:pos="720"/>
        </w:tabs>
        <w:ind w:left="1440" w:hanging="1440"/>
        <w:rPr>
          <w:bCs/>
        </w:rPr>
      </w:pPr>
      <w:r>
        <w:tab/>
      </w:r>
      <w:r w:rsidRPr="00083C3D">
        <w:rPr>
          <w:b/>
          <w:bCs/>
        </w:rPr>
        <w:t>3.</w:t>
      </w:r>
      <w:r w:rsidRPr="00083C3D">
        <w:rPr>
          <w:b/>
          <w:bCs/>
        </w:rPr>
        <w:tab/>
      </w:r>
      <w:r w:rsidRPr="00083C3D">
        <w:rPr>
          <w:b/>
          <w:bCs/>
          <w:u w:val="single"/>
        </w:rPr>
        <w:t xml:space="preserve">Preserve or enhance the development of effective competition and protect against the exercise of market power during its development </w:t>
      </w:r>
    </w:p>
    <w:p w:rsidR="002401C7" w:rsidRPr="002401C7" w:rsidRDefault="00F45170" w:rsidP="002401C7">
      <w:pPr>
        <w:pStyle w:val="Default"/>
        <w:spacing w:line="480" w:lineRule="exact"/>
        <w:ind w:left="720" w:hanging="720"/>
      </w:pPr>
      <w:r>
        <w:rPr>
          <w:bCs/>
        </w:rPr>
        <w:tab/>
      </w:r>
      <w:r w:rsidR="002401C7" w:rsidRPr="002401C7">
        <w:t xml:space="preserve">The AFOR will not denigrate the competition that exists in the market today.  The Parties believe that the market conditions will prevent CenturyLink from exercising undue market power.  In addition, the exceptions discussed below provide appropriate oversight </w:t>
      </w:r>
      <w:r w:rsidR="002401C7" w:rsidRPr="002401C7">
        <w:lastRenderedPageBreak/>
        <w:t xml:space="preserve">and protections while also providing CenturyLink with appropriate flexibility to respond to market conditions. </w:t>
      </w:r>
    </w:p>
    <w:p w:rsidR="002401C7" w:rsidRDefault="002401C7" w:rsidP="00762AF5">
      <w:pPr>
        <w:pStyle w:val="Default"/>
        <w:spacing w:line="480" w:lineRule="exact"/>
        <w:ind w:left="720" w:hanging="720"/>
      </w:pPr>
    </w:p>
    <w:p w:rsidR="00F45170" w:rsidRDefault="00F45170" w:rsidP="00EA4053">
      <w:pPr>
        <w:pStyle w:val="Default"/>
        <w:tabs>
          <w:tab w:val="left" w:pos="720"/>
        </w:tabs>
        <w:ind w:left="1440" w:hanging="1440"/>
        <w:rPr>
          <w:bCs/>
        </w:rPr>
      </w:pPr>
      <w:r>
        <w:tab/>
      </w:r>
      <w:r w:rsidRPr="00083C3D">
        <w:rPr>
          <w:b/>
          <w:bCs/>
        </w:rPr>
        <w:t>4.</w:t>
      </w:r>
      <w:r w:rsidRPr="00083C3D">
        <w:rPr>
          <w:b/>
          <w:bCs/>
        </w:rPr>
        <w:tab/>
      </w:r>
      <w:r w:rsidRPr="00083C3D">
        <w:rPr>
          <w:b/>
          <w:bCs/>
          <w:u w:val="single"/>
        </w:rPr>
        <w:t xml:space="preserve">Preserve or enhance service quality and protect against the degradation of the quality or availability of efficient telecommunications services </w:t>
      </w:r>
    </w:p>
    <w:p w:rsidR="00F45170" w:rsidRDefault="00F45170" w:rsidP="00762AF5">
      <w:pPr>
        <w:pStyle w:val="Default"/>
        <w:spacing w:line="480" w:lineRule="exact"/>
        <w:ind w:left="720" w:hanging="720"/>
      </w:pPr>
      <w:r>
        <w:rPr>
          <w:bCs/>
        </w:rPr>
        <w:tab/>
      </w:r>
      <w:r w:rsidRPr="00762AF5">
        <w:t xml:space="preserve">Nothing in CenturyLink’s AFOR affects its current retail or wholesale service quality obligations.  The competitive market </w:t>
      </w:r>
      <w:r w:rsidR="00DD274A">
        <w:t xml:space="preserve">is </w:t>
      </w:r>
      <w:proofErr w:type="gramStart"/>
      <w:r w:rsidR="00DD274A">
        <w:t xml:space="preserve">expected </w:t>
      </w:r>
      <w:r w:rsidRPr="00762AF5">
        <w:t xml:space="preserve"> to</w:t>
      </w:r>
      <w:proofErr w:type="gramEnd"/>
      <w:r w:rsidRPr="00762AF5">
        <w:t xml:space="preserve"> ensure that customers receive high quality and efficient telecommunications services.  In today’s competitive </w:t>
      </w:r>
      <w:r w:rsidR="00646F6B">
        <w:t xml:space="preserve">telecommunications </w:t>
      </w:r>
      <w:r w:rsidRPr="00762AF5">
        <w:t xml:space="preserve">market, CenturyLink </w:t>
      </w:r>
      <w:r w:rsidR="00DD274A">
        <w:t>must</w:t>
      </w:r>
      <w:r w:rsidRPr="00762AF5">
        <w:t xml:space="preserve"> provide a high quality product that is efficiently provisioned </w:t>
      </w:r>
      <w:r w:rsidR="00DD274A">
        <w:t xml:space="preserve">in order to attract </w:t>
      </w:r>
      <w:r w:rsidR="00C73137">
        <w:t>and retain customers</w:t>
      </w:r>
      <w:r w:rsidRPr="00762AF5">
        <w:t>.</w:t>
      </w:r>
    </w:p>
    <w:p w:rsidR="00F45170" w:rsidRDefault="00F45170" w:rsidP="00762AF5">
      <w:pPr>
        <w:pStyle w:val="Default"/>
        <w:spacing w:line="480" w:lineRule="exact"/>
        <w:ind w:left="720" w:hanging="720"/>
      </w:pPr>
    </w:p>
    <w:p w:rsidR="006F4769" w:rsidRDefault="00F45170" w:rsidP="0046658C">
      <w:pPr>
        <w:pStyle w:val="Default"/>
        <w:tabs>
          <w:tab w:val="left" w:pos="720"/>
        </w:tabs>
        <w:ind w:left="1440" w:hanging="1440"/>
        <w:rPr>
          <w:bCs/>
        </w:rPr>
      </w:pPr>
      <w:r>
        <w:tab/>
      </w:r>
      <w:r>
        <w:rPr>
          <w:b/>
          <w:bCs/>
        </w:rPr>
        <w:t>5.</w:t>
      </w:r>
      <w:r>
        <w:rPr>
          <w:b/>
          <w:bCs/>
        </w:rPr>
        <w:tab/>
      </w:r>
      <w:r w:rsidRPr="00083C3D">
        <w:rPr>
          <w:b/>
          <w:bCs/>
          <w:u w:val="single"/>
        </w:rPr>
        <w:t xml:space="preserve">Provide for rates and charges that are fair, just reasonable, sufficient, and not unduly discriminatory or preferential </w:t>
      </w:r>
    </w:p>
    <w:p w:rsidR="006F4769" w:rsidRDefault="00F45170" w:rsidP="0046658C">
      <w:pPr>
        <w:pStyle w:val="Default"/>
        <w:spacing w:line="480" w:lineRule="exact"/>
        <w:ind w:left="720" w:hanging="720"/>
      </w:pPr>
      <w:r>
        <w:rPr>
          <w:bCs/>
        </w:rPr>
        <w:tab/>
      </w:r>
      <w:r w:rsidRPr="00762AF5">
        <w:t xml:space="preserve">CenturyLink’s AFOR proposes a number of its services be treated as competitively classified service.  These services are subject to competition which </w:t>
      </w:r>
      <w:r w:rsidR="008A52AD">
        <w:t xml:space="preserve">parties anticipate </w:t>
      </w:r>
      <w:r w:rsidRPr="00762AF5">
        <w:t xml:space="preserve">will constrain rates and ensure that they are reasonable.  In the AFOR, CenturyLink commits to not further geographically de-average the rates for specific services which </w:t>
      </w:r>
      <w:proofErr w:type="gramStart"/>
      <w:r w:rsidRPr="00762AF5">
        <w:t>means</w:t>
      </w:r>
      <w:proofErr w:type="gramEnd"/>
      <w:r w:rsidRPr="00762AF5">
        <w:t xml:space="preserve"> that rural customers will enjoy pricing benefits brought about by the highly competitive urban markets.  This also helps to ensure against undue discrimination or preference. </w:t>
      </w:r>
    </w:p>
    <w:p w:rsidR="00F45170" w:rsidRDefault="00F45170" w:rsidP="00762AF5">
      <w:pPr>
        <w:pStyle w:val="Default"/>
        <w:spacing w:line="480" w:lineRule="exact"/>
        <w:ind w:left="720" w:hanging="720"/>
      </w:pPr>
    </w:p>
    <w:p w:rsidR="00F45170" w:rsidRDefault="00F45170" w:rsidP="00EA4053">
      <w:pPr>
        <w:pStyle w:val="Default"/>
        <w:tabs>
          <w:tab w:val="left" w:pos="630"/>
        </w:tabs>
        <w:ind w:left="1440" w:hanging="1440"/>
        <w:rPr>
          <w:bCs/>
        </w:rPr>
      </w:pPr>
      <w:r>
        <w:tab/>
      </w:r>
      <w:r w:rsidRPr="00083C3D">
        <w:rPr>
          <w:b/>
          <w:bCs/>
        </w:rPr>
        <w:t>6.</w:t>
      </w:r>
      <w:r w:rsidRPr="00083C3D">
        <w:rPr>
          <w:b/>
          <w:bCs/>
        </w:rPr>
        <w:tab/>
      </w:r>
      <w:r w:rsidRPr="00083C3D">
        <w:rPr>
          <w:b/>
          <w:bCs/>
          <w:u w:val="single"/>
        </w:rPr>
        <w:t>Not unduly or unreasonabl</w:t>
      </w:r>
      <w:r w:rsidR="00B8234E">
        <w:rPr>
          <w:b/>
          <w:bCs/>
          <w:u w:val="single"/>
        </w:rPr>
        <w:t>y</w:t>
      </w:r>
      <w:r w:rsidRPr="00083C3D">
        <w:rPr>
          <w:b/>
          <w:bCs/>
          <w:u w:val="single"/>
        </w:rPr>
        <w:t xml:space="preserve"> prejudice or disadvantage any particular </w:t>
      </w:r>
      <w:r>
        <w:rPr>
          <w:b/>
          <w:bCs/>
          <w:u w:val="single"/>
        </w:rPr>
        <w:t>c</w:t>
      </w:r>
      <w:r w:rsidRPr="00083C3D">
        <w:rPr>
          <w:b/>
          <w:bCs/>
          <w:u w:val="single"/>
        </w:rPr>
        <w:t xml:space="preserve">ustomer class </w:t>
      </w:r>
    </w:p>
    <w:p w:rsidR="00F45170" w:rsidRDefault="00F45170" w:rsidP="00762AF5">
      <w:pPr>
        <w:pStyle w:val="Default"/>
        <w:spacing w:line="480" w:lineRule="exact"/>
        <w:ind w:left="720" w:hanging="720"/>
      </w:pPr>
      <w:r>
        <w:rPr>
          <w:bCs/>
        </w:rPr>
        <w:tab/>
      </w:r>
      <w:r w:rsidRPr="00762AF5">
        <w:t xml:space="preserve">Nothing in CenturyLink’s AFOR results in unreasonable prejudice </w:t>
      </w:r>
      <w:r w:rsidR="00B8234E">
        <w:t xml:space="preserve">to </w:t>
      </w:r>
      <w:r w:rsidRPr="00762AF5">
        <w:t xml:space="preserve">or disadvantages any particular class of customer.  As has been previously explained, the AFOR includes CenturyLink’s commitment to not </w:t>
      </w:r>
      <w:r w:rsidR="00B8234E">
        <w:t xml:space="preserve">further </w:t>
      </w:r>
      <w:r w:rsidRPr="00762AF5">
        <w:t xml:space="preserve">de-average the rates of certain services that would be treated as competitively classified services if the AFOR is approved.  </w:t>
      </w:r>
      <w:r w:rsidR="00B8234E">
        <w:lastRenderedPageBreak/>
        <w:t>Moreover</w:t>
      </w:r>
      <w:r w:rsidRPr="00762AF5">
        <w:t xml:space="preserve">, CenturyLink’s AFOR proposal does not change the current level of regulation for wholesale services. </w:t>
      </w:r>
    </w:p>
    <w:p w:rsidR="00F45170" w:rsidRDefault="00F45170" w:rsidP="00762AF5">
      <w:pPr>
        <w:pStyle w:val="Default"/>
        <w:spacing w:line="480" w:lineRule="exact"/>
        <w:ind w:left="720" w:hanging="720"/>
      </w:pPr>
    </w:p>
    <w:p w:rsidR="00F45170" w:rsidRDefault="00F45170" w:rsidP="00EA4053">
      <w:pPr>
        <w:pStyle w:val="Default"/>
        <w:ind w:left="720" w:hanging="720"/>
      </w:pPr>
      <w:r w:rsidRPr="00762AF5">
        <w:rPr>
          <w:b/>
        </w:rPr>
        <w:t>Q.</w:t>
      </w:r>
      <w:r w:rsidRPr="00762AF5">
        <w:rPr>
          <w:b/>
        </w:rPr>
        <w:tab/>
        <w:t>How does CenturyLink’s proposal satisfy the carrier-to-carrier service quality plan statutory requirement?</w:t>
      </w:r>
    </w:p>
    <w:p w:rsidR="00F45170" w:rsidRDefault="00F45170" w:rsidP="00762AF5">
      <w:pPr>
        <w:pStyle w:val="Default"/>
        <w:spacing w:line="480" w:lineRule="exact"/>
        <w:ind w:left="720" w:hanging="720"/>
      </w:pPr>
      <w:r>
        <w:rPr>
          <w:b/>
          <w:caps/>
        </w:rPr>
        <w:t>A.</w:t>
      </w:r>
      <w:r>
        <w:rPr>
          <w:b/>
          <w:caps/>
        </w:rPr>
        <w:tab/>
      </w:r>
      <w:r w:rsidRPr="00762AF5">
        <w:t>CenturyLink’s AFOR proposal does not disturb its current carrier-to-carrier obligations under either state or federal law, including the service quality plan that was required in the Qwest AFOR in 2007.  Nor would it change any of CenturyLink’s interconnection agreements with other carriers under Section 252 of the Telecommunications Act of 1996.  Most, if not all, of these agreements contain a set of Performance Indicators, coupled with the Commission-approved CenturyLink Performance Assurance Plan (“QPAP”) that together operate as service quality standards and performance measures, and provide appropriate enforcement and remedial provisions within their terms.  Because CenturyLink is proposing no change to the status quo in this area, and because the status quo provides adequate protection for carrier-to-carrier service quality, no new or addition provision are proposed in CenturyLink’s AFOR plan.</w:t>
      </w:r>
    </w:p>
    <w:p w:rsidR="00F45170" w:rsidRPr="00B9475E" w:rsidRDefault="00F45170" w:rsidP="00762AF5">
      <w:pPr>
        <w:pStyle w:val="Default"/>
        <w:spacing w:line="480" w:lineRule="exact"/>
        <w:ind w:left="720" w:hanging="720"/>
        <w:rPr>
          <w:b/>
          <w:caps/>
        </w:rPr>
      </w:pPr>
    </w:p>
    <w:p w:rsidR="00F45170" w:rsidRDefault="00F45170" w:rsidP="00B14870">
      <w:pPr>
        <w:pStyle w:val="BodyText"/>
        <w:spacing w:after="0" w:line="480" w:lineRule="exact"/>
        <w:rPr>
          <w:b/>
          <w:szCs w:val="24"/>
        </w:rPr>
      </w:pPr>
      <w:r>
        <w:rPr>
          <w:b/>
          <w:szCs w:val="24"/>
        </w:rPr>
        <w:t>Q.</w:t>
      </w:r>
      <w:r>
        <w:rPr>
          <w:b/>
          <w:szCs w:val="24"/>
        </w:rPr>
        <w:tab/>
        <w:t>Would you please discuss and explain each point in the AFOR Plan?</w:t>
      </w:r>
    </w:p>
    <w:p w:rsidR="00F45170" w:rsidRDefault="00F45170" w:rsidP="00762AF5">
      <w:pPr>
        <w:pStyle w:val="BodyText"/>
        <w:spacing w:after="0" w:line="480" w:lineRule="exact"/>
        <w:ind w:left="720" w:hanging="720"/>
        <w:rPr>
          <w:szCs w:val="24"/>
        </w:rPr>
      </w:pPr>
      <w:r w:rsidRPr="00762AF5">
        <w:rPr>
          <w:b/>
          <w:szCs w:val="24"/>
        </w:rPr>
        <w:t>A.</w:t>
      </w:r>
      <w:r>
        <w:rPr>
          <w:szCs w:val="24"/>
        </w:rPr>
        <w:tab/>
        <w:t>Yes.  The AFOR Plan as agreed upon by the Parties is somewhat different in content and appearance than the Plan that CenturyLink originally filed.  Therefore, we will walk through the AFOR that the Parties have agreed upon and explain each of the provisions.</w:t>
      </w:r>
    </w:p>
    <w:p w:rsidR="00F45170" w:rsidRPr="00762AF5" w:rsidRDefault="00F45170" w:rsidP="00B14870">
      <w:pPr>
        <w:pStyle w:val="BodyText"/>
        <w:spacing w:after="0" w:line="480" w:lineRule="exact"/>
        <w:rPr>
          <w:szCs w:val="24"/>
        </w:rPr>
      </w:pPr>
    </w:p>
    <w:p w:rsidR="00F45170" w:rsidRDefault="00F45170" w:rsidP="00E42DE4">
      <w:pPr>
        <w:pStyle w:val="BodyText"/>
        <w:keepNext/>
        <w:keepLines/>
        <w:spacing w:after="0" w:line="480" w:lineRule="exact"/>
        <w:rPr>
          <w:b/>
          <w:i/>
          <w:szCs w:val="24"/>
        </w:rPr>
      </w:pPr>
      <w:r w:rsidRPr="006873DB">
        <w:rPr>
          <w:b/>
          <w:i/>
          <w:szCs w:val="24"/>
        </w:rPr>
        <w:lastRenderedPageBreak/>
        <w:t>GENERAL PROVISIONS</w:t>
      </w:r>
    </w:p>
    <w:p w:rsidR="00F45170" w:rsidRDefault="00F45170" w:rsidP="00E42DE4">
      <w:pPr>
        <w:pStyle w:val="BodyText"/>
        <w:keepNext/>
        <w:keepLines/>
        <w:spacing w:after="0"/>
        <w:ind w:left="720" w:hanging="720"/>
        <w:rPr>
          <w:szCs w:val="24"/>
        </w:rPr>
      </w:pPr>
    </w:p>
    <w:p w:rsidR="00F45170" w:rsidRDefault="00F45170" w:rsidP="00E42DE4">
      <w:pPr>
        <w:pStyle w:val="BodyText"/>
        <w:keepNext/>
        <w:keepLines/>
        <w:spacing w:after="0"/>
        <w:ind w:left="720" w:hanging="720"/>
        <w:rPr>
          <w:bCs/>
          <w:szCs w:val="24"/>
        </w:rPr>
      </w:pPr>
      <w:r>
        <w:rPr>
          <w:szCs w:val="24"/>
        </w:rPr>
        <w:tab/>
      </w:r>
      <w:r w:rsidRPr="00BB19C8">
        <w:rPr>
          <w:b/>
          <w:szCs w:val="24"/>
        </w:rPr>
        <w:t xml:space="preserve">Provision 1/The Companies are </w:t>
      </w:r>
      <w:proofErr w:type="gramStart"/>
      <w:r w:rsidRPr="00BB19C8">
        <w:rPr>
          <w:b/>
          <w:szCs w:val="24"/>
        </w:rPr>
        <w:t>Treated</w:t>
      </w:r>
      <w:proofErr w:type="gramEnd"/>
      <w:r w:rsidRPr="00BB19C8">
        <w:rPr>
          <w:b/>
          <w:szCs w:val="24"/>
        </w:rPr>
        <w:t xml:space="preserve"> as Competitively Classified. </w:t>
      </w:r>
      <w:r w:rsidRPr="00BB19C8">
        <w:rPr>
          <w:szCs w:val="24"/>
        </w:rPr>
        <w:t xml:space="preserve"> </w:t>
      </w:r>
      <w:r w:rsidRPr="00BB19C8">
        <w:rPr>
          <w:bCs/>
          <w:szCs w:val="24"/>
        </w:rPr>
        <w:t>For the period of the Alternative Form of Regulation (“AFOR”), CenturyLink</w:t>
      </w:r>
      <w:r w:rsidRPr="00BB19C8">
        <w:rPr>
          <w:rStyle w:val="FootnoteReference"/>
          <w:bCs/>
          <w:szCs w:val="24"/>
        </w:rPr>
        <w:footnoteReference w:id="3"/>
      </w:r>
      <w:r w:rsidRPr="00BB19C8">
        <w:rPr>
          <w:bCs/>
          <w:szCs w:val="24"/>
        </w:rPr>
        <w:t xml:space="preserve"> will be treated as if it were competitively classified, subject to certain exceptions under this Plan.  CenturyLink is also subject to the provisions specified in </w:t>
      </w:r>
      <w:r w:rsidRPr="00BB19C8">
        <w:rPr>
          <w:b/>
          <w:bCs/>
          <w:szCs w:val="24"/>
        </w:rPr>
        <w:t>Appendix A</w:t>
      </w:r>
      <w:r w:rsidRPr="00BB19C8">
        <w:rPr>
          <w:bCs/>
          <w:szCs w:val="24"/>
        </w:rPr>
        <w:t xml:space="preserve"> which provides for regulation similar to those companies who are competitively classified pursuant to RCW 80.36.320.  </w:t>
      </w:r>
      <w:r w:rsidRPr="00BB19C8">
        <w:rPr>
          <w:b/>
          <w:bCs/>
          <w:szCs w:val="24"/>
        </w:rPr>
        <w:t>Appendix A</w:t>
      </w:r>
      <w:r w:rsidRPr="00BB19C8">
        <w:rPr>
          <w:bCs/>
          <w:szCs w:val="24"/>
        </w:rPr>
        <w:t xml:space="preserve"> provides an overview of specific waivers of regulatory requirements that should be granted in order to effectuate the AFOR.  </w:t>
      </w:r>
    </w:p>
    <w:p w:rsidR="00F45170" w:rsidRDefault="00F45170" w:rsidP="00762AF5">
      <w:pPr>
        <w:pStyle w:val="BodyText"/>
        <w:spacing w:after="0"/>
        <w:ind w:left="720" w:hanging="720"/>
        <w:rPr>
          <w:bCs/>
          <w:szCs w:val="24"/>
        </w:rPr>
      </w:pPr>
    </w:p>
    <w:p w:rsidR="00F45170" w:rsidRDefault="00F45170" w:rsidP="00762AF5">
      <w:pPr>
        <w:pStyle w:val="BodyText"/>
        <w:spacing w:after="0" w:line="480" w:lineRule="exact"/>
        <w:ind w:left="720" w:hanging="720"/>
        <w:rPr>
          <w:szCs w:val="24"/>
        </w:rPr>
      </w:pPr>
      <w:r>
        <w:rPr>
          <w:bCs/>
          <w:szCs w:val="24"/>
        </w:rPr>
        <w:tab/>
      </w:r>
      <w:r w:rsidRPr="00BB19C8">
        <w:rPr>
          <w:b/>
          <w:szCs w:val="24"/>
        </w:rPr>
        <w:t>Discussion of Provision 1:</w:t>
      </w:r>
      <w:r w:rsidRPr="00BB19C8">
        <w:rPr>
          <w:szCs w:val="24"/>
        </w:rPr>
        <w:t xml:space="preserve">  This is the overarching principle of the AFOR, and is the same principle upon which the Qwest AFOR was based in 2007.  In general, for all retail services, the CenturyLink ILECs will be treated as if they were competitively classified.  The specific exceptions are discussed later in the Plan.  Consistent with this principle, the statu</w:t>
      </w:r>
      <w:r w:rsidR="005F5F6F">
        <w:rPr>
          <w:szCs w:val="24"/>
        </w:rPr>
        <w:t>t</w:t>
      </w:r>
      <w:r w:rsidRPr="00BB19C8">
        <w:rPr>
          <w:szCs w:val="24"/>
        </w:rPr>
        <w:t>es and rules that are waived for CLECs will be waived for CenturyLink, with exceptions that are specifically noted.</w:t>
      </w:r>
    </w:p>
    <w:p w:rsidR="00F45170" w:rsidRDefault="00F45170" w:rsidP="00762AF5">
      <w:pPr>
        <w:pStyle w:val="BodyText"/>
        <w:spacing w:after="0" w:line="480" w:lineRule="exact"/>
        <w:ind w:left="720" w:hanging="720"/>
        <w:rPr>
          <w:szCs w:val="24"/>
        </w:rPr>
      </w:pPr>
    </w:p>
    <w:p w:rsidR="00F45170" w:rsidRDefault="00F45170" w:rsidP="00E47FA3">
      <w:pPr>
        <w:pStyle w:val="BodyText"/>
        <w:spacing w:after="0"/>
        <w:ind w:left="720" w:hanging="720"/>
        <w:rPr>
          <w:bCs/>
          <w:szCs w:val="24"/>
        </w:rPr>
      </w:pPr>
      <w:r>
        <w:rPr>
          <w:szCs w:val="24"/>
        </w:rPr>
        <w:tab/>
      </w:r>
      <w:proofErr w:type="gramStart"/>
      <w:r w:rsidRPr="00BB19C8">
        <w:rPr>
          <w:b/>
          <w:bCs/>
          <w:szCs w:val="24"/>
        </w:rPr>
        <w:t>Provision 2/Duration.</w:t>
      </w:r>
      <w:proofErr w:type="gramEnd"/>
      <w:r w:rsidRPr="00BB19C8">
        <w:rPr>
          <w:b/>
          <w:bCs/>
          <w:szCs w:val="24"/>
        </w:rPr>
        <w:t xml:space="preserve"> </w:t>
      </w:r>
      <w:r w:rsidRPr="00BB19C8">
        <w:rPr>
          <w:bCs/>
          <w:szCs w:val="24"/>
        </w:rPr>
        <w:t>The terms of this plan for AFOR will be effective upon approval by the Washington Utilities and Transportation Commission (“Commission”) and will remain in effect for seven years</w:t>
      </w:r>
      <w:r w:rsidRPr="00BB19C8">
        <w:rPr>
          <w:szCs w:val="24"/>
        </w:rPr>
        <w:t xml:space="preserve"> unless extended or modified by Commission order</w:t>
      </w:r>
      <w:r w:rsidRPr="00BB19C8">
        <w:rPr>
          <w:bCs/>
          <w:szCs w:val="24"/>
        </w:rPr>
        <w:t xml:space="preserve">.  </w:t>
      </w:r>
    </w:p>
    <w:p w:rsidR="00F45170" w:rsidRDefault="00F45170" w:rsidP="00E47FA3">
      <w:pPr>
        <w:pStyle w:val="BodyText"/>
        <w:spacing w:after="0"/>
        <w:ind w:left="720" w:hanging="720"/>
        <w:rPr>
          <w:bCs/>
          <w:szCs w:val="24"/>
        </w:rPr>
      </w:pPr>
    </w:p>
    <w:p w:rsidR="00F45170" w:rsidRDefault="00F45170" w:rsidP="00E47FA3">
      <w:pPr>
        <w:pStyle w:val="BodyText"/>
        <w:tabs>
          <w:tab w:val="left" w:pos="720"/>
        </w:tabs>
        <w:spacing w:after="0"/>
        <w:ind w:left="1440" w:hanging="1440"/>
        <w:rPr>
          <w:bCs/>
          <w:szCs w:val="24"/>
        </w:rPr>
      </w:pPr>
      <w:r>
        <w:rPr>
          <w:bCs/>
          <w:szCs w:val="24"/>
        </w:rPr>
        <w:tab/>
        <w:t>a)</w:t>
      </w:r>
      <w:r>
        <w:rPr>
          <w:bCs/>
          <w:szCs w:val="24"/>
        </w:rPr>
        <w:tab/>
      </w:r>
      <w:r w:rsidRPr="00BB19C8">
        <w:rPr>
          <w:bCs/>
          <w:szCs w:val="24"/>
        </w:rPr>
        <w:t>During the six months prior to the seven-year anniversary of the AFOR, CenturyLink and the Commission’s Staff will conduct a review of the provisions of this AFOR to determine if changing conditions warrant modifications to the plan.  All parties to the AFOR proceeding shall be entitled to participate in the review and will have access to the same material made available to Commission Staff by CenturyLink.</w:t>
      </w:r>
    </w:p>
    <w:p w:rsidR="00F45170" w:rsidRDefault="00F45170" w:rsidP="00E47FA3">
      <w:pPr>
        <w:pStyle w:val="BodyText"/>
        <w:tabs>
          <w:tab w:val="left" w:pos="720"/>
        </w:tabs>
        <w:spacing w:after="0"/>
        <w:ind w:left="1440" w:hanging="1440"/>
        <w:rPr>
          <w:bCs/>
          <w:szCs w:val="24"/>
        </w:rPr>
      </w:pPr>
    </w:p>
    <w:p w:rsidR="00F45170" w:rsidRDefault="00F45170" w:rsidP="00E47FA3">
      <w:pPr>
        <w:pStyle w:val="BodyText"/>
        <w:tabs>
          <w:tab w:val="left" w:pos="720"/>
        </w:tabs>
        <w:spacing w:after="0"/>
        <w:ind w:left="1440" w:hanging="1440"/>
        <w:rPr>
          <w:bCs/>
          <w:szCs w:val="24"/>
        </w:rPr>
      </w:pPr>
      <w:r>
        <w:rPr>
          <w:bCs/>
          <w:szCs w:val="24"/>
        </w:rPr>
        <w:tab/>
        <w:t>b)</w:t>
      </w:r>
      <w:r>
        <w:rPr>
          <w:bCs/>
          <w:szCs w:val="24"/>
        </w:rPr>
        <w:tab/>
      </w:r>
      <w:r w:rsidRPr="00BB19C8">
        <w:rPr>
          <w:bCs/>
          <w:szCs w:val="24"/>
        </w:rPr>
        <w:t xml:space="preserve">During the course of that review any of the parties to this AFOR proceeding may propose or oppose modifications for consideration by Commission Staff.  Upon conclusion of the review but not later than the seven-year anniversary the </w:t>
      </w:r>
      <w:r w:rsidRPr="00BB19C8">
        <w:rPr>
          <w:bCs/>
          <w:szCs w:val="24"/>
        </w:rPr>
        <w:lastRenderedPageBreak/>
        <w:t>Commission will provide notice to the parties and hold a proceeding in which parties may advocate for or against proposed modifications.</w:t>
      </w:r>
    </w:p>
    <w:p w:rsidR="00F45170" w:rsidRDefault="00F45170" w:rsidP="00E47FA3">
      <w:pPr>
        <w:pStyle w:val="BodyText"/>
        <w:tabs>
          <w:tab w:val="left" w:pos="720"/>
        </w:tabs>
        <w:spacing w:after="0"/>
        <w:ind w:left="1440" w:hanging="1440"/>
        <w:rPr>
          <w:bCs/>
          <w:szCs w:val="24"/>
        </w:rPr>
      </w:pPr>
    </w:p>
    <w:p w:rsidR="00F45170" w:rsidRDefault="00F45170" w:rsidP="00E47FA3">
      <w:pPr>
        <w:pStyle w:val="BodyText"/>
        <w:tabs>
          <w:tab w:val="left" w:pos="720"/>
        </w:tabs>
        <w:spacing w:after="0"/>
        <w:ind w:left="1440" w:hanging="1440"/>
        <w:rPr>
          <w:bCs/>
          <w:szCs w:val="24"/>
        </w:rPr>
      </w:pPr>
      <w:r>
        <w:rPr>
          <w:bCs/>
          <w:szCs w:val="24"/>
        </w:rPr>
        <w:tab/>
        <w:t>c)</w:t>
      </w:r>
      <w:r>
        <w:rPr>
          <w:bCs/>
          <w:szCs w:val="24"/>
        </w:rPr>
        <w:tab/>
      </w:r>
      <w:r w:rsidRPr="00BB19C8">
        <w:rPr>
          <w:bCs/>
          <w:szCs w:val="24"/>
        </w:rPr>
        <w:t>While the Commission deliberates, the terms of this AFOR shall continue in force.</w:t>
      </w:r>
    </w:p>
    <w:p w:rsidR="00F45170" w:rsidRDefault="00F45170" w:rsidP="00E47FA3">
      <w:pPr>
        <w:pStyle w:val="BodyText"/>
        <w:tabs>
          <w:tab w:val="left" w:pos="720"/>
        </w:tabs>
        <w:spacing w:after="0"/>
        <w:ind w:left="1440" w:hanging="1440"/>
        <w:rPr>
          <w:bCs/>
          <w:szCs w:val="24"/>
        </w:rPr>
      </w:pPr>
    </w:p>
    <w:p w:rsidR="00F45170" w:rsidRDefault="00F45170" w:rsidP="00E47FA3">
      <w:pPr>
        <w:pStyle w:val="BodyText"/>
        <w:spacing w:after="0" w:line="480" w:lineRule="exact"/>
        <w:ind w:left="720" w:hanging="720"/>
        <w:rPr>
          <w:b/>
          <w:bCs/>
          <w:szCs w:val="24"/>
        </w:rPr>
      </w:pPr>
      <w:r>
        <w:rPr>
          <w:b/>
          <w:bCs/>
          <w:szCs w:val="24"/>
        </w:rPr>
        <w:tab/>
      </w:r>
      <w:r w:rsidRPr="00BB19C8">
        <w:rPr>
          <w:b/>
          <w:bCs/>
          <w:szCs w:val="24"/>
        </w:rPr>
        <w:t xml:space="preserve">Discussion of Provision 2:  </w:t>
      </w:r>
      <w:r w:rsidRPr="00BB19C8">
        <w:rPr>
          <w:bCs/>
          <w:szCs w:val="24"/>
        </w:rPr>
        <w:t xml:space="preserve">This term is administrative and provides for the duration of the AFOR as being seven years.  This is an extension from the original proposal of five years, and is appropriate given the desirability of relative certainty over the coming years.  Qwest’s 2007 AFOR was scheduled to last for only four years, through November of 2011, but the </w:t>
      </w:r>
      <w:r w:rsidR="0037794E">
        <w:rPr>
          <w:bCs/>
          <w:szCs w:val="24"/>
        </w:rPr>
        <w:t>Parties</w:t>
      </w:r>
      <w:r w:rsidRPr="00BB19C8">
        <w:rPr>
          <w:bCs/>
          <w:szCs w:val="24"/>
        </w:rPr>
        <w:t xml:space="preserve"> recognize that it has been extended and will soon have been effective for six years.  Thus, a seven year term does not seem unduly long.  Further, although the Frontier case was different in that it provided for a competitive classification of services which can be reversed if necessary, the change in regulatory treatment is otherwise of unlimited duration.</w:t>
      </w:r>
      <w:r w:rsidRPr="00BB19C8">
        <w:rPr>
          <w:b/>
          <w:bCs/>
          <w:szCs w:val="24"/>
        </w:rPr>
        <w:t xml:space="preserve">  </w:t>
      </w:r>
    </w:p>
    <w:p w:rsidR="00F45170" w:rsidRDefault="00F45170" w:rsidP="00E47FA3">
      <w:pPr>
        <w:pStyle w:val="BodyText"/>
        <w:spacing w:after="0" w:line="480" w:lineRule="exact"/>
        <w:ind w:left="720" w:hanging="720"/>
        <w:rPr>
          <w:b/>
          <w:bCs/>
          <w:szCs w:val="24"/>
        </w:rPr>
      </w:pPr>
    </w:p>
    <w:p w:rsidR="00F45170" w:rsidRDefault="00F45170" w:rsidP="00EA4053">
      <w:pPr>
        <w:pStyle w:val="BodyText"/>
        <w:spacing w:after="0"/>
        <w:ind w:left="720" w:hanging="720"/>
        <w:rPr>
          <w:b/>
          <w:i/>
          <w:szCs w:val="24"/>
        </w:rPr>
      </w:pPr>
      <w:r w:rsidRPr="006873DB">
        <w:rPr>
          <w:b/>
          <w:i/>
          <w:szCs w:val="24"/>
        </w:rPr>
        <w:t>EXCEPTIONS</w:t>
      </w:r>
    </w:p>
    <w:p w:rsidR="00F45170" w:rsidRDefault="00F45170" w:rsidP="00EA4053">
      <w:pPr>
        <w:pStyle w:val="BodyText"/>
        <w:spacing w:after="0"/>
        <w:ind w:left="720" w:hanging="720"/>
        <w:rPr>
          <w:b/>
          <w:i/>
          <w:szCs w:val="24"/>
        </w:rPr>
      </w:pPr>
    </w:p>
    <w:p w:rsidR="00F45170" w:rsidRDefault="00F45170" w:rsidP="00E47FA3">
      <w:pPr>
        <w:pStyle w:val="BodyText"/>
        <w:spacing w:after="0"/>
        <w:ind w:left="720" w:hanging="720"/>
        <w:rPr>
          <w:bCs/>
          <w:szCs w:val="24"/>
        </w:rPr>
      </w:pPr>
      <w:r>
        <w:rPr>
          <w:szCs w:val="24"/>
        </w:rPr>
        <w:tab/>
      </w:r>
      <w:proofErr w:type="gramStart"/>
      <w:r w:rsidRPr="00111EA6">
        <w:rPr>
          <w:b/>
          <w:bCs/>
          <w:szCs w:val="24"/>
        </w:rPr>
        <w:t>Exception 1/Wholesale Obligations.</w:t>
      </w:r>
      <w:proofErr w:type="gramEnd"/>
      <w:r w:rsidRPr="00111EA6">
        <w:rPr>
          <w:b/>
          <w:bCs/>
          <w:szCs w:val="24"/>
        </w:rPr>
        <w:t xml:space="preserve">  </w:t>
      </w:r>
      <w:r w:rsidRPr="00111EA6">
        <w:rPr>
          <w:bCs/>
          <w:szCs w:val="24"/>
        </w:rPr>
        <w:t xml:space="preserve">This AFOR does not affect the Commission’s authority to regulate CenturyLink’s wholesale obligations under the Telecommunications Act of 1996, nor does it affect existing carrier-to-carrier service quality requirements, including service quality standards or performance measures for interconnection and appropriate enforcement or remedial provisions in the event CenturyLink fails to meet service quality standards or performance measures contained in tariffs, ICAs, commercial agreements, or otherwise.  </w:t>
      </w:r>
    </w:p>
    <w:p w:rsidR="00F45170" w:rsidRDefault="00F45170" w:rsidP="00E47FA3">
      <w:pPr>
        <w:pStyle w:val="BodyText"/>
        <w:spacing w:after="0"/>
        <w:ind w:left="720" w:hanging="720"/>
        <w:rPr>
          <w:bCs/>
          <w:szCs w:val="24"/>
        </w:rPr>
      </w:pPr>
    </w:p>
    <w:p w:rsidR="00F45170" w:rsidRDefault="00F45170" w:rsidP="00E47FA3">
      <w:pPr>
        <w:pStyle w:val="BodyText"/>
        <w:spacing w:after="0" w:line="480" w:lineRule="exact"/>
        <w:ind w:left="720" w:hanging="720"/>
        <w:rPr>
          <w:bCs/>
          <w:szCs w:val="24"/>
        </w:rPr>
      </w:pPr>
      <w:r>
        <w:rPr>
          <w:bCs/>
          <w:szCs w:val="24"/>
        </w:rPr>
        <w:tab/>
      </w:r>
      <w:r w:rsidRPr="00111EA6">
        <w:rPr>
          <w:b/>
          <w:bCs/>
          <w:szCs w:val="24"/>
        </w:rPr>
        <w:t>Discussion of Exception 1:</w:t>
      </w:r>
      <w:r w:rsidRPr="00111EA6">
        <w:rPr>
          <w:bCs/>
          <w:szCs w:val="24"/>
        </w:rPr>
        <w:t xml:space="preserve">  CenturyLink has committed that the AFOR does not affect its wholesale service quality obligations or other obligations under its ICAs.  In addition, only two CLECs intervened in this proceeding, and neither of those carriers is opposing the AFOR, or proposing additional conditions.  As the intermodal forms of competition become more prevalent, carriers rely less on services offered by CenturyLink in terms of </w:t>
      </w:r>
      <w:r w:rsidRPr="00111EA6">
        <w:rPr>
          <w:bCs/>
          <w:szCs w:val="24"/>
        </w:rPr>
        <w:lastRenderedPageBreak/>
        <w:t xml:space="preserve">resale or UNEs.  Nevertheless, these obligations are unchanged under the AFOR, as are the existing interconnection rights of competitors. </w:t>
      </w:r>
    </w:p>
    <w:p w:rsidR="00F45170" w:rsidRDefault="00F45170" w:rsidP="00E47FA3">
      <w:pPr>
        <w:pStyle w:val="BodyText"/>
        <w:spacing w:after="0" w:line="480" w:lineRule="exact"/>
        <w:ind w:left="720" w:hanging="720"/>
        <w:rPr>
          <w:bCs/>
          <w:szCs w:val="24"/>
        </w:rPr>
      </w:pPr>
    </w:p>
    <w:p w:rsidR="00F45170" w:rsidRDefault="00F45170" w:rsidP="00E47FA3">
      <w:pPr>
        <w:pStyle w:val="BodyText"/>
        <w:spacing w:after="0"/>
        <w:ind w:left="720" w:hanging="720"/>
        <w:rPr>
          <w:bCs/>
          <w:szCs w:val="24"/>
        </w:rPr>
      </w:pPr>
      <w:r>
        <w:rPr>
          <w:bCs/>
          <w:szCs w:val="24"/>
        </w:rPr>
        <w:tab/>
      </w:r>
      <w:proofErr w:type="gramStart"/>
      <w:r w:rsidRPr="00111EA6">
        <w:rPr>
          <w:b/>
          <w:bCs/>
          <w:szCs w:val="24"/>
        </w:rPr>
        <w:t>Exception 2/Service Quality</w:t>
      </w:r>
      <w:r>
        <w:rPr>
          <w:b/>
          <w:bCs/>
          <w:szCs w:val="24"/>
        </w:rPr>
        <w:t xml:space="preserve"> Reporting</w:t>
      </w:r>
      <w:r w:rsidRPr="00111EA6">
        <w:rPr>
          <w:b/>
          <w:bCs/>
          <w:szCs w:val="24"/>
        </w:rPr>
        <w:t>.</w:t>
      </w:r>
      <w:proofErr w:type="gramEnd"/>
      <w:r w:rsidRPr="00111EA6">
        <w:rPr>
          <w:b/>
          <w:bCs/>
          <w:szCs w:val="24"/>
        </w:rPr>
        <w:t xml:space="preserve">  </w:t>
      </w:r>
      <w:r w:rsidRPr="00111EA6">
        <w:rPr>
          <w:bCs/>
          <w:szCs w:val="24"/>
        </w:rPr>
        <w:t xml:space="preserve">CenturyLink will provide service quality reporting consistent with the ‘Class A’ company reporting requirements in WAC 480-120-439(1).  CenturyLink </w:t>
      </w:r>
      <w:r w:rsidRPr="00111EA6">
        <w:rPr>
          <w:szCs w:val="24"/>
        </w:rPr>
        <w:t xml:space="preserve">will no longer be required to file customer service guarantee reports (either performance reports or payment reports) in accordance with the Seventeenth Supplemental Order in Docket No. UT-991358 and Order 14 in Docket No. </w:t>
      </w:r>
      <w:proofErr w:type="gramStart"/>
      <w:r w:rsidRPr="00111EA6">
        <w:rPr>
          <w:szCs w:val="24"/>
        </w:rPr>
        <w:t>UT-100820.</w:t>
      </w:r>
      <w:proofErr w:type="gramEnd"/>
      <w:r w:rsidRPr="00111EA6">
        <w:rPr>
          <w:bCs/>
          <w:szCs w:val="24"/>
        </w:rPr>
        <w:t xml:space="preserve"> </w:t>
      </w:r>
    </w:p>
    <w:p w:rsidR="00F45170" w:rsidRDefault="00F45170" w:rsidP="00E47FA3">
      <w:pPr>
        <w:pStyle w:val="BodyText"/>
        <w:spacing w:after="0"/>
        <w:ind w:left="720" w:hanging="720"/>
        <w:rPr>
          <w:bCs/>
          <w:szCs w:val="24"/>
        </w:rPr>
      </w:pPr>
    </w:p>
    <w:p w:rsidR="00F45170" w:rsidRDefault="00F45170" w:rsidP="00E47FA3">
      <w:pPr>
        <w:pStyle w:val="BodyText"/>
        <w:spacing w:after="0" w:line="480" w:lineRule="exact"/>
        <w:ind w:left="720" w:hanging="720"/>
        <w:rPr>
          <w:bCs/>
          <w:szCs w:val="24"/>
        </w:rPr>
      </w:pPr>
      <w:r>
        <w:rPr>
          <w:bCs/>
          <w:szCs w:val="24"/>
        </w:rPr>
        <w:tab/>
      </w:r>
      <w:r w:rsidRPr="00111EA6">
        <w:rPr>
          <w:b/>
          <w:bCs/>
          <w:szCs w:val="24"/>
        </w:rPr>
        <w:t>Discussion of Exception 2:</w:t>
      </w:r>
      <w:r w:rsidRPr="00111EA6">
        <w:rPr>
          <w:bCs/>
          <w:szCs w:val="24"/>
        </w:rPr>
        <w:t xml:space="preserve">  CenturyLink had originally asked to be relieved of reporting requirements under WAC 480-120-439(1).  However, after settlement discussions, CenturyLink agreed to withdraw that request from the AFOR.  All Class A companies must report under that rule, whether competitively classified or not.  CenturyLink will be relieved of reporting obligations not faced by its competitors under its </w:t>
      </w:r>
      <w:r>
        <w:rPr>
          <w:bCs/>
          <w:szCs w:val="24"/>
        </w:rPr>
        <w:t>Customer Service Guarantee Plan (</w:t>
      </w:r>
      <w:r w:rsidRPr="00111EA6">
        <w:rPr>
          <w:bCs/>
          <w:szCs w:val="24"/>
        </w:rPr>
        <w:t>CSGP</w:t>
      </w:r>
      <w:r>
        <w:rPr>
          <w:bCs/>
          <w:szCs w:val="24"/>
        </w:rPr>
        <w:t>)</w:t>
      </w:r>
      <w:r w:rsidRPr="00111EA6">
        <w:rPr>
          <w:bCs/>
          <w:szCs w:val="24"/>
        </w:rPr>
        <w:t>.  CenturyLink’s service quality obligations are not otherwise affected under the AFOR, as those apply to all carriers equally under the Commission’s rules.</w:t>
      </w:r>
    </w:p>
    <w:p w:rsidR="00F45170" w:rsidRDefault="00F45170" w:rsidP="00E47FA3">
      <w:pPr>
        <w:pStyle w:val="BodyText"/>
        <w:spacing w:after="0" w:line="480" w:lineRule="exact"/>
        <w:ind w:left="720" w:hanging="720"/>
        <w:rPr>
          <w:bCs/>
          <w:szCs w:val="24"/>
        </w:rPr>
      </w:pPr>
    </w:p>
    <w:p w:rsidR="00F45170" w:rsidRDefault="00F45170" w:rsidP="00E42DE4">
      <w:pPr>
        <w:pStyle w:val="BodyText"/>
        <w:spacing w:after="0"/>
        <w:ind w:left="720" w:hanging="720"/>
        <w:rPr>
          <w:bCs/>
          <w:szCs w:val="24"/>
        </w:rPr>
      </w:pPr>
      <w:r>
        <w:rPr>
          <w:bCs/>
          <w:szCs w:val="24"/>
        </w:rPr>
        <w:tab/>
      </w:r>
      <w:proofErr w:type="gramStart"/>
      <w:r w:rsidRPr="00111EA6">
        <w:rPr>
          <w:b/>
          <w:bCs/>
          <w:szCs w:val="24"/>
        </w:rPr>
        <w:t>Exception 3/Services Remain</w:t>
      </w:r>
      <w:r>
        <w:rPr>
          <w:b/>
          <w:bCs/>
          <w:szCs w:val="24"/>
        </w:rPr>
        <w:t>ing</w:t>
      </w:r>
      <w:r w:rsidRPr="00111EA6">
        <w:rPr>
          <w:b/>
          <w:bCs/>
          <w:szCs w:val="24"/>
        </w:rPr>
        <w:t xml:space="preserve"> in Tariff.</w:t>
      </w:r>
      <w:proofErr w:type="gramEnd"/>
      <w:r w:rsidRPr="00111EA6">
        <w:rPr>
          <w:b/>
          <w:bCs/>
          <w:szCs w:val="24"/>
        </w:rPr>
        <w:t xml:space="preserve">  </w:t>
      </w:r>
      <w:r w:rsidRPr="00111EA6">
        <w:rPr>
          <w:bCs/>
          <w:szCs w:val="24"/>
        </w:rPr>
        <w:t>The following services will remain in CenturyLink’s tariffs:</w:t>
      </w:r>
    </w:p>
    <w:p w:rsidR="00F45170" w:rsidRDefault="00F45170" w:rsidP="00E42DE4">
      <w:pPr>
        <w:pStyle w:val="BodyText"/>
        <w:spacing w:after="0"/>
        <w:ind w:left="720" w:hanging="720"/>
        <w:rPr>
          <w:bCs/>
          <w:szCs w:val="24"/>
        </w:rPr>
      </w:pPr>
    </w:p>
    <w:p w:rsidR="00F45170" w:rsidRDefault="00F45170" w:rsidP="00E42DE4">
      <w:pPr>
        <w:pStyle w:val="BodyText"/>
        <w:spacing w:after="0"/>
        <w:ind w:left="720" w:hanging="720"/>
        <w:rPr>
          <w:bCs/>
          <w:szCs w:val="24"/>
        </w:rPr>
      </w:pPr>
      <w:r>
        <w:rPr>
          <w:bCs/>
          <w:szCs w:val="24"/>
        </w:rPr>
        <w:tab/>
        <w:t>a)</w:t>
      </w:r>
      <w:r>
        <w:rPr>
          <w:bCs/>
          <w:szCs w:val="24"/>
        </w:rPr>
        <w:tab/>
      </w:r>
      <w:r w:rsidRPr="00111EA6">
        <w:rPr>
          <w:bCs/>
          <w:szCs w:val="24"/>
        </w:rPr>
        <w:t>Exchange Areas, Local Calling Areas, and Maps</w:t>
      </w:r>
    </w:p>
    <w:p w:rsidR="00F45170" w:rsidRDefault="00F45170" w:rsidP="00E42DE4">
      <w:pPr>
        <w:pStyle w:val="BodyText"/>
        <w:spacing w:after="0"/>
        <w:ind w:left="720" w:hanging="720"/>
        <w:rPr>
          <w:bCs/>
          <w:szCs w:val="24"/>
        </w:rPr>
      </w:pPr>
      <w:r>
        <w:rPr>
          <w:bCs/>
          <w:szCs w:val="24"/>
        </w:rPr>
        <w:tab/>
        <w:t>b)</w:t>
      </w:r>
      <w:r>
        <w:rPr>
          <w:bCs/>
          <w:szCs w:val="24"/>
        </w:rPr>
        <w:tab/>
      </w:r>
      <w:r w:rsidRPr="00111EA6">
        <w:rPr>
          <w:bCs/>
          <w:szCs w:val="24"/>
        </w:rPr>
        <w:t>Washington Telephone Assistance Program (WTAP)</w:t>
      </w:r>
    </w:p>
    <w:p w:rsidR="00F45170" w:rsidRDefault="00F45170" w:rsidP="00E42DE4">
      <w:pPr>
        <w:pStyle w:val="BodyText"/>
        <w:spacing w:after="0"/>
        <w:ind w:left="720" w:hanging="720"/>
        <w:rPr>
          <w:bCs/>
          <w:szCs w:val="24"/>
        </w:rPr>
      </w:pPr>
      <w:r>
        <w:rPr>
          <w:bCs/>
          <w:szCs w:val="24"/>
        </w:rPr>
        <w:tab/>
        <w:t>c)</w:t>
      </w:r>
      <w:r>
        <w:rPr>
          <w:bCs/>
          <w:szCs w:val="24"/>
        </w:rPr>
        <w:tab/>
      </w:r>
      <w:r w:rsidRPr="00111EA6">
        <w:rPr>
          <w:bCs/>
          <w:szCs w:val="24"/>
        </w:rPr>
        <w:t>Lifeline and Link-up Programs</w:t>
      </w:r>
    </w:p>
    <w:p w:rsidR="00F45170" w:rsidRDefault="00F45170" w:rsidP="00E47FA3">
      <w:pPr>
        <w:pStyle w:val="BodyText"/>
        <w:spacing w:after="0"/>
        <w:ind w:left="720" w:hanging="720"/>
        <w:rPr>
          <w:bCs/>
          <w:szCs w:val="24"/>
        </w:rPr>
      </w:pPr>
      <w:r>
        <w:rPr>
          <w:bCs/>
          <w:szCs w:val="24"/>
        </w:rPr>
        <w:tab/>
        <w:t>d)</w:t>
      </w:r>
      <w:r>
        <w:rPr>
          <w:bCs/>
          <w:szCs w:val="24"/>
        </w:rPr>
        <w:tab/>
      </w:r>
      <w:r w:rsidRPr="00111EA6">
        <w:rPr>
          <w:bCs/>
          <w:szCs w:val="24"/>
        </w:rPr>
        <w:t>Basic and Enhanced Universal Emergency Number Services – 911 &amp; E-911</w:t>
      </w:r>
    </w:p>
    <w:p w:rsidR="00F45170" w:rsidRDefault="00F45170" w:rsidP="00E47FA3">
      <w:pPr>
        <w:pStyle w:val="BodyText"/>
        <w:spacing w:after="0"/>
        <w:ind w:left="720" w:hanging="720"/>
        <w:rPr>
          <w:bCs/>
          <w:szCs w:val="24"/>
        </w:rPr>
      </w:pPr>
      <w:r>
        <w:rPr>
          <w:bCs/>
          <w:szCs w:val="24"/>
        </w:rPr>
        <w:tab/>
        <w:t>e)</w:t>
      </w:r>
      <w:r>
        <w:rPr>
          <w:bCs/>
          <w:szCs w:val="24"/>
        </w:rPr>
        <w:tab/>
      </w:r>
      <w:r w:rsidRPr="00111EA6">
        <w:rPr>
          <w:bCs/>
          <w:szCs w:val="24"/>
        </w:rPr>
        <w:t>Interconnection Services</w:t>
      </w:r>
    </w:p>
    <w:p w:rsidR="00F45170" w:rsidRDefault="00F45170" w:rsidP="00E47FA3">
      <w:pPr>
        <w:pStyle w:val="BodyText"/>
        <w:spacing w:after="0"/>
        <w:ind w:left="720" w:hanging="720"/>
        <w:rPr>
          <w:bCs/>
          <w:szCs w:val="24"/>
        </w:rPr>
      </w:pPr>
      <w:r>
        <w:rPr>
          <w:bCs/>
          <w:szCs w:val="24"/>
        </w:rPr>
        <w:tab/>
        <w:t>f)</w:t>
      </w:r>
      <w:r>
        <w:rPr>
          <w:bCs/>
          <w:szCs w:val="24"/>
        </w:rPr>
        <w:tab/>
      </w:r>
      <w:r w:rsidRPr="00111EA6">
        <w:rPr>
          <w:bCs/>
          <w:szCs w:val="24"/>
        </w:rPr>
        <w:t>Resale Services</w:t>
      </w:r>
    </w:p>
    <w:p w:rsidR="00F45170" w:rsidRDefault="00F45170" w:rsidP="00E47FA3">
      <w:pPr>
        <w:pStyle w:val="BodyText"/>
        <w:spacing w:after="0"/>
        <w:ind w:left="720" w:hanging="720"/>
        <w:rPr>
          <w:bCs/>
          <w:szCs w:val="24"/>
        </w:rPr>
      </w:pPr>
      <w:r>
        <w:rPr>
          <w:bCs/>
          <w:szCs w:val="24"/>
        </w:rPr>
        <w:tab/>
        <w:t>g)</w:t>
      </w:r>
      <w:r>
        <w:rPr>
          <w:bCs/>
          <w:szCs w:val="24"/>
        </w:rPr>
        <w:tab/>
      </w:r>
      <w:r w:rsidRPr="00111EA6">
        <w:rPr>
          <w:bCs/>
          <w:szCs w:val="24"/>
        </w:rPr>
        <w:t>Switched Access Services</w:t>
      </w:r>
    </w:p>
    <w:p w:rsidR="00F45170" w:rsidRDefault="00F45170" w:rsidP="00E47FA3">
      <w:pPr>
        <w:pStyle w:val="BodyText"/>
        <w:spacing w:after="0"/>
        <w:ind w:left="720" w:hanging="720"/>
        <w:rPr>
          <w:bCs/>
          <w:szCs w:val="24"/>
        </w:rPr>
      </w:pPr>
      <w:r>
        <w:rPr>
          <w:bCs/>
          <w:szCs w:val="24"/>
        </w:rPr>
        <w:tab/>
        <w:t>h)</w:t>
      </w:r>
      <w:r>
        <w:rPr>
          <w:bCs/>
          <w:szCs w:val="24"/>
        </w:rPr>
        <w:tab/>
      </w:r>
      <w:r w:rsidRPr="00111EA6">
        <w:rPr>
          <w:bCs/>
          <w:szCs w:val="24"/>
        </w:rPr>
        <w:t>Wholesale Services</w:t>
      </w:r>
    </w:p>
    <w:p w:rsidR="00F45170" w:rsidRDefault="00F45170" w:rsidP="00E47FA3">
      <w:pPr>
        <w:pStyle w:val="BodyText"/>
        <w:spacing w:after="0"/>
        <w:ind w:left="720" w:hanging="720"/>
        <w:rPr>
          <w:bCs/>
          <w:szCs w:val="24"/>
        </w:rPr>
      </w:pPr>
    </w:p>
    <w:p w:rsidR="00F45170" w:rsidRDefault="00F45170" w:rsidP="00E47FA3">
      <w:pPr>
        <w:pStyle w:val="BodyText"/>
        <w:spacing w:after="0" w:line="480" w:lineRule="exact"/>
        <w:ind w:left="720" w:hanging="720"/>
        <w:rPr>
          <w:bCs/>
          <w:szCs w:val="24"/>
        </w:rPr>
      </w:pPr>
      <w:r>
        <w:rPr>
          <w:bCs/>
          <w:szCs w:val="24"/>
        </w:rPr>
        <w:lastRenderedPageBreak/>
        <w:tab/>
      </w:r>
      <w:r w:rsidRPr="00111EA6">
        <w:rPr>
          <w:b/>
          <w:bCs/>
          <w:szCs w:val="24"/>
        </w:rPr>
        <w:t xml:space="preserve">Discussion of Exception 3:  </w:t>
      </w:r>
      <w:r w:rsidRPr="00111EA6">
        <w:rPr>
          <w:bCs/>
          <w:szCs w:val="24"/>
        </w:rPr>
        <w:t xml:space="preserve">These services reflect the CenturyLink commitment regarding wholesale services, and also reflect the commitment to maintain low income services in the tariff.  There are two main differences between the exception in the AFOR Plan and the originally filed AFOR.  </w:t>
      </w:r>
    </w:p>
    <w:p w:rsidR="00F45170" w:rsidRDefault="00F45170" w:rsidP="00E47FA3">
      <w:pPr>
        <w:pStyle w:val="BodyText"/>
        <w:spacing w:after="0" w:line="480" w:lineRule="exact"/>
        <w:ind w:left="720" w:hanging="720"/>
        <w:rPr>
          <w:bCs/>
          <w:szCs w:val="24"/>
        </w:rPr>
      </w:pPr>
      <w:r>
        <w:rPr>
          <w:bCs/>
          <w:szCs w:val="24"/>
        </w:rPr>
        <w:tab/>
      </w:r>
      <w:r w:rsidRPr="00111EA6">
        <w:rPr>
          <w:bCs/>
          <w:szCs w:val="24"/>
        </w:rPr>
        <w:t xml:space="preserve">First, the Parties have agreed to allow all residential services (including measured service, which was in the original filing as remaining in the tariff) and Directory Assistance (“DA”) to move out of the tariff and be treated as competitively classified.  This is consistent with the Frontier case, and, after settlement discussions, and a review of the measured service option (including the fact that not all CenturyLink companies even offer a measured service option), the Parties concluded that it did not serve the public interest to require these services to remain in the tariff. </w:t>
      </w:r>
      <w:r w:rsidR="00303755">
        <w:rPr>
          <w:bCs/>
          <w:szCs w:val="24"/>
        </w:rPr>
        <w:t xml:space="preserve"> </w:t>
      </w:r>
      <w:r w:rsidRPr="00111EA6">
        <w:rPr>
          <w:bCs/>
          <w:szCs w:val="24"/>
        </w:rPr>
        <w:t xml:space="preserve">Second, for purposes of the Settlement AFOR, the Parties determined to remove the tariff citations from the AFOR Plan document.  These references are really only necessary at the initiation of the AFOR, when CenturyLink will withdraw other tariff provisions – these cites represent the services that Staff and Public Counsel will expect to remain in the tariff for purposes of reviewing compliance filings.  Thus, they are not necessary to include in the AFOR Plan, which is a seven year plan.  The </w:t>
      </w:r>
      <w:r w:rsidR="0037794E">
        <w:rPr>
          <w:bCs/>
          <w:szCs w:val="24"/>
        </w:rPr>
        <w:t>Parties</w:t>
      </w:r>
      <w:r w:rsidRPr="00111EA6">
        <w:rPr>
          <w:bCs/>
          <w:szCs w:val="24"/>
        </w:rPr>
        <w:t xml:space="preserve"> do not intend to signify anything other than this simplification by removing the tariff cites from the Settlement AFOR.</w:t>
      </w:r>
    </w:p>
    <w:p w:rsidR="00F45170" w:rsidRDefault="00F45170" w:rsidP="00E47FA3">
      <w:pPr>
        <w:pStyle w:val="BodyText"/>
        <w:spacing w:after="0" w:line="480" w:lineRule="exact"/>
        <w:ind w:left="720" w:hanging="720"/>
        <w:rPr>
          <w:bCs/>
          <w:szCs w:val="24"/>
        </w:rPr>
      </w:pPr>
    </w:p>
    <w:p w:rsidR="00F45170" w:rsidRDefault="00F45170" w:rsidP="00E47FA3">
      <w:pPr>
        <w:pStyle w:val="BodyText"/>
        <w:spacing w:after="0"/>
        <w:ind w:left="720" w:hanging="720"/>
        <w:rPr>
          <w:bCs/>
          <w:szCs w:val="24"/>
        </w:rPr>
      </w:pPr>
      <w:r>
        <w:rPr>
          <w:bCs/>
          <w:szCs w:val="24"/>
        </w:rPr>
        <w:tab/>
      </w:r>
      <w:proofErr w:type="gramStart"/>
      <w:r w:rsidRPr="00111EA6">
        <w:rPr>
          <w:b/>
          <w:bCs/>
          <w:szCs w:val="24"/>
        </w:rPr>
        <w:t>Exception 4/</w:t>
      </w:r>
      <w:r>
        <w:rPr>
          <w:b/>
          <w:bCs/>
          <w:szCs w:val="24"/>
        </w:rPr>
        <w:t>Pricing to Cover Costs</w:t>
      </w:r>
      <w:r w:rsidRPr="00111EA6">
        <w:rPr>
          <w:b/>
          <w:bCs/>
          <w:szCs w:val="24"/>
        </w:rPr>
        <w:t>.</w:t>
      </w:r>
      <w:proofErr w:type="gramEnd"/>
      <w:r w:rsidRPr="00111EA6">
        <w:rPr>
          <w:b/>
          <w:bCs/>
          <w:szCs w:val="24"/>
        </w:rPr>
        <w:t xml:space="preserve">  </w:t>
      </w:r>
      <w:r w:rsidRPr="00111EA6">
        <w:rPr>
          <w:bCs/>
          <w:szCs w:val="24"/>
        </w:rPr>
        <w:t>CenturyLink agrees to be bound by the provisions of RCW 80.36.330(3), and the Commission’s implementing regulations, in connection with below-cost pricing.</w:t>
      </w:r>
    </w:p>
    <w:p w:rsidR="00F45170" w:rsidRDefault="00F45170" w:rsidP="00E47FA3">
      <w:pPr>
        <w:pStyle w:val="BodyText"/>
        <w:spacing w:after="0" w:line="480" w:lineRule="exact"/>
        <w:ind w:left="720" w:hanging="720"/>
        <w:rPr>
          <w:bCs/>
          <w:szCs w:val="24"/>
        </w:rPr>
      </w:pPr>
      <w:r>
        <w:rPr>
          <w:bCs/>
          <w:szCs w:val="24"/>
        </w:rPr>
        <w:tab/>
      </w:r>
      <w:r w:rsidRPr="00111EA6">
        <w:rPr>
          <w:b/>
          <w:bCs/>
          <w:szCs w:val="24"/>
        </w:rPr>
        <w:t xml:space="preserve">Discussion of Exception 4:  </w:t>
      </w:r>
      <w:r w:rsidRPr="00111EA6">
        <w:rPr>
          <w:bCs/>
          <w:szCs w:val="24"/>
        </w:rPr>
        <w:t xml:space="preserve">This provision ensures that CenturyLink does not price services below cost, and is consistent with both the </w:t>
      </w:r>
      <w:r w:rsidR="001145A2">
        <w:rPr>
          <w:bCs/>
          <w:szCs w:val="24"/>
        </w:rPr>
        <w:t xml:space="preserve">existing </w:t>
      </w:r>
      <w:bookmarkStart w:id="0" w:name="_GoBack"/>
      <w:bookmarkEnd w:id="0"/>
      <w:r w:rsidRPr="00111EA6">
        <w:rPr>
          <w:bCs/>
          <w:szCs w:val="24"/>
        </w:rPr>
        <w:t>Qwest AFOR and the Frontier case.</w:t>
      </w:r>
    </w:p>
    <w:p w:rsidR="00F45170" w:rsidRDefault="00F45170" w:rsidP="00E47FA3">
      <w:pPr>
        <w:pStyle w:val="BodyText"/>
        <w:spacing w:after="0" w:line="480" w:lineRule="exact"/>
        <w:ind w:left="720" w:hanging="720"/>
        <w:rPr>
          <w:bCs/>
          <w:szCs w:val="24"/>
        </w:rPr>
      </w:pPr>
    </w:p>
    <w:p w:rsidR="00F45170" w:rsidRDefault="00F45170" w:rsidP="00E47FA3">
      <w:pPr>
        <w:pStyle w:val="BodyText"/>
        <w:spacing w:after="0"/>
        <w:ind w:left="720" w:hanging="720"/>
        <w:rPr>
          <w:bCs/>
          <w:szCs w:val="24"/>
        </w:rPr>
      </w:pPr>
      <w:r>
        <w:rPr>
          <w:bCs/>
          <w:szCs w:val="24"/>
        </w:rPr>
        <w:tab/>
      </w:r>
      <w:proofErr w:type="gramStart"/>
      <w:r w:rsidRPr="00111EA6">
        <w:rPr>
          <w:b/>
          <w:bCs/>
        </w:rPr>
        <w:t>Exception 5</w:t>
      </w:r>
      <w:r>
        <w:rPr>
          <w:b/>
          <w:bCs/>
        </w:rPr>
        <w:t>/Accounting Method</w:t>
      </w:r>
      <w:r w:rsidRPr="00111EA6">
        <w:rPr>
          <w:b/>
          <w:bCs/>
        </w:rPr>
        <w:t>.</w:t>
      </w:r>
      <w:proofErr w:type="gramEnd"/>
      <w:r w:rsidRPr="00111EA6">
        <w:rPr>
          <w:bCs/>
        </w:rPr>
        <w:t xml:space="preserve">  </w:t>
      </w:r>
      <w:r w:rsidRPr="00B14870">
        <w:rPr>
          <w:bCs/>
          <w:szCs w:val="24"/>
        </w:rPr>
        <w:t>CenturyLink will keep its books of accounts pursuant to WAC 480-120-355.  However, instead of keeping its accounts in accordance with generally accepted accounting principles, CenturyLink will use the same accounting method that it uses to maintain its books for Federal Communications Commission purposes.</w:t>
      </w:r>
    </w:p>
    <w:p w:rsidR="00F45170" w:rsidRDefault="00F45170" w:rsidP="00E47FA3">
      <w:pPr>
        <w:pStyle w:val="BodyText"/>
        <w:spacing w:after="0"/>
        <w:ind w:left="720" w:hanging="720"/>
        <w:rPr>
          <w:bCs/>
          <w:szCs w:val="24"/>
        </w:rPr>
      </w:pPr>
    </w:p>
    <w:p w:rsidR="00F45170" w:rsidRDefault="00F45170" w:rsidP="00E47FA3">
      <w:pPr>
        <w:pStyle w:val="BodyText"/>
        <w:spacing w:after="0" w:line="480" w:lineRule="exact"/>
        <w:ind w:left="720" w:hanging="720"/>
        <w:rPr>
          <w:bCs/>
        </w:rPr>
      </w:pPr>
      <w:r>
        <w:rPr>
          <w:bCs/>
          <w:szCs w:val="24"/>
        </w:rPr>
        <w:tab/>
      </w:r>
      <w:r w:rsidRPr="00111EA6">
        <w:rPr>
          <w:b/>
          <w:bCs/>
        </w:rPr>
        <w:t>Discussion of Exception 5:</w:t>
      </w:r>
      <w:r w:rsidRPr="00111EA6">
        <w:rPr>
          <w:bCs/>
        </w:rPr>
        <w:t xml:space="preserve">  This provision is not exactly an exception, but a clarification.  WAC 480-120-355 applies to competitively classified companies, so it would apply to the CenturyLink companies without explicitly stating it in the Plan.  However, the rule provides for </w:t>
      </w:r>
      <w:proofErr w:type="gramStart"/>
      <w:r w:rsidRPr="00111EA6">
        <w:rPr>
          <w:bCs/>
        </w:rPr>
        <w:t>GAAP accounting</w:t>
      </w:r>
      <w:proofErr w:type="gramEnd"/>
      <w:r w:rsidRPr="00111EA6">
        <w:rPr>
          <w:bCs/>
        </w:rPr>
        <w:t xml:space="preserve"> “or any other accounting method acceptable to the commission.”  This provision therefore clarifies that the Parties agree that the stated method should be accepted for the AFOR.  This provision is consistent with what was decided in the Qwest AFOR.</w:t>
      </w:r>
    </w:p>
    <w:p w:rsidR="00F45170" w:rsidRDefault="00F45170" w:rsidP="00E47FA3">
      <w:pPr>
        <w:pStyle w:val="BodyText"/>
        <w:spacing w:after="0" w:line="480" w:lineRule="exact"/>
        <w:ind w:left="720" w:hanging="720"/>
        <w:rPr>
          <w:bCs/>
        </w:rPr>
      </w:pPr>
    </w:p>
    <w:p w:rsidR="006F4769" w:rsidRDefault="00F45170">
      <w:pPr>
        <w:pStyle w:val="BodyText"/>
        <w:keepNext/>
        <w:keepLines/>
        <w:spacing w:after="0"/>
        <w:ind w:left="720" w:hanging="720"/>
        <w:rPr>
          <w:bCs/>
          <w:szCs w:val="24"/>
        </w:rPr>
      </w:pPr>
      <w:r>
        <w:rPr>
          <w:bCs/>
        </w:rPr>
        <w:tab/>
      </w:r>
      <w:proofErr w:type="gramStart"/>
      <w:r w:rsidRPr="00111EA6">
        <w:rPr>
          <w:b/>
          <w:bCs/>
          <w:szCs w:val="24"/>
        </w:rPr>
        <w:t>Exception 6/Transfer of Property.</w:t>
      </w:r>
      <w:proofErr w:type="gramEnd"/>
      <w:r w:rsidRPr="00111EA6">
        <w:rPr>
          <w:bCs/>
          <w:szCs w:val="24"/>
        </w:rPr>
        <w:t xml:space="preserve">  </w:t>
      </w:r>
      <w:r w:rsidRPr="00B14870">
        <w:rPr>
          <w:bCs/>
          <w:szCs w:val="24"/>
        </w:rPr>
        <w:t>The waiver of the Transfer of Property provisions in Chapter 80.12 RCW and Chapter 480-143 WAC does not apply to the sale of exchanges or access lines, and does not apply to a transaction involving the merger or acquisition of the parent company or any of the ILEC operating companies by an unaffiliated entity.</w:t>
      </w:r>
    </w:p>
    <w:p w:rsidR="00F45170" w:rsidRDefault="00F45170" w:rsidP="00E47FA3">
      <w:pPr>
        <w:pStyle w:val="BodyText"/>
        <w:spacing w:after="0" w:line="480" w:lineRule="exact"/>
        <w:ind w:left="720" w:hanging="720"/>
        <w:rPr>
          <w:bCs/>
          <w:szCs w:val="24"/>
        </w:rPr>
      </w:pPr>
      <w:r>
        <w:rPr>
          <w:bCs/>
          <w:szCs w:val="24"/>
        </w:rPr>
        <w:tab/>
      </w:r>
    </w:p>
    <w:p w:rsidR="00F45170" w:rsidRDefault="00F45170" w:rsidP="0084763B">
      <w:pPr>
        <w:pStyle w:val="BodyText"/>
        <w:spacing w:after="0" w:line="480" w:lineRule="exact"/>
        <w:ind w:left="720"/>
        <w:rPr>
          <w:bCs/>
          <w:szCs w:val="24"/>
        </w:rPr>
      </w:pPr>
      <w:r w:rsidRPr="00111EA6">
        <w:rPr>
          <w:b/>
          <w:bCs/>
          <w:szCs w:val="24"/>
        </w:rPr>
        <w:t xml:space="preserve">Discussion of Exception 6:  </w:t>
      </w:r>
      <w:r w:rsidRPr="00111EA6">
        <w:rPr>
          <w:bCs/>
          <w:szCs w:val="24"/>
        </w:rPr>
        <w:t xml:space="preserve">The Parties have agreed that the statutes and rules governing transfers of property should be waived for the CenturyLink companies, as they are for CLECs.  However, the Parties have agreed to an exception that would allow the Commission to review merger proceedings with unaffiliated companies, and/or transactions involving the sale of exchanges.  </w:t>
      </w:r>
    </w:p>
    <w:p w:rsidR="00F45170" w:rsidRDefault="00F45170" w:rsidP="00E47FA3">
      <w:pPr>
        <w:pStyle w:val="BodyText"/>
        <w:spacing w:after="0" w:line="480" w:lineRule="exact"/>
        <w:ind w:left="720" w:hanging="720"/>
        <w:rPr>
          <w:bCs/>
          <w:szCs w:val="24"/>
        </w:rPr>
      </w:pPr>
      <w:r>
        <w:rPr>
          <w:bCs/>
          <w:szCs w:val="24"/>
        </w:rPr>
        <w:tab/>
      </w:r>
      <w:r w:rsidRPr="00111EA6">
        <w:rPr>
          <w:bCs/>
          <w:szCs w:val="24"/>
        </w:rPr>
        <w:t>As noted, the waiver is consistent with how CLECs are treated.  The exception to this waiver allows the Commission to consider major transactions involving changes in control of the companies</w:t>
      </w:r>
      <w:r w:rsidR="00C1022A">
        <w:rPr>
          <w:bCs/>
          <w:szCs w:val="24"/>
        </w:rPr>
        <w:t xml:space="preserve">. </w:t>
      </w:r>
      <w:r w:rsidRPr="00111EA6">
        <w:rPr>
          <w:bCs/>
          <w:szCs w:val="24"/>
        </w:rPr>
        <w:t xml:space="preserve">In the Qwest AFOR the transfer of property provisions were </w:t>
      </w:r>
      <w:r w:rsidRPr="00111EA6">
        <w:rPr>
          <w:bCs/>
          <w:szCs w:val="24"/>
        </w:rPr>
        <w:lastRenderedPageBreak/>
        <w:t xml:space="preserve">waived up to a cap of $15 million.  The Parties have agreed in this case that greater flexibility will not harm the public interest. </w:t>
      </w:r>
    </w:p>
    <w:p w:rsidR="00F45170" w:rsidRDefault="00F45170" w:rsidP="00E47FA3">
      <w:pPr>
        <w:pStyle w:val="BodyText"/>
        <w:spacing w:after="0" w:line="480" w:lineRule="exact"/>
        <w:ind w:left="720" w:hanging="720"/>
        <w:rPr>
          <w:bCs/>
          <w:szCs w:val="24"/>
        </w:rPr>
      </w:pPr>
    </w:p>
    <w:p w:rsidR="00F45170" w:rsidRDefault="00F45170" w:rsidP="00E47FA3">
      <w:pPr>
        <w:pStyle w:val="BodyText"/>
        <w:spacing w:after="0"/>
        <w:ind w:left="720" w:hanging="720"/>
        <w:rPr>
          <w:bCs/>
          <w:szCs w:val="24"/>
        </w:rPr>
      </w:pPr>
      <w:r>
        <w:rPr>
          <w:bCs/>
          <w:szCs w:val="24"/>
        </w:rPr>
        <w:tab/>
      </w:r>
      <w:proofErr w:type="gramStart"/>
      <w:r w:rsidRPr="00111EA6">
        <w:rPr>
          <w:b/>
          <w:bCs/>
        </w:rPr>
        <w:t>Exception 7</w:t>
      </w:r>
      <w:r>
        <w:rPr>
          <w:b/>
          <w:bCs/>
        </w:rPr>
        <w:t>/De-Averaged Rates</w:t>
      </w:r>
      <w:r w:rsidRPr="00111EA6">
        <w:rPr>
          <w:b/>
          <w:bCs/>
        </w:rPr>
        <w:t>.</w:t>
      </w:r>
      <w:proofErr w:type="gramEnd"/>
      <w:r w:rsidRPr="00111EA6">
        <w:rPr>
          <w:bCs/>
        </w:rPr>
        <w:t xml:space="preserve">  </w:t>
      </w:r>
      <w:r w:rsidRPr="00B14870">
        <w:rPr>
          <w:bCs/>
          <w:szCs w:val="24"/>
        </w:rPr>
        <w:t>Notwithstanding that CenturyLink’s stand alone business exchange service and stand alone residential exchange service will be treated as competitively classified services in accordance with Provision 1, CenturyLink agrees not to further geographically de-average the non-recurring and monthly recurring rates for these services.  This means that CenturyLink will not increase the number of rate levels for stand alone local exchange service.  With respect to stand alone residential exchange service, CenturyLink will reduce the number of these rate levels pursuant to Exception 9 below, and CenturyLink further agrees not to exceed the reduced number of rate levels for stand alone residential exchange service that will exist following the rate restructuring described in Exception 9.  This provision does not modify or restrict CenturyLink’s ability to enter into individual contracts for service that specify rates other than statewide average rates.</w:t>
      </w:r>
    </w:p>
    <w:p w:rsidR="00F45170" w:rsidRDefault="00F45170" w:rsidP="00E47FA3">
      <w:pPr>
        <w:pStyle w:val="BodyText"/>
        <w:spacing w:after="0"/>
        <w:ind w:left="720" w:hanging="720"/>
        <w:rPr>
          <w:bCs/>
          <w:szCs w:val="24"/>
        </w:rPr>
      </w:pPr>
    </w:p>
    <w:p w:rsidR="00F45170" w:rsidRPr="00A331E0" w:rsidRDefault="00F45170" w:rsidP="00E47FA3">
      <w:pPr>
        <w:pStyle w:val="BodyText"/>
        <w:spacing w:after="0" w:line="480" w:lineRule="exact"/>
        <w:ind w:left="720" w:hanging="720"/>
        <w:rPr>
          <w:bCs/>
        </w:rPr>
      </w:pPr>
      <w:r>
        <w:rPr>
          <w:bCs/>
          <w:szCs w:val="24"/>
        </w:rPr>
        <w:tab/>
      </w:r>
      <w:r w:rsidRPr="00111EA6">
        <w:rPr>
          <w:b/>
          <w:bCs/>
        </w:rPr>
        <w:t>Discussion of Exception 7:</w:t>
      </w:r>
      <w:r w:rsidRPr="002B0C16">
        <w:rPr>
          <w:bCs/>
        </w:rPr>
        <w:t xml:space="preserve">  Exceptions</w:t>
      </w:r>
      <w:r>
        <w:rPr>
          <w:b/>
          <w:bCs/>
        </w:rPr>
        <w:t xml:space="preserve"> </w:t>
      </w:r>
      <w:r>
        <w:rPr>
          <w:bCs/>
        </w:rPr>
        <w:t>7, 8 and 9 are all related and address commitments that CenturyLink has made regarding rate levels during the AFOR.   Exception 7 was crafted to memorialize a commitment against further geographic deaveraging of CenturyLink’s stand alone residential and business rates.  The commitment against deaveraging was first made in the Qwest AFOR, where the issue was simple – Qwest had a single rate for residential service and a single rate for business service, so saying “no geographic deaveraging” did not really require additional explanation.  The Frontier case was the same situation</w:t>
      </w:r>
      <w:r w:rsidR="000661D4">
        <w:rPr>
          <w:bCs/>
        </w:rPr>
        <w:t>, with statewide average rates already in place</w:t>
      </w:r>
      <w:r>
        <w:rPr>
          <w:bCs/>
        </w:rPr>
        <w:t xml:space="preserve">.  However, in this case, CenturyLink residential rates are already deaveraged </w:t>
      </w:r>
      <w:r w:rsidR="00C1022A">
        <w:rPr>
          <w:bCs/>
        </w:rPr>
        <w:t>in the sense that most of the legacy</w:t>
      </w:r>
      <w:r>
        <w:rPr>
          <w:bCs/>
        </w:rPr>
        <w:t xml:space="preserve"> </w:t>
      </w:r>
      <w:r w:rsidR="00C1022A">
        <w:rPr>
          <w:bCs/>
        </w:rPr>
        <w:t xml:space="preserve">operating </w:t>
      </w:r>
      <w:r>
        <w:rPr>
          <w:bCs/>
        </w:rPr>
        <w:t>companies</w:t>
      </w:r>
      <w:r w:rsidR="00C1022A">
        <w:rPr>
          <w:bCs/>
        </w:rPr>
        <w:t xml:space="preserve"> that comprise CenturyLink have different rates.</w:t>
      </w:r>
      <w:r w:rsidR="002639DA">
        <w:rPr>
          <w:bCs/>
        </w:rPr>
        <w:t xml:space="preserve"> </w:t>
      </w:r>
      <w:r w:rsidR="00C1022A">
        <w:rPr>
          <w:bCs/>
        </w:rPr>
        <w:t xml:space="preserve"> Additionally</w:t>
      </w:r>
      <w:r>
        <w:rPr>
          <w:bCs/>
        </w:rPr>
        <w:t>,</w:t>
      </w:r>
      <w:r w:rsidR="00C1022A">
        <w:rPr>
          <w:bCs/>
        </w:rPr>
        <w:t xml:space="preserve"> </w:t>
      </w:r>
      <w:r w:rsidR="00B73AD8">
        <w:rPr>
          <w:bCs/>
        </w:rPr>
        <w:t xml:space="preserve">rates are deaveraged </w:t>
      </w:r>
      <w:r>
        <w:rPr>
          <w:bCs/>
        </w:rPr>
        <w:t xml:space="preserve">within </w:t>
      </w:r>
      <w:r w:rsidR="00C1022A">
        <w:rPr>
          <w:bCs/>
        </w:rPr>
        <w:t>each of</w:t>
      </w:r>
      <w:r w:rsidR="000661D4">
        <w:rPr>
          <w:bCs/>
        </w:rPr>
        <w:t xml:space="preserve"> the</w:t>
      </w:r>
      <w:r w:rsidR="00B73AD8">
        <w:rPr>
          <w:bCs/>
        </w:rPr>
        <w:t xml:space="preserve"> </w:t>
      </w:r>
      <w:r>
        <w:rPr>
          <w:bCs/>
        </w:rPr>
        <w:t xml:space="preserve">companies with the exception of Qwest.  So, the issue became one of how to memorialize a commitment against further widening the rate spread, and having CenturyLink behave in a manner that is consistent with the rate restructuring agreement in Exception 9.  The </w:t>
      </w:r>
      <w:r>
        <w:rPr>
          <w:bCs/>
        </w:rPr>
        <w:lastRenderedPageBreak/>
        <w:t>Parties settled on this language as a way to accomplish that goal without unnecessarily dictating absolute rate levels.</w:t>
      </w:r>
    </w:p>
    <w:p w:rsidR="00F45170" w:rsidRDefault="00F45170" w:rsidP="00E47FA3">
      <w:pPr>
        <w:pStyle w:val="BodyText"/>
        <w:spacing w:after="0" w:line="480" w:lineRule="exact"/>
        <w:ind w:left="720" w:hanging="720"/>
        <w:rPr>
          <w:b/>
          <w:bCs/>
        </w:rPr>
      </w:pPr>
    </w:p>
    <w:p w:rsidR="00F45170" w:rsidRDefault="00F45170" w:rsidP="00E47FA3">
      <w:pPr>
        <w:pStyle w:val="BodyText"/>
        <w:spacing w:after="0"/>
        <w:ind w:left="720" w:hanging="720"/>
      </w:pPr>
      <w:r>
        <w:rPr>
          <w:b/>
          <w:bCs/>
        </w:rPr>
        <w:tab/>
      </w:r>
      <w:proofErr w:type="gramStart"/>
      <w:r w:rsidRPr="00111EA6">
        <w:rPr>
          <w:b/>
          <w:bCs/>
        </w:rPr>
        <w:t>Exception 8/</w:t>
      </w:r>
      <w:r>
        <w:rPr>
          <w:b/>
          <w:bCs/>
        </w:rPr>
        <w:t xml:space="preserve">Residential </w:t>
      </w:r>
      <w:r w:rsidRPr="00111EA6">
        <w:rPr>
          <w:b/>
          <w:bCs/>
        </w:rPr>
        <w:t>Rate Normalization.</w:t>
      </w:r>
      <w:proofErr w:type="gramEnd"/>
      <w:r w:rsidRPr="00111EA6">
        <w:rPr>
          <w:bCs/>
        </w:rPr>
        <w:t xml:space="preserve">  </w:t>
      </w:r>
      <w:r w:rsidRPr="004B1FDF">
        <w:t>CenturyLink commits to work in good faith toward normalizing rates for flat-rated stand alone residential exchange service among the five ILEC operating companies.  To the extent that CenturyLink makes changes to flat-rated stand alone residential rates, CenturyLink’s goal will be to reduce the rate differentials between rate levels for its ILEC operating companies.</w:t>
      </w:r>
    </w:p>
    <w:p w:rsidR="00F45170" w:rsidRDefault="00F45170" w:rsidP="00E47FA3">
      <w:pPr>
        <w:pStyle w:val="BodyText"/>
        <w:spacing w:after="0" w:line="480" w:lineRule="exact"/>
        <w:ind w:left="720" w:hanging="720"/>
      </w:pPr>
      <w:r>
        <w:tab/>
      </w:r>
    </w:p>
    <w:p w:rsidR="00F45170" w:rsidRPr="00BA764D" w:rsidRDefault="00F45170" w:rsidP="0084763B">
      <w:pPr>
        <w:pStyle w:val="BodyText"/>
        <w:spacing w:after="0" w:line="480" w:lineRule="exact"/>
        <w:ind w:left="720"/>
        <w:rPr>
          <w:bCs/>
        </w:rPr>
      </w:pPr>
      <w:r w:rsidRPr="00111EA6">
        <w:rPr>
          <w:b/>
          <w:bCs/>
        </w:rPr>
        <w:t xml:space="preserve">Discussion of Exception 8:  </w:t>
      </w:r>
      <w:r>
        <w:rPr>
          <w:bCs/>
        </w:rPr>
        <w:t>This exception also addresses the current situation where the CenturyLink companies have different rate levels for stand alone residential service.  While Exception 7 commits that rates will not become more geographically deaveraged, this exception is an affirmative commitment that when these rate levels change, CenturyLink will work in good faith to move toward a common rate, as market and other conditions allow.</w:t>
      </w:r>
    </w:p>
    <w:p w:rsidR="00F45170" w:rsidRDefault="00F45170" w:rsidP="00E47FA3">
      <w:pPr>
        <w:pStyle w:val="BodyText"/>
        <w:spacing w:after="0" w:line="480" w:lineRule="exact"/>
        <w:ind w:left="720" w:hanging="720"/>
        <w:rPr>
          <w:b/>
          <w:bCs/>
        </w:rPr>
      </w:pPr>
    </w:p>
    <w:p w:rsidR="00F45170" w:rsidRDefault="00F45170" w:rsidP="00E47FA3">
      <w:pPr>
        <w:pStyle w:val="BodyText"/>
        <w:spacing w:after="0"/>
        <w:ind w:left="720" w:hanging="720"/>
      </w:pPr>
      <w:r>
        <w:rPr>
          <w:b/>
          <w:bCs/>
        </w:rPr>
        <w:tab/>
      </w:r>
      <w:r w:rsidRPr="00111EA6">
        <w:rPr>
          <w:b/>
          <w:bCs/>
        </w:rPr>
        <w:t>Exception 9</w:t>
      </w:r>
      <w:r>
        <w:rPr>
          <w:b/>
          <w:bCs/>
        </w:rPr>
        <w:t xml:space="preserve">/Incorporation of EAS Charges </w:t>
      </w:r>
      <w:proofErr w:type="gramStart"/>
      <w:r>
        <w:rPr>
          <w:b/>
          <w:bCs/>
        </w:rPr>
        <w:t>Into</w:t>
      </w:r>
      <w:proofErr w:type="gramEnd"/>
      <w:r>
        <w:rPr>
          <w:b/>
          <w:bCs/>
        </w:rPr>
        <w:t xml:space="preserve"> Residential Rates</w:t>
      </w:r>
      <w:r w:rsidRPr="00111EA6">
        <w:rPr>
          <w:b/>
          <w:bCs/>
        </w:rPr>
        <w:t xml:space="preserve">.  </w:t>
      </w:r>
      <w:r w:rsidRPr="004B1FDF">
        <w:t>The five ILEC operating companies have various rates for flat-rated stand alone residential exchange service, varying from $8.90 to $15.90, and some exchanges for some companies include Extended Area Service (EAS) additive charges that result in effective monthly rates of $8.90 to $25.90.  Treating stand alone residential exchange service as competitively classified under the AFOR will grant CenturyLink pricing flexibility.  As a step toward achieving structurally similar rates for flat-rated stand alone residential exchange service, CenturyLink commits that coincident with the first time residential rates are changed under the AFOR (and no later than 12 months after approval) it will restructure the flat-rated stand alone residential rates to combine the access line rate and any flat-rated EAS additives, not to exceed an initial target rate of $16.40.  This rate restructuring will not reduce or eliminate existing EAS routes.</w:t>
      </w:r>
    </w:p>
    <w:p w:rsidR="00F45170" w:rsidRDefault="00F45170" w:rsidP="00E47FA3">
      <w:pPr>
        <w:pStyle w:val="BodyText"/>
        <w:spacing w:after="0"/>
        <w:ind w:left="720" w:hanging="720"/>
      </w:pPr>
    </w:p>
    <w:p w:rsidR="000661D4" w:rsidRPr="000661D4" w:rsidRDefault="00F45170" w:rsidP="000661D4">
      <w:pPr>
        <w:pStyle w:val="BodyText"/>
        <w:spacing w:after="0" w:line="480" w:lineRule="atLeast"/>
        <w:ind w:left="720" w:hanging="720"/>
        <w:rPr>
          <w:bCs/>
        </w:rPr>
      </w:pPr>
      <w:r>
        <w:tab/>
      </w:r>
      <w:r w:rsidRPr="00111EA6">
        <w:rPr>
          <w:b/>
          <w:bCs/>
        </w:rPr>
        <w:t>Discussion of Exception 9:</w:t>
      </w:r>
      <w:r>
        <w:rPr>
          <w:bCs/>
        </w:rPr>
        <w:t xml:space="preserve">  Exception 9 addresses the specific issue of the existing residential rate structure in the CenturyLink companies, and is a commitment regarding the first step toward the rate normalization discussed in Exception 8.  Many exchanges </w:t>
      </w:r>
      <w:r>
        <w:rPr>
          <w:bCs/>
        </w:rPr>
        <w:lastRenderedPageBreak/>
        <w:t>have residential rates consisting of a flat-rated access line and an additional flat or measured charge for Extended Area Service (EAS).  This exception states that CenturyLink will move to restructure those rates within the first 12 months of the AFOR, and will combine the access line and any flat-rated EAS adders to achieve a flat rate for the service, and for those exchanges where the resulting rate would be more than $16.40, the rate will be reduced to the $16.40 level.  At that time, and thereafter, CenturyLink would be free to make other rate changes that are not inconsistent with this and other exceptions</w:t>
      </w:r>
      <w:r w:rsidRPr="000661D4">
        <w:rPr>
          <w:bCs/>
        </w:rPr>
        <w:t>.</w:t>
      </w:r>
      <w:r w:rsidR="00F64AAF" w:rsidRPr="00F64AAF">
        <w:rPr>
          <w:bCs/>
        </w:rPr>
        <w:t xml:space="preserve"> </w:t>
      </w:r>
      <w:r w:rsidR="000661D4">
        <w:rPr>
          <w:bCs/>
        </w:rPr>
        <w:t xml:space="preserve"> </w:t>
      </w:r>
      <w:r w:rsidR="00F64AAF">
        <w:rPr>
          <w:bCs/>
        </w:rPr>
        <w:t>The same concept that is</w:t>
      </w:r>
      <w:r w:rsidR="006E633D">
        <w:rPr>
          <w:bCs/>
        </w:rPr>
        <w:t xml:space="preserve"> used for one-pa</w:t>
      </w:r>
      <w:r w:rsidR="00F64AAF" w:rsidRPr="00F64AAF">
        <w:rPr>
          <w:bCs/>
        </w:rPr>
        <w:t>rty combined residenti</w:t>
      </w:r>
      <w:r w:rsidR="006E633D">
        <w:rPr>
          <w:bCs/>
        </w:rPr>
        <w:t>al rates will be applied to one-</w:t>
      </w:r>
      <w:r w:rsidR="00F64AAF" w:rsidRPr="00F64AAF">
        <w:rPr>
          <w:bCs/>
        </w:rPr>
        <w:t xml:space="preserve">party business rates. To the extent the combined </w:t>
      </w:r>
      <w:r w:rsidR="006E633D">
        <w:rPr>
          <w:bCs/>
        </w:rPr>
        <w:t>one-party</w:t>
      </w:r>
      <w:r w:rsidR="00F64AAF" w:rsidRPr="00F64AAF">
        <w:rPr>
          <w:bCs/>
        </w:rPr>
        <w:t xml:space="preserve"> local exchange business rate plus the EAS rate is higher than the initial business target rate, the combined </w:t>
      </w:r>
      <w:r w:rsidR="006E633D">
        <w:rPr>
          <w:bCs/>
        </w:rPr>
        <w:t>one-party</w:t>
      </w:r>
      <w:r w:rsidR="00F64AAF" w:rsidRPr="00F64AAF">
        <w:rPr>
          <w:bCs/>
        </w:rPr>
        <w:t xml:space="preserve"> business rate will be lowered to the initial business target rate.  </w:t>
      </w:r>
    </w:p>
    <w:p w:rsidR="00F45170" w:rsidRDefault="00F45170" w:rsidP="00E47FA3">
      <w:pPr>
        <w:pStyle w:val="BodyText"/>
        <w:spacing w:after="0" w:line="480" w:lineRule="exact"/>
        <w:ind w:left="720" w:hanging="720"/>
        <w:rPr>
          <w:b/>
          <w:bCs/>
        </w:rPr>
      </w:pPr>
    </w:p>
    <w:p w:rsidR="00F45170" w:rsidRDefault="00F45170" w:rsidP="0046658C">
      <w:pPr>
        <w:pStyle w:val="BodyText"/>
        <w:keepNext/>
        <w:keepLines/>
        <w:spacing w:after="0"/>
        <w:ind w:left="720" w:hanging="720"/>
      </w:pPr>
      <w:r>
        <w:rPr>
          <w:b/>
          <w:bCs/>
        </w:rPr>
        <w:tab/>
      </w:r>
      <w:proofErr w:type="gramStart"/>
      <w:r w:rsidRPr="00111EA6">
        <w:rPr>
          <w:b/>
          <w:bCs/>
        </w:rPr>
        <w:t>Exception 1</w:t>
      </w:r>
      <w:r>
        <w:rPr>
          <w:b/>
          <w:bCs/>
        </w:rPr>
        <w:t>0</w:t>
      </w:r>
      <w:r w:rsidRPr="00111EA6">
        <w:rPr>
          <w:b/>
          <w:bCs/>
        </w:rPr>
        <w:t>/</w:t>
      </w:r>
      <w:r>
        <w:rPr>
          <w:b/>
          <w:bCs/>
        </w:rPr>
        <w:t>Rate Change Notification</w:t>
      </w:r>
      <w:r w:rsidRPr="00111EA6">
        <w:rPr>
          <w:b/>
          <w:bCs/>
        </w:rPr>
        <w:t>.</w:t>
      </w:r>
      <w:proofErr w:type="gramEnd"/>
      <w:r w:rsidRPr="00111EA6">
        <w:rPr>
          <w:b/>
          <w:bCs/>
        </w:rPr>
        <w:t xml:space="preserve">  </w:t>
      </w:r>
      <w:r w:rsidRPr="004B1FDF">
        <w:t>CenturyLink will provide notice to the Commission via an electronic-only filing in this docket, with a copy to Public Counsel, of any changes to its flat-rated stand alone residential rates at the same time the company notifies its customers of the rate change.  The filing will identify the rate to be increased and will include all of the then-current rates of the ILEC operating companies.</w:t>
      </w:r>
    </w:p>
    <w:p w:rsidR="00F45170" w:rsidRDefault="00F45170" w:rsidP="00F22DD7">
      <w:pPr>
        <w:pStyle w:val="BodyText"/>
        <w:spacing w:after="0"/>
        <w:ind w:left="720" w:hanging="720"/>
      </w:pPr>
    </w:p>
    <w:p w:rsidR="00F45170" w:rsidRDefault="00F45170" w:rsidP="00F22DD7">
      <w:pPr>
        <w:pStyle w:val="BodyText"/>
        <w:spacing w:after="0" w:line="480" w:lineRule="exact"/>
        <w:ind w:left="720" w:hanging="720"/>
        <w:rPr>
          <w:bCs/>
        </w:rPr>
      </w:pPr>
      <w:r>
        <w:tab/>
      </w:r>
      <w:r w:rsidRPr="00111EA6">
        <w:rPr>
          <w:b/>
          <w:bCs/>
        </w:rPr>
        <w:t>Discussion of Exception 1</w:t>
      </w:r>
      <w:r>
        <w:rPr>
          <w:b/>
          <w:bCs/>
        </w:rPr>
        <w:t>0</w:t>
      </w:r>
      <w:r w:rsidRPr="00111EA6">
        <w:rPr>
          <w:b/>
          <w:bCs/>
        </w:rPr>
        <w:t xml:space="preserve">:  </w:t>
      </w:r>
      <w:r w:rsidRPr="00111EA6">
        <w:rPr>
          <w:bCs/>
        </w:rPr>
        <w:t>A competitively classified company is not required to provide notice to the Commission of any rate changes.  This exception to that general requirement clarifies that for stand alone flat-rated residential services, CenturyLink will provide a</w:t>
      </w:r>
      <w:r>
        <w:rPr>
          <w:bCs/>
        </w:rPr>
        <w:t xml:space="preserve">n electronic </w:t>
      </w:r>
      <w:r w:rsidRPr="00111EA6">
        <w:rPr>
          <w:bCs/>
        </w:rPr>
        <w:t xml:space="preserve">notice to the Commission and a copy to Public Counsel of rate changes, as a way to facilitate monitoring of the AFOR requirements.  </w:t>
      </w:r>
    </w:p>
    <w:p w:rsidR="00F45170" w:rsidRDefault="00F45170" w:rsidP="00F22DD7">
      <w:pPr>
        <w:pStyle w:val="BodyText"/>
        <w:spacing w:after="0" w:line="480" w:lineRule="exact"/>
        <w:ind w:left="720" w:hanging="720"/>
        <w:rPr>
          <w:bCs/>
        </w:rPr>
      </w:pPr>
    </w:p>
    <w:p w:rsidR="00F45170" w:rsidRDefault="00F45170" w:rsidP="00F22DD7">
      <w:pPr>
        <w:pStyle w:val="BodyText"/>
        <w:spacing w:after="0"/>
        <w:ind w:left="720" w:hanging="720"/>
      </w:pPr>
      <w:r>
        <w:rPr>
          <w:bCs/>
        </w:rPr>
        <w:tab/>
      </w:r>
      <w:proofErr w:type="gramStart"/>
      <w:r w:rsidRPr="00111EA6">
        <w:rPr>
          <w:b/>
          <w:bCs/>
        </w:rPr>
        <w:t>Exception 1</w:t>
      </w:r>
      <w:r>
        <w:rPr>
          <w:b/>
          <w:bCs/>
        </w:rPr>
        <w:t>1</w:t>
      </w:r>
      <w:r w:rsidRPr="00111EA6">
        <w:rPr>
          <w:b/>
          <w:bCs/>
        </w:rPr>
        <w:t>/</w:t>
      </w:r>
      <w:r>
        <w:rPr>
          <w:b/>
          <w:bCs/>
        </w:rPr>
        <w:t>Discontinuance of Local Exchange Service.</w:t>
      </w:r>
      <w:proofErr w:type="gramEnd"/>
      <w:r w:rsidRPr="00111EA6">
        <w:rPr>
          <w:b/>
          <w:bCs/>
        </w:rPr>
        <w:t xml:space="preserve">  </w:t>
      </w:r>
      <w:r w:rsidRPr="004B1FDF">
        <w:t>The parties further agree that the requirements for discontinuance of service under WAC 480-120-083 will apply to all services that are treated as competitively classified, except that CenturyLink will file a petition for approval of such discontinuance if flat-rated stand alone residential or business exchange services are to be discontinued.</w:t>
      </w:r>
    </w:p>
    <w:p w:rsidR="00F45170" w:rsidRDefault="00F45170" w:rsidP="00F22DD7">
      <w:pPr>
        <w:pStyle w:val="BodyText"/>
        <w:spacing w:after="0"/>
        <w:ind w:left="720" w:hanging="720"/>
      </w:pPr>
    </w:p>
    <w:p w:rsidR="00F45170" w:rsidRDefault="00F45170" w:rsidP="00F22DD7">
      <w:pPr>
        <w:pStyle w:val="BodyText"/>
        <w:spacing w:after="0" w:line="480" w:lineRule="atLeast"/>
        <w:ind w:left="720" w:hanging="720"/>
        <w:rPr>
          <w:b/>
        </w:rPr>
      </w:pPr>
      <w:r>
        <w:tab/>
      </w:r>
      <w:r>
        <w:rPr>
          <w:b/>
        </w:rPr>
        <w:t xml:space="preserve">Discussion of Exception 11:  </w:t>
      </w:r>
      <w:r>
        <w:t xml:space="preserve">This provision clarifies that CenturyLink will continue to offer flat-rated stand alone service in all of its exchanges unless and until it petitions the Commission for relief from that </w:t>
      </w:r>
      <w:proofErr w:type="gramStart"/>
      <w:r>
        <w:t>requirement,</w:t>
      </w:r>
      <w:proofErr w:type="gramEnd"/>
      <w:r>
        <w:t xml:space="preserve"> and the Commission grants that relief.  CenturyLink does not foresee making this request at this time, but the </w:t>
      </w:r>
      <w:r w:rsidR="0037794E">
        <w:t>Parties</w:t>
      </w:r>
      <w:r>
        <w:t xml:space="preserve"> believed that it was important for the Commission to have an opportunity to review this issue if it arises, rather than simply having the company follow the notice procedures outlined in the cessation of service rule cited in the Exception.  </w:t>
      </w:r>
    </w:p>
    <w:p w:rsidR="00F45170" w:rsidRDefault="00F45170" w:rsidP="00F22DD7">
      <w:pPr>
        <w:pStyle w:val="BodyText"/>
        <w:spacing w:after="0" w:line="480" w:lineRule="atLeast"/>
        <w:ind w:left="720" w:hanging="720"/>
        <w:rPr>
          <w:b/>
        </w:rPr>
      </w:pPr>
    </w:p>
    <w:p w:rsidR="0046658C" w:rsidRDefault="0046658C" w:rsidP="00E42DE4">
      <w:pPr>
        <w:pStyle w:val="BodyText"/>
        <w:spacing w:after="0" w:line="480" w:lineRule="atLeast"/>
        <w:ind w:left="720" w:hanging="720"/>
        <w:jc w:val="center"/>
        <w:rPr>
          <w:b/>
          <w:caps/>
        </w:rPr>
      </w:pPr>
      <w:r>
        <w:rPr>
          <w:b/>
          <w:szCs w:val="24"/>
        </w:rPr>
        <w:t>IV.</w:t>
      </w:r>
      <w:r>
        <w:rPr>
          <w:b/>
          <w:szCs w:val="24"/>
        </w:rPr>
        <w:tab/>
      </w:r>
      <w:r>
        <w:rPr>
          <w:b/>
          <w:caps/>
        </w:rPr>
        <w:t>CenturyLink testimony</w:t>
      </w:r>
    </w:p>
    <w:p w:rsidR="0046658C" w:rsidRDefault="0046658C" w:rsidP="00E42DE4">
      <w:pPr>
        <w:pStyle w:val="BodyText"/>
        <w:spacing w:after="0" w:line="480" w:lineRule="atLeast"/>
        <w:ind w:left="720" w:hanging="720"/>
        <w:jc w:val="center"/>
        <w:rPr>
          <w:b/>
          <w:caps/>
        </w:rPr>
      </w:pPr>
    </w:p>
    <w:p w:rsidR="0046658C" w:rsidRDefault="0046658C" w:rsidP="00E42DE4">
      <w:pPr>
        <w:pStyle w:val="BodyText"/>
        <w:spacing w:after="0"/>
        <w:ind w:left="720" w:hanging="720"/>
        <w:rPr>
          <w:b/>
          <w:szCs w:val="24"/>
        </w:rPr>
      </w:pPr>
      <w:r>
        <w:rPr>
          <w:b/>
          <w:szCs w:val="24"/>
        </w:rPr>
        <w:t>Q.</w:t>
      </w:r>
      <w:r>
        <w:rPr>
          <w:b/>
          <w:szCs w:val="24"/>
        </w:rPr>
        <w:tab/>
        <w:t>Mr. Reynolds, please provide information pertaining to your educational background and professional experience.</w:t>
      </w:r>
    </w:p>
    <w:p w:rsidR="0046658C" w:rsidRDefault="0046658C" w:rsidP="00E42DE4">
      <w:pPr>
        <w:pStyle w:val="BodyText"/>
        <w:spacing w:after="0" w:line="480" w:lineRule="atLeast"/>
        <w:ind w:left="720" w:hanging="720"/>
        <w:rPr>
          <w:szCs w:val="24"/>
        </w:rPr>
      </w:pPr>
      <w:r w:rsidRPr="00F22DD7">
        <w:rPr>
          <w:b/>
          <w:bCs/>
          <w:szCs w:val="24"/>
        </w:rPr>
        <w:t>A.</w:t>
      </w:r>
      <w:r>
        <w:rPr>
          <w:bCs/>
          <w:szCs w:val="24"/>
        </w:rPr>
        <w:tab/>
      </w:r>
      <w:r>
        <w:rPr>
          <w:szCs w:val="24"/>
        </w:rPr>
        <w:t xml:space="preserve">My name is Mark S. Reynolds.  The requested information is found in my direct testimony filed on April 1, 2013 in this docket.  </w:t>
      </w:r>
    </w:p>
    <w:p w:rsidR="0046658C" w:rsidRDefault="0046658C" w:rsidP="0046658C">
      <w:pPr>
        <w:pStyle w:val="BodyText"/>
        <w:spacing w:after="0" w:line="480" w:lineRule="atLeast"/>
        <w:ind w:left="720" w:hanging="720"/>
        <w:rPr>
          <w:b/>
          <w:szCs w:val="24"/>
        </w:rPr>
      </w:pPr>
    </w:p>
    <w:p w:rsidR="0046658C" w:rsidRDefault="0046658C" w:rsidP="0046658C">
      <w:pPr>
        <w:pStyle w:val="BodyText"/>
        <w:spacing w:after="0" w:line="480" w:lineRule="atLeast"/>
        <w:ind w:left="720" w:hanging="720"/>
        <w:rPr>
          <w:b/>
          <w:szCs w:val="24"/>
        </w:rPr>
      </w:pPr>
      <w:r>
        <w:rPr>
          <w:b/>
          <w:szCs w:val="24"/>
        </w:rPr>
        <w:t>Q.</w:t>
      </w:r>
      <w:r>
        <w:rPr>
          <w:b/>
          <w:szCs w:val="24"/>
        </w:rPr>
        <w:tab/>
        <w:t>Why does CenturyLink support the Settlement Agreement?</w:t>
      </w:r>
    </w:p>
    <w:p w:rsidR="0046658C" w:rsidRDefault="0046658C" w:rsidP="0046658C">
      <w:pPr>
        <w:pStyle w:val="Default"/>
        <w:spacing w:line="480" w:lineRule="exact"/>
        <w:ind w:left="720" w:hanging="720"/>
      </w:pPr>
      <w:r w:rsidRPr="0084763B">
        <w:rPr>
          <w:b/>
        </w:rPr>
        <w:t>A.</w:t>
      </w:r>
      <w:r w:rsidRPr="0084763B">
        <w:rPr>
          <w:b/>
        </w:rPr>
        <w:tab/>
      </w:r>
      <w:r w:rsidRPr="00564972">
        <w:t>The</w:t>
      </w:r>
      <w:r>
        <w:t xml:space="preserve"> Settlement Agreement results in a form of regulation for CenturyLink that approaches the </w:t>
      </w:r>
      <w:r w:rsidRPr="00564972">
        <w:t>flexibility granted to CLECs</w:t>
      </w:r>
      <w:r>
        <w:t xml:space="preserve">.  This flexibility is also </w:t>
      </w:r>
      <w:r w:rsidRPr="00564972">
        <w:t xml:space="preserve">appropriate for the CenturyLink companies, given the pervasive competition they face statewide.  The </w:t>
      </w:r>
      <w:r>
        <w:t xml:space="preserve">evidence of this pervasive </w:t>
      </w:r>
      <w:r w:rsidRPr="00564972">
        <w:t>competiti</w:t>
      </w:r>
      <w:r>
        <w:t xml:space="preserve">on is provided </w:t>
      </w:r>
      <w:r w:rsidRPr="00564972">
        <w:t xml:space="preserve">in detail in Mr. </w:t>
      </w:r>
      <w:proofErr w:type="spellStart"/>
      <w:r w:rsidRPr="00564972">
        <w:t>Felz’s</w:t>
      </w:r>
      <w:proofErr w:type="spellEnd"/>
      <w:r w:rsidRPr="00564972">
        <w:t xml:space="preserve"> testimony, and will not be repeated here.  However, the line loss suffered by the CenturyLink </w:t>
      </w:r>
      <w:proofErr w:type="gramStart"/>
      <w:r w:rsidRPr="00564972">
        <w:t>companies,</w:t>
      </w:r>
      <w:proofErr w:type="gramEnd"/>
      <w:r w:rsidRPr="00564972">
        <w:t xml:space="preserve"> and the presence of cable, wireless, and VoIP providers is uncontested in this docket.  </w:t>
      </w:r>
      <w:r>
        <w:t xml:space="preserve">CenturyLink </w:t>
      </w:r>
      <w:r w:rsidRPr="00564972">
        <w:t>believe</w:t>
      </w:r>
      <w:r>
        <w:t>s</w:t>
      </w:r>
      <w:r w:rsidRPr="00564972">
        <w:t xml:space="preserve"> that </w:t>
      </w:r>
      <w:r>
        <w:t>the</w:t>
      </w:r>
      <w:r w:rsidRPr="00564972">
        <w:t xml:space="preserve"> competitive constraints</w:t>
      </w:r>
      <w:r>
        <w:t xml:space="preserve"> imposed by these other service providers </w:t>
      </w:r>
      <w:r w:rsidRPr="00564972">
        <w:t>mean</w:t>
      </w:r>
      <w:r>
        <w:t>s</w:t>
      </w:r>
      <w:r w:rsidRPr="00564972">
        <w:t xml:space="preserve"> that the CenturyLink companies do not have significant market power</w:t>
      </w:r>
      <w:r>
        <w:t xml:space="preserve">.  </w:t>
      </w:r>
      <w:r>
        <w:lastRenderedPageBreak/>
        <w:t>Consequently, CenturyLink expects</w:t>
      </w:r>
      <w:r w:rsidRPr="00564972">
        <w:t xml:space="preserve"> that market forces will </w:t>
      </w:r>
      <w:r>
        <w:t>exert sufficient pressure</w:t>
      </w:r>
      <w:r w:rsidRPr="00564972">
        <w:t xml:space="preserve"> constrain </w:t>
      </w:r>
      <w:r>
        <w:t xml:space="preserve">on CenturyLink’s </w:t>
      </w:r>
      <w:r w:rsidRPr="00564972">
        <w:t xml:space="preserve">pricing and performance so that traditional </w:t>
      </w:r>
      <w:r>
        <w:t>form of</w:t>
      </w:r>
      <w:r w:rsidRPr="00564972">
        <w:t xml:space="preserve"> </w:t>
      </w:r>
      <w:r>
        <w:t>regulation is no longer necessary</w:t>
      </w:r>
      <w:r w:rsidRPr="00564972">
        <w:t xml:space="preserve">.  </w:t>
      </w:r>
    </w:p>
    <w:p w:rsidR="0046658C" w:rsidRDefault="0046658C" w:rsidP="0046658C">
      <w:pPr>
        <w:pStyle w:val="Default"/>
        <w:spacing w:line="480" w:lineRule="exact"/>
        <w:ind w:left="720"/>
      </w:pPr>
      <w:r>
        <w:t xml:space="preserve">CenturyLink also believes that the Settlement Agreement is consistent with </w:t>
      </w:r>
      <w:r w:rsidRPr="00564972">
        <w:t>the Commission’s recent order in the Frontier case</w:t>
      </w:r>
      <w:r>
        <w:t>,</w:t>
      </w:r>
      <w:r>
        <w:rPr>
          <w:rStyle w:val="FootnoteReference"/>
        </w:rPr>
        <w:footnoteReference w:id="4"/>
      </w:r>
      <w:r w:rsidRPr="00564972">
        <w:t xml:space="preserve"> </w:t>
      </w:r>
      <w:r>
        <w:t>which has provided g</w:t>
      </w:r>
      <w:r w:rsidRPr="00564972">
        <w:t>uidance regarding the Commission’s view of the</w:t>
      </w:r>
      <w:r>
        <w:t xml:space="preserve"> telecommunications</w:t>
      </w:r>
      <w:r w:rsidRPr="00564972">
        <w:t xml:space="preserve"> market</w:t>
      </w:r>
      <w:r>
        <w:t xml:space="preserve"> in the state</w:t>
      </w:r>
      <w:r w:rsidRPr="00564972">
        <w:t xml:space="preserve">, and the need to allow incumbent companies who face market pressure to benefit from reduced regulation, to more effectively compete with their regulated and unregulated competitors.  </w:t>
      </w:r>
    </w:p>
    <w:p w:rsidR="0046658C" w:rsidRDefault="0046658C" w:rsidP="0046658C">
      <w:pPr>
        <w:pStyle w:val="BodyText"/>
        <w:spacing w:after="0" w:line="480" w:lineRule="atLeast"/>
        <w:ind w:left="720" w:hanging="720"/>
        <w:rPr>
          <w:b/>
          <w:szCs w:val="24"/>
        </w:rPr>
      </w:pPr>
    </w:p>
    <w:p w:rsidR="0046658C" w:rsidRDefault="0046658C" w:rsidP="0046658C">
      <w:pPr>
        <w:pStyle w:val="BodyText"/>
        <w:spacing w:after="0" w:line="480" w:lineRule="atLeast"/>
        <w:ind w:left="720" w:hanging="720"/>
        <w:rPr>
          <w:b/>
          <w:szCs w:val="24"/>
        </w:rPr>
      </w:pPr>
      <w:r>
        <w:rPr>
          <w:b/>
          <w:szCs w:val="24"/>
        </w:rPr>
        <w:t xml:space="preserve">Q. </w:t>
      </w:r>
      <w:r>
        <w:rPr>
          <w:b/>
          <w:szCs w:val="24"/>
        </w:rPr>
        <w:tab/>
        <w:t>Is the Settlement Agreement in the Public Interest?</w:t>
      </w:r>
    </w:p>
    <w:p w:rsidR="0046658C" w:rsidRPr="0084763B" w:rsidRDefault="0046658C" w:rsidP="0046658C">
      <w:pPr>
        <w:pStyle w:val="BodyText"/>
        <w:spacing w:after="0" w:line="480" w:lineRule="atLeast"/>
        <w:ind w:left="720" w:hanging="720"/>
        <w:rPr>
          <w:szCs w:val="24"/>
        </w:rPr>
      </w:pPr>
      <w:r w:rsidRPr="0084763B">
        <w:rPr>
          <w:b/>
          <w:szCs w:val="24"/>
        </w:rPr>
        <w:t>A.</w:t>
      </w:r>
      <w:r>
        <w:rPr>
          <w:szCs w:val="24"/>
        </w:rPr>
        <w:tab/>
        <w:t>Yes.  CenturyLink believes that the Settlement Agreement is in the public interest, for the reasons stated in this testimony.</w:t>
      </w:r>
    </w:p>
    <w:p w:rsidR="0046658C" w:rsidRDefault="0046658C" w:rsidP="0046658C">
      <w:pPr>
        <w:pStyle w:val="BodyText"/>
        <w:spacing w:after="0" w:line="480" w:lineRule="atLeast"/>
        <w:ind w:left="720" w:hanging="720"/>
        <w:rPr>
          <w:b/>
          <w:szCs w:val="24"/>
        </w:rPr>
      </w:pPr>
    </w:p>
    <w:p w:rsidR="0046658C" w:rsidRDefault="0046658C" w:rsidP="0046658C">
      <w:pPr>
        <w:pStyle w:val="BodyText"/>
        <w:spacing w:after="0" w:line="480" w:lineRule="atLeast"/>
        <w:ind w:left="720" w:hanging="720"/>
        <w:rPr>
          <w:b/>
          <w:szCs w:val="24"/>
        </w:rPr>
      </w:pPr>
      <w:r>
        <w:rPr>
          <w:b/>
          <w:szCs w:val="24"/>
        </w:rPr>
        <w:t xml:space="preserve">Q. </w:t>
      </w:r>
      <w:r>
        <w:rPr>
          <w:b/>
          <w:szCs w:val="24"/>
        </w:rPr>
        <w:tab/>
        <w:t xml:space="preserve">Does this conclude your separate testimony on behalf of CenturyLink? </w:t>
      </w:r>
    </w:p>
    <w:p w:rsidR="0046658C" w:rsidRDefault="0046658C" w:rsidP="0046658C">
      <w:pPr>
        <w:pStyle w:val="BodyText"/>
        <w:spacing w:after="0" w:line="480" w:lineRule="atLeast"/>
        <w:ind w:left="720" w:hanging="720"/>
        <w:rPr>
          <w:szCs w:val="24"/>
        </w:rPr>
      </w:pPr>
      <w:r w:rsidRPr="00F22DD7">
        <w:rPr>
          <w:b/>
          <w:szCs w:val="24"/>
        </w:rPr>
        <w:t>A</w:t>
      </w:r>
      <w:r>
        <w:rPr>
          <w:b/>
          <w:szCs w:val="24"/>
        </w:rPr>
        <w:t>.</w:t>
      </w:r>
      <w:r>
        <w:rPr>
          <w:szCs w:val="24"/>
        </w:rPr>
        <w:t xml:space="preserve">  </w:t>
      </w:r>
      <w:r>
        <w:rPr>
          <w:szCs w:val="24"/>
        </w:rPr>
        <w:tab/>
        <w:t>Yes.</w:t>
      </w:r>
      <w:r>
        <w:rPr>
          <w:szCs w:val="24"/>
        </w:rPr>
        <w:tab/>
      </w:r>
    </w:p>
    <w:p w:rsidR="0046658C" w:rsidRDefault="0046658C" w:rsidP="00F22DD7">
      <w:pPr>
        <w:pStyle w:val="BodyText"/>
        <w:spacing w:after="0" w:line="480" w:lineRule="atLeast"/>
        <w:ind w:left="720" w:hanging="720"/>
        <w:rPr>
          <w:b/>
        </w:rPr>
      </w:pPr>
    </w:p>
    <w:p w:rsidR="002639DA" w:rsidRDefault="002639DA" w:rsidP="002639DA">
      <w:pPr>
        <w:pStyle w:val="BodyText"/>
        <w:spacing w:after="0" w:line="480" w:lineRule="atLeast"/>
        <w:ind w:left="720" w:hanging="720"/>
        <w:jc w:val="center"/>
        <w:rPr>
          <w:b/>
          <w:caps/>
        </w:rPr>
      </w:pPr>
      <w:bookmarkStart w:id="1" w:name="_Toc237407723"/>
      <w:bookmarkStart w:id="2" w:name="_Toc358531230"/>
      <w:bookmarkStart w:id="3" w:name="_Toc358531365"/>
      <w:bookmarkStart w:id="4" w:name="_Toc358532043"/>
      <w:bookmarkStart w:id="5" w:name="_Toc358532098"/>
      <w:bookmarkStart w:id="6" w:name="_Toc358696109"/>
      <w:bookmarkStart w:id="7" w:name="_Ref358787161"/>
      <w:bookmarkStart w:id="8" w:name="_Toc359230936"/>
      <w:bookmarkStart w:id="9" w:name="_Toc359375944"/>
      <w:bookmarkStart w:id="10" w:name="_Toc359392231"/>
      <w:bookmarkStart w:id="11" w:name="_Toc360244178"/>
      <w:bookmarkStart w:id="12" w:name="_Ref362159924"/>
      <w:bookmarkStart w:id="13" w:name="_Ref362253169"/>
      <w:bookmarkStart w:id="14" w:name="_Ref362340987"/>
      <w:bookmarkStart w:id="15" w:name="_Ref362497857"/>
      <w:bookmarkStart w:id="16" w:name="_Ref363449501"/>
      <w:r>
        <w:rPr>
          <w:b/>
          <w:caps/>
        </w:rPr>
        <w:t>V.  staff testimony</w:t>
      </w:r>
    </w:p>
    <w:p w:rsidR="002639DA" w:rsidRDefault="002639DA" w:rsidP="002639DA">
      <w:pPr>
        <w:pStyle w:val="BodyText"/>
        <w:spacing w:after="0" w:line="480" w:lineRule="atLeast"/>
        <w:ind w:left="720" w:hanging="720"/>
        <w:rPr>
          <w:b/>
          <w:caps/>
        </w:rPr>
      </w:pPr>
    </w:p>
    <w:p w:rsidR="002639DA" w:rsidRPr="002502FE" w:rsidRDefault="002639DA" w:rsidP="002639DA">
      <w:pPr>
        <w:spacing w:line="480" w:lineRule="auto"/>
        <w:rPr>
          <w:rFonts w:ascii="Times New Roman" w:hAnsi="Times New Roman"/>
          <w:sz w:val="24"/>
          <w:szCs w:val="24"/>
        </w:rPr>
      </w:pPr>
      <w:r w:rsidRPr="002502FE">
        <w:rPr>
          <w:rFonts w:ascii="Times New Roman" w:hAnsi="Times New Roman"/>
          <w:b/>
          <w:sz w:val="24"/>
          <w:szCs w:val="24"/>
        </w:rPr>
        <w:t>Q.</w:t>
      </w:r>
      <w:r w:rsidRPr="002502FE">
        <w:rPr>
          <w:rFonts w:ascii="Times New Roman" w:hAnsi="Times New Roman"/>
          <w:b/>
          <w:sz w:val="24"/>
          <w:szCs w:val="24"/>
        </w:rPr>
        <w:tab/>
        <w:t xml:space="preserve">Please state your name and business address.  </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sz w:val="24"/>
          <w:szCs w:val="24"/>
        </w:rPr>
        <w:t>A.</w:t>
      </w:r>
      <w:r w:rsidRPr="002502FE">
        <w:rPr>
          <w:rFonts w:ascii="Times New Roman" w:hAnsi="Times New Roman"/>
          <w:sz w:val="24"/>
          <w:szCs w:val="24"/>
        </w:rPr>
        <w:tab/>
        <w:t xml:space="preserve">My name is William H. Weinman.  My business address is 1300 S. Evergreen Park Drive S.W., P.O. Box 47250, Olympia, WA  98504.  </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b/>
          <w:sz w:val="24"/>
          <w:szCs w:val="24"/>
        </w:rPr>
        <w:lastRenderedPageBreak/>
        <w:t>Q.</w:t>
      </w:r>
      <w:r w:rsidRPr="002502FE">
        <w:rPr>
          <w:rFonts w:ascii="Times New Roman" w:hAnsi="Times New Roman"/>
          <w:b/>
          <w:sz w:val="24"/>
          <w:szCs w:val="24"/>
        </w:rPr>
        <w:tab/>
        <w:t xml:space="preserve">By whom are you employed and in what capacity?  </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sz w:val="24"/>
          <w:szCs w:val="24"/>
        </w:rPr>
        <w:t>A.</w:t>
      </w:r>
      <w:r w:rsidRPr="002502FE">
        <w:rPr>
          <w:rFonts w:ascii="Times New Roman" w:hAnsi="Times New Roman"/>
          <w:sz w:val="24"/>
          <w:szCs w:val="24"/>
        </w:rPr>
        <w:tab/>
        <w:t xml:space="preserve">I am employed by the Washington Utilities and Transportation Commission (UTC or Commission) as the Assistant Director - Telecommunications.  </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b/>
          <w:sz w:val="24"/>
          <w:szCs w:val="24"/>
        </w:rPr>
        <w:t>Q.</w:t>
      </w:r>
      <w:r w:rsidRPr="002502FE">
        <w:rPr>
          <w:rFonts w:ascii="Times New Roman" w:hAnsi="Times New Roman"/>
          <w:b/>
          <w:sz w:val="24"/>
          <w:szCs w:val="24"/>
        </w:rPr>
        <w:tab/>
        <w:t>How long have you been employed by the Commission?</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sz w:val="24"/>
          <w:szCs w:val="24"/>
        </w:rPr>
        <w:t>A.</w:t>
      </w:r>
      <w:r w:rsidRPr="002502FE">
        <w:rPr>
          <w:rFonts w:ascii="Times New Roman" w:hAnsi="Times New Roman"/>
          <w:sz w:val="24"/>
          <w:szCs w:val="24"/>
        </w:rPr>
        <w:tab/>
        <w:t>I have been employed with the UTC since June 2007.  I was also employed by the Commission in a regulatory analyst position from 1974 to 1978.  I have been in the acting assistant director or assistant director positions of the Telecommunications Section since October 1, 2008.  Between my prior and current employments with the Commission, I was employed in the telecommunications industry with assignments in both accounting and operations.</w:t>
      </w:r>
    </w:p>
    <w:p w:rsidR="002639DA" w:rsidRPr="002502FE" w:rsidRDefault="002639DA" w:rsidP="002639DA">
      <w:pPr>
        <w:spacing w:line="480" w:lineRule="auto"/>
        <w:ind w:left="720" w:hanging="720"/>
        <w:rPr>
          <w:rFonts w:ascii="Times New Roman" w:hAnsi="Times New Roman"/>
          <w:sz w:val="24"/>
          <w:szCs w:val="24"/>
        </w:rPr>
      </w:pPr>
      <w:proofErr w:type="gramStart"/>
      <w:r w:rsidRPr="002502FE">
        <w:rPr>
          <w:rFonts w:ascii="Times New Roman" w:hAnsi="Times New Roman"/>
          <w:b/>
          <w:sz w:val="24"/>
          <w:szCs w:val="24"/>
        </w:rPr>
        <w:t xml:space="preserve">Q </w:t>
      </w:r>
      <w:r w:rsidRPr="002502FE">
        <w:rPr>
          <w:rFonts w:ascii="Times New Roman" w:hAnsi="Times New Roman"/>
          <w:b/>
          <w:sz w:val="24"/>
          <w:szCs w:val="24"/>
        </w:rPr>
        <w:tab/>
        <w:t>Would you please state your educational and professional background?</w:t>
      </w:r>
      <w:proofErr w:type="gramEnd"/>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sz w:val="24"/>
          <w:szCs w:val="24"/>
        </w:rPr>
        <w:t>A.</w:t>
      </w:r>
      <w:r w:rsidRPr="002502FE">
        <w:rPr>
          <w:rFonts w:ascii="Times New Roman" w:hAnsi="Times New Roman"/>
          <w:sz w:val="24"/>
          <w:szCs w:val="24"/>
        </w:rPr>
        <w:tab/>
        <w:t>I graduated from Washington State University in 1971 receiving a Bachelor of Arts in business administration with a major in accounting.  I am a member of the American Institute of Certified Public Accountants.</w:t>
      </w:r>
    </w:p>
    <w:p w:rsidR="002639DA" w:rsidRPr="002502FE" w:rsidRDefault="002639DA" w:rsidP="002639DA">
      <w:pPr>
        <w:spacing w:line="480" w:lineRule="auto"/>
        <w:ind w:left="720" w:hanging="720"/>
        <w:rPr>
          <w:rFonts w:ascii="Times New Roman" w:hAnsi="Times New Roman"/>
          <w:sz w:val="24"/>
          <w:szCs w:val="24"/>
        </w:rPr>
      </w:pPr>
      <w:r w:rsidRPr="002502FE">
        <w:rPr>
          <w:rFonts w:ascii="Times New Roman" w:hAnsi="Times New Roman"/>
          <w:sz w:val="24"/>
          <w:szCs w:val="24"/>
        </w:rPr>
        <w:tab/>
        <w:t xml:space="preserve">My current responsibilities at the UTC generally consist of working on all issues in the Telecommunications Section as well as directing the work of the section; including, for example, assigning dockets to staff, analyzing financial and accounting issues, reviewing interconnection contracts between carriers, ensuring compliance with Commission orders, reviewing intrastate access matters, and providing analysis in general rate </w:t>
      </w:r>
      <w:r w:rsidRPr="002502FE">
        <w:rPr>
          <w:rFonts w:ascii="Times New Roman" w:hAnsi="Times New Roman"/>
          <w:sz w:val="24"/>
          <w:szCs w:val="24"/>
        </w:rPr>
        <w:lastRenderedPageBreak/>
        <w:t>proceedings.  I provided testimony in the Embarq Corporation and CenturyTel, Inc. petition to approve a transfer of control, Docket UT-082119.  I also provided testimony in the Verizon Communications Inc. and Frontier Communications Corporation petition to approve an indirect transfer of control, Docket UT-090842</w:t>
      </w:r>
      <w:r>
        <w:rPr>
          <w:rFonts w:ascii="Times New Roman" w:hAnsi="Times New Roman"/>
          <w:sz w:val="24"/>
          <w:szCs w:val="24"/>
        </w:rPr>
        <w:t>, and in the Frontier petition for competitive classification, Docket UT-121994</w:t>
      </w:r>
      <w:r w:rsidRPr="002502FE">
        <w:rPr>
          <w:rFonts w:ascii="Times New Roman" w:hAnsi="Times New Roman"/>
          <w:sz w:val="24"/>
          <w:szCs w:val="24"/>
        </w:rPr>
        <w:t xml:space="preserve">.  </w:t>
      </w:r>
    </w:p>
    <w:p w:rsidR="002639DA" w:rsidRDefault="002639DA" w:rsidP="002639DA">
      <w:pPr>
        <w:pStyle w:val="BodyText"/>
        <w:spacing w:after="0"/>
        <w:ind w:left="720" w:hanging="720"/>
        <w:rPr>
          <w:b/>
          <w:szCs w:val="24"/>
        </w:rPr>
      </w:pPr>
    </w:p>
    <w:p w:rsidR="002639DA" w:rsidRDefault="002639DA" w:rsidP="002639DA">
      <w:pPr>
        <w:pStyle w:val="BodyText"/>
        <w:spacing w:after="0"/>
        <w:ind w:left="720" w:hanging="720"/>
        <w:rPr>
          <w:b/>
          <w:szCs w:val="24"/>
        </w:rPr>
      </w:pPr>
      <w:r>
        <w:rPr>
          <w:b/>
          <w:szCs w:val="24"/>
        </w:rPr>
        <w:t>Q.</w:t>
      </w:r>
      <w:r>
        <w:rPr>
          <w:b/>
          <w:szCs w:val="24"/>
        </w:rPr>
        <w:tab/>
        <w:t>Does Staff support the AFOR Settlement Agreement entered into by the Parties and filed with the Commission on August 23, 2013?</w:t>
      </w:r>
    </w:p>
    <w:p w:rsidR="002639DA" w:rsidRPr="00406FD9" w:rsidRDefault="002639DA" w:rsidP="002639DA">
      <w:pPr>
        <w:pStyle w:val="BodyText"/>
        <w:spacing w:after="0" w:line="480" w:lineRule="atLeast"/>
        <w:ind w:left="720" w:hanging="720"/>
        <w:rPr>
          <w:szCs w:val="24"/>
        </w:rPr>
      </w:pPr>
      <w:r w:rsidRPr="00406FD9">
        <w:rPr>
          <w:szCs w:val="24"/>
        </w:rPr>
        <w:t>A.</w:t>
      </w:r>
      <w:r w:rsidRPr="00406FD9">
        <w:rPr>
          <w:szCs w:val="24"/>
        </w:rPr>
        <w:tab/>
      </w:r>
      <w:r w:rsidRPr="002A3F71">
        <w:rPr>
          <w:szCs w:val="24"/>
        </w:rPr>
        <w:t>Yes, Staff agrees the settlement resolves all issues that concerned Staff and that the filing is in the public interest and should be approved by the Commission.</w:t>
      </w:r>
    </w:p>
    <w:p w:rsidR="002639DA" w:rsidRPr="00406FD9" w:rsidRDefault="002639DA" w:rsidP="002639DA">
      <w:pPr>
        <w:spacing w:line="480" w:lineRule="auto"/>
        <w:rPr>
          <w:rFonts w:ascii="Times New Roman" w:hAnsi="Times New Roman"/>
          <w:sz w:val="24"/>
          <w:szCs w:val="24"/>
        </w:rPr>
      </w:pPr>
    </w:p>
    <w:p w:rsidR="002639DA" w:rsidRDefault="002639DA" w:rsidP="002639DA">
      <w:pPr>
        <w:pStyle w:val="BodyText"/>
        <w:spacing w:after="0" w:line="480" w:lineRule="atLeast"/>
        <w:ind w:left="720" w:hanging="720"/>
        <w:rPr>
          <w:b/>
          <w:szCs w:val="24"/>
        </w:rPr>
      </w:pPr>
      <w:r>
        <w:rPr>
          <w:b/>
          <w:szCs w:val="24"/>
        </w:rPr>
        <w:t xml:space="preserve">Q. </w:t>
      </w:r>
      <w:r>
        <w:rPr>
          <w:b/>
          <w:szCs w:val="24"/>
        </w:rPr>
        <w:tab/>
        <w:t xml:space="preserve">What were Staff’s key concerns in the review of the proposed AFOR? </w:t>
      </w:r>
    </w:p>
    <w:p w:rsidR="002639DA" w:rsidRPr="00406FD9" w:rsidRDefault="002639DA" w:rsidP="002639DA">
      <w:pPr>
        <w:pStyle w:val="BodyText"/>
        <w:spacing w:after="0" w:line="480" w:lineRule="atLeast"/>
        <w:ind w:left="720" w:hanging="720"/>
        <w:rPr>
          <w:szCs w:val="24"/>
        </w:rPr>
      </w:pPr>
      <w:r w:rsidRPr="00406FD9">
        <w:rPr>
          <w:szCs w:val="24"/>
        </w:rPr>
        <w:t>A.</w:t>
      </w:r>
      <w:r w:rsidRPr="00406FD9">
        <w:rPr>
          <w:szCs w:val="24"/>
        </w:rPr>
        <w:tab/>
        <w:t xml:space="preserve">Staff’s review of the proposed AFOR was based on three general concerns. </w:t>
      </w:r>
      <w:r>
        <w:rPr>
          <w:szCs w:val="24"/>
        </w:rPr>
        <w:t xml:space="preserve"> </w:t>
      </w:r>
      <w:r w:rsidRPr="00406FD9">
        <w:rPr>
          <w:szCs w:val="24"/>
        </w:rPr>
        <w:t xml:space="preserve">First, Staff was concerned that the proposed AFOR met the public policy requirements in RCW 80.36.135. </w:t>
      </w:r>
      <w:r>
        <w:rPr>
          <w:szCs w:val="24"/>
        </w:rPr>
        <w:t xml:space="preserve"> </w:t>
      </w:r>
      <w:r w:rsidRPr="00406FD9">
        <w:rPr>
          <w:szCs w:val="24"/>
        </w:rPr>
        <w:t xml:space="preserve">Second, Staff viewed the proposed AFOR in light of the Commission’s Order 6 in </w:t>
      </w:r>
      <w:r>
        <w:rPr>
          <w:szCs w:val="24"/>
        </w:rPr>
        <w:t xml:space="preserve">Docket </w:t>
      </w:r>
      <w:r w:rsidRPr="00406FD9">
        <w:rPr>
          <w:szCs w:val="24"/>
        </w:rPr>
        <w:t xml:space="preserve">UT-121994 concerning Frontier Communications Northwest, Inc. (Frontier) dated July 22, 2013. </w:t>
      </w:r>
      <w:r>
        <w:rPr>
          <w:szCs w:val="24"/>
        </w:rPr>
        <w:t xml:space="preserve"> </w:t>
      </w:r>
      <w:r w:rsidRPr="00406FD9">
        <w:rPr>
          <w:szCs w:val="24"/>
        </w:rPr>
        <w:t xml:space="preserve">Third, Staff was concerned that the AFOR provide a path to unifying rates across all of its five </w:t>
      </w:r>
      <w:r>
        <w:rPr>
          <w:szCs w:val="24"/>
        </w:rPr>
        <w:t>ILECs</w:t>
      </w:r>
      <w:r w:rsidRPr="00406FD9">
        <w:rPr>
          <w:szCs w:val="24"/>
        </w:rPr>
        <w:t xml:space="preserve"> in Washington</w:t>
      </w:r>
      <w:r w:rsidRPr="00406FD9">
        <w:rPr>
          <w:rStyle w:val="FootnoteReference"/>
          <w:szCs w:val="24"/>
        </w:rPr>
        <w:footnoteReference w:id="5"/>
      </w:r>
      <w:r w:rsidRPr="00406FD9">
        <w:rPr>
          <w:szCs w:val="24"/>
        </w:rPr>
        <w:t xml:space="preserve"> for single party, stand alone, fla</w:t>
      </w:r>
      <w:r>
        <w:rPr>
          <w:szCs w:val="24"/>
        </w:rPr>
        <w:t>t-</w:t>
      </w:r>
      <w:r w:rsidRPr="00406FD9">
        <w:rPr>
          <w:szCs w:val="24"/>
        </w:rPr>
        <w:t xml:space="preserve"> rated residential and business service.</w:t>
      </w:r>
      <w:r>
        <w:rPr>
          <w:szCs w:val="24"/>
        </w:rPr>
        <w:t xml:space="preserve"> </w:t>
      </w:r>
      <w:r w:rsidRPr="00406FD9">
        <w:rPr>
          <w:szCs w:val="24"/>
        </w:rPr>
        <w:t xml:space="preserve"> These five operating entities have </w:t>
      </w:r>
      <w:r>
        <w:rPr>
          <w:szCs w:val="24"/>
        </w:rPr>
        <w:t>21</w:t>
      </w:r>
      <w:r w:rsidRPr="00406FD9">
        <w:rPr>
          <w:szCs w:val="24"/>
        </w:rPr>
        <w:t xml:space="preserve"> different single party, stand alone, residential</w:t>
      </w:r>
      <w:r>
        <w:rPr>
          <w:szCs w:val="24"/>
        </w:rPr>
        <w:t xml:space="preserve"> </w:t>
      </w:r>
      <w:r w:rsidRPr="00406FD9">
        <w:rPr>
          <w:szCs w:val="24"/>
        </w:rPr>
        <w:t xml:space="preserve">rates </w:t>
      </w:r>
      <w:r>
        <w:rPr>
          <w:szCs w:val="24"/>
        </w:rPr>
        <w:t>(including EAS surcharges)</w:t>
      </w:r>
      <w:r w:rsidRPr="00F72DD9">
        <w:rPr>
          <w:szCs w:val="24"/>
        </w:rPr>
        <w:t xml:space="preserve"> </w:t>
      </w:r>
      <w:r w:rsidRPr="00406FD9">
        <w:rPr>
          <w:szCs w:val="24"/>
        </w:rPr>
        <w:t xml:space="preserve">and </w:t>
      </w:r>
      <w:r>
        <w:rPr>
          <w:szCs w:val="24"/>
        </w:rPr>
        <w:t>21</w:t>
      </w:r>
      <w:r w:rsidRPr="00406FD9">
        <w:rPr>
          <w:szCs w:val="24"/>
        </w:rPr>
        <w:t xml:space="preserve"> different single party, stand alone, business</w:t>
      </w:r>
      <w:r>
        <w:rPr>
          <w:szCs w:val="24"/>
        </w:rPr>
        <w:t xml:space="preserve"> </w:t>
      </w:r>
      <w:r w:rsidRPr="00406FD9">
        <w:rPr>
          <w:szCs w:val="24"/>
        </w:rPr>
        <w:t>rates</w:t>
      </w:r>
      <w:r>
        <w:rPr>
          <w:szCs w:val="24"/>
        </w:rPr>
        <w:t xml:space="preserve"> (including EAS surcharges)</w:t>
      </w:r>
      <w:r w:rsidRPr="00406FD9">
        <w:rPr>
          <w:szCs w:val="24"/>
        </w:rPr>
        <w:t>. Given the numerous rates for both residential and business flat</w:t>
      </w:r>
      <w:r>
        <w:rPr>
          <w:szCs w:val="24"/>
        </w:rPr>
        <w:t>-</w:t>
      </w:r>
      <w:r w:rsidRPr="00406FD9">
        <w:rPr>
          <w:szCs w:val="24"/>
        </w:rPr>
        <w:t>rate</w:t>
      </w:r>
      <w:r>
        <w:rPr>
          <w:szCs w:val="24"/>
        </w:rPr>
        <w:t>d</w:t>
      </w:r>
      <w:r w:rsidRPr="00406FD9">
        <w:rPr>
          <w:szCs w:val="24"/>
        </w:rPr>
        <w:t xml:space="preserve">, single party service Staff was concerned </w:t>
      </w:r>
      <w:r w:rsidRPr="00406FD9">
        <w:rPr>
          <w:szCs w:val="24"/>
        </w:rPr>
        <w:lastRenderedPageBreak/>
        <w:t>with the manner by which these rates would be normalized to reduce the number of distinct rates and move toward a unified statewide rate.</w:t>
      </w:r>
    </w:p>
    <w:p w:rsidR="002639DA" w:rsidRDefault="002639DA" w:rsidP="002639DA">
      <w:pPr>
        <w:pStyle w:val="BodyText"/>
        <w:spacing w:after="0" w:line="480" w:lineRule="atLeast"/>
        <w:ind w:left="720" w:hanging="720"/>
        <w:rPr>
          <w:b/>
          <w:szCs w:val="24"/>
        </w:rPr>
      </w:pPr>
    </w:p>
    <w:p w:rsidR="002639DA" w:rsidRDefault="002639DA" w:rsidP="002639DA">
      <w:pPr>
        <w:pStyle w:val="BodyText"/>
        <w:spacing w:after="0"/>
        <w:ind w:left="720" w:hanging="720"/>
        <w:rPr>
          <w:b/>
          <w:szCs w:val="24"/>
        </w:rPr>
      </w:pPr>
      <w:r>
        <w:rPr>
          <w:b/>
          <w:szCs w:val="24"/>
        </w:rPr>
        <w:t xml:space="preserve">Q. </w:t>
      </w:r>
      <w:r>
        <w:rPr>
          <w:b/>
          <w:szCs w:val="24"/>
        </w:rPr>
        <w:tab/>
        <w:t xml:space="preserve">Is Staff satisfied that the proposed AFOR will meet the requirements of RCW 80.36.135? </w:t>
      </w:r>
    </w:p>
    <w:p w:rsidR="002639DA" w:rsidRDefault="002639DA" w:rsidP="002639DA">
      <w:pPr>
        <w:pStyle w:val="BodyText"/>
        <w:spacing w:after="0" w:line="480" w:lineRule="atLeast"/>
        <w:ind w:left="720" w:hanging="720"/>
        <w:rPr>
          <w:szCs w:val="24"/>
        </w:rPr>
      </w:pPr>
      <w:r w:rsidRPr="00406FD9">
        <w:rPr>
          <w:szCs w:val="24"/>
        </w:rPr>
        <w:t>A.</w:t>
      </w:r>
      <w:r>
        <w:rPr>
          <w:b/>
          <w:szCs w:val="24"/>
        </w:rPr>
        <w:tab/>
      </w:r>
      <w:r w:rsidRPr="00D90FA1">
        <w:rPr>
          <w:szCs w:val="24"/>
        </w:rPr>
        <w:t xml:space="preserve">Yes, Staff is satisfied that the proposed AFOR </w:t>
      </w:r>
      <w:r>
        <w:rPr>
          <w:szCs w:val="24"/>
        </w:rPr>
        <w:t>resolves</w:t>
      </w:r>
      <w:r w:rsidRPr="00D90FA1">
        <w:rPr>
          <w:szCs w:val="24"/>
        </w:rPr>
        <w:t xml:space="preserve"> Staff’s concerns regarding RCW 80.36.135. </w:t>
      </w:r>
      <w:r>
        <w:rPr>
          <w:szCs w:val="24"/>
        </w:rPr>
        <w:t xml:space="preserve"> </w:t>
      </w:r>
      <w:r w:rsidRPr="00D90FA1">
        <w:rPr>
          <w:szCs w:val="24"/>
        </w:rPr>
        <w:t xml:space="preserve">Briefly, there are six critical elements in RCW 80.36.135 (2) (a-f) that must be considered in determining the appropriateness of an AFOR.  Staff believes that the proposed AFOR is warranted because of the company’s performance regarding broadband deployment; the proliferation and geographical extent of competing services offered by competing entities; the company’s continuing commitments to service quality reporting; its commitment to reduce rate differentials across its five </w:t>
      </w:r>
      <w:r>
        <w:rPr>
          <w:szCs w:val="24"/>
        </w:rPr>
        <w:t>ILECs</w:t>
      </w:r>
      <w:r w:rsidRPr="00D90FA1">
        <w:rPr>
          <w:szCs w:val="24"/>
        </w:rPr>
        <w:t xml:space="preserve"> and its agreement to adhere to WAC 480-120-083 if it wishes to discontinue local exchange service.</w:t>
      </w:r>
    </w:p>
    <w:p w:rsidR="002639DA" w:rsidRPr="00D90FA1" w:rsidRDefault="002639DA" w:rsidP="002639DA">
      <w:pPr>
        <w:pStyle w:val="BodyText"/>
        <w:spacing w:after="0" w:line="480" w:lineRule="atLeast"/>
        <w:ind w:left="720" w:hanging="720"/>
        <w:rPr>
          <w:szCs w:val="24"/>
        </w:rPr>
      </w:pPr>
    </w:p>
    <w:p w:rsidR="002639DA" w:rsidRDefault="002639DA" w:rsidP="002639DA">
      <w:pPr>
        <w:pStyle w:val="BodyText"/>
        <w:spacing w:after="0"/>
        <w:ind w:left="720" w:hanging="720"/>
        <w:rPr>
          <w:b/>
          <w:szCs w:val="24"/>
        </w:rPr>
      </w:pPr>
      <w:r>
        <w:rPr>
          <w:b/>
          <w:szCs w:val="24"/>
        </w:rPr>
        <w:t xml:space="preserve">Q. </w:t>
      </w:r>
      <w:r>
        <w:rPr>
          <w:b/>
          <w:szCs w:val="24"/>
        </w:rPr>
        <w:tab/>
        <w:t>How did the recent Commission decision on Frontier’s petition for competitive classification under RCW 80.36.320 influence Staff’s approach with respect to CenturyLink’s filing?</w:t>
      </w:r>
    </w:p>
    <w:p w:rsidR="002639DA" w:rsidRPr="00406FD9" w:rsidRDefault="002639DA" w:rsidP="002639DA">
      <w:pPr>
        <w:pStyle w:val="BodyText"/>
        <w:spacing w:after="0" w:line="480" w:lineRule="atLeast"/>
        <w:ind w:left="720" w:hanging="720"/>
        <w:rPr>
          <w:szCs w:val="24"/>
        </w:rPr>
      </w:pPr>
      <w:r w:rsidRPr="00406FD9">
        <w:rPr>
          <w:szCs w:val="24"/>
        </w:rPr>
        <w:t>A.</w:t>
      </w:r>
      <w:r w:rsidRPr="00406FD9">
        <w:rPr>
          <w:szCs w:val="24"/>
        </w:rPr>
        <w:tab/>
        <w:t xml:space="preserve">Staff reviewed Order 6 in the Frontier </w:t>
      </w:r>
      <w:r>
        <w:rPr>
          <w:szCs w:val="24"/>
        </w:rPr>
        <w:t>proceeding</w:t>
      </w:r>
      <w:r w:rsidRPr="00406FD9">
        <w:rPr>
          <w:szCs w:val="24"/>
        </w:rPr>
        <w:t xml:space="preserve"> and found that the situation confronting CenturyLink is very similar to Frontier. </w:t>
      </w:r>
      <w:r>
        <w:rPr>
          <w:szCs w:val="24"/>
        </w:rPr>
        <w:t xml:space="preserve"> </w:t>
      </w:r>
      <w:r w:rsidRPr="00406FD9">
        <w:rPr>
          <w:szCs w:val="24"/>
        </w:rPr>
        <w:t>Thus CenturyLink faces effective competition for stand alone, flat</w:t>
      </w:r>
      <w:r>
        <w:rPr>
          <w:szCs w:val="24"/>
        </w:rPr>
        <w:t>-</w:t>
      </w:r>
      <w:r w:rsidRPr="00406FD9">
        <w:rPr>
          <w:szCs w:val="24"/>
        </w:rPr>
        <w:t xml:space="preserve">rated residential and business offerings across all of its five </w:t>
      </w:r>
      <w:r>
        <w:rPr>
          <w:szCs w:val="24"/>
        </w:rPr>
        <w:t>ILECs</w:t>
      </w:r>
      <w:r w:rsidRPr="00406FD9">
        <w:rPr>
          <w:szCs w:val="24"/>
        </w:rPr>
        <w:t xml:space="preserve">. </w:t>
      </w:r>
    </w:p>
    <w:p w:rsidR="002639DA" w:rsidRPr="00406FD9" w:rsidRDefault="002639DA" w:rsidP="002639DA">
      <w:pPr>
        <w:pStyle w:val="BodyText"/>
        <w:spacing w:after="0" w:line="480" w:lineRule="atLeast"/>
        <w:ind w:left="720" w:hanging="720"/>
        <w:rPr>
          <w:szCs w:val="24"/>
        </w:rPr>
      </w:pPr>
    </w:p>
    <w:p w:rsidR="002639DA" w:rsidRPr="00406FD9" w:rsidRDefault="002639DA" w:rsidP="002639DA">
      <w:pPr>
        <w:pStyle w:val="BodyText"/>
        <w:spacing w:after="0" w:line="480" w:lineRule="atLeast"/>
        <w:ind w:left="720"/>
        <w:rPr>
          <w:szCs w:val="24"/>
        </w:rPr>
      </w:pPr>
      <w:r w:rsidRPr="00406FD9">
        <w:rPr>
          <w:szCs w:val="24"/>
        </w:rPr>
        <w:t xml:space="preserve">As background, the </w:t>
      </w:r>
      <w:r>
        <w:rPr>
          <w:szCs w:val="24"/>
        </w:rPr>
        <w:t>Frontier decision</w:t>
      </w:r>
      <w:r w:rsidRPr="00406FD9">
        <w:rPr>
          <w:szCs w:val="24"/>
        </w:rPr>
        <w:t xml:space="preserve"> granted Frontier competitive classification for a majority of its tariff services under RCW 80.36.330.</w:t>
      </w:r>
      <w:r w:rsidRPr="00C30A1C">
        <w:rPr>
          <w:szCs w:val="24"/>
        </w:rPr>
        <w:t xml:space="preserve"> </w:t>
      </w:r>
      <w:r>
        <w:rPr>
          <w:szCs w:val="24"/>
        </w:rPr>
        <w:t>The Commission’s analysis in the Frontier decision provides guidance for the analysis of market power under the AFOR statute, specifically RCW 80.36.135(2</w:t>
      </w:r>
      <w:proofErr w:type="gramStart"/>
      <w:r>
        <w:rPr>
          <w:szCs w:val="24"/>
        </w:rPr>
        <w:t>)(</w:t>
      </w:r>
      <w:proofErr w:type="gramEnd"/>
      <w:r>
        <w:rPr>
          <w:szCs w:val="24"/>
        </w:rPr>
        <w:t xml:space="preserve">c). </w:t>
      </w:r>
      <w:r w:rsidRPr="00406FD9">
        <w:rPr>
          <w:szCs w:val="24"/>
        </w:rPr>
        <w:t xml:space="preserve"> In its </w:t>
      </w:r>
      <w:r>
        <w:rPr>
          <w:szCs w:val="24"/>
        </w:rPr>
        <w:t>o</w:t>
      </w:r>
      <w:r w:rsidRPr="00406FD9">
        <w:rPr>
          <w:szCs w:val="24"/>
        </w:rPr>
        <w:t xml:space="preserve">rder, the Commission made important </w:t>
      </w:r>
      <w:r w:rsidRPr="00406FD9">
        <w:rPr>
          <w:szCs w:val="24"/>
        </w:rPr>
        <w:lastRenderedPageBreak/>
        <w:t>statements regarding two critically important considerations when determining if effective competition exists in a market.</w:t>
      </w:r>
      <w:r>
        <w:rPr>
          <w:szCs w:val="24"/>
        </w:rPr>
        <w:t xml:space="preserve"> </w:t>
      </w:r>
      <w:r w:rsidRPr="00406FD9">
        <w:rPr>
          <w:szCs w:val="24"/>
        </w:rPr>
        <w:t>Those two considerations address the relevant service market and second, whether the company provides service to a significant captive customer base.</w:t>
      </w:r>
      <w:r w:rsidRPr="00406FD9">
        <w:rPr>
          <w:rStyle w:val="FootnoteReference"/>
          <w:szCs w:val="24"/>
        </w:rPr>
        <w:footnoteReference w:id="6"/>
      </w:r>
      <w:r>
        <w:rPr>
          <w:szCs w:val="24"/>
        </w:rPr>
        <w:t xml:space="preserve"> </w:t>
      </w:r>
      <w:r w:rsidRPr="00406FD9">
        <w:rPr>
          <w:szCs w:val="24"/>
        </w:rPr>
        <w:t xml:space="preserve"> </w:t>
      </w:r>
    </w:p>
    <w:p w:rsidR="002639DA" w:rsidRPr="00406FD9" w:rsidRDefault="002639DA" w:rsidP="002639DA">
      <w:pPr>
        <w:pStyle w:val="BodyText"/>
        <w:spacing w:after="0" w:line="480" w:lineRule="atLeast"/>
        <w:ind w:left="720"/>
        <w:rPr>
          <w:szCs w:val="24"/>
        </w:rPr>
      </w:pPr>
    </w:p>
    <w:p w:rsidR="002639DA" w:rsidRDefault="002639DA" w:rsidP="002639DA">
      <w:pPr>
        <w:pStyle w:val="BodyText"/>
        <w:spacing w:after="0" w:line="480" w:lineRule="atLeast"/>
        <w:ind w:left="720"/>
        <w:rPr>
          <w:szCs w:val="24"/>
        </w:rPr>
      </w:pPr>
      <w:r w:rsidRPr="00406FD9">
        <w:rPr>
          <w:szCs w:val="24"/>
        </w:rPr>
        <w:t xml:space="preserve">First, regarding service markets, the </w:t>
      </w:r>
      <w:r>
        <w:rPr>
          <w:szCs w:val="24"/>
        </w:rPr>
        <w:t>Co</w:t>
      </w:r>
      <w:r w:rsidRPr="00406FD9">
        <w:rPr>
          <w:szCs w:val="24"/>
        </w:rPr>
        <w:t>mmission found that “</w:t>
      </w:r>
      <w:r>
        <w:rPr>
          <w:szCs w:val="24"/>
        </w:rPr>
        <w:t>[w]</w:t>
      </w:r>
      <w:r w:rsidRPr="00406FD9">
        <w:rPr>
          <w:szCs w:val="24"/>
        </w:rPr>
        <w:t>ireless, VoIP</w:t>
      </w:r>
      <w:r>
        <w:rPr>
          <w:szCs w:val="24"/>
        </w:rPr>
        <w:t>,</w:t>
      </w:r>
      <w:r w:rsidRPr="00406FD9">
        <w:rPr>
          <w:szCs w:val="24"/>
        </w:rPr>
        <w:t xml:space="preserve"> and bundled service options to basic single-line service place competitive pressures on providers of such basic service.”</w:t>
      </w:r>
      <w:r w:rsidRPr="00406FD9">
        <w:rPr>
          <w:rStyle w:val="FootnoteReference"/>
          <w:szCs w:val="24"/>
        </w:rPr>
        <w:footnoteReference w:id="7"/>
      </w:r>
      <w:r w:rsidRPr="00406FD9">
        <w:rPr>
          <w:szCs w:val="24"/>
        </w:rPr>
        <w:t xml:space="preserve"> In other words, the relevant service market is not defined as being only those services that are exactly the same relative to an offering such as stand alone, single part</w:t>
      </w:r>
      <w:r>
        <w:rPr>
          <w:szCs w:val="24"/>
        </w:rPr>
        <w:t>y</w:t>
      </w:r>
      <w:r w:rsidRPr="00406FD9">
        <w:rPr>
          <w:szCs w:val="24"/>
        </w:rPr>
        <w:t>, flat</w:t>
      </w:r>
      <w:r>
        <w:rPr>
          <w:szCs w:val="24"/>
        </w:rPr>
        <w:t>-</w:t>
      </w:r>
      <w:r w:rsidRPr="00406FD9">
        <w:rPr>
          <w:szCs w:val="24"/>
        </w:rPr>
        <w:t>rated service, but rather a service market is defined by those services that are functionally equivalent and can be considered alternatives or substitutes (i.e.</w:t>
      </w:r>
      <w:r>
        <w:rPr>
          <w:szCs w:val="24"/>
        </w:rPr>
        <w:t>,</w:t>
      </w:r>
      <w:r w:rsidRPr="00406FD9">
        <w:rPr>
          <w:szCs w:val="24"/>
        </w:rPr>
        <w:t xml:space="preserve"> VoIP, </w:t>
      </w:r>
      <w:r>
        <w:rPr>
          <w:szCs w:val="24"/>
        </w:rPr>
        <w:t>w</w:t>
      </w:r>
      <w:r w:rsidRPr="00406FD9">
        <w:rPr>
          <w:szCs w:val="24"/>
        </w:rPr>
        <w:t>ireless, Cable Telephony, etc).</w:t>
      </w:r>
      <w:r w:rsidRPr="00406FD9">
        <w:rPr>
          <w:rStyle w:val="FootnoteReference"/>
          <w:szCs w:val="24"/>
        </w:rPr>
        <w:footnoteReference w:id="8"/>
      </w:r>
      <w:r w:rsidRPr="00406FD9">
        <w:rPr>
          <w:szCs w:val="24"/>
        </w:rPr>
        <w:t xml:space="preserve"> </w:t>
      </w:r>
      <w:r>
        <w:rPr>
          <w:szCs w:val="24"/>
        </w:rPr>
        <w:t xml:space="preserve"> </w:t>
      </w:r>
      <w:r w:rsidRPr="00406FD9">
        <w:rPr>
          <w:szCs w:val="24"/>
        </w:rPr>
        <w:t>Therefore, while wireless service may not have exactly the same attributes of single party flat</w:t>
      </w:r>
      <w:r>
        <w:rPr>
          <w:szCs w:val="24"/>
        </w:rPr>
        <w:t>-</w:t>
      </w:r>
      <w:r w:rsidRPr="00406FD9">
        <w:rPr>
          <w:szCs w:val="24"/>
        </w:rPr>
        <w:t>rated, residential service, its attributes and functionality are at least equivalent to a flat</w:t>
      </w:r>
      <w:r>
        <w:rPr>
          <w:szCs w:val="24"/>
        </w:rPr>
        <w:t>-</w:t>
      </w:r>
      <w:r w:rsidRPr="00406FD9">
        <w:rPr>
          <w:szCs w:val="24"/>
        </w:rPr>
        <w:t>rated residential access line and are seen by consumers as functionally equivalent alternatives that constrain the price movements of flat</w:t>
      </w:r>
      <w:r>
        <w:rPr>
          <w:szCs w:val="24"/>
        </w:rPr>
        <w:t>-</w:t>
      </w:r>
      <w:r w:rsidRPr="00406FD9">
        <w:rPr>
          <w:szCs w:val="24"/>
        </w:rPr>
        <w:t>rated, stand alone service.</w:t>
      </w:r>
    </w:p>
    <w:p w:rsidR="002639DA"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 xml:space="preserve">In applying the consideration of a relevant service market to CenturyLink, it is clear that functional equivalents have emerged and have been successful in eroding CenturyLink’s customer base. </w:t>
      </w:r>
      <w:r>
        <w:rPr>
          <w:szCs w:val="24"/>
        </w:rPr>
        <w:t xml:space="preserve"> </w:t>
      </w:r>
      <w:r w:rsidRPr="00406FD9">
        <w:rPr>
          <w:szCs w:val="24"/>
        </w:rPr>
        <w:t>Over the period 2001 through 2012, CenturyLink lost 64 percent of its residential access lines and 48 percent of its business lines.</w:t>
      </w:r>
      <w:r w:rsidRPr="00406FD9">
        <w:rPr>
          <w:rStyle w:val="FootnoteReference"/>
          <w:szCs w:val="24"/>
        </w:rPr>
        <w:footnoteReference w:id="9"/>
      </w:r>
      <w:r w:rsidRPr="00406FD9">
        <w:rPr>
          <w:szCs w:val="24"/>
        </w:rPr>
        <w:t xml:space="preserve"> These losses have been to </w:t>
      </w:r>
      <w:r w:rsidRPr="00406FD9">
        <w:rPr>
          <w:szCs w:val="24"/>
        </w:rPr>
        <w:lastRenderedPageBreak/>
        <w:t xml:space="preserve">Cable TV companies offering VoIP services, </w:t>
      </w:r>
      <w:r>
        <w:rPr>
          <w:szCs w:val="24"/>
        </w:rPr>
        <w:t>w</w:t>
      </w:r>
      <w:r w:rsidRPr="00406FD9">
        <w:rPr>
          <w:szCs w:val="24"/>
        </w:rPr>
        <w:t>ireless companies and CLECS.</w:t>
      </w:r>
      <w:r>
        <w:rPr>
          <w:szCs w:val="24"/>
        </w:rPr>
        <w:t xml:space="preserve"> </w:t>
      </w:r>
      <w:r w:rsidRPr="00406FD9">
        <w:rPr>
          <w:szCs w:val="24"/>
        </w:rPr>
        <w:t xml:space="preserve"> With respect to wireless competition alone, CenturyLink’s </w:t>
      </w:r>
      <w:proofErr w:type="spellStart"/>
      <w:r w:rsidRPr="00406FD9">
        <w:rPr>
          <w:szCs w:val="24"/>
        </w:rPr>
        <w:t>wireline</w:t>
      </w:r>
      <w:proofErr w:type="spellEnd"/>
      <w:r w:rsidRPr="00406FD9">
        <w:rPr>
          <w:szCs w:val="24"/>
        </w:rPr>
        <w:t xml:space="preserve"> connections dropped from 2.7 million lines in December of 2001 to 1.1 million in 2012 while wireless connections have grown from roughly 2.7 million connections to over 6 million in the same period.</w:t>
      </w:r>
      <w:r w:rsidRPr="00406FD9">
        <w:rPr>
          <w:rStyle w:val="FootnoteReference"/>
          <w:szCs w:val="24"/>
        </w:rPr>
        <w:footnoteReference w:id="10"/>
      </w:r>
      <w:r w:rsidRPr="00406FD9">
        <w:rPr>
          <w:szCs w:val="24"/>
        </w:rPr>
        <w:t xml:space="preserve"> </w:t>
      </w:r>
      <w:r>
        <w:rPr>
          <w:szCs w:val="24"/>
        </w:rPr>
        <w:t xml:space="preserve"> </w:t>
      </w:r>
      <w:r w:rsidRPr="00406FD9">
        <w:rPr>
          <w:szCs w:val="24"/>
        </w:rPr>
        <w:t xml:space="preserve">Clearly, in considering the relevant service market, CenturyLink’s residential and business offerings are facing </w:t>
      </w:r>
      <w:r>
        <w:rPr>
          <w:szCs w:val="24"/>
        </w:rPr>
        <w:t>competition</w:t>
      </w:r>
      <w:r w:rsidRPr="00406FD9">
        <w:rPr>
          <w:szCs w:val="24"/>
        </w:rPr>
        <w:t xml:space="preserve"> from VoIP and wireless carriers as their services are functionally equivalent to flat</w:t>
      </w:r>
      <w:r>
        <w:rPr>
          <w:szCs w:val="24"/>
        </w:rPr>
        <w:t>-</w:t>
      </w:r>
      <w:r w:rsidRPr="00406FD9">
        <w:rPr>
          <w:szCs w:val="24"/>
        </w:rPr>
        <w:t xml:space="preserve">rated, stand alone single line business or residential service. </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 xml:space="preserve">Second, regarding the issue of a significant captive customer base, the Commission indicted that while “significant captive customer base” is not defined in statute, the Commission considers the term to mean </w:t>
      </w:r>
      <w:r>
        <w:rPr>
          <w:szCs w:val="24"/>
        </w:rPr>
        <w:t>“</w:t>
      </w:r>
      <w:r w:rsidRPr="00406FD9">
        <w:rPr>
          <w:szCs w:val="24"/>
        </w:rPr>
        <w:t>a group of customers without service alternatives that is sufficiently large to enable the service provider to raise prices without losing market share.”</w:t>
      </w:r>
      <w:r w:rsidRPr="00406FD9">
        <w:rPr>
          <w:rStyle w:val="FootnoteReference"/>
          <w:szCs w:val="24"/>
        </w:rPr>
        <w:footnoteReference w:id="11"/>
      </w:r>
      <w:r w:rsidRPr="00406FD9">
        <w:rPr>
          <w:szCs w:val="24"/>
        </w:rPr>
        <w:t xml:space="preserve">  When one examines whether or not CenturyLink serves a significant captive customer base, the evidence in support of finding a competitive market is as compelling as it is in examining the relevant service market.  Of the 186 exchanges served by CenturyLink, only three have seen an increase in access lines from 2001 to 2012.</w:t>
      </w:r>
      <w:r>
        <w:rPr>
          <w:szCs w:val="24"/>
        </w:rPr>
        <w:t xml:space="preserve"> </w:t>
      </w:r>
      <w:r w:rsidRPr="00406FD9">
        <w:rPr>
          <w:szCs w:val="24"/>
        </w:rPr>
        <w:t xml:space="preserve"> In 2012, these three exchanges total</w:t>
      </w:r>
      <w:r>
        <w:rPr>
          <w:szCs w:val="24"/>
        </w:rPr>
        <w:t>ed</w:t>
      </w:r>
      <w:r w:rsidRPr="00406FD9">
        <w:rPr>
          <w:szCs w:val="24"/>
        </w:rPr>
        <w:t xml:space="preserve"> 766 access lines, or .07 percent of a total of just over 1.1 million lines served by the company.</w:t>
      </w:r>
      <w:r w:rsidRPr="00406FD9">
        <w:rPr>
          <w:rStyle w:val="FootnoteReference"/>
          <w:szCs w:val="24"/>
        </w:rPr>
        <w:footnoteReference w:id="12"/>
      </w:r>
      <w:r w:rsidRPr="00406FD9">
        <w:rPr>
          <w:szCs w:val="24"/>
        </w:rPr>
        <w:t xml:space="preserve"> </w:t>
      </w:r>
      <w:r>
        <w:rPr>
          <w:szCs w:val="24"/>
        </w:rPr>
        <w:t xml:space="preserve"> </w:t>
      </w:r>
      <w:r w:rsidRPr="00406FD9">
        <w:rPr>
          <w:szCs w:val="24"/>
        </w:rPr>
        <w:t xml:space="preserve">Given that 99.92 percent of CenturyLink’s current access lines are in 183 exchanges that have experienced access line losses, it is impossible to credibly suggest that there remains a customer base that is </w:t>
      </w:r>
      <w:r w:rsidRPr="00406FD9">
        <w:rPr>
          <w:szCs w:val="24"/>
        </w:rPr>
        <w:lastRenderedPageBreak/>
        <w:t xml:space="preserve">sufficiently large to enable the service provider, in this case CenturyLink, to increase prices without losing market share. </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 xml:space="preserve">When applying the two considerations of relevant service market and whether the company provides service to a significant captive customer base in that service market to the case of CenturyLink, it is clear that effective competition has developed across CenturyLink’s service area. </w:t>
      </w:r>
      <w:r>
        <w:rPr>
          <w:szCs w:val="24"/>
        </w:rPr>
        <w:t xml:space="preserve"> </w:t>
      </w:r>
      <w:r w:rsidRPr="00406FD9">
        <w:rPr>
          <w:szCs w:val="24"/>
        </w:rPr>
        <w:t xml:space="preserve">Functionally equivalent services offered by </w:t>
      </w:r>
      <w:r>
        <w:rPr>
          <w:szCs w:val="24"/>
        </w:rPr>
        <w:t>c</w:t>
      </w:r>
      <w:r w:rsidRPr="00406FD9">
        <w:rPr>
          <w:szCs w:val="24"/>
        </w:rPr>
        <w:t xml:space="preserve">able providers and wireless carriers have made substantial gains into the telecommunications market served by CenturyLink. </w:t>
      </w:r>
      <w:r>
        <w:rPr>
          <w:szCs w:val="24"/>
        </w:rPr>
        <w:t xml:space="preserve"> </w:t>
      </w:r>
      <w:r w:rsidRPr="00406FD9">
        <w:rPr>
          <w:szCs w:val="24"/>
        </w:rPr>
        <w:t>These competitive alternatives are significant from two perspectives.</w:t>
      </w:r>
      <w:r>
        <w:rPr>
          <w:szCs w:val="24"/>
        </w:rPr>
        <w:t xml:space="preserve"> </w:t>
      </w:r>
      <w:r w:rsidRPr="00406FD9">
        <w:rPr>
          <w:szCs w:val="24"/>
        </w:rPr>
        <w:t xml:space="preserve"> First, these competitive offerings serve to greatly constrain CenturyLink’s ability to increase prices and greatly reduce its market power. </w:t>
      </w:r>
      <w:r>
        <w:rPr>
          <w:szCs w:val="24"/>
        </w:rPr>
        <w:t xml:space="preserve"> </w:t>
      </w:r>
      <w:r w:rsidRPr="00406FD9">
        <w:rPr>
          <w:szCs w:val="24"/>
        </w:rPr>
        <w:t xml:space="preserve">Second, wireless, cable offerings and CLEC services ensure that service quality is maintained because customers now have other viable options if CenturyLink’s service quality is found lacking. </w:t>
      </w:r>
    </w:p>
    <w:p w:rsidR="002639DA" w:rsidRDefault="002639DA" w:rsidP="002639DA">
      <w:pPr>
        <w:pStyle w:val="BodyText"/>
        <w:spacing w:after="0" w:line="480" w:lineRule="atLeast"/>
        <w:rPr>
          <w:b/>
          <w:szCs w:val="24"/>
        </w:rPr>
      </w:pPr>
    </w:p>
    <w:p w:rsidR="002639DA" w:rsidRDefault="002639DA" w:rsidP="002639DA">
      <w:pPr>
        <w:pStyle w:val="BodyText"/>
        <w:spacing w:after="0"/>
        <w:ind w:left="720" w:hanging="662"/>
        <w:rPr>
          <w:b/>
          <w:szCs w:val="24"/>
        </w:rPr>
      </w:pPr>
      <w:r>
        <w:rPr>
          <w:b/>
          <w:szCs w:val="24"/>
        </w:rPr>
        <w:t xml:space="preserve">Q. </w:t>
      </w:r>
      <w:r>
        <w:rPr>
          <w:b/>
          <w:szCs w:val="24"/>
        </w:rPr>
        <w:tab/>
        <w:t xml:space="preserve">Please provide a review of the current regulatory status of the CenturyLink ILECs in Washington. </w:t>
      </w:r>
    </w:p>
    <w:p w:rsidR="002639DA" w:rsidRPr="00406FD9" w:rsidRDefault="002639DA" w:rsidP="002639DA">
      <w:pPr>
        <w:pStyle w:val="BodyText"/>
        <w:spacing w:after="0" w:line="480" w:lineRule="atLeast"/>
        <w:ind w:left="720" w:hanging="720"/>
        <w:rPr>
          <w:szCs w:val="24"/>
        </w:rPr>
      </w:pPr>
      <w:r>
        <w:rPr>
          <w:szCs w:val="24"/>
        </w:rPr>
        <w:t>A.</w:t>
      </w:r>
      <w:r>
        <w:rPr>
          <w:szCs w:val="24"/>
        </w:rPr>
        <w:tab/>
      </w:r>
      <w:r w:rsidRPr="00406FD9">
        <w:rPr>
          <w:szCs w:val="24"/>
        </w:rPr>
        <w:t>Qwest Corporation d/b/a CenturyLink QC’s (Qwest) business services are competitive</w:t>
      </w:r>
      <w:r>
        <w:rPr>
          <w:szCs w:val="24"/>
        </w:rPr>
        <w:t>ly</w:t>
      </w:r>
      <w:r w:rsidRPr="00406FD9">
        <w:rPr>
          <w:szCs w:val="24"/>
        </w:rPr>
        <w:t xml:space="preserve"> classified by the Commission and those services are offered to customers via price catalog. Qwest’s residential service</w:t>
      </w:r>
      <w:r>
        <w:rPr>
          <w:szCs w:val="24"/>
        </w:rPr>
        <w:t>s—</w:t>
      </w:r>
      <w:r w:rsidRPr="00406FD9">
        <w:rPr>
          <w:szCs w:val="24"/>
        </w:rPr>
        <w:t>stand alone, one party flat</w:t>
      </w:r>
      <w:r>
        <w:rPr>
          <w:szCs w:val="24"/>
        </w:rPr>
        <w:t>-</w:t>
      </w:r>
      <w:r w:rsidRPr="00406FD9">
        <w:rPr>
          <w:szCs w:val="24"/>
        </w:rPr>
        <w:t>rate</w:t>
      </w:r>
      <w:r>
        <w:rPr>
          <w:szCs w:val="24"/>
        </w:rPr>
        <w:t>d</w:t>
      </w:r>
      <w:r w:rsidRPr="00406FD9">
        <w:rPr>
          <w:szCs w:val="24"/>
        </w:rPr>
        <w:t xml:space="preserve"> residential service, one party measured rate residential service, directory services, operator services, customer guarantee program, tribal lifeline, link-up programs and 911 services as well as intrastate access services are offered to Washington customers under tariff. </w:t>
      </w:r>
      <w:r>
        <w:rPr>
          <w:szCs w:val="24"/>
        </w:rPr>
        <w:t xml:space="preserve"> </w:t>
      </w:r>
      <w:r w:rsidRPr="00406FD9">
        <w:rPr>
          <w:szCs w:val="24"/>
        </w:rPr>
        <w:t>Qwest has offered service under an AFOR since 2007.</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lastRenderedPageBreak/>
        <w:t xml:space="preserve">The other four </w:t>
      </w:r>
      <w:r>
        <w:rPr>
          <w:szCs w:val="24"/>
        </w:rPr>
        <w:t>ILECs</w:t>
      </w:r>
      <w:r w:rsidRPr="00406FD9">
        <w:rPr>
          <w:szCs w:val="24"/>
        </w:rPr>
        <w:t xml:space="preserve"> </w:t>
      </w:r>
      <w:r>
        <w:rPr>
          <w:szCs w:val="24"/>
        </w:rPr>
        <w:t>of</w:t>
      </w:r>
      <w:r w:rsidRPr="00406FD9">
        <w:rPr>
          <w:szCs w:val="24"/>
        </w:rPr>
        <w:t xml:space="preserve"> CenturyLink in Washington have been offering residential, business and intrastate access services to customers under tariff</w:t>
      </w:r>
      <w:r>
        <w:rPr>
          <w:szCs w:val="24"/>
        </w:rPr>
        <w:t>.  N</w:t>
      </w:r>
      <w:r w:rsidRPr="00406FD9">
        <w:rPr>
          <w:szCs w:val="24"/>
        </w:rPr>
        <w:t xml:space="preserve">one </w:t>
      </w:r>
      <w:r>
        <w:rPr>
          <w:szCs w:val="24"/>
        </w:rPr>
        <w:t xml:space="preserve">of </w:t>
      </w:r>
      <w:r w:rsidRPr="00406FD9">
        <w:rPr>
          <w:szCs w:val="24"/>
        </w:rPr>
        <w:t>the services offered by these legal entities are competitively classified or offered under an AFOR</w:t>
      </w:r>
      <w:r>
        <w:rPr>
          <w:szCs w:val="24"/>
        </w:rPr>
        <w:t>, though packages/bundles are offered pursuant to minimal regulation under RCW 80.36.332</w:t>
      </w:r>
      <w:r w:rsidRPr="00406FD9">
        <w:rPr>
          <w:szCs w:val="24"/>
        </w:rPr>
        <w:t>.</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Exhibit</w:t>
      </w:r>
      <w:r>
        <w:rPr>
          <w:szCs w:val="24"/>
        </w:rPr>
        <w:t xml:space="preserve"> No.</w:t>
      </w:r>
      <w:r w:rsidRPr="00406FD9">
        <w:rPr>
          <w:szCs w:val="24"/>
        </w:rPr>
        <w:t xml:space="preserve"> ___ (JT-2) is a copy of the Commission’s exchange map showing</w:t>
      </w:r>
      <w:r>
        <w:rPr>
          <w:szCs w:val="24"/>
        </w:rPr>
        <w:t xml:space="preserve"> </w:t>
      </w:r>
      <w:r w:rsidRPr="00406FD9">
        <w:rPr>
          <w:szCs w:val="24"/>
        </w:rPr>
        <w:t xml:space="preserve">CenturyLink exchanges by </w:t>
      </w:r>
      <w:r>
        <w:rPr>
          <w:szCs w:val="24"/>
        </w:rPr>
        <w:t>ILEC</w:t>
      </w:r>
      <w:r w:rsidRPr="00406FD9">
        <w:rPr>
          <w:szCs w:val="24"/>
        </w:rPr>
        <w:t xml:space="preserve">. The legend at the bottom of the map identifies the operating entity of the company. </w:t>
      </w:r>
    </w:p>
    <w:p w:rsidR="002639DA" w:rsidRPr="00406FD9" w:rsidRDefault="002639DA" w:rsidP="002639DA">
      <w:pPr>
        <w:pStyle w:val="BodyText"/>
        <w:spacing w:after="0" w:line="480" w:lineRule="atLeast"/>
        <w:rPr>
          <w:szCs w:val="24"/>
        </w:rPr>
      </w:pPr>
    </w:p>
    <w:p w:rsidR="002639DA" w:rsidRDefault="002639DA" w:rsidP="002639DA">
      <w:pPr>
        <w:pStyle w:val="BodyText"/>
        <w:spacing w:after="0"/>
        <w:ind w:left="720" w:hanging="720"/>
        <w:rPr>
          <w:b/>
          <w:szCs w:val="24"/>
        </w:rPr>
      </w:pPr>
      <w:r>
        <w:rPr>
          <w:b/>
          <w:szCs w:val="24"/>
        </w:rPr>
        <w:t>Q.</w:t>
      </w:r>
      <w:r>
        <w:rPr>
          <w:b/>
          <w:szCs w:val="24"/>
        </w:rPr>
        <w:tab/>
        <w:t>Please describe the rates offered by the various ILECs for stand alone, single party residential and business services respectively.</w:t>
      </w:r>
    </w:p>
    <w:p w:rsidR="002639DA" w:rsidRPr="00406FD9" w:rsidRDefault="002639DA" w:rsidP="002639DA">
      <w:pPr>
        <w:pStyle w:val="BodyText"/>
        <w:spacing w:after="0" w:line="480" w:lineRule="atLeast"/>
        <w:ind w:left="720" w:hanging="720"/>
        <w:rPr>
          <w:szCs w:val="24"/>
        </w:rPr>
      </w:pPr>
      <w:r w:rsidRPr="00406FD9">
        <w:rPr>
          <w:szCs w:val="24"/>
        </w:rPr>
        <w:t>A.</w:t>
      </w:r>
      <w:r w:rsidRPr="00406FD9">
        <w:rPr>
          <w:szCs w:val="24"/>
        </w:rPr>
        <w:tab/>
        <w:t xml:space="preserve">Residential and </w:t>
      </w:r>
      <w:r>
        <w:rPr>
          <w:szCs w:val="24"/>
        </w:rPr>
        <w:t>b</w:t>
      </w:r>
      <w:r w:rsidRPr="00406FD9">
        <w:rPr>
          <w:szCs w:val="24"/>
        </w:rPr>
        <w:t>usiness rates for stand alone, single party, flat</w:t>
      </w:r>
      <w:r>
        <w:rPr>
          <w:szCs w:val="24"/>
        </w:rPr>
        <w:t>-</w:t>
      </w:r>
      <w:r w:rsidRPr="00406FD9">
        <w:rPr>
          <w:szCs w:val="24"/>
        </w:rPr>
        <w:t>rate</w:t>
      </w:r>
      <w:r>
        <w:rPr>
          <w:szCs w:val="24"/>
        </w:rPr>
        <w:t>d</w:t>
      </w:r>
      <w:r w:rsidRPr="00406FD9">
        <w:rPr>
          <w:szCs w:val="24"/>
        </w:rPr>
        <w:t xml:space="preserve"> service are shown in Exhibit</w:t>
      </w:r>
      <w:r>
        <w:rPr>
          <w:szCs w:val="24"/>
        </w:rPr>
        <w:t xml:space="preserve"> No. __</w:t>
      </w:r>
      <w:r w:rsidRPr="00406FD9">
        <w:rPr>
          <w:szCs w:val="24"/>
        </w:rPr>
        <w:t xml:space="preserve"> (JT-3) and Exhibit</w:t>
      </w:r>
      <w:r>
        <w:rPr>
          <w:szCs w:val="24"/>
        </w:rPr>
        <w:t xml:space="preserve"> No. </w:t>
      </w:r>
      <w:proofErr w:type="gramStart"/>
      <w:r>
        <w:rPr>
          <w:szCs w:val="24"/>
        </w:rPr>
        <w:t>__</w:t>
      </w:r>
      <w:r w:rsidRPr="00406FD9">
        <w:rPr>
          <w:szCs w:val="24"/>
        </w:rPr>
        <w:t xml:space="preserve"> (JT-4), respectively.</w:t>
      </w:r>
      <w:proofErr w:type="gramEnd"/>
      <w:r w:rsidRPr="00406FD9">
        <w:rPr>
          <w:szCs w:val="24"/>
        </w:rPr>
        <w:t xml:space="preserve"> </w:t>
      </w:r>
      <w:r>
        <w:rPr>
          <w:szCs w:val="24"/>
        </w:rPr>
        <w:t xml:space="preserve"> </w:t>
      </w:r>
      <w:r w:rsidRPr="00406FD9">
        <w:rPr>
          <w:szCs w:val="24"/>
        </w:rPr>
        <w:t>Qwest’s rate for stand alone, one party residential flat</w:t>
      </w:r>
      <w:r>
        <w:rPr>
          <w:szCs w:val="24"/>
        </w:rPr>
        <w:t>-</w:t>
      </w:r>
      <w:r w:rsidRPr="00406FD9">
        <w:rPr>
          <w:szCs w:val="24"/>
        </w:rPr>
        <w:t>rate</w:t>
      </w:r>
      <w:r>
        <w:rPr>
          <w:szCs w:val="24"/>
        </w:rPr>
        <w:t>d</w:t>
      </w:r>
      <w:r w:rsidRPr="00406FD9">
        <w:rPr>
          <w:szCs w:val="24"/>
        </w:rPr>
        <w:t xml:space="preserve"> service is $13.50 per month across all of its 68 legacy exchanges.  CenturyLink’s other four </w:t>
      </w:r>
      <w:r>
        <w:rPr>
          <w:szCs w:val="24"/>
        </w:rPr>
        <w:t>ILECs</w:t>
      </w:r>
      <w:r w:rsidRPr="00406FD9">
        <w:rPr>
          <w:szCs w:val="24"/>
        </w:rPr>
        <w:t xml:space="preserve"> offer stand alone, monthly residential rates in 118 exchanges that range from a low of $8.90 for one exchange to $25.90</w:t>
      </w:r>
      <w:r>
        <w:rPr>
          <w:szCs w:val="24"/>
        </w:rPr>
        <w:t xml:space="preserve"> </w:t>
      </w:r>
      <w:r w:rsidRPr="00406FD9">
        <w:rPr>
          <w:szCs w:val="24"/>
        </w:rPr>
        <w:t xml:space="preserve">which includes an </w:t>
      </w:r>
      <w:r>
        <w:rPr>
          <w:szCs w:val="24"/>
        </w:rPr>
        <w:t>EAS</w:t>
      </w:r>
      <w:r w:rsidRPr="00406FD9">
        <w:rPr>
          <w:szCs w:val="24"/>
        </w:rPr>
        <w:t xml:space="preserve"> surcharge. </w:t>
      </w:r>
    </w:p>
    <w:p w:rsidR="002639DA" w:rsidRDefault="002639DA" w:rsidP="002639DA">
      <w:pPr>
        <w:pStyle w:val="BodyText"/>
        <w:spacing w:after="0" w:line="480" w:lineRule="atLeast"/>
        <w:ind w:left="720" w:hanging="720"/>
        <w:rPr>
          <w:b/>
          <w:szCs w:val="24"/>
        </w:rPr>
      </w:pPr>
    </w:p>
    <w:p w:rsidR="002639DA" w:rsidRPr="00406FD9" w:rsidRDefault="002639DA" w:rsidP="002639DA">
      <w:pPr>
        <w:pStyle w:val="BodyText"/>
        <w:spacing w:after="0" w:line="480" w:lineRule="atLeast"/>
        <w:ind w:left="720"/>
        <w:rPr>
          <w:szCs w:val="24"/>
        </w:rPr>
      </w:pPr>
      <w:r w:rsidRPr="00406FD9">
        <w:rPr>
          <w:szCs w:val="24"/>
        </w:rPr>
        <w:t>Legacy Qwest’s single party, stand alone business service rate does not vary across exchanges and is $</w:t>
      </w:r>
      <w:r>
        <w:rPr>
          <w:szCs w:val="24"/>
        </w:rPr>
        <w:t>30</w:t>
      </w:r>
      <w:r w:rsidRPr="00406FD9">
        <w:rPr>
          <w:szCs w:val="24"/>
        </w:rPr>
        <w:t xml:space="preserve"> per month.</w:t>
      </w:r>
      <w:r>
        <w:rPr>
          <w:szCs w:val="24"/>
        </w:rPr>
        <w:t xml:space="preserve"> </w:t>
      </w:r>
      <w:r w:rsidRPr="00406FD9">
        <w:rPr>
          <w:szCs w:val="24"/>
        </w:rPr>
        <w:t xml:space="preserve"> In CenturyLink’s other four </w:t>
      </w:r>
      <w:r>
        <w:rPr>
          <w:szCs w:val="24"/>
        </w:rPr>
        <w:t>ILECs</w:t>
      </w:r>
      <w:r w:rsidRPr="00406FD9">
        <w:rPr>
          <w:szCs w:val="24"/>
        </w:rPr>
        <w:t>, rates for business services vary substantially within each of these four operating entities and range from $</w:t>
      </w:r>
      <w:r>
        <w:rPr>
          <w:szCs w:val="24"/>
        </w:rPr>
        <w:t>17.85</w:t>
      </w:r>
      <w:r w:rsidRPr="00406FD9">
        <w:rPr>
          <w:szCs w:val="24"/>
        </w:rPr>
        <w:t xml:space="preserve"> to $</w:t>
      </w:r>
      <w:r>
        <w:rPr>
          <w:szCs w:val="24"/>
        </w:rPr>
        <w:t>41.80</w:t>
      </w:r>
      <w:r w:rsidRPr="00406FD9">
        <w:rPr>
          <w:szCs w:val="24"/>
        </w:rPr>
        <w:t xml:space="preserve"> per month</w:t>
      </w:r>
      <w:r>
        <w:rPr>
          <w:szCs w:val="24"/>
        </w:rPr>
        <w:t>, which includes an EAS surcharge</w:t>
      </w:r>
      <w:r w:rsidRPr="00406FD9">
        <w:rPr>
          <w:szCs w:val="24"/>
        </w:rPr>
        <w:t>.</w:t>
      </w:r>
    </w:p>
    <w:p w:rsidR="002639DA" w:rsidDel="001D1F17" w:rsidRDefault="002639DA" w:rsidP="002639DA">
      <w:pPr>
        <w:pStyle w:val="BodyText"/>
        <w:spacing w:after="0" w:line="480" w:lineRule="atLeast"/>
        <w:ind w:left="720"/>
        <w:rPr>
          <w:b/>
          <w:szCs w:val="24"/>
        </w:rPr>
      </w:pPr>
    </w:p>
    <w:p w:rsidR="002639DA" w:rsidRDefault="002639DA" w:rsidP="002639DA">
      <w:pPr>
        <w:pStyle w:val="BodyText"/>
        <w:keepNext/>
        <w:keepLines/>
        <w:spacing w:after="0"/>
        <w:ind w:left="720" w:hanging="720"/>
        <w:rPr>
          <w:b/>
          <w:szCs w:val="24"/>
        </w:rPr>
      </w:pPr>
      <w:r>
        <w:rPr>
          <w:b/>
          <w:szCs w:val="24"/>
        </w:rPr>
        <w:lastRenderedPageBreak/>
        <w:t>Q.</w:t>
      </w:r>
      <w:r>
        <w:rPr>
          <w:b/>
          <w:szCs w:val="24"/>
        </w:rPr>
        <w:tab/>
      </w:r>
      <w:proofErr w:type="gramStart"/>
      <w:r>
        <w:rPr>
          <w:b/>
          <w:szCs w:val="24"/>
        </w:rPr>
        <w:t>In</w:t>
      </w:r>
      <w:proofErr w:type="gramEnd"/>
      <w:r>
        <w:rPr>
          <w:b/>
          <w:szCs w:val="24"/>
        </w:rPr>
        <w:t xml:space="preserve"> the Frontier proceeding, the Commission required that Frontier maintain statewide average rates for business and residential flat-rated, single party service. Does the AFOR Settlement Agreement have a provision that CenturyLink must maintain a statewide average for one party residential and one party business customers?</w:t>
      </w:r>
    </w:p>
    <w:p w:rsidR="002639DA" w:rsidRPr="00406FD9" w:rsidRDefault="002639DA" w:rsidP="002639DA">
      <w:pPr>
        <w:pStyle w:val="BodyText"/>
        <w:keepNext/>
        <w:keepLines/>
        <w:spacing w:after="0" w:line="480" w:lineRule="atLeast"/>
        <w:ind w:left="630" w:hanging="630"/>
        <w:rPr>
          <w:szCs w:val="24"/>
        </w:rPr>
      </w:pPr>
      <w:r w:rsidRPr="00406FD9">
        <w:rPr>
          <w:szCs w:val="24"/>
        </w:rPr>
        <w:t>A.</w:t>
      </w:r>
      <w:r w:rsidRPr="00406FD9">
        <w:rPr>
          <w:szCs w:val="24"/>
        </w:rPr>
        <w:tab/>
        <w:t xml:space="preserve">There is an initial target rate of $16.40 per month for stand alone, single party residential service. </w:t>
      </w:r>
      <w:r>
        <w:rPr>
          <w:szCs w:val="24"/>
        </w:rPr>
        <w:t xml:space="preserve"> </w:t>
      </w:r>
      <w:r w:rsidRPr="00406FD9">
        <w:rPr>
          <w:szCs w:val="24"/>
        </w:rPr>
        <w:t xml:space="preserve">The initial target rate is a company estimate of a statewide residential rate goal to guide the movement of residential rates during the AFOR period. </w:t>
      </w:r>
      <w:r>
        <w:rPr>
          <w:szCs w:val="24"/>
        </w:rPr>
        <w:t xml:space="preserve"> </w:t>
      </w:r>
      <w:r w:rsidRPr="00406FD9">
        <w:rPr>
          <w:szCs w:val="24"/>
        </w:rPr>
        <w:t xml:space="preserve">The initial target rate can be changed or updated by the company at any time and the manner by which this rate is achieved differs according to what rate is currently in place. </w:t>
      </w:r>
      <w:r>
        <w:rPr>
          <w:szCs w:val="24"/>
        </w:rPr>
        <w:t xml:space="preserve"> </w:t>
      </w:r>
      <w:r w:rsidRPr="00406FD9">
        <w:rPr>
          <w:szCs w:val="24"/>
        </w:rPr>
        <w:t>For those seven exchanges (See Exhibit</w:t>
      </w:r>
      <w:r>
        <w:rPr>
          <w:szCs w:val="24"/>
        </w:rPr>
        <w:t xml:space="preserve"> No. </w:t>
      </w:r>
      <w:r w:rsidRPr="00406FD9">
        <w:rPr>
          <w:szCs w:val="24"/>
        </w:rPr>
        <w:t>___</w:t>
      </w:r>
      <w:r>
        <w:rPr>
          <w:szCs w:val="24"/>
        </w:rPr>
        <w:t xml:space="preserve"> </w:t>
      </w:r>
      <w:r w:rsidRPr="00406FD9">
        <w:rPr>
          <w:szCs w:val="24"/>
        </w:rPr>
        <w:t>(JT-3)</w:t>
      </w:r>
      <w:r>
        <w:rPr>
          <w:szCs w:val="24"/>
        </w:rPr>
        <w:t>,</w:t>
      </w:r>
      <w:r w:rsidRPr="00406FD9">
        <w:rPr>
          <w:szCs w:val="24"/>
        </w:rPr>
        <w:t xml:space="preserve"> </w:t>
      </w:r>
      <w:r>
        <w:rPr>
          <w:szCs w:val="24"/>
        </w:rPr>
        <w:t>where the</w:t>
      </w:r>
      <w:r w:rsidRPr="00406FD9">
        <w:rPr>
          <w:szCs w:val="24"/>
        </w:rPr>
        <w:t xml:space="preserve"> single</w:t>
      </w:r>
      <w:r>
        <w:rPr>
          <w:szCs w:val="24"/>
        </w:rPr>
        <w:t xml:space="preserve"> </w:t>
      </w:r>
      <w:r w:rsidRPr="00406FD9">
        <w:rPr>
          <w:szCs w:val="24"/>
        </w:rPr>
        <w:t>party rate</w:t>
      </w:r>
      <w:r>
        <w:rPr>
          <w:szCs w:val="24"/>
        </w:rPr>
        <w:t>,</w:t>
      </w:r>
      <w:r w:rsidRPr="00406FD9">
        <w:rPr>
          <w:szCs w:val="24"/>
        </w:rPr>
        <w:t xml:space="preserve"> combined with an EAS surcharge</w:t>
      </w:r>
      <w:r>
        <w:rPr>
          <w:szCs w:val="24"/>
        </w:rPr>
        <w:t>,</w:t>
      </w:r>
      <w:r w:rsidRPr="00406FD9">
        <w:rPr>
          <w:szCs w:val="24"/>
        </w:rPr>
        <w:t xml:space="preserve"> exceeds the initial target rate of $16.40, the company will reduce those combined rates to the initial target rate of $16.40.  </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For those exchanges where single party service rates are below the initial target, the parties are cognizant that market pressures could restrict the CenturyLink’s ability to increase residential rates to</w:t>
      </w:r>
      <w:r>
        <w:rPr>
          <w:szCs w:val="24"/>
        </w:rPr>
        <w:t>ward</w:t>
      </w:r>
      <w:r w:rsidRPr="00406FD9">
        <w:rPr>
          <w:szCs w:val="24"/>
        </w:rPr>
        <w:t xml:space="preserve"> the initial target rate. </w:t>
      </w:r>
      <w:r>
        <w:rPr>
          <w:szCs w:val="24"/>
        </w:rPr>
        <w:t xml:space="preserve"> </w:t>
      </w:r>
      <w:r w:rsidRPr="00406FD9">
        <w:rPr>
          <w:szCs w:val="24"/>
        </w:rPr>
        <w:t>Given</w:t>
      </w:r>
      <w:r>
        <w:rPr>
          <w:szCs w:val="24"/>
        </w:rPr>
        <w:t xml:space="preserve"> </w:t>
      </w:r>
      <w:r w:rsidRPr="00406FD9">
        <w:rPr>
          <w:szCs w:val="24"/>
        </w:rPr>
        <w:t xml:space="preserve">effective competition offered by other services, moving residential rates to the initial target rate could result in a situation where the </w:t>
      </w:r>
      <w:r>
        <w:rPr>
          <w:szCs w:val="24"/>
        </w:rPr>
        <w:t>c</w:t>
      </w:r>
      <w:r w:rsidRPr="00406FD9">
        <w:rPr>
          <w:szCs w:val="24"/>
        </w:rPr>
        <w:t>ompany could experience a net revenue loss because of market competition in individual exchanges.</w:t>
      </w:r>
      <w:r>
        <w:rPr>
          <w:szCs w:val="24"/>
        </w:rPr>
        <w:t xml:space="preserve"> </w:t>
      </w:r>
      <w:r w:rsidRPr="00406FD9">
        <w:rPr>
          <w:szCs w:val="24"/>
        </w:rPr>
        <w:t xml:space="preserve"> Therefore, in recognition of the competitive setting</w:t>
      </w:r>
      <w:r>
        <w:rPr>
          <w:szCs w:val="24"/>
        </w:rPr>
        <w:t>,</w:t>
      </w:r>
      <w:r w:rsidRPr="00406FD9">
        <w:rPr>
          <w:szCs w:val="24"/>
        </w:rPr>
        <w:t xml:space="preserve"> </w:t>
      </w:r>
      <w:r>
        <w:rPr>
          <w:szCs w:val="24"/>
        </w:rPr>
        <w:t>the AFOR Settlement Agreement</w:t>
      </w:r>
      <w:r w:rsidRPr="00406FD9">
        <w:rPr>
          <w:szCs w:val="24"/>
        </w:rPr>
        <w:t xml:space="preserve"> has flexibility that allows the company to consider market pressures in those exchanges where the residential rate is </w:t>
      </w:r>
      <w:r>
        <w:rPr>
          <w:szCs w:val="24"/>
        </w:rPr>
        <w:t>below</w:t>
      </w:r>
      <w:r w:rsidRPr="00406FD9">
        <w:rPr>
          <w:szCs w:val="24"/>
        </w:rPr>
        <w:t xml:space="preserve"> the initial target rate. </w:t>
      </w:r>
      <w:r>
        <w:rPr>
          <w:szCs w:val="24"/>
        </w:rPr>
        <w:t xml:space="preserve"> </w:t>
      </w:r>
      <w:r w:rsidRPr="00406FD9">
        <w:rPr>
          <w:szCs w:val="24"/>
        </w:rPr>
        <w:t>Ther</w:t>
      </w:r>
      <w:r>
        <w:rPr>
          <w:szCs w:val="24"/>
        </w:rPr>
        <w:t>e</w:t>
      </w:r>
      <w:r w:rsidRPr="00406FD9">
        <w:rPr>
          <w:szCs w:val="24"/>
        </w:rPr>
        <w:t>fore, given market pressures, the agreement does not specify a time frame by which the company must achieve a sta</w:t>
      </w:r>
      <w:r>
        <w:rPr>
          <w:szCs w:val="24"/>
        </w:rPr>
        <w:t>te</w:t>
      </w:r>
      <w:r w:rsidRPr="00406FD9">
        <w:rPr>
          <w:szCs w:val="24"/>
        </w:rPr>
        <w:t xml:space="preserve">wide rate. </w:t>
      </w:r>
      <w:r>
        <w:rPr>
          <w:szCs w:val="24"/>
        </w:rPr>
        <w:t xml:space="preserve"> </w:t>
      </w:r>
      <w:r w:rsidRPr="00406FD9">
        <w:rPr>
          <w:szCs w:val="24"/>
        </w:rPr>
        <w:t xml:space="preserve">However, in Exception 7 presented above, CenturyLink agrees not to further deaverage the non-recurring and monthly recurring rates for </w:t>
      </w:r>
      <w:proofErr w:type="spellStart"/>
      <w:r w:rsidRPr="00406FD9">
        <w:rPr>
          <w:szCs w:val="24"/>
        </w:rPr>
        <w:t>stand alone</w:t>
      </w:r>
      <w:proofErr w:type="spellEnd"/>
      <w:r w:rsidRPr="00406FD9">
        <w:rPr>
          <w:szCs w:val="24"/>
        </w:rPr>
        <w:t xml:space="preserve"> residential and business services. </w:t>
      </w:r>
      <w:r>
        <w:rPr>
          <w:szCs w:val="24"/>
        </w:rPr>
        <w:t xml:space="preserve"> </w:t>
      </w:r>
      <w:r w:rsidRPr="00406FD9">
        <w:rPr>
          <w:szCs w:val="24"/>
        </w:rPr>
        <w:t>Ex</w:t>
      </w:r>
      <w:r>
        <w:rPr>
          <w:szCs w:val="24"/>
        </w:rPr>
        <w:t>c</w:t>
      </w:r>
      <w:r w:rsidRPr="00406FD9">
        <w:rPr>
          <w:szCs w:val="24"/>
        </w:rPr>
        <w:t>eption 7</w:t>
      </w:r>
      <w:r>
        <w:rPr>
          <w:szCs w:val="24"/>
        </w:rPr>
        <w:t xml:space="preserve"> </w:t>
      </w:r>
      <w:r w:rsidRPr="00406FD9">
        <w:rPr>
          <w:szCs w:val="24"/>
        </w:rPr>
        <w:t xml:space="preserve">affirms that </w:t>
      </w:r>
      <w:r w:rsidRPr="00406FD9">
        <w:rPr>
          <w:szCs w:val="24"/>
        </w:rPr>
        <w:lastRenderedPageBreak/>
        <w:t>statewide stand alone rates are desirable for both CenturyLink and its customers while recognizing market pressures may not allow for a flash cut to statewide rates.</w:t>
      </w:r>
    </w:p>
    <w:p w:rsidR="002639DA" w:rsidRPr="00406FD9" w:rsidRDefault="002639DA" w:rsidP="002639DA">
      <w:pPr>
        <w:pStyle w:val="BodyText"/>
        <w:spacing w:after="0" w:line="480" w:lineRule="atLeast"/>
        <w:ind w:left="720"/>
        <w:rPr>
          <w:szCs w:val="24"/>
        </w:rPr>
      </w:pPr>
    </w:p>
    <w:p w:rsidR="002639DA" w:rsidRPr="00406FD9" w:rsidRDefault="002639DA" w:rsidP="002639DA">
      <w:pPr>
        <w:pStyle w:val="BodyText"/>
        <w:spacing w:after="0" w:line="480" w:lineRule="atLeast"/>
        <w:ind w:left="720"/>
        <w:rPr>
          <w:szCs w:val="24"/>
        </w:rPr>
      </w:pPr>
      <w:r w:rsidRPr="00406FD9">
        <w:rPr>
          <w:szCs w:val="24"/>
        </w:rPr>
        <w:t xml:space="preserve">The net effect of Exception 7 is that residential customers who are being charged rates over $16.40 per month will see a reduction in their rates while customers paying less than the initial target rate will probably experience rate increases </w:t>
      </w:r>
      <w:r>
        <w:rPr>
          <w:szCs w:val="24"/>
        </w:rPr>
        <w:t xml:space="preserve">trending </w:t>
      </w:r>
      <w:r w:rsidRPr="00406FD9">
        <w:rPr>
          <w:szCs w:val="24"/>
        </w:rPr>
        <w:t>towards the initial target rate during the seven</w:t>
      </w:r>
      <w:r>
        <w:rPr>
          <w:szCs w:val="24"/>
        </w:rPr>
        <w:t>-</w:t>
      </w:r>
      <w:r w:rsidRPr="00406FD9">
        <w:rPr>
          <w:szCs w:val="24"/>
        </w:rPr>
        <w:t>year AFOR period</w:t>
      </w:r>
      <w:r>
        <w:rPr>
          <w:szCs w:val="24"/>
        </w:rPr>
        <w:t>,</w:t>
      </w:r>
      <w:r w:rsidRPr="00406FD9">
        <w:rPr>
          <w:szCs w:val="24"/>
        </w:rPr>
        <w:t xml:space="preserve"> but only to the extent market pressures allow an increase in those rates.</w:t>
      </w:r>
    </w:p>
    <w:p w:rsidR="002639DA" w:rsidRPr="00406FD9" w:rsidRDefault="002639DA" w:rsidP="002639DA">
      <w:pPr>
        <w:pStyle w:val="BodyText"/>
        <w:spacing w:after="0" w:line="480" w:lineRule="atLeast"/>
        <w:ind w:left="720"/>
        <w:rPr>
          <w:szCs w:val="24"/>
        </w:rPr>
      </w:pPr>
    </w:p>
    <w:p w:rsidR="002639DA" w:rsidRDefault="002639DA" w:rsidP="002639DA">
      <w:pPr>
        <w:pStyle w:val="BodyText"/>
        <w:spacing w:after="0" w:line="480" w:lineRule="atLeast"/>
        <w:ind w:left="720" w:hanging="720"/>
        <w:rPr>
          <w:b/>
          <w:szCs w:val="24"/>
        </w:rPr>
      </w:pPr>
      <w:r>
        <w:rPr>
          <w:b/>
          <w:szCs w:val="24"/>
        </w:rPr>
        <w:t>Q.</w:t>
      </w:r>
      <w:r>
        <w:rPr>
          <w:b/>
          <w:szCs w:val="24"/>
        </w:rPr>
        <w:tab/>
        <w:t>What will happen to stand alone one party business rates?</w:t>
      </w:r>
    </w:p>
    <w:p w:rsidR="002639DA" w:rsidRPr="00406FD9" w:rsidRDefault="002639DA" w:rsidP="002639DA">
      <w:pPr>
        <w:pStyle w:val="BodyText"/>
        <w:spacing w:after="0" w:line="480" w:lineRule="atLeast"/>
        <w:ind w:left="720" w:hanging="720"/>
        <w:rPr>
          <w:szCs w:val="24"/>
        </w:rPr>
      </w:pPr>
      <w:r w:rsidRPr="00406FD9">
        <w:rPr>
          <w:szCs w:val="24"/>
        </w:rPr>
        <w:t>A.</w:t>
      </w:r>
      <w:r w:rsidRPr="00406FD9">
        <w:rPr>
          <w:szCs w:val="24"/>
        </w:rPr>
        <w:tab/>
        <w:t xml:space="preserve">The same concept that is used for one party combined residential </w:t>
      </w:r>
      <w:proofErr w:type="gramStart"/>
      <w:r w:rsidRPr="00406FD9">
        <w:rPr>
          <w:szCs w:val="24"/>
        </w:rPr>
        <w:t>rates</w:t>
      </w:r>
      <w:proofErr w:type="gramEnd"/>
      <w:r w:rsidRPr="00406FD9">
        <w:rPr>
          <w:szCs w:val="24"/>
        </w:rPr>
        <w:t xml:space="preserve"> will be applied to one party business rates.</w:t>
      </w:r>
      <w:r>
        <w:rPr>
          <w:szCs w:val="24"/>
        </w:rPr>
        <w:t xml:space="preserve"> </w:t>
      </w:r>
      <w:r w:rsidRPr="00406FD9">
        <w:rPr>
          <w:szCs w:val="24"/>
        </w:rPr>
        <w:t xml:space="preserve"> To the extent the combined one party local exchange business rate plus the EAS rate is higher than the initial business target rate</w:t>
      </w:r>
      <w:r>
        <w:rPr>
          <w:szCs w:val="24"/>
        </w:rPr>
        <w:t xml:space="preserve"> (which is $32.10)</w:t>
      </w:r>
      <w:r w:rsidRPr="00406FD9">
        <w:rPr>
          <w:szCs w:val="24"/>
        </w:rPr>
        <w:t xml:space="preserve">, the combined one party business rate will be lowered to the initial business target rate.  </w:t>
      </w:r>
    </w:p>
    <w:p w:rsidR="002639DA" w:rsidRDefault="002639DA" w:rsidP="002639DA">
      <w:pPr>
        <w:pStyle w:val="BodyText"/>
        <w:spacing w:after="0" w:line="480" w:lineRule="atLeast"/>
        <w:ind w:left="720" w:hanging="720"/>
        <w:rPr>
          <w:b/>
          <w:szCs w:val="24"/>
        </w:rPr>
      </w:pPr>
    </w:p>
    <w:p w:rsidR="002639DA" w:rsidRDefault="002639DA" w:rsidP="002639DA">
      <w:pPr>
        <w:pStyle w:val="BodyText"/>
        <w:spacing w:after="0" w:line="480" w:lineRule="atLeast"/>
        <w:ind w:left="720" w:hanging="720"/>
        <w:rPr>
          <w:b/>
          <w:szCs w:val="24"/>
        </w:rPr>
      </w:pPr>
      <w:r>
        <w:rPr>
          <w:b/>
          <w:szCs w:val="24"/>
        </w:rPr>
        <w:t>Q.</w:t>
      </w:r>
      <w:r>
        <w:rPr>
          <w:b/>
          <w:szCs w:val="24"/>
        </w:rPr>
        <w:tab/>
        <w:t>Do you have any other comments concerning the settlement agreement?</w:t>
      </w:r>
    </w:p>
    <w:p w:rsidR="002639DA" w:rsidRPr="00406FD9" w:rsidRDefault="002639DA" w:rsidP="002639DA">
      <w:pPr>
        <w:pStyle w:val="BodyText"/>
        <w:spacing w:after="0" w:line="480" w:lineRule="atLeast"/>
        <w:ind w:left="720" w:hanging="720"/>
        <w:rPr>
          <w:szCs w:val="24"/>
        </w:rPr>
      </w:pPr>
      <w:r w:rsidRPr="00406FD9">
        <w:rPr>
          <w:szCs w:val="24"/>
        </w:rPr>
        <w:t>A.</w:t>
      </w:r>
      <w:r>
        <w:rPr>
          <w:b/>
          <w:szCs w:val="24"/>
        </w:rPr>
        <w:tab/>
      </w:r>
      <w:r w:rsidRPr="00406FD9">
        <w:rPr>
          <w:szCs w:val="24"/>
        </w:rPr>
        <w:t xml:space="preserve">The </w:t>
      </w:r>
      <w:r>
        <w:rPr>
          <w:szCs w:val="24"/>
        </w:rPr>
        <w:t>AFOR S</w:t>
      </w:r>
      <w:r w:rsidRPr="00406FD9">
        <w:rPr>
          <w:szCs w:val="24"/>
        </w:rPr>
        <w:t>ettlement</w:t>
      </w:r>
      <w:r>
        <w:rPr>
          <w:szCs w:val="24"/>
        </w:rPr>
        <w:t xml:space="preserve"> A</w:t>
      </w:r>
      <w:r w:rsidRPr="00406FD9">
        <w:rPr>
          <w:szCs w:val="24"/>
        </w:rPr>
        <w:t xml:space="preserve">greement is </w:t>
      </w:r>
      <w:r>
        <w:rPr>
          <w:szCs w:val="24"/>
        </w:rPr>
        <w:t xml:space="preserve">generally </w:t>
      </w:r>
      <w:r w:rsidRPr="00406FD9">
        <w:rPr>
          <w:szCs w:val="24"/>
        </w:rPr>
        <w:t xml:space="preserve">consistent with the principles the Commission adopted in the </w:t>
      </w:r>
      <w:r>
        <w:rPr>
          <w:szCs w:val="24"/>
        </w:rPr>
        <w:t xml:space="preserve">recent </w:t>
      </w:r>
      <w:r w:rsidRPr="00406FD9">
        <w:rPr>
          <w:szCs w:val="24"/>
        </w:rPr>
        <w:t>Frontier order</w:t>
      </w:r>
      <w:r>
        <w:rPr>
          <w:szCs w:val="24"/>
        </w:rPr>
        <w:t xml:space="preserve">.  The notable </w:t>
      </w:r>
      <w:r w:rsidRPr="00406FD9">
        <w:rPr>
          <w:szCs w:val="24"/>
        </w:rPr>
        <w:t>excep</w:t>
      </w:r>
      <w:r>
        <w:rPr>
          <w:szCs w:val="24"/>
        </w:rPr>
        <w:t>tion is</w:t>
      </w:r>
      <w:r w:rsidRPr="00406FD9">
        <w:rPr>
          <w:szCs w:val="24"/>
        </w:rPr>
        <w:t xml:space="preserve"> </w:t>
      </w:r>
      <w:r>
        <w:rPr>
          <w:szCs w:val="24"/>
        </w:rPr>
        <w:t xml:space="preserve">that CenturyLink is not required to offer one </w:t>
      </w:r>
      <w:r w:rsidRPr="00406FD9">
        <w:rPr>
          <w:szCs w:val="24"/>
        </w:rPr>
        <w:t xml:space="preserve">statewide </w:t>
      </w:r>
      <w:r>
        <w:rPr>
          <w:szCs w:val="24"/>
        </w:rPr>
        <w:t xml:space="preserve">rate for </w:t>
      </w:r>
      <w:r w:rsidRPr="00406FD9">
        <w:rPr>
          <w:szCs w:val="24"/>
        </w:rPr>
        <w:t>one party residential and business</w:t>
      </w:r>
      <w:r>
        <w:rPr>
          <w:szCs w:val="24"/>
        </w:rPr>
        <w:t xml:space="preserve"> </w:t>
      </w:r>
      <w:proofErr w:type="gramStart"/>
      <w:r>
        <w:rPr>
          <w:szCs w:val="24"/>
        </w:rPr>
        <w:t>services</w:t>
      </w:r>
      <w:proofErr w:type="gramEnd"/>
      <w:r>
        <w:rPr>
          <w:szCs w:val="24"/>
        </w:rPr>
        <w:t xml:space="preserve"> respectively, as discussed above.  Given the CenturyLink context, with its recent acquisitions of various ILECs that each offer different rates, coupled with the competitive nature of the market, </w:t>
      </w:r>
      <w:r w:rsidRPr="00406FD9">
        <w:rPr>
          <w:szCs w:val="24"/>
        </w:rPr>
        <w:t>the solution in this agreement is sound and well thought out based upon regulatory principles and market pressures.</w:t>
      </w:r>
    </w:p>
    <w:p w:rsidR="002639DA" w:rsidRDefault="002639DA" w:rsidP="002639DA">
      <w:pPr>
        <w:pStyle w:val="BodyText"/>
        <w:spacing w:after="0" w:line="480" w:lineRule="atLeast"/>
        <w:rPr>
          <w:b/>
          <w:szCs w:val="24"/>
        </w:rPr>
      </w:pPr>
    </w:p>
    <w:p w:rsidR="002639DA" w:rsidRPr="00406FD9" w:rsidRDefault="002639DA" w:rsidP="002639DA">
      <w:pPr>
        <w:pStyle w:val="BodyText"/>
        <w:spacing w:after="0" w:line="480" w:lineRule="atLeast"/>
        <w:ind w:left="720" w:hanging="720"/>
        <w:rPr>
          <w:szCs w:val="24"/>
        </w:rPr>
      </w:pPr>
      <w:r>
        <w:rPr>
          <w:b/>
          <w:szCs w:val="24"/>
        </w:rPr>
        <w:lastRenderedPageBreak/>
        <w:tab/>
      </w:r>
      <w:r w:rsidRPr="00406FD9">
        <w:rPr>
          <w:szCs w:val="24"/>
        </w:rPr>
        <w:t>The waivers of laws and rules in Appendix A generally conform to those waivers recently granted by the Commission to Frontier with the following exceptions:</w:t>
      </w:r>
    </w:p>
    <w:p w:rsidR="002639DA" w:rsidRPr="00406FD9" w:rsidRDefault="002639DA" w:rsidP="002639DA">
      <w:pPr>
        <w:pStyle w:val="BodyText"/>
        <w:numPr>
          <w:ilvl w:val="0"/>
          <w:numId w:val="31"/>
        </w:numPr>
        <w:spacing w:after="0" w:line="480" w:lineRule="atLeast"/>
        <w:rPr>
          <w:szCs w:val="24"/>
        </w:rPr>
      </w:pPr>
      <w:r w:rsidRPr="00406FD9">
        <w:rPr>
          <w:szCs w:val="24"/>
        </w:rPr>
        <w:t>Accounting, WAC 480-120-359</w:t>
      </w:r>
      <w:r>
        <w:rPr>
          <w:szCs w:val="24"/>
        </w:rPr>
        <w:t>.  T</w:t>
      </w:r>
      <w:r w:rsidRPr="00406FD9">
        <w:rPr>
          <w:szCs w:val="24"/>
        </w:rPr>
        <w:t xml:space="preserve">he company will use the same accounting method it uses to maintain books for Federal Communications Commission purposes. </w:t>
      </w:r>
      <w:r>
        <w:rPr>
          <w:szCs w:val="24"/>
        </w:rPr>
        <w:t xml:space="preserve"> </w:t>
      </w:r>
      <w:r w:rsidRPr="00406FD9">
        <w:rPr>
          <w:szCs w:val="24"/>
        </w:rPr>
        <w:t xml:space="preserve">This waiver was previously granted to Qwest in its first AFOR proceeding </w:t>
      </w:r>
      <w:r>
        <w:rPr>
          <w:szCs w:val="24"/>
        </w:rPr>
        <w:t xml:space="preserve">in </w:t>
      </w:r>
      <w:r w:rsidRPr="00406FD9">
        <w:rPr>
          <w:szCs w:val="24"/>
        </w:rPr>
        <w:t>Docket UT-161625, Order 06, dated July 24, 2007.</w:t>
      </w:r>
    </w:p>
    <w:p w:rsidR="002639DA" w:rsidRPr="00406FD9" w:rsidRDefault="002639DA" w:rsidP="002639DA">
      <w:pPr>
        <w:pStyle w:val="BodyText"/>
        <w:spacing w:after="0" w:line="480" w:lineRule="atLeast"/>
        <w:rPr>
          <w:szCs w:val="24"/>
        </w:rPr>
      </w:pPr>
    </w:p>
    <w:p w:rsidR="002639DA" w:rsidRPr="00406FD9" w:rsidRDefault="002639DA" w:rsidP="002639DA">
      <w:pPr>
        <w:pStyle w:val="BodyText"/>
        <w:numPr>
          <w:ilvl w:val="0"/>
          <w:numId w:val="31"/>
        </w:numPr>
        <w:spacing w:after="0" w:line="480" w:lineRule="atLeast"/>
        <w:rPr>
          <w:szCs w:val="24"/>
        </w:rPr>
      </w:pPr>
      <w:r w:rsidRPr="00406FD9">
        <w:rPr>
          <w:szCs w:val="24"/>
        </w:rPr>
        <w:t>Customer Service Guarantee Program, 17</w:t>
      </w:r>
      <w:r w:rsidRPr="00406FD9">
        <w:rPr>
          <w:szCs w:val="24"/>
          <w:vertAlign w:val="superscript"/>
        </w:rPr>
        <w:t>th</w:t>
      </w:r>
      <w:r w:rsidRPr="00406FD9">
        <w:rPr>
          <w:szCs w:val="24"/>
        </w:rPr>
        <w:t xml:space="preserve"> Supplemental Order in UT-991358 and Order 14 in UT-100820</w:t>
      </w:r>
      <w:r>
        <w:rPr>
          <w:szCs w:val="24"/>
        </w:rPr>
        <w:t>.  T</w:t>
      </w:r>
      <w:r w:rsidRPr="00406FD9">
        <w:rPr>
          <w:szCs w:val="24"/>
        </w:rPr>
        <w:t>he Parties agree that</w:t>
      </w:r>
      <w:r>
        <w:rPr>
          <w:szCs w:val="24"/>
        </w:rPr>
        <w:t xml:space="preserve">, given </w:t>
      </w:r>
      <w:r w:rsidRPr="00406FD9">
        <w:rPr>
          <w:szCs w:val="24"/>
        </w:rPr>
        <w:t>the level of competition CenturyLink</w:t>
      </w:r>
      <w:r>
        <w:rPr>
          <w:szCs w:val="24"/>
        </w:rPr>
        <w:t xml:space="preserve"> faces in its Washington</w:t>
      </w:r>
      <w:r w:rsidRPr="00406FD9">
        <w:rPr>
          <w:szCs w:val="24"/>
        </w:rPr>
        <w:t xml:space="preserve"> market</w:t>
      </w:r>
      <w:r>
        <w:rPr>
          <w:szCs w:val="24"/>
        </w:rPr>
        <w:t>,</w:t>
      </w:r>
      <w:r w:rsidRPr="00406FD9">
        <w:rPr>
          <w:szCs w:val="24"/>
        </w:rPr>
        <w:t xml:space="preserve"> this regulatory mandate is no longer necessary.</w:t>
      </w:r>
    </w:p>
    <w:p w:rsidR="002639DA" w:rsidRPr="0084763B" w:rsidRDefault="002639DA" w:rsidP="002639DA">
      <w:pPr>
        <w:pStyle w:val="BodyText"/>
        <w:spacing w:after="0" w:line="480" w:lineRule="atLeast"/>
        <w:ind w:left="720" w:hanging="720"/>
        <w:rPr>
          <w:szCs w:val="24"/>
        </w:rPr>
      </w:pPr>
      <w:r w:rsidRPr="0084763B">
        <w:rPr>
          <w:szCs w:val="24"/>
        </w:rPr>
        <w:tab/>
      </w:r>
    </w:p>
    <w:p w:rsidR="002639DA" w:rsidRDefault="002639DA" w:rsidP="002639DA">
      <w:pPr>
        <w:pStyle w:val="BodyText"/>
        <w:spacing w:after="0" w:line="480" w:lineRule="atLeast"/>
        <w:ind w:left="720" w:hanging="720"/>
        <w:rPr>
          <w:b/>
          <w:szCs w:val="24"/>
        </w:rPr>
      </w:pPr>
      <w:r>
        <w:rPr>
          <w:b/>
          <w:szCs w:val="24"/>
        </w:rPr>
        <w:t>Q.</w:t>
      </w:r>
      <w:r>
        <w:rPr>
          <w:b/>
          <w:szCs w:val="24"/>
        </w:rPr>
        <w:tab/>
        <w:t>Does this conclude Staff’s discussion of the AFOR Settlement Agreement?</w:t>
      </w:r>
    </w:p>
    <w:p w:rsidR="002639DA" w:rsidRDefault="002639DA" w:rsidP="002639DA">
      <w:pPr>
        <w:pStyle w:val="BodyText"/>
        <w:spacing w:after="0" w:line="480" w:lineRule="atLeast"/>
        <w:ind w:left="720" w:hanging="720"/>
        <w:rPr>
          <w:szCs w:val="24"/>
        </w:rPr>
      </w:pPr>
      <w:r w:rsidRPr="00406FD9">
        <w:rPr>
          <w:szCs w:val="24"/>
        </w:rPr>
        <w:t>A.</w:t>
      </w:r>
      <w:r w:rsidRPr="00406FD9">
        <w:rPr>
          <w:szCs w:val="24"/>
        </w:rPr>
        <w:tab/>
      </w:r>
      <w:r>
        <w:rPr>
          <w:szCs w:val="24"/>
        </w:rPr>
        <w:t>Yes it does.</w:t>
      </w:r>
    </w:p>
    <w:p w:rsidR="00F45170" w:rsidRDefault="00F45170" w:rsidP="00F22DD7">
      <w:pPr>
        <w:pStyle w:val="BodyText"/>
        <w:spacing w:after="0" w:line="480" w:lineRule="atLeast"/>
        <w:ind w:left="720" w:hanging="720"/>
        <w:rPr>
          <w:szCs w:val="24"/>
        </w:rPr>
      </w:pPr>
    </w:p>
    <w:p w:rsidR="00F45170" w:rsidRDefault="00F45170" w:rsidP="002639DA">
      <w:pPr>
        <w:pStyle w:val="BodyText"/>
        <w:spacing w:after="0" w:line="480" w:lineRule="atLeast"/>
        <w:ind w:left="720" w:hanging="720"/>
        <w:jc w:val="center"/>
        <w:rPr>
          <w:b/>
          <w:caps/>
        </w:rPr>
      </w:pPr>
      <w:r>
        <w:rPr>
          <w:b/>
          <w:szCs w:val="24"/>
        </w:rPr>
        <w:t>V</w:t>
      </w:r>
      <w:r w:rsidR="0046658C">
        <w:rPr>
          <w:b/>
          <w:szCs w:val="24"/>
        </w:rPr>
        <w:t>I</w:t>
      </w:r>
      <w:r>
        <w:rPr>
          <w:b/>
          <w:szCs w:val="24"/>
        </w:rPr>
        <w:t>.</w:t>
      </w:r>
      <w:r>
        <w:rPr>
          <w:b/>
          <w:szCs w:val="24"/>
        </w:rPr>
        <w:tab/>
      </w:r>
      <w:r>
        <w:rPr>
          <w:b/>
          <w:caps/>
        </w:rPr>
        <w:t>public counsel testimony</w:t>
      </w:r>
    </w:p>
    <w:p w:rsidR="00F45170" w:rsidRDefault="00F45170" w:rsidP="002639DA">
      <w:pPr>
        <w:pStyle w:val="BodyText"/>
        <w:spacing w:after="0" w:line="480" w:lineRule="atLeast"/>
        <w:ind w:left="720" w:hanging="720"/>
        <w:jc w:val="center"/>
        <w:rPr>
          <w:b/>
          <w:caps/>
        </w:rPr>
      </w:pPr>
    </w:p>
    <w:p w:rsidR="00F45170" w:rsidRDefault="00F45170" w:rsidP="002639DA">
      <w:pPr>
        <w:pStyle w:val="BodyText"/>
        <w:spacing w:after="0"/>
        <w:ind w:left="720" w:hanging="720"/>
        <w:rPr>
          <w:b/>
          <w:szCs w:val="24"/>
        </w:rPr>
      </w:pPr>
      <w:r>
        <w:rPr>
          <w:b/>
          <w:szCs w:val="24"/>
        </w:rPr>
        <w:t>Q.</w:t>
      </w:r>
      <w:r>
        <w:rPr>
          <w:b/>
          <w:szCs w:val="24"/>
        </w:rPr>
        <w:tab/>
        <w:t>Ms. Johnson, please provide information pertaining to your educational background and professional experience.</w:t>
      </w:r>
    </w:p>
    <w:p w:rsidR="00F45170" w:rsidRDefault="00F45170" w:rsidP="002639DA">
      <w:pPr>
        <w:pStyle w:val="BodyText"/>
        <w:spacing w:after="0" w:line="480" w:lineRule="atLeast"/>
        <w:ind w:left="720" w:hanging="720"/>
        <w:rPr>
          <w:szCs w:val="24"/>
        </w:rPr>
      </w:pPr>
      <w:r w:rsidRPr="00F22DD7">
        <w:rPr>
          <w:b/>
          <w:bCs/>
          <w:szCs w:val="24"/>
        </w:rPr>
        <w:t>A.</w:t>
      </w:r>
      <w:r>
        <w:rPr>
          <w:bCs/>
          <w:szCs w:val="24"/>
        </w:rPr>
        <w:tab/>
      </w:r>
      <w:r>
        <w:rPr>
          <w:szCs w:val="24"/>
        </w:rPr>
        <w:t xml:space="preserve">My name is Stefanie Johnson and my business address is 800 Fifth Avenue, Suite 2000, Seattle, Washington, 98104.  I am employed as a Regulatory Analyst with the Public Counsel Section of the Washington Attorney General’s Office.  </w:t>
      </w:r>
    </w:p>
    <w:p w:rsidR="00F45170" w:rsidRDefault="00F45170" w:rsidP="00F22DD7">
      <w:pPr>
        <w:pStyle w:val="BodyText"/>
        <w:spacing w:after="0" w:line="480" w:lineRule="atLeast"/>
        <w:ind w:left="720" w:hanging="720"/>
        <w:rPr>
          <w:szCs w:val="24"/>
        </w:rPr>
      </w:pPr>
      <w:r>
        <w:rPr>
          <w:szCs w:val="24"/>
        </w:rPr>
        <w:tab/>
        <w:t xml:space="preserve">I received a B.A. in Political Studies and History from Whitworth University in 2002.  In 2005, I received a Master of Public Administration degree from the Evans School of Public Affairs at the University of Washington.  Since joining Public Counsel in </w:t>
      </w:r>
      <w:r>
        <w:rPr>
          <w:szCs w:val="24"/>
        </w:rPr>
        <w:lastRenderedPageBreak/>
        <w:t>December 2005, I have worked on a wide range of energy and telecommunication issues and cases</w:t>
      </w:r>
      <w:r w:rsidR="00CD4552">
        <w:rPr>
          <w:szCs w:val="24"/>
        </w:rPr>
        <w:t>.</w:t>
      </w:r>
      <w:r>
        <w:rPr>
          <w:szCs w:val="24"/>
        </w:rPr>
        <w:t xml:space="preserve"> </w:t>
      </w:r>
    </w:p>
    <w:p w:rsidR="00F45170" w:rsidRDefault="00F45170" w:rsidP="00F22DD7">
      <w:pPr>
        <w:pStyle w:val="BodyText"/>
        <w:spacing w:after="0" w:line="480" w:lineRule="atLeast"/>
        <w:ind w:left="720" w:hanging="720"/>
        <w:rPr>
          <w:szCs w:val="24"/>
        </w:rPr>
      </w:pPr>
      <w:r>
        <w:rPr>
          <w:szCs w:val="24"/>
        </w:rPr>
        <w:tab/>
        <w:t>I testified before the Commission as part of settlement panel in support of the Settlement Agreement in the CenturyTel/Embarq merger (Docket No. UT-082119)</w:t>
      </w:r>
      <w:r w:rsidR="00AA086D">
        <w:rPr>
          <w:szCs w:val="24"/>
        </w:rPr>
        <w:t xml:space="preserve">, </w:t>
      </w:r>
      <w:proofErr w:type="spellStart"/>
      <w:r>
        <w:rPr>
          <w:szCs w:val="24"/>
        </w:rPr>
        <w:t>Avista</w:t>
      </w:r>
      <w:proofErr w:type="spellEnd"/>
      <w:r>
        <w:rPr>
          <w:szCs w:val="24"/>
        </w:rPr>
        <w:t xml:space="preserve"> Utilities’ 2010 General Rate Case (Docket</w:t>
      </w:r>
      <w:r w:rsidR="00AA086D">
        <w:rPr>
          <w:szCs w:val="24"/>
        </w:rPr>
        <w:t>s</w:t>
      </w:r>
      <w:r>
        <w:rPr>
          <w:szCs w:val="24"/>
        </w:rPr>
        <w:t xml:space="preserve"> UE-100467 and UG-100468)</w:t>
      </w:r>
      <w:r w:rsidR="00CD4552">
        <w:rPr>
          <w:szCs w:val="24"/>
        </w:rPr>
        <w:t xml:space="preserve">, </w:t>
      </w:r>
      <w:r w:rsidR="00CD4552">
        <w:t>the CenturyLink/Qwest Merger (Docket UT-100820), Frontier’s Petition for Competitive Classification (Docket UT-121944), and the Puget Sound Energy 2013 Power Cost Only Rate Case (Docket UE-130617, et al).</w:t>
      </w:r>
      <w:r>
        <w:rPr>
          <w:szCs w:val="24"/>
        </w:rPr>
        <w:t xml:space="preserve">  I have also presented before this Commission at Open Meetings on various issues.</w:t>
      </w:r>
    </w:p>
    <w:p w:rsidR="00F23C4C" w:rsidRDefault="00F23C4C" w:rsidP="00F22DD7">
      <w:pPr>
        <w:pStyle w:val="BodyText"/>
        <w:spacing w:after="0" w:line="480" w:lineRule="atLeast"/>
        <w:ind w:left="720" w:hanging="720"/>
        <w:rPr>
          <w:szCs w:val="24"/>
        </w:rPr>
      </w:pPr>
    </w:p>
    <w:p w:rsidR="00F45170" w:rsidRDefault="00F45170" w:rsidP="00F22DD7">
      <w:pPr>
        <w:pStyle w:val="BodyText"/>
        <w:spacing w:after="0" w:line="480" w:lineRule="atLeast"/>
        <w:ind w:left="720" w:hanging="720"/>
        <w:rPr>
          <w:b/>
          <w:szCs w:val="24"/>
        </w:rPr>
      </w:pPr>
      <w:r>
        <w:rPr>
          <w:b/>
          <w:szCs w:val="24"/>
        </w:rPr>
        <w:t xml:space="preserve">Q. </w:t>
      </w:r>
      <w:r>
        <w:rPr>
          <w:b/>
          <w:szCs w:val="24"/>
        </w:rPr>
        <w:tab/>
        <w:t>Please explain Public Counsel’s involvement in this case.</w:t>
      </w:r>
    </w:p>
    <w:p w:rsidR="00F45170" w:rsidRDefault="00F45170" w:rsidP="00F22DD7">
      <w:pPr>
        <w:pStyle w:val="BodyText"/>
        <w:spacing w:after="0" w:line="480" w:lineRule="atLeast"/>
        <w:ind w:left="720" w:hanging="720"/>
        <w:rPr>
          <w:szCs w:val="24"/>
        </w:rPr>
      </w:pPr>
      <w:r w:rsidRPr="00F22DD7">
        <w:rPr>
          <w:b/>
          <w:szCs w:val="24"/>
        </w:rPr>
        <w:t>A.</w:t>
      </w:r>
      <w:r>
        <w:rPr>
          <w:szCs w:val="24"/>
        </w:rPr>
        <w:t xml:space="preserve"> </w:t>
      </w:r>
      <w:r>
        <w:rPr>
          <w:szCs w:val="24"/>
        </w:rPr>
        <w:tab/>
        <w:t>Public Counsel actively participated in this case, reviewing testimony, issuing data requests, reviewing discovery by Staff and other parties, communicating with other parties about issues, and participating in settlement discussions.</w:t>
      </w:r>
      <w:r w:rsidR="00CD4552">
        <w:rPr>
          <w:szCs w:val="24"/>
        </w:rPr>
        <w:t xml:space="preserve"> </w:t>
      </w:r>
    </w:p>
    <w:p w:rsidR="002639DA" w:rsidRDefault="002639DA" w:rsidP="00F22DD7">
      <w:pPr>
        <w:pStyle w:val="BodyText"/>
        <w:spacing w:after="0" w:line="480" w:lineRule="atLeast"/>
        <w:ind w:left="720" w:hanging="720"/>
        <w:rPr>
          <w:szCs w:val="24"/>
        </w:rPr>
      </w:pPr>
    </w:p>
    <w:p w:rsidR="00F45170" w:rsidRDefault="00F45170" w:rsidP="00F22DD7">
      <w:pPr>
        <w:pStyle w:val="BodyText"/>
        <w:spacing w:after="0" w:line="480" w:lineRule="atLeast"/>
        <w:ind w:left="720" w:hanging="720"/>
        <w:rPr>
          <w:b/>
          <w:szCs w:val="24"/>
        </w:rPr>
      </w:pPr>
      <w:r>
        <w:rPr>
          <w:b/>
          <w:szCs w:val="24"/>
        </w:rPr>
        <w:t xml:space="preserve">Q. </w:t>
      </w:r>
      <w:r>
        <w:rPr>
          <w:b/>
          <w:szCs w:val="24"/>
        </w:rPr>
        <w:tab/>
        <w:t xml:space="preserve">What were some of the key issues and concerns Public Counsel considered in the review of the proposed transaction? </w:t>
      </w:r>
    </w:p>
    <w:p w:rsidR="00F45170" w:rsidRDefault="00F45170" w:rsidP="00F22DD7">
      <w:pPr>
        <w:pStyle w:val="BodyText"/>
        <w:spacing w:after="0" w:line="480" w:lineRule="atLeast"/>
        <w:ind w:left="720" w:hanging="720"/>
        <w:rPr>
          <w:szCs w:val="24"/>
        </w:rPr>
      </w:pPr>
      <w:r>
        <w:rPr>
          <w:b/>
          <w:szCs w:val="24"/>
        </w:rPr>
        <w:t>A.</w:t>
      </w:r>
      <w:r>
        <w:rPr>
          <w:b/>
          <w:szCs w:val="24"/>
        </w:rPr>
        <w:tab/>
      </w:r>
      <w:r w:rsidR="00BA0E4F">
        <w:rPr>
          <w:szCs w:val="24"/>
        </w:rPr>
        <w:t>While CenturyLink has experienced increased competition and line loss, the market for alternative providers of residential services is geographically segmented.  Public Counsel was interested in maintaining protections for customers for whom alternative services are not available, reasonable or reliable option.  Public Counsel was particularly concerned with balancing the need for increased flexibility with the need for important consumer protections.</w:t>
      </w:r>
    </w:p>
    <w:p w:rsidR="00F23C4C" w:rsidRDefault="00F23C4C" w:rsidP="00F22DD7">
      <w:pPr>
        <w:pStyle w:val="BodyText"/>
        <w:spacing w:after="0" w:line="480" w:lineRule="atLeast"/>
        <w:ind w:left="720" w:hanging="720"/>
        <w:rPr>
          <w:szCs w:val="24"/>
        </w:rPr>
      </w:pPr>
    </w:p>
    <w:p w:rsidR="00F45170" w:rsidRDefault="00F45170" w:rsidP="00E42DE4">
      <w:pPr>
        <w:pStyle w:val="BodyText"/>
        <w:spacing w:after="0" w:line="480" w:lineRule="atLeast"/>
        <w:ind w:left="720" w:hanging="720"/>
        <w:rPr>
          <w:b/>
          <w:szCs w:val="24"/>
        </w:rPr>
      </w:pPr>
      <w:r>
        <w:rPr>
          <w:b/>
          <w:szCs w:val="24"/>
        </w:rPr>
        <w:lastRenderedPageBreak/>
        <w:t>Q.</w:t>
      </w:r>
      <w:r>
        <w:rPr>
          <w:b/>
          <w:szCs w:val="24"/>
        </w:rPr>
        <w:tab/>
        <w:t>Why does Public Counsel support the Settlement Agreement?</w:t>
      </w:r>
    </w:p>
    <w:p w:rsidR="00BA0E4F" w:rsidRDefault="00F45170" w:rsidP="00E42DE4">
      <w:pPr>
        <w:pStyle w:val="BodyText"/>
        <w:spacing w:after="0" w:line="480" w:lineRule="atLeast"/>
        <w:ind w:left="720" w:hanging="720"/>
        <w:rPr>
          <w:szCs w:val="24"/>
        </w:rPr>
      </w:pPr>
      <w:r w:rsidRPr="0084763B">
        <w:rPr>
          <w:b/>
          <w:szCs w:val="24"/>
        </w:rPr>
        <w:t>A.</w:t>
      </w:r>
      <w:r w:rsidRPr="0084763B">
        <w:rPr>
          <w:b/>
          <w:szCs w:val="24"/>
        </w:rPr>
        <w:tab/>
      </w:r>
      <w:r w:rsidR="00BA0E4F">
        <w:rPr>
          <w:szCs w:val="24"/>
        </w:rPr>
        <w:t>The Settlement Agreement grants CenturyLink flexibility, and also contains several elements that maintain important consumer protections, including the following:</w:t>
      </w:r>
    </w:p>
    <w:p w:rsidR="00BA0E4F" w:rsidRDefault="00BA0E4F" w:rsidP="00BA0E4F">
      <w:pPr>
        <w:pStyle w:val="BodyText"/>
        <w:numPr>
          <w:ilvl w:val="0"/>
          <w:numId w:val="30"/>
        </w:numPr>
        <w:spacing w:after="0" w:line="480" w:lineRule="atLeast"/>
        <w:rPr>
          <w:szCs w:val="24"/>
        </w:rPr>
      </w:pPr>
      <w:r w:rsidRPr="00ED1DB9">
        <w:rPr>
          <w:b/>
          <w:szCs w:val="24"/>
        </w:rPr>
        <w:t>Se</w:t>
      </w:r>
      <w:r>
        <w:rPr>
          <w:b/>
          <w:szCs w:val="24"/>
        </w:rPr>
        <w:t>rvice quality reporting</w:t>
      </w:r>
      <w:r w:rsidRPr="00ED1DB9">
        <w:rPr>
          <w:b/>
          <w:szCs w:val="24"/>
        </w:rPr>
        <w:t>.</w:t>
      </w:r>
      <w:r>
        <w:rPr>
          <w:szCs w:val="24"/>
        </w:rPr>
        <w:t xml:space="preserve"> </w:t>
      </w:r>
      <w:r w:rsidRPr="004B1FDF">
        <w:rPr>
          <w:bCs/>
          <w:szCs w:val="24"/>
        </w:rPr>
        <w:t>CenturyLink will provide service quality reporting consistent with the ‘Class A’ company reporting requirements in WAC 480-120-439(1).</w:t>
      </w:r>
    </w:p>
    <w:p w:rsidR="00BA0E4F" w:rsidRDefault="00BA0E4F" w:rsidP="00BA0E4F">
      <w:pPr>
        <w:pStyle w:val="BodyText"/>
        <w:numPr>
          <w:ilvl w:val="0"/>
          <w:numId w:val="30"/>
        </w:numPr>
        <w:spacing w:after="0" w:line="480" w:lineRule="atLeast"/>
        <w:rPr>
          <w:szCs w:val="24"/>
        </w:rPr>
      </w:pPr>
      <w:r w:rsidRPr="00ED1DB9">
        <w:rPr>
          <w:b/>
          <w:szCs w:val="24"/>
        </w:rPr>
        <w:t>Stand</w:t>
      </w:r>
      <w:r>
        <w:rPr>
          <w:b/>
          <w:szCs w:val="24"/>
        </w:rPr>
        <w:t>-</w:t>
      </w:r>
      <w:r w:rsidRPr="00ED1DB9">
        <w:rPr>
          <w:b/>
          <w:szCs w:val="24"/>
        </w:rPr>
        <w:t>alone voice service</w:t>
      </w:r>
      <w:r>
        <w:rPr>
          <w:szCs w:val="24"/>
        </w:rPr>
        <w:t xml:space="preserve">. </w:t>
      </w:r>
      <w:r w:rsidRPr="004B1FDF">
        <w:t xml:space="preserve">CenturyLink </w:t>
      </w:r>
      <w:r>
        <w:t xml:space="preserve">cannot discontinue </w:t>
      </w:r>
      <w:r w:rsidRPr="004B1FDF">
        <w:t xml:space="preserve">flat-rated stand alone residential or business exchange services </w:t>
      </w:r>
      <w:r>
        <w:t>without Commission approval</w:t>
      </w:r>
      <w:r w:rsidRPr="004B1FDF">
        <w:t>.</w:t>
      </w:r>
    </w:p>
    <w:p w:rsidR="00BA0E4F" w:rsidRPr="00A620AF" w:rsidRDefault="00BA0E4F" w:rsidP="00BA0E4F">
      <w:pPr>
        <w:pStyle w:val="BodyText"/>
        <w:numPr>
          <w:ilvl w:val="0"/>
          <w:numId w:val="30"/>
        </w:numPr>
        <w:spacing w:after="0" w:line="480" w:lineRule="atLeast"/>
        <w:rPr>
          <w:b/>
          <w:szCs w:val="24"/>
        </w:rPr>
      </w:pPr>
      <w:r w:rsidRPr="00A620AF">
        <w:rPr>
          <w:b/>
          <w:szCs w:val="24"/>
        </w:rPr>
        <w:t>Public interest services</w:t>
      </w:r>
      <w:r>
        <w:rPr>
          <w:b/>
          <w:szCs w:val="24"/>
        </w:rPr>
        <w:t xml:space="preserve">. </w:t>
      </w:r>
      <w:r w:rsidRPr="00A620AF">
        <w:rPr>
          <w:b/>
          <w:szCs w:val="24"/>
        </w:rPr>
        <w:t xml:space="preserve"> </w:t>
      </w:r>
      <w:r>
        <w:rPr>
          <w:szCs w:val="24"/>
        </w:rPr>
        <w:t xml:space="preserve">WTAP, Lifeline and Link-up programs, 911 and E-911 will remain in tariff. </w:t>
      </w:r>
    </w:p>
    <w:p w:rsidR="00BA0E4F" w:rsidRDefault="00BA0E4F" w:rsidP="00BA0E4F">
      <w:pPr>
        <w:pStyle w:val="BodyText"/>
        <w:numPr>
          <w:ilvl w:val="0"/>
          <w:numId w:val="30"/>
        </w:numPr>
        <w:spacing w:after="0" w:line="480" w:lineRule="atLeast"/>
        <w:rPr>
          <w:szCs w:val="24"/>
        </w:rPr>
      </w:pPr>
      <w:r>
        <w:rPr>
          <w:b/>
          <w:szCs w:val="24"/>
        </w:rPr>
        <w:t xml:space="preserve">Limitation on geographic de-averaging. </w:t>
      </w:r>
      <w:r>
        <w:rPr>
          <w:szCs w:val="24"/>
        </w:rPr>
        <w:t xml:space="preserve">Under the Settlement, CenturyLink agrees not to further geographically de-average the rates for stand alone business and residential service. </w:t>
      </w:r>
    </w:p>
    <w:p w:rsidR="00BA0E4F" w:rsidRDefault="00BA0E4F" w:rsidP="00BA0E4F">
      <w:pPr>
        <w:pStyle w:val="BodyText"/>
        <w:spacing w:after="0" w:line="480" w:lineRule="atLeast"/>
        <w:ind w:left="765"/>
        <w:rPr>
          <w:szCs w:val="24"/>
        </w:rPr>
      </w:pPr>
      <w:r>
        <w:rPr>
          <w:szCs w:val="24"/>
        </w:rPr>
        <w:t>Additionally, CenturyLink has committed to work toward normalizing rates for flat-rated stand alone residential exchange service among its five ILEC operating companies. This rate normalization will help provide customers without competitive options to benefit from the rates set in competitive areas. We are pleased that any rate changes for this service will be provided to the Commission and all parties, as well as up-to-date information about all then-current rates of the ILEC operating companies  This will allow parties to be able to monitor CenturyLink’s progress toward rate normalization.</w:t>
      </w:r>
    </w:p>
    <w:p w:rsidR="00F23C4C" w:rsidRDefault="00F23C4C" w:rsidP="00BA0E4F">
      <w:pPr>
        <w:pStyle w:val="BodyText"/>
        <w:spacing w:after="0" w:line="480" w:lineRule="atLeast"/>
        <w:ind w:left="765"/>
        <w:rPr>
          <w:szCs w:val="24"/>
        </w:rPr>
      </w:pPr>
    </w:p>
    <w:p w:rsidR="00F45170" w:rsidRDefault="00F45170" w:rsidP="00E42DE4">
      <w:pPr>
        <w:pStyle w:val="BodyText"/>
        <w:spacing w:after="0" w:line="480" w:lineRule="atLeast"/>
        <w:ind w:left="720" w:hanging="720"/>
        <w:rPr>
          <w:b/>
          <w:szCs w:val="24"/>
        </w:rPr>
      </w:pPr>
      <w:r>
        <w:rPr>
          <w:b/>
          <w:szCs w:val="24"/>
        </w:rPr>
        <w:t xml:space="preserve">Q. </w:t>
      </w:r>
      <w:r>
        <w:rPr>
          <w:b/>
          <w:szCs w:val="24"/>
        </w:rPr>
        <w:tab/>
        <w:t>Is the Settlement Agreement in the Public Interest?</w:t>
      </w:r>
      <w:r>
        <w:rPr>
          <w:b/>
          <w:szCs w:val="24"/>
        </w:rPr>
        <w:tab/>
      </w:r>
    </w:p>
    <w:p w:rsidR="00F45170" w:rsidRDefault="00F45170" w:rsidP="00E42DE4">
      <w:pPr>
        <w:pStyle w:val="BodyText"/>
        <w:spacing w:after="0" w:line="480" w:lineRule="atLeast"/>
        <w:ind w:left="720" w:hanging="720"/>
        <w:rPr>
          <w:szCs w:val="24"/>
        </w:rPr>
      </w:pPr>
      <w:r w:rsidRPr="0084763B">
        <w:rPr>
          <w:b/>
          <w:szCs w:val="24"/>
        </w:rPr>
        <w:t>A.</w:t>
      </w:r>
      <w:r>
        <w:rPr>
          <w:szCs w:val="24"/>
        </w:rPr>
        <w:tab/>
      </w:r>
      <w:r w:rsidR="002639A8">
        <w:rPr>
          <w:szCs w:val="24"/>
        </w:rPr>
        <w:t>Yes. Public Counsel believes that because of the protections for consumers, the Settlement Agreement is in the public interest.</w:t>
      </w:r>
    </w:p>
    <w:p w:rsidR="00F23C4C" w:rsidRPr="0084763B" w:rsidRDefault="00F23C4C" w:rsidP="00F22DD7">
      <w:pPr>
        <w:pStyle w:val="BodyText"/>
        <w:spacing w:after="0" w:line="480" w:lineRule="atLeast"/>
        <w:ind w:left="720" w:hanging="720"/>
        <w:rPr>
          <w:szCs w:val="24"/>
        </w:rPr>
      </w:pPr>
    </w:p>
    <w:p w:rsidR="00F45170" w:rsidRDefault="00F45170" w:rsidP="00F22DD7">
      <w:pPr>
        <w:pStyle w:val="BodyText"/>
        <w:spacing w:after="0" w:line="480" w:lineRule="atLeast"/>
        <w:ind w:left="720" w:hanging="720"/>
        <w:rPr>
          <w:b/>
          <w:szCs w:val="24"/>
        </w:rPr>
      </w:pPr>
      <w:r>
        <w:rPr>
          <w:b/>
          <w:szCs w:val="24"/>
        </w:rPr>
        <w:t xml:space="preserve">Q. </w:t>
      </w:r>
      <w:r>
        <w:rPr>
          <w:b/>
          <w:szCs w:val="24"/>
        </w:rPr>
        <w:tab/>
        <w:t xml:space="preserve">Does this conclude your testimony on behalf of Public Counsel? </w:t>
      </w:r>
    </w:p>
    <w:p w:rsidR="00F45170" w:rsidRDefault="00F45170" w:rsidP="00F22DD7">
      <w:pPr>
        <w:pStyle w:val="BodyText"/>
        <w:spacing w:after="0" w:line="480" w:lineRule="atLeast"/>
        <w:ind w:left="720" w:hanging="720"/>
        <w:rPr>
          <w:szCs w:val="24"/>
        </w:rPr>
      </w:pPr>
      <w:r w:rsidRPr="00F22DD7">
        <w:rPr>
          <w:b/>
          <w:szCs w:val="24"/>
        </w:rPr>
        <w:t>A</w:t>
      </w:r>
      <w:r>
        <w:rPr>
          <w:b/>
          <w:szCs w:val="24"/>
        </w:rPr>
        <w:t>.</w:t>
      </w:r>
      <w:r>
        <w:rPr>
          <w:szCs w:val="24"/>
        </w:rPr>
        <w:t xml:space="preserve">  </w:t>
      </w:r>
      <w:r>
        <w:rPr>
          <w:szCs w:val="24"/>
        </w:rPr>
        <w:tab/>
        <w:t>Yes.</w:t>
      </w:r>
      <w:r>
        <w:rPr>
          <w:szCs w:val="24"/>
        </w:rPr>
        <w:tab/>
      </w:r>
    </w:p>
    <w:p w:rsidR="00F45170" w:rsidRDefault="00F45170" w:rsidP="00F22DD7">
      <w:pPr>
        <w:pStyle w:val="BodyText"/>
        <w:spacing w:after="0" w:line="480" w:lineRule="atLeast"/>
        <w:ind w:left="720" w:hanging="720"/>
        <w:rPr>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F45170" w:rsidRDefault="00F45170" w:rsidP="00F22DD7">
      <w:pPr>
        <w:pStyle w:val="BodyText"/>
        <w:spacing w:after="0" w:line="480" w:lineRule="atLeast"/>
        <w:ind w:left="720" w:hanging="720"/>
        <w:jc w:val="center"/>
        <w:rPr>
          <w:b/>
          <w:caps/>
        </w:rPr>
      </w:pPr>
      <w:r w:rsidRPr="00F22DD7">
        <w:rPr>
          <w:b/>
          <w:szCs w:val="24"/>
        </w:rPr>
        <w:t>VI</w:t>
      </w:r>
      <w:r w:rsidR="0046658C">
        <w:rPr>
          <w:b/>
          <w:szCs w:val="24"/>
        </w:rPr>
        <w:t>I</w:t>
      </w:r>
      <w:proofErr w:type="gramStart"/>
      <w:r w:rsidRPr="00F22DD7">
        <w:rPr>
          <w:b/>
          <w:szCs w:val="24"/>
        </w:rPr>
        <w:t>.</w:t>
      </w:r>
      <w:r>
        <w:rPr>
          <w:b/>
          <w:caps/>
        </w:rPr>
        <w:t xml:space="preserve">  Conclusion</w:t>
      </w:r>
      <w:proofErr w:type="gramEnd"/>
    </w:p>
    <w:p w:rsidR="00F45170" w:rsidRDefault="00F45170" w:rsidP="00F22DD7">
      <w:pPr>
        <w:pStyle w:val="BodyText"/>
        <w:spacing w:after="0" w:line="480" w:lineRule="atLeast"/>
        <w:ind w:left="720" w:hanging="720"/>
        <w:rPr>
          <w:b/>
        </w:rPr>
      </w:pPr>
      <w:r>
        <w:rPr>
          <w:b/>
        </w:rPr>
        <w:t>Q.</w:t>
      </w:r>
      <w:r>
        <w:rPr>
          <w:b/>
        </w:rPr>
        <w:tab/>
        <w:t>What is the Parties’ overall recommendation in this case?</w:t>
      </w:r>
    </w:p>
    <w:p w:rsidR="00F45170" w:rsidRDefault="00F45170" w:rsidP="00F22DD7">
      <w:pPr>
        <w:pStyle w:val="BodyText"/>
        <w:spacing w:after="0" w:line="480" w:lineRule="atLeast"/>
        <w:ind w:left="720" w:hanging="720"/>
      </w:pPr>
      <w:r>
        <w:t>A.</w:t>
      </w:r>
      <w:r>
        <w:tab/>
        <w:t>The Parties request that the Commission issue an order approving the Settlement Agreement and the AFOR.</w:t>
      </w:r>
    </w:p>
    <w:p w:rsidR="00F45170" w:rsidRDefault="00F45170">
      <w:pPr>
        <w:pStyle w:val="BodyText"/>
        <w:spacing w:after="0" w:line="480" w:lineRule="atLeast"/>
        <w:ind w:left="720" w:hanging="720"/>
      </w:pPr>
    </w:p>
    <w:sectPr w:rsidR="00F45170" w:rsidSect="001C3D65">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32" w:rsidRDefault="00C06532">
      <w:pPr>
        <w:spacing w:after="0" w:line="240" w:lineRule="auto"/>
      </w:pPr>
      <w:r>
        <w:separator/>
      </w:r>
    </w:p>
  </w:endnote>
  <w:endnote w:type="continuationSeparator" w:id="0">
    <w:p w:rsidR="00C06532" w:rsidRDefault="00C0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E4" w:rsidRDefault="00E42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32" w:rsidRDefault="00C06532">
      <w:pPr>
        <w:spacing w:after="0" w:line="240" w:lineRule="auto"/>
      </w:pPr>
      <w:r>
        <w:separator/>
      </w:r>
    </w:p>
  </w:footnote>
  <w:footnote w:type="continuationSeparator" w:id="0">
    <w:p w:rsidR="00C06532" w:rsidRDefault="00C06532">
      <w:pPr>
        <w:spacing w:after="0" w:line="240" w:lineRule="auto"/>
      </w:pPr>
      <w:r>
        <w:continuationSeparator/>
      </w:r>
    </w:p>
  </w:footnote>
  <w:footnote w:id="1">
    <w:p w:rsidR="00E42DE4" w:rsidRDefault="00E42DE4">
      <w:pPr>
        <w:pStyle w:val="FootnoteText"/>
      </w:pPr>
      <w:r>
        <w:rPr>
          <w:rStyle w:val="FootnoteReference"/>
        </w:rPr>
        <w:footnoteRef/>
      </w:r>
      <w:r>
        <w:t xml:space="preserve"> Docket No. UT-100820, Order 14 – Appendix C, Condition 3.</w:t>
      </w:r>
    </w:p>
  </w:footnote>
  <w:footnote w:id="2">
    <w:p w:rsidR="00E42DE4" w:rsidRDefault="00E42DE4" w:rsidP="00B9475E">
      <w:pPr>
        <w:pStyle w:val="FootnoteText"/>
      </w:pPr>
      <w:r w:rsidRPr="006A1B79">
        <w:rPr>
          <w:rStyle w:val="FootnoteReference"/>
        </w:rPr>
        <w:footnoteRef/>
      </w:r>
      <w:r w:rsidRPr="006A1B79">
        <w:t xml:space="preserve"> </w:t>
      </w:r>
      <w:r>
        <w:t xml:space="preserve">In Docket UT-100820, the CenturyLink/Qwest merger docket, CenturyLink committed to invest $80M in retail broadband infrastructure in Washington over a five year period.  To date, CenturyLink has invested approximately $115M towards that commitment, with a significant portion enabling or upgrading service in unserved and underserved areas.  Additionally, in Docket UT-120128, the building sale docket, CenturyLink committed to invest $11.1M in broadband deployment in currently unserved and underserved areas.   </w:t>
      </w:r>
    </w:p>
  </w:footnote>
  <w:footnote w:id="3">
    <w:p w:rsidR="00E42DE4" w:rsidRDefault="00E42DE4" w:rsidP="00BB19C8">
      <w:pPr>
        <w:pStyle w:val="FootnoteText"/>
      </w:pPr>
      <w:r>
        <w:rPr>
          <w:rStyle w:val="FootnoteReference"/>
        </w:rPr>
        <w:footnoteRef/>
      </w:r>
      <w:r>
        <w:t xml:space="preserve"> Unless specifically stated otherwise, the terms of the AFOR will apply equally to all five ILEC operating companies, Qwest Corporation d/b/a CenturyLink QC, CenturyTel of Washington, Inc. d/b/a CenturyLink, CenturyTel of Inter Island, Inc. d/b/a CenturyLink, CenturyTel of </w:t>
      </w:r>
      <w:proofErr w:type="spellStart"/>
      <w:r>
        <w:t>Cowiche</w:t>
      </w:r>
      <w:proofErr w:type="spellEnd"/>
      <w:r>
        <w:t>, Inc. d/b/a CenturyLink, and United Telephone Company of the Northwest d/b/a CenturyLink.</w:t>
      </w:r>
    </w:p>
  </w:footnote>
  <w:footnote w:id="4">
    <w:p w:rsidR="00E42DE4" w:rsidRDefault="00E42DE4" w:rsidP="0046658C">
      <w:pPr>
        <w:pStyle w:val="FootnoteText"/>
      </w:pPr>
      <w:r>
        <w:rPr>
          <w:rStyle w:val="FootnoteReference"/>
        </w:rPr>
        <w:footnoteRef/>
      </w:r>
      <w:r>
        <w:t xml:space="preserve"> </w:t>
      </w:r>
      <w:r w:rsidRPr="00821F69">
        <w:rPr>
          <w:i/>
        </w:rPr>
        <w:t>In the Matter of the Petition of Frontier Communications Northwest Inc. to Be Regulated as a Competitive Telecommunications Company Pursuant to RCW 80.36.320</w:t>
      </w:r>
      <w:r>
        <w:t>, Docket UT-121994, Order 06, Final Order Approving Settlement Agreements with Conditions and Classifying Services as Competitive (July 22, 2013).</w:t>
      </w:r>
    </w:p>
    <w:p w:rsidR="00E42DE4" w:rsidRDefault="00E42DE4" w:rsidP="0046658C">
      <w:pPr>
        <w:pStyle w:val="FootnoteText"/>
      </w:pPr>
    </w:p>
  </w:footnote>
  <w:footnote w:id="5">
    <w:p w:rsidR="002639DA" w:rsidRDefault="002639DA" w:rsidP="002639DA">
      <w:pPr>
        <w:pStyle w:val="FootnoteText"/>
      </w:pPr>
      <w:r>
        <w:rPr>
          <w:rStyle w:val="FootnoteReference"/>
        </w:rPr>
        <w:footnoteRef/>
      </w:r>
      <w:r>
        <w:t xml:space="preserve"> Qwest Corporation d/b/a CenturyLink, CenturyTel of Washington, Inc. d/b/a CenturyLink, CenturyTel of Inter Island, Inc. d/b/a CenturyLink, CenturyTel of </w:t>
      </w:r>
      <w:proofErr w:type="spellStart"/>
      <w:r>
        <w:t>Cowiche</w:t>
      </w:r>
      <w:proofErr w:type="spellEnd"/>
      <w:r>
        <w:t xml:space="preserve">, Inc. d/b/a CenturyLink and United Telephone Company of the Northwest d/b/a CenturyLink. </w:t>
      </w:r>
    </w:p>
  </w:footnote>
  <w:footnote w:id="6">
    <w:p w:rsidR="002639DA" w:rsidRDefault="002639DA" w:rsidP="002639DA">
      <w:pPr>
        <w:pStyle w:val="FootnoteText"/>
      </w:pPr>
      <w:r>
        <w:rPr>
          <w:rStyle w:val="FootnoteReference"/>
        </w:rPr>
        <w:footnoteRef/>
      </w:r>
      <w:r>
        <w:t xml:space="preserve"> Order 06, ¶ 55.</w:t>
      </w:r>
    </w:p>
  </w:footnote>
  <w:footnote w:id="7">
    <w:p w:rsidR="002639DA" w:rsidRDefault="002639DA" w:rsidP="002639DA">
      <w:pPr>
        <w:pStyle w:val="FootnoteText"/>
      </w:pPr>
      <w:r>
        <w:rPr>
          <w:rStyle w:val="FootnoteReference"/>
        </w:rPr>
        <w:footnoteRef/>
      </w:r>
      <w:r>
        <w:t xml:space="preserve"> Order 06, ¶ 57.</w:t>
      </w:r>
    </w:p>
  </w:footnote>
  <w:footnote w:id="8">
    <w:p w:rsidR="002639DA" w:rsidRDefault="002639DA" w:rsidP="002639DA">
      <w:pPr>
        <w:pStyle w:val="FootnoteText"/>
      </w:pPr>
      <w:r>
        <w:rPr>
          <w:rStyle w:val="FootnoteReference"/>
        </w:rPr>
        <w:footnoteRef/>
      </w:r>
      <w:r>
        <w:t xml:space="preserve"> Order 06, ¶ 58.</w:t>
      </w:r>
    </w:p>
  </w:footnote>
  <w:footnote w:id="9">
    <w:p w:rsidR="002639DA" w:rsidRDefault="002639DA" w:rsidP="002639DA">
      <w:pPr>
        <w:pStyle w:val="FootnoteText"/>
      </w:pPr>
      <w:r>
        <w:rPr>
          <w:rStyle w:val="FootnoteReference"/>
        </w:rPr>
        <w:footnoteRef/>
      </w:r>
      <w:r>
        <w:t xml:space="preserve"> Felz, </w:t>
      </w:r>
      <w:proofErr w:type="spellStart"/>
      <w:r>
        <w:t>Exh</w:t>
      </w:r>
      <w:proofErr w:type="spellEnd"/>
      <w:r>
        <w:t xml:space="preserve">. No. </w:t>
      </w:r>
      <w:proofErr w:type="gramStart"/>
      <w:r>
        <w:t>__ (JMF-2C).</w:t>
      </w:r>
      <w:proofErr w:type="gramEnd"/>
    </w:p>
  </w:footnote>
  <w:footnote w:id="10">
    <w:p w:rsidR="002639DA" w:rsidRDefault="002639DA" w:rsidP="002639DA">
      <w:pPr>
        <w:pStyle w:val="FootnoteText"/>
      </w:pPr>
      <w:r>
        <w:rPr>
          <w:rStyle w:val="FootnoteReference"/>
        </w:rPr>
        <w:footnoteRef/>
      </w:r>
      <w:r>
        <w:t xml:space="preserve"> Felz, </w:t>
      </w:r>
      <w:proofErr w:type="spellStart"/>
      <w:r>
        <w:t>Exh</w:t>
      </w:r>
      <w:proofErr w:type="spellEnd"/>
      <w:r>
        <w:t>. No. __ (JMF 1TC) 28:17.</w:t>
      </w:r>
    </w:p>
  </w:footnote>
  <w:footnote w:id="11">
    <w:p w:rsidR="002639DA" w:rsidRDefault="002639DA" w:rsidP="002639DA">
      <w:pPr>
        <w:pStyle w:val="FootnoteText"/>
      </w:pPr>
      <w:r>
        <w:rPr>
          <w:rStyle w:val="FootnoteReference"/>
        </w:rPr>
        <w:footnoteRef/>
      </w:r>
      <w:r>
        <w:t xml:space="preserve"> Order 06, ¶ 60.</w:t>
      </w:r>
    </w:p>
  </w:footnote>
  <w:footnote w:id="12">
    <w:p w:rsidR="002639DA" w:rsidRDefault="002639DA" w:rsidP="002639DA">
      <w:pPr>
        <w:pStyle w:val="FootnoteText"/>
      </w:pPr>
      <w:r>
        <w:rPr>
          <w:rStyle w:val="FootnoteReference"/>
        </w:rPr>
        <w:footnoteRef/>
      </w:r>
      <w:r>
        <w:t xml:space="preserve"> Felz, </w:t>
      </w:r>
      <w:proofErr w:type="spellStart"/>
      <w:r>
        <w:t>Exh</w:t>
      </w:r>
      <w:proofErr w:type="spellEnd"/>
      <w:r>
        <w:t xml:space="preserve">. No. </w:t>
      </w:r>
      <w:proofErr w:type="gramStart"/>
      <w:r>
        <w:t xml:space="preserve">__ (JMF 1-TC) 4:10, and </w:t>
      </w:r>
      <w:proofErr w:type="spellStart"/>
      <w:r>
        <w:t>Exh</w:t>
      </w:r>
      <w:proofErr w:type="spellEnd"/>
      <w:r>
        <w:t>.</w:t>
      </w:r>
      <w:proofErr w:type="gramEnd"/>
      <w:r>
        <w:t xml:space="preserve"> No. </w:t>
      </w:r>
      <w:proofErr w:type="gramStart"/>
      <w:r>
        <w:t>__ (JMF-2C).</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rsidR="00E42DE4" w:rsidRDefault="00E42DE4">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 UT-130477</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Joint Testimony of CenturyLink,</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Commission Staff and Public Counsel</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Exhibit___JT-1(Joint Testimony)</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September 19, 2013</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8F426A">
      <w:rPr>
        <w:rStyle w:val="PageNumber"/>
        <w:rFonts w:ascii="Times New Roman" w:hAnsi="Times New Roman"/>
        <w:noProof/>
        <w:sz w:val="24"/>
        <w:szCs w:val="24"/>
      </w:rPr>
      <w:t>7</w:t>
    </w:r>
    <w:r w:rsidR="00D537D3">
      <w:rPr>
        <w:rStyle w:val="PageNumber"/>
        <w:rFonts w:ascii="Times New Roman" w:hAnsi="Times New Roman"/>
        <w:sz w:val="24"/>
        <w:szCs w:val="24"/>
      </w:rPr>
      <w:fldChar w:fldCharType="end"/>
    </w:r>
  </w:p>
  <w:p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E4" w:rsidRDefault="00E42DE4">
    <w:pPr>
      <w:pStyle w:val="Header"/>
      <w:jc w:val="right"/>
    </w:pPr>
    <w:r>
      <w:rPr>
        <w:rFonts w:ascii="Times New Roman" w:hAnsi="Times New Roman"/>
      </w:rPr>
      <w:t>EXHIBIT ___ JT-1 (Joint Testimony)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outline w:val="0"/>
        <w:shadow w:val="0"/>
        <w:emboss w:val="0"/>
        <w:imprint w:val="0"/>
        <w:vanish w:val="0"/>
        <w:spacing w:val="0"/>
        <w:kern w:val="0"/>
        <w:position w:val="0"/>
        <w:vertAlign w:val="base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BC7"/>
    <w:rsid w:val="0003416E"/>
    <w:rsid w:val="00050F51"/>
    <w:rsid w:val="000661D4"/>
    <w:rsid w:val="00080988"/>
    <w:rsid w:val="00083C3D"/>
    <w:rsid w:val="0009563B"/>
    <w:rsid w:val="000A42A6"/>
    <w:rsid w:val="000D2130"/>
    <w:rsid w:val="00111EA6"/>
    <w:rsid w:val="001145A2"/>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502FE"/>
    <w:rsid w:val="002546A8"/>
    <w:rsid w:val="0025760A"/>
    <w:rsid w:val="002639A8"/>
    <w:rsid w:val="002639DA"/>
    <w:rsid w:val="00266F89"/>
    <w:rsid w:val="002A6643"/>
    <w:rsid w:val="002B0C16"/>
    <w:rsid w:val="002B6AAE"/>
    <w:rsid w:val="002D26D2"/>
    <w:rsid w:val="00303755"/>
    <w:rsid w:val="003753A4"/>
    <w:rsid w:val="0037794E"/>
    <w:rsid w:val="003D005D"/>
    <w:rsid w:val="003D6AA1"/>
    <w:rsid w:val="003E074B"/>
    <w:rsid w:val="00406972"/>
    <w:rsid w:val="00446778"/>
    <w:rsid w:val="00447753"/>
    <w:rsid w:val="00453907"/>
    <w:rsid w:val="0046658C"/>
    <w:rsid w:val="00472120"/>
    <w:rsid w:val="0048048B"/>
    <w:rsid w:val="00481027"/>
    <w:rsid w:val="0048235B"/>
    <w:rsid w:val="004B1FDF"/>
    <w:rsid w:val="004B440D"/>
    <w:rsid w:val="004B47F9"/>
    <w:rsid w:val="004D206B"/>
    <w:rsid w:val="00502B16"/>
    <w:rsid w:val="00514439"/>
    <w:rsid w:val="00564972"/>
    <w:rsid w:val="00564E03"/>
    <w:rsid w:val="005745B4"/>
    <w:rsid w:val="005A1096"/>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30EC1"/>
    <w:rsid w:val="00732B47"/>
    <w:rsid w:val="0075682D"/>
    <w:rsid w:val="00760E31"/>
    <w:rsid w:val="00762AF5"/>
    <w:rsid w:val="00794193"/>
    <w:rsid w:val="007975BC"/>
    <w:rsid w:val="007C72A6"/>
    <w:rsid w:val="007D28B4"/>
    <w:rsid w:val="007F6E06"/>
    <w:rsid w:val="00821F69"/>
    <w:rsid w:val="0084763B"/>
    <w:rsid w:val="00893545"/>
    <w:rsid w:val="008A52AD"/>
    <w:rsid w:val="008E0814"/>
    <w:rsid w:val="008F426A"/>
    <w:rsid w:val="00915E2C"/>
    <w:rsid w:val="00927206"/>
    <w:rsid w:val="0094096B"/>
    <w:rsid w:val="00975178"/>
    <w:rsid w:val="009768E5"/>
    <w:rsid w:val="0099194D"/>
    <w:rsid w:val="009A56EE"/>
    <w:rsid w:val="009B7BCF"/>
    <w:rsid w:val="009E689E"/>
    <w:rsid w:val="00A15E9F"/>
    <w:rsid w:val="00A331E0"/>
    <w:rsid w:val="00A4022B"/>
    <w:rsid w:val="00A56D3F"/>
    <w:rsid w:val="00A74FBC"/>
    <w:rsid w:val="00AA086D"/>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6532"/>
    <w:rsid w:val="00C1022A"/>
    <w:rsid w:val="00C25CC8"/>
    <w:rsid w:val="00C30408"/>
    <w:rsid w:val="00C73137"/>
    <w:rsid w:val="00CA13DF"/>
    <w:rsid w:val="00CA1434"/>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22DD7"/>
    <w:rsid w:val="00F23C4C"/>
    <w:rsid w:val="00F4002A"/>
    <w:rsid w:val="00F45170"/>
    <w:rsid w:val="00F502B2"/>
    <w:rsid w:val="00F515D6"/>
    <w:rsid w:val="00F54F3F"/>
    <w:rsid w:val="00F60163"/>
    <w:rsid w:val="00F63DFC"/>
    <w:rsid w:val="00F64AAF"/>
    <w:rsid w:val="00F95D84"/>
    <w:rsid w:val="00FA5E58"/>
    <w:rsid w:val="00FC018C"/>
    <w:rsid w:val="00FD4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2013-09-19T07:00:00+00:00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E6D9A8-9755-43AA-9AC7-0C725275D6FB}"/>
</file>

<file path=customXml/itemProps2.xml><?xml version="1.0" encoding="utf-8"?>
<ds:datastoreItem xmlns:ds="http://schemas.openxmlformats.org/officeDocument/2006/customXml" ds:itemID="{A1F23DAD-5634-462B-AA50-13CE5C033988}"/>
</file>

<file path=customXml/itemProps3.xml><?xml version="1.0" encoding="utf-8"?>
<ds:datastoreItem xmlns:ds="http://schemas.openxmlformats.org/officeDocument/2006/customXml" ds:itemID="{BC910F48-32FA-4D29-BCF6-90FD3452D37D}"/>
</file>

<file path=customXml/itemProps4.xml><?xml version="1.0" encoding="utf-8"?>
<ds:datastoreItem xmlns:ds="http://schemas.openxmlformats.org/officeDocument/2006/customXml" ds:itemID="{CE46F940-5DE7-4967-9C76-C4EC126DEDAB}"/>
</file>

<file path=customXml/itemProps5.xml><?xml version="1.0" encoding="utf-8"?>
<ds:datastoreItem xmlns:ds="http://schemas.openxmlformats.org/officeDocument/2006/customXml" ds:itemID="{F25A4FDE-716E-46C6-A354-B97AE791F16A}"/>
</file>

<file path=docProps/app.xml><?xml version="1.0" encoding="utf-8"?>
<Properties xmlns="http://schemas.openxmlformats.org/officeDocument/2006/extended-properties" xmlns:vt="http://schemas.openxmlformats.org/officeDocument/2006/docPropsVTypes">
  <Template>Normal.dotm</Template>
  <TotalTime>1</TotalTime>
  <Pages>32</Pages>
  <Words>7535</Words>
  <Characters>43557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50991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CenturyLink Employee</cp:lastModifiedBy>
  <cp:revision>2</cp:revision>
  <cp:lastPrinted>2013-09-19T23:01:00Z</cp:lastPrinted>
  <dcterms:created xsi:type="dcterms:W3CDTF">2013-09-19T23:07:00Z</dcterms:created>
  <dcterms:modified xsi:type="dcterms:W3CDTF">2013-09-19T23:07:00Z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0x0101006E56B4D1795A2E4DB2F0B01679ED314A00AAFC581C300B5841AE1405D672737FD4</vt:lpwstr>
  </property>
  <property fmtid="{D5CDD505-2E9C-101B-9397-08002B2CF9AE}" pid="4" name="_docset_NoMedatataSyncRequired">
    <vt:lpwstr>False</vt:lpwstr>
  </property>
</Properties>
</file>