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4680"/>
        <w:gridCol w:w="4680"/>
      </w:tblGrid>
      <w:tr w:rsidR="007F73E8" w:rsidRPr="002A440D" w14:paraId="09B90CEA" w14:textId="77777777" w:rsidTr="00B63D35">
        <w:trPr>
          <w:cantSplit/>
          <w:trHeight w:val="2763"/>
        </w:trPr>
        <w:tc>
          <w:tcPr>
            <w:tcW w:w="4752" w:type="dxa"/>
          </w:tcPr>
          <w:p w14:paraId="09B90CE8" w14:textId="77777777" w:rsidR="007F73E8" w:rsidRPr="002A440D" w:rsidRDefault="007F73E8" w:rsidP="00EB4E09">
            <w:pPr>
              <w:pStyle w:val="CoverAttorneysFor"/>
            </w:pPr>
            <w:bookmarkStart w:id="0" w:name="FirmContactInfo"/>
            <w:bookmarkStart w:id="1" w:name="_GoBack"/>
            <w:bookmarkEnd w:id="0"/>
            <w:bookmarkEnd w:id="1"/>
          </w:p>
        </w:tc>
        <w:tc>
          <w:tcPr>
            <w:tcW w:w="4752" w:type="dxa"/>
          </w:tcPr>
          <w:p w14:paraId="09B90CE9" w14:textId="77777777" w:rsidR="007F73E8" w:rsidRPr="00421F3D" w:rsidRDefault="007F73E8" w:rsidP="00421F3D">
            <w:pPr>
              <w:pStyle w:val="HearingInfo"/>
            </w:pPr>
          </w:p>
        </w:tc>
      </w:tr>
    </w:tbl>
    <w:p w14:paraId="09B90CEB" w14:textId="77777777" w:rsidR="007F73E8" w:rsidRDefault="007F73E8" w:rsidP="000E2C1E">
      <w:pPr>
        <w:pStyle w:val="CourtName"/>
      </w:pPr>
      <w:r>
        <w:t>before the washington utilities and transportation commission</w:t>
      </w:r>
    </w:p>
    <w:tbl>
      <w:tblPr>
        <w:tblW w:w="9428" w:type="dxa"/>
        <w:tblLayout w:type="fixed"/>
        <w:tblCellMar>
          <w:left w:w="0" w:type="dxa"/>
          <w:right w:w="0" w:type="dxa"/>
        </w:tblCellMar>
        <w:tblLook w:val="0000" w:firstRow="0" w:lastRow="0" w:firstColumn="0" w:lastColumn="0" w:noHBand="0" w:noVBand="0"/>
      </w:tblPr>
      <w:tblGrid>
        <w:gridCol w:w="4627"/>
        <w:gridCol w:w="106"/>
        <w:gridCol w:w="4695"/>
      </w:tblGrid>
      <w:tr w:rsidR="007F73E8" w:rsidRPr="002A440D" w14:paraId="09B90CF8" w14:textId="77777777" w:rsidTr="007F73E8">
        <w:trPr>
          <w:trHeight w:val="2070"/>
        </w:trPr>
        <w:tc>
          <w:tcPr>
            <w:tcW w:w="4627" w:type="dxa"/>
            <w:tcBorders>
              <w:bottom w:val="single" w:sz="4" w:space="0" w:color="auto"/>
              <w:right w:val="single" w:sz="4" w:space="0" w:color="auto"/>
            </w:tcBorders>
            <w:shd w:val="clear" w:color="auto" w:fill="auto"/>
          </w:tcPr>
          <w:p w14:paraId="09B90CEC" w14:textId="77777777" w:rsidR="007F73E8" w:rsidRPr="002A440D" w:rsidRDefault="007F73E8" w:rsidP="00421F3D">
            <w:pPr>
              <w:pStyle w:val="Parties"/>
            </w:pPr>
            <w:r>
              <w:t>In re Application of</w:t>
            </w:r>
          </w:p>
          <w:p w14:paraId="09B90CED" w14:textId="77777777" w:rsidR="007F73E8" w:rsidRDefault="007F73E8" w:rsidP="00421F3D">
            <w:pPr>
              <w:pStyle w:val="Parties"/>
            </w:pPr>
          </w:p>
          <w:p w14:paraId="09B90CEE" w14:textId="77777777" w:rsidR="007F73E8" w:rsidRDefault="007F73E8" w:rsidP="00421F3D">
            <w:pPr>
              <w:pStyle w:val="Parties"/>
            </w:pPr>
            <w:r>
              <w:t>MEI NORTHWEST LLC</w:t>
            </w:r>
          </w:p>
          <w:p w14:paraId="09B90CEF" w14:textId="77777777" w:rsidR="007F73E8" w:rsidRDefault="007F73E8" w:rsidP="00421F3D">
            <w:pPr>
              <w:pStyle w:val="Parties"/>
            </w:pPr>
          </w:p>
          <w:p w14:paraId="09B90CF0" w14:textId="77777777" w:rsidR="007F73E8" w:rsidRPr="002A440D" w:rsidRDefault="007F73E8" w:rsidP="00421F3D">
            <w:pPr>
              <w:pStyle w:val="Parties"/>
            </w:pPr>
            <w:r>
              <w:t>For a Certificate of Public Convenience and Necessity to Operate Vessels in Furnishing Passenger Ferry Service</w:t>
            </w:r>
          </w:p>
          <w:p w14:paraId="09B90CF1" w14:textId="77777777" w:rsidR="007F73E8" w:rsidRDefault="007F73E8" w:rsidP="000E2C1E">
            <w:pPr>
              <w:pStyle w:val="PldCaption"/>
              <w:rPr>
                <w:szCs w:val="20"/>
              </w:rPr>
            </w:pPr>
          </w:p>
          <w:p w14:paraId="09B90CF2" w14:textId="77777777" w:rsidR="007F73E8" w:rsidRPr="002A440D" w:rsidRDefault="007F73E8" w:rsidP="000E2C1E">
            <w:pPr>
              <w:pStyle w:val="PldCaption"/>
              <w:rPr>
                <w:szCs w:val="20"/>
              </w:rPr>
            </w:pPr>
          </w:p>
        </w:tc>
        <w:tc>
          <w:tcPr>
            <w:tcW w:w="106" w:type="dxa"/>
            <w:tcBorders>
              <w:right w:val="nil"/>
            </w:tcBorders>
          </w:tcPr>
          <w:p w14:paraId="09B90CF3" w14:textId="77777777" w:rsidR="007F73E8" w:rsidRPr="002A440D" w:rsidRDefault="007F73E8" w:rsidP="007F73E8">
            <w:pPr>
              <w:pStyle w:val="border"/>
              <w:rPr>
                <w:bCs w:val="0"/>
                <w:sz w:val="20"/>
              </w:rPr>
            </w:pPr>
          </w:p>
        </w:tc>
        <w:tc>
          <w:tcPr>
            <w:tcW w:w="4695" w:type="dxa"/>
            <w:tcBorders>
              <w:left w:val="nil"/>
            </w:tcBorders>
          </w:tcPr>
          <w:p w14:paraId="09B90CF4" w14:textId="77777777" w:rsidR="007F73E8" w:rsidRDefault="007F73E8" w:rsidP="000E2C1E">
            <w:pPr>
              <w:pStyle w:val="SingleSpaced"/>
            </w:pPr>
          </w:p>
          <w:p w14:paraId="09B90CF5" w14:textId="77777777" w:rsidR="007F73E8" w:rsidRDefault="007F73E8" w:rsidP="00421F3D">
            <w:pPr>
              <w:pStyle w:val="CaseNo"/>
            </w:pPr>
            <w:r>
              <w:t>Docket TS-160479</w:t>
            </w:r>
          </w:p>
          <w:p w14:paraId="09B90CF6" w14:textId="77777777" w:rsidR="007F73E8" w:rsidRDefault="007F73E8" w:rsidP="000E2C1E">
            <w:pPr>
              <w:pStyle w:val="SingleSpaced"/>
            </w:pPr>
          </w:p>
          <w:p w14:paraId="09B90CF7" w14:textId="77777777" w:rsidR="007F73E8" w:rsidRPr="00421F3D" w:rsidRDefault="005A4135" w:rsidP="007F73E8">
            <w:pPr>
              <w:pStyle w:val="PleadingTitle"/>
            </w:pPr>
            <w:r>
              <w:t xml:space="preserve">POST-HEARING </w:t>
            </w:r>
            <w:r w:rsidR="00441EFA">
              <w:t>BRIEF OF APPLICANT MEI NORTHWEST, LLC</w:t>
            </w:r>
          </w:p>
        </w:tc>
      </w:tr>
    </w:tbl>
    <w:p w14:paraId="09B90CF9" w14:textId="77777777" w:rsidR="007F73E8" w:rsidRDefault="007F73E8" w:rsidP="00C25D8B"/>
    <w:p w14:paraId="09B90CFA" w14:textId="77777777" w:rsidR="00787F70" w:rsidRDefault="00787F70">
      <w:pPr>
        <w:spacing w:line="240" w:lineRule="auto"/>
      </w:pPr>
      <w:r>
        <w:br w:type="page"/>
      </w:r>
    </w:p>
    <w:p w14:paraId="09B90CFB" w14:textId="77777777" w:rsidR="00510B7E" w:rsidRDefault="00787F70" w:rsidP="00787F70">
      <w:pPr>
        <w:pStyle w:val="CenteredHeading"/>
      </w:pPr>
      <w:r>
        <w:lastRenderedPageBreak/>
        <w:t>table of contents</w:t>
      </w:r>
    </w:p>
    <w:p w14:paraId="09B90CFC" w14:textId="77777777" w:rsidR="00787F70" w:rsidRPr="00787F70" w:rsidRDefault="00787F70" w:rsidP="00787F70">
      <w:pPr>
        <w:pStyle w:val="BodyText"/>
        <w:numPr>
          <w:ilvl w:val="0"/>
          <w:numId w:val="14"/>
        </w:numPr>
        <w:rPr>
          <w:b/>
        </w:rPr>
      </w:pPr>
      <w:r>
        <w:rPr>
          <w:b/>
        </w:rPr>
        <w:t>INTRODUCTION</w:t>
      </w:r>
      <w:r>
        <w:t xml:space="preserve"> …………………………………………………………………...4</w:t>
      </w:r>
    </w:p>
    <w:p w14:paraId="09B90CFD" w14:textId="77777777" w:rsidR="00787F70" w:rsidRPr="00787F70" w:rsidRDefault="00787F70" w:rsidP="00787F70">
      <w:pPr>
        <w:pStyle w:val="BodyText"/>
        <w:numPr>
          <w:ilvl w:val="0"/>
          <w:numId w:val="14"/>
        </w:numPr>
        <w:rPr>
          <w:b/>
        </w:rPr>
      </w:pPr>
      <w:r>
        <w:rPr>
          <w:b/>
        </w:rPr>
        <w:t>STATEMENT OF FACTS</w:t>
      </w:r>
      <w:r>
        <w:t xml:space="preserve"> ………………………………………………………….4</w:t>
      </w:r>
    </w:p>
    <w:p w14:paraId="09B90CFE" w14:textId="77777777" w:rsidR="00787F70" w:rsidRPr="00787F70" w:rsidRDefault="00787F70" w:rsidP="00787F70">
      <w:pPr>
        <w:pStyle w:val="BodyText"/>
        <w:numPr>
          <w:ilvl w:val="0"/>
          <w:numId w:val="15"/>
        </w:numPr>
        <w:rPr>
          <w:b/>
        </w:rPr>
      </w:pPr>
      <w:r>
        <w:rPr>
          <w:b/>
        </w:rPr>
        <w:t>MEI’s operators have extensive experience providing launch services</w:t>
      </w:r>
      <w:r>
        <w:t xml:space="preserve"> ……...4</w:t>
      </w:r>
    </w:p>
    <w:p w14:paraId="09B90CFF" w14:textId="77777777" w:rsidR="00787F70" w:rsidRPr="00787F70" w:rsidRDefault="00787F70" w:rsidP="00787F70">
      <w:pPr>
        <w:pStyle w:val="BodyText"/>
        <w:numPr>
          <w:ilvl w:val="0"/>
          <w:numId w:val="15"/>
        </w:numPr>
        <w:spacing w:line="240" w:lineRule="auto"/>
        <w:rPr>
          <w:b/>
        </w:rPr>
      </w:pPr>
      <w:r>
        <w:rPr>
          <w:b/>
        </w:rPr>
        <w:t>MEI is a financially viable company with more than enough resources to operate in the Puget Sound over the next 12 months</w:t>
      </w:r>
      <w:r>
        <w:t xml:space="preserve"> ………………………….5</w:t>
      </w:r>
    </w:p>
    <w:p w14:paraId="09B90D00" w14:textId="77777777" w:rsidR="00787F70" w:rsidRPr="00787F70" w:rsidRDefault="00787F70" w:rsidP="00787F70">
      <w:pPr>
        <w:pStyle w:val="BodyText"/>
        <w:spacing w:line="240" w:lineRule="auto"/>
        <w:ind w:left="1080" w:firstLine="0"/>
        <w:rPr>
          <w:b/>
        </w:rPr>
      </w:pPr>
    </w:p>
    <w:p w14:paraId="09B90D01" w14:textId="77777777" w:rsidR="00787F70" w:rsidRPr="00787F70" w:rsidRDefault="00787F70" w:rsidP="00787F70">
      <w:pPr>
        <w:pStyle w:val="BodyText"/>
        <w:numPr>
          <w:ilvl w:val="0"/>
          <w:numId w:val="15"/>
        </w:numPr>
        <w:rPr>
          <w:b/>
        </w:rPr>
      </w:pPr>
      <w:r>
        <w:rPr>
          <w:b/>
        </w:rPr>
        <w:t>The need for launch service in the Puget Sound continues to grow</w:t>
      </w:r>
      <w:r>
        <w:t xml:space="preserve"> ………….6</w:t>
      </w:r>
    </w:p>
    <w:p w14:paraId="09B90D02" w14:textId="77777777" w:rsidR="00787F70" w:rsidRPr="00787F70" w:rsidRDefault="00787F70" w:rsidP="00787F70">
      <w:pPr>
        <w:pStyle w:val="BodyText"/>
        <w:numPr>
          <w:ilvl w:val="0"/>
          <w:numId w:val="15"/>
        </w:numPr>
        <w:rPr>
          <w:b/>
        </w:rPr>
      </w:pPr>
      <w:r>
        <w:rPr>
          <w:b/>
        </w:rPr>
        <w:t>Arrow is inadequately serving its customers</w:t>
      </w:r>
      <w:r>
        <w:t xml:space="preserve"> …………………………………..7</w:t>
      </w:r>
    </w:p>
    <w:p w14:paraId="09B90D03" w14:textId="77777777" w:rsidR="00787F70" w:rsidRPr="00787F70" w:rsidRDefault="00787F70" w:rsidP="00787F70">
      <w:pPr>
        <w:pStyle w:val="BodyText"/>
        <w:numPr>
          <w:ilvl w:val="0"/>
          <w:numId w:val="14"/>
        </w:numPr>
        <w:rPr>
          <w:b/>
        </w:rPr>
      </w:pPr>
      <w:r>
        <w:rPr>
          <w:b/>
        </w:rPr>
        <w:t>ARGUMENT</w:t>
      </w:r>
      <w:r>
        <w:t xml:space="preserve"> ……………………………………………………………………….10</w:t>
      </w:r>
    </w:p>
    <w:p w14:paraId="09B90D04" w14:textId="77777777" w:rsidR="00787F70" w:rsidRPr="00787F70" w:rsidRDefault="00787F70" w:rsidP="00787F70">
      <w:pPr>
        <w:pStyle w:val="BodyText"/>
        <w:numPr>
          <w:ilvl w:val="0"/>
          <w:numId w:val="16"/>
        </w:numPr>
        <w:spacing w:line="240" w:lineRule="auto"/>
        <w:rPr>
          <w:b/>
        </w:rPr>
      </w:pPr>
      <w:r w:rsidRPr="00787F70">
        <w:rPr>
          <w:b/>
        </w:rPr>
        <w:t>The legislature permits the Commission to issue overlapping certificates of authority</w:t>
      </w:r>
      <w:r>
        <w:t xml:space="preserve"> ………………………………………………………………………...10</w:t>
      </w:r>
    </w:p>
    <w:p w14:paraId="09B90D05" w14:textId="77777777" w:rsidR="00787F70" w:rsidRPr="00787F70" w:rsidRDefault="00787F70" w:rsidP="00787F70">
      <w:pPr>
        <w:pStyle w:val="BodyText"/>
        <w:spacing w:line="240" w:lineRule="auto"/>
        <w:ind w:left="1080" w:firstLine="0"/>
        <w:rPr>
          <w:b/>
        </w:rPr>
      </w:pPr>
    </w:p>
    <w:p w14:paraId="09B90D06" w14:textId="77777777" w:rsidR="00787F70" w:rsidRPr="00787F70" w:rsidRDefault="00787F70" w:rsidP="00787F70">
      <w:pPr>
        <w:pStyle w:val="BodyText"/>
        <w:numPr>
          <w:ilvl w:val="0"/>
          <w:numId w:val="16"/>
        </w:numPr>
        <w:spacing w:line="240" w:lineRule="auto"/>
        <w:rPr>
          <w:b/>
        </w:rPr>
      </w:pPr>
      <w:r w:rsidRPr="00787F70">
        <w:rPr>
          <w:b/>
        </w:rPr>
        <w:t>MEI Northwest is financially fit to operate its proposed</w:t>
      </w:r>
      <w:r>
        <w:rPr>
          <w:b/>
        </w:rPr>
        <w:t xml:space="preserve"> service for at least 12 months</w:t>
      </w:r>
      <w:r>
        <w:t xml:space="preserve"> ………………………………………………………………………......1</w:t>
      </w:r>
      <w:r w:rsidR="00036274">
        <w:t>1</w:t>
      </w:r>
    </w:p>
    <w:p w14:paraId="09B90D07" w14:textId="77777777" w:rsidR="00787F70" w:rsidRPr="00787F70" w:rsidRDefault="00787F70" w:rsidP="00787F70">
      <w:pPr>
        <w:pStyle w:val="BodyText"/>
        <w:spacing w:line="240" w:lineRule="auto"/>
        <w:ind w:firstLine="0"/>
        <w:rPr>
          <w:b/>
        </w:rPr>
      </w:pPr>
    </w:p>
    <w:p w14:paraId="09B90D08" w14:textId="77777777" w:rsidR="00787F70" w:rsidRPr="00787F70" w:rsidRDefault="00787F70" w:rsidP="00787F70">
      <w:pPr>
        <w:pStyle w:val="BodyText"/>
        <w:numPr>
          <w:ilvl w:val="0"/>
          <w:numId w:val="17"/>
        </w:numPr>
        <w:spacing w:line="240" w:lineRule="auto"/>
        <w:rPr>
          <w:b/>
        </w:rPr>
      </w:pPr>
      <w:r w:rsidRPr="00787F70">
        <w:rPr>
          <w:b/>
        </w:rPr>
        <w:t>MEI will generate at least $700,000 in gross revenues from regulated and nonregulated services dur</w:t>
      </w:r>
      <w:r>
        <w:rPr>
          <w:b/>
        </w:rPr>
        <w:t>ing its first year of operation</w:t>
      </w:r>
      <w:r>
        <w:t xml:space="preserve"> ………...11</w:t>
      </w:r>
    </w:p>
    <w:p w14:paraId="09B90D09" w14:textId="77777777" w:rsidR="00787F70" w:rsidRPr="00787F70" w:rsidRDefault="00787F70" w:rsidP="00787F70">
      <w:pPr>
        <w:pStyle w:val="BodyText"/>
        <w:spacing w:line="240" w:lineRule="auto"/>
        <w:ind w:left="1440" w:firstLine="0"/>
        <w:rPr>
          <w:b/>
        </w:rPr>
      </w:pPr>
    </w:p>
    <w:p w14:paraId="09B90D0A" w14:textId="77777777" w:rsidR="00787F70" w:rsidRPr="00787F70" w:rsidRDefault="00787F70" w:rsidP="00787F70">
      <w:pPr>
        <w:pStyle w:val="BodyText"/>
        <w:numPr>
          <w:ilvl w:val="1"/>
          <w:numId w:val="17"/>
        </w:numPr>
        <w:rPr>
          <w:b/>
        </w:rPr>
      </w:pPr>
      <w:r>
        <w:rPr>
          <w:b/>
        </w:rPr>
        <w:t>Revenue and Ridership Forecast</w:t>
      </w:r>
      <w:r>
        <w:t xml:space="preserve"> ………………………………11</w:t>
      </w:r>
    </w:p>
    <w:p w14:paraId="09B90D0B" w14:textId="77777777" w:rsidR="00787F70" w:rsidRPr="00787F70" w:rsidRDefault="00787F70" w:rsidP="00787F70">
      <w:pPr>
        <w:pStyle w:val="BodyText"/>
        <w:numPr>
          <w:ilvl w:val="1"/>
          <w:numId w:val="17"/>
        </w:numPr>
        <w:rPr>
          <w:b/>
        </w:rPr>
      </w:pPr>
      <w:r>
        <w:rPr>
          <w:b/>
        </w:rPr>
        <w:t>Costs of MEI’s proposed service</w:t>
      </w:r>
      <w:r>
        <w:t xml:space="preserve"> ……………………………….</w:t>
      </w:r>
      <w:r w:rsidR="00036274">
        <w:t>12</w:t>
      </w:r>
    </w:p>
    <w:p w14:paraId="09B90D0C" w14:textId="77777777" w:rsidR="00787F70" w:rsidRPr="00787F70" w:rsidRDefault="00787F70" w:rsidP="00787F70">
      <w:pPr>
        <w:pStyle w:val="BodyText"/>
        <w:numPr>
          <w:ilvl w:val="0"/>
          <w:numId w:val="17"/>
        </w:numPr>
        <w:spacing w:line="240" w:lineRule="auto"/>
        <w:rPr>
          <w:b/>
        </w:rPr>
      </w:pPr>
      <w:r>
        <w:rPr>
          <w:b/>
        </w:rPr>
        <w:t>MEI Northwest has $300,000 cash-on-hand and does not have any current liabilities</w:t>
      </w:r>
      <w:r>
        <w:t xml:space="preserve"> ………………………………………………………..14</w:t>
      </w:r>
    </w:p>
    <w:p w14:paraId="09B90D0D" w14:textId="77777777" w:rsidR="00787F70" w:rsidRPr="00787F70" w:rsidRDefault="00787F70" w:rsidP="00787F70">
      <w:pPr>
        <w:pStyle w:val="BodyText"/>
        <w:spacing w:line="240" w:lineRule="auto"/>
        <w:ind w:left="1800" w:firstLine="0"/>
        <w:rPr>
          <w:b/>
        </w:rPr>
      </w:pPr>
    </w:p>
    <w:p w14:paraId="09B90D0E" w14:textId="77777777" w:rsidR="00787F70" w:rsidRPr="00787F70" w:rsidRDefault="00787F70" w:rsidP="00787F70">
      <w:pPr>
        <w:pStyle w:val="BodyText"/>
        <w:numPr>
          <w:ilvl w:val="0"/>
          <w:numId w:val="17"/>
        </w:numPr>
        <w:spacing w:line="240" w:lineRule="auto"/>
        <w:rPr>
          <w:b/>
        </w:rPr>
      </w:pPr>
      <w:r>
        <w:rPr>
          <w:b/>
        </w:rPr>
        <w:t>MEI’s assets are sufficient to operate its proposed launch service in the Puget Sound for at least 12 months</w:t>
      </w:r>
      <w:r>
        <w:t xml:space="preserve"> ………………………………..1</w:t>
      </w:r>
      <w:r w:rsidR="00036274">
        <w:t>5</w:t>
      </w:r>
    </w:p>
    <w:p w14:paraId="09B90D0F" w14:textId="77777777" w:rsidR="00787F70" w:rsidRDefault="00787F70" w:rsidP="00787F70">
      <w:pPr>
        <w:pStyle w:val="ListParagraph"/>
        <w:rPr>
          <w:b/>
        </w:rPr>
      </w:pPr>
    </w:p>
    <w:p w14:paraId="09B90D10" w14:textId="77777777" w:rsidR="00787F70" w:rsidRPr="00787F70" w:rsidRDefault="00787F70" w:rsidP="00787F70">
      <w:pPr>
        <w:pStyle w:val="BodyText"/>
        <w:numPr>
          <w:ilvl w:val="0"/>
          <w:numId w:val="17"/>
        </w:numPr>
        <w:spacing w:line="240" w:lineRule="auto"/>
        <w:rPr>
          <w:b/>
        </w:rPr>
      </w:pPr>
      <w:r>
        <w:rPr>
          <w:b/>
        </w:rPr>
        <w:t>MEI’s principal has extensive experience operating a successful multi-vessel, multi-port launch service in California</w:t>
      </w:r>
      <w:r>
        <w:t xml:space="preserve"> ………………………..15</w:t>
      </w:r>
    </w:p>
    <w:p w14:paraId="09B90D11" w14:textId="77777777" w:rsidR="00787F70" w:rsidRDefault="00787F70" w:rsidP="00787F70">
      <w:pPr>
        <w:pStyle w:val="ListParagraph"/>
        <w:rPr>
          <w:b/>
        </w:rPr>
      </w:pPr>
    </w:p>
    <w:p w14:paraId="09B90D12" w14:textId="77777777" w:rsidR="00787F70" w:rsidRPr="00787F70" w:rsidRDefault="00787F70" w:rsidP="00787F70">
      <w:pPr>
        <w:pStyle w:val="BodyText"/>
        <w:numPr>
          <w:ilvl w:val="0"/>
          <w:numId w:val="16"/>
        </w:numPr>
        <w:spacing w:line="240" w:lineRule="auto"/>
        <w:rPr>
          <w:b/>
        </w:rPr>
      </w:pPr>
      <w:r>
        <w:rPr>
          <w:b/>
        </w:rPr>
        <w:t>Granting MEI’s application is in the public interest</w:t>
      </w:r>
      <w:r>
        <w:t xml:space="preserve"> ………………………...1</w:t>
      </w:r>
      <w:r w:rsidR="00036274">
        <w:t>6</w:t>
      </w:r>
    </w:p>
    <w:p w14:paraId="09B90D13" w14:textId="77777777" w:rsidR="00787F70" w:rsidRDefault="00787F70" w:rsidP="00787F70">
      <w:pPr>
        <w:pStyle w:val="BodyText"/>
        <w:spacing w:line="240" w:lineRule="auto"/>
        <w:ind w:left="1080" w:firstLine="0"/>
        <w:rPr>
          <w:b/>
        </w:rPr>
      </w:pPr>
    </w:p>
    <w:p w14:paraId="09B90D14" w14:textId="77777777" w:rsidR="00787F70" w:rsidRPr="00787F70" w:rsidRDefault="00787F70" w:rsidP="00787F70">
      <w:pPr>
        <w:pStyle w:val="BodyText"/>
        <w:numPr>
          <w:ilvl w:val="0"/>
          <w:numId w:val="18"/>
        </w:numPr>
        <w:spacing w:line="240" w:lineRule="auto"/>
        <w:rPr>
          <w:b/>
        </w:rPr>
      </w:pPr>
      <w:r>
        <w:rPr>
          <w:b/>
        </w:rPr>
        <w:t>Mr. Aikin was a competent witness who was fully-authorized to testify on Crowley’s behalf</w:t>
      </w:r>
      <w:r>
        <w:t xml:space="preserve"> …………………………………………………….16</w:t>
      </w:r>
    </w:p>
    <w:p w14:paraId="09B90D15" w14:textId="77777777" w:rsidR="00787F70" w:rsidRPr="00787F70" w:rsidRDefault="00787F70" w:rsidP="00787F70">
      <w:pPr>
        <w:pStyle w:val="BodyText"/>
        <w:spacing w:line="240" w:lineRule="auto"/>
        <w:ind w:left="1800" w:firstLine="0"/>
        <w:rPr>
          <w:b/>
        </w:rPr>
      </w:pPr>
    </w:p>
    <w:p w14:paraId="09B90D16" w14:textId="77777777" w:rsidR="00787F70" w:rsidRPr="00787F70" w:rsidRDefault="00787F70" w:rsidP="00787F70">
      <w:pPr>
        <w:pStyle w:val="BodyText"/>
        <w:numPr>
          <w:ilvl w:val="0"/>
          <w:numId w:val="18"/>
        </w:numPr>
        <w:spacing w:line="240" w:lineRule="auto"/>
        <w:rPr>
          <w:b/>
        </w:rPr>
      </w:pPr>
      <w:r>
        <w:rPr>
          <w:b/>
        </w:rPr>
        <w:t>Crowley supports MEI’s application and its representative testified to a present and future need for MEI’s services</w:t>
      </w:r>
      <w:r>
        <w:t xml:space="preserve"> ………………………...18</w:t>
      </w:r>
    </w:p>
    <w:p w14:paraId="09B90D17" w14:textId="77777777" w:rsidR="00787F70" w:rsidRDefault="00787F70" w:rsidP="00787F70">
      <w:pPr>
        <w:pStyle w:val="ListParagraph"/>
        <w:rPr>
          <w:b/>
        </w:rPr>
      </w:pPr>
    </w:p>
    <w:p w14:paraId="09B90D18" w14:textId="77777777" w:rsidR="00787F70" w:rsidRPr="00787F70" w:rsidRDefault="00787F70" w:rsidP="00787F70">
      <w:pPr>
        <w:pStyle w:val="BodyText"/>
        <w:numPr>
          <w:ilvl w:val="0"/>
          <w:numId w:val="16"/>
        </w:numPr>
        <w:spacing w:line="240" w:lineRule="auto"/>
        <w:rPr>
          <w:b/>
        </w:rPr>
      </w:pPr>
      <w:r>
        <w:rPr>
          <w:b/>
        </w:rPr>
        <w:lastRenderedPageBreak/>
        <w:t>Arrow Launch Services is underserving the Anacortes and Port Angeles markets</w:t>
      </w:r>
      <w:r>
        <w:t xml:space="preserve"> ………………………………………………………………………….</w:t>
      </w:r>
      <w:r w:rsidR="00036274">
        <w:t>20</w:t>
      </w:r>
    </w:p>
    <w:p w14:paraId="09B90D19" w14:textId="77777777" w:rsidR="00787F70" w:rsidRPr="00787F70" w:rsidRDefault="00787F70" w:rsidP="00787F70">
      <w:pPr>
        <w:pStyle w:val="BodyText"/>
        <w:spacing w:line="240" w:lineRule="auto"/>
        <w:ind w:left="1080" w:firstLine="0"/>
        <w:rPr>
          <w:b/>
        </w:rPr>
      </w:pPr>
    </w:p>
    <w:p w14:paraId="09B90D1A" w14:textId="77777777" w:rsidR="00787F70" w:rsidRPr="00787F70" w:rsidRDefault="00787F70" w:rsidP="00787F70">
      <w:pPr>
        <w:pStyle w:val="BodyText"/>
        <w:numPr>
          <w:ilvl w:val="0"/>
          <w:numId w:val="19"/>
        </w:numPr>
        <w:spacing w:line="240" w:lineRule="auto"/>
        <w:rPr>
          <w:b/>
        </w:rPr>
      </w:pPr>
      <w:r w:rsidRPr="00787F70">
        <w:rPr>
          <w:b/>
        </w:rPr>
        <w:t>The Commission should grant overlapping certificates to serve the A</w:t>
      </w:r>
      <w:r>
        <w:rPr>
          <w:b/>
        </w:rPr>
        <w:t>nacortes and Port Angeles areas</w:t>
      </w:r>
      <w:r>
        <w:t xml:space="preserve"> ……………………………………..20</w:t>
      </w:r>
    </w:p>
    <w:p w14:paraId="09B90D1B" w14:textId="77777777" w:rsidR="00787F70" w:rsidRPr="00787F70" w:rsidRDefault="00787F70" w:rsidP="00787F70">
      <w:pPr>
        <w:pStyle w:val="BodyText"/>
        <w:spacing w:line="240" w:lineRule="auto"/>
        <w:ind w:left="1800" w:firstLine="0"/>
        <w:rPr>
          <w:b/>
        </w:rPr>
      </w:pPr>
    </w:p>
    <w:p w14:paraId="09B90D1C" w14:textId="77777777" w:rsidR="00787F70" w:rsidRPr="00787F70" w:rsidRDefault="00787F70" w:rsidP="00787F70">
      <w:pPr>
        <w:pStyle w:val="BodyText"/>
        <w:numPr>
          <w:ilvl w:val="0"/>
          <w:numId w:val="19"/>
        </w:numPr>
        <w:spacing w:line="240" w:lineRule="auto"/>
        <w:rPr>
          <w:b/>
        </w:rPr>
      </w:pPr>
      <w:r w:rsidRPr="00787F70">
        <w:rPr>
          <w:b/>
        </w:rPr>
        <w:t>The weight of the witness’s test</w:t>
      </w:r>
      <w:r>
        <w:rPr>
          <w:b/>
        </w:rPr>
        <w:t>imony should tip in MEI’s favor</w:t>
      </w:r>
      <w:r>
        <w:t xml:space="preserve"> …...21</w:t>
      </w:r>
    </w:p>
    <w:p w14:paraId="09B90D1D" w14:textId="77777777" w:rsidR="00787F70" w:rsidRPr="00787F70" w:rsidRDefault="00787F70" w:rsidP="00787F70">
      <w:pPr>
        <w:pStyle w:val="BodyText"/>
        <w:spacing w:line="240" w:lineRule="auto"/>
        <w:ind w:firstLine="0"/>
        <w:rPr>
          <w:b/>
        </w:rPr>
      </w:pPr>
    </w:p>
    <w:p w14:paraId="09B90D1E" w14:textId="77777777" w:rsidR="00787F70" w:rsidRDefault="00787F70" w:rsidP="00787F70">
      <w:pPr>
        <w:pStyle w:val="BodyText"/>
        <w:numPr>
          <w:ilvl w:val="0"/>
          <w:numId w:val="19"/>
        </w:numPr>
        <w:spacing w:line="240" w:lineRule="auto"/>
        <w:rPr>
          <w:b/>
        </w:rPr>
      </w:pPr>
      <w:r w:rsidRPr="00787F70">
        <w:rPr>
          <w:b/>
        </w:rPr>
        <w:t xml:space="preserve">MEI is not “cherry-picking” the Anacortes and Port Angeles </w:t>
      </w:r>
    </w:p>
    <w:p w14:paraId="09B90D1F" w14:textId="77777777" w:rsidR="00787F70" w:rsidRDefault="00787F70" w:rsidP="00787F70">
      <w:pPr>
        <w:pStyle w:val="BodyText"/>
        <w:spacing w:line="240" w:lineRule="auto"/>
        <w:ind w:left="1800" w:firstLine="0"/>
      </w:pPr>
      <w:r>
        <w:rPr>
          <w:b/>
        </w:rPr>
        <w:t xml:space="preserve">Markets </w:t>
      </w:r>
      <w:r>
        <w:t>………………………………………………………………….22</w:t>
      </w:r>
    </w:p>
    <w:p w14:paraId="09B90D20" w14:textId="77777777" w:rsidR="00787F70" w:rsidRDefault="00787F70" w:rsidP="00787F70">
      <w:pPr>
        <w:pStyle w:val="BodyText"/>
        <w:spacing w:line="240" w:lineRule="auto"/>
        <w:ind w:left="1800" w:firstLine="0"/>
      </w:pPr>
    </w:p>
    <w:p w14:paraId="09B90D21" w14:textId="77777777" w:rsidR="00787F70" w:rsidRPr="00787F70" w:rsidRDefault="00787F70" w:rsidP="00787F70">
      <w:pPr>
        <w:pStyle w:val="BodyText"/>
        <w:numPr>
          <w:ilvl w:val="0"/>
          <w:numId w:val="19"/>
        </w:numPr>
        <w:spacing w:line="240" w:lineRule="auto"/>
        <w:rPr>
          <w:b/>
        </w:rPr>
      </w:pPr>
      <w:r w:rsidRPr="00787F70">
        <w:rPr>
          <w:b/>
        </w:rPr>
        <w:t xml:space="preserve">MEI has produced sufficient proof that Arrow is underserving the Anacortes and </w:t>
      </w:r>
      <w:r>
        <w:rPr>
          <w:b/>
        </w:rPr>
        <w:t>Port Angeles markets</w:t>
      </w:r>
      <w:r>
        <w:t xml:space="preserve"> ………………………………….23</w:t>
      </w:r>
    </w:p>
    <w:p w14:paraId="09B90D22" w14:textId="77777777" w:rsidR="00787F70" w:rsidRDefault="00787F70" w:rsidP="00787F70">
      <w:pPr>
        <w:pStyle w:val="BodyText"/>
        <w:spacing w:line="240" w:lineRule="auto"/>
        <w:rPr>
          <w:b/>
        </w:rPr>
      </w:pPr>
    </w:p>
    <w:p w14:paraId="09B90D23" w14:textId="77777777" w:rsidR="00787F70" w:rsidRPr="00787F70" w:rsidRDefault="00787F70" w:rsidP="00787F70">
      <w:pPr>
        <w:pStyle w:val="BodyText"/>
        <w:numPr>
          <w:ilvl w:val="0"/>
          <w:numId w:val="14"/>
        </w:numPr>
        <w:spacing w:line="240" w:lineRule="auto"/>
        <w:rPr>
          <w:b/>
        </w:rPr>
      </w:pPr>
      <w:r>
        <w:rPr>
          <w:b/>
        </w:rPr>
        <w:t>CONCLUSION</w:t>
      </w:r>
      <w:r>
        <w:t xml:space="preserve"> ……………………………………………………………………</w:t>
      </w:r>
      <w:r w:rsidR="00036274">
        <w:t>..24</w:t>
      </w:r>
    </w:p>
    <w:p w14:paraId="09B90D24" w14:textId="77777777" w:rsidR="00787F70" w:rsidRPr="00787F70" w:rsidRDefault="00787F70" w:rsidP="00787F70">
      <w:pPr>
        <w:pStyle w:val="BodyText"/>
        <w:spacing w:line="240" w:lineRule="auto"/>
        <w:ind w:left="1440" w:firstLine="0"/>
        <w:rPr>
          <w:b/>
        </w:rPr>
      </w:pPr>
    </w:p>
    <w:p w14:paraId="09B90D25" w14:textId="77777777" w:rsidR="00787F70" w:rsidRDefault="00787F70" w:rsidP="00787F70">
      <w:pPr>
        <w:pStyle w:val="BodyText"/>
        <w:ind w:firstLine="0"/>
      </w:pPr>
    </w:p>
    <w:p w14:paraId="09B90D26" w14:textId="77777777" w:rsidR="00787F70" w:rsidRDefault="00787F70" w:rsidP="00787F70">
      <w:pPr>
        <w:pStyle w:val="BodyText"/>
        <w:ind w:firstLine="0"/>
      </w:pPr>
    </w:p>
    <w:p w14:paraId="09B90D27" w14:textId="77777777" w:rsidR="00787F70" w:rsidRPr="00787F70" w:rsidRDefault="00787F70" w:rsidP="00787F70">
      <w:pPr>
        <w:spacing w:line="240" w:lineRule="auto"/>
      </w:pPr>
      <w:r>
        <w:br w:type="page"/>
      </w:r>
    </w:p>
    <w:p w14:paraId="09B90D28" w14:textId="77777777" w:rsidR="00757C88" w:rsidRDefault="007F73E8" w:rsidP="007F73E8">
      <w:pPr>
        <w:pStyle w:val="Heading1"/>
      </w:pPr>
      <w:r>
        <w:lastRenderedPageBreak/>
        <w:t>introduction</w:t>
      </w:r>
    </w:p>
    <w:p w14:paraId="09B90D29" w14:textId="77777777" w:rsidR="007F73E8" w:rsidRDefault="007F73E8" w:rsidP="00DB3F8C">
      <w:pPr>
        <w:pStyle w:val="BodyText"/>
        <w:jc w:val="both"/>
      </w:pPr>
      <w:r>
        <w:t>MEI Northwest LLC (“MEI”) req</w:t>
      </w:r>
      <w:r w:rsidR="00441EFA">
        <w:t>uests that the Commission grant</w:t>
      </w:r>
      <w:r>
        <w:t xml:space="preserve"> its application to provide launch service in the Puget Sound.  </w:t>
      </w:r>
      <w:r w:rsidR="00192FB8">
        <w:t>The current exclusive provider, Arrow Launch Services, Inc. (“</w:t>
      </w:r>
      <w:r w:rsidR="0085788D">
        <w:t>Arrow</w:t>
      </w:r>
      <w:r w:rsidR="00192FB8">
        <w:t xml:space="preserve">”), is underserving the market.  MEI is financially fit and willing to operate its proposed service for the next 12 months.  The </w:t>
      </w:r>
      <w:r w:rsidR="002C64B3">
        <w:t xml:space="preserve">shipping </w:t>
      </w:r>
      <w:r w:rsidR="00192FB8">
        <w:t>public will benefit from M</w:t>
      </w:r>
      <w:r w:rsidR="002C64B3">
        <w:t xml:space="preserve">EI’s application being granted because it will no longer suffer costly delays and timing problems.  Allowing another provider to enter the market will spur innovation and promote increased customer service.  </w:t>
      </w:r>
      <w:r w:rsidR="000845F6">
        <w:t xml:space="preserve">For these reasons, the Commission should grant </w:t>
      </w:r>
      <w:r w:rsidR="002C64B3">
        <w:t>MEI</w:t>
      </w:r>
      <w:r w:rsidR="000845F6">
        <w:t>’s application</w:t>
      </w:r>
      <w:r w:rsidR="002C64B3">
        <w:t>.</w:t>
      </w:r>
    </w:p>
    <w:p w14:paraId="09B90D2A" w14:textId="77777777" w:rsidR="008A62B6" w:rsidRDefault="008A62B6" w:rsidP="008A62B6">
      <w:pPr>
        <w:pStyle w:val="Heading1"/>
      </w:pPr>
      <w:r>
        <w:t>statement of facts</w:t>
      </w:r>
    </w:p>
    <w:p w14:paraId="09B90D2B" w14:textId="77777777" w:rsidR="00C263CF" w:rsidRDefault="00C263CF" w:rsidP="00DB3F8C">
      <w:pPr>
        <w:pStyle w:val="Heading2"/>
        <w:jc w:val="both"/>
      </w:pPr>
      <w:r>
        <w:t>MEI’s operators have extensive experience providing launch services.</w:t>
      </w:r>
    </w:p>
    <w:p w14:paraId="09B90D2C" w14:textId="77777777" w:rsidR="008A62B6" w:rsidRDefault="00192FB8" w:rsidP="00DB3F8C">
      <w:pPr>
        <w:pStyle w:val="BodyText"/>
        <w:jc w:val="both"/>
      </w:pPr>
      <w:r>
        <w:t xml:space="preserve">MEI </w:t>
      </w:r>
      <w:r w:rsidR="00E00510">
        <w:t>is a newly formed limited liability company that was created for the purpose of operating a launch service in Puget Sound.</w:t>
      </w:r>
      <w:r w:rsidR="00982E2D">
        <w:t xml:space="preserve">  MEI is a wholly owned subsidiary of its parent company, Marine Express, Inc. (“Marine Express”).  Marine Express operates as a launch service provider in California.  It serves ports in the Bay Area, Long Beach, and Stockton.  Marine Express was formed in 1982 with one 26-foot fiberglass boat.  In the intervening years, Marine Express has expanded its fleet to 13 vessels and 5 barges, and has become a staple of the California maritime industry.</w:t>
      </w:r>
    </w:p>
    <w:p w14:paraId="09B90D2D" w14:textId="77777777" w:rsidR="00982E2D" w:rsidRDefault="00982E2D" w:rsidP="00DB3F8C">
      <w:pPr>
        <w:pStyle w:val="BodyText"/>
        <w:jc w:val="both"/>
      </w:pPr>
      <w:r>
        <w:t>Randy (“Troy”) Esch is a partner and Vice President of Marine Express.  He is also the President and Manager of MEI.  Mr. Esch has extensive experience in the maritime industry</w:t>
      </w:r>
      <w:r w:rsidR="00DE2031">
        <w:t xml:space="preserve"> and grew up helping his father and grandfather run Marine Express.  Mr. Esch holds a 200 Ton Master of Towing License with Radar Unlimited and has been a specialty and relief captain for the past 10 years in both San Francisco and Long Beach, California.  </w:t>
      </w:r>
    </w:p>
    <w:p w14:paraId="09B90D2E" w14:textId="77777777" w:rsidR="00DE2031" w:rsidRDefault="00DE2031" w:rsidP="00DB3F8C">
      <w:pPr>
        <w:pStyle w:val="BodyText"/>
        <w:jc w:val="both"/>
      </w:pPr>
      <w:r>
        <w:t>Mr. Esch has extensive experience operating a launch company.  As a partner and Vice President of Marine Express, he is responsible for the day-to-day management of a multi-port, multi-vessel launch service provider.  Mr. Esch is</w:t>
      </w:r>
      <w:r w:rsidR="000845F6">
        <w:t xml:space="preserve"> responsible for the operations, finances,</w:t>
      </w:r>
      <w:r>
        <w:t xml:space="preserve"> </w:t>
      </w:r>
      <w:r>
        <w:lastRenderedPageBreak/>
        <w:t>legal affairs</w:t>
      </w:r>
      <w:r w:rsidR="000845F6">
        <w:t xml:space="preserve">, along with </w:t>
      </w:r>
      <w:r>
        <w:t xml:space="preserve">sales, marketing, and business development for Marine Express.  Under his watch, Marine Express has become a leader in innovation and </w:t>
      </w:r>
      <w:r w:rsidR="00CE4A9E">
        <w:t>environmental responsibility.  Marine Express has developed a cutting-edge p</w:t>
      </w:r>
      <w:r w:rsidR="000845F6">
        <w:t xml:space="preserve">reventative maintenance program, which is run </w:t>
      </w:r>
      <w:r w:rsidR="00CE4A9E">
        <w:t xml:space="preserve">by a custom software program specifically tailored to Marine Express’s equipment list.  </w:t>
      </w:r>
      <w:r w:rsidR="00C263CF">
        <w:t>Marine Express is forward-thinking and environmentally responsible.  It has completely repowered many of its ve</w:t>
      </w:r>
      <w:r w:rsidR="000845F6">
        <w:t>ssels with new, environmentally-</w:t>
      </w:r>
      <w:r w:rsidR="00C263CF">
        <w:t>friendly propulsion systems</w:t>
      </w:r>
      <w:r w:rsidR="005B1C47">
        <w:t xml:space="preserve">.  And it has </w:t>
      </w:r>
      <w:r w:rsidR="00C263CF">
        <w:t>modernized standard Detroit 71 propulsi</w:t>
      </w:r>
      <w:r w:rsidR="000845F6">
        <w:t>on systems with environmentally-</w:t>
      </w:r>
      <w:r w:rsidR="00C263CF">
        <w:t>friendly tier-2 kits</w:t>
      </w:r>
      <w:r w:rsidR="002C64B3">
        <w:t xml:space="preserve"> on its other vessels</w:t>
      </w:r>
      <w:r w:rsidR="00C263CF">
        <w:t xml:space="preserve">.  Marine Express believes that in order to preserve </w:t>
      </w:r>
      <w:r w:rsidR="005B1C47">
        <w:t xml:space="preserve">the ocean—that is, </w:t>
      </w:r>
      <w:r w:rsidR="00C263CF">
        <w:t xml:space="preserve">the </w:t>
      </w:r>
      <w:r w:rsidR="005B1C47">
        <w:t xml:space="preserve">natural </w:t>
      </w:r>
      <w:r w:rsidR="00C263CF">
        <w:t xml:space="preserve">resource upon which </w:t>
      </w:r>
      <w:r w:rsidR="005B1C47">
        <w:t>Marine Express operates its business—i</w:t>
      </w:r>
      <w:r w:rsidR="00C263CF">
        <w:t>t is necessary to operate its fleet in a sustainable way.</w:t>
      </w:r>
    </w:p>
    <w:p w14:paraId="09B90D2F" w14:textId="77777777" w:rsidR="00C263CF" w:rsidRDefault="005B1C47" w:rsidP="00DB3F8C">
      <w:pPr>
        <w:pStyle w:val="Heading2"/>
        <w:jc w:val="both"/>
      </w:pPr>
      <w:r>
        <w:t xml:space="preserve">MEI </w:t>
      </w:r>
      <w:r w:rsidR="00C263CF">
        <w:t>is a financially viable company</w:t>
      </w:r>
      <w:r>
        <w:t xml:space="preserve"> with more than enough resources to operate in the Puget Sound over the next 12 months</w:t>
      </w:r>
      <w:r w:rsidR="00C263CF">
        <w:t>.</w:t>
      </w:r>
    </w:p>
    <w:p w14:paraId="09B90D30" w14:textId="77777777" w:rsidR="00C263CF" w:rsidRDefault="00C263CF" w:rsidP="00DB3F8C">
      <w:pPr>
        <w:pStyle w:val="BodyText"/>
        <w:jc w:val="both"/>
      </w:pPr>
      <w:r>
        <w:t xml:space="preserve">When MEI submitted its application to the Commission, it indicated that it had $300,000 cash on hand and another $105,000 in equipment-based assets.  During the evidentiary hearing, Mr. Esch </w:t>
      </w:r>
      <w:r w:rsidR="00E9365D">
        <w:t>referred to</w:t>
      </w:r>
      <w:r w:rsidR="00795896">
        <w:t xml:space="preserve"> the $300,000 in cash </w:t>
      </w:r>
      <w:r w:rsidR="00E9365D">
        <w:t>as</w:t>
      </w:r>
      <w:r w:rsidR="00795896">
        <w:t xml:space="preserve"> a </w:t>
      </w:r>
      <w:r w:rsidR="00E9365D">
        <w:t>“</w:t>
      </w:r>
      <w:r w:rsidR="00795896">
        <w:t>loan</w:t>
      </w:r>
      <w:r w:rsidR="00E9365D">
        <w:t>”</w:t>
      </w:r>
      <w:r w:rsidR="00795896">
        <w:t xml:space="preserve"> between Marine Express and MEI.  </w:t>
      </w:r>
      <w:r w:rsidR="007E0418">
        <w:t xml:space="preserve">During cross-examination, Mr. Esch was not asked to clarify what he meant by the term “loan” or whether the funds should better be characterized as a “capital contribution.”  </w:t>
      </w:r>
      <w:r w:rsidR="00795896">
        <w:t xml:space="preserve">Post-hearing, Mr. Esch produced a copy of the paperwork between Marine Express and MEI and </w:t>
      </w:r>
      <w:r w:rsidR="007E0418">
        <w:t xml:space="preserve">clarified that the $300,000 was, in fact, </w:t>
      </w:r>
      <w:r w:rsidR="00795896">
        <w:t xml:space="preserve">a capital contribution </w:t>
      </w:r>
      <w:r w:rsidR="007E0418">
        <w:t>from Marine Express—the sole owner of MEI</w:t>
      </w:r>
      <w:r w:rsidR="00795896">
        <w:t xml:space="preserve">.  That is, </w:t>
      </w:r>
      <w:r w:rsidR="007E0418">
        <w:t xml:space="preserve">the $300,000 is not a true “loan” because </w:t>
      </w:r>
      <w:r w:rsidR="00795896">
        <w:t>MEI is under no obligation to repay the $300,000 to Marine Express.  There is no interest on the capital contribution and MEI has no corresponding liabi</w:t>
      </w:r>
      <w:r w:rsidR="007E0418">
        <w:t>lity attached to the $300,000.  Rather, the $300,000 represents Marine Express’s equity interest in MEI.</w:t>
      </w:r>
    </w:p>
    <w:p w14:paraId="09B90D31" w14:textId="77777777" w:rsidR="00795896" w:rsidRDefault="00795896" w:rsidP="00DB3F8C">
      <w:pPr>
        <w:pStyle w:val="BodyText"/>
        <w:jc w:val="both"/>
      </w:pPr>
      <w:r>
        <w:t>The information contained in the pro forma financial statement submitted by MEI in conjunction with its application continues to be accurate.  It has $300,000 cash on hand and another $105,000 in equipment-based assets.</w:t>
      </w:r>
    </w:p>
    <w:p w14:paraId="09B90D32" w14:textId="77777777" w:rsidR="00795896" w:rsidRDefault="00795896" w:rsidP="00DB3F8C">
      <w:pPr>
        <w:pStyle w:val="Heading2"/>
        <w:jc w:val="both"/>
      </w:pPr>
      <w:r>
        <w:lastRenderedPageBreak/>
        <w:t>The need for launch service in the Puget Sound continues to grow.</w:t>
      </w:r>
    </w:p>
    <w:p w14:paraId="09B90D33" w14:textId="77777777" w:rsidR="00BF3C84" w:rsidRDefault="000C3FBB" w:rsidP="00DB3F8C">
      <w:pPr>
        <w:pStyle w:val="BodyText"/>
        <w:jc w:val="both"/>
      </w:pPr>
      <w:r>
        <w:t>Puget Sound is a dynamic market that continues to grow.</w:t>
      </w:r>
      <w:r w:rsidR="00305E8E">
        <w:t xml:space="preserve">  The history of </w:t>
      </w:r>
      <w:r w:rsidR="0085788D">
        <w:t>Arrow</w:t>
      </w:r>
      <w:r w:rsidR="00305E8E">
        <w:t xml:space="preserve"> demonstrates the growth and demand for launch service in the Puget Sound.  </w:t>
      </w:r>
      <w:r w:rsidR="00BF3C84">
        <w:t xml:space="preserve">When </w:t>
      </w:r>
      <w:r w:rsidR="007E0418">
        <w:t xml:space="preserve">Jack Harmon, the President and owner of </w:t>
      </w:r>
      <w:r w:rsidR="0085788D">
        <w:t>Arrow</w:t>
      </w:r>
      <w:r w:rsidR="007E0418">
        <w:t xml:space="preserve">, </w:t>
      </w:r>
      <w:r w:rsidR="00305E8E">
        <w:t xml:space="preserve">purchased </w:t>
      </w:r>
      <w:r w:rsidR="0085788D">
        <w:t>Arrow</w:t>
      </w:r>
      <w:r w:rsidR="007E0418">
        <w:t>’s</w:t>
      </w:r>
      <w:r w:rsidR="00305E8E">
        <w:t xml:space="preserve"> </w:t>
      </w:r>
      <w:r w:rsidR="007E0418">
        <w:t xml:space="preserve">predecessor </w:t>
      </w:r>
      <w:r w:rsidR="00305E8E">
        <w:t>company in 1989</w:t>
      </w:r>
      <w:r w:rsidR="00BF3C84">
        <w:t>, the company had gross annual revenues of $169,000 and operated three launch vessels.</w:t>
      </w:r>
      <w:r w:rsidR="00BF3C84">
        <w:rPr>
          <w:rStyle w:val="FootnoteReference"/>
        </w:rPr>
        <w:footnoteReference w:id="1"/>
      </w:r>
      <w:r w:rsidR="00BF3C84">
        <w:t xml:space="preserve">  </w:t>
      </w:r>
      <w:r w:rsidR="0085788D">
        <w:t>Arrow</w:t>
      </w:r>
      <w:r w:rsidR="00BF3C84">
        <w:t xml:space="preserve"> now grosses approximately $6.5 million per year, it operates 12 vessels, and it employs at least 42 people.</w:t>
      </w:r>
      <w:r w:rsidR="00BF3C84">
        <w:rPr>
          <w:rStyle w:val="FootnoteReference"/>
        </w:rPr>
        <w:footnoteReference w:id="2"/>
      </w:r>
      <w:r w:rsidR="00BF3C84">
        <w:t xml:space="preserve">  </w:t>
      </w:r>
      <w:r w:rsidR="0085788D">
        <w:t>Arrow</w:t>
      </w:r>
      <w:r w:rsidR="00BF3C84">
        <w:t xml:space="preserve"> projects that its business will continue to expand.  </w:t>
      </w:r>
      <w:r w:rsidR="0085788D">
        <w:t>Arrow</w:t>
      </w:r>
      <w:r w:rsidR="00BF3C84">
        <w:t xml:space="preserve"> recently entered into three new leases with the Port of Port Angeles</w:t>
      </w:r>
      <w:r w:rsidR="00DF27E7">
        <w:t xml:space="preserve"> for facilities for a total cost of $5,525 per month.</w:t>
      </w:r>
      <w:r w:rsidR="00DF27E7">
        <w:rPr>
          <w:rStyle w:val="FootnoteReference"/>
        </w:rPr>
        <w:footnoteReference w:id="3"/>
      </w:r>
      <w:r w:rsidR="00DF27E7">
        <w:t xml:space="preserve">  When entering into these leases, </w:t>
      </w:r>
      <w:r w:rsidR="0085788D">
        <w:t>Arrow</w:t>
      </w:r>
      <w:r w:rsidR="00DF27E7">
        <w:t xml:space="preserve"> represented to the Port of Port Angeles that it currently had 40 employees and anticipated that it would grow the number of employees to 50 within the next three years.</w:t>
      </w:r>
      <w:r w:rsidR="00DF27E7">
        <w:rPr>
          <w:rStyle w:val="FootnoteReference"/>
        </w:rPr>
        <w:footnoteReference w:id="4"/>
      </w:r>
    </w:p>
    <w:p w14:paraId="09B90D34" w14:textId="77777777" w:rsidR="00207907" w:rsidRDefault="00DF27E7" w:rsidP="00DB3F8C">
      <w:pPr>
        <w:pStyle w:val="BodyText"/>
        <w:jc w:val="both"/>
      </w:pPr>
      <w:r>
        <w:t>Crowley</w:t>
      </w:r>
      <w:r w:rsidR="0083226B">
        <w:t xml:space="preserve"> Petroleum Services</w:t>
      </w:r>
      <w:r>
        <w:t xml:space="preserve"> also believes that </w:t>
      </w:r>
      <w:r w:rsidR="0083226B">
        <w:t>the Puget Sound market continues to grow.  Crowley is one of the largest consumers of launch services in Puget Sound, representing 15% of the regulated market.</w:t>
      </w:r>
      <w:r w:rsidR="0083226B">
        <w:rPr>
          <w:rStyle w:val="FootnoteReference"/>
        </w:rPr>
        <w:footnoteReference w:id="5"/>
      </w:r>
      <w:r w:rsidR="0083226B">
        <w:t xml:space="preserve">  Its representative, Marc Aikin, testified at the evidentiary hearing that the Puget Sound is a growing market for Crowley and anticipates that its operations in Puget </w:t>
      </w:r>
      <w:r w:rsidR="00207907">
        <w:t>Sound will continue to expand:</w:t>
      </w:r>
    </w:p>
    <w:p w14:paraId="09B90D35" w14:textId="77777777" w:rsidR="00DF27E7" w:rsidRDefault="0083226B" w:rsidP="00207907">
      <w:pPr>
        <w:pStyle w:val="BlockQuote"/>
      </w:pPr>
      <w:r>
        <w:t>Our market sector continues to grow.  We are adding more vessels.  We utilize the anchorages in Anacortes to a great extent.  We have multiple vessels at anchor at any given time in the north Puget Sound all needing to be serviced.  We have vessels in Port Angeles.  We have mor</w:t>
      </w:r>
      <w:r w:rsidR="00207907">
        <w:t>e vessels coming to this coast.</w:t>
      </w:r>
      <w:r>
        <w:rPr>
          <w:rStyle w:val="FootnoteReference"/>
        </w:rPr>
        <w:footnoteReference w:id="6"/>
      </w:r>
    </w:p>
    <w:p w14:paraId="09B90D36" w14:textId="77777777" w:rsidR="002A63A1" w:rsidRDefault="002A63A1" w:rsidP="00DB3F8C">
      <w:pPr>
        <w:pStyle w:val="BodyText"/>
        <w:jc w:val="both"/>
      </w:pPr>
      <w:r>
        <w:t>This growth is consist</w:t>
      </w:r>
      <w:r w:rsidR="00207907">
        <w:t xml:space="preserve">ent with what MEI President </w:t>
      </w:r>
      <w:r w:rsidR="002C64B3">
        <w:t>Tro</w:t>
      </w:r>
      <w:r w:rsidR="00207907">
        <w:t>y Esch</w:t>
      </w:r>
      <w:r>
        <w:t xml:space="preserve"> has experienced with Marine Express </w:t>
      </w:r>
      <w:r w:rsidR="00207907">
        <w:t>in other West Coast ports</w:t>
      </w:r>
      <w:r>
        <w:t xml:space="preserve">.  Mr. Esch provided vessel arrival data for the Bay </w:t>
      </w:r>
      <w:r>
        <w:lastRenderedPageBreak/>
        <w:t>Area and Puget Sound.</w:t>
      </w:r>
      <w:r>
        <w:rPr>
          <w:rStyle w:val="FootnoteReference"/>
        </w:rPr>
        <w:footnoteReference w:id="7"/>
      </w:r>
      <w:r>
        <w:t xml:space="preserve">  These vessel statistics show that both the Bay Area and the Puget Sound continue to thrive and continue to be visited by hundreds of ships every year requiring launch services.</w:t>
      </w:r>
    </w:p>
    <w:p w14:paraId="09B90D37" w14:textId="77777777" w:rsidR="004A25B8" w:rsidRDefault="0085788D" w:rsidP="00DB3F8C">
      <w:pPr>
        <w:pStyle w:val="Heading2"/>
        <w:jc w:val="both"/>
      </w:pPr>
      <w:r>
        <w:t>Arrow</w:t>
      </w:r>
      <w:r w:rsidR="004A25B8">
        <w:t xml:space="preserve"> is inadequately serving its customers.</w:t>
      </w:r>
    </w:p>
    <w:p w14:paraId="09B90D38" w14:textId="77777777" w:rsidR="004A25B8" w:rsidRDefault="004A25B8" w:rsidP="00DB3F8C">
      <w:pPr>
        <w:pStyle w:val="BodyText"/>
        <w:jc w:val="both"/>
      </w:pPr>
      <w:r>
        <w:t>With one minor exception,</w:t>
      </w:r>
      <w:r w:rsidR="002C64B3">
        <w:rPr>
          <w:rStyle w:val="FootnoteReference"/>
        </w:rPr>
        <w:footnoteReference w:id="8"/>
      </w:r>
      <w:r>
        <w:t xml:space="preserve"> </w:t>
      </w:r>
      <w:r w:rsidR="0085788D">
        <w:t>Arrow</w:t>
      </w:r>
      <w:r>
        <w:t xml:space="preserve"> is the sole launch service provider in the Puget Sound.  It has authority to operate </w:t>
      </w:r>
      <w:r w:rsidR="003E0002">
        <w:t xml:space="preserve">launch service throughout the entire Puget Sound, as well as Grays Harbor.  </w:t>
      </w:r>
      <w:r w:rsidR="0085788D">
        <w:t>Arrow</w:t>
      </w:r>
      <w:r w:rsidR="003E0002">
        <w:t xml:space="preserve"> also provides </w:t>
      </w:r>
      <w:r w:rsidR="002C64B3">
        <w:t>nonregulated</w:t>
      </w:r>
      <w:r w:rsidR="003E0002">
        <w:t xml:space="preserve"> services to customers within the Puget Sound, and often offers a mixture of regulated and </w:t>
      </w:r>
      <w:r w:rsidR="002C64B3">
        <w:t>nonregulated</w:t>
      </w:r>
      <w:r w:rsidR="003E0002">
        <w:t xml:space="preserve"> services to a customer during a single launch.</w:t>
      </w:r>
      <w:r w:rsidR="003E0002">
        <w:rPr>
          <w:rStyle w:val="FootnoteReference"/>
        </w:rPr>
        <w:footnoteReference w:id="9"/>
      </w:r>
    </w:p>
    <w:p w14:paraId="09B90D39" w14:textId="77777777" w:rsidR="00DC51A4" w:rsidRDefault="00DC51A4" w:rsidP="00DB3F8C">
      <w:pPr>
        <w:pStyle w:val="BodyText"/>
        <w:jc w:val="both"/>
      </w:pPr>
      <w:r>
        <w:t xml:space="preserve">During the application process, the Commission Staff conducted an informal survey of </w:t>
      </w:r>
      <w:r w:rsidR="0085788D">
        <w:t>Arrow</w:t>
      </w:r>
      <w:r>
        <w:t xml:space="preserve">’s customers.  The Commission Staff looked at </w:t>
      </w:r>
      <w:r w:rsidR="0085788D">
        <w:t>Arrow</w:t>
      </w:r>
      <w:r>
        <w:t>’s customer list and selected the six largest customers to survey.</w:t>
      </w:r>
      <w:r>
        <w:rPr>
          <w:rStyle w:val="FootnoteReference"/>
        </w:rPr>
        <w:footnoteReference w:id="10"/>
      </w:r>
      <w:r>
        <w:t xml:space="preserve">  Those six customers represent 70% of </w:t>
      </w:r>
      <w:r w:rsidR="0085788D">
        <w:t>Arrow</w:t>
      </w:r>
      <w:r>
        <w:t>’s regulated revenue.</w:t>
      </w:r>
      <w:r>
        <w:rPr>
          <w:rStyle w:val="FootnoteReference"/>
        </w:rPr>
        <w:footnoteReference w:id="11"/>
      </w:r>
      <w:r>
        <w:t xml:space="preserve">  Of those six customers, </w:t>
      </w:r>
      <w:r w:rsidR="005010A5">
        <w:t>four openly supported increased competition in the Puget Sound.</w:t>
      </w:r>
      <w:r w:rsidR="005010A5">
        <w:rPr>
          <w:rStyle w:val="FootnoteReference"/>
        </w:rPr>
        <w:footnoteReference w:id="12"/>
      </w:r>
      <w:r w:rsidR="005010A5">
        <w:t xml:space="preserve">  The majority of </w:t>
      </w:r>
      <w:r w:rsidR="0085788D">
        <w:t>Arrow</w:t>
      </w:r>
      <w:r w:rsidR="005010A5">
        <w:t>’s largest customers support competition in the Puget Sound for launch services.</w:t>
      </w:r>
      <w:r w:rsidR="005010A5">
        <w:rPr>
          <w:rStyle w:val="FootnoteReference"/>
        </w:rPr>
        <w:footnoteReference w:id="13"/>
      </w:r>
    </w:p>
    <w:p w14:paraId="09B90D3A" w14:textId="77777777" w:rsidR="003E0002" w:rsidRDefault="00AF411D" w:rsidP="00DB3F8C">
      <w:pPr>
        <w:pStyle w:val="BodyText"/>
        <w:jc w:val="both"/>
      </w:pPr>
      <w:r>
        <w:t>Mr. Esch</w:t>
      </w:r>
      <w:r w:rsidR="003E0002">
        <w:t xml:space="preserve"> has </w:t>
      </w:r>
      <w:r w:rsidR="00BB46D0">
        <w:t xml:space="preserve">also </w:t>
      </w:r>
      <w:r>
        <w:t xml:space="preserve">heard a number of complaints about </w:t>
      </w:r>
      <w:r w:rsidR="0085788D">
        <w:t>Arrow</w:t>
      </w:r>
      <w:r>
        <w:t>’s customer service over the years.  While many of the complaints date back</w:t>
      </w:r>
      <w:r w:rsidR="00441EFA">
        <w:t xml:space="preserve"> years, complaints from Crowley</w:t>
      </w:r>
      <w:r>
        <w:t xml:space="preserve"> are current and substantial.  Crowley is one of the biggest utilizers of launch services in the Puget Sound.</w:t>
      </w:r>
      <w:r>
        <w:rPr>
          <w:rStyle w:val="FootnoteReference"/>
        </w:rPr>
        <w:footnoteReference w:id="14"/>
      </w:r>
      <w:r>
        <w:t xml:space="preserve">  </w:t>
      </w:r>
      <w:r w:rsidR="00F73D16">
        <w:lastRenderedPageBreak/>
        <w:t>As mentioned above, Crowley</w:t>
      </w:r>
      <w:r w:rsidR="00DC51A4">
        <w:t xml:space="preserve"> currently represents 15% of the total launch service market in the Puget Sound.</w:t>
      </w:r>
      <w:r w:rsidR="00DC51A4">
        <w:rPr>
          <w:rStyle w:val="FootnoteReference"/>
        </w:rPr>
        <w:footnoteReference w:id="15"/>
      </w:r>
      <w:r w:rsidR="00DC51A4">
        <w:t xml:space="preserve">  </w:t>
      </w:r>
    </w:p>
    <w:p w14:paraId="09B90D3B" w14:textId="77777777" w:rsidR="00BB46D0" w:rsidRDefault="00BB46D0" w:rsidP="00DB3F8C">
      <w:pPr>
        <w:pStyle w:val="BodyText"/>
        <w:jc w:val="both"/>
      </w:pPr>
      <w:r>
        <w:t xml:space="preserve">Crowley is dissatisfied </w:t>
      </w:r>
      <w:r w:rsidR="00441EFA">
        <w:t xml:space="preserve">by timing and delay issues associated </w:t>
      </w:r>
      <w:r>
        <w:t xml:space="preserve">with </w:t>
      </w:r>
      <w:r w:rsidR="0085788D">
        <w:t>Arrow</w:t>
      </w:r>
      <w:r w:rsidR="00441EFA">
        <w:t>’s services,</w:t>
      </w:r>
      <w:r w:rsidR="00441EFA">
        <w:rPr>
          <w:rStyle w:val="FootnoteReference"/>
        </w:rPr>
        <w:footnoteReference w:id="16"/>
      </w:r>
      <w:r w:rsidR="00441EFA">
        <w:t xml:space="preserve"> as well as the lack of an alternative service provider</w:t>
      </w:r>
      <w:r>
        <w:t>.</w:t>
      </w:r>
      <w:r>
        <w:rPr>
          <w:rStyle w:val="FootnoteReference"/>
        </w:rPr>
        <w:footnoteReference w:id="17"/>
      </w:r>
      <w:r>
        <w:t xml:space="preserve">  </w:t>
      </w:r>
      <w:r w:rsidR="00EC0431">
        <w:t xml:space="preserve">Crowley’s frustration with </w:t>
      </w:r>
      <w:r w:rsidR="0085788D">
        <w:t>Arrow</w:t>
      </w:r>
      <w:r w:rsidR="00EC0431">
        <w:t>’s services reached a tipping point in 2013.</w:t>
      </w:r>
      <w:r w:rsidR="00EC0431">
        <w:rPr>
          <w:rStyle w:val="FootnoteReference"/>
        </w:rPr>
        <w:footnoteReference w:id="18"/>
      </w:r>
      <w:r w:rsidR="00EC0431">
        <w:t xml:space="preserve">  Over the years, Crowley has experienced timing problems with </w:t>
      </w:r>
      <w:r w:rsidR="0085788D">
        <w:t>Arrow</w:t>
      </w:r>
      <w:r w:rsidR="00EC0431">
        <w:t xml:space="preserve">’s service and </w:t>
      </w:r>
      <w:r w:rsidR="00CB19F2">
        <w:t xml:space="preserve">has experienced situations where there were not enough </w:t>
      </w:r>
      <w:r w:rsidR="0085788D">
        <w:t>Arrow</w:t>
      </w:r>
      <w:r w:rsidR="00CB19F2">
        <w:t xml:space="preserve"> launches available to timely serve its vessels.</w:t>
      </w:r>
      <w:r w:rsidR="00CB19F2">
        <w:rPr>
          <w:rStyle w:val="FootnoteReference"/>
        </w:rPr>
        <w:footnoteReference w:id="19"/>
      </w:r>
      <w:r w:rsidR="00CB19F2">
        <w:t xml:space="preserve">  While </w:t>
      </w:r>
      <w:r w:rsidR="0085788D">
        <w:t>Arrow</w:t>
      </w:r>
      <w:r w:rsidR="00CB19F2">
        <w:t xml:space="preserve"> purports to keep 4 ves</w:t>
      </w:r>
      <w:r w:rsidR="002C64B3">
        <w:t>sels in Anacortes to serve the n</w:t>
      </w:r>
      <w:r w:rsidR="00CB19F2">
        <w:t xml:space="preserve">orth Puget Sound, Marc Aikin, Crowley’s representative, testified that there have been occasions where his vessels were delayed because </w:t>
      </w:r>
      <w:r w:rsidR="0085788D">
        <w:t>Arrow</w:t>
      </w:r>
      <w:r w:rsidR="00CB19F2">
        <w:t xml:space="preserve"> only had one launch available to serve Crowley’s two vessels.</w:t>
      </w:r>
      <w:r w:rsidR="00CB19F2">
        <w:rPr>
          <w:rStyle w:val="FootnoteReference"/>
        </w:rPr>
        <w:footnoteReference w:id="20"/>
      </w:r>
      <w:r w:rsidR="00204848">
        <w:t xml:space="preserve">  Crowley has also been frustrated with the ancillary, </w:t>
      </w:r>
      <w:r w:rsidR="002C64B3">
        <w:t>nonregulated</w:t>
      </w:r>
      <w:r w:rsidR="00204848">
        <w:t xml:space="preserve"> charges that </w:t>
      </w:r>
      <w:r w:rsidR="0085788D">
        <w:t>Arrow</w:t>
      </w:r>
      <w:r w:rsidR="00204848">
        <w:t xml:space="preserve"> invoices to Crowley.</w:t>
      </w:r>
      <w:r w:rsidR="00204848">
        <w:rPr>
          <w:rStyle w:val="FootnoteReference"/>
        </w:rPr>
        <w:footnoteReference w:id="21"/>
      </w:r>
      <w:r w:rsidR="00204848">
        <w:t xml:space="preserve">  Because </w:t>
      </w:r>
      <w:r w:rsidR="0085788D">
        <w:t>Arrow</w:t>
      </w:r>
      <w:r w:rsidR="00204848">
        <w:t xml:space="preserve"> is the sole launch provider in the area, it is able to charge high ancillary charges on crane and other </w:t>
      </w:r>
      <w:r w:rsidR="00204848">
        <w:lastRenderedPageBreak/>
        <w:t>dockside services.</w:t>
      </w:r>
      <w:r w:rsidR="00204848">
        <w:rPr>
          <w:rStyle w:val="FootnoteReference"/>
        </w:rPr>
        <w:footnoteReference w:id="22"/>
      </w:r>
      <w:r w:rsidR="00204848">
        <w:t xml:space="preserve">  When </w:t>
      </w:r>
      <w:r w:rsidR="0085788D">
        <w:t>Arrow</w:t>
      </w:r>
      <w:r w:rsidR="00204848">
        <w:t xml:space="preserve"> is providing a mixture of regulated and nonregulated services, it takes advantage of that fact and charges high and inconsistent rates for the ancillary services.</w:t>
      </w:r>
      <w:r w:rsidR="00204848">
        <w:rPr>
          <w:rStyle w:val="FootnoteReference"/>
        </w:rPr>
        <w:footnoteReference w:id="23"/>
      </w:r>
      <w:r w:rsidR="00204848">
        <w:t xml:space="preserve">  For example, </w:t>
      </w:r>
      <w:r w:rsidR="0085788D">
        <w:t>Arrow</w:t>
      </w:r>
      <w:r w:rsidR="00204848">
        <w:t xml:space="preserve"> pays the </w:t>
      </w:r>
      <w:r w:rsidR="00F73D16">
        <w:t xml:space="preserve">Port of </w:t>
      </w:r>
      <w:r w:rsidR="00204848">
        <w:t>Anacortes $30 per month for access to the port crane, but charges Crowley a significantly higher amount for the service.</w:t>
      </w:r>
      <w:r w:rsidR="00204848">
        <w:rPr>
          <w:rStyle w:val="FootnoteReference"/>
        </w:rPr>
        <w:footnoteReference w:id="24"/>
      </w:r>
      <w:r w:rsidR="00204848">
        <w:t xml:space="preserve"> </w:t>
      </w:r>
      <w:r w:rsidR="00994487">
        <w:t xml:space="preserve"> </w:t>
      </w:r>
      <w:r w:rsidR="0085788D">
        <w:t xml:space="preserve">Arrow </w:t>
      </w:r>
      <w:r w:rsidR="00994487">
        <w:t>is not passing along any of its savings to Crowley.</w:t>
      </w:r>
      <w:r w:rsidR="00994487">
        <w:rPr>
          <w:rStyle w:val="FootnoteReference"/>
        </w:rPr>
        <w:footnoteReference w:id="25"/>
      </w:r>
    </w:p>
    <w:p w14:paraId="09B90D3C" w14:textId="77777777" w:rsidR="00CB19F2" w:rsidRDefault="00994487" w:rsidP="00DB3F8C">
      <w:pPr>
        <w:pStyle w:val="BodyText"/>
        <w:jc w:val="both"/>
      </w:pPr>
      <w:r>
        <w:t>As a result of the timing and delay issues, as well as excessive ancillary costs, Crowley representatives began communicating with the Commission in 2013 to determine what other options it had for launch services.</w:t>
      </w:r>
      <w:r>
        <w:rPr>
          <w:rStyle w:val="FootnoteReference"/>
        </w:rPr>
        <w:footnoteReference w:id="26"/>
      </w:r>
      <w:r>
        <w:t xml:space="preserve">  Eventually Crowley published a solicitation for launch services through its </w:t>
      </w:r>
      <w:r w:rsidR="00965EC5">
        <w:t>procurement group.</w:t>
      </w:r>
      <w:r w:rsidR="00965EC5">
        <w:rPr>
          <w:rStyle w:val="FootnoteReference"/>
        </w:rPr>
        <w:footnoteReference w:id="27"/>
      </w:r>
      <w:r w:rsidR="00965EC5">
        <w:t xml:space="preserve">  Crowley was seeking to have a direct relationship with a launch service provider “to provide consistent services in each of the ports [it operates in].”</w:t>
      </w:r>
      <w:r w:rsidR="00965EC5">
        <w:rPr>
          <w:rStyle w:val="FootnoteReference"/>
        </w:rPr>
        <w:footnoteReference w:id="28"/>
      </w:r>
      <w:r w:rsidR="00965EC5">
        <w:t xml:space="preserve">  Mr. Aikin testified that the request was sent out due to the frustration Crowley had with </w:t>
      </w:r>
      <w:r w:rsidR="0085788D">
        <w:t>Arrow</w:t>
      </w:r>
      <w:r w:rsidR="00965EC5">
        <w:t>’s charging for ancillary services and delays.</w:t>
      </w:r>
      <w:r w:rsidR="00965EC5">
        <w:rPr>
          <w:rStyle w:val="FootnoteReference"/>
        </w:rPr>
        <w:footnoteReference w:id="29"/>
      </w:r>
    </w:p>
    <w:p w14:paraId="09B90D3D" w14:textId="77777777" w:rsidR="00965EC5" w:rsidRPr="004A25B8" w:rsidRDefault="00965EC5" w:rsidP="00DB3F8C">
      <w:pPr>
        <w:pStyle w:val="BodyText"/>
        <w:jc w:val="both"/>
      </w:pPr>
      <w:r>
        <w:t>Mr. Aikin testified that the timing and ancillary charge problems are unique to Puget Sound.</w:t>
      </w:r>
      <w:r>
        <w:rPr>
          <w:rStyle w:val="FootnoteReference"/>
        </w:rPr>
        <w:footnoteReference w:id="30"/>
      </w:r>
      <w:r>
        <w:t xml:space="preserve">  Mr. Aikin testified that on all ports Crowley operates in on the West Coast, Crowley </w:t>
      </w:r>
      <w:r>
        <w:lastRenderedPageBreak/>
        <w:t>has options for its launch services.</w:t>
      </w:r>
      <w:r>
        <w:rPr>
          <w:rStyle w:val="FootnoteReference"/>
        </w:rPr>
        <w:footnoteReference w:id="31"/>
      </w:r>
      <w:r w:rsidR="00AC01DB">
        <w:t xml:space="preserve">  If Crowley contacts one launch service provider in San Francisco, such as Marine Express, and Marine Express does not have a launch available, Crowley can contact another provider and receive the launch service with no delay or disruption to its operations.</w:t>
      </w:r>
      <w:r w:rsidR="00AC01DB">
        <w:rPr>
          <w:rStyle w:val="FootnoteReference"/>
        </w:rPr>
        <w:footnoteReference w:id="32"/>
      </w:r>
      <w:r w:rsidR="00AC01DB">
        <w:t xml:space="preserve">  The same is not true in Puget Sound.</w:t>
      </w:r>
      <w:r w:rsidR="00AC01DB">
        <w:rPr>
          <w:rStyle w:val="FootnoteReference"/>
        </w:rPr>
        <w:footnoteReference w:id="33"/>
      </w:r>
      <w:r w:rsidR="00AC01DB">
        <w:t xml:space="preserve">  If Crowley contacts </w:t>
      </w:r>
      <w:r w:rsidR="0085788D">
        <w:t>Arrow</w:t>
      </w:r>
      <w:r w:rsidR="00AC01DB">
        <w:t xml:space="preserve"> and asks for launch serv</w:t>
      </w:r>
      <w:r w:rsidR="0085788D">
        <w:t>ice at a particular time and</w:t>
      </w:r>
      <w:r w:rsidR="0085788D" w:rsidRPr="0085788D">
        <w:t xml:space="preserve"> </w:t>
      </w:r>
      <w:r w:rsidR="0085788D">
        <w:t>Arrow</w:t>
      </w:r>
      <w:r w:rsidR="00AC01DB">
        <w:t xml:space="preserve"> tells Crowley it is not available until an hour or two later, Crowley has no other option but to wait.</w:t>
      </w:r>
      <w:r w:rsidR="00AC01DB">
        <w:rPr>
          <w:rStyle w:val="FootnoteReference"/>
        </w:rPr>
        <w:footnoteReference w:id="34"/>
      </w:r>
      <w:r w:rsidR="00AC01DB">
        <w:t xml:space="preserve">  This impacts Crowley’s business operations because it puts its vessels behind schedule and makes it incur additional costs, such as continuing to pay the hourly rate for skilled tradesmen who are forced to wait idly on the vessel until the launch is available.</w:t>
      </w:r>
      <w:r w:rsidR="00AC01DB">
        <w:rPr>
          <w:rStyle w:val="FootnoteReference"/>
        </w:rPr>
        <w:footnoteReference w:id="35"/>
      </w:r>
    </w:p>
    <w:p w14:paraId="09B90D3E" w14:textId="77777777" w:rsidR="00664016" w:rsidRDefault="00664016" w:rsidP="00664016">
      <w:pPr>
        <w:pStyle w:val="Heading1"/>
      </w:pPr>
      <w:r>
        <w:t>argument</w:t>
      </w:r>
    </w:p>
    <w:p w14:paraId="09B90D3F" w14:textId="77777777" w:rsidR="00664016" w:rsidRDefault="00DB3F8C" w:rsidP="00DB3F8C">
      <w:pPr>
        <w:pStyle w:val="Heading2"/>
        <w:jc w:val="both"/>
      </w:pPr>
      <w:r>
        <w:t>The legislature permits the Commission to issue overlapping certificates of authority</w:t>
      </w:r>
      <w:r w:rsidR="00664016">
        <w:t>.</w:t>
      </w:r>
    </w:p>
    <w:p w14:paraId="09B90D40" w14:textId="77777777" w:rsidR="00664016" w:rsidRPr="00664016" w:rsidRDefault="00664016" w:rsidP="00DB3F8C">
      <w:pPr>
        <w:pStyle w:val="BodyText"/>
        <w:jc w:val="both"/>
      </w:pPr>
      <w:r>
        <w:t xml:space="preserve">Launch service in Washington is regulated by the </w:t>
      </w:r>
      <w:r w:rsidR="00F73D16">
        <w:t>Commission.</w:t>
      </w:r>
      <w:r>
        <w:t xml:space="preserve">  Before a commercial ferry (or launch service provider) may operate in the Puget Sound </w:t>
      </w:r>
      <w:r w:rsidR="00BC20F9">
        <w:t>for the public use and hire, it must first apply for and obtain from the Commission a “certificate declaring that public convenience and necessity require such operation.”</w:t>
      </w:r>
      <w:r w:rsidR="00BC20F9">
        <w:rPr>
          <w:rStyle w:val="FootnoteReference"/>
        </w:rPr>
        <w:footnoteReference w:id="36"/>
      </w:r>
      <w:r w:rsidR="00BC20F9">
        <w:t xml:space="preserve">  </w:t>
      </w:r>
    </w:p>
    <w:p w14:paraId="09B90D41" w14:textId="77777777" w:rsidR="007F73E8" w:rsidRDefault="00BC20F9" w:rsidP="00DB3F8C">
      <w:pPr>
        <w:pStyle w:val="BodyText"/>
        <w:jc w:val="both"/>
      </w:pPr>
      <w:r>
        <w:t xml:space="preserve">In order to obtain a certificate of public convenience and necessity </w:t>
      </w:r>
      <w:r w:rsidR="00DB3F8C">
        <w:t>for territory that is already served</w:t>
      </w:r>
      <w:r>
        <w:t xml:space="preserve">, the applicant must demonstrate that certain conditions are satisfied.  The applicant must demonstrate to the Commission that it has the financial resources to operate its </w:t>
      </w:r>
      <w:r>
        <w:lastRenderedPageBreak/>
        <w:t>proposed service for at least 12 months,</w:t>
      </w:r>
      <w:r>
        <w:rPr>
          <w:rStyle w:val="FootnoteReference"/>
        </w:rPr>
        <w:footnoteReference w:id="37"/>
      </w:r>
      <w:r>
        <w:t xml:space="preserve"> that granting </w:t>
      </w:r>
      <w:r w:rsidR="00B07789">
        <w:t>the certificate is in the public interest, and that the current certificate holder has failed to provide reasonable and adequate service.</w:t>
      </w:r>
      <w:r w:rsidR="00B07789">
        <w:rPr>
          <w:rStyle w:val="FootnoteReference"/>
        </w:rPr>
        <w:footnoteReference w:id="38"/>
      </w:r>
      <w:r w:rsidR="002C64B3">
        <w:t xml:space="preserve">  All of these conditions are met in this case.</w:t>
      </w:r>
    </w:p>
    <w:p w14:paraId="09B90D42" w14:textId="77777777" w:rsidR="007F73E8" w:rsidRDefault="00B07789" w:rsidP="00DB3F8C">
      <w:pPr>
        <w:pStyle w:val="Heading2"/>
        <w:jc w:val="both"/>
      </w:pPr>
      <w:r>
        <w:t>MEI Northwest is financially fit to operate its propo</w:t>
      </w:r>
      <w:r w:rsidR="008A62B6">
        <w:t>sed service for at least 12 months.</w:t>
      </w:r>
    </w:p>
    <w:p w14:paraId="09B90D43" w14:textId="77777777" w:rsidR="008A62B6" w:rsidRDefault="008A62B6" w:rsidP="00DB3F8C">
      <w:pPr>
        <w:pStyle w:val="BodyText"/>
        <w:jc w:val="both"/>
      </w:pPr>
      <w:r>
        <w:t xml:space="preserve">All parties agree that MEI has enough capital to operate its proposed service for at least 12 months.  When determining financial fitness, the Commission should consider the following factors:  </w:t>
      </w:r>
      <w:r w:rsidR="00CF1C33">
        <w:t>(1) r</w:t>
      </w:r>
      <w:r>
        <w:t xml:space="preserve">idership and revenue forecasts; </w:t>
      </w:r>
      <w:r w:rsidR="00CF1C33">
        <w:t xml:space="preserve">(2) </w:t>
      </w:r>
      <w:r>
        <w:t xml:space="preserve">the cost of service for the proposed operation; </w:t>
      </w:r>
      <w:r w:rsidR="00CF1C33">
        <w:t xml:space="preserve">(3) </w:t>
      </w:r>
      <w:r>
        <w:t xml:space="preserve">an estimate of the cost of the assets to be used in providing the service; </w:t>
      </w:r>
      <w:r w:rsidR="00CF1C33">
        <w:t xml:space="preserve">(4) </w:t>
      </w:r>
      <w:r>
        <w:t xml:space="preserve">a statement of the total assets on hand of the applicant that will be expended on the proposed operation; and </w:t>
      </w:r>
      <w:r w:rsidR="00CF1C33">
        <w:t xml:space="preserve">(5) </w:t>
      </w:r>
      <w:r>
        <w:t>a statement of prior experience, if any, in such field by the applicant.</w:t>
      </w:r>
      <w:r>
        <w:rPr>
          <w:rStyle w:val="FootnoteReference"/>
        </w:rPr>
        <w:footnoteReference w:id="39"/>
      </w:r>
    </w:p>
    <w:p w14:paraId="09B90D44" w14:textId="77777777" w:rsidR="007A2846" w:rsidRPr="007A2846" w:rsidRDefault="007A2846" w:rsidP="007A2846">
      <w:pPr>
        <w:pStyle w:val="Heading3"/>
      </w:pPr>
      <w:r>
        <w:t xml:space="preserve">MEI will generate </w:t>
      </w:r>
      <w:r w:rsidR="00CF1C33">
        <w:t xml:space="preserve">at least </w:t>
      </w:r>
      <w:r>
        <w:t>$700,000 in gross revenues from regulated and nonregulated services during its first year of operation.</w:t>
      </w:r>
    </w:p>
    <w:p w14:paraId="09B90D45" w14:textId="77777777" w:rsidR="005F4503" w:rsidRDefault="005F4503" w:rsidP="005F4503">
      <w:pPr>
        <w:pStyle w:val="Heading4"/>
      </w:pPr>
      <w:r>
        <w:rPr>
          <w:i/>
        </w:rPr>
        <w:t>Revenue and Ridership Forecast</w:t>
      </w:r>
    </w:p>
    <w:p w14:paraId="09B90D46" w14:textId="77777777" w:rsidR="007A2846" w:rsidRDefault="007A2846" w:rsidP="00DB3F8C">
      <w:pPr>
        <w:pStyle w:val="BodyText"/>
        <w:jc w:val="both"/>
      </w:pPr>
      <w:r>
        <w:t xml:space="preserve">Mr. Esch, based on his experience operating a successful launch service in California, reasonably estimates that MEI will </w:t>
      </w:r>
      <w:r w:rsidR="00894C0B">
        <w:t>generate $500,000 in regulated launch services during its first year in operation.</w:t>
      </w:r>
      <w:r w:rsidR="00894C0B">
        <w:rPr>
          <w:rStyle w:val="FootnoteReference"/>
        </w:rPr>
        <w:footnoteReference w:id="40"/>
      </w:r>
      <w:r w:rsidR="00894C0B">
        <w:t xml:space="preserve">  This estimate is also based on the market its customers who operate in California and Washington have informed Mr. Esch is available.</w:t>
      </w:r>
      <w:r w:rsidR="00894C0B">
        <w:rPr>
          <w:rStyle w:val="FootnoteReference"/>
        </w:rPr>
        <w:footnoteReference w:id="41"/>
      </w:r>
      <w:r w:rsidR="00894C0B">
        <w:t xml:space="preserve">  Based on Mr. Esch’s experience, the market his customers have told him is available, and the testimony presented at the evidentiary hearing, MEI anticipates that during its first year of operation it will provide regulated launch services </w:t>
      </w:r>
      <w:r w:rsidR="00CF1C33">
        <w:t>three-to-four</w:t>
      </w:r>
      <w:r w:rsidR="003F1BB9">
        <w:t xml:space="preserve"> times per week for </w:t>
      </w:r>
      <w:r w:rsidR="00CF1C33">
        <w:t>four-to-eight</w:t>
      </w:r>
      <w:r w:rsidR="003F1BB9">
        <w:t xml:space="preserve"> hours per day.</w:t>
      </w:r>
      <w:r w:rsidR="003F1BB9">
        <w:rPr>
          <w:rStyle w:val="FootnoteReference"/>
        </w:rPr>
        <w:footnoteReference w:id="42"/>
      </w:r>
    </w:p>
    <w:p w14:paraId="09B90D47" w14:textId="77777777" w:rsidR="005F4503" w:rsidRDefault="003F1BB9" w:rsidP="00DB3F8C">
      <w:pPr>
        <w:pStyle w:val="BodyText"/>
        <w:jc w:val="both"/>
      </w:pPr>
      <w:r>
        <w:lastRenderedPageBreak/>
        <w:t>MEI will also generate approximately $200,000 in its first year from nonregulated services, such as accessorial and project management services.</w:t>
      </w:r>
      <w:r>
        <w:rPr>
          <w:rStyle w:val="FootnoteReference"/>
        </w:rPr>
        <w:footnoteReference w:id="43"/>
      </w:r>
      <w:r>
        <w:t xml:space="preserve">  Based on Mr. Esch’s experience, accessorial services, such as handling cargo or waste for vessels, is involved in between 30</w:t>
      </w:r>
      <w:r w:rsidR="00CF1C33">
        <w:t>%</w:t>
      </w:r>
      <w:r>
        <w:t xml:space="preserve"> and 50% of the launch services it provides.</w:t>
      </w:r>
      <w:r>
        <w:rPr>
          <w:rStyle w:val="FootnoteReference"/>
        </w:rPr>
        <w:footnoteReference w:id="44"/>
      </w:r>
      <w:r>
        <w:t xml:space="preserve">  </w:t>
      </w:r>
      <w:r w:rsidR="005144F0">
        <w:t>Mr. Esch reasonably believes that vessels in the Puget Sound will require accessorial services on a similar basis.  Mr. Esch also included project management fees in its estimate of nonregulated services.  Marine Express offers those services in California, and it has become a staple of Marine Express’s California operation</w:t>
      </w:r>
      <w:r w:rsidR="00CF1C33">
        <w:t>s</w:t>
      </w:r>
      <w:r w:rsidR="005144F0">
        <w:t>.  The project management services are often offered to cruise ship customers,</w:t>
      </w:r>
      <w:r w:rsidR="005144F0">
        <w:rPr>
          <w:rStyle w:val="FootnoteReference"/>
        </w:rPr>
        <w:footnoteReference w:id="45"/>
      </w:r>
      <w:r w:rsidR="005144F0">
        <w:t xml:space="preserve"> and based on the relationships Marine Express has created with those customers in California, it reasonably anticipates that those same customers will utilize those services in Puget Sound.</w:t>
      </w:r>
    </w:p>
    <w:p w14:paraId="09B90D48" w14:textId="77777777" w:rsidR="003F1BB9" w:rsidRDefault="005F4503" w:rsidP="005F4503">
      <w:pPr>
        <w:pStyle w:val="Heading4"/>
      </w:pPr>
      <w:r>
        <w:rPr>
          <w:i/>
        </w:rPr>
        <w:t>Costs of MEI’s proposed service</w:t>
      </w:r>
    </w:p>
    <w:p w14:paraId="09B90D49" w14:textId="77777777" w:rsidR="005F4503" w:rsidRDefault="005F4503" w:rsidP="005F4503">
      <w:pPr>
        <w:pStyle w:val="BodyText"/>
        <w:jc w:val="both"/>
      </w:pPr>
      <w:r>
        <w:t>In its application, MEI projected the costs of operating its proposed service at $552,636.</w:t>
      </w:r>
      <w:r>
        <w:rPr>
          <w:rStyle w:val="FootnoteReference"/>
        </w:rPr>
        <w:footnoteReference w:id="46"/>
      </w:r>
      <w:r>
        <w:t xml:space="preserve">  </w:t>
      </w:r>
      <w:r w:rsidR="00961E7A">
        <w:t>The pro forma financial statement supplied by MEI contained a detailed breakdown of the estimated costs of doing business in the Puget Sound.  In estimating these costs, Mr. Esch relied upon his years of experience operating a similar launch service in California.  Based on the estimated revenues MEI reasonably believes it will generate during its first year of operation, MEI estimates it will net $145,364 in profit during its first year from regulated and nonregulated services.</w:t>
      </w:r>
      <w:r w:rsidR="00961E7A">
        <w:rPr>
          <w:rStyle w:val="FootnoteReference"/>
        </w:rPr>
        <w:footnoteReference w:id="47"/>
      </w:r>
    </w:p>
    <w:p w14:paraId="09B90D4A" w14:textId="77777777" w:rsidR="001C2985" w:rsidRDefault="0085788D" w:rsidP="005F4503">
      <w:pPr>
        <w:pStyle w:val="BodyText"/>
        <w:jc w:val="both"/>
      </w:pPr>
      <w:r>
        <w:t>Arrow</w:t>
      </w:r>
      <w:r w:rsidR="00961E7A">
        <w:t>’s personal CPA</w:t>
      </w:r>
      <w:r w:rsidR="008E1441">
        <w:t>, Weldon Burton,</w:t>
      </w:r>
      <w:r w:rsidR="00961E7A">
        <w:t xml:space="preserve"> attempted to undermine the calculations Mr. Esch provided to the Commission.  </w:t>
      </w:r>
      <w:r w:rsidR="008E1441">
        <w:t xml:space="preserve">Mr. Burton opined that MEI had </w:t>
      </w:r>
      <w:r w:rsidR="001C2985">
        <w:t xml:space="preserve">overestimated its profits (by not demonstrating verified customer need) and </w:t>
      </w:r>
      <w:r w:rsidR="008E1441">
        <w:t xml:space="preserve">underestimated the costs that it would incur during its first year of operation.  </w:t>
      </w:r>
      <w:r w:rsidR="001C2985">
        <w:t>Mr. Burton’s biased testimony is flawed</w:t>
      </w:r>
      <w:r w:rsidR="002C64B3">
        <w:t>.</w:t>
      </w:r>
      <w:r w:rsidR="001C2985">
        <w:t xml:space="preserve">  First, and perhaps </w:t>
      </w:r>
      <w:r w:rsidR="001C2985">
        <w:lastRenderedPageBreak/>
        <w:t>most importantly, Mr. Burton applied the incorrect standard when analyzing MEI’s pro forma financial statement.  During cross-examination, Mr. Burton testified that he applied “a reasonable business standard” during his review of MEI’s pro forma.</w:t>
      </w:r>
      <w:r w:rsidR="001C2985">
        <w:rPr>
          <w:rStyle w:val="FootnoteReference"/>
        </w:rPr>
        <w:footnoteReference w:id="48"/>
      </w:r>
      <w:r w:rsidR="001C2985">
        <w:t xml:space="preserve">  He did not apply the </w:t>
      </w:r>
      <w:r w:rsidR="001C2985" w:rsidRPr="004779E4">
        <w:rPr>
          <w:b/>
          <w:i/>
        </w:rPr>
        <w:t>statutory standard</w:t>
      </w:r>
      <w:r w:rsidR="001C2985">
        <w:t xml:space="preserve"> that looks only at whether the applicant can operate its proposed service for 12 months.  </w:t>
      </w:r>
    </w:p>
    <w:p w14:paraId="09B90D4B" w14:textId="77777777" w:rsidR="00277A3D" w:rsidRDefault="001C2985" w:rsidP="005F4503">
      <w:pPr>
        <w:pStyle w:val="BodyText"/>
        <w:jc w:val="both"/>
      </w:pPr>
      <w:r>
        <w:t xml:space="preserve">Second, Mr. Burton’s specific criticisms of MEI’s pro forma </w:t>
      </w:r>
      <w:r w:rsidR="00277A3D">
        <w:t xml:space="preserve">are unsupported by facts or data.  In his direct testimony, </w:t>
      </w:r>
      <w:r w:rsidR="008E1441">
        <w:t xml:space="preserve">Mr. Burton </w:t>
      </w:r>
      <w:r w:rsidR="00277A3D">
        <w:t xml:space="preserve">specifically </w:t>
      </w:r>
      <w:r w:rsidR="008E1441">
        <w:t>took exception with MEI’</w:t>
      </w:r>
      <w:r w:rsidR="005567AA">
        <w:t>s fuel calculations and labor costs.</w:t>
      </w:r>
      <w:r w:rsidR="005567AA">
        <w:rPr>
          <w:rStyle w:val="FootnoteReference"/>
        </w:rPr>
        <w:footnoteReference w:id="49"/>
      </w:r>
      <w:r w:rsidR="008E1441">
        <w:t xml:space="preserve"> </w:t>
      </w:r>
      <w:r w:rsidR="005567AA">
        <w:t xml:space="preserve"> Mr. Burton’s assumpt</w:t>
      </w:r>
      <w:r w:rsidR="00277A3D">
        <w:t>ions about fuel consumption are</w:t>
      </w:r>
      <w:r w:rsidR="005567AA">
        <w:t xml:space="preserve"> fundamentally flawed.  He assumed that MEI’s launches would be using a 75% throttle rate during every hour an MEI vessel operated.</w:t>
      </w:r>
      <w:r w:rsidR="005567AA">
        <w:rPr>
          <w:rStyle w:val="FootnoteReference"/>
        </w:rPr>
        <w:footnoteReference w:id="50"/>
      </w:r>
      <w:r w:rsidR="005567AA">
        <w:t xml:space="preserve">  As Mr. Esch explained, </w:t>
      </w:r>
      <w:r w:rsidR="00050F65">
        <w:t>this is simply not the case.  There are many times when a launch is operating that it is simply idling or operating at a much</w:t>
      </w:r>
      <w:r w:rsidR="002C64B3">
        <w:t xml:space="preserve"> lower</w:t>
      </w:r>
      <w:r w:rsidR="00050F65">
        <w:t xml:space="preserve"> throttle rate and thus is burning significantly less fuel.</w:t>
      </w:r>
      <w:r w:rsidR="00050F65">
        <w:rPr>
          <w:rStyle w:val="FootnoteReference"/>
        </w:rPr>
        <w:footnoteReference w:id="51"/>
      </w:r>
      <w:r w:rsidR="00050F65">
        <w:t xml:space="preserve">  </w:t>
      </w:r>
    </w:p>
    <w:p w14:paraId="09B90D4C" w14:textId="77777777" w:rsidR="00961E7A" w:rsidRDefault="00050F65" w:rsidP="005F4503">
      <w:pPr>
        <w:pStyle w:val="BodyText"/>
        <w:jc w:val="both"/>
      </w:pPr>
      <w:r>
        <w:t>Further, Mr. Burton’s estimates regarding how much MEI would need to pay its capta</w:t>
      </w:r>
      <w:r w:rsidR="00174459">
        <w:t>ins and deckhands were flawed and unreasonable</w:t>
      </w:r>
      <w:r>
        <w:t xml:space="preserve">.  </w:t>
      </w:r>
      <w:r w:rsidR="00BE5F81">
        <w:t>Mr. Burton provided estimates for captain and deckhand labor based on the 2016 Marine Employees’ Compensation Survey published by the Office of Financial Management for the State of Washington.</w:t>
      </w:r>
      <w:r w:rsidR="00BE5F81">
        <w:rPr>
          <w:rStyle w:val="FootnoteReference"/>
        </w:rPr>
        <w:footnoteReference w:id="52"/>
      </w:r>
      <w:r w:rsidR="00BE5F81">
        <w:t xml:space="preserve">  This survey is published for collective bargaining purposes for employees of the Washington State Ferry System and explicitly states that salary figures collected from less than 15 organizations should be interpreted with discretion because of a less than adequate sample size.</w:t>
      </w:r>
      <w:r w:rsidR="00BE5F81">
        <w:rPr>
          <w:rStyle w:val="FootnoteReference"/>
        </w:rPr>
        <w:footnoteReference w:id="53"/>
      </w:r>
      <w:r w:rsidR="00BE5F81">
        <w:t xml:space="preserve">  The salary figures for both captains and deckhands provided in the survey had much less than 15 organizations </w:t>
      </w:r>
      <w:r w:rsidR="00BE5F81">
        <w:lastRenderedPageBreak/>
        <w:t>contributing.</w:t>
      </w:r>
      <w:r w:rsidR="00BE5F81">
        <w:rPr>
          <w:rStyle w:val="FootnoteReference"/>
        </w:rPr>
        <w:footnoteReference w:id="54"/>
      </w:r>
      <w:r w:rsidR="000D1F8B">
        <w:t xml:space="preserve">  Further, Mr. Burton readily admits that </w:t>
      </w:r>
      <w:r w:rsidR="0085788D">
        <w:t>Arrow</w:t>
      </w:r>
      <w:r w:rsidR="000D1F8B">
        <w:t xml:space="preserve"> pays the vast majority of its own employees an hourly rate below the figure he cites to in the survey.</w:t>
      </w:r>
      <w:r w:rsidR="000D1F8B">
        <w:rPr>
          <w:rStyle w:val="FootnoteReference"/>
        </w:rPr>
        <w:footnoteReference w:id="55"/>
      </w:r>
      <w:r w:rsidR="000D1F8B">
        <w:t xml:space="preserve">  Mr. Burton’s critiques related to salary miss the mark, as he is saying that MEI underestimated its expenses because it was not going to pay its employees at an hourly rate that even </w:t>
      </w:r>
      <w:r w:rsidR="000B0E97">
        <w:t>Arrow</w:t>
      </w:r>
      <w:r w:rsidR="000D1F8B">
        <w:t xml:space="preserve"> does not pay to 80% of its deckhands and captains.</w:t>
      </w:r>
    </w:p>
    <w:p w14:paraId="09B90D4D" w14:textId="77777777" w:rsidR="000D1F8B" w:rsidRPr="005F4503" w:rsidRDefault="000D1F8B" w:rsidP="005F4503">
      <w:pPr>
        <w:pStyle w:val="BodyText"/>
        <w:jc w:val="both"/>
      </w:pPr>
      <w:r>
        <w:t xml:space="preserve">Even if the Commission were to take Mr. Burton’s flawed critiques at face value, he opined that MEI would operate at a </w:t>
      </w:r>
      <w:r w:rsidR="00277A3D">
        <w:t xml:space="preserve">maximum </w:t>
      </w:r>
      <w:r>
        <w:t>loss of approximately $90,000 during its first year of operation.</w:t>
      </w:r>
      <w:r>
        <w:rPr>
          <w:rStyle w:val="FootnoteReference"/>
        </w:rPr>
        <w:footnoteReference w:id="56"/>
      </w:r>
      <w:r w:rsidR="001C2985">
        <w:t xml:space="preserve">  </w:t>
      </w:r>
      <w:r w:rsidR="00277A3D">
        <w:t xml:space="preserve">As MEI provided in its application (and as discussed in more detail below), MEI has $300,000 of </w:t>
      </w:r>
      <w:r w:rsidR="00327454">
        <w:t>cash-on-</w:t>
      </w:r>
      <w:r w:rsidR="00277A3D">
        <w:t>hand with no corresponding liabilities attached to it.  Thus, even if Mr. Burton’s analysis were correct</w:t>
      </w:r>
      <w:r w:rsidR="009D268B">
        <w:t xml:space="preserve"> (which it</w:t>
      </w:r>
      <w:r w:rsidR="00174459">
        <w:t xml:space="preserve"> is not)</w:t>
      </w:r>
      <w:r w:rsidR="00277A3D">
        <w:t>, MEI has sufficient resources to absorb this operating loss and continue to operate its proposed service.</w:t>
      </w:r>
    </w:p>
    <w:p w14:paraId="09B90D4E" w14:textId="77777777" w:rsidR="002C2CD0" w:rsidRDefault="002C2CD0" w:rsidP="00DB3F8C">
      <w:pPr>
        <w:pStyle w:val="Heading3"/>
        <w:jc w:val="both"/>
      </w:pPr>
      <w:r>
        <w:t>MEI Northwest has $300,000 cash-on-hand and does not have any current liabilities.</w:t>
      </w:r>
    </w:p>
    <w:p w14:paraId="09B90D4F" w14:textId="77777777" w:rsidR="002C2CD0" w:rsidRDefault="002C2CD0" w:rsidP="00DB3F8C">
      <w:pPr>
        <w:pStyle w:val="BodyText"/>
        <w:jc w:val="both"/>
      </w:pPr>
      <w:r>
        <w:t>During the evidentiary hearing,</w:t>
      </w:r>
      <w:r w:rsidR="00277A3D">
        <w:t xml:space="preserve"> Mr. Esch</w:t>
      </w:r>
      <w:r>
        <w:t xml:space="preserve"> referred to the capital that MEI had on hand as a “loan” from MEI’s parent company, Marine Express.</w:t>
      </w:r>
      <w:r>
        <w:rPr>
          <w:rStyle w:val="FootnoteReference"/>
        </w:rPr>
        <w:footnoteReference w:id="57"/>
      </w:r>
      <w:r>
        <w:t xml:space="preserve">  After this testimony, Judge Friedlander made a bench request for the documents supporting this transaction.</w:t>
      </w:r>
      <w:r>
        <w:rPr>
          <w:rStyle w:val="FootnoteReference"/>
        </w:rPr>
        <w:footnoteReference w:id="58"/>
      </w:r>
      <w:r>
        <w:t xml:space="preserve">  MEI produced the supporting documents on February 21, 2017.</w:t>
      </w:r>
      <w:r>
        <w:rPr>
          <w:rStyle w:val="FootnoteReference"/>
        </w:rPr>
        <w:footnoteReference w:id="59"/>
      </w:r>
      <w:r>
        <w:t xml:space="preserve">  The documents record the terms of the agreement between MEI and Marine Express, and show that Mr. Esch </w:t>
      </w:r>
      <w:r w:rsidR="00A734E1">
        <w:t>could have better characterized the $300,000 as a “capital contribution” during the evidentiary hearing</w:t>
      </w:r>
      <w:r>
        <w:t xml:space="preserve">.  The transaction between the parties was not </w:t>
      </w:r>
      <w:r w:rsidR="00A734E1">
        <w:t xml:space="preserve">truly </w:t>
      </w:r>
      <w:r>
        <w:t xml:space="preserve">a </w:t>
      </w:r>
      <w:r w:rsidR="00A734E1">
        <w:t>“</w:t>
      </w:r>
      <w:r>
        <w:t>loan.</w:t>
      </w:r>
      <w:r w:rsidR="00A734E1">
        <w:t>”</w:t>
      </w:r>
      <w:r>
        <w:t xml:space="preserve">  Marine Express, Inc. made a capital contribution to MEI in the amount of $300,000.  This is not a loan and MEI is not required to pay this sum back.  MEI correctly described its assets and liabilities in its initial application.</w:t>
      </w:r>
      <w:r w:rsidR="00A734E1">
        <w:t xml:space="preserve">  And Mr. Esch was never asked to clarify his understanding of the difference between a “loan” </w:t>
      </w:r>
      <w:r w:rsidR="00A734E1">
        <w:lastRenderedPageBreak/>
        <w:t>and a “capital contribution” during his cross examination.</w:t>
      </w:r>
      <w:r>
        <w:t xml:space="preserve">  MEI has $300,000 cash-on-hand and another $105,000 worth of support vehicles and equipment.</w:t>
      </w:r>
      <w:r w:rsidR="000672C4">
        <w:t xml:space="preserve">  It has </w:t>
      </w:r>
      <w:r w:rsidR="000672C4" w:rsidRPr="00A734E1">
        <w:t>no</w:t>
      </w:r>
      <w:r w:rsidR="000672C4">
        <w:t xml:space="preserve"> current liabilities.</w:t>
      </w:r>
    </w:p>
    <w:p w14:paraId="09B90D50" w14:textId="77777777" w:rsidR="002C2CD0" w:rsidRDefault="002C2CD0" w:rsidP="00DB3F8C">
      <w:pPr>
        <w:pStyle w:val="Heading3"/>
        <w:jc w:val="both"/>
      </w:pPr>
      <w:r>
        <w:t>MEI’s assets are sufficient to operate its proposed launch service in the Puget Sound for at least 12 months.</w:t>
      </w:r>
    </w:p>
    <w:p w14:paraId="09B90D51" w14:textId="77777777" w:rsidR="002C2CD0" w:rsidRPr="002C2CD0" w:rsidRDefault="002C2CD0" w:rsidP="00DB3F8C">
      <w:pPr>
        <w:pStyle w:val="BodyText"/>
        <w:jc w:val="both"/>
      </w:pPr>
      <w:r>
        <w:t xml:space="preserve">Approximately one month after MEI filed its application, the </w:t>
      </w:r>
      <w:r w:rsidR="00203245">
        <w:t>Commission Staff submitted its financial r</w:t>
      </w:r>
      <w:r>
        <w:t>eview.</w:t>
      </w:r>
      <w:r>
        <w:rPr>
          <w:rStyle w:val="FootnoteReference"/>
        </w:rPr>
        <w:footnoteReference w:id="60"/>
      </w:r>
      <w:r>
        <w:t xml:space="preserve">  The financial review noted that MEI had access to </w:t>
      </w:r>
      <w:r w:rsidR="00A734E1">
        <w:t xml:space="preserve">a large amount of cash.  According to the Commission Staff:  </w:t>
      </w:r>
      <w:r>
        <w:t>MEI “has (access to) adequate resources and therefore staff concludes the company is financially fit to provide the applied for service.”</w:t>
      </w:r>
      <w:r>
        <w:rPr>
          <w:rStyle w:val="FootnoteReference"/>
        </w:rPr>
        <w:footnoteReference w:id="61"/>
      </w:r>
      <w:r>
        <w:t xml:space="preserve"> </w:t>
      </w:r>
      <w:r w:rsidR="005E1057">
        <w:t xml:space="preserve"> The Commission Staff, in both its direct testimony and its cross-answering testimony, affirmed that it believed MEI was financially fit to operate its proposed service for 12 months.</w:t>
      </w:r>
      <w:r w:rsidR="00C7670A">
        <w:rPr>
          <w:rStyle w:val="FootnoteReference"/>
        </w:rPr>
        <w:footnoteReference w:id="62"/>
      </w:r>
      <w:r w:rsidR="005E1057">
        <w:t xml:space="preserve">  </w:t>
      </w:r>
      <w:r w:rsidR="00C7670A">
        <w:t>Further, during cross-examination, Mr. Sevall testified on behalf of the Commission Staff that even if the capital available to MEI was in the form of a loan</w:t>
      </w:r>
      <w:r w:rsidR="00A734E1">
        <w:t xml:space="preserve"> (which it is not)</w:t>
      </w:r>
      <w:r w:rsidR="00C7670A">
        <w:t>, his analysis regarding financial viability would not change.</w:t>
      </w:r>
      <w:r w:rsidR="00C7670A">
        <w:rPr>
          <w:rStyle w:val="FootnoteReference"/>
        </w:rPr>
        <w:footnoteReference w:id="63"/>
      </w:r>
      <w:r w:rsidR="00192FB8">
        <w:t xml:space="preserve">  </w:t>
      </w:r>
    </w:p>
    <w:p w14:paraId="09B90D52" w14:textId="77777777" w:rsidR="00FF4927" w:rsidRDefault="00FF4927" w:rsidP="00FF4927">
      <w:pPr>
        <w:pStyle w:val="Heading3"/>
      </w:pPr>
      <w:r>
        <w:t>MEI’s principal has extensive experience operating a successful multi-vessel, multi-port launch service in California.</w:t>
      </w:r>
    </w:p>
    <w:p w14:paraId="09B90D53" w14:textId="77777777" w:rsidR="000672C4" w:rsidRDefault="000672C4" w:rsidP="00203245">
      <w:pPr>
        <w:pStyle w:val="BodyText"/>
        <w:jc w:val="both"/>
      </w:pPr>
      <w:r>
        <w:t xml:space="preserve">Mr. Esch is an experienced launch service provider and business owner.  He has managed the day-to-day activities of a successful multi-vessel, multi-port launch service in California for the past 10 years.  His knowledge and experience operating Marine Express will inform his business judgment and choices if allowed to operate in the Puget Sound.  </w:t>
      </w:r>
    </w:p>
    <w:p w14:paraId="09B90D54" w14:textId="77777777" w:rsidR="00FF4927" w:rsidRDefault="000672C4" w:rsidP="00203245">
      <w:pPr>
        <w:pStyle w:val="BodyText"/>
        <w:jc w:val="both"/>
      </w:pPr>
      <w:r>
        <w:t xml:space="preserve">MEI is financially fit to operate its proposed service in the Puget Sound for </w:t>
      </w:r>
      <w:r w:rsidR="00231CCA">
        <w:t xml:space="preserve">12 months.  MEI has satisfied its burden under RCW 81.84.020(2) and produced sufficient evidence that it is has the necessary financial resources.  </w:t>
      </w:r>
      <w:r w:rsidR="00203245">
        <w:t>The Commission Staff believes that MEI has met its burden, and t</w:t>
      </w:r>
      <w:r w:rsidR="00231CCA">
        <w:t xml:space="preserve">he Commission should </w:t>
      </w:r>
      <w:r w:rsidR="00203245">
        <w:t xml:space="preserve">likewise </w:t>
      </w:r>
      <w:r w:rsidR="00231CCA">
        <w:t>conclude that this statutory prerequisite is met.</w:t>
      </w:r>
    </w:p>
    <w:p w14:paraId="09B90D55" w14:textId="77777777" w:rsidR="008A62B6" w:rsidRDefault="008A62B6" w:rsidP="00DB3F8C">
      <w:pPr>
        <w:pStyle w:val="Heading2"/>
        <w:jc w:val="both"/>
      </w:pPr>
      <w:r>
        <w:lastRenderedPageBreak/>
        <w:t>Granting MEI’s application is in the public interest.</w:t>
      </w:r>
    </w:p>
    <w:p w14:paraId="09B90D56" w14:textId="77777777" w:rsidR="008A62B6" w:rsidRDefault="00CC54C0" w:rsidP="00DB3F8C">
      <w:pPr>
        <w:pStyle w:val="BodyText"/>
        <w:jc w:val="both"/>
      </w:pPr>
      <w:r>
        <w:t>“The Commission evaluates the public convenience and necessity of the application by considering whether there is a present and future need for the proposed services.”</w:t>
      </w:r>
      <w:r>
        <w:rPr>
          <w:rStyle w:val="FootnoteReference"/>
        </w:rPr>
        <w:footnoteReference w:id="64"/>
      </w:r>
      <w:r>
        <w:t xml:space="preserve">  Public need is determined through testimony of people who will use the applicant</w:t>
      </w:r>
      <w:r w:rsidR="008D1D1D">
        <w:t>’</w:t>
      </w:r>
      <w:r>
        <w:t>s proposed services, as well as through testimony of the applicant’s personnel.</w:t>
      </w:r>
      <w:r>
        <w:rPr>
          <w:rStyle w:val="FootnoteReference"/>
        </w:rPr>
        <w:footnoteReference w:id="65"/>
      </w:r>
      <w:r>
        <w:t xml:space="preserve">  Generally, then, an applicant can demonstrate that its application will serve public convenience and necessity by calling “shipper-support witnesses.”</w:t>
      </w:r>
      <w:r>
        <w:rPr>
          <w:rStyle w:val="FootnoteReference"/>
        </w:rPr>
        <w:footnoteReference w:id="66"/>
      </w:r>
      <w:r>
        <w:t xml:space="preserve">  These witnesses testify as to the proposed routes and how they know that the public will benefit from them, either from their own anticipated use of the route or from their knowledge that certain portions of the public would use such a route.</w:t>
      </w:r>
      <w:r>
        <w:rPr>
          <w:rStyle w:val="FootnoteReference"/>
        </w:rPr>
        <w:footnoteReference w:id="67"/>
      </w:r>
    </w:p>
    <w:p w14:paraId="09B90D57" w14:textId="77777777" w:rsidR="00CC54C0" w:rsidRDefault="00B61B71" w:rsidP="00DB3F8C">
      <w:pPr>
        <w:pStyle w:val="Heading3"/>
        <w:jc w:val="both"/>
      </w:pPr>
      <w:r>
        <w:t xml:space="preserve">Mr. Aikin was a competent witness who </w:t>
      </w:r>
      <w:r w:rsidR="0071751A">
        <w:t>was fully-authorized to testify</w:t>
      </w:r>
      <w:r>
        <w:t xml:space="preserve"> on Crowley’s behalf</w:t>
      </w:r>
      <w:r w:rsidR="00B40711">
        <w:t>.</w:t>
      </w:r>
    </w:p>
    <w:p w14:paraId="09B90D58" w14:textId="77777777" w:rsidR="0071751A" w:rsidRDefault="0071751A" w:rsidP="00DB3F8C">
      <w:pPr>
        <w:pStyle w:val="BodyText"/>
        <w:jc w:val="both"/>
      </w:pPr>
      <w:r>
        <w:t xml:space="preserve">In his pre-filed direct testimony, Mr. Esch testified that significant customers were dissatisfied with </w:t>
      </w:r>
      <w:r w:rsidR="009D268B">
        <w:t>Arrow</w:t>
      </w:r>
      <w:r>
        <w:t xml:space="preserve">’s launch services in the Puget Sound.  </w:t>
      </w:r>
      <w:r w:rsidR="009D268B">
        <w:t>Arrow</w:t>
      </w:r>
      <w:r>
        <w:t xml:space="preserve"> challenged the grounds for Mr. Esch’s assertion and, in response, Mr. Esch provided substantial evidence:  a shipper-support statement from Crowley’s Direct</w:t>
      </w:r>
      <w:r w:rsidR="009D268B">
        <w:t>or</w:t>
      </w:r>
      <w:r>
        <w:t xml:space="preserve"> of West Coast Engineering, Marc Aikin.  </w:t>
      </w:r>
      <w:r w:rsidR="009D268B">
        <w:t>Arrow</w:t>
      </w:r>
      <w:r>
        <w:t xml:space="preserve"> then moved to have Mr. Aikin’s testimony stricken, but when Judge Friedlander denied </w:t>
      </w:r>
      <w:r w:rsidR="009D268B">
        <w:t>Arrow</w:t>
      </w:r>
      <w:r>
        <w:t xml:space="preserve">’s motion to strike, </w:t>
      </w:r>
      <w:r w:rsidR="009D268B">
        <w:t>Arrow</w:t>
      </w:r>
      <w:r>
        <w:t xml:space="preserve"> contended that it would be prejudiced if Mr. Aikin failed to testify at the evidentiary hearing in person.</w:t>
      </w:r>
      <w:r w:rsidR="00312A07">
        <w:t xml:space="preserve">  Accordingly, Judge Friedlander required Mr. Aikin to testify in person at the hearing.</w:t>
      </w:r>
    </w:p>
    <w:p w14:paraId="09B90D59" w14:textId="77777777" w:rsidR="0071751A" w:rsidRDefault="00312A07" w:rsidP="00DB3F8C">
      <w:pPr>
        <w:pStyle w:val="BodyText"/>
        <w:jc w:val="both"/>
      </w:pPr>
      <w:r>
        <w:t xml:space="preserve">Following Mr. Aikin’s testimony, however, </w:t>
      </w:r>
      <w:r w:rsidR="009D268B">
        <w:t>Arrow</w:t>
      </w:r>
      <w:r>
        <w:t xml:space="preserve"> took the opposite position.</w:t>
      </w:r>
      <w:r w:rsidR="009468DE">
        <w:rPr>
          <w:rStyle w:val="FootnoteReference"/>
        </w:rPr>
        <w:footnoteReference w:id="68"/>
      </w:r>
      <w:r>
        <w:t xml:space="preserve">  For the first time, </w:t>
      </w:r>
      <w:r w:rsidR="009D268B">
        <w:t>Arrow</w:t>
      </w:r>
      <w:r>
        <w:t xml:space="preserve"> argued that Mr. Aikin’s testimony was insufficient and that only the testimony of another employee, Lindy Evans, could establish Crowley’s position regarding the </w:t>
      </w:r>
      <w:r>
        <w:lastRenderedPageBreak/>
        <w:t xml:space="preserve">sufficiency of </w:t>
      </w:r>
      <w:r w:rsidR="009D268B">
        <w:t>Arrow</w:t>
      </w:r>
      <w:r>
        <w:t>’s launch services.</w:t>
      </w:r>
      <w:r w:rsidR="009468DE">
        <w:rPr>
          <w:rStyle w:val="FootnoteReference"/>
        </w:rPr>
        <w:footnoteReference w:id="69"/>
      </w:r>
      <w:r>
        <w:t xml:space="preserve">  According to </w:t>
      </w:r>
      <w:r w:rsidR="009D268B">
        <w:t>Arrow</w:t>
      </w:r>
      <w:r>
        <w:t>, Mr. Aikin was not qualified to testify on Crowley’s behalf—even though Mr. Aikin is the Direct of Engineering for all West Coast Ports (including the Puget Sound) and Crowley had selected him.</w:t>
      </w:r>
    </w:p>
    <w:p w14:paraId="09B90D5A" w14:textId="77777777" w:rsidR="004914C9" w:rsidRDefault="00312A07" w:rsidP="00DB3F8C">
      <w:pPr>
        <w:pStyle w:val="BodyText"/>
        <w:jc w:val="both"/>
      </w:pPr>
      <w:r>
        <w:t xml:space="preserve">This is wrong.  </w:t>
      </w:r>
      <w:r w:rsidR="004914C9">
        <w:t>With respect to a certificate application, the Commission may look to the Washington State Rules of Evidence for guidance.</w:t>
      </w:r>
      <w:r w:rsidR="009468DE">
        <w:rPr>
          <w:rStyle w:val="FootnoteReference"/>
        </w:rPr>
        <w:footnoteReference w:id="70"/>
      </w:r>
      <w:r w:rsidR="004914C9">
        <w:t xml:space="preserve">  Under CR 30(b)(6), a corporation (which is a legal fiction that can </w:t>
      </w:r>
      <w:r w:rsidR="004914C9" w:rsidRPr="004914C9">
        <w:rPr>
          <w:b/>
          <w:i/>
        </w:rPr>
        <w:t>only</w:t>
      </w:r>
      <w:r w:rsidR="004914C9">
        <w:t xml:space="preserve"> testify through its representatives) can designate an individual to testify on its behalf.</w:t>
      </w:r>
      <w:r w:rsidR="004914C9" w:rsidRPr="004914C9">
        <w:t xml:space="preserve"> </w:t>
      </w:r>
      <w:r w:rsidR="00037E3A">
        <w:t xml:space="preserve"> </w:t>
      </w:r>
      <w:r w:rsidR="004914C9">
        <w:t>Rule 30(b)(6) allows a corporation to select a corporate representative that will “testify as to matters known or reasonably available to the organization.”</w:t>
      </w:r>
      <w:r w:rsidR="004914C9">
        <w:rPr>
          <w:rStyle w:val="FootnoteReference"/>
        </w:rPr>
        <w:footnoteReference w:id="71"/>
      </w:r>
      <w:r w:rsidR="004914C9">
        <w:t xml:space="preserve">  Under rule 30(b)(6), corporate designees are allowed to testify to matters on which they have </w:t>
      </w:r>
      <w:r w:rsidR="004914C9" w:rsidRPr="004914C9">
        <w:t>no personal knowledge</w:t>
      </w:r>
      <w:r w:rsidR="004914C9">
        <w:t>, based on their review of documents and conversations with other people in the organization.</w:t>
      </w:r>
      <w:r w:rsidR="004914C9">
        <w:rPr>
          <w:rStyle w:val="FootnoteReference"/>
        </w:rPr>
        <w:footnoteReference w:id="72"/>
      </w:r>
    </w:p>
    <w:p w14:paraId="09B90D5B" w14:textId="77777777" w:rsidR="00037E3A" w:rsidRDefault="004914C9" w:rsidP="004914C9">
      <w:pPr>
        <w:pStyle w:val="BodyText"/>
        <w:jc w:val="both"/>
      </w:pPr>
      <w:r>
        <w:t xml:space="preserve">Here, Crowley selected Mr. Aikin to articulate its position regarding </w:t>
      </w:r>
      <w:r w:rsidR="009D268B">
        <w:t>Arrow</w:t>
      </w:r>
      <w:r>
        <w:t>’s launch services in Puget Sound</w:t>
      </w:r>
      <w:r w:rsidR="00037E3A" w:rsidRPr="00037E3A">
        <w:t xml:space="preserve"> </w:t>
      </w:r>
      <w:r w:rsidR="00037E3A">
        <w:t xml:space="preserve">and express Crowley’s dissatisfaction with </w:t>
      </w:r>
      <w:r w:rsidR="009D268B">
        <w:t>Arrow</w:t>
      </w:r>
      <w:r>
        <w:t xml:space="preserve">.  </w:t>
      </w:r>
      <w:r w:rsidR="00037E3A">
        <w:t>As Crowley’s corporate designee, Mr. Aikin had the opportunity to review documents and confer with other Crowley employees, which he did.</w:t>
      </w:r>
      <w:r w:rsidR="009468DE">
        <w:rPr>
          <w:rStyle w:val="FootnoteReference"/>
        </w:rPr>
        <w:footnoteReference w:id="73"/>
      </w:r>
      <w:r w:rsidR="00037E3A">
        <w:t xml:space="preserve">  Mr. Aikin, for example, testified expressly that he had discussed the matter with Ms. Evans, was familiar with her complaints, and was familiar with the timing and delay issues cause</w:t>
      </w:r>
      <w:r w:rsidR="00574983">
        <w:t xml:space="preserve">d by </w:t>
      </w:r>
      <w:r w:rsidR="000B0E97">
        <w:t>Arrow</w:t>
      </w:r>
      <w:r w:rsidR="00574983">
        <w:t>’s inadequate service.</w:t>
      </w:r>
      <w:r w:rsidR="009468DE">
        <w:rPr>
          <w:rStyle w:val="FootnoteReference"/>
        </w:rPr>
        <w:footnoteReference w:id="74"/>
      </w:r>
    </w:p>
    <w:p w14:paraId="09B90D5C" w14:textId="77777777" w:rsidR="00F8391E" w:rsidRDefault="00574983" w:rsidP="00574983">
      <w:pPr>
        <w:pStyle w:val="BodyText"/>
        <w:jc w:val="both"/>
      </w:pPr>
      <w:r>
        <w:t xml:space="preserve">Moreover, it was up to Crowley to select the appropriate representative to testify on its behalf.  Crowley, through its own internal decision-making process, selected Mr. Aikin.  </w:t>
      </w:r>
      <w:r w:rsidR="00037E3A">
        <w:t xml:space="preserve">Other Crowley employees, like Ms. Evans, report to Mr. Aikin.  And Mr. Aikin is in charge of launch services across the West Coast.  He is therefore in a superior position to Ms. Evans to describe </w:t>
      </w:r>
      <w:r w:rsidR="00037E3A">
        <w:lastRenderedPageBreak/>
        <w:t xml:space="preserve">Crowley’s experience in the Puget Sound when compared to other ports that Crowley operates in.  </w:t>
      </w:r>
      <w:r>
        <w:t>He t</w:t>
      </w:r>
      <w:r w:rsidR="004914C9">
        <w:t xml:space="preserve">estified on behalf of Crowley in the same way that a witness testifies on a corporation’s behalf </w:t>
      </w:r>
      <w:r w:rsidR="00F8391E">
        <w:t>in civil litigation</w:t>
      </w:r>
      <w:r w:rsidR="008E2A1D">
        <w:t>.</w:t>
      </w:r>
      <w:r>
        <w:t xml:space="preserve">  And it was Crowley’s prerogative to choose who would represent the company before the Commission.  </w:t>
      </w:r>
      <w:r w:rsidR="00037E3A">
        <w:t>Accordingly, the Commission should attribute Mr. Aikin’s testimony to Crowley.</w:t>
      </w:r>
    </w:p>
    <w:p w14:paraId="09B90D5D" w14:textId="77777777" w:rsidR="00CC44E3" w:rsidRDefault="00037E3A" w:rsidP="00574983">
      <w:pPr>
        <w:pStyle w:val="BodyText"/>
        <w:jc w:val="both"/>
      </w:pPr>
      <w:r>
        <w:t xml:space="preserve">Importantly, </w:t>
      </w:r>
      <w:r w:rsidR="00B61B71">
        <w:t>Cr</w:t>
      </w:r>
      <w:r>
        <w:t xml:space="preserve">owley is the </w:t>
      </w:r>
      <w:r w:rsidR="009D268B">
        <w:t>Arrow</w:t>
      </w:r>
      <w:r>
        <w:t xml:space="preserve"> customer at issue—not Crowley’s individual employees</w:t>
      </w:r>
      <w:r w:rsidR="00B61B71">
        <w:t xml:space="preserve">.  </w:t>
      </w:r>
      <w:r w:rsidR="00CC44E3">
        <w:t xml:space="preserve">Mr. Aikin was selected by one of </w:t>
      </w:r>
      <w:r w:rsidR="009D268B">
        <w:t>Arrow</w:t>
      </w:r>
      <w:r w:rsidR="00CC44E3">
        <w:t>’s largest customers to provide testimony on its behalf.  The Commission should consider the testimony provided by Mr. Aikin</w:t>
      </w:r>
      <w:r w:rsidR="00574983">
        <w:t xml:space="preserve">, in which he fully explained the grounds for Crowley’s dissatisfaction with </w:t>
      </w:r>
      <w:r w:rsidR="009D268B">
        <w:t>Arrow</w:t>
      </w:r>
      <w:r w:rsidR="00574983">
        <w:t>’s services, its support for MEI’s application, and the need for multiple launch service providers in Puget Sound.</w:t>
      </w:r>
    </w:p>
    <w:p w14:paraId="09B90D5E" w14:textId="77777777" w:rsidR="006671C1" w:rsidRDefault="006671C1" w:rsidP="00F71C42">
      <w:pPr>
        <w:pStyle w:val="Heading3"/>
        <w:jc w:val="both"/>
      </w:pPr>
      <w:r>
        <w:t>Crowley supports MEI’s application and its representative testified to a present and future need for MEI’s services.</w:t>
      </w:r>
    </w:p>
    <w:p w14:paraId="09B90D5F" w14:textId="77777777" w:rsidR="006671C1" w:rsidRDefault="00004824" w:rsidP="00F71C42">
      <w:pPr>
        <w:pStyle w:val="BodyText"/>
        <w:jc w:val="both"/>
      </w:pPr>
      <w:r>
        <w:t>In its support statement, Crowley indicated that its transportation needs were not currently being met and that if MEI’s request for a certifica</w:t>
      </w:r>
      <w:r w:rsidR="00203245">
        <w:t>te were denied, it would have a negative</w:t>
      </w:r>
      <w:r>
        <w:t xml:space="preserve"> effect on Crowley’s business.</w:t>
      </w:r>
      <w:r>
        <w:rPr>
          <w:rStyle w:val="FootnoteReference"/>
        </w:rPr>
        <w:footnoteReference w:id="75"/>
      </w:r>
      <w:r>
        <w:t xml:space="preserve">  Mr. Aikin testified consistently with this statement during the evidentiary hearing.  </w:t>
      </w:r>
    </w:p>
    <w:p w14:paraId="09B90D60" w14:textId="77777777" w:rsidR="009011BB" w:rsidRPr="006671C1" w:rsidRDefault="009011BB" w:rsidP="00F71C42">
      <w:pPr>
        <w:pStyle w:val="BodyText"/>
        <w:jc w:val="both"/>
      </w:pPr>
      <w:r>
        <w:t>As to present need, Mr. Aikin discussed t</w:t>
      </w:r>
      <w:r w:rsidR="00574983">
        <w:t xml:space="preserve">iming issues with </w:t>
      </w:r>
      <w:r w:rsidR="009D268B">
        <w:t>Arrow</w:t>
      </w:r>
      <w:r w:rsidR="00574983">
        <w:t>’s services, which have</w:t>
      </w:r>
      <w:r>
        <w:t xml:space="preserve"> resulted in delays for Crowley and Crowley’s customers.  Mr. Aikin noted that Crowley has experienced numerous situations where it needed launch service at a certain time, but that </w:t>
      </w:r>
      <w:r w:rsidR="009D268B">
        <w:t>Arrow</w:t>
      </w:r>
      <w:r>
        <w:t xml:space="preserve"> (despite holding itself out as a </w:t>
      </w:r>
      <w:r w:rsidR="00574983">
        <w:t>“</w:t>
      </w:r>
      <w:r>
        <w:t>24/7/365</w:t>
      </w:r>
      <w:r w:rsidR="00574983">
        <w:t>”</w:t>
      </w:r>
      <w:r>
        <w:t xml:space="preserve"> operator) did not have a launch available in the immediate area, which resulted in a delay before the service could be performed.</w:t>
      </w:r>
      <w:r>
        <w:rPr>
          <w:rStyle w:val="FootnoteReference"/>
        </w:rPr>
        <w:footnoteReference w:id="76"/>
      </w:r>
      <w:r w:rsidR="00F71C42">
        <w:t xml:space="preserve">  </w:t>
      </w:r>
      <w:r w:rsidR="00A756A5">
        <w:t>In Crowley’s experience, t</w:t>
      </w:r>
      <w:r w:rsidR="00F71C42">
        <w:t xml:space="preserve">hese delay and timing issues are unique to </w:t>
      </w:r>
      <w:r w:rsidR="00A756A5">
        <w:t xml:space="preserve">the </w:t>
      </w:r>
      <w:r w:rsidR="00F71C42">
        <w:t xml:space="preserve">Puget Sound.  Mr. Aikin testified that in every other port Crowley operates in, if one provider is unavailable to provide the service when Crowley needs it, Crowley can simply call the other provider to perform the </w:t>
      </w:r>
      <w:r w:rsidR="00F71C42">
        <w:lastRenderedPageBreak/>
        <w:t>launch service.</w:t>
      </w:r>
      <w:r w:rsidR="00F71C42">
        <w:rPr>
          <w:rStyle w:val="FootnoteReference"/>
        </w:rPr>
        <w:footnoteReference w:id="77"/>
      </w:r>
      <w:r w:rsidR="00F71C42">
        <w:t xml:space="preserve">  Mr. Aikin further testified that because of these delay issues, Crowley has a present need for another launch service provider so that Crowley can eliminate these costly delays.</w:t>
      </w:r>
      <w:r w:rsidR="00F71C42">
        <w:rPr>
          <w:rStyle w:val="FootnoteReference"/>
        </w:rPr>
        <w:footnoteReference w:id="78"/>
      </w:r>
    </w:p>
    <w:p w14:paraId="09B90D61" w14:textId="77777777" w:rsidR="00CC54C0" w:rsidRDefault="00F71C42" w:rsidP="001E2516">
      <w:pPr>
        <w:pStyle w:val="BodyText"/>
        <w:jc w:val="both"/>
      </w:pPr>
      <w:r>
        <w:t>Mr. Aikin also testified that Crowley has a future need for an additional service provider.  He testified that Crowley’s business continues to grow and its presence in the Puget Sound is getting larger.</w:t>
      </w:r>
      <w:r>
        <w:rPr>
          <w:rStyle w:val="FootnoteReference"/>
        </w:rPr>
        <w:footnoteReference w:id="79"/>
      </w:r>
      <w:r>
        <w:t xml:space="preserve">  </w:t>
      </w:r>
      <w:r w:rsidR="001E2516">
        <w:t>Mr. Aikin specifically testified that Crowley is “concerned long-term that [it] need[s] to have high quality service delivered in a timely fashion.”</w:t>
      </w:r>
      <w:r w:rsidR="001E2516">
        <w:rPr>
          <w:rStyle w:val="FootnoteReference"/>
        </w:rPr>
        <w:footnoteReference w:id="80"/>
      </w:r>
      <w:r w:rsidR="001E2516">
        <w:t xml:space="preserve">  </w:t>
      </w:r>
      <w:r w:rsidR="00B22A0F">
        <w:t xml:space="preserve">Mr. Aikin reiterated that this future concern is based on Crowley’s past experience with </w:t>
      </w:r>
      <w:r w:rsidR="000B0E97">
        <w:t>Arrow</w:t>
      </w:r>
      <w:r w:rsidR="00B22A0F">
        <w:t>, and extrapolating that experience f</w:t>
      </w:r>
      <w:r w:rsidR="00A756A5">
        <w:t xml:space="preserve">orward worries Crowley:  </w:t>
      </w:r>
      <w:r w:rsidR="00B22A0F">
        <w:t>timing and delay issues will only increase in the future.</w:t>
      </w:r>
      <w:r w:rsidR="00B22A0F">
        <w:rPr>
          <w:rStyle w:val="FootnoteReference"/>
        </w:rPr>
        <w:footnoteReference w:id="81"/>
      </w:r>
      <w:r w:rsidR="00B22A0F">
        <w:t xml:space="preserve">  </w:t>
      </w:r>
      <w:r w:rsidR="001E2516">
        <w:t>Because Crowley has a present need for another launch service provider due to timing and delay issues, this need will only increase in the future as Crowley continues to thrive and expand its business operations in the Puget Sound.</w:t>
      </w:r>
    </w:p>
    <w:p w14:paraId="09B90D62" w14:textId="77777777" w:rsidR="001E2516" w:rsidRDefault="001E2516" w:rsidP="001E2516">
      <w:pPr>
        <w:pStyle w:val="BodyText"/>
        <w:jc w:val="both"/>
      </w:pPr>
      <w:r>
        <w:t xml:space="preserve">Crowley is one of </w:t>
      </w:r>
      <w:r w:rsidR="000B0E97">
        <w:t>Arrow</w:t>
      </w:r>
      <w:r>
        <w:t xml:space="preserve">’s largest customers.  Between June 2015 and May of 2016, </w:t>
      </w:r>
      <w:r w:rsidR="000B0E97">
        <w:t>Arrow</w:t>
      </w:r>
      <w:r>
        <w:t xml:space="preserve"> invoiced Crowley for services over 900 times.</w:t>
      </w:r>
      <w:r>
        <w:rPr>
          <w:rStyle w:val="FootnoteReference"/>
        </w:rPr>
        <w:footnoteReference w:id="82"/>
      </w:r>
      <w:r>
        <w:t xml:space="preserve">  </w:t>
      </w:r>
      <w:r w:rsidR="00B22A0F">
        <w:t>The Commission Staff testified that Crowley alone represents 15% of the total market for launch services in the Puget Sound.</w:t>
      </w:r>
      <w:r w:rsidR="00B22A0F">
        <w:rPr>
          <w:rStyle w:val="FootnoteReference"/>
        </w:rPr>
        <w:footnoteReference w:id="83"/>
      </w:r>
      <w:r w:rsidR="00DF14BF">
        <w:t xml:space="preserve">  </w:t>
      </w:r>
      <w:r w:rsidR="000B0E97">
        <w:t>Arrow</w:t>
      </w:r>
      <w:r w:rsidR="00DF14BF">
        <w:t xml:space="preserve">, however, is not currently providing reliable enough service to one of the largest consumers of launch services </w:t>
      </w:r>
      <w:r w:rsidR="00A756A5">
        <w:t xml:space="preserve">or ensuring that </w:t>
      </w:r>
      <w:r w:rsidR="00DF14BF">
        <w:t>Crowley does not encounter unnecessary delays.</w:t>
      </w:r>
    </w:p>
    <w:p w14:paraId="09B90D63" w14:textId="77777777" w:rsidR="00DF14BF" w:rsidRPr="00DF14BF" w:rsidRDefault="00DF14BF" w:rsidP="001E2516">
      <w:pPr>
        <w:pStyle w:val="BodyText"/>
        <w:jc w:val="both"/>
      </w:pPr>
      <w:r>
        <w:t xml:space="preserve">Under the statutory framework set out in RCW 81.84.020 and the factors the </w:t>
      </w:r>
      <w:r w:rsidR="00A756A5">
        <w:t>promulgated</w:t>
      </w:r>
      <w:r>
        <w:t xml:space="preserve"> in </w:t>
      </w:r>
      <w:r>
        <w:rPr>
          <w:i/>
        </w:rPr>
        <w:t>In re Application No. B-079240 of Pacific Cruises Northwest, Inc.</w:t>
      </w:r>
      <w:r>
        <w:t xml:space="preserve">, MEI has carried its burden of demonstrating a present and future need for additional launch services.  MEI presented a significant shipper support witness, Crowley, whose representative testified to timing and delay issues and informed the Commission that it required the services of another </w:t>
      </w:r>
      <w:r>
        <w:lastRenderedPageBreak/>
        <w:t>provider so that its current and future launch service needs could be met.  The Comm</w:t>
      </w:r>
      <w:r w:rsidR="00230A97">
        <w:t>ission should find that MEI has proved that the public convenience and necessity requires another service provider</w:t>
      </w:r>
      <w:r w:rsidR="00A756A5">
        <w:t xml:space="preserve"> in the Puget Sound</w:t>
      </w:r>
      <w:r w:rsidR="00230A97">
        <w:t>.</w:t>
      </w:r>
    </w:p>
    <w:p w14:paraId="09B90D64" w14:textId="77777777" w:rsidR="008A62B6" w:rsidRDefault="008A62B6" w:rsidP="00DB3F8C">
      <w:pPr>
        <w:pStyle w:val="Heading2"/>
        <w:jc w:val="both"/>
      </w:pPr>
      <w:r>
        <w:t xml:space="preserve">Arrow Launch Services is underserving the Anacortes </w:t>
      </w:r>
      <w:r w:rsidR="00787F70">
        <w:t xml:space="preserve">and Port Angeles </w:t>
      </w:r>
      <w:r>
        <w:t>market</w:t>
      </w:r>
      <w:r w:rsidR="00787F70">
        <w:t>s</w:t>
      </w:r>
      <w:r>
        <w:t>.</w:t>
      </w:r>
    </w:p>
    <w:p w14:paraId="09B90D65" w14:textId="77777777" w:rsidR="008A62B6" w:rsidRDefault="00CC54C0" w:rsidP="00DB3F8C">
      <w:pPr>
        <w:pStyle w:val="BodyText"/>
        <w:jc w:val="both"/>
      </w:pPr>
      <w:r>
        <w:t xml:space="preserve">The </w:t>
      </w:r>
      <w:r w:rsidR="00A756A5">
        <w:t>Commission</w:t>
      </w:r>
      <w:r>
        <w:t xml:space="preserve"> must also determine “whether the territory at issue [in the application] is ‘territory already served’ within the meaning of the statute.”</w:t>
      </w:r>
      <w:r>
        <w:rPr>
          <w:rStyle w:val="FootnoteReference"/>
        </w:rPr>
        <w:footnoteReference w:id="84"/>
      </w:r>
      <w:r>
        <w:t xml:space="preserve">  The factors the </w:t>
      </w:r>
      <w:r w:rsidR="00A756A5">
        <w:t>Commission</w:t>
      </w:r>
      <w:r>
        <w:t xml:space="preserve"> looks to when determining whether the territory is already served are: </w:t>
      </w:r>
      <w:r w:rsidR="00A756A5">
        <w:t xml:space="preserve"> (1) </w:t>
      </w:r>
      <w:r>
        <w:t xml:space="preserve">the extent of the authority of </w:t>
      </w:r>
      <w:r w:rsidR="00A756A5">
        <w:t xml:space="preserve">the current certificate holder; (2) </w:t>
      </w:r>
      <w:r>
        <w:t>whether the current certificate holder is serving the territory to the ex</w:t>
      </w:r>
      <w:r w:rsidR="00A756A5">
        <w:t xml:space="preserve">tent of its authority to do so; </w:t>
      </w:r>
      <w:r>
        <w:t xml:space="preserve">and </w:t>
      </w:r>
      <w:r w:rsidR="00A756A5">
        <w:t xml:space="preserve">(3) </w:t>
      </w:r>
      <w:r>
        <w:t>whether the type of service provided by the current certificate holder reasonably serves the market.</w:t>
      </w:r>
      <w:r>
        <w:rPr>
          <w:rStyle w:val="FootnoteReference"/>
        </w:rPr>
        <w:footnoteReference w:id="85"/>
      </w:r>
      <w:r>
        <w:t xml:space="preserve">  If the current provider is not furnishing reasonable and adequate service, the Commission may grant an overlapping certificate of authority.</w:t>
      </w:r>
      <w:r>
        <w:rPr>
          <w:rStyle w:val="FootnoteReference"/>
        </w:rPr>
        <w:footnoteReference w:id="86"/>
      </w:r>
    </w:p>
    <w:p w14:paraId="09B90D66" w14:textId="77777777" w:rsidR="00192FB8" w:rsidRDefault="00192FB8" w:rsidP="00DB3F8C">
      <w:pPr>
        <w:pStyle w:val="BodyText"/>
        <w:jc w:val="both"/>
      </w:pPr>
      <w:r>
        <w:t>“The grant of authority to one applicant does not preclude the simultaneous grant of authority for competing service over the same or similar route, or a subsequent grant of such authority, on proper grounds.  The Commission may grant competing applications for authority to conduct commercial passenger ferry service if it finds that the nature of the service, the level of need, and the applicants’ ability to fully meet shippers’ needs, are consistent with a grant of authority to more than one carrier.”</w:t>
      </w:r>
      <w:r>
        <w:rPr>
          <w:rStyle w:val="FootnoteReference"/>
        </w:rPr>
        <w:footnoteReference w:id="87"/>
      </w:r>
      <w:r>
        <w:t xml:space="preserve">  Further, when deciding whether to grant overlapping certificates, “the Commission also considers the potential benefits of competition in the case of contemporaneous applications for overlapping territories, or for subsequent applications to serve in a territory, or over a route already served.”</w:t>
      </w:r>
      <w:r>
        <w:rPr>
          <w:rStyle w:val="FootnoteReference"/>
        </w:rPr>
        <w:footnoteReference w:id="88"/>
      </w:r>
    </w:p>
    <w:p w14:paraId="09B90D67" w14:textId="77777777" w:rsidR="00CC54C0" w:rsidRDefault="00230A97" w:rsidP="00BC569A">
      <w:pPr>
        <w:pStyle w:val="Heading3"/>
        <w:jc w:val="both"/>
      </w:pPr>
      <w:r>
        <w:t>The Commission should grant overlapping certificates to serve the Anacortes and Port Angeles areas.</w:t>
      </w:r>
    </w:p>
    <w:p w14:paraId="09B90D68" w14:textId="77777777" w:rsidR="00BC569A" w:rsidRPr="00230A97" w:rsidRDefault="00BC569A" w:rsidP="003D243E">
      <w:pPr>
        <w:pStyle w:val="BodyText"/>
        <w:jc w:val="both"/>
      </w:pPr>
      <w:r>
        <w:lastRenderedPageBreak/>
        <w:t xml:space="preserve">Mr. Aikin’s testimony demonstrates that </w:t>
      </w:r>
      <w:r w:rsidR="000B0E97">
        <w:t xml:space="preserve">Arrow </w:t>
      </w:r>
      <w:r>
        <w:t xml:space="preserve">is not adequately serving its certificated area, specifically in the Anacortes and Port Angeles territories.  In addition to the timing and reliability issues discussed in detail above, </w:t>
      </w:r>
      <w:r w:rsidR="000B0E97">
        <w:t xml:space="preserve">Arrow </w:t>
      </w:r>
      <w:r>
        <w:t xml:space="preserve">is not providing reasonable service by bundling regulated and nonregulated services together, and then charging an unreasonable price for the nonregulated services.  As Mr. Aikin testified, </w:t>
      </w:r>
      <w:r w:rsidR="000B0E97">
        <w:t>Arrow</w:t>
      </w:r>
      <w:r>
        <w:t xml:space="preserve"> routinely charges inconsistent and inflated rates for its nonregulated services, such as its crane services and other dockside services.  Because </w:t>
      </w:r>
      <w:r w:rsidR="000B0E97">
        <w:t>Arrow</w:t>
      </w:r>
      <w:r>
        <w:t xml:space="preserve"> is the only launch service provider, it can then use this to its advantage and cha</w:t>
      </w:r>
      <w:r w:rsidR="00203245">
        <w:t>rge an unnecessarily high rate</w:t>
      </w:r>
      <w:r>
        <w:t xml:space="preserve"> on nonregulated services, such as crane services, </w:t>
      </w:r>
      <w:r w:rsidR="000A075A">
        <w:t>when it bundles regulated and nonregulated services together.  These ancillary services can often add up to more than the cost of the launch service itself.</w:t>
      </w:r>
      <w:r w:rsidR="000A075A">
        <w:rPr>
          <w:rStyle w:val="FootnoteReference"/>
        </w:rPr>
        <w:footnoteReference w:id="89"/>
      </w:r>
      <w:r w:rsidR="000A075A">
        <w:t xml:space="preserve">  Crowley is left in a no-win position when it comes to these services.  Because </w:t>
      </w:r>
      <w:r w:rsidR="000B0E97">
        <w:t>Arrow</w:t>
      </w:r>
      <w:r w:rsidR="000A075A">
        <w:t xml:space="preserve"> is the only launch provider that can put the cargo on or off the boat, Crowley is essentially required to use </w:t>
      </w:r>
      <w:r w:rsidR="000B0E97">
        <w:t>Arrow</w:t>
      </w:r>
      <w:r w:rsidR="000A075A">
        <w:t xml:space="preserve">’s ancillary services as well.  </w:t>
      </w:r>
    </w:p>
    <w:p w14:paraId="09B90D69" w14:textId="77777777" w:rsidR="00CC54C0" w:rsidRDefault="000A075A" w:rsidP="003D243E">
      <w:pPr>
        <w:pStyle w:val="BodyText"/>
        <w:jc w:val="both"/>
      </w:pPr>
      <w:r>
        <w:t xml:space="preserve">The timing and delay issues described above cannot be overstated.  Crowley is a large consumer of launch services in the Puget Sound and when it suffers delays caused by the unavailability of </w:t>
      </w:r>
      <w:r w:rsidR="000B0E97">
        <w:t>Arrow</w:t>
      </w:r>
      <w:r>
        <w:t xml:space="preserve">’s launches, </w:t>
      </w:r>
      <w:r w:rsidR="00371E3F">
        <w:t>it puts Crowley’s customers behind schedule.</w:t>
      </w:r>
      <w:r w:rsidR="00371E3F">
        <w:rPr>
          <w:rStyle w:val="FootnoteReference"/>
        </w:rPr>
        <w:footnoteReference w:id="90"/>
      </w:r>
      <w:r w:rsidR="00371E3F">
        <w:t xml:space="preserve">  “When a petroleum tanker operated by a major oil company is behind schedule, it becomes a serious problem for Crowley.”</w:t>
      </w:r>
      <w:r w:rsidR="00371E3F">
        <w:rPr>
          <w:rStyle w:val="FootnoteReference"/>
        </w:rPr>
        <w:footnoteReference w:id="91"/>
      </w:r>
    </w:p>
    <w:p w14:paraId="09B90D6A" w14:textId="77777777" w:rsidR="00371E3F" w:rsidRDefault="00371E3F" w:rsidP="003D243E">
      <w:pPr>
        <w:pStyle w:val="Heading3"/>
        <w:jc w:val="both"/>
      </w:pPr>
      <w:r>
        <w:t>The weight of the witness’s testimony should tip in MEI’s favor.</w:t>
      </w:r>
    </w:p>
    <w:p w14:paraId="09B90D6B" w14:textId="77777777" w:rsidR="00371E3F" w:rsidRDefault="00371E3F" w:rsidP="003D243E">
      <w:pPr>
        <w:pStyle w:val="BodyText"/>
        <w:jc w:val="both"/>
      </w:pPr>
      <w:r>
        <w:t xml:space="preserve">The Commission heard testimony related to the adequacy of </w:t>
      </w:r>
      <w:r w:rsidR="000B0E97">
        <w:t>Arrow</w:t>
      </w:r>
      <w:r>
        <w:t xml:space="preserve">’s service from a number of different witnesses in this case.  MEI presented the shipper support statement </w:t>
      </w:r>
      <w:r w:rsidR="00C5682B">
        <w:t xml:space="preserve">of Crowley, and </w:t>
      </w:r>
      <w:r w:rsidR="000B0E97">
        <w:t>Arrow</w:t>
      </w:r>
      <w:r w:rsidR="00C5682B">
        <w:t xml:space="preserve"> presented three </w:t>
      </w:r>
      <w:r>
        <w:t xml:space="preserve">supporting witnesses, Brian Westad, Debra Collins, and Doug Coburn.  Of these witnesses, only Crowley is a direct customer of </w:t>
      </w:r>
      <w:r w:rsidR="000B0E97">
        <w:t>Arrow</w:t>
      </w:r>
      <w:r>
        <w:t xml:space="preserve">, and only Crowley composed the content and </w:t>
      </w:r>
      <w:r w:rsidR="008E28D0">
        <w:t>form of its own statement.</w:t>
      </w:r>
      <w:r w:rsidR="00C5682B">
        <w:t xml:space="preserve">  That is, all of three supporting </w:t>
      </w:r>
      <w:r w:rsidR="00C5682B">
        <w:lastRenderedPageBreak/>
        <w:t xml:space="preserve">witnesses presented by </w:t>
      </w:r>
      <w:r w:rsidR="000B0E97">
        <w:t xml:space="preserve">Arrow </w:t>
      </w:r>
      <w:r w:rsidR="00C5682B">
        <w:t xml:space="preserve">acknowledged that </w:t>
      </w:r>
      <w:r w:rsidR="000B0E97">
        <w:t>Arrow</w:t>
      </w:r>
      <w:r w:rsidR="00C5682B">
        <w:t>’s counsel had prepared their pre-filed testimony.</w:t>
      </w:r>
    </w:p>
    <w:p w14:paraId="09B90D6C" w14:textId="77777777" w:rsidR="008E28D0" w:rsidRDefault="000B0E97" w:rsidP="003D243E">
      <w:pPr>
        <w:pStyle w:val="BodyText"/>
        <w:jc w:val="both"/>
      </w:pPr>
      <w:r>
        <w:t>Arrow</w:t>
      </w:r>
      <w:r w:rsidR="00C5682B">
        <w:t>’s three</w:t>
      </w:r>
      <w:r w:rsidR="008E28D0">
        <w:t xml:space="preserve"> witnesses are all shipping agents that arrange for services on behalf of different vessels entering the Puget Sound.  None of those witnesses are direct consumers of </w:t>
      </w:r>
      <w:r>
        <w:t>Arrow</w:t>
      </w:r>
      <w:r w:rsidR="008E28D0">
        <w:t>’s services in that they are arranging for launch services for another party and not utilizing those services themselves.</w:t>
      </w:r>
      <w:r w:rsidR="008E28D0">
        <w:rPr>
          <w:rStyle w:val="FootnoteReference"/>
        </w:rPr>
        <w:footnoteReference w:id="92"/>
      </w:r>
      <w:r w:rsidR="00D50F32">
        <w:t xml:space="preserve">  Because they are not the direct recipients of </w:t>
      </w:r>
      <w:r>
        <w:t>Arrow</w:t>
      </w:r>
      <w:r w:rsidR="00D50F32">
        <w:t xml:space="preserve"> services, they are not in the best position to speak on the adequacy of the current service being provided in the Puget Sound.  Further, two of the three agents have only ever worked with </w:t>
      </w:r>
      <w:r>
        <w:t>Arrow</w:t>
      </w:r>
      <w:r w:rsidR="00D50F32">
        <w:t xml:space="preserve"> and have no frame of reference </w:t>
      </w:r>
      <w:r w:rsidR="00C5682B">
        <w:t xml:space="preserve">from which </w:t>
      </w:r>
      <w:r w:rsidR="00D50F32">
        <w:t xml:space="preserve">to compare </w:t>
      </w:r>
      <w:r>
        <w:t>Arrow</w:t>
      </w:r>
      <w:r w:rsidR="00D50F32">
        <w:t>’s service.</w:t>
      </w:r>
    </w:p>
    <w:p w14:paraId="09B90D6D" w14:textId="77777777" w:rsidR="00D50F32" w:rsidRDefault="00D50F32" w:rsidP="003D243E">
      <w:pPr>
        <w:pStyle w:val="BodyText"/>
        <w:jc w:val="both"/>
      </w:pPr>
      <w:r>
        <w:t xml:space="preserve">Crowley, on the other hand, is a direct consumer of </w:t>
      </w:r>
      <w:r w:rsidR="000B0E97">
        <w:t>Arrow</w:t>
      </w:r>
      <w:r>
        <w:t xml:space="preserve"> services and is in a better position to properly assess the levels of service it has received over the years.  Critically, Crowley also operates in numerous other ports along the West Coast and has an understanding of how launch service providers operate in the Puget Sound when compared to those other ports.  </w:t>
      </w:r>
      <w:r w:rsidR="00C5682B">
        <w:t xml:space="preserve">Thus, </w:t>
      </w:r>
      <w:r>
        <w:t xml:space="preserve">Crowley </w:t>
      </w:r>
      <w:r w:rsidR="00C5682B">
        <w:t>is</w:t>
      </w:r>
      <w:r>
        <w:t xml:space="preserve"> in the best position to compare its customer service experiences it receives in ports with multiple launch providers to a territory that is only served by one.  </w:t>
      </w:r>
    </w:p>
    <w:p w14:paraId="09B90D6E" w14:textId="77777777" w:rsidR="00D50F32" w:rsidRDefault="00D50F32" w:rsidP="003D243E">
      <w:pPr>
        <w:pStyle w:val="BodyText"/>
        <w:jc w:val="both"/>
      </w:pPr>
      <w:r>
        <w:t xml:space="preserve">Crowley is also the only witness that independently drafted and prepared its own statement.  Counsel for MEI had no input </w:t>
      </w:r>
      <w:r w:rsidR="00AB1628">
        <w:t xml:space="preserve">or assistance in drafting Crowley’s support statement and did not prepare a set of questions for Crowley to answer.  Rather, MEI simply provided Crowley with a blank shipper support statement it obtained from the Commission website, and Crowley returned a completed and signed statement after it had determined what testimony it would provide in support of MEI’s application.  </w:t>
      </w:r>
      <w:r w:rsidR="00C5682B">
        <w:t xml:space="preserve">In contrast, all three witnesses presented by </w:t>
      </w:r>
      <w:r w:rsidR="000B0E97">
        <w:t>Arrow</w:t>
      </w:r>
      <w:r w:rsidR="00C5682B">
        <w:t xml:space="preserve"> acknowledged that </w:t>
      </w:r>
      <w:r w:rsidR="000B0E97">
        <w:t>Arrow</w:t>
      </w:r>
      <w:r w:rsidR="00C5682B">
        <w:t>’s attorney prepared their pre-filed testimony</w:t>
      </w:r>
      <w:r w:rsidR="00AB1628">
        <w:t xml:space="preserve">.  </w:t>
      </w:r>
    </w:p>
    <w:p w14:paraId="09B90D6F" w14:textId="77777777" w:rsidR="00AB1628" w:rsidRPr="00371E3F" w:rsidRDefault="00AB1628" w:rsidP="003D243E">
      <w:pPr>
        <w:pStyle w:val="BodyText"/>
        <w:jc w:val="both"/>
      </w:pPr>
      <w:r>
        <w:lastRenderedPageBreak/>
        <w:t xml:space="preserve">When the Commission is presented testimony independently prepared and drafted from a direct consumer of </w:t>
      </w:r>
      <w:r w:rsidR="000B0E97">
        <w:t>Arrow</w:t>
      </w:r>
      <w:r>
        <w:t xml:space="preserve">’s services, this testimony should be given more weight than testimony given by middlemen who do not directly use </w:t>
      </w:r>
      <w:r w:rsidR="000B0E97">
        <w:t>Arrow</w:t>
      </w:r>
      <w:r>
        <w:t>’s launch services.</w:t>
      </w:r>
    </w:p>
    <w:p w14:paraId="09B90D70" w14:textId="77777777" w:rsidR="000732AB" w:rsidRDefault="000732AB" w:rsidP="003D243E">
      <w:pPr>
        <w:pStyle w:val="Heading3"/>
        <w:jc w:val="both"/>
      </w:pPr>
      <w:r>
        <w:t xml:space="preserve">MEI is not “cherry-picking” the Anacortes and </w:t>
      </w:r>
      <w:r w:rsidR="00D96B10">
        <w:t>Port Angeles markets.</w:t>
      </w:r>
    </w:p>
    <w:p w14:paraId="09B90D71" w14:textId="77777777" w:rsidR="00D96B10" w:rsidRDefault="00D96B10" w:rsidP="006C7871">
      <w:pPr>
        <w:pStyle w:val="BodyText"/>
        <w:jc w:val="both"/>
      </w:pPr>
      <w:r>
        <w:t xml:space="preserve">Counsel for </w:t>
      </w:r>
      <w:r w:rsidR="000B0E97">
        <w:t>Arrow</w:t>
      </w:r>
      <w:r>
        <w:t xml:space="preserve"> spent a significant amount of time questioning witnesses during the evidentiary hearing about “cherry-picking,” or spe</w:t>
      </w:r>
      <w:r w:rsidR="006C7871">
        <w:t>cifically selecting the highest-</w:t>
      </w:r>
      <w:r>
        <w:t>profit markets that have the lowest associate</w:t>
      </w:r>
      <w:r w:rsidR="009C2698">
        <w:t>d costs.  MEI denies that it is “cherry picking”</w:t>
      </w:r>
      <w:r w:rsidR="006C7871">
        <w:t xml:space="preserve"> or targeting the highest-</w:t>
      </w:r>
      <w:r w:rsidR="009C2698">
        <w:t xml:space="preserve">profit markets.  MEI does not possess data as to the comparative profitability of the various Puget Sound ports.  Rather, MEI is responding to its customers’ demands.  Other MEI customers, such as Crowley, have complained about the launch services in Anacortes and Port Angeles and have asked MEI to </w:t>
      </w:r>
      <w:r w:rsidR="006C7871">
        <w:t xml:space="preserve">operate in these two regions.  </w:t>
      </w:r>
      <w:r>
        <w:t>During the hearing MEI</w:t>
      </w:r>
      <w:r w:rsidR="006C7871">
        <w:t xml:space="preserve"> produced direct evidence that Crowley </w:t>
      </w:r>
      <w:r>
        <w:t>felt that it was receiving inadequate service</w:t>
      </w:r>
      <w:r w:rsidR="000B0E97">
        <w:t xml:space="preserve">.  </w:t>
      </w:r>
      <w:r w:rsidR="006C7871">
        <w:t xml:space="preserve">The fact that Anacortes and Port Angeles may be </w:t>
      </w:r>
      <w:r w:rsidR="000B0E97">
        <w:t>Arrow</w:t>
      </w:r>
      <w:r w:rsidR="006C7871">
        <w:t>’s most profitable markets, is not an excuse to underserve them.</w:t>
      </w:r>
    </w:p>
    <w:p w14:paraId="09B90D72" w14:textId="77777777" w:rsidR="003D243E" w:rsidRDefault="003D243E" w:rsidP="003D243E">
      <w:pPr>
        <w:pStyle w:val="Heading3"/>
      </w:pPr>
      <w:r>
        <w:t xml:space="preserve">MEI has produced sufficient proof that </w:t>
      </w:r>
      <w:r w:rsidR="000B0E97">
        <w:t>Arrow</w:t>
      </w:r>
      <w:r>
        <w:t xml:space="preserve"> is underserving the Anacortes and </w:t>
      </w:r>
      <w:r w:rsidR="00930466">
        <w:t>Port Angeles markets.</w:t>
      </w:r>
    </w:p>
    <w:p w14:paraId="09B90D73" w14:textId="77777777" w:rsidR="00930466" w:rsidRDefault="006B6153" w:rsidP="00203245">
      <w:pPr>
        <w:pStyle w:val="BodyText"/>
        <w:jc w:val="both"/>
      </w:pPr>
      <w:r>
        <w:t xml:space="preserve">Based on the testimony of Crowley and Mr. Esch produced during the course of this application proceeding, it is evident that </w:t>
      </w:r>
      <w:r w:rsidR="000B0E97">
        <w:t>Arrow</w:t>
      </w:r>
      <w:r>
        <w:t xml:space="preserve"> is underserving the Anacortes and Port Angeles markets.  Crowley is encountering delay and timing issues which, in turn, cause its customers to run behind schedule.  This has been occurring since 2013, continues to this day, and, as Crowley’s business continues to grow in the Puget Sound, will only increase in the future.  Further, much to the displeasure of Crowley, </w:t>
      </w:r>
      <w:r w:rsidR="000B0E97">
        <w:t>Arrow</w:t>
      </w:r>
      <w:r>
        <w:t xml:space="preserve"> is taking advantage of its sole provider status and charging unnecessarily high rates on ancillary services that are offered in conjunction with its regulated services.  This demonstrates that </w:t>
      </w:r>
      <w:r w:rsidR="000B0E97">
        <w:t>Arrow</w:t>
      </w:r>
      <w:r>
        <w:t xml:space="preserve"> is not currently providing reasonable service to Crowley.  The Commission should find that MEI has met its burden in demonstrating that </w:t>
      </w:r>
      <w:r w:rsidR="000B0E97">
        <w:t>Arrow</w:t>
      </w:r>
      <w:r>
        <w:t xml:space="preserve"> is underserving these two territories.</w:t>
      </w:r>
    </w:p>
    <w:p w14:paraId="09B90D74" w14:textId="77777777" w:rsidR="006B6153" w:rsidRDefault="006B6153" w:rsidP="006B6153">
      <w:pPr>
        <w:pStyle w:val="Heading1"/>
      </w:pPr>
      <w:r>
        <w:lastRenderedPageBreak/>
        <w:t>conclusion</w:t>
      </w:r>
    </w:p>
    <w:p w14:paraId="09B90D75" w14:textId="77777777" w:rsidR="006B6153" w:rsidRDefault="006B6153" w:rsidP="00203245">
      <w:pPr>
        <w:pStyle w:val="BodyText"/>
        <w:jc w:val="both"/>
      </w:pPr>
      <w:r>
        <w:t>MEI has met the three required factors for the Commission to grant it an overlapping certificate of authority to serve the Anacortes and Port Angeles territories.  First, MEI is financially fit and able to provide its proposed service for 1</w:t>
      </w:r>
      <w:r w:rsidR="006C7871">
        <w:t>2 months.  It has $300,000 cash-</w:t>
      </w:r>
      <w:r>
        <w:t>on</w:t>
      </w:r>
      <w:r w:rsidR="006C7871">
        <w:t>-</w:t>
      </w:r>
      <w:r>
        <w:t xml:space="preserve">hand and even the most pessimistic outlook of its first year in operation concludes that MEI would lose approximately $90,000.  While MEI </w:t>
      </w:r>
      <w:r w:rsidR="009C193A">
        <w:t xml:space="preserve">completely disagrees with this assessment, even if that happens, MEI has more than enough cash on hand to absorb the loss and continue to operate.  MEI is willing to make at least a three-year commitment to the Puget Sound and has the </w:t>
      </w:r>
      <w:r w:rsidR="006C7871">
        <w:t>financial wherewithal</w:t>
      </w:r>
      <w:r w:rsidR="009C193A">
        <w:t xml:space="preserve"> to do so.</w:t>
      </w:r>
    </w:p>
    <w:p w14:paraId="09B90D76" w14:textId="77777777" w:rsidR="009C193A" w:rsidRDefault="009C193A" w:rsidP="00203245">
      <w:pPr>
        <w:pStyle w:val="BodyText"/>
        <w:jc w:val="both"/>
      </w:pPr>
      <w:r>
        <w:t xml:space="preserve">Second, MEI has demonstrated that there is a present and future need for its services in Anacortes and Port Angeles.  MEI presented Crowley as its shipper support witness, and Crowley’s representative testified that it operates in both locations and has a need for additional, timely service from another provider, both now and in the future.  This need is not currently being met by </w:t>
      </w:r>
      <w:r w:rsidR="000B0E97">
        <w:t>Arrow</w:t>
      </w:r>
      <w:r>
        <w:t xml:space="preserve"> and Crowley reasonably believes that </w:t>
      </w:r>
      <w:r w:rsidR="000B0E97">
        <w:t>Arrow</w:t>
      </w:r>
      <w:r>
        <w:t>’s failure to meet its need</w:t>
      </w:r>
      <w:r w:rsidR="00203245">
        <w:t>s</w:t>
      </w:r>
      <w:r>
        <w:t xml:space="preserve"> now indicates it will not be able to do so in the future.</w:t>
      </w:r>
    </w:p>
    <w:p w14:paraId="09B90D77" w14:textId="77777777" w:rsidR="009C193A" w:rsidRDefault="009C193A" w:rsidP="00203245">
      <w:pPr>
        <w:pStyle w:val="BodyText"/>
        <w:jc w:val="both"/>
      </w:pPr>
      <w:r>
        <w:t xml:space="preserve">Third, MEI has presented proof that </w:t>
      </w:r>
      <w:r w:rsidR="000B0E97">
        <w:t>Arrow</w:t>
      </w:r>
      <w:r>
        <w:t xml:space="preserve"> is underserving these two territories.  Delays and other timing issues coupled with unnecessarily high charges on ancillary services has </w:t>
      </w:r>
      <w:r w:rsidR="006C7871">
        <w:t>left</w:t>
      </w:r>
      <w:r>
        <w:t xml:space="preserve"> one of the Puget Sound’s large</w:t>
      </w:r>
      <w:r w:rsidR="006C7871">
        <w:t xml:space="preserve">st consumers of launch services dissatisfied and </w:t>
      </w:r>
      <w:r>
        <w:t xml:space="preserve">underserved.  Certificated launch providers should not be allowed to create timing and delay issues for their customers and should not be allowed to take advantage of their </w:t>
      </w:r>
      <w:r w:rsidR="00E22AE8">
        <w:t>sole provider status to charge unreaso</w:t>
      </w:r>
      <w:r w:rsidR="006C7871">
        <w:t xml:space="preserve">nably high prices on ancillary and </w:t>
      </w:r>
      <w:r w:rsidR="00E22AE8">
        <w:t>nonregulated services.</w:t>
      </w:r>
    </w:p>
    <w:p w14:paraId="09B90D78" w14:textId="77777777" w:rsidR="00863A6B" w:rsidRDefault="00863A6B" w:rsidP="00863A6B">
      <w:pPr>
        <w:pStyle w:val="BodyText"/>
        <w:ind w:firstLine="0"/>
        <w:jc w:val="both"/>
      </w:pPr>
      <w:r>
        <w:t>//</w:t>
      </w:r>
    </w:p>
    <w:p w14:paraId="09B90D79" w14:textId="77777777" w:rsidR="00863A6B" w:rsidRDefault="00863A6B" w:rsidP="00863A6B">
      <w:pPr>
        <w:pStyle w:val="BodyText"/>
        <w:ind w:firstLine="0"/>
        <w:jc w:val="both"/>
      </w:pPr>
      <w:r>
        <w:t>//</w:t>
      </w:r>
    </w:p>
    <w:p w14:paraId="09B90D7A" w14:textId="77777777" w:rsidR="00863A6B" w:rsidRDefault="00863A6B" w:rsidP="00863A6B">
      <w:pPr>
        <w:pStyle w:val="BodyText"/>
        <w:ind w:firstLine="0"/>
        <w:jc w:val="both"/>
      </w:pPr>
      <w:r>
        <w:t>//</w:t>
      </w:r>
    </w:p>
    <w:p w14:paraId="09B90D7B" w14:textId="77777777" w:rsidR="00863A6B" w:rsidRDefault="00863A6B" w:rsidP="00863A6B">
      <w:pPr>
        <w:pStyle w:val="BodyText"/>
        <w:ind w:firstLine="0"/>
        <w:jc w:val="both"/>
      </w:pPr>
      <w:r>
        <w:t>//</w:t>
      </w:r>
    </w:p>
    <w:p w14:paraId="09B90D7C" w14:textId="77777777" w:rsidR="007F73E8" w:rsidRPr="007F73E8" w:rsidRDefault="00E22AE8" w:rsidP="00203245">
      <w:pPr>
        <w:pStyle w:val="BodyText"/>
        <w:jc w:val="both"/>
      </w:pPr>
      <w:r>
        <w:lastRenderedPageBreak/>
        <w:t>MEI has met its burden of proof in this case and respectfully requests that the Commission grant its application.</w:t>
      </w:r>
    </w:p>
    <w:p w14:paraId="09B90D7D" w14:textId="77777777" w:rsidR="007F73E8" w:rsidRDefault="007F73E8">
      <w:pPr>
        <w:pStyle w:val="DateSignedIndent"/>
      </w:pPr>
      <w:bookmarkStart w:id="2" w:name="SigBlock"/>
      <w:r>
        <w:t xml:space="preserve">DATED:  </w:t>
      </w:r>
      <w:bookmarkStart w:id="3" w:name="Date"/>
      <w:r>
        <w:fldChar w:fldCharType="begin"/>
      </w:r>
      <w:r>
        <w:instrText xml:space="preserve"> DATE \@ "MMMM d, yyyy" \* MERGEFORMAT </w:instrText>
      </w:r>
      <w:r>
        <w:fldChar w:fldCharType="separate"/>
      </w:r>
      <w:r w:rsidR="00386107">
        <w:rPr>
          <w:noProof/>
        </w:rPr>
        <w:t>April 13, 2017</w:t>
      </w:r>
      <w:r>
        <w:fldChar w:fldCharType="end"/>
      </w:r>
      <w:bookmarkEnd w:id="3"/>
    </w:p>
    <w:p w14:paraId="09B90D7E" w14:textId="77777777" w:rsidR="007F73E8" w:rsidRDefault="007F73E8">
      <w:pPr>
        <w:pStyle w:val="FirmNameSig"/>
      </w:pPr>
      <w:r>
        <w:t>Bullivant Houser Bailey PC</w:t>
      </w:r>
    </w:p>
    <w:p w14:paraId="09B90D7F" w14:textId="77777777" w:rsidR="007F73E8" w:rsidRDefault="007F73E8" w:rsidP="00BE69DA">
      <w:pPr>
        <w:pStyle w:val="ByLine"/>
      </w:pPr>
      <w:r>
        <w:t>By</w:t>
      </w:r>
      <w:r>
        <w:tab/>
      </w:r>
      <w:r>
        <w:rPr>
          <w:u w:val="single"/>
        </w:rPr>
        <w:tab/>
      </w:r>
    </w:p>
    <w:p w14:paraId="09B90D80" w14:textId="77777777" w:rsidR="007F73E8" w:rsidRDefault="007F73E8">
      <w:pPr>
        <w:pStyle w:val="Signatures"/>
      </w:pPr>
      <w:bookmarkStart w:id="4" w:name="AttyNameAndBarNo"/>
      <w:r>
        <w:t>Daniel R. Bentson, WSBA #36825</w:t>
      </w:r>
      <w:bookmarkEnd w:id="4"/>
    </w:p>
    <w:p w14:paraId="09B90D81" w14:textId="77777777" w:rsidR="007F73E8" w:rsidRDefault="007F73E8">
      <w:pPr>
        <w:pStyle w:val="Signatures"/>
      </w:pPr>
    </w:p>
    <w:p w14:paraId="09B90D82" w14:textId="77777777" w:rsidR="007F73E8" w:rsidRDefault="007F73E8">
      <w:pPr>
        <w:pStyle w:val="SignatureBlock"/>
      </w:pPr>
      <w:r>
        <w:t xml:space="preserve">Attorney for </w:t>
      </w:r>
      <w:bookmarkStart w:id="5" w:name="PartyBeingRepresented"/>
      <w:r>
        <w:t>Applicant MEI Northwest LLC</w:t>
      </w:r>
      <w:bookmarkEnd w:id="5"/>
    </w:p>
    <w:p w14:paraId="09B90D83" w14:textId="77777777" w:rsidR="007F73E8" w:rsidRDefault="007F73E8"/>
    <w:bookmarkEnd w:id="2"/>
    <w:p w14:paraId="09B90D84" w14:textId="77777777" w:rsidR="003F20AC" w:rsidRDefault="003F20AC">
      <w:pPr>
        <w:pStyle w:val="SingleSpaced"/>
      </w:pPr>
      <w:r>
        <w:br w:type="page"/>
      </w:r>
    </w:p>
    <w:p w14:paraId="09B90D85" w14:textId="77777777" w:rsidR="003F20AC" w:rsidRPr="007802E7" w:rsidRDefault="003F20AC" w:rsidP="003F20AC">
      <w:pPr>
        <w:tabs>
          <w:tab w:val="center" w:pos="4680"/>
        </w:tabs>
        <w:jc w:val="center"/>
      </w:pPr>
      <w:r w:rsidRPr="007802E7">
        <w:lastRenderedPageBreak/>
        <w:t>Docket TS-160479</w:t>
      </w:r>
    </w:p>
    <w:p w14:paraId="09B90D86" w14:textId="77777777" w:rsidR="003F20AC" w:rsidRPr="007802E7" w:rsidRDefault="003F20AC" w:rsidP="003F20AC">
      <w:pPr>
        <w:tabs>
          <w:tab w:val="center" w:pos="4680"/>
        </w:tabs>
        <w:jc w:val="center"/>
      </w:pPr>
      <w:r w:rsidRPr="007802E7">
        <w:t>CERTIFICATE OF SERVICE</w:t>
      </w:r>
    </w:p>
    <w:p w14:paraId="09B90D87" w14:textId="77777777" w:rsidR="003F20AC" w:rsidRPr="007802E7" w:rsidRDefault="003F20AC" w:rsidP="003F20AC">
      <w:pPr>
        <w:jc w:val="center"/>
      </w:pPr>
    </w:p>
    <w:p w14:paraId="09B90D88" w14:textId="77777777" w:rsidR="003F20AC" w:rsidRPr="00AD6EA6" w:rsidRDefault="003F20AC" w:rsidP="003F20AC">
      <w:pPr>
        <w:pStyle w:val="BodyText"/>
        <w:jc w:val="both"/>
      </w:pPr>
      <w:r w:rsidRPr="00AD6EA6">
        <w:t xml:space="preserve">I hereby certify that on </w:t>
      </w:r>
      <w:r>
        <w:fldChar w:fldCharType="begin"/>
      </w:r>
      <w:r>
        <w:instrText xml:space="preserve"> DATE  \@ "MMMM d, yyyy"  \* MERGEFORMAT </w:instrText>
      </w:r>
      <w:r>
        <w:fldChar w:fldCharType="separate"/>
      </w:r>
      <w:r w:rsidR="00386107">
        <w:rPr>
          <w:noProof/>
        </w:rPr>
        <w:t>April 13, 2017</w:t>
      </w:r>
      <w:r>
        <w:rPr>
          <w:noProof/>
        </w:rPr>
        <w:fldChar w:fldCharType="end"/>
      </w:r>
      <w:r w:rsidRPr="00AD6EA6">
        <w:t>, I caused to be served the original</w:t>
      </w:r>
      <w:r>
        <w:t xml:space="preserve"> </w:t>
      </w:r>
      <w:r w:rsidRPr="00AD6EA6">
        <w:t>of the foregoing document to the following address via FedEx to:</w:t>
      </w:r>
    </w:p>
    <w:p w14:paraId="09B90D89" w14:textId="77777777" w:rsidR="003F20AC" w:rsidRPr="00AD6EA6" w:rsidRDefault="003F20AC" w:rsidP="003F20AC">
      <w:pPr>
        <w:pStyle w:val="BodyText"/>
        <w:spacing w:line="240" w:lineRule="auto"/>
        <w:contextualSpacing/>
        <w:jc w:val="both"/>
      </w:pPr>
      <w:r w:rsidRPr="00AD6EA6">
        <w:t>Steven V. King, Executive Director and Secretary</w:t>
      </w:r>
    </w:p>
    <w:p w14:paraId="09B90D8A" w14:textId="77777777" w:rsidR="003F20AC" w:rsidRPr="00AD6EA6" w:rsidRDefault="003F20AC" w:rsidP="003F20AC">
      <w:pPr>
        <w:pStyle w:val="BodyText"/>
        <w:spacing w:line="240" w:lineRule="auto"/>
        <w:contextualSpacing/>
        <w:jc w:val="both"/>
      </w:pPr>
      <w:r w:rsidRPr="00AD6EA6">
        <w:t>Washington Utilities and Transportation Commission</w:t>
      </w:r>
    </w:p>
    <w:p w14:paraId="09B90D8B" w14:textId="77777777" w:rsidR="003F20AC" w:rsidRPr="00AD6EA6" w:rsidRDefault="003F20AC" w:rsidP="003F20AC">
      <w:pPr>
        <w:pStyle w:val="BodyText"/>
        <w:spacing w:line="240" w:lineRule="auto"/>
        <w:contextualSpacing/>
        <w:jc w:val="both"/>
      </w:pPr>
      <w:r w:rsidRPr="00AD6EA6">
        <w:t>Attn.: Records Center</w:t>
      </w:r>
    </w:p>
    <w:p w14:paraId="09B90D8C" w14:textId="77777777" w:rsidR="003F20AC" w:rsidRPr="00AD6EA6" w:rsidRDefault="003F20AC" w:rsidP="003F20AC">
      <w:pPr>
        <w:pStyle w:val="BodyText"/>
        <w:spacing w:line="240" w:lineRule="auto"/>
        <w:contextualSpacing/>
        <w:jc w:val="both"/>
      </w:pPr>
      <w:r w:rsidRPr="00AD6EA6">
        <w:t>P.O. Box 47250</w:t>
      </w:r>
    </w:p>
    <w:p w14:paraId="09B90D8D" w14:textId="77777777" w:rsidR="003F20AC" w:rsidRPr="00AD6EA6" w:rsidRDefault="003F20AC" w:rsidP="003F20AC">
      <w:pPr>
        <w:pStyle w:val="BodyText"/>
        <w:spacing w:line="240" w:lineRule="auto"/>
        <w:contextualSpacing/>
        <w:jc w:val="both"/>
      </w:pPr>
      <w:r w:rsidRPr="00AD6EA6">
        <w:t>1300 S. Evergreen Park Dr. SW</w:t>
      </w:r>
    </w:p>
    <w:p w14:paraId="09B90D8E" w14:textId="77777777" w:rsidR="003F20AC" w:rsidRDefault="003F20AC" w:rsidP="003F20AC">
      <w:pPr>
        <w:pStyle w:val="BodyText"/>
        <w:spacing w:line="240" w:lineRule="auto"/>
        <w:contextualSpacing/>
        <w:jc w:val="both"/>
      </w:pPr>
      <w:r w:rsidRPr="00AD6EA6">
        <w:t>Olympia, WA 98504-7250</w:t>
      </w:r>
    </w:p>
    <w:p w14:paraId="09B90D8F" w14:textId="77777777" w:rsidR="003F20AC" w:rsidRPr="00AD6EA6" w:rsidRDefault="003F20AC" w:rsidP="003F20AC">
      <w:pPr>
        <w:pStyle w:val="BodyText"/>
        <w:spacing w:line="240" w:lineRule="exact"/>
        <w:contextualSpacing/>
        <w:jc w:val="both"/>
      </w:pPr>
    </w:p>
    <w:p w14:paraId="09B90D90" w14:textId="77777777" w:rsidR="003F20AC" w:rsidRPr="00AD6EA6" w:rsidRDefault="003F20AC" w:rsidP="003F20AC">
      <w:pPr>
        <w:spacing w:line="500" w:lineRule="exact"/>
        <w:ind w:firstLine="720"/>
        <w:jc w:val="both"/>
        <w:rPr>
          <w:b/>
          <w:bCs/>
        </w:rPr>
      </w:pPr>
      <w:r w:rsidRPr="00AD6EA6">
        <w:t xml:space="preserve">I </w:t>
      </w:r>
      <w:r>
        <w:t xml:space="preserve">further </w:t>
      </w:r>
      <w:r w:rsidRPr="00AD6EA6">
        <w:t xml:space="preserve">certify that I have also provided to the Washington Utilities and Transportation Commission’s Secretary an official electronic file containing the foregoing document via the </w:t>
      </w:r>
      <w:r>
        <w:t>W</w:t>
      </w:r>
      <w:r w:rsidRPr="00AD6EA6">
        <w:t xml:space="preserve">UTC web portal; and </w:t>
      </w:r>
      <w:r>
        <w:t xml:space="preserve">served </w:t>
      </w:r>
      <w:r w:rsidRPr="00AD6EA6">
        <w:t xml:space="preserve">a copy via </w:t>
      </w:r>
      <w:r>
        <w:t xml:space="preserve">email </w:t>
      </w:r>
      <w:r w:rsidRPr="00AD6EA6">
        <w:t>to</w:t>
      </w:r>
      <w:r>
        <w:t xml:space="preserve"> the following parties</w:t>
      </w:r>
      <w:r w:rsidRPr="00AD6EA6">
        <w:t>:</w:t>
      </w:r>
    </w:p>
    <w:p w14:paraId="09B90D91" w14:textId="77777777" w:rsidR="003F20AC" w:rsidRPr="007802E7" w:rsidRDefault="003F20AC" w:rsidP="003F20AC">
      <w:pPr>
        <w:tabs>
          <w:tab w:val="left" w:pos="900"/>
        </w:tabs>
        <w:rPr>
          <w:iCs/>
        </w:rPr>
      </w:pPr>
    </w:p>
    <w:p w14:paraId="09B90D92" w14:textId="77777777" w:rsidR="003F20AC" w:rsidRPr="007802E7" w:rsidRDefault="003F20AC" w:rsidP="003F20AC">
      <w:pPr>
        <w:tabs>
          <w:tab w:val="left" w:pos="900"/>
        </w:tabs>
        <w:rPr>
          <w:iCs/>
        </w:rPr>
      </w:pPr>
      <w:r w:rsidRPr="007802E7">
        <w:rPr>
          <w:b/>
          <w:i/>
          <w:iCs/>
        </w:rPr>
        <w:t>For Arrow Launch Service</w:t>
      </w:r>
      <w:r>
        <w:rPr>
          <w:b/>
          <w:i/>
          <w:iCs/>
        </w:rPr>
        <w:t>, Inc.</w:t>
      </w:r>
      <w:r w:rsidRPr="007802E7">
        <w:rPr>
          <w:b/>
          <w:iCs/>
        </w:rPr>
        <w:t>:</w:t>
      </w:r>
    </w:p>
    <w:p w14:paraId="09B90D93" w14:textId="77777777" w:rsidR="003F20AC" w:rsidRPr="007802E7" w:rsidRDefault="003F20AC" w:rsidP="003F20AC">
      <w:pPr>
        <w:tabs>
          <w:tab w:val="left" w:pos="900"/>
        </w:tabs>
        <w:rPr>
          <w:iCs/>
        </w:rPr>
      </w:pPr>
    </w:p>
    <w:p w14:paraId="09B90D94" w14:textId="77777777" w:rsidR="003F20AC" w:rsidRPr="007802E7" w:rsidRDefault="003F20AC" w:rsidP="003F20AC">
      <w:pPr>
        <w:tabs>
          <w:tab w:val="left" w:pos="900"/>
        </w:tabs>
        <w:rPr>
          <w:iCs/>
        </w:rPr>
      </w:pPr>
      <w:r w:rsidRPr="007802E7">
        <w:rPr>
          <w:iCs/>
        </w:rPr>
        <w:t>David W. Wiley</w:t>
      </w:r>
    </w:p>
    <w:p w14:paraId="09B90D95" w14:textId="77777777" w:rsidR="003F20AC" w:rsidRPr="007802E7" w:rsidRDefault="003F20AC" w:rsidP="003F20AC">
      <w:pPr>
        <w:tabs>
          <w:tab w:val="left" w:pos="900"/>
        </w:tabs>
        <w:rPr>
          <w:iCs/>
        </w:rPr>
      </w:pPr>
      <w:r w:rsidRPr="007802E7">
        <w:rPr>
          <w:iCs/>
        </w:rPr>
        <w:t>Williams, Kastner &amp; Gibbs, PLLC</w:t>
      </w:r>
    </w:p>
    <w:p w14:paraId="09B90D96" w14:textId="77777777" w:rsidR="003F20AC" w:rsidRPr="007802E7" w:rsidRDefault="003F20AC" w:rsidP="003F20AC">
      <w:pPr>
        <w:tabs>
          <w:tab w:val="left" w:pos="900"/>
        </w:tabs>
        <w:rPr>
          <w:iCs/>
        </w:rPr>
      </w:pPr>
      <w:r w:rsidRPr="007802E7">
        <w:rPr>
          <w:iCs/>
        </w:rPr>
        <w:t>Two Union Square</w:t>
      </w:r>
    </w:p>
    <w:p w14:paraId="09B90D97" w14:textId="77777777" w:rsidR="003F20AC" w:rsidRPr="007802E7" w:rsidRDefault="003F20AC" w:rsidP="003F20AC">
      <w:pPr>
        <w:tabs>
          <w:tab w:val="left" w:pos="900"/>
        </w:tabs>
        <w:rPr>
          <w:iCs/>
        </w:rPr>
      </w:pPr>
      <w:r w:rsidRPr="007802E7">
        <w:rPr>
          <w:iCs/>
        </w:rPr>
        <w:t>601 Union Street</w:t>
      </w:r>
      <w:r>
        <w:rPr>
          <w:iCs/>
        </w:rPr>
        <w:t>, Suite 4100</w:t>
      </w:r>
    </w:p>
    <w:p w14:paraId="09B90D98" w14:textId="77777777" w:rsidR="003F20AC" w:rsidRPr="007802E7" w:rsidRDefault="003F20AC" w:rsidP="003F20AC">
      <w:pPr>
        <w:tabs>
          <w:tab w:val="left" w:pos="900"/>
        </w:tabs>
        <w:rPr>
          <w:iCs/>
        </w:rPr>
      </w:pPr>
      <w:r w:rsidRPr="007802E7">
        <w:rPr>
          <w:iCs/>
        </w:rPr>
        <w:t>Seattle, WA  98101-2380</w:t>
      </w:r>
    </w:p>
    <w:p w14:paraId="09B90D99" w14:textId="77777777" w:rsidR="003F20AC" w:rsidRPr="007802E7" w:rsidRDefault="003F20AC" w:rsidP="003F20AC">
      <w:pPr>
        <w:tabs>
          <w:tab w:val="left" w:pos="900"/>
        </w:tabs>
        <w:rPr>
          <w:iCs/>
        </w:rPr>
      </w:pPr>
      <w:r w:rsidRPr="007802E7">
        <w:rPr>
          <w:iCs/>
        </w:rPr>
        <w:t>Phone:  (206) 628-6600</w:t>
      </w:r>
    </w:p>
    <w:p w14:paraId="09B90D9A" w14:textId="77777777" w:rsidR="003F20AC" w:rsidRPr="007802E7" w:rsidRDefault="003F20AC" w:rsidP="003F20AC">
      <w:pPr>
        <w:tabs>
          <w:tab w:val="left" w:pos="900"/>
        </w:tabs>
        <w:rPr>
          <w:iCs/>
          <w:color w:val="0000FF"/>
          <w:u w:val="single"/>
        </w:rPr>
      </w:pPr>
      <w:r w:rsidRPr="007802E7">
        <w:rPr>
          <w:iCs/>
        </w:rPr>
        <w:t xml:space="preserve">Email:  </w:t>
      </w:r>
      <w:hyperlink r:id="rId11" w:history="1">
        <w:r w:rsidRPr="00776367">
          <w:rPr>
            <w:rStyle w:val="Hyperlink"/>
            <w:iCs/>
          </w:rPr>
          <w:t>dwiley@williamskastner.com</w:t>
        </w:r>
      </w:hyperlink>
      <w:r>
        <w:rPr>
          <w:iCs/>
        </w:rPr>
        <w:t xml:space="preserve"> </w:t>
      </w:r>
    </w:p>
    <w:p w14:paraId="09B90D9B" w14:textId="77777777" w:rsidR="003F20AC" w:rsidRPr="007802E7" w:rsidRDefault="003F20AC" w:rsidP="003F20AC">
      <w:pPr>
        <w:pStyle w:val="Signatures"/>
      </w:pPr>
    </w:p>
    <w:p w14:paraId="09B90D9C" w14:textId="77777777" w:rsidR="003F20AC" w:rsidRPr="007802E7" w:rsidRDefault="003F20AC" w:rsidP="003F20AC">
      <w:pPr>
        <w:spacing w:line="240" w:lineRule="exact"/>
      </w:pPr>
    </w:p>
    <w:p w14:paraId="09B90D9D" w14:textId="77777777" w:rsidR="003F20AC" w:rsidRPr="007802E7" w:rsidRDefault="003F20AC" w:rsidP="003F20AC">
      <w:pPr>
        <w:spacing w:line="240" w:lineRule="exact"/>
      </w:pPr>
      <w:r w:rsidRPr="007802E7">
        <w:rPr>
          <w:b/>
          <w:i/>
        </w:rPr>
        <w:t>For Washington Utilities and Transportation Commission Staff:</w:t>
      </w:r>
    </w:p>
    <w:p w14:paraId="09B90D9E" w14:textId="77777777" w:rsidR="003F20AC" w:rsidRPr="007802E7" w:rsidRDefault="003F20AC" w:rsidP="003F20AC">
      <w:pPr>
        <w:spacing w:line="240" w:lineRule="exact"/>
      </w:pPr>
    </w:p>
    <w:p w14:paraId="09B90D9F" w14:textId="77777777" w:rsidR="003F20AC" w:rsidRPr="007802E7" w:rsidRDefault="003F20AC" w:rsidP="003F20AC">
      <w:pPr>
        <w:spacing w:line="240" w:lineRule="exact"/>
      </w:pPr>
      <w:r w:rsidRPr="007802E7">
        <w:t>Julian Beattie</w:t>
      </w:r>
    </w:p>
    <w:p w14:paraId="09B90DA0" w14:textId="77777777" w:rsidR="003F20AC" w:rsidRPr="007802E7" w:rsidRDefault="003F20AC" w:rsidP="003F20AC">
      <w:pPr>
        <w:spacing w:line="240" w:lineRule="exact"/>
      </w:pPr>
      <w:r w:rsidRPr="007802E7">
        <w:t>Office of the Attorney General</w:t>
      </w:r>
    </w:p>
    <w:p w14:paraId="09B90DA1" w14:textId="77777777" w:rsidR="003F20AC" w:rsidRPr="007802E7" w:rsidRDefault="003F20AC" w:rsidP="003F20AC">
      <w:pPr>
        <w:spacing w:line="240" w:lineRule="exact"/>
      </w:pPr>
      <w:r w:rsidRPr="007802E7">
        <w:t>Utilities and Transportation Division</w:t>
      </w:r>
    </w:p>
    <w:p w14:paraId="09B90DA2" w14:textId="77777777" w:rsidR="003F20AC" w:rsidRPr="007802E7" w:rsidRDefault="003F20AC" w:rsidP="003F20AC">
      <w:pPr>
        <w:spacing w:line="240" w:lineRule="exact"/>
      </w:pPr>
      <w:r w:rsidRPr="007802E7">
        <w:t>1400 S. Evergreen Park Drive SW</w:t>
      </w:r>
    </w:p>
    <w:p w14:paraId="09B90DA3" w14:textId="77777777" w:rsidR="003F20AC" w:rsidRPr="007802E7" w:rsidRDefault="003F20AC" w:rsidP="003F20AC">
      <w:pPr>
        <w:spacing w:line="240" w:lineRule="exact"/>
      </w:pPr>
      <w:r w:rsidRPr="007802E7">
        <w:t>P.O. Box 40128</w:t>
      </w:r>
    </w:p>
    <w:p w14:paraId="09B90DA4" w14:textId="77777777" w:rsidR="003F20AC" w:rsidRPr="007802E7" w:rsidRDefault="003F20AC" w:rsidP="003F20AC">
      <w:pPr>
        <w:spacing w:line="240" w:lineRule="exact"/>
      </w:pPr>
      <w:r w:rsidRPr="007802E7">
        <w:t>Olympia, WA 98504-0128</w:t>
      </w:r>
    </w:p>
    <w:p w14:paraId="09B90DA5" w14:textId="77777777" w:rsidR="003F20AC" w:rsidRPr="007802E7" w:rsidRDefault="003F20AC" w:rsidP="003F20AC">
      <w:pPr>
        <w:spacing w:line="240" w:lineRule="exact"/>
      </w:pPr>
      <w:r w:rsidRPr="007802E7">
        <w:t>Phone:  (360) 664-1225</w:t>
      </w:r>
    </w:p>
    <w:p w14:paraId="09B90DA6" w14:textId="77777777" w:rsidR="003F20AC" w:rsidRDefault="003F20AC" w:rsidP="003F20AC">
      <w:pPr>
        <w:spacing w:line="240" w:lineRule="exact"/>
      </w:pPr>
      <w:r w:rsidRPr="007802E7">
        <w:t xml:space="preserve">Email:  </w:t>
      </w:r>
      <w:hyperlink r:id="rId12" w:history="1">
        <w:r w:rsidRPr="00776367">
          <w:rPr>
            <w:rStyle w:val="Hyperlink"/>
          </w:rPr>
          <w:t>jbeattie@utc.wa.gov</w:t>
        </w:r>
      </w:hyperlink>
    </w:p>
    <w:p w14:paraId="09B90DA7" w14:textId="77777777" w:rsidR="003F20AC" w:rsidRDefault="003F20AC" w:rsidP="003F20AC">
      <w:pPr>
        <w:spacing w:line="240" w:lineRule="exact"/>
      </w:pPr>
    </w:p>
    <w:p w14:paraId="09B90DA8" w14:textId="77777777" w:rsidR="003F20AC" w:rsidRDefault="003F20AC" w:rsidP="003F20AC">
      <w:pPr>
        <w:spacing w:line="240" w:lineRule="exact"/>
      </w:pPr>
      <w:r>
        <w:br w:type="page"/>
      </w:r>
    </w:p>
    <w:p w14:paraId="09B90DA9" w14:textId="77777777" w:rsidR="003F20AC" w:rsidRDefault="003F20AC" w:rsidP="003F20AC">
      <w:pPr>
        <w:spacing w:line="240" w:lineRule="exact"/>
        <w:rPr>
          <w:b/>
          <w:i/>
        </w:rPr>
      </w:pPr>
      <w:r>
        <w:rPr>
          <w:b/>
          <w:i/>
        </w:rPr>
        <w:lastRenderedPageBreak/>
        <w:t>For Pacific Cruises Northwest, LLC:</w:t>
      </w:r>
    </w:p>
    <w:p w14:paraId="09B90DAA" w14:textId="77777777" w:rsidR="003F20AC" w:rsidRDefault="003F20AC" w:rsidP="003F20AC">
      <w:pPr>
        <w:spacing w:line="240" w:lineRule="exact"/>
        <w:rPr>
          <w:b/>
          <w:i/>
        </w:rPr>
      </w:pPr>
    </w:p>
    <w:p w14:paraId="09B90DAB" w14:textId="77777777" w:rsidR="003F20AC" w:rsidRDefault="003F20AC" w:rsidP="003F20AC">
      <w:pPr>
        <w:spacing w:line="240" w:lineRule="exact"/>
      </w:pPr>
      <w:r>
        <w:t>Judy Endejan</w:t>
      </w:r>
    </w:p>
    <w:p w14:paraId="09B90DAC" w14:textId="77777777" w:rsidR="003F20AC" w:rsidRDefault="003F20AC" w:rsidP="003F20AC">
      <w:pPr>
        <w:spacing w:line="240" w:lineRule="exact"/>
      </w:pPr>
      <w:r>
        <w:t>Garvey Schubert Barer</w:t>
      </w:r>
    </w:p>
    <w:p w14:paraId="09B90DAD" w14:textId="77777777" w:rsidR="003F20AC" w:rsidRDefault="003F20AC" w:rsidP="003F20AC">
      <w:pPr>
        <w:spacing w:line="240" w:lineRule="exact"/>
      </w:pPr>
      <w:r>
        <w:t>Second &amp; Seneca Building</w:t>
      </w:r>
    </w:p>
    <w:p w14:paraId="09B90DAE" w14:textId="77777777" w:rsidR="003F20AC" w:rsidRDefault="003F20AC" w:rsidP="003F20AC">
      <w:pPr>
        <w:spacing w:line="240" w:lineRule="exact"/>
      </w:pPr>
      <w:r>
        <w:t>1191 Second Avenue, Suite 1800</w:t>
      </w:r>
    </w:p>
    <w:p w14:paraId="09B90DAF" w14:textId="77777777" w:rsidR="003F20AC" w:rsidRDefault="003F20AC" w:rsidP="003F20AC">
      <w:pPr>
        <w:spacing w:line="240" w:lineRule="exact"/>
      </w:pPr>
      <w:r>
        <w:t>Seattle, WA  98101</w:t>
      </w:r>
    </w:p>
    <w:p w14:paraId="09B90DB0" w14:textId="77777777" w:rsidR="003F20AC" w:rsidRDefault="003F20AC" w:rsidP="003F20AC">
      <w:pPr>
        <w:spacing w:line="240" w:lineRule="exact"/>
      </w:pPr>
      <w:r>
        <w:t>Direct Dial:  (206) 816-1351</w:t>
      </w:r>
    </w:p>
    <w:p w14:paraId="09B90DB1" w14:textId="77777777" w:rsidR="003F20AC" w:rsidRDefault="003F20AC" w:rsidP="003F20AC">
      <w:pPr>
        <w:spacing w:line="240" w:lineRule="exact"/>
      </w:pPr>
      <w:r>
        <w:t xml:space="preserve">Email:  </w:t>
      </w:r>
      <w:r w:rsidRPr="0037213C">
        <w:rPr>
          <w:rStyle w:val="Hyperlink"/>
        </w:rPr>
        <w:t>jendejan@gsblaw.com</w:t>
      </w:r>
    </w:p>
    <w:p w14:paraId="09B90DB2" w14:textId="77777777" w:rsidR="003F20AC" w:rsidRDefault="003F20AC" w:rsidP="003F20AC">
      <w:pPr>
        <w:spacing w:line="240" w:lineRule="exact"/>
      </w:pPr>
    </w:p>
    <w:p w14:paraId="09B90DB3" w14:textId="77777777" w:rsidR="003F20AC" w:rsidRDefault="003F20AC" w:rsidP="003F20AC">
      <w:pPr>
        <w:spacing w:line="240" w:lineRule="exact"/>
        <w:jc w:val="both"/>
      </w:pPr>
    </w:p>
    <w:p w14:paraId="09B90DB4" w14:textId="77777777" w:rsidR="003F20AC" w:rsidRDefault="003F20AC" w:rsidP="003F20AC">
      <w:pPr>
        <w:spacing w:line="240" w:lineRule="exact"/>
        <w:jc w:val="both"/>
        <w:rPr>
          <w:b/>
          <w:i/>
        </w:rPr>
      </w:pPr>
      <w:r>
        <w:rPr>
          <w:b/>
          <w:i/>
        </w:rPr>
        <w:t>Administrative Law Judge:</w:t>
      </w:r>
    </w:p>
    <w:p w14:paraId="09B90DB5" w14:textId="77777777" w:rsidR="003F20AC" w:rsidRDefault="003F20AC" w:rsidP="003F20AC">
      <w:pPr>
        <w:spacing w:line="240" w:lineRule="exact"/>
        <w:jc w:val="both"/>
        <w:rPr>
          <w:b/>
          <w:i/>
        </w:rPr>
      </w:pPr>
    </w:p>
    <w:p w14:paraId="09B90DB6" w14:textId="77777777" w:rsidR="003F20AC" w:rsidRDefault="003F20AC" w:rsidP="003F20AC">
      <w:pPr>
        <w:spacing w:line="240" w:lineRule="exact"/>
        <w:jc w:val="both"/>
      </w:pPr>
      <w:r>
        <w:t>Judge Marguerite E. Friedlander</w:t>
      </w:r>
    </w:p>
    <w:p w14:paraId="09B90DB7" w14:textId="77777777" w:rsidR="003F20AC" w:rsidRDefault="003F20AC" w:rsidP="003F20AC">
      <w:pPr>
        <w:spacing w:line="240" w:lineRule="exact"/>
        <w:jc w:val="both"/>
      </w:pPr>
      <w:r>
        <w:t>Washington Utilities and Transportation Commission</w:t>
      </w:r>
    </w:p>
    <w:p w14:paraId="09B90DB8" w14:textId="77777777" w:rsidR="003F20AC" w:rsidRDefault="003F20AC" w:rsidP="003F20AC">
      <w:pPr>
        <w:spacing w:line="240" w:lineRule="exact"/>
        <w:jc w:val="both"/>
      </w:pPr>
      <w:r>
        <w:t>1300 S. Evergreen Park Dr. SW</w:t>
      </w:r>
    </w:p>
    <w:p w14:paraId="09B90DB9" w14:textId="77777777" w:rsidR="003F20AC" w:rsidRDefault="003F20AC" w:rsidP="003F20AC">
      <w:pPr>
        <w:spacing w:line="240" w:lineRule="exact"/>
        <w:jc w:val="both"/>
      </w:pPr>
      <w:r>
        <w:t>Olympia, WA  98504</w:t>
      </w:r>
    </w:p>
    <w:p w14:paraId="09B90DBA" w14:textId="77777777" w:rsidR="003F20AC" w:rsidRDefault="003F20AC" w:rsidP="003F20AC">
      <w:pPr>
        <w:spacing w:line="240" w:lineRule="exact"/>
        <w:jc w:val="both"/>
      </w:pPr>
      <w:r>
        <w:t xml:space="preserve">Email: </w:t>
      </w:r>
      <w:hyperlink r:id="rId13" w:history="1">
        <w:r w:rsidRPr="002B0EFF">
          <w:rPr>
            <w:rStyle w:val="Hyperlink"/>
          </w:rPr>
          <w:t>mfriedla@utc.wa.gov</w:t>
        </w:r>
      </w:hyperlink>
      <w:r>
        <w:t xml:space="preserve"> </w:t>
      </w:r>
    </w:p>
    <w:p w14:paraId="09B90DBB" w14:textId="77777777" w:rsidR="003F20AC" w:rsidRPr="00DB0316" w:rsidRDefault="003F20AC" w:rsidP="003F20AC">
      <w:pPr>
        <w:spacing w:line="240" w:lineRule="exact"/>
        <w:jc w:val="both"/>
      </w:pPr>
    </w:p>
    <w:p w14:paraId="09B90DBC" w14:textId="77777777" w:rsidR="003F20AC" w:rsidRPr="00AD6EA6" w:rsidRDefault="003F20AC" w:rsidP="003F20AC">
      <w:pPr>
        <w:pStyle w:val="BodyText"/>
      </w:pPr>
      <w:r w:rsidRPr="00AD6EA6">
        <w:t xml:space="preserve">Signed at Seattle, Washington this ______ day of </w:t>
      </w:r>
      <w:r>
        <w:t>April, 2017</w:t>
      </w:r>
      <w:r w:rsidRPr="00AD6EA6">
        <w:t>.</w:t>
      </w:r>
    </w:p>
    <w:tbl>
      <w:tblPr>
        <w:tblpPr w:leftFromText="180" w:rightFromText="180" w:vertAnchor="text" w:horzAnchor="margin" w:tblpX="108" w:tblpY="122"/>
        <w:tblW w:w="9360" w:type="dxa"/>
        <w:tblLook w:val="01E0" w:firstRow="1" w:lastRow="1" w:firstColumn="1" w:lastColumn="1" w:noHBand="0" w:noVBand="0"/>
      </w:tblPr>
      <w:tblGrid>
        <w:gridCol w:w="4680"/>
        <w:gridCol w:w="4680"/>
      </w:tblGrid>
      <w:tr w:rsidR="003F20AC" w:rsidRPr="00AD6EA6" w14:paraId="09B90DC5" w14:textId="77777777" w:rsidTr="0054025B">
        <w:tc>
          <w:tcPr>
            <w:tcW w:w="4680" w:type="dxa"/>
            <w:shd w:val="clear" w:color="auto" w:fill="auto"/>
          </w:tcPr>
          <w:p w14:paraId="09B90DBD" w14:textId="77777777" w:rsidR="003F20AC" w:rsidRPr="00AD6EA6" w:rsidRDefault="003F20AC" w:rsidP="0054025B"/>
        </w:tc>
        <w:tc>
          <w:tcPr>
            <w:tcW w:w="4680" w:type="dxa"/>
            <w:shd w:val="clear" w:color="auto" w:fill="auto"/>
          </w:tcPr>
          <w:p w14:paraId="09B90DBE" w14:textId="77777777" w:rsidR="003F20AC" w:rsidRDefault="003F20AC" w:rsidP="0054025B">
            <w:pPr>
              <w:keepNext/>
              <w:tabs>
                <w:tab w:val="left" w:pos="432"/>
                <w:tab w:val="right" w:pos="4482"/>
              </w:tabs>
              <w:rPr>
                <w:u w:val="single"/>
              </w:rPr>
            </w:pPr>
          </w:p>
          <w:p w14:paraId="09B90DBF" w14:textId="77777777" w:rsidR="003F20AC" w:rsidRPr="00AD6EA6" w:rsidRDefault="003F20AC" w:rsidP="0054025B">
            <w:pPr>
              <w:keepNext/>
              <w:tabs>
                <w:tab w:val="left" w:pos="432"/>
                <w:tab w:val="right" w:pos="4482"/>
              </w:tabs>
              <w:rPr>
                <w:u w:val="single"/>
              </w:rPr>
            </w:pPr>
          </w:p>
          <w:p w14:paraId="09B90DC0" w14:textId="77777777" w:rsidR="003F20AC" w:rsidRPr="00B84BA6" w:rsidRDefault="003F20AC" w:rsidP="000064E6">
            <w:pPr>
              <w:keepNext/>
              <w:tabs>
                <w:tab w:val="left" w:pos="432"/>
                <w:tab w:val="right" w:pos="4482"/>
              </w:tabs>
              <w:spacing w:line="240" w:lineRule="atLeast"/>
            </w:pPr>
            <w:r w:rsidRPr="00B84BA6">
              <w:t>___________________________________</w:t>
            </w:r>
          </w:p>
          <w:p w14:paraId="09B90DC1" w14:textId="77777777" w:rsidR="003F20AC" w:rsidRPr="00AD6EA6" w:rsidRDefault="003F20AC" w:rsidP="0054025B">
            <w:pPr>
              <w:keepNext/>
              <w:ind w:left="806" w:hanging="806"/>
            </w:pPr>
            <w:r w:rsidRPr="00AD6EA6">
              <w:t>Freida Mason, Legal Assistant</w:t>
            </w:r>
          </w:p>
          <w:p w14:paraId="09B90DC2" w14:textId="77777777" w:rsidR="003F20AC" w:rsidRPr="00AD6EA6" w:rsidRDefault="003F20AC" w:rsidP="0054025B">
            <w:pPr>
              <w:keepNext/>
              <w:ind w:left="806" w:hanging="806"/>
            </w:pPr>
            <w:r w:rsidRPr="00AD6EA6">
              <w:t>Bullivant Houser Bailey PC</w:t>
            </w:r>
          </w:p>
          <w:p w14:paraId="09B90DC3" w14:textId="77777777" w:rsidR="003F20AC" w:rsidRPr="00AD6EA6" w:rsidRDefault="003F20AC" w:rsidP="0054025B">
            <w:pPr>
              <w:keepNext/>
              <w:ind w:left="806" w:hanging="806"/>
            </w:pPr>
            <w:r w:rsidRPr="00AD6EA6">
              <w:t>Email:</w:t>
            </w:r>
            <w:r w:rsidRPr="00AD6EA6">
              <w:tab/>
            </w:r>
            <w:r w:rsidRPr="00AD6EA6">
              <w:rPr>
                <w:rStyle w:val="Hyperlink"/>
              </w:rPr>
              <w:t>Freida.Mason@bullivant.com</w:t>
            </w:r>
          </w:p>
          <w:p w14:paraId="09B90DC4" w14:textId="77777777" w:rsidR="003F20AC" w:rsidRPr="00AD6EA6" w:rsidRDefault="003F20AC" w:rsidP="0054025B"/>
        </w:tc>
      </w:tr>
    </w:tbl>
    <w:p w14:paraId="09B90DC6" w14:textId="77777777" w:rsidR="00757C88" w:rsidRDefault="00757C88">
      <w:pPr>
        <w:pStyle w:val="SingleSpaced"/>
      </w:pPr>
    </w:p>
    <w:p w14:paraId="09B90DC7" w14:textId="77777777" w:rsidR="00757C88" w:rsidRDefault="00370E08">
      <w:pPr>
        <w:rPr>
          <w:rStyle w:val="DocID"/>
        </w:rPr>
      </w:pPr>
      <w:r>
        <w:rPr>
          <w:rStyle w:val="DocID"/>
        </w:rPr>
        <w:fldChar w:fldCharType="begin"/>
      </w:r>
      <w:r w:rsidR="00757C88">
        <w:rPr>
          <w:rStyle w:val="DocID"/>
        </w:rPr>
        <w:instrText xml:space="preserve"> DOCPROPERTY "DOCID" </w:instrText>
      </w:r>
      <w:r>
        <w:rPr>
          <w:rStyle w:val="DocID"/>
        </w:rPr>
        <w:fldChar w:fldCharType="separate"/>
      </w:r>
      <w:r w:rsidR="003F20AC" w:rsidRPr="003F20AC">
        <w:rPr>
          <w:rStyle w:val="DocID"/>
        </w:rPr>
        <w:t>4848-0451-0534.1</w:t>
      </w:r>
      <w:r>
        <w:rPr>
          <w:rStyle w:val="DocID"/>
        </w:rPr>
        <w:fldChar w:fldCharType="end"/>
      </w:r>
    </w:p>
    <w:sectPr w:rsidR="00757C88" w:rsidSect="00CB5040">
      <w:headerReference w:type="default" r:id="rId14"/>
      <w:footerReference w:type="default" r:id="rId15"/>
      <w:headerReference w:type="first" r:id="rId16"/>
      <w:pgSz w:w="12240" w:h="15840" w:code="1"/>
      <w:pgMar w:top="-1440" w:right="1440" w:bottom="-1267" w:left="1440" w:header="547" w:footer="36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90DCA" w14:textId="77777777" w:rsidR="00D13750" w:rsidRDefault="00D13750">
      <w:pPr>
        <w:spacing w:line="240" w:lineRule="auto"/>
      </w:pPr>
      <w:r>
        <w:separator/>
      </w:r>
    </w:p>
  </w:endnote>
  <w:endnote w:type="continuationSeparator" w:id="0">
    <w:p w14:paraId="09B90DCB" w14:textId="77777777" w:rsidR="00D13750" w:rsidRDefault="00D13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22" w:type="dxa"/>
      <w:tblLayout w:type="fixed"/>
      <w:tblLook w:val="0000" w:firstRow="0" w:lastRow="0" w:firstColumn="0" w:lastColumn="0" w:noHBand="0" w:noVBand="0"/>
    </w:tblPr>
    <w:tblGrid>
      <w:gridCol w:w="6370"/>
      <w:gridCol w:w="1370"/>
      <w:gridCol w:w="2358"/>
    </w:tblGrid>
    <w:tr w:rsidR="006C7871" w14:paraId="09B90DD6" w14:textId="77777777">
      <w:tc>
        <w:tcPr>
          <w:tcW w:w="6370" w:type="dxa"/>
        </w:tcPr>
        <w:p w14:paraId="09B90DD0" w14:textId="77777777" w:rsidR="006C7871" w:rsidRDefault="005A4135" w:rsidP="007F73E8">
          <w:pPr>
            <w:pStyle w:val="PleadingSummary"/>
          </w:pPr>
          <w:r>
            <w:t>POST-HEARING BRIEF OF APPLICANT MEI NORTHWEST, LLC</w:t>
          </w:r>
        </w:p>
      </w:tc>
      <w:tc>
        <w:tcPr>
          <w:tcW w:w="1370" w:type="dxa"/>
        </w:tcPr>
        <w:p w14:paraId="09B90DD1" w14:textId="77777777" w:rsidR="006C7871" w:rsidRDefault="006C7871">
          <w:pPr>
            <w:pStyle w:val="PleadingSummary"/>
          </w:pPr>
          <w:r>
            <w:t xml:space="preserve">Page </w:t>
          </w:r>
          <w:r>
            <w:fldChar w:fldCharType="begin"/>
          </w:r>
          <w:r>
            <w:instrText xml:space="preserve"> PAGE  \* MERGEFORMAT </w:instrText>
          </w:r>
          <w:r>
            <w:fldChar w:fldCharType="separate"/>
          </w:r>
          <w:r w:rsidR="00386107">
            <w:rPr>
              <w:noProof/>
            </w:rPr>
            <w:t>1</w:t>
          </w:r>
          <w:r>
            <w:rPr>
              <w:noProof/>
            </w:rPr>
            <w:fldChar w:fldCharType="end"/>
          </w:r>
        </w:p>
      </w:tc>
      <w:tc>
        <w:tcPr>
          <w:tcW w:w="2358" w:type="dxa"/>
        </w:tcPr>
        <w:p w14:paraId="09B90DD2" w14:textId="77777777" w:rsidR="006C7871" w:rsidRDefault="006C7871">
          <w:pPr>
            <w:pStyle w:val="OfficeAddressInFooter"/>
            <w:rPr>
              <w:noProof/>
            </w:rPr>
          </w:pPr>
          <w:r>
            <w:rPr>
              <w:b/>
              <w:noProof/>
              <w:snapToGrid w:val="0"/>
              <w:color w:val="000000"/>
              <w:sz w:val="16"/>
            </w:rPr>
            <w:t>Bullivant|Houser|Bailey PC</w:t>
          </w:r>
        </w:p>
        <w:p w14:paraId="09B90DD3" w14:textId="77777777" w:rsidR="006C7871" w:rsidRDefault="006C7871">
          <w:pPr>
            <w:pStyle w:val="OfficeAddressInFooter"/>
          </w:pPr>
        </w:p>
        <w:p w14:paraId="09B90DD4" w14:textId="77777777" w:rsidR="006C7871" w:rsidRDefault="006C7871" w:rsidP="001577C9">
          <w:pPr>
            <w:pStyle w:val="OfficeAddressInFooter"/>
            <w:rPr>
              <w:szCs w:val="12"/>
            </w:rPr>
          </w:pPr>
          <w:bookmarkStart w:id="6" w:name="OfficeAddressFoot"/>
          <w:r>
            <w:rPr>
              <w:szCs w:val="12"/>
            </w:rPr>
            <w:t>1700 Seventh Avenue, Suite 1810</w:t>
          </w:r>
          <w:r>
            <w:rPr>
              <w:szCs w:val="12"/>
            </w:rPr>
            <w:br/>
            <w:t>Seattle, Washington 98101-1397</w:t>
          </w:r>
        </w:p>
        <w:p w14:paraId="09B90DD5" w14:textId="77777777" w:rsidR="006C7871" w:rsidRPr="001577C9" w:rsidRDefault="006C7871" w:rsidP="001577C9">
          <w:pPr>
            <w:pStyle w:val="OfficeAddressInFooter"/>
            <w:rPr>
              <w:szCs w:val="12"/>
            </w:rPr>
          </w:pPr>
          <w:r>
            <w:rPr>
              <w:szCs w:val="12"/>
            </w:rPr>
            <w:t>Telephone: 206.292.8930</w:t>
          </w:r>
          <w:bookmarkEnd w:id="6"/>
        </w:p>
      </w:tc>
    </w:tr>
  </w:tbl>
  <w:p w14:paraId="09B90DD7" w14:textId="77777777" w:rsidR="006C7871" w:rsidRPr="00E658FC" w:rsidRDefault="006C7871" w:rsidP="00871D14">
    <w:pPr>
      <w:pStyle w:val="Footer"/>
      <w:rPr>
        <w:rStyle w:val="Doc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0DC8" w14:textId="77777777" w:rsidR="00D13750" w:rsidRDefault="00D13750">
      <w:pPr>
        <w:spacing w:line="240" w:lineRule="auto"/>
      </w:pPr>
      <w:r>
        <w:separator/>
      </w:r>
    </w:p>
  </w:footnote>
  <w:footnote w:type="continuationSeparator" w:id="0">
    <w:p w14:paraId="09B90DC9" w14:textId="77777777" w:rsidR="00D13750" w:rsidRDefault="00D13750">
      <w:pPr>
        <w:spacing w:line="240" w:lineRule="auto"/>
      </w:pPr>
      <w:r>
        <w:continuationSeparator/>
      </w:r>
    </w:p>
  </w:footnote>
  <w:footnote w:id="1">
    <w:p w14:paraId="09B90DE4"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5A4135">
        <w:rPr>
          <w:sz w:val="23"/>
          <w:szCs w:val="23"/>
        </w:rPr>
        <w:t xml:space="preserve">Harmon, </w:t>
      </w:r>
      <w:r w:rsidRPr="00D7404F">
        <w:rPr>
          <w:sz w:val="23"/>
          <w:szCs w:val="23"/>
        </w:rPr>
        <w:t>JLH-1T</w:t>
      </w:r>
      <w:r w:rsidR="005A4135">
        <w:rPr>
          <w:sz w:val="23"/>
          <w:szCs w:val="23"/>
        </w:rPr>
        <w:t xml:space="preserve">. </w:t>
      </w:r>
      <w:r w:rsidRPr="00D7404F">
        <w:rPr>
          <w:sz w:val="23"/>
          <w:szCs w:val="23"/>
        </w:rPr>
        <w:t>2:8-14.</w:t>
      </w:r>
    </w:p>
  </w:footnote>
  <w:footnote w:id="2">
    <w:p w14:paraId="09B90DE5"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p>
  </w:footnote>
  <w:footnote w:id="3">
    <w:p w14:paraId="09B90DE6"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 xml:space="preserve">See </w:t>
      </w:r>
      <w:r w:rsidRPr="00D7404F">
        <w:rPr>
          <w:sz w:val="23"/>
          <w:szCs w:val="23"/>
        </w:rPr>
        <w:t>JLH-1 CX at 29-37.</w:t>
      </w:r>
    </w:p>
  </w:footnote>
  <w:footnote w:id="4">
    <w:p w14:paraId="09B90DE7"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35.</w:t>
      </w:r>
    </w:p>
  </w:footnote>
  <w:footnote w:id="5">
    <w:p w14:paraId="09B90DE8"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EA06FE">
        <w:rPr>
          <w:sz w:val="23"/>
          <w:szCs w:val="23"/>
        </w:rPr>
        <w:t>Sevall, TR.</w:t>
      </w:r>
      <w:r w:rsidRPr="00D7404F">
        <w:rPr>
          <w:sz w:val="23"/>
          <w:szCs w:val="23"/>
        </w:rPr>
        <w:t xml:space="preserve"> 271:2-6.</w:t>
      </w:r>
    </w:p>
  </w:footnote>
  <w:footnote w:id="6">
    <w:p w14:paraId="09B90DE9"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EA06FE">
        <w:rPr>
          <w:sz w:val="23"/>
          <w:szCs w:val="23"/>
        </w:rPr>
        <w:t>Aikin, TR.</w:t>
      </w:r>
      <w:r w:rsidRPr="00D7404F">
        <w:rPr>
          <w:sz w:val="23"/>
          <w:szCs w:val="23"/>
        </w:rPr>
        <w:t xml:space="preserve"> 349:16-23.</w:t>
      </w:r>
    </w:p>
  </w:footnote>
  <w:footnote w:id="7">
    <w:p w14:paraId="09B90DEA"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EA06FE">
        <w:rPr>
          <w:sz w:val="23"/>
          <w:szCs w:val="23"/>
        </w:rPr>
        <w:t>Esch, RSE-1T.</w:t>
      </w:r>
      <w:r w:rsidRPr="00D7404F">
        <w:rPr>
          <w:sz w:val="23"/>
          <w:szCs w:val="23"/>
        </w:rPr>
        <w:t xml:space="preserve"> 6:1-7:26.</w:t>
      </w:r>
    </w:p>
  </w:footnote>
  <w:footnote w:id="8">
    <w:p w14:paraId="09B90DEB"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Argosy has limited overlapping authority to provide launch service in Elliott Bay.</w:t>
      </w:r>
    </w:p>
  </w:footnote>
  <w:footnote w:id="9">
    <w:p w14:paraId="09B90DEC"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For example, </w:t>
      </w:r>
      <w:r w:rsidR="000B0E97" w:rsidRPr="00D7404F">
        <w:rPr>
          <w:sz w:val="23"/>
          <w:szCs w:val="23"/>
        </w:rPr>
        <w:t>Arrow</w:t>
      </w:r>
      <w:r w:rsidRPr="00D7404F">
        <w:rPr>
          <w:sz w:val="23"/>
          <w:szCs w:val="23"/>
        </w:rPr>
        <w:t xml:space="preserve"> will provide regulated launch services to a company like Crowley, but then will also provide nonregulated services such as crane service when loading or unloading goods for Crowley.  </w:t>
      </w:r>
      <w:r w:rsidRPr="00D7404F">
        <w:rPr>
          <w:i/>
          <w:sz w:val="23"/>
          <w:szCs w:val="23"/>
        </w:rPr>
        <w:t>See, e.g.</w:t>
      </w:r>
      <w:r w:rsidRPr="00D7404F">
        <w:rPr>
          <w:sz w:val="23"/>
          <w:szCs w:val="23"/>
        </w:rPr>
        <w:t xml:space="preserve">, </w:t>
      </w:r>
      <w:r w:rsidR="00EA06FE">
        <w:rPr>
          <w:sz w:val="23"/>
          <w:szCs w:val="23"/>
        </w:rPr>
        <w:t>Aikin, TR.</w:t>
      </w:r>
      <w:r w:rsidRPr="00D7404F">
        <w:rPr>
          <w:sz w:val="23"/>
          <w:szCs w:val="23"/>
        </w:rPr>
        <w:t xml:space="preserve"> 392:16-393:4.</w:t>
      </w:r>
    </w:p>
  </w:footnote>
  <w:footnote w:id="10">
    <w:p w14:paraId="09B90DED"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EA06FE">
        <w:rPr>
          <w:sz w:val="23"/>
          <w:szCs w:val="23"/>
        </w:rPr>
        <w:t>Sevall, TR.</w:t>
      </w:r>
      <w:r w:rsidRPr="00D7404F">
        <w:rPr>
          <w:sz w:val="23"/>
          <w:szCs w:val="23"/>
        </w:rPr>
        <w:t xml:space="preserve"> 269:7-13.</w:t>
      </w:r>
    </w:p>
  </w:footnote>
  <w:footnote w:id="11">
    <w:p w14:paraId="09B90DEE"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269:16-18.</w:t>
      </w:r>
    </w:p>
  </w:footnote>
  <w:footnote w:id="12">
    <w:p w14:paraId="09B90DEF"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EA06FE">
        <w:rPr>
          <w:sz w:val="23"/>
          <w:szCs w:val="23"/>
        </w:rPr>
        <w:t xml:space="preserve">Sevall, </w:t>
      </w:r>
      <w:r w:rsidRPr="00D7404F">
        <w:rPr>
          <w:sz w:val="23"/>
          <w:szCs w:val="23"/>
        </w:rPr>
        <w:t>SS-1T</w:t>
      </w:r>
      <w:r w:rsidR="00EA06FE">
        <w:rPr>
          <w:sz w:val="23"/>
          <w:szCs w:val="23"/>
        </w:rPr>
        <w:t>.</w:t>
      </w:r>
      <w:r w:rsidRPr="00D7404F">
        <w:rPr>
          <w:sz w:val="23"/>
          <w:szCs w:val="23"/>
        </w:rPr>
        <w:t xml:space="preserve"> 7:1-8; </w:t>
      </w:r>
      <w:r w:rsidR="00EA06FE">
        <w:rPr>
          <w:sz w:val="23"/>
          <w:szCs w:val="23"/>
        </w:rPr>
        <w:t>Sevall, TR.</w:t>
      </w:r>
      <w:r w:rsidRPr="00D7404F">
        <w:rPr>
          <w:sz w:val="23"/>
          <w:szCs w:val="23"/>
        </w:rPr>
        <w:t xml:space="preserve"> 270:21-271:1.</w:t>
      </w:r>
    </w:p>
  </w:footnote>
  <w:footnote w:id="13">
    <w:p w14:paraId="09B90DF0"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Also noteworthy is that one of the customers that did not openly support competition, Blue Water shipping, does not directly utilize launch services.  Blue Water Shipping acts as a middleman between ship owners and the launch provider; Blue Water Shipping does not itself utilize </w:t>
      </w:r>
      <w:r w:rsidR="000B0E97" w:rsidRPr="00D7404F">
        <w:rPr>
          <w:sz w:val="23"/>
          <w:szCs w:val="23"/>
        </w:rPr>
        <w:t>Arrow</w:t>
      </w:r>
      <w:r w:rsidRPr="00D7404F">
        <w:rPr>
          <w:sz w:val="23"/>
          <w:szCs w:val="23"/>
        </w:rPr>
        <w:t xml:space="preserve"> services.  </w:t>
      </w:r>
      <w:r w:rsidR="00EA06FE">
        <w:rPr>
          <w:sz w:val="23"/>
          <w:szCs w:val="23"/>
        </w:rPr>
        <w:t xml:space="preserve">Collins, TR. </w:t>
      </w:r>
      <w:r w:rsidRPr="00D7404F">
        <w:rPr>
          <w:sz w:val="23"/>
          <w:szCs w:val="23"/>
        </w:rPr>
        <w:t>476:20-477:6.</w:t>
      </w:r>
    </w:p>
  </w:footnote>
  <w:footnote w:id="14">
    <w:p w14:paraId="09B90DF1"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EA06FE">
        <w:rPr>
          <w:sz w:val="23"/>
          <w:szCs w:val="23"/>
        </w:rPr>
        <w:t>Sevall, TR.</w:t>
      </w:r>
      <w:r w:rsidRPr="00D7404F">
        <w:rPr>
          <w:sz w:val="23"/>
          <w:szCs w:val="23"/>
        </w:rPr>
        <w:t xml:space="preserve"> 271:2-6.</w:t>
      </w:r>
    </w:p>
  </w:footnote>
  <w:footnote w:id="15">
    <w:p w14:paraId="09B90DF2"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p>
  </w:footnote>
  <w:footnote w:id="16">
    <w:p w14:paraId="09B90DF3" w14:textId="77777777" w:rsidR="00441EFA" w:rsidRPr="00D7404F" w:rsidRDefault="00441EFA"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See, e.g.</w:t>
      </w:r>
      <w:r w:rsidRPr="00D7404F">
        <w:rPr>
          <w:sz w:val="23"/>
          <w:szCs w:val="23"/>
        </w:rPr>
        <w:t>,</w:t>
      </w:r>
      <w:r w:rsidRPr="00D7404F">
        <w:rPr>
          <w:i/>
          <w:sz w:val="23"/>
          <w:szCs w:val="23"/>
        </w:rPr>
        <w:t xml:space="preserve"> </w:t>
      </w:r>
      <w:r w:rsidRPr="00D7404F">
        <w:rPr>
          <w:sz w:val="23"/>
          <w:szCs w:val="23"/>
        </w:rPr>
        <w:t xml:space="preserve">Aikin, TR. 350:8 (“I can say they [Arrow] have delayed services . . . .”); Aikin, TR. </w:t>
      </w:r>
      <w:r w:rsidR="00723F7F" w:rsidRPr="00D7404F">
        <w:rPr>
          <w:sz w:val="23"/>
          <w:szCs w:val="23"/>
        </w:rPr>
        <w:t>362:14-19 (“. . . but if I call the [Arrow] dispatch and the dispatcher says, well, you want to get there at 03, but we don’t have a launch because I have to get a guy there, so about 04 will be okay, that’s a delay.  That’s not a delay of record.  It’s a delay to my operation.”).</w:t>
      </w:r>
    </w:p>
  </w:footnote>
  <w:footnote w:id="17">
    <w:p w14:paraId="09B90DF4"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441EFA" w:rsidRPr="00D7404F">
        <w:rPr>
          <w:i/>
          <w:sz w:val="23"/>
          <w:szCs w:val="23"/>
        </w:rPr>
        <w:t>See, e.g.</w:t>
      </w:r>
      <w:r w:rsidR="00441EFA" w:rsidRPr="00D7404F">
        <w:rPr>
          <w:sz w:val="23"/>
          <w:szCs w:val="23"/>
        </w:rPr>
        <w:t>, Aikin, T</w:t>
      </w:r>
      <w:r w:rsidR="00723F7F" w:rsidRPr="00D7404F">
        <w:rPr>
          <w:sz w:val="23"/>
          <w:szCs w:val="23"/>
        </w:rPr>
        <w:t>R. 356:13-22 (“We use launch services up and down the West Coast in every port.  San Francisco, if I call Marine Express and they say, I’m sorry I don’t have a launch available, I can call across the bay and get the same service provided to Anchorage 9 without any delay to my operation.  So if I have a machinist that earns $250 an hour, it’s important for me to get him on the vessel, and I have a vessel that earns $35,000 a day.  I need to get him out there.”).</w:t>
      </w:r>
    </w:p>
  </w:footnote>
  <w:footnote w:id="18">
    <w:p w14:paraId="09B90DF5"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EA06FE">
        <w:rPr>
          <w:sz w:val="23"/>
          <w:szCs w:val="23"/>
        </w:rPr>
        <w:t>Aikin, TR.</w:t>
      </w:r>
      <w:r w:rsidR="00B81734">
        <w:rPr>
          <w:sz w:val="23"/>
          <w:szCs w:val="23"/>
        </w:rPr>
        <w:t xml:space="preserve"> 390:6-24 (“The source of the frustration was that the ancillary billing charges were fairly high and inconsistent in the billings.  The director of operations at the time put some onus on her to look into it and get a handle on it, because it was just a total—it was the cost of our business.  She wanted to manage that cost.  She was asked to look into it, and she became frustrated trying to get answers and address the details of the invoice.”).</w:t>
      </w:r>
    </w:p>
  </w:footnote>
  <w:footnote w:id="19">
    <w:p w14:paraId="09B90DF6"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350:7-9</w:t>
      </w:r>
      <w:r w:rsidR="00B81734">
        <w:rPr>
          <w:sz w:val="23"/>
          <w:szCs w:val="23"/>
        </w:rPr>
        <w:t xml:space="preserve"> (stating Arrow has delayed services)</w:t>
      </w:r>
      <w:r w:rsidRPr="00D7404F">
        <w:rPr>
          <w:sz w:val="23"/>
          <w:szCs w:val="23"/>
        </w:rPr>
        <w:t>; 362:6-19</w:t>
      </w:r>
      <w:r w:rsidR="00B81734">
        <w:rPr>
          <w:sz w:val="23"/>
          <w:szCs w:val="23"/>
        </w:rPr>
        <w:t xml:space="preserve"> (discussing unavailable launches)</w:t>
      </w:r>
      <w:r w:rsidRPr="00D7404F">
        <w:rPr>
          <w:sz w:val="23"/>
          <w:szCs w:val="23"/>
        </w:rPr>
        <w:t>; 364:17-365:6</w:t>
      </w:r>
      <w:r w:rsidR="00B81734">
        <w:rPr>
          <w:sz w:val="23"/>
          <w:szCs w:val="23"/>
        </w:rPr>
        <w:t xml:space="preserve"> (discussing delayed launch provisions from Arrow)</w:t>
      </w:r>
      <w:r w:rsidRPr="00D7404F">
        <w:rPr>
          <w:sz w:val="23"/>
          <w:szCs w:val="23"/>
        </w:rPr>
        <w:t>.</w:t>
      </w:r>
    </w:p>
  </w:footnote>
  <w:footnote w:id="20">
    <w:p w14:paraId="09B90DF7"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364:17-365:6</w:t>
      </w:r>
      <w:r w:rsidR="00B81734">
        <w:rPr>
          <w:sz w:val="23"/>
          <w:szCs w:val="23"/>
        </w:rPr>
        <w:t xml:space="preserve"> (“The circumstances were launch delivery for stores to vessels in Puget Sound.  And it was multiple vessels were loaded and delivered to vessels because there was not two vessels available [from Arrow] for the two requests we made.”)</w:t>
      </w:r>
      <w:r w:rsidRPr="00D7404F">
        <w:rPr>
          <w:sz w:val="23"/>
          <w:szCs w:val="23"/>
        </w:rPr>
        <w:t>.</w:t>
      </w:r>
    </w:p>
  </w:footnote>
  <w:footnote w:id="21">
    <w:p w14:paraId="09B90DF8"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00B81734">
        <w:rPr>
          <w:sz w:val="23"/>
          <w:szCs w:val="23"/>
        </w:rPr>
        <w:t xml:space="preserve"> at 392:16-393:4 (“The crane that’s located there was—there’s a port crane that is in Anacortes, the Cap Sante Marina, and that port crane had a—if I—as a business within Anacortes, I could get the key and operate it through a monthly charge at the port.  Arrow was charging a fairly high rate.  I don’t know off the top of my head what that was, but I was told it was a high rate for that use of that crane.  And, yet, as—the crew had used that crane, but they would also use their boom truck.  It was inconsistent as to what was being used and the charges that were being incurred.”).</w:t>
      </w:r>
    </w:p>
  </w:footnote>
  <w:footnote w:id="22">
    <w:p w14:paraId="09B90DF9"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p>
  </w:footnote>
  <w:footnote w:id="23">
    <w:p w14:paraId="09B90DFA"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p>
  </w:footnote>
  <w:footnote w:id="24">
    <w:p w14:paraId="09B90DFB"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00B81734">
        <w:rPr>
          <w:sz w:val="23"/>
          <w:szCs w:val="23"/>
        </w:rPr>
        <w:t xml:space="preserve"> at 395:9-19 (“The concern was with the equipment charge, and because it was equipment that Arrow, basically, didn’t pay for—that doesn’t pay for other than a $30-a-month charge to utilize that crane.  Yet, there were no savings passed on.  There was no—anyway, there was no savings passed on.  Let’s put it that way.”).</w:t>
      </w:r>
    </w:p>
  </w:footnote>
  <w:footnote w:id="25">
    <w:p w14:paraId="09B90DFC"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p>
  </w:footnote>
  <w:footnote w:id="26">
    <w:p w14:paraId="09B90DFD"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00B81734">
        <w:rPr>
          <w:sz w:val="23"/>
          <w:szCs w:val="23"/>
        </w:rPr>
        <w:t xml:space="preserve"> at 386:4-21 (“I know that Lindy Evans has communicated with the UTC about a variety of concerns, but I don’t think they were complaints.  She was trying to understand the process, the system. . . . Part of her inquiry was around a solicitation that we put out on the street.  She wanted to make sure that what we were doing was legal.  So we put out a solicitation for launch services in the Northwest—actually, up and down the coast.”).</w:t>
      </w:r>
    </w:p>
  </w:footnote>
  <w:footnote w:id="27">
    <w:p w14:paraId="09B90DFE"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00B81734">
        <w:rPr>
          <w:sz w:val="23"/>
          <w:szCs w:val="23"/>
        </w:rPr>
        <w:t xml:space="preserve"> at 395:20-396:4 (“The solicitation was published through our procurement group to seek launch services up and down the West Coast.  So what we were looking to do was to have a direct relationship with a launch provider to provide consistent services in each of the ports.”).</w:t>
      </w:r>
    </w:p>
  </w:footnote>
  <w:footnote w:id="28">
    <w:p w14:paraId="09B90DFF" w14:textId="77777777" w:rsidR="006C7871" w:rsidRPr="00D7404F" w:rsidRDefault="006C7871" w:rsidP="00D7404F">
      <w:pPr>
        <w:pStyle w:val="FootnoteText"/>
        <w:contextualSpacing/>
        <w:jc w:val="both"/>
        <w:rPr>
          <w:i/>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p>
  </w:footnote>
  <w:footnote w:id="29">
    <w:p w14:paraId="09B90E00"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See id.</w:t>
      </w:r>
      <w:r w:rsidR="00B81734">
        <w:rPr>
          <w:sz w:val="23"/>
          <w:szCs w:val="23"/>
        </w:rPr>
        <w:t xml:space="preserve"> at 397:24-398:1 (“[The solicitation] was—initiated out of the frustration that Lindy had in 2013.”).</w:t>
      </w:r>
    </w:p>
  </w:footnote>
  <w:footnote w:id="30">
    <w:p w14:paraId="09B90E01"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See id.</w:t>
      </w:r>
      <w:r w:rsidR="00B81734">
        <w:rPr>
          <w:sz w:val="23"/>
          <w:szCs w:val="23"/>
        </w:rPr>
        <w:t xml:space="preserve"> at 356:8-357:1 (“Well, let me approach it from a slightly different angle.  We use launch services up and down the West Coast in every port.  San Francisco, if I call Marine Express and they say, I’m sorry, I don’t have a launch available, I can call across the bay and get the same service provided to Anchorage 9 without any delay or disruption to my operation.  So if I have a machinist that earns $250 an hour, it’s important for me to get him on the vessel, and I have a vessel that earns $35,000 a day.  I need to get him out there.”).</w:t>
      </w:r>
    </w:p>
  </w:footnote>
  <w:footnote w:id="31">
    <w:p w14:paraId="09B90E02"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p>
  </w:footnote>
  <w:footnote w:id="32">
    <w:p w14:paraId="09B90E03"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p>
  </w:footnote>
  <w:footnote w:id="33">
    <w:p w14:paraId="09B90E04"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00B81734">
        <w:rPr>
          <w:sz w:val="23"/>
          <w:szCs w:val="23"/>
        </w:rPr>
        <w:t xml:space="preserve"> at 362:6-19 (“I know that on several occasions—and, you know, I can document—I think Jack has probably done a good job of documenting those invoices, and they’re very accurate.  And we don’t have any issue with that, but if I call the dispatch and the dispatcher says, well, you want to get there at 03, but we don’t have a launch because I got to get a guy there, so 04 will be okay, that’s a delay.  That’s not a delay of record.  It’s a delay of my operation.”).</w:t>
      </w:r>
    </w:p>
  </w:footnote>
  <w:footnote w:id="34">
    <w:p w14:paraId="09B90E05"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p>
  </w:footnote>
  <w:footnote w:id="35">
    <w:p w14:paraId="09B90E06"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See id.</w:t>
      </w:r>
      <w:r w:rsidRPr="00D7404F">
        <w:rPr>
          <w:sz w:val="23"/>
          <w:szCs w:val="23"/>
        </w:rPr>
        <w:t xml:space="preserve"> at 356:4-22.</w:t>
      </w:r>
    </w:p>
  </w:footnote>
  <w:footnote w:id="36">
    <w:p w14:paraId="09B90E07"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RCW 81.84.010(1).</w:t>
      </w:r>
    </w:p>
  </w:footnote>
  <w:footnote w:id="37">
    <w:p w14:paraId="09B90E08"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RCW 81.84.020(2).</w:t>
      </w:r>
    </w:p>
  </w:footnote>
  <w:footnote w:id="38">
    <w:p w14:paraId="09B90E09"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RCW 81.84.020(1).</w:t>
      </w:r>
    </w:p>
  </w:footnote>
  <w:footnote w:id="39">
    <w:p w14:paraId="09B90E0A"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RCW 81.84.020; </w:t>
      </w:r>
      <w:r w:rsidRPr="00D7404F">
        <w:rPr>
          <w:i/>
          <w:sz w:val="23"/>
          <w:szCs w:val="23"/>
        </w:rPr>
        <w:t>In re Pacific Boat Enterprises</w:t>
      </w:r>
      <w:r w:rsidRPr="00D7404F">
        <w:rPr>
          <w:sz w:val="23"/>
          <w:szCs w:val="23"/>
        </w:rPr>
        <w:t>, 2000 WL 1673088, at 2 (2000).</w:t>
      </w:r>
    </w:p>
  </w:footnote>
  <w:footnote w:id="40">
    <w:p w14:paraId="09B90E0B"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197216">
        <w:rPr>
          <w:sz w:val="23"/>
          <w:szCs w:val="23"/>
        </w:rPr>
        <w:t xml:space="preserve">Esch, </w:t>
      </w:r>
      <w:r w:rsidRPr="00D7404F">
        <w:rPr>
          <w:sz w:val="23"/>
          <w:szCs w:val="23"/>
        </w:rPr>
        <w:t>RSE-1T</w:t>
      </w:r>
      <w:r w:rsidR="00197216">
        <w:rPr>
          <w:sz w:val="23"/>
          <w:szCs w:val="23"/>
        </w:rPr>
        <w:t>.</w:t>
      </w:r>
      <w:r w:rsidRPr="00D7404F">
        <w:rPr>
          <w:sz w:val="23"/>
          <w:szCs w:val="23"/>
        </w:rPr>
        <w:t xml:space="preserve"> 8:16-22; 9:1-9.</w:t>
      </w:r>
    </w:p>
  </w:footnote>
  <w:footnote w:id="41">
    <w:p w14:paraId="09B90E0C"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9:1-9.  </w:t>
      </w:r>
      <w:r w:rsidRPr="00D7404F">
        <w:rPr>
          <w:i/>
          <w:sz w:val="23"/>
          <w:szCs w:val="23"/>
        </w:rPr>
        <w:t>See also</w:t>
      </w:r>
      <w:r w:rsidRPr="00D7404F">
        <w:rPr>
          <w:sz w:val="23"/>
          <w:szCs w:val="23"/>
        </w:rPr>
        <w:t xml:space="preserve"> </w:t>
      </w:r>
      <w:r w:rsidR="00197216">
        <w:rPr>
          <w:sz w:val="23"/>
          <w:szCs w:val="23"/>
        </w:rPr>
        <w:t>Aikin, TR.</w:t>
      </w:r>
      <w:r w:rsidRPr="00D7404F">
        <w:rPr>
          <w:sz w:val="23"/>
          <w:szCs w:val="23"/>
        </w:rPr>
        <w:t xml:space="preserve"> 356:8-357:1 (Mr. Aikin describing how Crowley would utilize more than one launch provider if given the option).</w:t>
      </w:r>
    </w:p>
  </w:footnote>
  <w:footnote w:id="42">
    <w:p w14:paraId="09B90E0D"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197216">
        <w:rPr>
          <w:sz w:val="23"/>
          <w:szCs w:val="23"/>
        </w:rPr>
        <w:t>Esch, RSE-1T.</w:t>
      </w:r>
      <w:r w:rsidRPr="00D7404F">
        <w:rPr>
          <w:sz w:val="23"/>
          <w:szCs w:val="23"/>
        </w:rPr>
        <w:t xml:space="preserve"> 9:10-13.</w:t>
      </w:r>
    </w:p>
  </w:footnote>
  <w:footnote w:id="43">
    <w:p w14:paraId="09B90E0E"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197216">
        <w:rPr>
          <w:i/>
          <w:sz w:val="23"/>
          <w:szCs w:val="23"/>
        </w:rPr>
        <w:t>Id.</w:t>
      </w:r>
      <w:r w:rsidRPr="00D7404F">
        <w:rPr>
          <w:sz w:val="23"/>
          <w:szCs w:val="23"/>
        </w:rPr>
        <w:t xml:space="preserve"> at 8:22-25.</w:t>
      </w:r>
    </w:p>
  </w:footnote>
  <w:footnote w:id="44">
    <w:p w14:paraId="09B90E0F"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10:11-17.</w:t>
      </w:r>
    </w:p>
  </w:footnote>
  <w:footnote w:id="45">
    <w:p w14:paraId="09B90E10"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11:19-24; EH Vol. III at 143:12-18.</w:t>
      </w:r>
    </w:p>
  </w:footnote>
  <w:footnote w:id="46">
    <w:p w14:paraId="09B90E11"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 xml:space="preserve">See </w:t>
      </w:r>
      <w:r w:rsidRPr="00D7404F">
        <w:rPr>
          <w:sz w:val="23"/>
          <w:szCs w:val="23"/>
        </w:rPr>
        <w:t>TS-160479 Docket, Initial Filing, MEI Northwest LLC Application for Commercial Ferry Certificate, at 7.</w:t>
      </w:r>
    </w:p>
  </w:footnote>
  <w:footnote w:id="47">
    <w:p w14:paraId="09B90E12"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p>
  </w:footnote>
  <w:footnote w:id="48">
    <w:p w14:paraId="09B90E13"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197216">
        <w:rPr>
          <w:sz w:val="23"/>
          <w:szCs w:val="23"/>
        </w:rPr>
        <w:t>Burton, TR.</w:t>
      </w:r>
      <w:r w:rsidRPr="00D7404F">
        <w:rPr>
          <w:sz w:val="23"/>
          <w:szCs w:val="23"/>
        </w:rPr>
        <w:t xml:space="preserve"> 425:18-22.</w:t>
      </w:r>
    </w:p>
  </w:footnote>
  <w:footnote w:id="49">
    <w:p w14:paraId="09B90E14"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197216">
        <w:rPr>
          <w:sz w:val="23"/>
          <w:szCs w:val="23"/>
        </w:rPr>
        <w:t xml:space="preserve">Burton, </w:t>
      </w:r>
      <w:r w:rsidRPr="00D7404F">
        <w:rPr>
          <w:sz w:val="23"/>
          <w:szCs w:val="23"/>
        </w:rPr>
        <w:t>WB-1T</w:t>
      </w:r>
      <w:r w:rsidR="00197216">
        <w:rPr>
          <w:sz w:val="23"/>
          <w:szCs w:val="23"/>
        </w:rPr>
        <w:t>.</w:t>
      </w:r>
      <w:r w:rsidRPr="00D7404F">
        <w:rPr>
          <w:sz w:val="23"/>
          <w:szCs w:val="23"/>
        </w:rPr>
        <w:t xml:space="preserve"> 3:19-5:5.</w:t>
      </w:r>
    </w:p>
  </w:footnote>
  <w:footnote w:id="50">
    <w:p w14:paraId="09B90E15"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3:25-4:8.</w:t>
      </w:r>
    </w:p>
  </w:footnote>
  <w:footnote w:id="51">
    <w:p w14:paraId="09B90E16"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Interestingly, Mr. Burton attempted to support his 75% throttle estimate at the evidentiary hearing by discussing his experience operating his personal trawler.  </w:t>
      </w:r>
      <w:r w:rsidRPr="00D7404F">
        <w:rPr>
          <w:i/>
          <w:sz w:val="23"/>
          <w:szCs w:val="23"/>
        </w:rPr>
        <w:t xml:space="preserve">See </w:t>
      </w:r>
      <w:r w:rsidR="00197216">
        <w:rPr>
          <w:sz w:val="23"/>
          <w:szCs w:val="23"/>
        </w:rPr>
        <w:t>Burton, TR.</w:t>
      </w:r>
      <w:r w:rsidRPr="00D7404F">
        <w:rPr>
          <w:sz w:val="23"/>
          <w:szCs w:val="23"/>
        </w:rPr>
        <w:t xml:space="preserve"> 445:14-446:15.  While this personal anecdote was interesting, Mr. Burton admits that he has never operated a launch service before and does not know from personal experience what percentage of the time a launch vessel is idling or operating at a lower throttle rate.  </w:t>
      </w:r>
      <w:r w:rsidR="00197216">
        <w:rPr>
          <w:sz w:val="23"/>
          <w:szCs w:val="23"/>
        </w:rPr>
        <w:t>Burton, TR.</w:t>
      </w:r>
      <w:r w:rsidRPr="00D7404F">
        <w:rPr>
          <w:sz w:val="23"/>
          <w:szCs w:val="23"/>
        </w:rPr>
        <w:t xml:space="preserve"> 433:18-22.</w:t>
      </w:r>
    </w:p>
  </w:footnote>
  <w:footnote w:id="52">
    <w:p w14:paraId="09B90E17"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197216">
        <w:rPr>
          <w:sz w:val="23"/>
          <w:szCs w:val="23"/>
        </w:rPr>
        <w:t xml:space="preserve">Burton, </w:t>
      </w:r>
      <w:r w:rsidRPr="00D7404F">
        <w:rPr>
          <w:sz w:val="23"/>
          <w:szCs w:val="23"/>
        </w:rPr>
        <w:t>WB-1T</w:t>
      </w:r>
      <w:r w:rsidR="00197216">
        <w:rPr>
          <w:sz w:val="23"/>
          <w:szCs w:val="23"/>
        </w:rPr>
        <w:t>.</w:t>
      </w:r>
      <w:r w:rsidRPr="00D7404F">
        <w:rPr>
          <w:sz w:val="23"/>
          <w:szCs w:val="23"/>
        </w:rPr>
        <w:t xml:space="preserve"> 4:9-19.</w:t>
      </w:r>
    </w:p>
  </w:footnote>
  <w:footnote w:id="53">
    <w:p w14:paraId="09B90E18"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197216">
        <w:rPr>
          <w:sz w:val="23"/>
          <w:szCs w:val="23"/>
        </w:rPr>
        <w:t>Burton, TR.</w:t>
      </w:r>
      <w:r w:rsidRPr="00D7404F">
        <w:rPr>
          <w:sz w:val="23"/>
          <w:szCs w:val="23"/>
        </w:rPr>
        <w:t xml:space="preserve"> 436:1-21.</w:t>
      </w:r>
    </w:p>
  </w:footnote>
  <w:footnote w:id="54">
    <w:p w14:paraId="09B90E19"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438:1-5; 438:25-439:8.</w:t>
      </w:r>
    </w:p>
  </w:footnote>
  <w:footnote w:id="55">
    <w:p w14:paraId="09B90E1A"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See id.</w:t>
      </w:r>
      <w:r w:rsidRPr="00D7404F">
        <w:rPr>
          <w:sz w:val="23"/>
          <w:szCs w:val="23"/>
        </w:rPr>
        <w:t xml:space="preserve"> at 441:19-442:15.</w:t>
      </w:r>
    </w:p>
  </w:footnote>
  <w:footnote w:id="56">
    <w:p w14:paraId="09B90E1B"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424:5-10.</w:t>
      </w:r>
    </w:p>
  </w:footnote>
  <w:footnote w:id="57">
    <w:p w14:paraId="09B90E1C"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003A7EE3" w:rsidRPr="00D7404F">
        <w:rPr>
          <w:sz w:val="23"/>
          <w:szCs w:val="23"/>
        </w:rPr>
        <w:t xml:space="preserve"> Esch, TR. 99:22-100:4.</w:t>
      </w:r>
    </w:p>
  </w:footnote>
  <w:footnote w:id="58">
    <w:p w14:paraId="09B90E1D"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003A7EE3" w:rsidRPr="00D7404F">
        <w:rPr>
          <w:sz w:val="23"/>
          <w:szCs w:val="23"/>
        </w:rPr>
        <w:t xml:space="preserve"> Esch, TR. 220:18-20.</w:t>
      </w:r>
    </w:p>
  </w:footnote>
  <w:footnote w:id="59">
    <w:p w14:paraId="09B90E1E"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003A7EE3" w:rsidRPr="00D7404F">
        <w:rPr>
          <w:sz w:val="23"/>
          <w:szCs w:val="23"/>
        </w:rPr>
        <w:t xml:space="preserve"> </w:t>
      </w:r>
      <w:r w:rsidR="003A7EE3" w:rsidRPr="00D7404F">
        <w:rPr>
          <w:i/>
          <w:sz w:val="23"/>
          <w:szCs w:val="23"/>
        </w:rPr>
        <w:t xml:space="preserve">See </w:t>
      </w:r>
      <w:r w:rsidR="003A7EE3" w:rsidRPr="00D7404F">
        <w:rPr>
          <w:sz w:val="23"/>
          <w:szCs w:val="23"/>
        </w:rPr>
        <w:t>Email date February 21, 2017, from Dan Bentson to all parties enclosing MEI’s documents.</w:t>
      </w:r>
    </w:p>
  </w:footnote>
  <w:footnote w:id="60">
    <w:p w14:paraId="09B90E1F"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003A7EE3" w:rsidRPr="00D7404F">
        <w:rPr>
          <w:sz w:val="23"/>
          <w:szCs w:val="23"/>
        </w:rPr>
        <w:t xml:space="preserve"> </w:t>
      </w:r>
      <w:r w:rsidR="003A7EE3" w:rsidRPr="00D7404F">
        <w:rPr>
          <w:i/>
          <w:sz w:val="23"/>
          <w:szCs w:val="23"/>
        </w:rPr>
        <w:t xml:space="preserve">See </w:t>
      </w:r>
      <w:r w:rsidR="003A7EE3" w:rsidRPr="00D7404F">
        <w:rPr>
          <w:sz w:val="23"/>
          <w:szCs w:val="23"/>
        </w:rPr>
        <w:t>Docket TS-160479, Filing dated June 9, 2016, Report, MEI Northwest LLC’s Financial Review.</w:t>
      </w:r>
    </w:p>
  </w:footnote>
  <w:footnote w:id="61">
    <w:p w14:paraId="09B90E20"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003A7EE3" w:rsidRPr="00D7404F">
        <w:rPr>
          <w:sz w:val="23"/>
          <w:szCs w:val="23"/>
        </w:rPr>
        <w:t xml:space="preserve"> </w:t>
      </w:r>
      <w:r w:rsidR="003A7EE3" w:rsidRPr="00D7404F">
        <w:rPr>
          <w:i/>
          <w:sz w:val="23"/>
          <w:szCs w:val="23"/>
        </w:rPr>
        <w:t>Id.</w:t>
      </w:r>
    </w:p>
  </w:footnote>
  <w:footnote w:id="62">
    <w:p w14:paraId="09B90E21"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003A7EE3" w:rsidRPr="00D7404F">
        <w:rPr>
          <w:sz w:val="23"/>
          <w:szCs w:val="23"/>
        </w:rPr>
        <w:t xml:space="preserve"> </w:t>
      </w:r>
      <w:r w:rsidR="00197216">
        <w:rPr>
          <w:sz w:val="23"/>
          <w:szCs w:val="23"/>
        </w:rPr>
        <w:t xml:space="preserve">Sevall, </w:t>
      </w:r>
      <w:r w:rsidR="003A7EE3" w:rsidRPr="00D7404F">
        <w:rPr>
          <w:sz w:val="23"/>
          <w:szCs w:val="23"/>
        </w:rPr>
        <w:t>SS-1T</w:t>
      </w:r>
      <w:r w:rsidR="00197216">
        <w:rPr>
          <w:sz w:val="23"/>
          <w:szCs w:val="23"/>
        </w:rPr>
        <w:t>.</w:t>
      </w:r>
      <w:r w:rsidR="003A7EE3" w:rsidRPr="00D7404F">
        <w:rPr>
          <w:sz w:val="23"/>
          <w:szCs w:val="23"/>
        </w:rPr>
        <w:t xml:space="preserve"> 3:11-14;</w:t>
      </w:r>
      <w:r w:rsidR="00197216">
        <w:rPr>
          <w:sz w:val="23"/>
          <w:szCs w:val="23"/>
        </w:rPr>
        <w:t xml:space="preserve"> Sevall,</w:t>
      </w:r>
      <w:r w:rsidR="003A7EE3" w:rsidRPr="00D7404F">
        <w:rPr>
          <w:sz w:val="23"/>
          <w:szCs w:val="23"/>
        </w:rPr>
        <w:t xml:space="preserve"> SS-4T</w:t>
      </w:r>
      <w:r w:rsidR="00197216">
        <w:rPr>
          <w:sz w:val="23"/>
          <w:szCs w:val="23"/>
        </w:rPr>
        <w:t>.</w:t>
      </w:r>
      <w:r w:rsidR="003A7EE3" w:rsidRPr="00D7404F">
        <w:rPr>
          <w:sz w:val="23"/>
          <w:szCs w:val="23"/>
        </w:rPr>
        <w:t xml:space="preserve"> 2:3-7.</w:t>
      </w:r>
    </w:p>
  </w:footnote>
  <w:footnote w:id="63">
    <w:p w14:paraId="09B90E22"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197216">
        <w:rPr>
          <w:sz w:val="23"/>
          <w:szCs w:val="23"/>
        </w:rPr>
        <w:t>Sevall, TR.</w:t>
      </w:r>
      <w:r w:rsidRPr="00D7404F">
        <w:rPr>
          <w:sz w:val="23"/>
          <w:szCs w:val="23"/>
        </w:rPr>
        <w:t xml:space="preserve"> 284:18-25.</w:t>
      </w:r>
    </w:p>
  </w:footnote>
  <w:footnote w:id="64">
    <w:p w14:paraId="09B90E23"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In re Application No. B-079240 of Pacific Cruises Northwest, Inc., Order No. 4, Initial Order Granting Application for Certificate of Public Convenience and Necessity with Conditions</w:t>
      </w:r>
      <w:r w:rsidRPr="00D7404F">
        <w:rPr>
          <w:sz w:val="23"/>
          <w:szCs w:val="23"/>
        </w:rPr>
        <w:t>, at 3.</w:t>
      </w:r>
    </w:p>
  </w:footnote>
  <w:footnote w:id="65">
    <w:p w14:paraId="09B90E24"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3-4.</w:t>
      </w:r>
    </w:p>
  </w:footnote>
  <w:footnote w:id="66">
    <w:p w14:paraId="09B90E25"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See In re Dutchman Marine, LLC</w:t>
      </w:r>
      <w:r w:rsidRPr="00D7404F">
        <w:rPr>
          <w:sz w:val="23"/>
          <w:szCs w:val="23"/>
        </w:rPr>
        <w:t xml:space="preserve"> 2001 WL 1873073, at 8 (2001).</w:t>
      </w:r>
    </w:p>
  </w:footnote>
  <w:footnote w:id="67">
    <w:p w14:paraId="09B90E26"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See id.</w:t>
      </w:r>
    </w:p>
  </w:footnote>
  <w:footnote w:id="68">
    <w:p w14:paraId="09B90E27" w14:textId="77777777" w:rsidR="009468DE" w:rsidRPr="00D7404F" w:rsidRDefault="009468DE"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Aikin, TR. 412:15-413:4.</w:t>
      </w:r>
    </w:p>
  </w:footnote>
  <w:footnote w:id="69">
    <w:p w14:paraId="09B90E28" w14:textId="77777777" w:rsidR="009468DE" w:rsidRPr="00D7404F" w:rsidRDefault="009468DE"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p>
  </w:footnote>
  <w:footnote w:id="70">
    <w:p w14:paraId="09B90E29" w14:textId="77777777" w:rsidR="009468DE" w:rsidRPr="00D7404F" w:rsidRDefault="009468DE"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WAC 480-07-495(1) (presiding officer will consider rules of evidence applicable to nonjury civil trials in Washington superior courts).</w:t>
      </w:r>
    </w:p>
  </w:footnote>
  <w:footnote w:id="71">
    <w:p w14:paraId="09B90E2A"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Casper v. Esteb Enterprises, Inc.</w:t>
      </w:r>
      <w:r w:rsidRPr="00D7404F">
        <w:rPr>
          <w:sz w:val="23"/>
          <w:szCs w:val="23"/>
        </w:rPr>
        <w:t>, 119 Wn. App 759, 766, 82 P.3d 1223 (2004).</w:t>
      </w:r>
    </w:p>
  </w:footnote>
  <w:footnote w:id="72">
    <w:p w14:paraId="09B90E2B"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See Flower v. T.R.A. Industries, Inc.</w:t>
      </w:r>
      <w:r w:rsidRPr="00D7404F">
        <w:rPr>
          <w:sz w:val="23"/>
          <w:szCs w:val="23"/>
        </w:rPr>
        <w:t>, 127 Wn. App. 13, 40-41, 111 P.3d 1192 (2005) (discussing how an individual representative’s lack of personal knowledge is irrelevant and the representative must take steps to learn all that the corporation knows regarding requested topics).</w:t>
      </w:r>
    </w:p>
  </w:footnote>
  <w:footnote w:id="73">
    <w:p w14:paraId="09B90E2C" w14:textId="77777777" w:rsidR="009468DE" w:rsidRPr="00D7404F" w:rsidRDefault="009468DE"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 xml:space="preserve">See </w:t>
      </w:r>
      <w:r w:rsidRPr="00D7404F">
        <w:rPr>
          <w:sz w:val="23"/>
          <w:szCs w:val="23"/>
        </w:rPr>
        <w:t>Aikin, TR. 348:7-15.</w:t>
      </w:r>
    </w:p>
  </w:footnote>
  <w:footnote w:id="74">
    <w:p w14:paraId="09B90E2D" w14:textId="77777777" w:rsidR="009468DE" w:rsidRPr="00D7404F" w:rsidRDefault="009468DE"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See, e.g.</w:t>
      </w:r>
      <w:r w:rsidRPr="00D7404F">
        <w:rPr>
          <w:sz w:val="23"/>
          <w:szCs w:val="23"/>
        </w:rPr>
        <w:t>, Aikin, TR. 348:21-23.</w:t>
      </w:r>
    </w:p>
  </w:footnote>
  <w:footnote w:id="75">
    <w:p w14:paraId="09B90E2E"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RSE-8.</w:t>
      </w:r>
    </w:p>
  </w:footnote>
  <w:footnote w:id="76">
    <w:p w14:paraId="09B90E2F"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See, e.g.</w:t>
      </w:r>
      <w:r w:rsidRPr="00D7404F">
        <w:rPr>
          <w:sz w:val="23"/>
          <w:szCs w:val="23"/>
        </w:rPr>
        <w:t>,</w:t>
      </w:r>
      <w:r w:rsidRPr="00D7404F">
        <w:rPr>
          <w:i/>
          <w:sz w:val="23"/>
          <w:szCs w:val="23"/>
        </w:rPr>
        <w:t xml:space="preserve"> </w:t>
      </w:r>
      <w:r w:rsidR="00197216">
        <w:rPr>
          <w:sz w:val="23"/>
          <w:szCs w:val="23"/>
        </w:rPr>
        <w:t>Aikin, TR.</w:t>
      </w:r>
      <w:r w:rsidRPr="00D7404F">
        <w:rPr>
          <w:sz w:val="23"/>
          <w:szCs w:val="23"/>
        </w:rPr>
        <w:t xml:space="preserve"> 362:6-19.</w:t>
      </w:r>
    </w:p>
  </w:footnote>
  <w:footnote w:id="77">
    <w:p w14:paraId="09B90E30"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356:8-357:1.</w:t>
      </w:r>
    </w:p>
  </w:footnote>
  <w:footnote w:id="78">
    <w:p w14:paraId="09B90E31"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 xml:space="preserve">See id. </w:t>
      </w:r>
    </w:p>
  </w:footnote>
  <w:footnote w:id="79">
    <w:p w14:paraId="09B90E32"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349:13-25.</w:t>
      </w:r>
    </w:p>
  </w:footnote>
  <w:footnote w:id="80">
    <w:p w14:paraId="09B90E33"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349:24-25.</w:t>
      </w:r>
    </w:p>
  </w:footnote>
  <w:footnote w:id="81">
    <w:p w14:paraId="09B90E34"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380:17-381:1.</w:t>
      </w:r>
    </w:p>
  </w:footnote>
  <w:footnote w:id="82">
    <w:p w14:paraId="09B90E35"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r w:rsidRPr="00D7404F">
        <w:rPr>
          <w:sz w:val="23"/>
          <w:szCs w:val="23"/>
        </w:rPr>
        <w:t xml:space="preserve"> at 354:5-19.</w:t>
      </w:r>
    </w:p>
  </w:footnote>
  <w:footnote w:id="83">
    <w:p w14:paraId="09B90E36"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197216">
        <w:rPr>
          <w:sz w:val="23"/>
          <w:szCs w:val="23"/>
        </w:rPr>
        <w:t>Sevall, TR.</w:t>
      </w:r>
      <w:r w:rsidRPr="00D7404F">
        <w:rPr>
          <w:sz w:val="23"/>
          <w:szCs w:val="23"/>
        </w:rPr>
        <w:t xml:space="preserve"> 271:3-6.</w:t>
      </w:r>
    </w:p>
  </w:footnote>
  <w:footnote w:id="84">
    <w:p w14:paraId="09B90E37"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In re Application of Pacific Cruises</w:t>
      </w:r>
      <w:r w:rsidRPr="00D7404F">
        <w:rPr>
          <w:sz w:val="23"/>
          <w:szCs w:val="23"/>
        </w:rPr>
        <w:t>, at 10.</w:t>
      </w:r>
    </w:p>
  </w:footnote>
  <w:footnote w:id="85">
    <w:p w14:paraId="09B90E38"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p>
  </w:footnote>
  <w:footnote w:id="86">
    <w:p w14:paraId="09B90E39"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RCW 81.84.020(1).</w:t>
      </w:r>
    </w:p>
  </w:footnote>
  <w:footnote w:id="87">
    <w:p w14:paraId="09B90E3A"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In re Dutchman Marine</w:t>
      </w:r>
      <w:r w:rsidRPr="00D7404F">
        <w:rPr>
          <w:sz w:val="23"/>
          <w:szCs w:val="23"/>
        </w:rPr>
        <w:t xml:space="preserve">, at 13 (citing </w:t>
      </w:r>
      <w:r w:rsidRPr="00D7404F">
        <w:rPr>
          <w:i/>
          <w:sz w:val="23"/>
          <w:szCs w:val="23"/>
        </w:rPr>
        <w:t>In re Jack Rood and Jack L. Harmon, Jr., d/b/a Arrow Launch Service, Order S.B.C. No. 468, In re Belairco, Inc., (May 1990)</w:t>
      </w:r>
      <w:r w:rsidRPr="00D7404F">
        <w:rPr>
          <w:sz w:val="23"/>
          <w:szCs w:val="23"/>
        </w:rPr>
        <w:t>).</w:t>
      </w:r>
    </w:p>
  </w:footnote>
  <w:footnote w:id="88">
    <w:p w14:paraId="09B90E3B"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p>
  </w:footnote>
  <w:footnote w:id="89">
    <w:p w14:paraId="09B90E3C"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00197216">
        <w:rPr>
          <w:sz w:val="23"/>
          <w:szCs w:val="23"/>
        </w:rPr>
        <w:t>Esch, TR.</w:t>
      </w:r>
      <w:r w:rsidRPr="00D7404F">
        <w:rPr>
          <w:sz w:val="23"/>
          <w:szCs w:val="23"/>
        </w:rPr>
        <w:t xml:space="preserve"> 218:6-10.</w:t>
      </w:r>
    </w:p>
  </w:footnote>
  <w:footnote w:id="90">
    <w:p w14:paraId="09B90E3D"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RSE-8.</w:t>
      </w:r>
    </w:p>
  </w:footnote>
  <w:footnote w:id="91">
    <w:p w14:paraId="09B90E3E"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Id.</w:t>
      </w:r>
    </w:p>
  </w:footnote>
  <w:footnote w:id="92">
    <w:p w14:paraId="09B90E3F" w14:textId="77777777" w:rsidR="006C7871" w:rsidRPr="00D7404F" w:rsidRDefault="006C7871" w:rsidP="00D7404F">
      <w:pPr>
        <w:pStyle w:val="FootnoteText"/>
        <w:contextualSpacing/>
        <w:jc w:val="both"/>
        <w:rPr>
          <w:sz w:val="23"/>
          <w:szCs w:val="23"/>
        </w:rPr>
      </w:pPr>
      <w:r w:rsidRPr="00D7404F">
        <w:rPr>
          <w:rStyle w:val="FootnoteReference"/>
          <w:sz w:val="23"/>
          <w:szCs w:val="23"/>
        </w:rPr>
        <w:footnoteRef/>
      </w:r>
      <w:r w:rsidRPr="00D7404F">
        <w:rPr>
          <w:sz w:val="23"/>
          <w:szCs w:val="23"/>
        </w:rPr>
        <w:t xml:space="preserve"> </w:t>
      </w:r>
      <w:r w:rsidRPr="00D7404F">
        <w:rPr>
          <w:i/>
          <w:sz w:val="23"/>
          <w:szCs w:val="23"/>
        </w:rPr>
        <w:t xml:space="preserve">See </w:t>
      </w:r>
      <w:r w:rsidR="00197216">
        <w:rPr>
          <w:sz w:val="23"/>
          <w:szCs w:val="23"/>
        </w:rPr>
        <w:t>Westad, TR.</w:t>
      </w:r>
      <w:r w:rsidRPr="00D7404F">
        <w:rPr>
          <w:sz w:val="23"/>
          <w:szCs w:val="23"/>
        </w:rPr>
        <w:t xml:space="preserve"> 470:11-14; </w:t>
      </w:r>
      <w:r w:rsidR="00197216">
        <w:rPr>
          <w:sz w:val="23"/>
          <w:szCs w:val="23"/>
        </w:rPr>
        <w:t xml:space="preserve">Collins, TR. </w:t>
      </w:r>
      <w:r w:rsidRPr="00D7404F">
        <w:rPr>
          <w:sz w:val="23"/>
          <w:szCs w:val="23"/>
        </w:rPr>
        <w:t xml:space="preserve">476:17-477:6; </w:t>
      </w:r>
      <w:r w:rsidR="00197216">
        <w:rPr>
          <w:sz w:val="23"/>
          <w:szCs w:val="23"/>
        </w:rPr>
        <w:t xml:space="preserve">Coburn, TR. </w:t>
      </w:r>
      <w:r w:rsidRPr="00D7404F">
        <w:rPr>
          <w:sz w:val="23"/>
          <w:szCs w:val="23"/>
        </w:rPr>
        <w:t>482:21-25.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tblInd w:w="-712" w:type="dxa"/>
      <w:tblLayout w:type="fixed"/>
      <w:tblCellMar>
        <w:left w:w="0" w:type="dxa"/>
        <w:right w:w="0" w:type="dxa"/>
      </w:tblCellMar>
      <w:tblLook w:val="0000" w:firstRow="0" w:lastRow="0" w:firstColumn="0" w:lastColumn="0" w:noHBand="0" w:noVBand="0"/>
    </w:tblPr>
    <w:tblGrid>
      <w:gridCol w:w="680"/>
      <w:gridCol w:w="9490"/>
    </w:tblGrid>
    <w:tr w:rsidR="006C7871" w14:paraId="09B90DCE" w14:textId="77777777">
      <w:trPr>
        <w:trHeight w:hRule="exact" w:val="13824"/>
      </w:trPr>
      <w:tc>
        <w:tcPr>
          <w:tcW w:w="680" w:type="dxa"/>
        </w:tcPr>
        <w:p w14:paraId="09B90DCC" w14:textId="77777777" w:rsidR="006C7871" w:rsidRDefault="006C7871" w:rsidP="00D75E5F">
          <w:pPr>
            <w:pStyle w:val="HeaderNumbers"/>
          </w:pPr>
          <w:r>
            <w:rPr>
              <w:noProof/>
              <w:sz w:val="20"/>
            </w:rPr>
            <mc:AlternateContent>
              <mc:Choice Requires="wps">
                <w:drawing>
                  <wp:anchor distT="0" distB="0" distL="114300" distR="114300" simplePos="0" relativeHeight="251657216" behindDoc="0" locked="1" layoutInCell="1" allowOverlap="1" wp14:anchorId="09B90DDC" wp14:editId="09B90DDD">
                    <wp:simplePos x="0" y="0"/>
                    <wp:positionH relativeFrom="column">
                      <wp:posOffset>402590</wp:posOffset>
                    </wp:positionH>
                    <wp:positionV relativeFrom="page">
                      <wp:posOffset>455295</wp:posOffset>
                    </wp:positionV>
                    <wp:extent cx="0" cy="8321040"/>
                    <wp:effectExtent l="12065" t="7620" r="6985"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FF13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7pt,35.85pt" to="31.7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nzEgIAACgEAAAOAAAAZHJzL2Uyb0RvYy54bWysU02P2jAQvVfqf7B8h3xso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lxgpEgH&#10;Em2F4igPnemNKyFgpXY21EbP6sVsNf3ukNKrlqgDjwxfLwbSspCRvEkJG2cAf99/1gxiyNHr2KZz&#10;Y7sACQ1A56jG5a4GP3tEh0MKp7OnPEuLqFRCyluisc5/4rpDwaiwBM4RmJy2zgcipLyFhHuU3ggp&#10;o9hSob7C80k+iQlOS8GCM4Q5e9ivpEUnEsYlfrEq8DyGWX1ULIK1nLD11fZEyMGGy6UKeFAK0Lla&#10;wzz8mKfz9Ww9K0ZFPl2PirSuRx83q2I03WQfJvVTvVrV2c9ALSvKVjDGVWB3m82s+Dvtr69kmKr7&#10;dN7bkLxFj/0Csrd/JB21DPINg7DX7LKzN41hHGPw9emEeX/cg/34wJe/AAAA//8DAFBLAwQUAAYA&#10;CAAAACEAA21Xcd0AAAAJAQAADwAAAGRycy9kb3ducmV2LnhtbEyPy07DQAxF90j8w8hIbCo6eaC2&#10;SjOpEJAdGwqoWzcxSUTGk2ambeDrMWxgeXWPro/zzWR7daLRd44NxPMIFHHl6o4bA68v5c0KlA/I&#10;NfaOycAnedgUlxc5ZrU78zOdtqFRMsI+QwNtCEOmta9asujnbiCW7t2NFoPEsdH1iGcZt71Oomih&#10;LXYsF1oc6L6l6mN7tAZ8+UaH8mtWzaJd2jhKDg9Pj2jM9dV0twYVaAp/MPzoizoU4rR3R6696g0s&#10;0lshDSzjJSjpf/NeuHSVxKCLXP//oPgGAAD//wMAUEsBAi0AFAAGAAgAAAAhALaDOJL+AAAA4QEA&#10;ABMAAAAAAAAAAAAAAAAAAAAAAFtDb250ZW50X1R5cGVzXS54bWxQSwECLQAUAAYACAAAACEAOP0h&#10;/9YAAACUAQAACwAAAAAAAAAAAAAAAAAvAQAAX3JlbHMvLnJlbHNQSwECLQAUAAYACAAAACEAkyWZ&#10;8xICAAAoBAAADgAAAAAAAAAAAAAAAAAuAgAAZHJzL2Uyb0RvYy54bWxQSwECLQAUAAYACAAAACEA&#10;A21Xcd0AAAAJAQAADwAAAAAAAAAAAAAAAABsBAAAZHJzL2Rvd25yZXYueG1sUEsFBgAAAAAEAAQA&#10;8wAAAHYFAAAAAA==&#10;">
                    <w10:wrap anchory="page"/>
                    <w10:anchorlock/>
                  </v:line>
                </w:pict>
              </mc:Fallback>
            </mc:AlternateContent>
          </w:r>
          <w:r>
            <w:rPr>
              <w:noProof/>
              <w:sz w:val="20"/>
            </w:rPr>
            <mc:AlternateContent>
              <mc:Choice Requires="wps">
                <w:drawing>
                  <wp:anchor distT="0" distB="0" distL="114300" distR="114300" simplePos="0" relativeHeight="251656192" behindDoc="0" locked="1" layoutInCell="1" allowOverlap="1" wp14:anchorId="09B90DDE" wp14:editId="09B90DDF">
                    <wp:simplePos x="0" y="0"/>
                    <wp:positionH relativeFrom="column">
                      <wp:posOffset>365760</wp:posOffset>
                    </wp:positionH>
                    <wp:positionV relativeFrom="page">
                      <wp:posOffset>456565</wp:posOffset>
                    </wp:positionV>
                    <wp:extent cx="0" cy="8321040"/>
                    <wp:effectExtent l="13335" t="8890" r="5715" b="13970"/>
                    <wp:wrapNone/>
                    <wp:docPr id="3"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BE2B9" id="LeftBorder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8pt,35.95pt" to="28.8pt,6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7FwIAAC0EAAAOAAAAZHJzL2Uyb0RvYy54bWysU8GO2jAQvVfqP1i+QxIIFCLCqiXQC90i&#10;7fYDjO0Qq45t2YaAqv57xw4gtr1UVXNwxuOZ5zdvxouncyvRiVsntCpxNkwx4opqJtShxN9eN4MZ&#10;Rs4TxYjUipf4wh1+Wr5/t+hMwUe60ZJxiwBEuaIzJW68N0WSONrwlrihNlzBYa1tSzxs7SFhlnSA&#10;3spklKbTpNOWGaspdw68VX+IlxG/rjn1X+vacY9kiYGbj6uN6z6syXJBioMlphH0SoP8A4uWCAWX&#10;3qEq4gk6WvEHVCuo1U7Xfkh1m+i6FpTHGqCaLP2tmpeGGB5rAXGcucvk/h8sfT7tLBKsxGOMFGmh&#10;RVte+0+gKrejIE9nXAFRK7WzoUB6Vi9mq+l3h5ReNUQdeKT5ejGQm4WM5E1K2DgDl+y7L5pBDDl6&#10;HbU617YNkKACOseWXO4t4WePaO+k4J2NR1max3YlpLglGuv8Z65bFIwSS6GCWqQgp63zgQgpbiHB&#10;rfRGSBk7LhXqSjyfjCYxwWkpWDgMYc4e9itp0YmEmYlfrApOHsOsPioWwRpO2PpqeyJkb8PlUgU8&#10;KAXoXK1+KH7M0/l6tp7lg3w0XQ/ytKoGHzerfDDdZB8m1bhararsZ6CW5UUjGOMqsLsNaJb/3QBc&#10;n0o/WvcRvcuQvEWPegHZ2z+Sjr0M7esHYa/ZZWdvPYaZjMHX9xOG/nEP9uMrX/4CAAD//wMAUEsD&#10;BBQABgAIAAAAIQAsnKJK3QAAAAkBAAAPAAAAZHJzL2Rvd25yZXYueG1sTI9BT4NAEIXvJv6HzZh4&#10;adqlENuKLI1RuXlptfE6hRGI7Cxlty366x296PHlfXnzTbYebadONPjWsYH5LAJFXLqq5drA60sx&#10;XYHyAbnCzjEZ+CQP6/zyIsO0cmfe0GkbaiUj7FM00ITQp1r7siGLfuZ6Yune3WAxSBxqXQ14lnHb&#10;6TiKFtpiy3KhwZ4eGio/tkdrwBc7OhRfk3ISvSW1o/jw+PyExlxfjfd3oAKN4Q+GH31Rh1yc9u7I&#10;lVedgZvlQkgDy/ktKOl/8164ZBUnoPNM//8g/wYAAP//AwBQSwECLQAUAAYACAAAACEAtoM4kv4A&#10;AADhAQAAEwAAAAAAAAAAAAAAAAAAAAAAW0NvbnRlbnRfVHlwZXNdLnhtbFBLAQItABQABgAIAAAA&#10;IQA4/SH/1gAAAJQBAAALAAAAAAAAAAAAAAAAAC8BAABfcmVscy8ucmVsc1BLAQItABQABgAIAAAA&#10;IQDO/H87FwIAAC0EAAAOAAAAAAAAAAAAAAAAAC4CAABkcnMvZTJvRG9jLnhtbFBLAQItABQABgAI&#10;AAAAIQAsnKJK3QAAAAkBAAAPAAAAAAAAAAAAAAAAAHEEAABkcnMvZG93bnJldi54bWxQSwUGAAAA&#10;AAQABADzAAAAewUAAAAA&#10;">
                    <w10:wrap anchory="page"/>
                    <w10:anchorlock/>
                  </v:line>
                </w:pict>
              </mc:Fallback>
            </mc:AlternateContent>
          </w: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490" w:type="dxa"/>
        </w:tcPr>
        <w:p w14:paraId="09B90DCD" w14:textId="77777777" w:rsidR="006C7871" w:rsidRDefault="006C7871">
          <w:pPr>
            <w:pStyle w:val="Header"/>
          </w:pPr>
        </w:p>
      </w:tc>
    </w:tr>
  </w:tbl>
  <w:p w14:paraId="09B90DCF" w14:textId="77777777" w:rsidR="006C7871" w:rsidRPr="00D75E5F" w:rsidRDefault="006C7871" w:rsidP="00D75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tblInd w:w="-712" w:type="dxa"/>
      <w:tblLayout w:type="fixed"/>
      <w:tblCellMar>
        <w:left w:w="0" w:type="dxa"/>
        <w:right w:w="0" w:type="dxa"/>
      </w:tblCellMar>
      <w:tblLook w:val="0000" w:firstRow="0" w:lastRow="0" w:firstColumn="0" w:lastColumn="0" w:noHBand="0" w:noVBand="0"/>
    </w:tblPr>
    <w:tblGrid>
      <w:gridCol w:w="680"/>
      <w:gridCol w:w="9490"/>
    </w:tblGrid>
    <w:tr w:rsidR="006C7871" w14:paraId="09B90DDA" w14:textId="77777777">
      <w:trPr>
        <w:trHeight w:hRule="exact" w:val="13824"/>
      </w:trPr>
      <w:tc>
        <w:tcPr>
          <w:tcW w:w="680" w:type="dxa"/>
        </w:tcPr>
        <w:p w14:paraId="09B90DD8" w14:textId="77777777" w:rsidR="006C7871" w:rsidRDefault="006C7871">
          <w:pPr>
            <w:pStyle w:val="HeaderNumbers"/>
          </w:pPr>
          <w:r>
            <w:rPr>
              <w:noProof/>
              <w:sz w:val="20"/>
            </w:rPr>
            <mc:AlternateContent>
              <mc:Choice Requires="wps">
                <w:drawing>
                  <wp:anchor distT="0" distB="0" distL="114300" distR="114300" simplePos="0" relativeHeight="251659264" behindDoc="0" locked="1" layoutInCell="1" allowOverlap="1" wp14:anchorId="09B90DE0" wp14:editId="09B90DE1">
                    <wp:simplePos x="0" y="0"/>
                    <wp:positionH relativeFrom="column">
                      <wp:posOffset>402590</wp:posOffset>
                    </wp:positionH>
                    <wp:positionV relativeFrom="page">
                      <wp:posOffset>455295</wp:posOffset>
                    </wp:positionV>
                    <wp:extent cx="0" cy="8321040"/>
                    <wp:effectExtent l="12065" t="7620" r="6985" b="57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0262D"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7pt,35.85pt" to="31.7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jwEgIAACgEAAAOAAAAZHJzL2Uyb0RvYy54bWysU02P2jAQvVfqf7B8h3xso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pxjpEgH&#10;Em2F4qgInemNKyFgpXY21EbP6sVsNf3ukNKrlqgDjwxfLwbSspCRvEkJG2cAf99/1gxiyNHr2KZz&#10;Y7sACQ1A56jG5a4GP3tEh0MKp7OnPEuLqFRCyluisc5/4rpDwaiwBM4RmJy2zgcipLyFhHuU3ggp&#10;o9hSob7C80k+iQlOS8GCM4Q5e9ivpEUnEsYlfrEq8DyGWX1ULIK1nLD11fZEyMGGy6UKeFAK0Lla&#10;wzz8mKfz9Ww9K0ZFPl2PirSuRx83q2I03WQfJvVTvVrV2c9ALSvKVjDGVWB3m82s+Dvtr69kmKr7&#10;dN7bkLxFj/0Csrd/JB21DPINg7DX7LKzN41hHGPw9emEeX/cg/34wJe/AAAA//8DAFBLAwQUAAYA&#10;CAAAACEAA21Xcd0AAAAJAQAADwAAAGRycy9kb3ducmV2LnhtbEyPy07DQAxF90j8w8hIbCo6eaC2&#10;SjOpEJAdGwqoWzcxSUTGk2ambeDrMWxgeXWPro/zzWR7daLRd44NxPMIFHHl6o4bA68v5c0KlA/I&#10;NfaOycAnedgUlxc5ZrU78zOdtqFRMsI+QwNtCEOmta9asujnbiCW7t2NFoPEsdH1iGcZt71Oomih&#10;LXYsF1oc6L6l6mN7tAZ8+UaH8mtWzaJd2jhKDg9Pj2jM9dV0twYVaAp/MPzoizoU4rR3R6696g0s&#10;0lshDSzjJSjpf/NeuHSVxKCLXP//oPgGAAD//wMAUEsBAi0AFAAGAAgAAAAhALaDOJL+AAAA4QEA&#10;ABMAAAAAAAAAAAAAAAAAAAAAAFtDb250ZW50X1R5cGVzXS54bWxQSwECLQAUAAYACAAAACEAOP0h&#10;/9YAAACUAQAACwAAAAAAAAAAAAAAAAAvAQAAX3JlbHMvLnJlbHNQSwECLQAUAAYACAAAACEABLgY&#10;8BICAAAoBAAADgAAAAAAAAAAAAAAAAAuAgAAZHJzL2Uyb0RvYy54bWxQSwECLQAUAAYACAAAACEA&#10;A21Xcd0AAAAJAQAADwAAAAAAAAAAAAAAAABsBAAAZHJzL2Rvd25yZXYueG1sUEsFBgAAAAAEAAQA&#10;8wAAAHYFAAAAAA==&#10;">
                    <w10:wrap anchory="page"/>
                    <w10:anchorlock/>
                  </v:line>
                </w:pict>
              </mc:Fallback>
            </mc:AlternateContent>
          </w:r>
          <w:r>
            <w:rPr>
              <w:noProof/>
              <w:sz w:val="20"/>
            </w:rPr>
            <mc:AlternateContent>
              <mc:Choice Requires="wps">
                <w:drawing>
                  <wp:anchor distT="0" distB="0" distL="114300" distR="114300" simplePos="0" relativeHeight="251658240" behindDoc="0" locked="1" layoutInCell="1" allowOverlap="1" wp14:anchorId="09B90DE2" wp14:editId="09B90DE3">
                    <wp:simplePos x="0" y="0"/>
                    <wp:positionH relativeFrom="column">
                      <wp:posOffset>365760</wp:posOffset>
                    </wp:positionH>
                    <wp:positionV relativeFrom="page">
                      <wp:posOffset>456565</wp:posOffset>
                    </wp:positionV>
                    <wp:extent cx="0" cy="8321040"/>
                    <wp:effectExtent l="13335" t="8890" r="571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5561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8pt,35.95pt" to="28.8pt,6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RbEQIAACg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QDuMFOlA&#10;omehOJqGzvTGFRBQqZ0NtdGzejHPmn53SOmqJerAI8PXi4G0LGQkb1LCxhnA3/efNYMYcvQ6tunc&#10;2C5AQgPQOapxuavBzx7R4ZDC6WI6ydI8KpWQ4pZorPOfuO5QMEosgXMEJqdn5wMRUtxCwj1Kb4WU&#10;UWypUF/i5WwyiwlOS8GCM4Q5e9hX0qITCeMSv1gVeB7DrD4qFsFaTtjmansi5GDD5VIFPCgF6Fyt&#10;YR5+LNPlZrFZ5KN8Mt+M8rSuRx+3VT6ab7MPs3paV1Wd/QzUsrxoBWNcBXa32czyv9P++kqGqbpP&#10;570NyVv02C8ge/tH0lHLIN8wCHvNLjt70xjGMQZfn06Y98c92I8PfP0LAAD//wMAUEsDBBQABgAI&#10;AAAAIQAsnKJK3QAAAAkBAAAPAAAAZHJzL2Rvd25yZXYueG1sTI9BT4NAEIXvJv6HzZh4adqlENuK&#10;LI1RuXlptfE6hRGI7Cxlty366x296PHlfXnzTbYebadONPjWsYH5LAJFXLqq5drA60sxXYHyAbnC&#10;zjEZ+CQP6/zyIsO0cmfe0GkbaiUj7FM00ITQp1r7siGLfuZ6Yune3WAxSBxqXQ14lnHb6TiKFtpi&#10;y3KhwZ4eGio/tkdrwBc7OhRfk3ISvSW1o/jw+PyExlxfjfd3oAKN4Q+GH31Rh1yc9u7IlVedgZvl&#10;QkgDy/ktKOl/8164ZBUnoPNM//8g/wYAAP//AwBQSwECLQAUAAYACAAAACEAtoM4kv4AAADhAQAA&#10;EwAAAAAAAAAAAAAAAAAAAAAAW0NvbnRlbnRfVHlwZXNdLnhtbFBLAQItABQABgAIAAAAIQA4/SH/&#10;1gAAAJQBAAALAAAAAAAAAAAAAAAAAC8BAABfcmVscy8ucmVsc1BLAQItABQABgAIAAAAIQAdCPRb&#10;EQIAACgEAAAOAAAAAAAAAAAAAAAAAC4CAABkcnMvZTJvRG9jLnhtbFBLAQItABQABgAIAAAAIQAs&#10;nKJK3QAAAAkBAAAPAAAAAAAAAAAAAAAAAGsEAABkcnMvZG93bnJldi54bWxQSwUGAAAAAAQABADz&#10;AAAAdQUAAAAA&#10;">
                    <w10:wrap anchory="page"/>
                    <w10:anchorlock/>
                  </v:line>
                </w:pict>
              </mc:Fallback>
            </mc:AlternateContent>
          </w: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490" w:type="dxa"/>
        </w:tcPr>
        <w:p w14:paraId="09B90DD9" w14:textId="77777777" w:rsidR="006C7871" w:rsidRDefault="006C7871">
          <w:pPr>
            <w:pStyle w:val="Header"/>
          </w:pPr>
        </w:p>
      </w:tc>
    </w:tr>
  </w:tbl>
  <w:p w14:paraId="09B90DDB" w14:textId="77777777" w:rsidR="006C7871" w:rsidRPr="00D75E5F" w:rsidRDefault="006C7871" w:rsidP="00D75E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543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6AA8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486C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6ADB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57C81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F848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80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EAE4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6CB6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CE6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E76862"/>
    <w:multiLevelType w:val="hybridMultilevel"/>
    <w:tmpl w:val="A7121196"/>
    <w:lvl w:ilvl="0" w:tplc="A30205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420BFA"/>
    <w:multiLevelType w:val="singleLevel"/>
    <w:tmpl w:val="4B6240AA"/>
    <w:lvl w:ilvl="0">
      <w:start w:val="1"/>
      <w:numFmt w:val="decimal"/>
      <w:pStyle w:val="CenteredNumber"/>
      <w:lvlText w:val="%1."/>
      <w:lvlJc w:val="left"/>
      <w:pPr>
        <w:tabs>
          <w:tab w:val="num" w:pos="360"/>
        </w:tabs>
        <w:ind w:left="360" w:hanging="360"/>
      </w:pPr>
    </w:lvl>
  </w:abstractNum>
  <w:abstractNum w:abstractNumId="12" w15:restartNumberingAfterBreak="0">
    <w:nsid w:val="39662CDA"/>
    <w:multiLevelType w:val="hybridMultilevel"/>
    <w:tmpl w:val="1F4E78D2"/>
    <w:lvl w:ilvl="0" w:tplc="BE28B9E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4D3CD8"/>
    <w:multiLevelType w:val="hybridMultilevel"/>
    <w:tmpl w:val="C5282016"/>
    <w:lvl w:ilvl="0" w:tplc="672A119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E13BBA"/>
    <w:multiLevelType w:val="hybridMultilevel"/>
    <w:tmpl w:val="52FE5A84"/>
    <w:lvl w:ilvl="0" w:tplc="6694B66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3E3355"/>
    <w:multiLevelType w:val="multilevel"/>
    <w:tmpl w:val="B0125590"/>
    <w:name w:val="Pleading 12.5"/>
    <w:lvl w:ilvl="0">
      <w:start w:val="1"/>
      <w:numFmt w:val="upperRoman"/>
      <w:suff w:val="space"/>
      <w:lvlText w:val="%1. "/>
      <w:lvlJc w:val="left"/>
      <w:pPr>
        <w:tabs>
          <w:tab w:val="num" w:pos="0"/>
        </w:tabs>
        <w:ind w:left="0" w:firstLine="0"/>
      </w:pPr>
      <w:rPr>
        <w:b/>
        <w:i w:val="0"/>
        <w:color w:val="000000"/>
        <w:u w:val="none"/>
      </w:rPr>
    </w:lvl>
    <w:lvl w:ilvl="1">
      <w:start w:val="1"/>
      <w:numFmt w:val="upperLetter"/>
      <w:lvlText w:val="%2."/>
      <w:lvlJc w:val="left"/>
      <w:pPr>
        <w:tabs>
          <w:tab w:val="num" w:pos="720"/>
        </w:tabs>
        <w:ind w:left="720" w:hanging="720"/>
      </w:pPr>
      <w:rPr>
        <w:b/>
        <w:i w:val="0"/>
        <w:color w:val="000000"/>
        <w:u w:val="none"/>
      </w:rPr>
    </w:lvl>
    <w:lvl w:ilvl="2">
      <w:start w:val="1"/>
      <w:numFmt w:val="decimal"/>
      <w:lvlText w:val="%3."/>
      <w:lvlJc w:val="left"/>
      <w:pPr>
        <w:tabs>
          <w:tab w:val="num" w:pos="1440"/>
        </w:tabs>
        <w:ind w:left="1440" w:hanging="720"/>
      </w:pPr>
      <w:rPr>
        <w:b/>
        <w:i w:val="0"/>
        <w:color w:val="000000"/>
        <w:u w:val="none"/>
      </w:rPr>
    </w:lvl>
    <w:lvl w:ilvl="3">
      <w:start w:val="1"/>
      <w:numFmt w:val="lowerLetter"/>
      <w:lvlText w:val="%4."/>
      <w:lvlJc w:val="left"/>
      <w:pPr>
        <w:tabs>
          <w:tab w:val="num" w:pos="2160"/>
        </w:tabs>
        <w:ind w:left="2160" w:hanging="720"/>
      </w:pPr>
      <w:rPr>
        <w:color w:val="000000"/>
        <w:u w:val="none"/>
      </w:rPr>
    </w:lvl>
    <w:lvl w:ilvl="4">
      <w:start w:val="1"/>
      <w:numFmt w:val="decimal"/>
      <w:lvlText w:val="(%5)"/>
      <w:lvlJc w:val="left"/>
      <w:pPr>
        <w:tabs>
          <w:tab w:val="num" w:pos="2880"/>
        </w:tabs>
        <w:ind w:left="2880" w:hanging="720"/>
      </w:pPr>
      <w:rPr>
        <w:color w:val="000000"/>
        <w:u w:val="none"/>
      </w:rPr>
    </w:lvl>
    <w:lvl w:ilvl="5">
      <w:start w:val="1"/>
      <w:numFmt w:val="lowerLetter"/>
      <w:lvlText w:val="(%6)"/>
      <w:lvlJc w:val="left"/>
      <w:pPr>
        <w:tabs>
          <w:tab w:val="num" w:pos="3600"/>
        </w:tabs>
        <w:ind w:left="3600" w:hanging="720"/>
      </w:pPr>
      <w:rPr>
        <w:color w:val="000000"/>
        <w:u w:val="none"/>
      </w:rPr>
    </w:lvl>
    <w:lvl w:ilvl="6">
      <w:start w:val="1"/>
      <w:numFmt w:val="lowerRoman"/>
      <w:lvlText w:val="(%7)"/>
      <w:lvlJc w:val="left"/>
      <w:pPr>
        <w:tabs>
          <w:tab w:val="num" w:pos="4320"/>
        </w:tabs>
        <w:ind w:left="4320" w:hanging="720"/>
      </w:pPr>
      <w:rPr>
        <w:color w:val="000000"/>
        <w:u w:val="none"/>
      </w:rPr>
    </w:lvl>
    <w:lvl w:ilvl="7">
      <w:start w:val="1"/>
      <w:numFmt w:val="lowerLetter"/>
      <w:lvlText w:val="(%8)"/>
      <w:lvlJc w:val="left"/>
      <w:pPr>
        <w:tabs>
          <w:tab w:val="num" w:pos="5040"/>
        </w:tabs>
        <w:ind w:left="5040" w:hanging="720"/>
      </w:pPr>
      <w:rPr>
        <w:color w:val="000000"/>
        <w:u w:val="none"/>
      </w:rPr>
    </w:lvl>
    <w:lvl w:ilvl="8">
      <w:start w:val="1"/>
      <w:numFmt w:val="lowerRoman"/>
      <w:lvlText w:val="(%9)"/>
      <w:lvlJc w:val="left"/>
      <w:pPr>
        <w:tabs>
          <w:tab w:val="num" w:pos="5760"/>
        </w:tabs>
        <w:ind w:left="5760" w:hanging="720"/>
      </w:pPr>
      <w:rPr>
        <w:color w:val="000000"/>
        <w:u w:val="none"/>
      </w:rPr>
    </w:lvl>
  </w:abstractNum>
  <w:abstractNum w:abstractNumId="16" w15:restartNumberingAfterBreak="0">
    <w:nsid w:val="65326EF1"/>
    <w:multiLevelType w:val="hybridMultilevel"/>
    <w:tmpl w:val="4CB88B2E"/>
    <w:lvl w:ilvl="0" w:tplc="9264AE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EB17E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0970E9"/>
    <w:multiLevelType w:val="hybridMultilevel"/>
    <w:tmpl w:val="3AD469B2"/>
    <w:lvl w:ilvl="0" w:tplc="8048DD1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1661B5"/>
    <w:multiLevelType w:val="multilevel"/>
    <w:tmpl w:val="D6B0DB30"/>
    <w:name w:val="Pleading2"/>
    <w:lvl w:ilvl="0">
      <w:start w:val="1"/>
      <w:numFmt w:val="upperRoman"/>
      <w:suff w:val="space"/>
      <w:lvlText w:val="%1. "/>
      <w:lvlJc w:val="left"/>
      <w:pPr>
        <w:tabs>
          <w:tab w:val="num" w:pos="0"/>
        </w:tabs>
        <w:ind w:left="0" w:firstLine="0"/>
      </w:pPr>
      <w:rPr>
        <w:b/>
        <w:i w:val="0"/>
        <w:color w:val="000000"/>
        <w:u w:val="none"/>
      </w:rPr>
    </w:lvl>
    <w:lvl w:ilvl="1">
      <w:start w:val="1"/>
      <w:numFmt w:val="upperLetter"/>
      <w:lvlText w:val="%2."/>
      <w:lvlJc w:val="left"/>
      <w:pPr>
        <w:tabs>
          <w:tab w:val="num" w:pos="720"/>
        </w:tabs>
        <w:ind w:left="720" w:hanging="720"/>
      </w:pPr>
      <w:rPr>
        <w:b/>
        <w:i w:val="0"/>
        <w:color w:val="000000"/>
        <w:u w:val="none"/>
      </w:rPr>
    </w:lvl>
    <w:lvl w:ilvl="2">
      <w:start w:val="1"/>
      <w:numFmt w:val="decimal"/>
      <w:lvlText w:val="%3."/>
      <w:lvlJc w:val="left"/>
      <w:pPr>
        <w:tabs>
          <w:tab w:val="num" w:pos="1440"/>
        </w:tabs>
        <w:ind w:left="1440" w:hanging="720"/>
      </w:pPr>
      <w:rPr>
        <w:b/>
        <w:i w:val="0"/>
        <w:color w:val="000000"/>
        <w:u w:val="none"/>
      </w:rPr>
    </w:lvl>
    <w:lvl w:ilvl="3">
      <w:start w:val="1"/>
      <w:numFmt w:val="lowerLetter"/>
      <w:lvlText w:val="%4."/>
      <w:lvlJc w:val="left"/>
      <w:pPr>
        <w:tabs>
          <w:tab w:val="num" w:pos="2160"/>
        </w:tabs>
        <w:ind w:left="2160" w:hanging="720"/>
      </w:pPr>
      <w:rPr>
        <w:color w:val="000000"/>
        <w:u w:val="none"/>
      </w:rPr>
    </w:lvl>
    <w:lvl w:ilvl="4">
      <w:start w:val="1"/>
      <w:numFmt w:val="decimal"/>
      <w:lvlText w:val="(%5)"/>
      <w:lvlJc w:val="left"/>
      <w:pPr>
        <w:tabs>
          <w:tab w:val="num" w:pos="2880"/>
        </w:tabs>
        <w:ind w:left="2880" w:hanging="720"/>
      </w:pPr>
      <w:rPr>
        <w:color w:val="000000"/>
        <w:u w:val="none"/>
      </w:rPr>
    </w:lvl>
    <w:lvl w:ilvl="5">
      <w:start w:val="1"/>
      <w:numFmt w:val="lowerLetter"/>
      <w:lvlText w:val="(%6)"/>
      <w:lvlJc w:val="left"/>
      <w:pPr>
        <w:tabs>
          <w:tab w:val="num" w:pos="3600"/>
        </w:tabs>
        <w:ind w:left="3600" w:hanging="720"/>
      </w:pPr>
      <w:rPr>
        <w:color w:val="000000"/>
        <w:u w:val="none"/>
      </w:rPr>
    </w:lvl>
    <w:lvl w:ilvl="6">
      <w:start w:val="1"/>
      <w:numFmt w:val="lowerRoman"/>
      <w:lvlText w:val="(%7)"/>
      <w:lvlJc w:val="left"/>
      <w:pPr>
        <w:tabs>
          <w:tab w:val="num" w:pos="4320"/>
        </w:tabs>
        <w:ind w:left="4320" w:hanging="720"/>
      </w:pPr>
      <w:rPr>
        <w:color w:val="000000"/>
        <w:u w:val="none"/>
      </w:rPr>
    </w:lvl>
    <w:lvl w:ilvl="7">
      <w:start w:val="1"/>
      <w:numFmt w:val="lowerLetter"/>
      <w:lvlText w:val="(%8)"/>
      <w:lvlJc w:val="left"/>
      <w:pPr>
        <w:tabs>
          <w:tab w:val="num" w:pos="5040"/>
        </w:tabs>
        <w:ind w:left="5040" w:hanging="720"/>
      </w:pPr>
      <w:rPr>
        <w:color w:val="000000"/>
        <w:u w:val="none"/>
      </w:rPr>
    </w:lvl>
    <w:lvl w:ilvl="8">
      <w:start w:val="1"/>
      <w:numFmt w:val="lowerRoman"/>
      <w:lvlText w:val="(%9)"/>
      <w:lvlJc w:val="left"/>
      <w:pPr>
        <w:tabs>
          <w:tab w:val="num" w:pos="5760"/>
        </w:tabs>
        <w:ind w:left="5760" w:hanging="720"/>
      </w:pPr>
      <w:rPr>
        <w:color w:val="000000"/>
        <w:u w:val="none"/>
      </w:rPr>
    </w:lvl>
  </w:abstractNum>
  <w:abstractNum w:abstractNumId="20" w15:restartNumberingAfterBreak="0">
    <w:nsid w:val="7B111DC8"/>
    <w:multiLevelType w:val="multilevel"/>
    <w:tmpl w:val="14683BD8"/>
    <w:lvl w:ilvl="0">
      <w:start w:val="1"/>
      <w:numFmt w:val="upperRoman"/>
      <w:pStyle w:val="Heading1"/>
      <w:suff w:val="space"/>
      <w:lvlText w:val="%1. "/>
      <w:lvlJc w:val="left"/>
      <w:pPr>
        <w:ind w:left="0" w:firstLine="0"/>
      </w:pPr>
      <w:rPr>
        <w:rFonts w:hint="default"/>
        <w:u w:val="none"/>
      </w:rPr>
    </w:lvl>
    <w:lvl w:ilvl="1">
      <w:start w:val="1"/>
      <w:numFmt w:val="upperLetter"/>
      <w:pStyle w:val="Heading2"/>
      <w:lvlText w:val="%2."/>
      <w:lvlJc w:val="left"/>
      <w:pPr>
        <w:tabs>
          <w:tab w:val="num" w:pos="720"/>
        </w:tabs>
        <w:ind w:left="720" w:hanging="720"/>
      </w:pPr>
      <w:rPr>
        <w:rFonts w:hint="default"/>
        <w:u w:val="none"/>
      </w:rPr>
    </w:lvl>
    <w:lvl w:ilvl="2">
      <w:start w:val="1"/>
      <w:numFmt w:val="decimal"/>
      <w:pStyle w:val="Heading3"/>
      <w:lvlText w:val="%3."/>
      <w:lvlJc w:val="left"/>
      <w:pPr>
        <w:tabs>
          <w:tab w:val="num" w:pos="1440"/>
        </w:tabs>
        <w:ind w:left="1440" w:hanging="720"/>
      </w:pPr>
      <w:rPr>
        <w:rFonts w:hint="default"/>
        <w:u w:val="none"/>
      </w:rPr>
    </w:lvl>
    <w:lvl w:ilvl="3">
      <w:start w:val="1"/>
      <w:numFmt w:val="lowerLetter"/>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17"/>
  </w:num>
  <w:num w:numId="14">
    <w:abstractNumId w:val="12"/>
  </w:num>
  <w:num w:numId="15">
    <w:abstractNumId w:val="16"/>
  </w:num>
  <w:num w:numId="16">
    <w:abstractNumId w:val="18"/>
  </w:num>
  <w:num w:numId="17">
    <w:abstractNumId w:val="14"/>
  </w:num>
  <w:num w:numId="18">
    <w:abstractNumId w:val="10"/>
  </w:num>
  <w:num w:numId="1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US" w:vendorID="8" w:dllVersion="513"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0"/>
  <w:drawingGridVerticalSpacing w:val="381"/>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yBarNumDelimiter" w:val="comma"/>
    <w:docVar w:name="AttyNameAndBarNo" w:val=" "/>
    <w:docVar w:name="BarParens" w:val="False"/>
    <w:docVar w:name="CaseNoBelowSummary" w:val="False"/>
    <w:docVar w:name="CaseNumberInSummary" w:val="False"/>
    <w:docVar w:name="ClientNo" w:val=" "/>
    <w:docVar w:name="ContainsLinedPaper" w:val="False"/>
    <w:docVar w:name="ContainsNumberedPaper" w:val="False"/>
    <w:docVar w:name="ContainsPleadingPaper" w:val="True"/>
    <w:docVar w:name="DateasField" w:val="True"/>
    <w:docVar w:name="DateFormat" w:val="Field"/>
    <w:docVar w:name="DefaultNumberOfLevelsInTOCForThisScheme" w:val="3"/>
    <w:docVar w:name="DocIDAuthor" w:val="False"/>
    <w:docVar w:name="DocIDClientMatter" w:val="False"/>
    <w:docVar w:name="DocIDDate" w:val="False"/>
    <w:docVar w:name="DocIDLibrary" w:val="False"/>
    <w:docVar w:name="DocIDType" w:val="EndOfDoc"/>
    <w:docVar w:name="DocIDTypist" w:val="False"/>
    <w:docVar w:name="ElectronicFiling" w:val="False"/>
    <w:docVar w:name="FaxInFooterPrefix" w:val="Facsimile: "/>
    <w:docVar w:name="FaxPrefix" w:val="Facsimile: "/>
    <w:docVar w:name="FirstAttyBarNo" w:val="WSBA #36825"/>
    <w:docVar w:name="FirstAttyEmail" w:val="dan.bentson@bullivant.com"/>
    <w:docVar w:name="FirstAttyName" w:val="Daniel R. Bentson"/>
    <w:docVar w:name="FirstAttyOffice" w:val="Seattle"/>
    <w:docVar w:name="HyperlinkEmailAddresses" w:val="False"/>
    <w:docVar w:name="IncludeFax" w:val="False"/>
    <w:docVar w:name="IncludeFirmContactInfoAtTopOfPleading" w:val="False"/>
    <w:docVar w:name="IncludeLocationExecuted" w:val="False"/>
    <w:docVar w:name="IncludePhone" w:val="False"/>
    <w:docVar w:name="LastSchemeChoice" w:val="Pleading2"/>
    <w:docVar w:name="LastSchemeUniqueID" w:val="6"/>
    <w:docVar w:name="LocationExecuted" w:val=" "/>
    <w:docVar w:name="MatterNo" w:val=" "/>
    <w:docVar w:name="NoCorruptVariables" w:val="True"/>
    <w:docVar w:name="NumberOfLines" w:val="28"/>
    <w:docVar w:name="OfficeLocation" w:val="Seattle"/>
    <w:docVar w:name="Option0True" w:val="False"/>
    <w:docVar w:name="Option1True" w:val="False"/>
    <w:docVar w:name="Option2True" w:val="False"/>
    <w:docVar w:name="PartyDelimiter" w:val="space"/>
    <w:docVar w:name="PleadingTitleExists" w:val="True"/>
    <w:docVar w:name="RemoveAddressFromPleadingPaper" w:val="True"/>
    <w:docVar w:name="RepresentedParty" w:val="Applicant"/>
    <w:docVar w:name="SeparateAttorneys" w:val="False"/>
    <w:docVar w:name="SeparateSignatureLines" w:val="False"/>
    <w:docVar w:name="ShowBarNo" w:val="True"/>
    <w:docVar w:name="SigApplied" w:val="True"/>
    <w:docVar w:name="SigEmail" w:val="False"/>
    <w:docVar w:name="SignersBarNo1" w:val="WSBA #36825"/>
    <w:docVar w:name="SignersContactsDiffer" w:val="False"/>
    <w:docVar w:name="SignersEmail1" w:val="dan.bentson@bullivant.com"/>
    <w:docVar w:name="SignersName1" w:val="Daniel R. Bentson"/>
    <w:docVar w:name="SignersOffice1" w:val="Seattle"/>
    <w:docVar w:name="SignersSigner1" w:val="True"/>
    <w:docVar w:name="SignersValue" w:val="1"/>
    <w:docVar w:name="SigType" w:val="Default"/>
    <w:docVar w:name="TopBarNo" w:val="False"/>
    <w:docVar w:name="TopEmail" w:val="False"/>
    <w:docVar w:name="UnderlineChoice" w:val="0"/>
    <w:docVar w:name="UseFullState" w:val="False"/>
  </w:docVars>
  <w:rsids>
    <w:rsidRoot w:val="007F73E8"/>
    <w:rsid w:val="00004824"/>
    <w:rsid w:val="000064E6"/>
    <w:rsid w:val="00036274"/>
    <w:rsid w:val="00037E3A"/>
    <w:rsid w:val="00050F65"/>
    <w:rsid w:val="000672C4"/>
    <w:rsid w:val="000732AB"/>
    <w:rsid w:val="000845F6"/>
    <w:rsid w:val="00093452"/>
    <w:rsid w:val="000A075A"/>
    <w:rsid w:val="000A07A2"/>
    <w:rsid w:val="000A3A1C"/>
    <w:rsid w:val="000A3B00"/>
    <w:rsid w:val="000B0E97"/>
    <w:rsid w:val="000B477C"/>
    <w:rsid w:val="000C3FBB"/>
    <w:rsid w:val="000D1F8B"/>
    <w:rsid w:val="000E2C1E"/>
    <w:rsid w:val="001160F8"/>
    <w:rsid w:val="001577C9"/>
    <w:rsid w:val="00174459"/>
    <w:rsid w:val="00177670"/>
    <w:rsid w:val="00192FB8"/>
    <w:rsid w:val="00197216"/>
    <w:rsid w:val="00197F84"/>
    <w:rsid w:val="001A0E67"/>
    <w:rsid w:val="001C2985"/>
    <w:rsid w:val="001E2516"/>
    <w:rsid w:val="00203245"/>
    <w:rsid w:val="00204848"/>
    <w:rsid w:val="00207907"/>
    <w:rsid w:val="00222895"/>
    <w:rsid w:val="00230A97"/>
    <w:rsid w:val="00231CCA"/>
    <w:rsid w:val="00263F5C"/>
    <w:rsid w:val="00275E9F"/>
    <w:rsid w:val="00277A3D"/>
    <w:rsid w:val="0028006E"/>
    <w:rsid w:val="002A63A1"/>
    <w:rsid w:val="002C2CD0"/>
    <w:rsid w:val="002C64B3"/>
    <w:rsid w:val="00305E8E"/>
    <w:rsid w:val="00311C96"/>
    <w:rsid w:val="00312A07"/>
    <w:rsid w:val="00327454"/>
    <w:rsid w:val="00365026"/>
    <w:rsid w:val="00370E08"/>
    <w:rsid w:val="00371E3F"/>
    <w:rsid w:val="00386107"/>
    <w:rsid w:val="003936F1"/>
    <w:rsid w:val="00395C7F"/>
    <w:rsid w:val="003972E2"/>
    <w:rsid w:val="003A7EE3"/>
    <w:rsid w:val="003D243E"/>
    <w:rsid w:val="003E0002"/>
    <w:rsid w:val="003E4E7D"/>
    <w:rsid w:val="003F1BB9"/>
    <w:rsid w:val="003F20AC"/>
    <w:rsid w:val="003F5C6C"/>
    <w:rsid w:val="00421F3D"/>
    <w:rsid w:val="00441EFA"/>
    <w:rsid w:val="004779E4"/>
    <w:rsid w:val="004914C9"/>
    <w:rsid w:val="004A25B8"/>
    <w:rsid w:val="004C5CCA"/>
    <w:rsid w:val="004D6102"/>
    <w:rsid w:val="005010A5"/>
    <w:rsid w:val="00503A06"/>
    <w:rsid w:val="00510B7E"/>
    <w:rsid w:val="005144F0"/>
    <w:rsid w:val="005567AA"/>
    <w:rsid w:val="00574983"/>
    <w:rsid w:val="005A2D3C"/>
    <w:rsid w:val="005A4135"/>
    <w:rsid w:val="005B1C47"/>
    <w:rsid w:val="005C087B"/>
    <w:rsid w:val="005E1057"/>
    <w:rsid w:val="005E12EB"/>
    <w:rsid w:val="005F4503"/>
    <w:rsid w:val="00664016"/>
    <w:rsid w:val="006671C1"/>
    <w:rsid w:val="006B6153"/>
    <w:rsid w:val="006C7871"/>
    <w:rsid w:val="006D6F50"/>
    <w:rsid w:val="0071751A"/>
    <w:rsid w:val="00723F7F"/>
    <w:rsid w:val="00757C88"/>
    <w:rsid w:val="00787F70"/>
    <w:rsid w:val="00795896"/>
    <w:rsid w:val="007A2846"/>
    <w:rsid w:val="007E0418"/>
    <w:rsid w:val="007F73E8"/>
    <w:rsid w:val="008251D5"/>
    <w:rsid w:val="0083226B"/>
    <w:rsid w:val="0085788D"/>
    <w:rsid w:val="00863A6B"/>
    <w:rsid w:val="00871D14"/>
    <w:rsid w:val="00894C0B"/>
    <w:rsid w:val="00895620"/>
    <w:rsid w:val="008A62B6"/>
    <w:rsid w:val="008C2D85"/>
    <w:rsid w:val="008C5EFD"/>
    <w:rsid w:val="008D1D1D"/>
    <w:rsid w:val="008D7784"/>
    <w:rsid w:val="008E1441"/>
    <w:rsid w:val="008E28D0"/>
    <w:rsid w:val="008E2A1D"/>
    <w:rsid w:val="009011BB"/>
    <w:rsid w:val="00930466"/>
    <w:rsid w:val="009468DE"/>
    <w:rsid w:val="00961E7A"/>
    <w:rsid w:val="00965EC5"/>
    <w:rsid w:val="00982E2D"/>
    <w:rsid w:val="00993AF8"/>
    <w:rsid w:val="00994487"/>
    <w:rsid w:val="00994573"/>
    <w:rsid w:val="009C193A"/>
    <w:rsid w:val="009C2698"/>
    <w:rsid w:val="009C6EC3"/>
    <w:rsid w:val="009D268B"/>
    <w:rsid w:val="00A00690"/>
    <w:rsid w:val="00A20B07"/>
    <w:rsid w:val="00A5598F"/>
    <w:rsid w:val="00A6116B"/>
    <w:rsid w:val="00A63E8D"/>
    <w:rsid w:val="00A734E1"/>
    <w:rsid w:val="00A756A5"/>
    <w:rsid w:val="00A86944"/>
    <w:rsid w:val="00AB1628"/>
    <w:rsid w:val="00AC01DB"/>
    <w:rsid w:val="00AE67ED"/>
    <w:rsid w:val="00AF411D"/>
    <w:rsid w:val="00B07789"/>
    <w:rsid w:val="00B22A0F"/>
    <w:rsid w:val="00B40711"/>
    <w:rsid w:val="00B61B71"/>
    <w:rsid w:val="00B63D35"/>
    <w:rsid w:val="00B81734"/>
    <w:rsid w:val="00BA634B"/>
    <w:rsid w:val="00BB46D0"/>
    <w:rsid w:val="00BC20F9"/>
    <w:rsid w:val="00BC569A"/>
    <w:rsid w:val="00BE5F81"/>
    <w:rsid w:val="00BE69DA"/>
    <w:rsid w:val="00BF3C84"/>
    <w:rsid w:val="00C17529"/>
    <w:rsid w:val="00C25D8B"/>
    <w:rsid w:val="00C263CF"/>
    <w:rsid w:val="00C5682B"/>
    <w:rsid w:val="00C60E15"/>
    <w:rsid w:val="00C66492"/>
    <w:rsid w:val="00C75E72"/>
    <w:rsid w:val="00C764BA"/>
    <w:rsid w:val="00C7670A"/>
    <w:rsid w:val="00C77F39"/>
    <w:rsid w:val="00C9778A"/>
    <w:rsid w:val="00CB19F2"/>
    <w:rsid w:val="00CB5040"/>
    <w:rsid w:val="00CC44E3"/>
    <w:rsid w:val="00CC54C0"/>
    <w:rsid w:val="00CE4A9E"/>
    <w:rsid w:val="00CF1C33"/>
    <w:rsid w:val="00D0363E"/>
    <w:rsid w:val="00D12C10"/>
    <w:rsid w:val="00D13750"/>
    <w:rsid w:val="00D352B8"/>
    <w:rsid w:val="00D50F32"/>
    <w:rsid w:val="00D53716"/>
    <w:rsid w:val="00D7404F"/>
    <w:rsid w:val="00D75E5F"/>
    <w:rsid w:val="00D93BE3"/>
    <w:rsid w:val="00D96B10"/>
    <w:rsid w:val="00DA2E1D"/>
    <w:rsid w:val="00DB3F8C"/>
    <w:rsid w:val="00DC51A4"/>
    <w:rsid w:val="00DE2031"/>
    <w:rsid w:val="00DF14BF"/>
    <w:rsid w:val="00DF27E7"/>
    <w:rsid w:val="00E00510"/>
    <w:rsid w:val="00E1538F"/>
    <w:rsid w:val="00E22AE8"/>
    <w:rsid w:val="00E64441"/>
    <w:rsid w:val="00E658FC"/>
    <w:rsid w:val="00E9365D"/>
    <w:rsid w:val="00EA06FE"/>
    <w:rsid w:val="00EB4E09"/>
    <w:rsid w:val="00EC0431"/>
    <w:rsid w:val="00F040C5"/>
    <w:rsid w:val="00F71C42"/>
    <w:rsid w:val="00F73D16"/>
    <w:rsid w:val="00F8391E"/>
    <w:rsid w:val="00FC21E7"/>
    <w:rsid w:val="00FF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9B90CE8"/>
  <w15:docId w15:val="{83CB32B4-B8FF-43F1-90AD-E8C32678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5"/>
        <w:szCs w:val="25"/>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8F"/>
    <w:pPr>
      <w:spacing w:line="250" w:lineRule="exact"/>
    </w:pPr>
  </w:style>
  <w:style w:type="paragraph" w:styleId="Heading1">
    <w:name w:val="heading 1"/>
    <w:basedOn w:val="Normal"/>
    <w:next w:val="BodyText"/>
    <w:qFormat/>
    <w:rsid w:val="00C17529"/>
    <w:pPr>
      <w:keepNext/>
      <w:numPr>
        <w:numId w:val="12"/>
      </w:numPr>
      <w:spacing w:after="250"/>
      <w:ind w:left="1440" w:right="1440"/>
      <w:jc w:val="center"/>
      <w:outlineLvl w:val="0"/>
    </w:pPr>
    <w:rPr>
      <w:b/>
      <w:caps/>
      <w:snapToGrid w:val="0"/>
      <w:u w:val="single"/>
    </w:rPr>
  </w:style>
  <w:style w:type="paragraph" w:styleId="Heading2">
    <w:name w:val="heading 2"/>
    <w:basedOn w:val="Normal"/>
    <w:next w:val="BodyText"/>
    <w:qFormat/>
    <w:rsid w:val="00C17529"/>
    <w:pPr>
      <w:keepNext/>
      <w:numPr>
        <w:ilvl w:val="1"/>
        <w:numId w:val="12"/>
      </w:numPr>
      <w:spacing w:after="250"/>
      <w:outlineLvl w:val="1"/>
    </w:pPr>
    <w:rPr>
      <w:b/>
      <w:snapToGrid w:val="0"/>
      <w:u w:val="single"/>
    </w:rPr>
  </w:style>
  <w:style w:type="paragraph" w:styleId="Heading3">
    <w:name w:val="heading 3"/>
    <w:basedOn w:val="Normal"/>
    <w:next w:val="BodyText"/>
    <w:qFormat/>
    <w:rsid w:val="00C17529"/>
    <w:pPr>
      <w:numPr>
        <w:ilvl w:val="2"/>
        <w:numId w:val="12"/>
      </w:numPr>
      <w:spacing w:after="250"/>
      <w:outlineLvl w:val="2"/>
    </w:pPr>
    <w:rPr>
      <w:b/>
      <w:snapToGrid w:val="0"/>
    </w:rPr>
  </w:style>
  <w:style w:type="paragraph" w:styleId="Heading4">
    <w:name w:val="heading 4"/>
    <w:basedOn w:val="Normal"/>
    <w:next w:val="BodyText"/>
    <w:qFormat/>
    <w:rsid w:val="00C17529"/>
    <w:pPr>
      <w:numPr>
        <w:ilvl w:val="3"/>
        <w:numId w:val="12"/>
      </w:numPr>
      <w:spacing w:after="250"/>
      <w:outlineLvl w:val="3"/>
    </w:pPr>
    <w:rPr>
      <w:snapToGrid w:val="0"/>
    </w:rPr>
  </w:style>
  <w:style w:type="paragraph" w:styleId="Heading5">
    <w:name w:val="heading 5"/>
    <w:basedOn w:val="Normal"/>
    <w:next w:val="BodyText"/>
    <w:qFormat/>
    <w:rsid w:val="00C17529"/>
    <w:pPr>
      <w:numPr>
        <w:ilvl w:val="4"/>
        <w:numId w:val="12"/>
      </w:numPr>
      <w:spacing w:after="250"/>
      <w:outlineLvl w:val="4"/>
    </w:pPr>
    <w:rPr>
      <w:snapToGrid w:val="0"/>
    </w:rPr>
  </w:style>
  <w:style w:type="paragraph" w:styleId="Heading6">
    <w:name w:val="heading 6"/>
    <w:basedOn w:val="Normal"/>
    <w:next w:val="BodyText"/>
    <w:qFormat/>
    <w:rsid w:val="00C17529"/>
    <w:pPr>
      <w:numPr>
        <w:ilvl w:val="5"/>
        <w:numId w:val="12"/>
      </w:numPr>
      <w:spacing w:after="250"/>
      <w:outlineLvl w:val="5"/>
    </w:pPr>
    <w:rPr>
      <w:rFonts w:cs="Arial"/>
      <w:snapToGrid w:val="0"/>
      <w:szCs w:val="22"/>
    </w:rPr>
  </w:style>
  <w:style w:type="paragraph" w:styleId="Heading7">
    <w:name w:val="heading 7"/>
    <w:basedOn w:val="Normal"/>
    <w:next w:val="BodyText"/>
    <w:qFormat/>
    <w:rsid w:val="00C17529"/>
    <w:pPr>
      <w:numPr>
        <w:ilvl w:val="6"/>
        <w:numId w:val="12"/>
      </w:numPr>
      <w:spacing w:after="250"/>
      <w:outlineLvl w:val="6"/>
    </w:pPr>
    <w:rPr>
      <w:snapToGrid w:val="0"/>
      <w:szCs w:val="24"/>
    </w:rPr>
  </w:style>
  <w:style w:type="paragraph" w:styleId="Heading8">
    <w:name w:val="heading 8"/>
    <w:basedOn w:val="Normal"/>
    <w:next w:val="BodyText"/>
    <w:qFormat/>
    <w:rsid w:val="00C17529"/>
    <w:pPr>
      <w:numPr>
        <w:ilvl w:val="7"/>
        <w:numId w:val="12"/>
      </w:numPr>
      <w:spacing w:after="250"/>
      <w:outlineLvl w:val="7"/>
    </w:pPr>
    <w:rPr>
      <w:iCs/>
      <w:snapToGrid w:val="0"/>
      <w:szCs w:val="24"/>
    </w:rPr>
  </w:style>
  <w:style w:type="paragraph" w:styleId="Heading9">
    <w:name w:val="heading 9"/>
    <w:basedOn w:val="Normal"/>
    <w:next w:val="BodyText"/>
    <w:qFormat/>
    <w:rsid w:val="00C17529"/>
    <w:pPr>
      <w:numPr>
        <w:ilvl w:val="8"/>
        <w:numId w:val="12"/>
      </w:numPr>
      <w:spacing w:after="250"/>
      <w:outlineLvl w:val="8"/>
    </w:pPr>
    <w:rPr>
      <w:rFonts w:cs="Arial"/>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C17529"/>
    <w:pPr>
      <w:widowControl w:val="0"/>
      <w:spacing w:line="375" w:lineRule="exact"/>
    </w:pPr>
  </w:style>
  <w:style w:type="paragraph" w:styleId="BodyText">
    <w:name w:val="Body Text"/>
    <w:semiHidden/>
    <w:rsid w:val="00C17529"/>
    <w:pPr>
      <w:spacing w:line="500" w:lineRule="exact"/>
      <w:ind w:firstLine="720"/>
    </w:pPr>
  </w:style>
  <w:style w:type="paragraph" w:customStyle="1" w:styleId="BlockQuote">
    <w:name w:val="BlockQuote"/>
    <w:basedOn w:val="Normal"/>
    <w:next w:val="BodyText"/>
    <w:rsid w:val="00C17529"/>
    <w:pPr>
      <w:widowControl w:val="0"/>
      <w:spacing w:after="250"/>
      <w:ind w:left="1440" w:right="1440"/>
    </w:pPr>
    <w:rPr>
      <w:snapToGrid w:val="0"/>
    </w:rPr>
  </w:style>
  <w:style w:type="paragraph" w:customStyle="1" w:styleId="DoubleSpaced">
    <w:name w:val="Double Spaced"/>
    <w:basedOn w:val="Normal"/>
    <w:rsid w:val="00C17529"/>
    <w:pPr>
      <w:spacing w:line="500" w:lineRule="exact"/>
    </w:pPr>
  </w:style>
  <w:style w:type="paragraph" w:customStyle="1" w:styleId="PolicyQuote">
    <w:name w:val="PolicyQuote"/>
    <w:basedOn w:val="BodyText"/>
    <w:next w:val="BodyText"/>
    <w:rsid w:val="00C17529"/>
    <w:pPr>
      <w:spacing w:after="120" w:line="240" w:lineRule="auto"/>
      <w:ind w:left="1440" w:right="1440"/>
    </w:pPr>
    <w:rPr>
      <w:rFonts w:ascii="Univers" w:hAnsi="Univers"/>
      <w:snapToGrid w:val="0"/>
    </w:rPr>
  </w:style>
  <w:style w:type="paragraph" w:customStyle="1" w:styleId="SingleSpaced">
    <w:name w:val="Single Spaced"/>
    <w:basedOn w:val="Normal"/>
    <w:rsid w:val="00C17529"/>
  </w:style>
  <w:style w:type="paragraph" w:styleId="Header">
    <w:name w:val="header"/>
    <w:basedOn w:val="Normal"/>
    <w:semiHidden/>
    <w:rsid w:val="00C17529"/>
    <w:pPr>
      <w:tabs>
        <w:tab w:val="center" w:pos="4680"/>
        <w:tab w:val="right" w:pos="9360"/>
      </w:tabs>
    </w:pPr>
  </w:style>
  <w:style w:type="paragraph" w:styleId="Footer">
    <w:name w:val="footer"/>
    <w:basedOn w:val="Normal"/>
    <w:link w:val="FooterChar"/>
    <w:uiPriority w:val="99"/>
    <w:rsid w:val="00C17529"/>
    <w:pPr>
      <w:widowControl w:val="0"/>
      <w:tabs>
        <w:tab w:val="center" w:pos="4680"/>
        <w:tab w:val="right" w:pos="9360"/>
      </w:tabs>
      <w:spacing w:line="220" w:lineRule="exact"/>
    </w:pPr>
  </w:style>
  <w:style w:type="paragraph" w:customStyle="1" w:styleId="AfterQuote">
    <w:name w:val="AfterQuote"/>
    <w:basedOn w:val="BodyText"/>
    <w:next w:val="BodyText"/>
    <w:rsid w:val="00C17529"/>
    <w:pPr>
      <w:widowControl w:val="0"/>
      <w:ind w:firstLine="0"/>
    </w:pPr>
  </w:style>
  <w:style w:type="paragraph" w:styleId="TOC1">
    <w:name w:val="toc 1"/>
    <w:basedOn w:val="Normal"/>
    <w:next w:val="Normal"/>
    <w:autoRedefine/>
    <w:semiHidden/>
    <w:rsid w:val="00C17529"/>
    <w:pPr>
      <w:spacing w:after="120"/>
      <w:ind w:left="360" w:right="720" w:hanging="360"/>
    </w:pPr>
    <w:rPr>
      <w:caps/>
      <w:noProof/>
    </w:rPr>
  </w:style>
  <w:style w:type="paragraph" w:styleId="TOC2">
    <w:name w:val="toc 2"/>
    <w:basedOn w:val="Normal"/>
    <w:next w:val="Normal"/>
    <w:autoRedefine/>
    <w:semiHidden/>
    <w:rsid w:val="00C17529"/>
    <w:pPr>
      <w:spacing w:after="120"/>
      <w:ind w:left="1080" w:right="720" w:hanging="360"/>
    </w:pPr>
    <w:rPr>
      <w:noProof/>
    </w:rPr>
  </w:style>
  <w:style w:type="paragraph" w:styleId="TOC3">
    <w:name w:val="toc 3"/>
    <w:basedOn w:val="Normal"/>
    <w:next w:val="Normal"/>
    <w:autoRedefine/>
    <w:semiHidden/>
    <w:rsid w:val="00C17529"/>
    <w:pPr>
      <w:spacing w:after="120"/>
      <w:ind w:left="1800" w:right="720" w:hanging="360"/>
    </w:pPr>
    <w:rPr>
      <w:noProof/>
    </w:rPr>
  </w:style>
  <w:style w:type="paragraph" w:styleId="FootnoteText">
    <w:name w:val="footnote text"/>
    <w:basedOn w:val="Normal"/>
    <w:semiHidden/>
    <w:rsid w:val="00C17529"/>
    <w:pPr>
      <w:spacing w:after="250"/>
    </w:pPr>
  </w:style>
  <w:style w:type="paragraph" w:customStyle="1" w:styleId="CenteredHeading">
    <w:name w:val="Centered Heading"/>
    <w:basedOn w:val="BodyText"/>
    <w:next w:val="BodyText"/>
    <w:rsid w:val="00C17529"/>
    <w:pPr>
      <w:keepNext/>
      <w:spacing w:after="120" w:line="240" w:lineRule="auto"/>
      <w:ind w:left="1440" w:right="1080" w:firstLine="0"/>
      <w:jc w:val="center"/>
    </w:pPr>
    <w:rPr>
      <w:b/>
      <w:caps/>
    </w:rPr>
  </w:style>
  <w:style w:type="paragraph" w:styleId="BlockText">
    <w:name w:val="Block Text"/>
    <w:basedOn w:val="Normal"/>
    <w:next w:val="BodyText"/>
    <w:semiHidden/>
    <w:rsid w:val="00C17529"/>
    <w:pPr>
      <w:spacing w:after="120"/>
      <w:ind w:left="1440" w:right="1440"/>
    </w:pPr>
  </w:style>
  <w:style w:type="paragraph" w:styleId="BodyText2">
    <w:name w:val="Body Text 2"/>
    <w:basedOn w:val="Normal"/>
    <w:semiHidden/>
    <w:rsid w:val="00C17529"/>
    <w:pPr>
      <w:spacing w:line="500" w:lineRule="exact"/>
    </w:pPr>
  </w:style>
  <w:style w:type="paragraph" w:styleId="BodyText3">
    <w:name w:val="Body Text 3"/>
    <w:basedOn w:val="Normal"/>
    <w:semiHidden/>
    <w:rsid w:val="00C17529"/>
    <w:pPr>
      <w:spacing w:after="120"/>
    </w:pPr>
    <w:rPr>
      <w:sz w:val="16"/>
    </w:rPr>
  </w:style>
  <w:style w:type="paragraph" w:styleId="BodyTextFirstIndent">
    <w:name w:val="Body Text First Indent"/>
    <w:basedOn w:val="Normal"/>
    <w:semiHidden/>
    <w:rsid w:val="00C17529"/>
    <w:pPr>
      <w:spacing w:after="120"/>
      <w:ind w:firstLine="216"/>
    </w:pPr>
  </w:style>
  <w:style w:type="paragraph" w:styleId="BodyTextIndent">
    <w:name w:val="Body Text Indent"/>
    <w:basedOn w:val="Normal"/>
    <w:semiHidden/>
    <w:rsid w:val="00C17529"/>
    <w:pPr>
      <w:spacing w:after="120"/>
      <w:ind w:left="360"/>
    </w:pPr>
  </w:style>
  <w:style w:type="paragraph" w:styleId="BodyTextFirstIndent2">
    <w:name w:val="Body Text First Indent 2"/>
    <w:basedOn w:val="BodyTextIndent"/>
    <w:semiHidden/>
    <w:rsid w:val="00C17529"/>
    <w:pPr>
      <w:ind w:firstLine="210"/>
    </w:pPr>
  </w:style>
  <w:style w:type="paragraph" w:styleId="BodyTextIndent2">
    <w:name w:val="Body Text Indent 2"/>
    <w:basedOn w:val="Normal"/>
    <w:semiHidden/>
    <w:rsid w:val="00C17529"/>
    <w:pPr>
      <w:spacing w:after="120" w:line="500" w:lineRule="exact"/>
      <w:ind w:left="360"/>
    </w:pPr>
  </w:style>
  <w:style w:type="paragraph" w:styleId="BodyTextIndent3">
    <w:name w:val="Body Text Indent 3"/>
    <w:basedOn w:val="Normal"/>
    <w:semiHidden/>
    <w:rsid w:val="00C17529"/>
    <w:pPr>
      <w:spacing w:after="120"/>
      <w:ind w:left="360"/>
    </w:pPr>
    <w:rPr>
      <w:sz w:val="16"/>
    </w:rPr>
  </w:style>
  <w:style w:type="paragraph" w:styleId="Caption">
    <w:name w:val="caption"/>
    <w:basedOn w:val="Normal"/>
    <w:next w:val="Normal"/>
    <w:uiPriority w:val="99"/>
    <w:semiHidden/>
    <w:qFormat/>
    <w:rsid w:val="00C17529"/>
    <w:pPr>
      <w:spacing w:before="120" w:after="120"/>
    </w:pPr>
    <w:rPr>
      <w:b/>
    </w:rPr>
  </w:style>
  <w:style w:type="paragraph" w:styleId="Closing">
    <w:name w:val="Closing"/>
    <w:basedOn w:val="Normal"/>
    <w:semiHidden/>
    <w:rsid w:val="00C17529"/>
    <w:pPr>
      <w:ind w:left="4320"/>
    </w:pPr>
  </w:style>
  <w:style w:type="character" w:styleId="CommentReference">
    <w:name w:val="annotation reference"/>
    <w:basedOn w:val="DefaultParagraphFont"/>
    <w:semiHidden/>
    <w:rsid w:val="00C17529"/>
    <w:rPr>
      <w:sz w:val="16"/>
    </w:rPr>
  </w:style>
  <w:style w:type="paragraph" w:styleId="CommentText">
    <w:name w:val="annotation text"/>
    <w:basedOn w:val="Normal"/>
    <w:link w:val="CommentTextChar"/>
    <w:semiHidden/>
    <w:rsid w:val="00C17529"/>
    <w:rPr>
      <w:sz w:val="20"/>
    </w:rPr>
  </w:style>
  <w:style w:type="paragraph" w:styleId="Date">
    <w:name w:val="Date"/>
    <w:basedOn w:val="Normal"/>
    <w:next w:val="Normal"/>
    <w:semiHidden/>
    <w:rsid w:val="00C17529"/>
  </w:style>
  <w:style w:type="paragraph" w:styleId="DocumentMap">
    <w:name w:val="Document Map"/>
    <w:basedOn w:val="Normal"/>
    <w:semiHidden/>
    <w:rsid w:val="00C17529"/>
    <w:pPr>
      <w:shd w:val="clear" w:color="auto" w:fill="000080"/>
    </w:pPr>
    <w:rPr>
      <w:rFonts w:ascii="Tahoma" w:hAnsi="Tahoma"/>
    </w:rPr>
  </w:style>
  <w:style w:type="character" w:styleId="Emphasis">
    <w:name w:val="Emphasis"/>
    <w:basedOn w:val="DefaultParagraphFont"/>
    <w:uiPriority w:val="99"/>
    <w:semiHidden/>
    <w:qFormat/>
    <w:rsid w:val="00C17529"/>
    <w:rPr>
      <w:i/>
    </w:rPr>
  </w:style>
  <w:style w:type="character" w:styleId="EndnoteReference">
    <w:name w:val="endnote reference"/>
    <w:basedOn w:val="DefaultParagraphFont"/>
    <w:semiHidden/>
    <w:rsid w:val="00C17529"/>
    <w:rPr>
      <w:vertAlign w:val="superscript"/>
    </w:rPr>
  </w:style>
  <w:style w:type="paragraph" w:styleId="EndnoteText">
    <w:name w:val="endnote text"/>
    <w:basedOn w:val="Normal"/>
    <w:semiHidden/>
    <w:rsid w:val="00C17529"/>
    <w:rPr>
      <w:sz w:val="20"/>
    </w:rPr>
  </w:style>
  <w:style w:type="paragraph" w:styleId="EnvelopeAddress">
    <w:name w:val="envelope address"/>
    <w:basedOn w:val="Normal"/>
    <w:semiHidden/>
    <w:rsid w:val="00C17529"/>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17529"/>
    <w:rPr>
      <w:rFonts w:ascii="Arial" w:hAnsi="Arial"/>
      <w:sz w:val="20"/>
    </w:rPr>
  </w:style>
  <w:style w:type="character" w:styleId="FollowedHyperlink">
    <w:name w:val="FollowedHyperlink"/>
    <w:basedOn w:val="DefaultParagraphFont"/>
    <w:semiHidden/>
    <w:rsid w:val="00C17529"/>
    <w:rPr>
      <w:color w:val="800080"/>
      <w:u w:val="single"/>
    </w:rPr>
  </w:style>
  <w:style w:type="character" w:styleId="FootnoteReference">
    <w:name w:val="footnote reference"/>
    <w:basedOn w:val="DefaultParagraphFont"/>
    <w:semiHidden/>
    <w:rsid w:val="00C17529"/>
    <w:rPr>
      <w:vertAlign w:val="superscript"/>
    </w:rPr>
  </w:style>
  <w:style w:type="character" w:styleId="Hyperlink">
    <w:name w:val="Hyperlink"/>
    <w:basedOn w:val="DefaultParagraphFont"/>
    <w:rsid w:val="00C17529"/>
    <w:rPr>
      <w:color w:val="0000FF"/>
      <w:u w:val="single"/>
    </w:rPr>
  </w:style>
  <w:style w:type="paragraph" w:styleId="Index1">
    <w:name w:val="index 1"/>
    <w:basedOn w:val="Normal"/>
    <w:next w:val="Normal"/>
    <w:autoRedefine/>
    <w:semiHidden/>
    <w:rsid w:val="00C17529"/>
    <w:pPr>
      <w:ind w:left="240" w:hanging="240"/>
    </w:pPr>
  </w:style>
  <w:style w:type="paragraph" w:styleId="Index2">
    <w:name w:val="index 2"/>
    <w:basedOn w:val="Normal"/>
    <w:next w:val="Normal"/>
    <w:autoRedefine/>
    <w:semiHidden/>
    <w:rsid w:val="00C17529"/>
    <w:pPr>
      <w:ind w:left="480" w:hanging="240"/>
    </w:pPr>
  </w:style>
  <w:style w:type="paragraph" w:styleId="Index3">
    <w:name w:val="index 3"/>
    <w:basedOn w:val="Normal"/>
    <w:next w:val="Normal"/>
    <w:autoRedefine/>
    <w:semiHidden/>
    <w:rsid w:val="00C17529"/>
    <w:pPr>
      <w:ind w:left="720" w:hanging="240"/>
    </w:pPr>
  </w:style>
  <w:style w:type="paragraph" w:styleId="Index4">
    <w:name w:val="index 4"/>
    <w:basedOn w:val="Normal"/>
    <w:next w:val="Normal"/>
    <w:autoRedefine/>
    <w:semiHidden/>
    <w:rsid w:val="00C17529"/>
    <w:pPr>
      <w:ind w:left="960" w:hanging="240"/>
    </w:pPr>
  </w:style>
  <w:style w:type="paragraph" w:styleId="Index5">
    <w:name w:val="index 5"/>
    <w:basedOn w:val="Normal"/>
    <w:next w:val="Normal"/>
    <w:autoRedefine/>
    <w:semiHidden/>
    <w:rsid w:val="00C17529"/>
    <w:pPr>
      <w:ind w:left="1200" w:hanging="240"/>
    </w:pPr>
  </w:style>
  <w:style w:type="paragraph" w:styleId="Index6">
    <w:name w:val="index 6"/>
    <w:basedOn w:val="Normal"/>
    <w:next w:val="Normal"/>
    <w:autoRedefine/>
    <w:semiHidden/>
    <w:rsid w:val="00C17529"/>
    <w:pPr>
      <w:ind w:left="1440" w:hanging="240"/>
    </w:pPr>
  </w:style>
  <w:style w:type="paragraph" w:styleId="Index7">
    <w:name w:val="index 7"/>
    <w:basedOn w:val="Normal"/>
    <w:next w:val="Normal"/>
    <w:autoRedefine/>
    <w:semiHidden/>
    <w:rsid w:val="00C17529"/>
    <w:pPr>
      <w:ind w:left="1680" w:hanging="240"/>
    </w:pPr>
  </w:style>
  <w:style w:type="paragraph" w:styleId="Index8">
    <w:name w:val="index 8"/>
    <w:basedOn w:val="Normal"/>
    <w:next w:val="Normal"/>
    <w:autoRedefine/>
    <w:semiHidden/>
    <w:rsid w:val="00C17529"/>
    <w:pPr>
      <w:ind w:left="1920" w:hanging="240"/>
    </w:pPr>
  </w:style>
  <w:style w:type="paragraph" w:styleId="Index9">
    <w:name w:val="index 9"/>
    <w:basedOn w:val="Normal"/>
    <w:next w:val="Normal"/>
    <w:autoRedefine/>
    <w:semiHidden/>
    <w:rsid w:val="00C17529"/>
    <w:pPr>
      <w:ind w:left="2160" w:hanging="240"/>
    </w:pPr>
  </w:style>
  <w:style w:type="paragraph" w:styleId="IndexHeading">
    <w:name w:val="index heading"/>
    <w:basedOn w:val="Normal"/>
    <w:next w:val="Index1"/>
    <w:semiHidden/>
    <w:rsid w:val="00C17529"/>
    <w:rPr>
      <w:rFonts w:ascii="Arial" w:hAnsi="Arial"/>
      <w:b/>
    </w:rPr>
  </w:style>
  <w:style w:type="character" w:styleId="LineNumber">
    <w:name w:val="line number"/>
    <w:basedOn w:val="DefaultParagraphFont"/>
    <w:semiHidden/>
    <w:rsid w:val="00C17529"/>
  </w:style>
  <w:style w:type="paragraph" w:styleId="List">
    <w:name w:val="List"/>
    <w:basedOn w:val="Normal"/>
    <w:semiHidden/>
    <w:rsid w:val="00C17529"/>
    <w:pPr>
      <w:ind w:left="360" w:hanging="360"/>
    </w:pPr>
  </w:style>
  <w:style w:type="paragraph" w:styleId="List2">
    <w:name w:val="List 2"/>
    <w:basedOn w:val="Normal"/>
    <w:semiHidden/>
    <w:rsid w:val="00C17529"/>
    <w:pPr>
      <w:ind w:left="720" w:hanging="360"/>
    </w:pPr>
  </w:style>
  <w:style w:type="paragraph" w:styleId="List3">
    <w:name w:val="List 3"/>
    <w:basedOn w:val="Normal"/>
    <w:semiHidden/>
    <w:rsid w:val="00C17529"/>
    <w:pPr>
      <w:ind w:left="1080" w:hanging="360"/>
    </w:pPr>
  </w:style>
  <w:style w:type="paragraph" w:styleId="List4">
    <w:name w:val="List 4"/>
    <w:basedOn w:val="Normal"/>
    <w:semiHidden/>
    <w:rsid w:val="00C17529"/>
    <w:pPr>
      <w:ind w:left="1440" w:hanging="360"/>
    </w:pPr>
  </w:style>
  <w:style w:type="paragraph" w:styleId="List5">
    <w:name w:val="List 5"/>
    <w:basedOn w:val="Normal"/>
    <w:semiHidden/>
    <w:rsid w:val="00C17529"/>
    <w:pPr>
      <w:ind w:left="1800" w:hanging="360"/>
    </w:pPr>
  </w:style>
  <w:style w:type="paragraph" w:styleId="ListBullet">
    <w:name w:val="List Bullet"/>
    <w:basedOn w:val="Normal"/>
    <w:autoRedefine/>
    <w:semiHidden/>
    <w:rsid w:val="00C17529"/>
    <w:pPr>
      <w:numPr>
        <w:numId w:val="1"/>
      </w:numPr>
    </w:pPr>
  </w:style>
  <w:style w:type="paragraph" w:styleId="ListBullet2">
    <w:name w:val="List Bullet 2"/>
    <w:basedOn w:val="Normal"/>
    <w:autoRedefine/>
    <w:semiHidden/>
    <w:rsid w:val="00C17529"/>
    <w:pPr>
      <w:numPr>
        <w:numId w:val="2"/>
      </w:numPr>
    </w:pPr>
  </w:style>
  <w:style w:type="paragraph" w:styleId="ListBullet3">
    <w:name w:val="List Bullet 3"/>
    <w:basedOn w:val="Normal"/>
    <w:autoRedefine/>
    <w:semiHidden/>
    <w:rsid w:val="00C17529"/>
    <w:pPr>
      <w:numPr>
        <w:numId w:val="3"/>
      </w:numPr>
    </w:pPr>
  </w:style>
  <w:style w:type="paragraph" w:styleId="ListBullet4">
    <w:name w:val="List Bullet 4"/>
    <w:basedOn w:val="Normal"/>
    <w:autoRedefine/>
    <w:semiHidden/>
    <w:rsid w:val="00C17529"/>
    <w:pPr>
      <w:numPr>
        <w:numId w:val="4"/>
      </w:numPr>
    </w:pPr>
  </w:style>
  <w:style w:type="paragraph" w:styleId="ListBullet5">
    <w:name w:val="List Bullet 5"/>
    <w:basedOn w:val="Normal"/>
    <w:autoRedefine/>
    <w:semiHidden/>
    <w:rsid w:val="00C17529"/>
    <w:pPr>
      <w:numPr>
        <w:numId w:val="5"/>
      </w:numPr>
    </w:pPr>
  </w:style>
  <w:style w:type="paragraph" w:styleId="ListContinue">
    <w:name w:val="List Continue"/>
    <w:basedOn w:val="Normal"/>
    <w:semiHidden/>
    <w:rsid w:val="00C17529"/>
    <w:pPr>
      <w:spacing w:after="120"/>
      <w:ind w:left="360"/>
    </w:pPr>
  </w:style>
  <w:style w:type="paragraph" w:styleId="ListContinue2">
    <w:name w:val="List Continue 2"/>
    <w:basedOn w:val="Normal"/>
    <w:semiHidden/>
    <w:rsid w:val="00C17529"/>
    <w:pPr>
      <w:spacing w:after="120"/>
      <w:ind w:left="720"/>
    </w:pPr>
  </w:style>
  <w:style w:type="paragraph" w:styleId="ListContinue3">
    <w:name w:val="List Continue 3"/>
    <w:basedOn w:val="Normal"/>
    <w:semiHidden/>
    <w:rsid w:val="00C17529"/>
    <w:pPr>
      <w:spacing w:after="120"/>
      <w:ind w:left="1080"/>
    </w:pPr>
  </w:style>
  <w:style w:type="paragraph" w:styleId="ListContinue4">
    <w:name w:val="List Continue 4"/>
    <w:basedOn w:val="Normal"/>
    <w:semiHidden/>
    <w:rsid w:val="00C17529"/>
    <w:pPr>
      <w:spacing w:after="120"/>
      <w:ind w:left="1440"/>
    </w:pPr>
  </w:style>
  <w:style w:type="paragraph" w:styleId="ListContinue5">
    <w:name w:val="List Continue 5"/>
    <w:basedOn w:val="Normal"/>
    <w:semiHidden/>
    <w:rsid w:val="00C17529"/>
    <w:pPr>
      <w:spacing w:after="120"/>
      <w:ind w:left="1800"/>
    </w:pPr>
  </w:style>
  <w:style w:type="paragraph" w:styleId="ListNumber">
    <w:name w:val="List Number"/>
    <w:basedOn w:val="Normal"/>
    <w:semiHidden/>
    <w:rsid w:val="00C17529"/>
    <w:pPr>
      <w:numPr>
        <w:numId w:val="6"/>
      </w:numPr>
    </w:pPr>
  </w:style>
  <w:style w:type="paragraph" w:styleId="ListNumber2">
    <w:name w:val="List Number 2"/>
    <w:basedOn w:val="Normal"/>
    <w:semiHidden/>
    <w:rsid w:val="00C17529"/>
    <w:pPr>
      <w:numPr>
        <w:numId w:val="7"/>
      </w:numPr>
    </w:pPr>
  </w:style>
  <w:style w:type="paragraph" w:styleId="ListNumber3">
    <w:name w:val="List Number 3"/>
    <w:basedOn w:val="Normal"/>
    <w:semiHidden/>
    <w:rsid w:val="00C17529"/>
    <w:pPr>
      <w:numPr>
        <w:numId w:val="8"/>
      </w:numPr>
    </w:pPr>
  </w:style>
  <w:style w:type="paragraph" w:styleId="ListNumber4">
    <w:name w:val="List Number 4"/>
    <w:basedOn w:val="Normal"/>
    <w:semiHidden/>
    <w:rsid w:val="00C17529"/>
    <w:pPr>
      <w:numPr>
        <w:numId w:val="9"/>
      </w:numPr>
    </w:pPr>
  </w:style>
  <w:style w:type="paragraph" w:styleId="ListNumber5">
    <w:name w:val="List Number 5"/>
    <w:basedOn w:val="Normal"/>
    <w:semiHidden/>
    <w:rsid w:val="00C17529"/>
    <w:pPr>
      <w:numPr>
        <w:numId w:val="10"/>
      </w:numPr>
    </w:pPr>
  </w:style>
  <w:style w:type="paragraph" w:styleId="MacroText">
    <w:name w:val="macro"/>
    <w:semiHidden/>
    <w:rsid w:val="00C175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1752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17529"/>
    <w:pPr>
      <w:ind w:left="720"/>
    </w:pPr>
  </w:style>
  <w:style w:type="paragraph" w:styleId="NoteHeading">
    <w:name w:val="Note Heading"/>
    <w:basedOn w:val="Normal"/>
    <w:next w:val="Normal"/>
    <w:semiHidden/>
    <w:rsid w:val="00C17529"/>
  </w:style>
  <w:style w:type="character" w:styleId="PageNumber">
    <w:name w:val="page number"/>
    <w:basedOn w:val="DefaultParagraphFont"/>
    <w:semiHidden/>
    <w:rsid w:val="00C17529"/>
  </w:style>
  <w:style w:type="paragraph" w:styleId="PlainText">
    <w:name w:val="Plain Text"/>
    <w:basedOn w:val="Normal"/>
    <w:semiHidden/>
    <w:rsid w:val="00C17529"/>
    <w:rPr>
      <w:rFonts w:ascii="Courier New" w:hAnsi="Courier New"/>
      <w:sz w:val="20"/>
    </w:rPr>
  </w:style>
  <w:style w:type="paragraph" w:styleId="Salutation">
    <w:name w:val="Salutation"/>
    <w:basedOn w:val="Normal"/>
    <w:next w:val="Normal"/>
    <w:semiHidden/>
    <w:rsid w:val="00C17529"/>
  </w:style>
  <w:style w:type="paragraph" w:styleId="Signature">
    <w:name w:val="Signature"/>
    <w:basedOn w:val="Normal"/>
    <w:semiHidden/>
    <w:rsid w:val="00C17529"/>
    <w:pPr>
      <w:ind w:left="4320"/>
    </w:pPr>
  </w:style>
  <w:style w:type="character" w:styleId="Strong">
    <w:name w:val="Strong"/>
    <w:basedOn w:val="DefaultParagraphFont"/>
    <w:uiPriority w:val="99"/>
    <w:semiHidden/>
    <w:qFormat/>
    <w:rsid w:val="00C17529"/>
    <w:rPr>
      <w:b/>
    </w:rPr>
  </w:style>
  <w:style w:type="paragraph" w:styleId="Subtitle">
    <w:name w:val="Subtitle"/>
    <w:basedOn w:val="Normal"/>
    <w:qFormat/>
    <w:rsid w:val="00C17529"/>
    <w:pPr>
      <w:spacing w:after="60"/>
      <w:jc w:val="center"/>
      <w:outlineLvl w:val="1"/>
    </w:pPr>
    <w:rPr>
      <w:rFonts w:ascii="Arial" w:hAnsi="Arial"/>
    </w:rPr>
  </w:style>
  <w:style w:type="paragraph" w:styleId="TableofAuthorities">
    <w:name w:val="table of authorities"/>
    <w:basedOn w:val="Normal"/>
    <w:next w:val="Normal"/>
    <w:semiHidden/>
    <w:rsid w:val="00C17529"/>
    <w:pPr>
      <w:spacing w:after="120"/>
      <w:ind w:left="360" w:right="1440" w:hanging="360"/>
    </w:pPr>
  </w:style>
  <w:style w:type="paragraph" w:styleId="TableofFigures">
    <w:name w:val="table of figures"/>
    <w:basedOn w:val="Normal"/>
    <w:next w:val="Normal"/>
    <w:semiHidden/>
    <w:rsid w:val="00C17529"/>
    <w:pPr>
      <w:ind w:left="480" w:hanging="480"/>
    </w:pPr>
  </w:style>
  <w:style w:type="paragraph" w:styleId="Title">
    <w:name w:val="Title"/>
    <w:basedOn w:val="Normal"/>
    <w:qFormat/>
    <w:rsid w:val="00C17529"/>
    <w:pPr>
      <w:spacing w:before="240" w:after="60"/>
      <w:jc w:val="center"/>
      <w:outlineLvl w:val="0"/>
    </w:pPr>
    <w:rPr>
      <w:rFonts w:ascii="Arial" w:hAnsi="Arial"/>
      <w:b/>
      <w:kern w:val="28"/>
      <w:sz w:val="32"/>
    </w:rPr>
  </w:style>
  <w:style w:type="paragraph" w:styleId="TOAHeading">
    <w:name w:val="toa heading"/>
    <w:basedOn w:val="Normal"/>
    <w:next w:val="Normal"/>
    <w:semiHidden/>
    <w:rsid w:val="00C17529"/>
    <w:pPr>
      <w:widowControl w:val="0"/>
      <w:spacing w:after="120"/>
    </w:pPr>
    <w:rPr>
      <w:b/>
    </w:rPr>
  </w:style>
  <w:style w:type="paragraph" w:styleId="TOC4">
    <w:name w:val="toc 4"/>
    <w:basedOn w:val="Normal"/>
    <w:next w:val="Normal"/>
    <w:autoRedefine/>
    <w:semiHidden/>
    <w:rsid w:val="00C17529"/>
    <w:pPr>
      <w:spacing w:after="120"/>
      <w:ind w:left="2520" w:right="720" w:hanging="360"/>
    </w:pPr>
    <w:rPr>
      <w:noProof/>
    </w:rPr>
  </w:style>
  <w:style w:type="paragraph" w:styleId="TOC5">
    <w:name w:val="toc 5"/>
    <w:basedOn w:val="Normal"/>
    <w:next w:val="Normal"/>
    <w:autoRedefine/>
    <w:semiHidden/>
    <w:rsid w:val="00C17529"/>
    <w:pPr>
      <w:spacing w:after="120"/>
      <w:ind w:left="3240" w:right="720" w:hanging="360"/>
    </w:pPr>
    <w:rPr>
      <w:noProof/>
    </w:rPr>
  </w:style>
  <w:style w:type="paragraph" w:styleId="TOC6">
    <w:name w:val="toc 6"/>
    <w:basedOn w:val="Normal"/>
    <w:next w:val="Normal"/>
    <w:autoRedefine/>
    <w:semiHidden/>
    <w:rsid w:val="00C17529"/>
    <w:pPr>
      <w:spacing w:after="120"/>
      <w:ind w:left="3960" w:right="720" w:hanging="360"/>
    </w:pPr>
    <w:rPr>
      <w:noProof/>
    </w:rPr>
  </w:style>
  <w:style w:type="paragraph" w:styleId="TOC7">
    <w:name w:val="toc 7"/>
    <w:basedOn w:val="Normal"/>
    <w:next w:val="Normal"/>
    <w:autoRedefine/>
    <w:semiHidden/>
    <w:rsid w:val="00C17529"/>
    <w:pPr>
      <w:spacing w:after="120"/>
      <w:ind w:left="4680" w:right="720" w:hanging="360"/>
    </w:pPr>
    <w:rPr>
      <w:noProof/>
    </w:rPr>
  </w:style>
  <w:style w:type="paragraph" w:styleId="TOC8">
    <w:name w:val="toc 8"/>
    <w:basedOn w:val="Normal"/>
    <w:next w:val="Normal"/>
    <w:autoRedefine/>
    <w:semiHidden/>
    <w:rsid w:val="00C17529"/>
    <w:pPr>
      <w:spacing w:after="120"/>
      <w:ind w:left="5400" w:right="720" w:hanging="360"/>
    </w:pPr>
    <w:rPr>
      <w:noProof/>
    </w:rPr>
  </w:style>
  <w:style w:type="paragraph" w:styleId="TOC9">
    <w:name w:val="toc 9"/>
    <w:basedOn w:val="Normal"/>
    <w:next w:val="Normal"/>
    <w:autoRedefine/>
    <w:semiHidden/>
    <w:rsid w:val="00C17529"/>
    <w:pPr>
      <w:spacing w:after="120"/>
      <w:ind w:left="6120" w:right="720" w:hanging="360"/>
    </w:pPr>
    <w:rPr>
      <w:noProof/>
    </w:rPr>
  </w:style>
  <w:style w:type="paragraph" w:customStyle="1" w:styleId="PlainCenteredHeading">
    <w:name w:val="Plain Centered Heading"/>
    <w:basedOn w:val="CenteredHeading"/>
    <w:rsid w:val="00C17529"/>
    <w:rPr>
      <w:b w:val="0"/>
      <w:caps w:val="0"/>
    </w:rPr>
  </w:style>
  <w:style w:type="paragraph" w:customStyle="1" w:styleId="CenteredNumber">
    <w:name w:val="Centered Number"/>
    <w:basedOn w:val="SingleSpaced"/>
    <w:next w:val="BodyText"/>
    <w:rsid w:val="00C60E15"/>
    <w:pPr>
      <w:numPr>
        <w:numId w:val="11"/>
      </w:numPr>
      <w:tabs>
        <w:tab w:val="clear" w:pos="360"/>
        <w:tab w:val="left" w:pos="1710"/>
      </w:tabs>
      <w:spacing w:after="250"/>
      <w:ind w:left="1440" w:right="1440" w:firstLine="0"/>
      <w:jc w:val="center"/>
    </w:pPr>
  </w:style>
  <w:style w:type="paragraph" w:customStyle="1" w:styleId="CourtName">
    <w:name w:val="Court Name"/>
    <w:basedOn w:val="Normal"/>
    <w:uiPriority w:val="99"/>
    <w:rsid w:val="00C17529"/>
    <w:pPr>
      <w:spacing w:before="250" w:after="500"/>
      <w:jc w:val="center"/>
    </w:pPr>
    <w:rPr>
      <w:bCs/>
      <w:caps/>
    </w:rPr>
  </w:style>
  <w:style w:type="paragraph" w:customStyle="1" w:styleId="DateSigned">
    <w:name w:val="DateSigned"/>
    <w:basedOn w:val="DateSignedIndent"/>
    <w:uiPriority w:val="99"/>
    <w:semiHidden/>
    <w:rsid w:val="00C17529"/>
    <w:pPr>
      <w:ind w:firstLine="0"/>
    </w:pPr>
  </w:style>
  <w:style w:type="paragraph" w:customStyle="1" w:styleId="DateSignedIndent">
    <w:name w:val="DateSigned Indent"/>
    <w:basedOn w:val="SingleSpaced"/>
    <w:next w:val="Normal"/>
    <w:rsid w:val="00C17529"/>
    <w:pPr>
      <w:keepNext/>
      <w:spacing w:after="250"/>
      <w:ind w:firstLine="720"/>
    </w:pPr>
  </w:style>
  <w:style w:type="character" w:customStyle="1" w:styleId="DocID">
    <w:name w:val="DocID"/>
    <w:basedOn w:val="DefaultParagraphFont"/>
    <w:uiPriority w:val="99"/>
    <w:semiHidden/>
    <w:rsid w:val="00C17529"/>
    <w:rPr>
      <w:sz w:val="16"/>
    </w:rPr>
  </w:style>
  <w:style w:type="paragraph" w:customStyle="1" w:styleId="PleadingTitleCentered">
    <w:name w:val="Pleading Title Centered"/>
    <w:basedOn w:val="SingleSpaced"/>
    <w:rsid w:val="00A6116B"/>
    <w:pPr>
      <w:tabs>
        <w:tab w:val="left" w:pos="2160"/>
      </w:tabs>
      <w:spacing w:line="240" w:lineRule="auto"/>
      <w:jc w:val="center"/>
    </w:pPr>
    <w:rPr>
      <w:rFonts w:ascii="Times New Roman Bold" w:hAnsi="Times New Roman Bold"/>
      <w:b/>
    </w:rPr>
  </w:style>
  <w:style w:type="paragraph" w:customStyle="1" w:styleId="SignatureBlock">
    <w:name w:val="Signature Block"/>
    <w:aliases w:val="Sig"/>
    <w:basedOn w:val="Normal"/>
    <w:rsid w:val="00C17529"/>
    <w:pPr>
      <w:keepNext/>
      <w:keepLines/>
      <w:widowControl w:val="0"/>
      <w:tabs>
        <w:tab w:val="left" w:pos="4770"/>
        <w:tab w:val="right" w:pos="9360"/>
      </w:tabs>
      <w:ind w:left="4320"/>
    </w:pPr>
  </w:style>
  <w:style w:type="paragraph" w:customStyle="1" w:styleId="SignatureBlockLeft-Aligned">
    <w:name w:val="Signature Block Left-Aligned"/>
    <w:basedOn w:val="SignatureBlock"/>
    <w:rsid w:val="00C17529"/>
    <w:pPr>
      <w:tabs>
        <w:tab w:val="clear" w:pos="9360"/>
        <w:tab w:val="left" w:pos="360"/>
        <w:tab w:val="right" w:pos="5040"/>
      </w:tabs>
      <w:ind w:left="0"/>
    </w:pPr>
  </w:style>
  <w:style w:type="paragraph" w:customStyle="1" w:styleId="Signatures">
    <w:name w:val="Signatures"/>
    <w:basedOn w:val="SingleSpaced"/>
    <w:rsid w:val="008C5EFD"/>
    <w:pPr>
      <w:keepNext/>
      <w:tabs>
        <w:tab w:val="left" w:pos="5760"/>
        <w:tab w:val="right" w:pos="9360"/>
      </w:tabs>
      <w:ind w:left="4766"/>
    </w:pPr>
  </w:style>
  <w:style w:type="paragraph" w:customStyle="1" w:styleId="SignaturesLeft-Aligned">
    <w:name w:val="Signatures Left-Aligned"/>
    <w:basedOn w:val="Signatures"/>
    <w:rsid w:val="00C17529"/>
    <w:pPr>
      <w:ind w:left="360"/>
    </w:pPr>
  </w:style>
  <w:style w:type="paragraph" w:styleId="BalloonText">
    <w:name w:val="Balloon Text"/>
    <w:basedOn w:val="Normal"/>
    <w:link w:val="BalloonTextChar"/>
    <w:uiPriority w:val="99"/>
    <w:semiHidden/>
    <w:unhideWhenUsed/>
    <w:rsid w:val="00093452"/>
    <w:pPr>
      <w:spacing w:line="240" w:lineRule="auto"/>
    </w:pPr>
    <w:rPr>
      <w:rFonts w:ascii="Tahoma" w:hAnsi="Tahoma" w:cs="Tahoma"/>
      <w:sz w:val="16"/>
      <w:szCs w:val="16"/>
    </w:rPr>
  </w:style>
  <w:style w:type="paragraph" w:customStyle="1" w:styleId="HeaderNumbers">
    <w:name w:val="HeaderNumbers"/>
    <w:basedOn w:val="Normal"/>
    <w:uiPriority w:val="99"/>
    <w:semiHidden/>
    <w:rsid w:val="00D75E5F"/>
    <w:pPr>
      <w:spacing w:before="900" w:line="500" w:lineRule="exact"/>
      <w:ind w:right="144"/>
      <w:jc w:val="right"/>
    </w:pPr>
  </w:style>
  <w:style w:type="paragraph" w:customStyle="1" w:styleId="PleadingTitle">
    <w:name w:val="Pleading Title"/>
    <w:basedOn w:val="Normal"/>
    <w:rsid w:val="00C17529"/>
    <w:pPr>
      <w:widowControl w:val="0"/>
      <w:ind w:left="144"/>
    </w:pPr>
    <w:rPr>
      <w:bCs/>
      <w:caps/>
    </w:rPr>
  </w:style>
  <w:style w:type="paragraph" w:styleId="TOCHeading">
    <w:name w:val="TOC Heading"/>
    <w:basedOn w:val="Normal"/>
    <w:qFormat/>
    <w:rsid w:val="00C17529"/>
    <w:pPr>
      <w:spacing w:after="120"/>
      <w:jc w:val="center"/>
    </w:pPr>
    <w:rPr>
      <w:b/>
      <w:caps/>
    </w:rPr>
  </w:style>
  <w:style w:type="paragraph" w:customStyle="1" w:styleId="TOCPage">
    <w:name w:val="TOC Page"/>
    <w:basedOn w:val="Normal"/>
    <w:rsid w:val="00C17529"/>
    <w:pPr>
      <w:spacing w:after="120"/>
      <w:jc w:val="right"/>
    </w:pPr>
    <w:rPr>
      <w:b/>
    </w:rPr>
  </w:style>
  <w:style w:type="paragraph" w:customStyle="1" w:styleId="captionlines">
    <w:name w:val="caption lines"/>
    <w:basedOn w:val="Normal"/>
    <w:uiPriority w:val="99"/>
    <w:semiHidden/>
    <w:rsid w:val="00C17529"/>
    <w:pPr>
      <w:widowControl w:val="0"/>
    </w:pPr>
  </w:style>
  <w:style w:type="character" w:customStyle="1" w:styleId="BalloonTextChar">
    <w:name w:val="Balloon Text Char"/>
    <w:basedOn w:val="DefaultParagraphFont"/>
    <w:link w:val="BalloonText"/>
    <w:uiPriority w:val="99"/>
    <w:semiHidden/>
    <w:rsid w:val="00093452"/>
    <w:rPr>
      <w:rFonts w:ascii="Tahoma" w:hAnsi="Tahoma" w:cs="Tahoma"/>
      <w:sz w:val="16"/>
      <w:szCs w:val="16"/>
    </w:rPr>
  </w:style>
  <w:style w:type="paragraph" w:customStyle="1" w:styleId="Party">
    <w:name w:val="Party"/>
    <w:basedOn w:val="Normal"/>
    <w:rsid w:val="00C17529"/>
    <w:pPr>
      <w:widowControl w:val="0"/>
      <w:spacing w:after="120"/>
      <w:jc w:val="right"/>
    </w:pPr>
    <w:rPr>
      <w:i/>
    </w:rPr>
  </w:style>
  <w:style w:type="paragraph" w:customStyle="1" w:styleId="PldCaption">
    <w:name w:val="PldCaption"/>
    <w:basedOn w:val="Normal"/>
    <w:uiPriority w:val="99"/>
    <w:rsid w:val="00C17529"/>
    <w:pPr>
      <w:tabs>
        <w:tab w:val="left" w:pos="2160"/>
      </w:tabs>
    </w:pPr>
    <w:rPr>
      <w:szCs w:val="24"/>
    </w:rPr>
  </w:style>
  <w:style w:type="paragraph" w:customStyle="1" w:styleId="border">
    <w:name w:val="border"/>
    <w:basedOn w:val="SingleSpaced"/>
    <w:uiPriority w:val="99"/>
    <w:rsid w:val="00C17529"/>
    <w:pPr>
      <w:widowControl w:val="0"/>
      <w:jc w:val="center"/>
    </w:pPr>
    <w:rPr>
      <w:bCs/>
    </w:rPr>
  </w:style>
  <w:style w:type="paragraph" w:customStyle="1" w:styleId="PleadingSummary">
    <w:name w:val="Pleading Summary"/>
    <w:basedOn w:val="Normal"/>
    <w:rsid w:val="00C17529"/>
    <w:pPr>
      <w:tabs>
        <w:tab w:val="left" w:pos="802"/>
      </w:tabs>
    </w:pPr>
    <w:rPr>
      <w:caps/>
      <w:sz w:val="20"/>
    </w:rPr>
  </w:style>
  <w:style w:type="paragraph" w:styleId="E-mailSignature">
    <w:name w:val="E-mail Signature"/>
    <w:basedOn w:val="Normal"/>
    <w:semiHidden/>
    <w:rsid w:val="00C17529"/>
  </w:style>
  <w:style w:type="paragraph" w:styleId="HTMLAddress">
    <w:name w:val="HTML Address"/>
    <w:basedOn w:val="Normal"/>
    <w:semiHidden/>
    <w:rsid w:val="00C17529"/>
    <w:rPr>
      <w:i/>
      <w:iCs/>
    </w:rPr>
  </w:style>
  <w:style w:type="paragraph" w:styleId="HTMLPreformatted">
    <w:name w:val="HTML Preformatted"/>
    <w:basedOn w:val="Normal"/>
    <w:semiHidden/>
    <w:rsid w:val="00C17529"/>
    <w:rPr>
      <w:rFonts w:ascii="Courier New" w:hAnsi="Courier New" w:cs="Courier New"/>
      <w:sz w:val="20"/>
    </w:rPr>
  </w:style>
  <w:style w:type="paragraph" w:styleId="NormalWeb">
    <w:name w:val="Normal (Web)"/>
    <w:basedOn w:val="Normal"/>
    <w:semiHidden/>
    <w:rsid w:val="00C17529"/>
    <w:rPr>
      <w:szCs w:val="24"/>
    </w:rPr>
  </w:style>
  <w:style w:type="paragraph" w:customStyle="1" w:styleId="OfficeAddressInFooter">
    <w:name w:val="OfficeAddressInFooter"/>
    <w:basedOn w:val="Normal"/>
    <w:uiPriority w:val="99"/>
    <w:semiHidden/>
    <w:rsid w:val="00C17529"/>
    <w:pPr>
      <w:spacing w:line="240" w:lineRule="auto"/>
    </w:pPr>
    <w:rPr>
      <w:sz w:val="12"/>
    </w:rPr>
  </w:style>
  <w:style w:type="paragraph" w:customStyle="1" w:styleId="Documentcode">
    <w:name w:val="Document code"/>
    <w:basedOn w:val="Normal"/>
    <w:uiPriority w:val="99"/>
    <w:semiHidden/>
    <w:rsid w:val="00C17529"/>
  </w:style>
  <w:style w:type="numbering" w:styleId="111111">
    <w:name w:val="Outline List 2"/>
    <w:basedOn w:val="NoList"/>
    <w:uiPriority w:val="99"/>
    <w:semiHidden/>
    <w:unhideWhenUsed/>
    <w:rsid w:val="00093452"/>
    <w:pPr>
      <w:numPr>
        <w:numId w:val="13"/>
      </w:numPr>
    </w:pPr>
  </w:style>
  <w:style w:type="paragraph" w:customStyle="1" w:styleId="HearingInfo">
    <w:name w:val="Hearing Info"/>
    <w:basedOn w:val="Normal"/>
    <w:uiPriority w:val="99"/>
    <w:rsid w:val="00C17529"/>
    <w:pPr>
      <w:jc w:val="right"/>
    </w:pPr>
  </w:style>
  <w:style w:type="paragraph" w:customStyle="1" w:styleId="CaseNo">
    <w:name w:val="CaseNo"/>
    <w:basedOn w:val="Normal"/>
    <w:uiPriority w:val="99"/>
    <w:rsid w:val="00C17529"/>
    <w:pPr>
      <w:ind w:left="138"/>
    </w:pPr>
  </w:style>
  <w:style w:type="paragraph" w:customStyle="1" w:styleId="FirmNameSig">
    <w:name w:val="Firm Name Sig"/>
    <w:basedOn w:val="Normal"/>
    <w:rsid w:val="00C17529"/>
    <w:pPr>
      <w:spacing w:after="720"/>
      <w:ind w:left="4320"/>
    </w:pPr>
    <w:rPr>
      <w:caps/>
      <w:snapToGrid w:val="0"/>
    </w:rPr>
  </w:style>
  <w:style w:type="paragraph" w:customStyle="1" w:styleId="Parties">
    <w:name w:val="Parties"/>
    <w:basedOn w:val="Normal"/>
    <w:uiPriority w:val="99"/>
    <w:qFormat/>
    <w:rsid w:val="00421F3D"/>
  </w:style>
  <w:style w:type="paragraph" w:customStyle="1" w:styleId="PartyType">
    <w:name w:val="Party Type"/>
    <w:basedOn w:val="Normal"/>
    <w:uiPriority w:val="99"/>
    <w:qFormat/>
    <w:rsid w:val="00C25D8B"/>
    <w:pPr>
      <w:tabs>
        <w:tab w:val="left" w:pos="2160"/>
      </w:tabs>
      <w:ind w:left="2160"/>
    </w:pPr>
  </w:style>
  <w:style w:type="paragraph" w:customStyle="1" w:styleId="versus">
    <w:name w:val="versus"/>
    <w:basedOn w:val="Normal"/>
    <w:uiPriority w:val="99"/>
    <w:qFormat/>
    <w:rsid w:val="00421F3D"/>
    <w:pPr>
      <w:ind w:left="720"/>
    </w:pPr>
  </w:style>
  <w:style w:type="paragraph" w:customStyle="1" w:styleId="FirmAddressFooter">
    <w:name w:val="FirmAddressFooter"/>
    <w:uiPriority w:val="99"/>
    <w:semiHidden/>
    <w:rsid w:val="00D0363E"/>
    <w:pPr>
      <w:spacing w:line="120" w:lineRule="exact"/>
      <w:jc w:val="center"/>
    </w:pPr>
    <w:rPr>
      <w:rFonts w:ascii="Arial" w:hAnsi="Arial"/>
      <w:noProof/>
      <w:sz w:val="12"/>
    </w:rPr>
  </w:style>
  <w:style w:type="character" w:customStyle="1" w:styleId="FooterChar">
    <w:name w:val="Footer Char"/>
    <w:basedOn w:val="DefaultParagraphFont"/>
    <w:link w:val="Footer"/>
    <w:uiPriority w:val="99"/>
    <w:rsid w:val="00D0363E"/>
    <w:rPr>
      <w:sz w:val="25"/>
    </w:rPr>
  </w:style>
  <w:style w:type="paragraph" w:customStyle="1" w:styleId="ByLine">
    <w:name w:val="By Line"/>
    <w:basedOn w:val="Normal"/>
    <w:rsid w:val="00BE69DA"/>
    <w:pPr>
      <w:keepNext/>
      <w:widowControl w:val="0"/>
      <w:tabs>
        <w:tab w:val="left" w:pos="4766"/>
        <w:tab w:val="left" w:pos="9360"/>
      </w:tabs>
      <w:spacing w:before="720" w:line="240" w:lineRule="auto"/>
      <w:ind w:left="4320"/>
    </w:pPr>
  </w:style>
  <w:style w:type="paragraph" w:styleId="Bibliography">
    <w:name w:val="Bibliography"/>
    <w:basedOn w:val="Normal"/>
    <w:next w:val="Normal"/>
    <w:uiPriority w:val="37"/>
    <w:semiHidden/>
    <w:unhideWhenUsed/>
    <w:rsid w:val="008C5EFD"/>
  </w:style>
  <w:style w:type="table" w:styleId="ColorfulGrid">
    <w:name w:val="Colorful Grid"/>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C5EF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C5EF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C5EF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C5EF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C5EF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C5EF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C5EF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C5EF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C5EF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C5EF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C5EF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C5EF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C5EF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C5EF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8C5EFD"/>
    <w:pPr>
      <w:spacing w:line="240" w:lineRule="auto"/>
    </w:pPr>
    <w:rPr>
      <w:b/>
      <w:bCs/>
      <w:szCs w:val="20"/>
    </w:rPr>
  </w:style>
  <w:style w:type="character" w:customStyle="1" w:styleId="CommentTextChar">
    <w:name w:val="Comment Text Char"/>
    <w:basedOn w:val="DefaultParagraphFont"/>
    <w:link w:val="CommentText"/>
    <w:semiHidden/>
    <w:rsid w:val="008C5EFD"/>
    <w:rPr>
      <w:sz w:val="20"/>
    </w:rPr>
  </w:style>
  <w:style w:type="character" w:customStyle="1" w:styleId="CommentSubjectChar">
    <w:name w:val="Comment Subject Char"/>
    <w:basedOn w:val="CommentTextChar"/>
    <w:link w:val="CommentSubject"/>
    <w:uiPriority w:val="99"/>
    <w:semiHidden/>
    <w:rsid w:val="008C5EFD"/>
    <w:rPr>
      <w:b/>
      <w:bCs/>
      <w:sz w:val="20"/>
      <w:szCs w:val="20"/>
    </w:rPr>
  </w:style>
  <w:style w:type="table" w:styleId="DarkList">
    <w:name w:val="Dark List"/>
    <w:basedOn w:val="TableNormal"/>
    <w:uiPriority w:val="70"/>
    <w:semiHidden/>
    <w:unhideWhenUsed/>
    <w:rsid w:val="008C5EF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C5EF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C5EF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C5EF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C5EF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C5EF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C5EF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C5E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C5E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C5EF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C5EF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C5EF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C5E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C5EF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C5E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C5EF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C5EF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C5EF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C5EF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C5EF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C5EF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C5E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C5E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C5E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C5E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C5E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C5E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C5E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C5E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C5E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C5E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C5E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C5E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C5E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C5E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C5E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C5E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C5E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C5E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C5E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C5E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C5E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C5E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C5E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C5E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C5E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C5E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C5E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C5E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tenseQuote">
    <w:name w:val="Intense Quote"/>
    <w:basedOn w:val="Normal"/>
    <w:next w:val="Normal"/>
    <w:link w:val="IntenseQuoteChar"/>
    <w:uiPriority w:val="99"/>
    <w:semiHidden/>
    <w:qFormat/>
    <w:rsid w:val="008C5E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8C5EFD"/>
    <w:rPr>
      <w:i/>
      <w:iCs/>
      <w:color w:val="4F81BD" w:themeColor="accent1"/>
    </w:rPr>
  </w:style>
  <w:style w:type="table" w:styleId="LightGrid">
    <w:name w:val="Light Grid"/>
    <w:basedOn w:val="TableNormal"/>
    <w:uiPriority w:val="62"/>
    <w:semiHidden/>
    <w:unhideWhenUsed/>
    <w:rsid w:val="008C5E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C5E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C5E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C5E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C5E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C5E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C5E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C5E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C5E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C5E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C5E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C5E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C5E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C5E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C5E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C5E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C5EF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C5EF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C5EF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C5EF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C5EF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C5EFD"/>
    <w:pPr>
      <w:ind w:left="720"/>
      <w:contextualSpacing/>
    </w:pPr>
  </w:style>
  <w:style w:type="table" w:styleId="ListTable1Light">
    <w:name w:val="List Table 1 Light"/>
    <w:basedOn w:val="TableNormal"/>
    <w:uiPriority w:val="46"/>
    <w:rsid w:val="008C5EF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C5EF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C5EF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C5EF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C5EF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C5E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C5EF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C5EF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C5EF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C5EF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C5EF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C5EF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C5EF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C5EF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C5EF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C5EF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C5EF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C5EF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C5EF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C5EF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C5EF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C5E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C5E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C5E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C5E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C5E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C5E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C5E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C5EF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C5EF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C5EF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C5EF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C5EF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C5EF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C5EF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C5EF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C5EF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C5EF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C5EF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C5EF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C5EF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C5EF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C5EF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C5EF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C5EF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C5EF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C5EF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C5EF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C5EF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C5E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C5E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C5E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C5E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C5E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C5E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C5E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C5EF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C5EF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C5EF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C5EF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C5EF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C5EF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C5EF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C5E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C5E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C5E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C5E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C5E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C5E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C5E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8C5EFD"/>
  </w:style>
  <w:style w:type="table" w:styleId="PlainTable1">
    <w:name w:val="Plain Table 1"/>
    <w:basedOn w:val="TableNormal"/>
    <w:uiPriority w:val="41"/>
    <w:rsid w:val="008C5E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C5E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C5E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C5E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C5E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C5E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5EFD"/>
    <w:rPr>
      <w:i/>
      <w:iCs/>
      <w:color w:val="404040" w:themeColor="text1" w:themeTint="BF"/>
    </w:rPr>
  </w:style>
  <w:style w:type="table" w:styleId="Table3Deffects1">
    <w:name w:val="Table 3D effects 1"/>
    <w:basedOn w:val="TableNormal"/>
    <w:uiPriority w:val="99"/>
    <w:semiHidden/>
    <w:unhideWhenUsed/>
    <w:rsid w:val="008C5EFD"/>
    <w:pPr>
      <w:spacing w:line="25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C5EFD"/>
    <w:pPr>
      <w:spacing w:line="25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C5EFD"/>
    <w:pPr>
      <w:spacing w:line="25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C5EFD"/>
    <w:pPr>
      <w:spacing w:line="25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C5EFD"/>
    <w:pPr>
      <w:spacing w:line="25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C5EFD"/>
    <w:pPr>
      <w:spacing w:line="25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C5EFD"/>
    <w:pPr>
      <w:spacing w:line="25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C5EFD"/>
    <w:pPr>
      <w:spacing w:line="25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C5EFD"/>
    <w:pPr>
      <w:spacing w:line="25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C5EFD"/>
    <w:pPr>
      <w:spacing w:line="25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C5EFD"/>
    <w:pPr>
      <w:spacing w:line="25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C5EFD"/>
    <w:pPr>
      <w:spacing w:line="25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C5EFD"/>
    <w:pPr>
      <w:spacing w:line="25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C5EFD"/>
    <w:pPr>
      <w:spacing w:line="25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C5EFD"/>
    <w:pPr>
      <w:spacing w:line="25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C5EFD"/>
    <w:pPr>
      <w:spacing w:line="25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C5EFD"/>
    <w:pPr>
      <w:spacing w:line="25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C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C5EFD"/>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C5EFD"/>
    <w:pPr>
      <w:spacing w:line="25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C5EFD"/>
    <w:pPr>
      <w:spacing w:line="25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C5EFD"/>
    <w:pPr>
      <w:spacing w:line="25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C5EFD"/>
    <w:pPr>
      <w:spacing w:line="25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C5EFD"/>
    <w:pPr>
      <w:spacing w:line="25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C5EFD"/>
    <w:pPr>
      <w:spacing w:line="25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C5EFD"/>
    <w:pPr>
      <w:spacing w:line="25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C5E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C5EFD"/>
    <w:pPr>
      <w:spacing w:line="25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C5EFD"/>
    <w:pPr>
      <w:spacing w:line="25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C5EFD"/>
    <w:pPr>
      <w:spacing w:line="25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C5EFD"/>
    <w:pPr>
      <w:spacing w:line="25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C5EFD"/>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C5EFD"/>
    <w:pPr>
      <w:spacing w:line="25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C5EFD"/>
    <w:pPr>
      <w:spacing w:line="25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C5EFD"/>
    <w:pPr>
      <w:spacing w:line="25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C5EFD"/>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C5EFD"/>
    <w:pPr>
      <w:spacing w:line="25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C5EFD"/>
    <w:pPr>
      <w:spacing w:line="25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C5EFD"/>
    <w:pPr>
      <w:spacing w:line="25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C5EFD"/>
    <w:pPr>
      <w:spacing w:line="25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C5EFD"/>
    <w:pPr>
      <w:spacing w:line="25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C5EFD"/>
    <w:pPr>
      <w:spacing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C5EFD"/>
    <w:pPr>
      <w:spacing w:line="25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C5EFD"/>
    <w:pPr>
      <w:spacing w:line="25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C5EFD"/>
    <w:pPr>
      <w:spacing w:line="25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ing">
    <w:name w:val="Single Spacing"/>
    <w:basedOn w:val="Normal"/>
    <w:qFormat/>
    <w:rsid w:val="00D75E5F"/>
    <w:rPr>
      <w:szCs w:val="20"/>
    </w:rPr>
  </w:style>
  <w:style w:type="paragraph" w:customStyle="1" w:styleId="CoverAttorneyName">
    <w:name w:val="Cover Attorney Name"/>
    <w:basedOn w:val="Normal"/>
    <w:rsid w:val="005E12EB"/>
    <w:rPr>
      <w:szCs w:val="20"/>
    </w:rPr>
  </w:style>
  <w:style w:type="paragraph" w:customStyle="1" w:styleId="CoverAttorneysFor">
    <w:name w:val="Cover Attorneys For"/>
    <w:basedOn w:val="Normal"/>
    <w:rsid w:val="005E12EB"/>
    <w:rPr>
      <w:rFonts w:eastAsiaTheme="minorHAnsi" w:cstheme="minorBidi"/>
      <w:szCs w:val="22"/>
    </w:rPr>
  </w:style>
  <w:style w:type="paragraph" w:customStyle="1" w:styleId="CoverFirmName">
    <w:name w:val="Cover Firm Name"/>
    <w:basedOn w:val="Normal"/>
    <w:rsid w:val="005E12EB"/>
    <w:rPr>
      <w:rFonts w:eastAsiaTheme="minorHAnsi" w:cstheme="minorBidi"/>
      <w:caps/>
      <w:szCs w:val="22"/>
    </w:rPr>
  </w:style>
  <w:style w:type="paragraph" w:customStyle="1" w:styleId="CoverOfficeAddress">
    <w:name w:val="Cover Office Address"/>
    <w:basedOn w:val="Normal"/>
    <w:rsid w:val="005E12EB"/>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friedla@utc.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eattie@utc.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iley@williamskastne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HB%20Pleadings\PLD%20WA%20Superio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Brief</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2017-04-12T07:00:00+00:00</Date1>
    <IsDocumentOrder xmlns="dc463f71-b30c-4ab2-9473-d307f9d35888" xsi:nil="true"/>
    <IsHighlyConfidential xmlns="dc463f71-b30c-4ab2-9473-d307f9d35888">false</IsHighlyConfidential>
    <CaseCompanyNames xmlns="dc463f71-b30c-4ab2-9473-d307f9d35888">MEI Northwest LLC</CaseCompanyNames>
    <Nickname xmlns="http://schemas.microsoft.com/sharepoint/v3" xsi:nil="true"/>
    <DocketNumber xmlns="dc463f71-b30c-4ab2-9473-d307f9d35888">160479</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77B722-9519-4B52-BBD0-5740B2756256}">
  <ds:schemaRefs>
    <ds:schemaRef ds:uri="http://schemas.microsoft.com/sharepoint/v3/contenttype/forms"/>
  </ds:schemaRefs>
</ds:datastoreItem>
</file>

<file path=customXml/itemProps2.xml><?xml version="1.0" encoding="utf-8"?>
<ds:datastoreItem xmlns:ds="http://schemas.openxmlformats.org/officeDocument/2006/customXml" ds:itemID="{4A36A1FF-A46A-4B7D-9EF6-91E1F5D1B93A}"/>
</file>

<file path=customXml/itemProps3.xml><?xml version="1.0" encoding="utf-8"?>
<ds:datastoreItem xmlns:ds="http://schemas.openxmlformats.org/officeDocument/2006/customXml" ds:itemID="{9B3B45F7-D79A-432C-A655-B12779366096}">
  <ds:schemaRef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6a7bd91e-004b-490a-8704-e368d63d59a0"/>
  </ds:schemaRefs>
</ds:datastoreItem>
</file>

<file path=customXml/itemProps4.xml><?xml version="1.0" encoding="utf-8"?>
<ds:datastoreItem xmlns:ds="http://schemas.openxmlformats.org/officeDocument/2006/customXml" ds:itemID="{426D5EB2-7EBA-4032-95D0-FF5286A6BE9D}">
  <ds:schemaRefs>
    <ds:schemaRef ds:uri="http://schemas.openxmlformats.org/officeDocument/2006/bibliography"/>
  </ds:schemaRefs>
</ds:datastoreItem>
</file>

<file path=customXml/itemProps5.xml><?xml version="1.0" encoding="utf-8"?>
<ds:datastoreItem xmlns:ds="http://schemas.openxmlformats.org/officeDocument/2006/customXml" ds:itemID="{E03DD1AB-6A96-4573-8A64-DF696B4C3A9D}"/>
</file>

<file path=docProps/app.xml><?xml version="1.0" encoding="utf-8"?>
<Properties xmlns="http://schemas.openxmlformats.org/officeDocument/2006/extended-properties" xmlns:vt="http://schemas.openxmlformats.org/officeDocument/2006/docPropsVTypes">
  <Template>PLD WA Superior.dotm</Template>
  <TotalTime>0</TotalTime>
  <Pages>27</Pages>
  <Words>6295</Words>
  <Characters>35885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Brown</dc:creator>
  <cp:keywords/>
  <dc:description/>
  <cp:lastModifiedBy>Kredel, Ashley (UTC)</cp:lastModifiedBy>
  <cp:revision>2</cp:revision>
  <cp:lastPrinted>2017-04-12T21:04:00Z</cp:lastPrinted>
  <dcterms:created xsi:type="dcterms:W3CDTF">2017-04-13T18:26:00Z</dcterms:created>
  <dcterms:modified xsi:type="dcterms:W3CDTF">2017-04-13T18:26:00Z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4848-0451-0534.1</vt:lpwstr>
  </property>
  <property fmtid="{D5CDD505-2E9C-101B-9397-08002B2CF9AE}" pid="3" name="DocumentType">
    <vt:lpwstr>pgPleading</vt:lpwstr>
  </property>
  <property fmtid="{D5CDD505-2E9C-101B-9397-08002B2CF9AE}" pid="4" name="PleadingType">
    <vt:lpwstr>Superior</vt:lpwstr>
  </property>
  <property fmtid="{D5CDD505-2E9C-101B-9397-08002B2CF9AE}" pid="5" name="State">
    <vt:lpwstr>Washington</vt:lpwstr>
  </property>
  <property fmtid="{D5CDD505-2E9C-101B-9397-08002B2CF9AE}" pid="6" name="CaptionStyle">
    <vt:lpwstr>table</vt:lpwstr>
  </property>
  <property fmtid="{D5CDD505-2E9C-101B-9397-08002B2CF9AE}" pid="7" name="ContentTypeId">
    <vt:lpwstr>0x0101006E56B4D1795A2E4DB2F0B01679ED314A00E2DCAF503A5C8E4C9B6E2E02067B9A1D</vt:lpwstr>
  </property>
  <property fmtid="{D5CDD505-2E9C-101B-9397-08002B2CF9AE}" pid="8" name="_docset_NoMedatataSyncRequired">
    <vt:lpwstr>False</vt:lpwstr>
  </property>
  <property fmtid="{D5CDD505-2E9C-101B-9397-08002B2CF9AE}" pid="9" name="IsEFSEC">
    <vt:bool>false</vt:bool>
  </property>
</Properties>
</file>