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77" w:rsidRDefault="00835F77" w:rsidP="00735999">
      <w:pPr>
        <w:jc w:val="center"/>
      </w:pPr>
      <w:r>
        <w:rPr>
          <w:b/>
        </w:rPr>
        <w:t>BEFORE THE WASHINGTON UTILITIES AND TRANSPORTATION</w:t>
      </w:r>
      <w:r w:rsidR="00A547AA">
        <w:rPr>
          <w:b/>
        </w:rPr>
        <w:t xml:space="preserve"> </w:t>
      </w:r>
      <w:r>
        <w:rPr>
          <w:b/>
        </w:rPr>
        <w:t>COMMISSION</w:t>
      </w:r>
    </w:p>
    <w:tbl>
      <w:tblPr>
        <w:tblW w:w="0" w:type="auto"/>
        <w:tblInd w:w="120" w:type="dxa"/>
        <w:tblLayout w:type="fixed"/>
        <w:tblCellMar>
          <w:left w:w="120" w:type="dxa"/>
          <w:right w:w="120" w:type="dxa"/>
        </w:tblCellMar>
        <w:tblLook w:val="0000"/>
      </w:tblPr>
      <w:tblGrid>
        <w:gridCol w:w="4680"/>
        <w:gridCol w:w="270"/>
        <w:gridCol w:w="3996"/>
      </w:tblGrid>
      <w:tr w:rsidR="00835F77" w:rsidRPr="00667748" w:rsidTr="004F31DF">
        <w:trPr>
          <w:cantSplit/>
        </w:trPr>
        <w:tc>
          <w:tcPr>
            <w:tcW w:w="4680" w:type="dxa"/>
            <w:tcBorders>
              <w:top w:val="nil"/>
              <w:left w:val="nil"/>
              <w:bottom w:val="nil"/>
              <w:right w:val="nil"/>
            </w:tcBorders>
          </w:tcPr>
          <w:p w:rsidR="00E5223B" w:rsidRPr="00667748" w:rsidRDefault="00E5223B" w:rsidP="00156A01">
            <w:pPr>
              <w:spacing w:before="144"/>
            </w:pPr>
            <w:bookmarkStart w:id="0" w:name="BM1"/>
            <w:bookmarkEnd w:id="0"/>
          </w:p>
          <w:p w:rsidR="00E5223B" w:rsidRPr="00667748" w:rsidRDefault="00E5223B" w:rsidP="00156A01">
            <w:pPr>
              <w:spacing w:before="144"/>
            </w:pPr>
          </w:p>
          <w:p w:rsidR="00E81AF6" w:rsidRDefault="00E5223B" w:rsidP="00175478">
            <w:pPr>
              <w:spacing w:before="144"/>
              <w:rPr>
                <w:bCs/>
              </w:rPr>
            </w:pPr>
            <w:r w:rsidRPr="00667748">
              <w:t xml:space="preserve">In </w:t>
            </w:r>
            <w:r w:rsidR="00835F77" w:rsidRPr="00667748">
              <w:t>the Matter of</w:t>
            </w:r>
            <w:r w:rsidR="00DF5E0C" w:rsidRPr="00667748">
              <w:t xml:space="preserve"> </w:t>
            </w:r>
            <w:r w:rsidRPr="00667748">
              <w:t xml:space="preserve">Avista’s </w:t>
            </w:r>
            <w:r w:rsidR="00E81AF6">
              <w:t>Renewable Target in</w:t>
            </w:r>
            <w:r w:rsidR="004C1649" w:rsidRPr="00667748">
              <w:t xml:space="preserve"> Compliance with </w:t>
            </w:r>
            <w:r w:rsidR="004C1649" w:rsidRPr="00667748">
              <w:rPr>
                <w:bCs/>
              </w:rPr>
              <w:t>RCW 19.285</w:t>
            </w:r>
            <w:r w:rsidR="002455BE">
              <w:rPr>
                <w:bCs/>
              </w:rPr>
              <w:t>.070</w:t>
            </w:r>
            <w:r w:rsidR="004C1649" w:rsidRPr="00667748">
              <w:rPr>
                <w:bCs/>
              </w:rPr>
              <w:t xml:space="preserve"> and </w:t>
            </w:r>
            <w:r w:rsidR="004C1649" w:rsidRPr="00667748">
              <w:t>WAC 480-</w:t>
            </w:r>
            <w:r w:rsidR="004C1649" w:rsidRPr="00667748">
              <w:rPr>
                <w:bCs/>
              </w:rPr>
              <w:t>109</w:t>
            </w:r>
            <w:r w:rsidR="002455BE">
              <w:rPr>
                <w:bCs/>
              </w:rPr>
              <w:t>-210</w:t>
            </w:r>
          </w:p>
          <w:p w:rsidR="00175478" w:rsidRPr="00E81AF6" w:rsidRDefault="00175478" w:rsidP="00175478">
            <w:pPr>
              <w:spacing w:before="144"/>
              <w:rPr>
                <w:bCs/>
              </w:rPr>
            </w:pPr>
            <w:r w:rsidRPr="00667748">
              <w:rPr>
                <w:bCs/>
              </w:rPr>
              <w:t>____________________________________</w:t>
            </w:r>
          </w:p>
        </w:tc>
        <w:tc>
          <w:tcPr>
            <w:tcW w:w="270" w:type="dxa"/>
            <w:tcBorders>
              <w:top w:val="nil"/>
              <w:left w:val="nil"/>
              <w:bottom w:val="nil"/>
              <w:right w:val="nil"/>
            </w:tcBorders>
          </w:tcPr>
          <w:p w:rsidR="00835F77" w:rsidRPr="00667748" w:rsidRDefault="00835F77">
            <w:pPr>
              <w:spacing w:before="144"/>
            </w:pPr>
            <w:r w:rsidRPr="00667748">
              <w:t>)</w:t>
            </w:r>
          </w:p>
          <w:p w:rsidR="00835F77" w:rsidRPr="00667748" w:rsidRDefault="00835F77">
            <w:r w:rsidRPr="00667748">
              <w:t>)</w:t>
            </w:r>
          </w:p>
          <w:p w:rsidR="00835F77" w:rsidRPr="00667748" w:rsidRDefault="00835F77">
            <w:r w:rsidRPr="00667748">
              <w:t>)</w:t>
            </w:r>
          </w:p>
          <w:p w:rsidR="00835F77" w:rsidRPr="00667748" w:rsidRDefault="00835F77">
            <w:r w:rsidRPr="00667748">
              <w:t>)</w:t>
            </w:r>
          </w:p>
          <w:p w:rsidR="00835F77" w:rsidRPr="00667748" w:rsidRDefault="00835F77">
            <w:r w:rsidRPr="00667748">
              <w:t>)</w:t>
            </w:r>
          </w:p>
          <w:p w:rsidR="00835F77" w:rsidRPr="00667748" w:rsidRDefault="00835F77">
            <w:r w:rsidRPr="00667748">
              <w:t>)</w:t>
            </w:r>
          </w:p>
          <w:p w:rsidR="00835F77" w:rsidRPr="00667748" w:rsidRDefault="00835F77">
            <w:r w:rsidRPr="00667748">
              <w:t>)</w:t>
            </w:r>
          </w:p>
          <w:p w:rsidR="00835F77" w:rsidRPr="00667748" w:rsidRDefault="00835F77">
            <w:r w:rsidRPr="00667748">
              <w:t>)</w:t>
            </w:r>
          </w:p>
          <w:p w:rsidR="00835F77" w:rsidRPr="00667748" w:rsidRDefault="00835F77"/>
        </w:tc>
        <w:tc>
          <w:tcPr>
            <w:tcW w:w="3996" w:type="dxa"/>
            <w:tcBorders>
              <w:top w:val="nil"/>
              <w:left w:val="nil"/>
              <w:bottom w:val="nil"/>
              <w:right w:val="nil"/>
            </w:tcBorders>
          </w:tcPr>
          <w:p w:rsidR="00835F77" w:rsidRPr="00667748" w:rsidRDefault="00835F77">
            <w:pPr>
              <w:spacing w:before="144"/>
            </w:pPr>
          </w:p>
          <w:p w:rsidR="00835F77" w:rsidRPr="00667748" w:rsidRDefault="00835F77">
            <w:bookmarkStart w:id="1" w:name="BM5"/>
            <w:bookmarkEnd w:id="1"/>
            <w:r w:rsidRPr="00667748">
              <w:t xml:space="preserve">DOCKET NO. </w:t>
            </w:r>
            <w:r w:rsidR="00DF5E0C" w:rsidRPr="00667748">
              <w:t>UE-</w:t>
            </w:r>
            <w:r w:rsidR="005C6A79">
              <w:t>1</w:t>
            </w:r>
            <w:r w:rsidR="006E35A8">
              <w:t>5</w:t>
            </w:r>
            <w:r w:rsidR="002455BE">
              <w:t>1145</w:t>
            </w:r>
          </w:p>
          <w:p w:rsidR="00835F77" w:rsidRPr="00667748" w:rsidRDefault="00835F77"/>
          <w:p w:rsidR="00835F77" w:rsidRPr="00667748" w:rsidRDefault="00835F77">
            <w:bookmarkStart w:id="2" w:name="BM7"/>
            <w:bookmarkEnd w:id="2"/>
          </w:p>
          <w:p w:rsidR="00835F77" w:rsidRPr="00667748" w:rsidRDefault="00E81AF6" w:rsidP="00E81AF6">
            <w:r>
              <w:t>COMPLIANCE REPORT</w:t>
            </w:r>
            <w:r w:rsidR="004F31DF" w:rsidRPr="00667748">
              <w:t xml:space="preserve"> OF</w:t>
            </w:r>
            <w:r w:rsidR="00835F77" w:rsidRPr="00667748">
              <w:t xml:space="preserve"> AVISTA CORPORATION</w:t>
            </w:r>
          </w:p>
        </w:tc>
      </w:tr>
      <w:tr w:rsidR="00E81AF6" w:rsidRPr="00667748" w:rsidTr="004F31DF">
        <w:trPr>
          <w:cantSplit/>
        </w:trPr>
        <w:tc>
          <w:tcPr>
            <w:tcW w:w="4680" w:type="dxa"/>
            <w:tcBorders>
              <w:top w:val="nil"/>
              <w:left w:val="nil"/>
              <w:bottom w:val="nil"/>
              <w:right w:val="nil"/>
            </w:tcBorders>
          </w:tcPr>
          <w:p w:rsidR="00E81AF6" w:rsidRPr="00667748" w:rsidRDefault="00E81AF6" w:rsidP="00156A01">
            <w:pPr>
              <w:spacing w:before="144"/>
            </w:pPr>
          </w:p>
        </w:tc>
        <w:tc>
          <w:tcPr>
            <w:tcW w:w="270" w:type="dxa"/>
            <w:tcBorders>
              <w:top w:val="nil"/>
              <w:left w:val="nil"/>
              <w:bottom w:val="nil"/>
              <w:right w:val="nil"/>
            </w:tcBorders>
          </w:tcPr>
          <w:p w:rsidR="00E81AF6" w:rsidRPr="00667748" w:rsidRDefault="00E81AF6">
            <w:pPr>
              <w:spacing w:before="144"/>
            </w:pPr>
          </w:p>
        </w:tc>
        <w:tc>
          <w:tcPr>
            <w:tcW w:w="3996" w:type="dxa"/>
            <w:tcBorders>
              <w:top w:val="nil"/>
              <w:left w:val="nil"/>
              <w:bottom w:val="nil"/>
              <w:right w:val="nil"/>
            </w:tcBorders>
          </w:tcPr>
          <w:p w:rsidR="00E81AF6" w:rsidRPr="00667748" w:rsidRDefault="00E81AF6">
            <w:pPr>
              <w:spacing w:before="144"/>
            </w:pPr>
          </w:p>
        </w:tc>
      </w:tr>
    </w:tbl>
    <w:p w:rsidR="00835F77" w:rsidRDefault="0071546D" w:rsidP="007D4AD6">
      <w:r w:rsidRPr="00E5223B">
        <w:t xml:space="preserve">In compliance </w:t>
      </w:r>
      <w:r w:rsidR="00E81AF6">
        <w:t>with WAC 480-109-040</w:t>
      </w:r>
      <w:r w:rsidR="00724BA4" w:rsidRPr="00E5223B">
        <w:t>,</w:t>
      </w:r>
      <w:r w:rsidRPr="00E5223B">
        <w:t xml:space="preserve"> </w:t>
      </w:r>
      <w:r w:rsidR="00835F77" w:rsidRPr="00E5223B">
        <w:t>Avista Corporation (here</w:t>
      </w:r>
      <w:r w:rsidR="00223956">
        <w:t>inafter Avista</w:t>
      </w:r>
      <w:r w:rsidR="00835F77" w:rsidRPr="00E5223B">
        <w:t xml:space="preserve"> or Company) respectfu</w:t>
      </w:r>
      <w:r w:rsidR="004402B5">
        <w:t>l</w:t>
      </w:r>
      <w:r w:rsidR="00835F77" w:rsidRPr="00E5223B">
        <w:t xml:space="preserve">ly submits </w:t>
      </w:r>
      <w:r w:rsidR="00717550">
        <w:t>its</w:t>
      </w:r>
      <w:r w:rsidR="00835F77" w:rsidRPr="00E5223B">
        <w:t xml:space="preserve"> </w:t>
      </w:r>
      <w:r w:rsidR="00423C83">
        <w:t xml:space="preserve">“revised” </w:t>
      </w:r>
      <w:r w:rsidR="00E81AF6" w:rsidRPr="00041B42">
        <w:t xml:space="preserve">report demonstrating compliance with the renewable energy component </w:t>
      </w:r>
      <w:r w:rsidR="00E81AF6">
        <w:t xml:space="preserve">of the Energy Independence Act in the above </w:t>
      </w:r>
      <w:r w:rsidR="00A547AA">
        <w:t>captioned</w:t>
      </w:r>
      <w:r w:rsidR="00E81AF6">
        <w:t xml:space="preserve"> matter.</w:t>
      </w:r>
      <w:r w:rsidR="007D4AD6">
        <w:t xml:space="preserve"> A checklist of the required contents and a table of contents </w:t>
      </w:r>
      <w:proofErr w:type="gramStart"/>
      <w:r w:rsidR="007D4AD6">
        <w:t>is</w:t>
      </w:r>
      <w:proofErr w:type="gramEnd"/>
      <w:r w:rsidR="007D4AD6">
        <w:t xml:space="preserve"> below.</w:t>
      </w:r>
    </w:p>
    <w:p w:rsidR="007D4AD6" w:rsidRDefault="007D4AD6" w:rsidP="007D4AD6"/>
    <w:tbl>
      <w:tblPr>
        <w:tblStyle w:val="TableGrid"/>
        <w:tblW w:w="10008" w:type="dxa"/>
        <w:tblLook w:val="01E0"/>
      </w:tblPr>
      <w:tblGrid>
        <w:gridCol w:w="2898"/>
        <w:gridCol w:w="4770"/>
        <w:gridCol w:w="2340"/>
      </w:tblGrid>
      <w:tr w:rsidR="007D4AD6" w:rsidTr="007D4AD6">
        <w:trPr>
          <w:trHeight w:val="272"/>
        </w:trPr>
        <w:tc>
          <w:tcPr>
            <w:tcW w:w="2898" w:type="dxa"/>
          </w:tcPr>
          <w:p w:rsidR="007D4AD6" w:rsidRPr="00174090" w:rsidRDefault="007D4AD6" w:rsidP="001D6BCB">
            <w:pPr>
              <w:rPr>
                <w:b/>
              </w:rPr>
            </w:pPr>
            <w:r w:rsidRPr="00174090">
              <w:rPr>
                <w:b/>
              </w:rPr>
              <w:t>RCW</w:t>
            </w:r>
            <w:r>
              <w:rPr>
                <w:b/>
              </w:rPr>
              <w:t xml:space="preserve"> 19.285</w:t>
            </w:r>
            <w:r w:rsidR="002455BE">
              <w:rPr>
                <w:b/>
              </w:rPr>
              <w:t>.070</w:t>
            </w:r>
          </w:p>
        </w:tc>
        <w:tc>
          <w:tcPr>
            <w:tcW w:w="4770" w:type="dxa"/>
          </w:tcPr>
          <w:p w:rsidR="007D4AD6" w:rsidRPr="00174090" w:rsidRDefault="007D4AD6" w:rsidP="001D6BCB">
            <w:pPr>
              <w:rPr>
                <w:b/>
              </w:rPr>
            </w:pPr>
            <w:r w:rsidRPr="00174090">
              <w:rPr>
                <w:b/>
              </w:rPr>
              <w:t>WAC</w:t>
            </w:r>
            <w:r>
              <w:rPr>
                <w:b/>
              </w:rPr>
              <w:t xml:space="preserve"> 480-109</w:t>
            </w:r>
            <w:r w:rsidR="002455BE">
              <w:rPr>
                <w:b/>
              </w:rPr>
              <w:t>-210(2)</w:t>
            </w:r>
          </w:p>
        </w:tc>
        <w:tc>
          <w:tcPr>
            <w:tcW w:w="2340" w:type="dxa"/>
          </w:tcPr>
          <w:p w:rsidR="007D4AD6" w:rsidRPr="00174090" w:rsidRDefault="007D4AD6" w:rsidP="001D6BCB">
            <w:pPr>
              <w:rPr>
                <w:b/>
              </w:rPr>
            </w:pPr>
            <w:r>
              <w:rPr>
                <w:b/>
              </w:rPr>
              <w:t>Section/</w:t>
            </w:r>
            <w:r w:rsidRPr="00174090">
              <w:rPr>
                <w:b/>
              </w:rPr>
              <w:t>Page</w:t>
            </w:r>
          </w:p>
        </w:tc>
      </w:tr>
      <w:tr w:rsidR="007D4AD6" w:rsidTr="007D4AD6">
        <w:trPr>
          <w:trHeight w:val="2492"/>
        </w:trPr>
        <w:tc>
          <w:tcPr>
            <w:tcW w:w="2898" w:type="dxa"/>
          </w:tcPr>
          <w:p w:rsidR="007D4AD6" w:rsidRDefault="007D4AD6" w:rsidP="001D6BCB">
            <w:r>
              <w:t xml:space="preserve">For each year that a qualifying utility elects to demonstrate alternative compliance under RCW </w:t>
            </w:r>
            <w:hyperlink r:id="rId10" w:history="1">
              <w:r>
                <w:rPr>
                  <w:rStyle w:val="Hyperlink"/>
                </w:rPr>
                <w:t>19.285.040</w:t>
              </w:r>
            </w:hyperlink>
            <w:r>
              <w:t>(2) (d) or (</w:t>
            </w:r>
            <w:proofErr w:type="spellStart"/>
            <w:r>
              <w:t>i</w:t>
            </w:r>
            <w:proofErr w:type="spellEnd"/>
            <w:r>
              <w:t xml:space="preserve">) or </w:t>
            </w:r>
            <w:hyperlink r:id="rId11" w:history="1">
              <w:r>
                <w:rPr>
                  <w:rStyle w:val="Hyperlink"/>
                </w:rPr>
                <w:t>19.285.050</w:t>
              </w:r>
            </w:hyperlink>
            <w:r>
              <w:t>(1), it must include in its annual report relevant data to demonstrate that it met the criteria in that section.</w:t>
            </w:r>
          </w:p>
        </w:tc>
        <w:tc>
          <w:tcPr>
            <w:tcW w:w="4770" w:type="dxa"/>
          </w:tcPr>
          <w:p w:rsidR="007D4AD6" w:rsidRDefault="007D4AD6" w:rsidP="002455BE">
            <w:r>
              <w:t xml:space="preserve">The report must state if the utility is relying upon one of the alternative compliance mechanisms provided in WAC </w:t>
            </w:r>
            <w:hyperlink r:id="rId12" w:history="1">
              <w:r w:rsidR="002455BE">
                <w:rPr>
                  <w:rStyle w:val="Hyperlink"/>
                </w:rPr>
                <w:t>480-109-220</w:t>
              </w:r>
            </w:hyperlink>
            <w:r>
              <w:t xml:space="preserve"> instead of meeting its renewable resource target. A utility using an alternative compliance mechanism must include sufficient data, documentation and other information in its report to demonstrate that it qualifies to use that alternative mechanism.</w:t>
            </w:r>
          </w:p>
        </w:tc>
        <w:tc>
          <w:tcPr>
            <w:tcW w:w="2340" w:type="dxa"/>
          </w:tcPr>
          <w:p w:rsidR="007D4AD6" w:rsidRDefault="007D4AD6" w:rsidP="001D6BCB">
            <w:pPr>
              <w:rPr>
                <w:b/>
              </w:rPr>
            </w:pPr>
            <w:r w:rsidRPr="00A2108B">
              <w:rPr>
                <w:b/>
              </w:rPr>
              <w:t>Alternative Compliance</w:t>
            </w:r>
          </w:p>
          <w:p w:rsidR="007D4AD6" w:rsidRDefault="007D4AD6" w:rsidP="001D6BCB"/>
          <w:p w:rsidR="007D4AD6" w:rsidRDefault="00253835" w:rsidP="007D4AD6">
            <w:r w:rsidRPr="00907B57">
              <w:t xml:space="preserve">Page </w:t>
            </w:r>
            <w:r w:rsidRPr="00170B3D">
              <w:t>3</w:t>
            </w:r>
          </w:p>
        </w:tc>
      </w:tr>
      <w:tr w:rsidR="007D4AD6" w:rsidTr="007D4AD6">
        <w:trPr>
          <w:trHeight w:val="560"/>
        </w:trPr>
        <w:tc>
          <w:tcPr>
            <w:tcW w:w="2898" w:type="dxa"/>
          </w:tcPr>
          <w:p w:rsidR="007D4AD6" w:rsidRDefault="007D4AD6" w:rsidP="001D6BCB">
            <w:r>
              <w:t>the utility's annual load for the prior two years,</w:t>
            </w:r>
          </w:p>
        </w:tc>
        <w:tc>
          <w:tcPr>
            <w:tcW w:w="4770" w:type="dxa"/>
          </w:tcPr>
          <w:p w:rsidR="007D4AD6" w:rsidRDefault="007D4AD6" w:rsidP="001D6BCB">
            <w:r>
              <w:t>the utility's annual load for the prior two years,</w:t>
            </w:r>
          </w:p>
        </w:tc>
        <w:tc>
          <w:tcPr>
            <w:tcW w:w="2340" w:type="dxa"/>
          </w:tcPr>
          <w:p w:rsidR="007D4AD6" w:rsidRPr="007828F3" w:rsidRDefault="007D4AD6" w:rsidP="001D6BCB">
            <w:pPr>
              <w:rPr>
                <w:b/>
              </w:rPr>
            </w:pPr>
            <w:r w:rsidRPr="007828F3">
              <w:rPr>
                <w:b/>
              </w:rPr>
              <w:t>Annual Load For Previous Two Years</w:t>
            </w:r>
          </w:p>
          <w:p w:rsidR="007D4AD6" w:rsidRDefault="007D4AD6" w:rsidP="001D6BCB"/>
          <w:p w:rsidR="007D4AD6" w:rsidRDefault="00253835" w:rsidP="001D6BCB">
            <w:r w:rsidRPr="00907B57">
              <w:t xml:space="preserve">Page </w:t>
            </w:r>
            <w:r w:rsidRPr="00170B3D">
              <w:t>3</w:t>
            </w:r>
          </w:p>
        </w:tc>
      </w:tr>
      <w:tr w:rsidR="007D4AD6" w:rsidTr="007D4AD6">
        <w:trPr>
          <w:trHeight w:val="1394"/>
        </w:trPr>
        <w:tc>
          <w:tcPr>
            <w:tcW w:w="2898" w:type="dxa"/>
          </w:tcPr>
          <w:p w:rsidR="007D4AD6" w:rsidRDefault="007D4AD6" w:rsidP="001D6BCB">
            <w:r>
              <w:t>the amount of megawatt-hours needed to meet the annual renewable energy target,</w:t>
            </w:r>
          </w:p>
          <w:p w:rsidR="007D4AD6" w:rsidRDefault="007D4AD6" w:rsidP="001D6BCB"/>
        </w:tc>
        <w:tc>
          <w:tcPr>
            <w:tcW w:w="4770" w:type="dxa"/>
          </w:tcPr>
          <w:p w:rsidR="007D4AD6" w:rsidRDefault="007D4AD6" w:rsidP="001D6BCB">
            <w:r>
              <w:t>the total number of megawatt-hours from eligible renewable resources and/or renewable resource credits the utility needed to meet its annual renewable energy target by January 1 of the target year</w:t>
            </w:r>
          </w:p>
        </w:tc>
        <w:tc>
          <w:tcPr>
            <w:tcW w:w="2340" w:type="dxa"/>
          </w:tcPr>
          <w:p w:rsidR="007D4AD6" w:rsidRPr="007828F3" w:rsidRDefault="007D4AD6" w:rsidP="001D6BCB">
            <w:pPr>
              <w:rPr>
                <w:b/>
              </w:rPr>
            </w:pPr>
            <w:r>
              <w:rPr>
                <w:b/>
              </w:rPr>
              <w:t>Renewable Energy Target</w:t>
            </w:r>
          </w:p>
          <w:p w:rsidR="007D4AD6" w:rsidRDefault="007D4AD6" w:rsidP="001D6BCB"/>
          <w:p w:rsidR="007D4AD6" w:rsidRDefault="00253835" w:rsidP="00907B57">
            <w:r w:rsidRPr="00907B57">
              <w:t>Page</w:t>
            </w:r>
            <w:r w:rsidRPr="00207221">
              <w:t xml:space="preserve"> </w:t>
            </w:r>
            <w:r w:rsidR="00907B57" w:rsidRPr="00207221">
              <w:t>4</w:t>
            </w:r>
          </w:p>
        </w:tc>
      </w:tr>
      <w:tr w:rsidR="007D4AD6" w:rsidTr="007D4AD6">
        <w:trPr>
          <w:trHeight w:val="1763"/>
        </w:trPr>
        <w:tc>
          <w:tcPr>
            <w:tcW w:w="2898" w:type="dxa"/>
          </w:tcPr>
          <w:p w:rsidR="007D4AD6" w:rsidRDefault="007D4AD6" w:rsidP="001D6BCB">
            <w:r>
              <w:t>the amount of megawatt-hours of each type of eligible renewable resource acquired,</w:t>
            </w:r>
          </w:p>
          <w:p w:rsidR="007D4AD6" w:rsidRDefault="007D4AD6" w:rsidP="001D6BCB">
            <w:r>
              <w:t>the type and amount of renewable energy credits acquired,</w:t>
            </w:r>
          </w:p>
          <w:p w:rsidR="007D4AD6" w:rsidRDefault="007D4AD6" w:rsidP="001D6BCB"/>
          <w:p w:rsidR="004368B3" w:rsidRDefault="004368B3" w:rsidP="001D6BCB"/>
        </w:tc>
        <w:tc>
          <w:tcPr>
            <w:tcW w:w="4770" w:type="dxa"/>
          </w:tcPr>
          <w:p w:rsidR="007D4AD6" w:rsidRDefault="007D4AD6" w:rsidP="001D6BCB">
            <w:r>
              <w:t>the amount (in megawatt-hours) and cost of each type of eligible renewable resource used</w:t>
            </w:r>
          </w:p>
          <w:p w:rsidR="007D4AD6" w:rsidRDefault="007D4AD6" w:rsidP="001D6BCB"/>
        </w:tc>
        <w:tc>
          <w:tcPr>
            <w:tcW w:w="2340" w:type="dxa"/>
          </w:tcPr>
          <w:p w:rsidR="007D4AD6" w:rsidRDefault="007D4AD6" w:rsidP="001D6BCB">
            <w:pPr>
              <w:rPr>
                <w:b/>
              </w:rPr>
            </w:pPr>
            <w:r w:rsidRPr="00DB0713">
              <w:rPr>
                <w:b/>
              </w:rPr>
              <w:t>Renewable Energy Acquired To Have Met Renewable Energy Target</w:t>
            </w:r>
          </w:p>
          <w:p w:rsidR="007D4AD6" w:rsidRDefault="007D4AD6" w:rsidP="001D6BCB"/>
          <w:p w:rsidR="007D4AD6" w:rsidRPr="00DB0713" w:rsidRDefault="00253835" w:rsidP="00D44060">
            <w:r w:rsidRPr="00907B57">
              <w:t xml:space="preserve">Page </w:t>
            </w:r>
            <w:r w:rsidR="00907B57" w:rsidRPr="00207221">
              <w:t>5</w:t>
            </w:r>
          </w:p>
        </w:tc>
      </w:tr>
      <w:tr w:rsidR="007D4AD6" w:rsidTr="007D4AD6">
        <w:trPr>
          <w:trHeight w:val="272"/>
        </w:trPr>
        <w:tc>
          <w:tcPr>
            <w:tcW w:w="2898" w:type="dxa"/>
          </w:tcPr>
          <w:p w:rsidR="007D4AD6" w:rsidRDefault="007D4AD6" w:rsidP="001D6BCB">
            <w:proofErr w:type="gramStart"/>
            <w:r>
              <w:lastRenderedPageBreak/>
              <w:t>the</w:t>
            </w:r>
            <w:proofErr w:type="gramEnd"/>
            <w:r>
              <w:t xml:space="preserve"> percent of its total annual retail revenue requirement invested in the incremental cost of eligible renewable resources and the cost of renewable energy credits.</w:t>
            </w:r>
          </w:p>
          <w:p w:rsidR="007D4AD6" w:rsidRDefault="007D4AD6" w:rsidP="001D6BCB"/>
        </w:tc>
        <w:tc>
          <w:tcPr>
            <w:tcW w:w="4770" w:type="dxa"/>
          </w:tcPr>
          <w:p w:rsidR="007D4AD6" w:rsidRDefault="007D4AD6" w:rsidP="001D6BCB">
            <w:r>
              <w:t>the type and cost (per megawatt-hour) of the least-cost substitute resources available to the utility that do not qualify as eligible renewable resources, the incremental cost of eligible renewable resources and renewable energy credits, and the ratio of this investment relative to the utility's total annual retail revenue requirement.</w:t>
            </w:r>
          </w:p>
        </w:tc>
        <w:tc>
          <w:tcPr>
            <w:tcW w:w="2340" w:type="dxa"/>
          </w:tcPr>
          <w:p w:rsidR="007D4AD6" w:rsidRDefault="007D4AD6" w:rsidP="001D6BCB">
            <w:pPr>
              <w:rPr>
                <w:b/>
              </w:rPr>
            </w:pPr>
            <w:r w:rsidRPr="00DB0713">
              <w:rPr>
                <w:b/>
              </w:rPr>
              <w:t>Incremental Cost Compared To Annual Retail Revenue Requirement</w:t>
            </w:r>
          </w:p>
          <w:p w:rsidR="007D4AD6" w:rsidRDefault="007D4AD6" w:rsidP="001D6BCB">
            <w:pPr>
              <w:rPr>
                <w:b/>
              </w:rPr>
            </w:pPr>
          </w:p>
          <w:p w:rsidR="007D4AD6" w:rsidRPr="00DB0713" w:rsidRDefault="00253835" w:rsidP="00207221">
            <w:r w:rsidRPr="00907B57">
              <w:t>Page</w:t>
            </w:r>
            <w:r w:rsidR="00F95B65" w:rsidRPr="006E35A8">
              <w:rPr>
                <w:color w:val="FF0000"/>
              </w:rPr>
              <w:t xml:space="preserve"> </w:t>
            </w:r>
            <w:r w:rsidR="00317AB7" w:rsidRPr="00207221">
              <w:t>6</w:t>
            </w:r>
            <w:r w:rsidR="007D4AD6">
              <w:t xml:space="preserve"> </w:t>
            </w:r>
          </w:p>
        </w:tc>
      </w:tr>
      <w:tr w:rsidR="007D4AD6" w:rsidTr="007D4AD6">
        <w:trPr>
          <w:trHeight w:val="288"/>
        </w:trPr>
        <w:tc>
          <w:tcPr>
            <w:tcW w:w="2898" w:type="dxa"/>
          </w:tcPr>
          <w:p w:rsidR="007D4AD6" w:rsidRDefault="007D4AD6" w:rsidP="001D6BCB"/>
        </w:tc>
        <w:tc>
          <w:tcPr>
            <w:tcW w:w="4770" w:type="dxa"/>
          </w:tcPr>
          <w:p w:rsidR="007D4AD6" w:rsidRDefault="007D4AD6" w:rsidP="001D6BCB">
            <w:r>
              <w:t>The report must describe the steps the utility is taking to meet the renewable resource requirements for the current year. This description should indicate whether the utility plans to use or acquire its own renewable resources, plans to or has acquired contracted renewable resources, or plans to use an alternative compliance mechanism.</w:t>
            </w:r>
          </w:p>
        </w:tc>
        <w:tc>
          <w:tcPr>
            <w:tcW w:w="2340" w:type="dxa"/>
          </w:tcPr>
          <w:p w:rsidR="007D4AD6" w:rsidRPr="00D55F50" w:rsidRDefault="007D4AD6" w:rsidP="001D6BCB">
            <w:r w:rsidRPr="00D55F50">
              <w:rPr>
                <w:b/>
              </w:rPr>
              <w:t>Current Year Progress</w:t>
            </w:r>
          </w:p>
          <w:p w:rsidR="007D4AD6" w:rsidRDefault="007D4AD6" w:rsidP="001D6BCB"/>
          <w:p w:rsidR="007D4AD6" w:rsidRPr="00DF4A91" w:rsidRDefault="00253835" w:rsidP="00DF4A91">
            <w:r w:rsidRPr="00DF4A91">
              <w:t xml:space="preserve">Page </w:t>
            </w:r>
            <w:r w:rsidR="00DF4A91" w:rsidRPr="00DF4A91">
              <w:t>7</w:t>
            </w:r>
          </w:p>
        </w:tc>
      </w:tr>
    </w:tbl>
    <w:p w:rsidR="000D56A3" w:rsidRDefault="000D56A3"/>
    <w:p w:rsidR="006A1B7C" w:rsidRDefault="006A1B7C"/>
    <w:p w:rsidR="00835F77" w:rsidRDefault="00835F77" w:rsidP="000D56A3">
      <w:pPr>
        <w:pStyle w:val="Heading1"/>
      </w:pPr>
      <w:bookmarkStart w:id="3" w:name="_Toc307915603"/>
      <w:r>
        <w:t>I</w:t>
      </w:r>
      <w:r w:rsidR="00364527">
        <w:t xml:space="preserve">.    </w:t>
      </w:r>
      <w:bookmarkEnd w:id="3"/>
      <w:r w:rsidR="00364527">
        <w:t>BACKGROUND</w:t>
      </w:r>
    </w:p>
    <w:p w:rsidR="00835F77" w:rsidRDefault="00835F77" w:rsidP="005042B0">
      <w:pPr>
        <w:jc w:val="center"/>
      </w:pPr>
    </w:p>
    <w:p w:rsidR="00717550" w:rsidRDefault="00F97C2D" w:rsidP="00717550">
      <w:pPr>
        <w:pStyle w:val="NormalWeb"/>
        <w:spacing w:line="480" w:lineRule="auto"/>
        <w:ind w:firstLine="720"/>
        <w:jc w:val="both"/>
      </w:pPr>
      <w:r w:rsidRPr="00226668">
        <w:t xml:space="preserve">RCW </w:t>
      </w:r>
      <w:r w:rsidR="00D44060">
        <w:t xml:space="preserve">Chapter </w:t>
      </w:r>
      <w:r w:rsidR="00CB1C82" w:rsidRPr="00226668">
        <w:t>19.285</w:t>
      </w:r>
      <w:r w:rsidR="00CB1C82">
        <w:t>,</w:t>
      </w:r>
      <w:r w:rsidR="00CB1C82" w:rsidRPr="00226668">
        <w:rPr>
          <w:color w:val="000000"/>
        </w:rPr>
        <w:t xml:space="preserve"> </w:t>
      </w:r>
      <w:r w:rsidR="00467A08">
        <w:rPr>
          <w:color w:val="000000"/>
        </w:rPr>
        <w:t xml:space="preserve">the </w:t>
      </w:r>
      <w:r w:rsidR="00CB1C82" w:rsidRPr="00226668">
        <w:rPr>
          <w:color w:val="000000"/>
        </w:rPr>
        <w:t xml:space="preserve">Energy </w:t>
      </w:r>
      <w:r w:rsidR="00CB1C82">
        <w:rPr>
          <w:color w:val="000000"/>
        </w:rPr>
        <w:t>Independence Act</w:t>
      </w:r>
      <w:r w:rsidR="00CD6730">
        <w:rPr>
          <w:color w:val="000000"/>
        </w:rPr>
        <w:t>,</w:t>
      </w:r>
      <w:r w:rsidR="00CB1C82">
        <w:rPr>
          <w:color w:val="000000"/>
        </w:rPr>
        <w:t xml:space="preserve"> also known as </w:t>
      </w:r>
      <w:r w:rsidR="00B061E4" w:rsidRPr="00226668">
        <w:rPr>
          <w:color w:val="000000"/>
        </w:rPr>
        <w:t>Initiative Measure No. 937</w:t>
      </w:r>
      <w:r w:rsidR="00CB1C82">
        <w:rPr>
          <w:color w:val="000000"/>
        </w:rPr>
        <w:t xml:space="preserve"> or </w:t>
      </w:r>
      <w:r w:rsidR="00B061E4">
        <w:rPr>
          <w:color w:val="000000"/>
        </w:rPr>
        <w:t>I-937</w:t>
      </w:r>
      <w:r w:rsidR="00B061E4" w:rsidRPr="00226668">
        <w:rPr>
          <w:color w:val="000000"/>
        </w:rPr>
        <w:t xml:space="preserve">, </w:t>
      </w:r>
      <w:r w:rsidR="00717550" w:rsidRPr="00073D42">
        <w:t>requires utilities</w:t>
      </w:r>
      <w:r w:rsidR="00A547AA">
        <w:t xml:space="preserve"> with more than 25,000 customers</w:t>
      </w:r>
      <w:r w:rsidR="00717550" w:rsidRPr="00073D42">
        <w:t xml:space="preserve"> to obtain fifteen percent of their electricity from </w:t>
      </w:r>
      <w:r w:rsidR="00316237">
        <w:t>eligible</w:t>
      </w:r>
      <w:r w:rsidR="00316237" w:rsidRPr="00073D42">
        <w:t xml:space="preserve"> </w:t>
      </w:r>
      <w:r w:rsidR="00717550" w:rsidRPr="00073D42">
        <w:t>renewable resources</w:t>
      </w:r>
      <w:r w:rsidR="00316237">
        <w:t>,</w:t>
      </w:r>
      <w:r w:rsidR="00717550" w:rsidRPr="00073D42">
        <w:t xml:space="preserve"> such as wind</w:t>
      </w:r>
      <w:r w:rsidR="00B45B55">
        <w:t xml:space="preserve"> generation</w:t>
      </w:r>
      <w:r w:rsidR="00316237">
        <w:t>,</w:t>
      </w:r>
      <w:r w:rsidR="00717550" w:rsidRPr="00073D42">
        <w:t xml:space="preserve"> by 2020 and undertake cost-effective energy conservation.</w:t>
      </w:r>
      <w:r w:rsidR="00717550">
        <w:t xml:space="preserve"> </w:t>
      </w:r>
    </w:p>
    <w:p w:rsidR="007D4AD6" w:rsidRDefault="00717550" w:rsidP="00717550">
      <w:pPr>
        <w:pStyle w:val="NormalWeb"/>
        <w:spacing w:line="480" w:lineRule="auto"/>
        <w:ind w:firstLine="720"/>
        <w:jc w:val="both"/>
      </w:pPr>
      <w:r>
        <w:t>The Commission adopted</w:t>
      </w:r>
      <w:r w:rsidRPr="004538CE">
        <w:t xml:space="preserve"> WAC </w:t>
      </w:r>
      <w:r w:rsidR="00D44060">
        <w:t xml:space="preserve">Chapter </w:t>
      </w:r>
      <w:r w:rsidRPr="004538CE">
        <w:t xml:space="preserve">480-109, </w:t>
      </w:r>
      <w:r w:rsidRPr="00F07B0C">
        <w:rPr>
          <w:i/>
        </w:rPr>
        <w:t>Acquisition of Minimum Quantities of Conservation and Renewable Energy</w:t>
      </w:r>
      <w:r>
        <w:t xml:space="preserve"> to effectuate RCW </w:t>
      </w:r>
      <w:r w:rsidR="00D44060">
        <w:t xml:space="preserve">Chapter </w:t>
      </w:r>
      <w:r>
        <w:t>19.285</w:t>
      </w:r>
      <w:r w:rsidRPr="004538CE">
        <w:t>.</w:t>
      </w:r>
      <w:r>
        <w:t xml:space="preserve"> The compliance </w:t>
      </w:r>
      <w:r w:rsidRPr="009A62F8">
        <w:t>report</w:t>
      </w:r>
      <w:r>
        <w:t>, per WAC 480-109-</w:t>
      </w:r>
      <w:r w:rsidR="00E759A4">
        <w:t>210</w:t>
      </w:r>
      <w:r w:rsidR="005948C8">
        <w:t>,</w:t>
      </w:r>
      <w:r w:rsidRPr="009A62F8">
        <w:t xml:space="preserve"> must include</w:t>
      </w:r>
      <w:r w:rsidR="007D4AD6">
        <w:t>:</w:t>
      </w:r>
    </w:p>
    <w:p w:rsidR="007D4AD6" w:rsidRDefault="007D4AD6" w:rsidP="007D4AD6">
      <w:pPr>
        <w:pStyle w:val="NormalWeb"/>
        <w:numPr>
          <w:ilvl w:val="0"/>
          <w:numId w:val="31"/>
        </w:numPr>
        <w:spacing w:line="480" w:lineRule="auto"/>
        <w:ind w:left="360"/>
        <w:jc w:val="both"/>
      </w:pPr>
      <w:r>
        <w:t>T</w:t>
      </w:r>
      <w:r w:rsidR="00717550" w:rsidRPr="009A62F8">
        <w:t>he utility's annual load for the prior two years</w:t>
      </w:r>
      <w:r>
        <w:t>;</w:t>
      </w:r>
    </w:p>
    <w:p w:rsidR="007D4AD6" w:rsidRDefault="007D4AD6" w:rsidP="007D4AD6">
      <w:pPr>
        <w:pStyle w:val="NormalWeb"/>
        <w:numPr>
          <w:ilvl w:val="0"/>
          <w:numId w:val="31"/>
        </w:numPr>
        <w:spacing w:line="480" w:lineRule="auto"/>
        <w:ind w:left="360"/>
        <w:jc w:val="both"/>
      </w:pPr>
      <w:r>
        <w:t>T</w:t>
      </w:r>
      <w:r w:rsidR="00717550" w:rsidRPr="009A62F8">
        <w:t>he total number of megawatt-hours from eligible renewable resources and/or renewable resource credits the utility needed to meet its annual renewable energy target by January 1 of the target year</w:t>
      </w:r>
      <w:r>
        <w:t>;</w:t>
      </w:r>
    </w:p>
    <w:p w:rsidR="007D4AD6" w:rsidRDefault="007D4AD6" w:rsidP="007D4AD6">
      <w:pPr>
        <w:pStyle w:val="NormalWeb"/>
        <w:numPr>
          <w:ilvl w:val="0"/>
          <w:numId w:val="31"/>
        </w:numPr>
        <w:spacing w:line="480" w:lineRule="auto"/>
        <w:ind w:left="360"/>
        <w:jc w:val="both"/>
      </w:pPr>
      <w:r>
        <w:t>T</w:t>
      </w:r>
      <w:r w:rsidR="00717550" w:rsidRPr="009A62F8">
        <w:t>he amount (in megawatt-hours) and cost of each type of eligible renewable resource used</w:t>
      </w:r>
      <w:r>
        <w:t>;</w:t>
      </w:r>
    </w:p>
    <w:p w:rsidR="007D4AD6" w:rsidRDefault="007D4AD6" w:rsidP="007D4AD6">
      <w:pPr>
        <w:pStyle w:val="NormalWeb"/>
        <w:numPr>
          <w:ilvl w:val="0"/>
          <w:numId w:val="31"/>
        </w:numPr>
        <w:spacing w:line="480" w:lineRule="auto"/>
        <w:ind w:left="360"/>
        <w:jc w:val="both"/>
      </w:pPr>
      <w:r>
        <w:lastRenderedPageBreak/>
        <w:t>T</w:t>
      </w:r>
      <w:r w:rsidR="00717550" w:rsidRPr="009A62F8">
        <w:t>he amount (in megawatt-hours) and cost of renewable energy credits acquired</w:t>
      </w:r>
      <w:r>
        <w:t>;</w:t>
      </w:r>
      <w:r w:rsidR="00717550" w:rsidRPr="009A62F8">
        <w:t xml:space="preserve"> </w:t>
      </w:r>
    </w:p>
    <w:p w:rsidR="007D4AD6" w:rsidRDefault="007D4AD6" w:rsidP="007D4AD6">
      <w:pPr>
        <w:pStyle w:val="NormalWeb"/>
        <w:numPr>
          <w:ilvl w:val="0"/>
          <w:numId w:val="31"/>
        </w:numPr>
        <w:spacing w:line="480" w:lineRule="auto"/>
        <w:ind w:left="360"/>
        <w:jc w:val="both"/>
      </w:pPr>
      <w:r>
        <w:t>T</w:t>
      </w:r>
      <w:r w:rsidR="00717550" w:rsidRPr="009A62F8">
        <w:t>he type and cost (per megawatt-hour) of the least-cost substitute resources available to the utility that do not qualify as eligible renewable resources</w:t>
      </w:r>
      <w:r>
        <w:t>;</w:t>
      </w:r>
      <w:r w:rsidR="00717550" w:rsidRPr="009A62F8">
        <w:t xml:space="preserve"> </w:t>
      </w:r>
    </w:p>
    <w:p w:rsidR="007D4AD6" w:rsidRDefault="007D4AD6" w:rsidP="007D4AD6">
      <w:pPr>
        <w:pStyle w:val="NormalWeb"/>
        <w:numPr>
          <w:ilvl w:val="0"/>
          <w:numId w:val="31"/>
        </w:numPr>
        <w:spacing w:line="480" w:lineRule="auto"/>
        <w:ind w:left="360"/>
        <w:jc w:val="both"/>
      </w:pPr>
      <w:r>
        <w:t>T</w:t>
      </w:r>
      <w:r w:rsidR="00717550" w:rsidRPr="009A62F8">
        <w:t>he incremental cost of eligible renewable resources and renewable energy credits</w:t>
      </w:r>
      <w:r>
        <w:t>;</w:t>
      </w:r>
      <w:r w:rsidR="00717550" w:rsidRPr="009A62F8">
        <w:t xml:space="preserve"> and </w:t>
      </w:r>
    </w:p>
    <w:p w:rsidR="00FB7660" w:rsidRDefault="007D4AD6" w:rsidP="007D4AD6">
      <w:pPr>
        <w:pStyle w:val="NormalWeb"/>
        <w:numPr>
          <w:ilvl w:val="0"/>
          <w:numId w:val="31"/>
        </w:numPr>
        <w:spacing w:line="480" w:lineRule="auto"/>
        <w:ind w:left="360"/>
        <w:jc w:val="both"/>
      </w:pPr>
      <w:r>
        <w:t>T</w:t>
      </w:r>
      <w:r w:rsidR="00717550" w:rsidRPr="009A62F8">
        <w:t xml:space="preserve">he ratio of </w:t>
      </w:r>
      <w:r>
        <w:t xml:space="preserve">the incremental cost of the qualifying renewable resources </w:t>
      </w:r>
      <w:r w:rsidR="00717550" w:rsidRPr="009A62F8">
        <w:t>relative to the utility's total annual retail revenue requirement.</w:t>
      </w:r>
      <w:r w:rsidR="00226668" w:rsidRPr="00226668">
        <w:t xml:space="preserve"> </w:t>
      </w:r>
      <w:r w:rsidR="00F97C2D">
        <w:t xml:space="preserve">  </w:t>
      </w:r>
      <w:r w:rsidR="004538CE" w:rsidRPr="004538CE">
        <w:t xml:space="preserve">  </w:t>
      </w:r>
    </w:p>
    <w:p w:rsidR="00E81AF6" w:rsidRPr="00E81AF6" w:rsidRDefault="00E81AF6" w:rsidP="00F86220">
      <w:pPr>
        <w:ind w:left="1440" w:hanging="540"/>
        <w:jc w:val="center"/>
        <w:rPr>
          <w:b/>
          <w:sz w:val="28"/>
        </w:rPr>
      </w:pPr>
      <w:r w:rsidRPr="00F86220">
        <w:rPr>
          <w:b/>
        </w:rPr>
        <w:t>II.</w:t>
      </w:r>
      <w:r>
        <w:rPr>
          <w:b/>
          <w:sz w:val="28"/>
        </w:rPr>
        <w:tab/>
      </w:r>
      <w:r w:rsidR="00F86220" w:rsidRPr="00F86220">
        <w:rPr>
          <w:b/>
        </w:rPr>
        <w:t>ALTERNATIVE COMPLIANCE</w:t>
      </w:r>
    </w:p>
    <w:p w:rsidR="00E81AF6" w:rsidRDefault="00E81AF6" w:rsidP="00E81AF6"/>
    <w:p w:rsidR="00E81AF6" w:rsidRDefault="00E81AF6" w:rsidP="00F86220">
      <w:pPr>
        <w:spacing w:line="480" w:lineRule="auto"/>
        <w:ind w:firstLine="720"/>
      </w:pPr>
      <w:r>
        <w:t>WAC 480-109-</w:t>
      </w:r>
      <w:r w:rsidR="002455BE">
        <w:t xml:space="preserve">220 </w:t>
      </w:r>
      <w:r>
        <w:t xml:space="preserve">provides three alternatives for meeting renewable resource requirements, including: </w:t>
      </w:r>
    </w:p>
    <w:p w:rsidR="00E81AF6" w:rsidRDefault="002455BE" w:rsidP="007D4AD6">
      <w:pPr>
        <w:pStyle w:val="ListParagraph"/>
        <w:numPr>
          <w:ilvl w:val="0"/>
          <w:numId w:val="33"/>
        </w:numPr>
        <w:ind w:left="360"/>
        <w:jc w:val="both"/>
      </w:pPr>
      <w:r>
        <w:t>Cost cap</w:t>
      </w:r>
      <w:r w:rsidR="0006546A">
        <w:t>;</w:t>
      </w:r>
    </w:p>
    <w:p w:rsidR="00E81AF6" w:rsidRDefault="0006546A" w:rsidP="007D4AD6">
      <w:pPr>
        <w:pStyle w:val="ListParagraph"/>
        <w:numPr>
          <w:ilvl w:val="0"/>
          <w:numId w:val="33"/>
        </w:numPr>
        <w:ind w:left="360"/>
        <w:jc w:val="both"/>
      </w:pPr>
      <w:r>
        <w:t>Force majeure;</w:t>
      </w:r>
      <w:r w:rsidR="00E81AF6">
        <w:t xml:space="preserve"> and </w:t>
      </w:r>
    </w:p>
    <w:p w:rsidR="00E81AF6" w:rsidRDefault="0006546A" w:rsidP="007D4AD6">
      <w:pPr>
        <w:pStyle w:val="ListParagraph"/>
        <w:numPr>
          <w:ilvl w:val="0"/>
          <w:numId w:val="33"/>
        </w:numPr>
        <w:ind w:left="360"/>
        <w:jc w:val="both"/>
      </w:pPr>
      <w:r>
        <w:t>No load growth.</w:t>
      </w:r>
      <w:r w:rsidR="00E81AF6">
        <w:t xml:space="preserve"> </w:t>
      </w:r>
    </w:p>
    <w:p w:rsidR="00E81AF6" w:rsidRDefault="00E81AF6" w:rsidP="00E81AF6"/>
    <w:p w:rsidR="00E81AF6" w:rsidRDefault="00E81AF6" w:rsidP="00F86220">
      <w:pPr>
        <w:spacing w:line="480" w:lineRule="auto"/>
        <w:ind w:firstLine="720"/>
        <w:jc w:val="both"/>
      </w:pPr>
      <w:r>
        <w:t xml:space="preserve">Avista </w:t>
      </w:r>
      <w:r w:rsidR="00F00EBF">
        <w:t>is</w:t>
      </w:r>
      <w:r>
        <w:t xml:space="preserve"> not using an alternative to the renewable resource requirement for the 201</w:t>
      </w:r>
      <w:r w:rsidR="0006546A">
        <w:t>5</w:t>
      </w:r>
      <w:r>
        <w:t xml:space="preserve"> target</w:t>
      </w:r>
      <w:r w:rsidR="0006546A">
        <w:t xml:space="preserve"> as provided for in WAC 480-109-220</w:t>
      </w:r>
      <w:r>
        <w:t xml:space="preserve">. The Company </w:t>
      </w:r>
      <w:r w:rsidR="00F00EBF">
        <w:t>is</w:t>
      </w:r>
      <w:r>
        <w:t xml:space="preserve"> meet</w:t>
      </w:r>
      <w:r w:rsidR="00F00EBF">
        <w:t>ing</w:t>
      </w:r>
      <w:r>
        <w:t xml:space="preserve"> its </w:t>
      </w:r>
      <w:r w:rsidR="00F00EBF">
        <w:t>201</w:t>
      </w:r>
      <w:r w:rsidR="0006546A">
        <w:t>5</w:t>
      </w:r>
      <w:r w:rsidR="00F00EBF">
        <w:t xml:space="preserve"> </w:t>
      </w:r>
      <w:r>
        <w:t>r</w:t>
      </w:r>
      <w:r w:rsidRPr="005C573F">
        <w:t xml:space="preserve">enewable </w:t>
      </w:r>
      <w:r w:rsidR="00A547AA">
        <w:t>energy</w:t>
      </w:r>
      <w:r w:rsidRPr="005C573F">
        <w:t xml:space="preserve"> </w:t>
      </w:r>
      <w:r w:rsidR="00A547AA">
        <w:t>target</w:t>
      </w:r>
      <w:r w:rsidRPr="005C573F">
        <w:t xml:space="preserve"> using a combination of renewable energy credits and qualifying hydroelectric plant upgrades</w:t>
      </w:r>
      <w:r w:rsidR="0006546A">
        <w:t>.</w:t>
      </w:r>
    </w:p>
    <w:p w:rsidR="00E81AF6" w:rsidRPr="005C573F" w:rsidRDefault="00E81AF6" w:rsidP="00E81AF6">
      <w:r w:rsidRPr="005C573F">
        <w:t xml:space="preserve"> </w:t>
      </w:r>
    </w:p>
    <w:p w:rsidR="00E81AF6" w:rsidRPr="00F86220" w:rsidRDefault="00F86220" w:rsidP="00F86220">
      <w:pPr>
        <w:jc w:val="center"/>
        <w:rPr>
          <w:b/>
        </w:rPr>
      </w:pPr>
      <w:r>
        <w:rPr>
          <w:b/>
        </w:rPr>
        <w:t>III.</w:t>
      </w:r>
      <w:r>
        <w:rPr>
          <w:b/>
        </w:rPr>
        <w:tab/>
      </w:r>
      <w:r w:rsidRPr="00F86220">
        <w:rPr>
          <w:b/>
        </w:rPr>
        <w:t>ANNUAL LOAD FOR PREVIOUS TWO YEARS</w:t>
      </w:r>
    </w:p>
    <w:p w:rsidR="00F86220" w:rsidRDefault="00F86220" w:rsidP="00E81AF6"/>
    <w:p w:rsidR="00E81AF6" w:rsidRDefault="00E81AF6" w:rsidP="00F86220">
      <w:pPr>
        <w:spacing w:line="480" w:lineRule="auto"/>
        <w:ind w:firstLine="720"/>
        <w:jc w:val="both"/>
      </w:pPr>
      <w:r>
        <w:t xml:space="preserve">Renewable targets for the compliance year are based on average Washington State retail loads from the two prior years. Avista’s annual delivered load to Washington retail customers was </w:t>
      </w:r>
      <w:r w:rsidR="00174E2B">
        <w:t>5,678,868</w:t>
      </w:r>
      <w:r>
        <w:t xml:space="preserve"> MWh in 201</w:t>
      </w:r>
      <w:r w:rsidR="00174E2B">
        <w:t>3</w:t>
      </w:r>
      <w:r>
        <w:t xml:space="preserve"> and </w:t>
      </w:r>
      <w:r w:rsidR="00174E2B">
        <w:t>5,685,958</w:t>
      </w:r>
      <w:r>
        <w:t xml:space="preserve"> MWh in 201</w:t>
      </w:r>
      <w:r w:rsidR="00174E2B">
        <w:t>4</w:t>
      </w:r>
      <w:r>
        <w:t>. The Company’s average retail load used for 201</w:t>
      </w:r>
      <w:r w:rsidR="00174E2B">
        <w:t>5</w:t>
      </w:r>
      <w:r>
        <w:t xml:space="preserve"> compliance is </w:t>
      </w:r>
      <w:r w:rsidR="00174E2B">
        <w:t>5,682,413</w:t>
      </w:r>
      <w:r>
        <w:t xml:space="preserve"> MWh.</w:t>
      </w:r>
    </w:p>
    <w:p w:rsidR="00A547AA" w:rsidRDefault="00A547AA" w:rsidP="00F86220">
      <w:pPr>
        <w:spacing w:line="480" w:lineRule="auto"/>
        <w:ind w:firstLine="720"/>
        <w:jc w:val="both"/>
      </w:pPr>
    </w:p>
    <w:p w:rsidR="00423C83" w:rsidRDefault="00423C83" w:rsidP="00F86220">
      <w:pPr>
        <w:spacing w:line="480" w:lineRule="auto"/>
        <w:ind w:firstLine="720"/>
        <w:jc w:val="both"/>
      </w:pPr>
    </w:p>
    <w:p w:rsidR="00E81AF6" w:rsidRPr="00F86220" w:rsidRDefault="00F86220" w:rsidP="00F86220">
      <w:pPr>
        <w:jc w:val="center"/>
        <w:rPr>
          <w:b/>
        </w:rPr>
      </w:pPr>
      <w:r>
        <w:rPr>
          <w:b/>
        </w:rPr>
        <w:lastRenderedPageBreak/>
        <w:t>IV.</w:t>
      </w:r>
      <w:r>
        <w:rPr>
          <w:b/>
        </w:rPr>
        <w:tab/>
      </w:r>
      <w:r w:rsidRPr="00F86220">
        <w:rPr>
          <w:b/>
        </w:rPr>
        <w:t>RENEWABLE ENERGY TARGET</w:t>
      </w:r>
    </w:p>
    <w:p w:rsidR="00F86220" w:rsidRDefault="00F86220" w:rsidP="00E81AF6"/>
    <w:p w:rsidR="00E81AF6" w:rsidRDefault="00467A08" w:rsidP="00F86220">
      <w:pPr>
        <w:spacing w:line="480" w:lineRule="auto"/>
        <w:ind w:firstLine="720"/>
      </w:pPr>
      <w:r>
        <w:t>The following information is for the 201</w:t>
      </w:r>
      <w:r w:rsidR="00174E2B">
        <w:t>5</w:t>
      </w:r>
      <w:r>
        <w:t xml:space="preserve"> compliance year</w:t>
      </w:r>
      <w:r w:rsidR="009B31C1">
        <w:t>, which has a 3 percent qualified renewable energy</w:t>
      </w:r>
      <w:r w:rsidR="007D4AD6">
        <w:t xml:space="preserve"> target</w:t>
      </w:r>
      <w:r w:rsidR="009B31C1">
        <w:t xml:space="preserve">. </w:t>
      </w:r>
      <w:r w:rsidR="00E81AF6" w:rsidRPr="000D2C0E">
        <w:t>Avista’s 201</w:t>
      </w:r>
      <w:r w:rsidR="00174E2B">
        <w:t>5</w:t>
      </w:r>
      <w:r w:rsidR="00E81AF6" w:rsidRPr="000D2C0E">
        <w:t xml:space="preserve"> renewable energy target is </w:t>
      </w:r>
      <w:r w:rsidR="00174E2B">
        <w:t>170,472</w:t>
      </w:r>
      <w:r w:rsidR="00E81AF6" w:rsidRPr="000D2C0E">
        <w:t xml:space="preserve"> MWh </w:t>
      </w:r>
      <w:r w:rsidR="00DE1EA4">
        <w:t xml:space="preserve">of qualified renewable generation </w:t>
      </w:r>
      <w:r w:rsidR="00E81AF6" w:rsidRPr="000D2C0E">
        <w:t>or renewable energy credits.</w:t>
      </w:r>
      <w:r w:rsidR="00E81AF6">
        <w:t xml:space="preserve"> Table 1 </w:t>
      </w:r>
      <w:r w:rsidR="00DE1EA4">
        <w:t xml:space="preserve">provides </w:t>
      </w:r>
      <w:r w:rsidR="00E81AF6">
        <w:t xml:space="preserve">details </w:t>
      </w:r>
      <w:r w:rsidR="00DE1EA4">
        <w:t>about</w:t>
      </w:r>
      <w:r w:rsidR="00E81AF6">
        <w:t xml:space="preserve"> th</w:t>
      </w:r>
      <w:r w:rsidR="00DE1EA4">
        <w:t>e Company’s 201</w:t>
      </w:r>
      <w:r w:rsidR="00174E2B">
        <w:t>5</w:t>
      </w:r>
      <w:r w:rsidR="00DE1EA4">
        <w:t xml:space="preserve"> renewable energy target</w:t>
      </w:r>
      <w:r w:rsidR="00E81AF6">
        <w:t xml:space="preserve"> calculation.</w:t>
      </w:r>
    </w:p>
    <w:p w:rsidR="00F86220" w:rsidRDefault="00F86220" w:rsidP="00E81AF6"/>
    <w:p w:rsidR="00E81AF6" w:rsidRDefault="00E81AF6" w:rsidP="00E81AF6">
      <w:pPr>
        <w:jc w:val="center"/>
        <w:rPr>
          <w:b/>
        </w:rPr>
      </w:pPr>
      <w:r w:rsidRPr="00927395">
        <w:rPr>
          <w:b/>
        </w:rPr>
        <w:t>Table 1: Energy Independence Act Renewable Energy Target</w:t>
      </w:r>
    </w:p>
    <w:p w:rsidR="004368B3" w:rsidRPr="00927395" w:rsidRDefault="004368B3" w:rsidP="00E81AF6">
      <w:pPr>
        <w:jc w:val="center"/>
        <w:rPr>
          <w:b/>
        </w:rPr>
      </w:pPr>
    </w:p>
    <w:tbl>
      <w:tblPr>
        <w:tblW w:w="0" w:type="auto"/>
        <w:jc w:val="center"/>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3"/>
        <w:gridCol w:w="1176"/>
        <w:gridCol w:w="1176"/>
        <w:gridCol w:w="1176"/>
        <w:gridCol w:w="1176"/>
      </w:tblGrid>
      <w:tr w:rsidR="00E94A02" w:rsidRPr="00F86220" w:rsidTr="00E94A02">
        <w:trPr>
          <w:jc w:val="center"/>
        </w:trPr>
        <w:tc>
          <w:tcPr>
            <w:tcW w:w="3663" w:type="dxa"/>
          </w:tcPr>
          <w:p w:rsidR="00E94A02" w:rsidRPr="00F86220" w:rsidRDefault="00E94A02" w:rsidP="00E81AF6"/>
        </w:tc>
        <w:tc>
          <w:tcPr>
            <w:tcW w:w="1176" w:type="dxa"/>
          </w:tcPr>
          <w:p w:rsidR="00E94A02" w:rsidRPr="00F86220" w:rsidRDefault="00E94A02" w:rsidP="00E71FC2">
            <w:pPr>
              <w:jc w:val="center"/>
              <w:rPr>
                <w:b/>
              </w:rPr>
            </w:pPr>
            <w:r w:rsidRPr="00F86220">
              <w:rPr>
                <w:b/>
              </w:rPr>
              <w:t>201</w:t>
            </w:r>
            <w:r>
              <w:rPr>
                <w:b/>
              </w:rPr>
              <w:t>2</w:t>
            </w:r>
          </w:p>
        </w:tc>
        <w:tc>
          <w:tcPr>
            <w:tcW w:w="1176" w:type="dxa"/>
          </w:tcPr>
          <w:p w:rsidR="00E94A02" w:rsidRPr="00F86220" w:rsidRDefault="00E94A02" w:rsidP="00E71FC2">
            <w:pPr>
              <w:jc w:val="center"/>
              <w:rPr>
                <w:b/>
              </w:rPr>
            </w:pPr>
            <w:r w:rsidRPr="00F86220">
              <w:rPr>
                <w:b/>
              </w:rPr>
              <w:t>201</w:t>
            </w:r>
            <w:r>
              <w:rPr>
                <w:b/>
              </w:rPr>
              <w:t>3</w:t>
            </w:r>
          </w:p>
        </w:tc>
        <w:tc>
          <w:tcPr>
            <w:tcW w:w="1176" w:type="dxa"/>
          </w:tcPr>
          <w:p w:rsidR="00E94A02" w:rsidRPr="00F86220" w:rsidRDefault="00E94A02" w:rsidP="00E71FC2">
            <w:pPr>
              <w:jc w:val="center"/>
              <w:rPr>
                <w:b/>
              </w:rPr>
            </w:pPr>
            <w:r w:rsidRPr="00F86220">
              <w:rPr>
                <w:b/>
              </w:rPr>
              <w:t>201</w:t>
            </w:r>
            <w:r>
              <w:rPr>
                <w:b/>
              </w:rPr>
              <w:t>4</w:t>
            </w:r>
          </w:p>
        </w:tc>
        <w:tc>
          <w:tcPr>
            <w:tcW w:w="1176" w:type="dxa"/>
          </w:tcPr>
          <w:p w:rsidR="00E94A02" w:rsidRPr="00F86220" w:rsidRDefault="00E94A02" w:rsidP="00E71FC2">
            <w:pPr>
              <w:jc w:val="center"/>
              <w:rPr>
                <w:b/>
              </w:rPr>
            </w:pPr>
            <w:r>
              <w:rPr>
                <w:b/>
              </w:rPr>
              <w:t>2015</w:t>
            </w:r>
          </w:p>
        </w:tc>
      </w:tr>
      <w:tr w:rsidR="00E94A02" w:rsidRPr="00F86220" w:rsidTr="00E94A02">
        <w:trPr>
          <w:jc w:val="center"/>
        </w:trPr>
        <w:tc>
          <w:tcPr>
            <w:tcW w:w="3663" w:type="dxa"/>
          </w:tcPr>
          <w:p w:rsidR="00E94A02" w:rsidRPr="00F86220" w:rsidRDefault="00E94A02" w:rsidP="00E81AF6">
            <w:pPr>
              <w:rPr>
                <w:b/>
              </w:rPr>
            </w:pPr>
            <w:r w:rsidRPr="00F86220">
              <w:rPr>
                <w:b/>
              </w:rPr>
              <w:t>Washington Retail Load (MWh)</w:t>
            </w:r>
          </w:p>
        </w:tc>
        <w:tc>
          <w:tcPr>
            <w:tcW w:w="1176" w:type="dxa"/>
          </w:tcPr>
          <w:p w:rsidR="00E94A02" w:rsidRPr="00F86220" w:rsidRDefault="00E94A02" w:rsidP="00E71FC2">
            <w:pPr>
              <w:jc w:val="center"/>
            </w:pPr>
            <w:r w:rsidRPr="00F86220">
              <w:t>5,</w:t>
            </w:r>
            <w:r>
              <w:t>513</w:t>
            </w:r>
            <w:r w:rsidRPr="00F86220">
              <w:t>,</w:t>
            </w:r>
            <w:r>
              <w:t>396</w:t>
            </w:r>
          </w:p>
        </w:tc>
        <w:tc>
          <w:tcPr>
            <w:tcW w:w="1176" w:type="dxa"/>
          </w:tcPr>
          <w:p w:rsidR="00E94A02" w:rsidRPr="00F86220" w:rsidRDefault="00E94A02" w:rsidP="00BC1A53">
            <w:pPr>
              <w:jc w:val="center"/>
            </w:pPr>
            <w:r w:rsidRPr="00F86220">
              <w:t>5,</w:t>
            </w:r>
            <w:r w:rsidR="00BC1A53">
              <w:t>678,868</w:t>
            </w:r>
          </w:p>
        </w:tc>
        <w:tc>
          <w:tcPr>
            <w:tcW w:w="1176" w:type="dxa"/>
          </w:tcPr>
          <w:p w:rsidR="00E94A02" w:rsidRPr="00F86220" w:rsidRDefault="00E94A02" w:rsidP="00603851">
            <w:pPr>
              <w:jc w:val="center"/>
            </w:pPr>
            <w:r>
              <w:t>5,</w:t>
            </w:r>
            <w:r w:rsidR="00BC1A53">
              <w:t>6</w:t>
            </w:r>
            <w:r w:rsidR="00603851">
              <w:t>85,958</w:t>
            </w:r>
          </w:p>
        </w:tc>
        <w:tc>
          <w:tcPr>
            <w:tcW w:w="1176" w:type="dxa"/>
          </w:tcPr>
          <w:p w:rsidR="00E94A02" w:rsidRDefault="00BC1A53" w:rsidP="00E71FC2">
            <w:pPr>
              <w:jc w:val="center"/>
            </w:pPr>
            <w:r>
              <w:t>5,724,455</w:t>
            </w:r>
          </w:p>
        </w:tc>
      </w:tr>
      <w:tr w:rsidR="00E94A02" w:rsidRPr="00F86220" w:rsidTr="00E94A02">
        <w:trPr>
          <w:jc w:val="center"/>
        </w:trPr>
        <w:tc>
          <w:tcPr>
            <w:tcW w:w="3663" w:type="dxa"/>
          </w:tcPr>
          <w:p w:rsidR="00E94A02" w:rsidRPr="00F86220" w:rsidRDefault="00E94A02" w:rsidP="005948C8">
            <w:pPr>
              <w:rPr>
                <w:b/>
              </w:rPr>
            </w:pPr>
            <w:r w:rsidRPr="00F86220">
              <w:rPr>
                <w:b/>
              </w:rPr>
              <w:t>Target Load</w:t>
            </w:r>
            <w:r>
              <w:rPr>
                <w:b/>
              </w:rPr>
              <w:t xml:space="preserve"> (MWh)</w:t>
            </w:r>
          </w:p>
        </w:tc>
        <w:tc>
          <w:tcPr>
            <w:tcW w:w="1176" w:type="dxa"/>
          </w:tcPr>
          <w:p w:rsidR="00E94A02" w:rsidRPr="00F86220" w:rsidRDefault="00E94A02" w:rsidP="00E81AF6">
            <w:pPr>
              <w:jc w:val="center"/>
            </w:pPr>
            <w:r>
              <w:t>5,534,889</w:t>
            </w:r>
          </w:p>
        </w:tc>
        <w:tc>
          <w:tcPr>
            <w:tcW w:w="1176" w:type="dxa"/>
          </w:tcPr>
          <w:p w:rsidR="00E94A02" w:rsidRPr="00F86220" w:rsidRDefault="00E94A02" w:rsidP="00E71FC2">
            <w:pPr>
              <w:jc w:val="center"/>
            </w:pPr>
            <w:r>
              <w:t>5,557,999</w:t>
            </w:r>
          </w:p>
        </w:tc>
        <w:tc>
          <w:tcPr>
            <w:tcW w:w="1176" w:type="dxa"/>
          </w:tcPr>
          <w:p w:rsidR="00E94A02" w:rsidRPr="00F86220" w:rsidRDefault="00E94A02" w:rsidP="000477D8">
            <w:pPr>
              <w:jc w:val="center"/>
            </w:pPr>
            <w:r>
              <w:t>5,596,132</w:t>
            </w:r>
          </w:p>
        </w:tc>
        <w:tc>
          <w:tcPr>
            <w:tcW w:w="1176" w:type="dxa"/>
          </w:tcPr>
          <w:p w:rsidR="00E94A02" w:rsidRDefault="00603851" w:rsidP="000477D8">
            <w:pPr>
              <w:jc w:val="center"/>
            </w:pPr>
            <w:r>
              <w:t>5,682,413</w:t>
            </w:r>
          </w:p>
        </w:tc>
      </w:tr>
      <w:tr w:rsidR="00E94A02" w:rsidRPr="00F86220" w:rsidTr="00E94A02">
        <w:trPr>
          <w:jc w:val="center"/>
        </w:trPr>
        <w:tc>
          <w:tcPr>
            <w:tcW w:w="3663" w:type="dxa"/>
          </w:tcPr>
          <w:p w:rsidR="00E94A02" w:rsidRPr="00F86220" w:rsidRDefault="00E94A02" w:rsidP="00E81AF6">
            <w:pPr>
              <w:rPr>
                <w:b/>
              </w:rPr>
            </w:pPr>
            <w:r w:rsidRPr="00F86220">
              <w:rPr>
                <w:b/>
              </w:rPr>
              <w:t>RCW 19.285 Requirement</w:t>
            </w:r>
          </w:p>
        </w:tc>
        <w:tc>
          <w:tcPr>
            <w:tcW w:w="1176" w:type="dxa"/>
          </w:tcPr>
          <w:p w:rsidR="00E94A02" w:rsidRPr="00F86220" w:rsidRDefault="00E94A02" w:rsidP="00E71FC2">
            <w:pPr>
              <w:jc w:val="center"/>
            </w:pPr>
            <w:r>
              <w:t>3</w:t>
            </w:r>
            <w:r w:rsidRPr="00F86220">
              <w:t>%</w:t>
            </w:r>
          </w:p>
        </w:tc>
        <w:tc>
          <w:tcPr>
            <w:tcW w:w="1176" w:type="dxa"/>
          </w:tcPr>
          <w:p w:rsidR="00E94A02" w:rsidRPr="00F86220" w:rsidRDefault="00E94A02" w:rsidP="00E81AF6">
            <w:pPr>
              <w:jc w:val="center"/>
            </w:pPr>
            <w:r>
              <w:t>3</w:t>
            </w:r>
            <w:r w:rsidRPr="00F86220">
              <w:t>%</w:t>
            </w:r>
          </w:p>
        </w:tc>
        <w:tc>
          <w:tcPr>
            <w:tcW w:w="1176" w:type="dxa"/>
          </w:tcPr>
          <w:p w:rsidR="00E94A02" w:rsidRPr="00F86220" w:rsidRDefault="00E94A02" w:rsidP="00E81AF6">
            <w:pPr>
              <w:jc w:val="center"/>
            </w:pPr>
            <w:r w:rsidRPr="00F86220">
              <w:t>3%</w:t>
            </w:r>
          </w:p>
        </w:tc>
        <w:tc>
          <w:tcPr>
            <w:tcW w:w="1176" w:type="dxa"/>
          </w:tcPr>
          <w:p w:rsidR="00E94A02" w:rsidRPr="00F86220" w:rsidRDefault="00E94A02" w:rsidP="00E81AF6">
            <w:pPr>
              <w:jc w:val="center"/>
            </w:pPr>
            <w:r>
              <w:t>3%</w:t>
            </w:r>
          </w:p>
        </w:tc>
      </w:tr>
      <w:tr w:rsidR="00E94A02" w:rsidRPr="00F86220" w:rsidTr="00E94A02">
        <w:trPr>
          <w:jc w:val="center"/>
        </w:trPr>
        <w:tc>
          <w:tcPr>
            <w:tcW w:w="3663" w:type="dxa"/>
          </w:tcPr>
          <w:p w:rsidR="00E94A02" w:rsidRPr="00F86220" w:rsidRDefault="00E94A02" w:rsidP="00E81AF6">
            <w:pPr>
              <w:rPr>
                <w:b/>
              </w:rPr>
            </w:pPr>
            <w:r w:rsidRPr="00F86220">
              <w:rPr>
                <w:b/>
              </w:rPr>
              <w:t>Requirement (MWh)</w:t>
            </w:r>
          </w:p>
        </w:tc>
        <w:tc>
          <w:tcPr>
            <w:tcW w:w="1176" w:type="dxa"/>
          </w:tcPr>
          <w:p w:rsidR="00E94A02" w:rsidRPr="00F86220" w:rsidRDefault="00E94A02" w:rsidP="00E81AF6">
            <w:pPr>
              <w:jc w:val="center"/>
            </w:pPr>
            <w:r>
              <w:t>166,047</w:t>
            </w:r>
          </w:p>
        </w:tc>
        <w:tc>
          <w:tcPr>
            <w:tcW w:w="1176" w:type="dxa"/>
          </w:tcPr>
          <w:p w:rsidR="00E94A02" w:rsidRPr="00F86220" w:rsidRDefault="00E94A02" w:rsidP="00E71FC2">
            <w:pPr>
              <w:jc w:val="center"/>
            </w:pPr>
            <w:r>
              <w:t>166,740</w:t>
            </w:r>
          </w:p>
        </w:tc>
        <w:tc>
          <w:tcPr>
            <w:tcW w:w="1176" w:type="dxa"/>
          </w:tcPr>
          <w:p w:rsidR="00E94A02" w:rsidRPr="00F86220" w:rsidRDefault="00E94A02" w:rsidP="000477D8">
            <w:pPr>
              <w:jc w:val="center"/>
            </w:pPr>
            <w:r>
              <w:t>167,884</w:t>
            </w:r>
          </w:p>
        </w:tc>
        <w:tc>
          <w:tcPr>
            <w:tcW w:w="1176" w:type="dxa"/>
          </w:tcPr>
          <w:p w:rsidR="00E94A02" w:rsidRDefault="00BC1A53" w:rsidP="00603851">
            <w:pPr>
              <w:jc w:val="center"/>
            </w:pPr>
            <w:r>
              <w:t>1</w:t>
            </w:r>
            <w:r w:rsidR="00603851">
              <w:t>70,472</w:t>
            </w:r>
          </w:p>
        </w:tc>
      </w:tr>
    </w:tbl>
    <w:p w:rsidR="00E81AF6" w:rsidRDefault="00E81AF6" w:rsidP="00E81AF6"/>
    <w:p w:rsidR="00DC1921" w:rsidRDefault="00DC1921" w:rsidP="00F86220">
      <w:pPr>
        <w:jc w:val="center"/>
        <w:rPr>
          <w:b/>
        </w:rPr>
      </w:pPr>
    </w:p>
    <w:p w:rsidR="004368B3" w:rsidRDefault="004368B3" w:rsidP="00F86220">
      <w:pPr>
        <w:jc w:val="center"/>
        <w:rPr>
          <w:b/>
        </w:rPr>
      </w:pPr>
    </w:p>
    <w:p w:rsidR="00E81AF6" w:rsidRPr="00F86220" w:rsidRDefault="00F86220" w:rsidP="00F86220">
      <w:pPr>
        <w:jc w:val="center"/>
        <w:rPr>
          <w:b/>
        </w:rPr>
      </w:pPr>
      <w:r>
        <w:rPr>
          <w:b/>
        </w:rPr>
        <w:t>V.</w:t>
      </w:r>
      <w:r>
        <w:rPr>
          <w:b/>
        </w:rPr>
        <w:tab/>
      </w:r>
      <w:r w:rsidRPr="00F86220">
        <w:rPr>
          <w:b/>
        </w:rPr>
        <w:t>RENEWABLE ENERGY ACQUIRED TO MEET RENEWABLE ENERGY TARGET</w:t>
      </w:r>
    </w:p>
    <w:p w:rsidR="00F86220" w:rsidRDefault="00F86220" w:rsidP="00E81AF6"/>
    <w:p w:rsidR="00E81AF6" w:rsidRDefault="00DE1EA4" w:rsidP="00F86220">
      <w:pPr>
        <w:spacing w:line="480" w:lineRule="auto"/>
        <w:ind w:firstLine="720"/>
        <w:jc w:val="both"/>
      </w:pPr>
      <w:r>
        <w:t>This compliance report covers the 201</w:t>
      </w:r>
      <w:r w:rsidR="00174E2B">
        <w:t>5</w:t>
      </w:r>
      <w:r w:rsidR="00B45B55">
        <w:t>-</w:t>
      </w:r>
      <w:r>
        <w:t xml:space="preserve">calendar year per </w:t>
      </w:r>
      <w:r w:rsidR="00730FB7">
        <w:t>RCW</w:t>
      </w:r>
      <w:r w:rsidR="00401820">
        <w:t xml:space="preserve"> 19.285.070. </w:t>
      </w:r>
      <w:r w:rsidR="00E81AF6">
        <w:t xml:space="preserve">Table </w:t>
      </w:r>
      <w:proofErr w:type="gramStart"/>
      <w:r w:rsidR="00E81AF6">
        <w:t xml:space="preserve">2 </w:t>
      </w:r>
      <w:r w:rsidR="00EE5422">
        <w:t xml:space="preserve"> </w:t>
      </w:r>
      <w:r w:rsidR="00E81AF6">
        <w:t>details</w:t>
      </w:r>
      <w:proofErr w:type="gramEnd"/>
      <w:r w:rsidR="00E81AF6">
        <w:t xml:space="preserve"> </w:t>
      </w:r>
      <w:r w:rsidR="000D5254">
        <w:t xml:space="preserve">Avista’s </w:t>
      </w:r>
      <w:r w:rsidR="00EE5422">
        <w:t>eligible renewable energy acquired to meet its 201</w:t>
      </w:r>
      <w:r w:rsidR="00174E2B">
        <w:t>5</w:t>
      </w:r>
      <w:r w:rsidR="00EE5422">
        <w:t xml:space="preserve"> renewable energy target</w:t>
      </w:r>
      <w:r w:rsidR="00E81AF6">
        <w:t xml:space="preserve">. Calculations </w:t>
      </w:r>
      <w:r w:rsidR="004368B3">
        <w:t xml:space="preserve">and further details </w:t>
      </w:r>
      <w:r w:rsidR="00E81AF6">
        <w:t>supporting the figures in Table 2 are in</w:t>
      </w:r>
      <w:r w:rsidR="00EE5422">
        <w:t>cluded in</w:t>
      </w:r>
      <w:r w:rsidR="00E81AF6">
        <w:t xml:space="preserve"> Appendix A</w:t>
      </w:r>
      <w:r w:rsidR="009B31C1">
        <w:t xml:space="preserve"> and the </w:t>
      </w:r>
      <w:r w:rsidR="00043410">
        <w:t xml:space="preserve">supporting </w:t>
      </w:r>
      <w:r w:rsidR="00EE5422">
        <w:t>documents</w:t>
      </w:r>
      <w:r w:rsidR="009B31C1">
        <w:t xml:space="preserve"> are in the confidential workpapers </w:t>
      </w:r>
      <w:r w:rsidR="00A547AA">
        <w:t>supporting</w:t>
      </w:r>
      <w:r w:rsidR="009B31C1">
        <w:t xml:space="preserve"> this filing</w:t>
      </w:r>
      <w:r w:rsidR="00E81AF6">
        <w:t>.</w:t>
      </w:r>
      <w:r w:rsidR="000D5254">
        <w:t xml:space="preserve"> </w:t>
      </w: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4368B3" w:rsidRDefault="004368B3" w:rsidP="00E81AF6">
      <w:pPr>
        <w:pStyle w:val="ListParagraph"/>
        <w:autoSpaceDE w:val="0"/>
        <w:autoSpaceDN w:val="0"/>
        <w:adjustRightInd w:val="0"/>
        <w:ind w:left="0"/>
        <w:jc w:val="center"/>
        <w:rPr>
          <w:b/>
        </w:rPr>
      </w:pPr>
    </w:p>
    <w:p w:rsidR="00E81AF6" w:rsidRDefault="00E81AF6" w:rsidP="00E81AF6">
      <w:pPr>
        <w:pStyle w:val="ListParagraph"/>
        <w:autoSpaceDE w:val="0"/>
        <w:autoSpaceDN w:val="0"/>
        <w:adjustRightInd w:val="0"/>
        <w:ind w:left="0"/>
        <w:jc w:val="center"/>
        <w:rPr>
          <w:b/>
        </w:rPr>
      </w:pPr>
      <w:r w:rsidRPr="000F6D9D">
        <w:rPr>
          <w:b/>
        </w:rPr>
        <w:lastRenderedPageBreak/>
        <w:t xml:space="preserve">Table 2: </w:t>
      </w:r>
      <w:r>
        <w:rPr>
          <w:b/>
        </w:rPr>
        <w:t>Renewable Energy for 201</w:t>
      </w:r>
      <w:r w:rsidR="00174E2B">
        <w:rPr>
          <w:b/>
        </w:rPr>
        <w:t>5</w:t>
      </w:r>
      <w:r>
        <w:rPr>
          <w:b/>
        </w:rPr>
        <w:t xml:space="preserve"> Compliance</w:t>
      </w:r>
      <w:r w:rsidR="00401820" w:rsidRPr="00D25885">
        <w:rPr>
          <w:rStyle w:val="FootnoteReference"/>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9"/>
        <w:gridCol w:w="996"/>
        <w:gridCol w:w="996"/>
        <w:gridCol w:w="1116"/>
      </w:tblGrid>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p>
        </w:tc>
        <w:tc>
          <w:tcPr>
            <w:tcW w:w="996" w:type="dxa"/>
          </w:tcPr>
          <w:p w:rsidR="000D5254" w:rsidRPr="00F86220" w:rsidRDefault="000D5254" w:rsidP="000477D8">
            <w:pPr>
              <w:pStyle w:val="ListParagraph"/>
              <w:autoSpaceDE w:val="0"/>
              <w:autoSpaceDN w:val="0"/>
              <w:adjustRightInd w:val="0"/>
              <w:ind w:left="0"/>
              <w:jc w:val="center"/>
              <w:rPr>
                <w:b/>
              </w:rPr>
            </w:pPr>
            <w:r w:rsidRPr="00F86220">
              <w:rPr>
                <w:b/>
              </w:rPr>
              <w:t>201</w:t>
            </w:r>
            <w:r w:rsidR="000477D8">
              <w:rPr>
                <w:b/>
              </w:rPr>
              <w:t>3</w:t>
            </w:r>
          </w:p>
        </w:tc>
        <w:tc>
          <w:tcPr>
            <w:tcW w:w="996" w:type="dxa"/>
          </w:tcPr>
          <w:p w:rsidR="000D5254" w:rsidRPr="00F86220" w:rsidRDefault="000D5254" w:rsidP="00F02BF9">
            <w:pPr>
              <w:pStyle w:val="ListParagraph"/>
              <w:autoSpaceDE w:val="0"/>
              <w:autoSpaceDN w:val="0"/>
              <w:adjustRightInd w:val="0"/>
              <w:ind w:left="0"/>
              <w:jc w:val="center"/>
              <w:rPr>
                <w:b/>
              </w:rPr>
            </w:pPr>
            <w:r w:rsidRPr="00F86220">
              <w:rPr>
                <w:b/>
              </w:rPr>
              <w:t>201</w:t>
            </w:r>
            <w:r w:rsidR="00F02BF9">
              <w:rPr>
                <w:b/>
              </w:rPr>
              <w:t>4</w:t>
            </w:r>
          </w:p>
        </w:tc>
        <w:tc>
          <w:tcPr>
            <w:tcW w:w="1116" w:type="dxa"/>
          </w:tcPr>
          <w:p w:rsidR="000D5254" w:rsidRPr="00F86220" w:rsidRDefault="000D5254" w:rsidP="00F02BF9">
            <w:pPr>
              <w:pStyle w:val="ListParagraph"/>
              <w:autoSpaceDE w:val="0"/>
              <w:autoSpaceDN w:val="0"/>
              <w:adjustRightInd w:val="0"/>
              <w:ind w:left="0"/>
              <w:jc w:val="center"/>
              <w:rPr>
                <w:b/>
              </w:rPr>
            </w:pPr>
            <w:r w:rsidRPr="00F86220">
              <w:rPr>
                <w:b/>
              </w:rPr>
              <w:t>201</w:t>
            </w:r>
            <w:r w:rsidR="00F02BF9">
              <w:rPr>
                <w:b/>
              </w:rPr>
              <w:t>5</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Water (Qualified Hydroelectric Upgrades)</w:t>
            </w:r>
          </w:p>
        </w:tc>
        <w:tc>
          <w:tcPr>
            <w:tcW w:w="996" w:type="dxa"/>
          </w:tcPr>
          <w:p w:rsidR="000D5254" w:rsidRPr="00F86220" w:rsidRDefault="006B3DEA" w:rsidP="000477D8">
            <w:pPr>
              <w:pStyle w:val="ListParagraph"/>
              <w:autoSpaceDE w:val="0"/>
              <w:autoSpaceDN w:val="0"/>
              <w:adjustRightInd w:val="0"/>
              <w:ind w:left="0"/>
              <w:jc w:val="center"/>
            </w:pPr>
            <w:r>
              <w:t>19</w:t>
            </w:r>
            <w:r w:rsidR="000477D8">
              <w:t>2,016</w:t>
            </w:r>
          </w:p>
        </w:tc>
        <w:tc>
          <w:tcPr>
            <w:tcW w:w="996" w:type="dxa"/>
            <w:shd w:val="clear" w:color="auto" w:fill="auto"/>
          </w:tcPr>
          <w:p w:rsidR="000D5254" w:rsidRPr="00F00EBF" w:rsidRDefault="00F02BF9" w:rsidP="00FE47FB">
            <w:pPr>
              <w:pStyle w:val="ListParagraph"/>
              <w:autoSpaceDE w:val="0"/>
              <w:autoSpaceDN w:val="0"/>
              <w:adjustRightInd w:val="0"/>
              <w:ind w:left="0"/>
              <w:jc w:val="center"/>
            </w:pPr>
            <w:r>
              <w:t>170,089</w:t>
            </w:r>
          </w:p>
        </w:tc>
        <w:tc>
          <w:tcPr>
            <w:tcW w:w="1116" w:type="dxa"/>
          </w:tcPr>
          <w:p w:rsidR="000D5254" w:rsidRPr="00F00EBF" w:rsidRDefault="00F02BF9" w:rsidP="000E3A34">
            <w:pPr>
              <w:pStyle w:val="ListParagraph"/>
              <w:autoSpaceDE w:val="0"/>
              <w:autoSpaceDN w:val="0"/>
              <w:adjustRightInd w:val="0"/>
              <w:ind w:left="0"/>
              <w:jc w:val="center"/>
            </w:pPr>
            <w:r>
              <w:t>170,089</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Wind</w:t>
            </w:r>
          </w:p>
        </w:tc>
        <w:tc>
          <w:tcPr>
            <w:tcW w:w="996" w:type="dxa"/>
          </w:tcPr>
          <w:p w:rsidR="000D5254" w:rsidRPr="00F86220" w:rsidRDefault="00F02BF9" w:rsidP="005C6A79">
            <w:pPr>
              <w:pStyle w:val="ListParagraph"/>
              <w:autoSpaceDE w:val="0"/>
              <w:autoSpaceDN w:val="0"/>
              <w:adjustRightInd w:val="0"/>
              <w:ind w:left="0"/>
              <w:jc w:val="center"/>
            </w:pPr>
            <w:r>
              <w:t>0</w:t>
            </w:r>
          </w:p>
        </w:tc>
        <w:tc>
          <w:tcPr>
            <w:tcW w:w="996" w:type="dxa"/>
            <w:shd w:val="clear" w:color="auto" w:fill="auto"/>
          </w:tcPr>
          <w:p w:rsidR="000D5254" w:rsidRPr="00F00EBF" w:rsidRDefault="00F02BF9" w:rsidP="005C6A79">
            <w:pPr>
              <w:pStyle w:val="ListParagraph"/>
              <w:autoSpaceDE w:val="0"/>
              <w:autoSpaceDN w:val="0"/>
              <w:adjustRightInd w:val="0"/>
              <w:ind w:left="0"/>
              <w:jc w:val="center"/>
            </w:pPr>
            <w:r>
              <w:t>25,934</w:t>
            </w:r>
          </w:p>
        </w:tc>
        <w:tc>
          <w:tcPr>
            <w:tcW w:w="1116" w:type="dxa"/>
          </w:tcPr>
          <w:p w:rsidR="000D5254" w:rsidRPr="00F00EBF" w:rsidRDefault="00F02BF9" w:rsidP="00DE760F">
            <w:pPr>
              <w:pStyle w:val="ListParagraph"/>
              <w:autoSpaceDE w:val="0"/>
              <w:autoSpaceDN w:val="0"/>
              <w:adjustRightInd w:val="0"/>
              <w:ind w:left="0"/>
              <w:jc w:val="center"/>
            </w:pPr>
            <w:r>
              <w:t>4</w:t>
            </w:r>
            <w:r w:rsidR="00DE760F">
              <w:t>6</w:t>
            </w:r>
            <w:r>
              <w:t>9,671</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Solar</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Geothermal</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Landfill Gas</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Wave, Ocean or Tidal</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Gas from Sewage Treatment</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Biodiesel Fuel</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Bioma</w:t>
            </w:r>
            <w:r w:rsidRPr="000D5254">
              <w:rPr>
                <w:b/>
              </w:rPr>
              <w:t>ss</w:t>
            </w:r>
          </w:p>
        </w:tc>
        <w:tc>
          <w:tcPr>
            <w:tcW w:w="996" w:type="dxa"/>
          </w:tcPr>
          <w:p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rsidR="000D5254" w:rsidRPr="00F00EBF" w:rsidRDefault="000D5254" w:rsidP="005C6A79">
            <w:pPr>
              <w:pStyle w:val="ListParagraph"/>
              <w:autoSpaceDE w:val="0"/>
              <w:autoSpaceDN w:val="0"/>
              <w:adjustRightInd w:val="0"/>
              <w:ind w:left="0"/>
              <w:jc w:val="center"/>
            </w:pPr>
            <w:r w:rsidRPr="00F00EBF">
              <w:t>0</w:t>
            </w:r>
          </w:p>
        </w:tc>
        <w:tc>
          <w:tcPr>
            <w:tcW w:w="1116" w:type="dxa"/>
          </w:tcPr>
          <w:p w:rsidR="000D5254" w:rsidRPr="00F00EBF" w:rsidRDefault="000D5254" w:rsidP="005C6A79">
            <w:pPr>
              <w:pStyle w:val="ListParagraph"/>
              <w:autoSpaceDE w:val="0"/>
              <w:autoSpaceDN w:val="0"/>
              <w:adjustRightInd w:val="0"/>
              <w:ind w:left="0"/>
              <w:jc w:val="center"/>
            </w:pPr>
            <w:r w:rsidRPr="00F00EBF">
              <w:t>0</w:t>
            </w:r>
          </w:p>
        </w:tc>
      </w:tr>
      <w:tr w:rsidR="000D5254" w:rsidRPr="00F86220" w:rsidTr="005C6A79">
        <w:trPr>
          <w:jc w:val="center"/>
        </w:trPr>
        <w:tc>
          <w:tcPr>
            <w:tcW w:w="4689" w:type="dxa"/>
          </w:tcPr>
          <w:p w:rsidR="000D5254" w:rsidRPr="00F86220" w:rsidRDefault="000D5254" w:rsidP="005C6A79">
            <w:pPr>
              <w:pStyle w:val="ListParagraph"/>
              <w:autoSpaceDE w:val="0"/>
              <w:autoSpaceDN w:val="0"/>
              <w:adjustRightInd w:val="0"/>
              <w:ind w:left="0"/>
              <w:rPr>
                <w:b/>
              </w:rPr>
            </w:pPr>
            <w:r w:rsidRPr="00F86220">
              <w:rPr>
                <w:b/>
              </w:rPr>
              <w:t>Total</w:t>
            </w:r>
          </w:p>
        </w:tc>
        <w:tc>
          <w:tcPr>
            <w:tcW w:w="996" w:type="dxa"/>
          </w:tcPr>
          <w:p w:rsidR="000D5254" w:rsidRPr="00F86220" w:rsidRDefault="00F02BF9" w:rsidP="00261F94">
            <w:pPr>
              <w:pStyle w:val="ListParagraph"/>
              <w:autoSpaceDE w:val="0"/>
              <w:autoSpaceDN w:val="0"/>
              <w:adjustRightInd w:val="0"/>
              <w:ind w:left="0"/>
              <w:jc w:val="center"/>
              <w:rPr>
                <w:b/>
              </w:rPr>
            </w:pPr>
            <w:r>
              <w:rPr>
                <w:b/>
              </w:rPr>
              <w:t>192,016</w:t>
            </w:r>
          </w:p>
        </w:tc>
        <w:tc>
          <w:tcPr>
            <w:tcW w:w="996" w:type="dxa"/>
            <w:shd w:val="clear" w:color="auto" w:fill="auto"/>
          </w:tcPr>
          <w:p w:rsidR="000D5254" w:rsidRPr="00F00EBF" w:rsidRDefault="00F02BF9" w:rsidP="00FE390F">
            <w:pPr>
              <w:pStyle w:val="ListParagraph"/>
              <w:autoSpaceDE w:val="0"/>
              <w:autoSpaceDN w:val="0"/>
              <w:adjustRightInd w:val="0"/>
              <w:ind w:left="0"/>
              <w:jc w:val="center"/>
              <w:rPr>
                <w:b/>
              </w:rPr>
            </w:pPr>
            <w:r>
              <w:rPr>
                <w:b/>
              </w:rPr>
              <w:t>196,023</w:t>
            </w:r>
          </w:p>
        </w:tc>
        <w:tc>
          <w:tcPr>
            <w:tcW w:w="1116" w:type="dxa"/>
          </w:tcPr>
          <w:p w:rsidR="000D5254" w:rsidRPr="00F00EBF" w:rsidRDefault="00DE760F" w:rsidP="00F02BF9">
            <w:pPr>
              <w:pStyle w:val="ListParagraph"/>
              <w:autoSpaceDE w:val="0"/>
              <w:autoSpaceDN w:val="0"/>
              <w:adjustRightInd w:val="0"/>
              <w:ind w:left="0"/>
              <w:jc w:val="center"/>
              <w:rPr>
                <w:b/>
              </w:rPr>
            </w:pPr>
            <w:r>
              <w:rPr>
                <w:b/>
              </w:rPr>
              <w:t>63</w:t>
            </w:r>
            <w:r w:rsidR="00F02BF9">
              <w:rPr>
                <w:b/>
              </w:rPr>
              <w:t>9,760</w:t>
            </w:r>
          </w:p>
        </w:tc>
      </w:tr>
    </w:tbl>
    <w:p w:rsidR="00E81AF6" w:rsidRDefault="00E81AF6" w:rsidP="00E81AF6">
      <w:pPr>
        <w:pStyle w:val="ListParagraph"/>
        <w:autoSpaceDE w:val="0"/>
        <w:autoSpaceDN w:val="0"/>
        <w:adjustRightInd w:val="0"/>
        <w:ind w:left="0"/>
        <w:jc w:val="center"/>
        <w:rPr>
          <w:b/>
        </w:rPr>
      </w:pPr>
    </w:p>
    <w:p w:rsidR="00E81AF6" w:rsidRPr="000F6D9D" w:rsidRDefault="00E81AF6" w:rsidP="00E81AF6">
      <w:pPr>
        <w:pStyle w:val="ListParagraph"/>
        <w:autoSpaceDE w:val="0"/>
        <w:autoSpaceDN w:val="0"/>
        <w:adjustRightInd w:val="0"/>
        <w:ind w:left="0"/>
        <w:rPr>
          <w:b/>
        </w:rPr>
      </w:pPr>
    </w:p>
    <w:p w:rsidR="000D5254" w:rsidRDefault="00DC1921" w:rsidP="004368B3">
      <w:pPr>
        <w:spacing w:line="480" w:lineRule="auto"/>
        <w:ind w:firstLine="720"/>
        <w:jc w:val="both"/>
      </w:pPr>
      <w:r>
        <w:t xml:space="preserve">Table 3 shows the WREGIS </w:t>
      </w:r>
      <w:r w:rsidR="00FB7252">
        <w:t xml:space="preserve">identification for each of the qualifying resources and projected qualifying generation for </w:t>
      </w:r>
      <w:r>
        <w:t xml:space="preserve">the renewable energy resources </w:t>
      </w:r>
      <w:r w:rsidR="00FB7252">
        <w:t>in place</w:t>
      </w:r>
      <w:r>
        <w:t xml:space="preserve"> to meet </w:t>
      </w:r>
      <w:r w:rsidR="00BC1A53">
        <w:t>Avista’s</w:t>
      </w:r>
      <w:r>
        <w:t xml:space="preserve"> 201</w:t>
      </w:r>
      <w:r w:rsidR="00FB7252">
        <w:t>5</w:t>
      </w:r>
      <w:r>
        <w:t xml:space="preserve"> renewable energy target. The table does not include </w:t>
      </w:r>
      <w:r w:rsidRPr="00F02BF9">
        <w:t xml:space="preserve">the </w:t>
      </w:r>
      <w:r w:rsidR="00FB7252">
        <w:t>469,671</w:t>
      </w:r>
      <w:r>
        <w:t xml:space="preserve"> MWh from Wind shown in Table 2 above as the Com</w:t>
      </w:r>
      <w:r w:rsidR="004368B3">
        <w:t xml:space="preserve">pany intends to sell those </w:t>
      </w:r>
      <w:proofErr w:type="spellStart"/>
      <w:r w:rsidR="004368B3">
        <w:t>RECs.</w:t>
      </w:r>
      <w:proofErr w:type="spellEnd"/>
      <w:r w:rsidR="000477D8">
        <w:t xml:space="preserve"> No RECs were available from the </w:t>
      </w:r>
      <w:proofErr w:type="spellStart"/>
      <w:r w:rsidR="000477D8">
        <w:t>Wanapum</w:t>
      </w:r>
      <w:proofErr w:type="spellEnd"/>
      <w:r w:rsidR="000477D8">
        <w:t xml:space="preserve"> Fish </w:t>
      </w:r>
      <w:proofErr w:type="gramStart"/>
      <w:r w:rsidR="000477D8">
        <w:t xml:space="preserve">Ladder </w:t>
      </w:r>
      <w:r w:rsidR="00207221">
        <w:t xml:space="preserve"> </w:t>
      </w:r>
      <w:r w:rsidR="000477D8">
        <w:t>because</w:t>
      </w:r>
      <w:proofErr w:type="gramEnd"/>
      <w:r w:rsidR="000477D8">
        <w:t xml:space="preserve"> of a draw down at the </w:t>
      </w:r>
      <w:proofErr w:type="spellStart"/>
      <w:r w:rsidR="000477D8">
        <w:t>Wanapum</w:t>
      </w:r>
      <w:proofErr w:type="spellEnd"/>
      <w:r w:rsidR="000477D8">
        <w:t xml:space="preserve"> hydroelectric project from February 2014 through March 2015 to repair a crack on the spillway. </w:t>
      </w:r>
      <w:r w:rsidR="00F02BF9">
        <w:t xml:space="preserve">Grant PUD has not elected to record the </w:t>
      </w:r>
      <w:r w:rsidR="001368A8">
        <w:t xml:space="preserve">generation from </w:t>
      </w:r>
      <w:proofErr w:type="spellStart"/>
      <w:r w:rsidR="00F02BF9">
        <w:t>Wanapum</w:t>
      </w:r>
      <w:proofErr w:type="spellEnd"/>
      <w:r w:rsidR="00F02BF9">
        <w:t xml:space="preserve"> hydroelectric project</w:t>
      </w:r>
      <w:r w:rsidR="001368A8">
        <w:t xml:space="preserve"> in WREGIS</w:t>
      </w:r>
      <w:r w:rsidR="00207221">
        <w:t>,</w:t>
      </w:r>
      <w:r w:rsidR="001368A8">
        <w:t xml:space="preserve"> so the incremental hydro generation from the fish ladder will no longer be available for Avista’s future compliance goals under the most </w:t>
      </w:r>
      <w:r w:rsidR="00961110">
        <w:t>recent update to WAC 480-109-200(3)</w:t>
      </w:r>
      <w:r w:rsidR="00207221">
        <w:t xml:space="preserve">, unless </w:t>
      </w:r>
      <w:r w:rsidR="00424324">
        <w:t>Grant PUD registers</w:t>
      </w:r>
      <w:r w:rsidR="00207221">
        <w:t xml:space="preserve"> </w:t>
      </w:r>
      <w:r w:rsidR="00424324">
        <w:t xml:space="preserve">the </w:t>
      </w:r>
      <w:proofErr w:type="spellStart"/>
      <w:r w:rsidR="00424324">
        <w:t>Wanapum</w:t>
      </w:r>
      <w:proofErr w:type="spellEnd"/>
      <w:r w:rsidR="00424324">
        <w:t xml:space="preserve"> Project in </w:t>
      </w:r>
      <w:r w:rsidR="00207221">
        <w:t>WREGIS</w:t>
      </w:r>
      <w:r w:rsidR="00424324">
        <w:t>.</w:t>
      </w:r>
      <w:r w:rsidR="001368A8">
        <w:t xml:space="preserve"> </w:t>
      </w:r>
      <w:r w:rsidR="00F02BF9">
        <w:t xml:space="preserve"> </w:t>
      </w:r>
    </w:p>
    <w:p w:rsidR="00BC1A53" w:rsidRDefault="00BC1A53" w:rsidP="004368B3">
      <w:pPr>
        <w:spacing w:line="480" w:lineRule="auto"/>
        <w:ind w:firstLine="720"/>
        <w:jc w:val="both"/>
        <w:rPr>
          <w:b/>
          <w:sz w:val="28"/>
          <w:szCs w:val="28"/>
        </w:rPr>
      </w:pPr>
    </w:p>
    <w:p w:rsidR="00207221" w:rsidRDefault="00207221" w:rsidP="004368B3">
      <w:pPr>
        <w:spacing w:line="480" w:lineRule="auto"/>
        <w:ind w:firstLine="720"/>
        <w:jc w:val="both"/>
        <w:rPr>
          <w:b/>
          <w:sz w:val="28"/>
          <w:szCs w:val="28"/>
        </w:rPr>
      </w:pPr>
    </w:p>
    <w:p w:rsidR="005364D4" w:rsidRDefault="005364D4" w:rsidP="004368B3">
      <w:pPr>
        <w:spacing w:line="480" w:lineRule="auto"/>
        <w:ind w:firstLine="720"/>
        <w:jc w:val="both"/>
        <w:rPr>
          <w:b/>
          <w:sz w:val="28"/>
          <w:szCs w:val="28"/>
        </w:rPr>
      </w:pPr>
    </w:p>
    <w:p w:rsidR="000D5254" w:rsidRDefault="000D5254" w:rsidP="000D5254">
      <w:pPr>
        <w:pStyle w:val="ListParagraph"/>
        <w:autoSpaceDE w:val="0"/>
        <w:autoSpaceDN w:val="0"/>
        <w:adjustRightInd w:val="0"/>
        <w:ind w:left="0"/>
        <w:jc w:val="center"/>
        <w:rPr>
          <w:b/>
        </w:rPr>
      </w:pPr>
      <w:r w:rsidRPr="000F6D9D">
        <w:rPr>
          <w:b/>
        </w:rPr>
        <w:lastRenderedPageBreak/>
        <w:t xml:space="preserve">Table </w:t>
      </w:r>
      <w:r>
        <w:rPr>
          <w:b/>
        </w:rPr>
        <w:t>3</w:t>
      </w:r>
      <w:r w:rsidRPr="000F6D9D">
        <w:rPr>
          <w:b/>
        </w:rPr>
        <w:t xml:space="preserve">: </w:t>
      </w:r>
      <w:r>
        <w:rPr>
          <w:b/>
        </w:rPr>
        <w:t>Renewable Energy for 201</w:t>
      </w:r>
      <w:r w:rsidR="00FB7252">
        <w:rPr>
          <w:b/>
        </w:rPr>
        <w:t>5</w:t>
      </w:r>
      <w:r>
        <w:rPr>
          <w:b/>
        </w:rPr>
        <w:t xml:space="preserve"> Compliance</w:t>
      </w:r>
    </w:p>
    <w:p w:rsidR="004368B3" w:rsidRDefault="004368B3" w:rsidP="000D5254">
      <w:pPr>
        <w:pStyle w:val="ListParagraph"/>
        <w:autoSpaceDE w:val="0"/>
        <w:autoSpaceDN w:val="0"/>
        <w:adjustRightInd w:val="0"/>
        <w:ind w:left="0"/>
        <w:jc w:val="center"/>
        <w:rPr>
          <w:b/>
        </w:rPr>
      </w:pPr>
    </w:p>
    <w:tbl>
      <w:tblPr>
        <w:tblW w:w="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2435"/>
        <w:gridCol w:w="1257"/>
      </w:tblGrid>
      <w:tr w:rsidR="00FB7252" w:rsidRPr="00F86220" w:rsidTr="00FB7252">
        <w:trPr>
          <w:jc w:val="center"/>
        </w:trPr>
        <w:tc>
          <w:tcPr>
            <w:tcW w:w="1513" w:type="dxa"/>
          </w:tcPr>
          <w:p w:rsidR="00FB7252" w:rsidRDefault="00FB7252" w:rsidP="00CA5422">
            <w:pPr>
              <w:pStyle w:val="ListParagraph"/>
              <w:autoSpaceDE w:val="0"/>
              <w:autoSpaceDN w:val="0"/>
              <w:adjustRightInd w:val="0"/>
              <w:ind w:left="0"/>
              <w:rPr>
                <w:b/>
              </w:rPr>
            </w:pPr>
            <w:r>
              <w:rPr>
                <w:b/>
              </w:rPr>
              <w:t xml:space="preserve">WREGIS </w:t>
            </w:r>
          </w:p>
          <w:p w:rsidR="00FB7252" w:rsidRDefault="00FB7252" w:rsidP="00CA5422">
            <w:pPr>
              <w:pStyle w:val="ListParagraph"/>
              <w:autoSpaceDE w:val="0"/>
              <w:autoSpaceDN w:val="0"/>
              <w:adjustRightInd w:val="0"/>
              <w:ind w:left="0"/>
              <w:rPr>
                <w:b/>
              </w:rPr>
            </w:pPr>
            <w:r>
              <w:rPr>
                <w:b/>
              </w:rPr>
              <w:t xml:space="preserve">Generation </w:t>
            </w:r>
          </w:p>
          <w:p w:rsidR="00FB7252" w:rsidRPr="00F86220" w:rsidRDefault="00FB7252" w:rsidP="00CA5422">
            <w:pPr>
              <w:pStyle w:val="ListParagraph"/>
              <w:autoSpaceDE w:val="0"/>
              <w:autoSpaceDN w:val="0"/>
              <w:adjustRightInd w:val="0"/>
              <w:ind w:left="0"/>
              <w:rPr>
                <w:b/>
              </w:rPr>
            </w:pPr>
            <w:r>
              <w:rPr>
                <w:b/>
              </w:rPr>
              <w:t>Unit ID</w:t>
            </w:r>
          </w:p>
        </w:tc>
        <w:tc>
          <w:tcPr>
            <w:tcW w:w="2435" w:type="dxa"/>
          </w:tcPr>
          <w:p w:rsidR="00FB7252" w:rsidRDefault="00FB7252" w:rsidP="00CA5422">
            <w:pPr>
              <w:pStyle w:val="ListParagraph"/>
              <w:autoSpaceDE w:val="0"/>
              <w:autoSpaceDN w:val="0"/>
              <w:adjustRightInd w:val="0"/>
              <w:ind w:left="0"/>
              <w:rPr>
                <w:b/>
              </w:rPr>
            </w:pPr>
            <w:r>
              <w:rPr>
                <w:b/>
              </w:rPr>
              <w:t xml:space="preserve">Generator Plant – </w:t>
            </w:r>
          </w:p>
          <w:p w:rsidR="00FB7252" w:rsidRPr="00F86220" w:rsidRDefault="00FB7252" w:rsidP="00CA5422">
            <w:pPr>
              <w:pStyle w:val="ListParagraph"/>
              <w:autoSpaceDE w:val="0"/>
              <w:autoSpaceDN w:val="0"/>
              <w:adjustRightInd w:val="0"/>
              <w:ind w:left="0"/>
              <w:rPr>
                <w:b/>
              </w:rPr>
            </w:pPr>
            <w:r>
              <w:rPr>
                <w:b/>
              </w:rPr>
              <w:t>Unit Name</w:t>
            </w:r>
          </w:p>
        </w:tc>
        <w:tc>
          <w:tcPr>
            <w:tcW w:w="1257" w:type="dxa"/>
          </w:tcPr>
          <w:p w:rsidR="00FB7252" w:rsidRDefault="00FB7252" w:rsidP="00CA5422">
            <w:pPr>
              <w:pStyle w:val="ListParagraph"/>
              <w:autoSpaceDE w:val="0"/>
              <w:autoSpaceDN w:val="0"/>
              <w:adjustRightInd w:val="0"/>
              <w:ind w:left="0"/>
              <w:rPr>
                <w:b/>
              </w:rPr>
            </w:pPr>
            <w:r>
              <w:rPr>
                <w:b/>
              </w:rPr>
              <w:t>Quantity</w:t>
            </w:r>
          </w:p>
        </w:tc>
      </w:tr>
      <w:tr w:rsidR="00FB7252" w:rsidRPr="00F86220" w:rsidTr="00FB7252">
        <w:trPr>
          <w:jc w:val="center"/>
        </w:trPr>
        <w:tc>
          <w:tcPr>
            <w:tcW w:w="1513" w:type="dxa"/>
          </w:tcPr>
          <w:p w:rsidR="00FB7252" w:rsidRPr="000D5254" w:rsidRDefault="00FB7252" w:rsidP="00CA5422">
            <w:pPr>
              <w:pStyle w:val="ListParagraph"/>
              <w:autoSpaceDE w:val="0"/>
              <w:autoSpaceDN w:val="0"/>
              <w:adjustRightInd w:val="0"/>
              <w:ind w:left="0"/>
            </w:pPr>
            <w:r w:rsidRPr="000D5254">
              <w:t>W1560</w:t>
            </w:r>
          </w:p>
        </w:tc>
        <w:tc>
          <w:tcPr>
            <w:tcW w:w="2435" w:type="dxa"/>
          </w:tcPr>
          <w:p w:rsidR="00FB7252" w:rsidRPr="000D5254" w:rsidRDefault="00FB7252" w:rsidP="00CA5422">
            <w:pPr>
              <w:pStyle w:val="ListParagraph"/>
              <w:autoSpaceDE w:val="0"/>
              <w:autoSpaceDN w:val="0"/>
              <w:adjustRightInd w:val="0"/>
              <w:ind w:left="0"/>
            </w:pPr>
            <w:r w:rsidRPr="000D5254">
              <w:t>Cabinet Gorge Unit 2</w:t>
            </w:r>
          </w:p>
        </w:tc>
        <w:tc>
          <w:tcPr>
            <w:tcW w:w="1257" w:type="dxa"/>
          </w:tcPr>
          <w:p w:rsidR="00FB7252" w:rsidRPr="000D5254" w:rsidRDefault="00FB7252" w:rsidP="00CA5422">
            <w:r>
              <w:t>29,008</w:t>
            </w:r>
          </w:p>
        </w:tc>
      </w:tr>
      <w:tr w:rsidR="00FB7252" w:rsidRPr="00F86220" w:rsidTr="00FB7252">
        <w:trPr>
          <w:jc w:val="center"/>
        </w:trPr>
        <w:tc>
          <w:tcPr>
            <w:tcW w:w="1513" w:type="dxa"/>
          </w:tcPr>
          <w:p w:rsidR="00FB7252" w:rsidRPr="000D5254" w:rsidRDefault="00FB7252" w:rsidP="00431EDD">
            <w:pPr>
              <w:pStyle w:val="ListParagraph"/>
              <w:autoSpaceDE w:val="0"/>
              <w:autoSpaceDN w:val="0"/>
              <w:adjustRightInd w:val="0"/>
              <w:ind w:left="0"/>
            </w:pPr>
            <w:r w:rsidRPr="000D5254">
              <w:t>W1561</w:t>
            </w:r>
          </w:p>
        </w:tc>
        <w:tc>
          <w:tcPr>
            <w:tcW w:w="2435" w:type="dxa"/>
          </w:tcPr>
          <w:p w:rsidR="00FB7252" w:rsidRPr="000D5254" w:rsidRDefault="00FB7252" w:rsidP="00431EDD">
            <w:pPr>
              <w:pStyle w:val="ListParagraph"/>
              <w:autoSpaceDE w:val="0"/>
              <w:autoSpaceDN w:val="0"/>
              <w:adjustRightInd w:val="0"/>
              <w:ind w:left="0"/>
            </w:pPr>
            <w:r w:rsidRPr="000D5254">
              <w:t>Cabinet Gorge Unit 3</w:t>
            </w:r>
          </w:p>
        </w:tc>
        <w:tc>
          <w:tcPr>
            <w:tcW w:w="1257" w:type="dxa"/>
          </w:tcPr>
          <w:p w:rsidR="00FB7252" w:rsidRPr="000D5254" w:rsidRDefault="00FB7252" w:rsidP="00431EDD">
            <w:r>
              <w:t>38,264</w:t>
            </w:r>
          </w:p>
        </w:tc>
      </w:tr>
      <w:tr w:rsidR="00FB7252" w:rsidRPr="00F86220" w:rsidTr="00FB7252">
        <w:trPr>
          <w:jc w:val="center"/>
        </w:trPr>
        <w:tc>
          <w:tcPr>
            <w:tcW w:w="1513" w:type="dxa"/>
          </w:tcPr>
          <w:p w:rsidR="00FB7252" w:rsidRPr="000D5254" w:rsidRDefault="00FB7252" w:rsidP="00431EDD">
            <w:pPr>
              <w:pStyle w:val="ListParagraph"/>
              <w:autoSpaceDE w:val="0"/>
              <w:autoSpaceDN w:val="0"/>
              <w:adjustRightInd w:val="0"/>
              <w:ind w:left="0"/>
            </w:pPr>
            <w:r>
              <w:t xml:space="preserve">W1561 </w:t>
            </w:r>
          </w:p>
        </w:tc>
        <w:tc>
          <w:tcPr>
            <w:tcW w:w="2435" w:type="dxa"/>
          </w:tcPr>
          <w:p w:rsidR="00FB7252" w:rsidRPr="000D5254" w:rsidRDefault="00FB7252" w:rsidP="00431EDD">
            <w:pPr>
              <w:pStyle w:val="ListParagraph"/>
              <w:autoSpaceDE w:val="0"/>
              <w:autoSpaceDN w:val="0"/>
              <w:adjustRightInd w:val="0"/>
              <w:ind w:left="0"/>
            </w:pPr>
            <w:r>
              <w:t>Cabinet Gorge Unit 3</w:t>
            </w:r>
          </w:p>
        </w:tc>
        <w:tc>
          <w:tcPr>
            <w:tcW w:w="1257" w:type="dxa"/>
          </w:tcPr>
          <w:p w:rsidR="00FB7252" w:rsidRDefault="00FB7252" w:rsidP="00431EDD">
            <w:r>
              <w:t>7,544</w:t>
            </w:r>
          </w:p>
        </w:tc>
      </w:tr>
      <w:tr w:rsidR="00FB7252" w:rsidRPr="00F86220" w:rsidTr="00FB7252">
        <w:trPr>
          <w:jc w:val="center"/>
        </w:trPr>
        <w:tc>
          <w:tcPr>
            <w:tcW w:w="1513" w:type="dxa"/>
          </w:tcPr>
          <w:p w:rsidR="00FB7252" w:rsidRPr="000D5254" w:rsidRDefault="00FB7252" w:rsidP="00431EDD">
            <w:pPr>
              <w:pStyle w:val="ListParagraph"/>
              <w:autoSpaceDE w:val="0"/>
              <w:autoSpaceDN w:val="0"/>
              <w:adjustRightInd w:val="0"/>
              <w:ind w:left="0"/>
            </w:pPr>
            <w:r w:rsidRPr="000D5254">
              <w:t>W1562</w:t>
            </w:r>
          </w:p>
        </w:tc>
        <w:tc>
          <w:tcPr>
            <w:tcW w:w="2435" w:type="dxa"/>
          </w:tcPr>
          <w:p w:rsidR="00FB7252" w:rsidRPr="000D5254" w:rsidRDefault="00FB7252" w:rsidP="00431EDD">
            <w:pPr>
              <w:pStyle w:val="ListParagraph"/>
              <w:autoSpaceDE w:val="0"/>
              <w:autoSpaceDN w:val="0"/>
              <w:adjustRightInd w:val="0"/>
              <w:ind w:left="0"/>
            </w:pPr>
            <w:r w:rsidRPr="000D5254">
              <w:t>Cabinet Gorge Unit 4</w:t>
            </w:r>
          </w:p>
        </w:tc>
        <w:tc>
          <w:tcPr>
            <w:tcW w:w="1257" w:type="dxa"/>
          </w:tcPr>
          <w:p w:rsidR="00FB7252" w:rsidRPr="000D5254" w:rsidRDefault="00FB7252" w:rsidP="00431EDD">
            <w:r>
              <w:t>20,517</w:t>
            </w:r>
          </w:p>
        </w:tc>
      </w:tr>
      <w:tr w:rsidR="00FB7252" w:rsidRPr="00F86220" w:rsidTr="00FB7252">
        <w:trPr>
          <w:jc w:val="center"/>
        </w:trPr>
        <w:tc>
          <w:tcPr>
            <w:tcW w:w="1513" w:type="dxa"/>
          </w:tcPr>
          <w:p w:rsidR="00FB7252" w:rsidRPr="000D5254" w:rsidRDefault="00FB7252" w:rsidP="00431EDD">
            <w:pPr>
              <w:pStyle w:val="ListParagraph"/>
              <w:autoSpaceDE w:val="0"/>
              <w:autoSpaceDN w:val="0"/>
              <w:adjustRightInd w:val="0"/>
              <w:ind w:left="0"/>
            </w:pPr>
            <w:r w:rsidRPr="000D5254">
              <w:t>W2102</w:t>
            </w:r>
          </w:p>
        </w:tc>
        <w:tc>
          <w:tcPr>
            <w:tcW w:w="2435" w:type="dxa"/>
          </w:tcPr>
          <w:p w:rsidR="00FB7252" w:rsidRPr="000D5254" w:rsidRDefault="00FB7252" w:rsidP="00431EDD">
            <w:pPr>
              <w:pStyle w:val="ListParagraph"/>
              <w:autoSpaceDE w:val="0"/>
              <w:autoSpaceDN w:val="0"/>
              <w:adjustRightInd w:val="0"/>
              <w:ind w:left="0"/>
            </w:pPr>
            <w:r w:rsidRPr="000D5254">
              <w:t>Little Falls Unit 4</w:t>
            </w:r>
          </w:p>
        </w:tc>
        <w:tc>
          <w:tcPr>
            <w:tcW w:w="1257" w:type="dxa"/>
          </w:tcPr>
          <w:p w:rsidR="00FB7252" w:rsidRPr="000D5254" w:rsidRDefault="00FB7252" w:rsidP="00431EDD">
            <w:r>
              <w:t>4,862</w:t>
            </w:r>
          </w:p>
        </w:tc>
      </w:tr>
      <w:tr w:rsidR="00FB7252" w:rsidRPr="00F86220" w:rsidTr="00FB7252">
        <w:trPr>
          <w:jc w:val="center"/>
        </w:trPr>
        <w:tc>
          <w:tcPr>
            <w:tcW w:w="1513" w:type="dxa"/>
          </w:tcPr>
          <w:p w:rsidR="00FB7252" w:rsidRPr="000D5254" w:rsidRDefault="00FB7252" w:rsidP="00431EDD">
            <w:pPr>
              <w:pStyle w:val="ListParagraph"/>
              <w:autoSpaceDE w:val="0"/>
              <w:autoSpaceDN w:val="0"/>
              <w:adjustRightInd w:val="0"/>
              <w:ind w:left="0"/>
            </w:pPr>
            <w:r w:rsidRPr="000D5254">
              <w:t>W2103</w:t>
            </w:r>
          </w:p>
        </w:tc>
        <w:tc>
          <w:tcPr>
            <w:tcW w:w="2435" w:type="dxa"/>
          </w:tcPr>
          <w:p w:rsidR="00FB7252" w:rsidRPr="000D5254" w:rsidRDefault="00FB7252" w:rsidP="00431EDD">
            <w:pPr>
              <w:pStyle w:val="ListParagraph"/>
              <w:autoSpaceDE w:val="0"/>
              <w:autoSpaceDN w:val="0"/>
              <w:adjustRightInd w:val="0"/>
              <w:ind w:left="0"/>
            </w:pPr>
            <w:r w:rsidRPr="000D5254">
              <w:t>Long Lake Unit 3</w:t>
            </w:r>
          </w:p>
        </w:tc>
        <w:tc>
          <w:tcPr>
            <w:tcW w:w="1257" w:type="dxa"/>
          </w:tcPr>
          <w:p w:rsidR="00FB7252" w:rsidRPr="000D5254" w:rsidRDefault="00FB7252" w:rsidP="00431EDD">
            <w:r>
              <w:t>10,927</w:t>
            </w:r>
          </w:p>
        </w:tc>
      </w:tr>
      <w:tr w:rsidR="00FB7252" w:rsidRPr="00F86220" w:rsidTr="00FB7252">
        <w:trPr>
          <w:jc w:val="center"/>
        </w:trPr>
        <w:tc>
          <w:tcPr>
            <w:tcW w:w="1513" w:type="dxa"/>
          </w:tcPr>
          <w:p w:rsidR="00FB7252" w:rsidRPr="000D5254" w:rsidRDefault="00FB7252" w:rsidP="00CA5422">
            <w:pPr>
              <w:pStyle w:val="ListParagraph"/>
              <w:autoSpaceDE w:val="0"/>
              <w:autoSpaceDN w:val="0"/>
              <w:adjustRightInd w:val="0"/>
              <w:ind w:left="0"/>
            </w:pPr>
            <w:r>
              <w:t>W2103</w:t>
            </w:r>
          </w:p>
        </w:tc>
        <w:tc>
          <w:tcPr>
            <w:tcW w:w="2435" w:type="dxa"/>
          </w:tcPr>
          <w:p w:rsidR="00FB7252" w:rsidRPr="000D5254" w:rsidRDefault="00FB7252" w:rsidP="00CA5422">
            <w:pPr>
              <w:pStyle w:val="ListParagraph"/>
              <w:autoSpaceDE w:val="0"/>
              <w:autoSpaceDN w:val="0"/>
              <w:adjustRightInd w:val="0"/>
              <w:ind w:left="0"/>
            </w:pPr>
            <w:r>
              <w:t>Long Lake Unit 3</w:t>
            </w:r>
          </w:p>
        </w:tc>
        <w:tc>
          <w:tcPr>
            <w:tcW w:w="1257" w:type="dxa"/>
          </w:tcPr>
          <w:p w:rsidR="00FB7252" w:rsidRDefault="00FB7252" w:rsidP="00CA5422">
            <w:r>
              <w:t>3,270</w:t>
            </w:r>
          </w:p>
        </w:tc>
      </w:tr>
      <w:tr w:rsidR="00FB7252" w:rsidRPr="00F86220" w:rsidTr="00FB7252">
        <w:trPr>
          <w:jc w:val="center"/>
        </w:trPr>
        <w:tc>
          <w:tcPr>
            <w:tcW w:w="1513" w:type="dxa"/>
          </w:tcPr>
          <w:p w:rsidR="00FB7252" w:rsidRPr="000D5254" w:rsidRDefault="00FB7252" w:rsidP="00CA5422">
            <w:pPr>
              <w:pStyle w:val="ListParagraph"/>
              <w:autoSpaceDE w:val="0"/>
              <w:autoSpaceDN w:val="0"/>
              <w:adjustRightInd w:val="0"/>
              <w:ind w:left="0"/>
            </w:pPr>
            <w:r w:rsidRPr="000D5254">
              <w:t>W1530</w:t>
            </w:r>
          </w:p>
        </w:tc>
        <w:tc>
          <w:tcPr>
            <w:tcW w:w="2435" w:type="dxa"/>
          </w:tcPr>
          <w:p w:rsidR="00FB7252" w:rsidRPr="000D5254" w:rsidRDefault="00FB7252" w:rsidP="00CA5422">
            <w:pPr>
              <w:pStyle w:val="ListParagraph"/>
              <w:autoSpaceDE w:val="0"/>
              <w:autoSpaceDN w:val="0"/>
              <w:adjustRightInd w:val="0"/>
              <w:ind w:left="0"/>
            </w:pPr>
            <w:r w:rsidRPr="000D5254">
              <w:t>Noxon Rapids Unit 1</w:t>
            </w:r>
          </w:p>
        </w:tc>
        <w:tc>
          <w:tcPr>
            <w:tcW w:w="1257" w:type="dxa"/>
          </w:tcPr>
          <w:p w:rsidR="00FB7252" w:rsidRPr="000D5254" w:rsidRDefault="00FB7252" w:rsidP="00CA5422">
            <w:r>
              <w:t>21,435</w:t>
            </w:r>
          </w:p>
        </w:tc>
      </w:tr>
      <w:tr w:rsidR="00FB7252" w:rsidRPr="00F86220" w:rsidTr="00FB7252">
        <w:trPr>
          <w:jc w:val="center"/>
        </w:trPr>
        <w:tc>
          <w:tcPr>
            <w:tcW w:w="1513" w:type="dxa"/>
          </w:tcPr>
          <w:p w:rsidR="00FB7252" w:rsidRPr="000D5254" w:rsidRDefault="00FB7252" w:rsidP="00CA5422">
            <w:pPr>
              <w:pStyle w:val="ListParagraph"/>
              <w:autoSpaceDE w:val="0"/>
              <w:autoSpaceDN w:val="0"/>
              <w:adjustRightInd w:val="0"/>
              <w:ind w:left="0"/>
            </w:pPr>
            <w:r w:rsidRPr="000D5254">
              <w:t>W1552</w:t>
            </w:r>
          </w:p>
        </w:tc>
        <w:tc>
          <w:tcPr>
            <w:tcW w:w="2435" w:type="dxa"/>
          </w:tcPr>
          <w:p w:rsidR="00FB7252" w:rsidRPr="000D5254" w:rsidRDefault="00FB7252" w:rsidP="00CA5422">
            <w:pPr>
              <w:pStyle w:val="ListParagraph"/>
              <w:autoSpaceDE w:val="0"/>
              <w:autoSpaceDN w:val="0"/>
              <w:adjustRightInd w:val="0"/>
              <w:ind w:left="0"/>
            </w:pPr>
            <w:r w:rsidRPr="000D5254">
              <w:t>Noxon Rapids Unit 2</w:t>
            </w:r>
          </w:p>
        </w:tc>
        <w:tc>
          <w:tcPr>
            <w:tcW w:w="1257" w:type="dxa"/>
          </w:tcPr>
          <w:p w:rsidR="00FB7252" w:rsidRPr="000D5254" w:rsidRDefault="00FB7252" w:rsidP="00CA5422">
            <w:r>
              <w:t>7,709</w:t>
            </w:r>
          </w:p>
        </w:tc>
      </w:tr>
      <w:tr w:rsidR="00FB7252" w:rsidRPr="00F86220" w:rsidTr="00FB7252">
        <w:trPr>
          <w:jc w:val="center"/>
        </w:trPr>
        <w:tc>
          <w:tcPr>
            <w:tcW w:w="1513" w:type="dxa"/>
          </w:tcPr>
          <w:p w:rsidR="00FB7252" w:rsidRPr="000D5254" w:rsidRDefault="00FB7252" w:rsidP="00CA5422">
            <w:pPr>
              <w:pStyle w:val="ListParagraph"/>
              <w:autoSpaceDE w:val="0"/>
              <w:autoSpaceDN w:val="0"/>
              <w:adjustRightInd w:val="0"/>
              <w:ind w:left="0"/>
            </w:pPr>
            <w:r w:rsidRPr="000D5254">
              <w:t>W1554</w:t>
            </w:r>
          </w:p>
        </w:tc>
        <w:tc>
          <w:tcPr>
            <w:tcW w:w="2435" w:type="dxa"/>
          </w:tcPr>
          <w:p w:rsidR="00FB7252" w:rsidRPr="000D5254" w:rsidRDefault="00FB7252" w:rsidP="00CA5422">
            <w:pPr>
              <w:pStyle w:val="ListParagraph"/>
              <w:autoSpaceDE w:val="0"/>
              <w:autoSpaceDN w:val="0"/>
              <w:adjustRightInd w:val="0"/>
              <w:ind w:left="0"/>
            </w:pPr>
            <w:r w:rsidRPr="000D5254">
              <w:t>Noxon Rapids Unit 3</w:t>
            </w:r>
          </w:p>
        </w:tc>
        <w:tc>
          <w:tcPr>
            <w:tcW w:w="1257" w:type="dxa"/>
          </w:tcPr>
          <w:p w:rsidR="00FB7252" w:rsidRPr="000D5254" w:rsidRDefault="00FB7252" w:rsidP="00CA5422">
            <w:r>
              <w:t>14,529</w:t>
            </w:r>
          </w:p>
        </w:tc>
      </w:tr>
      <w:tr w:rsidR="00FB7252" w:rsidRPr="00F86220" w:rsidTr="00FB7252">
        <w:trPr>
          <w:jc w:val="center"/>
        </w:trPr>
        <w:tc>
          <w:tcPr>
            <w:tcW w:w="1513" w:type="dxa"/>
          </w:tcPr>
          <w:p w:rsidR="00FB7252" w:rsidRPr="000D5254" w:rsidRDefault="00FB7252" w:rsidP="00CA5422">
            <w:pPr>
              <w:pStyle w:val="ListParagraph"/>
              <w:autoSpaceDE w:val="0"/>
              <w:autoSpaceDN w:val="0"/>
              <w:adjustRightInd w:val="0"/>
              <w:ind w:left="0"/>
            </w:pPr>
            <w:r>
              <w:t>W1555</w:t>
            </w:r>
          </w:p>
        </w:tc>
        <w:tc>
          <w:tcPr>
            <w:tcW w:w="2435" w:type="dxa"/>
          </w:tcPr>
          <w:p w:rsidR="00FB7252" w:rsidRPr="000D5254" w:rsidRDefault="00FB7252" w:rsidP="00CA5422">
            <w:pPr>
              <w:pStyle w:val="ListParagraph"/>
              <w:autoSpaceDE w:val="0"/>
              <w:autoSpaceDN w:val="0"/>
              <w:adjustRightInd w:val="0"/>
              <w:ind w:left="0"/>
            </w:pPr>
            <w:r>
              <w:t>Noxon Rapids Unit 4</w:t>
            </w:r>
          </w:p>
        </w:tc>
        <w:tc>
          <w:tcPr>
            <w:tcW w:w="1257" w:type="dxa"/>
          </w:tcPr>
          <w:p w:rsidR="00FB7252" w:rsidRDefault="00FB7252" w:rsidP="00CA5422">
            <w:r>
              <w:t>12,024</w:t>
            </w:r>
          </w:p>
        </w:tc>
      </w:tr>
      <w:tr w:rsidR="00FB7252" w:rsidRPr="00F86220" w:rsidTr="00FB7252">
        <w:trPr>
          <w:jc w:val="center"/>
        </w:trPr>
        <w:tc>
          <w:tcPr>
            <w:tcW w:w="3948" w:type="dxa"/>
            <w:gridSpan w:val="2"/>
          </w:tcPr>
          <w:p w:rsidR="00FB7252" w:rsidRPr="00CA5422" w:rsidRDefault="00FB7252" w:rsidP="00CA5422">
            <w:pPr>
              <w:pStyle w:val="ListParagraph"/>
              <w:autoSpaceDE w:val="0"/>
              <w:autoSpaceDN w:val="0"/>
              <w:adjustRightInd w:val="0"/>
              <w:ind w:left="0"/>
              <w:jc w:val="center"/>
              <w:rPr>
                <w:b/>
              </w:rPr>
            </w:pPr>
            <w:r w:rsidRPr="00CA5422">
              <w:rPr>
                <w:b/>
              </w:rPr>
              <w:t>Total</w:t>
            </w:r>
          </w:p>
        </w:tc>
        <w:tc>
          <w:tcPr>
            <w:tcW w:w="1257" w:type="dxa"/>
          </w:tcPr>
          <w:p w:rsidR="00FB7252" w:rsidRPr="00874146" w:rsidRDefault="00FB7252" w:rsidP="002F7D46">
            <w:pPr>
              <w:pStyle w:val="ListParagraph"/>
              <w:autoSpaceDE w:val="0"/>
              <w:autoSpaceDN w:val="0"/>
              <w:adjustRightInd w:val="0"/>
              <w:ind w:left="0"/>
              <w:rPr>
                <w:b/>
              </w:rPr>
            </w:pPr>
            <w:r>
              <w:rPr>
                <w:b/>
              </w:rPr>
              <w:t>170</w:t>
            </w:r>
            <w:r w:rsidRPr="00874146">
              <w:rPr>
                <w:b/>
              </w:rPr>
              <w:t>,0</w:t>
            </w:r>
            <w:r>
              <w:rPr>
                <w:b/>
              </w:rPr>
              <w:t>89</w:t>
            </w:r>
          </w:p>
        </w:tc>
      </w:tr>
    </w:tbl>
    <w:p w:rsidR="000D5254" w:rsidRDefault="000D5254" w:rsidP="000D5254">
      <w:pPr>
        <w:pStyle w:val="ListParagraph"/>
        <w:autoSpaceDE w:val="0"/>
        <w:autoSpaceDN w:val="0"/>
        <w:adjustRightInd w:val="0"/>
        <w:ind w:left="0"/>
        <w:jc w:val="center"/>
        <w:rPr>
          <w:b/>
        </w:rPr>
      </w:pPr>
    </w:p>
    <w:p w:rsidR="000D5254" w:rsidRDefault="000D5254" w:rsidP="00E81AF6">
      <w:pPr>
        <w:pStyle w:val="ListParagraph"/>
        <w:autoSpaceDE w:val="0"/>
        <w:autoSpaceDN w:val="0"/>
        <w:adjustRightInd w:val="0"/>
        <w:ind w:left="0"/>
        <w:rPr>
          <w:b/>
          <w:sz w:val="28"/>
          <w:szCs w:val="28"/>
        </w:rPr>
      </w:pPr>
    </w:p>
    <w:p w:rsidR="00E81AF6" w:rsidRPr="00F86220" w:rsidRDefault="00F86220" w:rsidP="00F86220">
      <w:pPr>
        <w:pStyle w:val="ListParagraph"/>
        <w:autoSpaceDE w:val="0"/>
        <w:autoSpaceDN w:val="0"/>
        <w:adjustRightInd w:val="0"/>
        <w:ind w:left="0"/>
        <w:jc w:val="center"/>
        <w:rPr>
          <w:b/>
        </w:rPr>
      </w:pPr>
      <w:r>
        <w:rPr>
          <w:b/>
        </w:rPr>
        <w:t>VI.</w:t>
      </w:r>
      <w:r>
        <w:rPr>
          <w:b/>
        </w:rPr>
        <w:tab/>
      </w:r>
      <w:r w:rsidRPr="00F86220">
        <w:rPr>
          <w:b/>
        </w:rPr>
        <w:t>INCREMENTAL COST COMPARED TO ANNUAL RETAIL REVENUE REQUIREMENT</w:t>
      </w:r>
    </w:p>
    <w:p w:rsidR="00F86220" w:rsidRDefault="00F86220" w:rsidP="00E81AF6"/>
    <w:p w:rsidR="00BC1A53" w:rsidRDefault="00BC1A53" w:rsidP="00BC1A53">
      <w:pPr>
        <w:spacing w:line="480" w:lineRule="auto"/>
        <w:ind w:firstLine="720"/>
        <w:jc w:val="both"/>
      </w:pPr>
      <w:r>
        <w:t xml:space="preserve">Avista calculated the incremental cost of investments made to meet RCW Chapter 19.285, by taking the annual levelized revenue requirement ($/MWh) for each qualifying project compared to the cost of alternative power over the same period. Each qualifying resource is compared to a combined cycle combustion turbine (CCCT). To estimate the annual levelized cost of the CCCT, cost assumptions are used based upon the IRP from the time of the resource decision with costs split between energy ($/MWh) and capacity ($/kW-year). Avista includes any REC sales as a reduction to the incremental cost calculation. The Company also includes an adjustment to account for the value of RECs transferred from Idaho to Washington. </w:t>
      </w:r>
      <w:r w:rsidR="00FB7252">
        <w:t xml:space="preserve">The value of RECs is split between the two states based on the Production and Transportation Ratio. The Idaho portion of the qualified renewable energy is transferred to Washington based upon the market value of similar renewable resources. This is consistent with the allocation of REC values between Washington and Idaho for ratemaking purposes. </w:t>
      </w:r>
      <w:r>
        <w:t xml:space="preserve">In total, the change in revenue </w:t>
      </w:r>
      <w:r>
        <w:lastRenderedPageBreak/>
        <w:t>requirement is -0.</w:t>
      </w:r>
      <w:r w:rsidR="00EE1004">
        <w:t>72</w:t>
      </w:r>
      <w:r>
        <w:t xml:space="preserve"> percent due to the savings in hydro </w:t>
      </w:r>
      <w:proofErr w:type="gramStart"/>
      <w:r>
        <w:t>upgrade</w:t>
      </w:r>
      <w:proofErr w:type="gramEnd"/>
      <w:r>
        <w:t xml:space="preserve"> investments. Appendix B shows the calculation of this incremental cost for the qualified renewable resources. The supporting documentation and spreadsheets are located in the confidential work papers for this filing.</w:t>
      </w:r>
    </w:p>
    <w:p w:rsidR="005364D4" w:rsidRDefault="005364D4" w:rsidP="00BC1A53">
      <w:pPr>
        <w:spacing w:line="480" w:lineRule="auto"/>
        <w:ind w:firstLine="720"/>
        <w:jc w:val="both"/>
      </w:pPr>
    </w:p>
    <w:p w:rsidR="00E81AF6" w:rsidRDefault="00F86220" w:rsidP="00F86220">
      <w:pPr>
        <w:jc w:val="center"/>
        <w:rPr>
          <w:b/>
        </w:rPr>
      </w:pPr>
      <w:r>
        <w:rPr>
          <w:b/>
        </w:rPr>
        <w:t>VII.</w:t>
      </w:r>
      <w:r>
        <w:rPr>
          <w:b/>
        </w:rPr>
        <w:tab/>
      </w:r>
      <w:r w:rsidRPr="00F86220">
        <w:rPr>
          <w:b/>
        </w:rPr>
        <w:t>CURRENT YEAR PROGRESS</w:t>
      </w:r>
    </w:p>
    <w:p w:rsidR="006F5A3D" w:rsidRPr="00F86220" w:rsidRDefault="006F5A3D" w:rsidP="00F86220">
      <w:pPr>
        <w:jc w:val="center"/>
        <w:rPr>
          <w:b/>
        </w:rPr>
      </w:pPr>
    </w:p>
    <w:p w:rsidR="00E81AF6" w:rsidRDefault="00E81AF6" w:rsidP="00F86220">
      <w:pPr>
        <w:spacing w:line="480" w:lineRule="auto"/>
        <w:ind w:firstLine="720"/>
        <w:jc w:val="both"/>
      </w:pPr>
      <w:r>
        <w:t>Avista plans to meet its 201</w:t>
      </w:r>
      <w:r w:rsidR="00E94A02">
        <w:t>5</w:t>
      </w:r>
      <w:r>
        <w:t xml:space="preserve"> renewable energy targets with a combination of the qualified hydroelectric upgrades listed above and other renewable energy certificates from qualifying resources. </w:t>
      </w:r>
      <w:r w:rsidR="009B31C1">
        <w:t xml:space="preserve">Table </w:t>
      </w:r>
      <w:r w:rsidR="000D5254">
        <w:t xml:space="preserve">4 </w:t>
      </w:r>
      <w:r w:rsidR="009B31C1">
        <w:t xml:space="preserve">provides a high level summary of the Company’s expected </w:t>
      </w:r>
      <w:r w:rsidR="000D5254">
        <w:t>201</w:t>
      </w:r>
      <w:r w:rsidR="00E94A02">
        <w:t>5</w:t>
      </w:r>
      <w:r w:rsidR="000D5254">
        <w:t xml:space="preserve"> </w:t>
      </w:r>
      <w:r w:rsidR="009B31C1">
        <w:t>compliance.</w:t>
      </w:r>
      <w:r w:rsidR="00466025">
        <w:t xml:space="preserve"> </w:t>
      </w:r>
      <w:r w:rsidR="00BC1A53">
        <w:t>Appendix A contains more</w:t>
      </w:r>
      <w:r w:rsidR="00466025">
        <w:t xml:space="preserve"> details about this information.</w:t>
      </w:r>
    </w:p>
    <w:p w:rsidR="004368B3" w:rsidRDefault="004368B3" w:rsidP="000A51E4">
      <w:pPr>
        <w:jc w:val="center"/>
        <w:rPr>
          <w:b/>
        </w:rPr>
      </w:pPr>
    </w:p>
    <w:p w:rsidR="004368B3" w:rsidRDefault="004368B3" w:rsidP="000A51E4">
      <w:pPr>
        <w:jc w:val="center"/>
        <w:rPr>
          <w:b/>
        </w:rPr>
      </w:pPr>
    </w:p>
    <w:p w:rsidR="000A51E4" w:rsidRDefault="000A51E4" w:rsidP="000A51E4">
      <w:pPr>
        <w:jc w:val="center"/>
        <w:rPr>
          <w:b/>
        </w:rPr>
      </w:pPr>
      <w:r w:rsidRPr="00927395">
        <w:rPr>
          <w:b/>
        </w:rPr>
        <w:t xml:space="preserve">Table </w:t>
      </w:r>
      <w:r w:rsidR="000D5254">
        <w:rPr>
          <w:b/>
        </w:rPr>
        <w:t>4</w:t>
      </w:r>
      <w:r w:rsidRPr="00927395">
        <w:rPr>
          <w:b/>
        </w:rPr>
        <w:t xml:space="preserve">: </w:t>
      </w:r>
      <w:r w:rsidR="001E4469">
        <w:rPr>
          <w:b/>
        </w:rPr>
        <w:t>201</w:t>
      </w:r>
      <w:r w:rsidR="00DF4A91">
        <w:rPr>
          <w:b/>
        </w:rPr>
        <w:t>5</w:t>
      </w:r>
      <w:r w:rsidR="001E4469">
        <w:rPr>
          <w:b/>
        </w:rPr>
        <w:t xml:space="preserve"> </w:t>
      </w:r>
      <w:r w:rsidR="009B31C1">
        <w:rPr>
          <w:b/>
        </w:rPr>
        <w:t xml:space="preserve">Energy Independence Act </w:t>
      </w:r>
      <w:r>
        <w:rPr>
          <w:b/>
        </w:rPr>
        <w:t xml:space="preserve">Compliance </w:t>
      </w:r>
      <w:proofErr w:type="gramStart"/>
      <w:r>
        <w:rPr>
          <w:b/>
        </w:rPr>
        <w:t>Summary</w:t>
      </w:r>
      <w:proofErr w:type="gramEnd"/>
    </w:p>
    <w:p w:rsidR="009B31C1" w:rsidRDefault="009B31C1" w:rsidP="000A51E4">
      <w:pPr>
        <w:jc w:val="center"/>
        <w:rPr>
          <w:b/>
        </w:rPr>
      </w:pPr>
    </w:p>
    <w:tbl>
      <w:tblPr>
        <w:tblW w:w="0" w:type="auto"/>
        <w:jc w:val="center"/>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1176"/>
      </w:tblGrid>
      <w:tr w:rsidR="000A51E4" w:rsidRPr="00F86220" w:rsidTr="004C722F">
        <w:trPr>
          <w:jc w:val="center"/>
        </w:trPr>
        <w:tc>
          <w:tcPr>
            <w:tcW w:w="5323" w:type="dxa"/>
          </w:tcPr>
          <w:p w:rsidR="000A51E4" w:rsidRPr="00F86220" w:rsidRDefault="000A51E4" w:rsidP="000A51E4"/>
        </w:tc>
        <w:tc>
          <w:tcPr>
            <w:tcW w:w="1176" w:type="dxa"/>
          </w:tcPr>
          <w:p w:rsidR="000A51E4" w:rsidRPr="00F86220" w:rsidRDefault="001E4469" w:rsidP="00E94A02">
            <w:pPr>
              <w:jc w:val="center"/>
              <w:rPr>
                <w:b/>
              </w:rPr>
            </w:pPr>
            <w:r w:rsidRPr="00F86220">
              <w:rPr>
                <w:b/>
              </w:rPr>
              <w:t>201</w:t>
            </w:r>
            <w:r w:rsidR="00E94A02">
              <w:rPr>
                <w:b/>
              </w:rPr>
              <w:t>5</w:t>
            </w:r>
          </w:p>
        </w:tc>
      </w:tr>
      <w:tr w:rsidR="000A51E4" w:rsidRPr="00F86220" w:rsidTr="004C722F">
        <w:trPr>
          <w:jc w:val="center"/>
        </w:trPr>
        <w:tc>
          <w:tcPr>
            <w:tcW w:w="5323" w:type="dxa"/>
          </w:tcPr>
          <w:p w:rsidR="000A51E4" w:rsidRPr="00F86220" w:rsidRDefault="000A51E4" w:rsidP="000A51E4">
            <w:pPr>
              <w:rPr>
                <w:b/>
              </w:rPr>
            </w:pPr>
            <w:r>
              <w:rPr>
                <w:b/>
              </w:rPr>
              <w:t>RCW 19.285 Compliance Need</w:t>
            </w:r>
            <w:r w:rsidRPr="00F86220">
              <w:rPr>
                <w:b/>
              </w:rPr>
              <w:t xml:space="preserve"> (MWh)</w:t>
            </w:r>
          </w:p>
        </w:tc>
        <w:tc>
          <w:tcPr>
            <w:tcW w:w="1176" w:type="dxa"/>
          </w:tcPr>
          <w:p w:rsidR="000A51E4" w:rsidRPr="001B613B" w:rsidRDefault="00DF4A91" w:rsidP="00FE47FB">
            <w:pPr>
              <w:jc w:val="center"/>
            </w:pPr>
            <w:r>
              <w:t>170,472</w:t>
            </w:r>
          </w:p>
        </w:tc>
      </w:tr>
      <w:tr w:rsidR="000A51E4" w:rsidRPr="00F86220" w:rsidTr="004C722F">
        <w:trPr>
          <w:jc w:val="center"/>
        </w:trPr>
        <w:tc>
          <w:tcPr>
            <w:tcW w:w="5323" w:type="dxa"/>
          </w:tcPr>
          <w:p w:rsidR="000A51E4" w:rsidRPr="00F86220" w:rsidRDefault="000A51E4" w:rsidP="000A51E4">
            <w:pPr>
              <w:rPr>
                <w:b/>
              </w:rPr>
            </w:pPr>
            <w:r>
              <w:rPr>
                <w:b/>
              </w:rPr>
              <w:t>Eligible Renewable Resources (MWh)</w:t>
            </w:r>
          </w:p>
        </w:tc>
        <w:tc>
          <w:tcPr>
            <w:tcW w:w="1176" w:type="dxa"/>
          </w:tcPr>
          <w:p w:rsidR="000A51E4" w:rsidRPr="001B613B" w:rsidRDefault="00DF4A91" w:rsidP="00D6287F">
            <w:pPr>
              <w:jc w:val="center"/>
            </w:pPr>
            <w:r>
              <w:t>639,760</w:t>
            </w:r>
          </w:p>
        </w:tc>
      </w:tr>
      <w:tr w:rsidR="00907B57" w:rsidRPr="00F86220" w:rsidTr="004C722F">
        <w:trPr>
          <w:jc w:val="center"/>
        </w:trPr>
        <w:tc>
          <w:tcPr>
            <w:tcW w:w="5323" w:type="dxa"/>
          </w:tcPr>
          <w:p w:rsidR="00907B57" w:rsidDel="00907B57" w:rsidRDefault="00907B57" w:rsidP="00907B57">
            <w:pPr>
              <w:rPr>
                <w:b/>
              </w:rPr>
            </w:pPr>
            <w:r>
              <w:rPr>
                <w:b/>
              </w:rPr>
              <w:t>Eligible Renewable Resource Sales (MWh)</w:t>
            </w:r>
          </w:p>
        </w:tc>
        <w:tc>
          <w:tcPr>
            <w:tcW w:w="1176" w:type="dxa"/>
          </w:tcPr>
          <w:p w:rsidR="00907B57" w:rsidRPr="001B613B" w:rsidRDefault="00DF4A91" w:rsidP="00EB362D">
            <w:pPr>
              <w:jc w:val="center"/>
            </w:pPr>
            <w:r>
              <w:t>0</w:t>
            </w:r>
          </w:p>
        </w:tc>
      </w:tr>
      <w:tr w:rsidR="000A51E4" w:rsidRPr="00F86220" w:rsidTr="004C722F">
        <w:trPr>
          <w:jc w:val="center"/>
        </w:trPr>
        <w:tc>
          <w:tcPr>
            <w:tcW w:w="5323" w:type="dxa"/>
          </w:tcPr>
          <w:p w:rsidR="000A51E4" w:rsidRPr="00F86220" w:rsidRDefault="004C722F" w:rsidP="00907B57">
            <w:pPr>
              <w:rPr>
                <w:b/>
              </w:rPr>
            </w:pPr>
            <w:r>
              <w:rPr>
                <w:b/>
              </w:rPr>
              <w:t>Renewable Resource Surplus</w:t>
            </w:r>
          </w:p>
        </w:tc>
        <w:tc>
          <w:tcPr>
            <w:tcW w:w="1176" w:type="dxa"/>
          </w:tcPr>
          <w:p w:rsidR="000A51E4" w:rsidRPr="001B613B" w:rsidRDefault="00EB362D" w:rsidP="00DF4A91">
            <w:pPr>
              <w:jc w:val="center"/>
            </w:pPr>
            <w:r>
              <w:t>4</w:t>
            </w:r>
            <w:r w:rsidR="00DF4A91">
              <w:t>69,288</w:t>
            </w:r>
          </w:p>
        </w:tc>
      </w:tr>
      <w:tr w:rsidR="000A51E4" w:rsidRPr="00F86220" w:rsidTr="004C722F">
        <w:trPr>
          <w:jc w:val="center"/>
        </w:trPr>
        <w:tc>
          <w:tcPr>
            <w:tcW w:w="5323" w:type="dxa"/>
          </w:tcPr>
          <w:p w:rsidR="000A51E4" w:rsidRPr="00F86220" w:rsidRDefault="004C722F" w:rsidP="00424324">
            <w:pPr>
              <w:rPr>
                <w:b/>
              </w:rPr>
            </w:pPr>
            <w:r>
              <w:rPr>
                <w:b/>
              </w:rPr>
              <w:t>Estimated 201</w:t>
            </w:r>
            <w:r w:rsidR="00424324">
              <w:rPr>
                <w:b/>
              </w:rPr>
              <w:t>4</w:t>
            </w:r>
            <w:r>
              <w:rPr>
                <w:b/>
              </w:rPr>
              <w:t xml:space="preserve"> Surplus Applied to 201</w:t>
            </w:r>
            <w:r w:rsidR="00424324">
              <w:rPr>
                <w:b/>
              </w:rPr>
              <w:t>5</w:t>
            </w:r>
          </w:p>
        </w:tc>
        <w:tc>
          <w:tcPr>
            <w:tcW w:w="1176" w:type="dxa"/>
          </w:tcPr>
          <w:p w:rsidR="000A51E4" w:rsidRPr="001B613B" w:rsidRDefault="00907B57" w:rsidP="00907B57">
            <w:pPr>
              <w:jc w:val="center"/>
            </w:pPr>
            <w:r>
              <w:t>0</w:t>
            </w:r>
          </w:p>
        </w:tc>
      </w:tr>
    </w:tbl>
    <w:p w:rsidR="00152C91" w:rsidRDefault="00152C91" w:rsidP="00F86220">
      <w:pPr>
        <w:jc w:val="center"/>
        <w:rPr>
          <w:b/>
        </w:rPr>
      </w:pPr>
    </w:p>
    <w:p w:rsidR="00152C91" w:rsidRDefault="00152C91" w:rsidP="00F86220">
      <w:pPr>
        <w:jc w:val="center"/>
        <w:rPr>
          <w:b/>
        </w:rPr>
      </w:pPr>
    </w:p>
    <w:p w:rsidR="005364D4" w:rsidRDefault="005364D4">
      <w:pPr>
        <w:rPr>
          <w:b/>
        </w:rPr>
      </w:pPr>
      <w:r>
        <w:rPr>
          <w:b/>
        </w:rPr>
        <w:br w:type="page"/>
      </w:r>
    </w:p>
    <w:p w:rsidR="00152C91" w:rsidRDefault="00152C91" w:rsidP="00F86220">
      <w:pPr>
        <w:jc w:val="center"/>
        <w:rPr>
          <w:b/>
        </w:rPr>
      </w:pPr>
    </w:p>
    <w:p w:rsidR="00E81AF6" w:rsidRPr="00F86220" w:rsidRDefault="00F86220" w:rsidP="00F86220">
      <w:pPr>
        <w:jc w:val="center"/>
        <w:rPr>
          <w:b/>
        </w:rPr>
      </w:pPr>
      <w:r>
        <w:rPr>
          <w:b/>
        </w:rPr>
        <w:t>VIII.</w:t>
      </w:r>
      <w:r>
        <w:rPr>
          <w:b/>
        </w:rPr>
        <w:tab/>
      </w:r>
      <w:r w:rsidRPr="00F86220">
        <w:rPr>
          <w:b/>
        </w:rPr>
        <w:t>APPENDICES</w:t>
      </w:r>
    </w:p>
    <w:p w:rsidR="00F86220" w:rsidRDefault="00F86220" w:rsidP="00E81AF6"/>
    <w:p w:rsidR="00E81AF6" w:rsidRDefault="00E81AF6" w:rsidP="00F86220">
      <w:pPr>
        <w:spacing w:line="480" w:lineRule="auto"/>
        <w:ind w:firstLine="720"/>
        <w:jc w:val="both"/>
      </w:pPr>
      <w:r>
        <w:t xml:space="preserve">The following appendices provide details about the </w:t>
      </w:r>
      <w:r w:rsidR="00907B57">
        <w:t xml:space="preserve">eligible </w:t>
      </w:r>
      <w:r>
        <w:t xml:space="preserve">renewable </w:t>
      </w:r>
      <w:r w:rsidR="00907B57">
        <w:t>resources</w:t>
      </w:r>
      <w:r>
        <w:t xml:space="preserve"> </w:t>
      </w:r>
      <w:r w:rsidR="001E4469">
        <w:t>Avista</w:t>
      </w:r>
      <w:r>
        <w:t xml:space="preserve"> use</w:t>
      </w:r>
      <w:r w:rsidR="00907B57">
        <w:t>d</w:t>
      </w:r>
      <w:r>
        <w:t xml:space="preserve"> to meet its renewable energy goals under the Energy Independence Act</w:t>
      </w:r>
      <w:r w:rsidR="00DE1EA4">
        <w:t xml:space="preserve">. </w:t>
      </w:r>
    </w:p>
    <w:p w:rsidR="00E81AF6" w:rsidRDefault="00E81AF6" w:rsidP="00E81AF6">
      <w:r w:rsidRPr="00317AB7">
        <w:rPr>
          <w:b/>
        </w:rPr>
        <w:t>Appendix A</w:t>
      </w:r>
      <w:r w:rsidR="00317AB7">
        <w:rPr>
          <w:b/>
        </w:rPr>
        <w:t>:</w:t>
      </w:r>
      <w:r>
        <w:t xml:space="preserve"> UTC Compliance Report Spreadsheet</w:t>
      </w:r>
    </w:p>
    <w:p w:rsidR="00E81AF6" w:rsidRDefault="00E81AF6" w:rsidP="00E81AF6">
      <w:r w:rsidRPr="00317AB7">
        <w:rPr>
          <w:b/>
        </w:rPr>
        <w:t>Appendix B</w:t>
      </w:r>
      <w:r w:rsidR="00317AB7" w:rsidRPr="00317AB7">
        <w:rPr>
          <w:b/>
        </w:rPr>
        <w:t>:</w:t>
      </w:r>
      <w:r>
        <w:t xml:space="preserve"> Incremental Cost Calculations</w:t>
      </w:r>
    </w:p>
    <w:p w:rsidR="00E81AF6" w:rsidRDefault="00E81AF6" w:rsidP="00E81AF6">
      <w:r w:rsidRPr="00317AB7">
        <w:rPr>
          <w:b/>
        </w:rPr>
        <w:t>Appendix C</w:t>
      </w:r>
      <w:r w:rsidR="00317AB7" w:rsidRPr="00317AB7">
        <w:rPr>
          <w:b/>
        </w:rPr>
        <w:t>:</w:t>
      </w:r>
      <w:r>
        <w:t xml:space="preserve"> Clark Fork </w:t>
      </w:r>
      <w:r w:rsidR="000A51E4">
        <w:t xml:space="preserve">River </w:t>
      </w:r>
      <w:r>
        <w:t>Hydroelectric Project Qualifying Upgrades Report</w:t>
      </w:r>
    </w:p>
    <w:p w:rsidR="00E81AF6" w:rsidRDefault="00E81AF6" w:rsidP="00E81AF6">
      <w:r w:rsidRPr="00317AB7">
        <w:rPr>
          <w:b/>
        </w:rPr>
        <w:t>Appendix D</w:t>
      </w:r>
      <w:r w:rsidR="00317AB7" w:rsidRPr="00317AB7">
        <w:rPr>
          <w:b/>
        </w:rPr>
        <w:t>:</w:t>
      </w:r>
      <w:r>
        <w:t xml:space="preserve"> Spokane River Hydroelectric Project Qualifying Upgrades Report</w:t>
      </w:r>
    </w:p>
    <w:p w:rsidR="00E81AF6" w:rsidRDefault="000835C1" w:rsidP="00E81AF6">
      <w:r w:rsidRPr="00317AB7">
        <w:rPr>
          <w:b/>
        </w:rPr>
        <w:t>Appendix E</w:t>
      </w:r>
      <w:r w:rsidR="00317AB7" w:rsidRPr="00317AB7">
        <w:rPr>
          <w:b/>
        </w:rPr>
        <w:t>:</w:t>
      </w:r>
      <w:r>
        <w:t xml:space="preserve"> </w:t>
      </w:r>
      <w:r w:rsidR="00E94A02">
        <w:t>Department of Co</w:t>
      </w:r>
      <w:r w:rsidR="00E81AF6">
        <w:t>mmerce Energy Independence Act Renewables Report</w:t>
      </w:r>
    </w:p>
    <w:p w:rsidR="00D6287F" w:rsidRDefault="00D6287F" w:rsidP="005042B0">
      <w:pPr>
        <w:spacing w:line="480" w:lineRule="auto"/>
        <w:jc w:val="both"/>
      </w:pPr>
    </w:p>
    <w:p w:rsidR="00835F77" w:rsidRDefault="00835F77" w:rsidP="005042B0">
      <w:pPr>
        <w:spacing w:line="480" w:lineRule="auto"/>
        <w:jc w:val="both"/>
      </w:pPr>
      <w:r>
        <w:t>RESPECTFULLY SUBM</w:t>
      </w:r>
      <w:r w:rsidR="0071546D">
        <w:t xml:space="preserve">ITTED this </w:t>
      </w:r>
      <w:r w:rsidR="008729AC">
        <w:t>8</w:t>
      </w:r>
      <w:r w:rsidR="008729AC" w:rsidRPr="008729AC">
        <w:rPr>
          <w:vertAlign w:val="superscript"/>
        </w:rPr>
        <w:t>th</w:t>
      </w:r>
      <w:r w:rsidR="008729AC">
        <w:t xml:space="preserve"> </w:t>
      </w:r>
      <w:r w:rsidR="0071546D">
        <w:t>day of</w:t>
      </w:r>
      <w:r w:rsidR="00D44060">
        <w:t xml:space="preserve"> </w:t>
      </w:r>
      <w:r w:rsidR="00424324">
        <w:t>July</w:t>
      </w:r>
      <w:r w:rsidR="00F86220">
        <w:t xml:space="preserve"> </w:t>
      </w:r>
      <w:r w:rsidR="001E4469">
        <w:t>201</w:t>
      </w:r>
      <w:r w:rsidR="00E94A02">
        <w:t>5</w:t>
      </w:r>
      <w:r>
        <w:t>.</w:t>
      </w:r>
    </w:p>
    <w:p w:rsidR="00835F77" w:rsidRDefault="00835F77" w:rsidP="005042B0">
      <w:pPr>
        <w:jc w:val="both"/>
      </w:pPr>
    </w:p>
    <w:p w:rsidR="00835F77" w:rsidRDefault="00835F77" w:rsidP="005042B0">
      <w:pPr>
        <w:jc w:val="both"/>
      </w:pPr>
      <w:r>
        <w:tab/>
      </w:r>
      <w:r>
        <w:tab/>
      </w:r>
      <w:r>
        <w:tab/>
      </w:r>
      <w:r>
        <w:tab/>
      </w:r>
      <w:r>
        <w:tab/>
      </w:r>
      <w:r>
        <w:tab/>
        <w:t>AVISTA CORPORATION</w:t>
      </w:r>
    </w:p>
    <w:p w:rsidR="00835F77" w:rsidRDefault="00835F77" w:rsidP="005042B0">
      <w:pPr>
        <w:jc w:val="both"/>
      </w:pPr>
    </w:p>
    <w:p w:rsidR="00835F77" w:rsidRDefault="00835F77" w:rsidP="005042B0">
      <w:pPr>
        <w:jc w:val="both"/>
      </w:pPr>
    </w:p>
    <w:p w:rsidR="00835F77" w:rsidRDefault="00835F77" w:rsidP="005042B0">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835F77" w:rsidRDefault="00835F77" w:rsidP="005042B0">
      <w:pPr>
        <w:jc w:val="both"/>
      </w:pPr>
      <w:r>
        <w:tab/>
      </w:r>
      <w:r>
        <w:tab/>
      </w:r>
      <w:r>
        <w:tab/>
      </w:r>
      <w:r>
        <w:tab/>
      </w:r>
      <w:r>
        <w:tab/>
      </w:r>
      <w:r>
        <w:tab/>
      </w:r>
      <w:r>
        <w:tab/>
      </w:r>
      <w:r w:rsidR="0071546D">
        <w:t>Kelly O. Norwood</w:t>
      </w:r>
    </w:p>
    <w:p w:rsidR="00835F77" w:rsidRDefault="0071546D" w:rsidP="005042B0">
      <w:pPr>
        <w:jc w:val="both"/>
      </w:pPr>
      <w:r>
        <w:tab/>
      </w:r>
      <w:r>
        <w:tab/>
      </w:r>
      <w:r>
        <w:tab/>
      </w:r>
      <w:r>
        <w:tab/>
      </w:r>
      <w:r>
        <w:tab/>
      </w:r>
      <w:r>
        <w:tab/>
      </w:r>
      <w:r>
        <w:tab/>
        <w:t>Vice President, State and Federal Regulation</w:t>
      </w:r>
    </w:p>
    <w:p w:rsidR="00D258AA" w:rsidRDefault="00D258AA" w:rsidP="00331EDA"/>
    <w:sectPr w:rsidR="00D258AA" w:rsidSect="00C62AC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83" w:rsidRDefault="00423C83">
      <w:r>
        <w:separator/>
      </w:r>
    </w:p>
  </w:endnote>
  <w:endnote w:type="continuationSeparator" w:id="0">
    <w:p w:rsidR="00423C83" w:rsidRDefault="00423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83" w:rsidRDefault="00423C83">
    <w:pPr>
      <w:pStyle w:val="Footer"/>
    </w:pPr>
    <w:r>
      <w:rPr>
        <w:sz w:val="20"/>
        <w:szCs w:val="20"/>
      </w:rPr>
      <w:t xml:space="preserve">RENEWABLE TARGET COMPLIANCE REPORT OF AVISTA CORPORATION - </w:t>
    </w:r>
    <w:r w:rsidR="004C4F67">
      <w:rPr>
        <w:rStyle w:val="PageNumber"/>
        <w:sz w:val="20"/>
        <w:szCs w:val="20"/>
      </w:rPr>
      <w:fldChar w:fldCharType="begin"/>
    </w:r>
    <w:r>
      <w:rPr>
        <w:rStyle w:val="PageNumber"/>
        <w:sz w:val="20"/>
        <w:szCs w:val="20"/>
      </w:rPr>
      <w:instrText xml:space="preserve"> PAGE </w:instrText>
    </w:r>
    <w:r w:rsidR="004C4F67">
      <w:rPr>
        <w:rStyle w:val="PageNumber"/>
        <w:sz w:val="20"/>
        <w:szCs w:val="20"/>
      </w:rPr>
      <w:fldChar w:fldCharType="separate"/>
    </w:r>
    <w:r w:rsidR="008729AC">
      <w:rPr>
        <w:rStyle w:val="PageNumber"/>
        <w:noProof/>
        <w:sz w:val="20"/>
        <w:szCs w:val="20"/>
      </w:rPr>
      <w:t>7</w:t>
    </w:r>
    <w:r w:rsidR="004C4F67">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83" w:rsidRDefault="00423C83">
      <w:r>
        <w:separator/>
      </w:r>
    </w:p>
  </w:footnote>
  <w:footnote w:type="continuationSeparator" w:id="0">
    <w:p w:rsidR="00423C83" w:rsidRDefault="00423C83">
      <w:r>
        <w:continuationSeparator/>
      </w:r>
    </w:p>
  </w:footnote>
  <w:footnote w:id="1">
    <w:p w:rsidR="00423C83" w:rsidRDefault="00423C83">
      <w:pPr>
        <w:pStyle w:val="FootnoteText"/>
      </w:pPr>
      <w:r>
        <w:rPr>
          <w:rStyle w:val="FootnoteReference"/>
        </w:rPr>
        <w:footnoteRef/>
      </w:r>
      <w:r>
        <w:t xml:space="preserve"> In 2008, Avista purchased 50,000 renewable energy certificates per year generated from the Stateline Wind Project for the 2012 through 2015 period to comply with RCW Chapter 19.285 requirements. Avista sold the renewable energy certificates for 2012 through 2014 because they became surplus of the Company’s needs in 2011 because of the acquisition of the Palouse Wind Power Purchase Agreement and decisions concerning the need for reserves for qualifying hydroelectric upgrades. Avista retained the 2015 renewable energy certificates since they are eligible for 2016 compliance obligations.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BF41340"/>
    <w:multiLevelType w:val="hybridMultilevel"/>
    <w:tmpl w:val="C87E0AAE"/>
    <w:lvl w:ilvl="0" w:tplc="537C56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15">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A3CAD"/>
    <w:multiLevelType w:val="hybridMultilevel"/>
    <w:tmpl w:val="F7B81AC4"/>
    <w:lvl w:ilvl="0" w:tplc="537C5634">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27">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367E6D"/>
    <w:multiLevelType w:val="hybridMultilevel"/>
    <w:tmpl w:val="D30A9D36"/>
    <w:lvl w:ilvl="0" w:tplc="537C5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
  </w:num>
  <w:num w:numId="4">
    <w:abstractNumId w:val="29"/>
  </w:num>
  <w:num w:numId="5">
    <w:abstractNumId w:val="32"/>
  </w:num>
  <w:num w:numId="6">
    <w:abstractNumId w:val="17"/>
  </w:num>
  <w:num w:numId="7">
    <w:abstractNumId w:val="8"/>
  </w:num>
  <w:num w:numId="8">
    <w:abstractNumId w:val="14"/>
  </w:num>
  <w:num w:numId="9">
    <w:abstractNumId w:val="7"/>
  </w:num>
  <w:num w:numId="10">
    <w:abstractNumId w:val="5"/>
  </w:num>
  <w:num w:numId="11">
    <w:abstractNumId w:val="31"/>
  </w:num>
  <w:num w:numId="12">
    <w:abstractNumId w:val="19"/>
  </w:num>
  <w:num w:numId="13">
    <w:abstractNumId w:val="26"/>
  </w:num>
  <w:num w:numId="14">
    <w:abstractNumId w:val="20"/>
  </w:num>
  <w:num w:numId="15">
    <w:abstractNumId w:val="23"/>
  </w:num>
  <w:num w:numId="16">
    <w:abstractNumId w:val="18"/>
  </w:num>
  <w:num w:numId="17">
    <w:abstractNumId w:val="3"/>
  </w:num>
  <w:num w:numId="18">
    <w:abstractNumId w:val="25"/>
  </w:num>
  <w:num w:numId="19">
    <w:abstractNumId w:val="1"/>
  </w:num>
  <w:num w:numId="20">
    <w:abstractNumId w:val="21"/>
  </w:num>
  <w:num w:numId="21">
    <w:abstractNumId w:val="15"/>
  </w:num>
  <w:num w:numId="22">
    <w:abstractNumId w:val="13"/>
  </w:num>
  <w:num w:numId="23">
    <w:abstractNumId w:val="9"/>
  </w:num>
  <w:num w:numId="24">
    <w:abstractNumId w:val="11"/>
  </w:num>
  <w:num w:numId="25">
    <w:abstractNumId w:val="4"/>
  </w:num>
  <w:num w:numId="26">
    <w:abstractNumId w:val="27"/>
  </w:num>
  <w:num w:numId="27">
    <w:abstractNumId w:val="24"/>
  </w:num>
  <w:num w:numId="28">
    <w:abstractNumId w:val="22"/>
  </w:num>
  <w:num w:numId="29">
    <w:abstractNumId w:val="12"/>
  </w:num>
  <w:num w:numId="30">
    <w:abstractNumId w:val="28"/>
  </w:num>
  <w:num w:numId="31">
    <w:abstractNumId w:val="6"/>
  </w:num>
  <w:num w:numId="32">
    <w:abstractNumId w:val="3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rsids>
    <w:rsidRoot w:val="00B55918"/>
    <w:rsid w:val="000011B7"/>
    <w:rsid w:val="000045C2"/>
    <w:rsid w:val="00004F3A"/>
    <w:rsid w:val="00011255"/>
    <w:rsid w:val="0001435B"/>
    <w:rsid w:val="000160DA"/>
    <w:rsid w:val="0002055F"/>
    <w:rsid w:val="00023F14"/>
    <w:rsid w:val="00033FEB"/>
    <w:rsid w:val="000349B3"/>
    <w:rsid w:val="00034F0C"/>
    <w:rsid w:val="000364CC"/>
    <w:rsid w:val="0003776B"/>
    <w:rsid w:val="000426D4"/>
    <w:rsid w:val="00043410"/>
    <w:rsid w:val="00044C75"/>
    <w:rsid w:val="000477D8"/>
    <w:rsid w:val="00056A1D"/>
    <w:rsid w:val="000608CB"/>
    <w:rsid w:val="00062A12"/>
    <w:rsid w:val="000641D2"/>
    <w:rsid w:val="0006546A"/>
    <w:rsid w:val="00071434"/>
    <w:rsid w:val="00071CD5"/>
    <w:rsid w:val="00082303"/>
    <w:rsid w:val="000835C1"/>
    <w:rsid w:val="00083728"/>
    <w:rsid w:val="00093587"/>
    <w:rsid w:val="000971FD"/>
    <w:rsid w:val="00097E2A"/>
    <w:rsid w:val="000A195C"/>
    <w:rsid w:val="000A25E5"/>
    <w:rsid w:val="000A2834"/>
    <w:rsid w:val="000A3C09"/>
    <w:rsid w:val="000A51E4"/>
    <w:rsid w:val="000C4578"/>
    <w:rsid w:val="000D4C32"/>
    <w:rsid w:val="000D5254"/>
    <w:rsid w:val="000D56A3"/>
    <w:rsid w:val="000E027F"/>
    <w:rsid w:val="000E2F22"/>
    <w:rsid w:val="000E3A34"/>
    <w:rsid w:val="000E3E76"/>
    <w:rsid w:val="000F506A"/>
    <w:rsid w:val="0010050E"/>
    <w:rsid w:val="00107C91"/>
    <w:rsid w:val="001132F2"/>
    <w:rsid w:val="001226A4"/>
    <w:rsid w:val="00123557"/>
    <w:rsid w:val="001245E5"/>
    <w:rsid w:val="001275F1"/>
    <w:rsid w:val="00135FA7"/>
    <w:rsid w:val="001368A8"/>
    <w:rsid w:val="001453BE"/>
    <w:rsid w:val="00147A68"/>
    <w:rsid w:val="00152C91"/>
    <w:rsid w:val="00153372"/>
    <w:rsid w:val="00156A01"/>
    <w:rsid w:val="00161747"/>
    <w:rsid w:val="00163C1A"/>
    <w:rsid w:val="00170B3D"/>
    <w:rsid w:val="00172002"/>
    <w:rsid w:val="00174E2B"/>
    <w:rsid w:val="00175478"/>
    <w:rsid w:val="001775EC"/>
    <w:rsid w:val="0017769A"/>
    <w:rsid w:val="00181897"/>
    <w:rsid w:val="00182D9C"/>
    <w:rsid w:val="00186B1F"/>
    <w:rsid w:val="00193F05"/>
    <w:rsid w:val="0019443D"/>
    <w:rsid w:val="001952EE"/>
    <w:rsid w:val="001959A0"/>
    <w:rsid w:val="00196499"/>
    <w:rsid w:val="0019703C"/>
    <w:rsid w:val="001A4FB4"/>
    <w:rsid w:val="001A5EF5"/>
    <w:rsid w:val="001B613B"/>
    <w:rsid w:val="001B7D99"/>
    <w:rsid w:val="001C1A22"/>
    <w:rsid w:val="001C3871"/>
    <w:rsid w:val="001C792F"/>
    <w:rsid w:val="001D068F"/>
    <w:rsid w:val="001D5BC9"/>
    <w:rsid w:val="001D6BCB"/>
    <w:rsid w:val="001E06F1"/>
    <w:rsid w:val="001E4469"/>
    <w:rsid w:val="001F0FAA"/>
    <w:rsid w:val="00207221"/>
    <w:rsid w:val="0021662B"/>
    <w:rsid w:val="00222201"/>
    <w:rsid w:val="00223956"/>
    <w:rsid w:val="00225CB8"/>
    <w:rsid w:val="00226668"/>
    <w:rsid w:val="00227717"/>
    <w:rsid w:val="00227A6D"/>
    <w:rsid w:val="00241BAE"/>
    <w:rsid w:val="00244A4F"/>
    <w:rsid w:val="002455BE"/>
    <w:rsid w:val="00245EAB"/>
    <w:rsid w:val="00252881"/>
    <w:rsid w:val="00253835"/>
    <w:rsid w:val="00261F94"/>
    <w:rsid w:val="0027401B"/>
    <w:rsid w:val="0027770A"/>
    <w:rsid w:val="00280F1F"/>
    <w:rsid w:val="002814CC"/>
    <w:rsid w:val="00281B67"/>
    <w:rsid w:val="00282E11"/>
    <w:rsid w:val="002872E0"/>
    <w:rsid w:val="00293511"/>
    <w:rsid w:val="0029636E"/>
    <w:rsid w:val="00297D24"/>
    <w:rsid w:val="002A1947"/>
    <w:rsid w:val="002A36BC"/>
    <w:rsid w:val="002A48A6"/>
    <w:rsid w:val="002A796C"/>
    <w:rsid w:val="002B0F4E"/>
    <w:rsid w:val="002B1CC9"/>
    <w:rsid w:val="002B2B50"/>
    <w:rsid w:val="002B3999"/>
    <w:rsid w:val="002B64D2"/>
    <w:rsid w:val="002D1931"/>
    <w:rsid w:val="002D2D2A"/>
    <w:rsid w:val="002D393E"/>
    <w:rsid w:val="002D5896"/>
    <w:rsid w:val="002E4343"/>
    <w:rsid w:val="002E4AD4"/>
    <w:rsid w:val="002E6244"/>
    <w:rsid w:val="002F061F"/>
    <w:rsid w:val="002F43CE"/>
    <w:rsid w:val="002F7D46"/>
    <w:rsid w:val="00301C34"/>
    <w:rsid w:val="0030258D"/>
    <w:rsid w:val="003034DE"/>
    <w:rsid w:val="00306039"/>
    <w:rsid w:val="00315EEF"/>
    <w:rsid w:val="00316237"/>
    <w:rsid w:val="00317AB7"/>
    <w:rsid w:val="003222B1"/>
    <w:rsid w:val="00324D68"/>
    <w:rsid w:val="0032747E"/>
    <w:rsid w:val="00331EDA"/>
    <w:rsid w:val="0033217C"/>
    <w:rsid w:val="00335863"/>
    <w:rsid w:val="00353FD5"/>
    <w:rsid w:val="00357120"/>
    <w:rsid w:val="00364527"/>
    <w:rsid w:val="003677AF"/>
    <w:rsid w:val="00375397"/>
    <w:rsid w:val="00375A6D"/>
    <w:rsid w:val="00375F78"/>
    <w:rsid w:val="00381096"/>
    <w:rsid w:val="00381672"/>
    <w:rsid w:val="0038574E"/>
    <w:rsid w:val="0038596C"/>
    <w:rsid w:val="0038635B"/>
    <w:rsid w:val="0039485C"/>
    <w:rsid w:val="00394B7A"/>
    <w:rsid w:val="003A2747"/>
    <w:rsid w:val="003A3019"/>
    <w:rsid w:val="003A5341"/>
    <w:rsid w:val="003B241E"/>
    <w:rsid w:val="003B4625"/>
    <w:rsid w:val="003B616F"/>
    <w:rsid w:val="003C1C2F"/>
    <w:rsid w:val="003C4621"/>
    <w:rsid w:val="003C7804"/>
    <w:rsid w:val="003D01CA"/>
    <w:rsid w:val="003D783F"/>
    <w:rsid w:val="003F011A"/>
    <w:rsid w:val="003F155E"/>
    <w:rsid w:val="003F7C96"/>
    <w:rsid w:val="003F7DCF"/>
    <w:rsid w:val="003F7F2B"/>
    <w:rsid w:val="00401820"/>
    <w:rsid w:val="004032FC"/>
    <w:rsid w:val="004034FA"/>
    <w:rsid w:val="0040447B"/>
    <w:rsid w:val="00406500"/>
    <w:rsid w:val="004139AE"/>
    <w:rsid w:val="00417169"/>
    <w:rsid w:val="0042108E"/>
    <w:rsid w:val="00422EFA"/>
    <w:rsid w:val="00423C83"/>
    <w:rsid w:val="00424324"/>
    <w:rsid w:val="00431EDD"/>
    <w:rsid w:val="0043271A"/>
    <w:rsid w:val="004368B3"/>
    <w:rsid w:val="004402B5"/>
    <w:rsid w:val="0044513C"/>
    <w:rsid w:val="00450459"/>
    <w:rsid w:val="00452209"/>
    <w:rsid w:val="00452FAC"/>
    <w:rsid w:val="004538CE"/>
    <w:rsid w:val="00454961"/>
    <w:rsid w:val="00454CB0"/>
    <w:rsid w:val="00455A8F"/>
    <w:rsid w:val="0046173C"/>
    <w:rsid w:val="00466025"/>
    <w:rsid w:val="00467A08"/>
    <w:rsid w:val="00473325"/>
    <w:rsid w:val="00474DC7"/>
    <w:rsid w:val="00475E7B"/>
    <w:rsid w:val="0048183B"/>
    <w:rsid w:val="00481CB9"/>
    <w:rsid w:val="004904CF"/>
    <w:rsid w:val="00493A13"/>
    <w:rsid w:val="00494206"/>
    <w:rsid w:val="00495D7F"/>
    <w:rsid w:val="00496115"/>
    <w:rsid w:val="004972A0"/>
    <w:rsid w:val="004A02F5"/>
    <w:rsid w:val="004A190C"/>
    <w:rsid w:val="004A2773"/>
    <w:rsid w:val="004A28FE"/>
    <w:rsid w:val="004A35B4"/>
    <w:rsid w:val="004A549E"/>
    <w:rsid w:val="004A6AD2"/>
    <w:rsid w:val="004B1821"/>
    <w:rsid w:val="004B2A28"/>
    <w:rsid w:val="004B52D7"/>
    <w:rsid w:val="004B7500"/>
    <w:rsid w:val="004C1649"/>
    <w:rsid w:val="004C21A5"/>
    <w:rsid w:val="004C4F67"/>
    <w:rsid w:val="004C55D4"/>
    <w:rsid w:val="004C722F"/>
    <w:rsid w:val="004D0339"/>
    <w:rsid w:val="004D0617"/>
    <w:rsid w:val="004D1E6F"/>
    <w:rsid w:val="004E0F6F"/>
    <w:rsid w:val="004E221B"/>
    <w:rsid w:val="004E42E6"/>
    <w:rsid w:val="004E4E2F"/>
    <w:rsid w:val="004F31B4"/>
    <w:rsid w:val="004F31DF"/>
    <w:rsid w:val="004F5120"/>
    <w:rsid w:val="004F5F6E"/>
    <w:rsid w:val="005042B0"/>
    <w:rsid w:val="00510396"/>
    <w:rsid w:val="00513A2B"/>
    <w:rsid w:val="0051735A"/>
    <w:rsid w:val="005364D4"/>
    <w:rsid w:val="00541A2E"/>
    <w:rsid w:val="00541B85"/>
    <w:rsid w:val="005421B3"/>
    <w:rsid w:val="00542B82"/>
    <w:rsid w:val="0056094C"/>
    <w:rsid w:val="00565AE9"/>
    <w:rsid w:val="00574887"/>
    <w:rsid w:val="005779D9"/>
    <w:rsid w:val="00580251"/>
    <w:rsid w:val="005870D0"/>
    <w:rsid w:val="005948C8"/>
    <w:rsid w:val="00595A44"/>
    <w:rsid w:val="005978A9"/>
    <w:rsid w:val="005A166C"/>
    <w:rsid w:val="005B0D94"/>
    <w:rsid w:val="005C2684"/>
    <w:rsid w:val="005C269B"/>
    <w:rsid w:val="005C4B16"/>
    <w:rsid w:val="005C6A79"/>
    <w:rsid w:val="005D0BC4"/>
    <w:rsid w:val="005D750D"/>
    <w:rsid w:val="005E08C9"/>
    <w:rsid w:val="005E4D80"/>
    <w:rsid w:val="005E7DB5"/>
    <w:rsid w:val="005F0870"/>
    <w:rsid w:val="005F1C4D"/>
    <w:rsid w:val="005F30A9"/>
    <w:rsid w:val="005F3DFC"/>
    <w:rsid w:val="005F60A1"/>
    <w:rsid w:val="0060167E"/>
    <w:rsid w:val="00602602"/>
    <w:rsid w:val="0060316A"/>
    <w:rsid w:val="00603851"/>
    <w:rsid w:val="0060770A"/>
    <w:rsid w:val="00610028"/>
    <w:rsid w:val="006122AA"/>
    <w:rsid w:val="0061650E"/>
    <w:rsid w:val="0062101D"/>
    <w:rsid w:val="00631A71"/>
    <w:rsid w:val="00634718"/>
    <w:rsid w:val="0065349E"/>
    <w:rsid w:val="006535E3"/>
    <w:rsid w:val="00667748"/>
    <w:rsid w:val="0066788A"/>
    <w:rsid w:val="00671C52"/>
    <w:rsid w:val="00682216"/>
    <w:rsid w:val="00682362"/>
    <w:rsid w:val="00682CB5"/>
    <w:rsid w:val="00683558"/>
    <w:rsid w:val="0068683A"/>
    <w:rsid w:val="00687D02"/>
    <w:rsid w:val="00691478"/>
    <w:rsid w:val="00694076"/>
    <w:rsid w:val="0069629B"/>
    <w:rsid w:val="006A0ACE"/>
    <w:rsid w:val="006A1B7C"/>
    <w:rsid w:val="006B3DEA"/>
    <w:rsid w:val="006C4A50"/>
    <w:rsid w:val="006C7448"/>
    <w:rsid w:val="006C7534"/>
    <w:rsid w:val="006D2D9B"/>
    <w:rsid w:val="006D4A85"/>
    <w:rsid w:val="006E35A8"/>
    <w:rsid w:val="006E6C28"/>
    <w:rsid w:val="006F0B6C"/>
    <w:rsid w:val="006F1BB3"/>
    <w:rsid w:val="006F5A3D"/>
    <w:rsid w:val="007013DE"/>
    <w:rsid w:val="00702034"/>
    <w:rsid w:val="007025A0"/>
    <w:rsid w:val="00704BBF"/>
    <w:rsid w:val="007151A4"/>
    <w:rsid w:val="0071546D"/>
    <w:rsid w:val="00717550"/>
    <w:rsid w:val="00722091"/>
    <w:rsid w:val="00723B9D"/>
    <w:rsid w:val="00724BA4"/>
    <w:rsid w:val="00730FB7"/>
    <w:rsid w:val="00735999"/>
    <w:rsid w:val="00736FAB"/>
    <w:rsid w:val="007376E1"/>
    <w:rsid w:val="00742558"/>
    <w:rsid w:val="00746C04"/>
    <w:rsid w:val="00765A58"/>
    <w:rsid w:val="00774BD0"/>
    <w:rsid w:val="007768BB"/>
    <w:rsid w:val="00781FC6"/>
    <w:rsid w:val="007850E1"/>
    <w:rsid w:val="0078608A"/>
    <w:rsid w:val="007872C6"/>
    <w:rsid w:val="00793EF1"/>
    <w:rsid w:val="00795EF6"/>
    <w:rsid w:val="007A29A1"/>
    <w:rsid w:val="007A30F7"/>
    <w:rsid w:val="007A4697"/>
    <w:rsid w:val="007A53DB"/>
    <w:rsid w:val="007C0735"/>
    <w:rsid w:val="007D4AD6"/>
    <w:rsid w:val="007D4B29"/>
    <w:rsid w:val="007E3BDF"/>
    <w:rsid w:val="007E4C8A"/>
    <w:rsid w:val="007F0E72"/>
    <w:rsid w:val="007F0F55"/>
    <w:rsid w:val="007F59B7"/>
    <w:rsid w:val="008032B6"/>
    <w:rsid w:val="00812C27"/>
    <w:rsid w:val="00814BB0"/>
    <w:rsid w:val="0081555C"/>
    <w:rsid w:val="00815692"/>
    <w:rsid w:val="008158B2"/>
    <w:rsid w:val="008213FD"/>
    <w:rsid w:val="008242B9"/>
    <w:rsid w:val="00827A4D"/>
    <w:rsid w:val="00830D84"/>
    <w:rsid w:val="00834F33"/>
    <w:rsid w:val="00834F48"/>
    <w:rsid w:val="00835F77"/>
    <w:rsid w:val="00853946"/>
    <w:rsid w:val="00856F59"/>
    <w:rsid w:val="00867CF6"/>
    <w:rsid w:val="00871A6E"/>
    <w:rsid w:val="008729AC"/>
    <w:rsid w:val="00873ECA"/>
    <w:rsid w:val="00874146"/>
    <w:rsid w:val="00875146"/>
    <w:rsid w:val="00881FF6"/>
    <w:rsid w:val="0088274F"/>
    <w:rsid w:val="008869FA"/>
    <w:rsid w:val="00893664"/>
    <w:rsid w:val="0089762E"/>
    <w:rsid w:val="008A38EE"/>
    <w:rsid w:val="008A599A"/>
    <w:rsid w:val="008A5EF4"/>
    <w:rsid w:val="008A782C"/>
    <w:rsid w:val="008B5B93"/>
    <w:rsid w:val="008C001F"/>
    <w:rsid w:val="008C3719"/>
    <w:rsid w:val="008C757F"/>
    <w:rsid w:val="008D3402"/>
    <w:rsid w:val="008D7508"/>
    <w:rsid w:val="008E5190"/>
    <w:rsid w:val="008E5EC3"/>
    <w:rsid w:val="008E6992"/>
    <w:rsid w:val="008F6FB5"/>
    <w:rsid w:val="00902AC9"/>
    <w:rsid w:val="00907B57"/>
    <w:rsid w:val="00911AC1"/>
    <w:rsid w:val="009130BB"/>
    <w:rsid w:val="0091372A"/>
    <w:rsid w:val="00915633"/>
    <w:rsid w:val="00923A3B"/>
    <w:rsid w:val="009243B9"/>
    <w:rsid w:val="00927395"/>
    <w:rsid w:val="00927837"/>
    <w:rsid w:val="00931F06"/>
    <w:rsid w:val="009321E3"/>
    <w:rsid w:val="00934E9C"/>
    <w:rsid w:val="00941202"/>
    <w:rsid w:val="00944B6B"/>
    <w:rsid w:val="009474CD"/>
    <w:rsid w:val="00947ED6"/>
    <w:rsid w:val="00952CF7"/>
    <w:rsid w:val="00956978"/>
    <w:rsid w:val="00961110"/>
    <w:rsid w:val="00967B18"/>
    <w:rsid w:val="00972484"/>
    <w:rsid w:val="00973A6D"/>
    <w:rsid w:val="00973F6B"/>
    <w:rsid w:val="00974E2F"/>
    <w:rsid w:val="00977A03"/>
    <w:rsid w:val="00982D3D"/>
    <w:rsid w:val="00982D87"/>
    <w:rsid w:val="00983CC9"/>
    <w:rsid w:val="00983DA8"/>
    <w:rsid w:val="00985A24"/>
    <w:rsid w:val="009930C1"/>
    <w:rsid w:val="009930FC"/>
    <w:rsid w:val="009955B7"/>
    <w:rsid w:val="009A5BAE"/>
    <w:rsid w:val="009A6D9B"/>
    <w:rsid w:val="009B2373"/>
    <w:rsid w:val="009B31C1"/>
    <w:rsid w:val="009B7D17"/>
    <w:rsid w:val="009C568E"/>
    <w:rsid w:val="009D5CFB"/>
    <w:rsid w:val="009E0C5D"/>
    <w:rsid w:val="009E1C3C"/>
    <w:rsid w:val="009E621B"/>
    <w:rsid w:val="009E622F"/>
    <w:rsid w:val="009F2BE0"/>
    <w:rsid w:val="009F312B"/>
    <w:rsid w:val="009F3660"/>
    <w:rsid w:val="00A05457"/>
    <w:rsid w:val="00A168E1"/>
    <w:rsid w:val="00A20CDD"/>
    <w:rsid w:val="00A21C31"/>
    <w:rsid w:val="00A241D4"/>
    <w:rsid w:val="00A3129B"/>
    <w:rsid w:val="00A346D8"/>
    <w:rsid w:val="00A35EB7"/>
    <w:rsid w:val="00A40793"/>
    <w:rsid w:val="00A416BF"/>
    <w:rsid w:val="00A547AA"/>
    <w:rsid w:val="00A64E37"/>
    <w:rsid w:val="00A71644"/>
    <w:rsid w:val="00A82818"/>
    <w:rsid w:val="00A858C1"/>
    <w:rsid w:val="00A91AEB"/>
    <w:rsid w:val="00A939AB"/>
    <w:rsid w:val="00AA323E"/>
    <w:rsid w:val="00AA3A4D"/>
    <w:rsid w:val="00AA443C"/>
    <w:rsid w:val="00AB247F"/>
    <w:rsid w:val="00AD406A"/>
    <w:rsid w:val="00AE3390"/>
    <w:rsid w:val="00AE5EE8"/>
    <w:rsid w:val="00AE7430"/>
    <w:rsid w:val="00B00BA7"/>
    <w:rsid w:val="00B01DB9"/>
    <w:rsid w:val="00B061E4"/>
    <w:rsid w:val="00B20FF4"/>
    <w:rsid w:val="00B2209E"/>
    <w:rsid w:val="00B229DF"/>
    <w:rsid w:val="00B22B0E"/>
    <w:rsid w:val="00B264D6"/>
    <w:rsid w:val="00B26887"/>
    <w:rsid w:val="00B3597B"/>
    <w:rsid w:val="00B36820"/>
    <w:rsid w:val="00B36A0F"/>
    <w:rsid w:val="00B3752D"/>
    <w:rsid w:val="00B37FB0"/>
    <w:rsid w:val="00B40689"/>
    <w:rsid w:val="00B422E8"/>
    <w:rsid w:val="00B45B55"/>
    <w:rsid w:val="00B46470"/>
    <w:rsid w:val="00B55918"/>
    <w:rsid w:val="00B562E1"/>
    <w:rsid w:val="00B5640C"/>
    <w:rsid w:val="00B57ECC"/>
    <w:rsid w:val="00B60431"/>
    <w:rsid w:val="00B6557B"/>
    <w:rsid w:val="00B72403"/>
    <w:rsid w:val="00B753E4"/>
    <w:rsid w:val="00B80685"/>
    <w:rsid w:val="00B83723"/>
    <w:rsid w:val="00B8723F"/>
    <w:rsid w:val="00B91754"/>
    <w:rsid w:val="00B96973"/>
    <w:rsid w:val="00B96D38"/>
    <w:rsid w:val="00B97280"/>
    <w:rsid w:val="00B97A2A"/>
    <w:rsid w:val="00BA342F"/>
    <w:rsid w:val="00BA555B"/>
    <w:rsid w:val="00BA591E"/>
    <w:rsid w:val="00BA5CB4"/>
    <w:rsid w:val="00BB76F4"/>
    <w:rsid w:val="00BC1A53"/>
    <w:rsid w:val="00BC4C1D"/>
    <w:rsid w:val="00BC7287"/>
    <w:rsid w:val="00BD06BD"/>
    <w:rsid w:val="00BD07E3"/>
    <w:rsid w:val="00BD290A"/>
    <w:rsid w:val="00BE7447"/>
    <w:rsid w:val="00BE7F98"/>
    <w:rsid w:val="00C1109E"/>
    <w:rsid w:val="00C15A4B"/>
    <w:rsid w:val="00C15FB9"/>
    <w:rsid w:val="00C25984"/>
    <w:rsid w:val="00C26852"/>
    <w:rsid w:val="00C30A2D"/>
    <w:rsid w:val="00C33B04"/>
    <w:rsid w:val="00C40471"/>
    <w:rsid w:val="00C4798C"/>
    <w:rsid w:val="00C51718"/>
    <w:rsid w:val="00C55694"/>
    <w:rsid w:val="00C561FA"/>
    <w:rsid w:val="00C5685C"/>
    <w:rsid w:val="00C56FC3"/>
    <w:rsid w:val="00C62AC6"/>
    <w:rsid w:val="00C64FBC"/>
    <w:rsid w:val="00C664FC"/>
    <w:rsid w:val="00C67588"/>
    <w:rsid w:val="00C741D3"/>
    <w:rsid w:val="00C82370"/>
    <w:rsid w:val="00C8754C"/>
    <w:rsid w:val="00C90C6B"/>
    <w:rsid w:val="00C93938"/>
    <w:rsid w:val="00C944EF"/>
    <w:rsid w:val="00C94842"/>
    <w:rsid w:val="00C97626"/>
    <w:rsid w:val="00CA0631"/>
    <w:rsid w:val="00CA417D"/>
    <w:rsid w:val="00CA5422"/>
    <w:rsid w:val="00CA719B"/>
    <w:rsid w:val="00CB0C50"/>
    <w:rsid w:val="00CB1C82"/>
    <w:rsid w:val="00CB2F63"/>
    <w:rsid w:val="00CB41B8"/>
    <w:rsid w:val="00CB4604"/>
    <w:rsid w:val="00CC0D15"/>
    <w:rsid w:val="00CC41B6"/>
    <w:rsid w:val="00CC4B5A"/>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5B7A"/>
    <w:rsid w:val="00CE6B5C"/>
    <w:rsid w:val="00CE6EFF"/>
    <w:rsid w:val="00CE70E2"/>
    <w:rsid w:val="00CF0F70"/>
    <w:rsid w:val="00CF3189"/>
    <w:rsid w:val="00CF43A1"/>
    <w:rsid w:val="00D04215"/>
    <w:rsid w:val="00D11F6F"/>
    <w:rsid w:val="00D1205A"/>
    <w:rsid w:val="00D15DCB"/>
    <w:rsid w:val="00D23B5D"/>
    <w:rsid w:val="00D23F90"/>
    <w:rsid w:val="00D25885"/>
    <w:rsid w:val="00D258AA"/>
    <w:rsid w:val="00D30FCD"/>
    <w:rsid w:val="00D318EA"/>
    <w:rsid w:val="00D332AB"/>
    <w:rsid w:val="00D41B59"/>
    <w:rsid w:val="00D44060"/>
    <w:rsid w:val="00D50CB3"/>
    <w:rsid w:val="00D6287F"/>
    <w:rsid w:val="00D74268"/>
    <w:rsid w:val="00D75329"/>
    <w:rsid w:val="00D757AB"/>
    <w:rsid w:val="00D76A47"/>
    <w:rsid w:val="00D81D62"/>
    <w:rsid w:val="00D85693"/>
    <w:rsid w:val="00D8573F"/>
    <w:rsid w:val="00D87718"/>
    <w:rsid w:val="00D877A1"/>
    <w:rsid w:val="00D94107"/>
    <w:rsid w:val="00D9529A"/>
    <w:rsid w:val="00D96A04"/>
    <w:rsid w:val="00D97DCC"/>
    <w:rsid w:val="00DA1F5F"/>
    <w:rsid w:val="00DC1921"/>
    <w:rsid w:val="00DC2F1A"/>
    <w:rsid w:val="00DC3141"/>
    <w:rsid w:val="00DD435A"/>
    <w:rsid w:val="00DE1EA4"/>
    <w:rsid w:val="00DE760F"/>
    <w:rsid w:val="00DF1C84"/>
    <w:rsid w:val="00DF1EDD"/>
    <w:rsid w:val="00DF4A91"/>
    <w:rsid w:val="00DF5E0C"/>
    <w:rsid w:val="00DF6F4D"/>
    <w:rsid w:val="00E04DBD"/>
    <w:rsid w:val="00E0791B"/>
    <w:rsid w:val="00E157E1"/>
    <w:rsid w:val="00E22DA5"/>
    <w:rsid w:val="00E24287"/>
    <w:rsid w:val="00E37E86"/>
    <w:rsid w:val="00E4246D"/>
    <w:rsid w:val="00E460E6"/>
    <w:rsid w:val="00E51914"/>
    <w:rsid w:val="00E5223B"/>
    <w:rsid w:val="00E53C51"/>
    <w:rsid w:val="00E619B2"/>
    <w:rsid w:val="00E672BD"/>
    <w:rsid w:val="00E67C29"/>
    <w:rsid w:val="00E71FC2"/>
    <w:rsid w:val="00E72741"/>
    <w:rsid w:val="00E73A78"/>
    <w:rsid w:val="00E73FCC"/>
    <w:rsid w:val="00E759A4"/>
    <w:rsid w:val="00E810D9"/>
    <w:rsid w:val="00E81965"/>
    <w:rsid w:val="00E81AF6"/>
    <w:rsid w:val="00E86C4D"/>
    <w:rsid w:val="00E876DE"/>
    <w:rsid w:val="00E94A02"/>
    <w:rsid w:val="00E9563A"/>
    <w:rsid w:val="00E968BE"/>
    <w:rsid w:val="00E96E2B"/>
    <w:rsid w:val="00EA180F"/>
    <w:rsid w:val="00EA20DA"/>
    <w:rsid w:val="00EA253A"/>
    <w:rsid w:val="00EA267A"/>
    <w:rsid w:val="00EA2A6F"/>
    <w:rsid w:val="00EB0219"/>
    <w:rsid w:val="00EB2B3E"/>
    <w:rsid w:val="00EB362D"/>
    <w:rsid w:val="00EB5232"/>
    <w:rsid w:val="00EB6E01"/>
    <w:rsid w:val="00EB7A38"/>
    <w:rsid w:val="00EC0BC1"/>
    <w:rsid w:val="00EC1787"/>
    <w:rsid w:val="00EC4542"/>
    <w:rsid w:val="00EC5EBE"/>
    <w:rsid w:val="00ED37AB"/>
    <w:rsid w:val="00ED4BF0"/>
    <w:rsid w:val="00ED5770"/>
    <w:rsid w:val="00EE1004"/>
    <w:rsid w:val="00EE44C8"/>
    <w:rsid w:val="00EE4F89"/>
    <w:rsid w:val="00EE5422"/>
    <w:rsid w:val="00EE70F1"/>
    <w:rsid w:val="00EF73F2"/>
    <w:rsid w:val="00F00EBF"/>
    <w:rsid w:val="00F01FF6"/>
    <w:rsid w:val="00F02BF9"/>
    <w:rsid w:val="00F073FF"/>
    <w:rsid w:val="00F07B0C"/>
    <w:rsid w:val="00F11BD6"/>
    <w:rsid w:val="00F17060"/>
    <w:rsid w:val="00F17181"/>
    <w:rsid w:val="00F222D0"/>
    <w:rsid w:val="00F22722"/>
    <w:rsid w:val="00F239A0"/>
    <w:rsid w:val="00F24482"/>
    <w:rsid w:val="00F25A26"/>
    <w:rsid w:val="00F303A5"/>
    <w:rsid w:val="00F30CA4"/>
    <w:rsid w:val="00F335C2"/>
    <w:rsid w:val="00F374AC"/>
    <w:rsid w:val="00F43670"/>
    <w:rsid w:val="00F55491"/>
    <w:rsid w:val="00F61A3A"/>
    <w:rsid w:val="00F66121"/>
    <w:rsid w:val="00F66CEA"/>
    <w:rsid w:val="00F67BEF"/>
    <w:rsid w:val="00F70AD0"/>
    <w:rsid w:val="00F74F3C"/>
    <w:rsid w:val="00F767DE"/>
    <w:rsid w:val="00F83564"/>
    <w:rsid w:val="00F83878"/>
    <w:rsid w:val="00F84401"/>
    <w:rsid w:val="00F86220"/>
    <w:rsid w:val="00F908BF"/>
    <w:rsid w:val="00F94393"/>
    <w:rsid w:val="00F94E72"/>
    <w:rsid w:val="00F95B65"/>
    <w:rsid w:val="00F96869"/>
    <w:rsid w:val="00F97C2D"/>
    <w:rsid w:val="00FA24B5"/>
    <w:rsid w:val="00FA3A68"/>
    <w:rsid w:val="00FB2E14"/>
    <w:rsid w:val="00FB3276"/>
    <w:rsid w:val="00FB3EF4"/>
    <w:rsid w:val="00FB7252"/>
    <w:rsid w:val="00FB74D4"/>
    <w:rsid w:val="00FB7660"/>
    <w:rsid w:val="00FC0353"/>
    <w:rsid w:val="00FC1774"/>
    <w:rsid w:val="00FC2882"/>
    <w:rsid w:val="00FC56DC"/>
    <w:rsid w:val="00FD2893"/>
    <w:rsid w:val="00FD6F66"/>
    <w:rsid w:val="00FD73A9"/>
    <w:rsid w:val="00FE182A"/>
    <w:rsid w:val="00FE19C8"/>
    <w:rsid w:val="00FE2BDB"/>
    <w:rsid w:val="00FE390F"/>
    <w:rsid w:val="00FE47FB"/>
    <w:rsid w:val="00FE642E"/>
    <w:rsid w:val="00FE65B1"/>
    <w:rsid w:val="00FE7921"/>
    <w:rsid w:val="00FE7E5B"/>
    <w:rsid w:val="00FF4552"/>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CF6"/>
    <w:rPr>
      <w:sz w:val="24"/>
      <w:szCs w:val="24"/>
    </w:rPr>
  </w:style>
  <w:style w:type="paragraph" w:styleId="Heading1">
    <w:name w:val="heading 1"/>
    <w:basedOn w:val="Normal"/>
    <w:next w:val="Normal"/>
    <w:qFormat/>
    <w:rsid w:val="00867CF6"/>
    <w:pPr>
      <w:keepNext/>
      <w:ind w:left="1440" w:hanging="720"/>
      <w:jc w:val="center"/>
      <w:outlineLvl w:val="0"/>
    </w:pPr>
    <w:rPr>
      <w:b/>
    </w:rPr>
  </w:style>
  <w:style w:type="paragraph" w:styleId="Heading2">
    <w:name w:val="heading 2"/>
    <w:basedOn w:val="Normal"/>
    <w:next w:val="Normal"/>
    <w:qFormat/>
    <w:rsid w:val="000D56A3"/>
    <w:pPr>
      <w:keepNext/>
      <w:spacing w:line="480" w:lineRule="auto"/>
      <w:outlineLvl w:val="1"/>
    </w:pPr>
    <w:rPr>
      <w:u w:val="single"/>
    </w:rPr>
  </w:style>
  <w:style w:type="paragraph" w:styleId="Heading3">
    <w:name w:val="heading 3"/>
    <w:basedOn w:val="Normal"/>
    <w:next w:val="Normal"/>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CF6"/>
    <w:pPr>
      <w:tabs>
        <w:tab w:val="center" w:pos="4320"/>
        <w:tab w:val="right" w:pos="8640"/>
      </w:tabs>
    </w:pPr>
  </w:style>
  <w:style w:type="paragraph" w:styleId="Footer">
    <w:name w:val="footer"/>
    <w:basedOn w:val="Normal"/>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D25885"/>
    <w:rPr>
      <w:b/>
      <w:vertAlign w:val="superscript"/>
    </w:rPr>
  </w:style>
  <w:style w:type="paragraph" w:styleId="TOC1">
    <w:name w:val="toc 1"/>
    <w:basedOn w:val="Normal"/>
    <w:next w:val="Normal"/>
    <w:autoRedefine/>
    <w:uiPriority w:val="39"/>
    <w:rsid w:val="00867CF6"/>
    <w:pPr>
      <w:tabs>
        <w:tab w:val="right" w:leader="dot" w:pos="9350"/>
      </w:tabs>
      <w:ind w:left="720" w:hanging="720"/>
    </w:pPr>
  </w:style>
  <w:style w:type="paragraph" w:styleId="TOC2">
    <w:name w:val="toc 2"/>
    <w:basedOn w:val="Normal"/>
    <w:next w:val="Normal"/>
    <w:autoRedefine/>
    <w:uiPriority w:val="39"/>
    <w:rsid w:val="006A1B7C"/>
    <w:pPr>
      <w:tabs>
        <w:tab w:val="right" w:leader="dot" w:pos="9350"/>
      </w:tabs>
      <w:ind w:left="720" w:hanging="360"/>
    </w:pPr>
  </w:style>
  <w:style w:type="paragraph" w:styleId="TOC3">
    <w:name w:val="toc 3"/>
    <w:basedOn w:val="Normal"/>
    <w:next w:val="Normal"/>
    <w:autoRedefine/>
    <w:semiHidden/>
    <w:rsid w:val="00867CF6"/>
    <w:pPr>
      <w:tabs>
        <w:tab w:val="left" w:pos="960"/>
        <w:tab w:val="right" w:leader="dot" w:pos="9350"/>
      </w:tabs>
      <w:ind w:left="900" w:hanging="420"/>
    </w:pPr>
  </w:style>
  <w:style w:type="paragraph" w:styleId="TOC4">
    <w:name w:val="toc 4"/>
    <w:basedOn w:val="Normal"/>
    <w:next w:val="Normal"/>
    <w:autoRedefine/>
    <w:semiHidden/>
    <w:rsid w:val="00867CF6"/>
    <w:pPr>
      <w:ind w:left="720"/>
    </w:pPr>
  </w:style>
  <w:style w:type="character" w:styleId="Hyperlink">
    <w:name w:val="Hyperlink"/>
    <w:basedOn w:val="DefaultParagraphFont"/>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qFormat/>
    <w:rsid w:val="004538CE"/>
    <w:pPr>
      <w:ind w:left="720"/>
      <w:contextualSpacing/>
    </w:pPr>
  </w:style>
  <w:style w:type="paragraph" w:styleId="BalloonText">
    <w:name w:val="Balloon Text"/>
    <w:basedOn w:val="Normal"/>
    <w:link w:val="BalloonTextChar"/>
    <w:rsid w:val="00542B82"/>
    <w:rPr>
      <w:rFonts w:ascii="Tahoma" w:hAnsi="Tahoma" w:cs="Tahoma"/>
      <w:sz w:val="16"/>
      <w:szCs w:val="16"/>
    </w:rPr>
  </w:style>
  <w:style w:type="character" w:customStyle="1" w:styleId="BalloonTextChar">
    <w:name w:val="Balloon Text Char"/>
    <w:basedOn w:val="DefaultParagraphFont"/>
    <w:link w:val="BalloonText"/>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styleId="NormalWeb">
    <w:name w:val="Normal (Web)"/>
    <w:basedOn w:val="Normal"/>
    <w:uiPriority w:val="99"/>
    <w:unhideWhenUsed/>
    <w:rsid w:val="007175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0421253">
      <w:bodyDiv w:val="1"/>
      <w:marLeft w:val="0"/>
      <w:marRight w:val="0"/>
      <w:marTop w:val="0"/>
      <w:marBottom w:val="0"/>
      <w:divBdr>
        <w:top w:val="none" w:sz="0" w:space="0" w:color="auto"/>
        <w:left w:val="none" w:sz="0" w:space="0" w:color="auto"/>
        <w:bottom w:val="none" w:sz="0" w:space="0" w:color="auto"/>
        <w:right w:val="none" w:sz="0" w:space="0" w:color="auto"/>
      </w:divBdr>
    </w:div>
    <w:div w:id="163590150">
      <w:bodyDiv w:val="1"/>
      <w:marLeft w:val="0"/>
      <w:marRight w:val="0"/>
      <w:marTop w:val="0"/>
      <w:marBottom w:val="0"/>
      <w:divBdr>
        <w:top w:val="none" w:sz="0" w:space="0" w:color="auto"/>
        <w:left w:val="none" w:sz="0" w:space="0" w:color="auto"/>
        <w:bottom w:val="none" w:sz="0" w:space="0" w:color="auto"/>
        <w:right w:val="none" w:sz="0" w:space="0" w:color="auto"/>
      </w:divBdr>
    </w:div>
    <w:div w:id="200365102">
      <w:bodyDiv w:val="1"/>
      <w:marLeft w:val="0"/>
      <w:marRight w:val="0"/>
      <w:marTop w:val="0"/>
      <w:marBottom w:val="0"/>
      <w:divBdr>
        <w:top w:val="none" w:sz="0" w:space="0" w:color="auto"/>
        <w:left w:val="none" w:sz="0" w:space="0" w:color="auto"/>
        <w:bottom w:val="none" w:sz="0" w:space="0" w:color="auto"/>
        <w:right w:val="none" w:sz="0" w:space="0" w:color="auto"/>
      </w:divBdr>
    </w:div>
    <w:div w:id="402265023">
      <w:bodyDiv w:val="1"/>
      <w:marLeft w:val="0"/>
      <w:marRight w:val="0"/>
      <w:marTop w:val="0"/>
      <w:marBottom w:val="0"/>
      <w:divBdr>
        <w:top w:val="none" w:sz="0" w:space="0" w:color="auto"/>
        <w:left w:val="none" w:sz="0" w:space="0" w:color="auto"/>
        <w:bottom w:val="none" w:sz="0" w:space="0" w:color="auto"/>
        <w:right w:val="none" w:sz="0" w:space="0" w:color="auto"/>
      </w:divBdr>
    </w:div>
    <w:div w:id="541674274">
      <w:bodyDiv w:val="1"/>
      <w:marLeft w:val="0"/>
      <w:marRight w:val="0"/>
      <w:marTop w:val="0"/>
      <w:marBottom w:val="0"/>
      <w:divBdr>
        <w:top w:val="none" w:sz="0" w:space="0" w:color="auto"/>
        <w:left w:val="none" w:sz="0" w:space="0" w:color="auto"/>
        <w:bottom w:val="none" w:sz="0" w:space="0" w:color="auto"/>
        <w:right w:val="none" w:sz="0" w:space="0" w:color="auto"/>
      </w:divBdr>
    </w:div>
    <w:div w:id="551430045">
      <w:bodyDiv w:val="1"/>
      <w:marLeft w:val="0"/>
      <w:marRight w:val="0"/>
      <w:marTop w:val="0"/>
      <w:marBottom w:val="0"/>
      <w:divBdr>
        <w:top w:val="none" w:sz="0" w:space="0" w:color="auto"/>
        <w:left w:val="none" w:sz="0" w:space="0" w:color="auto"/>
        <w:bottom w:val="none" w:sz="0" w:space="0" w:color="auto"/>
        <w:right w:val="none" w:sz="0" w:space="0" w:color="auto"/>
      </w:divBdr>
    </w:div>
    <w:div w:id="751319088">
      <w:bodyDiv w:val="1"/>
      <w:marLeft w:val="0"/>
      <w:marRight w:val="0"/>
      <w:marTop w:val="0"/>
      <w:marBottom w:val="0"/>
      <w:divBdr>
        <w:top w:val="none" w:sz="0" w:space="0" w:color="auto"/>
        <w:left w:val="none" w:sz="0" w:space="0" w:color="auto"/>
        <w:bottom w:val="none" w:sz="0" w:space="0" w:color="auto"/>
        <w:right w:val="none" w:sz="0" w:space="0" w:color="auto"/>
      </w:divBdr>
    </w:div>
    <w:div w:id="875777032">
      <w:bodyDiv w:val="1"/>
      <w:marLeft w:val="0"/>
      <w:marRight w:val="0"/>
      <w:marTop w:val="0"/>
      <w:marBottom w:val="0"/>
      <w:divBdr>
        <w:top w:val="none" w:sz="0" w:space="0" w:color="auto"/>
        <w:left w:val="none" w:sz="0" w:space="0" w:color="auto"/>
        <w:bottom w:val="none" w:sz="0" w:space="0" w:color="auto"/>
        <w:right w:val="none" w:sz="0" w:space="0" w:color="auto"/>
      </w:divBdr>
    </w:div>
    <w:div w:id="1189218695">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1769696832">
      <w:bodyDiv w:val="1"/>
      <w:marLeft w:val="0"/>
      <w:marRight w:val="0"/>
      <w:marTop w:val="0"/>
      <w:marBottom w:val="0"/>
      <w:divBdr>
        <w:top w:val="none" w:sz="0" w:space="0" w:color="auto"/>
        <w:left w:val="none" w:sz="0" w:space="0" w:color="auto"/>
        <w:bottom w:val="none" w:sz="0" w:space="0" w:color="auto"/>
        <w:right w:val="none" w:sz="0" w:space="0" w:color="auto"/>
      </w:divBdr>
    </w:div>
    <w:div w:id="1888761098">
      <w:bodyDiv w:val="1"/>
      <w:marLeft w:val="0"/>
      <w:marRight w:val="0"/>
      <w:marTop w:val="0"/>
      <w:marBottom w:val="0"/>
      <w:divBdr>
        <w:top w:val="none" w:sz="0" w:space="0" w:color="auto"/>
        <w:left w:val="none" w:sz="0" w:space="0" w:color="auto"/>
        <w:bottom w:val="none" w:sz="0" w:space="0" w:color="auto"/>
        <w:right w:val="none" w:sz="0" w:space="0" w:color="auto"/>
      </w:divBdr>
    </w:div>
    <w:div w:id="1975788820">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hyperlink" Target="http://apps.leg.wa.gov/wac/default.aspx?cite=480-109-030" TargetMode="External"/><Relationship Id="rId17" Type="http://schemas.microsoft.com/office/2007/relationships/stylesWithEffects" Target="stylesWithEffects.xml"/><Relationship Id="rId2"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19.285.0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pps.leg.wa.gov/rcw/default.aspx?cite=19.285.040" TargetMode="Externa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2015-07-08T07:00:00+00:00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16AE-DB25-46EE-8DB6-C98F4C97AE0D}"/>
</file>

<file path=customXml/itemProps2.xml><?xml version="1.0" encoding="utf-8"?>
<ds:datastoreItem xmlns:ds="http://schemas.openxmlformats.org/officeDocument/2006/customXml" ds:itemID="{04E135C6-EF57-49BF-887A-5620FA73652E}"/>
</file>

<file path=customXml/itemProps3.xml><?xml version="1.0" encoding="utf-8"?>
<ds:datastoreItem xmlns:ds="http://schemas.openxmlformats.org/officeDocument/2006/customXml" ds:itemID="{42F10A87-60F1-4293-94A2-51AC8CA9F3D9}"/>
</file>

<file path=customXml/itemProps4.xml><?xml version="1.0" encoding="utf-8"?>
<ds:datastoreItem xmlns:ds="http://schemas.openxmlformats.org/officeDocument/2006/customXml" ds:itemID="{C361AC01-643A-4363-A156-82CA337B7780}"/>
</file>

<file path=customXml/itemProps5.xml><?xml version="1.0" encoding="utf-8"?>
<ds:datastoreItem xmlns:ds="http://schemas.openxmlformats.org/officeDocument/2006/customXml" ds:itemID="{F1D609F5-8A65-4A43-9FC7-5F07F1E7D607}"/>
</file>

<file path=customXml/itemProps6.xml><?xml version="1.0" encoding="utf-8"?>
<ds:datastoreItem xmlns:ds="http://schemas.openxmlformats.org/officeDocument/2006/customXml" ds:itemID="{5475FB0C-3856-47C4-997C-8FA20F368EB2}"/>
</file>

<file path=customXml/itemProps7.xml><?xml version="1.0" encoding="utf-8"?>
<ds:datastoreItem xmlns:ds="http://schemas.openxmlformats.org/officeDocument/2006/customXml" ds:itemID="{3BDEA9F4-F36E-47C6-9D0F-78C981D0F9B1}"/>
</file>

<file path=docProps/app.xml><?xml version="1.0" encoding="utf-8"?>
<Properties xmlns="http://schemas.openxmlformats.org/officeDocument/2006/extended-properties" xmlns:vt="http://schemas.openxmlformats.org/officeDocument/2006/docPropsVTypes">
  <Template>Normal</Template>
  <TotalTime>19</TotalTime>
  <Pages>8</Pages>
  <Words>1601</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Linda Gervais</cp:lastModifiedBy>
  <cp:revision>5</cp:revision>
  <cp:lastPrinted>2015-05-20T20:45:00Z</cp:lastPrinted>
  <dcterms:created xsi:type="dcterms:W3CDTF">2015-07-01T20:13:00Z</dcterms:created>
  <dcterms:modified xsi:type="dcterms:W3CDTF">2015-07-08T19:22:00Z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