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Override PartName="/word/commentsExtended.xml" ContentType="application/vnd.openxmlformats-officedocument.wordprocessingml.commentsExtended+xml"/>
  <Override PartName="/word/stylesWithEffects.xml" ContentType="application/vnd.ms-word.stylesWithEffect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insideH w:val="single" w:sz="4" w:space="0" w:color="auto"/>
        </w:tblBorders>
        <w:tblLayout w:type="fixed"/>
        <w:tblLook w:val="0000"/>
      </w:tblPr>
      <w:tblGrid>
        <w:gridCol w:w="4788"/>
        <w:gridCol w:w="4788"/>
      </w:tblGrid>
      <w:tr w:rsidR="00F86C06" w:rsidTr="00F45919">
        <w:tc>
          <w:tcPr>
            <w:tcW w:w="4788" w:type="dxa"/>
          </w:tcPr>
          <w:p w:rsidR="00F86C06" w:rsidRPr="00815AEC" w:rsidRDefault="00F86C06" w:rsidP="00F45919">
            <w:pPr>
              <w:pStyle w:val="Header"/>
              <w:rPr>
                <w:rFonts w:cs="Arial"/>
                <w:b/>
                <w:bCs/>
                <w:sz w:val="20"/>
                <w:szCs w:val="18"/>
              </w:rPr>
            </w:pPr>
            <w:r w:rsidRPr="00815AEC">
              <w:rPr>
                <w:rFonts w:cs="Arial"/>
                <w:b/>
                <w:bCs/>
                <w:sz w:val="20"/>
                <w:szCs w:val="18"/>
              </w:rPr>
              <w:t>Avista Corp.</w:t>
            </w:r>
          </w:p>
          <w:p w:rsidR="00F86C06" w:rsidRPr="00815AEC" w:rsidRDefault="00F86C06" w:rsidP="00F45919">
            <w:pPr>
              <w:pStyle w:val="Header"/>
              <w:rPr>
                <w:rFonts w:cs="Arial"/>
                <w:sz w:val="20"/>
                <w:szCs w:val="18"/>
              </w:rPr>
            </w:pPr>
            <w:r w:rsidRPr="00815AEC">
              <w:rPr>
                <w:rFonts w:cs="Arial"/>
                <w:sz w:val="20"/>
                <w:szCs w:val="18"/>
              </w:rPr>
              <w:t>1411 East Mission   P.O. Box 3727</w:t>
            </w:r>
          </w:p>
          <w:p w:rsidR="00F86C06" w:rsidRPr="00815AEC" w:rsidRDefault="00344DC2" w:rsidP="00F45919">
            <w:pPr>
              <w:pStyle w:val="Header"/>
              <w:rPr>
                <w:rFonts w:cs="Arial"/>
                <w:sz w:val="20"/>
                <w:szCs w:val="18"/>
              </w:rPr>
            </w:pPr>
            <w:r w:rsidRPr="00815AEC">
              <w:rPr>
                <w:rFonts w:cs="Arial"/>
                <w:sz w:val="20"/>
                <w:szCs w:val="18"/>
              </w:rPr>
              <w:t>Spokane,</w:t>
            </w:r>
            <w:r w:rsidR="00F86C06" w:rsidRPr="00815AEC">
              <w:rPr>
                <w:rFonts w:cs="Arial"/>
                <w:sz w:val="20"/>
                <w:szCs w:val="18"/>
              </w:rPr>
              <w:t xml:space="preserve"> Washington  99220-0500</w:t>
            </w:r>
          </w:p>
          <w:p w:rsidR="00F86C06" w:rsidRPr="00815AEC" w:rsidRDefault="00F86C06" w:rsidP="00F45919">
            <w:pPr>
              <w:pStyle w:val="Header"/>
              <w:rPr>
                <w:rFonts w:cs="Arial"/>
                <w:sz w:val="20"/>
                <w:szCs w:val="18"/>
              </w:rPr>
            </w:pPr>
            <w:r w:rsidRPr="00815AEC">
              <w:rPr>
                <w:rFonts w:cs="Arial"/>
                <w:sz w:val="20"/>
                <w:szCs w:val="18"/>
              </w:rPr>
              <w:t>Telephone 509-489-0500</w:t>
            </w:r>
          </w:p>
          <w:p w:rsidR="00F86C06" w:rsidRPr="00815AEC" w:rsidRDefault="00F86C06" w:rsidP="00F45919">
            <w:pPr>
              <w:pStyle w:val="Header"/>
              <w:rPr>
                <w:sz w:val="20"/>
                <w:szCs w:val="18"/>
              </w:rPr>
            </w:pPr>
            <w:r w:rsidRPr="00815AEC">
              <w:rPr>
                <w:rFonts w:cs="Arial"/>
                <w:sz w:val="20"/>
                <w:szCs w:val="18"/>
              </w:rPr>
              <w:t>Toll Free   800-727-9170</w:t>
            </w:r>
          </w:p>
          <w:p w:rsidR="00F86C06" w:rsidRDefault="00F86C06" w:rsidP="00F45919">
            <w:pPr>
              <w:pStyle w:val="Header"/>
              <w:rPr>
                <w:rFonts w:cs="Arial"/>
                <w:b/>
                <w:bCs/>
                <w:sz w:val="18"/>
                <w:szCs w:val="18"/>
              </w:rPr>
            </w:pPr>
          </w:p>
        </w:tc>
        <w:tc>
          <w:tcPr>
            <w:tcW w:w="4788" w:type="dxa"/>
          </w:tcPr>
          <w:p w:rsidR="00F86C06" w:rsidRDefault="00F86C06" w:rsidP="00F45919">
            <w:pPr>
              <w:pStyle w:val="Header"/>
              <w:tabs>
                <w:tab w:val="left" w:pos="2232"/>
              </w:tabs>
              <w:rPr>
                <w:rFonts w:cs="Arial"/>
                <w:b/>
                <w:bCs/>
                <w:sz w:val="16"/>
                <w:szCs w:val="16"/>
              </w:rPr>
            </w:pPr>
            <w:r>
              <w:rPr>
                <w:rFonts w:cs="Arial"/>
                <w:b/>
                <w:bCs/>
                <w:sz w:val="16"/>
                <w:szCs w:val="16"/>
              </w:rPr>
              <w:t xml:space="preserve"> </w:t>
            </w:r>
            <w:r>
              <w:rPr>
                <w:rFonts w:cs="Arial"/>
                <w:b/>
                <w:bCs/>
                <w:sz w:val="16"/>
                <w:szCs w:val="16"/>
              </w:rPr>
              <w:tab/>
              <w:t xml:space="preserve"> </w:t>
            </w:r>
          </w:p>
        </w:tc>
      </w:tr>
    </w:tbl>
    <w:p w:rsidR="00F31804" w:rsidRPr="00652B07" w:rsidRDefault="00F31804" w:rsidP="00652B07">
      <w:pPr>
        <w:pStyle w:val="NoSpacing"/>
        <w:ind w:right="-270"/>
        <w:jc w:val="right"/>
        <w:rPr>
          <w:b/>
          <w:color w:val="FF0000"/>
          <w:szCs w:val="24"/>
        </w:rPr>
      </w:pPr>
    </w:p>
    <w:p w:rsidR="00F45919" w:rsidRPr="00C4686F" w:rsidRDefault="00815AEC" w:rsidP="00F45919">
      <w:pPr>
        <w:pStyle w:val="NoSpacing"/>
        <w:ind w:right="-270"/>
        <w:jc w:val="both"/>
        <w:rPr>
          <w:szCs w:val="24"/>
        </w:rPr>
      </w:pPr>
      <w:r>
        <w:rPr>
          <w:szCs w:val="24"/>
        </w:rPr>
        <w:t xml:space="preserve">September </w:t>
      </w:r>
      <w:r w:rsidR="0021630B">
        <w:rPr>
          <w:szCs w:val="24"/>
        </w:rPr>
        <w:t>25</w:t>
      </w:r>
      <w:r w:rsidR="006371EA">
        <w:rPr>
          <w:szCs w:val="24"/>
        </w:rPr>
        <w:t>, 2015</w:t>
      </w:r>
    </w:p>
    <w:p w:rsidR="00F45919" w:rsidRPr="00C4686F" w:rsidRDefault="00F45919" w:rsidP="00F45919">
      <w:pPr>
        <w:pStyle w:val="NoSpacing"/>
        <w:ind w:right="-270"/>
        <w:jc w:val="both"/>
        <w:rPr>
          <w:szCs w:val="24"/>
        </w:rPr>
      </w:pPr>
    </w:p>
    <w:p w:rsidR="00F45919" w:rsidRPr="00C4686F" w:rsidRDefault="00F45919" w:rsidP="00F45919">
      <w:pPr>
        <w:pStyle w:val="NoSpacing"/>
        <w:ind w:right="-270"/>
        <w:jc w:val="both"/>
        <w:rPr>
          <w:b/>
          <w:i/>
          <w:szCs w:val="24"/>
        </w:rPr>
      </w:pPr>
      <w:r w:rsidRPr="00C4686F">
        <w:rPr>
          <w:b/>
          <w:i/>
          <w:szCs w:val="24"/>
        </w:rPr>
        <w:t>V</w:t>
      </w:r>
      <w:r>
        <w:rPr>
          <w:b/>
          <w:i/>
          <w:szCs w:val="24"/>
        </w:rPr>
        <w:t>ia</w:t>
      </w:r>
      <w:r w:rsidRPr="00C4686F">
        <w:rPr>
          <w:b/>
          <w:i/>
          <w:szCs w:val="24"/>
        </w:rPr>
        <w:t xml:space="preserve"> Electronic Mail</w:t>
      </w:r>
    </w:p>
    <w:p w:rsidR="00F45919" w:rsidRPr="00C4686F" w:rsidRDefault="00F45919" w:rsidP="00F45919">
      <w:pPr>
        <w:pStyle w:val="NoSpacing"/>
        <w:ind w:right="-270"/>
        <w:jc w:val="both"/>
        <w:rPr>
          <w:b/>
          <w:szCs w:val="24"/>
          <w:u w:val="single"/>
        </w:rPr>
      </w:pPr>
    </w:p>
    <w:p w:rsidR="00F45919" w:rsidRPr="00C4686F" w:rsidRDefault="00F45919" w:rsidP="00F45919">
      <w:pPr>
        <w:ind w:right="-270"/>
        <w:jc w:val="both"/>
      </w:pPr>
      <w:r>
        <w:t>Steven V. King</w:t>
      </w:r>
    </w:p>
    <w:p w:rsidR="00F45919" w:rsidRPr="00C4686F" w:rsidRDefault="00F45919" w:rsidP="00F45919">
      <w:pPr>
        <w:ind w:right="-270"/>
        <w:jc w:val="both"/>
      </w:pPr>
      <w:r>
        <w:t>E</w:t>
      </w:r>
      <w:r w:rsidRPr="00C4686F">
        <w:t>xecutive Director and Secretary</w:t>
      </w:r>
    </w:p>
    <w:p w:rsidR="00F45919" w:rsidRPr="00C4686F" w:rsidRDefault="00F45919" w:rsidP="00F45919">
      <w:pPr>
        <w:ind w:right="-270"/>
        <w:jc w:val="both"/>
      </w:pPr>
      <w:r w:rsidRPr="00C4686F">
        <w:t>Washington Utilities &amp; Transportation Commission</w:t>
      </w:r>
    </w:p>
    <w:p w:rsidR="00F45919" w:rsidRPr="00C4686F" w:rsidRDefault="00F45919" w:rsidP="00F45919">
      <w:pPr>
        <w:ind w:right="-270"/>
        <w:jc w:val="both"/>
      </w:pPr>
      <w:r w:rsidRPr="00C4686F">
        <w:t>1300 S. Evergreen Park Drive S.W.</w:t>
      </w:r>
    </w:p>
    <w:p w:rsidR="00F45919" w:rsidRPr="00C4686F" w:rsidRDefault="00F45919" w:rsidP="00F45919">
      <w:pPr>
        <w:ind w:right="-270"/>
        <w:jc w:val="both"/>
      </w:pPr>
      <w:r w:rsidRPr="00C4686F">
        <w:t>P.O. Box 47250</w:t>
      </w:r>
    </w:p>
    <w:p w:rsidR="00F45919" w:rsidRPr="004E6D17" w:rsidRDefault="00F45919" w:rsidP="00F45919">
      <w:pPr>
        <w:ind w:right="-270"/>
        <w:jc w:val="both"/>
      </w:pPr>
      <w:r w:rsidRPr="004E6D17">
        <w:t>Olympia, Washington  98504-7250</w:t>
      </w:r>
    </w:p>
    <w:p w:rsidR="00F45919" w:rsidRPr="004E6D17" w:rsidRDefault="00F45919" w:rsidP="00F45919">
      <w:pPr>
        <w:pStyle w:val="NoSpacing"/>
        <w:ind w:right="-270"/>
        <w:jc w:val="both"/>
        <w:rPr>
          <w:b/>
          <w:szCs w:val="24"/>
          <w:u w:val="single"/>
        </w:rPr>
      </w:pPr>
    </w:p>
    <w:p w:rsidR="00F45919" w:rsidRDefault="00F45919" w:rsidP="00D240CD">
      <w:pPr>
        <w:pStyle w:val="NoSpacing"/>
        <w:spacing w:line="360" w:lineRule="auto"/>
        <w:ind w:left="720" w:hanging="720"/>
        <w:jc w:val="both"/>
        <w:rPr>
          <w:szCs w:val="24"/>
        </w:rPr>
      </w:pPr>
      <w:r w:rsidRPr="004E6D17">
        <w:rPr>
          <w:szCs w:val="24"/>
        </w:rPr>
        <w:t>Re:</w:t>
      </w:r>
      <w:r w:rsidRPr="004E6D17">
        <w:rPr>
          <w:szCs w:val="24"/>
        </w:rPr>
        <w:tab/>
      </w:r>
      <w:r w:rsidR="00D96E8B" w:rsidRPr="00F45919">
        <w:rPr>
          <w:szCs w:val="24"/>
        </w:rPr>
        <w:t xml:space="preserve">Docket </w:t>
      </w:r>
      <w:r w:rsidR="00D96E8B">
        <w:rPr>
          <w:szCs w:val="24"/>
        </w:rPr>
        <w:t xml:space="preserve">No. </w:t>
      </w:r>
      <w:r w:rsidR="00D96E8B" w:rsidRPr="00F45919">
        <w:rPr>
          <w:szCs w:val="24"/>
        </w:rPr>
        <w:t>U</w:t>
      </w:r>
      <w:r w:rsidR="00DF6D87">
        <w:rPr>
          <w:szCs w:val="24"/>
        </w:rPr>
        <w:t>E</w:t>
      </w:r>
      <w:r w:rsidR="00E56E77">
        <w:rPr>
          <w:szCs w:val="24"/>
        </w:rPr>
        <w:t>-1</w:t>
      </w:r>
      <w:r w:rsidR="0021630B">
        <w:rPr>
          <w:szCs w:val="24"/>
        </w:rPr>
        <w:t>51069</w:t>
      </w:r>
      <w:r w:rsidR="00D96E8B">
        <w:rPr>
          <w:szCs w:val="24"/>
        </w:rPr>
        <w:t xml:space="preserve"> - </w:t>
      </w:r>
      <w:r w:rsidR="008A797C">
        <w:rPr>
          <w:szCs w:val="24"/>
        </w:rPr>
        <w:t>Comments of Avista Utilities</w:t>
      </w:r>
    </w:p>
    <w:p w:rsidR="0021630B" w:rsidRPr="00F45919" w:rsidRDefault="0021630B" w:rsidP="00D240CD">
      <w:pPr>
        <w:pStyle w:val="NoSpacing"/>
        <w:spacing w:line="360" w:lineRule="auto"/>
        <w:ind w:left="720" w:hanging="720"/>
        <w:jc w:val="both"/>
        <w:rPr>
          <w:szCs w:val="24"/>
        </w:rPr>
      </w:pPr>
    </w:p>
    <w:p w:rsidR="00AE3FE6" w:rsidRDefault="00AE3FE6" w:rsidP="008E07EC">
      <w:pPr>
        <w:pStyle w:val="NoSpacing"/>
        <w:spacing w:line="360" w:lineRule="auto"/>
        <w:ind w:firstLine="720"/>
        <w:jc w:val="both"/>
        <w:rPr>
          <w:szCs w:val="24"/>
        </w:rPr>
      </w:pPr>
      <w:r>
        <w:rPr>
          <w:szCs w:val="24"/>
        </w:rPr>
        <w:t>Avista Corporation, dba Avista Utilities</w:t>
      </w:r>
      <w:r w:rsidRPr="0066295E">
        <w:rPr>
          <w:szCs w:val="24"/>
        </w:rPr>
        <w:t xml:space="preserve"> (</w:t>
      </w:r>
      <w:r>
        <w:rPr>
          <w:szCs w:val="24"/>
        </w:rPr>
        <w:t>Avista</w:t>
      </w:r>
      <w:r w:rsidRPr="0066295E">
        <w:rPr>
          <w:szCs w:val="24"/>
        </w:rPr>
        <w:t xml:space="preserve"> or Company)</w:t>
      </w:r>
      <w:r>
        <w:rPr>
          <w:szCs w:val="24"/>
        </w:rPr>
        <w:t>,</w:t>
      </w:r>
      <w:r w:rsidRPr="0066295E">
        <w:rPr>
          <w:szCs w:val="24"/>
        </w:rPr>
        <w:t xml:space="preserve"> submits the following comments in accordance with the Washington Utilities and Transportation Commission’s (Commission) Notice of Opportunity to </w:t>
      </w:r>
      <w:r w:rsidR="009C085E">
        <w:rPr>
          <w:szCs w:val="24"/>
        </w:rPr>
        <w:t>Comment</w:t>
      </w:r>
      <w:r w:rsidR="00C4794C">
        <w:rPr>
          <w:szCs w:val="24"/>
        </w:rPr>
        <w:t xml:space="preserve"> (Notice)</w:t>
      </w:r>
      <w:r w:rsidR="009C085E">
        <w:rPr>
          <w:szCs w:val="24"/>
        </w:rPr>
        <w:t xml:space="preserve"> </w:t>
      </w:r>
      <w:r>
        <w:rPr>
          <w:szCs w:val="24"/>
        </w:rPr>
        <w:t xml:space="preserve">issued </w:t>
      </w:r>
      <w:r w:rsidR="00DD474A">
        <w:rPr>
          <w:szCs w:val="24"/>
        </w:rPr>
        <w:t>August 7</w:t>
      </w:r>
      <w:r>
        <w:rPr>
          <w:szCs w:val="24"/>
        </w:rPr>
        <w:t>, 2015</w:t>
      </w:r>
      <w:r w:rsidR="00BE520A">
        <w:rPr>
          <w:szCs w:val="24"/>
        </w:rPr>
        <w:t>,</w:t>
      </w:r>
      <w:r w:rsidR="008E07EC">
        <w:rPr>
          <w:szCs w:val="24"/>
        </w:rPr>
        <w:t xml:space="preserve"> as filed with the Code Reviser</w:t>
      </w:r>
      <w:r>
        <w:rPr>
          <w:szCs w:val="24"/>
        </w:rPr>
        <w:t xml:space="preserve"> in Docket U</w:t>
      </w:r>
      <w:r w:rsidR="00DF6D87">
        <w:rPr>
          <w:szCs w:val="24"/>
        </w:rPr>
        <w:t>E-151069</w:t>
      </w:r>
      <w:r w:rsidRPr="0066295E">
        <w:rPr>
          <w:szCs w:val="24"/>
        </w:rPr>
        <w:t>.</w:t>
      </w:r>
    </w:p>
    <w:p w:rsidR="00A90606" w:rsidRDefault="00A90606" w:rsidP="008E07EC">
      <w:pPr>
        <w:pStyle w:val="NoSpacing"/>
        <w:spacing w:line="360" w:lineRule="auto"/>
        <w:ind w:firstLine="720"/>
        <w:jc w:val="both"/>
        <w:rPr>
          <w:szCs w:val="24"/>
        </w:rPr>
      </w:pPr>
    </w:p>
    <w:p w:rsidR="00DD474A" w:rsidRDefault="0032079D" w:rsidP="008E07EC">
      <w:pPr>
        <w:pStyle w:val="NoSpacing"/>
        <w:spacing w:line="360" w:lineRule="auto"/>
        <w:ind w:firstLine="720"/>
        <w:jc w:val="both"/>
        <w:rPr>
          <w:szCs w:val="24"/>
        </w:rPr>
      </w:pPr>
      <w:r>
        <w:rPr>
          <w:szCs w:val="24"/>
        </w:rPr>
        <w:t xml:space="preserve">Avista appreciates the Commission’s </w:t>
      </w:r>
      <w:r w:rsidR="00815AEC">
        <w:rPr>
          <w:szCs w:val="24"/>
        </w:rPr>
        <w:t xml:space="preserve">continued </w:t>
      </w:r>
      <w:r>
        <w:rPr>
          <w:szCs w:val="24"/>
        </w:rPr>
        <w:t xml:space="preserve">efforts </w:t>
      </w:r>
      <w:r w:rsidR="00815AEC">
        <w:rPr>
          <w:szCs w:val="24"/>
        </w:rPr>
        <w:t xml:space="preserve">in the investigation of </w:t>
      </w:r>
      <w:r w:rsidR="00DD474A">
        <w:rPr>
          <w:szCs w:val="24"/>
        </w:rPr>
        <w:t>modeling energy storage in Integrate Resource Planning</w:t>
      </w:r>
      <w:r w:rsidR="00CF53C7">
        <w:rPr>
          <w:szCs w:val="24"/>
        </w:rPr>
        <w:t xml:space="preserve"> (IRP)</w:t>
      </w:r>
      <w:r w:rsidR="00DD474A">
        <w:rPr>
          <w:szCs w:val="24"/>
        </w:rPr>
        <w:t xml:space="preserve"> and its applicability toward the present and future electric grid.  We look forward to the continued discussion on where assumptions, language, and analytical methodologies can be explored and standardized.  </w:t>
      </w:r>
    </w:p>
    <w:p w:rsidR="00DD474A" w:rsidRDefault="00DD474A" w:rsidP="008E07EC">
      <w:pPr>
        <w:pStyle w:val="NoSpacing"/>
        <w:spacing w:line="360" w:lineRule="auto"/>
        <w:ind w:firstLine="720"/>
        <w:jc w:val="both"/>
        <w:rPr>
          <w:szCs w:val="24"/>
        </w:rPr>
      </w:pPr>
    </w:p>
    <w:p w:rsidR="00815AEC" w:rsidRDefault="00815AEC" w:rsidP="008E07EC">
      <w:pPr>
        <w:pStyle w:val="NoSpacing"/>
        <w:spacing w:line="360" w:lineRule="auto"/>
        <w:ind w:firstLine="720"/>
        <w:jc w:val="both"/>
        <w:rPr>
          <w:szCs w:val="24"/>
        </w:rPr>
      </w:pPr>
      <w:r>
        <w:rPr>
          <w:szCs w:val="24"/>
        </w:rPr>
        <w:t>As discussed in the Notice</w:t>
      </w:r>
      <w:r w:rsidR="008E07EC">
        <w:rPr>
          <w:szCs w:val="24"/>
        </w:rPr>
        <w:t>,</w:t>
      </w:r>
      <w:r>
        <w:rPr>
          <w:szCs w:val="24"/>
        </w:rPr>
        <w:t xml:space="preserve"> </w:t>
      </w:r>
      <w:r w:rsidR="00DD474A">
        <w:rPr>
          <w:szCs w:val="24"/>
        </w:rPr>
        <w:t xml:space="preserve">the Commission is seeking comments regarding the topics identified within Commission Staff’s White Paper and on available </w:t>
      </w:r>
      <w:r w:rsidR="00C37369">
        <w:rPr>
          <w:szCs w:val="24"/>
        </w:rPr>
        <w:t>models for valuing the services that energy storage provides.</w:t>
      </w:r>
    </w:p>
    <w:p w:rsidR="00C37369" w:rsidRDefault="00C37369" w:rsidP="008E07EC">
      <w:pPr>
        <w:pStyle w:val="NoSpacing"/>
        <w:spacing w:line="360" w:lineRule="auto"/>
        <w:ind w:firstLine="720"/>
        <w:jc w:val="both"/>
        <w:rPr>
          <w:szCs w:val="24"/>
        </w:rPr>
      </w:pPr>
    </w:p>
    <w:p w:rsidR="00C37369" w:rsidRDefault="00C37369" w:rsidP="008E07EC">
      <w:pPr>
        <w:pStyle w:val="NoSpacing"/>
        <w:spacing w:line="360" w:lineRule="auto"/>
        <w:ind w:firstLine="720"/>
        <w:jc w:val="both"/>
        <w:rPr>
          <w:szCs w:val="24"/>
        </w:rPr>
      </w:pPr>
      <w:r>
        <w:rPr>
          <w:szCs w:val="24"/>
        </w:rPr>
        <w:lastRenderedPageBreak/>
        <w:t>The following comments are in response to Commission Staff’s White Paper and to the questions outlined in the Notice.</w:t>
      </w:r>
    </w:p>
    <w:p w:rsidR="00C37369" w:rsidRDefault="00C37369" w:rsidP="00C37369">
      <w:pPr>
        <w:pStyle w:val="NoSpacing"/>
        <w:spacing w:line="360" w:lineRule="auto"/>
        <w:jc w:val="both"/>
        <w:rPr>
          <w:szCs w:val="24"/>
        </w:rPr>
      </w:pPr>
    </w:p>
    <w:p w:rsidR="00C37369" w:rsidRDefault="00C37369" w:rsidP="00C37369">
      <w:pPr>
        <w:pStyle w:val="NoSpacing"/>
        <w:spacing w:line="360" w:lineRule="auto"/>
        <w:jc w:val="both"/>
        <w:rPr>
          <w:b/>
          <w:szCs w:val="24"/>
          <w:u w:val="single"/>
        </w:rPr>
      </w:pPr>
      <w:r w:rsidRPr="00C37369">
        <w:rPr>
          <w:b/>
          <w:szCs w:val="24"/>
          <w:u w:val="single"/>
        </w:rPr>
        <w:t>Comments on Commission Staff White Paper</w:t>
      </w:r>
    </w:p>
    <w:p w:rsidR="007010C4" w:rsidRDefault="007010C4" w:rsidP="007010C4">
      <w:pPr>
        <w:spacing w:line="360" w:lineRule="auto"/>
        <w:rPr>
          <w:szCs w:val="24"/>
        </w:rPr>
      </w:pPr>
      <w:r>
        <w:rPr>
          <w:szCs w:val="24"/>
        </w:rPr>
        <w:tab/>
      </w:r>
    </w:p>
    <w:p w:rsidR="007010C4" w:rsidRPr="00AB1A13" w:rsidRDefault="007010C4" w:rsidP="007010C4">
      <w:pPr>
        <w:spacing w:line="360" w:lineRule="auto"/>
        <w:ind w:firstLine="720"/>
        <w:jc w:val="both"/>
        <w:rPr>
          <w:szCs w:val="24"/>
        </w:rPr>
      </w:pPr>
      <w:r>
        <w:rPr>
          <w:szCs w:val="24"/>
        </w:rPr>
        <w:t xml:space="preserve">As a means for setting the stage for the following comments, there are two domains in which the value of energy storage should be considered, the distribution system and the bulk power system.  The IRP process focuses on the acquisition of assets intended to serve bulk power system needs.  Localized value on the distribution system is not currently a consideration and would be a product of Distribution Resource Planning (DRP) methodologies that are just now being evaluated by Avista.  We anticipate that Avista will engage in DRP to optimally place distributed energy resources in the future, one of which being energy storage.  DRP can be an additional input that informs future IRP efforts to insure inclusion of all benefits that can be achieved with distributed energy resources.  The IRP process alone cannot provide the business case in total for energy storage at current development costs.  </w:t>
      </w:r>
    </w:p>
    <w:p w:rsidR="007010C4" w:rsidRDefault="007010C4" w:rsidP="00C4794C">
      <w:pPr>
        <w:spacing w:line="360" w:lineRule="auto"/>
        <w:jc w:val="both"/>
        <w:rPr>
          <w:szCs w:val="24"/>
        </w:rPr>
      </w:pPr>
    </w:p>
    <w:p w:rsidR="00C4794C" w:rsidRDefault="00C4794C" w:rsidP="00C4794C">
      <w:pPr>
        <w:spacing w:line="360" w:lineRule="auto"/>
        <w:ind w:firstLine="720"/>
        <w:jc w:val="both"/>
        <w:rPr>
          <w:szCs w:val="24"/>
        </w:rPr>
      </w:pPr>
      <w:r>
        <w:rPr>
          <w:szCs w:val="24"/>
        </w:rPr>
        <w:t>In its White Paper</w:t>
      </w:r>
      <w:r w:rsidR="003218F3">
        <w:rPr>
          <w:szCs w:val="24"/>
        </w:rPr>
        <w:t>,</w:t>
      </w:r>
      <w:r>
        <w:rPr>
          <w:szCs w:val="24"/>
        </w:rPr>
        <w:t xml:space="preserve"> </w:t>
      </w:r>
      <w:r w:rsidRPr="00AB1A13">
        <w:rPr>
          <w:szCs w:val="24"/>
        </w:rPr>
        <w:t xml:space="preserve">Commission </w:t>
      </w:r>
      <w:r>
        <w:rPr>
          <w:szCs w:val="24"/>
        </w:rPr>
        <w:t xml:space="preserve">Staff </w:t>
      </w:r>
      <w:r w:rsidRPr="00AB1A13">
        <w:rPr>
          <w:szCs w:val="24"/>
        </w:rPr>
        <w:t xml:space="preserve">outlined a number of questions about modeling the benefits of energy storage in an IRP or resource procurement process.  </w:t>
      </w:r>
      <w:r>
        <w:rPr>
          <w:szCs w:val="24"/>
        </w:rPr>
        <w:t>T</w:t>
      </w:r>
      <w:r w:rsidRPr="00AB1A13">
        <w:rPr>
          <w:szCs w:val="24"/>
        </w:rPr>
        <w:t>oday’s utility models focus on larger resource value streams</w:t>
      </w:r>
      <w:r>
        <w:rPr>
          <w:szCs w:val="24"/>
        </w:rPr>
        <w:t>, namely capacity and energy, and to a lesser extent other ancillary services</w:t>
      </w:r>
      <w:r w:rsidRPr="00AB1A13">
        <w:rPr>
          <w:szCs w:val="24"/>
        </w:rPr>
        <w:t xml:space="preserve">.  </w:t>
      </w:r>
      <w:r>
        <w:rPr>
          <w:szCs w:val="24"/>
        </w:rPr>
        <w:t>The components modeled capture the significant majority of the value of the various resource options evaluated, including energy storage.  M</w:t>
      </w:r>
      <w:r w:rsidRPr="00AB1A13">
        <w:rPr>
          <w:szCs w:val="24"/>
        </w:rPr>
        <w:t xml:space="preserve">any of the “value propositions” </w:t>
      </w:r>
      <w:r>
        <w:rPr>
          <w:szCs w:val="24"/>
        </w:rPr>
        <w:t xml:space="preserve">  identified in the Notice </w:t>
      </w:r>
      <w:r w:rsidRPr="00AB1A13">
        <w:rPr>
          <w:szCs w:val="24"/>
        </w:rPr>
        <w:t xml:space="preserve">are not unique to </w:t>
      </w:r>
      <w:r>
        <w:rPr>
          <w:szCs w:val="24"/>
        </w:rPr>
        <w:t xml:space="preserve">energy </w:t>
      </w:r>
      <w:r w:rsidRPr="00AB1A13">
        <w:rPr>
          <w:szCs w:val="24"/>
        </w:rPr>
        <w:t>storage</w:t>
      </w:r>
      <w:r>
        <w:rPr>
          <w:szCs w:val="24"/>
        </w:rPr>
        <w:t>;</w:t>
      </w:r>
      <w:r w:rsidRPr="00AB1A13">
        <w:rPr>
          <w:szCs w:val="24"/>
        </w:rPr>
        <w:t xml:space="preserve"> </w:t>
      </w:r>
      <w:r>
        <w:rPr>
          <w:szCs w:val="24"/>
        </w:rPr>
        <w:t xml:space="preserve">they are and can presently be </w:t>
      </w:r>
      <w:r w:rsidRPr="00AB1A13">
        <w:rPr>
          <w:szCs w:val="24"/>
        </w:rPr>
        <w:t>provided at very low cost from other traditional generation resource</w:t>
      </w:r>
      <w:r>
        <w:rPr>
          <w:szCs w:val="24"/>
        </w:rPr>
        <w:t>s, both existing and new</w:t>
      </w:r>
      <w:r w:rsidRPr="00AB1A13">
        <w:rPr>
          <w:szCs w:val="24"/>
        </w:rPr>
        <w:t>.  In other words, most energy storage s</w:t>
      </w:r>
      <w:r>
        <w:rPr>
          <w:szCs w:val="24"/>
        </w:rPr>
        <w:t>ystem values</w:t>
      </w:r>
      <w:r w:rsidRPr="00AB1A13">
        <w:rPr>
          <w:szCs w:val="24"/>
        </w:rPr>
        <w:t xml:space="preserve"> </w:t>
      </w:r>
      <w:r>
        <w:rPr>
          <w:szCs w:val="24"/>
        </w:rPr>
        <w:t xml:space="preserve">likely </w:t>
      </w:r>
      <w:r w:rsidRPr="00AB1A13">
        <w:rPr>
          <w:szCs w:val="24"/>
        </w:rPr>
        <w:t xml:space="preserve">can be provided </w:t>
      </w:r>
      <w:r>
        <w:rPr>
          <w:szCs w:val="24"/>
        </w:rPr>
        <w:t>at</w:t>
      </w:r>
      <w:r w:rsidRPr="00AB1A13">
        <w:rPr>
          <w:szCs w:val="24"/>
        </w:rPr>
        <w:t xml:space="preserve"> lower</w:t>
      </w:r>
      <w:r>
        <w:rPr>
          <w:szCs w:val="24"/>
        </w:rPr>
        <w:t xml:space="preserve"> </w:t>
      </w:r>
      <w:r w:rsidRPr="00AB1A13">
        <w:rPr>
          <w:szCs w:val="24"/>
        </w:rPr>
        <w:t xml:space="preserve">cost </w:t>
      </w:r>
      <w:r>
        <w:rPr>
          <w:szCs w:val="24"/>
        </w:rPr>
        <w:t xml:space="preserve">by </w:t>
      </w:r>
      <w:r w:rsidRPr="00AB1A13">
        <w:rPr>
          <w:szCs w:val="24"/>
        </w:rPr>
        <w:t xml:space="preserve">traditional resources.  That detailed models do not exist to quantify many of the </w:t>
      </w:r>
      <w:r>
        <w:rPr>
          <w:szCs w:val="24"/>
        </w:rPr>
        <w:t xml:space="preserve">value propositions </w:t>
      </w:r>
      <w:r w:rsidRPr="00AB1A13">
        <w:rPr>
          <w:szCs w:val="24"/>
        </w:rPr>
        <w:t>listed</w:t>
      </w:r>
      <w:r>
        <w:rPr>
          <w:szCs w:val="24"/>
        </w:rPr>
        <w:t xml:space="preserve"> in the Notice is further evidence</w:t>
      </w:r>
      <w:r w:rsidRPr="00AB1A13">
        <w:rPr>
          <w:szCs w:val="24"/>
        </w:rPr>
        <w:t xml:space="preserve"> that </w:t>
      </w:r>
      <w:r>
        <w:rPr>
          <w:szCs w:val="24"/>
        </w:rPr>
        <w:t xml:space="preserve">the value of energy storage is indeterminate, if not </w:t>
      </w:r>
      <w:r w:rsidRPr="00AB1A13">
        <w:rPr>
          <w:szCs w:val="24"/>
        </w:rPr>
        <w:t>small.</w:t>
      </w:r>
    </w:p>
    <w:p w:rsidR="00C4794C" w:rsidRDefault="00C4794C" w:rsidP="00C4794C">
      <w:pPr>
        <w:spacing w:line="360" w:lineRule="auto"/>
        <w:jc w:val="both"/>
        <w:rPr>
          <w:szCs w:val="24"/>
        </w:rPr>
      </w:pPr>
    </w:p>
    <w:p w:rsidR="00C4794C" w:rsidRDefault="00C4794C" w:rsidP="00C4794C">
      <w:pPr>
        <w:spacing w:line="360" w:lineRule="auto"/>
        <w:ind w:firstLine="720"/>
        <w:jc w:val="both"/>
        <w:rPr>
          <w:szCs w:val="24"/>
        </w:rPr>
      </w:pPr>
      <w:r>
        <w:rPr>
          <w:szCs w:val="24"/>
        </w:rPr>
        <w:t>Contrary to the White Paper, Avista does not view the lack of a</w:t>
      </w:r>
      <w:r w:rsidR="00FD3B73">
        <w:rPr>
          <w:szCs w:val="24"/>
        </w:rPr>
        <w:t xml:space="preserve"> </w:t>
      </w:r>
      <w:r w:rsidR="003218F3">
        <w:rPr>
          <w:szCs w:val="24"/>
        </w:rPr>
        <w:t>N</w:t>
      </w:r>
      <w:r w:rsidR="00FD3B73">
        <w:rPr>
          <w:szCs w:val="24"/>
        </w:rPr>
        <w:t>orthwest</w:t>
      </w:r>
      <w:r>
        <w:rPr>
          <w:szCs w:val="24"/>
        </w:rPr>
        <w:t xml:space="preserve"> organized energy market </w:t>
      </w:r>
      <w:r w:rsidR="00FD3B73">
        <w:rPr>
          <w:szCs w:val="24"/>
        </w:rPr>
        <w:t>or</w:t>
      </w:r>
      <w:r>
        <w:rPr>
          <w:szCs w:val="24"/>
        </w:rPr>
        <w:t xml:space="preserve"> price signals as barriers to energy storage adoption.  It also is not clear that energy storage economics are, or will be, as compelling as renewable energy investments given that the resource consumes rather than generates electricity.</w:t>
      </w:r>
      <w:r w:rsidRPr="000306DC">
        <w:rPr>
          <w:szCs w:val="24"/>
        </w:rPr>
        <w:t xml:space="preserve"> </w:t>
      </w:r>
      <w:r>
        <w:rPr>
          <w:szCs w:val="24"/>
        </w:rPr>
        <w:t xml:space="preserve">This is a salient point to reinforce: </w:t>
      </w:r>
      <w:r>
        <w:rPr>
          <w:szCs w:val="24"/>
        </w:rPr>
        <w:lastRenderedPageBreak/>
        <w:t>energy storage does not produce electricity, it simply makes it dispatchable; and it does so at a loss of energy.  Energy storage lacks the operational and economic attributes of an electricity generator and the characteristics of demand</w:t>
      </w:r>
      <w:r w:rsidR="00FD3B73">
        <w:rPr>
          <w:szCs w:val="24"/>
        </w:rPr>
        <w:t>-</w:t>
      </w:r>
      <w:r>
        <w:rPr>
          <w:szCs w:val="24"/>
        </w:rPr>
        <w:t>side load reduction measures.</w:t>
      </w:r>
    </w:p>
    <w:p w:rsidR="00C4794C" w:rsidRDefault="00C4794C" w:rsidP="00C4794C">
      <w:pPr>
        <w:spacing w:line="360" w:lineRule="auto"/>
        <w:jc w:val="both"/>
        <w:rPr>
          <w:szCs w:val="24"/>
        </w:rPr>
      </w:pPr>
    </w:p>
    <w:p w:rsidR="00C4794C" w:rsidRPr="00AB1A13" w:rsidRDefault="00C4794C" w:rsidP="00C4794C">
      <w:pPr>
        <w:spacing w:line="360" w:lineRule="auto"/>
        <w:ind w:firstLine="720"/>
        <w:jc w:val="both"/>
        <w:rPr>
          <w:szCs w:val="24"/>
        </w:rPr>
      </w:pPr>
      <w:r>
        <w:rPr>
          <w:szCs w:val="24"/>
        </w:rPr>
        <w:t xml:space="preserve">The Commission Staff White Paper states that energy storage can follow </w:t>
      </w:r>
      <w:r w:rsidR="00FD3B73">
        <w:rPr>
          <w:szCs w:val="24"/>
        </w:rPr>
        <w:t xml:space="preserve">renewable energy’s </w:t>
      </w:r>
      <w:r w:rsidR="003218F3">
        <w:rPr>
          <w:szCs w:val="24"/>
        </w:rPr>
        <w:t>path to economic viability.  R</w:t>
      </w:r>
      <w:r>
        <w:rPr>
          <w:szCs w:val="24"/>
        </w:rPr>
        <w:t xml:space="preserve">egulatory and tax policies designed to favor energy storage </w:t>
      </w:r>
      <w:r w:rsidR="00FD3B73">
        <w:rPr>
          <w:szCs w:val="24"/>
        </w:rPr>
        <w:t>will be necessary</w:t>
      </w:r>
      <w:r w:rsidR="003218F3">
        <w:rPr>
          <w:szCs w:val="24"/>
        </w:rPr>
        <w:t>, however,</w:t>
      </w:r>
      <w:r w:rsidR="00FD3B73">
        <w:rPr>
          <w:szCs w:val="24"/>
        </w:rPr>
        <w:t xml:space="preserve"> to allow the resource to compete with </w:t>
      </w:r>
      <w:r>
        <w:rPr>
          <w:szCs w:val="24"/>
        </w:rPr>
        <w:t>other more cost-effective options.</w:t>
      </w:r>
    </w:p>
    <w:p w:rsidR="00C4794C" w:rsidRDefault="00C4794C" w:rsidP="00C4794C">
      <w:pPr>
        <w:spacing w:line="360" w:lineRule="auto"/>
        <w:jc w:val="both"/>
        <w:rPr>
          <w:szCs w:val="24"/>
        </w:rPr>
      </w:pPr>
    </w:p>
    <w:p w:rsidR="00B146D2" w:rsidRDefault="00C4794C" w:rsidP="00C4794C">
      <w:pPr>
        <w:spacing w:line="360" w:lineRule="auto"/>
        <w:ind w:firstLine="720"/>
        <w:jc w:val="both"/>
        <w:rPr>
          <w:szCs w:val="24"/>
        </w:rPr>
      </w:pPr>
      <w:r>
        <w:rPr>
          <w:szCs w:val="24"/>
        </w:rPr>
        <w:t xml:space="preserve">For two reasons Avista does not agree with the White Paper’s statement that “…holistic analysis goes far beyond the current modeling practices of the utilities, which to date have not identified or quantified the benefits associated with energy storage.  This precludes the IRP models from selecting energy storage, because without those offsetting benefits, energy storage remains cost prohibitive.”  First, </w:t>
      </w:r>
      <w:r w:rsidR="00B146D2">
        <w:rPr>
          <w:szCs w:val="24"/>
        </w:rPr>
        <w:t>Avista’s</w:t>
      </w:r>
      <w:r>
        <w:rPr>
          <w:szCs w:val="24"/>
        </w:rPr>
        <w:t xml:space="preserve"> IRP analyses adequately quantif</w:t>
      </w:r>
      <w:r w:rsidR="00B146D2">
        <w:rPr>
          <w:szCs w:val="24"/>
        </w:rPr>
        <w:t>y</w:t>
      </w:r>
      <w:r>
        <w:rPr>
          <w:szCs w:val="24"/>
        </w:rPr>
        <w:t xml:space="preserve"> the benefits that would accrue to any energy storage system, namely:  peak shaving, energy arbitrage, the system balancing services of regulation/frequency control, load following and energy imbalance, and contingency reserves.  </w:t>
      </w:r>
      <w:r w:rsidR="00FD3B73">
        <w:rPr>
          <w:szCs w:val="24"/>
        </w:rPr>
        <w:t>Our analysis shows that t</w:t>
      </w:r>
      <w:r>
        <w:rPr>
          <w:szCs w:val="24"/>
        </w:rPr>
        <w:t>hese benefits</w:t>
      </w:r>
      <w:r w:rsidR="00FD3B73">
        <w:rPr>
          <w:szCs w:val="24"/>
        </w:rPr>
        <w:t xml:space="preserve"> </w:t>
      </w:r>
      <w:r>
        <w:rPr>
          <w:szCs w:val="24"/>
        </w:rPr>
        <w:t xml:space="preserve">can presently be </w:t>
      </w:r>
      <w:r w:rsidR="00FD3B73">
        <w:rPr>
          <w:szCs w:val="24"/>
        </w:rPr>
        <w:t xml:space="preserve">obtained </w:t>
      </w:r>
      <w:r>
        <w:rPr>
          <w:szCs w:val="24"/>
        </w:rPr>
        <w:t xml:space="preserve">through the use of lower-cost means.  Any other capabilities beyond these products (e.g., black start) are not a significant portion of the total value of energy storage.  Second, even </w:t>
      </w:r>
      <w:r w:rsidR="00B146D2">
        <w:rPr>
          <w:szCs w:val="24"/>
        </w:rPr>
        <w:t>if the</w:t>
      </w:r>
      <w:r>
        <w:rPr>
          <w:szCs w:val="24"/>
        </w:rPr>
        <w:t xml:space="preserve"> other capabilities </w:t>
      </w:r>
      <w:r w:rsidR="00B146D2">
        <w:rPr>
          <w:szCs w:val="24"/>
        </w:rPr>
        <w:t xml:space="preserve">were </w:t>
      </w:r>
      <w:r>
        <w:rPr>
          <w:szCs w:val="24"/>
        </w:rPr>
        <w:t>more significant, the economics of energy storage are</w:t>
      </w:r>
      <w:r w:rsidR="003218F3">
        <w:rPr>
          <w:szCs w:val="24"/>
        </w:rPr>
        <w:t>, at present,</w:t>
      </w:r>
      <w:r>
        <w:rPr>
          <w:szCs w:val="24"/>
        </w:rPr>
        <w:t xml:space="preserve"> cost prohibitive at existing and projected </w:t>
      </w:r>
      <w:r w:rsidR="00FD3B73">
        <w:rPr>
          <w:szCs w:val="24"/>
        </w:rPr>
        <w:t xml:space="preserve">cost </w:t>
      </w:r>
      <w:r>
        <w:rPr>
          <w:szCs w:val="24"/>
        </w:rPr>
        <w:t>trajectories in the Pacific Northwest</w:t>
      </w:r>
      <w:r w:rsidR="00B146D2">
        <w:rPr>
          <w:szCs w:val="24"/>
        </w:rPr>
        <w:t>.</w:t>
      </w:r>
      <w:r>
        <w:rPr>
          <w:szCs w:val="24"/>
        </w:rPr>
        <w:t xml:space="preserve"> </w:t>
      </w:r>
    </w:p>
    <w:p w:rsidR="00B146D2" w:rsidRDefault="00B146D2" w:rsidP="00C4794C">
      <w:pPr>
        <w:spacing w:line="360" w:lineRule="auto"/>
        <w:ind w:firstLine="720"/>
        <w:jc w:val="both"/>
        <w:rPr>
          <w:szCs w:val="24"/>
        </w:rPr>
      </w:pPr>
    </w:p>
    <w:p w:rsidR="00C4794C" w:rsidRDefault="00C4794C" w:rsidP="00C4794C">
      <w:pPr>
        <w:spacing w:line="360" w:lineRule="auto"/>
        <w:ind w:firstLine="720"/>
        <w:jc w:val="both"/>
        <w:rPr>
          <w:szCs w:val="24"/>
        </w:rPr>
      </w:pPr>
      <w:r>
        <w:rPr>
          <w:szCs w:val="24"/>
        </w:rPr>
        <w:t xml:space="preserve">This is not to say that energy storage has no future.  The White Paper correctly points out that the “flurry of activity” benefits from “significant assistance from federal and state funds.”  Avista supports this </w:t>
      </w:r>
      <w:r w:rsidR="003218F3">
        <w:rPr>
          <w:szCs w:val="24"/>
        </w:rPr>
        <w:t>“</w:t>
      </w:r>
      <w:r>
        <w:rPr>
          <w:szCs w:val="24"/>
        </w:rPr>
        <w:t>flurry</w:t>
      </w:r>
      <w:r w:rsidR="003218F3">
        <w:rPr>
          <w:szCs w:val="24"/>
        </w:rPr>
        <w:t>”</w:t>
      </w:r>
      <w:r>
        <w:rPr>
          <w:szCs w:val="24"/>
        </w:rPr>
        <w:t xml:space="preserve"> in the sense that it ensures appropriate research and development occurs to help utilities understand the potential </w:t>
      </w:r>
      <w:r w:rsidR="00B146D2">
        <w:rPr>
          <w:szCs w:val="24"/>
        </w:rPr>
        <w:t xml:space="preserve">value </w:t>
      </w:r>
      <w:r>
        <w:rPr>
          <w:szCs w:val="24"/>
        </w:rPr>
        <w:t xml:space="preserve">for the resource.  </w:t>
      </w:r>
      <w:r w:rsidR="00B146D2">
        <w:rPr>
          <w:szCs w:val="24"/>
        </w:rPr>
        <w:t xml:space="preserve">Avista’s </w:t>
      </w:r>
      <w:r>
        <w:rPr>
          <w:szCs w:val="24"/>
        </w:rPr>
        <w:t>participation in one of the</w:t>
      </w:r>
      <w:r w:rsidR="00B146D2">
        <w:rPr>
          <w:szCs w:val="24"/>
        </w:rPr>
        <w:t xml:space="preserve"> Pacific Northwest National Laboratory</w:t>
      </w:r>
      <w:r>
        <w:rPr>
          <w:szCs w:val="24"/>
        </w:rPr>
        <w:t xml:space="preserve"> pilot programs illustrates </w:t>
      </w:r>
      <w:r w:rsidR="00B146D2">
        <w:rPr>
          <w:szCs w:val="24"/>
        </w:rPr>
        <w:t xml:space="preserve">the Company’s </w:t>
      </w:r>
      <w:r>
        <w:rPr>
          <w:szCs w:val="24"/>
        </w:rPr>
        <w:t xml:space="preserve">commitment to research and development in this arena. </w:t>
      </w:r>
    </w:p>
    <w:p w:rsidR="00B146D2" w:rsidRDefault="00B146D2" w:rsidP="00C4794C">
      <w:pPr>
        <w:spacing w:line="360" w:lineRule="auto"/>
        <w:ind w:firstLine="720"/>
        <w:jc w:val="both"/>
        <w:rPr>
          <w:szCs w:val="24"/>
        </w:rPr>
      </w:pPr>
    </w:p>
    <w:p w:rsidR="00C4794C" w:rsidRDefault="00C4794C" w:rsidP="00B146D2">
      <w:pPr>
        <w:spacing w:line="360" w:lineRule="auto"/>
        <w:ind w:firstLine="720"/>
        <w:jc w:val="both"/>
        <w:rPr>
          <w:szCs w:val="24"/>
        </w:rPr>
      </w:pPr>
      <w:r>
        <w:rPr>
          <w:szCs w:val="24"/>
        </w:rPr>
        <w:t xml:space="preserve">In summary, Avista has made significant efforts to evaluate </w:t>
      </w:r>
      <w:r w:rsidR="00FD3B73">
        <w:rPr>
          <w:szCs w:val="24"/>
        </w:rPr>
        <w:t xml:space="preserve">energy </w:t>
      </w:r>
      <w:r>
        <w:rPr>
          <w:szCs w:val="24"/>
        </w:rPr>
        <w:t xml:space="preserve">storage in concert with research and development activities around the technology.  </w:t>
      </w:r>
      <w:r w:rsidR="003218F3">
        <w:rPr>
          <w:szCs w:val="24"/>
        </w:rPr>
        <w:t>T</w:t>
      </w:r>
      <w:r>
        <w:rPr>
          <w:szCs w:val="24"/>
        </w:rPr>
        <w:t xml:space="preserve">he absence of energy storage </w:t>
      </w:r>
      <w:r>
        <w:rPr>
          <w:szCs w:val="24"/>
        </w:rPr>
        <w:lastRenderedPageBreak/>
        <w:t>from Avista’s IRP preferred resource strategy is not the result of inadequate modeling or regulation by the Commission.  It is from a lack of compelling economics and commercialization</w:t>
      </w:r>
      <w:r w:rsidR="003218F3">
        <w:rPr>
          <w:szCs w:val="24"/>
        </w:rPr>
        <w:t xml:space="preserve"> possibilities at this time</w:t>
      </w:r>
      <w:r>
        <w:rPr>
          <w:szCs w:val="24"/>
        </w:rPr>
        <w:t xml:space="preserve">.  Energy storage, just like many technologies in the R&amp;D stage, </w:t>
      </w:r>
      <w:r w:rsidR="006340A1">
        <w:rPr>
          <w:szCs w:val="24"/>
        </w:rPr>
        <w:t>does</w:t>
      </w:r>
      <w:r>
        <w:rPr>
          <w:szCs w:val="24"/>
        </w:rPr>
        <w:t xml:space="preserve"> not meet the basic criteria for inclusion in the later stages of an IRP analysis:  commercially-available at utility scale at a cost reasonably competitive with generation or conservation alternative options.</w:t>
      </w:r>
    </w:p>
    <w:p w:rsidR="00C37369" w:rsidRDefault="00C37369" w:rsidP="00C37369">
      <w:pPr>
        <w:pStyle w:val="NoSpacing"/>
        <w:spacing w:line="360" w:lineRule="auto"/>
        <w:jc w:val="both"/>
        <w:rPr>
          <w:b/>
          <w:szCs w:val="24"/>
          <w:u w:val="single"/>
        </w:rPr>
      </w:pPr>
    </w:p>
    <w:p w:rsidR="00C37369" w:rsidRPr="00C37369" w:rsidRDefault="00C37369" w:rsidP="00C37369">
      <w:pPr>
        <w:pStyle w:val="NoSpacing"/>
        <w:spacing w:line="360" w:lineRule="auto"/>
        <w:jc w:val="both"/>
        <w:rPr>
          <w:b/>
          <w:szCs w:val="24"/>
          <w:u w:val="single"/>
        </w:rPr>
      </w:pPr>
      <w:r w:rsidRPr="00C37369">
        <w:rPr>
          <w:b/>
          <w:szCs w:val="24"/>
          <w:u w:val="single"/>
        </w:rPr>
        <w:t>Questions from Notice</w:t>
      </w:r>
    </w:p>
    <w:p w:rsidR="00DE054E" w:rsidRDefault="00DE054E" w:rsidP="00066C44">
      <w:pPr>
        <w:spacing w:line="240" w:lineRule="auto"/>
        <w:ind w:firstLine="720"/>
        <w:jc w:val="both"/>
        <w:rPr>
          <w:rFonts w:cs="Times New Roman"/>
          <w:color w:val="000000"/>
          <w:szCs w:val="24"/>
        </w:rPr>
      </w:pPr>
    </w:p>
    <w:p w:rsidR="00C37369" w:rsidRDefault="00C37369" w:rsidP="00B8671A">
      <w:pPr>
        <w:pStyle w:val="ListParagraph"/>
        <w:numPr>
          <w:ilvl w:val="0"/>
          <w:numId w:val="46"/>
        </w:numPr>
        <w:spacing w:line="264" w:lineRule="auto"/>
        <w:jc w:val="both"/>
        <w:rPr>
          <w:b/>
        </w:rPr>
      </w:pPr>
      <w:r w:rsidRPr="00C37369">
        <w:rPr>
          <w:b/>
        </w:rPr>
        <w:t>The following list identifies some of the potential uses, benefits or “value propositions” that energy storage systems could offer to a utility. How should a utility model such benefits in an IRP or resource procurement process?</w:t>
      </w:r>
    </w:p>
    <w:p w:rsidR="008D05C2" w:rsidRDefault="008D05C2">
      <w:pPr>
        <w:pStyle w:val="ListParagraph"/>
        <w:spacing w:line="264" w:lineRule="auto"/>
        <w:jc w:val="both"/>
        <w:rPr>
          <w:b/>
        </w:rPr>
      </w:pPr>
    </w:p>
    <w:p w:rsidR="00C37369" w:rsidRPr="00C37369" w:rsidRDefault="00C37369" w:rsidP="00C37369">
      <w:pPr>
        <w:pStyle w:val="ListParagraph"/>
        <w:numPr>
          <w:ilvl w:val="0"/>
          <w:numId w:val="47"/>
        </w:numPr>
        <w:spacing w:line="264" w:lineRule="auto"/>
        <w:ind w:left="1440"/>
        <w:rPr>
          <w:b/>
        </w:rPr>
      </w:pPr>
      <w:r w:rsidRPr="00C37369">
        <w:rPr>
          <w:b/>
        </w:rPr>
        <w:t>Peak Shaving</w:t>
      </w:r>
    </w:p>
    <w:p w:rsidR="00C37369" w:rsidRDefault="00C37369" w:rsidP="00C37369">
      <w:pPr>
        <w:pStyle w:val="ListParagraph"/>
        <w:spacing w:line="264" w:lineRule="auto"/>
        <w:ind w:left="1440"/>
      </w:pPr>
    </w:p>
    <w:p w:rsidR="00C4794C" w:rsidRDefault="00C37369" w:rsidP="00C4794C">
      <w:pPr>
        <w:spacing w:line="360" w:lineRule="auto"/>
        <w:ind w:firstLine="720"/>
        <w:jc w:val="both"/>
        <w:rPr>
          <w:szCs w:val="24"/>
        </w:rPr>
      </w:pPr>
      <w:r w:rsidRPr="00C37369">
        <w:rPr>
          <w:b/>
          <w:szCs w:val="24"/>
        </w:rPr>
        <w:t>Response:</w:t>
      </w:r>
      <w:r w:rsidRPr="00C37369">
        <w:rPr>
          <w:szCs w:val="24"/>
        </w:rPr>
        <w:t xml:space="preserve"> </w:t>
      </w:r>
      <w:r w:rsidR="00C4794C" w:rsidRPr="00AB1A13">
        <w:rPr>
          <w:szCs w:val="24"/>
        </w:rPr>
        <w:t>Existing production-cost models contain algorithms able to reasonably represent the peak shaving capabilities of many resources, including energy storage.  Some</w:t>
      </w:r>
      <w:r w:rsidR="00B146D2">
        <w:rPr>
          <w:szCs w:val="24"/>
        </w:rPr>
        <w:t xml:space="preserve"> models</w:t>
      </w:r>
      <w:r w:rsidR="00C4794C" w:rsidRPr="00AB1A13">
        <w:rPr>
          <w:szCs w:val="24"/>
        </w:rPr>
        <w:t xml:space="preserve"> </w:t>
      </w:r>
      <w:r w:rsidR="00B30EE8">
        <w:rPr>
          <w:szCs w:val="24"/>
        </w:rPr>
        <w:t>may</w:t>
      </w:r>
      <w:r w:rsidR="00B30EE8" w:rsidRPr="00AB1A13">
        <w:rPr>
          <w:szCs w:val="24"/>
        </w:rPr>
        <w:t xml:space="preserve"> </w:t>
      </w:r>
      <w:r w:rsidR="00C4794C" w:rsidRPr="00AB1A13">
        <w:rPr>
          <w:szCs w:val="24"/>
        </w:rPr>
        <w:t>struggle with the consumptive nature of energy storage (i.e., losses), but in most cases the models are flexible enough to enable the analyst to fairly represent peak shaving value.</w:t>
      </w:r>
      <w:r w:rsidR="00C4794C">
        <w:rPr>
          <w:szCs w:val="24"/>
        </w:rPr>
        <w:t xml:space="preserve">  In the case of Avista and its IRP process, we use Aurora to value the peak shaving capabilities of all evaluated resources, including energy storage.</w:t>
      </w:r>
    </w:p>
    <w:p w:rsidR="00C37369" w:rsidRDefault="00C37369" w:rsidP="00C37369">
      <w:pPr>
        <w:spacing w:line="360" w:lineRule="auto"/>
        <w:ind w:firstLine="720"/>
        <w:jc w:val="both"/>
        <w:rPr>
          <w:szCs w:val="24"/>
        </w:rPr>
      </w:pPr>
    </w:p>
    <w:p w:rsidR="00C37369" w:rsidRDefault="00C37369" w:rsidP="00C37369">
      <w:pPr>
        <w:pStyle w:val="ListParagraph"/>
        <w:numPr>
          <w:ilvl w:val="0"/>
          <w:numId w:val="47"/>
        </w:numPr>
        <w:spacing w:line="264" w:lineRule="auto"/>
        <w:ind w:left="1440"/>
        <w:rPr>
          <w:b/>
        </w:rPr>
      </w:pPr>
      <w:r w:rsidRPr="00C37369">
        <w:rPr>
          <w:b/>
        </w:rPr>
        <w:t>Transmission and Distribution Upgrade Deferrals</w:t>
      </w:r>
    </w:p>
    <w:p w:rsidR="00C37369" w:rsidRDefault="00C37369" w:rsidP="00C37369">
      <w:pPr>
        <w:pStyle w:val="ListParagraph"/>
        <w:spacing w:line="264" w:lineRule="auto"/>
        <w:ind w:left="1440"/>
        <w:rPr>
          <w:b/>
        </w:rPr>
      </w:pPr>
    </w:p>
    <w:p w:rsidR="00C37369" w:rsidRPr="00C37369" w:rsidRDefault="00C37369" w:rsidP="00C37369">
      <w:pPr>
        <w:pStyle w:val="ListParagraph"/>
        <w:spacing w:line="360" w:lineRule="auto"/>
        <w:ind w:left="0" w:firstLine="720"/>
        <w:contextualSpacing w:val="0"/>
        <w:jc w:val="both"/>
        <w:rPr>
          <w:szCs w:val="24"/>
        </w:rPr>
      </w:pPr>
      <w:r w:rsidRPr="00C37369">
        <w:rPr>
          <w:b/>
          <w:szCs w:val="24"/>
        </w:rPr>
        <w:t>Response:</w:t>
      </w:r>
      <w:r w:rsidRPr="00C37369">
        <w:rPr>
          <w:szCs w:val="24"/>
        </w:rPr>
        <w:t xml:space="preserve"> </w:t>
      </w:r>
      <w:r w:rsidR="00C4794C">
        <w:rPr>
          <w:szCs w:val="24"/>
        </w:rPr>
        <w:t xml:space="preserve">On its face, energy storage has the potential to defer transmission and distribution (T&amp;D) investments.  However, such deferrals are location-specific and uncertain.  T&amp;D upgrades are “lumpy” in that additions cannot be made to meet load growth in small increments.  Therefore an energy storage technology might delay investment for a few years, but when the needs of the system outgrow the energy storage </w:t>
      </w:r>
      <w:r w:rsidR="006340A1">
        <w:rPr>
          <w:szCs w:val="24"/>
        </w:rPr>
        <w:t xml:space="preserve">system </w:t>
      </w:r>
      <w:r w:rsidR="00C4794C">
        <w:rPr>
          <w:szCs w:val="24"/>
        </w:rPr>
        <w:t xml:space="preserve">a large investment is made that eliminates the </w:t>
      </w:r>
      <w:r w:rsidR="006340A1">
        <w:rPr>
          <w:szCs w:val="24"/>
        </w:rPr>
        <w:t xml:space="preserve">original </w:t>
      </w:r>
      <w:r w:rsidR="00C4794C">
        <w:rPr>
          <w:szCs w:val="24"/>
        </w:rPr>
        <w:t xml:space="preserve">need for the energy storage system.  The result is T&amp;D </w:t>
      </w:r>
      <w:r w:rsidR="006340A1">
        <w:rPr>
          <w:szCs w:val="24"/>
        </w:rPr>
        <w:t xml:space="preserve">providing </w:t>
      </w:r>
      <w:r w:rsidR="00C4794C">
        <w:rPr>
          <w:szCs w:val="24"/>
        </w:rPr>
        <w:t>at best a few years’ delay in traditional system upgrades, meaning the overall contribution from energy storage is small relative to other benefits.  Once defined, including the value of delayed T&amp;D</w:t>
      </w:r>
      <w:r w:rsidR="003218F3">
        <w:rPr>
          <w:szCs w:val="24"/>
        </w:rPr>
        <w:t>,</w:t>
      </w:r>
      <w:r w:rsidR="00C4794C">
        <w:rPr>
          <w:szCs w:val="24"/>
        </w:rPr>
        <w:t xml:space="preserve"> </w:t>
      </w:r>
      <w:r w:rsidR="00C4794C">
        <w:rPr>
          <w:szCs w:val="24"/>
        </w:rPr>
        <w:lastRenderedPageBreak/>
        <w:t>investment in the IRP process is not conceptually difficult and fits well within existing methodologies.</w:t>
      </w:r>
    </w:p>
    <w:p w:rsidR="00C37369" w:rsidRDefault="00C37369" w:rsidP="00C37369">
      <w:pPr>
        <w:pStyle w:val="ListParagraph"/>
        <w:spacing w:line="264" w:lineRule="auto"/>
        <w:ind w:left="1440"/>
        <w:rPr>
          <w:b/>
        </w:rPr>
      </w:pPr>
    </w:p>
    <w:p w:rsidR="00C37369" w:rsidRDefault="00C37369" w:rsidP="00C37369">
      <w:pPr>
        <w:pStyle w:val="ListParagraph"/>
        <w:numPr>
          <w:ilvl w:val="0"/>
          <w:numId w:val="47"/>
        </w:numPr>
        <w:spacing w:line="264" w:lineRule="auto"/>
        <w:ind w:left="1440"/>
        <w:rPr>
          <w:b/>
        </w:rPr>
      </w:pPr>
      <w:r w:rsidRPr="00C37369">
        <w:rPr>
          <w:b/>
        </w:rPr>
        <w:t>Outage Mitigation</w:t>
      </w:r>
    </w:p>
    <w:p w:rsidR="00C37369" w:rsidRDefault="00C37369" w:rsidP="00C37369">
      <w:pPr>
        <w:spacing w:line="264" w:lineRule="auto"/>
        <w:rPr>
          <w:b/>
        </w:rPr>
      </w:pPr>
    </w:p>
    <w:p w:rsidR="00C4794C" w:rsidRDefault="00C37369" w:rsidP="00C4794C">
      <w:pPr>
        <w:spacing w:line="360" w:lineRule="auto"/>
        <w:ind w:firstLine="720"/>
        <w:jc w:val="both"/>
        <w:rPr>
          <w:szCs w:val="24"/>
        </w:rPr>
      </w:pPr>
      <w:r w:rsidRPr="00C37369">
        <w:rPr>
          <w:b/>
        </w:rPr>
        <w:t xml:space="preserve">Response: </w:t>
      </w:r>
      <w:r w:rsidR="00C4794C">
        <w:rPr>
          <w:szCs w:val="24"/>
        </w:rPr>
        <w:t xml:space="preserve">Utilities have existing protocols and metrics to ensure their systems are </w:t>
      </w:r>
      <w:r w:rsidR="003218F3">
        <w:rPr>
          <w:szCs w:val="24"/>
        </w:rPr>
        <w:t xml:space="preserve">reliable and at a level that is satisfactory to </w:t>
      </w:r>
      <w:r w:rsidR="00BC1F66">
        <w:rPr>
          <w:szCs w:val="24"/>
        </w:rPr>
        <w:t>their</w:t>
      </w:r>
      <w:r w:rsidR="003218F3">
        <w:rPr>
          <w:szCs w:val="24"/>
        </w:rPr>
        <w:t xml:space="preserve"> customers</w:t>
      </w:r>
      <w:r w:rsidR="00C4794C">
        <w:rPr>
          <w:szCs w:val="24"/>
        </w:rPr>
        <w:t xml:space="preserve">.  Perfect reliability </w:t>
      </w:r>
      <w:r w:rsidR="006B658B">
        <w:rPr>
          <w:szCs w:val="24"/>
        </w:rPr>
        <w:t>would be</w:t>
      </w:r>
      <w:r w:rsidR="00C4794C">
        <w:rPr>
          <w:szCs w:val="24"/>
        </w:rPr>
        <w:t xml:space="preserve"> prohibitively costly, and achieving such a state should not be the goal to which energy storage is valued.  </w:t>
      </w:r>
      <w:r w:rsidR="00BC1F66">
        <w:rPr>
          <w:szCs w:val="24"/>
        </w:rPr>
        <w:t>If a utility has a need to improve reliability</w:t>
      </w:r>
      <w:r w:rsidR="00C4794C">
        <w:rPr>
          <w:szCs w:val="24"/>
        </w:rPr>
        <w:t>, energy storage</w:t>
      </w:r>
      <w:r w:rsidR="00BC1F66">
        <w:rPr>
          <w:szCs w:val="24"/>
        </w:rPr>
        <w:t xml:space="preserve"> may be considered in an effort to mitigate outages, but</w:t>
      </w:r>
      <w:r w:rsidR="00C4794C">
        <w:rPr>
          <w:szCs w:val="24"/>
        </w:rPr>
        <w:t xml:space="preserve"> should </w:t>
      </w:r>
      <w:r w:rsidR="00BC1F66">
        <w:rPr>
          <w:szCs w:val="24"/>
        </w:rPr>
        <w:t xml:space="preserve">continue to </w:t>
      </w:r>
      <w:r w:rsidR="00C4794C">
        <w:rPr>
          <w:szCs w:val="24"/>
        </w:rPr>
        <w:t xml:space="preserve">compete against </w:t>
      </w:r>
      <w:r w:rsidR="00BC1F66">
        <w:rPr>
          <w:szCs w:val="24"/>
        </w:rPr>
        <w:t xml:space="preserve">lower-cost </w:t>
      </w:r>
      <w:r w:rsidR="00C4794C">
        <w:rPr>
          <w:szCs w:val="24"/>
        </w:rPr>
        <w:t>alternative</w:t>
      </w:r>
      <w:r w:rsidR="006340A1">
        <w:rPr>
          <w:szCs w:val="24"/>
        </w:rPr>
        <w:t>s</w:t>
      </w:r>
      <w:r w:rsidR="00C4794C">
        <w:rPr>
          <w:szCs w:val="24"/>
        </w:rPr>
        <w:t xml:space="preserve"> and traditional resources that likely</w:t>
      </w:r>
      <w:r w:rsidR="00BC1F66">
        <w:rPr>
          <w:szCs w:val="24"/>
        </w:rPr>
        <w:t xml:space="preserve"> will</w:t>
      </w:r>
      <w:r w:rsidR="00C4794C">
        <w:rPr>
          <w:szCs w:val="24"/>
        </w:rPr>
        <w:t xml:space="preserve"> bring with them the ability to generate the highest-value power system service</w:t>
      </w:r>
      <w:r w:rsidR="003218F3">
        <w:rPr>
          <w:szCs w:val="24"/>
        </w:rPr>
        <w:t>, i.e., energy, which</w:t>
      </w:r>
      <w:r w:rsidR="00C4794C">
        <w:rPr>
          <w:szCs w:val="24"/>
        </w:rPr>
        <w:t xml:space="preserve"> energy storage systems cannot.</w:t>
      </w:r>
    </w:p>
    <w:p w:rsidR="006340A1" w:rsidRDefault="006340A1" w:rsidP="00C4794C">
      <w:pPr>
        <w:spacing w:line="360" w:lineRule="auto"/>
        <w:ind w:firstLine="720"/>
        <w:jc w:val="both"/>
        <w:rPr>
          <w:szCs w:val="24"/>
        </w:rPr>
      </w:pPr>
    </w:p>
    <w:p w:rsidR="00C37369" w:rsidRPr="00C37369" w:rsidRDefault="00C37369" w:rsidP="00C37369">
      <w:pPr>
        <w:spacing w:line="264" w:lineRule="auto"/>
        <w:ind w:left="360" w:firstLine="720"/>
        <w:rPr>
          <w:b/>
        </w:rPr>
      </w:pPr>
      <w:r w:rsidRPr="00C37369">
        <w:rPr>
          <w:b/>
        </w:rPr>
        <w:t>4. System Balancing</w:t>
      </w:r>
    </w:p>
    <w:p w:rsidR="00C37369" w:rsidRPr="00C37369" w:rsidRDefault="00C37369" w:rsidP="00C37369">
      <w:pPr>
        <w:pStyle w:val="ListParagraph"/>
        <w:numPr>
          <w:ilvl w:val="0"/>
          <w:numId w:val="48"/>
        </w:numPr>
        <w:spacing w:line="264" w:lineRule="auto"/>
        <w:ind w:left="1800"/>
        <w:rPr>
          <w:b/>
        </w:rPr>
      </w:pPr>
      <w:r w:rsidRPr="00C37369">
        <w:rPr>
          <w:b/>
        </w:rPr>
        <w:t>Regulation/frequency control</w:t>
      </w:r>
    </w:p>
    <w:p w:rsidR="00C37369" w:rsidRPr="00C37369" w:rsidRDefault="00C37369" w:rsidP="00C37369">
      <w:pPr>
        <w:pStyle w:val="ListParagraph"/>
        <w:numPr>
          <w:ilvl w:val="0"/>
          <w:numId w:val="48"/>
        </w:numPr>
        <w:spacing w:line="264" w:lineRule="auto"/>
        <w:ind w:left="1800"/>
        <w:rPr>
          <w:b/>
        </w:rPr>
      </w:pPr>
      <w:r w:rsidRPr="00C37369">
        <w:rPr>
          <w:b/>
        </w:rPr>
        <w:t>Load Following</w:t>
      </w:r>
    </w:p>
    <w:p w:rsidR="00C37369" w:rsidRPr="00C37369" w:rsidRDefault="00C37369" w:rsidP="00C37369">
      <w:pPr>
        <w:pStyle w:val="ListParagraph"/>
        <w:numPr>
          <w:ilvl w:val="0"/>
          <w:numId w:val="48"/>
        </w:numPr>
        <w:spacing w:line="264" w:lineRule="auto"/>
        <w:ind w:left="1800"/>
        <w:rPr>
          <w:b/>
        </w:rPr>
      </w:pPr>
      <w:r w:rsidRPr="00C37369">
        <w:rPr>
          <w:b/>
        </w:rPr>
        <w:t>Energy Imbalance</w:t>
      </w:r>
    </w:p>
    <w:p w:rsidR="00C37369" w:rsidRDefault="00C37369" w:rsidP="00C37369">
      <w:pPr>
        <w:spacing w:line="264" w:lineRule="auto"/>
        <w:ind w:left="1080"/>
        <w:rPr>
          <w:b/>
        </w:rPr>
      </w:pPr>
      <w:r w:rsidRPr="00C37369">
        <w:rPr>
          <w:b/>
        </w:rPr>
        <w:t xml:space="preserve">5. Contingency Reserves </w:t>
      </w:r>
    </w:p>
    <w:p w:rsidR="00C37369" w:rsidRDefault="00C37369" w:rsidP="00C37369">
      <w:pPr>
        <w:spacing w:line="264" w:lineRule="auto"/>
        <w:ind w:left="1080"/>
        <w:rPr>
          <w:b/>
        </w:rPr>
      </w:pPr>
    </w:p>
    <w:p w:rsidR="00C37369" w:rsidRDefault="00C37369" w:rsidP="00C37369">
      <w:pPr>
        <w:spacing w:line="360" w:lineRule="auto"/>
        <w:ind w:firstLine="720"/>
        <w:jc w:val="both"/>
        <w:rPr>
          <w:szCs w:val="24"/>
        </w:rPr>
      </w:pPr>
      <w:r w:rsidRPr="00C37369">
        <w:rPr>
          <w:b/>
        </w:rPr>
        <w:t xml:space="preserve">Response: </w:t>
      </w:r>
      <w:r w:rsidR="00C4794C">
        <w:rPr>
          <w:szCs w:val="24"/>
        </w:rPr>
        <w:t>System balancing and contingency reserves can be modeled reasonably well in some existing production cost models by describing in the models the various capabilities of energy storage.  These models will capture the significant majority of energy storage value.  The better method, and one employed by Avista, is evaluating one’s generation portfolio with an optimization engine so as to maximize the utilization of both existing and new traditional resources and energy storage.  The largest reason for enhancing modeling with new optimization tools is that the hydro system has inherent flexibility when conditions change significantly from the past (e.g., with the inclusion of renewables)</w:t>
      </w:r>
      <w:r w:rsidR="006340A1">
        <w:rPr>
          <w:szCs w:val="24"/>
        </w:rPr>
        <w:t>.</w:t>
      </w:r>
    </w:p>
    <w:p w:rsidR="00C37369" w:rsidRPr="00C37369" w:rsidRDefault="00C37369" w:rsidP="00C37369">
      <w:pPr>
        <w:spacing w:line="264" w:lineRule="auto"/>
        <w:rPr>
          <w:b/>
        </w:rPr>
      </w:pPr>
    </w:p>
    <w:p w:rsidR="00C37369" w:rsidRDefault="00C37369" w:rsidP="00C37369">
      <w:pPr>
        <w:spacing w:line="264" w:lineRule="auto"/>
        <w:ind w:left="1080"/>
        <w:rPr>
          <w:b/>
        </w:rPr>
      </w:pPr>
      <w:r w:rsidRPr="00C37369">
        <w:rPr>
          <w:b/>
        </w:rPr>
        <w:t>6. Reactive Power Support</w:t>
      </w:r>
    </w:p>
    <w:p w:rsidR="00C37369" w:rsidRDefault="00C37369" w:rsidP="00C37369">
      <w:pPr>
        <w:spacing w:line="264" w:lineRule="auto"/>
        <w:ind w:left="1080"/>
        <w:rPr>
          <w:b/>
        </w:rPr>
      </w:pPr>
    </w:p>
    <w:p w:rsidR="00C4794C" w:rsidRDefault="00C37369" w:rsidP="00C4794C">
      <w:pPr>
        <w:spacing w:line="360" w:lineRule="auto"/>
        <w:jc w:val="both"/>
        <w:rPr>
          <w:szCs w:val="24"/>
        </w:rPr>
      </w:pPr>
      <w:r>
        <w:rPr>
          <w:b/>
        </w:rPr>
        <w:tab/>
      </w:r>
      <w:r w:rsidRPr="00C37369">
        <w:rPr>
          <w:b/>
        </w:rPr>
        <w:t>Response:</w:t>
      </w:r>
      <w:r>
        <w:rPr>
          <w:b/>
        </w:rPr>
        <w:t xml:space="preserve"> </w:t>
      </w:r>
      <w:r w:rsidR="00C4794C">
        <w:rPr>
          <w:szCs w:val="24"/>
        </w:rPr>
        <w:t xml:space="preserve">Reactive power is a consumptive use of capacity provided by generation assets or by capacitor banks along the electricity distribution system.  Reactive power generally must be produced in the rough vicinity of the reactive power-consumptive load, but not necessarily at the load.  Reactive power is a smaller-cost ancillary service, and generally utilities </w:t>
      </w:r>
      <w:r w:rsidR="00C4794C">
        <w:rPr>
          <w:szCs w:val="24"/>
        </w:rPr>
        <w:lastRenderedPageBreak/>
        <w:t>do not have detailed avoided cost studies to quantify those costs</w:t>
      </w:r>
      <w:r w:rsidR="006340A1">
        <w:rPr>
          <w:szCs w:val="24"/>
        </w:rPr>
        <w:t>, from energy storage or any other technology</w:t>
      </w:r>
      <w:r w:rsidR="00C4794C">
        <w:rPr>
          <w:szCs w:val="24"/>
        </w:rPr>
        <w:t xml:space="preserve">.  Avista is in the early stages of evaluating the introduction of reactive power support into its ADSS model, but its introduction likely will show very small system </w:t>
      </w:r>
      <w:r w:rsidR="006B09C9">
        <w:rPr>
          <w:szCs w:val="24"/>
        </w:rPr>
        <w:t>costs</w:t>
      </w:r>
      <w:r w:rsidR="00C4794C">
        <w:rPr>
          <w:szCs w:val="24"/>
        </w:rPr>
        <w:t xml:space="preserve"> associated with reactive power support.</w:t>
      </w:r>
    </w:p>
    <w:p w:rsidR="00C37369" w:rsidRPr="00C37369" w:rsidRDefault="00C37369" w:rsidP="00C37369">
      <w:pPr>
        <w:spacing w:line="264" w:lineRule="auto"/>
        <w:rPr>
          <w:b/>
        </w:rPr>
      </w:pPr>
    </w:p>
    <w:p w:rsidR="00C37369" w:rsidRDefault="00C37369" w:rsidP="00C37369">
      <w:pPr>
        <w:spacing w:line="264" w:lineRule="auto"/>
        <w:ind w:left="1080"/>
        <w:rPr>
          <w:b/>
        </w:rPr>
      </w:pPr>
      <w:r w:rsidRPr="00C37369">
        <w:rPr>
          <w:b/>
        </w:rPr>
        <w:t>7. Network Stability Services</w:t>
      </w:r>
    </w:p>
    <w:p w:rsidR="00C37369" w:rsidRDefault="00C37369" w:rsidP="00C37369">
      <w:pPr>
        <w:spacing w:line="264" w:lineRule="auto"/>
        <w:ind w:left="1080"/>
        <w:rPr>
          <w:b/>
        </w:rPr>
      </w:pPr>
    </w:p>
    <w:p w:rsidR="00C4794C" w:rsidRPr="00F04AE3" w:rsidRDefault="00C37369" w:rsidP="00C4794C">
      <w:pPr>
        <w:spacing w:line="360" w:lineRule="auto"/>
        <w:ind w:firstLine="720"/>
        <w:jc w:val="both"/>
        <w:rPr>
          <w:szCs w:val="24"/>
        </w:rPr>
      </w:pPr>
      <w:r>
        <w:rPr>
          <w:b/>
          <w:szCs w:val="24"/>
        </w:rPr>
        <w:t xml:space="preserve">Response: </w:t>
      </w:r>
      <w:r w:rsidR="00C4794C">
        <w:rPr>
          <w:szCs w:val="24"/>
        </w:rPr>
        <w:t>Avista is not certain what is meant by Network Stability Services, but notes that today’s system operates in a stable and reliable manner.  Each added resource and transmission and distribution investment brings with it</w:t>
      </w:r>
      <w:r w:rsidR="004E47F0">
        <w:rPr>
          <w:szCs w:val="24"/>
        </w:rPr>
        <w:t>,</w:t>
      </w:r>
      <w:r w:rsidR="00C4794C">
        <w:rPr>
          <w:szCs w:val="24"/>
        </w:rPr>
        <w:t xml:space="preserve"> by definition</w:t>
      </w:r>
      <w:r w:rsidR="004E47F0">
        <w:rPr>
          <w:szCs w:val="24"/>
        </w:rPr>
        <w:t>,</w:t>
      </w:r>
      <w:r w:rsidR="00C4794C">
        <w:rPr>
          <w:szCs w:val="24"/>
        </w:rPr>
        <w:t xml:space="preserve"> capabilities to assist in network stability services.  Smart Grid investments also enhance such services absent energy storage systems.</w:t>
      </w:r>
    </w:p>
    <w:p w:rsidR="00C37369" w:rsidRDefault="00C37369" w:rsidP="00C37369">
      <w:pPr>
        <w:spacing w:line="264" w:lineRule="auto"/>
        <w:rPr>
          <w:b/>
        </w:rPr>
      </w:pPr>
    </w:p>
    <w:p w:rsidR="00C37369" w:rsidRDefault="00C37369" w:rsidP="00C37369">
      <w:pPr>
        <w:spacing w:line="264" w:lineRule="auto"/>
        <w:ind w:left="1080"/>
        <w:rPr>
          <w:b/>
        </w:rPr>
      </w:pPr>
      <w:r>
        <w:rPr>
          <w:b/>
        </w:rPr>
        <w:t>8.</w:t>
      </w:r>
      <w:r w:rsidRPr="00C37369">
        <w:rPr>
          <w:b/>
        </w:rPr>
        <w:t xml:space="preserve"> System Black Start Capability</w:t>
      </w:r>
    </w:p>
    <w:p w:rsidR="00C37369" w:rsidRDefault="00C37369" w:rsidP="00C37369">
      <w:pPr>
        <w:spacing w:line="264" w:lineRule="auto"/>
        <w:rPr>
          <w:b/>
        </w:rPr>
      </w:pPr>
    </w:p>
    <w:p w:rsidR="00C4794C" w:rsidRDefault="00C37369" w:rsidP="00C4794C">
      <w:pPr>
        <w:spacing w:line="360" w:lineRule="auto"/>
        <w:jc w:val="both"/>
        <w:rPr>
          <w:szCs w:val="24"/>
        </w:rPr>
      </w:pPr>
      <w:r>
        <w:rPr>
          <w:b/>
        </w:rPr>
        <w:tab/>
        <w:t xml:space="preserve">Response: </w:t>
      </w:r>
      <w:r w:rsidR="00C4794C">
        <w:rPr>
          <w:szCs w:val="24"/>
        </w:rPr>
        <w:t>Black start capability, while important for bringing an existing system back into service, is infrequently used, making its average value very small in relation to the overall power delivery system cost.  Existing Avista systems</w:t>
      </w:r>
      <w:r w:rsidR="004E47F0">
        <w:rPr>
          <w:szCs w:val="24"/>
        </w:rPr>
        <w:t xml:space="preserve"> and</w:t>
      </w:r>
      <w:r w:rsidR="00C4794C">
        <w:rPr>
          <w:szCs w:val="24"/>
        </w:rPr>
        <w:t xml:space="preserve"> interconnections with other </w:t>
      </w:r>
      <w:r w:rsidR="004E47F0">
        <w:rPr>
          <w:szCs w:val="24"/>
        </w:rPr>
        <w:t>utilities</w:t>
      </w:r>
      <w:r w:rsidR="00C4794C">
        <w:rPr>
          <w:szCs w:val="24"/>
        </w:rPr>
        <w:t xml:space="preserve"> provide this capability at very low cost.  Avista does not anticipate a need</w:t>
      </w:r>
      <w:r w:rsidR="004E47F0">
        <w:rPr>
          <w:szCs w:val="24"/>
        </w:rPr>
        <w:t xml:space="preserve"> for</w:t>
      </w:r>
      <w:r w:rsidR="00C4794C">
        <w:rPr>
          <w:szCs w:val="24"/>
        </w:rPr>
        <w:t xml:space="preserve"> new investment in this service in the near or long-term future</w:t>
      </w:r>
      <w:r w:rsidR="004E47F0">
        <w:rPr>
          <w:szCs w:val="24"/>
        </w:rPr>
        <w:t xml:space="preserve">, </w:t>
      </w:r>
      <w:r w:rsidR="00647D30">
        <w:rPr>
          <w:szCs w:val="24"/>
        </w:rPr>
        <w:t xml:space="preserve">and </w:t>
      </w:r>
      <w:r w:rsidR="004E47F0">
        <w:rPr>
          <w:szCs w:val="24"/>
        </w:rPr>
        <w:t>thus</w:t>
      </w:r>
      <w:r w:rsidR="00C4794C">
        <w:rPr>
          <w:szCs w:val="24"/>
        </w:rPr>
        <w:t xml:space="preserve"> does not model the service explicitly.</w:t>
      </w:r>
    </w:p>
    <w:p w:rsidR="00C37369" w:rsidRDefault="00C37369" w:rsidP="00C37369">
      <w:pPr>
        <w:spacing w:line="264" w:lineRule="auto"/>
        <w:rPr>
          <w:b/>
        </w:rPr>
      </w:pPr>
    </w:p>
    <w:p w:rsidR="00C37369" w:rsidRDefault="00C37369" w:rsidP="00C37369">
      <w:pPr>
        <w:spacing w:line="264" w:lineRule="auto"/>
        <w:ind w:left="1080"/>
        <w:rPr>
          <w:b/>
        </w:rPr>
      </w:pPr>
      <w:r>
        <w:rPr>
          <w:b/>
        </w:rPr>
        <w:t xml:space="preserve">9. Other </w:t>
      </w:r>
    </w:p>
    <w:p w:rsidR="00C37369" w:rsidRDefault="00C37369" w:rsidP="00C37369">
      <w:pPr>
        <w:spacing w:line="264" w:lineRule="auto"/>
        <w:rPr>
          <w:b/>
        </w:rPr>
      </w:pPr>
    </w:p>
    <w:p w:rsidR="00C37369" w:rsidRPr="00C37369" w:rsidRDefault="00C37369" w:rsidP="00B8671A">
      <w:pPr>
        <w:spacing w:line="360" w:lineRule="auto"/>
        <w:ind w:firstLine="720"/>
        <w:rPr>
          <w:b/>
        </w:rPr>
      </w:pPr>
      <w:r>
        <w:rPr>
          <w:b/>
        </w:rPr>
        <w:t xml:space="preserve">Response: </w:t>
      </w:r>
      <w:r>
        <w:t xml:space="preserve">Avista does not </w:t>
      </w:r>
      <w:r w:rsidR="00B8671A">
        <w:t>have any additional benefits to describe apart from what was described above.</w:t>
      </w:r>
    </w:p>
    <w:p w:rsidR="00C37369" w:rsidRDefault="00C37369" w:rsidP="00066C44">
      <w:pPr>
        <w:spacing w:line="240" w:lineRule="auto"/>
        <w:ind w:firstLine="720"/>
        <w:jc w:val="both"/>
        <w:rPr>
          <w:rFonts w:cs="Times New Roman"/>
          <w:color w:val="000000"/>
          <w:szCs w:val="24"/>
        </w:rPr>
      </w:pPr>
    </w:p>
    <w:p w:rsidR="00B8671A" w:rsidRDefault="00B8671A" w:rsidP="00B8671A">
      <w:pPr>
        <w:pStyle w:val="ListParagraph"/>
        <w:numPr>
          <w:ilvl w:val="0"/>
          <w:numId w:val="46"/>
        </w:numPr>
        <w:spacing w:line="264" w:lineRule="auto"/>
        <w:jc w:val="both"/>
        <w:rPr>
          <w:b/>
        </w:rPr>
      </w:pPr>
      <w:r w:rsidRPr="00B8671A">
        <w:rPr>
          <w:b/>
        </w:rPr>
        <w:t xml:space="preserve">Models are available today that assign values to the many different use cases of a storage system. These models optimize the value of a storage system by selecting the service that provides the most benefit to the utility and consumers at a particular moment. What technical capability do the utilities have to perform similar modeling?  Given that planning in Washington focuses on a least-cost, least-risk resource analysis, how could utility resource plans best analyze and incorporate such analysis into existing IRP and resource procurement models? </w:t>
      </w:r>
    </w:p>
    <w:p w:rsidR="00B8671A" w:rsidRDefault="00B8671A" w:rsidP="00B8671A">
      <w:pPr>
        <w:pStyle w:val="ListParagraph"/>
        <w:spacing w:line="264" w:lineRule="auto"/>
        <w:rPr>
          <w:b/>
        </w:rPr>
      </w:pPr>
    </w:p>
    <w:p w:rsidR="00C4794C" w:rsidRDefault="00B8671A" w:rsidP="00C4794C">
      <w:pPr>
        <w:spacing w:line="360" w:lineRule="auto"/>
        <w:ind w:firstLine="720"/>
        <w:jc w:val="both"/>
        <w:rPr>
          <w:szCs w:val="24"/>
        </w:rPr>
      </w:pPr>
      <w:r w:rsidRPr="00B8671A">
        <w:rPr>
          <w:b/>
        </w:rPr>
        <w:t>Response:</w:t>
      </w:r>
      <w:r>
        <w:rPr>
          <w:b/>
        </w:rPr>
        <w:t xml:space="preserve"> </w:t>
      </w:r>
      <w:r w:rsidR="00C4794C">
        <w:rPr>
          <w:szCs w:val="24"/>
        </w:rPr>
        <w:t xml:space="preserve">A number of models are being proposed by the national labs and other groups.  They contain powerful optimization algorithms that attempt to model the physics of energy </w:t>
      </w:r>
      <w:r w:rsidR="00C4794C">
        <w:rPr>
          <w:szCs w:val="24"/>
        </w:rPr>
        <w:lastRenderedPageBreak/>
        <w:t xml:space="preserve">storage systems.  Unfortunately, these are not disciplined by market values.  The hardest part of the equation is not developing optimization algorithms, </w:t>
      </w:r>
      <w:r w:rsidR="004E47F0">
        <w:rPr>
          <w:szCs w:val="24"/>
        </w:rPr>
        <w:t xml:space="preserve">but </w:t>
      </w:r>
      <w:r w:rsidR="00C4794C">
        <w:rPr>
          <w:szCs w:val="24"/>
        </w:rPr>
        <w:t xml:space="preserve">providing reasonable avoided cost values for the ancillary service products the storage systems are attempting to supply.  On the face, the price data would seem simple, yet value is highly </w:t>
      </w:r>
      <w:r w:rsidR="004E47F0">
        <w:rPr>
          <w:szCs w:val="24"/>
        </w:rPr>
        <w:t xml:space="preserve">dependent </w:t>
      </w:r>
      <w:r w:rsidR="00C4794C">
        <w:rPr>
          <w:szCs w:val="24"/>
        </w:rPr>
        <w:t>on the operation of the remaining generation portfolio absent the storage system.  Price data, in this instance, is of much greater importance than the optimization algorithm itself.</w:t>
      </w:r>
    </w:p>
    <w:p w:rsidR="00C4794C" w:rsidRDefault="00C4794C" w:rsidP="00C4794C">
      <w:pPr>
        <w:spacing w:line="360" w:lineRule="auto"/>
        <w:jc w:val="both"/>
        <w:rPr>
          <w:szCs w:val="24"/>
        </w:rPr>
      </w:pPr>
    </w:p>
    <w:p w:rsidR="00C4794C" w:rsidRDefault="00C4794C" w:rsidP="00C4794C">
      <w:pPr>
        <w:spacing w:line="360" w:lineRule="auto"/>
        <w:ind w:firstLine="720"/>
        <w:jc w:val="both"/>
        <w:rPr>
          <w:szCs w:val="24"/>
        </w:rPr>
      </w:pPr>
      <w:r>
        <w:rPr>
          <w:szCs w:val="24"/>
        </w:rPr>
        <w:t>Avista has modeling tools capable</w:t>
      </w:r>
      <w:r w:rsidR="00414AAF">
        <w:rPr>
          <w:szCs w:val="24"/>
        </w:rPr>
        <w:t xml:space="preserve"> of</w:t>
      </w:r>
      <w:r>
        <w:rPr>
          <w:szCs w:val="24"/>
        </w:rPr>
        <w:t xml:space="preserve"> optimizing its existing portfolio, both with and without energy storage systems.  Our proprietary ADSS system in its present state can value energy, peak shaving, energy arbitrage, </w:t>
      </w:r>
      <w:proofErr w:type="gramStart"/>
      <w:r>
        <w:rPr>
          <w:szCs w:val="24"/>
        </w:rPr>
        <w:t>system</w:t>
      </w:r>
      <w:proofErr w:type="gramEnd"/>
      <w:r>
        <w:rPr>
          <w:szCs w:val="24"/>
        </w:rPr>
        <w:t xml:space="preserve"> balancing and contingency reserves.  ADSS could be enhanced to consider reactive power support when it is determined that such an evaluation is necessary.</w:t>
      </w:r>
    </w:p>
    <w:p w:rsidR="00C4794C" w:rsidRDefault="00C4794C" w:rsidP="00C4794C">
      <w:pPr>
        <w:spacing w:line="360" w:lineRule="auto"/>
        <w:ind w:firstLine="720"/>
        <w:jc w:val="both"/>
        <w:rPr>
          <w:szCs w:val="24"/>
        </w:rPr>
      </w:pPr>
      <w:r>
        <w:rPr>
          <w:szCs w:val="24"/>
        </w:rPr>
        <w:t xml:space="preserve">Beyond using technology like ADSS, the results must be integrated into the IRP.  Just as </w:t>
      </w:r>
      <w:r w:rsidR="00414AAF">
        <w:rPr>
          <w:szCs w:val="24"/>
        </w:rPr>
        <w:t xml:space="preserve"> the Company </w:t>
      </w:r>
      <w:r>
        <w:rPr>
          <w:szCs w:val="24"/>
        </w:rPr>
        <w:t>do</w:t>
      </w:r>
      <w:r w:rsidR="00414AAF">
        <w:rPr>
          <w:szCs w:val="24"/>
        </w:rPr>
        <w:t>es</w:t>
      </w:r>
      <w:r>
        <w:rPr>
          <w:szCs w:val="24"/>
        </w:rPr>
        <w:t xml:space="preserve"> for many other resource options, and as demonstrated in </w:t>
      </w:r>
      <w:r w:rsidR="00932322">
        <w:rPr>
          <w:szCs w:val="24"/>
        </w:rPr>
        <w:t xml:space="preserve">its </w:t>
      </w:r>
      <w:r>
        <w:rPr>
          <w:szCs w:val="24"/>
        </w:rPr>
        <w:t xml:space="preserve">2015 IRP with regard to quantifying the ancillary service value of energy storage and other traditional generation assets, the results of ADSS can be input into </w:t>
      </w:r>
      <w:r w:rsidR="00647D30">
        <w:rPr>
          <w:szCs w:val="24"/>
        </w:rPr>
        <w:t>PRiSM</w:t>
      </w:r>
      <w:r>
        <w:rPr>
          <w:szCs w:val="24"/>
        </w:rPr>
        <w:t>.  Conceptually, the analysis is/was completed as follows: 1) determine the fixed life-cycle costs of owning a new resource option, including capital investment and operations and maintenance; 2) run our production cost model (Aurora) to determine the life-cycle energy value of the new resource option, accounting for fuel and variable operations and maintenance; 3) determine the value of a new resource’s ancillary services, as determined by ADSS runs; 4) subtract the values from Step 2 and Step 3 from Step 1; 5) select the resource or resources that have the least-cost as determined in Step 4.  In the case of Step 5, Avista uses its proprietary PRiSM model to select the least-cost mix of resources.</w:t>
      </w:r>
    </w:p>
    <w:p w:rsidR="00B8671A" w:rsidRPr="00B8671A" w:rsidRDefault="00B8671A" w:rsidP="00C4794C">
      <w:pPr>
        <w:spacing w:line="360" w:lineRule="auto"/>
        <w:ind w:firstLine="720"/>
        <w:jc w:val="both"/>
        <w:rPr>
          <w:b/>
        </w:rPr>
      </w:pPr>
    </w:p>
    <w:p w:rsidR="00B8671A" w:rsidRPr="00B8671A" w:rsidRDefault="00B8671A" w:rsidP="00B8671A">
      <w:pPr>
        <w:pStyle w:val="ListParagraph"/>
        <w:numPr>
          <w:ilvl w:val="0"/>
          <w:numId w:val="46"/>
        </w:numPr>
        <w:spacing w:line="264" w:lineRule="auto"/>
        <w:jc w:val="both"/>
        <w:rPr>
          <w:b/>
        </w:rPr>
      </w:pPr>
      <w:r w:rsidRPr="00B8671A">
        <w:rPr>
          <w:b/>
        </w:rPr>
        <w:t xml:space="preserve">Utilities, as balancing authority areas, currently provide ancillary services. As balancing authorities, what ancillary services are the utilities responsible for providing? What resources are do utilities currently use to provide ancillary services? What are the costs associated with using these resources to provide ancillary services, and what is the opportunity cost of using the resources to provide ancillary services? Would it be appropriate for Washington to use rates for ancillary services in organized electricity markets as a proxy for valuing the ancillary benefits of energy storage in Washington? </w:t>
      </w:r>
    </w:p>
    <w:p w:rsidR="00B8671A" w:rsidRDefault="00B8671A" w:rsidP="00B8671A">
      <w:pPr>
        <w:pStyle w:val="ListParagraph"/>
      </w:pPr>
    </w:p>
    <w:p w:rsidR="00C4794C" w:rsidRDefault="00B8671A" w:rsidP="00C4794C">
      <w:pPr>
        <w:spacing w:line="360" w:lineRule="auto"/>
        <w:ind w:firstLine="720"/>
        <w:jc w:val="both"/>
        <w:rPr>
          <w:szCs w:val="24"/>
        </w:rPr>
      </w:pPr>
      <w:r>
        <w:rPr>
          <w:b/>
        </w:rPr>
        <w:t xml:space="preserve">Response: </w:t>
      </w:r>
      <w:r w:rsidR="00C4794C">
        <w:rPr>
          <w:szCs w:val="24"/>
        </w:rPr>
        <w:t xml:space="preserve">Avista provides a number of ancillary services, as outlined in </w:t>
      </w:r>
      <w:r w:rsidR="006C1B31">
        <w:rPr>
          <w:szCs w:val="24"/>
        </w:rPr>
        <w:t xml:space="preserve">its </w:t>
      </w:r>
      <w:r w:rsidR="00C4794C">
        <w:rPr>
          <w:szCs w:val="24"/>
        </w:rPr>
        <w:t>Open Access Transmission Tariff (OATT).  These include: 1) scheduling, system control and dispatch service, 2) reactive supply and voltage control; 3) regulation and frequency response; 4) energy imbalance; 5) operating reserves; and 6) generator imbalance service.  The services are procured from varying resources depending on system conditions that change very rapidly.  Our hydro resources provide the overwhelming majority of these services, but our gas resources assist with operating reserves and less frequently with the other ancillaries.</w:t>
      </w:r>
    </w:p>
    <w:p w:rsidR="00C4794C" w:rsidRDefault="00C4794C" w:rsidP="00C4794C">
      <w:pPr>
        <w:spacing w:line="360" w:lineRule="auto"/>
        <w:jc w:val="both"/>
        <w:rPr>
          <w:szCs w:val="24"/>
        </w:rPr>
      </w:pPr>
    </w:p>
    <w:p w:rsidR="00C4794C" w:rsidRDefault="00C4794C" w:rsidP="00C4794C">
      <w:pPr>
        <w:spacing w:line="360" w:lineRule="auto"/>
        <w:ind w:firstLine="720"/>
        <w:jc w:val="both"/>
        <w:rPr>
          <w:szCs w:val="24"/>
        </w:rPr>
      </w:pPr>
      <w:r>
        <w:rPr>
          <w:szCs w:val="24"/>
        </w:rPr>
        <w:t xml:space="preserve">The costs and opportunity costs of providing ancillary services are one and the same.  The costs vary from zero in many periods to tens or hundreds of dollars in </w:t>
      </w:r>
      <w:r w:rsidR="00812C30">
        <w:rPr>
          <w:szCs w:val="24"/>
        </w:rPr>
        <w:t xml:space="preserve">infrequent, </w:t>
      </w:r>
      <w:r>
        <w:rPr>
          <w:szCs w:val="24"/>
        </w:rPr>
        <w:t>extreme conditions where our system is limited by physics and/or wholesale electricity market prices.  Avista has not yet performed a specific study to quantify the overall costs of these services.  Instead it includes the obligations as part of its overall IRP modeling.  The costs therefore are embedded in the analysis.  Pulling the specific costs out from the IRP modeling would not in and of itself be difficult for us; however, most of our generation resources can interchangeably provide the necessary ancillary services and attaching a unique value to each separate ancillary service will require extensive covariance analysis.</w:t>
      </w:r>
    </w:p>
    <w:p w:rsidR="00C4794C" w:rsidRDefault="00C4794C" w:rsidP="00C4794C">
      <w:pPr>
        <w:spacing w:line="360" w:lineRule="auto"/>
        <w:ind w:firstLine="360"/>
        <w:jc w:val="both"/>
        <w:rPr>
          <w:szCs w:val="24"/>
        </w:rPr>
      </w:pPr>
    </w:p>
    <w:p w:rsidR="00C4794C" w:rsidRDefault="00C4794C" w:rsidP="00C4794C">
      <w:pPr>
        <w:spacing w:line="360" w:lineRule="auto"/>
        <w:ind w:firstLine="720"/>
        <w:jc w:val="both"/>
        <w:rPr>
          <w:szCs w:val="24"/>
        </w:rPr>
      </w:pPr>
      <w:r>
        <w:rPr>
          <w:szCs w:val="24"/>
        </w:rPr>
        <w:t>Based on the complexity described, and our region’s vastly different mix (i.e., hydro- versus thermal-based) of generation resources and ancillary service costs, it would be inappropriate to use prices from other market areas.  Any such analysis would grossly over-state the value of ancillary services, both to existing resources on the northwest grid, and new technologies such as energy storage.</w:t>
      </w:r>
    </w:p>
    <w:p w:rsidR="00B8671A" w:rsidRPr="00B8671A" w:rsidRDefault="00B8671A" w:rsidP="00C4794C">
      <w:pPr>
        <w:spacing w:line="360" w:lineRule="auto"/>
        <w:ind w:firstLine="720"/>
        <w:jc w:val="both"/>
        <w:rPr>
          <w:b/>
        </w:rPr>
      </w:pPr>
    </w:p>
    <w:p w:rsidR="00B8671A" w:rsidRPr="00B8671A" w:rsidRDefault="00B8671A" w:rsidP="00B8671A">
      <w:pPr>
        <w:pStyle w:val="ListParagraph"/>
        <w:numPr>
          <w:ilvl w:val="0"/>
          <w:numId w:val="46"/>
        </w:numPr>
        <w:spacing w:line="264" w:lineRule="auto"/>
        <w:rPr>
          <w:b/>
        </w:rPr>
      </w:pPr>
      <w:r w:rsidRPr="00B8671A">
        <w:rPr>
          <w:b/>
        </w:rPr>
        <w:t>What additional questions should the Commission consider in the course of this investigation?</w:t>
      </w:r>
    </w:p>
    <w:p w:rsidR="00B8671A" w:rsidRDefault="00B8671A" w:rsidP="00066C44">
      <w:pPr>
        <w:spacing w:line="240" w:lineRule="auto"/>
        <w:ind w:firstLine="720"/>
        <w:jc w:val="both"/>
        <w:rPr>
          <w:rFonts w:cs="Times New Roman"/>
          <w:color w:val="000000"/>
          <w:szCs w:val="24"/>
        </w:rPr>
      </w:pPr>
    </w:p>
    <w:p w:rsidR="00C4794C" w:rsidRDefault="00B8671A" w:rsidP="00C4794C">
      <w:pPr>
        <w:spacing w:line="360" w:lineRule="auto"/>
        <w:ind w:firstLine="720"/>
        <w:jc w:val="both"/>
        <w:rPr>
          <w:szCs w:val="24"/>
        </w:rPr>
      </w:pPr>
      <w:r>
        <w:rPr>
          <w:rFonts w:cs="Times New Roman"/>
          <w:b/>
          <w:color w:val="000000"/>
          <w:szCs w:val="24"/>
        </w:rPr>
        <w:t xml:space="preserve">Response: </w:t>
      </w:r>
      <w:r w:rsidR="00C4794C">
        <w:rPr>
          <w:szCs w:val="24"/>
        </w:rPr>
        <w:t>There appears to be a barrier between the scientists and engineers studying energy storage and the analysts attempting to perform economic analysis</w:t>
      </w:r>
      <w:r w:rsidR="00812C30">
        <w:rPr>
          <w:szCs w:val="24"/>
        </w:rPr>
        <w:t xml:space="preserve"> on the technology</w:t>
      </w:r>
      <w:r w:rsidR="00C4794C">
        <w:rPr>
          <w:szCs w:val="24"/>
        </w:rPr>
        <w:t xml:space="preserve">.  </w:t>
      </w:r>
      <w:r w:rsidR="00812C30">
        <w:rPr>
          <w:szCs w:val="24"/>
        </w:rPr>
        <w:t>A</w:t>
      </w:r>
      <w:r w:rsidR="00C4794C">
        <w:rPr>
          <w:szCs w:val="24"/>
        </w:rPr>
        <w:t>nswers being provided by scientists and engineers do not appear comprehensive enough to complete a</w:t>
      </w:r>
      <w:r w:rsidR="00667847">
        <w:rPr>
          <w:szCs w:val="24"/>
        </w:rPr>
        <w:t xml:space="preserve"> robust</w:t>
      </w:r>
      <w:r w:rsidR="00812C30">
        <w:rPr>
          <w:szCs w:val="24"/>
        </w:rPr>
        <w:t xml:space="preserve"> IRP</w:t>
      </w:r>
      <w:r w:rsidR="00C4794C">
        <w:rPr>
          <w:szCs w:val="24"/>
        </w:rPr>
        <w:t xml:space="preserve"> analysis.  And </w:t>
      </w:r>
      <w:r w:rsidR="00667847">
        <w:rPr>
          <w:szCs w:val="24"/>
        </w:rPr>
        <w:t xml:space="preserve">the </w:t>
      </w:r>
      <w:r w:rsidR="00C4794C">
        <w:rPr>
          <w:szCs w:val="24"/>
        </w:rPr>
        <w:t xml:space="preserve">data </w:t>
      </w:r>
      <w:r w:rsidR="00667847">
        <w:rPr>
          <w:szCs w:val="24"/>
        </w:rPr>
        <w:t xml:space="preserve">being </w:t>
      </w:r>
      <w:r w:rsidR="00C4794C">
        <w:rPr>
          <w:szCs w:val="24"/>
        </w:rPr>
        <w:t xml:space="preserve">provided is not in a </w:t>
      </w:r>
      <w:r w:rsidR="00667847">
        <w:rPr>
          <w:szCs w:val="24"/>
        </w:rPr>
        <w:t xml:space="preserve">form </w:t>
      </w:r>
      <w:r w:rsidR="00C4794C">
        <w:rPr>
          <w:szCs w:val="24"/>
        </w:rPr>
        <w:t xml:space="preserve">compatible with </w:t>
      </w:r>
      <w:r w:rsidR="00667847">
        <w:rPr>
          <w:szCs w:val="24"/>
        </w:rPr>
        <w:lastRenderedPageBreak/>
        <w:t xml:space="preserve">the </w:t>
      </w:r>
      <w:r w:rsidR="00C4794C">
        <w:rPr>
          <w:szCs w:val="24"/>
        </w:rPr>
        <w:t xml:space="preserve">existing IRP framework.  </w:t>
      </w:r>
      <w:r w:rsidR="00503291">
        <w:rPr>
          <w:szCs w:val="24"/>
        </w:rPr>
        <w:t>T</w:t>
      </w:r>
      <w:r w:rsidR="00C4794C">
        <w:rPr>
          <w:szCs w:val="24"/>
        </w:rPr>
        <w:t xml:space="preserve">he scientists and engineers would benefit from </w:t>
      </w:r>
      <w:r w:rsidR="00503291">
        <w:rPr>
          <w:szCs w:val="24"/>
        </w:rPr>
        <w:t xml:space="preserve">a better </w:t>
      </w:r>
      <w:r w:rsidR="00C4794C">
        <w:rPr>
          <w:szCs w:val="24"/>
        </w:rPr>
        <w:t xml:space="preserve">understanding </w:t>
      </w:r>
      <w:r w:rsidR="00503291">
        <w:rPr>
          <w:szCs w:val="24"/>
        </w:rPr>
        <w:t xml:space="preserve">of </w:t>
      </w:r>
      <w:r w:rsidR="00C4794C">
        <w:rPr>
          <w:szCs w:val="24"/>
        </w:rPr>
        <w:t xml:space="preserve">the entire data set required for an IRP analysis.  </w:t>
      </w:r>
      <w:r w:rsidR="00E0100D">
        <w:rPr>
          <w:szCs w:val="24"/>
        </w:rPr>
        <w:t>One question the Commission should consider is</w:t>
      </w:r>
      <w:r w:rsidR="00667847">
        <w:rPr>
          <w:szCs w:val="24"/>
        </w:rPr>
        <w:t>:</w:t>
      </w:r>
      <w:r w:rsidR="00E0100D">
        <w:rPr>
          <w:szCs w:val="24"/>
        </w:rPr>
        <w:t xml:space="preserve"> </w:t>
      </w:r>
      <w:r w:rsidR="00667847">
        <w:rPr>
          <w:szCs w:val="24"/>
        </w:rPr>
        <w:t xml:space="preserve"> </w:t>
      </w:r>
      <w:r w:rsidR="00E0100D">
        <w:rPr>
          <w:szCs w:val="24"/>
        </w:rPr>
        <w:t>c</w:t>
      </w:r>
      <w:r w:rsidR="00C4794C">
        <w:rPr>
          <w:szCs w:val="24"/>
        </w:rPr>
        <w:t xml:space="preserve">an the </w:t>
      </w:r>
      <w:r w:rsidR="00667847">
        <w:rPr>
          <w:szCs w:val="24"/>
        </w:rPr>
        <w:t xml:space="preserve">present </w:t>
      </w:r>
      <w:r w:rsidR="00C4794C">
        <w:rPr>
          <w:szCs w:val="24"/>
        </w:rPr>
        <w:t>workshop proceedings be used as a forum to help bridge the divide between the scientists and engineers studying energy storage systems, and the utility analysts needing to translate the work to utility IRPs?</w:t>
      </w:r>
    </w:p>
    <w:p w:rsidR="00C4794C" w:rsidRDefault="00C4794C" w:rsidP="00C4794C">
      <w:pPr>
        <w:spacing w:line="360" w:lineRule="auto"/>
        <w:jc w:val="both"/>
        <w:rPr>
          <w:szCs w:val="24"/>
        </w:rPr>
      </w:pPr>
    </w:p>
    <w:p w:rsidR="005024B3" w:rsidRDefault="00F45919" w:rsidP="005024B3">
      <w:pPr>
        <w:pStyle w:val="NoSpacing"/>
        <w:spacing w:line="360" w:lineRule="auto"/>
        <w:ind w:firstLine="720"/>
        <w:jc w:val="both"/>
      </w:pPr>
      <w:r w:rsidRPr="0067498C">
        <w:t xml:space="preserve">If you have any questions regarding these comments, please contact </w:t>
      </w:r>
      <w:r w:rsidR="00DD474A">
        <w:t>Clint Kalich</w:t>
      </w:r>
      <w:r w:rsidRPr="0067498C">
        <w:t xml:space="preserve"> </w:t>
      </w:r>
      <w:r w:rsidR="001B29A5" w:rsidRPr="0067498C">
        <w:t>at 509-495-</w:t>
      </w:r>
      <w:r w:rsidR="00DD474A">
        <w:t xml:space="preserve">4532 or </w:t>
      </w:r>
      <w:hyperlink r:id="rId11" w:history="1">
        <w:r w:rsidR="00DD474A" w:rsidRPr="007F7F6C">
          <w:rPr>
            <w:rStyle w:val="Hyperlink"/>
          </w:rPr>
          <w:t>clint.kalich@avistacorp.com</w:t>
        </w:r>
      </w:hyperlink>
      <w:r w:rsidR="00DD474A">
        <w:t>.</w:t>
      </w:r>
    </w:p>
    <w:p w:rsidR="005024B3" w:rsidRDefault="005024B3" w:rsidP="005024B3">
      <w:pPr>
        <w:pStyle w:val="NoSpacing"/>
        <w:spacing w:line="360" w:lineRule="auto"/>
        <w:jc w:val="both"/>
      </w:pPr>
    </w:p>
    <w:p w:rsidR="00337F64" w:rsidRDefault="005024B3" w:rsidP="005024B3">
      <w:pPr>
        <w:pStyle w:val="NoSpacing"/>
        <w:spacing w:line="360" w:lineRule="auto"/>
        <w:jc w:val="both"/>
        <w:rPr>
          <w:rFonts w:cs="Times New Roman"/>
        </w:rPr>
      </w:pPr>
      <w:r>
        <w:rPr>
          <w:rFonts w:cs="Times New Roman"/>
        </w:rPr>
        <w:t>Sin</w:t>
      </w:r>
      <w:r w:rsidR="00337F64" w:rsidRPr="000D15BF">
        <w:rPr>
          <w:rFonts w:cs="Times New Roman"/>
        </w:rPr>
        <w:t>cerely,</w:t>
      </w:r>
    </w:p>
    <w:p w:rsidR="00337F64" w:rsidRPr="000D15BF" w:rsidRDefault="00337F64" w:rsidP="00A90606">
      <w:pPr>
        <w:spacing w:line="240" w:lineRule="auto"/>
        <w:jc w:val="both"/>
        <w:rPr>
          <w:rFonts w:cs="Times New Roman"/>
        </w:rPr>
      </w:pPr>
    </w:p>
    <w:p w:rsidR="00337F64" w:rsidRPr="00337F64" w:rsidRDefault="00337F64" w:rsidP="00A90606">
      <w:pPr>
        <w:spacing w:line="240" w:lineRule="auto"/>
        <w:jc w:val="both"/>
        <w:rPr>
          <w:rFonts w:ascii="Lucida Handwriting" w:hAnsi="Lucida Handwriting" w:cs="Times New Roman"/>
          <w:noProof/>
        </w:rPr>
      </w:pPr>
      <w:r w:rsidRPr="00337F64">
        <w:rPr>
          <w:rFonts w:ascii="Lucida Handwriting" w:hAnsi="Lucida Handwriting" w:cs="Times New Roman"/>
          <w:noProof/>
        </w:rPr>
        <w:t>/s/Linda Gervais/</w:t>
      </w:r>
    </w:p>
    <w:p w:rsidR="00337F64" w:rsidRPr="000D15BF" w:rsidRDefault="00337F64" w:rsidP="00A90606">
      <w:pPr>
        <w:spacing w:line="240" w:lineRule="auto"/>
        <w:jc w:val="both"/>
        <w:rPr>
          <w:rFonts w:cs="Times New Roman"/>
        </w:rPr>
      </w:pPr>
    </w:p>
    <w:p w:rsidR="00337F64" w:rsidRPr="000D15BF" w:rsidRDefault="00337F64" w:rsidP="00A90606">
      <w:pPr>
        <w:spacing w:line="240" w:lineRule="auto"/>
        <w:jc w:val="both"/>
        <w:rPr>
          <w:rFonts w:cs="Times New Roman"/>
        </w:rPr>
      </w:pPr>
      <w:r w:rsidRPr="000D15BF">
        <w:rPr>
          <w:rFonts w:cs="Times New Roman"/>
        </w:rPr>
        <w:t>Manager, Regulatory Policy</w:t>
      </w:r>
    </w:p>
    <w:p w:rsidR="00337F64" w:rsidRPr="00FF70D0" w:rsidRDefault="00337F64" w:rsidP="00A90606">
      <w:pPr>
        <w:spacing w:line="240" w:lineRule="auto"/>
        <w:jc w:val="both"/>
        <w:rPr>
          <w:rFonts w:cs="Times New Roman"/>
          <w:lang w:val="fr-FR"/>
        </w:rPr>
      </w:pPr>
      <w:r w:rsidRPr="00FF70D0">
        <w:rPr>
          <w:rFonts w:cs="Times New Roman"/>
          <w:lang w:val="fr-FR"/>
        </w:rPr>
        <w:t>Avista Utilities</w:t>
      </w:r>
    </w:p>
    <w:p w:rsidR="00337F64" w:rsidRPr="00FF70D0" w:rsidRDefault="00E471C8" w:rsidP="00A90606">
      <w:pPr>
        <w:spacing w:line="240" w:lineRule="auto"/>
        <w:jc w:val="both"/>
        <w:rPr>
          <w:rFonts w:cs="Times New Roman"/>
          <w:lang w:val="fr-FR"/>
        </w:rPr>
      </w:pPr>
      <w:hyperlink r:id="rId12" w:history="1">
        <w:r w:rsidR="00337F64" w:rsidRPr="00FF70D0">
          <w:rPr>
            <w:rStyle w:val="Hyperlink"/>
            <w:rFonts w:cs="Times New Roman"/>
            <w:lang w:val="fr-FR"/>
          </w:rPr>
          <w:t>linda.gervais@avistacorp.com</w:t>
        </w:r>
      </w:hyperlink>
    </w:p>
    <w:p w:rsidR="002C15E5" w:rsidRPr="001704E6" w:rsidRDefault="001704E6" w:rsidP="00A90606">
      <w:pPr>
        <w:spacing w:line="240" w:lineRule="auto"/>
        <w:jc w:val="both"/>
        <w:rPr>
          <w:rFonts w:cs="Times New Roman"/>
          <w:lang w:val="fr-FR"/>
        </w:rPr>
      </w:pPr>
      <w:r>
        <w:rPr>
          <w:rFonts w:cs="Times New Roman"/>
          <w:lang w:val="fr-FR"/>
        </w:rPr>
        <w:t>509-495-4975</w:t>
      </w:r>
    </w:p>
    <w:sectPr w:rsidR="002C15E5" w:rsidRPr="001704E6" w:rsidSect="00FD1466">
      <w:footerReference w:type="default" r:id="rId13"/>
      <w:headerReference w:type="first" r:id="rId14"/>
      <w:pgSz w:w="12240" w:h="15840"/>
      <w:pgMar w:top="1800" w:right="1440" w:bottom="1080" w:left="1440" w:header="360" w:footer="226" w:gutter="0"/>
      <w:cols w:space="720"/>
      <w:titlePg/>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FF4B5D2"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70A2" w:rsidRDefault="004270A2" w:rsidP="002A1126">
      <w:r>
        <w:separator/>
      </w:r>
    </w:p>
  </w:endnote>
  <w:endnote w:type="continuationSeparator" w:id="0">
    <w:p w:rsidR="004270A2" w:rsidRDefault="004270A2" w:rsidP="002A11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Lucida Handwriting">
    <w:panose1 w:val="03010101010101010101"/>
    <w:charset w:val="00"/>
    <w:family w:val="script"/>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0245" w:rsidRDefault="00E471C8" w:rsidP="00F54081">
    <w:pPr>
      <w:jc w:val="center"/>
    </w:pPr>
    <w:sdt>
      <w:sdtPr>
        <w:id w:val="254450023"/>
        <w:docPartObj>
          <w:docPartGallery w:val="Page Numbers (Top of Page)"/>
          <w:docPartUnique/>
        </w:docPartObj>
      </w:sdtPr>
      <w:sdtContent>
        <w:r w:rsidR="004B0245" w:rsidRPr="00F54081">
          <w:rPr>
            <w:rFonts w:cs="Times New Roman"/>
          </w:rPr>
          <w:t xml:space="preserve">Page </w:t>
        </w:r>
        <w:r w:rsidRPr="00F54081">
          <w:rPr>
            <w:rFonts w:cs="Times New Roman"/>
          </w:rPr>
          <w:fldChar w:fldCharType="begin"/>
        </w:r>
        <w:r w:rsidR="004B0245" w:rsidRPr="00F54081">
          <w:rPr>
            <w:rFonts w:cs="Times New Roman"/>
          </w:rPr>
          <w:instrText xml:space="preserve"> PAGE </w:instrText>
        </w:r>
        <w:r w:rsidRPr="00F54081">
          <w:rPr>
            <w:rFonts w:cs="Times New Roman"/>
          </w:rPr>
          <w:fldChar w:fldCharType="separate"/>
        </w:r>
        <w:r w:rsidR="00DF6D87">
          <w:rPr>
            <w:rFonts w:cs="Times New Roman"/>
            <w:noProof/>
          </w:rPr>
          <w:t>9</w:t>
        </w:r>
        <w:r w:rsidRPr="00F54081">
          <w:rPr>
            <w:rFonts w:cs="Times New Roman"/>
          </w:rPr>
          <w:fldChar w:fldCharType="end"/>
        </w:r>
        <w:r w:rsidR="004B0245" w:rsidRPr="00F54081">
          <w:rPr>
            <w:rFonts w:cs="Times New Roman"/>
          </w:rPr>
          <w:t xml:space="preserve"> of </w:t>
        </w:r>
        <w:r w:rsidRPr="00F54081">
          <w:rPr>
            <w:rFonts w:cs="Times New Roman"/>
          </w:rPr>
          <w:fldChar w:fldCharType="begin"/>
        </w:r>
        <w:r w:rsidR="004B0245" w:rsidRPr="00F54081">
          <w:rPr>
            <w:rFonts w:cs="Times New Roman"/>
          </w:rPr>
          <w:instrText xml:space="preserve"> NUMPAGES  </w:instrText>
        </w:r>
        <w:r w:rsidRPr="00F54081">
          <w:rPr>
            <w:rFonts w:cs="Times New Roman"/>
          </w:rPr>
          <w:fldChar w:fldCharType="separate"/>
        </w:r>
        <w:r w:rsidR="00DF6D87">
          <w:rPr>
            <w:rFonts w:cs="Times New Roman"/>
            <w:noProof/>
          </w:rPr>
          <w:t>9</w:t>
        </w:r>
        <w:r w:rsidRPr="00F54081">
          <w:rPr>
            <w:rFonts w:cs="Times New Roman"/>
          </w:rPr>
          <w:fldChar w:fldCharType="end"/>
        </w:r>
      </w:sdtContent>
    </w:sdt>
  </w:p>
  <w:p w:rsidR="004B0245" w:rsidRDefault="004B0245">
    <w:pPr>
      <w:pStyle w:val="Footer"/>
      <w:pBdr>
        <w:top w:val="single" w:sz="4" w:space="1" w:color="D9D9D9" w:themeColor="background1" w:themeShade="D9"/>
      </w:pBdr>
      <w:jc w:val="right"/>
    </w:pPr>
  </w:p>
  <w:p w:rsidR="004B0245" w:rsidRDefault="004B0245" w:rsidP="003D0502">
    <w:pPr>
      <w:pStyle w:val="Footer"/>
      <w:ind w:right="-144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70A2" w:rsidRDefault="004270A2" w:rsidP="002A1126">
      <w:r>
        <w:separator/>
      </w:r>
    </w:p>
  </w:footnote>
  <w:footnote w:type="continuationSeparator" w:id="0">
    <w:p w:rsidR="004270A2" w:rsidRDefault="004270A2" w:rsidP="002A11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0245" w:rsidRDefault="004B0245" w:rsidP="00D50CAE">
    <w:pPr>
      <w:pStyle w:val="Header"/>
      <w:spacing w:after="480"/>
      <w:ind w:left="-1166" w:right="-1166"/>
      <w:jc w:val="center"/>
    </w:pPr>
    <w:r w:rsidRPr="0071027A">
      <w:rPr>
        <w:noProof/>
      </w:rPr>
      <w:drawing>
        <wp:inline distT="0" distB="0" distL="0" distR="0">
          <wp:extent cx="7397115" cy="1158881"/>
          <wp:effectExtent l="25400" t="0" r="0" b="0"/>
          <wp:docPr id="3" name="Picture 3" descr="Macintosh HD:Users:renee:Projects:0746_Avista:Avista_APPs_041513:Avista_WordTemplate_041613-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renee:Projects:0746_Avista:Avista_APPs_041513:Avista_WordTemplate_041613-03.jpg"/>
                  <pic:cNvPicPr>
                    <a:picLocks noChangeAspect="1" noChangeArrowheads="1"/>
                  </pic:cNvPicPr>
                </pic:nvPicPr>
                <pic:blipFill>
                  <a:blip r:embed="rId1"/>
                  <a:srcRect/>
                  <a:stretch>
                    <a:fillRect/>
                  </a:stretch>
                </pic:blipFill>
                <pic:spPr bwMode="auto">
                  <a:xfrm>
                    <a:off x="0" y="0"/>
                    <a:ext cx="7391982" cy="1158077"/>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232BA"/>
    <w:multiLevelType w:val="hybridMultilevel"/>
    <w:tmpl w:val="6E2E6A5A"/>
    <w:lvl w:ilvl="0" w:tplc="9FE4595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7B29B6"/>
    <w:multiLevelType w:val="hybridMultilevel"/>
    <w:tmpl w:val="D2083D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46C2640"/>
    <w:multiLevelType w:val="hybridMultilevel"/>
    <w:tmpl w:val="5C36E5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960254C"/>
    <w:multiLevelType w:val="hybridMultilevel"/>
    <w:tmpl w:val="FD1EF1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4F2AF5"/>
    <w:multiLevelType w:val="multilevel"/>
    <w:tmpl w:val="54001C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2277789C"/>
    <w:multiLevelType w:val="multilevel"/>
    <w:tmpl w:val="A72478FE"/>
    <w:lvl w:ilvl="0">
      <w:start w:val="1"/>
      <w:numFmt w:val="upperRoman"/>
      <w:pStyle w:val="Heading1"/>
      <w:lvlText w:val="%1."/>
      <w:lvlJc w:val="left"/>
      <w:pPr>
        <w:tabs>
          <w:tab w:val="num" w:pos="720"/>
        </w:tabs>
        <w:ind w:left="720" w:hanging="720"/>
      </w:pPr>
      <w:rPr>
        <w:rFonts w:hint="default"/>
      </w:rPr>
    </w:lvl>
    <w:lvl w:ilvl="1">
      <w:start w:val="1"/>
      <w:numFmt w:val="upperLetter"/>
      <w:pStyle w:val="Heading2"/>
      <w:lvlText w:val="%2."/>
      <w:lvlJc w:val="left"/>
      <w:pPr>
        <w:tabs>
          <w:tab w:val="num" w:pos="1440"/>
        </w:tabs>
        <w:ind w:left="1440" w:hanging="720"/>
      </w:pPr>
      <w:rPr>
        <w:rFonts w:hint="default"/>
      </w:rPr>
    </w:lvl>
    <w:lvl w:ilvl="2">
      <w:start w:val="1"/>
      <w:numFmt w:val="decimal"/>
      <w:pStyle w:val="Heading3"/>
      <w:lvlText w:val="%3."/>
      <w:lvlJc w:val="left"/>
      <w:pPr>
        <w:tabs>
          <w:tab w:val="num" w:pos="2160"/>
        </w:tabs>
        <w:ind w:left="2160" w:hanging="720"/>
      </w:pPr>
      <w:rPr>
        <w:rFonts w:hint="default"/>
      </w:rPr>
    </w:lvl>
    <w:lvl w:ilvl="3">
      <w:start w:val="1"/>
      <w:numFmt w:val="lowerLetter"/>
      <w:pStyle w:val="Heading4"/>
      <w:lvlText w:val="%4)"/>
      <w:lvlJc w:val="left"/>
      <w:pPr>
        <w:tabs>
          <w:tab w:val="num" w:pos="2880"/>
        </w:tabs>
        <w:ind w:left="2880" w:hanging="720"/>
      </w:pPr>
      <w:rPr>
        <w:rFonts w:hint="default"/>
      </w:rPr>
    </w:lvl>
    <w:lvl w:ilvl="4">
      <w:start w:val="1"/>
      <w:numFmt w:val="decimal"/>
      <w:pStyle w:val="Heading5"/>
      <w:lvlText w:val="(%5)"/>
      <w:lvlJc w:val="left"/>
      <w:pPr>
        <w:tabs>
          <w:tab w:val="num" w:pos="3600"/>
        </w:tabs>
        <w:ind w:left="3600" w:hanging="720"/>
      </w:pPr>
      <w:rPr>
        <w:rFonts w:hint="default"/>
      </w:rPr>
    </w:lvl>
    <w:lvl w:ilvl="5">
      <w:start w:val="1"/>
      <w:numFmt w:val="lowerLetter"/>
      <w:pStyle w:val="Heading6"/>
      <w:lvlText w:val="(%6)"/>
      <w:lvlJc w:val="left"/>
      <w:pPr>
        <w:tabs>
          <w:tab w:val="num" w:pos="4320"/>
        </w:tabs>
        <w:ind w:left="4320" w:hanging="720"/>
      </w:pPr>
      <w:rPr>
        <w:rFonts w:hint="default"/>
      </w:rPr>
    </w:lvl>
    <w:lvl w:ilvl="6">
      <w:start w:val="1"/>
      <w:numFmt w:val="lowerRoman"/>
      <w:pStyle w:val="Heading7"/>
      <w:lvlText w:val="(%7)"/>
      <w:lvlJc w:val="left"/>
      <w:pPr>
        <w:tabs>
          <w:tab w:val="num" w:pos="5400"/>
        </w:tabs>
        <w:ind w:left="5040" w:hanging="720"/>
      </w:pPr>
      <w:rPr>
        <w:rFonts w:hint="default"/>
      </w:rPr>
    </w:lvl>
    <w:lvl w:ilvl="7">
      <w:start w:val="1"/>
      <w:numFmt w:val="lowerLetter"/>
      <w:pStyle w:val="Heading8"/>
      <w:lvlText w:val="(%8)"/>
      <w:lvlJc w:val="left"/>
      <w:pPr>
        <w:tabs>
          <w:tab w:val="num" w:pos="5760"/>
        </w:tabs>
        <w:ind w:left="5760" w:hanging="720"/>
      </w:pPr>
      <w:rPr>
        <w:rFonts w:hint="default"/>
      </w:rPr>
    </w:lvl>
    <w:lvl w:ilvl="8">
      <w:start w:val="1"/>
      <w:numFmt w:val="lowerRoman"/>
      <w:lvlText w:val="(%9)"/>
      <w:lvlJc w:val="left"/>
      <w:pPr>
        <w:tabs>
          <w:tab w:val="num" w:pos="6840"/>
        </w:tabs>
        <w:ind w:left="6480" w:hanging="720"/>
      </w:pPr>
      <w:rPr>
        <w:rFonts w:hint="default"/>
      </w:rPr>
    </w:lvl>
  </w:abstractNum>
  <w:abstractNum w:abstractNumId="6">
    <w:nsid w:val="2C32343D"/>
    <w:multiLevelType w:val="hybridMultilevel"/>
    <w:tmpl w:val="6966D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11F409F"/>
    <w:multiLevelType w:val="hybridMultilevel"/>
    <w:tmpl w:val="B48C0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1EE7724"/>
    <w:multiLevelType w:val="hybridMultilevel"/>
    <w:tmpl w:val="CBA8889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47321A2F"/>
    <w:multiLevelType w:val="hybridMultilevel"/>
    <w:tmpl w:val="A142D068"/>
    <w:lvl w:ilvl="0" w:tplc="A64E7E16">
      <w:start w:val="1"/>
      <w:numFmt w:val="upperLetter"/>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8FA6853"/>
    <w:multiLevelType w:val="hybridMultilevel"/>
    <w:tmpl w:val="2118E41A"/>
    <w:lvl w:ilvl="0" w:tplc="6EFAF784">
      <w:start w:val="1"/>
      <w:numFmt w:val="bullet"/>
      <w:lvlText w:val=""/>
      <w:lvlJc w:val="left"/>
      <w:pPr>
        <w:tabs>
          <w:tab w:val="num" w:pos="720"/>
        </w:tabs>
        <w:ind w:left="720" w:hanging="360"/>
      </w:pPr>
      <w:rPr>
        <w:rFonts w:ascii="Wingdings" w:hAnsi="Wingdings" w:hint="default"/>
      </w:rPr>
    </w:lvl>
    <w:lvl w:ilvl="1" w:tplc="228E0A7E" w:tentative="1">
      <w:start w:val="1"/>
      <w:numFmt w:val="bullet"/>
      <w:lvlText w:val=""/>
      <w:lvlJc w:val="left"/>
      <w:pPr>
        <w:tabs>
          <w:tab w:val="num" w:pos="1440"/>
        </w:tabs>
        <w:ind w:left="1440" w:hanging="360"/>
      </w:pPr>
      <w:rPr>
        <w:rFonts w:ascii="Wingdings" w:hAnsi="Wingdings" w:hint="default"/>
      </w:rPr>
    </w:lvl>
    <w:lvl w:ilvl="2" w:tplc="F3C6823C" w:tentative="1">
      <w:start w:val="1"/>
      <w:numFmt w:val="bullet"/>
      <w:lvlText w:val=""/>
      <w:lvlJc w:val="left"/>
      <w:pPr>
        <w:tabs>
          <w:tab w:val="num" w:pos="2160"/>
        </w:tabs>
        <w:ind w:left="2160" w:hanging="360"/>
      </w:pPr>
      <w:rPr>
        <w:rFonts w:ascii="Wingdings" w:hAnsi="Wingdings" w:hint="default"/>
      </w:rPr>
    </w:lvl>
    <w:lvl w:ilvl="3" w:tplc="B164ED26" w:tentative="1">
      <w:start w:val="1"/>
      <w:numFmt w:val="bullet"/>
      <w:lvlText w:val=""/>
      <w:lvlJc w:val="left"/>
      <w:pPr>
        <w:tabs>
          <w:tab w:val="num" w:pos="2880"/>
        </w:tabs>
        <w:ind w:left="2880" w:hanging="360"/>
      </w:pPr>
      <w:rPr>
        <w:rFonts w:ascii="Wingdings" w:hAnsi="Wingdings" w:hint="default"/>
      </w:rPr>
    </w:lvl>
    <w:lvl w:ilvl="4" w:tplc="7598C9DA" w:tentative="1">
      <w:start w:val="1"/>
      <w:numFmt w:val="bullet"/>
      <w:lvlText w:val=""/>
      <w:lvlJc w:val="left"/>
      <w:pPr>
        <w:tabs>
          <w:tab w:val="num" w:pos="3600"/>
        </w:tabs>
        <w:ind w:left="3600" w:hanging="360"/>
      </w:pPr>
      <w:rPr>
        <w:rFonts w:ascii="Wingdings" w:hAnsi="Wingdings" w:hint="default"/>
      </w:rPr>
    </w:lvl>
    <w:lvl w:ilvl="5" w:tplc="5560AF02" w:tentative="1">
      <w:start w:val="1"/>
      <w:numFmt w:val="bullet"/>
      <w:lvlText w:val=""/>
      <w:lvlJc w:val="left"/>
      <w:pPr>
        <w:tabs>
          <w:tab w:val="num" w:pos="4320"/>
        </w:tabs>
        <w:ind w:left="4320" w:hanging="360"/>
      </w:pPr>
      <w:rPr>
        <w:rFonts w:ascii="Wingdings" w:hAnsi="Wingdings" w:hint="default"/>
      </w:rPr>
    </w:lvl>
    <w:lvl w:ilvl="6" w:tplc="7CE49260" w:tentative="1">
      <w:start w:val="1"/>
      <w:numFmt w:val="bullet"/>
      <w:lvlText w:val=""/>
      <w:lvlJc w:val="left"/>
      <w:pPr>
        <w:tabs>
          <w:tab w:val="num" w:pos="5040"/>
        </w:tabs>
        <w:ind w:left="5040" w:hanging="360"/>
      </w:pPr>
      <w:rPr>
        <w:rFonts w:ascii="Wingdings" w:hAnsi="Wingdings" w:hint="default"/>
      </w:rPr>
    </w:lvl>
    <w:lvl w:ilvl="7" w:tplc="07E08426" w:tentative="1">
      <w:start w:val="1"/>
      <w:numFmt w:val="bullet"/>
      <w:lvlText w:val=""/>
      <w:lvlJc w:val="left"/>
      <w:pPr>
        <w:tabs>
          <w:tab w:val="num" w:pos="5760"/>
        </w:tabs>
        <w:ind w:left="5760" w:hanging="360"/>
      </w:pPr>
      <w:rPr>
        <w:rFonts w:ascii="Wingdings" w:hAnsi="Wingdings" w:hint="default"/>
      </w:rPr>
    </w:lvl>
    <w:lvl w:ilvl="8" w:tplc="2040B602" w:tentative="1">
      <w:start w:val="1"/>
      <w:numFmt w:val="bullet"/>
      <w:lvlText w:val=""/>
      <w:lvlJc w:val="left"/>
      <w:pPr>
        <w:tabs>
          <w:tab w:val="num" w:pos="6480"/>
        </w:tabs>
        <w:ind w:left="6480" w:hanging="360"/>
      </w:pPr>
      <w:rPr>
        <w:rFonts w:ascii="Wingdings" w:hAnsi="Wingdings" w:hint="default"/>
      </w:rPr>
    </w:lvl>
  </w:abstractNum>
  <w:abstractNum w:abstractNumId="11">
    <w:nsid w:val="4F5A788D"/>
    <w:multiLevelType w:val="hybridMultilevel"/>
    <w:tmpl w:val="35DA38D0"/>
    <w:lvl w:ilvl="0" w:tplc="98DEEF2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FFE7E4E"/>
    <w:multiLevelType w:val="hybridMultilevel"/>
    <w:tmpl w:val="945E59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534A75AA"/>
    <w:multiLevelType w:val="hybridMultilevel"/>
    <w:tmpl w:val="CD70DC62"/>
    <w:lvl w:ilvl="0" w:tplc="F7F4125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3830978"/>
    <w:multiLevelType w:val="hybridMultilevel"/>
    <w:tmpl w:val="CD70DC62"/>
    <w:lvl w:ilvl="0" w:tplc="F7F4125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4A50D5F"/>
    <w:multiLevelType w:val="hybridMultilevel"/>
    <w:tmpl w:val="78049D66"/>
    <w:lvl w:ilvl="0" w:tplc="F344224E">
      <w:start w:val="1"/>
      <w:numFmt w:val="decimal"/>
      <w:lvlText w:val="%1."/>
      <w:lvlJc w:val="left"/>
      <w:pPr>
        <w:ind w:left="1350" w:hanging="360"/>
      </w:pPr>
      <w:rPr>
        <w:b/>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6">
    <w:nsid w:val="5F214CBE"/>
    <w:multiLevelType w:val="hybridMultilevel"/>
    <w:tmpl w:val="2B166DF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048661D"/>
    <w:multiLevelType w:val="hybridMultilevel"/>
    <w:tmpl w:val="47D4E2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6B417382"/>
    <w:multiLevelType w:val="hybridMultilevel"/>
    <w:tmpl w:val="FC3C1CC8"/>
    <w:lvl w:ilvl="0" w:tplc="72E2BE2E">
      <w:start w:val="1"/>
      <w:numFmt w:val="upperLetter"/>
      <w:lvlText w:val="%1."/>
      <w:lvlJc w:val="left"/>
      <w:pPr>
        <w:ind w:left="1080" w:hanging="360"/>
      </w:pPr>
      <w:rPr>
        <w:rFonts w:cs="Times New Roman"/>
      </w:rPr>
    </w:lvl>
    <w:lvl w:ilvl="1" w:tplc="0409000F">
      <w:start w:val="1"/>
      <w:numFmt w:val="decimal"/>
      <w:lvlText w:val="%2."/>
      <w:lvlJc w:val="left"/>
      <w:pPr>
        <w:ind w:left="1800" w:hanging="360"/>
      </w:pPr>
      <w:rPr>
        <w:rFonts w:cs="Times New Roman"/>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706C2082"/>
    <w:multiLevelType w:val="hybridMultilevel"/>
    <w:tmpl w:val="01765BBC"/>
    <w:lvl w:ilvl="0" w:tplc="94DE8086">
      <w:start w:val="1"/>
      <w:numFmt w:val="decimal"/>
      <w:lvlText w:val="%1."/>
      <w:lvlJc w:val="left"/>
      <w:pPr>
        <w:ind w:left="720" w:hanging="360"/>
      </w:pPr>
      <w:rPr>
        <w:rFonts w:cs="Times New Roman"/>
        <w:b/>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0">
    <w:nsid w:val="71800657"/>
    <w:multiLevelType w:val="hybridMultilevel"/>
    <w:tmpl w:val="AE9AD2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770E1A2D"/>
    <w:multiLevelType w:val="hybridMultilevel"/>
    <w:tmpl w:val="CE0A15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A2A6B0B"/>
    <w:multiLevelType w:val="hybridMultilevel"/>
    <w:tmpl w:val="BE58D90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D0A46F5"/>
    <w:multiLevelType w:val="hybridMultilevel"/>
    <w:tmpl w:val="0018E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pStyle w:val="Heading9"/>
      <w:lvlText w:val=""/>
      <w:lvlJc w:val="left"/>
      <w:pPr>
        <w:ind w:left="6480" w:hanging="360"/>
      </w:pPr>
      <w:rPr>
        <w:rFonts w:ascii="Wingdings" w:hAnsi="Wingdings" w:hint="default"/>
      </w:rPr>
    </w:lvl>
  </w:abstractNum>
  <w:num w:numId="1">
    <w:abstractNumId w:val="23"/>
  </w:num>
  <w:num w:numId="2">
    <w:abstractNumId w:val="17"/>
  </w:num>
  <w:num w:numId="3">
    <w:abstractNumId w:val="6"/>
  </w:num>
  <w:num w:numId="4">
    <w:abstractNumId w:val="11"/>
  </w:num>
  <w:num w:numId="5">
    <w:abstractNumId w:val="1"/>
  </w:num>
  <w:num w:numId="6">
    <w:abstractNumId w:val="16"/>
  </w:num>
  <w:num w:numId="7">
    <w:abstractNumId w:val="12"/>
  </w:num>
  <w:num w:numId="8">
    <w:abstractNumId w:val="22"/>
  </w:num>
  <w:num w:numId="9">
    <w:abstractNumId w:val="21"/>
  </w:num>
  <w:num w:numId="10">
    <w:abstractNumId w:val="20"/>
  </w:num>
  <w:num w:numId="11">
    <w:abstractNumId w:val="14"/>
  </w:num>
  <w:num w:numId="12">
    <w:abstractNumId w:val="13"/>
  </w:num>
  <w:num w:numId="13">
    <w:abstractNumId w:val="4"/>
  </w:num>
  <w:num w:numId="14">
    <w:abstractNumId w:val="5"/>
  </w:num>
  <w:num w:numId="15">
    <w:abstractNumId w:val="5"/>
  </w:num>
  <w:num w:numId="16">
    <w:abstractNumId w:val="5"/>
  </w:num>
  <w:num w:numId="17">
    <w:abstractNumId w:val="5"/>
  </w:num>
  <w:num w:numId="18">
    <w:abstractNumId w:val="5"/>
  </w:num>
  <w:num w:numId="19">
    <w:abstractNumId w:val="5"/>
  </w:num>
  <w:num w:numId="20">
    <w:abstractNumId w:val="5"/>
  </w:num>
  <w:num w:numId="21">
    <w:abstractNumId w:val="5"/>
  </w:num>
  <w:num w:numId="22">
    <w:abstractNumId w:val="5"/>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num>
  <w:num w:numId="27">
    <w:abstractNumId w:val="5"/>
  </w:num>
  <w:num w:numId="28">
    <w:abstractNumId w:val="5"/>
  </w:num>
  <w:num w:numId="29">
    <w:abstractNumId w:val="5"/>
  </w:num>
  <w:num w:numId="30">
    <w:abstractNumId w:val="5"/>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num>
  <w:num w:numId="33">
    <w:abstractNumId w:val="5"/>
  </w:num>
  <w:num w:numId="34">
    <w:abstractNumId w:val="5"/>
  </w:num>
  <w:num w:numId="35">
    <w:abstractNumId w:val="5"/>
  </w:num>
  <w:num w:numId="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
  </w:num>
  <w:num w:numId="38">
    <w:abstractNumId w:val="5"/>
  </w:num>
  <w:num w:numId="39">
    <w:abstractNumId w:val="5"/>
  </w:num>
  <w:num w:numId="40">
    <w:abstractNumId w:val="7"/>
  </w:num>
  <w:num w:numId="41">
    <w:abstractNumId w:val="3"/>
  </w:num>
  <w:num w:numId="42">
    <w:abstractNumId w:val="2"/>
  </w:num>
  <w:num w:numId="4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0"/>
  </w:num>
  <w:num w:numId="4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9"/>
  </w:num>
  <w:num w:numId="47">
    <w:abstractNumId w:val="15"/>
  </w:num>
  <w:num w:numId="48">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BB">
    <w15:presenceInfo w15:providerId="None" w15:userId="BBB"/>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16385"/>
  </w:hdrShapeDefaults>
  <w:footnotePr>
    <w:footnote w:id="-1"/>
    <w:footnote w:id="0"/>
  </w:footnotePr>
  <w:endnotePr>
    <w:endnote w:id="-1"/>
    <w:endnote w:id="0"/>
  </w:endnotePr>
  <w:compat/>
  <w:rsids>
    <w:rsidRoot w:val="003D0502"/>
    <w:rsid w:val="0000140D"/>
    <w:rsid w:val="00001CA3"/>
    <w:rsid w:val="0000247B"/>
    <w:rsid w:val="000127CB"/>
    <w:rsid w:val="00014093"/>
    <w:rsid w:val="0001490B"/>
    <w:rsid w:val="00016B93"/>
    <w:rsid w:val="000200ED"/>
    <w:rsid w:val="00021D29"/>
    <w:rsid w:val="000233DA"/>
    <w:rsid w:val="00025F13"/>
    <w:rsid w:val="00030958"/>
    <w:rsid w:val="00032454"/>
    <w:rsid w:val="00032FC3"/>
    <w:rsid w:val="00033422"/>
    <w:rsid w:val="000369B1"/>
    <w:rsid w:val="000408AE"/>
    <w:rsid w:val="00041082"/>
    <w:rsid w:val="00060E3E"/>
    <w:rsid w:val="00061332"/>
    <w:rsid w:val="00063837"/>
    <w:rsid w:val="0006386A"/>
    <w:rsid w:val="00066C44"/>
    <w:rsid w:val="0008076B"/>
    <w:rsid w:val="00083580"/>
    <w:rsid w:val="0008643C"/>
    <w:rsid w:val="00093784"/>
    <w:rsid w:val="00094F8C"/>
    <w:rsid w:val="0009556D"/>
    <w:rsid w:val="000959FD"/>
    <w:rsid w:val="00096B9F"/>
    <w:rsid w:val="000A0004"/>
    <w:rsid w:val="000A4D07"/>
    <w:rsid w:val="000B2057"/>
    <w:rsid w:val="000B4684"/>
    <w:rsid w:val="000D42C2"/>
    <w:rsid w:val="000D5CF8"/>
    <w:rsid w:val="000E07C5"/>
    <w:rsid w:val="000E3BC1"/>
    <w:rsid w:val="000F4873"/>
    <w:rsid w:val="001105A9"/>
    <w:rsid w:val="00114294"/>
    <w:rsid w:val="001143EF"/>
    <w:rsid w:val="00114E77"/>
    <w:rsid w:val="0012146D"/>
    <w:rsid w:val="00121794"/>
    <w:rsid w:val="00122A8E"/>
    <w:rsid w:val="00124023"/>
    <w:rsid w:val="0013232A"/>
    <w:rsid w:val="001323AC"/>
    <w:rsid w:val="00135994"/>
    <w:rsid w:val="00135BD8"/>
    <w:rsid w:val="00137EE5"/>
    <w:rsid w:val="00141C59"/>
    <w:rsid w:val="00146999"/>
    <w:rsid w:val="00156362"/>
    <w:rsid w:val="00161957"/>
    <w:rsid w:val="00163E06"/>
    <w:rsid w:val="00167704"/>
    <w:rsid w:val="001704E6"/>
    <w:rsid w:val="00172CB2"/>
    <w:rsid w:val="001743F6"/>
    <w:rsid w:val="00185E9D"/>
    <w:rsid w:val="001904A7"/>
    <w:rsid w:val="00192EAB"/>
    <w:rsid w:val="00194BB7"/>
    <w:rsid w:val="0019753A"/>
    <w:rsid w:val="001A7D0D"/>
    <w:rsid w:val="001B29A5"/>
    <w:rsid w:val="001B459E"/>
    <w:rsid w:val="001C1F5F"/>
    <w:rsid w:val="001C1FC9"/>
    <w:rsid w:val="001C363F"/>
    <w:rsid w:val="001C7F24"/>
    <w:rsid w:val="001D0948"/>
    <w:rsid w:val="001D1692"/>
    <w:rsid w:val="001D1FF9"/>
    <w:rsid w:val="001D237D"/>
    <w:rsid w:val="001D2978"/>
    <w:rsid w:val="001D31D8"/>
    <w:rsid w:val="001E28E1"/>
    <w:rsid w:val="001E2AB9"/>
    <w:rsid w:val="001E3B0A"/>
    <w:rsid w:val="001E59E2"/>
    <w:rsid w:val="001E7D9B"/>
    <w:rsid w:val="001F0CEA"/>
    <w:rsid w:val="001F18E0"/>
    <w:rsid w:val="001F2688"/>
    <w:rsid w:val="001F283F"/>
    <w:rsid w:val="001F42C5"/>
    <w:rsid w:val="001F51DD"/>
    <w:rsid w:val="00202167"/>
    <w:rsid w:val="00203318"/>
    <w:rsid w:val="0021630B"/>
    <w:rsid w:val="00220F45"/>
    <w:rsid w:val="0023328D"/>
    <w:rsid w:val="00233E76"/>
    <w:rsid w:val="00237605"/>
    <w:rsid w:val="00242CC0"/>
    <w:rsid w:val="00245F80"/>
    <w:rsid w:val="00247995"/>
    <w:rsid w:val="00250FBC"/>
    <w:rsid w:val="00252A6A"/>
    <w:rsid w:val="002532F9"/>
    <w:rsid w:val="00253AFD"/>
    <w:rsid w:val="00257155"/>
    <w:rsid w:val="00265C9F"/>
    <w:rsid w:val="002664BF"/>
    <w:rsid w:val="002671D5"/>
    <w:rsid w:val="00277A78"/>
    <w:rsid w:val="00282795"/>
    <w:rsid w:val="00287DF2"/>
    <w:rsid w:val="00292195"/>
    <w:rsid w:val="00294142"/>
    <w:rsid w:val="00294995"/>
    <w:rsid w:val="002A02FE"/>
    <w:rsid w:val="002A1126"/>
    <w:rsid w:val="002A11E8"/>
    <w:rsid w:val="002B0234"/>
    <w:rsid w:val="002B11CA"/>
    <w:rsid w:val="002B53C4"/>
    <w:rsid w:val="002B69C1"/>
    <w:rsid w:val="002C0A43"/>
    <w:rsid w:val="002C15E5"/>
    <w:rsid w:val="002C1955"/>
    <w:rsid w:val="002C2722"/>
    <w:rsid w:val="002D030F"/>
    <w:rsid w:val="002D2DBD"/>
    <w:rsid w:val="002D3798"/>
    <w:rsid w:val="002D4181"/>
    <w:rsid w:val="002D620A"/>
    <w:rsid w:val="002E459F"/>
    <w:rsid w:val="002E54CA"/>
    <w:rsid w:val="002F080F"/>
    <w:rsid w:val="002F3B88"/>
    <w:rsid w:val="002F4C75"/>
    <w:rsid w:val="002F5AED"/>
    <w:rsid w:val="002F64C8"/>
    <w:rsid w:val="002F6B22"/>
    <w:rsid w:val="002F7B7B"/>
    <w:rsid w:val="00300D43"/>
    <w:rsid w:val="00312729"/>
    <w:rsid w:val="0031408E"/>
    <w:rsid w:val="00314215"/>
    <w:rsid w:val="00314330"/>
    <w:rsid w:val="0031505D"/>
    <w:rsid w:val="003159E8"/>
    <w:rsid w:val="0032079D"/>
    <w:rsid w:val="003218F3"/>
    <w:rsid w:val="00325BE6"/>
    <w:rsid w:val="00330E1F"/>
    <w:rsid w:val="00332210"/>
    <w:rsid w:val="00333B70"/>
    <w:rsid w:val="00336A40"/>
    <w:rsid w:val="00337F64"/>
    <w:rsid w:val="00340F81"/>
    <w:rsid w:val="00344DC2"/>
    <w:rsid w:val="00350AA8"/>
    <w:rsid w:val="0035200A"/>
    <w:rsid w:val="00355E5A"/>
    <w:rsid w:val="0036220F"/>
    <w:rsid w:val="003636EE"/>
    <w:rsid w:val="00367A25"/>
    <w:rsid w:val="003744E3"/>
    <w:rsid w:val="00383D75"/>
    <w:rsid w:val="00385A19"/>
    <w:rsid w:val="003930D3"/>
    <w:rsid w:val="003974F3"/>
    <w:rsid w:val="003A0993"/>
    <w:rsid w:val="003A231D"/>
    <w:rsid w:val="003A4F8B"/>
    <w:rsid w:val="003B0AC0"/>
    <w:rsid w:val="003B6193"/>
    <w:rsid w:val="003C609F"/>
    <w:rsid w:val="003C76C8"/>
    <w:rsid w:val="003D0502"/>
    <w:rsid w:val="003D0E8D"/>
    <w:rsid w:val="003D1A6F"/>
    <w:rsid w:val="003D24AB"/>
    <w:rsid w:val="003D6FAC"/>
    <w:rsid w:val="003E2D55"/>
    <w:rsid w:val="003E39AB"/>
    <w:rsid w:val="003E7F3E"/>
    <w:rsid w:val="00403CD6"/>
    <w:rsid w:val="004062F5"/>
    <w:rsid w:val="00413781"/>
    <w:rsid w:val="00414AAF"/>
    <w:rsid w:val="00421E87"/>
    <w:rsid w:val="0042614B"/>
    <w:rsid w:val="004270A2"/>
    <w:rsid w:val="00427E90"/>
    <w:rsid w:val="0043779E"/>
    <w:rsid w:val="00445C07"/>
    <w:rsid w:val="004474A9"/>
    <w:rsid w:val="0045074C"/>
    <w:rsid w:val="00450A0B"/>
    <w:rsid w:val="00451641"/>
    <w:rsid w:val="0045483D"/>
    <w:rsid w:val="00455F1C"/>
    <w:rsid w:val="00462FA8"/>
    <w:rsid w:val="00465E11"/>
    <w:rsid w:val="0047135A"/>
    <w:rsid w:val="00474773"/>
    <w:rsid w:val="00476826"/>
    <w:rsid w:val="0048025B"/>
    <w:rsid w:val="004812A6"/>
    <w:rsid w:val="0048186C"/>
    <w:rsid w:val="00485E4F"/>
    <w:rsid w:val="004865CC"/>
    <w:rsid w:val="00491DB6"/>
    <w:rsid w:val="00495D55"/>
    <w:rsid w:val="00497CB9"/>
    <w:rsid w:val="004A08A5"/>
    <w:rsid w:val="004A2515"/>
    <w:rsid w:val="004A5DE1"/>
    <w:rsid w:val="004A6346"/>
    <w:rsid w:val="004A6958"/>
    <w:rsid w:val="004B0245"/>
    <w:rsid w:val="004B5927"/>
    <w:rsid w:val="004D04D2"/>
    <w:rsid w:val="004D05F8"/>
    <w:rsid w:val="004D0CF4"/>
    <w:rsid w:val="004E47F0"/>
    <w:rsid w:val="004E5D26"/>
    <w:rsid w:val="004F458F"/>
    <w:rsid w:val="004F6854"/>
    <w:rsid w:val="004F6B5A"/>
    <w:rsid w:val="005011E0"/>
    <w:rsid w:val="00502351"/>
    <w:rsid w:val="005024B3"/>
    <w:rsid w:val="00503291"/>
    <w:rsid w:val="00503F34"/>
    <w:rsid w:val="005073A8"/>
    <w:rsid w:val="00512E63"/>
    <w:rsid w:val="00514053"/>
    <w:rsid w:val="00515B74"/>
    <w:rsid w:val="0051728C"/>
    <w:rsid w:val="00517EC9"/>
    <w:rsid w:val="0052152E"/>
    <w:rsid w:val="005243F0"/>
    <w:rsid w:val="0053159B"/>
    <w:rsid w:val="00532169"/>
    <w:rsid w:val="005323DB"/>
    <w:rsid w:val="005332FE"/>
    <w:rsid w:val="005342EC"/>
    <w:rsid w:val="00534672"/>
    <w:rsid w:val="00540EA9"/>
    <w:rsid w:val="00542C58"/>
    <w:rsid w:val="005441E7"/>
    <w:rsid w:val="00551CC7"/>
    <w:rsid w:val="00554933"/>
    <w:rsid w:val="00557911"/>
    <w:rsid w:val="00561090"/>
    <w:rsid w:val="005638B0"/>
    <w:rsid w:val="00570C55"/>
    <w:rsid w:val="00573756"/>
    <w:rsid w:val="005744C7"/>
    <w:rsid w:val="00583817"/>
    <w:rsid w:val="005846EF"/>
    <w:rsid w:val="00585112"/>
    <w:rsid w:val="005879DF"/>
    <w:rsid w:val="00590EB7"/>
    <w:rsid w:val="00593876"/>
    <w:rsid w:val="00595CA7"/>
    <w:rsid w:val="005A4172"/>
    <w:rsid w:val="005A46CD"/>
    <w:rsid w:val="005B195F"/>
    <w:rsid w:val="005B1D61"/>
    <w:rsid w:val="005B40C0"/>
    <w:rsid w:val="005B5CF9"/>
    <w:rsid w:val="005B6FEC"/>
    <w:rsid w:val="005C13B4"/>
    <w:rsid w:val="005D2678"/>
    <w:rsid w:val="005D3666"/>
    <w:rsid w:val="005D532E"/>
    <w:rsid w:val="005D743B"/>
    <w:rsid w:val="005E1D1F"/>
    <w:rsid w:val="005E28BB"/>
    <w:rsid w:val="005E29D7"/>
    <w:rsid w:val="005E3398"/>
    <w:rsid w:val="005E44E7"/>
    <w:rsid w:val="005E4BC2"/>
    <w:rsid w:val="005E584D"/>
    <w:rsid w:val="005E5E43"/>
    <w:rsid w:val="005E648A"/>
    <w:rsid w:val="005E7BA4"/>
    <w:rsid w:val="005E7F17"/>
    <w:rsid w:val="005F129A"/>
    <w:rsid w:val="005F15B2"/>
    <w:rsid w:val="005F5108"/>
    <w:rsid w:val="005F69D4"/>
    <w:rsid w:val="0060299A"/>
    <w:rsid w:val="0061071C"/>
    <w:rsid w:val="00611766"/>
    <w:rsid w:val="006137BA"/>
    <w:rsid w:val="00614977"/>
    <w:rsid w:val="0062076E"/>
    <w:rsid w:val="00623F05"/>
    <w:rsid w:val="006241F5"/>
    <w:rsid w:val="006277C4"/>
    <w:rsid w:val="00630EEB"/>
    <w:rsid w:val="00632713"/>
    <w:rsid w:val="006340A1"/>
    <w:rsid w:val="006371EA"/>
    <w:rsid w:val="00640056"/>
    <w:rsid w:val="006414AA"/>
    <w:rsid w:val="00641915"/>
    <w:rsid w:val="00642313"/>
    <w:rsid w:val="00644AC9"/>
    <w:rsid w:val="00646E9E"/>
    <w:rsid w:val="00647D30"/>
    <w:rsid w:val="00651A83"/>
    <w:rsid w:val="00652B07"/>
    <w:rsid w:val="006533F6"/>
    <w:rsid w:val="0065480D"/>
    <w:rsid w:val="00663AEC"/>
    <w:rsid w:val="00667847"/>
    <w:rsid w:val="00670BC9"/>
    <w:rsid w:val="006711F9"/>
    <w:rsid w:val="006722CD"/>
    <w:rsid w:val="00672EEE"/>
    <w:rsid w:val="0067498C"/>
    <w:rsid w:val="00677557"/>
    <w:rsid w:val="00680A71"/>
    <w:rsid w:val="006862FC"/>
    <w:rsid w:val="00687CBC"/>
    <w:rsid w:val="00690804"/>
    <w:rsid w:val="00694FC3"/>
    <w:rsid w:val="00695A31"/>
    <w:rsid w:val="006967DE"/>
    <w:rsid w:val="006A0638"/>
    <w:rsid w:val="006A2183"/>
    <w:rsid w:val="006A3FDF"/>
    <w:rsid w:val="006A62AE"/>
    <w:rsid w:val="006A6C0D"/>
    <w:rsid w:val="006A7BB3"/>
    <w:rsid w:val="006B09C9"/>
    <w:rsid w:val="006B353D"/>
    <w:rsid w:val="006B658B"/>
    <w:rsid w:val="006B71E1"/>
    <w:rsid w:val="006C1B31"/>
    <w:rsid w:val="006C2313"/>
    <w:rsid w:val="006D66C9"/>
    <w:rsid w:val="006D7BDE"/>
    <w:rsid w:val="006E36D1"/>
    <w:rsid w:val="006E5D26"/>
    <w:rsid w:val="006F3B7D"/>
    <w:rsid w:val="006F56CA"/>
    <w:rsid w:val="006F6BF7"/>
    <w:rsid w:val="007002EB"/>
    <w:rsid w:val="007010C4"/>
    <w:rsid w:val="007034F2"/>
    <w:rsid w:val="007061EC"/>
    <w:rsid w:val="00706C17"/>
    <w:rsid w:val="0071533A"/>
    <w:rsid w:val="0071594D"/>
    <w:rsid w:val="00716642"/>
    <w:rsid w:val="00716FD3"/>
    <w:rsid w:val="00724B90"/>
    <w:rsid w:val="0072505F"/>
    <w:rsid w:val="0072753B"/>
    <w:rsid w:val="00727979"/>
    <w:rsid w:val="00733D31"/>
    <w:rsid w:val="00735E8A"/>
    <w:rsid w:val="00736EA1"/>
    <w:rsid w:val="0074320A"/>
    <w:rsid w:val="00751692"/>
    <w:rsid w:val="0075428B"/>
    <w:rsid w:val="00755728"/>
    <w:rsid w:val="00756E6E"/>
    <w:rsid w:val="00764336"/>
    <w:rsid w:val="007732F2"/>
    <w:rsid w:val="00774535"/>
    <w:rsid w:val="0077472B"/>
    <w:rsid w:val="00775A1E"/>
    <w:rsid w:val="00781886"/>
    <w:rsid w:val="00781946"/>
    <w:rsid w:val="00785D46"/>
    <w:rsid w:val="00794087"/>
    <w:rsid w:val="00794224"/>
    <w:rsid w:val="007A0D7A"/>
    <w:rsid w:val="007A2872"/>
    <w:rsid w:val="007A34D7"/>
    <w:rsid w:val="007B73D2"/>
    <w:rsid w:val="007C1FFF"/>
    <w:rsid w:val="007C50A7"/>
    <w:rsid w:val="007C7360"/>
    <w:rsid w:val="007D0415"/>
    <w:rsid w:val="007D2984"/>
    <w:rsid w:val="007D4C2B"/>
    <w:rsid w:val="007E17D9"/>
    <w:rsid w:val="007E6FED"/>
    <w:rsid w:val="007F0B65"/>
    <w:rsid w:val="007F0B67"/>
    <w:rsid w:val="007F1944"/>
    <w:rsid w:val="007F1F99"/>
    <w:rsid w:val="007F3F41"/>
    <w:rsid w:val="007F5598"/>
    <w:rsid w:val="007F6685"/>
    <w:rsid w:val="007F7000"/>
    <w:rsid w:val="00801F8E"/>
    <w:rsid w:val="008056F5"/>
    <w:rsid w:val="00806071"/>
    <w:rsid w:val="00807809"/>
    <w:rsid w:val="00810643"/>
    <w:rsid w:val="00812C30"/>
    <w:rsid w:val="00814132"/>
    <w:rsid w:val="008158AE"/>
    <w:rsid w:val="00815AEC"/>
    <w:rsid w:val="0081705D"/>
    <w:rsid w:val="0081715B"/>
    <w:rsid w:val="008222BB"/>
    <w:rsid w:val="00822318"/>
    <w:rsid w:val="0082558C"/>
    <w:rsid w:val="00830FC6"/>
    <w:rsid w:val="00831F1A"/>
    <w:rsid w:val="008324FD"/>
    <w:rsid w:val="008338EF"/>
    <w:rsid w:val="00834647"/>
    <w:rsid w:val="00837181"/>
    <w:rsid w:val="00841CED"/>
    <w:rsid w:val="00843417"/>
    <w:rsid w:val="00845F42"/>
    <w:rsid w:val="008468D9"/>
    <w:rsid w:val="008470F7"/>
    <w:rsid w:val="00854DFC"/>
    <w:rsid w:val="008650B0"/>
    <w:rsid w:val="00865B54"/>
    <w:rsid w:val="00867353"/>
    <w:rsid w:val="00871416"/>
    <w:rsid w:val="008765E7"/>
    <w:rsid w:val="008823ED"/>
    <w:rsid w:val="00883CB8"/>
    <w:rsid w:val="00884B1C"/>
    <w:rsid w:val="00885E28"/>
    <w:rsid w:val="0089038F"/>
    <w:rsid w:val="00890B99"/>
    <w:rsid w:val="00891119"/>
    <w:rsid w:val="008937AF"/>
    <w:rsid w:val="00893A81"/>
    <w:rsid w:val="0089712F"/>
    <w:rsid w:val="008A1120"/>
    <w:rsid w:val="008A797C"/>
    <w:rsid w:val="008A7D1A"/>
    <w:rsid w:val="008C1322"/>
    <w:rsid w:val="008C4CCB"/>
    <w:rsid w:val="008C793F"/>
    <w:rsid w:val="008D05C2"/>
    <w:rsid w:val="008D3809"/>
    <w:rsid w:val="008E0588"/>
    <w:rsid w:val="008E07EC"/>
    <w:rsid w:val="008E088E"/>
    <w:rsid w:val="008E36B5"/>
    <w:rsid w:val="00900550"/>
    <w:rsid w:val="009028CF"/>
    <w:rsid w:val="00910766"/>
    <w:rsid w:val="009114C9"/>
    <w:rsid w:val="009125F3"/>
    <w:rsid w:val="00916727"/>
    <w:rsid w:val="00916AB6"/>
    <w:rsid w:val="00922AAB"/>
    <w:rsid w:val="00923912"/>
    <w:rsid w:val="00925DBC"/>
    <w:rsid w:val="00932322"/>
    <w:rsid w:val="00932DE1"/>
    <w:rsid w:val="0093458D"/>
    <w:rsid w:val="009355C2"/>
    <w:rsid w:val="00940721"/>
    <w:rsid w:val="00944CC6"/>
    <w:rsid w:val="00945273"/>
    <w:rsid w:val="009501A5"/>
    <w:rsid w:val="00953560"/>
    <w:rsid w:val="00956070"/>
    <w:rsid w:val="00957D38"/>
    <w:rsid w:val="00960810"/>
    <w:rsid w:val="009611CD"/>
    <w:rsid w:val="00963D29"/>
    <w:rsid w:val="00964567"/>
    <w:rsid w:val="00964D50"/>
    <w:rsid w:val="009710E9"/>
    <w:rsid w:val="00971839"/>
    <w:rsid w:val="009801F3"/>
    <w:rsid w:val="00980E9B"/>
    <w:rsid w:val="00981510"/>
    <w:rsid w:val="0098158F"/>
    <w:rsid w:val="0098567E"/>
    <w:rsid w:val="0099069C"/>
    <w:rsid w:val="009921FF"/>
    <w:rsid w:val="009938DD"/>
    <w:rsid w:val="00995326"/>
    <w:rsid w:val="00995742"/>
    <w:rsid w:val="00995EFB"/>
    <w:rsid w:val="009A2EE3"/>
    <w:rsid w:val="009B0624"/>
    <w:rsid w:val="009B201B"/>
    <w:rsid w:val="009B6923"/>
    <w:rsid w:val="009B692F"/>
    <w:rsid w:val="009B761E"/>
    <w:rsid w:val="009C033C"/>
    <w:rsid w:val="009C085E"/>
    <w:rsid w:val="009C2390"/>
    <w:rsid w:val="009C6182"/>
    <w:rsid w:val="009D0780"/>
    <w:rsid w:val="009D0828"/>
    <w:rsid w:val="009D339C"/>
    <w:rsid w:val="009D7BE1"/>
    <w:rsid w:val="009E1906"/>
    <w:rsid w:val="009F2424"/>
    <w:rsid w:val="009F52B2"/>
    <w:rsid w:val="009F5FA1"/>
    <w:rsid w:val="009F7028"/>
    <w:rsid w:val="00A001C6"/>
    <w:rsid w:val="00A00BE5"/>
    <w:rsid w:val="00A041BA"/>
    <w:rsid w:val="00A042D0"/>
    <w:rsid w:val="00A13E56"/>
    <w:rsid w:val="00A14631"/>
    <w:rsid w:val="00A15075"/>
    <w:rsid w:val="00A15A6A"/>
    <w:rsid w:val="00A22E55"/>
    <w:rsid w:val="00A27599"/>
    <w:rsid w:val="00A43424"/>
    <w:rsid w:val="00A444FB"/>
    <w:rsid w:val="00A44841"/>
    <w:rsid w:val="00A509B2"/>
    <w:rsid w:val="00A56024"/>
    <w:rsid w:val="00A618F4"/>
    <w:rsid w:val="00A63D4B"/>
    <w:rsid w:val="00A711C1"/>
    <w:rsid w:val="00A7464C"/>
    <w:rsid w:val="00A75F9C"/>
    <w:rsid w:val="00A87384"/>
    <w:rsid w:val="00A900C2"/>
    <w:rsid w:val="00A901AA"/>
    <w:rsid w:val="00A9020F"/>
    <w:rsid w:val="00A90606"/>
    <w:rsid w:val="00A907C3"/>
    <w:rsid w:val="00A90AB3"/>
    <w:rsid w:val="00A914E0"/>
    <w:rsid w:val="00A93ACD"/>
    <w:rsid w:val="00A9450F"/>
    <w:rsid w:val="00A9631D"/>
    <w:rsid w:val="00AA00D2"/>
    <w:rsid w:val="00AA125A"/>
    <w:rsid w:val="00AA22E1"/>
    <w:rsid w:val="00AA28C5"/>
    <w:rsid w:val="00AA2C85"/>
    <w:rsid w:val="00AB0867"/>
    <w:rsid w:val="00AB25AE"/>
    <w:rsid w:val="00AB69EC"/>
    <w:rsid w:val="00AC2435"/>
    <w:rsid w:val="00AC5DF9"/>
    <w:rsid w:val="00AD03B9"/>
    <w:rsid w:val="00AD1924"/>
    <w:rsid w:val="00AD2D03"/>
    <w:rsid w:val="00AD3C19"/>
    <w:rsid w:val="00AD7186"/>
    <w:rsid w:val="00AE1633"/>
    <w:rsid w:val="00AE370B"/>
    <w:rsid w:val="00AE3FE6"/>
    <w:rsid w:val="00AE570A"/>
    <w:rsid w:val="00AE6416"/>
    <w:rsid w:val="00AF347F"/>
    <w:rsid w:val="00AF3EBB"/>
    <w:rsid w:val="00AF5938"/>
    <w:rsid w:val="00AF6EA1"/>
    <w:rsid w:val="00AF7585"/>
    <w:rsid w:val="00B00966"/>
    <w:rsid w:val="00B074FC"/>
    <w:rsid w:val="00B127F7"/>
    <w:rsid w:val="00B146D2"/>
    <w:rsid w:val="00B156C5"/>
    <w:rsid w:val="00B17D38"/>
    <w:rsid w:val="00B26EDE"/>
    <w:rsid w:val="00B30EE8"/>
    <w:rsid w:val="00B32042"/>
    <w:rsid w:val="00B363C9"/>
    <w:rsid w:val="00B364CD"/>
    <w:rsid w:val="00B3771B"/>
    <w:rsid w:val="00B41622"/>
    <w:rsid w:val="00B41D5C"/>
    <w:rsid w:val="00B42145"/>
    <w:rsid w:val="00B42988"/>
    <w:rsid w:val="00B4476A"/>
    <w:rsid w:val="00B45A36"/>
    <w:rsid w:val="00B47D83"/>
    <w:rsid w:val="00B55D6C"/>
    <w:rsid w:val="00B57E90"/>
    <w:rsid w:val="00B6200C"/>
    <w:rsid w:val="00B66DF9"/>
    <w:rsid w:val="00B71D4E"/>
    <w:rsid w:val="00B81BF7"/>
    <w:rsid w:val="00B826D7"/>
    <w:rsid w:val="00B84147"/>
    <w:rsid w:val="00B856B6"/>
    <w:rsid w:val="00B8671A"/>
    <w:rsid w:val="00B91C44"/>
    <w:rsid w:val="00B91DAF"/>
    <w:rsid w:val="00B9255B"/>
    <w:rsid w:val="00B929CC"/>
    <w:rsid w:val="00B9413C"/>
    <w:rsid w:val="00B94CD3"/>
    <w:rsid w:val="00B96904"/>
    <w:rsid w:val="00BA17EA"/>
    <w:rsid w:val="00BA1821"/>
    <w:rsid w:val="00BA3D54"/>
    <w:rsid w:val="00BA7342"/>
    <w:rsid w:val="00BA7904"/>
    <w:rsid w:val="00BB6308"/>
    <w:rsid w:val="00BC06AD"/>
    <w:rsid w:val="00BC1F66"/>
    <w:rsid w:val="00BD35D9"/>
    <w:rsid w:val="00BD43C3"/>
    <w:rsid w:val="00BD470C"/>
    <w:rsid w:val="00BD68AE"/>
    <w:rsid w:val="00BE05B8"/>
    <w:rsid w:val="00BE32BD"/>
    <w:rsid w:val="00BE3490"/>
    <w:rsid w:val="00BE39F5"/>
    <w:rsid w:val="00BE520A"/>
    <w:rsid w:val="00BF231F"/>
    <w:rsid w:val="00C0079D"/>
    <w:rsid w:val="00C02354"/>
    <w:rsid w:val="00C0419A"/>
    <w:rsid w:val="00C07357"/>
    <w:rsid w:val="00C11E45"/>
    <w:rsid w:val="00C15396"/>
    <w:rsid w:val="00C15712"/>
    <w:rsid w:val="00C15A9E"/>
    <w:rsid w:val="00C15D7D"/>
    <w:rsid w:val="00C25C2D"/>
    <w:rsid w:val="00C26997"/>
    <w:rsid w:val="00C26BC4"/>
    <w:rsid w:val="00C362BD"/>
    <w:rsid w:val="00C37369"/>
    <w:rsid w:val="00C40C3A"/>
    <w:rsid w:val="00C428BA"/>
    <w:rsid w:val="00C439A4"/>
    <w:rsid w:val="00C44D67"/>
    <w:rsid w:val="00C4794C"/>
    <w:rsid w:val="00C5098C"/>
    <w:rsid w:val="00C51948"/>
    <w:rsid w:val="00C51FB2"/>
    <w:rsid w:val="00C55EB2"/>
    <w:rsid w:val="00C64980"/>
    <w:rsid w:val="00C65607"/>
    <w:rsid w:val="00C65F20"/>
    <w:rsid w:val="00C70936"/>
    <w:rsid w:val="00C70E28"/>
    <w:rsid w:val="00C77673"/>
    <w:rsid w:val="00C77704"/>
    <w:rsid w:val="00C82F8E"/>
    <w:rsid w:val="00C85912"/>
    <w:rsid w:val="00C90180"/>
    <w:rsid w:val="00C95230"/>
    <w:rsid w:val="00CA3409"/>
    <w:rsid w:val="00CA6C25"/>
    <w:rsid w:val="00CB2634"/>
    <w:rsid w:val="00CB3400"/>
    <w:rsid w:val="00CB79D5"/>
    <w:rsid w:val="00CD4716"/>
    <w:rsid w:val="00CD60E8"/>
    <w:rsid w:val="00CE384B"/>
    <w:rsid w:val="00CE585A"/>
    <w:rsid w:val="00CF15EE"/>
    <w:rsid w:val="00CF262F"/>
    <w:rsid w:val="00CF30A3"/>
    <w:rsid w:val="00CF379E"/>
    <w:rsid w:val="00CF53C7"/>
    <w:rsid w:val="00D0012A"/>
    <w:rsid w:val="00D017A9"/>
    <w:rsid w:val="00D04AA4"/>
    <w:rsid w:val="00D106A6"/>
    <w:rsid w:val="00D10D4C"/>
    <w:rsid w:val="00D113AC"/>
    <w:rsid w:val="00D12F3E"/>
    <w:rsid w:val="00D15AC0"/>
    <w:rsid w:val="00D17CA6"/>
    <w:rsid w:val="00D205D6"/>
    <w:rsid w:val="00D240CD"/>
    <w:rsid w:val="00D26A73"/>
    <w:rsid w:val="00D26ADD"/>
    <w:rsid w:val="00D314B2"/>
    <w:rsid w:val="00D31876"/>
    <w:rsid w:val="00D36968"/>
    <w:rsid w:val="00D3698C"/>
    <w:rsid w:val="00D4155F"/>
    <w:rsid w:val="00D438F4"/>
    <w:rsid w:val="00D50CAE"/>
    <w:rsid w:val="00D527A1"/>
    <w:rsid w:val="00D55DC9"/>
    <w:rsid w:val="00D55FAC"/>
    <w:rsid w:val="00D563F6"/>
    <w:rsid w:val="00D63410"/>
    <w:rsid w:val="00D6463B"/>
    <w:rsid w:val="00D64EBE"/>
    <w:rsid w:val="00D66751"/>
    <w:rsid w:val="00D66B24"/>
    <w:rsid w:val="00D70AAA"/>
    <w:rsid w:val="00D70DC6"/>
    <w:rsid w:val="00D74152"/>
    <w:rsid w:val="00D756CB"/>
    <w:rsid w:val="00D83AC4"/>
    <w:rsid w:val="00D86218"/>
    <w:rsid w:val="00D92B05"/>
    <w:rsid w:val="00D934AF"/>
    <w:rsid w:val="00D93A6F"/>
    <w:rsid w:val="00D942D9"/>
    <w:rsid w:val="00D96E8B"/>
    <w:rsid w:val="00DA00CC"/>
    <w:rsid w:val="00DA1C41"/>
    <w:rsid w:val="00DA2245"/>
    <w:rsid w:val="00DB4255"/>
    <w:rsid w:val="00DB51BF"/>
    <w:rsid w:val="00DB7F22"/>
    <w:rsid w:val="00DC122D"/>
    <w:rsid w:val="00DC294F"/>
    <w:rsid w:val="00DD09E4"/>
    <w:rsid w:val="00DD474A"/>
    <w:rsid w:val="00DD60C8"/>
    <w:rsid w:val="00DD7835"/>
    <w:rsid w:val="00DD7DFC"/>
    <w:rsid w:val="00DE054E"/>
    <w:rsid w:val="00DE5D6E"/>
    <w:rsid w:val="00DE69C7"/>
    <w:rsid w:val="00DF1016"/>
    <w:rsid w:val="00DF405F"/>
    <w:rsid w:val="00DF6373"/>
    <w:rsid w:val="00DF6D87"/>
    <w:rsid w:val="00E0100D"/>
    <w:rsid w:val="00E044F7"/>
    <w:rsid w:val="00E06E5F"/>
    <w:rsid w:val="00E12404"/>
    <w:rsid w:val="00E15441"/>
    <w:rsid w:val="00E15EE4"/>
    <w:rsid w:val="00E1705C"/>
    <w:rsid w:val="00E22BF5"/>
    <w:rsid w:val="00E245F7"/>
    <w:rsid w:val="00E260FE"/>
    <w:rsid w:val="00E30573"/>
    <w:rsid w:val="00E32E5D"/>
    <w:rsid w:val="00E3352F"/>
    <w:rsid w:val="00E4016E"/>
    <w:rsid w:val="00E41901"/>
    <w:rsid w:val="00E42100"/>
    <w:rsid w:val="00E42897"/>
    <w:rsid w:val="00E471C8"/>
    <w:rsid w:val="00E476D7"/>
    <w:rsid w:val="00E47972"/>
    <w:rsid w:val="00E516B6"/>
    <w:rsid w:val="00E54515"/>
    <w:rsid w:val="00E54BC7"/>
    <w:rsid w:val="00E56E77"/>
    <w:rsid w:val="00E60940"/>
    <w:rsid w:val="00E64A87"/>
    <w:rsid w:val="00E653A0"/>
    <w:rsid w:val="00E72C00"/>
    <w:rsid w:val="00E7338B"/>
    <w:rsid w:val="00E74791"/>
    <w:rsid w:val="00E75071"/>
    <w:rsid w:val="00E7538D"/>
    <w:rsid w:val="00E760CC"/>
    <w:rsid w:val="00E76917"/>
    <w:rsid w:val="00E83AF0"/>
    <w:rsid w:val="00E83CFB"/>
    <w:rsid w:val="00E866A5"/>
    <w:rsid w:val="00E912CF"/>
    <w:rsid w:val="00E952B4"/>
    <w:rsid w:val="00EA038A"/>
    <w:rsid w:val="00EA2421"/>
    <w:rsid w:val="00EA2D83"/>
    <w:rsid w:val="00EA7244"/>
    <w:rsid w:val="00EC05CA"/>
    <w:rsid w:val="00EC2CAF"/>
    <w:rsid w:val="00ED0383"/>
    <w:rsid w:val="00EE0273"/>
    <w:rsid w:val="00EE3C06"/>
    <w:rsid w:val="00EF504A"/>
    <w:rsid w:val="00EF5168"/>
    <w:rsid w:val="00F033BB"/>
    <w:rsid w:val="00F05287"/>
    <w:rsid w:val="00F10D5B"/>
    <w:rsid w:val="00F12C97"/>
    <w:rsid w:val="00F15690"/>
    <w:rsid w:val="00F16EC5"/>
    <w:rsid w:val="00F204D8"/>
    <w:rsid w:val="00F20609"/>
    <w:rsid w:val="00F212C6"/>
    <w:rsid w:val="00F22A0C"/>
    <w:rsid w:val="00F2302C"/>
    <w:rsid w:val="00F2578A"/>
    <w:rsid w:val="00F31575"/>
    <w:rsid w:val="00F31804"/>
    <w:rsid w:val="00F3627B"/>
    <w:rsid w:val="00F41263"/>
    <w:rsid w:val="00F41AD9"/>
    <w:rsid w:val="00F45919"/>
    <w:rsid w:val="00F536E9"/>
    <w:rsid w:val="00F54081"/>
    <w:rsid w:val="00F577C7"/>
    <w:rsid w:val="00F606FB"/>
    <w:rsid w:val="00F6459F"/>
    <w:rsid w:val="00F6655C"/>
    <w:rsid w:val="00F743A3"/>
    <w:rsid w:val="00F80119"/>
    <w:rsid w:val="00F8014E"/>
    <w:rsid w:val="00F8043D"/>
    <w:rsid w:val="00F8583B"/>
    <w:rsid w:val="00F86C06"/>
    <w:rsid w:val="00F87DB2"/>
    <w:rsid w:val="00F914E5"/>
    <w:rsid w:val="00F92CE3"/>
    <w:rsid w:val="00FA16EF"/>
    <w:rsid w:val="00FA1F14"/>
    <w:rsid w:val="00FA2FFF"/>
    <w:rsid w:val="00FA4B0F"/>
    <w:rsid w:val="00FA5E11"/>
    <w:rsid w:val="00FB261A"/>
    <w:rsid w:val="00FB4A04"/>
    <w:rsid w:val="00FB5A32"/>
    <w:rsid w:val="00FC15D6"/>
    <w:rsid w:val="00FC1A8E"/>
    <w:rsid w:val="00FC43C7"/>
    <w:rsid w:val="00FD1466"/>
    <w:rsid w:val="00FD1F9F"/>
    <w:rsid w:val="00FD3B73"/>
    <w:rsid w:val="00FD44D5"/>
    <w:rsid w:val="00FD4CDE"/>
    <w:rsid w:val="00FD5DE0"/>
    <w:rsid w:val="00FD5FB6"/>
    <w:rsid w:val="00FE01B9"/>
    <w:rsid w:val="00FF0F95"/>
    <w:rsid w:val="00FF18FE"/>
    <w:rsid w:val="00FF1E1C"/>
    <w:rsid w:val="00FF2B24"/>
    <w:rsid w:val="00FF501E"/>
    <w:rsid w:val="00FF70D0"/>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3D75"/>
  </w:style>
  <w:style w:type="paragraph" w:styleId="Heading1">
    <w:name w:val="heading 1"/>
    <w:basedOn w:val="Normal"/>
    <w:next w:val="BodyText"/>
    <w:link w:val="Heading1Char"/>
    <w:qFormat/>
    <w:rsid w:val="00383D75"/>
    <w:pPr>
      <w:keepNext/>
      <w:numPr>
        <w:numId w:val="22"/>
      </w:numPr>
      <w:spacing w:after="240" w:line="240" w:lineRule="auto"/>
      <w:outlineLvl w:val="0"/>
    </w:pPr>
    <w:rPr>
      <w:rFonts w:eastAsiaTheme="majorEastAsia" w:cstheme="majorBidi"/>
      <w:b/>
      <w:bCs/>
      <w:kern w:val="32"/>
      <w:szCs w:val="32"/>
    </w:rPr>
  </w:style>
  <w:style w:type="paragraph" w:styleId="Heading2">
    <w:name w:val="heading 2"/>
    <w:basedOn w:val="Normal"/>
    <w:next w:val="BodyText"/>
    <w:link w:val="Heading2Char"/>
    <w:qFormat/>
    <w:rsid w:val="00383D75"/>
    <w:pPr>
      <w:keepNext/>
      <w:numPr>
        <w:ilvl w:val="1"/>
        <w:numId w:val="22"/>
      </w:numPr>
      <w:spacing w:after="240" w:line="240" w:lineRule="auto"/>
      <w:outlineLvl w:val="1"/>
    </w:pPr>
    <w:rPr>
      <w:rFonts w:eastAsiaTheme="majorEastAsia" w:cstheme="majorBidi"/>
      <w:b/>
      <w:bCs/>
      <w:iCs/>
      <w:szCs w:val="28"/>
    </w:rPr>
  </w:style>
  <w:style w:type="paragraph" w:styleId="Heading3">
    <w:name w:val="heading 3"/>
    <w:basedOn w:val="Normal"/>
    <w:next w:val="BodyText"/>
    <w:link w:val="Heading3Char"/>
    <w:qFormat/>
    <w:rsid w:val="00383D75"/>
    <w:pPr>
      <w:numPr>
        <w:ilvl w:val="2"/>
        <w:numId w:val="22"/>
      </w:numPr>
      <w:spacing w:after="240" w:line="240" w:lineRule="auto"/>
      <w:outlineLvl w:val="2"/>
    </w:pPr>
    <w:rPr>
      <w:rFonts w:eastAsiaTheme="majorEastAsia" w:cstheme="majorBidi"/>
      <w:b/>
      <w:bCs/>
      <w:szCs w:val="26"/>
    </w:rPr>
  </w:style>
  <w:style w:type="paragraph" w:styleId="Heading4">
    <w:name w:val="heading 4"/>
    <w:basedOn w:val="Normal"/>
    <w:next w:val="BodyText"/>
    <w:link w:val="Heading4Char"/>
    <w:qFormat/>
    <w:rsid w:val="00383D75"/>
    <w:pPr>
      <w:numPr>
        <w:ilvl w:val="3"/>
        <w:numId w:val="22"/>
      </w:numPr>
      <w:spacing w:after="240" w:line="240" w:lineRule="auto"/>
      <w:outlineLvl w:val="3"/>
    </w:pPr>
    <w:rPr>
      <w:rFonts w:eastAsia="Times New Roman" w:cs="Times New Roman"/>
      <w:bCs/>
      <w:szCs w:val="28"/>
    </w:rPr>
  </w:style>
  <w:style w:type="paragraph" w:styleId="Heading5">
    <w:name w:val="heading 5"/>
    <w:basedOn w:val="Normal"/>
    <w:next w:val="BodyText"/>
    <w:link w:val="Heading5Char"/>
    <w:qFormat/>
    <w:rsid w:val="00383D75"/>
    <w:pPr>
      <w:numPr>
        <w:ilvl w:val="4"/>
        <w:numId w:val="22"/>
      </w:numPr>
      <w:spacing w:after="240" w:line="240" w:lineRule="auto"/>
      <w:outlineLvl w:val="4"/>
    </w:pPr>
    <w:rPr>
      <w:rFonts w:eastAsia="Times New Roman" w:cs="Times New Roman"/>
      <w:bCs/>
      <w:iCs/>
      <w:szCs w:val="26"/>
    </w:rPr>
  </w:style>
  <w:style w:type="paragraph" w:styleId="Heading6">
    <w:name w:val="heading 6"/>
    <w:basedOn w:val="Normal"/>
    <w:next w:val="BodyText"/>
    <w:link w:val="Heading6Char"/>
    <w:qFormat/>
    <w:rsid w:val="00383D75"/>
    <w:pPr>
      <w:numPr>
        <w:ilvl w:val="5"/>
        <w:numId w:val="22"/>
      </w:numPr>
      <w:spacing w:after="240" w:line="240" w:lineRule="auto"/>
      <w:outlineLvl w:val="5"/>
    </w:pPr>
    <w:rPr>
      <w:rFonts w:eastAsia="Times New Roman" w:cs="Times New Roman"/>
      <w:bCs/>
    </w:rPr>
  </w:style>
  <w:style w:type="paragraph" w:styleId="Heading7">
    <w:name w:val="heading 7"/>
    <w:basedOn w:val="Normal"/>
    <w:next w:val="BodyText"/>
    <w:link w:val="Heading7Char"/>
    <w:qFormat/>
    <w:rsid w:val="00383D75"/>
    <w:pPr>
      <w:numPr>
        <w:ilvl w:val="6"/>
        <w:numId w:val="22"/>
      </w:numPr>
      <w:spacing w:after="240" w:line="240" w:lineRule="auto"/>
      <w:outlineLvl w:val="6"/>
    </w:pPr>
    <w:rPr>
      <w:rFonts w:eastAsia="Times New Roman" w:cs="Times New Roman"/>
      <w:szCs w:val="24"/>
    </w:rPr>
  </w:style>
  <w:style w:type="paragraph" w:styleId="Heading8">
    <w:name w:val="heading 8"/>
    <w:basedOn w:val="Normal"/>
    <w:next w:val="BodyText"/>
    <w:link w:val="Heading8Char"/>
    <w:qFormat/>
    <w:rsid w:val="00383D75"/>
    <w:pPr>
      <w:numPr>
        <w:ilvl w:val="7"/>
        <w:numId w:val="22"/>
      </w:numPr>
      <w:spacing w:after="240" w:line="240" w:lineRule="auto"/>
      <w:outlineLvl w:val="7"/>
    </w:pPr>
    <w:rPr>
      <w:rFonts w:eastAsia="Times New Roman" w:cs="Times New Roman"/>
      <w:iCs/>
      <w:szCs w:val="24"/>
    </w:rPr>
  </w:style>
  <w:style w:type="paragraph" w:styleId="Heading9">
    <w:name w:val="heading 9"/>
    <w:basedOn w:val="Normal"/>
    <w:next w:val="BodyText"/>
    <w:link w:val="Heading9Char"/>
    <w:qFormat/>
    <w:rsid w:val="00383D75"/>
    <w:pPr>
      <w:numPr>
        <w:ilvl w:val="8"/>
        <w:numId w:val="1"/>
      </w:numPr>
      <w:tabs>
        <w:tab w:val="num" w:pos="6840"/>
      </w:tabs>
      <w:spacing w:after="240" w:line="240" w:lineRule="auto"/>
      <w:ind w:hanging="720"/>
      <w:outlineLvl w:val="8"/>
    </w:pPr>
    <w:rPr>
      <w:rFonts w:eastAsia="Times New Roman"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6BDE"/>
    <w:pPr>
      <w:tabs>
        <w:tab w:val="center" w:pos="4320"/>
        <w:tab w:val="right" w:pos="8640"/>
      </w:tabs>
    </w:pPr>
  </w:style>
  <w:style w:type="character" w:customStyle="1" w:styleId="HeaderChar">
    <w:name w:val="Header Char"/>
    <w:basedOn w:val="DefaultParagraphFont"/>
    <w:link w:val="Header"/>
    <w:uiPriority w:val="99"/>
    <w:rsid w:val="000C6BDE"/>
    <w:rPr>
      <w:sz w:val="24"/>
      <w:szCs w:val="24"/>
    </w:rPr>
  </w:style>
  <w:style w:type="paragraph" w:styleId="Footer">
    <w:name w:val="footer"/>
    <w:basedOn w:val="Normal"/>
    <w:link w:val="FooterChar"/>
    <w:uiPriority w:val="99"/>
    <w:unhideWhenUsed/>
    <w:rsid w:val="000C6BDE"/>
    <w:pPr>
      <w:tabs>
        <w:tab w:val="center" w:pos="4320"/>
        <w:tab w:val="right" w:pos="8640"/>
      </w:tabs>
    </w:pPr>
  </w:style>
  <w:style w:type="character" w:customStyle="1" w:styleId="FooterChar">
    <w:name w:val="Footer Char"/>
    <w:basedOn w:val="DefaultParagraphFont"/>
    <w:link w:val="Footer"/>
    <w:uiPriority w:val="99"/>
    <w:rsid w:val="000C6BDE"/>
    <w:rPr>
      <w:sz w:val="24"/>
      <w:szCs w:val="24"/>
    </w:rPr>
  </w:style>
  <w:style w:type="character" w:customStyle="1" w:styleId="Heading3Char">
    <w:name w:val="Heading 3 Char"/>
    <w:basedOn w:val="DefaultParagraphFont"/>
    <w:link w:val="Heading3"/>
    <w:rsid w:val="00383D75"/>
    <w:rPr>
      <w:rFonts w:eastAsiaTheme="majorEastAsia" w:cstheme="majorBidi"/>
      <w:b/>
      <w:bCs/>
      <w:szCs w:val="26"/>
    </w:rPr>
  </w:style>
  <w:style w:type="character" w:customStyle="1" w:styleId="Heading2Char">
    <w:name w:val="Heading 2 Char"/>
    <w:basedOn w:val="DefaultParagraphFont"/>
    <w:link w:val="Heading2"/>
    <w:rsid w:val="00383D75"/>
    <w:rPr>
      <w:rFonts w:eastAsiaTheme="majorEastAsia" w:cstheme="majorBidi"/>
      <w:b/>
      <w:bCs/>
      <w:iCs/>
      <w:szCs w:val="28"/>
    </w:rPr>
  </w:style>
  <w:style w:type="character" w:customStyle="1" w:styleId="Heading1Char">
    <w:name w:val="Heading 1 Char"/>
    <w:basedOn w:val="DefaultParagraphFont"/>
    <w:link w:val="Heading1"/>
    <w:rsid w:val="00383D75"/>
    <w:rPr>
      <w:rFonts w:eastAsiaTheme="majorEastAsia" w:cstheme="majorBidi"/>
      <w:b/>
      <w:bCs/>
      <w:kern w:val="32"/>
      <w:szCs w:val="32"/>
    </w:rPr>
  </w:style>
  <w:style w:type="paragraph" w:styleId="BalloonText">
    <w:name w:val="Balloon Text"/>
    <w:basedOn w:val="Normal"/>
    <w:link w:val="BalloonTextChar"/>
    <w:semiHidden/>
    <w:unhideWhenUsed/>
    <w:rsid w:val="006A2183"/>
    <w:rPr>
      <w:rFonts w:ascii="Tahoma" w:hAnsi="Tahoma" w:cs="Tahoma"/>
      <w:sz w:val="16"/>
      <w:szCs w:val="16"/>
    </w:rPr>
  </w:style>
  <w:style w:type="character" w:customStyle="1" w:styleId="BalloonTextChar">
    <w:name w:val="Balloon Text Char"/>
    <w:basedOn w:val="DefaultParagraphFont"/>
    <w:link w:val="BalloonText"/>
    <w:uiPriority w:val="99"/>
    <w:semiHidden/>
    <w:rsid w:val="006A2183"/>
    <w:rPr>
      <w:rFonts w:ascii="Tahoma" w:hAnsi="Tahoma" w:cs="Tahoma"/>
      <w:sz w:val="16"/>
      <w:szCs w:val="16"/>
    </w:rPr>
  </w:style>
  <w:style w:type="paragraph" w:styleId="NoSpacing">
    <w:name w:val="No Spacing"/>
    <w:uiPriority w:val="1"/>
    <w:qFormat/>
    <w:rsid w:val="00F45919"/>
    <w:pPr>
      <w:spacing w:line="240" w:lineRule="auto"/>
    </w:pPr>
  </w:style>
  <w:style w:type="paragraph" w:customStyle="1" w:styleId="Default">
    <w:name w:val="Default"/>
    <w:rsid w:val="00F45919"/>
    <w:pPr>
      <w:autoSpaceDE w:val="0"/>
      <w:autoSpaceDN w:val="0"/>
      <w:adjustRightInd w:val="0"/>
    </w:pPr>
    <w:rPr>
      <w:rFonts w:cs="Times New Roman"/>
      <w:color w:val="000000"/>
      <w:szCs w:val="24"/>
    </w:rPr>
  </w:style>
  <w:style w:type="paragraph" w:styleId="BodyText2">
    <w:name w:val="Body Text 2"/>
    <w:basedOn w:val="Normal"/>
    <w:link w:val="BodyText2Char"/>
    <w:rsid w:val="00F45919"/>
    <w:pPr>
      <w:autoSpaceDE w:val="0"/>
      <w:autoSpaceDN w:val="0"/>
      <w:adjustRightInd w:val="0"/>
    </w:pPr>
    <w:rPr>
      <w:rFonts w:eastAsia="Times New Roman" w:cs="Times New Roman"/>
    </w:rPr>
  </w:style>
  <w:style w:type="character" w:customStyle="1" w:styleId="BodyText2Char">
    <w:name w:val="Body Text 2 Char"/>
    <w:basedOn w:val="DefaultParagraphFont"/>
    <w:link w:val="BodyText2"/>
    <w:rsid w:val="00F45919"/>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45919"/>
    <w:rPr>
      <w:color w:val="0000FF" w:themeColor="hyperlink"/>
      <w:u w:val="single"/>
    </w:rPr>
  </w:style>
  <w:style w:type="paragraph" w:styleId="BodyTextIndent2">
    <w:name w:val="Body Text Indent 2"/>
    <w:basedOn w:val="Normal"/>
    <w:link w:val="BodyTextIndent2Char"/>
    <w:rsid w:val="00114E77"/>
    <w:pPr>
      <w:spacing w:after="120" w:line="480" w:lineRule="auto"/>
      <w:ind w:left="360"/>
    </w:pPr>
    <w:rPr>
      <w:rFonts w:eastAsia="Times New Roman" w:cs="Times New Roman"/>
    </w:rPr>
  </w:style>
  <w:style w:type="character" w:customStyle="1" w:styleId="BodyTextIndent2Char">
    <w:name w:val="Body Text Indent 2 Char"/>
    <w:basedOn w:val="DefaultParagraphFont"/>
    <w:link w:val="BodyTextIndent2"/>
    <w:rsid w:val="00114E77"/>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114E77"/>
    <w:pPr>
      <w:ind w:left="720"/>
      <w:contextualSpacing/>
    </w:pPr>
  </w:style>
  <w:style w:type="paragraph" w:styleId="BodyTextIndent">
    <w:name w:val="Body Text Indent"/>
    <w:basedOn w:val="Normal"/>
    <w:link w:val="BodyTextIndentChar"/>
    <w:uiPriority w:val="99"/>
    <w:unhideWhenUsed/>
    <w:rsid w:val="0067498C"/>
    <w:pPr>
      <w:spacing w:after="120"/>
      <w:ind w:left="360"/>
    </w:pPr>
  </w:style>
  <w:style w:type="character" w:customStyle="1" w:styleId="BodyTextIndentChar">
    <w:name w:val="Body Text Indent Char"/>
    <w:basedOn w:val="DefaultParagraphFont"/>
    <w:link w:val="BodyTextIndent"/>
    <w:uiPriority w:val="99"/>
    <w:rsid w:val="0067498C"/>
    <w:rPr>
      <w:rFonts w:ascii="Arial" w:hAnsi="Arial"/>
      <w:sz w:val="24"/>
      <w:szCs w:val="24"/>
    </w:rPr>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2,Footnote Text Char5 Char,fn,f"/>
    <w:basedOn w:val="Normal"/>
    <w:link w:val="FootnoteTextChar"/>
    <w:uiPriority w:val="99"/>
    <w:rsid w:val="00CF262F"/>
    <w:rPr>
      <w:rFonts w:eastAsia="Times New Roman" w:cs="Times New Roman"/>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fn Char,f Char"/>
    <w:basedOn w:val="DefaultParagraphFont"/>
    <w:link w:val="FootnoteText"/>
    <w:uiPriority w:val="99"/>
    <w:rsid w:val="00CF262F"/>
    <w:rPr>
      <w:rFonts w:ascii="Times New Roman" w:eastAsia="Times New Roman" w:hAnsi="Times New Roman" w:cs="Times New Roman"/>
    </w:rPr>
  </w:style>
  <w:style w:type="character" w:styleId="FootnoteReference">
    <w:name w:val="footnote reference"/>
    <w:aliases w:val="Style 13,Style 12,(NECG) Footnote Reference,Appel note de bas de p,Style 124,fr,o,Style 3,FR,Style 17,Style 6,Footnote Reference/"/>
    <w:basedOn w:val="DefaultParagraphFont"/>
    <w:uiPriority w:val="99"/>
    <w:rsid w:val="00CF262F"/>
    <w:rPr>
      <w:vertAlign w:val="superscript"/>
    </w:rPr>
  </w:style>
  <w:style w:type="table" w:styleId="TableGrid">
    <w:name w:val="Table Grid"/>
    <w:basedOn w:val="TableNormal"/>
    <w:uiPriority w:val="59"/>
    <w:rsid w:val="009C033C"/>
    <w:rPr>
      <w:sz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383D75"/>
    <w:pPr>
      <w:spacing w:after="120"/>
    </w:pPr>
  </w:style>
  <w:style w:type="character" w:customStyle="1" w:styleId="BodyTextChar">
    <w:name w:val="Body Text Char"/>
    <w:basedOn w:val="DefaultParagraphFont"/>
    <w:link w:val="BodyText"/>
    <w:uiPriority w:val="99"/>
    <w:semiHidden/>
    <w:rsid w:val="00383D75"/>
  </w:style>
  <w:style w:type="character" w:customStyle="1" w:styleId="Heading4Char">
    <w:name w:val="Heading 4 Char"/>
    <w:basedOn w:val="DefaultParagraphFont"/>
    <w:link w:val="Heading4"/>
    <w:rsid w:val="00383D75"/>
    <w:rPr>
      <w:rFonts w:eastAsia="Times New Roman" w:cs="Times New Roman"/>
      <w:bCs/>
      <w:szCs w:val="28"/>
    </w:rPr>
  </w:style>
  <w:style w:type="character" w:customStyle="1" w:styleId="Heading5Char">
    <w:name w:val="Heading 5 Char"/>
    <w:basedOn w:val="DefaultParagraphFont"/>
    <w:link w:val="Heading5"/>
    <w:rsid w:val="00383D75"/>
    <w:rPr>
      <w:rFonts w:eastAsia="Times New Roman" w:cs="Times New Roman"/>
      <w:bCs/>
      <w:iCs/>
      <w:szCs w:val="26"/>
    </w:rPr>
  </w:style>
  <w:style w:type="character" w:customStyle="1" w:styleId="Heading6Char">
    <w:name w:val="Heading 6 Char"/>
    <w:basedOn w:val="DefaultParagraphFont"/>
    <w:link w:val="Heading6"/>
    <w:rsid w:val="00383D75"/>
    <w:rPr>
      <w:rFonts w:eastAsia="Times New Roman" w:cs="Times New Roman"/>
      <w:bCs/>
    </w:rPr>
  </w:style>
  <w:style w:type="character" w:customStyle="1" w:styleId="Heading7Char">
    <w:name w:val="Heading 7 Char"/>
    <w:basedOn w:val="DefaultParagraphFont"/>
    <w:link w:val="Heading7"/>
    <w:rsid w:val="00383D75"/>
    <w:rPr>
      <w:rFonts w:eastAsia="Times New Roman" w:cs="Times New Roman"/>
      <w:szCs w:val="24"/>
    </w:rPr>
  </w:style>
  <w:style w:type="character" w:customStyle="1" w:styleId="Heading8Char">
    <w:name w:val="Heading 8 Char"/>
    <w:basedOn w:val="DefaultParagraphFont"/>
    <w:link w:val="Heading8"/>
    <w:rsid w:val="00383D75"/>
    <w:rPr>
      <w:rFonts w:eastAsia="Times New Roman" w:cs="Times New Roman"/>
      <w:iCs/>
      <w:szCs w:val="24"/>
    </w:rPr>
  </w:style>
  <w:style w:type="character" w:customStyle="1" w:styleId="Heading9Char">
    <w:name w:val="Heading 9 Char"/>
    <w:basedOn w:val="DefaultParagraphFont"/>
    <w:link w:val="Heading9"/>
    <w:rsid w:val="00383D75"/>
    <w:rPr>
      <w:rFonts w:eastAsia="Times New Roman" w:cs="Arial"/>
    </w:rPr>
  </w:style>
  <w:style w:type="character" w:customStyle="1" w:styleId="ListParagraphChar">
    <w:name w:val="List Paragraph Char"/>
    <w:basedOn w:val="DefaultParagraphFont"/>
    <w:link w:val="ListParagraph"/>
    <w:uiPriority w:val="34"/>
    <w:rsid w:val="00B81BF7"/>
  </w:style>
  <w:style w:type="paragraph" w:customStyle="1" w:styleId="ParaNum">
    <w:name w:val="ParaNum"/>
    <w:basedOn w:val="Normal"/>
    <w:rsid w:val="00185E9D"/>
    <w:pPr>
      <w:tabs>
        <w:tab w:val="left" w:pos="1440"/>
      </w:tabs>
      <w:spacing w:after="240" w:line="240" w:lineRule="auto"/>
      <w:ind w:firstLine="720"/>
    </w:pPr>
    <w:rPr>
      <w:rFonts w:eastAsia="Times New Roman" w:cs="Times New Roman"/>
      <w:szCs w:val="20"/>
    </w:rPr>
  </w:style>
  <w:style w:type="character" w:styleId="CommentReference">
    <w:name w:val="annotation reference"/>
    <w:basedOn w:val="DefaultParagraphFont"/>
    <w:uiPriority w:val="99"/>
    <w:semiHidden/>
    <w:unhideWhenUsed/>
    <w:rsid w:val="005E5E43"/>
    <w:rPr>
      <w:sz w:val="16"/>
      <w:szCs w:val="16"/>
    </w:rPr>
  </w:style>
  <w:style w:type="paragraph" w:styleId="CommentText">
    <w:name w:val="annotation text"/>
    <w:basedOn w:val="Normal"/>
    <w:link w:val="CommentTextChar"/>
    <w:uiPriority w:val="99"/>
    <w:semiHidden/>
    <w:unhideWhenUsed/>
    <w:rsid w:val="005E5E43"/>
    <w:pPr>
      <w:spacing w:line="240" w:lineRule="auto"/>
    </w:pPr>
    <w:rPr>
      <w:sz w:val="20"/>
      <w:szCs w:val="20"/>
    </w:rPr>
  </w:style>
  <w:style w:type="character" w:customStyle="1" w:styleId="CommentTextChar">
    <w:name w:val="Comment Text Char"/>
    <w:basedOn w:val="DefaultParagraphFont"/>
    <w:link w:val="CommentText"/>
    <w:uiPriority w:val="99"/>
    <w:semiHidden/>
    <w:rsid w:val="005E5E43"/>
    <w:rPr>
      <w:sz w:val="20"/>
      <w:szCs w:val="20"/>
    </w:rPr>
  </w:style>
  <w:style w:type="paragraph" w:styleId="CommentSubject">
    <w:name w:val="annotation subject"/>
    <w:basedOn w:val="CommentText"/>
    <w:next w:val="CommentText"/>
    <w:link w:val="CommentSubjectChar"/>
    <w:uiPriority w:val="99"/>
    <w:semiHidden/>
    <w:unhideWhenUsed/>
    <w:rsid w:val="005E5E43"/>
    <w:rPr>
      <w:b/>
      <w:bCs/>
    </w:rPr>
  </w:style>
  <w:style w:type="character" w:customStyle="1" w:styleId="CommentSubjectChar">
    <w:name w:val="Comment Subject Char"/>
    <w:basedOn w:val="CommentTextChar"/>
    <w:link w:val="CommentSubject"/>
    <w:uiPriority w:val="99"/>
    <w:semiHidden/>
    <w:rsid w:val="005E5E43"/>
    <w:rPr>
      <w:b/>
      <w:bCs/>
      <w:sz w:val="20"/>
      <w:szCs w:val="20"/>
    </w:rPr>
  </w:style>
  <w:style w:type="paragraph" w:styleId="HTMLPreformatted">
    <w:name w:val="HTML Preformatted"/>
    <w:basedOn w:val="Normal"/>
    <w:link w:val="HTMLPreformattedChar"/>
    <w:uiPriority w:val="99"/>
    <w:semiHidden/>
    <w:unhideWhenUsed/>
    <w:rsid w:val="008170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1705D"/>
    <w:rPr>
      <w:rFonts w:ascii="Courier New" w:eastAsia="Times New Roman" w:hAnsi="Courier New" w:cs="Courier New"/>
      <w:sz w:val="20"/>
      <w:szCs w:val="20"/>
    </w:rPr>
  </w:style>
  <w:style w:type="paragraph" w:styleId="NormalWeb">
    <w:name w:val="Normal (Web)"/>
    <w:basedOn w:val="Normal"/>
    <w:uiPriority w:val="99"/>
    <w:semiHidden/>
    <w:unhideWhenUsed/>
    <w:rsid w:val="001F0CEA"/>
    <w:pPr>
      <w:spacing w:before="100" w:beforeAutospacing="1" w:after="100" w:afterAutospacing="1" w:line="240" w:lineRule="auto"/>
    </w:pPr>
    <w:rPr>
      <w:rFonts w:ascii="Verdana" w:eastAsiaTheme="minorEastAsia" w:hAnsi="Verdana" w:cs="Times New Roman"/>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3D75"/>
  </w:style>
  <w:style w:type="paragraph" w:styleId="Heading1">
    <w:name w:val="heading 1"/>
    <w:basedOn w:val="Normal"/>
    <w:next w:val="BodyText"/>
    <w:link w:val="Heading1Char"/>
    <w:qFormat/>
    <w:rsid w:val="00383D75"/>
    <w:pPr>
      <w:keepNext/>
      <w:numPr>
        <w:numId w:val="22"/>
      </w:numPr>
      <w:spacing w:after="240" w:line="240" w:lineRule="auto"/>
      <w:outlineLvl w:val="0"/>
    </w:pPr>
    <w:rPr>
      <w:rFonts w:eastAsiaTheme="majorEastAsia" w:cstheme="majorBidi"/>
      <w:b/>
      <w:bCs/>
      <w:kern w:val="32"/>
      <w:szCs w:val="32"/>
    </w:rPr>
  </w:style>
  <w:style w:type="paragraph" w:styleId="Heading2">
    <w:name w:val="heading 2"/>
    <w:basedOn w:val="Normal"/>
    <w:next w:val="BodyText"/>
    <w:link w:val="Heading2Char"/>
    <w:qFormat/>
    <w:rsid w:val="00383D75"/>
    <w:pPr>
      <w:keepNext/>
      <w:numPr>
        <w:ilvl w:val="1"/>
        <w:numId w:val="22"/>
      </w:numPr>
      <w:spacing w:after="240" w:line="240" w:lineRule="auto"/>
      <w:outlineLvl w:val="1"/>
    </w:pPr>
    <w:rPr>
      <w:rFonts w:eastAsiaTheme="majorEastAsia" w:cstheme="majorBidi"/>
      <w:b/>
      <w:bCs/>
      <w:iCs/>
      <w:szCs w:val="28"/>
    </w:rPr>
  </w:style>
  <w:style w:type="paragraph" w:styleId="Heading3">
    <w:name w:val="heading 3"/>
    <w:basedOn w:val="Normal"/>
    <w:next w:val="BodyText"/>
    <w:link w:val="Heading3Char"/>
    <w:qFormat/>
    <w:rsid w:val="00383D75"/>
    <w:pPr>
      <w:numPr>
        <w:ilvl w:val="2"/>
        <w:numId w:val="22"/>
      </w:numPr>
      <w:spacing w:after="240" w:line="240" w:lineRule="auto"/>
      <w:outlineLvl w:val="2"/>
    </w:pPr>
    <w:rPr>
      <w:rFonts w:eastAsiaTheme="majorEastAsia" w:cstheme="majorBidi"/>
      <w:b/>
      <w:bCs/>
      <w:szCs w:val="26"/>
    </w:rPr>
  </w:style>
  <w:style w:type="paragraph" w:styleId="Heading4">
    <w:name w:val="heading 4"/>
    <w:basedOn w:val="Normal"/>
    <w:next w:val="BodyText"/>
    <w:link w:val="Heading4Char"/>
    <w:qFormat/>
    <w:rsid w:val="00383D75"/>
    <w:pPr>
      <w:numPr>
        <w:ilvl w:val="3"/>
        <w:numId w:val="22"/>
      </w:numPr>
      <w:spacing w:after="240" w:line="240" w:lineRule="auto"/>
      <w:outlineLvl w:val="3"/>
    </w:pPr>
    <w:rPr>
      <w:rFonts w:eastAsia="Times New Roman" w:cs="Times New Roman"/>
      <w:bCs/>
      <w:szCs w:val="28"/>
    </w:rPr>
  </w:style>
  <w:style w:type="paragraph" w:styleId="Heading5">
    <w:name w:val="heading 5"/>
    <w:basedOn w:val="Normal"/>
    <w:next w:val="BodyText"/>
    <w:link w:val="Heading5Char"/>
    <w:qFormat/>
    <w:rsid w:val="00383D75"/>
    <w:pPr>
      <w:numPr>
        <w:ilvl w:val="4"/>
        <w:numId w:val="22"/>
      </w:numPr>
      <w:spacing w:after="240" w:line="240" w:lineRule="auto"/>
      <w:outlineLvl w:val="4"/>
    </w:pPr>
    <w:rPr>
      <w:rFonts w:eastAsia="Times New Roman" w:cs="Times New Roman"/>
      <w:bCs/>
      <w:iCs/>
      <w:szCs w:val="26"/>
    </w:rPr>
  </w:style>
  <w:style w:type="paragraph" w:styleId="Heading6">
    <w:name w:val="heading 6"/>
    <w:basedOn w:val="Normal"/>
    <w:next w:val="BodyText"/>
    <w:link w:val="Heading6Char"/>
    <w:qFormat/>
    <w:rsid w:val="00383D75"/>
    <w:pPr>
      <w:numPr>
        <w:ilvl w:val="5"/>
        <w:numId w:val="22"/>
      </w:numPr>
      <w:spacing w:after="240" w:line="240" w:lineRule="auto"/>
      <w:outlineLvl w:val="5"/>
    </w:pPr>
    <w:rPr>
      <w:rFonts w:eastAsia="Times New Roman" w:cs="Times New Roman"/>
      <w:bCs/>
    </w:rPr>
  </w:style>
  <w:style w:type="paragraph" w:styleId="Heading7">
    <w:name w:val="heading 7"/>
    <w:basedOn w:val="Normal"/>
    <w:next w:val="BodyText"/>
    <w:link w:val="Heading7Char"/>
    <w:qFormat/>
    <w:rsid w:val="00383D75"/>
    <w:pPr>
      <w:numPr>
        <w:ilvl w:val="6"/>
        <w:numId w:val="22"/>
      </w:numPr>
      <w:spacing w:after="240" w:line="240" w:lineRule="auto"/>
      <w:outlineLvl w:val="6"/>
    </w:pPr>
    <w:rPr>
      <w:rFonts w:eastAsia="Times New Roman" w:cs="Times New Roman"/>
      <w:szCs w:val="24"/>
    </w:rPr>
  </w:style>
  <w:style w:type="paragraph" w:styleId="Heading8">
    <w:name w:val="heading 8"/>
    <w:basedOn w:val="Normal"/>
    <w:next w:val="BodyText"/>
    <w:link w:val="Heading8Char"/>
    <w:qFormat/>
    <w:rsid w:val="00383D75"/>
    <w:pPr>
      <w:numPr>
        <w:ilvl w:val="7"/>
        <w:numId w:val="22"/>
      </w:numPr>
      <w:spacing w:after="240" w:line="240" w:lineRule="auto"/>
      <w:outlineLvl w:val="7"/>
    </w:pPr>
    <w:rPr>
      <w:rFonts w:eastAsia="Times New Roman" w:cs="Times New Roman"/>
      <w:iCs/>
      <w:szCs w:val="24"/>
    </w:rPr>
  </w:style>
  <w:style w:type="paragraph" w:styleId="Heading9">
    <w:name w:val="heading 9"/>
    <w:basedOn w:val="Normal"/>
    <w:next w:val="BodyText"/>
    <w:link w:val="Heading9Char"/>
    <w:qFormat/>
    <w:rsid w:val="00383D75"/>
    <w:pPr>
      <w:numPr>
        <w:ilvl w:val="8"/>
        <w:numId w:val="1"/>
      </w:numPr>
      <w:tabs>
        <w:tab w:val="num" w:pos="6840"/>
      </w:tabs>
      <w:spacing w:after="240" w:line="240" w:lineRule="auto"/>
      <w:ind w:hanging="720"/>
      <w:outlineLvl w:val="8"/>
    </w:pPr>
    <w:rPr>
      <w:rFonts w:eastAsia="Times New Roman"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6BDE"/>
    <w:pPr>
      <w:tabs>
        <w:tab w:val="center" w:pos="4320"/>
        <w:tab w:val="right" w:pos="8640"/>
      </w:tabs>
    </w:pPr>
  </w:style>
  <w:style w:type="character" w:customStyle="1" w:styleId="HeaderChar">
    <w:name w:val="Header Char"/>
    <w:basedOn w:val="DefaultParagraphFont"/>
    <w:link w:val="Header"/>
    <w:uiPriority w:val="99"/>
    <w:rsid w:val="000C6BDE"/>
    <w:rPr>
      <w:sz w:val="24"/>
      <w:szCs w:val="24"/>
    </w:rPr>
  </w:style>
  <w:style w:type="paragraph" w:styleId="Footer">
    <w:name w:val="footer"/>
    <w:basedOn w:val="Normal"/>
    <w:link w:val="FooterChar"/>
    <w:uiPriority w:val="99"/>
    <w:unhideWhenUsed/>
    <w:rsid w:val="000C6BDE"/>
    <w:pPr>
      <w:tabs>
        <w:tab w:val="center" w:pos="4320"/>
        <w:tab w:val="right" w:pos="8640"/>
      </w:tabs>
    </w:pPr>
  </w:style>
  <w:style w:type="character" w:customStyle="1" w:styleId="FooterChar">
    <w:name w:val="Footer Char"/>
    <w:basedOn w:val="DefaultParagraphFont"/>
    <w:link w:val="Footer"/>
    <w:uiPriority w:val="99"/>
    <w:rsid w:val="000C6BDE"/>
    <w:rPr>
      <w:sz w:val="24"/>
      <w:szCs w:val="24"/>
    </w:rPr>
  </w:style>
  <w:style w:type="character" w:customStyle="1" w:styleId="Heading3Char">
    <w:name w:val="Heading 3 Char"/>
    <w:basedOn w:val="DefaultParagraphFont"/>
    <w:link w:val="Heading3"/>
    <w:rsid w:val="00383D75"/>
    <w:rPr>
      <w:rFonts w:eastAsiaTheme="majorEastAsia" w:cstheme="majorBidi"/>
      <w:b/>
      <w:bCs/>
      <w:szCs w:val="26"/>
    </w:rPr>
  </w:style>
  <w:style w:type="character" w:customStyle="1" w:styleId="Heading2Char">
    <w:name w:val="Heading 2 Char"/>
    <w:basedOn w:val="DefaultParagraphFont"/>
    <w:link w:val="Heading2"/>
    <w:rsid w:val="00383D75"/>
    <w:rPr>
      <w:rFonts w:eastAsiaTheme="majorEastAsia" w:cstheme="majorBidi"/>
      <w:b/>
      <w:bCs/>
      <w:iCs/>
      <w:szCs w:val="28"/>
    </w:rPr>
  </w:style>
  <w:style w:type="character" w:customStyle="1" w:styleId="Heading1Char">
    <w:name w:val="Heading 1 Char"/>
    <w:basedOn w:val="DefaultParagraphFont"/>
    <w:link w:val="Heading1"/>
    <w:rsid w:val="00383D75"/>
    <w:rPr>
      <w:rFonts w:eastAsiaTheme="majorEastAsia" w:cstheme="majorBidi"/>
      <w:b/>
      <w:bCs/>
      <w:kern w:val="32"/>
      <w:szCs w:val="32"/>
    </w:rPr>
  </w:style>
  <w:style w:type="paragraph" w:styleId="BalloonText">
    <w:name w:val="Balloon Text"/>
    <w:basedOn w:val="Normal"/>
    <w:link w:val="BalloonTextChar"/>
    <w:semiHidden/>
    <w:unhideWhenUsed/>
    <w:rsid w:val="006A2183"/>
    <w:rPr>
      <w:rFonts w:ascii="Tahoma" w:hAnsi="Tahoma" w:cs="Tahoma"/>
      <w:sz w:val="16"/>
      <w:szCs w:val="16"/>
    </w:rPr>
  </w:style>
  <w:style w:type="character" w:customStyle="1" w:styleId="BalloonTextChar">
    <w:name w:val="Balloon Text Char"/>
    <w:basedOn w:val="DefaultParagraphFont"/>
    <w:link w:val="BalloonText"/>
    <w:uiPriority w:val="99"/>
    <w:semiHidden/>
    <w:rsid w:val="006A2183"/>
    <w:rPr>
      <w:rFonts w:ascii="Tahoma" w:hAnsi="Tahoma" w:cs="Tahoma"/>
      <w:sz w:val="16"/>
      <w:szCs w:val="16"/>
    </w:rPr>
  </w:style>
  <w:style w:type="paragraph" w:styleId="NoSpacing">
    <w:name w:val="No Spacing"/>
    <w:uiPriority w:val="1"/>
    <w:qFormat/>
    <w:rsid w:val="00F45919"/>
    <w:pPr>
      <w:spacing w:line="240" w:lineRule="auto"/>
    </w:pPr>
  </w:style>
  <w:style w:type="paragraph" w:customStyle="1" w:styleId="Default">
    <w:name w:val="Default"/>
    <w:rsid w:val="00F45919"/>
    <w:pPr>
      <w:autoSpaceDE w:val="0"/>
      <w:autoSpaceDN w:val="0"/>
      <w:adjustRightInd w:val="0"/>
    </w:pPr>
    <w:rPr>
      <w:rFonts w:cs="Times New Roman"/>
      <w:color w:val="000000"/>
      <w:szCs w:val="24"/>
    </w:rPr>
  </w:style>
  <w:style w:type="paragraph" w:styleId="BodyText2">
    <w:name w:val="Body Text 2"/>
    <w:basedOn w:val="Normal"/>
    <w:link w:val="BodyText2Char"/>
    <w:rsid w:val="00F45919"/>
    <w:pPr>
      <w:autoSpaceDE w:val="0"/>
      <w:autoSpaceDN w:val="0"/>
      <w:adjustRightInd w:val="0"/>
    </w:pPr>
    <w:rPr>
      <w:rFonts w:eastAsia="Times New Roman" w:cs="Times New Roman"/>
    </w:rPr>
  </w:style>
  <w:style w:type="character" w:customStyle="1" w:styleId="BodyText2Char">
    <w:name w:val="Body Text 2 Char"/>
    <w:basedOn w:val="DefaultParagraphFont"/>
    <w:link w:val="BodyText2"/>
    <w:rsid w:val="00F45919"/>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45919"/>
    <w:rPr>
      <w:color w:val="0000FF" w:themeColor="hyperlink"/>
      <w:u w:val="single"/>
    </w:rPr>
  </w:style>
  <w:style w:type="paragraph" w:styleId="BodyTextIndent2">
    <w:name w:val="Body Text Indent 2"/>
    <w:basedOn w:val="Normal"/>
    <w:link w:val="BodyTextIndent2Char"/>
    <w:rsid w:val="00114E77"/>
    <w:pPr>
      <w:spacing w:after="120" w:line="480" w:lineRule="auto"/>
      <w:ind w:left="360"/>
    </w:pPr>
    <w:rPr>
      <w:rFonts w:eastAsia="Times New Roman" w:cs="Times New Roman"/>
    </w:rPr>
  </w:style>
  <w:style w:type="character" w:customStyle="1" w:styleId="BodyTextIndent2Char">
    <w:name w:val="Body Text Indent 2 Char"/>
    <w:basedOn w:val="DefaultParagraphFont"/>
    <w:link w:val="BodyTextIndent2"/>
    <w:rsid w:val="00114E77"/>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114E77"/>
    <w:pPr>
      <w:ind w:left="720"/>
      <w:contextualSpacing/>
    </w:pPr>
  </w:style>
  <w:style w:type="paragraph" w:styleId="BodyTextIndent">
    <w:name w:val="Body Text Indent"/>
    <w:basedOn w:val="Normal"/>
    <w:link w:val="BodyTextIndentChar"/>
    <w:uiPriority w:val="99"/>
    <w:unhideWhenUsed/>
    <w:rsid w:val="0067498C"/>
    <w:pPr>
      <w:spacing w:after="120"/>
      <w:ind w:left="360"/>
    </w:pPr>
  </w:style>
  <w:style w:type="character" w:customStyle="1" w:styleId="BodyTextIndentChar">
    <w:name w:val="Body Text Indent Char"/>
    <w:basedOn w:val="DefaultParagraphFont"/>
    <w:link w:val="BodyTextIndent"/>
    <w:uiPriority w:val="99"/>
    <w:rsid w:val="0067498C"/>
    <w:rPr>
      <w:rFonts w:ascii="Arial" w:hAnsi="Arial"/>
      <w:sz w:val="24"/>
      <w:szCs w:val="24"/>
    </w:rPr>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2,Footnote Text Char5 Char,fn,f"/>
    <w:basedOn w:val="Normal"/>
    <w:link w:val="FootnoteTextChar"/>
    <w:uiPriority w:val="99"/>
    <w:rsid w:val="00CF262F"/>
    <w:rPr>
      <w:rFonts w:eastAsia="Times New Roman" w:cs="Times New Roman"/>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fn Char,f Char"/>
    <w:basedOn w:val="DefaultParagraphFont"/>
    <w:link w:val="FootnoteText"/>
    <w:uiPriority w:val="99"/>
    <w:rsid w:val="00CF262F"/>
    <w:rPr>
      <w:rFonts w:ascii="Times New Roman" w:eastAsia="Times New Roman" w:hAnsi="Times New Roman" w:cs="Times New Roman"/>
    </w:rPr>
  </w:style>
  <w:style w:type="character" w:styleId="FootnoteReference">
    <w:name w:val="footnote reference"/>
    <w:aliases w:val="Style 13,Style 12,(NECG) Footnote Reference,Appel note de bas de p,Style 124,fr,o,Style 3,FR,Style 17,Style 6,Footnote Reference/"/>
    <w:basedOn w:val="DefaultParagraphFont"/>
    <w:uiPriority w:val="99"/>
    <w:rsid w:val="00CF262F"/>
    <w:rPr>
      <w:vertAlign w:val="superscript"/>
    </w:rPr>
  </w:style>
  <w:style w:type="table" w:styleId="TableGrid">
    <w:name w:val="Table Grid"/>
    <w:basedOn w:val="TableNormal"/>
    <w:uiPriority w:val="59"/>
    <w:rsid w:val="009C033C"/>
    <w:rPr>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
    <w:name w:val="Body Text"/>
    <w:basedOn w:val="Normal"/>
    <w:link w:val="BodyTextChar"/>
    <w:uiPriority w:val="99"/>
    <w:semiHidden/>
    <w:unhideWhenUsed/>
    <w:rsid w:val="00383D75"/>
    <w:pPr>
      <w:spacing w:after="120"/>
    </w:pPr>
  </w:style>
  <w:style w:type="character" w:customStyle="1" w:styleId="BodyTextChar">
    <w:name w:val="Body Text Char"/>
    <w:basedOn w:val="DefaultParagraphFont"/>
    <w:link w:val="BodyText"/>
    <w:uiPriority w:val="99"/>
    <w:semiHidden/>
    <w:rsid w:val="00383D75"/>
  </w:style>
  <w:style w:type="character" w:customStyle="1" w:styleId="Heading4Char">
    <w:name w:val="Heading 4 Char"/>
    <w:basedOn w:val="DefaultParagraphFont"/>
    <w:link w:val="Heading4"/>
    <w:rsid w:val="00383D75"/>
    <w:rPr>
      <w:rFonts w:eastAsia="Times New Roman" w:cs="Times New Roman"/>
      <w:bCs/>
      <w:szCs w:val="28"/>
    </w:rPr>
  </w:style>
  <w:style w:type="character" w:customStyle="1" w:styleId="Heading5Char">
    <w:name w:val="Heading 5 Char"/>
    <w:basedOn w:val="DefaultParagraphFont"/>
    <w:link w:val="Heading5"/>
    <w:rsid w:val="00383D75"/>
    <w:rPr>
      <w:rFonts w:eastAsia="Times New Roman" w:cs="Times New Roman"/>
      <w:bCs/>
      <w:iCs/>
      <w:szCs w:val="26"/>
    </w:rPr>
  </w:style>
  <w:style w:type="character" w:customStyle="1" w:styleId="Heading6Char">
    <w:name w:val="Heading 6 Char"/>
    <w:basedOn w:val="DefaultParagraphFont"/>
    <w:link w:val="Heading6"/>
    <w:rsid w:val="00383D75"/>
    <w:rPr>
      <w:rFonts w:eastAsia="Times New Roman" w:cs="Times New Roman"/>
      <w:bCs/>
    </w:rPr>
  </w:style>
  <w:style w:type="character" w:customStyle="1" w:styleId="Heading7Char">
    <w:name w:val="Heading 7 Char"/>
    <w:basedOn w:val="DefaultParagraphFont"/>
    <w:link w:val="Heading7"/>
    <w:rsid w:val="00383D75"/>
    <w:rPr>
      <w:rFonts w:eastAsia="Times New Roman" w:cs="Times New Roman"/>
      <w:szCs w:val="24"/>
    </w:rPr>
  </w:style>
  <w:style w:type="character" w:customStyle="1" w:styleId="Heading8Char">
    <w:name w:val="Heading 8 Char"/>
    <w:basedOn w:val="DefaultParagraphFont"/>
    <w:link w:val="Heading8"/>
    <w:rsid w:val="00383D75"/>
    <w:rPr>
      <w:rFonts w:eastAsia="Times New Roman" w:cs="Times New Roman"/>
      <w:iCs/>
      <w:szCs w:val="24"/>
    </w:rPr>
  </w:style>
  <w:style w:type="character" w:customStyle="1" w:styleId="Heading9Char">
    <w:name w:val="Heading 9 Char"/>
    <w:basedOn w:val="DefaultParagraphFont"/>
    <w:link w:val="Heading9"/>
    <w:rsid w:val="00383D75"/>
    <w:rPr>
      <w:rFonts w:eastAsia="Times New Roman" w:cs="Arial"/>
    </w:rPr>
  </w:style>
  <w:style w:type="character" w:customStyle="1" w:styleId="ListParagraphChar">
    <w:name w:val="List Paragraph Char"/>
    <w:basedOn w:val="DefaultParagraphFont"/>
    <w:link w:val="ListParagraph"/>
    <w:uiPriority w:val="34"/>
    <w:rsid w:val="00B81BF7"/>
  </w:style>
  <w:style w:type="paragraph" w:customStyle="1" w:styleId="ParaNum">
    <w:name w:val="ParaNum"/>
    <w:basedOn w:val="Normal"/>
    <w:rsid w:val="00185E9D"/>
    <w:pPr>
      <w:tabs>
        <w:tab w:val="left" w:pos="1440"/>
      </w:tabs>
      <w:spacing w:after="240" w:line="240" w:lineRule="auto"/>
      <w:ind w:firstLine="720"/>
    </w:pPr>
    <w:rPr>
      <w:rFonts w:eastAsia="Times New Roman" w:cs="Times New Roman"/>
      <w:szCs w:val="20"/>
    </w:rPr>
  </w:style>
  <w:style w:type="character" w:styleId="CommentReference">
    <w:name w:val="annotation reference"/>
    <w:basedOn w:val="DefaultParagraphFont"/>
    <w:uiPriority w:val="99"/>
    <w:semiHidden/>
    <w:unhideWhenUsed/>
    <w:rsid w:val="005E5E43"/>
    <w:rPr>
      <w:sz w:val="16"/>
      <w:szCs w:val="16"/>
    </w:rPr>
  </w:style>
  <w:style w:type="paragraph" w:styleId="CommentText">
    <w:name w:val="annotation text"/>
    <w:basedOn w:val="Normal"/>
    <w:link w:val="CommentTextChar"/>
    <w:uiPriority w:val="99"/>
    <w:semiHidden/>
    <w:unhideWhenUsed/>
    <w:rsid w:val="005E5E43"/>
    <w:pPr>
      <w:spacing w:line="240" w:lineRule="auto"/>
    </w:pPr>
    <w:rPr>
      <w:sz w:val="20"/>
      <w:szCs w:val="20"/>
    </w:rPr>
  </w:style>
  <w:style w:type="character" w:customStyle="1" w:styleId="CommentTextChar">
    <w:name w:val="Comment Text Char"/>
    <w:basedOn w:val="DefaultParagraphFont"/>
    <w:link w:val="CommentText"/>
    <w:uiPriority w:val="99"/>
    <w:semiHidden/>
    <w:rsid w:val="005E5E43"/>
    <w:rPr>
      <w:sz w:val="20"/>
      <w:szCs w:val="20"/>
    </w:rPr>
  </w:style>
  <w:style w:type="paragraph" w:styleId="CommentSubject">
    <w:name w:val="annotation subject"/>
    <w:basedOn w:val="CommentText"/>
    <w:next w:val="CommentText"/>
    <w:link w:val="CommentSubjectChar"/>
    <w:uiPriority w:val="99"/>
    <w:semiHidden/>
    <w:unhideWhenUsed/>
    <w:rsid w:val="005E5E43"/>
    <w:rPr>
      <w:b/>
      <w:bCs/>
    </w:rPr>
  </w:style>
  <w:style w:type="character" w:customStyle="1" w:styleId="CommentSubjectChar">
    <w:name w:val="Comment Subject Char"/>
    <w:basedOn w:val="CommentTextChar"/>
    <w:link w:val="CommentSubject"/>
    <w:uiPriority w:val="99"/>
    <w:semiHidden/>
    <w:rsid w:val="005E5E43"/>
    <w:rPr>
      <w:b/>
      <w:bCs/>
      <w:sz w:val="20"/>
      <w:szCs w:val="20"/>
    </w:rPr>
  </w:style>
  <w:style w:type="paragraph" w:styleId="HTMLPreformatted">
    <w:name w:val="HTML Preformatted"/>
    <w:basedOn w:val="Normal"/>
    <w:link w:val="HTMLPreformattedChar"/>
    <w:uiPriority w:val="99"/>
    <w:semiHidden/>
    <w:unhideWhenUsed/>
    <w:rsid w:val="008170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1705D"/>
    <w:rPr>
      <w:rFonts w:ascii="Courier New" w:eastAsia="Times New Roman" w:hAnsi="Courier New" w:cs="Courier New"/>
      <w:sz w:val="20"/>
      <w:szCs w:val="20"/>
    </w:rPr>
  </w:style>
  <w:style w:type="paragraph" w:styleId="NormalWeb">
    <w:name w:val="Normal (Web)"/>
    <w:basedOn w:val="Normal"/>
    <w:uiPriority w:val="99"/>
    <w:semiHidden/>
    <w:unhideWhenUsed/>
    <w:rsid w:val="001F0CEA"/>
    <w:pPr>
      <w:spacing w:before="100" w:beforeAutospacing="1" w:after="100" w:afterAutospacing="1" w:line="240" w:lineRule="auto"/>
    </w:pPr>
    <w:rPr>
      <w:rFonts w:ascii="Verdana" w:eastAsiaTheme="minorEastAsia" w:hAnsi="Verdana" w:cs="Times New Roman"/>
      <w:color w:val="000000"/>
      <w:sz w:val="20"/>
      <w:szCs w:val="20"/>
    </w:rPr>
  </w:style>
</w:styles>
</file>

<file path=word/webSettings.xml><?xml version="1.0" encoding="utf-8"?>
<w:webSettings xmlns:r="http://schemas.openxmlformats.org/officeDocument/2006/relationships" xmlns:w="http://schemas.openxmlformats.org/wordprocessingml/2006/main">
  <w:divs>
    <w:div w:id="9450797">
      <w:bodyDiv w:val="1"/>
      <w:marLeft w:val="0"/>
      <w:marRight w:val="0"/>
      <w:marTop w:val="0"/>
      <w:marBottom w:val="0"/>
      <w:divBdr>
        <w:top w:val="none" w:sz="0" w:space="0" w:color="auto"/>
        <w:left w:val="none" w:sz="0" w:space="0" w:color="auto"/>
        <w:bottom w:val="none" w:sz="0" w:space="0" w:color="auto"/>
        <w:right w:val="none" w:sz="0" w:space="0" w:color="auto"/>
      </w:divBdr>
    </w:div>
    <w:div w:id="181668364">
      <w:bodyDiv w:val="1"/>
      <w:marLeft w:val="0"/>
      <w:marRight w:val="0"/>
      <w:marTop w:val="0"/>
      <w:marBottom w:val="0"/>
      <w:divBdr>
        <w:top w:val="none" w:sz="0" w:space="0" w:color="auto"/>
        <w:left w:val="none" w:sz="0" w:space="0" w:color="auto"/>
        <w:bottom w:val="none" w:sz="0" w:space="0" w:color="auto"/>
        <w:right w:val="none" w:sz="0" w:space="0" w:color="auto"/>
      </w:divBdr>
    </w:div>
    <w:div w:id="306712566">
      <w:bodyDiv w:val="1"/>
      <w:marLeft w:val="0"/>
      <w:marRight w:val="0"/>
      <w:marTop w:val="0"/>
      <w:marBottom w:val="0"/>
      <w:divBdr>
        <w:top w:val="none" w:sz="0" w:space="0" w:color="auto"/>
        <w:left w:val="none" w:sz="0" w:space="0" w:color="auto"/>
        <w:bottom w:val="none" w:sz="0" w:space="0" w:color="auto"/>
        <w:right w:val="none" w:sz="0" w:space="0" w:color="auto"/>
      </w:divBdr>
      <w:divsChild>
        <w:div w:id="68112323">
          <w:marLeft w:val="547"/>
          <w:marRight w:val="0"/>
          <w:marTop w:val="115"/>
          <w:marBottom w:val="0"/>
          <w:divBdr>
            <w:top w:val="none" w:sz="0" w:space="0" w:color="auto"/>
            <w:left w:val="none" w:sz="0" w:space="0" w:color="auto"/>
            <w:bottom w:val="none" w:sz="0" w:space="0" w:color="auto"/>
            <w:right w:val="none" w:sz="0" w:space="0" w:color="auto"/>
          </w:divBdr>
        </w:div>
      </w:divsChild>
    </w:div>
    <w:div w:id="434177924">
      <w:bodyDiv w:val="1"/>
      <w:marLeft w:val="0"/>
      <w:marRight w:val="0"/>
      <w:marTop w:val="0"/>
      <w:marBottom w:val="0"/>
      <w:divBdr>
        <w:top w:val="none" w:sz="0" w:space="0" w:color="auto"/>
        <w:left w:val="none" w:sz="0" w:space="0" w:color="auto"/>
        <w:bottom w:val="none" w:sz="0" w:space="0" w:color="auto"/>
        <w:right w:val="none" w:sz="0" w:space="0" w:color="auto"/>
      </w:divBdr>
    </w:div>
    <w:div w:id="449402167">
      <w:bodyDiv w:val="1"/>
      <w:marLeft w:val="0"/>
      <w:marRight w:val="0"/>
      <w:marTop w:val="0"/>
      <w:marBottom w:val="0"/>
      <w:divBdr>
        <w:top w:val="none" w:sz="0" w:space="0" w:color="auto"/>
        <w:left w:val="none" w:sz="0" w:space="0" w:color="auto"/>
        <w:bottom w:val="none" w:sz="0" w:space="0" w:color="auto"/>
        <w:right w:val="none" w:sz="0" w:space="0" w:color="auto"/>
      </w:divBdr>
    </w:div>
    <w:div w:id="463888272">
      <w:bodyDiv w:val="1"/>
      <w:marLeft w:val="0"/>
      <w:marRight w:val="0"/>
      <w:marTop w:val="0"/>
      <w:marBottom w:val="0"/>
      <w:divBdr>
        <w:top w:val="none" w:sz="0" w:space="0" w:color="auto"/>
        <w:left w:val="none" w:sz="0" w:space="0" w:color="auto"/>
        <w:bottom w:val="none" w:sz="0" w:space="0" w:color="auto"/>
        <w:right w:val="none" w:sz="0" w:space="0" w:color="auto"/>
      </w:divBdr>
      <w:divsChild>
        <w:div w:id="2123107683">
          <w:marLeft w:val="0"/>
          <w:marRight w:val="150"/>
          <w:marTop w:val="0"/>
          <w:marBottom w:val="0"/>
          <w:divBdr>
            <w:top w:val="none" w:sz="0" w:space="0" w:color="auto"/>
            <w:left w:val="none" w:sz="0" w:space="0" w:color="auto"/>
            <w:bottom w:val="none" w:sz="0" w:space="0" w:color="auto"/>
            <w:right w:val="none" w:sz="0" w:space="0" w:color="auto"/>
          </w:divBdr>
          <w:divsChild>
            <w:div w:id="726301334">
              <w:marLeft w:val="0"/>
              <w:marRight w:val="0"/>
              <w:marTop w:val="0"/>
              <w:marBottom w:val="0"/>
              <w:divBdr>
                <w:top w:val="none" w:sz="0" w:space="0" w:color="auto"/>
                <w:left w:val="none" w:sz="0" w:space="0" w:color="auto"/>
                <w:bottom w:val="none" w:sz="0" w:space="0" w:color="auto"/>
                <w:right w:val="none" w:sz="0" w:space="0" w:color="auto"/>
              </w:divBdr>
              <w:divsChild>
                <w:div w:id="151218541">
                  <w:marLeft w:val="0"/>
                  <w:marRight w:val="0"/>
                  <w:marTop w:val="0"/>
                  <w:marBottom w:val="0"/>
                  <w:divBdr>
                    <w:top w:val="none" w:sz="0" w:space="0" w:color="auto"/>
                    <w:left w:val="none" w:sz="0" w:space="0" w:color="auto"/>
                    <w:bottom w:val="none" w:sz="0" w:space="0" w:color="auto"/>
                    <w:right w:val="none" w:sz="0" w:space="0" w:color="auto"/>
                  </w:divBdr>
                  <w:divsChild>
                    <w:div w:id="1168667506">
                      <w:marLeft w:val="0"/>
                      <w:marRight w:val="0"/>
                      <w:marTop w:val="0"/>
                      <w:marBottom w:val="0"/>
                      <w:divBdr>
                        <w:top w:val="none" w:sz="0" w:space="0" w:color="auto"/>
                        <w:left w:val="none" w:sz="0" w:space="0" w:color="auto"/>
                        <w:bottom w:val="none" w:sz="0" w:space="0" w:color="auto"/>
                        <w:right w:val="none" w:sz="0" w:space="0" w:color="auto"/>
                      </w:divBdr>
                      <w:divsChild>
                        <w:div w:id="1747410982">
                          <w:marLeft w:val="0"/>
                          <w:marRight w:val="0"/>
                          <w:marTop w:val="0"/>
                          <w:marBottom w:val="0"/>
                          <w:divBdr>
                            <w:top w:val="none" w:sz="0" w:space="0" w:color="auto"/>
                            <w:left w:val="none" w:sz="0" w:space="0" w:color="auto"/>
                            <w:bottom w:val="none" w:sz="0" w:space="0" w:color="auto"/>
                            <w:right w:val="none" w:sz="0" w:space="0" w:color="auto"/>
                          </w:divBdr>
                          <w:divsChild>
                            <w:div w:id="1139957689">
                              <w:marLeft w:val="0"/>
                              <w:marRight w:val="0"/>
                              <w:marTop w:val="0"/>
                              <w:marBottom w:val="0"/>
                              <w:divBdr>
                                <w:top w:val="none" w:sz="0" w:space="0" w:color="auto"/>
                                <w:left w:val="none" w:sz="0" w:space="0" w:color="auto"/>
                                <w:bottom w:val="none" w:sz="0" w:space="0" w:color="auto"/>
                                <w:right w:val="none" w:sz="0" w:space="0" w:color="auto"/>
                              </w:divBdr>
                              <w:divsChild>
                                <w:div w:id="503669328">
                                  <w:marLeft w:val="0"/>
                                  <w:marRight w:val="0"/>
                                  <w:marTop w:val="0"/>
                                  <w:marBottom w:val="0"/>
                                  <w:divBdr>
                                    <w:top w:val="none" w:sz="0" w:space="0" w:color="auto"/>
                                    <w:left w:val="none" w:sz="0" w:space="0" w:color="auto"/>
                                    <w:bottom w:val="none" w:sz="0" w:space="0" w:color="auto"/>
                                    <w:right w:val="none" w:sz="0" w:space="0" w:color="auto"/>
                                  </w:divBdr>
                                  <w:divsChild>
                                    <w:div w:id="1766147426">
                                      <w:marLeft w:val="0"/>
                                      <w:marRight w:val="0"/>
                                      <w:marTop w:val="0"/>
                                      <w:marBottom w:val="0"/>
                                      <w:divBdr>
                                        <w:top w:val="none" w:sz="0" w:space="0" w:color="auto"/>
                                        <w:left w:val="none" w:sz="0" w:space="0" w:color="auto"/>
                                        <w:bottom w:val="none" w:sz="0" w:space="0" w:color="auto"/>
                                        <w:right w:val="none" w:sz="0" w:space="0" w:color="auto"/>
                                      </w:divBdr>
                                    </w:div>
                                    <w:div w:id="389963790">
                                      <w:marLeft w:val="0"/>
                                      <w:marRight w:val="0"/>
                                      <w:marTop w:val="0"/>
                                      <w:marBottom w:val="0"/>
                                      <w:divBdr>
                                        <w:top w:val="none" w:sz="0" w:space="0" w:color="auto"/>
                                        <w:left w:val="none" w:sz="0" w:space="0" w:color="auto"/>
                                        <w:bottom w:val="none" w:sz="0" w:space="0" w:color="auto"/>
                                        <w:right w:val="none" w:sz="0" w:space="0" w:color="auto"/>
                                      </w:divBdr>
                                      <w:divsChild>
                                        <w:div w:id="1523319832">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1435535">
      <w:bodyDiv w:val="1"/>
      <w:marLeft w:val="0"/>
      <w:marRight w:val="0"/>
      <w:marTop w:val="0"/>
      <w:marBottom w:val="0"/>
      <w:divBdr>
        <w:top w:val="none" w:sz="0" w:space="0" w:color="auto"/>
        <w:left w:val="none" w:sz="0" w:space="0" w:color="auto"/>
        <w:bottom w:val="none" w:sz="0" w:space="0" w:color="auto"/>
        <w:right w:val="none" w:sz="0" w:space="0" w:color="auto"/>
      </w:divBdr>
    </w:div>
    <w:div w:id="787895204">
      <w:bodyDiv w:val="1"/>
      <w:marLeft w:val="0"/>
      <w:marRight w:val="0"/>
      <w:marTop w:val="0"/>
      <w:marBottom w:val="0"/>
      <w:divBdr>
        <w:top w:val="none" w:sz="0" w:space="0" w:color="auto"/>
        <w:left w:val="none" w:sz="0" w:space="0" w:color="auto"/>
        <w:bottom w:val="none" w:sz="0" w:space="0" w:color="auto"/>
        <w:right w:val="none" w:sz="0" w:space="0" w:color="auto"/>
      </w:divBdr>
      <w:divsChild>
        <w:div w:id="1244991500">
          <w:marLeft w:val="0"/>
          <w:marRight w:val="150"/>
          <w:marTop w:val="0"/>
          <w:marBottom w:val="0"/>
          <w:divBdr>
            <w:top w:val="none" w:sz="0" w:space="0" w:color="auto"/>
            <w:left w:val="none" w:sz="0" w:space="0" w:color="auto"/>
            <w:bottom w:val="none" w:sz="0" w:space="0" w:color="auto"/>
            <w:right w:val="none" w:sz="0" w:space="0" w:color="auto"/>
          </w:divBdr>
          <w:divsChild>
            <w:div w:id="1949852304">
              <w:marLeft w:val="0"/>
              <w:marRight w:val="0"/>
              <w:marTop w:val="0"/>
              <w:marBottom w:val="0"/>
              <w:divBdr>
                <w:top w:val="none" w:sz="0" w:space="0" w:color="auto"/>
                <w:left w:val="none" w:sz="0" w:space="0" w:color="auto"/>
                <w:bottom w:val="none" w:sz="0" w:space="0" w:color="auto"/>
                <w:right w:val="none" w:sz="0" w:space="0" w:color="auto"/>
              </w:divBdr>
              <w:divsChild>
                <w:div w:id="1569925316">
                  <w:marLeft w:val="0"/>
                  <w:marRight w:val="0"/>
                  <w:marTop w:val="0"/>
                  <w:marBottom w:val="0"/>
                  <w:divBdr>
                    <w:top w:val="none" w:sz="0" w:space="0" w:color="auto"/>
                    <w:left w:val="none" w:sz="0" w:space="0" w:color="auto"/>
                    <w:bottom w:val="none" w:sz="0" w:space="0" w:color="auto"/>
                    <w:right w:val="none" w:sz="0" w:space="0" w:color="auto"/>
                  </w:divBdr>
                  <w:divsChild>
                    <w:div w:id="456532813">
                      <w:marLeft w:val="0"/>
                      <w:marRight w:val="0"/>
                      <w:marTop w:val="0"/>
                      <w:marBottom w:val="0"/>
                      <w:divBdr>
                        <w:top w:val="none" w:sz="0" w:space="0" w:color="auto"/>
                        <w:left w:val="none" w:sz="0" w:space="0" w:color="auto"/>
                        <w:bottom w:val="none" w:sz="0" w:space="0" w:color="auto"/>
                        <w:right w:val="none" w:sz="0" w:space="0" w:color="auto"/>
                      </w:divBdr>
                      <w:divsChild>
                        <w:div w:id="2131901555">
                          <w:marLeft w:val="0"/>
                          <w:marRight w:val="0"/>
                          <w:marTop w:val="0"/>
                          <w:marBottom w:val="0"/>
                          <w:divBdr>
                            <w:top w:val="none" w:sz="0" w:space="0" w:color="auto"/>
                            <w:left w:val="none" w:sz="0" w:space="0" w:color="auto"/>
                            <w:bottom w:val="none" w:sz="0" w:space="0" w:color="auto"/>
                            <w:right w:val="none" w:sz="0" w:space="0" w:color="auto"/>
                          </w:divBdr>
                          <w:divsChild>
                            <w:div w:id="324433515">
                              <w:marLeft w:val="0"/>
                              <w:marRight w:val="0"/>
                              <w:marTop w:val="0"/>
                              <w:marBottom w:val="0"/>
                              <w:divBdr>
                                <w:top w:val="none" w:sz="0" w:space="0" w:color="auto"/>
                                <w:left w:val="none" w:sz="0" w:space="0" w:color="auto"/>
                                <w:bottom w:val="none" w:sz="0" w:space="0" w:color="auto"/>
                                <w:right w:val="none" w:sz="0" w:space="0" w:color="auto"/>
                              </w:divBdr>
                              <w:divsChild>
                                <w:div w:id="1797410280">
                                  <w:marLeft w:val="0"/>
                                  <w:marRight w:val="0"/>
                                  <w:marTop w:val="0"/>
                                  <w:marBottom w:val="0"/>
                                  <w:divBdr>
                                    <w:top w:val="none" w:sz="0" w:space="0" w:color="auto"/>
                                    <w:left w:val="none" w:sz="0" w:space="0" w:color="auto"/>
                                    <w:bottom w:val="none" w:sz="0" w:space="0" w:color="auto"/>
                                    <w:right w:val="none" w:sz="0" w:space="0" w:color="auto"/>
                                  </w:divBdr>
                                </w:div>
                                <w:div w:id="1241254848">
                                  <w:marLeft w:val="0"/>
                                  <w:marRight w:val="0"/>
                                  <w:marTop w:val="0"/>
                                  <w:marBottom w:val="0"/>
                                  <w:divBdr>
                                    <w:top w:val="none" w:sz="0" w:space="0" w:color="auto"/>
                                    <w:left w:val="none" w:sz="0" w:space="0" w:color="auto"/>
                                    <w:bottom w:val="none" w:sz="0" w:space="0" w:color="auto"/>
                                    <w:right w:val="none" w:sz="0" w:space="0" w:color="auto"/>
                                  </w:divBdr>
                                </w:div>
                                <w:div w:id="1212882582">
                                  <w:marLeft w:val="0"/>
                                  <w:marRight w:val="0"/>
                                  <w:marTop w:val="0"/>
                                  <w:marBottom w:val="0"/>
                                  <w:divBdr>
                                    <w:top w:val="none" w:sz="0" w:space="0" w:color="auto"/>
                                    <w:left w:val="none" w:sz="0" w:space="0" w:color="auto"/>
                                    <w:bottom w:val="none" w:sz="0" w:space="0" w:color="auto"/>
                                    <w:right w:val="none" w:sz="0" w:space="0" w:color="auto"/>
                                  </w:divBdr>
                                </w:div>
                                <w:div w:id="1510751600">
                                  <w:marLeft w:val="0"/>
                                  <w:marRight w:val="0"/>
                                  <w:marTop w:val="0"/>
                                  <w:marBottom w:val="0"/>
                                  <w:divBdr>
                                    <w:top w:val="none" w:sz="0" w:space="0" w:color="auto"/>
                                    <w:left w:val="none" w:sz="0" w:space="0" w:color="auto"/>
                                    <w:bottom w:val="none" w:sz="0" w:space="0" w:color="auto"/>
                                    <w:right w:val="none" w:sz="0" w:space="0" w:color="auto"/>
                                  </w:divBdr>
                                  <w:divsChild>
                                    <w:div w:id="2098360857">
                                      <w:marLeft w:val="360"/>
                                      <w:marRight w:val="0"/>
                                      <w:marTop w:val="0"/>
                                      <w:marBottom w:val="0"/>
                                      <w:divBdr>
                                        <w:top w:val="none" w:sz="0" w:space="0" w:color="auto"/>
                                        <w:left w:val="none" w:sz="0" w:space="0" w:color="auto"/>
                                        <w:bottom w:val="none" w:sz="0" w:space="0" w:color="auto"/>
                                        <w:right w:val="none" w:sz="0" w:space="0" w:color="auto"/>
                                      </w:divBdr>
                                    </w:div>
                                  </w:divsChild>
                                </w:div>
                                <w:div w:id="1335643679">
                                  <w:marLeft w:val="0"/>
                                  <w:marRight w:val="0"/>
                                  <w:marTop w:val="0"/>
                                  <w:marBottom w:val="0"/>
                                  <w:divBdr>
                                    <w:top w:val="none" w:sz="0" w:space="0" w:color="auto"/>
                                    <w:left w:val="none" w:sz="0" w:space="0" w:color="auto"/>
                                    <w:bottom w:val="none" w:sz="0" w:space="0" w:color="auto"/>
                                    <w:right w:val="none" w:sz="0" w:space="0" w:color="auto"/>
                                  </w:divBdr>
                                  <w:divsChild>
                                    <w:div w:id="476609443">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0099000">
      <w:bodyDiv w:val="1"/>
      <w:marLeft w:val="0"/>
      <w:marRight w:val="0"/>
      <w:marTop w:val="0"/>
      <w:marBottom w:val="0"/>
      <w:divBdr>
        <w:top w:val="none" w:sz="0" w:space="0" w:color="auto"/>
        <w:left w:val="none" w:sz="0" w:space="0" w:color="auto"/>
        <w:bottom w:val="none" w:sz="0" w:space="0" w:color="auto"/>
        <w:right w:val="none" w:sz="0" w:space="0" w:color="auto"/>
      </w:divBdr>
    </w:div>
    <w:div w:id="931278955">
      <w:bodyDiv w:val="1"/>
      <w:marLeft w:val="0"/>
      <w:marRight w:val="0"/>
      <w:marTop w:val="0"/>
      <w:marBottom w:val="0"/>
      <w:divBdr>
        <w:top w:val="none" w:sz="0" w:space="0" w:color="auto"/>
        <w:left w:val="none" w:sz="0" w:space="0" w:color="auto"/>
        <w:bottom w:val="none" w:sz="0" w:space="0" w:color="auto"/>
        <w:right w:val="none" w:sz="0" w:space="0" w:color="auto"/>
      </w:divBdr>
    </w:div>
    <w:div w:id="1103724034">
      <w:bodyDiv w:val="1"/>
      <w:marLeft w:val="0"/>
      <w:marRight w:val="0"/>
      <w:marTop w:val="0"/>
      <w:marBottom w:val="0"/>
      <w:divBdr>
        <w:top w:val="none" w:sz="0" w:space="0" w:color="auto"/>
        <w:left w:val="none" w:sz="0" w:space="0" w:color="auto"/>
        <w:bottom w:val="none" w:sz="0" w:space="0" w:color="auto"/>
        <w:right w:val="none" w:sz="0" w:space="0" w:color="auto"/>
      </w:divBdr>
    </w:div>
    <w:div w:id="1152677200">
      <w:bodyDiv w:val="1"/>
      <w:marLeft w:val="0"/>
      <w:marRight w:val="0"/>
      <w:marTop w:val="0"/>
      <w:marBottom w:val="0"/>
      <w:divBdr>
        <w:top w:val="none" w:sz="0" w:space="0" w:color="auto"/>
        <w:left w:val="none" w:sz="0" w:space="0" w:color="auto"/>
        <w:bottom w:val="none" w:sz="0" w:space="0" w:color="auto"/>
        <w:right w:val="none" w:sz="0" w:space="0" w:color="auto"/>
      </w:divBdr>
    </w:div>
    <w:div w:id="1153137919">
      <w:bodyDiv w:val="1"/>
      <w:marLeft w:val="0"/>
      <w:marRight w:val="0"/>
      <w:marTop w:val="0"/>
      <w:marBottom w:val="0"/>
      <w:divBdr>
        <w:top w:val="none" w:sz="0" w:space="0" w:color="auto"/>
        <w:left w:val="none" w:sz="0" w:space="0" w:color="auto"/>
        <w:bottom w:val="none" w:sz="0" w:space="0" w:color="auto"/>
        <w:right w:val="none" w:sz="0" w:space="0" w:color="auto"/>
      </w:divBdr>
    </w:div>
    <w:div w:id="1209028420">
      <w:bodyDiv w:val="1"/>
      <w:marLeft w:val="0"/>
      <w:marRight w:val="0"/>
      <w:marTop w:val="0"/>
      <w:marBottom w:val="0"/>
      <w:divBdr>
        <w:top w:val="none" w:sz="0" w:space="0" w:color="auto"/>
        <w:left w:val="none" w:sz="0" w:space="0" w:color="auto"/>
        <w:bottom w:val="none" w:sz="0" w:space="0" w:color="auto"/>
        <w:right w:val="none" w:sz="0" w:space="0" w:color="auto"/>
      </w:divBdr>
    </w:div>
    <w:div w:id="1278171941">
      <w:bodyDiv w:val="1"/>
      <w:marLeft w:val="0"/>
      <w:marRight w:val="0"/>
      <w:marTop w:val="0"/>
      <w:marBottom w:val="0"/>
      <w:divBdr>
        <w:top w:val="none" w:sz="0" w:space="0" w:color="auto"/>
        <w:left w:val="none" w:sz="0" w:space="0" w:color="auto"/>
        <w:bottom w:val="none" w:sz="0" w:space="0" w:color="auto"/>
        <w:right w:val="none" w:sz="0" w:space="0" w:color="auto"/>
      </w:divBdr>
    </w:div>
    <w:div w:id="1329287504">
      <w:bodyDiv w:val="1"/>
      <w:marLeft w:val="0"/>
      <w:marRight w:val="0"/>
      <w:marTop w:val="0"/>
      <w:marBottom w:val="0"/>
      <w:divBdr>
        <w:top w:val="none" w:sz="0" w:space="0" w:color="auto"/>
        <w:left w:val="none" w:sz="0" w:space="0" w:color="auto"/>
        <w:bottom w:val="none" w:sz="0" w:space="0" w:color="auto"/>
        <w:right w:val="none" w:sz="0" w:space="0" w:color="auto"/>
      </w:divBdr>
    </w:div>
    <w:div w:id="1407415470">
      <w:bodyDiv w:val="1"/>
      <w:marLeft w:val="0"/>
      <w:marRight w:val="0"/>
      <w:marTop w:val="0"/>
      <w:marBottom w:val="0"/>
      <w:divBdr>
        <w:top w:val="none" w:sz="0" w:space="0" w:color="auto"/>
        <w:left w:val="none" w:sz="0" w:space="0" w:color="auto"/>
        <w:bottom w:val="none" w:sz="0" w:space="0" w:color="auto"/>
        <w:right w:val="none" w:sz="0" w:space="0" w:color="auto"/>
      </w:divBdr>
    </w:div>
    <w:div w:id="1772386890">
      <w:bodyDiv w:val="1"/>
      <w:marLeft w:val="0"/>
      <w:marRight w:val="0"/>
      <w:marTop w:val="0"/>
      <w:marBottom w:val="0"/>
      <w:divBdr>
        <w:top w:val="none" w:sz="0" w:space="0" w:color="auto"/>
        <w:left w:val="none" w:sz="0" w:space="0" w:color="auto"/>
        <w:bottom w:val="none" w:sz="0" w:space="0" w:color="auto"/>
        <w:right w:val="none" w:sz="0" w:space="0" w:color="auto"/>
      </w:divBdr>
    </w:div>
    <w:div w:id="1848783821">
      <w:bodyDiv w:val="1"/>
      <w:marLeft w:val="0"/>
      <w:marRight w:val="0"/>
      <w:marTop w:val="0"/>
      <w:marBottom w:val="0"/>
      <w:divBdr>
        <w:top w:val="none" w:sz="0" w:space="0" w:color="auto"/>
        <w:left w:val="none" w:sz="0" w:space="0" w:color="auto"/>
        <w:bottom w:val="none" w:sz="0" w:space="0" w:color="auto"/>
        <w:right w:val="none" w:sz="0" w:space="0" w:color="auto"/>
      </w:divBdr>
    </w:div>
    <w:div w:id="1985502034">
      <w:bodyDiv w:val="1"/>
      <w:marLeft w:val="0"/>
      <w:marRight w:val="0"/>
      <w:marTop w:val="0"/>
      <w:marBottom w:val="0"/>
      <w:divBdr>
        <w:top w:val="none" w:sz="0" w:space="0" w:color="auto"/>
        <w:left w:val="none" w:sz="0" w:space="0" w:color="auto"/>
        <w:bottom w:val="none" w:sz="0" w:space="0" w:color="auto"/>
        <w:right w:val="none" w:sz="0" w:space="0" w:color="auto"/>
      </w:divBdr>
    </w:div>
    <w:div w:id="2061829064">
      <w:bodyDiv w:val="1"/>
      <w:marLeft w:val="0"/>
      <w:marRight w:val="0"/>
      <w:marTop w:val="0"/>
      <w:marBottom w:val="0"/>
      <w:divBdr>
        <w:top w:val="none" w:sz="0" w:space="0" w:color="auto"/>
        <w:left w:val="none" w:sz="0" w:space="0" w:color="auto"/>
        <w:bottom w:val="none" w:sz="0" w:space="0" w:color="auto"/>
        <w:right w:val="none" w:sz="0" w:space="0" w:color="auto"/>
      </w:divBdr>
    </w:div>
    <w:div w:id="20727738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inda.gervais@avistacorp.com" TargetMode="External"/><Relationship Id="rId17" Type="http://schemas.microsoft.com/office/2007/relationships/stylesWithEffects" Target="stylesWithEffects.xml"/><Relationship Id="rId25"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lint.kalich@avistacorp.com" TargetMode="External"/><Relationship Id="rId24" Type="http://schemas.microsoft.com/office/2011/relationships/commentsExtended" Target="commentsExtended.xml"/><Relationship Id="rId5" Type="http://schemas.openxmlformats.org/officeDocument/2006/relationships/numbering" Target="numbering.xml"/><Relationship Id="rId15" Type="http://schemas.openxmlformats.org/officeDocument/2006/relationships/fontTable" Target="fontTable.xml"/><Relationship Id="rId23"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5F265E5B3AF5A498F041FB34EEA8E7E" ma:contentTypeVersion="119" ma:contentTypeDescription="" ma:contentTypeScope="" ma:versionID="edca5ab1cda14bc272c7078bec09678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Comment</DocumentSetType>
    <IsConfidential xmlns="dc463f71-b30c-4ab2-9473-d307f9d35888">false</IsConfidential>
    <AgendaOrder xmlns="dc463f71-b30c-4ab2-9473-d307f9d35888">false</AgendaOrder>
    <CaseType xmlns="dc463f71-b30c-4ab2-9473-d307f9d35888">Staff Investigation</CaseType>
    <IndustryCode xmlns="dc463f71-b30c-4ab2-9473-d307f9d35888">140</IndustryCode>
    <CaseStatus xmlns="dc463f71-b30c-4ab2-9473-d307f9d35888">Closed</CaseStatus>
    <OpenedDate xmlns="dc463f71-b30c-4ab2-9473-d307f9d35888">2015-05-18T07:00:00+00:00</OpenedDate>
    <Date1 xmlns="dc463f71-b30c-4ab2-9473-d307f9d35888">2015-09-25T07:00:00+00:00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151069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CBC96C-E238-4F7C-BAE8-F236391291E5}"/>
</file>

<file path=customXml/itemProps2.xml><?xml version="1.0" encoding="utf-8"?>
<ds:datastoreItem xmlns:ds="http://schemas.openxmlformats.org/officeDocument/2006/customXml" ds:itemID="{06B42F7B-EC4B-41A1-9582-5726EFFB5608}"/>
</file>

<file path=customXml/itemProps3.xml><?xml version="1.0" encoding="utf-8"?>
<ds:datastoreItem xmlns:ds="http://schemas.openxmlformats.org/officeDocument/2006/customXml" ds:itemID="{C92FCB8C-7D67-408F-AA4E-EFFAD61FF50C}"/>
</file>

<file path=customXml/itemProps4.xml><?xml version="1.0" encoding="utf-8"?>
<ds:datastoreItem xmlns:ds="http://schemas.openxmlformats.org/officeDocument/2006/customXml" ds:itemID="{2C3290F2-376E-4D47-8A59-849628968918}"/>
</file>

<file path=customXml/itemProps5.xml><?xml version="1.0" encoding="utf-8"?>
<ds:datastoreItem xmlns:ds="http://schemas.openxmlformats.org/officeDocument/2006/customXml" ds:itemID="{187D6383-0527-4436-921C-10CD07319FF1}"/>
</file>

<file path=docProps/app.xml><?xml version="1.0" encoding="utf-8"?>
<Properties xmlns="http://schemas.openxmlformats.org/officeDocument/2006/extended-properties" xmlns:vt="http://schemas.openxmlformats.org/officeDocument/2006/docPropsVTypes">
  <Template>Normal</Template>
  <TotalTime>51</TotalTime>
  <Pages>9</Pages>
  <Words>2662</Words>
  <Characters>15177</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MAI</Company>
  <LinksUpToDate>false</LinksUpToDate>
  <CharactersWithSpaces>17804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monigle</dc:creator>
  <cp:lastModifiedBy>Shawn Bonfield</cp:lastModifiedBy>
  <cp:revision>17</cp:revision>
  <cp:lastPrinted>2015-09-24T22:57:00Z</cp:lastPrinted>
  <dcterms:created xsi:type="dcterms:W3CDTF">2015-09-23T20:35:00Z</dcterms:created>
  <dcterms:modified xsi:type="dcterms:W3CDTF">2015-09-25T15:39:00Z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0x0101006E56B4D1795A2E4DB2F0B01679ED314A0025F265E5B3AF5A498F041FB34EEA8E7E</vt:lpwstr>
  </property>
  <property fmtid="{D5CDD505-2E9C-101B-9397-08002B2CF9AE}" pid="3" name="_docset_NoMedatataSyncRequired">
    <vt:lpwstr>False</vt:lpwstr>
  </property>
</Properties>
</file>