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FBB54" w14:textId="77777777" w:rsidR="00541770" w:rsidRPr="00BB7603" w:rsidRDefault="00541770" w:rsidP="00D53695">
      <w:pPr>
        <w:tabs>
          <w:tab w:val="left" w:pos="-1440"/>
        </w:tabs>
        <w:spacing w:before="0" w:after="0"/>
        <w:ind w:left="4320" w:hanging="4320"/>
        <w:rPr>
          <w:b/>
          <w:bCs/>
          <w:sz w:val="25"/>
          <w:szCs w:val="25"/>
        </w:rPr>
      </w:pPr>
    </w:p>
    <w:p w14:paraId="561266C6" w14:textId="77777777" w:rsidR="00541770" w:rsidRPr="00BB7603" w:rsidRDefault="00541770" w:rsidP="00541770">
      <w:pPr>
        <w:tabs>
          <w:tab w:val="center" w:pos="4680"/>
        </w:tabs>
        <w:jc w:val="center"/>
        <w:rPr>
          <w:b/>
          <w:bCs/>
          <w:sz w:val="25"/>
          <w:szCs w:val="25"/>
        </w:rPr>
      </w:pPr>
    </w:p>
    <w:p w14:paraId="1AFD8AEE" w14:textId="77777777" w:rsidR="00801784" w:rsidRDefault="008213ED" w:rsidP="00801784">
      <w:pPr>
        <w:tabs>
          <w:tab w:val="center" w:pos="4680"/>
        </w:tabs>
        <w:spacing w:before="0" w:after="0"/>
        <w:jc w:val="center"/>
        <w:rPr>
          <w:b/>
          <w:bCs/>
          <w:sz w:val="25"/>
          <w:szCs w:val="25"/>
        </w:rPr>
      </w:pPr>
      <w:r w:rsidRPr="00BB7603">
        <w:rPr>
          <w:b/>
          <w:bCs/>
          <w:sz w:val="25"/>
          <w:szCs w:val="25"/>
        </w:rPr>
        <w:t>COMMISSION STAFF COMMENTS REGARDING</w:t>
      </w:r>
    </w:p>
    <w:p w14:paraId="0BC78D81" w14:textId="77777777" w:rsidR="00BB7603" w:rsidRPr="00BB7603" w:rsidRDefault="00BB7603" w:rsidP="00801784">
      <w:pPr>
        <w:tabs>
          <w:tab w:val="center" w:pos="4680"/>
        </w:tabs>
        <w:spacing w:before="0" w:after="0"/>
        <w:jc w:val="center"/>
        <w:rPr>
          <w:b/>
          <w:bCs/>
          <w:sz w:val="25"/>
          <w:szCs w:val="25"/>
        </w:rPr>
      </w:pPr>
    </w:p>
    <w:p w14:paraId="018C3475" w14:textId="77777777" w:rsidR="00801784" w:rsidRPr="00BB7603" w:rsidRDefault="00801784" w:rsidP="00801784">
      <w:pPr>
        <w:pStyle w:val="BodyTextIndent2"/>
        <w:spacing w:line="264" w:lineRule="auto"/>
        <w:ind w:left="720" w:hanging="720"/>
        <w:jc w:val="center"/>
        <w:rPr>
          <w:rFonts w:ascii="Times New Roman" w:hAnsi="Times New Roman"/>
          <w:sz w:val="25"/>
          <w:szCs w:val="25"/>
        </w:rPr>
      </w:pPr>
      <w:r w:rsidRPr="00BB7603">
        <w:rPr>
          <w:rFonts w:ascii="Times New Roman" w:hAnsi="Times New Roman"/>
          <w:i/>
          <w:sz w:val="25"/>
          <w:szCs w:val="25"/>
        </w:rPr>
        <w:t>Investigation of possible ratemaking mechanisms to address utility earnings attrition</w:t>
      </w:r>
    </w:p>
    <w:p w14:paraId="7AC50E85" w14:textId="77777777" w:rsidR="00801784" w:rsidRPr="00BB7603" w:rsidRDefault="00801784" w:rsidP="00801784">
      <w:pPr>
        <w:tabs>
          <w:tab w:val="center" w:pos="4680"/>
        </w:tabs>
        <w:spacing w:before="0" w:after="0"/>
        <w:jc w:val="center"/>
        <w:rPr>
          <w:b/>
          <w:bCs/>
          <w:sz w:val="25"/>
          <w:szCs w:val="25"/>
        </w:rPr>
      </w:pPr>
    </w:p>
    <w:p w14:paraId="74CAEFFD" w14:textId="77777777" w:rsidR="00801784" w:rsidRPr="00BB7603" w:rsidRDefault="00801784" w:rsidP="00801784">
      <w:pPr>
        <w:tabs>
          <w:tab w:val="center" w:pos="4680"/>
        </w:tabs>
        <w:spacing w:before="0" w:after="0"/>
        <w:jc w:val="center"/>
        <w:rPr>
          <w:bCs/>
          <w:sz w:val="25"/>
          <w:szCs w:val="25"/>
        </w:rPr>
      </w:pPr>
      <w:r w:rsidRPr="00BB7603">
        <w:rPr>
          <w:bCs/>
          <w:sz w:val="25"/>
          <w:szCs w:val="25"/>
        </w:rPr>
        <w:t>DOCKET U-150040</w:t>
      </w:r>
    </w:p>
    <w:p w14:paraId="2865A30A" w14:textId="77777777" w:rsidR="00D53695" w:rsidRPr="00BB7603" w:rsidRDefault="00D53695" w:rsidP="00D53695">
      <w:pPr>
        <w:tabs>
          <w:tab w:val="center" w:pos="4680"/>
        </w:tabs>
        <w:spacing w:before="0" w:after="0"/>
        <w:jc w:val="center"/>
        <w:rPr>
          <w:b/>
          <w:bCs/>
          <w:sz w:val="25"/>
          <w:szCs w:val="25"/>
        </w:rPr>
      </w:pPr>
    </w:p>
    <w:p w14:paraId="5E2C8049" w14:textId="77777777" w:rsidR="008213ED" w:rsidRPr="00B7218E" w:rsidRDefault="00801784" w:rsidP="00B7218E">
      <w:pPr>
        <w:tabs>
          <w:tab w:val="center" w:pos="4680"/>
        </w:tabs>
        <w:spacing w:before="0" w:after="0"/>
        <w:jc w:val="center"/>
        <w:rPr>
          <w:b/>
          <w:bCs/>
          <w:sz w:val="25"/>
          <w:szCs w:val="25"/>
        </w:rPr>
        <w:sectPr w:rsidR="008213ED" w:rsidRPr="00B7218E" w:rsidSect="008213ED">
          <w:headerReference w:type="default" r:id="rId11"/>
          <w:pgSz w:w="12240" w:h="15840"/>
          <w:pgMar w:top="1440" w:right="1440" w:bottom="1440" w:left="1440" w:header="720" w:footer="720" w:gutter="0"/>
          <w:pgNumType w:start="1"/>
          <w:cols w:space="720"/>
          <w:titlePg/>
          <w:docGrid w:linePitch="360"/>
        </w:sectPr>
      </w:pPr>
      <w:r w:rsidRPr="00BB7603">
        <w:rPr>
          <w:b/>
          <w:bCs/>
          <w:sz w:val="25"/>
          <w:szCs w:val="25"/>
        </w:rPr>
        <w:t>March 27, 2015</w:t>
      </w:r>
    </w:p>
    <w:p w14:paraId="6C425F90" w14:textId="77777777" w:rsidR="00541770" w:rsidRPr="00BB7603" w:rsidRDefault="00541770" w:rsidP="003C7AEA">
      <w:pPr>
        <w:contextualSpacing/>
        <w:rPr>
          <w:sz w:val="25"/>
          <w:szCs w:val="25"/>
        </w:rPr>
      </w:pPr>
    </w:p>
    <w:p w14:paraId="4958F87F" w14:textId="77777777" w:rsidR="003C7AEA" w:rsidRPr="00E26381" w:rsidRDefault="007A3992" w:rsidP="00E26381">
      <w:pPr>
        <w:pStyle w:val="NoSpacing"/>
        <w:spacing w:line="360" w:lineRule="auto"/>
        <w:ind w:firstLine="720"/>
        <w:rPr>
          <w:rFonts w:ascii="Times New Roman" w:hAnsi="Times New Roman"/>
          <w:sz w:val="25"/>
          <w:szCs w:val="25"/>
        </w:rPr>
      </w:pPr>
      <w:r w:rsidRPr="00E26381">
        <w:rPr>
          <w:rFonts w:ascii="Times New Roman" w:hAnsi="Times New Roman"/>
          <w:sz w:val="25"/>
          <w:szCs w:val="25"/>
        </w:rPr>
        <w:t xml:space="preserve">The </w:t>
      </w:r>
      <w:r w:rsidR="003C7AEA" w:rsidRPr="00E26381">
        <w:rPr>
          <w:rFonts w:ascii="Times New Roman" w:hAnsi="Times New Roman"/>
          <w:sz w:val="25"/>
          <w:szCs w:val="25"/>
        </w:rPr>
        <w:t>Washington Utilities and Tr</w:t>
      </w:r>
      <w:r w:rsidRPr="00E26381">
        <w:rPr>
          <w:rFonts w:ascii="Times New Roman" w:hAnsi="Times New Roman"/>
          <w:sz w:val="25"/>
          <w:szCs w:val="25"/>
        </w:rPr>
        <w:t xml:space="preserve">ansportation Commission </w:t>
      </w:r>
      <w:r w:rsidR="00AB3018">
        <w:rPr>
          <w:rFonts w:ascii="Times New Roman" w:hAnsi="Times New Roman"/>
          <w:sz w:val="25"/>
          <w:szCs w:val="25"/>
        </w:rPr>
        <w:t xml:space="preserve">Staff </w:t>
      </w:r>
      <w:r w:rsidRPr="00E26381">
        <w:rPr>
          <w:rFonts w:ascii="Times New Roman" w:hAnsi="Times New Roman"/>
          <w:sz w:val="25"/>
          <w:szCs w:val="25"/>
        </w:rPr>
        <w:t>(</w:t>
      </w:r>
      <w:r w:rsidR="00AB3018">
        <w:rPr>
          <w:rFonts w:ascii="Times New Roman" w:hAnsi="Times New Roman"/>
          <w:sz w:val="25"/>
          <w:szCs w:val="25"/>
        </w:rPr>
        <w:t>Staff</w:t>
      </w:r>
      <w:r w:rsidR="003C7AEA" w:rsidRPr="00E26381">
        <w:rPr>
          <w:rFonts w:ascii="Times New Roman" w:hAnsi="Times New Roman"/>
          <w:sz w:val="25"/>
          <w:szCs w:val="25"/>
        </w:rPr>
        <w:t xml:space="preserve">) submits the following comments in accordance with the </w:t>
      </w:r>
      <w:r w:rsidRPr="00E26381">
        <w:rPr>
          <w:rFonts w:ascii="Times New Roman" w:hAnsi="Times New Roman"/>
          <w:sz w:val="25"/>
          <w:szCs w:val="25"/>
        </w:rPr>
        <w:t>Commission’s</w:t>
      </w:r>
      <w:r w:rsidR="003C7AEA" w:rsidRPr="00E26381">
        <w:rPr>
          <w:rFonts w:ascii="Times New Roman" w:hAnsi="Times New Roman"/>
          <w:sz w:val="25"/>
          <w:szCs w:val="25"/>
        </w:rPr>
        <w:t xml:space="preserve"> Notice of Opportunity to </w:t>
      </w:r>
      <w:r w:rsidR="00160207">
        <w:rPr>
          <w:rFonts w:ascii="Times New Roman" w:hAnsi="Times New Roman"/>
          <w:sz w:val="25"/>
          <w:szCs w:val="25"/>
        </w:rPr>
        <w:t>Submit Written Comments</w:t>
      </w:r>
      <w:r w:rsidR="003C7AEA" w:rsidRPr="00E26381">
        <w:rPr>
          <w:rFonts w:ascii="Times New Roman" w:hAnsi="Times New Roman"/>
          <w:sz w:val="25"/>
          <w:szCs w:val="25"/>
        </w:rPr>
        <w:t xml:space="preserve"> issued in Docket U</w:t>
      </w:r>
      <w:r w:rsidR="00C93C23" w:rsidRPr="00E26381">
        <w:rPr>
          <w:rFonts w:ascii="Times New Roman" w:hAnsi="Times New Roman"/>
          <w:sz w:val="25"/>
          <w:szCs w:val="25"/>
        </w:rPr>
        <w:t>-150040</w:t>
      </w:r>
      <w:r w:rsidR="003C7AEA" w:rsidRPr="00E26381">
        <w:rPr>
          <w:rFonts w:ascii="Times New Roman" w:hAnsi="Times New Roman"/>
          <w:sz w:val="25"/>
          <w:szCs w:val="25"/>
        </w:rPr>
        <w:t xml:space="preserve"> – </w:t>
      </w:r>
      <w:r w:rsidR="00C93C23" w:rsidRPr="00E26381">
        <w:rPr>
          <w:rFonts w:ascii="Times New Roman" w:hAnsi="Times New Roman"/>
          <w:i/>
          <w:sz w:val="25"/>
          <w:szCs w:val="25"/>
        </w:rPr>
        <w:t>Investigation of possible ratemaking mechanisms to address utility earnings attrition.</w:t>
      </w:r>
    </w:p>
    <w:p w14:paraId="7541EA3D" w14:textId="77777777" w:rsidR="003C7AEA" w:rsidRDefault="003C7AEA" w:rsidP="00E26381">
      <w:pPr>
        <w:pStyle w:val="NoSpacing"/>
        <w:spacing w:line="360" w:lineRule="auto"/>
        <w:ind w:firstLine="720"/>
        <w:rPr>
          <w:rFonts w:ascii="Times New Roman" w:hAnsi="Times New Roman"/>
          <w:sz w:val="25"/>
          <w:szCs w:val="25"/>
        </w:rPr>
      </w:pPr>
      <w:r w:rsidRPr="00E26381">
        <w:rPr>
          <w:rFonts w:ascii="Times New Roman" w:hAnsi="Times New Roman"/>
          <w:sz w:val="25"/>
          <w:szCs w:val="25"/>
        </w:rPr>
        <w:t>The Commission seeks written comments from interest</w:t>
      </w:r>
      <w:r w:rsidR="00BB7603" w:rsidRPr="00E26381">
        <w:rPr>
          <w:rFonts w:ascii="Times New Roman" w:hAnsi="Times New Roman"/>
          <w:sz w:val="25"/>
          <w:szCs w:val="25"/>
        </w:rPr>
        <w:t>ed persons on a number of issues</w:t>
      </w:r>
      <w:r w:rsidRPr="00E26381">
        <w:rPr>
          <w:rFonts w:ascii="Times New Roman" w:hAnsi="Times New Roman"/>
          <w:sz w:val="25"/>
          <w:szCs w:val="25"/>
        </w:rPr>
        <w:t xml:space="preserve"> identified below to better i</w:t>
      </w:r>
      <w:r w:rsidR="00160207">
        <w:rPr>
          <w:rFonts w:ascii="Times New Roman" w:hAnsi="Times New Roman"/>
          <w:sz w:val="25"/>
          <w:szCs w:val="25"/>
        </w:rPr>
        <w:t xml:space="preserve">nform its work in this docket. </w:t>
      </w:r>
      <w:r w:rsidR="00D11CB1" w:rsidRPr="00E26381">
        <w:rPr>
          <w:rFonts w:ascii="Times New Roman" w:hAnsi="Times New Roman"/>
          <w:sz w:val="25"/>
          <w:szCs w:val="25"/>
        </w:rPr>
        <w:t>Staff appreciates the opportunity to offer</w:t>
      </w:r>
      <w:r w:rsidR="00BB7603" w:rsidRPr="00E26381">
        <w:rPr>
          <w:rFonts w:ascii="Times New Roman" w:hAnsi="Times New Roman"/>
          <w:sz w:val="25"/>
          <w:szCs w:val="25"/>
        </w:rPr>
        <w:t xml:space="preserve"> responses to the issues</w:t>
      </w:r>
      <w:r w:rsidRPr="00E26381">
        <w:rPr>
          <w:rFonts w:ascii="Times New Roman" w:hAnsi="Times New Roman"/>
          <w:sz w:val="25"/>
          <w:szCs w:val="25"/>
        </w:rPr>
        <w:t xml:space="preserve"> identified by the Commission.</w:t>
      </w:r>
    </w:p>
    <w:p w14:paraId="7CC418A6" w14:textId="77777777" w:rsidR="00D36F3B" w:rsidRDefault="00D36F3B" w:rsidP="00E26381">
      <w:pPr>
        <w:pStyle w:val="NoSpacing"/>
        <w:spacing w:line="360" w:lineRule="auto"/>
        <w:ind w:firstLine="720"/>
        <w:rPr>
          <w:rFonts w:ascii="Times New Roman" w:hAnsi="Times New Roman"/>
          <w:sz w:val="25"/>
          <w:szCs w:val="25"/>
        </w:rPr>
      </w:pPr>
      <w:r w:rsidRPr="00D26E94">
        <w:rPr>
          <w:rFonts w:ascii="Times New Roman" w:hAnsi="Times New Roman"/>
          <w:sz w:val="25"/>
          <w:szCs w:val="25"/>
        </w:rPr>
        <w:t>The Co</w:t>
      </w:r>
      <w:r w:rsidR="00A342C6" w:rsidRPr="00D26E94">
        <w:rPr>
          <w:rFonts w:ascii="Times New Roman" w:hAnsi="Times New Roman"/>
          <w:sz w:val="25"/>
          <w:szCs w:val="25"/>
        </w:rPr>
        <w:t>mmission’s statutory duty is to balance the needs of the public to have safe and reliable electric service at reasonable rates with the financial ability of the utility to provide such service prospectively.  In fulfilling its statutory duty, the Commission must establish rates that are “fair, just, reasonable and sufficient.”</w:t>
      </w:r>
      <w:r w:rsidR="00A342C6" w:rsidRPr="00D26E94">
        <w:rPr>
          <w:rStyle w:val="FootnoteReference"/>
          <w:rFonts w:ascii="Times New Roman" w:hAnsi="Times New Roman"/>
          <w:sz w:val="25"/>
          <w:szCs w:val="25"/>
        </w:rPr>
        <w:footnoteReference w:id="1"/>
      </w:r>
      <w:r w:rsidR="00A342C6" w:rsidRPr="00D26E94">
        <w:rPr>
          <w:rFonts w:ascii="Times New Roman" w:hAnsi="Times New Roman"/>
          <w:sz w:val="25"/>
          <w:szCs w:val="25"/>
        </w:rPr>
        <w:t xml:space="preserve"> The rates must be fair to both customers and the utility; just, in that the rates are based solely on the record in this case following the principles of due process of law; reasonable, in light of the range of potential outcomes presented in the record; and sufficient, to meet the financial needs of the utility to cover its expenses and attract capital on reasonable terms.</w:t>
      </w:r>
      <w:r w:rsidR="00A342C6" w:rsidRPr="00D26E94">
        <w:rPr>
          <w:rStyle w:val="FootnoteReference"/>
          <w:rFonts w:ascii="Times New Roman" w:hAnsi="Times New Roman"/>
          <w:sz w:val="25"/>
          <w:szCs w:val="25"/>
        </w:rPr>
        <w:footnoteReference w:id="2"/>
      </w:r>
      <w:r w:rsidR="00E15DAB" w:rsidRPr="00D26E94">
        <w:rPr>
          <w:rFonts w:ascii="Times New Roman" w:hAnsi="Times New Roman"/>
          <w:sz w:val="25"/>
          <w:szCs w:val="25"/>
        </w:rPr>
        <w:t xml:space="preserve"> Earnings attrition</w:t>
      </w:r>
      <w:r w:rsidR="00724C60" w:rsidRPr="00D26E94">
        <w:rPr>
          <w:rFonts w:ascii="Times New Roman" w:hAnsi="Times New Roman"/>
          <w:sz w:val="25"/>
          <w:szCs w:val="25"/>
        </w:rPr>
        <w:t xml:space="preserve"> occur</w:t>
      </w:r>
      <w:r w:rsidR="00E15DAB" w:rsidRPr="00D26E94">
        <w:rPr>
          <w:rFonts w:ascii="Times New Roman" w:hAnsi="Times New Roman"/>
          <w:sz w:val="25"/>
          <w:szCs w:val="25"/>
        </w:rPr>
        <w:t>s</w:t>
      </w:r>
      <w:r w:rsidR="006738DF" w:rsidRPr="00D26E94">
        <w:rPr>
          <w:rFonts w:ascii="Times New Roman" w:hAnsi="Times New Roman"/>
          <w:sz w:val="25"/>
          <w:szCs w:val="25"/>
        </w:rPr>
        <w:t xml:space="preserve"> when this latter obligation remains unfulfilled</w:t>
      </w:r>
      <w:r w:rsidR="00724C60" w:rsidRPr="00D26E94">
        <w:rPr>
          <w:rFonts w:ascii="Times New Roman" w:hAnsi="Times New Roman"/>
          <w:sz w:val="25"/>
          <w:szCs w:val="25"/>
        </w:rPr>
        <w:t xml:space="preserve">; that is, earnings attrition is the situation a utility faces when </w:t>
      </w:r>
      <w:r w:rsidR="00E15DAB" w:rsidRPr="00D26E94">
        <w:rPr>
          <w:rFonts w:ascii="Times New Roman" w:hAnsi="Times New Roman"/>
          <w:sz w:val="25"/>
          <w:szCs w:val="25"/>
        </w:rPr>
        <w:t>rates based on historical measures are insufficient to cover expenses in the rate year</w:t>
      </w:r>
      <w:r w:rsidR="00D26E94">
        <w:rPr>
          <w:rFonts w:ascii="Times New Roman" w:hAnsi="Times New Roman"/>
          <w:sz w:val="25"/>
          <w:szCs w:val="25"/>
        </w:rPr>
        <w:t xml:space="preserve"> thus</w:t>
      </w:r>
      <w:r w:rsidR="00E15DAB" w:rsidRPr="00D26E94">
        <w:rPr>
          <w:rFonts w:ascii="Times New Roman" w:hAnsi="Times New Roman"/>
          <w:sz w:val="25"/>
          <w:szCs w:val="25"/>
        </w:rPr>
        <w:t xml:space="preserve"> depriving a utility of</w:t>
      </w:r>
      <w:r w:rsidR="008571BF">
        <w:rPr>
          <w:rFonts w:ascii="Times New Roman" w:hAnsi="Times New Roman"/>
          <w:sz w:val="25"/>
          <w:szCs w:val="25"/>
        </w:rPr>
        <w:t xml:space="preserve"> a reasonable</w:t>
      </w:r>
      <w:r w:rsidR="00724C60" w:rsidRPr="00D26E94">
        <w:rPr>
          <w:rFonts w:ascii="Times New Roman" w:hAnsi="Times New Roman"/>
          <w:sz w:val="25"/>
          <w:szCs w:val="25"/>
        </w:rPr>
        <w:t xml:space="preserve"> </w:t>
      </w:r>
      <w:r w:rsidR="008571BF">
        <w:rPr>
          <w:rFonts w:ascii="Times New Roman" w:hAnsi="Times New Roman"/>
          <w:sz w:val="25"/>
          <w:szCs w:val="25"/>
        </w:rPr>
        <w:t>opportunity to earn a fair</w:t>
      </w:r>
      <w:r w:rsidR="00724C60" w:rsidRPr="00D26E94">
        <w:rPr>
          <w:rFonts w:ascii="Times New Roman" w:hAnsi="Times New Roman"/>
          <w:sz w:val="25"/>
          <w:szCs w:val="25"/>
        </w:rPr>
        <w:t xml:space="preserve"> rate of</w:t>
      </w:r>
      <w:r w:rsidR="00281615" w:rsidRPr="00D26E94">
        <w:rPr>
          <w:rFonts w:ascii="Times New Roman" w:hAnsi="Times New Roman"/>
          <w:sz w:val="25"/>
          <w:szCs w:val="25"/>
        </w:rPr>
        <w:t xml:space="preserve"> return. </w:t>
      </w:r>
      <w:r w:rsidR="00E15DAB" w:rsidRPr="00D26E94">
        <w:rPr>
          <w:rFonts w:ascii="Times New Roman" w:hAnsi="Times New Roman"/>
          <w:sz w:val="25"/>
          <w:szCs w:val="25"/>
        </w:rPr>
        <w:t xml:space="preserve"> </w:t>
      </w:r>
      <w:r w:rsidR="005C489D">
        <w:rPr>
          <w:rFonts w:ascii="Times New Roman" w:hAnsi="Times New Roman"/>
          <w:sz w:val="25"/>
          <w:szCs w:val="25"/>
        </w:rPr>
        <w:t>As discussed in further detail below, the three primary causes of attrition that are largely out of the control of the utility are 1) high inflation, 2) rapid growth in necessary capital investments and 3) low or no load growth</w:t>
      </w:r>
      <w:r w:rsidR="007B68C5">
        <w:rPr>
          <w:rFonts w:ascii="Times New Roman" w:hAnsi="Times New Roman"/>
          <w:sz w:val="25"/>
          <w:szCs w:val="25"/>
        </w:rPr>
        <w:t xml:space="preserve">. </w:t>
      </w:r>
    </w:p>
    <w:p w14:paraId="09F28721" w14:textId="77777777" w:rsidR="007D36BE" w:rsidRPr="00D26E94" w:rsidRDefault="007D36BE" w:rsidP="00E26381">
      <w:pPr>
        <w:pStyle w:val="NoSpacing"/>
        <w:spacing w:line="360" w:lineRule="auto"/>
        <w:ind w:firstLine="720"/>
        <w:rPr>
          <w:rFonts w:ascii="Times New Roman" w:hAnsi="Times New Roman"/>
          <w:sz w:val="25"/>
          <w:szCs w:val="25"/>
        </w:rPr>
      </w:pPr>
      <w:r>
        <w:rPr>
          <w:rFonts w:ascii="Times New Roman" w:hAnsi="Times New Roman"/>
          <w:sz w:val="25"/>
          <w:szCs w:val="25"/>
        </w:rPr>
        <w:t>Staff offers its responses to the specific Commission questions below.</w:t>
      </w:r>
    </w:p>
    <w:p w14:paraId="3836A2FA" w14:textId="77777777" w:rsidR="003C7AEA" w:rsidRPr="00E26381" w:rsidRDefault="003C7AEA" w:rsidP="00E26381">
      <w:pPr>
        <w:pStyle w:val="NoSpacing"/>
        <w:spacing w:line="360" w:lineRule="auto"/>
        <w:rPr>
          <w:rFonts w:ascii="Times New Roman" w:hAnsi="Times New Roman"/>
          <w:sz w:val="25"/>
          <w:szCs w:val="25"/>
        </w:rPr>
      </w:pPr>
    </w:p>
    <w:p w14:paraId="23172E2F" w14:textId="77777777" w:rsidR="00C76872" w:rsidRPr="00E26381" w:rsidRDefault="00C76872" w:rsidP="009632CD">
      <w:pPr>
        <w:pStyle w:val="ListParagraph"/>
        <w:keepNext/>
        <w:numPr>
          <w:ilvl w:val="0"/>
          <w:numId w:val="4"/>
        </w:numPr>
        <w:autoSpaceDE w:val="0"/>
        <w:autoSpaceDN w:val="0"/>
        <w:adjustRightInd w:val="0"/>
        <w:spacing w:before="0"/>
        <w:ind w:hanging="720"/>
        <w:contextualSpacing w:val="0"/>
        <w:rPr>
          <w:b/>
          <w:i/>
          <w:sz w:val="25"/>
          <w:szCs w:val="25"/>
        </w:rPr>
      </w:pPr>
      <w:r w:rsidRPr="00E26381">
        <w:rPr>
          <w:b/>
          <w:i/>
          <w:sz w:val="25"/>
          <w:szCs w:val="25"/>
        </w:rPr>
        <w:lastRenderedPageBreak/>
        <w:t>Your organiz</w:t>
      </w:r>
      <w:bookmarkStart w:id="0" w:name="_GoBack"/>
      <w:bookmarkEnd w:id="0"/>
      <w:r w:rsidRPr="00E26381">
        <w:rPr>
          <w:b/>
          <w:i/>
          <w:sz w:val="25"/>
          <w:szCs w:val="25"/>
        </w:rPr>
        <w:t>ation’s perspective on the cause(s) of utility earnings attrition, e.g., high inflation, aggressive capital investment in infrastructure, low/no load growth.</w:t>
      </w:r>
    </w:p>
    <w:p w14:paraId="4B5380FD" w14:textId="77777777" w:rsidR="00FE1B80" w:rsidRPr="00E26381" w:rsidRDefault="00AA30B0" w:rsidP="00E26381">
      <w:pPr>
        <w:spacing w:line="360" w:lineRule="auto"/>
        <w:ind w:firstLine="360"/>
        <w:rPr>
          <w:sz w:val="25"/>
          <w:szCs w:val="25"/>
        </w:rPr>
      </w:pPr>
      <w:r w:rsidRPr="00E26381">
        <w:rPr>
          <w:sz w:val="25"/>
          <w:szCs w:val="25"/>
        </w:rPr>
        <w:t>U</w:t>
      </w:r>
      <w:r w:rsidR="00C76872" w:rsidRPr="00E26381">
        <w:rPr>
          <w:sz w:val="25"/>
          <w:szCs w:val="25"/>
        </w:rPr>
        <w:t xml:space="preserve">tility earnings attrition </w:t>
      </w:r>
      <w:r w:rsidR="008571BF">
        <w:rPr>
          <w:sz w:val="25"/>
          <w:szCs w:val="25"/>
        </w:rPr>
        <w:t>is</w:t>
      </w:r>
      <w:r w:rsidR="003D39A5">
        <w:rPr>
          <w:sz w:val="25"/>
          <w:szCs w:val="25"/>
        </w:rPr>
        <w:t xml:space="preserve"> </w:t>
      </w:r>
      <w:r w:rsidR="00C76872" w:rsidRPr="00E26381">
        <w:rPr>
          <w:sz w:val="25"/>
          <w:szCs w:val="25"/>
        </w:rPr>
        <w:t xml:space="preserve">caused by factors both outside of and within the control of the utility. </w:t>
      </w:r>
      <w:r w:rsidR="00862449" w:rsidRPr="00E26381">
        <w:rPr>
          <w:sz w:val="25"/>
          <w:szCs w:val="25"/>
        </w:rPr>
        <w:t>For the purposes of these comments, Staff will focus solely on those factors outside of the control of the utility as those are the factors appropriate for consideration</w:t>
      </w:r>
      <w:r w:rsidR="003D39A5">
        <w:rPr>
          <w:sz w:val="25"/>
          <w:szCs w:val="25"/>
        </w:rPr>
        <w:t xml:space="preserve"> in setting rates</w:t>
      </w:r>
      <w:r w:rsidR="00862449" w:rsidRPr="00E26381">
        <w:rPr>
          <w:sz w:val="25"/>
          <w:szCs w:val="25"/>
        </w:rPr>
        <w:t>. For example</w:t>
      </w:r>
      <w:r w:rsidR="00EA52DC" w:rsidRPr="00E26381">
        <w:rPr>
          <w:sz w:val="25"/>
          <w:szCs w:val="25"/>
        </w:rPr>
        <w:t xml:space="preserve">, if a utility fails to adequately control growth </w:t>
      </w:r>
      <w:r w:rsidR="003820E6" w:rsidRPr="00E26381">
        <w:rPr>
          <w:sz w:val="25"/>
          <w:szCs w:val="25"/>
        </w:rPr>
        <w:t xml:space="preserve">in </w:t>
      </w:r>
      <w:r w:rsidR="00002878" w:rsidRPr="00E26381">
        <w:rPr>
          <w:sz w:val="25"/>
          <w:szCs w:val="25"/>
        </w:rPr>
        <w:t xml:space="preserve">O&amp;M </w:t>
      </w:r>
      <w:r w:rsidR="00EA52DC" w:rsidRPr="00E26381">
        <w:rPr>
          <w:sz w:val="25"/>
          <w:szCs w:val="25"/>
        </w:rPr>
        <w:t xml:space="preserve">expense, the resulting earnings attrition should not have a regulatory </w:t>
      </w:r>
      <w:r w:rsidR="00002878" w:rsidRPr="00E26381">
        <w:rPr>
          <w:sz w:val="25"/>
          <w:szCs w:val="25"/>
        </w:rPr>
        <w:t>remedy</w:t>
      </w:r>
      <w:r w:rsidR="00EA52DC" w:rsidRPr="00E26381">
        <w:rPr>
          <w:sz w:val="25"/>
          <w:szCs w:val="25"/>
        </w:rPr>
        <w:t xml:space="preserve"> outside of </w:t>
      </w:r>
      <w:r w:rsidR="005500DC" w:rsidRPr="00E26381">
        <w:rPr>
          <w:sz w:val="25"/>
          <w:szCs w:val="25"/>
        </w:rPr>
        <w:t xml:space="preserve">simply </w:t>
      </w:r>
      <w:r w:rsidR="00E37CF2" w:rsidRPr="00E26381">
        <w:rPr>
          <w:sz w:val="25"/>
          <w:szCs w:val="25"/>
        </w:rPr>
        <w:t>allowing</w:t>
      </w:r>
      <w:r w:rsidR="00EA52DC" w:rsidRPr="00E26381">
        <w:rPr>
          <w:sz w:val="25"/>
          <w:szCs w:val="25"/>
        </w:rPr>
        <w:t xml:space="preserve"> </w:t>
      </w:r>
      <w:r w:rsidR="005500DC" w:rsidRPr="00E26381">
        <w:rPr>
          <w:sz w:val="25"/>
          <w:szCs w:val="25"/>
        </w:rPr>
        <w:t xml:space="preserve">earnings </w:t>
      </w:r>
      <w:r w:rsidR="00EA52DC" w:rsidRPr="00E26381">
        <w:rPr>
          <w:sz w:val="25"/>
          <w:szCs w:val="25"/>
        </w:rPr>
        <w:t xml:space="preserve">attrition to provide incentive </w:t>
      </w:r>
      <w:r w:rsidR="003820E6" w:rsidRPr="00E26381">
        <w:rPr>
          <w:sz w:val="25"/>
          <w:szCs w:val="25"/>
        </w:rPr>
        <w:t xml:space="preserve">for the utility to better manage its costs. </w:t>
      </w:r>
    </w:p>
    <w:p w14:paraId="5D88416D" w14:textId="77777777" w:rsidR="0071505F" w:rsidRPr="00E26381" w:rsidRDefault="003D39A5" w:rsidP="0071505F">
      <w:pPr>
        <w:spacing w:line="360" w:lineRule="auto"/>
        <w:ind w:firstLine="360"/>
        <w:rPr>
          <w:sz w:val="25"/>
          <w:szCs w:val="25"/>
        </w:rPr>
      </w:pPr>
      <w:r>
        <w:rPr>
          <w:sz w:val="25"/>
          <w:szCs w:val="25"/>
        </w:rPr>
        <w:t xml:space="preserve">Even though the economy is not </w:t>
      </w:r>
      <w:r w:rsidR="00A94215">
        <w:rPr>
          <w:sz w:val="25"/>
          <w:szCs w:val="25"/>
        </w:rPr>
        <w:t>currently</w:t>
      </w:r>
      <w:r w:rsidR="000E52DA">
        <w:rPr>
          <w:sz w:val="25"/>
          <w:szCs w:val="25"/>
        </w:rPr>
        <w:t xml:space="preserve"> </w:t>
      </w:r>
      <w:r>
        <w:rPr>
          <w:sz w:val="25"/>
          <w:szCs w:val="25"/>
        </w:rPr>
        <w:t>experiencing</w:t>
      </w:r>
      <w:r w:rsidR="00C958B8" w:rsidRPr="00E26381">
        <w:rPr>
          <w:sz w:val="25"/>
          <w:szCs w:val="25"/>
        </w:rPr>
        <w:t xml:space="preserve"> high inflation</w:t>
      </w:r>
      <w:r w:rsidR="000E52DA">
        <w:rPr>
          <w:sz w:val="25"/>
          <w:szCs w:val="25"/>
        </w:rPr>
        <w:t xml:space="preserve"> </w:t>
      </w:r>
      <w:r>
        <w:rPr>
          <w:sz w:val="25"/>
          <w:szCs w:val="25"/>
        </w:rPr>
        <w:t>and</w:t>
      </w:r>
      <w:r w:rsidR="00C958B8" w:rsidRPr="00E26381">
        <w:rPr>
          <w:sz w:val="25"/>
          <w:szCs w:val="25"/>
        </w:rPr>
        <w:t xml:space="preserve"> </w:t>
      </w:r>
      <w:r w:rsidR="008571BF">
        <w:rPr>
          <w:sz w:val="25"/>
          <w:szCs w:val="25"/>
        </w:rPr>
        <w:t xml:space="preserve">so inflation </w:t>
      </w:r>
      <w:r w:rsidR="00C958B8" w:rsidRPr="00E26381">
        <w:rPr>
          <w:sz w:val="25"/>
          <w:szCs w:val="25"/>
        </w:rPr>
        <w:t xml:space="preserve">is not currently a </w:t>
      </w:r>
      <w:r>
        <w:rPr>
          <w:sz w:val="25"/>
          <w:szCs w:val="25"/>
        </w:rPr>
        <w:t>contributor to</w:t>
      </w:r>
      <w:r w:rsidR="00C958B8" w:rsidRPr="00E26381">
        <w:rPr>
          <w:sz w:val="25"/>
          <w:szCs w:val="25"/>
        </w:rPr>
        <w:t xml:space="preserve"> earnings attrition, Staff believes it is important that inflation still be discussed</w:t>
      </w:r>
      <w:r w:rsidR="008571BF">
        <w:rPr>
          <w:sz w:val="25"/>
          <w:szCs w:val="25"/>
        </w:rPr>
        <w:t xml:space="preserve"> in these comments</w:t>
      </w:r>
      <w:r w:rsidR="00C958B8" w:rsidRPr="00E26381">
        <w:rPr>
          <w:sz w:val="25"/>
          <w:szCs w:val="25"/>
        </w:rPr>
        <w:t xml:space="preserve"> as</w:t>
      </w:r>
      <w:r w:rsidR="00FC7D3D" w:rsidRPr="00E26381">
        <w:rPr>
          <w:sz w:val="25"/>
          <w:szCs w:val="25"/>
        </w:rPr>
        <w:t xml:space="preserve"> it will help to provide the</w:t>
      </w:r>
      <w:r w:rsidR="00A23967" w:rsidRPr="00E26381">
        <w:rPr>
          <w:sz w:val="25"/>
          <w:szCs w:val="25"/>
        </w:rPr>
        <w:t xml:space="preserve"> Commission with insight</w:t>
      </w:r>
      <w:r w:rsidR="00FC7D3D" w:rsidRPr="00E26381">
        <w:rPr>
          <w:sz w:val="25"/>
          <w:szCs w:val="25"/>
        </w:rPr>
        <w:t xml:space="preserve"> </w:t>
      </w:r>
      <w:r w:rsidR="008571BF">
        <w:rPr>
          <w:sz w:val="25"/>
          <w:szCs w:val="25"/>
        </w:rPr>
        <w:t>into</w:t>
      </w:r>
      <w:r w:rsidR="00FC7D3D" w:rsidRPr="00E26381">
        <w:rPr>
          <w:sz w:val="25"/>
          <w:szCs w:val="25"/>
        </w:rPr>
        <w:t xml:space="preserve"> the distinct regulatory mechanisms used </w:t>
      </w:r>
      <w:r w:rsidR="002B460F">
        <w:rPr>
          <w:sz w:val="25"/>
          <w:szCs w:val="25"/>
        </w:rPr>
        <w:t>in the past</w:t>
      </w:r>
      <w:r w:rsidR="00FC7D3D" w:rsidRPr="00E26381">
        <w:rPr>
          <w:sz w:val="25"/>
          <w:szCs w:val="25"/>
        </w:rPr>
        <w:t xml:space="preserve"> </w:t>
      </w:r>
      <w:r w:rsidR="00093B0C">
        <w:rPr>
          <w:sz w:val="25"/>
          <w:szCs w:val="25"/>
        </w:rPr>
        <w:t>in response to</w:t>
      </w:r>
      <w:r w:rsidR="00FC7D3D" w:rsidRPr="00E26381">
        <w:rPr>
          <w:sz w:val="25"/>
          <w:szCs w:val="25"/>
        </w:rPr>
        <w:t xml:space="preserve"> attrition. </w:t>
      </w:r>
      <w:r w:rsidR="003F181D" w:rsidRPr="00E26381">
        <w:rPr>
          <w:sz w:val="25"/>
          <w:szCs w:val="25"/>
        </w:rPr>
        <w:t xml:space="preserve">As discussed in </w:t>
      </w:r>
      <w:r w:rsidR="00DD12D9">
        <w:rPr>
          <w:sz w:val="25"/>
          <w:szCs w:val="25"/>
        </w:rPr>
        <w:t xml:space="preserve">response to </w:t>
      </w:r>
      <w:r w:rsidR="00DD12D9" w:rsidRPr="00775107">
        <w:rPr>
          <w:sz w:val="25"/>
          <w:szCs w:val="25"/>
        </w:rPr>
        <w:t>Question 5 (below)</w:t>
      </w:r>
      <w:r w:rsidR="003F181D" w:rsidRPr="00775107">
        <w:rPr>
          <w:sz w:val="25"/>
          <w:szCs w:val="25"/>
        </w:rPr>
        <w:t>,</w:t>
      </w:r>
      <w:r w:rsidR="0071505F">
        <w:rPr>
          <w:sz w:val="25"/>
          <w:szCs w:val="25"/>
        </w:rPr>
        <w:t xml:space="preserve"> Staff’s</w:t>
      </w:r>
      <w:r w:rsidR="0071505F" w:rsidRPr="00E26381">
        <w:rPr>
          <w:sz w:val="25"/>
          <w:szCs w:val="25"/>
        </w:rPr>
        <w:t xml:space="preserve"> </w:t>
      </w:r>
      <w:r w:rsidR="0071505F">
        <w:rPr>
          <w:sz w:val="25"/>
          <w:szCs w:val="25"/>
        </w:rPr>
        <w:t>review</w:t>
      </w:r>
      <w:r w:rsidR="0071505F" w:rsidRPr="00E26381">
        <w:rPr>
          <w:sz w:val="25"/>
          <w:szCs w:val="25"/>
        </w:rPr>
        <w:t xml:space="preserve"> of Commission orders shows </w:t>
      </w:r>
      <w:r w:rsidR="0071505F">
        <w:rPr>
          <w:sz w:val="25"/>
          <w:szCs w:val="25"/>
        </w:rPr>
        <w:t xml:space="preserve">the Commission has </w:t>
      </w:r>
      <w:r w:rsidR="0071505F" w:rsidRPr="00E26381">
        <w:rPr>
          <w:sz w:val="25"/>
          <w:szCs w:val="25"/>
        </w:rPr>
        <w:t xml:space="preserve">historically </w:t>
      </w:r>
      <w:r w:rsidR="0071505F">
        <w:rPr>
          <w:sz w:val="25"/>
          <w:szCs w:val="25"/>
        </w:rPr>
        <w:t xml:space="preserve">addressed </w:t>
      </w:r>
      <w:r w:rsidR="0071505F" w:rsidRPr="00E26381">
        <w:rPr>
          <w:sz w:val="25"/>
          <w:szCs w:val="25"/>
        </w:rPr>
        <w:t xml:space="preserve">inflation-based attrition differently than infrastructure growth-based attrition. </w:t>
      </w:r>
    </w:p>
    <w:p w14:paraId="4F42D26E" w14:textId="77777777" w:rsidR="00FC7D3D" w:rsidRPr="00E26381" w:rsidRDefault="00093B0C" w:rsidP="00E26381">
      <w:pPr>
        <w:spacing w:line="360" w:lineRule="auto"/>
        <w:ind w:firstLine="360"/>
        <w:rPr>
          <w:sz w:val="25"/>
          <w:szCs w:val="25"/>
        </w:rPr>
      </w:pPr>
      <w:r>
        <w:rPr>
          <w:sz w:val="25"/>
          <w:szCs w:val="25"/>
        </w:rPr>
        <w:t>Currently,</w:t>
      </w:r>
      <w:r w:rsidR="008E3831" w:rsidRPr="00E26381">
        <w:rPr>
          <w:sz w:val="25"/>
          <w:szCs w:val="25"/>
        </w:rPr>
        <w:t xml:space="preserve"> utility earnings attrition </w:t>
      </w:r>
      <w:r w:rsidR="00596A68" w:rsidRPr="00E26381">
        <w:rPr>
          <w:sz w:val="25"/>
          <w:szCs w:val="25"/>
        </w:rPr>
        <w:t xml:space="preserve">is due </w:t>
      </w:r>
      <w:r>
        <w:rPr>
          <w:sz w:val="25"/>
          <w:szCs w:val="25"/>
        </w:rPr>
        <w:t>primarily</w:t>
      </w:r>
      <w:r w:rsidRPr="00E26381">
        <w:rPr>
          <w:sz w:val="25"/>
          <w:szCs w:val="25"/>
        </w:rPr>
        <w:t xml:space="preserve"> </w:t>
      </w:r>
      <w:r w:rsidR="00596A68" w:rsidRPr="00E26381">
        <w:rPr>
          <w:sz w:val="25"/>
          <w:szCs w:val="25"/>
        </w:rPr>
        <w:t xml:space="preserve">to growth </w:t>
      </w:r>
      <w:r w:rsidR="001302E7" w:rsidRPr="00E26381">
        <w:rPr>
          <w:sz w:val="25"/>
          <w:szCs w:val="25"/>
        </w:rPr>
        <w:t>in plant</w:t>
      </w:r>
      <w:r w:rsidR="00002878" w:rsidRPr="00E26381">
        <w:rPr>
          <w:sz w:val="25"/>
          <w:szCs w:val="25"/>
        </w:rPr>
        <w:t xml:space="preserve"> </w:t>
      </w:r>
      <w:r>
        <w:rPr>
          <w:sz w:val="25"/>
          <w:szCs w:val="25"/>
        </w:rPr>
        <w:t xml:space="preserve">with no </w:t>
      </w:r>
      <w:r w:rsidR="00103084">
        <w:rPr>
          <w:sz w:val="25"/>
          <w:szCs w:val="25"/>
        </w:rPr>
        <w:t xml:space="preserve">offsetting </w:t>
      </w:r>
      <w:r w:rsidR="001302E7" w:rsidRPr="00E26381">
        <w:rPr>
          <w:sz w:val="25"/>
          <w:szCs w:val="25"/>
        </w:rPr>
        <w:t>growth</w:t>
      </w:r>
      <w:r w:rsidR="00103084">
        <w:rPr>
          <w:sz w:val="25"/>
          <w:szCs w:val="25"/>
        </w:rPr>
        <w:t xml:space="preserve"> in revenue. </w:t>
      </w:r>
      <w:r>
        <w:rPr>
          <w:sz w:val="25"/>
          <w:szCs w:val="25"/>
        </w:rPr>
        <w:t>U</w:t>
      </w:r>
      <w:r w:rsidR="001D763B" w:rsidRPr="00E26381">
        <w:rPr>
          <w:sz w:val="25"/>
          <w:szCs w:val="25"/>
        </w:rPr>
        <w:t>tilities simply are not experiencing</w:t>
      </w:r>
      <w:r w:rsidR="00A44A27" w:rsidRPr="00E26381">
        <w:rPr>
          <w:sz w:val="25"/>
          <w:szCs w:val="25"/>
        </w:rPr>
        <w:t xml:space="preserve"> the load growth</w:t>
      </w:r>
      <w:r w:rsidR="00CD00A0" w:rsidRPr="00E26381">
        <w:rPr>
          <w:sz w:val="25"/>
          <w:szCs w:val="25"/>
        </w:rPr>
        <w:t xml:space="preserve"> to generate the revenues necessary to cover</w:t>
      </w:r>
      <w:r w:rsidR="00155BF9" w:rsidRPr="00E26381">
        <w:rPr>
          <w:sz w:val="25"/>
          <w:szCs w:val="25"/>
        </w:rPr>
        <w:t xml:space="preserve"> the cost of </w:t>
      </w:r>
      <w:r>
        <w:rPr>
          <w:sz w:val="25"/>
          <w:szCs w:val="25"/>
        </w:rPr>
        <w:t>new capital expenditures</w:t>
      </w:r>
      <w:r w:rsidRPr="00E26381">
        <w:rPr>
          <w:sz w:val="25"/>
          <w:szCs w:val="25"/>
        </w:rPr>
        <w:t xml:space="preserve"> </w:t>
      </w:r>
      <w:r w:rsidR="00A94215">
        <w:rPr>
          <w:sz w:val="25"/>
          <w:szCs w:val="25"/>
        </w:rPr>
        <w:t xml:space="preserve">that are </w:t>
      </w:r>
      <w:r w:rsidR="009B2DEB" w:rsidRPr="00E26381">
        <w:rPr>
          <w:sz w:val="25"/>
          <w:szCs w:val="25"/>
        </w:rPr>
        <w:t>associated with growing infrastructure investment</w:t>
      </w:r>
      <w:r>
        <w:rPr>
          <w:sz w:val="25"/>
          <w:szCs w:val="25"/>
        </w:rPr>
        <w:t xml:space="preserve"> necessary to ensure safe and reliable service</w:t>
      </w:r>
      <w:r w:rsidR="009B2DEB" w:rsidRPr="00E26381">
        <w:rPr>
          <w:sz w:val="25"/>
          <w:szCs w:val="25"/>
        </w:rPr>
        <w:t>.</w:t>
      </w:r>
      <w:r w:rsidR="003D39A5">
        <w:rPr>
          <w:sz w:val="25"/>
          <w:szCs w:val="25"/>
        </w:rPr>
        <w:t xml:space="preserve">  </w:t>
      </w:r>
    </w:p>
    <w:p w14:paraId="0FC6D811" w14:textId="77777777" w:rsidR="00BE26B2" w:rsidRPr="00E26381" w:rsidRDefault="00C379CC" w:rsidP="009632CD">
      <w:pPr>
        <w:pStyle w:val="ListParagraph"/>
        <w:numPr>
          <w:ilvl w:val="0"/>
          <w:numId w:val="4"/>
        </w:numPr>
        <w:autoSpaceDE w:val="0"/>
        <w:autoSpaceDN w:val="0"/>
        <w:adjustRightInd w:val="0"/>
        <w:spacing w:before="0"/>
        <w:ind w:hanging="720"/>
        <w:contextualSpacing w:val="0"/>
        <w:rPr>
          <w:b/>
          <w:i/>
          <w:sz w:val="25"/>
          <w:szCs w:val="25"/>
        </w:rPr>
      </w:pPr>
      <w:r w:rsidRPr="00E26381">
        <w:rPr>
          <w:b/>
          <w:i/>
          <w:sz w:val="25"/>
          <w:szCs w:val="25"/>
        </w:rPr>
        <w:t>Your organization’s preferred ratemaking mechanism(s) for addressing each of the forms of earnings attrition identified in (1) above, e.g., an attrition allowance, pro forma plant in rate base, construction work in progress (CWIP) in rate base, or future test year.  Please include a discussion of the benefits and shortcomings of your preferred mechanism and of alternative mechanisms.  Also discuss whether the different causes of attrition require different ratemaking solutions, in your respective view.</w:t>
      </w:r>
    </w:p>
    <w:p w14:paraId="5A5BCA02" w14:textId="77777777" w:rsidR="00C04C2B" w:rsidRDefault="00405444" w:rsidP="00E26381">
      <w:pPr>
        <w:spacing w:line="360" w:lineRule="auto"/>
        <w:ind w:firstLine="360"/>
        <w:rPr>
          <w:sz w:val="25"/>
          <w:szCs w:val="25"/>
        </w:rPr>
      </w:pPr>
      <w:r>
        <w:rPr>
          <w:sz w:val="25"/>
          <w:szCs w:val="25"/>
        </w:rPr>
        <w:t>T</w:t>
      </w:r>
      <w:r w:rsidR="001B6115" w:rsidRPr="00E26381">
        <w:rPr>
          <w:sz w:val="25"/>
          <w:szCs w:val="25"/>
        </w:rPr>
        <w:t>he attrition being experienced by utilities today is caused by differential rates of growth in revenues and expenses</w:t>
      </w:r>
      <w:r w:rsidR="0016441E" w:rsidRPr="00E26381">
        <w:rPr>
          <w:sz w:val="25"/>
          <w:szCs w:val="25"/>
        </w:rPr>
        <w:t xml:space="preserve"> brought on by</w:t>
      </w:r>
      <w:r w:rsidR="001B6115" w:rsidRPr="00E26381">
        <w:rPr>
          <w:sz w:val="25"/>
          <w:szCs w:val="25"/>
        </w:rPr>
        <w:t xml:space="preserve"> low load growth or rapid infrastructure development, or a combination of both. To address this form of</w:t>
      </w:r>
      <w:r w:rsidR="00F03CCE">
        <w:rPr>
          <w:sz w:val="25"/>
          <w:szCs w:val="25"/>
        </w:rPr>
        <w:t xml:space="preserve"> attrition</w:t>
      </w:r>
      <w:r w:rsidR="0016441E" w:rsidRPr="00E26381">
        <w:rPr>
          <w:sz w:val="25"/>
          <w:szCs w:val="25"/>
        </w:rPr>
        <w:t xml:space="preserve"> </w:t>
      </w:r>
      <w:r w:rsidR="0016441E" w:rsidRPr="00F03CCE">
        <w:rPr>
          <w:sz w:val="25"/>
          <w:szCs w:val="25"/>
        </w:rPr>
        <w:t>Staff</w:t>
      </w:r>
      <w:r w:rsidR="00A92FFF" w:rsidRPr="00F03CCE">
        <w:rPr>
          <w:sz w:val="25"/>
          <w:szCs w:val="25"/>
        </w:rPr>
        <w:t>’s preferred option</w:t>
      </w:r>
      <w:r w:rsidR="0016441E" w:rsidRPr="00F03CCE">
        <w:rPr>
          <w:sz w:val="25"/>
          <w:szCs w:val="25"/>
        </w:rPr>
        <w:t xml:space="preserve"> is </w:t>
      </w:r>
      <w:r w:rsidR="00A92FFF" w:rsidRPr="00F03CCE">
        <w:rPr>
          <w:sz w:val="25"/>
          <w:szCs w:val="25"/>
        </w:rPr>
        <w:t xml:space="preserve">an </w:t>
      </w:r>
      <w:r w:rsidR="0016441E" w:rsidRPr="00F03CCE">
        <w:rPr>
          <w:sz w:val="25"/>
          <w:szCs w:val="25"/>
        </w:rPr>
        <w:t>appropriate</w:t>
      </w:r>
      <w:r w:rsidR="00A92FFF" w:rsidRPr="00F03CCE">
        <w:rPr>
          <w:sz w:val="25"/>
          <w:szCs w:val="25"/>
        </w:rPr>
        <w:t>ly</w:t>
      </w:r>
      <w:r w:rsidR="0016441E" w:rsidRPr="00F03CCE">
        <w:rPr>
          <w:sz w:val="25"/>
          <w:szCs w:val="25"/>
        </w:rPr>
        <w:t xml:space="preserve"> </w:t>
      </w:r>
      <w:r w:rsidR="00A92FFF" w:rsidRPr="00F03CCE">
        <w:rPr>
          <w:sz w:val="25"/>
          <w:szCs w:val="25"/>
        </w:rPr>
        <w:t>developed</w:t>
      </w:r>
      <w:r w:rsidR="0016441E" w:rsidRPr="00F03CCE">
        <w:rPr>
          <w:sz w:val="25"/>
          <w:szCs w:val="25"/>
        </w:rPr>
        <w:t xml:space="preserve"> attrition allowance</w:t>
      </w:r>
      <w:r w:rsidR="00F03CCE">
        <w:rPr>
          <w:sz w:val="25"/>
          <w:szCs w:val="25"/>
        </w:rPr>
        <w:t>, though</w:t>
      </w:r>
      <w:r w:rsidR="00F4074E">
        <w:rPr>
          <w:sz w:val="25"/>
          <w:szCs w:val="25"/>
        </w:rPr>
        <w:t xml:space="preserve"> </w:t>
      </w:r>
      <w:r w:rsidR="00BF5AC6">
        <w:rPr>
          <w:sz w:val="25"/>
          <w:szCs w:val="25"/>
        </w:rPr>
        <w:t>we believe there are circumstances where the use of pro forma adjustments may be particularly warranted</w:t>
      </w:r>
      <w:r w:rsidR="00F34D66">
        <w:rPr>
          <w:sz w:val="25"/>
          <w:szCs w:val="25"/>
        </w:rPr>
        <w:t>.</w:t>
      </w:r>
      <w:r w:rsidR="00777DD2">
        <w:rPr>
          <w:sz w:val="25"/>
          <w:szCs w:val="25"/>
        </w:rPr>
        <w:t xml:space="preserve"> </w:t>
      </w:r>
      <w:r w:rsidR="00F4074E">
        <w:rPr>
          <w:sz w:val="25"/>
          <w:szCs w:val="25"/>
        </w:rPr>
        <w:lastRenderedPageBreak/>
        <w:t>Inclusion of CWIP in rate base should be reserved for extraordinary circumst</w:t>
      </w:r>
      <w:r w:rsidR="0036537A">
        <w:rPr>
          <w:sz w:val="25"/>
          <w:szCs w:val="25"/>
        </w:rPr>
        <w:t xml:space="preserve">ances. </w:t>
      </w:r>
      <w:r>
        <w:rPr>
          <w:sz w:val="25"/>
          <w:szCs w:val="25"/>
        </w:rPr>
        <w:t xml:space="preserve">While </w:t>
      </w:r>
      <w:r w:rsidR="0036537A">
        <w:rPr>
          <w:sz w:val="25"/>
          <w:szCs w:val="25"/>
        </w:rPr>
        <w:t>Staff does not argue</w:t>
      </w:r>
      <w:r w:rsidR="00F4074E">
        <w:rPr>
          <w:sz w:val="25"/>
          <w:szCs w:val="25"/>
        </w:rPr>
        <w:t xml:space="preserve"> in favor of a future test year</w:t>
      </w:r>
      <w:r>
        <w:rPr>
          <w:sz w:val="25"/>
          <w:szCs w:val="25"/>
        </w:rPr>
        <w:t xml:space="preserve"> in these comments, it is open to discussing the merits of such an option</w:t>
      </w:r>
      <w:r w:rsidR="00C92B86">
        <w:rPr>
          <w:sz w:val="25"/>
          <w:szCs w:val="25"/>
        </w:rPr>
        <w:t xml:space="preserve"> in this forum</w:t>
      </w:r>
      <w:r w:rsidR="00795C18">
        <w:rPr>
          <w:sz w:val="25"/>
          <w:szCs w:val="25"/>
        </w:rPr>
        <w:t>, particularly if the Commis</w:t>
      </w:r>
      <w:r w:rsidR="00C92B86">
        <w:rPr>
          <w:sz w:val="25"/>
          <w:szCs w:val="25"/>
        </w:rPr>
        <w:t>sion indicates within</w:t>
      </w:r>
      <w:r w:rsidR="00795C18">
        <w:rPr>
          <w:sz w:val="25"/>
          <w:szCs w:val="25"/>
        </w:rPr>
        <w:t xml:space="preserve"> </w:t>
      </w:r>
      <w:r w:rsidR="00C92B86">
        <w:rPr>
          <w:sz w:val="25"/>
          <w:szCs w:val="25"/>
        </w:rPr>
        <w:t>its inclination toward consideration of</w:t>
      </w:r>
      <w:r w:rsidR="00795C18">
        <w:rPr>
          <w:sz w:val="25"/>
          <w:szCs w:val="25"/>
        </w:rPr>
        <w:t xml:space="preserve"> a future test year</w:t>
      </w:r>
      <w:r w:rsidR="00F4074E">
        <w:rPr>
          <w:sz w:val="25"/>
          <w:szCs w:val="25"/>
        </w:rPr>
        <w:t xml:space="preserve">. </w:t>
      </w:r>
    </w:p>
    <w:p w14:paraId="0E6193A9" w14:textId="77777777" w:rsidR="00777DD2" w:rsidRDefault="0036537A" w:rsidP="00E26381">
      <w:pPr>
        <w:spacing w:line="360" w:lineRule="auto"/>
        <w:ind w:firstLine="360"/>
        <w:rPr>
          <w:sz w:val="25"/>
          <w:szCs w:val="25"/>
        </w:rPr>
      </w:pPr>
      <w:r>
        <w:rPr>
          <w:sz w:val="25"/>
          <w:szCs w:val="25"/>
        </w:rPr>
        <w:t>Staff discusses in further detail here</w:t>
      </w:r>
      <w:r w:rsidR="00F4074E">
        <w:rPr>
          <w:sz w:val="25"/>
          <w:szCs w:val="25"/>
        </w:rPr>
        <w:t xml:space="preserve"> </w:t>
      </w:r>
      <w:r>
        <w:rPr>
          <w:sz w:val="25"/>
          <w:szCs w:val="25"/>
        </w:rPr>
        <w:t xml:space="preserve">its thoughts regarding </w:t>
      </w:r>
      <w:r w:rsidR="00F4074E">
        <w:rPr>
          <w:sz w:val="25"/>
          <w:szCs w:val="25"/>
        </w:rPr>
        <w:t xml:space="preserve">these four potential ratemaking </w:t>
      </w:r>
      <w:r>
        <w:rPr>
          <w:sz w:val="25"/>
          <w:szCs w:val="25"/>
        </w:rPr>
        <w:t xml:space="preserve">mechanisms. </w:t>
      </w:r>
    </w:p>
    <w:p w14:paraId="506A6135" w14:textId="77777777" w:rsidR="00BE26B2" w:rsidRPr="00E26381" w:rsidRDefault="00BE26B2" w:rsidP="00E26381">
      <w:pPr>
        <w:spacing w:line="360" w:lineRule="auto"/>
        <w:ind w:firstLine="360"/>
        <w:rPr>
          <w:b/>
          <w:sz w:val="25"/>
          <w:szCs w:val="25"/>
        </w:rPr>
      </w:pPr>
      <w:r w:rsidRPr="00E26381">
        <w:rPr>
          <w:b/>
          <w:sz w:val="25"/>
          <w:szCs w:val="25"/>
        </w:rPr>
        <w:t>Pro Forma Plant Balances</w:t>
      </w:r>
    </w:p>
    <w:p w14:paraId="1C200B8B" w14:textId="77777777" w:rsidR="00E97937" w:rsidRPr="00E26381" w:rsidRDefault="00E97937" w:rsidP="00E26381">
      <w:pPr>
        <w:spacing w:line="360" w:lineRule="auto"/>
        <w:ind w:firstLine="360"/>
        <w:rPr>
          <w:sz w:val="25"/>
          <w:szCs w:val="25"/>
        </w:rPr>
      </w:pPr>
      <w:r w:rsidRPr="00E26381">
        <w:rPr>
          <w:sz w:val="25"/>
          <w:szCs w:val="25"/>
        </w:rPr>
        <w:t xml:space="preserve">With regards to the adjustment </w:t>
      </w:r>
      <w:r w:rsidR="00FF5B0C" w:rsidRPr="00E26381">
        <w:rPr>
          <w:sz w:val="25"/>
          <w:szCs w:val="25"/>
        </w:rPr>
        <w:t xml:space="preserve">of plant balances to reflect </w:t>
      </w:r>
      <w:r w:rsidR="003054A8">
        <w:rPr>
          <w:sz w:val="25"/>
          <w:szCs w:val="25"/>
        </w:rPr>
        <w:t>post test-year</w:t>
      </w:r>
      <w:r w:rsidR="00FF5B0C" w:rsidRPr="00E26381">
        <w:rPr>
          <w:sz w:val="25"/>
          <w:szCs w:val="25"/>
        </w:rPr>
        <w:t xml:space="preserve"> </w:t>
      </w:r>
      <w:r w:rsidR="00187FFB">
        <w:rPr>
          <w:sz w:val="25"/>
          <w:szCs w:val="25"/>
        </w:rPr>
        <w:t>additions</w:t>
      </w:r>
      <w:r w:rsidR="00FF5B0C" w:rsidRPr="00E26381">
        <w:rPr>
          <w:sz w:val="25"/>
          <w:szCs w:val="25"/>
        </w:rPr>
        <w:t xml:space="preserve">, such adjustments have been </w:t>
      </w:r>
      <w:r w:rsidR="00187FFB">
        <w:rPr>
          <w:sz w:val="25"/>
          <w:szCs w:val="25"/>
        </w:rPr>
        <w:t>used by the</w:t>
      </w:r>
      <w:r w:rsidR="00FF5B0C" w:rsidRPr="00E26381">
        <w:rPr>
          <w:sz w:val="25"/>
          <w:szCs w:val="25"/>
        </w:rPr>
        <w:t xml:space="preserve"> Commission for at least the past 20 years. </w:t>
      </w:r>
      <w:r w:rsidR="00187FFB">
        <w:rPr>
          <w:sz w:val="25"/>
          <w:szCs w:val="25"/>
        </w:rPr>
        <w:t xml:space="preserve"> </w:t>
      </w:r>
      <w:r w:rsidR="00FF5B0C" w:rsidRPr="00E26381">
        <w:rPr>
          <w:sz w:val="25"/>
          <w:szCs w:val="25"/>
        </w:rPr>
        <w:t>There has been considerable debate as to how far into the future</w:t>
      </w:r>
      <w:r w:rsidR="0071505F">
        <w:rPr>
          <w:sz w:val="25"/>
          <w:szCs w:val="25"/>
        </w:rPr>
        <w:t xml:space="preserve"> plant should be recognized</w:t>
      </w:r>
      <w:r w:rsidR="00A51538" w:rsidRPr="00E26381">
        <w:rPr>
          <w:sz w:val="25"/>
          <w:szCs w:val="25"/>
        </w:rPr>
        <w:t>, but there should be no doubt that this Commission finds adjusting pro forma plant balances for known and measurable</w:t>
      </w:r>
      <w:r w:rsidR="00D501A8" w:rsidRPr="00E26381">
        <w:rPr>
          <w:sz w:val="25"/>
          <w:szCs w:val="25"/>
        </w:rPr>
        <w:t xml:space="preserve"> changes </w:t>
      </w:r>
      <w:r w:rsidR="003054A8">
        <w:rPr>
          <w:sz w:val="25"/>
          <w:szCs w:val="25"/>
        </w:rPr>
        <w:t xml:space="preserve">outside of the test period </w:t>
      </w:r>
      <w:r w:rsidR="00D501A8" w:rsidRPr="00E26381">
        <w:rPr>
          <w:sz w:val="25"/>
          <w:szCs w:val="25"/>
        </w:rPr>
        <w:t>to be an</w:t>
      </w:r>
      <w:r w:rsidR="00A51538" w:rsidRPr="00E26381">
        <w:rPr>
          <w:sz w:val="25"/>
          <w:szCs w:val="25"/>
        </w:rPr>
        <w:t xml:space="preserve"> acceptable practice. </w:t>
      </w:r>
      <w:r w:rsidR="00D501A8" w:rsidRPr="00E26381">
        <w:rPr>
          <w:sz w:val="25"/>
          <w:szCs w:val="25"/>
        </w:rPr>
        <w:t>As a matter</w:t>
      </w:r>
      <w:r w:rsidR="005E0884">
        <w:rPr>
          <w:sz w:val="25"/>
          <w:szCs w:val="25"/>
        </w:rPr>
        <w:t xml:space="preserve"> of general policy, Staff believes it is acceptable to </w:t>
      </w:r>
      <w:r w:rsidR="00EC5315">
        <w:rPr>
          <w:sz w:val="25"/>
          <w:szCs w:val="25"/>
        </w:rPr>
        <w:t xml:space="preserve">set rates in </w:t>
      </w:r>
      <w:r w:rsidR="003320A3">
        <w:rPr>
          <w:sz w:val="25"/>
          <w:szCs w:val="25"/>
        </w:rPr>
        <w:t>conformity</w:t>
      </w:r>
      <w:r w:rsidR="00D501A8" w:rsidRPr="00E26381">
        <w:rPr>
          <w:sz w:val="25"/>
          <w:szCs w:val="25"/>
        </w:rPr>
        <w:t xml:space="preserve"> with </w:t>
      </w:r>
      <w:r w:rsidR="00EC5315">
        <w:rPr>
          <w:sz w:val="25"/>
          <w:szCs w:val="25"/>
        </w:rPr>
        <w:t xml:space="preserve">the numerous </w:t>
      </w:r>
      <w:r w:rsidR="00D501A8" w:rsidRPr="00E26381">
        <w:rPr>
          <w:sz w:val="25"/>
          <w:szCs w:val="25"/>
        </w:rPr>
        <w:t xml:space="preserve">Commission decisions reaffirming this stance. However, </w:t>
      </w:r>
      <w:r w:rsidR="009F3F41">
        <w:rPr>
          <w:sz w:val="25"/>
          <w:szCs w:val="25"/>
        </w:rPr>
        <w:t xml:space="preserve">Staff </w:t>
      </w:r>
      <w:r w:rsidR="001235B8">
        <w:rPr>
          <w:sz w:val="25"/>
          <w:szCs w:val="25"/>
        </w:rPr>
        <w:t>sees merit in</w:t>
      </w:r>
      <w:r w:rsidR="003320A3">
        <w:rPr>
          <w:sz w:val="25"/>
          <w:szCs w:val="25"/>
        </w:rPr>
        <w:t xml:space="preserve"> </w:t>
      </w:r>
      <w:r w:rsidR="00A77993">
        <w:rPr>
          <w:sz w:val="25"/>
          <w:szCs w:val="25"/>
        </w:rPr>
        <w:t xml:space="preserve">the use of </w:t>
      </w:r>
      <w:r w:rsidR="00A92FFF">
        <w:rPr>
          <w:sz w:val="25"/>
          <w:szCs w:val="25"/>
        </w:rPr>
        <w:t xml:space="preserve">identified criteria for </w:t>
      </w:r>
      <w:r w:rsidR="009F3F41">
        <w:rPr>
          <w:sz w:val="25"/>
          <w:szCs w:val="25"/>
        </w:rPr>
        <w:t xml:space="preserve">a plant-in-service cutoff date. Three options </w:t>
      </w:r>
      <w:r w:rsidR="00BF5AC6">
        <w:rPr>
          <w:sz w:val="25"/>
          <w:szCs w:val="25"/>
        </w:rPr>
        <w:t xml:space="preserve">that may be used in different circumstances in determining </w:t>
      </w:r>
      <w:r w:rsidR="009F3F41">
        <w:rPr>
          <w:sz w:val="25"/>
          <w:szCs w:val="25"/>
        </w:rPr>
        <w:t xml:space="preserve">a cutoff date are </w:t>
      </w:r>
      <w:r w:rsidR="00D501A8" w:rsidRPr="009F3F41">
        <w:rPr>
          <w:sz w:val="25"/>
          <w:szCs w:val="25"/>
        </w:rPr>
        <w:t>described in further detail in Section 4 below</w:t>
      </w:r>
      <w:r w:rsidR="009F3F41">
        <w:rPr>
          <w:sz w:val="25"/>
          <w:szCs w:val="25"/>
        </w:rPr>
        <w:t>.</w:t>
      </w:r>
      <w:r w:rsidR="00C109B1" w:rsidRPr="00E26381">
        <w:rPr>
          <w:sz w:val="25"/>
          <w:szCs w:val="25"/>
        </w:rPr>
        <w:t xml:space="preserve"> </w:t>
      </w:r>
    </w:p>
    <w:p w14:paraId="14678C72" w14:textId="77777777" w:rsidR="00C109B1" w:rsidRPr="00E26381" w:rsidRDefault="003054A8" w:rsidP="00E26381">
      <w:pPr>
        <w:spacing w:line="360" w:lineRule="auto"/>
        <w:ind w:firstLine="360"/>
        <w:rPr>
          <w:sz w:val="25"/>
          <w:szCs w:val="25"/>
        </w:rPr>
      </w:pPr>
      <w:r>
        <w:rPr>
          <w:sz w:val="25"/>
          <w:szCs w:val="25"/>
        </w:rPr>
        <w:t xml:space="preserve">Aside from </w:t>
      </w:r>
      <w:r w:rsidRPr="00E26381">
        <w:rPr>
          <w:sz w:val="25"/>
          <w:szCs w:val="25"/>
        </w:rPr>
        <w:t>bringing test year plant balances in closer alignment with rate year plant balances</w:t>
      </w:r>
      <w:r>
        <w:rPr>
          <w:sz w:val="25"/>
          <w:szCs w:val="25"/>
        </w:rPr>
        <w:t>,</w:t>
      </w:r>
      <w:r w:rsidRPr="00E26381">
        <w:rPr>
          <w:sz w:val="25"/>
          <w:szCs w:val="25"/>
        </w:rPr>
        <w:t xml:space="preserve"> </w:t>
      </w:r>
      <w:r>
        <w:rPr>
          <w:sz w:val="25"/>
          <w:szCs w:val="25"/>
        </w:rPr>
        <w:t>t</w:t>
      </w:r>
      <w:r w:rsidR="00C109B1" w:rsidRPr="00E26381">
        <w:rPr>
          <w:sz w:val="25"/>
          <w:szCs w:val="25"/>
        </w:rPr>
        <w:t xml:space="preserve">he primary benefit of adjusting </w:t>
      </w:r>
      <w:r w:rsidR="00E07C19" w:rsidRPr="00E26381">
        <w:rPr>
          <w:sz w:val="25"/>
          <w:szCs w:val="25"/>
        </w:rPr>
        <w:t xml:space="preserve">plant balances to reflect </w:t>
      </w:r>
      <w:r>
        <w:rPr>
          <w:sz w:val="25"/>
          <w:szCs w:val="25"/>
        </w:rPr>
        <w:t>post test-year rate base</w:t>
      </w:r>
      <w:r w:rsidR="00E07C19" w:rsidRPr="00E26381">
        <w:rPr>
          <w:sz w:val="25"/>
          <w:szCs w:val="25"/>
        </w:rPr>
        <w:t xml:space="preserve"> is that adjustments are made for </w:t>
      </w:r>
      <w:r w:rsidR="003320A3">
        <w:rPr>
          <w:sz w:val="25"/>
          <w:szCs w:val="25"/>
        </w:rPr>
        <w:t xml:space="preserve">known and measureable </w:t>
      </w:r>
      <w:r w:rsidR="00E07C19" w:rsidRPr="00E26381">
        <w:rPr>
          <w:sz w:val="25"/>
          <w:szCs w:val="25"/>
        </w:rPr>
        <w:t xml:space="preserve">changes. </w:t>
      </w:r>
      <w:r w:rsidR="00C51A63" w:rsidRPr="00E26381">
        <w:rPr>
          <w:sz w:val="25"/>
          <w:szCs w:val="25"/>
        </w:rPr>
        <w:t xml:space="preserve">That is, each </w:t>
      </w:r>
      <w:r w:rsidR="00647E39">
        <w:rPr>
          <w:sz w:val="25"/>
          <w:szCs w:val="25"/>
        </w:rPr>
        <w:t>project placed in</w:t>
      </w:r>
      <w:r w:rsidR="00C3588B" w:rsidRPr="00E26381">
        <w:rPr>
          <w:sz w:val="25"/>
          <w:szCs w:val="25"/>
        </w:rPr>
        <w:t xml:space="preserve"> service after the test year</w:t>
      </w:r>
      <w:r w:rsidR="00C51A63" w:rsidRPr="00E26381">
        <w:rPr>
          <w:sz w:val="25"/>
          <w:szCs w:val="25"/>
        </w:rPr>
        <w:t xml:space="preserve"> will </w:t>
      </w:r>
      <w:r w:rsidR="00C3588B" w:rsidRPr="00E26381">
        <w:rPr>
          <w:sz w:val="25"/>
          <w:szCs w:val="25"/>
        </w:rPr>
        <w:t xml:space="preserve">be known to </w:t>
      </w:r>
      <w:r w:rsidR="00C51A63" w:rsidRPr="00E26381">
        <w:rPr>
          <w:sz w:val="25"/>
          <w:szCs w:val="25"/>
        </w:rPr>
        <w:t>have occurred and, thus, the corresponding adjustme</w:t>
      </w:r>
      <w:r w:rsidR="002D6427">
        <w:rPr>
          <w:sz w:val="25"/>
          <w:szCs w:val="25"/>
        </w:rPr>
        <w:t>nt to rate base can be accurately</w:t>
      </w:r>
      <w:r w:rsidR="00C51A63" w:rsidRPr="00E26381">
        <w:rPr>
          <w:sz w:val="25"/>
          <w:szCs w:val="25"/>
        </w:rPr>
        <w:t xml:space="preserve"> quantified. </w:t>
      </w:r>
      <w:r w:rsidR="00D14374" w:rsidRPr="00E26381">
        <w:rPr>
          <w:sz w:val="25"/>
          <w:szCs w:val="25"/>
        </w:rPr>
        <w:t>A</w:t>
      </w:r>
      <w:r w:rsidR="00C3588B" w:rsidRPr="00E26381">
        <w:rPr>
          <w:sz w:val="25"/>
          <w:szCs w:val="25"/>
        </w:rPr>
        <w:t>dju</w:t>
      </w:r>
      <w:r w:rsidR="00D14374" w:rsidRPr="00E26381">
        <w:rPr>
          <w:sz w:val="25"/>
          <w:szCs w:val="25"/>
        </w:rPr>
        <w:t>stments such as these do</w:t>
      </w:r>
      <w:r w:rsidR="00C3588B" w:rsidRPr="00E26381">
        <w:rPr>
          <w:sz w:val="25"/>
          <w:szCs w:val="25"/>
        </w:rPr>
        <w:t xml:space="preserve"> not rely upon projections, forecasts or capital budgets. </w:t>
      </w:r>
    </w:p>
    <w:p w14:paraId="6383A6B0" w14:textId="77777777" w:rsidR="003B51CD" w:rsidRPr="00E26381" w:rsidRDefault="00031E5E" w:rsidP="00E26381">
      <w:pPr>
        <w:spacing w:line="360" w:lineRule="auto"/>
        <w:ind w:firstLine="360"/>
        <w:rPr>
          <w:sz w:val="25"/>
          <w:szCs w:val="25"/>
        </w:rPr>
      </w:pPr>
      <w:r>
        <w:rPr>
          <w:sz w:val="25"/>
          <w:szCs w:val="25"/>
        </w:rPr>
        <w:t>A commonly cited</w:t>
      </w:r>
      <w:r w:rsidR="003B51CD" w:rsidRPr="00E26381">
        <w:rPr>
          <w:sz w:val="25"/>
          <w:szCs w:val="25"/>
        </w:rPr>
        <w:t xml:space="preserve"> shortcoming of adjusting plant balances to reflect </w:t>
      </w:r>
      <w:r w:rsidR="003054A8">
        <w:rPr>
          <w:sz w:val="25"/>
          <w:szCs w:val="25"/>
        </w:rPr>
        <w:t>post test-year</w:t>
      </w:r>
      <w:r w:rsidR="003B51CD" w:rsidRPr="00E26381">
        <w:rPr>
          <w:sz w:val="25"/>
          <w:szCs w:val="25"/>
        </w:rPr>
        <w:t xml:space="preserve"> rate base is</w:t>
      </w:r>
      <w:r w:rsidR="0034097B" w:rsidRPr="00E26381">
        <w:rPr>
          <w:sz w:val="25"/>
          <w:szCs w:val="25"/>
        </w:rPr>
        <w:t xml:space="preserve"> that such adjustments </w:t>
      </w:r>
      <w:r w:rsidR="002D6427">
        <w:rPr>
          <w:sz w:val="25"/>
          <w:szCs w:val="25"/>
        </w:rPr>
        <w:t xml:space="preserve">typically </w:t>
      </w:r>
      <w:r w:rsidR="0034097B" w:rsidRPr="00E26381">
        <w:rPr>
          <w:sz w:val="25"/>
          <w:szCs w:val="25"/>
        </w:rPr>
        <w:t xml:space="preserve">are in </w:t>
      </w:r>
      <w:r w:rsidR="0034097B" w:rsidRPr="003320A3">
        <w:rPr>
          <w:sz w:val="25"/>
          <w:szCs w:val="25"/>
        </w:rPr>
        <w:t>violation of the matching principle.</w:t>
      </w:r>
      <w:r w:rsidR="0034097B" w:rsidRPr="00E26381">
        <w:rPr>
          <w:sz w:val="25"/>
          <w:szCs w:val="25"/>
        </w:rPr>
        <w:t xml:space="preserve"> </w:t>
      </w:r>
      <w:r w:rsidR="008C2D17" w:rsidRPr="00E26381">
        <w:rPr>
          <w:sz w:val="25"/>
          <w:szCs w:val="25"/>
        </w:rPr>
        <w:t xml:space="preserve">That is, the change in </w:t>
      </w:r>
      <w:r w:rsidR="00093B0C">
        <w:rPr>
          <w:sz w:val="25"/>
          <w:szCs w:val="25"/>
        </w:rPr>
        <w:t>costs</w:t>
      </w:r>
      <w:r w:rsidR="008C2D17" w:rsidRPr="00E26381">
        <w:rPr>
          <w:sz w:val="25"/>
          <w:szCs w:val="25"/>
        </w:rPr>
        <w:t xml:space="preserve"> associated with pro </w:t>
      </w:r>
      <w:r>
        <w:rPr>
          <w:sz w:val="25"/>
          <w:szCs w:val="25"/>
        </w:rPr>
        <w:t>forma plant balances</w:t>
      </w:r>
      <w:r w:rsidR="008C2D17" w:rsidRPr="00E26381">
        <w:rPr>
          <w:sz w:val="25"/>
          <w:szCs w:val="25"/>
        </w:rPr>
        <w:t xml:space="preserve"> creates a mismatch between the period over which expenses are accrued and the period over which revenues are accrued. </w:t>
      </w:r>
    </w:p>
    <w:p w14:paraId="4C9E8D65" w14:textId="77777777" w:rsidR="0048671C" w:rsidRPr="00E26381" w:rsidRDefault="00CA3A48" w:rsidP="00E26381">
      <w:pPr>
        <w:spacing w:line="360" w:lineRule="auto"/>
        <w:ind w:firstLine="360"/>
        <w:rPr>
          <w:sz w:val="25"/>
          <w:szCs w:val="25"/>
        </w:rPr>
      </w:pPr>
      <w:r w:rsidRPr="00E26381">
        <w:rPr>
          <w:sz w:val="25"/>
          <w:szCs w:val="25"/>
        </w:rPr>
        <w:lastRenderedPageBreak/>
        <w:t>A related</w:t>
      </w:r>
      <w:r w:rsidR="0048671C" w:rsidRPr="00E26381">
        <w:rPr>
          <w:sz w:val="25"/>
          <w:szCs w:val="25"/>
        </w:rPr>
        <w:t xml:space="preserve"> shortcoming of adjusting plant balances to reflect </w:t>
      </w:r>
      <w:r w:rsidR="003054A8">
        <w:rPr>
          <w:sz w:val="25"/>
          <w:szCs w:val="25"/>
        </w:rPr>
        <w:t>post test-year</w:t>
      </w:r>
      <w:r w:rsidR="0048671C" w:rsidRPr="00E26381">
        <w:rPr>
          <w:sz w:val="25"/>
          <w:szCs w:val="25"/>
        </w:rPr>
        <w:t xml:space="preserve"> rate base is that it is of</w:t>
      </w:r>
      <w:r w:rsidR="00031E5E">
        <w:rPr>
          <w:sz w:val="25"/>
          <w:szCs w:val="25"/>
        </w:rPr>
        <w:t>ten difficult</w:t>
      </w:r>
      <w:r w:rsidR="0048671C" w:rsidRPr="00E26381">
        <w:rPr>
          <w:sz w:val="25"/>
          <w:szCs w:val="25"/>
        </w:rPr>
        <w:t xml:space="preserve"> to capture all offsetting factors.</w:t>
      </w:r>
      <w:r w:rsidR="00343732" w:rsidRPr="00E26381">
        <w:rPr>
          <w:sz w:val="25"/>
          <w:szCs w:val="25"/>
        </w:rPr>
        <w:t xml:space="preserve"> </w:t>
      </w:r>
      <w:r w:rsidRPr="00E26381">
        <w:rPr>
          <w:sz w:val="25"/>
          <w:szCs w:val="25"/>
        </w:rPr>
        <w:t>Fo</w:t>
      </w:r>
      <w:r w:rsidR="00647E39">
        <w:rPr>
          <w:sz w:val="25"/>
          <w:szCs w:val="25"/>
        </w:rPr>
        <w:t>r example, new plant placed in</w:t>
      </w:r>
      <w:r w:rsidRPr="00E26381">
        <w:rPr>
          <w:sz w:val="25"/>
          <w:szCs w:val="25"/>
        </w:rPr>
        <w:t xml:space="preserve"> service might be accompanied by gains in efficiency or</w:t>
      </w:r>
      <w:r w:rsidR="004562C1" w:rsidRPr="00E26381">
        <w:rPr>
          <w:sz w:val="25"/>
          <w:szCs w:val="25"/>
        </w:rPr>
        <w:t xml:space="preserve"> a reduction in</w:t>
      </w:r>
      <w:r w:rsidRPr="00E26381">
        <w:rPr>
          <w:sz w:val="25"/>
          <w:szCs w:val="25"/>
        </w:rPr>
        <w:t xml:space="preserve"> O&amp;M expense</w:t>
      </w:r>
      <w:r w:rsidR="004562C1" w:rsidRPr="00E26381">
        <w:rPr>
          <w:sz w:val="25"/>
          <w:szCs w:val="25"/>
        </w:rPr>
        <w:t xml:space="preserve">. If all </w:t>
      </w:r>
      <w:r w:rsidR="001235B8" w:rsidRPr="00E26381">
        <w:rPr>
          <w:sz w:val="25"/>
          <w:szCs w:val="25"/>
        </w:rPr>
        <w:t>offset</w:t>
      </w:r>
      <w:r w:rsidR="001235B8">
        <w:rPr>
          <w:sz w:val="25"/>
          <w:szCs w:val="25"/>
        </w:rPr>
        <w:t>ting</w:t>
      </w:r>
      <w:r w:rsidR="00187FFB">
        <w:rPr>
          <w:sz w:val="25"/>
          <w:szCs w:val="25"/>
        </w:rPr>
        <w:t xml:space="preserve"> factors</w:t>
      </w:r>
      <w:r w:rsidR="004562C1" w:rsidRPr="00E26381">
        <w:rPr>
          <w:sz w:val="25"/>
          <w:szCs w:val="25"/>
        </w:rPr>
        <w:t xml:space="preserve"> are</w:t>
      </w:r>
      <w:r w:rsidRPr="00E26381">
        <w:rPr>
          <w:sz w:val="25"/>
          <w:szCs w:val="25"/>
        </w:rPr>
        <w:t xml:space="preserve"> </w:t>
      </w:r>
      <w:r w:rsidR="00187FFB">
        <w:rPr>
          <w:sz w:val="25"/>
          <w:szCs w:val="25"/>
        </w:rPr>
        <w:t xml:space="preserve">not </w:t>
      </w:r>
      <w:r w:rsidRPr="00E26381">
        <w:rPr>
          <w:sz w:val="25"/>
          <w:szCs w:val="25"/>
        </w:rPr>
        <w:t>incorporated into the revenue req</w:t>
      </w:r>
      <w:r w:rsidR="004562C1" w:rsidRPr="00E26381">
        <w:rPr>
          <w:sz w:val="25"/>
          <w:szCs w:val="25"/>
        </w:rPr>
        <w:t xml:space="preserve">uirement calculation, </w:t>
      </w:r>
      <w:r w:rsidR="00187FFB">
        <w:rPr>
          <w:sz w:val="25"/>
          <w:szCs w:val="25"/>
        </w:rPr>
        <w:t>it may overstate the utility’s revenue deficiency</w:t>
      </w:r>
      <w:r w:rsidR="004562C1" w:rsidRPr="00E26381">
        <w:rPr>
          <w:sz w:val="25"/>
          <w:szCs w:val="25"/>
        </w:rPr>
        <w:t xml:space="preserve">. </w:t>
      </w:r>
      <w:r w:rsidR="0048671C" w:rsidRPr="00E26381">
        <w:rPr>
          <w:sz w:val="25"/>
          <w:szCs w:val="25"/>
        </w:rPr>
        <w:t xml:space="preserve"> </w:t>
      </w:r>
    </w:p>
    <w:p w14:paraId="79A34543" w14:textId="77777777" w:rsidR="00D11CB1" w:rsidRPr="00E26381" w:rsidRDefault="00BE26B2" w:rsidP="00E26381">
      <w:pPr>
        <w:spacing w:line="360" w:lineRule="auto"/>
        <w:ind w:firstLine="360"/>
        <w:rPr>
          <w:sz w:val="25"/>
          <w:szCs w:val="25"/>
        </w:rPr>
      </w:pPr>
      <w:r w:rsidRPr="00E26381">
        <w:rPr>
          <w:b/>
          <w:sz w:val="25"/>
          <w:szCs w:val="25"/>
        </w:rPr>
        <w:t>Attrition Allowance</w:t>
      </w:r>
    </w:p>
    <w:p w14:paraId="07A518EC" w14:textId="77777777" w:rsidR="00BE26B2" w:rsidRPr="00E26381" w:rsidRDefault="00BE26B2" w:rsidP="00E26381">
      <w:pPr>
        <w:spacing w:line="360" w:lineRule="auto"/>
        <w:ind w:firstLine="360"/>
        <w:rPr>
          <w:sz w:val="25"/>
          <w:szCs w:val="25"/>
        </w:rPr>
      </w:pPr>
      <w:r w:rsidRPr="00E26381">
        <w:rPr>
          <w:sz w:val="25"/>
          <w:szCs w:val="25"/>
        </w:rPr>
        <w:t xml:space="preserve">With regards to providing a utility with an attrition allowance, </w:t>
      </w:r>
      <w:r w:rsidR="00E936B6" w:rsidRPr="00E26381">
        <w:rPr>
          <w:sz w:val="25"/>
          <w:szCs w:val="25"/>
        </w:rPr>
        <w:t xml:space="preserve">such an allowance historically has been accepted by the Commission, though </w:t>
      </w:r>
      <w:r w:rsidR="00093B0C">
        <w:rPr>
          <w:sz w:val="25"/>
          <w:szCs w:val="25"/>
        </w:rPr>
        <w:t>the</w:t>
      </w:r>
      <w:r w:rsidR="00E936B6" w:rsidRPr="00E26381">
        <w:rPr>
          <w:sz w:val="25"/>
          <w:szCs w:val="25"/>
        </w:rPr>
        <w:t xml:space="preserve"> Commission orders </w:t>
      </w:r>
      <w:r w:rsidR="00093B0C">
        <w:rPr>
          <w:sz w:val="25"/>
          <w:szCs w:val="25"/>
        </w:rPr>
        <w:t xml:space="preserve">accepting </w:t>
      </w:r>
      <w:r w:rsidR="00E936B6" w:rsidRPr="00E26381">
        <w:rPr>
          <w:sz w:val="25"/>
          <w:szCs w:val="25"/>
        </w:rPr>
        <w:t xml:space="preserve">attrition allowances seem to be confined to the period 1981-1986. </w:t>
      </w:r>
      <w:r w:rsidR="00511C69" w:rsidRPr="00E26381">
        <w:rPr>
          <w:sz w:val="25"/>
          <w:szCs w:val="25"/>
        </w:rPr>
        <w:t>Th</w:t>
      </w:r>
      <w:r w:rsidR="00345936" w:rsidRPr="00E26381">
        <w:rPr>
          <w:sz w:val="25"/>
          <w:szCs w:val="25"/>
        </w:rPr>
        <w:t>e circumstances necessitating</w:t>
      </w:r>
      <w:r w:rsidR="00511C69" w:rsidRPr="00E26381">
        <w:rPr>
          <w:sz w:val="25"/>
          <w:szCs w:val="25"/>
        </w:rPr>
        <w:t xml:space="preserve"> “attrition allowance</w:t>
      </w:r>
      <w:r w:rsidR="00345936" w:rsidRPr="00E26381">
        <w:rPr>
          <w:sz w:val="25"/>
          <w:szCs w:val="25"/>
        </w:rPr>
        <w:t>s</w:t>
      </w:r>
      <w:r w:rsidR="00511C69" w:rsidRPr="00E26381">
        <w:rPr>
          <w:sz w:val="25"/>
          <w:szCs w:val="25"/>
        </w:rPr>
        <w:t xml:space="preserve">” </w:t>
      </w:r>
      <w:r w:rsidR="00345936" w:rsidRPr="00E26381">
        <w:rPr>
          <w:sz w:val="25"/>
          <w:szCs w:val="25"/>
        </w:rPr>
        <w:t>during this period</w:t>
      </w:r>
      <w:r w:rsidR="00AF514F">
        <w:rPr>
          <w:sz w:val="25"/>
          <w:szCs w:val="25"/>
        </w:rPr>
        <w:t xml:space="preserve"> </w:t>
      </w:r>
      <w:r w:rsidR="00511C69" w:rsidRPr="00AF514F">
        <w:rPr>
          <w:sz w:val="25"/>
          <w:szCs w:val="25"/>
        </w:rPr>
        <w:t>are d</w:t>
      </w:r>
      <w:r w:rsidR="009D602C" w:rsidRPr="00AF514F">
        <w:rPr>
          <w:sz w:val="25"/>
          <w:szCs w:val="25"/>
        </w:rPr>
        <w:t>iscussed in response to Question 5, below</w:t>
      </w:r>
      <w:r w:rsidR="00511C69" w:rsidRPr="00AF514F">
        <w:rPr>
          <w:sz w:val="25"/>
          <w:szCs w:val="25"/>
        </w:rPr>
        <w:t>.</w:t>
      </w:r>
      <w:r w:rsidR="00511C69" w:rsidRPr="00E26381">
        <w:rPr>
          <w:sz w:val="25"/>
          <w:szCs w:val="25"/>
        </w:rPr>
        <w:t xml:space="preserve"> </w:t>
      </w:r>
    </w:p>
    <w:p w14:paraId="63B9D9B1" w14:textId="77777777" w:rsidR="00E52DE6" w:rsidRPr="00E26381" w:rsidRDefault="00ED4D28" w:rsidP="00E26381">
      <w:pPr>
        <w:tabs>
          <w:tab w:val="left" w:pos="-1440"/>
        </w:tabs>
        <w:spacing w:before="0" w:after="0" w:line="360" w:lineRule="auto"/>
        <w:ind w:firstLine="360"/>
        <w:rPr>
          <w:sz w:val="25"/>
          <w:szCs w:val="25"/>
        </w:rPr>
      </w:pPr>
      <w:r w:rsidRPr="00E26381">
        <w:rPr>
          <w:sz w:val="25"/>
          <w:szCs w:val="25"/>
        </w:rPr>
        <w:t>Although attrition allowances have not been formally authori</w:t>
      </w:r>
      <w:r w:rsidR="00EC72A4" w:rsidRPr="00E26381">
        <w:rPr>
          <w:sz w:val="25"/>
          <w:szCs w:val="25"/>
        </w:rPr>
        <w:t>zed by the</w:t>
      </w:r>
      <w:r w:rsidRPr="00E26381">
        <w:rPr>
          <w:sz w:val="25"/>
          <w:szCs w:val="25"/>
        </w:rPr>
        <w:t xml:space="preserve"> Commission</w:t>
      </w:r>
      <w:r w:rsidR="0030559E" w:rsidRPr="00E26381">
        <w:rPr>
          <w:sz w:val="25"/>
          <w:szCs w:val="25"/>
        </w:rPr>
        <w:t xml:space="preserve"> </w:t>
      </w:r>
      <w:r w:rsidR="00EC72A4" w:rsidRPr="00E26381">
        <w:rPr>
          <w:sz w:val="25"/>
          <w:szCs w:val="25"/>
        </w:rPr>
        <w:t>since 1986</w:t>
      </w:r>
      <w:r w:rsidR="00A71879" w:rsidRPr="00E26381">
        <w:rPr>
          <w:sz w:val="25"/>
          <w:szCs w:val="25"/>
        </w:rPr>
        <w:t>, Staff interprets three</w:t>
      </w:r>
      <w:r w:rsidRPr="00E26381">
        <w:rPr>
          <w:sz w:val="25"/>
          <w:szCs w:val="25"/>
        </w:rPr>
        <w:t xml:space="preserve"> </w:t>
      </w:r>
      <w:r w:rsidR="00EC72A4" w:rsidRPr="00E26381">
        <w:rPr>
          <w:sz w:val="25"/>
          <w:szCs w:val="25"/>
        </w:rPr>
        <w:t xml:space="preserve">recent </w:t>
      </w:r>
      <w:r w:rsidR="00C43B42" w:rsidRPr="00E26381">
        <w:rPr>
          <w:sz w:val="25"/>
          <w:szCs w:val="25"/>
        </w:rPr>
        <w:t>Commission statements to mean this Commission</w:t>
      </w:r>
      <w:r w:rsidRPr="00E26381">
        <w:rPr>
          <w:sz w:val="25"/>
          <w:szCs w:val="25"/>
        </w:rPr>
        <w:t xml:space="preserve"> is open to accepting such allowances. </w:t>
      </w:r>
      <w:r w:rsidR="00E52DE6" w:rsidRPr="00E26381">
        <w:rPr>
          <w:sz w:val="25"/>
          <w:szCs w:val="25"/>
        </w:rPr>
        <w:t>In its recent policy statement on decoupling, the Commission stated that it would consider an attrition adjustment in the ratemaking process to address earnings attrition:</w:t>
      </w:r>
      <w:r w:rsidR="00E52DE6" w:rsidRPr="00E26381">
        <w:rPr>
          <w:sz w:val="25"/>
          <w:szCs w:val="25"/>
        </w:rPr>
        <w:tab/>
      </w:r>
    </w:p>
    <w:p w14:paraId="6BE151D6" w14:textId="77777777" w:rsidR="00CD5D13" w:rsidRDefault="00E52DE6" w:rsidP="00995E6B">
      <w:pPr>
        <w:tabs>
          <w:tab w:val="left" w:pos="-1440"/>
        </w:tabs>
        <w:spacing w:before="0" w:after="0" w:line="360" w:lineRule="auto"/>
        <w:ind w:left="1440" w:hanging="720"/>
        <w:rPr>
          <w:sz w:val="25"/>
          <w:szCs w:val="25"/>
        </w:rPr>
      </w:pPr>
      <w:r w:rsidRPr="00E26381">
        <w:rPr>
          <w:sz w:val="25"/>
          <w:szCs w:val="25"/>
        </w:rPr>
        <w:tab/>
      </w:r>
      <w:r w:rsidR="00E954B0">
        <w:rPr>
          <w:sz w:val="25"/>
          <w:szCs w:val="25"/>
        </w:rPr>
        <w:t>“</w:t>
      </w:r>
      <w:r w:rsidRPr="00E26381">
        <w:rPr>
          <w:sz w:val="25"/>
          <w:szCs w:val="25"/>
        </w:rPr>
        <w:t>The guidance provided in this policy statement does not imply that the Commission would not consider other mechanisms in the context of a general rate case, including an appropriate attrition adjustment designed to protect the company from lost margin to any reason.</w:t>
      </w:r>
      <w:r w:rsidR="00E954B0">
        <w:rPr>
          <w:sz w:val="25"/>
          <w:szCs w:val="25"/>
        </w:rPr>
        <w:t>”</w:t>
      </w:r>
      <w:r w:rsidR="00CD5D13">
        <w:rPr>
          <w:sz w:val="25"/>
          <w:szCs w:val="25"/>
        </w:rPr>
        <w:t xml:space="preserve"> </w:t>
      </w:r>
      <w:r w:rsidRPr="00E26381">
        <w:rPr>
          <w:sz w:val="25"/>
          <w:szCs w:val="25"/>
          <w:vertAlign w:val="superscript"/>
        </w:rPr>
        <w:footnoteReference w:id="3"/>
      </w:r>
      <w:r w:rsidRPr="00E26381">
        <w:rPr>
          <w:sz w:val="25"/>
          <w:szCs w:val="25"/>
          <w:vertAlign w:val="superscript"/>
        </w:rPr>
        <w:t xml:space="preserve"> </w:t>
      </w:r>
    </w:p>
    <w:p w14:paraId="3E0D6638" w14:textId="77777777" w:rsidR="00E2647E" w:rsidRPr="00E26381" w:rsidRDefault="00962996" w:rsidP="00E26381">
      <w:pPr>
        <w:tabs>
          <w:tab w:val="left" w:pos="-1440"/>
        </w:tabs>
        <w:spacing w:before="0" w:after="0" w:line="360" w:lineRule="auto"/>
        <w:ind w:firstLine="360"/>
        <w:rPr>
          <w:sz w:val="25"/>
          <w:szCs w:val="25"/>
        </w:rPr>
      </w:pPr>
      <w:r w:rsidRPr="00E26381">
        <w:rPr>
          <w:sz w:val="25"/>
          <w:szCs w:val="25"/>
        </w:rPr>
        <w:t>In Puget Sound Energy’s 2011 general r</w:t>
      </w:r>
      <w:r w:rsidR="00A71879" w:rsidRPr="00E26381">
        <w:rPr>
          <w:sz w:val="25"/>
          <w:szCs w:val="25"/>
        </w:rPr>
        <w:t>ate case, the Commission stated it was open to considering</w:t>
      </w:r>
      <w:r w:rsidR="002244AC">
        <w:rPr>
          <w:sz w:val="25"/>
          <w:szCs w:val="25"/>
        </w:rPr>
        <w:t>:</w:t>
      </w:r>
      <w:r w:rsidR="00A71879" w:rsidRPr="00E26381">
        <w:rPr>
          <w:sz w:val="25"/>
          <w:szCs w:val="25"/>
        </w:rPr>
        <w:t xml:space="preserve"> </w:t>
      </w:r>
    </w:p>
    <w:p w14:paraId="23174657" w14:textId="77777777" w:rsidR="00962996" w:rsidRPr="00E26381" w:rsidRDefault="00E954B0" w:rsidP="00995E6B">
      <w:pPr>
        <w:tabs>
          <w:tab w:val="left" w:pos="-1440"/>
        </w:tabs>
        <w:spacing w:before="0" w:after="0" w:line="360" w:lineRule="auto"/>
        <w:ind w:left="1440"/>
        <w:rPr>
          <w:sz w:val="25"/>
          <w:szCs w:val="25"/>
        </w:rPr>
      </w:pPr>
      <w:r>
        <w:rPr>
          <w:sz w:val="25"/>
          <w:szCs w:val="25"/>
        </w:rPr>
        <w:t>“</w:t>
      </w:r>
      <w:r w:rsidR="00E2647E" w:rsidRPr="00E26381">
        <w:rPr>
          <w:sz w:val="25"/>
          <w:szCs w:val="25"/>
        </w:rPr>
        <w:t>C</w:t>
      </w:r>
      <w:r w:rsidR="00A71879" w:rsidRPr="00E26381">
        <w:rPr>
          <w:sz w:val="25"/>
          <w:szCs w:val="25"/>
        </w:rPr>
        <w:t>omprehensive expense adjustments based on an overall measurement of the projected shortfall of earnings in the rate year (e.g., attrition allowance base</w:t>
      </w:r>
      <w:r w:rsidR="002244AC">
        <w:rPr>
          <w:sz w:val="25"/>
          <w:szCs w:val="25"/>
        </w:rPr>
        <w:t>d</w:t>
      </w:r>
      <w:r w:rsidR="00A71879" w:rsidRPr="00E26381">
        <w:rPr>
          <w:sz w:val="25"/>
          <w:szCs w:val="25"/>
        </w:rPr>
        <w:t xml:space="preserve"> on an attrition study).</w:t>
      </w:r>
      <w:r>
        <w:rPr>
          <w:sz w:val="25"/>
          <w:szCs w:val="25"/>
        </w:rPr>
        <w:t>”</w:t>
      </w:r>
      <w:r w:rsidR="00962996" w:rsidRPr="00E26381">
        <w:rPr>
          <w:rStyle w:val="FootnoteReference"/>
          <w:rFonts w:eastAsia="Calibri"/>
          <w:sz w:val="25"/>
          <w:szCs w:val="25"/>
        </w:rPr>
        <w:t xml:space="preserve"> </w:t>
      </w:r>
      <w:r w:rsidR="00962996" w:rsidRPr="00E26381">
        <w:rPr>
          <w:rStyle w:val="FootnoteReference"/>
          <w:rFonts w:eastAsia="Calibri"/>
          <w:sz w:val="25"/>
          <w:szCs w:val="25"/>
        </w:rPr>
        <w:footnoteReference w:id="4"/>
      </w:r>
    </w:p>
    <w:p w14:paraId="4EF242D5" w14:textId="77777777" w:rsidR="00E52DE6" w:rsidRPr="00E26381" w:rsidRDefault="00E2647E" w:rsidP="00E26381">
      <w:pPr>
        <w:tabs>
          <w:tab w:val="left" w:pos="-1440"/>
        </w:tabs>
        <w:spacing w:before="0" w:after="0" w:line="360" w:lineRule="auto"/>
        <w:ind w:firstLine="360"/>
        <w:rPr>
          <w:sz w:val="25"/>
          <w:szCs w:val="25"/>
        </w:rPr>
      </w:pPr>
      <w:r w:rsidRPr="00E26381">
        <w:rPr>
          <w:sz w:val="25"/>
          <w:szCs w:val="25"/>
        </w:rPr>
        <w:lastRenderedPageBreak/>
        <w:t>Most</w:t>
      </w:r>
      <w:r w:rsidR="00E52DE6" w:rsidRPr="00E26381">
        <w:rPr>
          <w:sz w:val="25"/>
          <w:szCs w:val="25"/>
        </w:rPr>
        <w:t xml:space="preserve"> recently, in approving the settlement agreement in Avista’s 2012 general rate case, the Commission stated:</w:t>
      </w:r>
    </w:p>
    <w:p w14:paraId="3EFACD4E" w14:textId="77777777" w:rsidR="00962996" w:rsidRPr="00E26381" w:rsidRDefault="00E954B0" w:rsidP="00995E6B">
      <w:pPr>
        <w:tabs>
          <w:tab w:val="left" w:pos="-1440"/>
        </w:tabs>
        <w:spacing w:before="0" w:after="0" w:line="360" w:lineRule="auto"/>
        <w:ind w:left="1440"/>
        <w:rPr>
          <w:sz w:val="25"/>
          <w:szCs w:val="25"/>
        </w:rPr>
      </w:pPr>
      <w:r>
        <w:rPr>
          <w:sz w:val="25"/>
          <w:szCs w:val="25"/>
        </w:rPr>
        <w:t>“</w:t>
      </w:r>
      <w:r w:rsidR="00E52DE6" w:rsidRPr="00E26381">
        <w:rPr>
          <w:sz w:val="25"/>
          <w:szCs w:val="25"/>
        </w:rPr>
        <w:t>The Commission finds, on the basis of the evidence presented, that consideration of attrition in setting rates for 2013 is appropriate.</w:t>
      </w:r>
      <w:r>
        <w:rPr>
          <w:sz w:val="25"/>
          <w:szCs w:val="25"/>
        </w:rPr>
        <w:t>”</w:t>
      </w:r>
      <w:r w:rsidR="00CD5D13">
        <w:rPr>
          <w:sz w:val="25"/>
          <w:szCs w:val="25"/>
        </w:rPr>
        <w:t xml:space="preserve"> </w:t>
      </w:r>
      <w:r w:rsidR="00E52DE6" w:rsidRPr="00E26381">
        <w:rPr>
          <w:sz w:val="25"/>
          <w:szCs w:val="25"/>
          <w:vertAlign w:val="superscript"/>
        </w:rPr>
        <w:footnoteReference w:id="5"/>
      </w:r>
      <w:r w:rsidR="00E52DE6" w:rsidRPr="00E26381">
        <w:rPr>
          <w:sz w:val="25"/>
          <w:szCs w:val="25"/>
        </w:rPr>
        <w:t xml:space="preserve">  </w:t>
      </w:r>
    </w:p>
    <w:p w14:paraId="36A300B4" w14:textId="77777777" w:rsidR="00071A70" w:rsidRPr="00E26381" w:rsidRDefault="00E26CB7" w:rsidP="00237DFA">
      <w:pPr>
        <w:spacing w:before="0" w:line="360" w:lineRule="auto"/>
        <w:ind w:firstLine="360"/>
        <w:rPr>
          <w:sz w:val="25"/>
          <w:szCs w:val="25"/>
        </w:rPr>
      </w:pPr>
      <w:r w:rsidRPr="00E26381">
        <w:rPr>
          <w:sz w:val="25"/>
          <w:szCs w:val="25"/>
        </w:rPr>
        <w:t xml:space="preserve">The primary benefit of providing a utility with an attrition allowance, particularly as compared </w:t>
      </w:r>
      <w:r w:rsidR="00F104DB">
        <w:rPr>
          <w:sz w:val="25"/>
          <w:szCs w:val="25"/>
        </w:rPr>
        <w:t>to allowing pro forma plant, is</w:t>
      </w:r>
      <w:r w:rsidR="00AB5759" w:rsidRPr="00E26381">
        <w:rPr>
          <w:sz w:val="25"/>
          <w:szCs w:val="25"/>
        </w:rPr>
        <w:t xml:space="preserve"> </w:t>
      </w:r>
      <w:r w:rsidR="002C084A" w:rsidRPr="00E26381">
        <w:rPr>
          <w:sz w:val="25"/>
          <w:szCs w:val="25"/>
        </w:rPr>
        <w:t xml:space="preserve">with an attrition allowance </w:t>
      </w:r>
      <w:r w:rsidR="00AB5759" w:rsidRPr="00E26381">
        <w:rPr>
          <w:sz w:val="25"/>
          <w:szCs w:val="25"/>
        </w:rPr>
        <w:t>the</w:t>
      </w:r>
      <w:r w:rsidR="003C3A11">
        <w:rPr>
          <w:sz w:val="25"/>
          <w:szCs w:val="25"/>
        </w:rPr>
        <w:t xml:space="preserve"> underlying analysis is an effort to </w:t>
      </w:r>
      <w:r w:rsidR="004E075E">
        <w:rPr>
          <w:sz w:val="25"/>
          <w:szCs w:val="25"/>
        </w:rPr>
        <w:t>assess prospective maintenance of</w:t>
      </w:r>
      <w:r w:rsidR="003C3A11">
        <w:rPr>
          <w:sz w:val="25"/>
          <w:szCs w:val="25"/>
        </w:rPr>
        <w:t xml:space="preserve"> the</w:t>
      </w:r>
      <w:r w:rsidR="00AB5759" w:rsidRPr="00E26381">
        <w:rPr>
          <w:sz w:val="25"/>
          <w:szCs w:val="25"/>
        </w:rPr>
        <w:t xml:space="preserve"> matching principle</w:t>
      </w:r>
      <w:r w:rsidR="004E075E">
        <w:rPr>
          <w:sz w:val="25"/>
          <w:szCs w:val="25"/>
        </w:rPr>
        <w:t xml:space="preserve">, and the </w:t>
      </w:r>
      <w:r w:rsidR="00CB03A1">
        <w:rPr>
          <w:sz w:val="25"/>
          <w:szCs w:val="25"/>
        </w:rPr>
        <w:t xml:space="preserve">allowance </w:t>
      </w:r>
      <w:r w:rsidR="001E2256">
        <w:rPr>
          <w:sz w:val="25"/>
          <w:szCs w:val="25"/>
        </w:rPr>
        <w:t>itself is calculated in</w:t>
      </w:r>
      <w:r w:rsidR="00CB03A1">
        <w:rPr>
          <w:sz w:val="25"/>
          <w:szCs w:val="25"/>
        </w:rPr>
        <w:t xml:space="preserve"> an attempt to maintain the matching principle for the rate year</w:t>
      </w:r>
      <w:r w:rsidR="00AB5759" w:rsidRPr="00E26381">
        <w:rPr>
          <w:sz w:val="25"/>
          <w:szCs w:val="25"/>
        </w:rPr>
        <w:t xml:space="preserve">. </w:t>
      </w:r>
      <w:r w:rsidR="003C3A11">
        <w:rPr>
          <w:sz w:val="25"/>
          <w:szCs w:val="25"/>
        </w:rPr>
        <w:t xml:space="preserve">The </w:t>
      </w:r>
      <w:r w:rsidR="00041909" w:rsidRPr="00E26381">
        <w:rPr>
          <w:sz w:val="25"/>
          <w:szCs w:val="25"/>
        </w:rPr>
        <w:t>anal</w:t>
      </w:r>
      <w:r w:rsidR="00E954B0">
        <w:rPr>
          <w:sz w:val="25"/>
          <w:szCs w:val="25"/>
        </w:rPr>
        <w:t>ysis of historical trends in revenue, expense and rate base growth</w:t>
      </w:r>
      <w:r w:rsidR="00CD5D13">
        <w:rPr>
          <w:sz w:val="25"/>
          <w:szCs w:val="25"/>
        </w:rPr>
        <w:t xml:space="preserve"> enables</w:t>
      </w:r>
      <w:r w:rsidR="00041909" w:rsidRPr="00E26381">
        <w:rPr>
          <w:sz w:val="25"/>
          <w:szCs w:val="25"/>
        </w:rPr>
        <w:t xml:space="preserve"> </w:t>
      </w:r>
      <w:r w:rsidR="003C3A11">
        <w:rPr>
          <w:sz w:val="25"/>
          <w:szCs w:val="25"/>
        </w:rPr>
        <w:t xml:space="preserve">the Commission to </w:t>
      </w:r>
      <w:r w:rsidR="00041909" w:rsidRPr="00E26381">
        <w:rPr>
          <w:sz w:val="25"/>
          <w:szCs w:val="25"/>
        </w:rPr>
        <w:t>asses</w:t>
      </w:r>
      <w:r w:rsidR="003C3A11">
        <w:rPr>
          <w:sz w:val="25"/>
          <w:szCs w:val="25"/>
        </w:rPr>
        <w:t>s</w:t>
      </w:r>
      <w:r w:rsidR="00CD5D13">
        <w:rPr>
          <w:sz w:val="25"/>
          <w:szCs w:val="25"/>
        </w:rPr>
        <w:t xml:space="preserve"> </w:t>
      </w:r>
      <w:r w:rsidR="00041909" w:rsidRPr="00E26381">
        <w:rPr>
          <w:sz w:val="25"/>
          <w:szCs w:val="25"/>
        </w:rPr>
        <w:t xml:space="preserve">the likelihood that </w:t>
      </w:r>
      <w:r w:rsidR="00677DAF" w:rsidRPr="00E26381">
        <w:rPr>
          <w:sz w:val="25"/>
          <w:szCs w:val="25"/>
        </w:rPr>
        <w:t xml:space="preserve">the relationship of </w:t>
      </w:r>
      <w:r w:rsidR="00E954B0">
        <w:rPr>
          <w:sz w:val="25"/>
          <w:szCs w:val="25"/>
        </w:rPr>
        <w:t>these general categories</w:t>
      </w:r>
      <w:r w:rsidR="00677DAF" w:rsidRPr="00E26381">
        <w:rPr>
          <w:sz w:val="25"/>
          <w:szCs w:val="25"/>
        </w:rPr>
        <w:t xml:space="preserve"> in the rate year w</w:t>
      </w:r>
      <w:r w:rsidR="00CD5D13">
        <w:rPr>
          <w:sz w:val="25"/>
          <w:szCs w:val="25"/>
        </w:rPr>
        <w:t>ill be materially different from</w:t>
      </w:r>
      <w:r w:rsidR="00677DAF" w:rsidRPr="00E26381">
        <w:rPr>
          <w:sz w:val="25"/>
          <w:szCs w:val="25"/>
        </w:rPr>
        <w:t xml:space="preserve"> that of the test year. If a material difference is expected, </w:t>
      </w:r>
      <w:r w:rsidR="00237DFA">
        <w:rPr>
          <w:sz w:val="25"/>
          <w:szCs w:val="25"/>
        </w:rPr>
        <w:t>the Commission may choose to address the resulting attrition through the ratemaking mechanisms at its disposal. One such mechanism is an attrition allowance. T</w:t>
      </w:r>
      <w:r w:rsidR="00677DAF" w:rsidRPr="00E26381">
        <w:rPr>
          <w:sz w:val="25"/>
          <w:szCs w:val="25"/>
        </w:rPr>
        <w:t xml:space="preserve">he </w:t>
      </w:r>
      <w:r w:rsidR="00237DFA">
        <w:rPr>
          <w:sz w:val="25"/>
          <w:szCs w:val="25"/>
        </w:rPr>
        <w:t xml:space="preserve">analysis of </w:t>
      </w:r>
      <w:r w:rsidR="00677DAF" w:rsidRPr="00E26381">
        <w:rPr>
          <w:sz w:val="25"/>
          <w:szCs w:val="25"/>
        </w:rPr>
        <w:t xml:space="preserve">historical rates of growth in revenues, expenses and rate base can be used to </w:t>
      </w:r>
      <w:r w:rsidR="00887CA7" w:rsidRPr="00E26381">
        <w:rPr>
          <w:sz w:val="25"/>
          <w:szCs w:val="25"/>
        </w:rPr>
        <w:t>derive an approximate</w:t>
      </w:r>
      <w:r w:rsidR="00805A96" w:rsidRPr="00E26381">
        <w:rPr>
          <w:sz w:val="25"/>
          <w:szCs w:val="25"/>
        </w:rPr>
        <w:t xml:space="preserve"> net operating income shor</w:t>
      </w:r>
      <w:r w:rsidR="00887CA7" w:rsidRPr="00E26381">
        <w:rPr>
          <w:sz w:val="25"/>
          <w:szCs w:val="25"/>
        </w:rPr>
        <w:t xml:space="preserve">tfall </w:t>
      </w:r>
      <w:r w:rsidR="000B2F82" w:rsidRPr="00E26381">
        <w:rPr>
          <w:sz w:val="25"/>
          <w:szCs w:val="25"/>
        </w:rPr>
        <w:t xml:space="preserve">for the rate year </w:t>
      </w:r>
      <w:r w:rsidR="00887CA7" w:rsidRPr="00E26381">
        <w:rPr>
          <w:sz w:val="25"/>
          <w:szCs w:val="25"/>
        </w:rPr>
        <w:t>which, in turn, can be used to calculate a reasonable attri</w:t>
      </w:r>
      <w:r w:rsidR="000B2F82" w:rsidRPr="00E26381">
        <w:rPr>
          <w:sz w:val="25"/>
          <w:szCs w:val="25"/>
        </w:rPr>
        <w:t>tion allowance</w:t>
      </w:r>
      <w:r w:rsidR="00887CA7" w:rsidRPr="00E26381">
        <w:rPr>
          <w:sz w:val="25"/>
          <w:szCs w:val="25"/>
        </w:rPr>
        <w:t xml:space="preserve">. </w:t>
      </w:r>
    </w:p>
    <w:p w14:paraId="265ECB4A" w14:textId="77777777" w:rsidR="00ED4D28" w:rsidRPr="00E26381" w:rsidRDefault="002C084A" w:rsidP="00DD039A">
      <w:pPr>
        <w:spacing w:before="0" w:line="360" w:lineRule="auto"/>
        <w:ind w:firstLine="360"/>
        <w:rPr>
          <w:sz w:val="25"/>
          <w:szCs w:val="25"/>
        </w:rPr>
      </w:pPr>
      <w:r w:rsidRPr="00E26381">
        <w:rPr>
          <w:sz w:val="25"/>
          <w:szCs w:val="25"/>
        </w:rPr>
        <w:t>An attrition analysis is also a much simpler analysis</w:t>
      </w:r>
      <w:r w:rsidR="003F1775">
        <w:rPr>
          <w:sz w:val="25"/>
          <w:szCs w:val="25"/>
        </w:rPr>
        <w:t xml:space="preserve"> to perform. Whereas pro forma plant adjustments may require evaluation of hundreds of individual adjustments as well as offsets t</w:t>
      </w:r>
      <w:r w:rsidR="00AC1CA7">
        <w:rPr>
          <w:sz w:val="25"/>
          <w:szCs w:val="25"/>
        </w:rPr>
        <w:t>o those adjustm</w:t>
      </w:r>
      <w:r w:rsidR="00DD039A">
        <w:rPr>
          <w:sz w:val="25"/>
          <w:szCs w:val="25"/>
        </w:rPr>
        <w:t>ents, an attrition analysis</w:t>
      </w:r>
      <w:r w:rsidR="00AC1CA7">
        <w:rPr>
          <w:sz w:val="25"/>
          <w:szCs w:val="25"/>
        </w:rPr>
        <w:t xml:space="preserve"> requires</w:t>
      </w:r>
      <w:r w:rsidR="00DD039A">
        <w:rPr>
          <w:sz w:val="25"/>
          <w:szCs w:val="25"/>
        </w:rPr>
        <w:t xml:space="preserve"> evaluation of only historical rates of growth in revenues, expenses and rate base. </w:t>
      </w:r>
      <w:r w:rsidR="00AC1CA7">
        <w:rPr>
          <w:sz w:val="25"/>
          <w:szCs w:val="25"/>
        </w:rPr>
        <w:t xml:space="preserve"> </w:t>
      </w:r>
      <w:r w:rsidR="00DD039A">
        <w:rPr>
          <w:sz w:val="25"/>
          <w:szCs w:val="25"/>
        </w:rPr>
        <w:t>The</w:t>
      </w:r>
      <w:r w:rsidR="006A57D6" w:rsidRPr="00E26381">
        <w:rPr>
          <w:sz w:val="25"/>
          <w:szCs w:val="25"/>
        </w:rPr>
        <w:t xml:space="preserve"> </w:t>
      </w:r>
      <w:r w:rsidR="00D057E8">
        <w:rPr>
          <w:sz w:val="25"/>
          <w:szCs w:val="25"/>
        </w:rPr>
        <w:t xml:space="preserve">historical </w:t>
      </w:r>
      <w:r w:rsidR="006A57D6" w:rsidRPr="00E26381">
        <w:rPr>
          <w:sz w:val="25"/>
          <w:szCs w:val="25"/>
        </w:rPr>
        <w:t>data is readily available at the time a company files a rate case</w:t>
      </w:r>
      <w:r w:rsidR="00B3432C" w:rsidRPr="00E26381">
        <w:rPr>
          <w:sz w:val="25"/>
          <w:szCs w:val="25"/>
        </w:rPr>
        <w:t xml:space="preserve">. </w:t>
      </w:r>
      <w:r w:rsidR="00155FB1">
        <w:rPr>
          <w:sz w:val="25"/>
          <w:szCs w:val="25"/>
        </w:rPr>
        <w:t>Importantly, an attrition analysis</w:t>
      </w:r>
      <w:r w:rsidR="009C2FFE" w:rsidRPr="00E26381">
        <w:rPr>
          <w:sz w:val="25"/>
          <w:szCs w:val="25"/>
        </w:rPr>
        <w:t xml:space="preserve"> </w:t>
      </w:r>
      <w:r w:rsidR="00A13B94" w:rsidRPr="00E26381">
        <w:rPr>
          <w:sz w:val="25"/>
          <w:szCs w:val="25"/>
        </w:rPr>
        <w:t xml:space="preserve">does not </w:t>
      </w:r>
      <w:r w:rsidR="00187FFB">
        <w:rPr>
          <w:sz w:val="25"/>
          <w:szCs w:val="25"/>
        </w:rPr>
        <w:t xml:space="preserve">need to be </w:t>
      </w:r>
      <w:r w:rsidR="00A13B94" w:rsidRPr="00E26381">
        <w:rPr>
          <w:sz w:val="25"/>
          <w:szCs w:val="25"/>
        </w:rPr>
        <w:t>depend</w:t>
      </w:r>
      <w:r w:rsidR="00187FFB">
        <w:rPr>
          <w:sz w:val="25"/>
          <w:szCs w:val="25"/>
        </w:rPr>
        <w:t>ent</w:t>
      </w:r>
      <w:r w:rsidR="00A13B94" w:rsidRPr="00E26381">
        <w:rPr>
          <w:sz w:val="25"/>
          <w:szCs w:val="25"/>
        </w:rPr>
        <w:t xml:space="preserve"> on </w:t>
      </w:r>
      <w:r w:rsidR="00D057E8">
        <w:rPr>
          <w:sz w:val="25"/>
          <w:szCs w:val="25"/>
        </w:rPr>
        <w:t>estimates</w:t>
      </w:r>
      <w:r w:rsidR="00D057E8" w:rsidRPr="00E26381">
        <w:rPr>
          <w:sz w:val="25"/>
          <w:szCs w:val="25"/>
        </w:rPr>
        <w:t xml:space="preserve"> </w:t>
      </w:r>
      <w:r w:rsidR="009C2FFE" w:rsidRPr="00E26381">
        <w:rPr>
          <w:sz w:val="25"/>
          <w:szCs w:val="25"/>
        </w:rPr>
        <w:t>of utility operations beyond the test year.</w:t>
      </w:r>
    </w:p>
    <w:p w14:paraId="1DA99DD1" w14:textId="77777777" w:rsidR="00C379CC" w:rsidRPr="00E26381" w:rsidRDefault="009C2FFE" w:rsidP="00E26381">
      <w:pPr>
        <w:spacing w:line="360" w:lineRule="auto"/>
        <w:rPr>
          <w:sz w:val="25"/>
          <w:szCs w:val="25"/>
        </w:rPr>
      </w:pPr>
      <w:r w:rsidRPr="00E26381">
        <w:rPr>
          <w:sz w:val="25"/>
          <w:szCs w:val="25"/>
        </w:rPr>
        <w:tab/>
        <w:t xml:space="preserve">The </w:t>
      </w:r>
      <w:r w:rsidR="00966F45" w:rsidRPr="00E26381">
        <w:rPr>
          <w:sz w:val="25"/>
          <w:szCs w:val="25"/>
        </w:rPr>
        <w:t>primary argument against the use</w:t>
      </w:r>
      <w:r w:rsidRPr="00E26381">
        <w:rPr>
          <w:sz w:val="25"/>
          <w:szCs w:val="25"/>
        </w:rPr>
        <w:t xml:space="preserve"> of an attrition allowance is</w:t>
      </w:r>
      <w:r w:rsidR="00966F45" w:rsidRPr="00E26381">
        <w:rPr>
          <w:sz w:val="25"/>
          <w:szCs w:val="25"/>
        </w:rPr>
        <w:t xml:space="preserve"> that the associated </w:t>
      </w:r>
      <w:r w:rsidR="00D057E8">
        <w:rPr>
          <w:sz w:val="25"/>
          <w:szCs w:val="25"/>
        </w:rPr>
        <w:t>changes to the test period relationships between revenue, expense and rate base</w:t>
      </w:r>
      <w:r w:rsidR="00DD039A">
        <w:rPr>
          <w:sz w:val="25"/>
          <w:szCs w:val="25"/>
        </w:rPr>
        <w:t xml:space="preserve"> are</w:t>
      </w:r>
      <w:r w:rsidR="00966F45" w:rsidRPr="00E26381">
        <w:rPr>
          <w:sz w:val="25"/>
          <w:szCs w:val="25"/>
        </w:rPr>
        <w:t xml:space="preserve"> not known and measurable</w:t>
      </w:r>
      <w:r w:rsidR="001543C9" w:rsidRPr="00E26381">
        <w:rPr>
          <w:sz w:val="25"/>
          <w:szCs w:val="25"/>
        </w:rPr>
        <w:t xml:space="preserve">. That is, </w:t>
      </w:r>
      <w:r w:rsidR="00864DEE" w:rsidRPr="00E26381">
        <w:rPr>
          <w:sz w:val="25"/>
          <w:szCs w:val="25"/>
        </w:rPr>
        <w:t xml:space="preserve">the revenue requirement for the rate year is based on an extrapolation of historical data. Therefore, </w:t>
      </w:r>
      <w:r w:rsidR="00B073E7" w:rsidRPr="00E26381">
        <w:rPr>
          <w:sz w:val="25"/>
          <w:szCs w:val="25"/>
        </w:rPr>
        <w:t xml:space="preserve">growth in revenues, expense and rate base cannot </w:t>
      </w:r>
      <w:r w:rsidR="00B073E7" w:rsidRPr="00E26381">
        <w:rPr>
          <w:sz w:val="25"/>
          <w:szCs w:val="25"/>
        </w:rPr>
        <w:lastRenderedPageBreak/>
        <w:t>be identified to specific utilit</w:t>
      </w:r>
      <w:r w:rsidR="00835491" w:rsidRPr="00E26381">
        <w:rPr>
          <w:sz w:val="25"/>
          <w:szCs w:val="25"/>
        </w:rPr>
        <w:t xml:space="preserve">y investments or </w:t>
      </w:r>
      <w:r w:rsidR="00D057E8">
        <w:rPr>
          <w:sz w:val="25"/>
          <w:szCs w:val="25"/>
        </w:rPr>
        <w:t xml:space="preserve">other </w:t>
      </w:r>
      <w:r w:rsidR="001235B8">
        <w:rPr>
          <w:sz w:val="25"/>
          <w:szCs w:val="25"/>
        </w:rPr>
        <w:t xml:space="preserve">observed </w:t>
      </w:r>
      <w:r w:rsidR="00835491" w:rsidRPr="00E26381">
        <w:rPr>
          <w:sz w:val="25"/>
          <w:szCs w:val="25"/>
        </w:rPr>
        <w:t>changes</w:t>
      </w:r>
      <w:r w:rsidR="00B073E7" w:rsidRPr="00E26381">
        <w:rPr>
          <w:sz w:val="25"/>
          <w:szCs w:val="25"/>
        </w:rPr>
        <w:t>.</w:t>
      </w:r>
      <w:r w:rsidR="00D057E8">
        <w:rPr>
          <w:sz w:val="25"/>
          <w:szCs w:val="25"/>
        </w:rPr>
        <w:t xml:space="preserve">  However, Staff believes the underlying attrition study is </w:t>
      </w:r>
      <w:r w:rsidR="00F77D12">
        <w:rPr>
          <w:sz w:val="25"/>
          <w:szCs w:val="25"/>
        </w:rPr>
        <w:t xml:space="preserve">an </w:t>
      </w:r>
      <w:r w:rsidR="00D057E8">
        <w:rPr>
          <w:sz w:val="25"/>
          <w:szCs w:val="25"/>
        </w:rPr>
        <w:t xml:space="preserve">acceptable </w:t>
      </w:r>
      <w:r w:rsidR="00F77D12">
        <w:rPr>
          <w:sz w:val="25"/>
          <w:szCs w:val="25"/>
        </w:rPr>
        <w:t xml:space="preserve">basis upon which to base rates </w:t>
      </w:r>
      <w:r w:rsidR="00D057E8">
        <w:rPr>
          <w:sz w:val="25"/>
          <w:szCs w:val="25"/>
        </w:rPr>
        <w:t xml:space="preserve">since historical data </w:t>
      </w:r>
      <w:r w:rsidR="00AD6458">
        <w:rPr>
          <w:sz w:val="25"/>
          <w:szCs w:val="25"/>
        </w:rPr>
        <w:t>provide</w:t>
      </w:r>
      <w:r w:rsidR="00D057E8">
        <w:rPr>
          <w:sz w:val="25"/>
          <w:szCs w:val="25"/>
        </w:rPr>
        <w:t xml:space="preserve"> evidence of how these fundamental ratemaking relationships </w:t>
      </w:r>
      <w:r w:rsidR="00CF5D43">
        <w:rPr>
          <w:sz w:val="25"/>
          <w:szCs w:val="25"/>
        </w:rPr>
        <w:t>are likely to</w:t>
      </w:r>
      <w:r w:rsidR="001235B8">
        <w:rPr>
          <w:sz w:val="25"/>
          <w:szCs w:val="25"/>
        </w:rPr>
        <w:t xml:space="preserve"> </w:t>
      </w:r>
      <w:r w:rsidR="00D057E8">
        <w:rPr>
          <w:sz w:val="25"/>
          <w:szCs w:val="25"/>
        </w:rPr>
        <w:t xml:space="preserve">behave over </w:t>
      </w:r>
      <w:r w:rsidR="001235B8">
        <w:rPr>
          <w:sz w:val="25"/>
          <w:szCs w:val="25"/>
        </w:rPr>
        <w:t xml:space="preserve">limited future </w:t>
      </w:r>
      <w:r w:rsidR="00D057E8">
        <w:rPr>
          <w:sz w:val="25"/>
          <w:szCs w:val="25"/>
        </w:rPr>
        <w:t>time</w:t>
      </w:r>
      <w:r w:rsidR="001235B8">
        <w:rPr>
          <w:sz w:val="25"/>
          <w:szCs w:val="25"/>
        </w:rPr>
        <w:t xml:space="preserve"> periods</w:t>
      </w:r>
      <w:r w:rsidR="00D057E8">
        <w:rPr>
          <w:sz w:val="25"/>
          <w:szCs w:val="25"/>
        </w:rPr>
        <w:t xml:space="preserve"> enabling the Commission to exercise its judgment with respect to determining rates consistent with statutory requirements.</w:t>
      </w:r>
    </w:p>
    <w:p w14:paraId="0F181CCB" w14:textId="77777777" w:rsidR="00AE2CFA" w:rsidRPr="00E26381" w:rsidRDefault="001A64BA" w:rsidP="00E26381">
      <w:pPr>
        <w:spacing w:line="360" w:lineRule="auto"/>
        <w:ind w:firstLine="360"/>
        <w:rPr>
          <w:b/>
          <w:sz w:val="25"/>
          <w:szCs w:val="25"/>
        </w:rPr>
      </w:pPr>
      <w:r>
        <w:rPr>
          <w:b/>
          <w:sz w:val="25"/>
          <w:szCs w:val="25"/>
        </w:rPr>
        <w:t>CWIP in Rate Base</w:t>
      </w:r>
    </w:p>
    <w:p w14:paraId="2B153E43" w14:textId="77777777" w:rsidR="00C873D5" w:rsidRDefault="00E43C19" w:rsidP="00DF441B">
      <w:pPr>
        <w:spacing w:line="360" w:lineRule="auto"/>
        <w:ind w:firstLine="360"/>
        <w:rPr>
          <w:sz w:val="25"/>
          <w:szCs w:val="25"/>
        </w:rPr>
      </w:pPr>
      <w:r>
        <w:rPr>
          <w:sz w:val="25"/>
          <w:szCs w:val="25"/>
        </w:rPr>
        <w:t xml:space="preserve">As shown in Section 5 below, </w:t>
      </w:r>
      <w:r w:rsidR="000379A1">
        <w:rPr>
          <w:sz w:val="25"/>
          <w:szCs w:val="25"/>
        </w:rPr>
        <w:t>prior to 1981 the Commission</w:t>
      </w:r>
      <w:r w:rsidR="005130AF">
        <w:rPr>
          <w:sz w:val="25"/>
          <w:szCs w:val="25"/>
        </w:rPr>
        <w:t xml:space="preserve"> allowed construction work in progress (CWIP) into rate base. </w:t>
      </w:r>
      <w:r>
        <w:rPr>
          <w:sz w:val="25"/>
          <w:szCs w:val="25"/>
        </w:rPr>
        <w:t>In 1981, the legality of including CWIP in rate base began</w:t>
      </w:r>
      <w:r w:rsidR="0060494B">
        <w:rPr>
          <w:sz w:val="25"/>
          <w:szCs w:val="25"/>
        </w:rPr>
        <w:t xml:space="preserve"> to be formally challenged</w:t>
      </w:r>
      <w:r>
        <w:rPr>
          <w:sz w:val="25"/>
          <w:szCs w:val="25"/>
        </w:rPr>
        <w:t xml:space="preserve"> and i</w:t>
      </w:r>
      <w:r w:rsidRPr="004810F7">
        <w:rPr>
          <w:sz w:val="25"/>
          <w:szCs w:val="25"/>
        </w:rPr>
        <w:t>n 1984</w:t>
      </w:r>
      <w:r>
        <w:rPr>
          <w:sz w:val="25"/>
          <w:szCs w:val="25"/>
        </w:rPr>
        <w:t xml:space="preserve"> consideration of CWIP balances in rate base was </w:t>
      </w:r>
      <w:r w:rsidR="001414C7">
        <w:rPr>
          <w:sz w:val="25"/>
          <w:szCs w:val="25"/>
        </w:rPr>
        <w:t>found unlawful</w:t>
      </w:r>
      <w:r>
        <w:rPr>
          <w:sz w:val="25"/>
          <w:szCs w:val="25"/>
        </w:rPr>
        <w:t xml:space="preserve"> by the Supreme Court of Washington State.</w:t>
      </w:r>
      <w:r>
        <w:rPr>
          <w:rStyle w:val="FootnoteReference"/>
          <w:sz w:val="25"/>
          <w:szCs w:val="25"/>
        </w:rPr>
        <w:footnoteReference w:id="6"/>
      </w:r>
      <w:r>
        <w:rPr>
          <w:sz w:val="25"/>
          <w:szCs w:val="25"/>
        </w:rPr>
        <w:t xml:space="preserve"> </w:t>
      </w:r>
      <w:r w:rsidR="001414C7">
        <w:rPr>
          <w:sz w:val="25"/>
          <w:szCs w:val="25"/>
        </w:rPr>
        <w:t xml:space="preserve">In 1991, the State Legislature </w:t>
      </w:r>
      <w:r w:rsidR="00EC324D">
        <w:rPr>
          <w:sz w:val="25"/>
          <w:szCs w:val="25"/>
        </w:rPr>
        <w:t xml:space="preserve">amended state law to enable inclusion of CWIP in rate base insofar as it is in the public interest. </w:t>
      </w:r>
      <w:r>
        <w:rPr>
          <w:rStyle w:val="FootnoteReference"/>
          <w:sz w:val="25"/>
          <w:szCs w:val="25"/>
        </w:rPr>
        <w:footnoteReference w:id="7"/>
      </w:r>
      <w:r w:rsidR="005130AF">
        <w:rPr>
          <w:sz w:val="25"/>
          <w:szCs w:val="25"/>
        </w:rPr>
        <w:t xml:space="preserve"> </w:t>
      </w:r>
      <w:r w:rsidR="00EC324D">
        <w:rPr>
          <w:sz w:val="25"/>
          <w:szCs w:val="25"/>
        </w:rPr>
        <w:t xml:space="preserve">However, </w:t>
      </w:r>
      <w:r w:rsidR="005130AF">
        <w:rPr>
          <w:sz w:val="25"/>
          <w:szCs w:val="25"/>
        </w:rPr>
        <w:t xml:space="preserve">Staff could not find an example of Commission approval, or even consideration, of CWIP in rate base subsequent to </w:t>
      </w:r>
      <w:r w:rsidR="00EC324D">
        <w:rPr>
          <w:sz w:val="25"/>
          <w:szCs w:val="25"/>
        </w:rPr>
        <w:t>1991</w:t>
      </w:r>
      <w:r w:rsidR="005130AF">
        <w:rPr>
          <w:sz w:val="25"/>
          <w:szCs w:val="25"/>
        </w:rPr>
        <w:t>.</w:t>
      </w:r>
    </w:p>
    <w:p w14:paraId="690251C0" w14:textId="77777777" w:rsidR="00095C23" w:rsidRDefault="00095C23" w:rsidP="00DF441B">
      <w:pPr>
        <w:spacing w:line="360" w:lineRule="auto"/>
        <w:ind w:firstLine="360"/>
        <w:rPr>
          <w:sz w:val="25"/>
          <w:szCs w:val="25"/>
        </w:rPr>
      </w:pPr>
      <w:r>
        <w:rPr>
          <w:sz w:val="25"/>
          <w:szCs w:val="25"/>
        </w:rPr>
        <w:t xml:space="preserve">Staff believes that allowing CWIP in rate base may be appropriate in very limited circumstances. For example, if a company </w:t>
      </w:r>
      <w:r w:rsidR="006141FE">
        <w:rPr>
          <w:sz w:val="25"/>
          <w:szCs w:val="25"/>
        </w:rPr>
        <w:t>were to invest in</w:t>
      </w:r>
      <w:r w:rsidR="00A047A6">
        <w:rPr>
          <w:sz w:val="25"/>
          <w:szCs w:val="25"/>
        </w:rPr>
        <w:t xml:space="preserve"> large capital project</w:t>
      </w:r>
      <w:r w:rsidR="006141FE">
        <w:rPr>
          <w:sz w:val="25"/>
          <w:szCs w:val="25"/>
        </w:rPr>
        <w:t>s</w:t>
      </w:r>
      <w:r w:rsidR="00A047A6">
        <w:rPr>
          <w:sz w:val="25"/>
          <w:szCs w:val="25"/>
        </w:rPr>
        <w:t xml:space="preserve"> with a very long lead time</w:t>
      </w:r>
      <w:r w:rsidR="006141FE">
        <w:rPr>
          <w:sz w:val="25"/>
          <w:szCs w:val="25"/>
        </w:rPr>
        <w:t>s</w:t>
      </w:r>
      <w:r w:rsidR="00AB3E41">
        <w:rPr>
          <w:sz w:val="25"/>
          <w:szCs w:val="25"/>
        </w:rPr>
        <w:t xml:space="preserve">, it may be practical to consider allowing recovery of that investment prior to the project being placed in service. </w:t>
      </w:r>
      <w:r w:rsidR="00604FA6">
        <w:rPr>
          <w:sz w:val="25"/>
          <w:szCs w:val="25"/>
        </w:rPr>
        <w:t xml:space="preserve">As the </w:t>
      </w:r>
      <w:r w:rsidR="00EC324D">
        <w:rPr>
          <w:sz w:val="25"/>
          <w:szCs w:val="25"/>
        </w:rPr>
        <w:t>Commission has observed, in that type of</w:t>
      </w:r>
      <w:r w:rsidR="00604FA6">
        <w:rPr>
          <w:sz w:val="25"/>
          <w:szCs w:val="25"/>
        </w:rPr>
        <w:t xml:space="preserve"> situation if some CWIP were not included in rate base a company could experience a deteriorating financial condition and may have difficulty raising capital for construction requirements. </w:t>
      </w:r>
      <w:r w:rsidR="006141FE">
        <w:rPr>
          <w:rStyle w:val="FootnoteReference"/>
          <w:sz w:val="25"/>
          <w:szCs w:val="25"/>
        </w:rPr>
        <w:footnoteReference w:id="8"/>
      </w:r>
    </w:p>
    <w:p w14:paraId="1907228C" w14:textId="77777777" w:rsidR="001A64BA" w:rsidRPr="00E26381" w:rsidRDefault="00404F95" w:rsidP="006D463C">
      <w:pPr>
        <w:spacing w:line="360" w:lineRule="auto"/>
        <w:ind w:firstLine="360"/>
        <w:rPr>
          <w:sz w:val="25"/>
          <w:szCs w:val="25"/>
        </w:rPr>
      </w:pPr>
      <w:r>
        <w:rPr>
          <w:sz w:val="25"/>
          <w:szCs w:val="25"/>
        </w:rPr>
        <w:t>However</w:t>
      </w:r>
      <w:r w:rsidR="00830279">
        <w:rPr>
          <w:sz w:val="25"/>
          <w:szCs w:val="25"/>
        </w:rPr>
        <w:t xml:space="preserve">, </w:t>
      </w:r>
      <w:r w:rsidR="001A64BA" w:rsidRPr="00E26381">
        <w:rPr>
          <w:sz w:val="25"/>
          <w:szCs w:val="25"/>
        </w:rPr>
        <w:t>S</w:t>
      </w:r>
      <w:r w:rsidR="001A64BA">
        <w:rPr>
          <w:sz w:val="25"/>
          <w:szCs w:val="25"/>
        </w:rPr>
        <w:t>taff believes that allowing</w:t>
      </w:r>
      <w:r w:rsidR="00830279">
        <w:rPr>
          <w:sz w:val="25"/>
          <w:szCs w:val="25"/>
        </w:rPr>
        <w:t xml:space="preserve"> CWIP</w:t>
      </w:r>
      <w:r w:rsidR="001A64BA">
        <w:rPr>
          <w:sz w:val="25"/>
          <w:szCs w:val="25"/>
        </w:rPr>
        <w:t xml:space="preserve"> in rate base</w:t>
      </w:r>
      <w:r w:rsidR="001A64BA" w:rsidRPr="00E26381">
        <w:rPr>
          <w:sz w:val="25"/>
          <w:szCs w:val="25"/>
        </w:rPr>
        <w:t xml:space="preserve"> is </w:t>
      </w:r>
      <w:r w:rsidR="00830279">
        <w:rPr>
          <w:sz w:val="25"/>
          <w:szCs w:val="25"/>
        </w:rPr>
        <w:t xml:space="preserve">typically </w:t>
      </w:r>
      <w:r w:rsidR="001A64BA" w:rsidRPr="00E26381">
        <w:rPr>
          <w:sz w:val="25"/>
          <w:szCs w:val="25"/>
        </w:rPr>
        <w:t>unnecessary given the Commission’s commonly accepted practice of allowing pro fo</w:t>
      </w:r>
      <w:r w:rsidR="001A64BA">
        <w:rPr>
          <w:sz w:val="25"/>
          <w:szCs w:val="25"/>
        </w:rPr>
        <w:t xml:space="preserve">rma plant in rate base. </w:t>
      </w:r>
      <w:r w:rsidR="00830279">
        <w:rPr>
          <w:sz w:val="25"/>
          <w:szCs w:val="25"/>
        </w:rPr>
        <w:t>Assuming that plant will be placed in service between the test year and the start of the rate year, at the end of a test year a company’s total CWIP bal</w:t>
      </w:r>
      <w:r w:rsidR="006D463C">
        <w:rPr>
          <w:sz w:val="25"/>
          <w:szCs w:val="25"/>
        </w:rPr>
        <w:t>ance must necessarily include some</w:t>
      </w:r>
      <w:r w:rsidR="001A64BA" w:rsidRPr="00E26381">
        <w:rPr>
          <w:sz w:val="25"/>
          <w:szCs w:val="25"/>
        </w:rPr>
        <w:t xml:space="preserve"> </w:t>
      </w:r>
      <w:r w:rsidR="006D463C">
        <w:rPr>
          <w:sz w:val="25"/>
          <w:szCs w:val="25"/>
        </w:rPr>
        <w:t>amount</w:t>
      </w:r>
      <w:r w:rsidR="001A64BA" w:rsidRPr="00E26381">
        <w:rPr>
          <w:sz w:val="25"/>
          <w:szCs w:val="25"/>
        </w:rPr>
        <w:t xml:space="preserve"> for plant that will be placed in service prior to the rate year. Therefore, by allowing pro forma plant in rate base, the Commiss</w:t>
      </w:r>
      <w:r w:rsidR="001A64BA">
        <w:rPr>
          <w:sz w:val="25"/>
          <w:szCs w:val="25"/>
        </w:rPr>
        <w:t>ion is setting rates in a manner that is</w:t>
      </w:r>
      <w:r w:rsidR="006D463C">
        <w:rPr>
          <w:sz w:val="25"/>
          <w:szCs w:val="25"/>
        </w:rPr>
        <w:t xml:space="preserve"> similar</w:t>
      </w:r>
      <w:r w:rsidR="001A64BA" w:rsidRPr="00E26381">
        <w:rPr>
          <w:sz w:val="25"/>
          <w:szCs w:val="25"/>
        </w:rPr>
        <w:t xml:space="preserve"> to </w:t>
      </w:r>
      <w:r w:rsidR="001A64BA" w:rsidRPr="00E26381">
        <w:rPr>
          <w:sz w:val="25"/>
          <w:szCs w:val="25"/>
        </w:rPr>
        <w:lastRenderedPageBreak/>
        <w:t xml:space="preserve">allowing a portion of </w:t>
      </w:r>
      <w:r w:rsidR="006D463C">
        <w:rPr>
          <w:sz w:val="25"/>
          <w:szCs w:val="25"/>
        </w:rPr>
        <w:t xml:space="preserve">test-year </w:t>
      </w:r>
      <w:r w:rsidR="001A64BA" w:rsidRPr="00E26381">
        <w:rPr>
          <w:sz w:val="25"/>
          <w:szCs w:val="25"/>
        </w:rPr>
        <w:t xml:space="preserve">CWIP in rate base. </w:t>
      </w:r>
      <w:r w:rsidR="00601CF8">
        <w:rPr>
          <w:sz w:val="25"/>
          <w:szCs w:val="25"/>
        </w:rPr>
        <w:t xml:space="preserve">It should be noted that historically when CWIP was allowed in rate base, only a portion of the total test-year CWIP balance was considered for inclusion. </w:t>
      </w:r>
      <w:r w:rsidR="00FC5967">
        <w:rPr>
          <w:rStyle w:val="FootnoteReference"/>
          <w:sz w:val="25"/>
          <w:szCs w:val="25"/>
        </w:rPr>
        <w:footnoteReference w:id="9"/>
      </w:r>
    </w:p>
    <w:p w14:paraId="41C508A3" w14:textId="77777777" w:rsidR="00F50523" w:rsidRDefault="001A64BA" w:rsidP="0073719C">
      <w:pPr>
        <w:spacing w:line="360" w:lineRule="auto"/>
        <w:ind w:firstLine="360"/>
        <w:rPr>
          <w:sz w:val="25"/>
          <w:szCs w:val="25"/>
        </w:rPr>
      </w:pPr>
      <w:r w:rsidRPr="00E26381">
        <w:rPr>
          <w:sz w:val="25"/>
          <w:szCs w:val="25"/>
        </w:rPr>
        <w:t xml:space="preserve">As an alternative to allowing pro forma plant in rate base, </w:t>
      </w:r>
      <w:r w:rsidR="00EA793E">
        <w:rPr>
          <w:sz w:val="25"/>
          <w:szCs w:val="25"/>
        </w:rPr>
        <w:t>S</w:t>
      </w:r>
      <w:r w:rsidR="00604732">
        <w:rPr>
          <w:sz w:val="25"/>
          <w:szCs w:val="25"/>
        </w:rPr>
        <w:t xml:space="preserve">taff believes that </w:t>
      </w:r>
      <w:r w:rsidRPr="00E26381">
        <w:rPr>
          <w:sz w:val="25"/>
          <w:szCs w:val="25"/>
        </w:rPr>
        <w:t>allo</w:t>
      </w:r>
      <w:r w:rsidR="00F83951">
        <w:rPr>
          <w:sz w:val="25"/>
          <w:szCs w:val="25"/>
        </w:rPr>
        <w:t>wing CWIP in rate base is generally inferior because</w:t>
      </w:r>
      <w:r w:rsidRPr="00E26381">
        <w:rPr>
          <w:sz w:val="25"/>
          <w:szCs w:val="25"/>
        </w:rPr>
        <w:t xml:space="preserve"> </w:t>
      </w:r>
      <w:r>
        <w:rPr>
          <w:sz w:val="25"/>
          <w:szCs w:val="25"/>
        </w:rPr>
        <w:t>the</w:t>
      </w:r>
      <w:r w:rsidR="00916444">
        <w:rPr>
          <w:sz w:val="25"/>
          <w:szCs w:val="25"/>
        </w:rPr>
        <w:t>re are likely</w:t>
      </w:r>
      <w:r>
        <w:rPr>
          <w:sz w:val="25"/>
          <w:szCs w:val="25"/>
        </w:rPr>
        <w:t xml:space="preserve"> projects in the</w:t>
      </w:r>
      <w:r w:rsidRPr="00E26381">
        <w:rPr>
          <w:sz w:val="25"/>
          <w:szCs w:val="25"/>
        </w:rPr>
        <w:t xml:space="preserve"> CWIP </w:t>
      </w:r>
      <w:r>
        <w:rPr>
          <w:sz w:val="25"/>
          <w:szCs w:val="25"/>
        </w:rPr>
        <w:t>account</w:t>
      </w:r>
      <w:r w:rsidRPr="00E26381">
        <w:rPr>
          <w:sz w:val="25"/>
          <w:szCs w:val="25"/>
        </w:rPr>
        <w:t xml:space="preserve"> that will not be used and useful </w:t>
      </w:r>
      <w:r>
        <w:rPr>
          <w:sz w:val="25"/>
          <w:szCs w:val="25"/>
        </w:rPr>
        <w:t>until after</w:t>
      </w:r>
      <w:r w:rsidRPr="00E26381">
        <w:rPr>
          <w:sz w:val="25"/>
          <w:szCs w:val="25"/>
        </w:rPr>
        <w:t xml:space="preserve"> the rate ye</w:t>
      </w:r>
      <w:r w:rsidR="00F83951">
        <w:rPr>
          <w:sz w:val="25"/>
          <w:szCs w:val="25"/>
        </w:rPr>
        <w:t xml:space="preserve">ar. Therefore, </w:t>
      </w:r>
      <w:r w:rsidR="00604732">
        <w:rPr>
          <w:sz w:val="25"/>
          <w:szCs w:val="25"/>
        </w:rPr>
        <w:t>inclusion of CWIP in rate base may lead to issues of intergenerational inequity, whereby current ratepayers fund projects from which they do not receive benefit. However, the Commission has noted that in certain circumstances a relaxation of the used and useful standard may be necessary.</w:t>
      </w:r>
      <w:r w:rsidR="00CC3896">
        <w:rPr>
          <w:sz w:val="25"/>
          <w:szCs w:val="25"/>
        </w:rPr>
        <w:t xml:space="preserve"> </w:t>
      </w:r>
      <w:r w:rsidR="00EA48CA">
        <w:rPr>
          <w:rStyle w:val="FootnoteReference"/>
          <w:sz w:val="25"/>
          <w:szCs w:val="25"/>
        </w:rPr>
        <w:footnoteReference w:id="10"/>
      </w:r>
      <w:r w:rsidR="00916444">
        <w:rPr>
          <w:sz w:val="25"/>
          <w:szCs w:val="25"/>
        </w:rPr>
        <w:t xml:space="preserve"> </w:t>
      </w:r>
      <w:r w:rsidR="00CC3896">
        <w:rPr>
          <w:sz w:val="25"/>
          <w:szCs w:val="25"/>
        </w:rPr>
        <w:t xml:space="preserve">Staff accepts this </w:t>
      </w:r>
      <w:r w:rsidR="00C042A0">
        <w:rPr>
          <w:sz w:val="25"/>
          <w:szCs w:val="25"/>
        </w:rPr>
        <w:t>rationale</w:t>
      </w:r>
      <w:r w:rsidR="00CC3896">
        <w:rPr>
          <w:sz w:val="25"/>
          <w:szCs w:val="25"/>
        </w:rPr>
        <w:t xml:space="preserve"> and is open to considering CWIP balances for inclusion in rate base in extraordinary circumstances. </w:t>
      </w:r>
    </w:p>
    <w:p w14:paraId="3EE91C66" w14:textId="77777777" w:rsidR="00F50523" w:rsidRDefault="00F50523" w:rsidP="00F50523">
      <w:pPr>
        <w:spacing w:line="360" w:lineRule="auto"/>
        <w:ind w:firstLine="360"/>
        <w:rPr>
          <w:b/>
          <w:sz w:val="25"/>
          <w:szCs w:val="25"/>
        </w:rPr>
      </w:pPr>
      <w:r>
        <w:rPr>
          <w:b/>
          <w:sz w:val="25"/>
          <w:szCs w:val="25"/>
        </w:rPr>
        <w:t>Future Test Year</w:t>
      </w:r>
    </w:p>
    <w:p w14:paraId="0FF33DF7" w14:textId="77777777" w:rsidR="00E427D0" w:rsidRPr="00F50523" w:rsidRDefault="00995E6B" w:rsidP="00F50523">
      <w:pPr>
        <w:spacing w:line="360" w:lineRule="auto"/>
        <w:ind w:firstLine="360"/>
        <w:rPr>
          <w:b/>
          <w:sz w:val="25"/>
          <w:szCs w:val="25"/>
        </w:rPr>
      </w:pPr>
      <w:r>
        <w:rPr>
          <w:sz w:val="25"/>
          <w:szCs w:val="25"/>
        </w:rPr>
        <w:t>F</w:t>
      </w:r>
      <w:r w:rsidR="00155FB1">
        <w:rPr>
          <w:sz w:val="25"/>
          <w:szCs w:val="25"/>
        </w:rPr>
        <w:t>uture test year</w:t>
      </w:r>
      <w:r w:rsidR="00737CBD" w:rsidRPr="00E26381">
        <w:rPr>
          <w:sz w:val="25"/>
          <w:szCs w:val="25"/>
        </w:rPr>
        <w:t xml:space="preserve"> ratema</w:t>
      </w:r>
      <w:r w:rsidR="00155FB1">
        <w:rPr>
          <w:sz w:val="25"/>
          <w:szCs w:val="25"/>
        </w:rPr>
        <w:t xml:space="preserve">king </w:t>
      </w:r>
      <w:r w:rsidR="0073719C">
        <w:rPr>
          <w:sz w:val="25"/>
          <w:szCs w:val="25"/>
        </w:rPr>
        <w:t>relies</w:t>
      </w:r>
      <w:r w:rsidR="00187FFB">
        <w:rPr>
          <w:sz w:val="25"/>
          <w:szCs w:val="25"/>
        </w:rPr>
        <w:t xml:space="preserve"> on budgets and estimates.  As such, these mechanisms</w:t>
      </w:r>
      <w:r w:rsidR="007C31F3">
        <w:rPr>
          <w:sz w:val="25"/>
          <w:szCs w:val="25"/>
        </w:rPr>
        <w:t xml:space="preserve"> </w:t>
      </w:r>
      <w:r w:rsidR="00187FFB">
        <w:rPr>
          <w:sz w:val="25"/>
          <w:szCs w:val="25"/>
        </w:rPr>
        <w:t>do not meet the</w:t>
      </w:r>
      <w:r w:rsidR="00327180">
        <w:rPr>
          <w:sz w:val="25"/>
          <w:szCs w:val="25"/>
        </w:rPr>
        <w:t xml:space="preserve"> </w:t>
      </w:r>
      <w:r>
        <w:rPr>
          <w:sz w:val="25"/>
          <w:szCs w:val="25"/>
        </w:rPr>
        <w:t>known and measurable standard</w:t>
      </w:r>
      <w:r w:rsidR="001B45D4" w:rsidRPr="00E26381">
        <w:rPr>
          <w:sz w:val="25"/>
          <w:szCs w:val="25"/>
        </w:rPr>
        <w:t xml:space="preserve">. </w:t>
      </w:r>
      <w:r w:rsidR="0030285D" w:rsidRPr="00E26381">
        <w:rPr>
          <w:sz w:val="25"/>
          <w:szCs w:val="25"/>
        </w:rPr>
        <w:t>The C</w:t>
      </w:r>
      <w:r w:rsidR="00B63CF1" w:rsidRPr="00E26381">
        <w:rPr>
          <w:sz w:val="25"/>
          <w:szCs w:val="25"/>
        </w:rPr>
        <w:t xml:space="preserve">ommission </w:t>
      </w:r>
      <w:r w:rsidR="00327180">
        <w:rPr>
          <w:sz w:val="25"/>
          <w:szCs w:val="25"/>
        </w:rPr>
        <w:t xml:space="preserve">has </w:t>
      </w:r>
      <w:r w:rsidR="00B63CF1" w:rsidRPr="00E26381">
        <w:rPr>
          <w:sz w:val="25"/>
          <w:szCs w:val="25"/>
        </w:rPr>
        <w:t>stated</w:t>
      </w:r>
      <w:r w:rsidR="00327180">
        <w:rPr>
          <w:sz w:val="25"/>
          <w:szCs w:val="25"/>
        </w:rPr>
        <w:t xml:space="preserve"> that:</w:t>
      </w:r>
      <w:r w:rsidR="00B63CF1" w:rsidRPr="00E26381">
        <w:rPr>
          <w:sz w:val="25"/>
          <w:szCs w:val="25"/>
        </w:rPr>
        <w:t xml:space="preserve"> </w:t>
      </w:r>
    </w:p>
    <w:p w14:paraId="019CD618" w14:textId="77777777" w:rsidR="001B45D4" w:rsidRPr="00E26381" w:rsidRDefault="004A3979" w:rsidP="00995E6B">
      <w:pPr>
        <w:tabs>
          <w:tab w:val="left" w:pos="-1440"/>
        </w:tabs>
        <w:spacing w:before="0" w:after="0" w:line="360" w:lineRule="auto"/>
        <w:ind w:left="1440"/>
        <w:rPr>
          <w:sz w:val="25"/>
          <w:szCs w:val="25"/>
        </w:rPr>
      </w:pPr>
      <w:r>
        <w:rPr>
          <w:sz w:val="25"/>
          <w:szCs w:val="25"/>
        </w:rPr>
        <w:t>“</w:t>
      </w:r>
      <w:r w:rsidR="001B45D4" w:rsidRPr="00E26381">
        <w:rPr>
          <w:sz w:val="25"/>
          <w:szCs w:val="25"/>
        </w:rPr>
        <w:t>Costs that are documented by actual expenditure, invoice, contract, or other specific obligation usually meet this test.  Amounts that will not meet this test are estimates or amounts that are the product of a projection, budget forecast, or some similar exercise of judgment concerning future revenue, expense or rate base.</w:t>
      </w:r>
      <w:r>
        <w:rPr>
          <w:sz w:val="25"/>
          <w:szCs w:val="25"/>
        </w:rPr>
        <w:t>”</w:t>
      </w:r>
      <w:r w:rsidR="001B45D4" w:rsidRPr="00E26381">
        <w:rPr>
          <w:rStyle w:val="FootnoteReference"/>
          <w:sz w:val="25"/>
          <w:szCs w:val="25"/>
        </w:rPr>
        <w:footnoteReference w:id="11"/>
      </w:r>
      <w:r w:rsidR="001B45D4" w:rsidRPr="00E26381">
        <w:rPr>
          <w:sz w:val="25"/>
          <w:szCs w:val="25"/>
        </w:rPr>
        <w:t xml:space="preserve">  </w:t>
      </w:r>
    </w:p>
    <w:p w14:paraId="78CE1462" w14:textId="77777777" w:rsidR="00AE2CFA" w:rsidRPr="00E26381" w:rsidRDefault="001B45D4" w:rsidP="00E26381">
      <w:pPr>
        <w:spacing w:line="360" w:lineRule="auto"/>
        <w:rPr>
          <w:sz w:val="25"/>
          <w:szCs w:val="25"/>
        </w:rPr>
      </w:pPr>
      <w:r w:rsidRPr="00E26381">
        <w:rPr>
          <w:sz w:val="25"/>
          <w:szCs w:val="25"/>
        </w:rPr>
        <w:tab/>
        <w:t>Further</w:t>
      </w:r>
      <w:r w:rsidR="00AB3621" w:rsidRPr="00E26381">
        <w:rPr>
          <w:sz w:val="25"/>
          <w:szCs w:val="25"/>
        </w:rPr>
        <w:t>, in response to PSE’s use of a</w:t>
      </w:r>
      <w:r w:rsidR="0087455B" w:rsidRPr="00E26381">
        <w:rPr>
          <w:sz w:val="25"/>
          <w:szCs w:val="25"/>
        </w:rPr>
        <w:t>n apparent</w:t>
      </w:r>
      <w:r w:rsidR="00AB3621" w:rsidRPr="00E26381">
        <w:rPr>
          <w:sz w:val="25"/>
          <w:szCs w:val="25"/>
        </w:rPr>
        <w:t xml:space="preserve"> future t</w:t>
      </w:r>
      <w:r w:rsidR="0087455B" w:rsidRPr="00E26381">
        <w:rPr>
          <w:sz w:val="25"/>
          <w:szCs w:val="25"/>
        </w:rPr>
        <w:t>est year approach</w:t>
      </w:r>
      <w:r w:rsidR="00AB3621" w:rsidRPr="00E26381">
        <w:rPr>
          <w:sz w:val="25"/>
          <w:szCs w:val="25"/>
        </w:rPr>
        <w:t xml:space="preserve"> in its 2011 general rate case, the Commission stated that such a future test year approach to ratemaking b</w:t>
      </w:r>
      <w:r w:rsidR="008916DA" w:rsidRPr="00E26381">
        <w:rPr>
          <w:sz w:val="25"/>
          <w:szCs w:val="25"/>
        </w:rPr>
        <w:t>urdens ratepayers with unnecessary costs determined on the basis of speculation.</w:t>
      </w:r>
      <w:r w:rsidR="008916DA" w:rsidRPr="00E26381">
        <w:rPr>
          <w:rStyle w:val="FootnoteReference"/>
          <w:sz w:val="25"/>
          <w:szCs w:val="25"/>
        </w:rPr>
        <w:footnoteReference w:id="12"/>
      </w:r>
    </w:p>
    <w:p w14:paraId="14F0E040" w14:textId="77777777" w:rsidR="00962996" w:rsidRPr="00E26381" w:rsidRDefault="00EC007A" w:rsidP="00E26381">
      <w:pPr>
        <w:spacing w:line="360" w:lineRule="auto"/>
        <w:rPr>
          <w:sz w:val="25"/>
          <w:szCs w:val="25"/>
        </w:rPr>
      </w:pPr>
      <w:r w:rsidRPr="00E26381">
        <w:rPr>
          <w:sz w:val="25"/>
          <w:szCs w:val="25"/>
        </w:rPr>
        <w:lastRenderedPageBreak/>
        <w:tab/>
        <w:t xml:space="preserve">Further still, </w:t>
      </w:r>
      <w:r w:rsidR="00770788" w:rsidRPr="00E26381">
        <w:rPr>
          <w:sz w:val="25"/>
          <w:szCs w:val="25"/>
        </w:rPr>
        <w:t xml:space="preserve">projections of </w:t>
      </w:r>
      <w:r w:rsidRPr="00E26381">
        <w:rPr>
          <w:sz w:val="25"/>
          <w:szCs w:val="25"/>
        </w:rPr>
        <w:t xml:space="preserve">future levels of expense and rate base </w:t>
      </w:r>
      <w:r w:rsidR="00770788" w:rsidRPr="00E26381">
        <w:rPr>
          <w:sz w:val="25"/>
          <w:szCs w:val="25"/>
        </w:rPr>
        <w:t xml:space="preserve">may become a self-fulfilling prophesy. In other words, </w:t>
      </w:r>
      <w:r w:rsidR="004029AD" w:rsidRPr="00E26381">
        <w:rPr>
          <w:sz w:val="25"/>
          <w:szCs w:val="25"/>
        </w:rPr>
        <w:t xml:space="preserve">a utility may </w:t>
      </w:r>
      <w:r w:rsidR="0034700D" w:rsidRPr="00E26381">
        <w:rPr>
          <w:sz w:val="25"/>
          <w:szCs w:val="25"/>
        </w:rPr>
        <w:t xml:space="preserve">“prove” its projections </w:t>
      </w:r>
      <w:r w:rsidR="00152B50" w:rsidRPr="00E26381">
        <w:rPr>
          <w:sz w:val="25"/>
          <w:szCs w:val="25"/>
        </w:rPr>
        <w:t xml:space="preserve">of the future </w:t>
      </w:r>
      <w:r w:rsidR="0034700D" w:rsidRPr="00E26381">
        <w:rPr>
          <w:sz w:val="25"/>
          <w:szCs w:val="25"/>
        </w:rPr>
        <w:t>t</w:t>
      </w:r>
      <w:r w:rsidR="00604599" w:rsidRPr="00E26381">
        <w:rPr>
          <w:sz w:val="25"/>
          <w:szCs w:val="25"/>
        </w:rPr>
        <w:t>o be true</w:t>
      </w:r>
      <w:r w:rsidR="009068A8" w:rsidRPr="00E26381">
        <w:rPr>
          <w:sz w:val="25"/>
          <w:szCs w:val="25"/>
        </w:rPr>
        <w:t xml:space="preserve"> by modifying its </w:t>
      </w:r>
      <w:r w:rsidR="0087455B" w:rsidRPr="00E26381">
        <w:rPr>
          <w:sz w:val="25"/>
          <w:szCs w:val="25"/>
        </w:rPr>
        <w:t xml:space="preserve">business </w:t>
      </w:r>
      <w:r w:rsidR="009068A8" w:rsidRPr="00E26381">
        <w:rPr>
          <w:sz w:val="25"/>
          <w:szCs w:val="25"/>
        </w:rPr>
        <w:t>decisions</w:t>
      </w:r>
      <w:r w:rsidR="0034700D" w:rsidRPr="00E26381">
        <w:rPr>
          <w:sz w:val="25"/>
          <w:szCs w:val="25"/>
        </w:rPr>
        <w:t xml:space="preserve"> </w:t>
      </w:r>
      <w:r w:rsidR="00152B50" w:rsidRPr="00E26381">
        <w:rPr>
          <w:sz w:val="25"/>
          <w:szCs w:val="25"/>
        </w:rPr>
        <w:t>to create the projected future. In that way, a utility may prove any future level of expense or any future level of plant in</w:t>
      </w:r>
      <w:r w:rsidR="00604599" w:rsidRPr="00E26381">
        <w:rPr>
          <w:sz w:val="25"/>
          <w:szCs w:val="25"/>
        </w:rPr>
        <w:t xml:space="preserve">vestment to be an accurate projection simply by making it so, irrespective of whether those future levels are the most economically efficient or the most beneficial to the utility’s ratepayers. </w:t>
      </w:r>
      <w:r w:rsidR="009068A8" w:rsidRPr="00E26381">
        <w:rPr>
          <w:sz w:val="25"/>
          <w:szCs w:val="25"/>
        </w:rPr>
        <w:t xml:space="preserve">If the </w:t>
      </w:r>
      <w:r w:rsidR="00CB0373" w:rsidRPr="00E26381">
        <w:rPr>
          <w:sz w:val="25"/>
          <w:szCs w:val="25"/>
        </w:rPr>
        <w:t>Commission were</w:t>
      </w:r>
      <w:r w:rsidR="009068A8" w:rsidRPr="00E26381">
        <w:rPr>
          <w:sz w:val="25"/>
          <w:szCs w:val="25"/>
        </w:rPr>
        <w:t xml:space="preserve"> to accept a future test year approach to ratemaking, </w:t>
      </w:r>
      <w:r w:rsidR="00CB0373" w:rsidRPr="00E26381">
        <w:rPr>
          <w:sz w:val="25"/>
          <w:szCs w:val="25"/>
        </w:rPr>
        <w:t>a utility’s budgeting proces</w:t>
      </w:r>
      <w:r w:rsidR="00995E6B">
        <w:rPr>
          <w:sz w:val="25"/>
          <w:szCs w:val="25"/>
        </w:rPr>
        <w:t>s would</w:t>
      </w:r>
      <w:r w:rsidR="00CB0373" w:rsidRPr="00E26381">
        <w:rPr>
          <w:sz w:val="25"/>
          <w:szCs w:val="25"/>
        </w:rPr>
        <w:t xml:space="preserve"> need to be h</w:t>
      </w:r>
      <w:r w:rsidR="0087455B" w:rsidRPr="00E26381">
        <w:rPr>
          <w:sz w:val="25"/>
          <w:szCs w:val="25"/>
        </w:rPr>
        <w:t>eavily scrutinized. S</w:t>
      </w:r>
      <w:r w:rsidR="00CB0373" w:rsidRPr="00E26381">
        <w:rPr>
          <w:sz w:val="25"/>
          <w:szCs w:val="25"/>
        </w:rPr>
        <w:t>uch scrutiny of a company’s budget is not necessary under a historical test year ratemaking approach</w:t>
      </w:r>
      <w:r w:rsidR="00082042" w:rsidRPr="00E26381">
        <w:rPr>
          <w:sz w:val="25"/>
          <w:szCs w:val="25"/>
        </w:rPr>
        <w:t>.</w:t>
      </w:r>
    </w:p>
    <w:p w14:paraId="77D7C4CC" w14:textId="77777777" w:rsidR="00604599" w:rsidRPr="00E26381" w:rsidRDefault="00604599" w:rsidP="00E26381">
      <w:pPr>
        <w:spacing w:line="360" w:lineRule="auto"/>
        <w:rPr>
          <w:sz w:val="25"/>
          <w:szCs w:val="25"/>
        </w:rPr>
      </w:pPr>
      <w:r w:rsidRPr="00E26381">
        <w:rPr>
          <w:sz w:val="25"/>
          <w:szCs w:val="25"/>
        </w:rPr>
        <w:tab/>
      </w:r>
      <w:r w:rsidR="00082042" w:rsidRPr="00E26381">
        <w:rPr>
          <w:sz w:val="25"/>
          <w:szCs w:val="25"/>
        </w:rPr>
        <w:t xml:space="preserve">Lastly, </w:t>
      </w:r>
      <w:r w:rsidR="001274CD" w:rsidRPr="00E26381">
        <w:rPr>
          <w:sz w:val="25"/>
          <w:szCs w:val="25"/>
        </w:rPr>
        <w:t xml:space="preserve">and perhaps most importantly, a future test year approach </w:t>
      </w:r>
      <w:r w:rsidR="004A3979">
        <w:rPr>
          <w:sz w:val="25"/>
          <w:szCs w:val="25"/>
        </w:rPr>
        <w:t>may be</w:t>
      </w:r>
      <w:r w:rsidR="001274CD" w:rsidRPr="00E26381">
        <w:rPr>
          <w:sz w:val="25"/>
          <w:szCs w:val="25"/>
        </w:rPr>
        <w:t xml:space="preserve"> </w:t>
      </w:r>
      <w:r w:rsidR="00997A11" w:rsidRPr="00E26381">
        <w:rPr>
          <w:sz w:val="25"/>
          <w:szCs w:val="25"/>
        </w:rPr>
        <w:t xml:space="preserve">implicitly </w:t>
      </w:r>
      <w:r w:rsidR="001274CD" w:rsidRPr="00E26381">
        <w:rPr>
          <w:sz w:val="25"/>
          <w:szCs w:val="25"/>
        </w:rPr>
        <w:t xml:space="preserve">prohibited by </w:t>
      </w:r>
      <w:r w:rsidR="00997A11" w:rsidRPr="00E26381">
        <w:rPr>
          <w:sz w:val="25"/>
          <w:szCs w:val="25"/>
        </w:rPr>
        <w:t>Commission r</w:t>
      </w:r>
      <w:r w:rsidR="001274CD" w:rsidRPr="00E26381">
        <w:rPr>
          <w:sz w:val="25"/>
          <w:szCs w:val="25"/>
        </w:rPr>
        <w:t>ule. WAC 480-07-510(1)</w:t>
      </w:r>
      <w:r w:rsidR="00FD22BA" w:rsidRPr="00E26381">
        <w:rPr>
          <w:sz w:val="25"/>
          <w:szCs w:val="25"/>
        </w:rPr>
        <w:t xml:space="preserve"> states:</w:t>
      </w:r>
    </w:p>
    <w:p w14:paraId="2BA5C63D" w14:textId="77777777" w:rsidR="00FD22BA" w:rsidRPr="00E26381" w:rsidRDefault="00FD22BA" w:rsidP="00995E6B">
      <w:pPr>
        <w:spacing w:line="360" w:lineRule="auto"/>
        <w:ind w:left="1440"/>
        <w:rPr>
          <w:sz w:val="25"/>
          <w:szCs w:val="25"/>
        </w:rPr>
      </w:pPr>
      <w:r w:rsidRPr="00E26381">
        <w:rPr>
          <w:sz w:val="25"/>
          <w:szCs w:val="25"/>
        </w:rPr>
        <w:t xml:space="preserve">The utility must provide an exhibit that includes a results-of-operations statement showing test year actual results and the restating and pro forma adjustments in columnar format supporting its general rate request. The utility must also show each restating and pro forma adjustment and its effect on the results of operations. </w:t>
      </w:r>
    </w:p>
    <w:p w14:paraId="11B2DD04" w14:textId="77777777" w:rsidR="00B577FC" w:rsidRPr="00E26381" w:rsidRDefault="00FD22BA" w:rsidP="00E26381">
      <w:pPr>
        <w:spacing w:line="360" w:lineRule="auto"/>
        <w:rPr>
          <w:sz w:val="25"/>
          <w:szCs w:val="25"/>
        </w:rPr>
      </w:pPr>
      <w:r w:rsidRPr="00E26381">
        <w:rPr>
          <w:sz w:val="25"/>
          <w:szCs w:val="25"/>
        </w:rPr>
        <w:tab/>
      </w:r>
      <w:r w:rsidR="000E71F3" w:rsidRPr="00E26381">
        <w:rPr>
          <w:sz w:val="25"/>
          <w:szCs w:val="25"/>
        </w:rPr>
        <w:t xml:space="preserve">Also, </w:t>
      </w:r>
      <w:r w:rsidRPr="00E26381">
        <w:rPr>
          <w:sz w:val="25"/>
          <w:szCs w:val="25"/>
        </w:rPr>
        <w:t>WAC 480-07-510(3)(e) states:</w:t>
      </w:r>
    </w:p>
    <w:p w14:paraId="15D5A78A" w14:textId="77777777" w:rsidR="00C379CC" w:rsidRPr="00E26381" w:rsidRDefault="00FD22BA" w:rsidP="00995E6B">
      <w:pPr>
        <w:spacing w:line="360" w:lineRule="auto"/>
        <w:ind w:left="1440"/>
        <w:rPr>
          <w:sz w:val="25"/>
          <w:szCs w:val="25"/>
        </w:rPr>
      </w:pPr>
      <w:r w:rsidRPr="00E26381">
        <w:rPr>
          <w:sz w:val="25"/>
          <w:szCs w:val="25"/>
        </w:rPr>
        <w:t>Parties must provide work papers that contain a detailed portrayal of restating actual and pro forma adjustments that the company uses to support its filing</w:t>
      </w:r>
      <w:r w:rsidR="00997A11" w:rsidRPr="00E26381">
        <w:rPr>
          <w:sz w:val="25"/>
          <w:szCs w:val="25"/>
        </w:rPr>
        <w:t>.</w:t>
      </w:r>
    </w:p>
    <w:p w14:paraId="40891EBE" w14:textId="77777777" w:rsidR="000D1F79" w:rsidRDefault="00997A11" w:rsidP="00E26381">
      <w:pPr>
        <w:spacing w:line="360" w:lineRule="auto"/>
        <w:rPr>
          <w:sz w:val="25"/>
          <w:szCs w:val="25"/>
        </w:rPr>
      </w:pPr>
      <w:r w:rsidRPr="00E26381">
        <w:rPr>
          <w:sz w:val="25"/>
          <w:szCs w:val="25"/>
        </w:rPr>
        <w:t xml:space="preserve">The </w:t>
      </w:r>
      <w:r w:rsidR="004A3979">
        <w:rPr>
          <w:sz w:val="25"/>
          <w:szCs w:val="25"/>
        </w:rPr>
        <w:t xml:space="preserve">rule suggests that the </w:t>
      </w:r>
      <w:r w:rsidRPr="00C873D5">
        <w:rPr>
          <w:sz w:val="25"/>
          <w:szCs w:val="25"/>
        </w:rPr>
        <w:t>basis</w:t>
      </w:r>
      <w:r w:rsidRPr="00E26381">
        <w:rPr>
          <w:sz w:val="25"/>
          <w:szCs w:val="25"/>
        </w:rPr>
        <w:t xml:space="preserve"> for general rate</w:t>
      </w:r>
      <w:r w:rsidR="003D048B" w:rsidRPr="00E26381">
        <w:rPr>
          <w:sz w:val="25"/>
          <w:szCs w:val="25"/>
        </w:rPr>
        <w:t xml:space="preserve"> change then is a fully restated, historical test year results-of-operations with certain pro forma adjustments</w:t>
      </w:r>
      <w:r w:rsidR="004A3979">
        <w:rPr>
          <w:sz w:val="25"/>
          <w:szCs w:val="25"/>
        </w:rPr>
        <w:t>.</w:t>
      </w:r>
      <w:r w:rsidR="003D048B" w:rsidRPr="00E26381">
        <w:rPr>
          <w:rStyle w:val="FootnoteReference"/>
          <w:sz w:val="25"/>
          <w:szCs w:val="25"/>
        </w:rPr>
        <w:footnoteReference w:id="13"/>
      </w:r>
      <w:r w:rsidRPr="00E26381">
        <w:rPr>
          <w:sz w:val="25"/>
          <w:szCs w:val="25"/>
        </w:rPr>
        <w:t xml:space="preserve"> </w:t>
      </w:r>
      <w:r w:rsidR="006730B7" w:rsidRPr="00E26381">
        <w:rPr>
          <w:sz w:val="25"/>
          <w:szCs w:val="25"/>
        </w:rPr>
        <w:t>As t</w:t>
      </w:r>
      <w:r w:rsidR="000D1F79">
        <w:rPr>
          <w:sz w:val="25"/>
          <w:szCs w:val="25"/>
        </w:rPr>
        <w:t>he Commission itself has stated,</w:t>
      </w:r>
      <w:r w:rsidR="006730B7" w:rsidRPr="00E26381">
        <w:rPr>
          <w:sz w:val="25"/>
          <w:szCs w:val="25"/>
        </w:rPr>
        <w:t xml:space="preserve"> </w:t>
      </w:r>
    </w:p>
    <w:p w14:paraId="676D2F0B" w14:textId="77777777" w:rsidR="000D1F79" w:rsidRDefault="000D1F79" w:rsidP="000D1F79">
      <w:pPr>
        <w:spacing w:line="360" w:lineRule="auto"/>
        <w:ind w:left="1440"/>
        <w:rPr>
          <w:sz w:val="25"/>
          <w:szCs w:val="25"/>
        </w:rPr>
      </w:pPr>
      <w:r>
        <w:rPr>
          <w:sz w:val="25"/>
          <w:szCs w:val="25"/>
        </w:rPr>
        <w:lastRenderedPageBreak/>
        <w:t>“B</w:t>
      </w:r>
      <w:r w:rsidR="006730B7" w:rsidRPr="00E26381">
        <w:rPr>
          <w:sz w:val="25"/>
          <w:szCs w:val="25"/>
        </w:rPr>
        <w:t>ecause use of an historic test year is embodied in Commission rule, any proposal for a future test year would have to involve a petition to revise that rule or have to be a filing using both a future and an historic test year.</w:t>
      </w:r>
      <w:r>
        <w:rPr>
          <w:sz w:val="25"/>
          <w:szCs w:val="25"/>
        </w:rPr>
        <w:t>”</w:t>
      </w:r>
      <w:r w:rsidR="006730B7" w:rsidRPr="00E26381">
        <w:rPr>
          <w:sz w:val="25"/>
          <w:szCs w:val="25"/>
        </w:rPr>
        <w:t xml:space="preserve"> </w:t>
      </w:r>
      <w:r w:rsidR="00936F82" w:rsidRPr="00E26381">
        <w:rPr>
          <w:rStyle w:val="FootnoteReference"/>
          <w:sz w:val="25"/>
          <w:szCs w:val="25"/>
        </w:rPr>
        <w:footnoteReference w:id="14"/>
      </w:r>
      <w:r w:rsidR="005548C3" w:rsidRPr="00E26381">
        <w:rPr>
          <w:sz w:val="25"/>
          <w:szCs w:val="25"/>
        </w:rPr>
        <w:t xml:space="preserve"> </w:t>
      </w:r>
    </w:p>
    <w:p w14:paraId="62B2B8E6" w14:textId="77777777" w:rsidR="00970474" w:rsidRDefault="00BA22F9" w:rsidP="009632CD">
      <w:pPr>
        <w:spacing w:line="360" w:lineRule="auto"/>
        <w:ind w:firstLine="720"/>
        <w:rPr>
          <w:sz w:val="25"/>
          <w:szCs w:val="25"/>
        </w:rPr>
      </w:pPr>
      <w:r w:rsidRPr="00E26381">
        <w:rPr>
          <w:sz w:val="25"/>
          <w:szCs w:val="25"/>
        </w:rPr>
        <w:t>Staff req</w:t>
      </w:r>
      <w:r w:rsidR="00513EFA">
        <w:rPr>
          <w:sz w:val="25"/>
          <w:szCs w:val="25"/>
        </w:rPr>
        <w:t>uests that, within this explor</w:t>
      </w:r>
      <w:r w:rsidRPr="00E26381">
        <w:rPr>
          <w:sz w:val="25"/>
          <w:szCs w:val="25"/>
        </w:rPr>
        <w:t xml:space="preserve">atory docket, the Commission </w:t>
      </w:r>
      <w:r w:rsidR="00534241" w:rsidRPr="00E26381">
        <w:rPr>
          <w:sz w:val="25"/>
          <w:szCs w:val="25"/>
        </w:rPr>
        <w:t>discuss its inclination toward acceptance of a future test year and its appetite for a rule</w:t>
      </w:r>
      <w:r w:rsidR="000E71F3" w:rsidRPr="00E26381">
        <w:rPr>
          <w:sz w:val="25"/>
          <w:szCs w:val="25"/>
        </w:rPr>
        <w:t>making to codify its position.</w:t>
      </w:r>
    </w:p>
    <w:p w14:paraId="39D5F55B" w14:textId="77777777" w:rsidR="00C379CC" w:rsidRPr="00E26381" w:rsidRDefault="00C379CC" w:rsidP="009632CD">
      <w:pPr>
        <w:pStyle w:val="ListParagraph"/>
        <w:numPr>
          <w:ilvl w:val="0"/>
          <w:numId w:val="4"/>
        </w:numPr>
        <w:autoSpaceDE w:val="0"/>
        <w:autoSpaceDN w:val="0"/>
        <w:adjustRightInd w:val="0"/>
        <w:spacing w:before="0"/>
        <w:ind w:hanging="720"/>
        <w:contextualSpacing w:val="0"/>
        <w:rPr>
          <w:b/>
          <w:i/>
          <w:sz w:val="25"/>
          <w:szCs w:val="25"/>
        </w:rPr>
      </w:pPr>
      <w:r w:rsidRPr="00E26381">
        <w:rPr>
          <w:b/>
          <w:i/>
          <w:sz w:val="25"/>
          <w:szCs w:val="25"/>
        </w:rPr>
        <w:t>If your organization prefers the Commission adhere to a historical test year ratemaking approach, please disc</w:t>
      </w:r>
      <w:r w:rsidR="005E4CF4">
        <w:rPr>
          <w:b/>
          <w:i/>
          <w:sz w:val="25"/>
          <w:szCs w:val="25"/>
        </w:rPr>
        <w:t>uss why it would or would not</w:t>
      </w:r>
      <w:r w:rsidRPr="00E26381">
        <w:rPr>
          <w:b/>
          <w:i/>
          <w:sz w:val="25"/>
          <w:szCs w:val="25"/>
        </w:rPr>
        <w:t xml:space="preserve"> be appropriate to consider potential earnings attrition in that historical year context.</w:t>
      </w:r>
    </w:p>
    <w:p w14:paraId="603270DC" w14:textId="77777777" w:rsidR="0036537A" w:rsidRDefault="0036537A" w:rsidP="0036537A">
      <w:pPr>
        <w:spacing w:line="360" w:lineRule="auto"/>
        <w:rPr>
          <w:sz w:val="25"/>
          <w:szCs w:val="25"/>
        </w:rPr>
      </w:pPr>
      <w:r>
        <w:rPr>
          <w:sz w:val="25"/>
          <w:szCs w:val="25"/>
        </w:rPr>
        <w:t xml:space="preserve">Staff assumes the Commission refers here to a strict adherence to a historical test year ratemaking approach </w:t>
      </w:r>
      <w:r w:rsidR="005E0BC7" w:rsidRPr="00E26381">
        <w:rPr>
          <w:sz w:val="25"/>
          <w:szCs w:val="25"/>
        </w:rPr>
        <w:t xml:space="preserve">whereby rates are based on historical test year restated results-of-operations with pro forma adjustments allowed only for known and measurable changes in expense </w:t>
      </w:r>
      <w:r w:rsidR="005E0BC7" w:rsidRPr="00E26381">
        <w:rPr>
          <w:i/>
          <w:sz w:val="25"/>
          <w:szCs w:val="25"/>
        </w:rPr>
        <w:t>rates</w:t>
      </w:r>
      <w:r w:rsidR="005E0BC7" w:rsidRPr="00E26381">
        <w:rPr>
          <w:sz w:val="25"/>
          <w:szCs w:val="25"/>
        </w:rPr>
        <w:t xml:space="preserve"> applied to test year units. </w:t>
      </w:r>
      <w:r w:rsidR="00EF0963">
        <w:rPr>
          <w:sz w:val="25"/>
          <w:szCs w:val="25"/>
        </w:rPr>
        <w:t>A pro forma rate base adjustment would not be an acceptable pro forma adjustment under this strict definition.</w:t>
      </w:r>
    </w:p>
    <w:p w14:paraId="0A2088BC" w14:textId="77777777" w:rsidR="00EF0963" w:rsidRDefault="00ED5A3D" w:rsidP="00ED5A3D">
      <w:pPr>
        <w:spacing w:line="360" w:lineRule="auto"/>
        <w:ind w:firstLine="720"/>
        <w:rPr>
          <w:sz w:val="25"/>
          <w:szCs w:val="25"/>
        </w:rPr>
      </w:pPr>
      <w:r>
        <w:rPr>
          <w:sz w:val="25"/>
          <w:szCs w:val="25"/>
        </w:rPr>
        <w:t xml:space="preserve">The use of a historical test year assumes that the relationships between revenues, expenses and rate base hold true in the immediate future. </w:t>
      </w:r>
      <w:r w:rsidR="00EF0963">
        <w:rPr>
          <w:sz w:val="25"/>
          <w:szCs w:val="25"/>
        </w:rPr>
        <w:t>Assuming an attritio</w:t>
      </w:r>
      <w:r>
        <w:rPr>
          <w:sz w:val="25"/>
          <w:szCs w:val="25"/>
        </w:rPr>
        <w:t>n study reveals that the relationships between test-year revenues, expenses and rate base is not likely to hold in the rate year</w:t>
      </w:r>
      <w:r w:rsidR="00EF0963">
        <w:rPr>
          <w:sz w:val="25"/>
          <w:szCs w:val="25"/>
        </w:rPr>
        <w:t>, strict adherence to a historical ratemaking approach would run counter to the Commission’s obligation to prov</w:t>
      </w:r>
      <w:r w:rsidR="007823D2">
        <w:rPr>
          <w:sz w:val="25"/>
          <w:szCs w:val="25"/>
        </w:rPr>
        <w:t>ide rates sufficient</w:t>
      </w:r>
      <w:r w:rsidR="00EF0963">
        <w:rPr>
          <w:sz w:val="25"/>
          <w:szCs w:val="25"/>
        </w:rPr>
        <w:t xml:space="preserve"> </w:t>
      </w:r>
      <w:r w:rsidR="007823D2" w:rsidRPr="00D26E94">
        <w:rPr>
          <w:sz w:val="25"/>
          <w:szCs w:val="25"/>
        </w:rPr>
        <w:t>to meet the financial needs of the utili</w:t>
      </w:r>
      <w:r w:rsidR="007823D2">
        <w:rPr>
          <w:sz w:val="25"/>
          <w:szCs w:val="25"/>
        </w:rPr>
        <w:t xml:space="preserve">ty to cover its costs. </w:t>
      </w:r>
      <w:r>
        <w:rPr>
          <w:sz w:val="25"/>
          <w:szCs w:val="25"/>
        </w:rPr>
        <w:t>Therefore, Staff rejects such a strict approach in periods</w:t>
      </w:r>
      <w:r w:rsidR="005D3749">
        <w:rPr>
          <w:sz w:val="25"/>
          <w:szCs w:val="25"/>
        </w:rPr>
        <w:t xml:space="preserve"> where earnings erosion is out of the control of the utility.</w:t>
      </w:r>
    </w:p>
    <w:p w14:paraId="1D2A3B7D" w14:textId="77777777" w:rsidR="00C379CC" w:rsidRPr="00E26381" w:rsidRDefault="00C379CC" w:rsidP="009632CD">
      <w:pPr>
        <w:pStyle w:val="ListParagraph"/>
        <w:numPr>
          <w:ilvl w:val="0"/>
          <w:numId w:val="4"/>
        </w:numPr>
        <w:autoSpaceDE w:val="0"/>
        <w:autoSpaceDN w:val="0"/>
        <w:adjustRightInd w:val="0"/>
        <w:spacing w:before="0"/>
        <w:ind w:hanging="720"/>
        <w:contextualSpacing w:val="0"/>
        <w:rPr>
          <w:b/>
          <w:i/>
          <w:sz w:val="25"/>
          <w:szCs w:val="25"/>
        </w:rPr>
      </w:pPr>
      <w:r w:rsidRPr="00695CD0">
        <w:rPr>
          <w:b/>
          <w:i/>
          <w:sz w:val="25"/>
          <w:szCs w:val="25"/>
        </w:rPr>
        <w:t>If your organization has a preferred mechanism(s), please discuss the requirements and parameters necessary for calculating the adjustment(s). Please include in your comments responses to the following questions</w:t>
      </w:r>
      <w:r w:rsidRPr="00E26381">
        <w:rPr>
          <w:b/>
          <w:i/>
          <w:sz w:val="25"/>
          <w:szCs w:val="25"/>
        </w:rPr>
        <w:t>:</w:t>
      </w:r>
    </w:p>
    <w:p w14:paraId="7838DDCF" w14:textId="77777777" w:rsidR="00C379CC" w:rsidRPr="00E26381" w:rsidRDefault="00C379CC" w:rsidP="009632CD">
      <w:pPr>
        <w:pStyle w:val="ListParagraph"/>
        <w:numPr>
          <w:ilvl w:val="1"/>
          <w:numId w:val="4"/>
        </w:numPr>
        <w:autoSpaceDE w:val="0"/>
        <w:autoSpaceDN w:val="0"/>
        <w:adjustRightInd w:val="0"/>
        <w:spacing w:before="0" w:after="0" w:line="360" w:lineRule="auto"/>
        <w:ind w:left="1080"/>
        <w:contextualSpacing w:val="0"/>
        <w:rPr>
          <w:b/>
          <w:i/>
          <w:sz w:val="25"/>
          <w:szCs w:val="25"/>
        </w:rPr>
      </w:pPr>
      <w:r w:rsidRPr="00E26381">
        <w:rPr>
          <w:b/>
          <w:i/>
          <w:sz w:val="25"/>
          <w:szCs w:val="25"/>
        </w:rPr>
        <w:t xml:space="preserve">Should an attrition analysis include historical data only? </w:t>
      </w:r>
    </w:p>
    <w:p w14:paraId="38A23F44" w14:textId="77777777" w:rsidR="00205771" w:rsidRDefault="00686856" w:rsidP="003124C6">
      <w:pPr>
        <w:autoSpaceDE w:val="0"/>
        <w:autoSpaceDN w:val="0"/>
        <w:adjustRightInd w:val="0"/>
        <w:spacing w:before="0" w:after="0" w:line="360" w:lineRule="auto"/>
        <w:rPr>
          <w:sz w:val="25"/>
          <w:szCs w:val="25"/>
        </w:rPr>
      </w:pPr>
      <w:r w:rsidRPr="00E26381">
        <w:rPr>
          <w:sz w:val="25"/>
          <w:szCs w:val="25"/>
        </w:rPr>
        <w:t xml:space="preserve">Yes. </w:t>
      </w:r>
      <w:r w:rsidR="00205771">
        <w:rPr>
          <w:sz w:val="25"/>
          <w:szCs w:val="25"/>
        </w:rPr>
        <w:t>Indeed, the Commission itself has stated</w:t>
      </w:r>
    </w:p>
    <w:p w14:paraId="4361F14A" w14:textId="77777777" w:rsidR="00346278" w:rsidRPr="00E26381" w:rsidRDefault="001414C7" w:rsidP="00205771">
      <w:pPr>
        <w:autoSpaceDE w:val="0"/>
        <w:autoSpaceDN w:val="0"/>
        <w:adjustRightInd w:val="0"/>
        <w:spacing w:before="0" w:after="0" w:line="360" w:lineRule="auto"/>
        <w:ind w:left="1440"/>
        <w:rPr>
          <w:sz w:val="25"/>
          <w:szCs w:val="25"/>
        </w:rPr>
      </w:pPr>
      <w:r>
        <w:rPr>
          <w:sz w:val="25"/>
          <w:szCs w:val="25"/>
        </w:rPr>
        <w:lastRenderedPageBreak/>
        <w:t>“Such historical analysis is</w:t>
      </w:r>
      <w:r w:rsidR="00686856" w:rsidRPr="00E26381">
        <w:rPr>
          <w:sz w:val="25"/>
          <w:szCs w:val="25"/>
        </w:rPr>
        <w:t xml:space="preserve"> what distinguishes</w:t>
      </w:r>
      <w:r w:rsidR="002870B1" w:rsidRPr="00E26381">
        <w:rPr>
          <w:sz w:val="25"/>
          <w:szCs w:val="25"/>
        </w:rPr>
        <w:t xml:space="preserve"> an attrition adjustment</w:t>
      </w:r>
      <w:r w:rsidR="00686856" w:rsidRPr="00E26381">
        <w:rPr>
          <w:sz w:val="25"/>
          <w:szCs w:val="25"/>
        </w:rPr>
        <w:t xml:space="preserve"> from </w:t>
      </w:r>
      <w:r w:rsidR="002870B1" w:rsidRPr="00E26381">
        <w:rPr>
          <w:sz w:val="25"/>
          <w:szCs w:val="25"/>
        </w:rPr>
        <w:t xml:space="preserve">the use of </w:t>
      </w:r>
      <w:r w:rsidR="00686856" w:rsidRPr="00E26381">
        <w:rPr>
          <w:sz w:val="25"/>
          <w:szCs w:val="25"/>
        </w:rPr>
        <w:t>a future test year.</w:t>
      </w:r>
      <w:r>
        <w:rPr>
          <w:sz w:val="25"/>
          <w:szCs w:val="25"/>
        </w:rPr>
        <w:t>”</w:t>
      </w:r>
      <w:r w:rsidR="00686856" w:rsidRPr="00E26381">
        <w:rPr>
          <w:sz w:val="25"/>
          <w:szCs w:val="25"/>
        </w:rPr>
        <w:t xml:space="preserve"> </w:t>
      </w:r>
      <w:r w:rsidR="002870B1" w:rsidRPr="00E26381">
        <w:rPr>
          <w:rStyle w:val="FootnoteReference"/>
          <w:sz w:val="25"/>
          <w:szCs w:val="25"/>
        </w:rPr>
        <w:footnoteReference w:id="15"/>
      </w:r>
    </w:p>
    <w:p w14:paraId="1F7278B4" w14:textId="77777777" w:rsidR="00686856" w:rsidRPr="00E26381" w:rsidRDefault="0090024F" w:rsidP="003124C6">
      <w:pPr>
        <w:autoSpaceDE w:val="0"/>
        <w:autoSpaceDN w:val="0"/>
        <w:adjustRightInd w:val="0"/>
        <w:spacing w:before="0" w:after="0" w:line="360" w:lineRule="auto"/>
        <w:ind w:firstLine="720"/>
        <w:rPr>
          <w:sz w:val="25"/>
          <w:szCs w:val="25"/>
        </w:rPr>
      </w:pPr>
      <w:r w:rsidRPr="00E26381">
        <w:rPr>
          <w:sz w:val="25"/>
          <w:szCs w:val="25"/>
        </w:rPr>
        <w:t xml:space="preserve">An attrition analysis is </w:t>
      </w:r>
      <w:r w:rsidR="007168E1" w:rsidRPr="00E26381">
        <w:rPr>
          <w:sz w:val="25"/>
          <w:szCs w:val="25"/>
        </w:rPr>
        <w:t xml:space="preserve">therefore </w:t>
      </w:r>
      <w:r w:rsidRPr="00E26381">
        <w:rPr>
          <w:sz w:val="25"/>
          <w:szCs w:val="25"/>
        </w:rPr>
        <w:t>an exer</w:t>
      </w:r>
      <w:r w:rsidR="009C2D59" w:rsidRPr="00E26381">
        <w:rPr>
          <w:sz w:val="25"/>
          <w:szCs w:val="25"/>
        </w:rPr>
        <w:t>cise in inferential statistic</w:t>
      </w:r>
      <w:r w:rsidR="005E4CF4">
        <w:rPr>
          <w:sz w:val="25"/>
          <w:szCs w:val="25"/>
        </w:rPr>
        <w:t>s, whereby</w:t>
      </w:r>
      <w:r w:rsidR="00F355E6" w:rsidRPr="00E26381">
        <w:rPr>
          <w:sz w:val="25"/>
          <w:szCs w:val="25"/>
        </w:rPr>
        <w:t xml:space="preserve"> </w:t>
      </w:r>
      <w:r w:rsidR="005E4CF4">
        <w:rPr>
          <w:sz w:val="25"/>
          <w:szCs w:val="25"/>
        </w:rPr>
        <w:t>inferences are</w:t>
      </w:r>
      <w:r w:rsidR="007168E1" w:rsidRPr="00E26381">
        <w:rPr>
          <w:sz w:val="25"/>
          <w:szCs w:val="25"/>
        </w:rPr>
        <w:t xml:space="preserve"> made through</w:t>
      </w:r>
      <w:r w:rsidR="00F355E6" w:rsidRPr="00E26381">
        <w:rPr>
          <w:sz w:val="25"/>
          <w:szCs w:val="25"/>
        </w:rPr>
        <w:t xml:space="preserve"> empirical analysis of</w:t>
      </w:r>
      <w:r w:rsidR="009C2D59" w:rsidRPr="00E26381">
        <w:rPr>
          <w:sz w:val="25"/>
          <w:szCs w:val="25"/>
        </w:rPr>
        <w:t xml:space="preserve"> </w:t>
      </w:r>
      <w:r w:rsidR="007B6752" w:rsidRPr="00E26381">
        <w:rPr>
          <w:sz w:val="25"/>
          <w:szCs w:val="25"/>
        </w:rPr>
        <w:t>recorded</w:t>
      </w:r>
      <w:r w:rsidR="00F355E6" w:rsidRPr="00E26381">
        <w:rPr>
          <w:sz w:val="25"/>
          <w:szCs w:val="25"/>
        </w:rPr>
        <w:t xml:space="preserve"> observations. </w:t>
      </w:r>
      <w:r w:rsidR="004B3AC4" w:rsidRPr="00E26381">
        <w:rPr>
          <w:sz w:val="25"/>
          <w:szCs w:val="25"/>
        </w:rPr>
        <w:t>Such an analysis should be scientifically objective and fr</w:t>
      </w:r>
      <w:r w:rsidR="007168E1" w:rsidRPr="00E26381">
        <w:rPr>
          <w:sz w:val="25"/>
          <w:szCs w:val="25"/>
        </w:rPr>
        <w:t>ee from bias. Speculative</w:t>
      </w:r>
      <w:r w:rsidR="00BE7062" w:rsidRPr="00E26381">
        <w:rPr>
          <w:sz w:val="25"/>
          <w:szCs w:val="25"/>
        </w:rPr>
        <w:t xml:space="preserve"> future expenses or pla</w:t>
      </w:r>
      <w:r w:rsidR="005E4CF4">
        <w:rPr>
          <w:sz w:val="25"/>
          <w:szCs w:val="25"/>
        </w:rPr>
        <w:t>nt balances do not qualify as</w:t>
      </w:r>
      <w:r w:rsidR="00BE7062" w:rsidRPr="00E26381">
        <w:rPr>
          <w:sz w:val="25"/>
          <w:szCs w:val="25"/>
        </w:rPr>
        <w:t xml:space="preserve"> observations and so </w:t>
      </w:r>
      <w:r w:rsidR="007168E1" w:rsidRPr="00E26381">
        <w:rPr>
          <w:sz w:val="25"/>
          <w:szCs w:val="25"/>
        </w:rPr>
        <w:t>are</w:t>
      </w:r>
      <w:r w:rsidR="00BE7062" w:rsidRPr="00E26381">
        <w:rPr>
          <w:sz w:val="25"/>
          <w:szCs w:val="25"/>
        </w:rPr>
        <w:t xml:space="preserve"> entirely inappropriate to include </w:t>
      </w:r>
      <w:r w:rsidR="005E4CF4">
        <w:rPr>
          <w:sz w:val="25"/>
          <w:szCs w:val="25"/>
        </w:rPr>
        <w:t>as data points</w:t>
      </w:r>
      <w:r w:rsidR="00556398" w:rsidRPr="00E26381">
        <w:rPr>
          <w:sz w:val="25"/>
          <w:szCs w:val="25"/>
        </w:rPr>
        <w:t xml:space="preserve"> </w:t>
      </w:r>
      <w:r w:rsidR="00BE7062" w:rsidRPr="00E26381">
        <w:rPr>
          <w:sz w:val="25"/>
          <w:szCs w:val="25"/>
        </w:rPr>
        <w:t>in a</w:t>
      </w:r>
      <w:r w:rsidR="007168E1" w:rsidRPr="00E26381">
        <w:rPr>
          <w:sz w:val="25"/>
          <w:szCs w:val="25"/>
        </w:rPr>
        <w:t>n objective</w:t>
      </w:r>
      <w:r w:rsidR="00BE7062" w:rsidRPr="00E26381">
        <w:rPr>
          <w:sz w:val="25"/>
          <w:szCs w:val="25"/>
        </w:rPr>
        <w:t xml:space="preserve"> statistical analysis. </w:t>
      </w:r>
      <w:r w:rsidR="004B3AC4" w:rsidRPr="00E26381">
        <w:rPr>
          <w:sz w:val="25"/>
          <w:szCs w:val="25"/>
        </w:rPr>
        <w:t xml:space="preserve"> </w:t>
      </w:r>
    </w:p>
    <w:p w14:paraId="058D5C8C" w14:textId="77777777" w:rsidR="00686856" w:rsidRPr="00E26381" w:rsidRDefault="00686856" w:rsidP="003124C6">
      <w:pPr>
        <w:autoSpaceDE w:val="0"/>
        <w:autoSpaceDN w:val="0"/>
        <w:adjustRightInd w:val="0"/>
        <w:spacing w:before="0" w:after="0" w:line="360" w:lineRule="auto"/>
        <w:rPr>
          <w:sz w:val="25"/>
          <w:szCs w:val="25"/>
        </w:rPr>
      </w:pPr>
    </w:p>
    <w:p w14:paraId="1B242175" w14:textId="77777777" w:rsidR="00C379CC" w:rsidRPr="00E26381" w:rsidRDefault="00C379CC" w:rsidP="009632CD">
      <w:pPr>
        <w:pStyle w:val="ListParagraph"/>
        <w:numPr>
          <w:ilvl w:val="1"/>
          <w:numId w:val="4"/>
        </w:numPr>
        <w:autoSpaceDE w:val="0"/>
        <w:autoSpaceDN w:val="0"/>
        <w:adjustRightInd w:val="0"/>
        <w:spacing w:before="0" w:after="0" w:line="360" w:lineRule="auto"/>
        <w:ind w:left="1080"/>
        <w:contextualSpacing w:val="0"/>
        <w:rPr>
          <w:b/>
          <w:i/>
          <w:sz w:val="25"/>
          <w:szCs w:val="25"/>
        </w:rPr>
      </w:pPr>
      <w:r w:rsidRPr="00E26381">
        <w:rPr>
          <w:b/>
          <w:i/>
          <w:sz w:val="25"/>
          <w:szCs w:val="25"/>
        </w:rPr>
        <w:t>Should rate-year capital budgets be considered?</w:t>
      </w:r>
    </w:p>
    <w:p w14:paraId="54243AA1" w14:textId="77777777" w:rsidR="00346278" w:rsidRDefault="0035729C" w:rsidP="003124C6">
      <w:pPr>
        <w:autoSpaceDE w:val="0"/>
        <w:autoSpaceDN w:val="0"/>
        <w:adjustRightInd w:val="0"/>
        <w:spacing w:before="0" w:after="0" w:line="360" w:lineRule="auto"/>
        <w:rPr>
          <w:sz w:val="25"/>
          <w:szCs w:val="25"/>
        </w:rPr>
      </w:pPr>
      <w:r w:rsidRPr="00E26381">
        <w:rPr>
          <w:sz w:val="25"/>
          <w:szCs w:val="25"/>
        </w:rPr>
        <w:t>No.</w:t>
      </w:r>
      <w:r w:rsidR="004638C9">
        <w:rPr>
          <w:sz w:val="25"/>
          <w:szCs w:val="25"/>
        </w:rPr>
        <w:t xml:space="preserve"> Rate year capital budgets are not known and measurable and do not re</w:t>
      </w:r>
      <w:r w:rsidR="00AE52E0">
        <w:rPr>
          <w:sz w:val="25"/>
          <w:szCs w:val="25"/>
        </w:rPr>
        <w:t>flect the level of plant that will</w:t>
      </w:r>
      <w:r w:rsidR="004638C9">
        <w:rPr>
          <w:sz w:val="25"/>
          <w:szCs w:val="25"/>
        </w:rPr>
        <w:t xml:space="preserve"> used and useful in the rate year. </w:t>
      </w:r>
    </w:p>
    <w:p w14:paraId="0CEA0404" w14:textId="77777777" w:rsidR="004638C9" w:rsidRPr="00E26381" w:rsidRDefault="004638C9" w:rsidP="003124C6">
      <w:pPr>
        <w:autoSpaceDE w:val="0"/>
        <w:autoSpaceDN w:val="0"/>
        <w:adjustRightInd w:val="0"/>
        <w:spacing w:before="0" w:after="0" w:line="360" w:lineRule="auto"/>
        <w:rPr>
          <w:sz w:val="25"/>
          <w:szCs w:val="25"/>
        </w:rPr>
      </w:pPr>
    </w:p>
    <w:p w14:paraId="08A8B28C" w14:textId="77777777" w:rsidR="00C379CC" w:rsidRPr="00E26381" w:rsidRDefault="00C379CC" w:rsidP="009632CD">
      <w:pPr>
        <w:pStyle w:val="ListParagraph"/>
        <w:numPr>
          <w:ilvl w:val="1"/>
          <w:numId w:val="4"/>
        </w:numPr>
        <w:autoSpaceDE w:val="0"/>
        <w:autoSpaceDN w:val="0"/>
        <w:adjustRightInd w:val="0"/>
        <w:spacing w:before="0"/>
        <w:ind w:left="1080"/>
        <w:contextualSpacing w:val="0"/>
        <w:rPr>
          <w:b/>
          <w:i/>
          <w:sz w:val="25"/>
          <w:szCs w:val="25"/>
        </w:rPr>
      </w:pPr>
      <w:r w:rsidRPr="00E26381">
        <w:rPr>
          <w:b/>
          <w:i/>
          <w:sz w:val="25"/>
          <w:szCs w:val="25"/>
        </w:rPr>
        <w:t>Should there be a “bright-line” cutoff date for including pro forma plant in rate base?</w:t>
      </w:r>
    </w:p>
    <w:p w14:paraId="4AD654F7" w14:textId="77777777" w:rsidR="00A30381" w:rsidRPr="00E26381" w:rsidRDefault="00473514" w:rsidP="003124C6">
      <w:pPr>
        <w:autoSpaceDE w:val="0"/>
        <w:autoSpaceDN w:val="0"/>
        <w:adjustRightInd w:val="0"/>
        <w:spacing w:before="0" w:after="0" w:line="360" w:lineRule="auto"/>
        <w:rPr>
          <w:sz w:val="25"/>
          <w:szCs w:val="25"/>
        </w:rPr>
      </w:pPr>
      <w:r w:rsidRPr="00E26381">
        <w:rPr>
          <w:sz w:val="25"/>
          <w:szCs w:val="25"/>
        </w:rPr>
        <w:t>Staff has argued previously that the establishment of a “bright-line” cutoff date for including pro forma pla</w:t>
      </w:r>
      <w:r w:rsidR="00A30381" w:rsidRPr="00E26381">
        <w:rPr>
          <w:sz w:val="25"/>
          <w:szCs w:val="25"/>
        </w:rPr>
        <w:t xml:space="preserve">nt in rate base is appropriate. </w:t>
      </w:r>
      <w:r w:rsidR="00995C29">
        <w:rPr>
          <w:sz w:val="25"/>
          <w:szCs w:val="25"/>
        </w:rPr>
        <w:t xml:space="preserve">Although Staff sees value in maintaining flexibility </w:t>
      </w:r>
      <w:r w:rsidR="002C7B02">
        <w:rPr>
          <w:sz w:val="25"/>
          <w:szCs w:val="25"/>
        </w:rPr>
        <w:t>so that the Commission may exercise its informed judgment when</w:t>
      </w:r>
      <w:r w:rsidR="00995C29">
        <w:rPr>
          <w:sz w:val="25"/>
          <w:szCs w:val="25"/>
        </w:rPr>
        <w:t xml:space="preserve"> determining rates, </w:t>
      </w:r>
      <w:r w:rsidR="00A30381" w:rsidRPr="00E26381">
        <w:rPr>
          <w:sz w:val="25"/>
          <w:szCs w:val="25"/>
        </w:rPr>
        <w:t>Staff encourag</w:t>
      </w:r>
      <w:r w:rsidR="009E7B27">
        <w:rPr>
          <w:sz w:val="25"/>
          <w:szCs w:val="25"/>
        </w:rPr>
        <w:t xml:space="preserve">es the Commission to </w:t>
      </w:r>
      <w:r w:rsidR="00695CD0">
        <w:rPr>
          <w:sz w:val="25"/>
          <w:szCs w:val="25"/>
        </w:rPr>
        <w:t>engage in</w:t>
      </w:r>
      <w:r w:rsidR="009E7B27">
        <w:rPr>
          <w:sz w:val="25"/>
          <w:szCs w:val="25"/>
        </w:rPr>
        <w:t xml:space="preserve"> additional discussion </w:t>
      </w:r>
      <w:r w:rsidR="00695CD0">
        <w:rPr>
          <w:sz w:val="25"/>
          <w:szCs w:val="25"/>
        </w:rPr>
        <w:t>with a goal of clearer guidance on when plant may be included in determining rates</w:t>
      </w:r>
      <w:r w:rsidR="009E7B27">
        <w:rPr>
          <w:sz w:val="25"/>
          <w:szCs w:val="25"/>
        </w:rPr>
        <w:t xml:space="preserve">. </w:t>
      </w:r>
      <w:r w:rsidR="00A30381" w:rsidRPr="00E26381">
        <w:rPr>
          <w:sz w:val="25"/>
          <w:szCs w:val="25"/>
        </w:rPr>
        <w:t xml:space="preserve"> </w:t>
      </w:r>
    </w:p>
    <w:p w14:paraId="1B8652BC" w14:textId="77777777" w:rsidR="00401027" w:rsidRDefault="00473514" w:rsidP="009632CD">
      <w:pPr>
        <w:autoSpaceDE w:val="0"/>
        <w:autoSpaceDN w:val="0"/>
        <w:adjustRightInd w:val="0"/>
        <w:spacing w:before="0" w:after="0" w:line="360" w:lineRule="auto"/>
        <w:ind w:firstLine="720"/>
        <w:rPr>
          <w:sz w:val="25"/>
          <w:szCs w:val="25"/>
        </w:rPr>
      </w:pPr>
      <w:r w:rsidRPr="00E26381">
        <w:rPr>
          <w:sz w:val="25"/>
          <w:szCs w:val="25"/>
        </w:rPr>
        <w:t xml:space="preserve">At the barest of minima, </w:t>
      </w:r>
      <w:r w:rsidR="004E4D94">
        <w:rPr>
          <w:sz w:val="25"/>
          <w:szCs w:val="25"/>
        </w:rPr>
        <w:t xml:space="preserve">Staff believes that </w:t>
      </w:r>
      <w:r w:rsidRPr="00E26381">
        <w:rPr>
          <w:sz w:val="25"/>
          <w:szCs w:val="25"/>
        </w:rPr>
        <w:t>the plant included in rates must be used a</w:t>
      </w:r>
      <w:r w:rsidR="00A30381" w:rsidRPr="00E26381">
        <w:rPr>
          <w:sz w:val="25"/>
          <w:szCs w:val="25"/>
        </w:rPr>
        <w:t>nd useful in the rate year</w:t>
      </w:r>
      <w:r w:rsidRPr="00E26381">
        <w:rPr>
          <w:sz w:val="25"/>
          <w:szCs w:val="25"/>
        </w:rPr>
        <w:t>.</w:t>
      </w:r>
      <w:r w:rsidR="00A30381" w:rsidRPr="00E26381">
        <w:rPr>
          <w:sz w:val="25"/>
          <w:szCs w:val="25"/>
        </w:rPr>
        <w:t xml:space="preserve"> </w:t>
      </w:r>
      <w:r w:rsidR="00F1478F" w:rsidRPr="00E26381">
        <w:rPr>
          <w:sz w:val="25"/>
          <w:szCs w:val="25"/>
        </w:rPr>
        <w:t>Further, i</w:t>
      </w:r>
      <w:r w:rsidR="00F83E41" w:rsidRPr="00E26381">
        <w:rPr>
          <w:sz w:val="25"/>
          <w:szCs w:val="25"/>
        </w:rPr>
        <w:t xml:space="preserve">f a plant in question is not in service on day 1 of the rate year, there is no guarantee that the plant </w:t>
      </w:r>
      <w:r w:rsidR="00F1478F" w:rsidRPr="00E26381">
        <w:rPr>
          <w:sz w:val="25"/>
          <w:szCs w:val="25"/>
        </w:rPr>
        <w:t>being supported through rates will be used and useful</w:t>
      </w:r>
      <w:r w:rsidR="00F83E41" w:rsidRPr="00E26381">
        <w:rPr>
          <w:sz w:val="25"/>
          <w:szCs w:val="25"/>
        </w:rPr>
        <w:t xml:space="preserve"> in the rate year</w:t>
      </w:r>
      <w:r w:rsidR="00F1478F" w:rsidRPr="00E26381">
        <w:rPr>
          <w:sz w:val="25"/>
          <w:szCs w:val="25"/>
        </w:rPr>
        <w:t xml:space="preserve">. </w:t>
      </w:r>
      <w:r w:rsidR="00401027" w:rsidRPr="00E26381">
        <w:rPr>
          <w:sz w:val="25"/>
          <w:szCs w:val="25"/>
        </w:rPr>
        <w:t xml:space="preserve">Staff does not see </w:t>
      </w:r>
      <w:r w:rsidR="00E60739">
        <w:rPr>
          <w:sz w:val="25"/>
          <w:szCs w:val="25"/>
        </w:rPr>
        <w:t xml:space="preserve">much </w:t>
      </w:r>
      <w:r w:rsidR="00401027" w:rsidRPr="00E26381">
        <w:rPr>
          <w:sz w:val="25"/>
          <w:szCs w:val="25"/>
        </w:rPr>
        <w:t xml:space="preserve">room for the relaxation of the used and useful standard. </w:t>
      </w:r>
      <w:r w:rsidR="00F1478F" w:rsidRPr="00E26381">
        <w:rPr>
          <w:sz w:val="25"/>
          <w:szCs w:val="25"/>
        </w:rPr>
        <w:t xml:space="preserve">Therefore, Staff argues here that </w:t>
      </w:r>
      <w:r w:rsidR="00C05F2E">
        <w:rPr>
          <w:sz w:val="25"/>
          <w:szCs w:val="25"/>
        </w:rPr>
        <w:t>in the most generous view,</w:t>
      </w:r>
      <w:r w:rsidR="00F1478F" w:rsidRPr="00E26381">
        <w:rPr>
          <w:sz w:val="25"/>
          <w:szCs w:val="25"/>
        </w:rPr>
        <w:t xml:space="preserve"> </w:t>
      </w:r>
      <w:r w:rsidR="00154CE2">
        <w:rPr>
          <w:sz w:val="25"/>
          <w:szCs w:val="25"/>
        </w:rPr>
        <w:t>only plant that is</w:t>
      </w:r>
      <w:r w:rsidR="00886C92" w:rsidRPr="00E26381">
        <w:rPr>
          <w:sz w:val="25"/>
          <w:szCs w:val="25"/>
        </w:rPr>
        <w:t xml:space="preserve"> in service prior to the start of the rate year should be </w:t>
      </w:r>
      <w:r w:rsidR="00154CE2">
        <w:rPr>
          <w:sz w:val="25"/>
          <w:szCs w:val="25"/>
        </w:rPr>
        <w:t>considered for inclusion</w:t>
      </w:r>
      <w:r w:rsidR="00886C92" w:rsidRPr="00E26381">
        <w:rPr>
          <w:sz w:val="25"/>
          <w:szCs w:val="25"/>
        </w:rPr>
        <w:t xml:space="preserve"> in rates. </w:t>
      </w:r>
      <w:r w:rsidR="00CA0BF1">
        <w:rPr>
          <w:sz w:val="25"/>
          <w:szCs w:val="25"/>
        </w:rPr>
        <w:t xml:space="preserve">This </w:t>
      </w:r>
      <w:r w:rsidR="00CA0BF1">
        <w:rPr>
          <w:sz w:val="25"/>
          <w:szCs w:val="25"/>
        </w:rPr>
        <w:lastRenderedPageBreak/>
        <w:t>position is in response to prior occasions when new generation plant was intended to be in service shortly after the rate effective date</w:t>
      </w:r>
      <w:r w:rsidR="00664BEC">
        <w:rPr>
          <w:sz w:val="25"/>
          <w:szCs w:val="25"/>
        </w:rPr>
        <w:t>, but</w:t>
      </w:r>
      <w:r w:rsidR="00CA0BF1">
        <w:rPr>
          <w:sz w:val="25"/>
          <w:szCs w:val="25"/>
        </w:rPr>
        <w:t xml:space="preserve"> failed in the test phase of operations.</w:t>
      </w:r>
      <w:r w:rsidR="00CA0BF1">
        <w:rPr>
          <w:rStyle w:val="FootnoteReference"/>
          <w:sz w:val="25"/>
          <w:szCs w:val="25"/>
        </w:rPr>
        <w:footnoteReference w:id="16"/>
      </w:r>
    </w:p>
    <w:p w14:paraId="0B20C952" w14:textId="77777777" w:rsidR="00DF20CD" w:rsidRPr="00E26381" w:rsidRDefault="00C05F2E" w:rsidP="009632CD">
      <w:pPr>
        <w:autoSpaceDE w:val="0"/>
        <w:autoSpaceDN w:val="0"/>
        <w:adjustRightInd w:val="0"/>
        <w:spacing w:before="0" w:after="0" w:line="360" w:lineRule="auto"/>
        <w:ind w:firstLine="720"/>
        <w:rPr>
          <w:sz w:val="25"/>
          <w:szCs w:val="25"/>
        </w:rPr>
      </w:pPr>
      <w:r>
        <w:rPr>
          <w:sz w:val="25"/>
          <w:szCs w:val="25"/>
        </w:rPr>
        <w:t xml:space="preserve">In the </w:t>
      </w:r>
      <w:r w:rsidR="00B93EA8">
        <w:rPr>
          <w:sz w:val="25"/>
          <w:szCs w:val="25"/>
        </w:rPr>
        <w:t xml:space="preserve">most restrictive </w:t>
      </w:r>
      <w:r>
        <w:rPr>
          <w:sz w:val="25"/>
          <w:szCs w:val="25"/>
        </w:rPr>
        <w:t>view</w:t>
      </w:r>
      <w:r w:rsidR="00C775FA" w:rsidRPr="00E26381">
        <w:rPr>
          <w:sz w:val="25"/>
          <w:szCs w:val="25"/>
        </w:rPr>
        <w:t>, pro forma plant would be rejected entirely. Staff does not argue in favor of this position, as des</w:t>
      </w:r>
      <w:r w:rsidR="00C775FA" w:rsidRPr="00830F40">
        <w:rPr>
          <w:sz w:val="25"/>
          <w:szCs w:val="25"/>
        </w:rPr>
        <w:t xml:space="preserve">cribed above. </w:t>
      </w:r>
      <w:r w:rsidR="00C02A18" w:rsidRPr="00830F40">
        <w:rPr>
          <w:sz w:val="25"/>
          <w:szCs w:val="25"/>
        </w:rPr>
        <w:t>However, giv</w:t>
      </w:r>
      <w:r w:rsidR="00846B35" w:rsidRPr="00830F40">
        <w:rPr>
          <w:sz w:val="25"/>
          <w:szCs w:val="25"/>
        </w:rPr>
        <w:t xml:space="preserve">en these two </w:t>
      </w:r>
      <w:r w:rsidRPr="00830F40">
        <w:rPr>
          <w:sz w:val="25"/>
          <w:szCs w:val="25"/>
        </w:rPr>
        <w:t>views</w:t>
      </w:r>
      <w:r w:rsidR="00846B35" w:rsidRPr="00830F40">
        <w:rPr>
          <w:sz w:val="25"/>
          <w:szCs w:val="25"/>
        </w:rPr>
        <w:t>,</w:t>
      </w:r>
      <w:r w:rsidR="00470696" w:rsidRPr="00830F40">
        <w:rPr>
          <w:sz w:val="25"/>
          <w:szCs w:val="25"/>
        </w:rPr>
        <w:t xml:space="preserve"> a</w:t>
      </w:r>
      <w:r w:rsidR="00CA0BF1" w:rsidRPr="00830F40">
        <w:rPr>
          <w:sz w:val="25"/>
          <w:szCs w:val="25"/>
        </w:rPr>
        <w:t xml:space="preserve"> carefully identified, objective</w:t>
      </w:r>
      <w:r w:rsidR="00C775FA" w:rsidRPr="00830F40">
        <w:rPr>
          <w:sz w:val="25"/>
          <w:szCs w:val="25"/>
        </w:rPr>
        <w:t xml:space="preserve"> </w:t>
      </w:r>
      <w:r w:rsidR="00C02A18" w:rsidRPr="00E26381">
        <w:rPr>
          <w:sz w:val="25"/>
          <w:szCs w:val="25"/>
        </w:rPr>
        <w:t xml:space="preserve">cutoff date </w:t>
      </w:r>
      <w:r w:rsidR="00846B35" w:rsidRPr="00E26381">
        <w:rPr>
          <w:sz w:val="25"/>
          <w:szCs w:val="25"/>
        </w:rPr>
        <w:t>(if one is to be established)</w:t>
      </w:r>
      <w:r w:rsidR="00C02A18" w:rsidRPr="00E26381">
        <w:rPr>
          <w:sz w:val="25"/>
          <w:szCs w:val="25"/>
        </w:rPr>
        <w:t xml:space="preserve"> should lay between these two extremes; in order to be </w:t>
      </w:r>
      <w:r w:rsidR="0071505F">
        <w:rPr>
          <w:sz w:val="25"/>
          <w:szCs w:val="25"/>
        </w:rPr>
        <w:t>recognized</w:t>
      </w:r>
      <w:r w:rsidR="00401027" w:rsidRPr="00E26381">
        <w:rPr>
          <w:sz w:val="25"/>
          <w:szCs w:val="25"/>
        </w:rPr>
        <w:t xml:space="preserve"> for inclusion</w:t>
      </w:r>
      <w:r w:rsidR="00C02A18" w:rsidRPr="00E26381">
        <w:rPr>
          <w:sz w:val="25"/>
          <w:szCs w:val="25"/>
        </w:rPr>
        <w:t xml:space="preserve"> in rates, a plant should be placed in service after the test year but before the rate year. </w:t>
      </w:r>
      <w:r w:rsidR="00C775FA" w:rsidRPr="00E26381">
        <w:rPr>
          <w:sz w:val="25"/>
          <w:szCs w:val="25"/>
        </w:rPr>
        <w:t xml:space="preserve"> </w:t>
      </w:r>
      <w:r w:rsidR="00C02A18" w:rsidRPr="00E26381">
        <w:rPr>
          <w:sz w:val="25"/>
          <w:szCs w:val="25"/>
        </w:rPr>
        <w:t xml:space="preserve">In PacifiCorp’s 2013 general rate case, Staff argued for a cutoff date of the company’s filing of the general rate </w:t>
      </w:r>
      <w:r w:rsidR="00C02A18" w:rsidRPr="00EA54C8">
        <w:rPr>
          <w:sz w:val="25"/>
          <w:szCs w:val="25"/>
        </w:rPr>
        <w:t>case</w:t>
      </w:r>
      <w:r w:rsidR="00EA54C8" w:rsidRPr="00EA54C8">
        <w:t xml:space="preserve">. </w:t>
      </w:r>
      <w:r w:rsidR="00EA54C8" w:rsidRPr="00EA54C8">
        <w:rPr>
          <w:rStyle w:val="FootnoteReference"/>
        </w:rPr>
        <w:footnoteReference w:id="17"/>
      </w:r>
      <w:r w:rsidR="00EA54C8" w:rsidRPr="00EA54C8">
        <w:t xml:space="preserve"> </w:t>
      </w:r>
      <w:r w:rsidR="00C02A18" w:rsidRPr="00EA54C8">
        <w:rPr>
          <w:sz w:val="25"/>
          <w:szCs w:val="25"/>
        </w:rPr>
        <w:t xml:space="preserve"> That is,</w:t>
      </w:r>
      <w:r w:rsidR="00C02A18" w:rsidRPr="00E26381">
        <w:rPr>
          <w:sz w:val="25"/>
          <w:szCs w:val="25"/>
        </w:rPr>
        <w:t xml:space="preserve"> only plant placed in</w:t>
      </w:r>
      <w:r w:rsidR="005B05F2" w:rsidRPr="00E26381">
        <w:rPr>
          <w:sz w:val="25"/>
          <w:szCs w:val="25"/>
        </w:rPr>
        <w:t xml:space="preserve"> service</w:t>
      </w:r>
      <w:r w:rsidR="00C02A18" w:rsidRPr="00E26381">
        <w:rPr>
          <w:sz w:val="25"/>
          <w:szCs w:val="25"/>
        </w:rPr>
        <w:t xml:space="preserve"> prior to the filing of a case should be considered</w:t>
      </w:r>
      <w:r w:rsidR="005B05F2" w:rsidRPr="00E26381">
        <w:rPr>
          <w:sz w:val="25"/>
          <w:szCs w:val="25"/>
        </w:rPr>
        <w:t xml:space="preserve"> for inclusion in rates</w:t>
      </w:r>
      <w:r w:rsidR="00C02A18" w:rsidRPr="00E26381">
        <w:rPr>
          <w:sz w:val="25"/>
          <w:szCs w:val="25"/>
        </w:rPr>
        <w:t xml:space="preserve">. The Commission rejected </w:t>
      </w:r>
      <w:r w:rsidR="00315822" w:rsidRPr="00E26381">
        <w:rPr>
          <w:sz w:val="25"/>
          <w:szCs w:val="25"/>
        </w:rPr>
        <w:t xml:space="preserve">this </w:t>
      </w:r>
      <w:r w:rsidR="00664BEC">
        <w:rPr>
          <w:sz w:val="25"/>
          <w:szCs w:val="25"/>
        </w:rPr>
        <w:t>position</w:t>
      </w:r>
      <w:r w:rsidR="002149DF">
        <w:rPr>
          <w:sz w:val="25"/>
          <w:szCs w:val="25"/>
        </w:rPr>
        <w:t xml:space="preserve"> on the grounds that the </w:t>
      </w:r>
      <w:r w:rsidR="00F71BD0">
        <w:rPr>
          <w:sz w:val="25"/>
          <w:szCs w:val="25"/>
        </w:rPr>
        <w:t>Commission requires flexibility to exercise its informed judgement.</w:t>
      </w:r>
      <w:r w:rsidR="00846B35" w:rsidRPr="00E26381">
        <w:rPr>
          <w:sz w:val="25"/>
          <w:szCs w:val="25"/>
        </w:rPr>
        <w:t xml:space="preserve"> </w:t>
      </w:r>
      <w:r w:rsidR="002C33E7">
        <w:rPr>
          <w:rStyle w:val="FootnoteReference"/>
          <w:sz w:val="25"/>
          <w:szCs w:val="25"/>
        </w:rPr>
        <w:footnoteReference w:id="18"/>
      </w:r>
      <w:r w:rsidR="00315822" w:rsidRPr="00E26381">
        <w:rPr>
          <w:sz w:val="25"/>
          <w:szCs w:val="25"/>
        </w:rPr>
        <w:t xml:space="preserve"> </w:t>
      </w:r>
      <w:r w:rsidR="00F71BD0">
        <w:rPr>
          <w:sz w:val="25"/>
          <w:szCs w:val="25"/>
        </w:rPr>
        <w:t xml:space="preserve">However, </w:t>
      </w:r>
      <w:r w:rsidR="002D6D18">
        <w:rPr>
          <w:sz w:val="25"/>
          <w:szCs w:val="25"/>
        </w:rPr>
        <w:t xml:space="preserve">for the purpose of promoting a comprehensive discussion in this docket, Staff </w:t>
      </w:r>
      <w:r w:rsidR="00315822" w:rsidRPr="00E26381">
        <w:rPr>
          <w:sz w:val="25"/>
          <w:szCs w:val="25"/>
        </w:rPr>
        <w:t xml:space="preserve">seeks to </w:t>
      </w:r>
      <w:r w:rsidR="00F73B10">
        <w:rPr>
          <w:sz w:val="25"/>
          <w:szCs w:val="25"/>
        </w:rPr>
        <w:t>resta</w:t>
      </w:r>
      <w:r w:rsidR="00E60739">
        <w:rPr>
          <w:sz w:val="25"/>
          <w:szCs w:val="25"/>
        </w:rPr>
        <w:t>te its preference for a bright line cutoff date</w:t>
      </w:r>
      <w:r w:rsidR="00F73B10">
        <w:rPr>
          <w:sz w:val="25"/>
          <w:szCs w:val="25"/>
        </w:rPr>
        <w:t xml:space="preserve"> and notes that various bright line cutoff dates can be seen as reflective of unde</w:t>
      </w:r>
      <w:r w:rsidR="00403D38">
        <w:rPr>
          <w:sz w:val="25"/>
          <w:szCs w:val="25"/>
        </w:rPr>
        <w:t>rlying policy preferences</w:t>
      </w:r>
      <w:r w:rsidR="00F73B10">
        <w:rPr>
          <w:sz w:val="25"/>
          <w:szCs w:val="25"/>
        </w:rPr>
        <w:t xml:space="preserve">. Staff </w:t>
      </w:r>
      <w:r w:rsidR="00315822" w:rsidRPr="00E26381">
        <w:rPr>
          <w:sz w:val="25"/>
          <w:szCs w:val="25"/>
        </w:rPr>
        <w:t>offer</w:t>
      </w:r>
      <w:r w:rsidR="00F73B10">
        <w:rPr>
          <w:sz w:val="25"/>
          <w:szCs w:val="25"/>
        </w:rPr>
        <w:t>s its opinion</w:t>
      </w:r>
      <w:r w:rsidR="00F71BD0">
        <w:rPr>
          <w:sz w:val="25"/>
          <w:szCs w:val="25"/>
        </w:rPr>
        <w:t xml:space="preserve"> </w:t>
      </w:r>
      <w:r w:rsidR="00403D38">
        <w:rPr>
          <w:sz w:val="25"/>
          <w:szCs w:val="25"/>
        </w:rPr>
        <w:t xml:space="preserve">here </w:t>
      </w:r>
      <w:r w:rsidR="00315822" w:rsidRPr="00E26381">
        <w:rPr>
          <w:sz w:val="25"/>
          <w:szCs w:val="25"/>
        </w:rPr>
        <w:t xml:space="preserve">about the implied policy preferences associated with </w:t>
      </w:r>
      <w:r w:rsidR="005B05F2" w:rsidRPr="00E26381">
        <w:rPr>
          <w:sz w:val="25"/>
          <w:szCs w:val="25"/>
        </w:rPr>
        <w:t xml:space="preserve">three </w:t>
      </w:r>
      <w:r w:rsidR="00315822" w:rsidRPr="00E26381">
        <w:rPr>
          <w:sz w:val="25"/>
          <w:szCs w:val="25"/>
        </w:rPr>
        <w:t xml:space="preserve">possible bright line cutoff dates. </w:t>
      </w:r>
      <w:r w:rsidR="00A55A99" w:rsidRPr="00E26381">
        <w:rPr>
          <w:sz w:val="25"/>
          <w:szCs w:val="25"/>
        </w:rPr>
        <w:t>I</w:t>
      </w:r>
      <w:r w:rsidR="00401027" w:rsidRPr="00E26381">
        <w:rPr>
          <w:sz w:val="25"/>
          <w:szCs w:val="25"/>
        </w:rPr>
        <w:t>f the Commission were to assert</w:t>
      </w:r>
      <w:r w:rsidR="00403D38">
        <w:rPr>
          <w:sz w:val="25"/>
          <w:szCs w:val="25"/>
        </w:rPr>
        <w:t xml:space="preserve"> specific</w:t>
      </w:r>
      <w:r w:rsidR="00A55A99" w:rsidRPr="00E26381">
        <w:rPr>
          <w:sz w:val="25"/>
          <w:szCs w:val="25"/>
        </w:rPr>
        <w:t xml:space="preserve"> policy preferences it could do so through the choice of one of these three bright lines.</w:t>
      </w:r>
    </w:p>
    <w:p w14:paraId="03D80C29" w14:textId="77777777" w:rsidR="005B05F2" w:rsidRPr="00E26381" w:rsidRDefault="005B05F2" w:rsidP="00DA3983">
      <w:pPr>
        <w:autoSpaceDE w:val="0"/>
        <w:autoSpaceDN w:val="0"/>
        <w:adjustRightInd w:val="0"/>
        <w:spacing w:before="0" w:after="0" w:line="360" w:lineRule="auto"/>
        <w:rPr>
          <w:sz w:val="25"/>
          <w:szCs w:val="25"/>
          <w:u w:val="single"/>
        </w:rPr>
      </w:pPr>
      <w:r w:rsidRPr="00E26381">
        <w:rPr>
          <w:sz w:val="25"/>
          <w:szCs w:val="25"/>
          <w:u w:val="single"/>
        </w:rPr>
        <w:t>Bright Line 1 – Day 1 of the rate year.</w:t>
      </w:r>
    </w:p>
    <w:p w14:paraId="12572B4F" w14:textId="77777777" w:rsidR="00817994" w:rsidRPr="00E26381" w:rsidRDefault="00A55A99" w:rsidP="009632CD">
      <w:pPr>
        <w:autoSpaceDE w:val="0"/>
        <w:autoSpaceDN w:val="0"/>
        <w:adjustRightInd w:val="0"/>
        <w:spacing w:before="0" w:after="0" w:line="360" w:lineRule="auto"/>
        <w:ind w:firstLine="720"/>
        <w:rPr>
          <w:sz w:val="25"/>
          <w:szCs w:val="25"/>
        </w:rPr>
      </w:pPr>
      <w:r w:rsidRPr="00E26381">
        <w:rPr>
          <w:sz w:val="25"/>
          <w:szCs w:val="25"/>
        </w:rPr>
        <w:t xml:space="preserve">A cutoff date of day 1 of the rate year (that is, </w:t>
      </w:r>
      <w:r w:rsidR="000E36F6" w:rsidRPr="00E26381">
        <w:rPr>
          <w:sz w:val="25"/>
          <w:szCs w:val="25"/>
        </w:rPr>
        <w:t xml:space="preserve">all plant supported though rates must be in service prior to the start of the rate year) </w:t>
      </w:r>
      <w:r w:rsidR="00813EC3" w:rsidRPr="00E26381">
        <w:rPr>
          <w:sz w:val="25"/>
          <w:szCs w:val="25"/>
        </w:rPr>
        <w:t>enables adherence to the “used and useful” standard while providing</w:t>
      </w:r>
      <w:r w:rsidR="000E36F6" w:rsidRPr="00E26381">
        <w:rPr>
          <w:sz w:val="25"/>
          <w:szCs w:val="25"/>
        </w:rPr>
        <w:t xml:space="preserve"> the Company with rates based on plant balances that</w:t>
      </w:r>
      <w:r w:rsidR="00554B94" w:rsidRPr="00E26381">
        <w:rPr>
          <w:sz w:val="25"/>
          <w:szCs w:val="25"/>
        </w:rPr>
        <w:t xml:space="preserve"> most closely align with rate </w:t>
      </w:r>
      <w:r w:rsidR="00813EC3" w:rsidRPr="00E26381">
        <w:rPr>
          <w:sz w:val="25"/>
          <w:szCs w:val="25"/>
        </w:rPr>
        <w:t>year plant balances</w:t>
      </w:r>
      <w:r w:rsidR="00817994" w:rsidRPr="00E26381">
        <w:rPr>
          <w:sz w:val="25"/>
          <w:szCs w:val="25"/>
        </w:rPr>
        <w:t xml:space="preserve">. </w:t>
      </w:r>
    </w:p>
    <w:p w14:paraId="352521D5" w14:textId="77777777" w:rsidR="00813EC3" w:rsidRPr="00E26381" w:rsidRDefault="00FE5D57" w:rsidP="009632CD">
      <w:pPr>
        <w:autoSpaceDE w:val="0"/>
        <w:autoSpaceDN w:val="0"/>
        <w:adjustRightInd w:val="0"/>
        <w:spacing w:before="0" w:after="0" w:line="360" w:lineRule="auto"/>
        <w:ind w:firstLine="720"/>
        <w:rPr>
          <w:sz w:val="25"/>
          <w:szCs w:val="25"/>
        </w:rPr>
      </w:pPr>
      <w:r w:rsidRPr="00E26381">
        <w:rPr>
          <w:sz w:val="25"/>
          <w:szCs w:val="25"/>
        </w:rPr>
        <w:t xml:space="preserve">To the extent that earnings attrition is </w:t>
      </w:r>
      <w:r w:rsidR="001379FD" w:rsidRPr="00E26381">
        <w:rPr>
          <w:sz w:val="25"/>
          <w:szCs w:val="25"/>
        </w:rPr>
        <w:t>being caused by</w:t>
      </w:r>
      <w:r w:rsidRPr="00E26381">
        <w:rPr>
          <w:sz w:val="25"/>
          <w:szCs w:val="25"/>
        </w:rPr>
        <w:t xml:space="preserve"> </w:t>
      </w:r>
      <w:r w:rsidR="001379FD" w:rsidRPr="00E26381">
        <w:rPr>
          <w:sz w:val="25"/>
          <w:szCs w:val="25"/>
        </w:rPr>
        <w:t>abnormally rapid (but prudent) plant investment</w:t>
      </w:r>
      <w:r w:rsidR="004D1EB6" w:rsidRPr="00E26381">
        <w:rPr>
          <w:sz w:val="25"/>
          <w:szCs w:val="25"/>
        </w:rPr>
        <w:t xml:space="preserve"> compounded by</w:t>
      </w:r>
      <w:r w:rsidRPr="00E26381">
        <w:rPr>
          <w:sz w:val="25"/>
          <w:szCs w:val="25"/>
        </w:rPr>
        <w:t xml:space="preserve"> regulatory lag</w:t>
      </w:r>
      <w:r w:rsidR="004D1EB6" w:rsidRPr="00E26381">
        <w:rPr>
          <w:sz w:val="25"/>
          <w:szCs w:val="25"/>
        </w:rPr>
        <w:t xml:space="preserve">, a bright line of day 1 of the rate year </w:t>
      </w:r>
      <w:r w:rsidR="004D1EB6" w:rsidRPr="00E26381">
        <w:rPr>
          <w:sz w:val="25"/>
          <w:szCs w:val="25"/>
        </w:rPr>
        <w:lastRenderedPageBreak/>
        <w:t>implies that</w:t>
      </w:r>
      <w:r w:rsidR="001379FD" w:rsidRPr="00E26381">
        <w:rPr>
          <w:sz w:val="25"/>
          <w:szCs w:val="25"/>
        </w:rPr>
        <w:t>, as a policy preference,</w:t>
      </w:r>
      <w:r w:rsidR="004D1EB6" w:rsidRPr="00E26381">
        <w:rPr>
          <w:sz w:val="25"/>
          <w:szCs w:val="25"/>
        </w:rPr>
        <w:t xml:space="preserve"> the Commission </w:t>
      </w:r>
      <w:r w:rsidR="007A5DB7" w:rsidRPr="00E26381">
        <w:rPr>
          <w:sz w:val="25"/>
          <w:szCs w:val="25"/>
        </w:rPr>
        <w:t>is inte</w:t>
      </w:r>
      <w:r w:rsidR="001379FD" w:rsidRPr="00E26381">
        <w:rPr>
          <w:sz w:val="25"/>
          <w:szCs w:val="25"/>
        </w:rPr>
        <w:t xml:space="preserve">nt on </w:t>
      </w:r>
      <w:r w:rsidR="006A3687" w:rsidRPr="00E26381">
        <w:rPr>
          <w:sz w:val="25"/>
          <w:szCs w:val="25"/>
        </w:rPr>
        <w:t xml:space="preserve">combating earnings attrition by </w:t>
      </w:r>
      <w:r w:rsidR="001379FD" w:rsidRPr="00E26381">
        <w:rPr>
          <w:sz w:val="25"/>
          <w:szCs w:val="25"/>
        </w:rPr>
        <w:t xml:space="preserve">minimizing regulatory lag. </w:t>
      </w:r>
      <w:r w:rsidR="007A5DB7" w:rsidRPr="00E26381">
        <w:rPr>
          <w:sz w:val="25"/>
          <w:szCs w:val="25"/>
        </w:rPr>
        <w:t xml:space="preserve"> </w:t>
      </w:r>
    </w:p>
    <w:p w14:paraId="6C8FC1B1" w14:textId="431FDAEE" w:rsidR="00A03AB7" w:rsidRPr="00E26381" w:rsidRDefault="00BB7C93" w:rsidP="009632CD">
      <w:pPr>
        <w:autoSpaceDE w:val="0"/>
        <w:autoSpaceDN w:val="0"/>
        <w:adjustRightInd w:val="0"/>
        <w:spacing w:before="0" w:after="0" w:line="360" w:lineRule="auto"/>
        <w:ind w:firstLine="720"/>
        <w:rPr>
          <w:sz w:val="25"/>
          <w:szCs w:val="25"/>
        </w:rPr>
      </w:pPr>
      <w:r w:rsidRPr="00E26381">
        <w:rPr>
          <w:sz w:val="25"/>
          <w:szCs w:val="25"/>
        </w:rPr>
        <w:t>However, this position also implies a relaxation of the “known and measurable”</w:t>
      </w:r>
      <w:r w:rsidR="00513EA0" w:rsidRPr="00E26381">
        <w:rPr>
          <w:sz w:val="25"/>
          <w:szCs w:val="25"/>
        </w:rPr>
        <w:t xml:space="preserve"> standard. For example, consider</w:t>
      </w:r>
      <w:r w:rsidRPr="00E26381">
        <w:rPr>
          <w:sz w:val="25"/>
          <w:szCs w:val="25"/>
        </w:rPr>
        <w:t xml:space="preserve"> a utility </w:t>
      </w:r>
      <w:r w:rsidR="00513EA0" w:rsidRPr="00E26381">
        <w:rPr>
          <w:sz w:val="25"/>
          <w:szCs w:val="25"/>
        </w:rPr>
        <w:t xml:space="preserve">that </w:t>
      </w:r>
      <w:r w:rsidRPr="00E26381">
        <w:rPr>
          <w:sz w:val="25"/>
          <w:szCs w:val="25"/>
        </w:rPr>
        <w:t xml:space="preserve">files a case on February 1, 2016, </w:t>
      </w:r>
      <w:r w:rsidR="00513EA0" w:rsidRPr="00E26381">
        <w:rPr>
          <w:sz w:val="25"/>
          <w:szCs w:val="25"/>
        </w:rPr>
        <w:t xml:space="preserve">for rates effective January 1, 2017. </w:t>
      </w:r>
      <w:r w:rsidR="00AC0262" w:rsidRPr="00E26381">
        <w:rPr>
          <w:sz w:val="25"/>
          <w:szCs w:val="25"/>
        </w:rPr>
        <w:t xml:space="preserve">At the </w:t>
      </w:r>
      <w:r w:rsidR="00BC449E" w:rsidRPr="00E26381">
        <w:rPr>
          <w:sz w:val="25"/>
          <w:szCs w:val="25"/>
        </w:rPr>
        <w:t>filing of Staff and intervener response testimony (late July</w:t>
      </w:r>
      <w:r w:rsidR="000578D4" w:rsidRPr="00E26381">
        <w:rPr>
          <w:sz w:val="25"/>
          <w:szCs w:val="25"/>
        </w:rPr>
        <w:t>), five</w:t>
      </w:r>
      <w:r w:rsidR="00BC449E" w:rsidRPr="00E26381">
        <w:rPr>
          <w:sz w:val="25"/>
          <w:szCs w:val="25"/>
        </w:rPr>
        <w:t xml:space="preserve"> months of prospective plant transfers will remain</w:t>
      </w:r>
      <w:r w:rsidR="00AC0262" w:rsidRPr="00E26381">
        <w:rPr>
          <w:sz w:val="25"/>
          <w:szCs w:val="25"/>
        </w:rPr>
        <w:t xml:space="preserve"> unknown</w:t>
      </w:r>
      <w:r w:rsidR="00BC449E" w:rsidRPr="00E26381">
        <w:rPr>
          <w:sz w:val="25"/>
          <w:szCs w:val="25"/>
        </w:rPr>
        <w:t xml:space="preserve"> and </w:t>
      </w:r>
      <w:r w:rsidR="000578D4" w:rsidRPr="00E26381">
        <w:rPr>
          <w:sz w:val="25"/>
          <w:szCs w:val="25"/>
        </w:rPr>
        <w:t xml:space="preserve">costs will remain </w:t>
      </w:r>
      <w:r w:rsidR="00BC449E" w:rsidRPr="00E26381">
        <w:rPr>
          <w:sz w:val="25"/>
          <w:szCs w:val="25"/>
        </w:rPr>
        <w:t>uncertain</w:t>
      </w:r>
      <w:r w:rsidR="002C33E7">
        <w:rPr>
          <w:sz w:val="25"/>
          <w:szCs w:val="25"/>
        </w:rPr>
        <w:t>,</w:t>
      </w:r>
      <w:r w:rsidR="00BC449E" w:rsidRPr="00E26381">
        <w:rPr>
          <w:sz w:val="25"/>
          <w:szCs w:val="25"/>
        </w:rPr>
        <w:t xml:space="preserve"> while a</w:t>
      </w:r>
      <w:r w:rsidR="00E8765D" w:rsidRPr="00E26381">
        <w:rPr>
          <w:sz w:val="25"/>
          <w:szCs w:val="25"/>
        </w:rPr>
        <w:t>t</w:t>
      </w:r>
      <w:r w:rsidR="00AC0262" w:rsidRPr="00E26381">
        <w:rPr>
          <w:sz w:val="25"/>
          <w:szCs w:val="25"/>
        </w:rPr>
        <w:t xml:space="preserve"> the evidentiary hearing (</w:t>
      </w:r>
      <w:r w:rsidR="00E8765D" w:rsidRPr="00E26381">
        <w:rPr>
          <w:sz w:val="25"/>
          <w:szCs w:val="25"/>
        </w:rPr>
        <w:t>early October), three</w:t>
      </w:r>
      <w:r w:rsidR="00AC0262" w:rsidRPr="00E26381">
        <w:rPr>
          <w:sz w:val="25"/>
          <w:szCs w:val="25"/>
        </w:rPr>
        <w:t xml:space="preserve"> months</w:t>
      </w:r>
      <w:r w:rsidR="00513EA0" w:rsidRPr="00E26381">
        <w:rPr>
          <w:sz w:val="25"/>
          <w:szCs w:val="25"/>
        </w:rPr>
        <w:t xml:space="preserve"> </w:t>
      </w:r>
      <w:r w:rsidR="00E8765D" w:rsidRPr="00E26381">
        <w:rPr>
          <w:sz w:val="25"/>
          <w:szCs w:val="25"/>
        </w:rPr>
        <w:t xml:space="preserve">of </w:t>
      </w:r>
      <w:r w:rsidR="000578D4" w:rsidRPr="00E26381">
        <w:rPr>
          <w:sz w:val="25"/>
          <w:szCs w:val="25"/>
        </w:rPr>
        <w:t xml:space="preserve">prospective plant transfers will remain unknown and costs will remain uncertain. </w:t>
      </w:r>
      <w:r w:rsidR="00E8765D" w:rsidRPr="00E26381">
        <w:rPr>
          <w:sz w:val="25"/>
          <w:szCs w:val="25"/>
        </w:rPr>
        <w:t xml:space="preserve">Therefore, </w:t>
      </w:r>
      <w:r w:rsidR="00BC449E" w:rsidRPr="00E26381">
        <w:rPr>
          <w:sz w:val="25"/>
          <w:szCs w:val="25"/>
        </w:rPr>
        <w:t xml:space="preserve">if plant is to be </w:t>
      </w:r>
      <w:r w:rsidR="002D745B">
        <w:rPr>
          <w:sz w:val="25"/>
          <w:szCs w:val="25"/>
        </w:rPr>
        <w:t>recognized</w:t>
      </w:r>
      <w:r w:rsidR="00BC449E" w:rsidRPr="00E26381">
        <w:rPr>
          <w:sz w:val="25"/>
          <w:szCs w:val="25"/>
        </w:rPr>
        <w:t xml:space="preserve"> to the start of the rate year, Staff</w:t>
      </w:r>
      <w:r w:rsidR="000578D4" w:rsidRPr="00E26381">
        <w:rPr>
          <w:sz w:val="25"/>
          <w:szCs w:val="25"/>
        </w:rPr>
        <w:t xml:space="preserve"> would be </w:t>
      </w:r>
      <w:r w:rsidR="00552BDF" w:rsidRPr="00E26381">
        <w:rPr>
          <w:sz w:val="25"/>
          <w:szCs w:val="25"/>
        </w:rPr>
        <w:t>incorporating</w:t>
      </w:r>
      <w:r w:rsidR="000578D4" w:rsidRPr="00E26381">
        <w:rPr>
          <w:sz w:val="25"/>
          <w:szCs w:val="25"/>
        </w:rPr>
        <w:t xml:space="preserve"> five months of unknown and unmeasurable plant balances into </w:t>
      </w:r>
      <w:r w:rsidR="00552BDF" w:rsidRPr="00E26381">
        <w:rPr>
          <w:sz w:val="25"/>
          <w:szCs w:val="25"/>
        </w:rPr>
        <w:t xml:space="preserve">its </w:t>
      </w:r>
      <w:r w:rsidR="00A03AB7" w:rsidRPr="00E26381">
        <w:rPr>
          <w:sz w:val="25"/>
          <w:szCs w:val="25"/>
        </w:rPr>
        <w:t xml:space="preserve">recommended </w:t>
      </w:r>
      <w:r w:rsidR="000578D4" w:rsidRPr="00E26381">
        <w:rPr>
          <w:sz w:val="25"/>
          <w:szCs w:val="25"/>
        </w:rPr>
        <w:t>rates.</w:t>
      </w:r>
      <w:r w:rsidR="00A03AB7" w:rsidRPr="00E26381">
        <w:rPr>
          <w:sz w:val="25"/>
          <w:szCs w:val="25"/>
        </w:rPr>
        <w:t xml:space="preserve"> The Commission, presuming it makes its decision using data available at the evidentiary hearing, would be allowing three months of unknown and unmeasurable plant balances into rates. </w:t>
      </w:r>
      <w:r w:rsidR="00552BDF" w:rsidRPr="00E26381">
        <w:rPr>
          <w:sz w:val="25"/>
          <w:szCs w:val="25"/>
        </w:rPr>
        <w:t xml:space="preserve">With a bright line of day 1 of the rate year, the calculation of rates </w:t>
      </w:r>
      <w:r w:rsidR="00552BDF" w:rsidRPr="00E26381">
        <w:rPr>
          <w:i/>
          <w:sz w:val="25"/>
          <w:szCs w:val="25"/>
        </w:rPr>
        <w:t>must</w:t>
      </w:r>
      <w:r w:rsidR="00552BDF" w:rsidRPr="00E26381">
        <w:rPr>
          <w:sz w:val="25"/>
          <w:szCs w:val="25"/>
        </w:rPr>
        <w:t xml:space="preserve"> </w:t>
      </w:r>
      <w:r w:rsidR="0052687D" w:rsidRPr="00E26381">
        <w:rPr>
          <w:sz w:val="25"/>
          <w:szCs w:val="25"/>
        </w:rPr>
        <w:t xml:space="preserve">necessarily </w:t>
      </w:r>
      <w:r w:rsidR="00552BDF" w:rsidRPr="00E26381">
        <w:rPr>
          <w:sz w:val="25"/>
          <w:szCs w:val="25"/>
        </w:rPr>
        <w:t xml:space="preserve">include plant balances that do not meet the known and measurable standard. </w:t>
      </w:r>
    </w:p>
    <w:p w14:paraId="620690EB" w14:textId="77777777" w:rsidR="00C82976" w:rsidRPr="00E26381" w:rsidRDefault="00C82976" w:rsidP="00DA3983">
      <w:pPr>
        <w:autoSpaceDE w:val="0"/>
        <w:autoSpaceDN w:val="0"/>
        <w:adjustRightInd w:val="0"/>
        <w:spacing w:before="0" w:after="0" w:line="360" w:lineRule="auto"/>
        <w:rPr>
          <w:sz w:val="25"/>
          <w:szCs w:val="25"/>
          <w:u w:val="single"/>
        </w:rPr>
      </w:pPr>
      <w:r w:rsidRPr="00E26381">
        <w:rPr>
          <w:sz w:val="25"/>
          <w:szCs w:val="25"/>
          <w:u w:val="single"/>
        </w:rPr>
        <w:t>Bright line 2 – Auditable In-Service Date</w:t>
      </w:r>
    </w:p>
    <w:p w14:paraId="30F27DAF" w14:textId="77777777" w:rsidR="00967DF8" w:rsidRPr="00E26381" w:rsidRDefault="00C82976" w:rsidP="009632CD">
      <w:pPr>
        <w:autoSpaceDE w:val="0"/>
        <w:autoSpaceDN w:val="0"/>
        <w:adjustRightInd w:val="0"/>
        <w:spacing w:before="0" w:after="0" w:line="360" w:lineRule="auto"/>
        <w:ind w:firstLine="720"/>
        <w:rPr>
          <w:sz w:val="25"/>
          <w:szCs w:val="25"/>
        </w:rPr>
      </w:pPr>
      <w:r w:rsidRPr="00E26381">
        <w:rPr>
          <w:sz w:val="25"/>
          <w:szCs w:val="25"/>
        </w:rPr>
        <w:t xml:space="preserve">A cutoff date of the date at which staff and interveners may audit final </w:t>
      </w:r>
      <w:r w:rsidR="00967DF8" w:rsidRPr="00E26381">
        <w:rPr>
          <w:sz w:val="25"/>
          <w:szCs w:val="25"/>
        </w:rPr>
        <w:t>in-service plant balances (</w:t>
      </w:r>
      <w:r w:rsidRPr="00E26381">
        <w:rPr>
          <w:sz w:val="25"/>
          <w:szCs w:val="25"/>
        </w:rPr>
        <w:t>that is, all plant supported though r</w:t>
      </w:r>
      <w:r w:rsidR="00967DF8" w:rsidRPr="00E26381">
        <w:rPr>
          <w:sz w:val="25"/>
          <w:szCs w:val="25"/>
        </w:rPr>
        <w:t xml:space="preserve">ates must be in service prior to the due date of Staff and intervener response testimony) </w:t>
      </w:r>
      <w:r w:rsidR="00B74C05" w:rsidRPr="00E26381">
        <w:rPr>
          <w:sz w:val="25"/>
          <w:szCs w:val="25"/>
        </w:rPr>
        <w:t>allows</w:t>
      </w:r>
      <w:r w:rsidR="00967DF8" w:rsidRPr="00E26381">
        <w:rPr>
          <w:sz w:val="25"/>
          <w:szCs w:val="25"/>
        </w:rPr>
        <w:t xml:space="preserve"> Staff and interveners </w:t>
      </w:r>
      <w:r w:rsidR="00B74C05" w:rsidRPr="00E26381">
        <w:rPr>
          <w:sz w:val="25"/>
          <w:szCs w:val="25"/>
        </w:rPr>
        <w:t>to perform their</w:t>
      </w:r>
      <w:r w:rsidR="00DA3983">
        <w:rPr>
          <w:sz w:val="25"/>
          <w:szCs w:val="25"/>
        </w:rPr>
        <w:t xml:space="preserve"> analyses in adherence to the known and measurable</w:t>
      </w:r>
      <w:r w:rsidR="00B74C05" w:rsidRPr="00E26381">
        <w:rPr>
          <w:sz w:val="25"/>
          <w:szCs w:val="25"/>
        </w:rPr>
        <w:t xml:space="preserve"> standard</w:t>
      </w:r>
      <w:r w:rsidR="00967DF8" w:rsidRPr="00E26381">
        <w:rPr>
          <w:sz w:val="25"/>
          <w:szCs w:val="25"/>
        </w:rPr>
        <w:t xml:space="preserve"> while providing the Company with rates based on plant balances</w:t>
      </w:r>
      <w:r w:rsidR="00B04D20" w:rsidRPr="00E26381">
        <w:rPr>
          <w:sz w:val="25"/>
          <w:szCs w:val="25"/>
        </w:rPr>
        <w:t xml:space="preserve"> </w:t>
      </w:r>
      <w:r w:rsidR="002D745B">
        <w:rPr>
          <w:sz w:val="25"/>
          <w:szCs w:val="25"/>
        </w:rPr>
        <w:t>recognized</w:t>
      </w:r>
      <w:r w:rsidR="00B74C05" w:rsidRPr="00E26381">
        <w:rPr>
          <w:sz w:val="25"/>
          <w:szCs w:val="25"/>
        </w:rPr>
        <w:t xml:space="preserve"> ten months</w:t>
      </w:r>
      <w:r w:rsidR="00B04D20" w:rsidRPr="00E26381">
        <w:rPr>
          <w:sz w:val="25"/>
          <w:szCs w:val="25"/>
        </w:rPr>
        <w:t xml:space="preserve"> or more</w:t>
      </w:r>
      <w:r w:rsidR="00B74C05" w:rsidRPr="00E26381">
        <w:rPr>
          <w:sz w:val="25"/>
          <w:szCs w:val="25"/>
        </w:rPr>
        <w:t xml:space="preserve"> beyond the test </w:t>
      </w:r>
      <w:r w:rsidR="00B04D20" w:rsidRPr="00E26381">
        <w:rPr>
          <w:sz w:val="25"/>
          <w:szCs w:val="25"/>
        </w:rPr>
        <w:t xml:space="preserve">year. </w:t>
      </w:r>
      <w:r w:rsidR="00967DF8" w:rsidRPr="00E26381">
        <w:rPr>
          <w:sz w:val="25"/>
          <w:szCs w:val="25"/>
        </w:rPr>
        <w:t xml:space="preserve"> </w:t>
      </w:r>
    </w:p>
    <w:p w14:paraId="61CC7525" w14:textId="77777777" w:rsidR="00C82976" w:rsidRPr="00E26381" w:rsidRDefault="00B04D20" w:rsidP="009632CD">
      <w:pPr>
        <w:autoSpaceDE w:val="0"/>
        <w:autoSpaceDN w:val="0"/>
        <w:adjustRightInd w:val="0"/>
        <w:spacing w:before="0" w:after="0" w:line="360" w:lineRule="auto"/>
        <w:ind w:firstLine="720"/>
        <w:rPr>
          <w:sz w:val="25"/>
          <w:szCs w:val="25"/>
        </w:rPr>
      </w:pPr>
      <w:r w:rsidRPr="00E26381">
        <w:rPr>
          <w:sz w:val="25"/>
          <w:szCs w:val="25"/>
        </w:rPr>
        <w:t xml:space="preserve">The policy preference implied by an auditable cutoff date is one of a strict </w:t>
      </w:r>
      <w:r w:rsidR="00DA3983">
        <w:rPr>
          <w:sz w:val="25"/>
          <w:szCs w:val="25"/>
        </w:rPr>
        <w:t>adherence to the known and measurable</w:t>
      </w:r>
      <w:r w:rsidRPr="00E26381">
        <w:rPr>
          <w:sz w:val="25"/>
          <w:szCs w:val="25"/>
        </w:rPr>
        <w:t xml:space="preserve"> standard. </w:t>
      </w:r>
      <w:r w:rsidR="007838E6" w:rsidRPr="00E26381">
        <w:rPr>
          <w:sz w:val="25"/>
          <w:szCs w:val="25"/>
        </w:rPr>
        <w:t xml:space="preserve">That is, the decision would affirm that all parties should have an opportunity to audit the costs upon which </w:t>
      </w:r>
      <w:r w:rsidR="00B66EC3" w:rsidRPr="00E26381">
        <w:rPr>
          <w:sz w:val="25"/>
          <w:szCs w:val="25"/>
        </w:rPr>
        <w:t>their recommendations are</w:t>
      </w:r>
      <w:r w:rsidR="006F2CFE" w:rsidRPr="00E26381">
        <w:rPr>
          <w:sz w:val="25"/>
          <w:szCs w:val="25"/>
        </w:rPr>
        <w:t xml:space="preserve"> based. In its final order for Avista’s 2009 general rate case, the Commission endorsed this position by stating:</w:t>
      </w:r>
    </w:p>
    <w:p w14:paraId="7BB6ECB9" w14:textId="77777777" w:rsidR="006F2CFE" w:rsidRPr="00E26381" w:rsidRDefault="000D522A" w:rsidP="00DA3983">
      <w:pPr>
        <w:autoSpaceDE w:val="0"/>
        <w:autoSpaceDN w:val="0"/>
        <w:adjustRightInd w:val="0"/>
        <w:spacing w:before="0" w:after="0" w:line="360" w:lineRule="auto"/>
        <w:ind w:left="1440"/>
        <w:rPr>
          <w:sz w:val="25"/>
          <w:szCs w:val="25"/>
        </w:rPr>
      </w:pPr>
      <w:r>
        <w:rPr>
          <w:sz w:val="25"/>
          <w:szCs w:val="25"/>
        </w:rPr>
        <w:lastRenderedPageBreak/>
        <w:t>“</w:t>
      </w:r>
      <w:r w:rsidR="006F2CFE" w:rsidRPr="00E26381">
        <w:rPr>
          <w:sz w:val="25"/>
          <w:szCs w:val="25"/>
        </w:rPr>
        <w:t>Staff is correct to focus on audited results to ensure that the costs it proposes to include in rates comply with both the known and measurable principle and the used and useful principle.</w:t>
      </w:r>
      <w:r>
        <w:rPr>
          <w:sz w:val="25"/>
          <w:szCs w:val="25"/>
        </w:rPr>
        <w:t xml:space="preserve">” </w:t>
      </w:r>
      <w:r w:rsidR="006F2CFE" w:rsidRPr="00E26381">
        <w:rPr>
          <w:rStyle w:val="FootnoteReference"/>
          <w:sz w:val="25"/>
          <w:szCs w:val="25"/>
        </w:rPr>
        <w:footnoteReference w:id="19"/>
      </w:r>
    </w:p>
    <w:p w14:paraId="33A45EB5" w14:textId="77777777" w:rsidR="00C82976" w:rsidRPr="00E26381" w:rsidRDefault="00342189" w:rsidP="003124C6">
      <w:pPr>
        <w:autoSpaceDE w:val="0"/>
        <w:autoSpaceDN w:val="0"/>
        <w:adjustRightInd w:val="0"/>
        <w:spacing w:before="0" w:after="0" w:line="360" w:lineRule="auto"/>
        <w:rPr>
          <w:sz w:val="25"/>
          <w:szCs w:val="25"/>
        </w:rPr>
      </w:pPr>
      <w:r w:rsidRPr="00E26381">
        <w:rPr>
          <w:sz w:val="25"/>
          <w:szCs w:val="25"/>
        </w:rPr>
        <w:tab/>
      </w:r>
      <w:r w:rsidR="004613FB" w:rsidRPr="00E26381">
        <w:rPr>
          <w:sz w:val="25"/>
          <w:szCs w:val="25"/>
        </w:rPr>
        <w:t>W</w:t>
      </w:r>
      <w:r w:rsidR="00F40D76" w:rsidRPr="00E26381">
        <w:rPr>
          <w:sz w:val="25"/>
          <w:szCs w:val="25"/>
        </w:rPr>
        <w:t xml:space="preserve">hile strictly adhering to the known and measurable principle, this </w:t>
      </w:r>
      <w:r w:rsidR="004613FB" w:rsidRPr="00E26381">
        <w:rPr>
          <w:sz w:val="25"/>
          <w:szCs w:val="25"/>
        </w:rPr>
        <w:t xml:space="preserve">policy </w:t>
      </w:r>
      <w:r w:rsidR="00F40D76" w:rsidRPr="00E26381">
        <w:rPr>
          <w:sz w:val="25"/>
          <w:szCs w:val="25"/>
        </w:rPr>
        <w:t xml:space="preserve">position </w:t>
      </w:r>
      <w:r w:rsidR="004613FB" w:rsidRPr="00E26381">
        <w:rPr>
          <w:sz w:val="25"/>
          <w:szCs w:val="25"/>
        </w:rPr>
        <w:t xml:space="preserve">also implies a more subdued stance on the Commission’s role in </w:t>
      </w:r>
      <w:r w:rsidR="005775ED" w:rsidRPr="00E26381">
        <w:rPr>
          <w:sz w:val="25"/>
          <w:szCs w:val="25"/>
        </w:rPr>
        <w:t xml:space="preserve">addressing earnings attrition by minimizing regulatory lag. It should be noted that by enforcing </w:t>
      </w:r>
      <w:r w:rsidR="00155793" w:rsidRPr="00E26381">
        <w:rPr>
          <w:sz w:val="25"/>
          <w:szCs w:val="25"/>
        </w:rPr>
        <w:t>this cutoff date</w:t>
      </w:r>
      <w:r w:rsidR="005775ED" w:rsidRPr="00E26381">
        <w:rPr>
          <w:sz w:val="25"/>
          <w:szCs w:val="25"/>
        </w:rPr>
        <w:t xml:space="preserve"> the Commission would not be ignoring regulatory lag altogether. Rather, as mentioned above, such a cutof</w:t>
      </w:r>
      <w:r w:rsidR="00155793" w:rsidRPr="00E26381">
        <w:rPr>
          <w:sz w:val="25"/>
          <w:szCs w:val="25"/>
        </w:rPr>
        <w:t xml:space="preserve">f date would allow rates to be based on plant balances at least ten months beyond the test year. </w:t>
      </w:r>
      <w:r w:rsidR="00092943" w:rsidRPr="00E26381">
        <w:rPr>
          <w:sz w:val="25"/>
          <w:szCs w:val="25"/>
        </w:rPr>
        <w:t>However, t</w:t>
      </w:r>
      <w:r w:rsidR="00155793" w:rsidRPr="00E26381">
        <w:rPr>
          <w:sz w:val="25"/>
          <w:szCs w:val="25"/>
        </w:rPr>
        <w:t>he corollary to this statement is that transfers to plant</w:t>
      </w:r>
      <w:r w:rsidR="00227EFE" w:rsidRPr="00E26381">
        <w:rPr>
          <w:sz w:val="25"/>
          <w:szCs w:val="25"/>
        </w:rPr>
        <w:t xml:space="preserve"> during the five months immediately prior to the rate year w</w:t>
      </w:r>
      <w:r w:rsidR="00862E8E" w:rsidRPr="00E26381">
        <w:rPr>
          <w:sz w:val="25"/>
          <w:szCs w:val="25"/>
        </w:rPr>
        <w:t xml:space="preserve">ould not be considered </w:t>
      </w:r>
      <w:r w:rsidR="00092943" w:rsidRPr="00E26381">
        <w:rPr>
          <w:sz w:val="25"/>
          <w:szCs w:val="25"/>
        </w:rPr>
        <w:t>for purposes of ratemaking</w:t>
      </w:r>
      <w:r w:rsidR="00227EFE" w:rsidRPr="00E26381">
        <w:rPr>
          <w:sz w:val="25"/>
          <w:szCs w:val="25"/>
        </w:rPr>
        <w:t xml:space="preserve">. </w:t>
      </w:r>
      <w:r w:rsidR="00862E8E" w:rsidRPr="00E26381">
        <w:rPr>
          <w:sz w:val="25"/>
          <w:szCs w:val="25"/>
        </w:rPr>
        <w:t>With this cutoff date, i</w:t>
      </w:r>
      <w:r w:rsidR="00227EFE" w:rsidRPr="00E26381">
        <w:rPr>
          <w:sz w:val="25"/>
          <w:szCs w:val="25"/>
        </w:rPr>
        <w:t>f</w:t>
      </w:r>
      <w:r w:rsidR="00862E8E" w:rsidRPr="00E26381">
        <w:rPr>
          <w:sz w:val="25"/>
          <w:szCs w:val="25"/>
        </w:rPr>
        <w:t xml:space="preserve"> a utility is likely to make substantial transfers to plant during the five months immediately prior to the rate year, </w:t>
      </w:r>
      <w:r w:rsidR="00092943" w:rsidRPr="00E26381">
        <w:rPr>
          <w:sz w:val="25"/>
          <w:szCs w:val="25"/>
        </w:rPr>
        <w:t xml:space="preserve">lag-induced attrition is possible. </w:t>
      </w:r>
    </w:p>
    <w:p w14:paraId="43D21601" w14:textId="77777777" w:rsidR="00813EC3" w:rsidRPr="00E26381" w:rsidRDefault="00C82976" w:rsidP="00DA3983">
      <w:pPr>
        <w:autoSpaceDE w:val="0"/>
        <w:autoSpaceDN w:val="0"/>
        <w:adjustRightInd w:val="0"/>
        <w:spacing w:before="0" w:after="0" w:line="360" w:lineRule="auto"/>
        <w:rPr>
          <w:sz w:val="25"/>
          <w:szCs w:val="25"/>
          <w:u w:val="single"/>
        </w:rPr>
      </w:pPr>
      <w:r w:rsidRPr="00E26381">
        <w:rPr>
          <w:sz w:val="25"/>
          <w:szCs w:val="25"/>
          <w:u w:val="single"/>
        </w:rPr>
        <w:t>Bright line 3</w:t>
      </w:r>
      <w:r w:rsidR="00552BDF" w:rsidRPr="00E26381">
        <w:rPr>
          <w:sz w:val="25"/>
          <w:szCs w:val="25"/>
          <w:u w:val="single"/>
        </w:rPr>
        <w:t xml:space="preserve"> – </w:t>
      </w:r>
      <w:r w:rsidR="00067DA1" w:rsidRPr="00E26381">
        <w:rPr>
          <w:sz w:val="25"/>
          <w:szCs w:val="25"/>
          <w:u w:val="single"/>
        </w:rPr>
        <w:t>Evidentiary Hearing</w:t>
      </w:r>
    </w:p>
    <w:p w14:paraId="6DA2EC71" w14:textId="77777777" w:rsidR="00092943" w:rsidRPr="00E26381" w:rsidRDefault="0052687D" w:rsidP="009632CD">
      <w:pPr>
        <w:autoSpaceDE w:val="0"/>
        <w:autoSpaceDN w:val="0"/>
        <w:adjustRightInd w:val="0"/>
        <w:spacing w:before="0" w:after="0" w:line="360" w:lineRule="auto"/>
        <w:ind w:firstLine="720"/>
        <w:rPr>
          <w:sz w:val="25"/>
          <w:szCs w:val="25"/>
        </w:rPr>
      </w:pPr>
      <w:r w:rsidRPr="00E26381">
        <w:rPr>
          <w:sz w:val="25"/>
          <w:szCs w:val="25"/>
        </w:rPr>
        <w:t>A cutoff date of the conclusion of the evidentiary hearing (that is, all plant supported though rates must be in service by conclusion of the evidentiary hearing)</w:t>
      </w:r>
      <w:r w:rsidR="00C82976" w:rsidRPr="00E26381">
        <w:rPr>
          <w:sz w:val="25"/>
          <w:szCs w:val="25"/>
        </w:rPr>
        <w:t xml:space="preserve"> enables</w:t>
      </w:r>
      <w:r w:rsidR="00092943" w:rsidRPr="00E26381">
        <w:rPr>
          <w:sz w:val="25"/>
          <w:szCs w:val="25"/>
        </w:rPr>
        <w:t xml:space="preserve"> the Commission to base its final decision in adherence to the known and measurable standard while providing the Company with rates based on plant balances </w:t>
      </w:r>
      <w:r w:rsidR="002D745B">
        <w:rPr>
          <w:sz w:val="25"/>
          <w:szCs w:val="25"/>
        </w:rPr>
        <w:t>recognized</w:t>
      </w:r>
      <w:r w:rsidR="00B06D3D" w:rsidRPr="00E26381">
        <w:rPr>
          <w:sz w:val="25"/>
          <w:szCs w:val="25"/>
        </w:rPr>
        <w:t xml:space="preserve"> 12</w:t>
      </w:r>
      <w:r w:rsidR="00092943" w:rsidRPr="00E26381">
        <w:rPr>
          <w:sz w:val="25"/>
          <w:szCs w:val="25"/>
        </w:rPr>
        <w:t xml:space="preserve"> months or more beyond the test year.  </w:t>
      </w:r>
    </w:p>
    <w:p w14:paraId="1E55A137" w14:textId="77777777" w:rsidR="00B06D3D" w:rsidRPr="00E26381" w:rsidRDefault="00D2780D" w:rsidP="009632CD">
      <w:pPr>
        <w:autoSpaceDE w:val="0"/>
        <w:autoSpaceDN w:val="0"/>
        <w:adjustRightInd w:val="0"/>
        <w:spacing w:before="0" w:after="0" w:line="360" w:lineRule="auto"/>
        <w:ind w:firstLine="720"/>
        <w:rPr>
          <w:sz w:val="25"/>
          <w:szCs w:val="25"/>
        </w:rPr>
      </w:pPr>
      <w:r w:rsidRPr="00E26381">
        <w:rPr>
          <w:sz w:val="25"/>
          <w:szCs w:val="25"/>
        </w:rPr>
        <w:t>T</w:t>
      </w:r>
      <w:r w:rsidR="00485CB7">
        <w:rPr>
          <w:sz w:val="25"/>
          <w:szCs w:val="25"/>
        </w:rPr>
        <w:t>he</w:t>
      </w:r>
      <w:r w:rsidR="00B06D3D" w:rsidRPr="00E26381">
        <w:rPr>
          <w:sz w:val="25"/>
          <w:szCs w:val="25"/>
        </w:rPr>
        <w:t xml:space="preserve"> </w:t>
      </w:r>
      <w:r w:rsidRPr="00E26381">
        <w:rPr>
          <w:sz w:val="25"/>
          <w:szCs w:val="25"/>
        </w:rPr>
        <w:t xml:space="preserve">implied </w:t>
      </w:r>
      <w:r w:rsidR="00B06D3D" w:rsidRPr="00E26381">
        <w:rPr>
          <w:sz w:val="25"/>
          <w:szCs w:val="25"/>
        </w:rPr>
        <w:t>policy posit</w:t>
      </w:r>
      <w:r w:rsidRPr="00E26381">
        <w:rPr>
          <w:sz w:val="25"/>
          <w:szCs w:val="25"/>
        </w:rPr>
        <w:t>ion</w:t>
      </w:r>
      <w:r w:rsidR="00B06D3D" w:rsidRPr="00E26381">
        <w:rPr>
          <w:sz w:val="25"/>
          <w:szCs w:val="25"/>
        </w:rPr>
        <w:t xml:space="preserve"> attempts to strike a balance bet</w:t>
      </w:r>
      <w:r w:rsidR="00061205" w:rsidRPr="00E26381">
        <w:rPr>
          <w:sz w:val="25"/>
          <w:szCs w:val="25"/>
        </w:rPr>
        <w:t xml:space="preserve">ween the known and measurable principle and the conflicting goal of minimizing regulatory lag. </w:t>
      </w:r>
      <w:r w:rsidR="00CF0806" w:rsidRPr="00E26381">
        <w:rPr>
          <w:sz w:val="25"/>
          <w:szCs w:val="25"/>
        </w:rPr>
        <w:t>Although under this cutoff date Staff and interveners would not be able to audit transfers to plant</w:t>
      </w:r>
      <w:r w:rsidRPr="00E26381">
        <w:rPr>
          <w:sz w:val="25"/>
          <w:szCs w:val="25"/>
        </w:rPr>
        <w:t xml:space="preserve"> for the period between response testimony and the evidentiary hearing (and so two-plus months of plant transfers necessarily would be estimates), the Commission could base its final decision on what is proved to be in service at the time of the hearing. In that way, from the perspective of the Commission, the known and measurable principle is maintained. </w:t>
      </w:r>
    </w:p>
    <w:p w14:paraId="56167FB0" w14:textId="77777777" w:rsidR="003D0F47" w:rsidRPr="00E26381" w:rsidRDefault="0085325B" w:rsidP="009632CD">
      <w:pPr>
        <w:autoSpaceDE w:val="0"/>
        <w:autoSpaceDN w:val="0"/>
        <w:adjustRightInd w:val="0"/>
        <w:spacing w:before="0" w:after="0" w:line="360" w:lineRule="auto"/>
        <w:ind w:firstLine="720"/>
        <w:rPr>
          <w:sz w:val="25"/>
          <w:szCs w:val="25"/>
        </w:rPr>
      </w:pPr>
      <w:r w:rsidRPr="00E26381">
        <w:rPr>
          <w:sz w:val="25"/>
          <w:szCs w:val="25"/>
        </w:rPr>
        <w:t xml:space="preserve">Further, by allowing consideration of transfers to plant between the test year and the evidentiary hearing, the Commission would be basing rates on plant balances only three </w:t>
      </w:r>
      <w:r w:rsidRPr="00E26381">
        <w:rPr>
          <w:sz w:val="25"/>
          <w:szCs w:val="25"/>
        </w:rPr>
        <w:lastRenderedPageBreak/>
        <w:t xml:space="preserve">months prior to the rate year. Therefore, this position conforms to the known and measurable principle while nearly eliminating regulatory lag. </w:t>
      </w:r>
      <w:r w:rsidR="003D0F47" w:rsidRPr="00E26381">
        <w:rPr>
          <w:sz w:val="25"/>
          <w:szCs w:val="25"/>
        </w:rPr>
        <w:t xml:space="preserve">Of course, transfers to plant during the three months immediately prior to the rate year would not be considered for purposes of ratemaking. </w:t>
      </w:r>
    </w:p>
    <w:p w14:paraId="382D726E" w14:textId="77777777" w:rsidR="005B05F2" w:rsidRPr="00E26381" w:rsidRDefault="0049440F" w:rsidP="009632CD">
      <w:pPr>
        <w:autoSpaceDE w:val="0"/>
        <w:autoSpaceDN w:val="0"/>
        <w:adjustRightInd w:val="0"/>
        <w:spacing w:before="0" w:after="0" w:line="360" w:lineRule="auto"/>
        <w:ind w:firstLine="720"/>
        <w:rPr>
          <w:sz w:val="25"/>
          <w:szCs w:val="25"/>
        </w:rPr>
      </w:pPr>
      <w:r w:rsidRPr="00E26381">
        <w:rPr>
          <w:sz w:val="25"/>
          <w:szCs w:val="25"/>
        </w:rPr>
        <w:t xml:space="preserve">However, the drawback to this position is that Staff and interveners are not afforded an opportunity to audit all plant balances subject to inclusion in rates. From the perspective of Staff and interveners, strict adherence to the known and measurable principle is not possible. </w:t>
      </w:r>
    </w:p>
    <w:p w14:paraId="428BCA97" w14:textId="77777777" w:rsidR="00DF20CD" w:rsidRPr="00E26381" w:rsidRDefault="00DF20CD" w:rsidP="003124C6">
      <w:pPr>
        <w:autoSpaceDE w:val="0"/>
        <w:autoSpaceDN w:val="0"/>
        <w:adjustRightInd w:val="0"/>
        <w:spacing w:before="0" w:after="0" w:line="360" w:lineRule="auto"/>
        <w:rPr>
          <w:sz w:val="25"/>
          <w:szCs w:val="25"/>
        </w:rPr>
      </w:pPr>
    </w:p>
    <w:p w14:paraId="07E7DA86" w14:textId="77777777" w:rsidR="00C379CC" w:rsidRPr="00E26381" w:rsidRDefault="00C379CC" w:rsidP="009632CD">
      <w:pPr>
        <w:pStyle w:val="ListParagraph"/>
        <w:numPr>
          <w:ilvl w:val="1"/>
          <w:numId w:val="4"/>
        </w:numPr>
        <w:autoSpaceDE w:val="0"/>
        <w:autoSpaceDN w:val="0"/>
        <w:adjustRightInd w:val="0"/>
        <w:spacing w:before="0"/>
        <w:ind w:left="1080"/>
        <w:contextualSpacing w:val="0"/>
        <w:rPr>
          <w:b/>
          <w:i/>
          <w:sz w:val="25"/>
          <w:szCs w:val="25"/>
        </w:rPr>
      </w:pPr>
      <w:r w:rsidRPr="00E26381">
        <w:rPr>
          <w:b/>
          <w:i/>
          <w:sz w:val="25"/>
          <w:szCs w:val="25"/>
        </w:rPr>
        <w:t>What level of precision should be expected for projected capital budgets (budgeted to actual) for ratemaking?</w:t>
      </w:r>
    </w:p>
    <w:p w14:paraId="64B70E16" w14:textId="77777777" w:rsidR="00346278" w:rsidRPr="00E26381" w:rsidRDefault="0035729C" w:rsidP="009632CD">
      <w:pPr>
        <w:autoSpaceDE w:val="0"/>
        <w:autoSpaceDN w:val="0"/>
        <w:adjustRightInd w:val="0"/>
        <w:spacing w:before="0" w:after="0" w:line="360" w:lineRule="auto"/>
        <w:ind w:firstLine="720"/>
        <w:rPr>
          <w:sz w:val="25"/>
          <w:szCs w:val="25"/>
        </w:rPr>
      </w:pPr>
      <w:r w:rsidRPr="00E26381">
        <w:rPr>
          <w:sz w:val="25"/>
          <w:szCs w:val="25"/>
        </w:rPr>
        <w:t>Staff does not believe projected capital budgets are appropriate to co</w:t>
      </w:r>
      <w:r w:rsidR="00DF20CD" w:rsidRPr="00E26381">
        <w:rPr>
          <w:sz w:val="25"/>
          <w:szCs w:val="25"/>
        </w:rPr>
        <w:t>nsider for ratemaking purposes</w:t>
      </w:r>
      <w:r w:rsidR="00EF495C" w:rsidRPr="00E26381">
        <w:rPr>
          <w:sz w:val="25"/>
          <w:szCs w:val="25"/>
        </w:rPr>
        <w:t xml:space="preserve">. The Commission has confirmed this position by stating: </w:t>
      </w:r>
      <w:r w:rsidR="00DF20CD" w:rsidRPr="00E26381">
        <w:rPr>
          <w:sz w:val="25"/>
          <w:szCs w:val="25"/>
        </w:rPr>
        <w:t xml:space="preserve"> </w:t>
      </w:r>
    </w:p>
    <w:p w14:paraId="5DA43FCD" w14:textId="77777777" w:rsidR="00C379CC" w:rsidRDefault="00790372" w:rsidP="007A2D20">
      <w:pPr>
        <w:spacing w:line="360" w:lineRule="auto"/>
        <w:ind w:left="1440"/>
        <w:rPr>
          <w:sz w:val="25"/>
          <w:szCs w:val="25"/>
        </w:rPr>
      </w:pPr>
      <w:r>
        <w:rPr>
          <w:sz w:val="25"/>
          <w:szCs w:val="25"/>
        </w:rPr>
        <w:t>“</w:t>
      </w:r>
      <w:r w:rsidR="00EF495C" w:rsidRPr="00E26381">
        <w:rPr>
          <w:sz w:val="25"/>
          <w:szCs w:val="25"/>
        </w:rPr>
        <w:t>Budgeted figures representing the Company’s projected and planned costs for capital programs may prove to be inaccurate.  While we do not question the rigor of the Company’s management and planning processes, planned expenditures are not certain expenditures.  For costs of new plant to be recovered in customer rates, the investment must have indeed occurred and the new facilities must be providing service to customers.</w:t>
      </w:r>
      <w:r>
        <w:rPr>
          <w:sz w:val="25"/>
          <w:szCs w:val="25"/>
        </w:rPr>
        <w:t xml:space="preserve">” </w:t>
      </w:r>
      <w:r w:rsidR="00EF495C" w:rsidRPr="00E26381">
        <w:rPr>
          <w:rStyle w:val="FootnoteReference"/>
          <w:sz w:val="25"/>
          <w:szCs w:val="25"/>
        </w:rPr>
        <w:footnoteReference w:id="20"/>
      </w:r>
      <w:r w:rsidR="00EF495C" w:rsidRPr="00E26381">
        <w:rPr>
          <w:sz w:val="25"/>
          <w:szCs w:val="25"/>
        </w:rPr>
        <w:t xml:space="preserve">  </w:t>
      </w:r>
    </w:p>
    <w:p w14:paraId="01308533" w14:textId="77777777" w:rsidR="007A2D20" w:rsidRPr="00E26381" w:rsidRDefault="007A2D20" w:rsidP="007A2D20">
      <w:pPr>
        <w:spacing w:line="360" w:lineRule="auto"/>
        <w:ind w:left="1440"/>
        <w:rPr>
          <w:sz w:val="25"/>
          <w:szCs w:val="25"/>
        </w:rPr>
      </w:pPr>
    </w:p>
    <w:p w14:paraId="3D72B451" w14:textId="77777777" w:rsidR="00C379CC" w:rsidRPr="00E26381" w:rsidRDefault="00C379CC" w:rsidP="009632CD">
      <w:pPr>
        <w:pStyle w:val="ListParagraph"/>
        <w:numPr>
          <w:ilvl w:val="0"/>
          <w:numId w:val="4"/>
        </w:numPr>
        <w:autoSpaceDE w:val="0"/>
        <w:autoSpaceDN w:val="0"/>
        <w:adjustRightInd w:val="0"/>
        <w:spacing w:before="0" w:after="0"/>
        <w:ind w:hanging="720"/>
        <w:contextualSpacing w:val="0"/>
        <w:rPr>
          <w:b/>
          <w:i/>
          <w:sz w:val="25"/>
          <w:szCs w:val="25"/>
        </w:rPr>
      </w:pPr>
      <w:r w:rsidRPr="00E26381">
        <w:rPr>
          <w:b/>
          <w:i/>
          <w:sz w:val="25"/>
          <w:szCs w:val="25"/>
        </w:rPr>
        <w:t>Please provide any other information, discussion, analysis, or documentation you believe would help inform the Commission on this issue.</w:t>
      </w:r>
    </w:p>
    <w:p w14:paraId="747C6981" w14:textId="77777777" w:rsidR="003C5D83" w:rsidRDefault="007A2D20" w:rsidP="009632CD">
      <w:pPr>
        <w:spacing w:line="360" w:lineRule="auto"/>
        <w:ind w:firstLine="720"/>
        <w:rPr>
          <w:sz w:val="25"/>
          <w:szCs w:val="25"/>
        </w:rPr>
      </w:pPr>
      <w:r>
        <w:rPr>
          <w:sz w:val="25"/>
          <w:szCs w:val="25"/>
        </w:rPr>
        <w:t>Staff wishes to su</w:t>
      </w:r>
      <w:r w:rsidR="006648CE">
        <w:rPr>
          <w:sz w:val="25"/>
          <w:szCs w:val="25"/>
        </w:rPr>
        <w:t>bmit to the record its</w:t>
      </w:r>
      <w:r w:rsidR="003C5D83">
        <w:rPr>
          <w:sz w:val="25"/>
          <w:szCs w:val="25"/>
        </w:rPr>
        <w:t xml:space="preserve"> review</w:t>
      </w:r>
      <w:r>
        <w:rPr>
          <w:sz w:val="25"/>
          <w:szCs w:val="25"/>
        </w:rPr>
        <w:t xml:space="preserve"> of historical Commission practice in response to specific</w:t>
      </w:r>
      <w:r w:rsidR="003C5D83">
        <w:rPr>
          <w:sz w:val="25"/>
          <w:szCs w:val="25"/>
        </w:rPr>
        <w:t xml:space="preserve"> causes of attrition</w:t>
      </w:r>
      <w:r w:rsidR="00A54149">
        <w:rPr>
          <w:sz w:val="25"/>
          <w:szCs w:val="25"/>
        </w:rPr>
        <w:t>, with particular focus on the historical period w</w:t>
      </w:r>
      <w:r w:rsidR="00F0337B">
        <w:rPr>
          <w:sz w:val="25"/>
          <w:szCs w:val="25"/>
        </w:rPr>
        <w:t>here CWIP in rate base and attrition allowances were common practice</w:t>
      </w:r>
      <w:r w:rsidR="003C5D83">
        <w:rPr>
          <w:sz w:val="25"/>
          <w:szCs w:val="25"/>
        </w:rPr>
        <w:t>. The table below indicates that:</w:t>
      </w:r>
    </w:p>
    <w:p w14:paraId="63E87C9C" w14:textId="77777777" w:rsidR="003C5D83" w:rsidRDefault="003C5D83" w:rsidP="003C5D83">
      <w:pPr>
        <w:pStyle w:val="ListParagraph"/>
        <w:numPr>
          <w:ilvl w:val="0"/>
          <w:numId w:val="7"/>
        </w:numPr>
        <w:spacing w:line="360" w:lineRule="auto"/>
        <w:rPr>
          <w:sz w:val="25"/>
          <w:szCs w:val="25"/>
        </w:rPr>
      </w:pPr>
      <w:r w:rsidRPr="00885F64">
        <w:rPr>
          <w:sz w:val="25"/>
          <w:szCs w:val="25"/>
          <w:u w:val="single"/>
        </w:rPr>
        <w:lastRenderedPageBreak/>
        <w:t>Attrition allowances</w:t>
      </w:r>
      <w:r>
        <w:rPr>
          <w:sz w:val="25"/>
          <w:szCs w:val="25"/>
        </w:rPr>
        <w:t xml:space="preserve"> were approved when </w:t>
      </w:r>
      <w:r w:rsidR="00885F64">
        <w:rPr>
          <w:sz w:val="25"/>
          <w:szCs w:val="25"/>
        </w:rPr>
        <w:t>differential</w:t>
      </w:r>
      <w:r w:rsidR="009F3140">
        <w:rPr>
          <w:sz w:val="25"/>
          <w:szCs w:val="25"/>
        </w:rPr>
        <w:t xml:space="preserve"> rates of growth in revenues,</w:t>
      </w:r>
      <w:r w:rsidR="00885F64">
        <w:rPr>
          <w:sz w:val="25"/>
          <w:szCs w:val="25"/>
        </w:rPr>
        <w:t xml:space="preserve"> expenses </w:t>
      </w:r>
      <w:r w:rsidR="009F3140">
        <w:rPr>
          <w:sz w:val="25"/>
          <w:szCs w:val="25"/>
        </w:rPr>
        <w:t xml:space="preserve">and rate base </w:t>
      </w:r>
      <w:r w:rsidR="006648CE">
        <w:rPr>
          <w:sz w:val="25"/>
          <w:szCs w:val="25"/>
        </w:rPr>
        <w:t>were</w:t>
      </w:r>
      <w:r w:rsidR="001D0556">
        <w:rPr>
          <w:sz w:val="25"/>
          <w:szCs w:val="25"/>
        </w:rPr>
        <w:t xml:space="preserve"> evident</w:t>
      </w:r>
      <w:r w:rsidR="00885F64">
        <w:rPr>
          <w:sz w:val="25"/>
          <w:szCs w:val="25"/>
        </w:rPr>
        <w:t xml:space="preserve">. Although, technically, this definition suggests that </w:t>
      </w:r>
      <w:r w:rsidR="001D0556">
        <w:rPr>
          <w:sz w:val="25"/>
          <w:szCs w:val="25"/>
        </w:rPr>
        <w:t xml:space="preserve">an </w:t>
      </w:r>
      <w:r w:rsidR="00885F64">
        <w:rPr>
          <w:sz w:val="25"/>
          <w:szCs w:val="25"/>
        </w:rPr>
        <w:t>attrition</w:t>
      </w:r>
      <w:r w:rsidR="001D0556">
        <w:rPr>
          <w:sz w:val="25"/>
          <w:szCs w:val="25"/>
        </w:rPr>
        <w:t xml:space="preserve"> allowance is an appropriate</w:t>
      </w:r>
      <w:r w:rsidR="00885F64">
        <w:rPr>
          <w:sz w:val="25"/>
          <w:szCs w:val="25"/>
        </w:rPr>
        <w:t xml:space="preserve"> </w:t>
      </w:r>
      <w:r w:rsidR="001D0556">
        <w:rPr>
          <w:sz w:val="25"/>
          <w:szCs w:val="25"/>
        </w:rPr>
        <w:t>response to</w:t>
      </w:r>
      <w:r w:rsidR="00885F64">
        <w:rPr>
          <w:sz w:val="25"/>
          <w:szCs w:val="25"/>
        </w:rPr>
        <w:t xml:space="preserve"> any factor </w:t>
      </w:r>
      <w:r w:rsidR="001D0556">
        <w:rPr>
          <w:sz w:val="25"/>
          <w:szCs w:val="25"/>
        </w:rPr>
        <w:t>causing</w:t>
      </w:r>
      <w:r w:rsidR="009C5EE9">
        <w:rPr>
          <w:sz w:val="25"/>
          <w:szCs w:val="25"/>
        </w:rPr>
        <w:t xml:space="preserve"> differential rates of growth</w:t>
      </w:r>
      <w:r w:rsidR="00930BEC">
        <w:rPr>
          <w:sz w:val="25"/>
          <w:szCs w:val="25"/>
        </w:rPr>
        <w:t xml:space="preserve">, attrition allowances granted by </w:t>
      </w:r>
      <w:r w:rsidR="00736B70">
        <w:rPr>
          <w:sz w:val="25"/>
          <w:szCs w:val="25"/>
        </w:rPr>
        <w:t>this Commission appear to be</w:t>
      </w:r>
      <w:r w:rsidR="00930BEC">
        <w:rPr>
          <w:sz w:val="25"/>
          <w:szCs w:val="25"/>
        </w:rPr>
        <w:t xml:space="preserve"> specifically related to </w:t>
      </w:r>
      <w:r w:rsidR="00F11DD1">
        <w:rPr>
          <w:sz w:val="25"/>
          <w:szCs w:val="25"/>
        </w:rPr>
        <w:t xml:space="preserve">abnormally </w:t>
      </w:r>
      <w:r w:rsidR="00930BEC">
        <w:rPr>
          <w:sz w:val="25"/>
          <w:szCs w:val="25"/>
        </w:rPr>
        <w:t xml:space="preserve">rapid plant investment. </w:t>
      </w:r>
      <w:r w:rsidR="00736B70">
        <w:rPr>
          <w:sz w:val="25"/>
          <w:szCs w:val="25"/>
        </w:rPr>
        <w:t xml:space="preserve">An “attrition allowance” appears as a unique term </w:t>
      </w:r>
      <w:r w:rsidR="009F3140">
        <w:rPr>
          <w:sz w:val="25"/>
          <w:szCs w:val="25"/>
        </w:rPr>
        <w:t xml:space="preserve">in 1981 and appears to be generally associated with the application of growth factors derived from a historical trend analysis of revenues, expenses and rate base. </w:t>
      </w:r>
      <w:r w:rsidR="00300E6F">
        <w:rPr>
          <w:sz w:val="25"/>
          <w:szCs w:val="25"/>
        </w:rPr>
        <w:t xml:space="preserve">The last attrition allowance granted by this Commission was in 1986. </w:t>
      </w:r>
      <w:r w:rsidR="00885F64">
        <w:rPr>
          <w:sz w:val="25"/>
          <w:szCs w:val="25"/>
        </w:rPr>
        <w:t xml:space="preserve"> </w:t>
      </w:r>
    </w:p>
    <w:p w14:paraId="69016B86" w14:textId="77777777" w:rsidR="00930BEC" w:rsidRDefault="00930BEC" w:rsidP="003C5D83">
      <w:pPr>
        <w:pStyle w:val="ListParagraph"/>
        <w:numPr>
          <w:ilvl w:val="0"/>
          <w:numId w:val="7"/>
        </w:numPr>
        <w:spacing w:line="360" w:lineRule="auto"/>
        <w:rPr>
          <w:sz w:val="25"/>
          <w:szCs w:val="25"/>
        </w:rPr>
      </w:pPr>
      <w:r>
        <w:rPr>
          <w:sz w:val="25"/>
          <w:szCs w:val="25"/>
          <w:u w:val="single"/>
        </w:rPr>
        <w:t>CWIP</w:t>
      </w:r>
      <w:r>
        <w:rPr>
          <w:sz w:val="25"/>
          <w:szCs w:val="25"/>
        </w:rPr>
        <w:t xml:space="preserve"> in rate base </w:t>
      </w:r>
      <w:r w:rsidR="003A77DC">
        <w:rPr>
          <w:sz w:val="25"/>
          <w:szCs w:val="25"/>
        </w:rPr>
        <w:t>appears to be the first regulatory mechanism approved by this Commission in</w:t>
      </w:r>
      <w:r>
        <w:rPr>
          <w:sz w:val="25"/>
          <w:szCs w:val="25"/>
        </w:rPr>
        <w:t xml:space="preserve"> response to periods of very large cap</w:t>
      </w:r>
      <w:r w:rsidR="003A77DC">
        <w:rPr>
          <w:sz w:val="25"/>
          <w:szCs w:val="25"/>
        </w:rPr>
        <w:t>ital investment</w:t>
      </w:r>
      <w:r>
        <w:rPr>
          <w:sz w:val="25"/>
          <w:szCs w:val="25"/>
        </w:rPr>
        <w:t xml:space="preserve">. </w:t>
      </w:r>
      <w:r w:rsidR="003A77DC">
        <w:rPr>
          <w:sz w:val="25"/>
          <w:szCs w:val="25"/>
        </w:rPr>
        <w:t xml:space="preserve">Staff could not find an example of Commission approval, or even consideration, of CWIP </w:t>
      </w:r>
      <w:r w:rsidR="00870CAA">
        <w:rPr>
          <w:sz w:val="25"/>
          <w:szCs w:val="25"/>
        </w:rPr>
        <w:t xml:space="preserve">in rate base </w:t>
      </w:r>
      <w:r w:rsidR="003A77DC">
        <w:rPr>
          <w:sz w:val="25"/>
          <w:szCs w:val="25"/>
        </w:rPr>
        <w:t>subsequent to</w:t>
      </w:r>
      <w:r w:rsidR="00157999">
        <w:rPr>
          <w:sz w:val="25"/>
          <w:szCs w:val="25"/>
        </w:rPr>
        <w:t xml:space="preserve"> </w:t>
      </w:r>
      <w:r w:rsidR="00D5047A">
        <w:rPr>
          <w:sz w:val="25"/>
          <w:szCs w:val="25"/>
        </w:rPr>
        <w:t>1991 (</w:t>
      </w:r>
      <w:r w:rsidR="00790372">
        <w:rPr>
          <w:sz w:val="25"/>
          <w:szCs w:val="25"/>
        </w:rPr>
        <w:t>the year CWIP was allowed in rate base by law</w:t>
      </w:r>
      <w:r w:rsidR="00D5047A">
        <w:rPr>
          <w:sz w:val="25"/>
          <w:szCs w:val="25"/>
        </w:rPr>
        <w:t xml:space="preserve"> through legislative action</w:t>
      </w:r>
      <w:r w:rsidR="00790372">
        <w:rPr>
          <w:sz w:val="25"/>
          <w:szCs w:val="25"/>
        </w:rPr>
        <w:t>)</w:t>
      </w:r>
      <w:r w:rsidR="00157999">
        <w:rPr>
          <w:sz w:val="25"/>
          <w:szCs w:val="25"/>
        </w:rPr>
        <w:t>.</w:t>
      </w:r>
    </w:p>
    <w:p w14:paraId="7686E15F" w14:textId="77777777" w:rsidR="00EB32D5" w:rsidRPr="003C5D83" w:rsidRDefault="00BC7F42" w:rsidP="003C5D83">
      <w:pPr>
        <w:pStyle w:val="ListParagraph"/>
        <w:numPr>
          <w:ilvl w:val="0"/>
          <w:numId w:val="7"/>
        </w:numPr>
        <w:spacing w:line="360" w:lineRule="auto"/>
        <w:rPr>
          <w:sz w:val="25"/>
          <w:szCs w:val="25"/>
        </w:rPr>
      </w:pPr>
      <w:r>
        <w:rPr>
          <w:sz w:val="25"/>
          <w:szCs w:val="25"/>
          <w:u w:val="single"/>
        </w:rPr>
        <w:t>An i</w:t>
      </w:r>
      <w:r w:rsidR="00EB32D5">
        <w:rPr>
          <w:sz w:val="25"/>
          <w:szCs w:val="25"/>
          <w:u w:val="single"/>
        </w:rPr>
        <w:t>nflation adjustment</w:t>
      </w:r>
      <w:r>
        <w:rPr>
          <w:sz w:val="25"/>
          <w:szCs w:val="25"/>
        </w:rPr>
        <w:t xml:space="preserve"> was</w:t>
      </w:r>
      <w:r w:rsidR="00EB32D5">
        <w:rPr>
          <w:sz w:val="25"/>
          <w:szCs w:val="25"/>
        </w:rPr>
        <w:t xml:space="preserve"> authorized in </w:t>
      </w:r>
      <w:r>
        <w:rPr>
          <w:sz w:val="25"/>
          <w:szCs w:val="25"/>
        </w:rPr>
        <w:t>a period</w:t>
      </w:r>
      <w:r w:rsidR="00EB32D5">
        <w:rPr>
          <w:sz w:val="25"/>
          <w:szCs w:val="25"/>
        </w:rPr>
        <w:t xml:space="preserve"> of high infl</w:t>
      </w:r>
      <w:r w:rsidR="006648CE">
        <w:rPr>
          <w:sz w:val="25"/>
          <w:szCs w:val="25"/>
        </w:rPr>
        <w:t xml:space="preserve">ation. </w:t>
      </w:r>
      <w:r>
        <w:rPr>
          <w:sz w:val="25"/>
          <w:szCs w:val="25"/>
        </w:rPr>
        <w:t>Staff only uncovered one case where an adjustment was made to counteract expected inflation. The inflation adjustment was</w:t>
      </w:r>
      <w:r w:rsidR="00EB32D5">
        <w:rPr>
          <w:sz w:val="25"/>
          <w:szCs w:val="25"/>
        </w:rPr>
        <w:t xml:space="preserve"> distinct from attrition allow</w:t>
      </w:r>
      <w:r>
        <w:rPr>
          <w:sz w:val="25"/>
          <w:szCs w:val="25"/>
        </w:rPr>
        <w:t>ances in that it was</w:t>
      </w:r>
      <w:r w:rsidR="00EB32D5">
        <w:rPr>
          <w:sz w:val="25"/>
          <w:szCs w:val="25"/>
        </w:rPr>
        <w:t xml:space="preserve"> applied</w:t>
      </w:r>
      <w:r>
        <w:rPr>
          <w:sz w:val="25"/>
          <w:szCs w:val="25"/>
        </w:rPr>
        <w:t xml:space="preserve"> to</w:t>
      </w:r>
      <w:r w:rsidR="00EB32D5">
        <w:rPr>
          <w:sz w:val="25"/>
          <w:szCs w:val="25"/>
        </w:rPr>
        <w:t xml:space="preserve"> O&amp;M expense</w:t>
      </w:r>
      <w:r>
        <w:rPr>
          <w:sz w:val="25"/>
          <w:szCs w:val="25"/>
        </w:rPr>
        <w:t>s subject to inflation</w:t>
      </w:r>
      <w:r w:rsidR="00EB32D5">
        <w:rPr>
          <w:sz w:val="25"/>
          <w:szCs w:val="25"/>
        </w:rPr>
        <w:t xml:space="preserve">. </w:t>
      </w:r>
      <w:r w:rsidR="006648CE">
        <w:rPr>
          <w:sz w:val="25"/>
          <w:szCs w:val="25"/>
        </w:rPr>
        <w:t>An “attrition allowance</w:t>
      </w:r>
      <w:r w:rsidR="003A27F9">
        <w:rPr>
          <w:sz w:val="25"/>
          <w:szCs w:val="25"/>
        </w:rPr>
        <w:t>,</w:t>
      </w:r>
      <w:r w:rsidR="006648CE">
        <w:rPr>
          <w:sz w:val="25"/>
          <w:szCs w:val="25"/>
        </w:rPr>
        <w:t xml:space="preserve">” </w:t>
      </w:r>
      <w:r w:rsidR="003A27F9">
        <w:rPr>
          <w:sz w:val="25"/>
          <w:szCs w:val="25"/>
        </w:rPr>
        <w:t xml:space="preserve">as a distinct concept, </w:t>
      </w:r>
      <w:r w:rsidR="006648CE">
        <w:rPr>
          <w:sz w:val="25"/>
          <w:szCs w:val="25"/>
        </w:rPr>
        <w:t>has never been authorized</w:t>
      </w:r>
      <w:r w:rsidR="003A27F9">
        <w:rPr>
          <w:sz w:val="25"/>
          <w:szCs w:val="25"/>
        </w:rPr>
        <w:t xml:space="preserve"> by this Commission in</w:t>
      </w:r>
      <w:r w:rsidR="006648CE">
        <w:rPr>
          <w:sz w:val="25"/>
          <w:szCs w:val="25"/>
        </w:rPr>
        <w:t xml:space="preserve"> </w:t>
      </w:r>
      <w:r>
        <w:rPr>
          <w:sz w:val="25"/>
          <w:szCs w:val="25"/>
        </w:rPr>
        <w:t xml:space="preserve">direct </w:t>
      </w:r>
      <w:r w:rsidR="006648CE">
        <w:rPr>
          <w:sz w:val="25"/>
          <w:szCs w:val="25"/>
        </w:rPr>
        <w:t xml:space="preserve">response to high inflation. </w:t>
      </w:r>
    </w:p>
    <w:p w14:paraId="2F80F6B8" w14:textId="77777777" w:rsidR="00D11CB1" w:rsidRPr="00E26381" w:rsidRDefault="00D11CB1" w:rsidP="003124C6">
      <w:pPr>
        <w:spacing w:line="360" w:lineRule="auto"/>
        <w:rPr>
          <w:sz w:val="25"/>
          <w:szCs w:val="25"/>
        </w:rPr>
      </w:pPr>
    </w:p>
    <w:p w14:paraId="0185B868" w14:textId="77777777" w:rsidR="002A7568" w:rsidRPr="00BB7603" w:rsidRDefault="00510F8F" w:rsidP="00541770">
      <w:pPr>
        <w:rPr>
          <w:sz w:val="25"/>
          <w:szCs w:val="25"/>
        </w:rPr>
      </w:pPr>
      <w:r w:rsidRPr="00510F8F">
        <w:rPr>
          <w:noProof/>
        </w:rPr>
        <w:lastRenderedPageBreak/>
        <w:drawing>
          <wp:inline distT="0" distB="0" distL="0" distR="0" wp14:anchorId="02000CCE" wp14:editId="56F7F5F4">
            <wp:extent cx="499872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8720" cy="4000500"/>
                    </a:xfrm>
                    <a:prstGeom prst="rect">
                      <a:avLst/>
                    </a:prstGeom>
                    <a:noFill/>
                    <a:ln>
                      <a:noFill/>
                    </a:ln>
                  </pic:spPr>
                </pic:pic>
              </a:graphicData>
            </a:graphic>
          </wp:inline>
        </w:drawing>
      </w:r>
    </w:p>
    <w:sectPr w:rsidR="002A7568" w:rsidRPr="00BB7603" w:rsidSect="008213E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03E67" w14:textId="77777777" w:rsidR="0027163B" w:rsidRDefault="0027163B" w:rsidP="00FC44E6">
      <w:pPr>
        <w:spacing w:before="0" w:after="0"/>
      </w:pPr>
      <w:r>
        <w:separator/>
      </w:r>
    </w:p>
  </w:endnote>
  <w:endnote w:type="continuationSeparator" w:id="0">
    <w:p w14:paraId="78CF3AD0" w14:textId="77777777" w:rsidR="0027163B" w:rsidRDefault="0027163B" w:rsidP="00FC44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70FB7" w14:textId="77777777" w:rsidR="0027163B" w:rsidRDefault="0027163B" w:rsidP="00FC44E6">
      <w:pPr>
        <w:spacing w:before="0" w:after="0"/>
      </w:pPr>
      <w:r>
        <w:separator/>
      </w:r>
    </w:p>
  </w:footnote>
  <w:footnote w:type="continuationSeparator" w:id="0">
    <w:p w14:paraId="2AAA38E6" w14:textId="77777777" w:rsidR="0027163B" w:rsidRDefault="0027163B" w:rsidP="00FC44E6">
      <w:pPr>
        <w:spacing w:before="0" w:after="0"/>
      </w:pPr>
      <w:r>
        <w:continuationSeparator/>
      </w:r>
    </w:p>
  </w:footnote>
  <w:footnote w:id="1">
    <w:p w14:paraId="1F2F9340" w14:textId="77777777" w:rsidR="00A342C6" w:rsidRDefault="00A342C6" w:rsidP="00A342C6">
      <w:pPr>
        <w:pStyle w:val="FootnoteText"/>
      </w:pPr>
      <w:r>
        <w:rPr>
          <w:rStyle w:val="FootnoteReference"/>
        </w:rPr>
        <w:footnoteRef/>
      </w:r>
      <w:r>
        <w:t xml:space="preserve"> RCW 80.28.010(1); RCW 80.28.020.</w:t>
      </w:r>
    </w:p>
  </w:footnote>
  <w:footnote w:id="2">
    <w:p w14:paraId="7F30C55A" w14:textId="77777777" w:rsidR="00A342C6" w:rsidRPr="00441C1C" w:rsidRDefault="00A342C6" w:rsidP="00A342C6">
      <w:pPr>
        <w:pStyle w:val="FootnoteText"/>
      </w:pPr>
      <w:r>
        <w:rPr>
          <w:rStyle w:val="FootnoteReference"/>
        </w:rPr>
        <w:footnoteRef/>
      </w:r>
      <w:r>
        <w:t xml:space="preserve"> </w:t>
      </w:r>
      <w:r>
        <w:rPr>
          <w:i/>
        </w:rPr>
        <w:t xml:space="preserve">Federal Power Commission v. Hope Natural Gas, </w:t>
      </w:r>
      <w:r>
        <w:t xml:space="preserve">320 U.S. 591 (1944); </w:t>
      </w:r>
      <w:r>
        <w:rPr>
          <w:i/>
        </w:rPr>
        <w:t xml:space="preserve">Bluefield Water Works &amp; Improvement Company v. Public Service Commission of West Virginia, </w:t>
      </w:r>
      <w:r w:rsidRPr="00C17E16">
        <w:t xml:space="preserve">262 U.S. 679 (1923).  </w:t>
      </w:r>
      <w:r>
        <w:rPr>
          <w:i/>
        </w:rPr>
        <w:t>See People’s Organization for Washington Energy Resources v. Washington Utilities &amp; Transportation Comm’n</w:t>
      </w:r>
      <w:r>
        <w:t>, 104 Wn.2d 798, 807-13, 711 P.2d 319 (1985) (describing rate setting process in Washington).</w:t>
      </w:r>
    </w:p>
  </w:footnote>
  <w:footnote w:id="3">
    <w:p w14:paraId="0D101C5D" w14:textId="77777777" w:rsidR="004638C9" w:rsidRPr="00B35D87" w:rsidRDefault="004638C9" w:rsidP="00E52DE6">
      <w:pPr>
        <w:pStyle w:val="FootnoteText"/>
      </w:pPr>
      <w:r>
        <w:rPr>
          <w:rStyle w:val="FootnoteReference"/>
        </w:rPr>
        <w:footnoteRef/>
      </w:r>
      <w:r>
        <w:t xml:space="preserve"> </w:t>
      </w:r>
      <w:r w:rsidRPr="00B35D87">
        <w:rPr>
          <w:i/>
        </w:rPr>
        <w:t>Report and Policy Statement on Regulatory Mechanisms, Including Decoupling, to Encourage Utilities to Meet or Exceed Their Conservation Targets</w:t>
      </w:r>
      <w:r>
        <w:t>,</w:t>
      </w:r>
      <w:r w:rsidRPr="00F81EBF">
        <w:t xml:space="preserve"> </w:t>
      </w:r>
      <w:r>
        <w:t xml:space="preserve">Docket U-100522 at </w:t>
      </w:r>
      <w:r w:rsidRPr="00F81EBF">
        <w:t xml:space="preserve">22 </w:t>
      </w:r>
      <w:r>
        <w:t>(</w:t>
      </w:r>
      <w:r w:rsidRPr="00F81EBF">
        <w:t>November 4, 2010</w:t>
      </w:r>
      <w:r>
        <w:t>)</w:t>
      </w:r>
      <w:r w:rsidRPr="00F81EBF">
        <w:t>.</w:t>
      </w:r>
    </w:p>
  </w:footnote>
  <w:footnote w:id="4">
    <w:p w14:paraId="3E1CC944" w14:textId="77777777" w:rsidR="004638C9" w:rsidRDefault="004638C9" w:rsidP="00962996">
      <w:pPr>
        <w:pStyle w:val="FootnoteText"/>
      </w:pPr>
      <w:r>
        <w:rPr>
          <w:rStyle w:val="FootnoteReference"/>
        </w:rPr>
        <w:footnoteRef/>
      </w:r>
      <w:r>
        <w:t xml:space="preserve"> </w:t>
      </w:r>
      <w:r>
        <w:rPr>
          <w:i/>
        </w:rPr>
        <w:t xml:space="preserve">Utilities and Transp. Comm’n v. Puget Sound Energy, </w:t>
      </w:r>
      <w:r w:rsidRPr="00512F68">
        <w:rPr>
          <w:rStyle w:val="LineNumber"/>
          <w:sz w:val="20"/>
          <w:szCs w:val="20"/>
        </w:rPr>
        <w:t>Dockets</w:t>
      </w:r>
      <w:r>
        <w:rPr>
          <w:rStyle w:val="LineNumber"/>
          <w:sz w:val="20"/>
          <w:szCs w:val="20"/>
        </w:rPr>
        <w:t xml:space="preserve"> UE-111048/UG-111049</w:t>
      </w:r>
      <w:r w:rsidRPr="00512F68">
        <w:rPr>
          <w:rStyle w:val="LineNumber"/>
          <w:sz w:val="20"/>
          <w:szCs w:val="20"/>
        </w:rPr>
        <w:t xml:space="preserve">, </w:t>
      </w:r>
      <w:r w:rsidRPr="00512F68">
        <w:t xml:space="preserve">Order </w:t>
      </w:r>
      <w:r>
        <w:rPr>
          <w:rStyle w:val="LineNumber"/>
          <w:sz w:val="20"/>
          <w:szCs w:val="20"/>
        </w:rPr>
        <w:t xml:space="preserve">08 at </w:t>
      </w:r>
      <w:r w:rsidR="00FC7FA1">
        <w:rPr>
          <w:rStyle w:val="LineNumber"/>
          <w:sz w:val="20"/>
          <w:szCs w:val="20"/>
        </w:rPr>
        <w:t>¶491</w:t>
      </w:r>
      <w:r w:rsidR="00FC7FA1" w:rsidRPr="00FC7FA1">
        <w:rPr>
          <w:rStyle w:val="LineNumber"/>
          <w:sz w:val="20"/>
          <w:szCs w:val="20"/>
        </w:rPr>
        <w:t xml:space="preserve"> (May 7</w:t>
      </w:r>
      <w:r w:rsidRPr="00FC7FA1">
        <w:rPr>
          <w:rStyle w:val="LineNumber"/>
          <w:sz w:val="20"/>
          <w:szCs w:val="20"/>
        </w:rPr>
        <w:t>, 2012).</w:t>
      </w:r>
      <w:r>
        <w:t xml:space="preserve"> </w:t>
      </w:r>
    </w:p>
  </w:footnote>
  <w:footnote w:id="5">
    <w:p w14:paraId="7162195B" w14:textId="77777777" w:rsidR="004638C9" w:rsidRPr="00B35D87" w:rsidRDefault="004638C9" w:rsidP="00E52DE6">
      <w:pPr>
        <w:pStyle w:val="FootnoteText"/>
      </w:pPr>
      <w:r w:rsidRPr="00B35D87">
        <w:rPr>
          <w:rStyle w:val="FootnoteReference"/>
        </w:rPr>
        <w:footnoteRef/>
      </w:r>
      <w:r w:rsidRPr="00B35D87">
        <w:t xml:space="preserve"> </w:t>
      </w:r>
      <w:r>
        <w:rPr>
          <w:i/>
        </w:rPr>
        <w:t xml:space="preserve">Utilities and Transp. Comm’n v. Avista Corp., </w:t>
      </w:r>
      <w:r w:rsidRPr="00512F68">
        <w:rPr>
          <w:rStyle w:val="LineNumber"/>
          <w:sz w:val="20"/>
          <w:szCs w:val="20"/>
        </w:rPr>
        <w:t xml:space="preserve">Dockets UE-120436/UG-120437 and UE-110876/UG-110877, </w:t>
      </w:r>
      <w:r w:rsidRPr="00512F68">
        <w:t xml:space="preserve">Order </w:t>
      </w:r>
      <w:r w:rsidRPr="00512F68">
        <w:rPr>
          <w:rStyle w:val="LineNumber"/>
          <w:sz w:val="20"/>
          <w:szCs w:val="20"/>
        </w:rPr>
        <w:t>09 at 10 (December 26, 2012).</w:t>
      </w:r>
    </w:p>
  </w:footnote>
  <w:footnote w:id="6">
    <w:p w14:paraId="5B73A83A" w14:textId="77777777" w:rsidR="00E43C19" w:rsidRPr="004810F7" w:rsidRDefault="00E43C19" w:rsidP="00E43C19">
      <w:pPr>
        <w:pStyle w:val="FootnoteText"/>
        <w:rPr>
          <w:i/>
        </w:rPr>
      </w:pPr>
      <w:r>
        <w:rPr>
          <w:rStyle w:val="FootnoteReference"/>
        </w:rPr>
        <w:footnoteRef/>
      </w:r>
      <w:r>
        <w:t xml:space="preserve"> </w:t>
      </w:r>
      <w:r>
        <w:rPr>
          <w:i/>
        </w:rPr>
        <w:t xml:space="preserve">Power v. Utilities &amp; Transp. Comm’n, </w:t>
      </w:r>
      <w:r>
        <w:t xml:space="preserve">Cause Number 49591-2, </w:t>
      </w:r>
      <w:r w:rsidRPr="00870CAA">
        <w:t>101 Wn.2d 425, 679 P.2d 922 (April 5, 1984).</w:t>
      </w:r>
    </w:p>
  </w:footnote>
  <w:footnote w:id="7">
    <w:p w14:paraId="7F098FC2" w14:textId="77777777" w:rsidR="00E43C19" w:rsidRDefault="00E43C19" w:rsidP="00E43C19">
      <w:pPr>
        <w:autoSpaceDE w:val="0"/>
        <w:autoSpaceDN w:val="0"/>
        <w:adjustRightInd w:val="0"/>
        <w:spacing w:before="0" w:after="0"/>
        <w:rPr>
          <w:rFonts w:eastAsiaTheme="minorHAnsi"/>
          <w:sz w:val="20"/>
          <w:szCs w:val="20"/>
        </w:rPr>
      </w:pPr>
      <w:r>
        <w:rPr>
          <w:rStyle w:val="FootnoteReference"/>
        </w:rPr>
        <w:footnoteRef/>
      </w:r>
      <w:r>
        <w:t xml:space="preserve"> </w:t>
      </w:r>
      <w:r>
        <w:rPr>
          <w:rFonts w:eastAsiaTheme="minorHAnsi"/>
          <w:sz w:val="20"/>
          <w:szCs w:val="20"/>
        </w:rPr>
        <w:t>RCW 80.04.250 now allows the Commission to include reasonable costs of CWIP in rate base. Laws of 1991,</w:t>
      </w:r>
    </w:p>
    <w:p w14:paraId="2CDD0BC0" w14:textId="77777777" w:rsidR="00E43C19" w:rsidRDefault="00E43C19" w:rsidP="00E43C19">
      <w:pPr>
        <w:pStyle w:val="FootnoteText"/>
      </w:pPr>
      <w:r>
        <w:rPr>
          <w:rFonts w:eastAsiaTheme="minorHAnsi"/>
        </w:rPr>
        <w:t>Chapter 122, § 2.</w:t>
      </w:r>
    </w:p>
  </w:footnote>
  <w:footnote w:id="8">
    <w:p w14:paraId="37188B69" w14:textId="77777777" w:rsidR="006141FE" w:rsidRPr="006141FE" w:rsidRDefault="006141FE">
      <w:pPr>
        <w:pStyle w:val="FootnoteText"/>
      </w:pPr>
      <w:r>
        <w:rPr>
          <w:rStyle w:val="FootnoteReference"/>
        </w:rPr>
        <w:footnoteRef/>
      </w:r>
      <w:r>
        <w:t xml:space="preserve"> </w:t>
      </w:r>
      <w:r w:rsidR="0063104C">
        <w:rPr>
          <w:i/>
        </w:rPr>
        <w:t>Utilities and Transp. Comm’n</w:t>
      </w:r>
      <w:r>
        <w:rPr>
          <w:i/>
        </w:rPr>
        <w:t xml:space="preserve"> v. Puget Sound Power &amp; Light Company, </w:t>
      </w:r>
      <w:r>
        <w:t xml:space="preserve">Cause No. U-80-10, </w:t>
      </w:r>
      <w:r w:rsidR="00FC5967">
        <w:t>5</w:t>
      </w:r>
      <w:r w:rsidR="00FC5967" w:rsidRPr="00FC5967">
        <w:rPr>
          <w:vertAlign w:val="superscript"/>
        </w:rPr>
        <w:t>th</w:t>
      </w:r>
      <w:r w:rsidR="00FC5967">
        <w:t xml:space="preserve"> Suppl. Order.</w:t>
      </w:r>
    </w:p>
  </w:footnote>
  <w:footnote w:id="9">
    <w:p w14:paraId="43A8F9A3" w14:textId="77777777" w:rsidR="00FC5967" w:rsidRDefault="00FC5967">
      <w:pPr>
        <w:pStyle w:val="FootnoteText"/>
      </w:pPr>
      <w:r>
        <w:rPr>
          <w:rStyle w:val="FootnoteReference"/>
        </w:rPr>
        <w:footnoteRef/>
      </w:r>
      <w:r>
        <w:t xml:space="preserve">  </w:t>
      </w:r>
      <w:r w:rsidR="0063104C">
        <w:rPr>
          <w:i/>
        </w:rPr>
        <w:t>Utilities and Transp. Comm’n</w:t>
      </w:r>
      <w:r>
        <w:rPr>
          <w:i/>
        </w:rPr>
        <w:t xml:space="preserve"> v. Pacific Power and Light Co., </w:t>
      </w:r>
      <w:r>
        <w:t>Cause No. U-75-24, 2</w:t>
      </w:r>
      <w:r w:rsidRPr="00FC5967">
        <w:rPr>
          <w:vertAlign w:val="superscript"/>
        </w:rPr>
        <w:t>nd</w:t>
      </w:r>
      <w:r>
        <w:t xml:space="preserve"> Suppl. Order; </w:t>
      </w:r>
      <w:r w:rsidR="0063104C">
        <w:rPr>
          <w:i/>
        </w:rPr>
        <w:t>Utilities and Transp. Comm’n</w:t>
      </w:r>
      <w:r>
        <w:rPr>
          <w:i/>
        </w:rPr>
        <w:t xml:space="preserve"> v. Puget Power &amp; Light Company, </w:t>
      </w:r>
      <w:r>
        <w:t>Cause No. U-</w:t>
      </w:r>
      <w:r w:rsidR="00EA48CA">
        <w:t>78-21, 2</w:t>
      </w:r>
      <w:r w:rsidR="00EA48CA" w:rsidRPr="00EA48CA">
        <w:rPr>
          <w:vertAlign w:val="superscript"/>
        </w:rPr>
        <w:t>nd</w:t>
      </w:r>
      <w:r w:rsidR="00EA48CA">
        <w:t xml:space="preserve"> Suppl. Order; and </w:t>
      </w:r>
      <w:r w:rsidR="0063104C">
        <w:rPr>
          <w:i/>
        </w:rPr>
        <w:t>Utilities and Transp. Comm’n</w:t>
      </w:r>
      <w:r>
        <w:rPr>
          <w:i/>
        </w:rPr>
        <w:t xml:space="preserve"> v. Puget Sound Power &amp; Light Company, </w:t>
      </w:r>
      <w:r>
        <w:t>Cause No. U-80-10, 5</w:t>
      </w:r>
      <w:r w:rsidRPr="00FC5967">
        <w:rPr>
          <w:vertAlign w:val="superscript"/>
        </w:rPr>
        <w:t>th</w:t>
      </w:r>
      <w:r>
        <w:t xml:space="preserve"> Suppl. Order.</w:t>
      </w:r>
    </w:p>
  </w:footnote>
  <w:footnote w:id="10">
    <w:p w14:paraId="447DA86C" w14:textId="77777777" w:rsidR="00EA48CA" w:rsidRPr="00EA48CA" w:rsidRDefault="00EA48CA">
      <w:pPr>
        <w:pStyle w:val="FootnoteText"/>
      </w:pPr>
      <w:r>
        <w:rPr>
          <w:rStyle w:val="FootnoteReference"/>
        </w:rPr>
        <w:footnoteRef/>
      </w:r>
      <w:r>
        <w:t xml:space="preserve"> </w:t>
      </w:r>
      <w:r w:rsidR="0063104C">
        <w:rPr>
          <w:i/>
        </w:rPr>
        <w:t>Utilities and Transp. Comm’n</w:t>
      </w:r>
      <w:r>
        <w:rPr>
          <w:i/>
        </w:rPr>
        <w:t xml:space="preserve"> v. Pacific Power and Light Co., </w:t>
      </w:r>
      <w:r>
        <w:t>Cause No. U-75-24, 2</w:t>
      </w:r>
      <w:r w:rsidRPr="00EA48CA">
        <w:rPr>
          <w:vertAlign w:val="superscript"/>
        </w:rPr>
        <w:t>nd</w:t>
      </w:r>
      <w:r>
        <w:t xml:space="preserve"> Suppl. Order. </w:t>
      </w:r>
    </w:p>
  </w:footnote>
  <w:footnote w:id="11">
    <w:p w14:paraId="23B318A5" w14:textId="77777777" w:rsidR="004638C9" w:rsidRPr="00614774" w:rsidRDefault="004638C9" w:rsidP="001B45D4">
      <w:pPr>
        <w:pStyle w:val="FootnoteText"/>
      </w:pPr>
      <w:r w:rsidRPr="00614774">
        <w:rPr>
          <w:rStyle w:val="FootnoteReference"/>
        </w:rPr>
        <w:footnoteRef/>
      </w:r>
      <w:r w:rsidRPr="00614774">
        <w:t xml:space="preserve"> </w:t>
      </w:r>
      <w:r w:rsidR="0063104C">
        <w:rPr>
          <w:i/>
        </w:rPr>
        <w:t>Utilities and Transp. Comm’n</w:t>
      </w:r>
      <w:r w:rsidR="009E2560">
        <w:rPr>
          <w:i/>
        </w:rPr>
        <w:t xml:space="preserve"> v. Puget Sound Energy</w:t>
      </w:r>
      <w:r>
        <w:t>,</w:t>
      </w:r>
      <w:r w:rsidRPr="00614774">
        <w:t xml:space="preserve"> Dockets UE-090704 and UG-090705, Order 11</w:t>
      </w:r>
      <w:r>
        <w:t xml:space="preserve"> at</w:t>
      </w:r>
      <w:r w:rsidRPr="00614774">
        <w:t xml:space="preserve"> ¶26</w:t>
      </w:r>
      <w:r>
        <w:t xml:space="preserve"> (April 2, 2010)</w:t>
      </w:r>
      <w:r w:rsidRPr="00614774">
        <w:t>.</w:t>
      </w:r>
    </w:p>
  </w:footnote>
  <w:footnote w:id="12">
    <w:p w14:paraId="28C52A84" w14:textId="77777777" w:rsidR="004638C9" w:rsidRDefault="004638C9">
      <w:pPr>
        <w:pStyle w:val="FootnoteText"/>
      </w:pPr>
      <w:r>
        <w:rPr>
          <w:rStyle w:val="FootnoteReference"/>
        </w:rPr>
        <w:footnoteRef/>
      </w:r>
      <w:r>
        <w:t xml:space="preserve"> </w:t>
      </w:r>
      <w:r>
        <w:rPr>
          <w:i/>
        </w:rPr>
        <w:t>Utilities and Transp</w:t>
      </w:r>
      <w:r w:rsidR="009E2560">
        <w:rPr>
          <w:i/>
        </w:rPr>
        <w:t xml:space="preserve">. Comm’n v. Puget Sound Energy, </w:t>
      </w:r>
      <w:r w:rsidRPr="00512F68">
        <w:rPr>
          <w:rStyle w:val="LineNumber"/>
          <w:sz w:val="20"/>
          <w:szCs w:val="20"/>
        </w:rPr>
        <w:t>Dockets</w:t>
      </w:r>
      <w:r>
        <w:rPr>
          <w:rStyle w:val="LineNumber"/>
          <w:sz w:val="20"/>
          <w:szCs w:val="20"/>
        </w:rPr>
        <w:t xml:space="preserve"> UE-111048/UG-111049</w:t>
      </w:r>
      <w:r w:rsidRPr="00512F68">
        <w:rPr>
          <w:rStyle w:val="LineNumber"/>
          <w:sz w:val="20"/>
          <w:szCs w:val="20"/>
        </w:rPr>
        <w:t xml:space="preserve">, </w:t>
      </w:r>
      <w:r w:rsidRPr="00512F68">
        <w:t xml:space="preserve">Order </w:t>
      </w:r>
      <w:r>
        <w:rPr>
          <w:rStyle w:val="LineNumber"/>
          <w:sz w:val="20"/>
          <w:szCs w:val="20"/>
        </w:rPr>
        <w:t xml:space="preserve">08 at ¶ 94 </w:t>
      </w:r>
      <w:r w:rsidRPr="00DA5266">
        <w:rPr>
          <w:rStyle w:val="LineNumber"/>
          <w:sz w:val="20"/>
          <w:szCs w:val="20"/>
        </w:rPr>
        <w:t>(May 7, 2012).</w:t>
      </w:r>
    </w:p>
  </w:footnote>
  <w:footnote w:id="13">
    <w:p w14:paraId="2EFCC2C0" w14:textId="77777777" w:rsidR="004638C9" w:rsidRDefault="004638C9">
      <w:pPr>
        <w:pStyle w:val="FootnoteText"/>
      </w:pPr>
      <w:r>
        <w:rPr>
          <w:rStyle w:val="FootnoteReference"/>
        </w:rPr>
        <w:footnoteRef/>
      </w:r>
      <w:r>
        <w:t xml:space="preserve"> WAC 480-07-510(3)(e)(iii) states that “pro forma adjustments” give effect for the test period to all known and measurable changes that are not offset by other factors. </w:t>
      </w:r>
    </w:p>
  </w:footnote>
  <w:footnote w:id="14">
    <w:p w14:paraId="31C80D74" w14:textId="77777777" w:rsidR="004638C9" w:rsidRDefault="004638C9">
      <w:pPr>
        <w:pStyle w:val="FootnoteText"/>
      </w:pPr>
      <w:r>
        <w:rPr>
          <w:rStyle w:val="FootnoteReference"/>
        </w:rPr>
        <w:footnoteRef/>
      </w:r>
      <w:r>
        <w:t xml:space="preserve"> </w:t>
      </w:r>
      <w:r>
        <w:rPr>
          <w:i/>
        </w:rPr>
        <w:t xml:space="preserve">Utilities and Transp. Comm’n v. Puget Sound Energy, </w:t>
      </w:r>
      <w:r w:rsidRPr="00512F68">
        <w:rPr>
          <w:rStyle w:val="LineNumber"/>
          <w:sz w:val="20"/>
          <w:szCs w:val="20"/>
        </w:rPr>
        <w:t>Dockets</w:t>
      </w:r>
      <w:r>
        <w:rPr>
          <w:rStyle w:val="LineNumber"/>
          <w:sz w:val="20"/>
          <w:szCs w:val="20"/>
        </w:rPr>
        <w:t xml:space="preserve"> UE-111048/UG-111049</w:t>
      </w:r>
      <w:r w:rsidRPr="00512F68">
        <w:rPr>
          <w:rStyle w:val="LineNumber"/>
          <w:sz w:val="20"/>
          <w:szCs w:val="20"/>
        </w:rPr>
        <w:t xml:space="preserve">, </w:t>
      </w:r>
      <w:r w:rsidRPr="00512F68">
        <w:t xml:space="preserve">Order </w:t>
      </w:r>
      <w:r>
        <w:rPr>
          <w:rStyle w:val="LineNumber"/>
          <w:sz w:val="20"/>
          <w:szCs w:val="20"/>
        </w:rPr>
        <w:t xml:space="preserve">08, page 183, footnote 677 </w:t>
      </w:r>
      <w:r w:rsidRPr="00DA5266">
        <w:rPr>
          <w:rStyle w:val="LineNumber"/>
          <w:sz w:val="20"/>
          <w:szCs w:val="20"/>
        </w:rPr>
        <w:t>(May 7, 2012).</w:t>
      </w:r>
    </w:p>
  </w:footnote>
  <w:footnote w:id="15">
    <w:p w14:paraId="62B8DC7A" w14:textId="77777777" w:rsidR="004638C9" w:rsidRDefault="004638C9">
      <w:pPr>
        <w:pStyle w:val="FootnoteText"/>
      </w:pPr>
      <w:r>
        <w:rPr>
          <w:rStyle w:val="FootnoteReference"/>
        </w:rPr>
        <w:footnoteRef/>
      </w:r>
      <w:r>
        <w:t xml:space="preserve"> </w:t>
      </w:r>
      <w:r>
        <w:rPr>
          <w:i/>
        </w:rPr>
        <w:t xml:space="preserve">Utilities and Transp. Comm’n v. Puget Sound Energy, </w:t>
      </w:r>
      <w:r w:rsidRPr="00512F68">
        <w:rPr>
          <w:rStyle w:val="LineNumber"/>
          <w:sz w:val="20"/>
          <w:szCs w:val="20"/>
        </w:rPr>
        <w:t>Dockets</w:t>
      </w:r>
      <w:r>
        <w:rPr>
          <w:rStyle w:val="LineNumber"/>
          <w:sz w:val="20"/>
          <w:szCs w:val="20"/>
        </w:rPr>
        <w:t xml:space="preserve"> UE-111048/UG-111049</w:t>
      </w:r>
      <w:r w:rsidRPr="00512F68">
        <w:rPr>
          <w:rStyle w:val="LineNumber"/>
          <w:sz w:val="20"/>
          <w:szCs w:val="20"/>
        </w:rPr>
        <w:t xml:space="preserve">, </w:t>
      </w:r>
      <w:r w:rsidRPr="00512F68">
        <w:t xml:space="preserve">Order </w:t>
      </w:r>
      <w:r>
        <w:rPr>
          <w:rStyle w:val="LineNumber"/>
          <w:sz w:val="20"/>
          <w:szCs w:val="20"/>
        </w:rPr>
        <w:t xml:space="preserve">08, page 181, footnote 673 </w:t>
      </w:r>
      <w:r w:rsidRPr="00DA5266">
        <w:rPr>
          <w:rStyle w:val="LineNumber"/>
          <w:sz w:val="20"/>
          <w:szCs w:val="20"/>
        </w:rPr>
        <w:t>(May 7, 2012).</w:t>
      </w:r>
    </w:p>
  </w:footnote>
  <w:footnote w:id="16">
    <w:p w14:paraId="68EF1D25" w14:textId="77777777" w:rsidR="00CA0BF1" w:rsidRDefault="00CA0BF1">
      <w:pPr>
        <w:pStyle w:val="FootnoteText"/>
      </w:pPr>
      <w:r>
        <w:rPr>
          <w:rStyle w:val="FootnoteReference"/>
        </w:rPr>
        <w:footnoteRef/>
      </w:r>
      <w:r>
        <w:t xml:space="preserve"> </w:t>
      </w:r>
      <w:r w:rsidR="00E60739">
        <w:t xml:space="preserve">See, for example, </w:t>
      </w:r>
      <w:r w:rsidR="0063104C">
        <w:rPr>
          <w:i/>
        </w:rPr>
        <w:t>Utilities and Transp. Comm’n</w:t>
      </w:r>
      <w:r w:rsidR="00B94D65">
        <w:rPr>
          <w:i/>
        </w:rPr>
        <w:t xml:space="preserve"> v. Avista Corporation, </w:t>
      </w:r>
      <w:r w:rsidR="00B94D65">
        <w:t>Docket UE-030751</w:t>
      </w:r>
      <w:r w:rsidR="006A3C13">
        <w:t xml:space="preserve">, Appendix A to Order 05 (January 30, 2004) at </w:t>
      </w:r>
      <w:r w:rsidR="00BB562A">
        <w:t>Section II</w:t>
      </w:r>
      <w:r w:rsidR="006A3C13">
        <w:t>, par</w:t>
      </w:r>
      <w:r w:rsidR="00BB562A">
        <w:t xml:space="preserve">. E. Avista’s Coyote Springs II combustion turbine project, originally scheduled for commercial operation in mid-2002, did not begin commercial operation until July 1, 2003. </w:t>
      </w:r>
    </w:p>
  </w:footnote>
  <w:footnote w:id="17">
    <w:p w14:paraId="383DF2B4" w14:textId="77777777" w:rsidR="00EA54C8" w:rsidRPr="00817683" w:rsidRDefault="00EA54C8" w:rsidP="00EA54C8">
      <w:pPr>
        <w:pStyle w:val="FootnoteText"/>
        <w:rPr>
          <w:i/>
        </w:rPr>
      </w:pPr>
      <w:r w:rsidRPr="00817683">
        <w:rPr>
          <w:rStyle w:val="FootnoteReference"/>
        </w:rPr>
        <w:footnoteRef/>
      </w:r>
      <w:r w:rsidRPr="00817683">
        <w:t xml:space="preserve"> </w:t>
      </w:r>
      <w:r>
        <w:t xml:space="preserve">McGuire, Exhibit No. </w:t>
      </w:r>
      <w:r w:rsidR="009C5ACD">
        <w:t>CRM-1T</w:t>
      </w:r>
      <w:r>
        <w:t xml:space="preserve"> in </w:t>
      </w:r>
      <w:r>
        <w:rPr>
          <w:i/>
        </w:rPr>
        <w:t>WUTC v. Pacific Power and Light Company, Docket UE-130043</w:t>
      </w:r>
      <w:r w:rsidR="009C5ACD">
        <w:rPr>
          <w:i/>
        </w:rPr>
        <w:t xml:space="preserve">. </w:t>
      </w:r>
    </w:p>
  </w:footnote>
  <w:footnote w:id="18">
    <w:p w14:paraId="3B94AA33" w14:textId="77777777" w:rsidR="002C33E7" w:rsidRDefault="002C33E7">
      <w:pPr>
        <w:pStyle w:val="FootnoteText"/>
      </w:pPr>
      <w:r>
        <w:rPr>
          <w:rStyle w:val="FootnoteReference"/>
        </w:rPr>
        <w:footnoteRef/>
      </w:r>
      <w:r>
        <w:t xml:space="preserve"> </w:t>
      </w:r>
      <w:r w:rsidR="0063104C">
        <w:rPr>
          <w:i/>
        </w:rPr>
        <w:t>Utilities and Transp. Comm’n</w:t>
      </w:r>
      <w:r w:rsidR="00953D4A">
        <w:rPr>
          <w:i/>
        </w:rPr>
        <w:t xml:space="preserve"> v. Pacific Power and Light Company, Docket UE-130043, Order 05 (</w:t>
      </w:r>
      <w:r w:rsidR="0093744C">
        <w:rPr>
          <w:i/>
        </w:rPr>
        <w:t>December 4, 2013) at ¶¶199-200.</w:t>
      </w:r>
    </w:p>
  </w:footnote>
  <w:footnote w:id="19">
    <w:p w14:paraId="515232F4" w14:textId="77777777" w:rsidR="004638C9" w:rsidRDefault="004638C9">
      <w:pPr>
        <w:pStyle w:val="FootnoteText"/>
      </w:pPr>
      <w:r>
        <w:rPr>
          <w:rStyle w:val="FootnoteReference"/>
        </w:rPr>
        <w:footnoteRef/>
      </w:r>
      <w:r>
        <w:t xml:space="preserve"> </w:t>
      </w:r>
      <w:r w:rsidR="0063104C">
        <w:rPr>
          <w:i/>
        </w:rPr>
        <w:t>Utilities and Transp. Comm’n</w:t>
      </w:r>
      <w:r w:rsidRPr="008E07D8">
        <w:rPr>
          <w:i/>
        </w:rPr>
        <w:t xml:space="preserve"> v. Avista Corporation, </w:t>
      </w:r>
      <w:r w:rsidRPr="008E07D8">
        <w:t xml:space="preserve">Dockets UE-090134, UG-090135 </w:t>
      </w:r>
      <w:r>
        <w:t>and UG-060518, Order 10 at ¶7</w:t>
      </w:r>
      <w:r w:rsidRPr="008E07D8">
        <w:t xml:space="preserve">1 </w:t>
      </w:r>
      <w:r>
        <w:t>(</w:t>
      </w:r>
      <w:r w:rsidRPr="008E07D8">
        <w:t>December 22, 2009</w:t>
      </w:r>
      <w:r>
        <w:t>)</w:t>
      </w:r>
      <w:r w:rsidRPr="008E07D8">
        <w:t>.</w:t>
      </w:r>
    </w:p>
  </w:footnote>
  <w:footnote w:id="20">
    <w:p w14:paraId="59799EF8" w14:textId="77777777" w:rsidR="004638C9" w:rsidRDefault="004638C9">
      <w:pPr>
        <w:pStyle w:val="FootnoteText"/>
      </w:pPr>
      <w:r>
        <w:rPr>
          <w:rStyle w:val="FootnoteReference"/>
        </w:rPr>
        <w:footnoteRef/>
      </w:r>
      <w:r>
        <w:t xml:space="preserve"> </w:t>
      </w:r>
      <w:r w:rsidR="0063104C">
        <w:rPr>
          <w:i/>
        </w:rPr>
        <w:t>Utilities and Transp. Comm’n</w:t>
      </w:r>
      <w:r w:rsidRPr="008E07D8">
        <w:rPr>
          <w:i/>
        </w:rPr>
        <w:t xml:space="preserve"> v. Avista Corporation, </w:t>
      </w:r>
      <w:r w:rsidRPr="008E07D8">
        <w:t xml:space="preserve">Dockets UE-090134, UG-090135 </w:t>
      </w:r>
      <w:r>
        <w:t>and UG-060518, Order 10 at ¶7</w:t>
      </w:r>
      <w:r w:rsidRPr="008E07D8">
        <w:t xml:space="preserve">1 </w:t>
      </w:r>
      <w:r>
        <w:t>(</w:t>
      </w:r>
      <w:r w:rsidRPr="008E07D8">
        <w:t>December 22, 2009</w:t>
      </w:r>
      <w:r>
        <w:t>)</w:t>
      </w:r>
      <w:r w:rsidRPr="008E07D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75E3" w14:textId="77777777" w:rsidR="004638C9" w:rsidRDefault="004638C9">
    <w:pPr>
      <w:pStyle w:val="Header"/>
      <w:rPr>
        <w:b/>
      </w:rPr>
    </w:pPr>
    <w:r>
      <w:rPr>
        <w:b/>
      </w:rPr>
      <w:t>Docket U-150040</w:t>
    </w:r>
  </w:p>
  <w:p w14:paraId="47044740" w14:textId="77777777" w:rsidR="004638C9" w:rsidRDefault="004638C9" w:rsidP="008213ED">
    <w:pPr>
      <w:pStyle w:val="Header"/>
      <w:rPr>
        <w:b/>
      </w:rPr>
    </w:pPr>
    <w:r>
      <w:rPr>
        <w:b/>
      </w:rPr>
      <w:t>Staff Comments on Utility Earnings Attrition</w:t>
    </w:r>
  </w:p>
  <w:p w14:paraId="0A2E4E86" w14:textId="77777777" w:rsidR="004638C9" w:rsidRPr="005B2A06" w:rsidRDefault="004638C9">
    <w:pPr>
      <w:pStyle w:val="Header"/>
      <w:rPr>
        <w:b/>
      </w:rPr>
    </w:pPr>
    <w:r>
      <w:rPr>
        <w:b/>
      </w:rPr>
      <w:t xml:space="preserve">Page </w:t>
    </w:r>
    <w:sdt>
      <w:sdtPr>
        <w:rPr>
          <w:b/>
        </w:rPr>
        <w:id w:val="1969626206"/>
        <w:docPartObj>
          <w:docPartGallery w:val="Page Numbers (Top of Page)"/>
          <w:docPartUnique/>
        </w:docPartObj>
      </w:sdtPr>
      <w:sdtEndPr>
        <w:rPr>
          <w:noProof/>
        </w:rPr>
      </w:sdtEndPr>
      <w:sdtContent>
        <w:r w:rsidRPr="005B2A06">
          <w:rPr>
            <w:b/>
          </w:rPr>
          <w:fldChar w:fldCharType="begin"/>
        </w:r>
        <w:r w:rsidRPr="005B2A06">
          <w:rPr>
            <w:b/>
          </w:rPr>
          <w:instrText xml:space="preserve"> PAGE   \* MERGEFORMAT </w:instrText>
        </w:r>
        <w:r w:rsidRPr="005B2A06">
          <w:rPr>
            <w:b/>
          </w:rPr>
          <w:fldChar w:fldCharType="separate"/>
        </w:r>
        <w:r w:rsidR="009632CD">
          <w:rPr>
            <w:b/>
            <w:noProof/>
          </w:rPr>
          <w:t>16</w:t>
        </w:r>
        <w:r w:rsidRPr="005B2A06">
          <w:rPr>
            <w:b/>
            <w:noProof/>
          </w:rPr>
          <w:fldChar w:fldCharType="end"/>
        </w:r>
      </w:sdtContent>
    </w:sdt>
  </w:p>
  <w:p w14:paraId="2D873037" w14:textId="77777777" w:rsidR="004638C9" w:rsidRDefault="00463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204C"/>
    <w:multiLevelType w:val="hybridMultilevel"/>
    <w:tmpl w:val="F23687FE"/>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A4233"/>
    <w:multiLevelType w:val="hybridMultilevel"/>
    <w:tmpl w:val="F24CDEA8"/>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3">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20B4D"/>
    <w:multiLevelType w:val="hybridMultilevel"/>
    <w:tmpl w:val="0732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D15F5"/>
    <w:multiLevelType w:val="hybridMultilevel"/>
    <w:tmpl w:val="23C0F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346528"/>
    <w:multiLevelType w:val="hybridMultilevel"/>
    <w:tmpl w:val="97F2CCF4"/>
    <w:lvl w:ilvl="0" w:tplc="DA04430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725FA"/>
    <w:multiLevelType w:val="hybridMultilevel"/>
    <w:tmpl w:val="1F8A37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C4"/>
    <w:rsid w:val="00002878"/>
    <w:rsid w:val="0000375F"/>
    <w:rsid w:val="00031E5E"/>
    <w:rsid w:val="00032CE2"/>
    <w:rsid w:val="000379A1"/>
    <w:rsid w:val="00041909"/>
    <w:rsid w:val="00041C2A"/>
    <w:rsid w:val="00043556"/>
    <w:rsid w:val="00047D78"/>
    <w:rsid w:val="00054E0F"/>
    <w:rsid w:val="000578D4"/>
    <w:rsid w:val="00061205"/>
    <w:rsid w:val="00067DA1"/>
    <w:rsid w:val="00071A70"/>
    <w:rsid w:val="00072A9A"/>
    <w:rsid w:val="00082042"/>
    <w:rsid w:val="00092943"/>
    <w:rsid w:val="00093B0C"/>
    <w:rsid w:val="00095C23"/>
    <w:rsid w:val="0009711E"/>
    <w:rsid w:val="000A496D"/>
    <w:rsid w:val="000A6811"/>
    <w:rsid w:val="000B2F82"/>
    <w:rsid w:val="000B6A56"/>
    <w:rsid w:val="000B75C9"/>
    <w:rsid w:val="000B7605"/>
    <w:rsid w:val="000D1F79"/>
    <w:rsid w:val="000D2A1C"/>
    <w:rsid w:val="000D4220"/>
    <w:rsid w:val="000D4A58"/>
    <w:rsid w:val="000D522A"/>
    <w:rsid w:val="000E36F6"/>
    <w:rsid w:val="000E52DA"/>
    <w:rsid w:val="000E640C"/>
    <w:rsid w:val="000E71F3"/>
    <w:rsid w:val="00103084"/>
    <w:rsid w:val="00104EF7"/>
    <w:rsid w:val="00107C74"/>
    <w:rsid w:val="00112E54"/>
    <w:rsid w:val="00117D0F"/>
    <w:rsid w:val="00121A4E"/>
    <w:rsid w:val="001235B8"/>
    <w:rsid w:val="00123C58"/>
    <w:rsid w:val="001274CD"/>
    <w:rsid w:val="0012781F"/>
    <w:rsid w:val="001302E7"/>
    <w:rsid w:val="001326C3"/>
    <w:rsid w:val="001379FD"/>
    <w:rsid w:val="001414C7"/>
    <w:rsid w:val="00144ADD"/>
    <w:rsid w:val="00151E16"/>
    <w:rsid w:val="00152B50"/>
    <w:rsid w:val="001543C9"/>
    <w:rsid w:val="00154CE2"/>
    <w:rsid w:val="00155793"/>
    <w:rsid w:val="00155BF9"/>
    <w:rsid w:val="00155FB1"/>
    <w:rsid w:val="00156223"/>
    <w:rsid w:val="0015701B"/>
    <w:rsid w:val="00157999"/>
    <w:rsid w:val="00160207"/>
    <w:rsid w:val="001605FA"/>
    <w:rsid w:val="0016441E"/>
    <w:rsid w:val="00181C88"/>
    <w:rsid w:val="00184686"/>
    <w:rsid w:val="00187FFB"/>
    <w:rsid w:val="00192C81"/>
    <w:rsid w:val="001A64BA"/>
    <w:rsid w:val="001A6965"/>
    <w:rsid w:val="001B19AF"/>
    <w:rsid w:val="001B45D4"/>
    <w:rsid w:val="001B6115"/>
    <w:rsid w:val="001C544B"/>
    <w:rsid w:val="001C5AB1"/>
    <w:rsid w:val="001D0556"/>
    <w:rsid w:val="001D2F7C"/>
    <w:rsid w:val="001D763B"/>
    <w:rsid w:val="001E1D7A"/>
    <w:rsid w:val="001E2256"/>
    <w:rsid w:val="001E6723"/>
    <w:rsid w:val="002009AB"/>
    <w:rsid w:val="00205771"/>
    <w:rsid w:val="00210D34"/>
    <w:rsid w:val="002149DF"/>
    <w:rsid w:val="002244AC"/>
    <w:rsid w:val="00227EFE"/>
    <w:rsid w:val="00231D5F"/>
    <w:rsid w:val="00232121"/>
    <w:rsid w:val="002364A1"/>
    <w:rsid w:val="00237DFA"/>
    <w:rsid w:val="00240294"/>
    <w:rsid w:val="002402D8"/>
    <w:rsid w:val="00266E96"/>
    <w:rsid w:val="002712E8"/>
    <w:rsid w:val="0027163B"/>
    <w:rsid w:val="00281615"/>
    <w:rsid w:val="00282975"/>
    <w:rsid w:val="002870B1"/>
    <w:rsid w:val="0029578E"/>
    <w:rsid w:val="002A7568"/>
    <w:rsid w:val="002B460F"/>
    <w:rsid w:val="002C039A"/>
    <w:rsid w:val="002C084A"/>
    <w:rsid w:val="002C33E7"/>
    <w:rsid w:val="002C7B02"/>
    <w:rsid w:val="002D6427"/>
    <w:rsid w:val="002D6D18"/>
    <w:rsid w:val="002D745B"/>
    <w:rsid w:val="002E7994"/>
    <w:rsid w:val="00300E6F"/>
    <w:rsid w:val="0030285D"/>
    <w:rsid w:val="003054A8"/>
    <w:rsid w:val="0030559E"/>
    <w:rsid w:val="003124C6"/>
    <w:rsid w:val="0031524A"/>
    <w:rsid w:val="00315822"/>
    <w:rsid w:val="003262E0"/>
    <w:rsid w:val="00327180"/>
    <w:rsid w:val="003320A3"/>
    <w:rsid w:val="0034097B"/>
    <w:rsid w:val="00340A5B"/>
    <w:rsid w:val="00342189"/>
    <w:rsid w:val="00343732"/>
    <w:rsid w:val="00345936"/>
    <w:rsid w:val="00346278"/>
    <w:rsid w:val="00346D53"/>
    <w:rsid w:val="0034700D"/>
    <w:rsid w:val="00350426"/>
    <w:rsid w:val="00354CDF"/>
    <w:rsid w:val="0035729C"/>
    <w:rsid w:val="0036537A"/>
    <w:rsid w:val="00367688"/>
    <w:rsid w:val="00376448"/>
    <w:rsid w:val="003820E6"/>
    <w:rsid w:val="003A0705"/>
    <w:rsid w:val="003A1FE4"/>
    <w:rsid w:val="003A27F9"/>
    <w:rsid w:val="003A77DC"/>
    <w:rsid w:val="003B2EE6"/>
    <w:rsid w:val="003B51CD"/>
    <w:rsid w:val="003C0FF5"/>
    <w:rsid w:val="003C3A11"/>
    <w:rsid w:val="003C5C93"/>
    <w:rsid w:val="003C5D83"/>
    <w:rsid w:val="003C6909"/>
    <w:rsid w:val="003C7AEA"/>
    <w:rsid w:val="003D048B"/>
    <w:rsid w:val="003D0849"/>
    <w:rsid w:val="003D0F47"/>
    <w:rsid w:val="003D39A5"/>
    <w:rsid w:val="003D63F6"/>
    <w:rsid w:val="003E1073"/>
    <w:rsid w:val="003F1775"/>
    <w:rsid w:val="003F181D"/>
    <w:rsid w:val="00400223"/>
    <w:rsid w:val="00401027"/>
    <w:rsid w:val="004029AD"/>
    <w:rsid w:val="00403D38"/>
    <w:rsid w:val="00404F95"/>
    <w:rsid w:val="00405444"/>
    <w:rsid w:val="00405D6A"/>
    <w:rsid w:val="00412F11"/>
    <w:rsid w:val="00432DE0"/>
    <w:rsid w:val="004410A2"/>
    <w:rsid w:val="00441885"/>
    <w:rsid w:val="004433C6"/>
    <w:rsid w:val="00445AC4"/>
    <w:rsid w:val="00455822"/>
    <w:rsid w:val="00456074"/>
    <w:rsid w:val="004562C1"/>
    <w:rsid w:val="004613FB"/>
    <w:rsid w:val="004638C9"/>
    <w:rsid w:val="00470696"/>
    <w:rsid w:val="00471FA1"/>
    <w:rsid w:val="00473514"/>
    <w:rsid w:val="00476E76"/>
    <w:rsid w:val="004810F7"/>
    <w:rsid w:val="00485CB7"/>
    <w:rsid w:val="0048671C"/>
    <w:rsid w:val="0049440F"/>
    <w:rsid w:val="004A3979"/>
    <w:rsid w:val="004A3F11"/>
    <w:rsid w:val="004B36B8"/>
    <w:rsid w:val="004B3AC4"/>
    <w:rsid w:val="004C0277"/>
    <w:rsid w:val="004C30A2"/>
    <w:rsid w:val="004C4736"/>
    <w:rsid w:val="004C7E78"/>
    <w:rsid w:val="004D1EB6"/>
    <w:rsid w:val="004E075E"/>
    <w:rsid w:val="004E4D94"/>
    <w:rsid w:val="004F284A"/>
    <w:rsid w:val="005017D2"/>
    <w:rsid w:val="00510F8F"/>
    <w:rsid w:val="005113EE"/>
    <w:rsid w:val="00511C69"/>
    <w:rsid w:val="00512F68"/>
    <w:rsid w:val="005130AF"/>
    <w:rsid w:val="00513EA0"/>
    <w:rsid w:val="00513EFA"/>
    <w:rsid w:val="00521294"/>
    <w:rsid w:val="0052687D"/>
    <w:rsid w:val="00531AD1"/>
    <w:rsid w:val="00534241"/>
    <w:rsid w:val="00535B7C"/>
    <w:rsid w:val="00541770"/>
    <w:rsid w:val="005500DC"/>
    <w:rsid w:val="00552600"/>
    <w:rsid w:val="00552BDF"/>
    <w:rsid w:val="005548C3"/>
    <w:rsid w:val="00554B94"/>
    <w:rsid w:val="00556398"/>
    <w:rsid w:val="00564F98"/>
    <w:rsid w:val="00566BFD"/>
    <w:rsid w:val="00567061"/>
    <w:rsid w:val="00567E24"/>
    <w:rsid w:val="005775ED"/>
    <w:rsid w:val="00583BA2"/>
    <w:rsid w:val="00586C60"/>
    <w:rsid w:val="00591342"/>
    <w:rsid w:val="00596A68"/>
    <w:rsid w:val="005A679A"/>
    <w:rsid w:val="005A6C74"/>
    <w:rsid w:val="005B05F2"/>
    <w:rsid w:val="005B2A06"/>
    <w:rsid w:val="005C047D"/>
    <w:rsid w:val="005C489D"/>
    <w:rsid w:val="005D3749"/>
    <w:rsid w:val="005D7214"/>
    <w:rsid w:val="005E0884"/>
    <w:rsid w:val="005E0BC7"/>
    <w:rsid w:val="005E4CF4"/>
    <w:rsid w:val="005F1340"/>
    <w:rsid w:val="005F46AD"/>
    <w:rsid w:val="00601CF8"/>
    <w:rsid w:val="00604599"/>
    <w:rsid w:val="00604732"/>
    <w:rsid w:val="0060494B"/>
    <w:rsid w:val="00604FA6"/>
    <w:rsid w:val="00610216"/>
    <w:rsid w:val="006141FE"/>
    <w:rsid w:val="006144A7"/>
    <w:rsid w:val="00621ACB"/>
    <w:rsid w:val="0063104C"/>
    <w:rsid w:val="006438F6"/>
    <w:rsid w:val="00647E39"/>
    <w:rsid w:val="00651AD9"/>
    <w:rsid w:val="006648CE"/>
    <w:rsid w:val="00664BEC"/>
    <w:rsid w:val="00671821"/>
    <w:rsid w:val="00672F7B"/>
    <w:rsid w:val="006730B7"/>
    <w:rsid w:val="006738DF"/>
    <w:rsid w:val="00677DAF"/>
    <w:rsid w:val="006831A7"/>
    <w:rsid w:val="00684584"/>
    <w:rsid w:val="00686856"/>
    <w:rsid w:val="00695CD0"/>
    <w:rsid w:val="006A3687"/>
    <w:rsid w:val="006A3C13"/>
    <w:rsid w:val="006A41EE"/>
    <w:rsid w:val="006A57D6"/>
    <w:rsid w:val="006A708B"/>
    <w:rsid w:val="006C734A"/>
    <w:rsid w:val="006D463C"/>
    <w:rsid w:val="006D77E0"/>
    <w:rsid w:val="006E13B0"/>
    <w:rsid w:val="006E4CDD"/>
    <w:rsid w:val="006E4FAE"/>
    <w:rsid w:val="006F2CFE"/>
    <w:rsid w:val="006F5195"/>
    <w:rsid w:val="0071505F"/>
    <w:rsid w:val="007168E1"/>
    <w:rsid w:val="00723DD6"/>
    <w:rsid w:val="00724C60"/>
    <w:rsid w:val="007324EB"/>
    <w:rsid w:val="00732946"/>
    <w:rsid w:val="00736B70"/>
    <w:rsid w:val="0073719C"/>
    <w:rsid w:val="00737CBD"/>
    <w:rsid w:val="0076622D"/>
    <w:rsid w:val="0076709A"/>
    <w:rsid w:val="00770788"/>
    <w:rsid w:val="007709BB"/>
    <w:rsid w:val="00775107"/>
    <w:rsid w:val="00777DD2"/>
    <w:rsid w:val="007823D2"/>
    <w:rsid w:val="007838E6"/>
    <w:rsid w:val="00790372"/>
    <w:rsid w:val="00795C18"/>
    <w:rsid w:val="00795F50"/>
    <w:rsid w:val="007A2D20"/>
    <w:rsid w:val="007A3992"/>
    <w:rsid w:val="007A5DB7"/>
    <w:rsid w:val="007B3A9B"/>
    <w:rsid w:val="007B3F37"/>
    <w:rsid w:val="007B6752"/>
    <w:rsid w:val="007B68C5"/>
    <w:rsid w:val="007C2C35"/>
    <w:rsid w:val="007C3020"/>
    <w:rsid w:val="007C31F3"/>
    <w:rsid w:val="007C7133"/>
    <w:rsid w:val="007D36BE"/>
    <w:rsid w:val="007D7030"/>
    <w:rsid w:val="007E1033"/>
    <w:rsid w:val="007E16BF"/>
    <w:rsid w:val="007E2F40"/>
    <w:rsid w:val="00801784"/>
    <w:rsid w:val="00805A96"/>
    <w:rsid w:val="00812F5F"/>
    <w:rsid w:val="00813EC3"/>
    <w:rsid w:val="00817994"/>
    <w:rsid w:val="008213ED"/>
    <w:rsid w:val="00825500"/>
    <w:rsid w:val="00830279"/>
    <w:rsid w:val="00830EE7"/>
    <w:rsid w:val="00830F40"/>
    <w:rsid w:val="00835491"/>
    <w:rsid w:val="00836401"/>
    <w:rsid w:val="00840011"/>
    <w:rsid w:val="008403D1"/>
    <w:rsid w:val="00846B35"/>
    <w:rsid w:val="0085325B"/>
    <w:rsid w:val="008571BF"/>
    <w:rsid w:val="00862449"/>
    <w:rsid w:val="00862E8E"/>
    <w:rsid w:val="00864DEE"/>
    <w:rsid w:val="00870CAA"/>
    <w:rsid w:val="0087455B"/>
    <w:rsid w:val="0088429E"/>
    <w:rsid w:val="00885F64"/>
    <w:rsid w:val="00886C92"/>
    <w:rsid w:val="00887197"/>
    <w:rsid w:val="00887CA7"/>
    <w:rsid w:val="008916DA"/>
    <w:rsid w:val="00891BEA"/>
    <w:rsid w:val="008A5E31"/>
    <w:rsid w:val="008C2D17"/>
    <w:rsid w:val="008D0121"/>
    <w:rsid w:val="008D4B77"/>
    <w:rsid w:val="008E3831"/>
    <w:rsid w:val="008E422E"/>
    <w:rsid w:val="008F571E"/>
    <w:rsid w:val="008F6B8B"/>
    <w:rsid w:val="0090024F"/>
    <w:rsid w:val="009068A8"/>
    <w:rsid w:val="00906946"/>
    <w:rsid w:val="0091325B"/>
    <w:rsid w:val="00916444"/>
    <w:rsid w:val="00930BEC"/>
    <w:rsid w:val="00935210"/>
    <w:rsid w:val="00936166"/>
    <w:rsid w:val="00936F82"/>
    <w:rsid w:val="0093744C"/>
    <w:rsid w:val="00946574"/>
    <w:rsid w:val="00953D4A"/>
    <w:rsid w:val="00955A88"/>
    <w:rsid w:val="00962996"/>
    <w:rsid w:val="009632CD"/>
    <w:rsid w:val="00963A4F"/>
    <w:rsid w:val="00966F45"/>
    <w:rsid w:val="00967DF8"/>
    <w:rsid w:val="00970474"/>
    <w:rsid w:val="00981284"/>
    <w:rsid w:val="00995C29"/>
    <w:rsid w:val="00995E6B"/>
    <w:rsid w:val="00997A11"/>
    <w:rsid w:val="00997A4C"/>
    <w:rsid w:val="009B2DEB"/>
    <w:rsid w:val="009C2D59"/>
    <w:rsid w:val="009C2FFE"/>
    <w:rsid w:val="009C5ACD"/>
    <w:rsid w:val="009C5EE9"/>
    <w:rsid w:val="009D602C"/>
    <w:rsid w:val="009E2560"/>
    <w:rsid w:val="009E7B27"/>
    <w:rsid w:val="009F0D23"/>
    <w:rsid w:val="009F3140"/>
    <w:rsid w:val="009F3F41"/>
    <w:rsid w:val="009F6B9C"/>
    <w:rsid w:val="00A00501"/>
    <w:rsid w:val="00A03AB7"/>
    <w:rsid w:val="00A0474A"/>
    <w:rsid w:val="00A047A6"/>
    <w:rsid w:val="00A13B94"/>
    <w:rsid w:val="00A15EB5"/>
    <w:rsid w:val="00A229C8"/>
    <w:rsid w:val="00A23967"/>
    <w:rsid w:val="00A25941"/>
    <w:rsid w:val="00A30381"/>
    <w:rsid w:val="00A337E2"/>
    <w:rsid w:val="00A342C6"/>
    <w:rsid w:val="00A44A27"/>
    <w:rsid w:val="00A51538"/>
    <w:rsid w:val="00A54149"/>
    <w:rsid w:val="00A55A99"/>
    <w:rsid w:val="00A5659B"/>
    <w:rsid w:val="00A6359F"/>
    <w:rsid w:val="00A660EA"/>
    <w:rsid w:val="00A70357"/>
    <w:rsid w:val="00A71475"/>
    <w:rsid w:val="00A71879"/>
    <w:rsid w:val="00A735AD"/>
    <w:rsid w:val="00A77993"/>
    <w:rsid w:val="00A84C2A"/>
    <w:rsid w:val="00A864F4"/>
    <w:rsid w:val="00A92FFF"/>
    <w:rsid w:val="00A94215"/>
    <w:rsid w:val="00AA2FD9"/>
    <w:rsid w:val="00AA30B0"/>
    <w:rsid w:val="00AB0B15"/>
    <w:rsid w:val="00AB3018"/>
    <w:rsid w:val="00AB3621"/>
    <w:rsid w:val="00AB3E41"/>
    <w:rsid w:val="00AB5759"/>
    <w:rsid w:val="00AC00E7"/>
    <w:rsid w:val="00AC0262"/>
    <w:rsid w:val="00AC1CA7"/>
    <w:rsid w:val="00AC3A14"/>
    <w:rsid w:val="00AC6659"/>
    <w:rsid w:val="00AD3312"/>
    <w:rsid w:val="00AD6458"/>
    <w:rsid w:val="00AE0239"/>
    <w:rsid w:val="00AE273E"/>
    <w:rsid w:val="00AE2CFA"/>
    <w:rsid w:val="00AE52E0"/>
    <w:rsid w:val="00AE7945"/>
    <w:rsid w:val="00AF10FB"/>
    <w:rsid w:val="00AF13DB"/>
    <w:rsid w:val="00AF514F"/>
    <w:rsid w:val="00AF7F74"/>
    <w:rsid w:val="00B006F5"/>
    <w:rsid w:val="00B04D20"/>
    <w:rsid w:val="00B06D3D"/>
    <w:rsid w:val="00B073E7"/>
    <w:rsid w:val="00B11C60"/>
    <w:rsid w:val="00B13041"/>
    <w:rsid w:val="00B3432C"/>
    <w:rsid w:val="00B41342"/>
    <w:rsid w:val="00B415DA"/>
    <w:rsid w:val="00B577FC"/>
    <w:rsid w:val="00B63CF1"/>
    <w:rsid w:val="00B66EC3"/>
    <w:rsid w:val="00B67C10"/>
    <w:rsid w:val="00B7218E"/>
    <w:rsid w:val="00B74C05"/>
    <w:rsid w:val="00B774E4"/>
    <w:rsid w:val="00B81F5B"/>
    <w:rsid w:val="00B93EA8"/>
    <w:rsid w:val="00B94D65"/>
    <w:rsid w:val="00B9784C"/>
    <w:rsid w:val="00BA0888"/>
    <w:rsid w:val="00BA20BD"/>
    <w:rsid w:val="00BA22F9"/>
    <w:rsid w:val="00BB52C4"/>
    <w:rsid w:val="00BB562A"/>
    <w:rsid w:val="00BB7603"/>
    <w:rsid w:val="00BB7C93"/>
    <w:rsid w:val="00BB7FFD"/>
    <w:rsid w:val="00BC2113"/>
    <w:rsid w:val="00BC3EED"/>
    <w:rsid w:val="00BC449E"/>
    <w:rsid w:val="00BC638C"/>
    <w:rsid w:val="00BC7F42"/>
    <w:rsid w:val="00BD7052"/>
    <w:rsid w:val="00BE26B2"/>
    <w:rsid w:val="00BE630A"/>
    <w:rsid w:val="00BE7062"/>
    <w:rsid w:val="00BF3E9B"/>
    <w:rsid w:val="00BF5AC6"/>
    <w:rsid w:val="00C02A18"/>
    <w:rsid w:val="00C042A0"/>
    <w:rsid w:val="00C04C2B"/>
    <w:rsid w:val="00C05F2E"/>
    <w:rsid w:val="00C109B1"/>
    <w:rsid w:val="00C14BF9"/>
    <w:rsid w:val="00C14ED2"/>
    <w:rsid w:val="00C343BC"/>
    <w:rsid w:val="00C3588B"/>
    <w:rsid w:val="00C379CC"/>
    <w:rsid w:val="00C43B42"/>
    <w:rsid w:val="00C44F9F"/>
    <w:rsid w:val="00C46C6C"/>
    <w:rsid w:val="00C47644"/>
    <w:rsid w:val="00C51A63"/>
    <w:rsid w:val="00C57AE3"/>
    <w:rsid w:val="00C66A4C"/>
    <w:rsid w:val="00C76872"/>
    <w:rsid w:val="00C775FA"/>
    <w:rsid w:val="00C82976"/>
    <w:rsid w:val="00C873D5"/>
    <w:rsid w:val="00C92B86"/>
    <w:rsid w:val="00C93C23"/>
    <w:rsid w:val="00C958B8"/>
    <w:rsid w:val="00CA0BF1"/>
    <w:rsid w:val="00CA3A48"/>
    <w:rsid w:val="00CB0373"/>
    <w:rsid w:val="00CB03A1"/>
    <w:rsid w:val="00CB6135"/>
    <w:rsid w:val="00CB6273"/>
    <w:rsid w:val="00CC3896"/>
    <w:rsid w:val="00CC7894"/>
    <w:rsid w:val="00CD00A0"/>
    <w:rsid w:val="00CD1E39"/>
    <w:rsid w:val="00CD5D13"/>
    <w:rsid w:val="00CF0806"/>
    <w:rsid w:val="00CF1EB5"/>
    <w:rsid w:val="00CF43DC"/>
    <w:rsid w:val="00CF5D43"/>
    <w:rsid w:val="00D01121"/>
    <w:rsid w:val="00D01882"/>
    <w:rsid w:val="00D045AA"/>
    <w:rsid w:val="00D057E8"/>
    <w:rsid w:val="00D07F55"/>
    <w:rsid w:val="00D11CB1"/>
    <w:rsid w:val="00D14374"/>
    <w:rsid w:val="00D26E94"/>
    <w:rsid w:val="00D2780D"/>
    <w:rsid w:val="00D27EA4"/>
    <w:rsid w:val="00D31E1E"/>
    <w:rsid w:val="00D33580"/>
    <w:rsid w:val="00D361BE"/>
    <w:rsid w:val="00D36447"/>
    <w:rsid w:val="00D3687E"/>
    <w:rsid w:val="00D36F3B"/>
    <w:rsid w:val="00D41ADE"/>
    <w:rsid w:val="00D501A8"/>
    <w:rsid w:val="00D5047A"/>
    <w:rsid w:val="00D53695"/>
    <w:rsid w:val="00DA1B27"/>
    <w:rsid w:val="00DA1B86"/>
    <w:rsid w:val="00DA3983"/>
    <w:rsid w:val="00DA5266"/>
    <w:rsid w:val="00DC2B31"/>
    <w:rsid w:val="00DD039A"/>
    <w:rsid w:val="00DD12D9"/>
    <w:rsid w:val="00DD2A47"/>
    <w:rsid w:val="00DD498B"/>
    <w:rsid w:val="00DF20CD"/>
    <w:rsid w:val="00DF441B"/>
    <w:rsid w:val="00E07C19"/>
    <w:rsid w:val="00E10566"/>
    <w:rsid w:val="00E15DAB"/>
    <w:rsid w:val="00E2314C"/>
    <w:rsid w:val="00E238FB"/>
    <w:rsid w:val="00E26381"/>
    <w:rsid w:val="00E2647E"/>
    <w:rsid w:val="00E26CB7"/>
    <w:rsid w:val="00E27080"/>
    <w:rsid w:val="00E36628"/>
    <w:rsid w:val="00E37A61"/>
    <w:rsid w:val="00E37CF2"/>
    <w:rsid w:val="00E41140"/>
    <w:rsid w:val="00E427D0"/>
    <w:rsid w:val="00E43C19"/>
    <w:rsid w:val="00E47E76"/>
    <w:rsid w:val="00E50C91"/>
    <w:rsid w:val="00E52DE6"/>
    <w:rsid w:val="00E60739"/>
    <w:rsid w:val="00E64090"/>
    <w:rsid w:val="00E715E1"/>
    <w:rsid w:val="00E8765D"/>
    <w:rsid w:val="00E936B6"/>
    <w:rsid w:val="00E954B0"/>
    <w:rsid w:val="00E96390"/>
    <w:rsid w:val="00E97937"/>
    <w:rsid w:val="00EA48CA"/>
    <w:rsid w:val="00EA52DC"/>
    <w:rsid w:val="00EA54C8"/>
    <w:rsid w:val="00EA793E"/>
    <w:rsid w:val="00EB32D5"/>
    <w:rsid w:val="00EB4C7A"/>
    <w:rsid w:val="00EC007A"/>
    <w:rsid w:val="00EC324D"/>
    <w:rsid w:val="00EC5315"/>
    <w:rsid w:val="00EC5820"/>
    <w:rsid w:val="00EC72A4"/>
    <w:rsid w:val="00ED4D28"/>
    <w:rsid w:val="00ED5A3D"/>
    <w:rsid w:val="00EF0963"/>
    <w:rsid w:val="00EF495C"/>
    <w:rsid w:val="00F0337B"/>
    <w:rsid w:val="00F03CCE"/>
    <w:rsid w:val="00F104DB"/>
    <w:rsid w:val="00F11DD1"/>
    <w:rsid w:val="00F14078"/>
    <w:rsid w:val="00F1478F"/>
    <w:rsid w:val="00F21B68"/>
    <w:rsid w:val="00F342FD"/>
    <w:rsid w:val="00F34D66"/>
    <w:rsid w:val="00F355E6"/>
    <w:rsid w:val="00F4074E"/>
    <w:rsid w:val="00F40D76"/>
    <w:rsid w:val="00F44C71"/>
    <w:rsid w:val="00F50523"/>
    <w:rsid w:val="00F56D77"/>
    <w:rsid w:val="00F71BD0"/>
    <w:rsid w:val="00F73B10"/>
    <w:rsid w:val="00F77D12"/>
    <w:rsid w:val="00F83951"/>
    <w:rsid w:val="00F83E41"/>
    <w:rsid w:val="00F87078"/>
    <w:rsid w:val="00F960AE"/>
    <w:rsid w:val="00FA36EB"/>
    <w:rsid w:val="00FA3EB1"/>
    <w:rsid w:val="00FA4970"/>
    <w:rsid w:val="00FC44E6"/>
    <w:rsid w:val="00FC5967"/>
    <w:rsid w:val="00FC7D3D"/>
    <w:rsid w:val="00FC7FA1"/>
    <w:rsid w:val="00FD22BA"/>
    <w:rsid w:val="00FE1B80"/>
    <w:rsid w:val="00FE1EB6"/>
    <w:rsid w:val="00FE5D57"/>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A1665"/>
  <w15:docId w15:val="{1B977822-83AE-467D-BCEE-F4EAF7EC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2C4"/>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FC44E6"/>
    <w:pPr>
      <w:spacing w:before="0"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FC44E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FC44E6"/>
    <w:rPr>
      <w:vertAlign w:val="superscript"/>
    </w:rPr>
  </w:style>
  <w:style w:type="table" w:styleId="TableGrid">
    <w:name w:val="Table Grid"/>
    <w:basedOn w:val="TableNormal"/>
    <w:uiPriority w:val="59"/>
    <w:rsid w:val="0050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7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6622D"/>
    <w:pPr>
      <w:ind w:left="720"/>
      <w:contextualSpacing/>
    </w:pPr>
  </w:style>
  <w:style w:type="paragraph" w:styleId="Header">
    <w:name w:val="header"/>
    <w:basedOn w:val="Normal"/>
    <w:link w:val="HeaderChar"/>
    <w:uiPriority w:val="99"/>
    <w:unhideWhenUsed/>
    <w:rsid w:val="005B2A06"/>
    <w:pPr>
      <w:tabs>
        <w:tab w:val="center" w:pos="4680"/>
        <w:tab w:val="right" w:pos="9360"/>
      </w:tabs>
      <w:spacing w:before="0" w:after="0"/>
    </w:pPr>
  </w:style>
  <w:style w:type="character" w:customStyle="1" w:styleId="HeaderChar">
    <w:name w:val="Header Char"/>
    <w:basedOn w:val="DefaultParagraphFont"/>
    <w:link w:val="Header"/>
    <w:uiPriority w:val="99"/>
    <w:rsid w:val="005B2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A06"/>
    <w:pPr>
      <w:tabs>
        <w:tab w:val="center" w:pos="4680"/>
        <w:tab w:val="right" w:pos="9360"/>
      </w:tabs>
      <w:spacing w:before="0" w:after="0"/>
    </w:pPr>
  </w:style>
  <w:style w:type="character" w:customStyle="1" w:styleId="FooterChar">
    <w:name w:val="Footer Char"/>
    <w:basedOn w:val="DefaultParagraphFont"/>
    <w:link w:val="Footer"/>
    <w:uiPriority w:val="99"/>
    <w:rsid w:val="005B2A06"/>
    <w:rPr>
      <w:rFonts w:ascii="Times New Roman" w:eastAsia="Times New Roman" w:hAnsi="Times New Roman" w:cs="Times New Roman"/>
      <w:sz w:val="24"/>
      <w:szCs w:val="24"/>
    </w:rPr>
  </w:style>
  <w:style w:type="paragraph" w:styleId="BodyTextIndent2">
    <w:name w:val="Body Text Indent 2"/>
    <w:basedOn w:val="Normal"/>
    <w:next w:val="Normal"/>
    <w:link w:val="BodyTextIndent2Char"/>
    <w:rsid w:val="00801784"/>
    <w:pPr>
      <w:autoSpaceDE w:val="0"/>
      <w:autoSpaceDN w:val="0"/>
      <w:adjustRightInd w:val="0"/>
      <w:spacing w:before="0" w:after="0"/>
    </w:pPr>
    <w:rPr>
      <w:rFonts w:ascii="Palatino Linotype" w:hAnsi="Palatino Linotype"/>
    </w:rPr>
  </w:style>
  <w:style w:type="character" w:customStyle="1" w:styleId="BodyTextIndent2Char">
    <w:name w:val="Body Text Indent 2 Char"/>
    <w:basedOn w:val="DefaultParagraphFont"/>
    <w:link w:val="BodyTextIndent2"/>
    <w:rsid w:val="00801784"/>
    <w:rPr>
      <w:rFonts w:ascii="Palatino Linotype" w:eastAsia="Times New Roman" w:hAnsi="Palatino Linotype" w:cs="Times New Roman"/>
      <w:sz w:val="24"/>
      <w:szCs w:val="24"/>
    </w:rPr>
  </w:style>
  <w:style w:type="paragraph" w:styleId="NoSpacing">
    <w:name w:val="No Spacing"/>
    <w:uiPriority w:val="1"/>
    <w:qFormat/>
    <w:rsid w:val="00E36628"/>
    <w:rPr>
      <w:rFonts w:ascii="Calibri" w:eastAsia="Calibri" w:hAnsi="Calibri" w:cs="Times New Roman"/>
    </w:rPr>
  </w:style>
  <w:style w:type="character" w:styleId="LineNumber">
    <w:name w:val="line number"/>
    <w:basedOn w:val="DefaultParagraphFont"/>
    <w:uiPriority w:val="99"/>
    <w:rsid w:val="00E52DE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B3018"/>
    <w:rPr>
      <w:sz w:val="16"/>
      <w:szCs w:val="16"/>
    </w:rPr>
  </w:style>
  <w:style w:type="paragraph" w:styleId="CommentText">
    <w:name w:val="annotation text"/>
    <w:basedOn w:val="Normal"/>
    <w:link w:val="CommentTextChar"/>
    <w:uiPriority w:val="99"/>
    <w:semiHidden/>
    <w:unhideWhenUsed/>
    <w:rsid w:val="00AB3018"/>
    <w:rPr>
      <w:sz w:val="20"/>
      <w:szCs w:val="20"/>
    </w:rPr>
  </w:style>
  <w:style w:type="character" w:customStyle="1" w:styleId="CommentTextChar">
    <w:name w:val="Comment Text Char"/>
    <w:basedOn w:val="DefaultParagraphFont"/>
    <w:link w:val="CommentText"/>
    <w:uiPriority w:val="99"/>
    <w:semiHidden/>
    <w:rsid w:val="00AB30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3018"/>
    <w:rPr>
      <w:b/>
      <w:bCs/>
    </w:rPr>
  </w:style>
  <w:style w:type="character" w:customStyle="1" w:styleId="CommentSubjectChar">
    <w:name w:val="Comment Subject Char"/>
    <w:basedOn w:val="CommentTextChar"/>
    <w:link w:val="CommentSubject"/>
    <w:uiPriority w:val="99"/>
    <w:semiHidden/>
    <w:rsid w:val="00AB30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301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018"/>
    <w:rPr>
      <w:rFonts w:ascii="Segoe UI" w:eastAsia="Times New Roman" w:hAnsi="Segoe UI" w:cs="Segoe UI"/>
      <w:sz w:val="18"/>
      <w:szCs w:val="18"/>
    </w:rPr>
  </w:style>
  <w:style w:type="paragraph" w:customStyle="1" w:styleId="FindingsConclusions">
    <w:name w:val="Findings &amp; Conclusions"/>
    <w:basedOn w:val="Normal"/>
    <w:rsid w:val="00840011"/>
    <w:pPr>
      <w:numPr>
        <w:numId w:val="8"/>
      </w:num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2015-01-07T08:00:00+00:00</OpenedDate>
    <Date1 xmlns="dc463f71-b30c-4ab2-9473-d307f9d35888">2015-03-27T22:25:04+00:00</Date1>
    <IsDocumentOrder xmlns="dc463f71-b30c-4ab2-9473-d307f9d35888" xsi:nil="true"/>
    <IsHighlyConfidential xmlns="dc463f71-b30c-4ab2-9473-d307f9d35888">false</IsHighlyConfidential>
    <CaseCompanyNames xmlns="dc463f71-b30c-4ab2-9473-d307f9d35888" xsi:nil="true"/>
    <DocketNumber xmlns="dc463f71-b30c-4ab2-9473-d307f9d35888">150040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9913851834743AF02A4619037F444" ma:contentTypeVersion="119" ma:contentTypeDescription="" ma:contentTypeScope="" ma:versionID="edbd40e55cd189a8486b8a421eb612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79E16-3E79-47A4-89DD-29516EC37E4E}"/>
</file>

<file path=customXml/itemProps2.xml><?xml version="1.0" encoding="utf-8"?>
<ds:datastoreItem xmlns:ds="http://schemas.openxmlformats.org/officeDocument/2006/customXml" ds:itemID="{B0093A30-F75A-4151-B561-2D316072504E}"/>
</file>

<file path=customXml/itemProps3.xml><?xml version="1.0" encoding="utf-8"?>
<ds:datastoreItem xmlns:ds="http://schemas.openxmlformats.org/officeDocument/2006/customXml" ds:itemID="{105F06E8-5A95-458B-8A47-40673A44CB25}"/>
</file>

<file path=customXml/itemProps4.xml><?xml version="1.0" encoding="utf-8"?>
<ds:datastoreItem xmlns:ds="http://schemas.openxmlformats.org/officeDocument/2006/customXml" ds:itemID="{64264CAA-DD47-4E23-82F2-D2F2053BB08C}"/>
</file>

<file path=customXml/itemProps5.xml><?xml version="1.0" encoding="utf-8"?>
<ds:datastoreItem xmlns:ds="http://schemas.openxmlformats.org/officeDocument/2006/customXml" ds:itemID="{857D2DD3-E6FA-47B3-BD9F-24392CA39C17}"/>
</file>

<file path=docProps/app.xml><?xml version="1.0" encoding="utf-8"?>
<Properties xmlns="http://schemas.openxmlformats.org/officeDocument/2006/extended-properties" xmlns:vt="http://schemas.openxmlformats.org/officeDocument/2006/docPropsVTypes">
  <Template>Normal.dotm</Template>
  <TotalTime>8</TotalTime>
  <Pages>17</Pages>
  <Words>4374</Words>
  <Characters>24934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Twitchell</dc:creator>
  <cp:lastModifiedBy>Gross, Krista (UTC)</cp:lastModifiedBy>
  <cp:revision>3</cp:revision>
  <dcterms:created xsi:type="dcterms:W3CDTF">2015-03-27T18:50:00Z</dcterms:created>
  <dcterms:modified xsi:type="dcterms:W3CDTF">2015-03-27T18:57:00Z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0x0101006E56B4D1795A2E4DB2F0B01679ED314A000DE9913851834743AF02A4619037F444</vt:lpwstr>
  </property>
  <property fmtid="{D5CDD505-2E9C-101B-9397-08002B2CF9AE}" pid="3" name="_docset_NoMedatataSyncRequired">
    <vt:lpwstr>False</vt:lpwstr>
  </property>
</Properties>
</file>