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7A" w:rsidRPr="0026387A" w:rsidRDefault="0026387A" w:rsidP="0026387A">
      <w:pPr>
        <w:spacing w:after="0" w:line="240" w:lineRule="auto"/>
        <w:rPr>
          <w:rFonts w:ascii="Times New Roman" w:hAnsi="Times New Roman" w:cs="Times New Roman"/>
          <w:b/>
          <w:sz w:val="28"/>
          <w:szCs w:val="28"/>
        </w:rPr>
      </w:pPr>
      <w:bookmarkStart w:id="0" w:name="_GoBack"/>
      <w:bookmarkEnd w:id="0"/>
      <w:r w:rsidRPr="0026387A">
        <w:rPr>
          <w:rFonts w:ascii="Times New Roman" w:hAnsi="Times New Roman" w:cs="Times New Roman"/>
          <w:b/>
          <w:sz w:val="28"/>
          <w:szCs w:val="28"/>
        </w:rPr>
        <w:t>U 14</w:t>
      </w:r>
      <w:r w:rsidR="00A61CD4">
        <w:rPr>
          <w:rFonts w:ascii="Times New Roman" w:hAnsi="Times New Roman" w:cs="Times New Roman"/>
          <w:b/>
          <w:sz w:val="28"/>
          <w:szCs w:val="28"/>
        </w:rPr>
        <w:t>4155</w:t>
      </w:r>
      <w:r w:rsidRPr="0026387A">
        <w:rPr>
          <w:rFonts w:ascii="Times New Roman" w:hAnsi="Times New Roman" w:cs="Times New Roman"/>
          <w:b/>
          <w:sz w:val="28"/>
          <w:szCs w:val="28"/>
        </w:rPr>
        <w:t xml:space="preserve"> – </w:t>
      </w:r>
      <w:r w:rsidR="00A61CD4">
        <w:rPr>
          <w:rFonts w:ascii="Times New Roman" w:hAnsi="Times New Roman" w:cs="Times New Roman"/>
          <w:b/>
          <w:sz w:val="28"/>
          <w:szCs w:val="28"/>
        </w:rPr>
        <w:t>Meter and Billing Issues Rulemaking</w:t>
      </w:r>
    </w:p>
    <w:p w:rsidR="0026387A" w:rsidRPr="0026387A" w:rsidRDefault="0026387A" w:rsidP="0026387A">
      <w:pPr>
        <w:spacing w:after="0" w:line="240" w:lineRule="auto"/>
        <w:rPr>
          <w:rFonts w:ascii="Times New Roman" w:hAnsi="Times New Roman" w:cs="Times New Roman"/>
          <w:b/>
          <w:sz w:val="28"/>
          <w:szCs w:val="28"/>
        </w:rPr>
      </w:pPr>
      <w:r w:rsidRPr="0026387A">
        <w:rPr>
          <w:rFonts w:ascii="Times New Roman" w:hAnsi="Times New Roman" w:cs="Times New Roman"/>
          <w:b/>
          <w:sz w:val="28"/>
          <w:szCs w:val="28"/>
        </w:rPr>
        <w:t>Summary of Comments in Response to CR 101 Notice</w:t>
      </w:r>
    </w:p>
    <w:p w:rsidR="007A7E2A" w:rsidRDefault="007A7E2A" w:rsidP="0026387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7"/>
        <w:gridCol w:w="3418"/>
        <w:gridCol w:w="5937"/>
        <w:gridCol w:w="4678"/>
      </w:tblGrid>
      <w:tr w:rsidR="0026387A" w:rsidTr="00075A21">
        <w:tc>
          <w:tcPr>
            <w:tcW w:w="4677" w:type="dxa"/>
          </w:tcPr>
          <w:p w:rsidR="0026387A" w:rsidRPr="0026387A" w:rsidRDefault="0026387A" w:rsidP="0026387A">
            <w:pPr>
              <w:rPr>
                <w:rFonts w:ascii="Times New Roman" w:hAnsi="Times New Roman" w:cs="Times New Roman"/>
                <w:b/>
                <w:sz w:val="24"/>
                <w:szCs w:val="24"/>
              </w:rPr>
            </w:pPr>
            <w:r w:rsidRPr="0026387A">
              <w:rPr>
                <w:rFonts w:ascii="Times New Roman" w:hAnsi="Times New Roman" w:cs="Times New Roman"/>
                <w:b/>
                <w:sz w:val="24"/>
                <w:szCs w:val="24"/>
              </w:rPr>
              <w:t>Issue</w:t>
            </w:r>
          </w:p>
        </w:tc>
        <w:tc>
          <w:tcPr>
            <w:tcW w:w="3418" w:type="dxa"/>
          </w:tcPr>
          <w:p w:rsidR="0026387A" w:rsidRPr="0026387A" w:rsidRDefault="0026387A" w:rsidP="0026387A">
            <w:pPr>
              <w:rPr>
                <w:rFonts w:ascii="Times New Roman" w:hAnsi="Times New Roman" w:cs="Times New Roman"/>
                <w:b/>
                <w:sz w:val="24"/>
                <w:szCs w:val="24"/>
              </w:rPr>
            </w:pPr>
            <w:r w:rsidRPr="0026387A">
              <w:rPr>
                <w:rFonts w:ascii="Times New Roman" w:hAnsi="Times New Roman" w:cs="Times New Roman"/>
                <w:b/>
                <w:sz w:val="24"/>
                <w:szCs w:val="24"/>
              </w:rPr>
              <w:t>Company/Agency</w:t>
            </w:r>
            <w:r>
              <w:rPr>
                <w:rFonts w:ascii="Times New Roman" w:hAnsi="Times New Roman" w:cs="Times New Roman"/>
                <w:b/>
                <w:sz w:val="24"/>
                <w:szCs w:val="24"/>
              </w:rPr>
              <w:t xml:space="preserve"> Name</w:t>
            </w:r>
          </w:p>
        </w:tc>
        <w:tc>
          <w:tcPr>
            <w:tcW w:w="5937" w:type="dxa"/>
          </w:tcPr>
          <w:p w:rsidR="0026387A" w:rsidRPr="0026387A" w:rsidRDefault="0026387A" w:rsidP="0026387A">
            <w:pPr>
              <w:rPr>
                <w:rFonts w:ascii="Times New Roman" w:hAnsi="Times New Roman" w:cs="Times New Roman"/>
                <w:b/>
                <w:sz w:val="24"/>
                <w:szCs w:val="24"/>
              </w:rPr>
            </w:pPr>
            <w:r>
              <w:rPr>
                <w:rFonts w:ascii="Times New Roman" w:hAnsi="Times New Roman" w:cs="Times New Roman"/>
                <w:b/>
                <w:sz w:val="24"/>
                <w:szCs w:val="24"/>
              </w:rPr>
              <w:t>Company/Agency Response</w:t>
            </w:r>
          </w:p>
        </w:tc>
        <w:tc>
          <w:tcPr>
            <w:tcW w:w="4678" w:type="dxa"/>
          </w:tcPr>
          <w:p w:rsidR="0026387A" w:rsidRPr="0026387A" w:rsidRDefault="001B5824" w:rsidP="0026387A">
            <w:pPr>
              <w:rPr>
                <w:rFonts w:ascii="Times New Roman" w:hAnsi="Times New Roman" w:cs="Times New Roman"/>
                <w:b/>
                <w:sz w:val="24"/>
                <w:szCs w:val="24"/>
              </w:rPr>
            </w:pPr>
            <w:r>
              <w:rPr>
                <w:rFonts w:ascii="Times New Roman" w:hAnsi="Times New Roman" w:cs="Times New Roman"/>
                <w:b/>
                <w:sz w:val="24"/>
                <w:szCs w:val="24"/>
              </w:rPr>
              <w:t>Staff Comments</w:t>
            </w:r>
          </w:p>
        </w:tc>
      </w:tr>
      <w:tr w:rsidR="00FC42D6" w:rsidTr="00840EC7">
        <w:tc>
          <w:tcPr>
            <w:tcW w:w="4677" w:type="dxa"/>
          </w:tcPr>
          <w:p w:rsidR="00FC42D6" w:rsidRPr="00A61CD4" w:rsidRDefault="00FC42D6" w:rsidP="00A61CD4">
            <w:pPr>
              <w:pStyle w:val="ListParagraph"/>
              <w:numPr>
                <w:ilvl w:val="0"/>
                <w:numId w:val="2"/>
              </w:num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t>Provide the average number of meters in service from 2012 to 2014.</w:t>
            </w:r>
          </w:p>
        </w:tc>
        <w:tc>
          <w:tcPr>
            <w:tcW w:w="9355" w:type="dxa"/>
            <w:gridSpan w:val="2"/>
          </w:tcPr>
          <w:tbl>
            <w:tblPr>
              <w:tblStyle w:val="TableGrid"/>
              <w:tblW w:w="0" w:type="auto"/>
              <w:tblLook w:val="04A0" w:firstRow="1" w:lastRow="0" w:firstColumn="1" w:lastColumn="0" w:noHBand="0" w:noVBand="1"/>
            </w:tblPr>
            <w:tblGrid>
              <w:gridCol w:w="1040"/>
              <w:gridCol w:w="1557"/>
              <w:gridCol w:w="1557"/>
              <w:gridCol w:w="1557"/>
            </w:tblGrid>
            <w:tr w:rsidR="00FC42D6" w:rsidTr="00F1341B">
              <w:tc>
                <w:tcPr>
                  <w:tcW w:w="1040" w:type="dxa"/>
                </w:tcPr>
                <w:p w:rsidR="00FC42D6" w:rsidRDefault="00FC42D6" w:rsidP="00DC186B">
                  <w:pPr>
                    <w:rPr>
                      <w:sz w:val="25"/>
                      <w:szCs w:val="25"/>
                    </w:rPr>
                  </w:pPr>
                </w:p>
              </w:tc>
              <w:tc>
                <w:tcPr>
                  <w:tcW w:w="1557" w:type="dxa"/>
                  <w:shd w:val="clear" w:color="auto" w:fill="D9D9D9" w:themeFill="background1" w:themeFillShade="D9"/>
                </w:tcPr>
                <w:p w:rsidR="00FC42D6" w:rsidRPr="00F1341B" w:rsidRDefault="00FC42D6" w:rsidP="00F1341B">
                  <w:pPr>
                    <w:jc w:val="right"/>
                    <w:rPr>
                      <w:rFonts w:ascii="Times New Roman" w:hAnsi="Times New Roman" w:cs="Times New Roman"/>
                      <w:b/>
                      <w:sz w:val="24"/>
                      <w:szCs w:val="24"/>
                    </w:rPr>
                  </w:pPr>
                  <w:r w:rsidRPr="00F1341B">
                    <w:rPr>
                      <w:b/>
                      <w:sz w:val="25"/>
                      <w:szCs w:val="25"/>
                    </w:rPr>
                    <w:t>2012</w:t>
                  </w:r>
                </w:p>
              </w:tc>
              <w:tc>
                <w:tcPr>
                  <w:tcW w:w="1557" w:type="dxa"/>
                  <w:shd w:val="clear" w:color="auto" w:fill="D9D9D9" w:themeFill="background1" w:themeFillShade="D9"/>
                </w:tcPr>
                <w:p w:rsidR="00FC42D6" w:rsidRPr="00F1341B" w:rsidRDefault="00FC42D6" w:rsidP="00F1341B">
                  <w:pPr>
                    <w:jc w:val="right"/>
                    <w:rPr>
                      <w:rFonts w:ascii="Times New Roman" w:hAnsi="Times New Roman" w:cs="Times New Roman"/>
                      <w:b/>
                      <w:sz w:val="24"/>
                      <w:szCs w:val="24"/>
                    </w:rPr>
                  </w:pPr>
                  <w:r w:rsidRPr="00F1341B">
                    <w:rPr>
                      <w:b/>
                      <w:sz w:val="25"/>
                      <w:szCs w:val="25"/>
                    </w:rPr>
                    <w:t>2013</w:t>
                  </w:r>
                </w:p>
              </w:tc>
              <w:tc>
                <w:tcPr>
                  <w:tcW w:w="1557" w:type="dxa"/>
                  <w:shd w:val="clear" w:color="auto" w:fill="D9D9D9" w:themeFill="background1" w:themeFillShade="D9"/>
                </w:tcPr>
                <w:p w:rsidR="00FC42D6" w:rsidRPr="00F1341B" w:rsidRDefault="00FC42D6" w:rsidP="00F1341B">
                  <w:pPr>
                    <w:jc w:val="right"/>
                    <w:rPr>
                      <w:rFonts w:ascii="Times New Roman" w:hAnsi="Times New Roman" w:cs="Times New Roman"/>
                      <w:b/>
                      <w:sz w:val="24"/>
                      <w:szCs w:val="24"/>
                    </w:rPr>
                  </w:pPr>
                  <w:r w:rsidRPr="00F1341B">
                    <w:rPr>
                      <w:b/>
                      <w:sz w:val="25"/>
                      <w:szCs w:val="25"/>
                    </w:rPr>
                    <w:t>2014</w:t>
                  </w:r>
                </w:p>
              </w:tc>
            </w:tr>
            <w:tr w:rsidR="00FC42D6" w:rsidTr="00DC186B">
              <w:tc>
                <w:tcPr>
                  <w:tcW w:w="1040" w:type="dxa"/>
                </w:tcPr>
                <w:p w:rsidR="00FC42D6" w:rsidRPr="004D4A44" w:rsidRDefault="00FC42D6" w:rsidP="00DC186B">
                  <w:pPr>
                    <w:rPr>
                      <w:sz w:val="25"/>
                      <w:szCs w:val="25"/>
                    </w:rPr>
                  </w:pPr>
                  <w:r>
                    <w:rPr>
                      <w:sz w:val="25"/>
                      <w:szCs w:val="25"/>
                    </w:rPr>
                    <w:t>PSE</w:t>
                  </w:r>
                </w:p>
              </w:tc>
              <w:tc>
                <w:tcPr>
                  <w:tcW w:w="1557" w:type="dxa"/>
                </w:tcPr>
                <w:p w:rsidR="00FC42D6" w:rsidRDefault="00FC42D6" w:rsidP="00DC186B">
                  <w:pPr>
                    <w:jc w:val="right"/>
                    <w:rPr>
                      <w:rFonts w:ascii="Times New Roman" w:hAnsi="Times New Roman" w:cs="Times New Roman"/>
                      <w:sz w:val="24"/>
                      <w:szCs w:val="24"/>
                    </w:rPr>
                  </w:pPr>
                  <w:r w:rsidRPr="004D4A44">
                    <w:rPr>
                      <w:sz w:val="25"/>
                      <w:szCs w:val="25"/>
                    </w:rPr>
                    <w:t>1,870,575</w:t>
                  </w:r>
                </w:p>
              </w:tc>
              <w:tc>
                <w:tcPr>
                  <w:tcW w:w="1557" w:type="dxa"/>
                </w:tcPr>
                <w:p w:rsidR="00FC42D6" w:rsidRDefault="00FC42D6" w:rsidP="00DC186B">
                  <w:pPr>
                    <w:jc w:val="right"/>
                    <w:rPr>
                      <w:rFonts w:ascii="Times New Roman" w:hAnsi="Times New Roman" w:cs="Times New Roman"/>
                      <w:sz w:val="24"/>
                      <w:szCs w:val="24"/>
                    </w:rPr>
                  </w:pPr>
                  <w:r w:rsidRPr="004D4A44">
                    <w:rPr>
                      <w:sz w:val="25"/>
                      <w:szCs w:val="25"/>
                    </w:rPr>
                    <w:t xml:space="preserve"> 1,883,448</w:t>
                  </w:r>
                </w:p>
              </w:tc>
              <w:tc>
                <w:tcPr>
                  <w:tcW w:w="1557" w:type="dxa"/>
                </w:tcPr>
                <w:p w:rsidR="00FC42D6" w:rsidRDefault="00FC42D6" w:rsidP="00DC186B">
                  <w:pPr>
                    <w:jc w:val="right"/>
                    <w:rPr>
                      <w:rFonts w:ascii="Times New Roman" w:hAnsi="Times New Roman" w:cs="Times New Roman"/>
                      <w:sz w:val="24"/>
                      <w:szCs w:val="24"/>
                    </w:rPr>
                  </w:pPr>
                  <w:r w:rsidRPr="004D4A44">
                    <w:rPr>
                      <w:sz w:val="25"/>
                      <w:szCs w:val="25"/>
                    </w:rPr>
                    <w:t xml:space="preserve"> 1,904,966</w:t>
                  </w:r>
                </w:p>
              </w:tc>
            </w:tr>
            <w:tr w:rsidR="00FC42D6" w:rsidTr="00DC186B">
              <w:tc>
                <w:tcPr>
                  <w:tcW w:w="1040" w:type="dxa"/>
                </w:tcPr>
                <w:p w:rsidR="00FC42D6" w:rsidRDefault="00FC42D6" w:rsidP="00DC186B">
                  <w:pPr>
                    <w:rPr>
                      <w:sz w:val="25"/>
                      <w:szCs w:val="25"/>
                    </w:rPr>
                  </w:pPr>
                  <w:r>
                    <w:rPr>
                      <w:sz w:val="25"/>
                      <w:szCs w:val="25"/>
                    </w:rPr>
                    <w:t>Avista</w:t>
                  </w:r>
                </w:p>
              </w:tc>
              <w:tc>
                <w:tcPr>
                  <w:tcW w:w="1557" w:type="dxa"/>
                </w:tcPr>
                <w:p w:rsidR="00FC42D6" w:rsidRPr="004D4A44" w:rsidRDefault="00FC42D6" w:rsidP="00DC186B">
                  <w:pPr>
                    <w:jc w:val="right"/>
                    <w:rPr>
                      <w:sz w:val="25"/>
                      <w:szCs w:val="25"/>
                    </w:rPr>
                  </w:pPr>
                  <w:r>
                    <w:rPr>
                      <w:sz w:val="25"/>
                      <w:szCs w:val="25"/>
                    </w:rPr>
                    <w:t>385,975</w:t>
                  </w:r>
                </w:p>
              </w:tc>
              <w:tc>
                <w:tcPr>
                  <w:tcW w:w="1557" w:type="dxa"/>
                </w:tcPr>
                <w:p w:rsidR="00FC42D6" w:rsidRPr="004D4A44" w:rsidRDefault="00FC42D6" w:rsidP="00DC186B">
                  <w:pPr>
                    <w:jc w:val="right"/>
                    <w:rPr>
                      <w:sz w:val="25"/>
                      <w:szCs w:val="25"/>
                    </w:rPr>
                  </w:pPr>
                  <w:r>
                    <w:rPr>
                      <w:sz w:val="25"/>
                      <w:szCs w:val="25"/>
                    </w:rPr>
                    <w:t>388,839</w:t>
                  </w:r>
                </w:p>
              </w:tc>
              <w:tc>
                <w:tcPr>
                  <w:tcW w:w="1557" w:type="dxa"/>
                </w:tcPr>
                <w:p w:rsidR="00FC42D6" w:rsidRPr="004D4A44" w:rsidRDefault="00FC42D6" w:rsidP="00DC186B">
                  <w:pPr>
                    <w:jc w:val="right"/>
                    <w:rPr>
                      <w:sz w:val="25"/>
                      <w:szCs w:val="25"/>
                    </w:rPr>
                  </w:pPr>
                  <w:r>
                    <w:rPr>
                      <w:sz w:val="25"/>
                      <w:szCs w:val="25"/>
                    </w:rPr>
                    <w:t>393,150</w:t>
                  </w:r>
                </w:p>
              </w:tc>
            </w:tr>
            <w:tr w:rsidR="00FC42D6" w:rsidTr="00DC186B">
              <w:tc>
                <w:tcPr>
                  <w:tcW w:w="1040" w:type="dxa"/>
                </w:tcPr>
                <w:p w:rsidR="00FC42D6" w:rsidRDefault="00FC42D6" w:rsidP="00DC186B">
                  <w:pPr>
                    <w:rPr>
                      <w:sz w:val="25"/>
                      <w:szCs w:val="25"/>
                    </w:rPr>
                  </w:pPr>
                  <w:r>
                    <w:rPr>
                      <w:sz w:val="25"/>
                      <w:szCs w:val="25"/>
                    </w:rPr>
                    <w:t>PPL</w:t>
                  </w:r>
                </w:p>
              </w:tc>
              <w:tc>
                <w:tcPr>
                  <w:tcW w:w="1557" w:type="dxa"/>
                </w:tcPr>
                <w:p w:rsidR="00FC42D6" w:rsidRDefault="00FC42D6" w:rsidP="00DC186B">
                  <w:pPr>
                    <w:jc w:val="right"/>
                    <w:rPr>
                      <w:sz w:val="25"/>
                      <w:szCs w:val="25"/>
                    </w:rPr>
                  </w:pPr>
                  <w:r>
                    <w:rPr>
                      <w:sz w:val="25"/>
                      <w:szCs w:val="25"/>
                    </w:rPr>
                    <w:t>132,138</w:t>
                  </w:r>
                </w:p>
              </w:tc>
              <w:tc>
                <w:tcPr>
                  <w:tcW w:w="1557" w:type="dxa"/>
                </w:tcPr>
                <w:p w:rsidR="00FC42D6" w:rsidRDefault="00FC42D6" w:rsidP="00DC186B">
                  <w:pPr>
                    <w:jc w:val="right"/>
                    <w:rPr>
                      <w:sz w:val="25"/>
                      <w:szCs w:val="25"/>
                    </w:rPr>
                  </w:pPr>
                  <w:r>
                    <w:rPr>
                      <w:sz w:val="25"/>
                      <w:szCs w:val="25"/>
                    </w:rPr>
                    <w:t>132,848</w:t>
                  </w:r>
                </w:p>
              </w:tc>
              <w:tc>
                <w:tcPr>
                  <w:tcW w:w="1557" w:type="dxa"/>
                </w:tcPr>
                <w:p w:rsidR="00FC42D6" w:rsidRDefault="00FC42D6" w:rsidP="00DC186B">
                  <w:pPr>
                    <w:jc w:val="right"/>
                    <w:rPr>
                      <w:sz w:val="25"/>
                      <w:szCs w:val="25"/>
                    </w:rPr>
                  </w:pPr>
                  <w:r>
                    <w:rPr>
                      <w:sz w:val="25"/>
                      <w:szCs w:val="25"/>
                    </w:rPr>
                    <w:t>133,473</w:t>
                  </w:r>
                </w:p>
              </w:tc>
            </w:tr>
            <w:tr w:rsidR="00FC42D6" w:rsidTr="005C1734">
              <w:tc>
                <w:tcPr>
                  <w:tcW w:w="1040" w:type="dxa"/>
                </w:tcPr>
                <w:p w:rsidR="00FC42D6" w:rsidRDefault="00FC42D6" w:rsidP="00DC186B">
                  <w:pPr>
                    <w:rPr>
                      <w:sz w:val="25"/>
                      <w:szCs w:val="25"/>
                    </w:rPr>
                  </w:pPr>
                  <w:r>
                    <w:rPr>
                      <w:sz w:val="25"/>
                      <w:szCs w:val="25"/>
                    </w:rPr>
                    <w:t>NWNG</w:t>
                  </w:r>
                </w:p>
              </w:tc>
              <w:tc>
                <w:tcPr>
                  <w:tcW w:w="4671" w:type="dxa"/>
                  <w:gridSpan w:val="3"/>
                </w:tcPr>
                <w:p w:rsidR="00FC42D6" w:rsidRDefault="00FC42D6" w:rsidP="00DC186B">
                  <w:pPr>
                    <w:jc w:val="right"/>
                    <w:rPr>
                      <w:sz w:val="25"/>
                      <w:szCs w:val="25"/>
                    </w:rPr>
                  </w:pPr>
                  <w:r>
                    <w:rPr>
                      <w:sz w:val="25"/>
                      <w:szCs w:val="25"/>
                    </w:rPr>
                    <w:t>Average for the 3 years = 72,500</w:t>
                  </w:r>
                </w:p>
              </w:tc>
            </w:tr>
            <w:tr w:rsidR="00B60893" w:rsidTr="00F12BA6">
              <w:tc>
                <w:tcPr>
                  <w:tcW w:w="1040" w:type="dxa"/>
                </w:tcPr>
                <w:p w:rsidR="00B60893" w:rsidRDefault="00B60893" w:rsidP="00B60893">
                  <w:pPr>
                    <w:rPr>
                      <w:sz w:val="25"/>
                      <w:szCs w:val="25"/>
                    </w:rPr>
                  </w:pPr>
                  <w:r>
                    <w:rPr>
                      <w:sz w:val="25"/>
                      <w:szCs w:val="25"/>
                    </w:rPr>
                    <w:t>CNGC</w:t>
                  </w:r>
                </w:p>
              </w:tc>
              <w:tc>
                <w:tcPr>
                  <w:tcW w:w="1557" w:type="dxa"/>
                </w:tcPr>
                <w:p w:rsidR="00B60893" w:rsidRDefault="00B60893" w:rsidP="00DC186B">
                  <w:pPr>
                    <w:jc w:val="right"/>
                    <w:rPr>
                      <w:sz w:val="25"/>
                      <w:szCs w:val="25"/>
                    </w:rPr>
                  </w:pPr>
                  <w:r>
                    <w:rPr>
                      <w:sz w:val="25"/>
                      <w:szCs w:val="25"/>
                    </w:rPr>
                    <w:t>203,214</w:t>
                  </w:r>
                </w:p>
              </w:tc>
              <w:tc>
                <w:tcPr>
                  <w:tcW w:w="1557" w:type="dxa"/>
                </w:tcPr>
                <w:p w:rsidR="00B60893" w:rsidRDefault="00B60893" w:rsidP="00DC186B">
                  <w:pPr>
                    <w:jc w:val="right"/>
                    <w:rPr>
                      <w:sz w:val="25"/>
                      <w:szCs w:val="25"/>
                    </w:rPr>
                  </w:pPr>
                  <w:r>
                    <w:rPr>
                      <w:sz w:val="25"/>
                      <w:szCs w:val="25"/>
                    </w:rPr>
                    <w:t>206,107</w:t>
                  </w:r>
                </w:p>
              </w:tc>
              <w:tc>
                <w:tcPr>
                  <w:tcW w:w="1557" w:type="dxa"/>
                </w:tcPr>
                <w:p w:rsidR="00B60893" w:rsidRDefault="00B60893" w:rsidP="00DC186B">
                  <w:pPr>
                    <w:jc w:val="right"/>
                    <w:rPr>
                      <w:sz w:val="25"/>
                      <w:szCs w:val="25"/>
                    </w:rPr>
                  </w:pPr>
                  <w:r>
                    <w:rPr>
                      <w:sz w:val="25"/>
                      <w:szCs w:val="25"/>
                    </w:rPr>
                    <w:t>208,408</w:t>
                  </w:r>
                </w:p>
              </w:tc>
            </w:tr>
          </w:tbl>
          <w:p w:rsidR="00FC42D6" w:rsidRPr="00A617BD" w:rsidRDefault="00FC42D6" w:rsidP="001B33C3">
            <w:pPr>
              <w:rPr>
                <w:rFonts w:ascii="Times New Roman" w:hAnsi="Times New Roman" w:cs="Times New Roman"/>
                <w:sz w:val="24"/>
                <w:szCs w:val="24"/>
              </w:rPr>
            </w:pPr>
          </w:p>
        </w:tc>
        <w:tc>
          <w:tcPr>
            <w:tcW w:w="4678" w:type="dxa"/>
          </w:tcPr>
          <w:p w:rsidR="00FC42D6" w:rsidRDefault="00FC42D6" w:rsidP="001B33C3">
            <w:pPr>
              <w:rPr>
                <w:rFonts w:ascii="Times New Roman" w:hAnsi="Times New Roman" w:cs="Times New Roman"/>
                <w:sz w:val="24"/>
                <w:szCs w:val="24"/>
              </w:rPr>
            </w:pPr>
          </w:p>
        </w:tc>
      </w:tr>
      <w:tr w:rsidR="005363F7" w:rsidTr="003D48E4">
        <w:tc>
          <w:tcPr>
            <w:tcW w:w="4677" w:type="dxa"/>
          </w:tcPr>
          <w:p w:rsidR="005363F7" w:rsidRDefault="005363F7" w:rsidP="005363F7">
            <w:pPr>
              <w:pStyle w:val="ListParagraph"/>
              <w:numPr>
                <w:ilvl w:val="0"/>
                <w:numId w:val="2"/>
              </w:num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t>Please provide three years of historical data (2012 – 2014)</w:t>
            </w:r>
            <w:r w:rsidR="00246113">
              <w:rPr>
                <w:rFonts w:ascii="Times New Roman" w:eastAsia="Calibri" w:hAnsi="Times New Roman" w:cs="Times New Roman"/>
                <w:sz w:val="25"/>
                <w:szCs w:val="25"/>
              </w:rPr>
              <w:t xml:space="preserve"> for retroactive bills.</w:t>
            </w:r>
          </w:p>
          <w:p w:rsidR="00246113" w:rsidRPr="005363F7" w:rsidRDefault="00246113" w:rsidP="00246113">
            <w:pPr>
              <w:pStyle w:val="ListParagraph"/>
              <w:numPr>
                <w:ilvl w:val="0"/>
                <w:numId w:val="4"/>
              </w:num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t>For stopped meters</w:t>
            </w:r>
          </w:p>
        </w:tc>
        <w:tc>
          <w:tcPr>
            <w:tcW w:w="9355" w:type="dxa"/>
            <w:gridSpan w:val="2"/>
          </w:tcPr>
          <w:tbl>
            <w:tblPr>
              <w:tblStyle w:val="TableGrid"/>
              <w:tblW w:w="0" w:type="auto"/>
              <w:tblLook w:val="04A0" w:firstRow="1" w:lastRow="0" w:firstColumn="1" w:lastColumn="0" w:noHBand="0" w:noVBand="1"/>
            </w:tblPr>
            <w:tblGrid>
              <w:gridCol w:w="1595"/>
              <w:gridCol w:w="2016"/>
              <w:gridCol w:w="1839"/>
              <w:gridCol w:w="1839"/>
              <w:gridCol w:w="1840"/>
            </w:tblGrid>
            <w:tr w:rsidR="005363F7" w:rsidTr="005363F7">
              <w:tc>
                <w:tcPr>
                  <w:tcW w:w="1595" w:type="dxa"/>
                </w:tcPr>
                <w:p w:rsidR="005363F7" w:rsidRDefault="005363F7" w:rsidP="0026387A">
                  <w:pPr>
                    <w:rPr>
                      <w:color w:val="000000"/>
                      <w:sz w:val="25"/>
                      <w:szCs w:val="25"/>
                    </w:rPr>
                  </w:pPr>
                </w:p>
              </w:tc>
              <w:tc>
                <w:tcPr>
                  <w:tcW w:w="7534" w:type="dxa"/>
                  <w:gridSpan w:val="4"/>
                </w:tcPr>
                <w:p w:rsidR="005363F7" w:rsidRDefault="005363F7" w:rsidP="0026387A">
                  <w:pPr>
                    <w:rPr>
                      <w:rFonts w:ascii="Times New Roman" w:hAnsi="Times New Roman" w:cs="Times New Roman"/>
                      <w:sz w:val="24"/>
                      <w:szCs w:val="24"/>
                    </w:rPr>
                  </w:pPr>
                  <w:r>
                    <w:rPr>
                      <w:color w:val="000000"/>
                      <w:sz w:val="25"/>
                      <w:szCs w:val="25"/>
                    </w:rPr>
                    <w:t>The counts are for accounts with a stopped meter identified and rebilled</w:t>
                  </w:r>
                </w:p>
              </w:tc>
            </w:tr>
            <w:tr w:rsidR="00CB5A2D" w:rsidTr="001466A3">
              <w:tc>
                <w:tcPr>
                  <w:tcW w:w="1595" w:type="dxa"/>
                </w:tcPr>
                <w:p w:rsidR="00CB5A2D" w:rsidRDefault="00CB5A2D" w:rsidP="0026387A">
                  <w:pPr>
                    <w:rPr>
                      <w:rFonts w:ascii="Times New Roman" w:hAnsi="Times New Roman" w:cs="Times New Roman"/>
                      <w:sz w:val="24"/>
                      <w:szCs w:val="24"/>
                    </w:rPr>
                  </w:pPr>
                </w:p>
              </w:tc>
              <w:tc>
                <w:tcPr>
                  <w:tcW w:w="7534" w:type="dxa"/>
                  <w:gridSpan w:val="4"/>
                </w:tcPr>
                <w:p w:rsidR="00CB5A2D" w:rsidRDefault="00CB5A2D" w:rsidP="005363F7">
                  <w:pPr>
                    <w:jc w:val="center"/>
                    <w:rPr>
                      <w:rFonts w:ascii="Times New Roman" w:hAnsi="Times New Roman" w:cs="Times New Roman"/>
                      <w:sz w:val="24"/>
                      <w:szCs w:val="24"/>
                    </w:rPr>
                  </w:pPr>
                  <w:r>
                    <w:rPr>
                      <w:color w:val="000000"/>
                      <w:sz w:val="25"/>
                      <w:szCs w:val="25"/>
                    </w:rPr>
                    <w:t>Number of Accounts</w:t>
                  </w:r>
                </w:p>
              </w:tc>
            </w:tr>
            <w:tr w:rsidR="005363F7" w:rsidTr="00F1341B">
              <w:tc>
                <w:tcPr>
                  <w:tcW w:w="1595" w:type="dxa"/>
                </w:tcPr>
                <w:p w:rsidR="005363F7" w:rsidRDefault="005363F7" w:rsidP="0026387A">
                  <w:pPr>
                    <w:rPr>
                      <w:rFonts w:ascii="Times New Roman" w:hAnsi="Times New Roman" w:cs="Times New Roman"/>
                      <w:sz w:val="24"/>
                      <w:szCs w:val="24"/>
                    </w:rPr>
                  </w:pPr>
                </w:p>
              </w:tc>
              <w:tc>
                <w:tcPr>
                  <w:tcW w:w="2016" w:type="dxa"/>
                </w:tcPr>
                <w:p w:rsidR="005363F7" w:rsidRDefault="005363F7" w:rsidP="0026387A">
                  <w:pPr>
                    <w:rPr>
                      <w:rFonts w:ascii="Times New Roman" w:hAnsi="Times New Roman" w:cs="Times New Roman"/>
                      <w:sz w:val="24"/>
                      <w:szCs w:val="24"/>
                    </w:rPr>
                  </w:pPr>
                </w:p>
              </w:tc>
              <w:tc>
                <w:tcPr>
                  <w:tcW w:w="1839" w:type="dxa"/>
                  <w:shd w:val="clear" w:color="auto" w:fill="D9D9D9" w:themeFill="background1" w:themeFillShade="D9"/>
                </w:tcPr>
                <w:p w:rsidR="005363F7" w:rsidRPr="00F1341B" w:rsidRDefault="005363F7" w:rsidP="005363F7">
                  <w:pPr>
                    <w:jc w:val="center"/>
                    <w:rPr>
                      <w:rFonts w:ascii="Times New Roman" w:hAnsi="Times New Roman" w:cs="Times New Roman"/>
                      <w:b/>
                      <w:sz w:val="24"/>
                      <w:szCs w:val="24"/>
                    </w:rPr>
                  </w:pPr>
                  <w:r w:rsidRPr="00F1341B">
                    <w:rPr>
                      <w:rFonts w:ascii="Times New Roman" w:hAnsi="Times New Roman" w:cs="Times New Roman"/>
                      <w:b/>
                      <w:sz w:val="24"/>
                      <w:szCs w:val="24"/>
                    </w:rPr>
                    <w:t>2012</w:t>
                  </w:r>
                </w:p>
              </w:tc>
              <w:tc>
                <w:tcPr>
                  <w:tcW w:w="1839" w:type="dxa"/>
                  <w:shd w:val="clear" w:color="auto" w:fill="D9D9D9" w:themeFill="background1" w:themeFillShade="D9"/>
                </w:tcPr>
                <w:p w:rsidR="005363F7" w:rsidRPr="00F1341B" w:rsidRDefault="005363F7" w:rsidP="005363F7">
                  <w:pPr>
                    <w:jc w:val="center"/>
                    <w:rPr>
                      <w:rFonts w:ascii="Times New Roman" w:hAnsi="Times New Roman" w:cs="Times New Roman"/>
                      <w:b/>
                      <w:sz w:val="24"/>
                      <w:szCs w:val="24"/>
                    </w:rPr>
                  </w:pPr>
                  <w:r w:rsidRPr="00F1341B">
                    <w:rPr>
                      <w:rFonts w:ascii="Times New Roman" w:hAnsi="Times New Roman" w:cs="Times New Roman"/>
                      <w:b/>
                      <w:sz w:val="24"/>
                      <w:szCs w:val="24"/>
                    </w:rPr>
                    <w:t>2013</w:t>
                  </w:r>
                </w:p>
              </w:tc>
              <w:tc>
                <w:tcPr>
                  <w:tcW w:w="1840" w:type="dxa"/>
                  <w:shd w:val="clear" w:color="auto" w:fill="D9D9D9" w:themeFill="background1" w:themeFillShade="D9"/>
                </w:tcPr>
                <w:p w:rsidR="005363F7" w:rsidRPr="00F1341B" w:rsidRDefault="005363F7" w:rsidP="005363F7">
                  <w:pPr>
                    <w:jc w:val="center"/>
                    <w:rPr>
                      <w:rFonts w:ascii="Times New Roman" w:hAnsi="Times New Roman" w:cs="Times New Roman"/>
                      <w:b/>
                      <w:sz w:val="24"/>
                      <w:szCs w:val="24"/>
                    </w:rPr>
                  </w:pPr>
                  <w:r w:rsidRPr="00F1341B">
                    <w:rPr>
                      <w:rFonts w:ascii="Times New Roman" w:hAnsi="Times New Roman" w:cs="Times New Roman"/>
                      <w:b/>
                      <w:sz w:val="24"/>
                      <w:szCs w:val="24"/>
                    </w:rPr>
                    <w:t>2014</w:t>
                  </w:r>
                </w:p>
              </w:tc>
            </w:tr>
            <w:tr w:rsidR="00CB5A2D" w:rsidTr="00FB16C2">
              <w:tc>
                <w:tcPr>
                  <w:tcW w:w="1595" w:type="dxa"/>
                </w:tcPr>
                <w:p w:rsidR="00CB5A2D" w:rsidRDefault="00CB5A2D" w:rsidP="0026387A">
                  <w:pPr>
                    <w:rPr>
                      <w:rFonts w:ascii="Times New Roman" w:hAnsi="Times New Roman" w:cs="Times New Roman"/>
                      <w:sz w:val="24"/>
                      <w:szCs w:val="24"/>
                    </w:rPr>
                  </w:pPr>
                </w:p>
              </w:tc>
              <w:tc>
                <w:tcPr>
                  <w:tcW w:w="7534" w:type="dxa"/>
                  <w:gridSpan w:val="4"/>
                </w:tcPr>
                <w:p w:rsidR="00CB5A2D" w:rsidRDefault="00CB5A2D" w:rsidP="0026387A">
                  <w:pPr>
                    <w:rPr>
                      <w:rFonts w:ascii="Times New Roman" w:hAnsi="Times New Roman" w:cs="Times New Roman"/>
                      <w:sz w:val="24"/>
                      <w:szCs w:val="24"/>
                    </w:rPr>
                  </w:pPr>
                  <w:r w:rsidRPr="005363F7">
                    <w:rPr>
                      <w:rFonts w:ascii="Times New Roman" w:hAnsi="Times New Roman" w:cs="Times New Roman"/>
                      <w:b/>
                      <w:sz w:val="24"/>
                      <w:szCs w:val="24"/>
                    </w:rPr>
                    <w:t>6 months or less</w:t>
                  </w:r>
                </w:p>
              </w:tc>
            </w:tr>
            <w:tr w:rsidR="005363F7" w:rsidTr="005363F7">
              <w:tc>
                <w:tcPr>
                  <w:tcW w:w="1595" w:type="dxa"/>
                </w:tcPr>
                <w:p w:rsidR="005363F7" w:rsidRDefault="005363F7" w:rsidP="0026387A">
                  <w:pPr>
                    <w:rPr>
                      <w:rFonts w:ascii="Times New Roman" w:hAnsi="Times New Roman" w:cs="Times New Roman"/>
                      <w:sz w:val="24"/>
                      <w:szCs w:val="24"/>
                    </w:rPr>
                  </w:pPr>
                  <w:r>
                    <w:rPr>
                      <w:rFonts w:ascii="Times New Roman" w:hAnsi="Times New Roman" w:cs="Times New Roman"/>
                      <w:sz w:val="24"/>
                      <w:szCs w:val="24"/>
                    </w:rPr>
                    <w:t>PSE</w:t>
                  </w:r>
                </w:p>
              </w:tc>
              <w:tc>
                <w:tcPr>
                  <w:tcW w:w="2016" w:type="dxa"/>
                </w:tcPr>
                <w:p w:rsidR="005363F7" w:rsidRDefault="005363F7" w:rsidP="0026387A">
                  <w:pPr>
                    <w:rPr>
                      <w:rFonts w:ascii="Times New Roman" w:hAnsi="Times New Roman" w:cs="Times New Roman"/>
                      <w:sz w:val="24"/>
                      <w:szCs w:val="24"/>
                    </w:rPr>
                  </w:pPr>
                </w:p>
              </w:tc>
              <w:tc>
                <w:tcPr>
                  <w:tcW w:w="1839" w:type="dxa"/>
                </w:tcPr>
                <w:p w:rsidR="005363F7" w:rsidRDefault="00246113" w:rsidP="00246113">
                  <w:pPr>
                    <w:jc w:val="right"/>
                    <w:rPr>
                      <w:rFonts w:ascii="Times New Roman" w:hAnsi="Times New Roman" w:cs="Times New Roman"/>
                      <w:sz w:val="24"/>
                      <w:szCs w:val="24"/>
                    </w:rPr>
                  </w:pPr>
                  <w:r>
                    <w:rPr>
                      <w:rFonts w:ascii="Times New Roman" w:hAnsi="Times New Roman" w:cs="Times New Roman"/>
                      <w:sz w:val="24"/>
                      <w:szCs w:val="24"/>
                    </w:rPr>
                    <w:t>3,637</w:t>
                  </w:r>
                </w:p>
              </w:tc>
              <w:tc>
                <w:tcPr>
                  <w:tcW w:w="1839" w:type="dxa"/>
                </w:tcPr>
                <w:p w:rsidR="005363F7" w:rsidRDefault="00246113" w:rsidP="00246113">
                  <w:pPr>
                    <w:jc w:val="right"/>
                    <w:rPr>
                      <w:rFonts w:ascii="Times New Roman" w:hAnsi="Times New Roman" w:cs="Times New Roman"/>
                      <w:sz w:val="24"/>
                      <w:szCs w:val="24"/>
                    </w:rPr>
                  </w:pPr>
                  <w:r>
                    <w:rPr>
                      <w:rFonts w:ascii="Times New Roman" w:hAnsi="Times New Roman" w:cs="Times New Roman"/>
                      <w:sz w:val="24"/>
                      <w:szCs w:val="24"/>
                    </w:rPr>
                    <w:t>2,371</w:t>
                  </w:r>
                </w:p>
              </w:tc>
              <w:tc>
                <w:tcPr>
                  <w:tcW w:w="1840" w:type="dxa"/>
                </w:tcPr>
                <w:p w:rsidR="005363F7" w:rsidRDefault="00246113" w:rsidP="00246113">
                  <w:pPr>
                    <w:jc w:val="right"/>
                    <w:rPr>
                      <w:rFonts w:ascii="Times New Roman" w:hAnsi="Times New Roman" w:cs="Times New Roman"/>
                      <w:sz w:val="24"/>
                      <w:szCs w:val="24"/>
                    </w:rPr>
                  </w:pPr>
                  <w:r>
                    <w:rPr>
                      <w:rFonts w:ascii="Times New Roman" w:hAnsi="Times New Roman" w:cs="Times New Roman"/>
                      <w:sz w:val="24"/>
                      <w:szCs w:val="24"/>
                    </w:rPr>
                    <w:t>2,104</w:t>
                  </w:r>
                </w:p>
              </w:tc>
            </w:tr>
            <w:tr w:rsidR="005363F7" w:rsidTr="005363F7">
              <w:tc>
                <w:tcPr>
                  <w:tcW w:w="1595" w:type="dxa"/>
                </w:tcPr>
                <w:p w:rsidR="005363F7" w:rsidRDefault="005363F7" w:rsidP="0026387A">
                  <w:pPr>
                    <w:rPr>
                      <w:rFonts w:ascii="Times New Roman" w:hAnsi="Times New Roman" w:cs="Times New Roman"/>
                      <w:sz w:val="24"/>
                      <w:szCs w:val="24"/>
                    </w:rPr>
                  </w:pPr>
                  <w:r>
                    <w:rPr>
                      <w:rFonts w:ascii="Times New Roman" w:hAnsi="Times New Roman" w:cs="Times New Roman"/>
                      <w:sz w:val="24"/>
                      <w:szCs w:val="24"/>
                    </w:rPr>
                    <w:t>Avista</w:t>
                  </w:r>
                </w:p>
              </w:tc>
              <w:tc>
                <w:tcPr>
                  <w:tcW w:w="2016" w:type="dxa"/>
                </w:tcPr>
                <w:p w:rsidR="005363F7" w:rsidRDefault="005363F7" w:rsidP="0026387A">
                  <w:pPr>
                    <w:rPr>
                      <w:rFonts w:ascii="Times New Roman" w:hAnsi="Times New Roman" w:cs="Times New Roman"/>
                      <w:sz w:val="24"/>
                      <w:szCs w:val="24"/>
                    </w:rPr>
                  </w:pP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108</w:t>
                  </w: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37</w:t>
                  </w:r>
                </w:p>
              </w:tc>
              <w:tc>
                <w:tcPr>
                  <w:tcW w:w="1840"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71</w:t>
                  </w:r>
                </w:p>
              </w:tc>
            </w:tr>
            <w:tr w:rsidR="005363F7" w:rsidTr="005363F7">
              <w:tc>
                <w:tcPr>
                  <w:tcW w:w="1595" w:type="dxa"/>
                </w:tcPr>
                <w:p w:rsidR="005363F7" w:rsidRDefault="005363F7" w:rsidP="0026387A">
                  <w:pPr>
                    <w:rPr>
                      <w:rFonts w:ascii="Times New Roman" w:hAnsi="Times New Roman" w:cs="Times New Roman"/>
                      <w:sz w:val="24"/>
                      <w:szCs w:val="24"/>
                    </w:rPr>
                  </w:pPr>
                  <w:r>
                    <w:rPr>
                      <w:rFonts w:ascii="Times New Roman" w:hAnsi="Times New Roman" w:cs="Times New Roman"/>
                      <w:sz w:val="24"/>
                      <w:szCs w:val="24"/>
                    </w:rPr>
                    <w:t>PP&amp;L</w:t>
                  </w:r>
                </w:p>
              </w:tc>
              <w:tc>
                <w:tcPr>
                  <w:tcW w:w="2016" w:type="dxa"/>
                </w:tcPr>
                <w:p w:rsidR="005363F7" w:rsidRDefault="005363F7" w:rsidP="0026387A">
                  <w:pPr>
                    <w:rPr>
                      <w:rFonts w:ascii="Times New Roman" w:hAnsi="Times New Roman" w:cs="Times New Roman"/>
                      <w:sz w:val="24"/>
                      <w:szCs w:val="24"/>
                    </w:rPr>
                  </w:pP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6</w:t>
                  </w: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19</w:t>
                  </w:r>
                </w:p>
              </w:tc>
              <w:tc>
                <w:tcPr>
                  <w:tcW w:w="1840"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7</w:t>
                  </w:r>
                </w:p>
              </w:tc>
            </w:tr>
            <w:tr w:rsidR="005363F7" w:rsidTr="005363F7">
              <w:tc>
                <w:tcPr>
                  <w:tcW w:w="1595" w:type="dxa"/>
                </w:tcPr>
                <w:p w:rsidR="005363F7" w:rsidRDefault="005363F7" w:rsidP="0026387A">
                  <w:pPr>
                    <w:rPr>
                      <w:rFonts w:ascii="Times New Roman" w:hAnsi="Times New Roman" w:cs="Times New Roman"/>
                      <w:sz w:val="24"/>
                      <w:szCs w:val="24"/>
                    </w:rPr>
                  </w:pPr>
                  <w:r>
                    <w:rPr>
                      <w:rFonts w:ascii="Times New Roman" w:hAnsi="Times New Roman" w:cs="Times New Roman"/>
                      <w:sz w:val="24"/>
                      <w:szCs w:val="24"/>
                    </w:rPr>
                    <w:t>NWNG</w:t>
                  </w:r>
                </w:p>
              </w:tc>
              <w:tc>
                <w:tcPr>
                  <w:tcW w:w="2016" w:type="dxa"/>
                </w:tcPr>
                <w:p w:rsidR="005363F7" w:rsidRDefault="005363F7" w:rsidP="0026387A">
                  <w:pPr>
                    <w:rPr>
                      <w:rFonts w:ascii="Times New Roman" w:hAnsi="Times New Roman" w:cs="Times New Roman"/>
                      <w:sz w:val="24"/>
                      <w:szCs w:val="24"/>
                    </w:rPr>
                  </w:pP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15</w:t>
                  </w: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21</w:t>
                  </w:r>
                </w:p>
              </w:tc>
              <w:tc>
                <w:tcPr>
                  <w:tcW w:w="1840"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38</w:t>
                  </w:r>
                </w:p>
              </w:tc>
            </w:tr>
            <w:tr w:rsidR="005363F7" w:rsidTr="005363F7">
              <w:tc>
                <w:tcPr>
                  <w:tcW w:w="1595" w:type="dxa"/>
                </w:tcPr>
                <w:p w:rsidR="005363F7" w:rsidRDefault="005363F7" w:rsidP="0026387A">
                  <w:pPr>
                    <w:rPr>
                      <w:rFonts w:ascii="Times New Roman" w:hAnsi="Times New Roman" w:cs="Times New Roman"/>
                      <w:sz w:val="24"/>
                      <w:szCs w:val="24"/>
                    </w:rPr>
                  </w:pPr>
                  <w:r>
                    <w:rPr>
                      <w:rFonts w:ascii="Times New Roman" w:hAnsi="Times New Roman" w:cs="Times New Roman"/>
                      <w:sz w:val="24"/>
                      <w:szCs w:val="24"/>
                    </w:rPr>
                    <w:t>CNG</w:t>
                  </w:r>
                  <w:r w:rsidR="0039349F">
                    <w:rPr>
                      <w:rFonts w:ascii="Times New Roman" w:hAnsi="Times New Roman" w:cs="Times New Roman"/>
                      <w:sz w:val="24"/>
                      <w:szCs w:val="24"/>
                    </w:rPr>
                    <w:t>C</w:t>
                  </w:r>
                  <w:r w:rsidR="00B60893">
                    <w:rPr>
                      <w:rStyle w:val="FootnoteReference"/>
                      <w:rFonts w:ascii="Times New Roman" w:hAnsi="Times New Roman" w:cs="Times New Roman"/>
                      <w:sz w:val="24"/>
                      <w:szCs w:val="24"/>
                    </w:rPr>
                    <w:footnoteReference w:id="1"/>
                  </w:r>
                </w:p>
              </w:tc>
              <w:tc>
                <w:tcPr>
                  <w:tcW w:w="2016" w:type="dxa"/>
                </w:tcPr>
                <w:p w:rsidR="005363F7" w:rsidRDefault="005363F7" w:rsidP="0026387A">
                  <w:pPr>
                    <w:rPr>
                      <w:rFonts w:ascii="Times New Roman" w:hAnsi="Times New Roman" w:cs="Times New Roman"/>
                      <w:sz w:val="24"/>
                      <w:szCs w:val="24"/>
                    </w:rPr>
                  </w:pPr>
                </w:p>
              </w:tc>
              <w:tc>
                <w:tcPr>
                  <w:tcW w:w="1839" w:type="dxa"/>
                </w:tcPr>
                <w:p w:rsidR="005363F7" w:rsidRDefault="00F1341B" w:rsidP="00F1341B">
                  <w:pPr>
                    <w:jc w:val="right"/>
                    <w:rPr>
                      <w:rFonts w:ascii="Times New Roman" w:hAnsi="Times New Roman" w:cs="Times New Roman"/>
                      <w:sz w:val="24"/>
                      <w:szCs w:val="24"/>
                    </w:rPr>
                  </w:pPr>
                  <w:r>
                    <w:rPr>
                      <w:rFonts w:ascii="Times New Roman" w:hAnsi="Times New Roman" w:cs="Times New Roman"/>
                      <w:sz w:val="24"/>
                      <w:szCs w:val="24"/>
                    </w:rPr>
                    <w:t>UNK</w:t>
                  </w:r>
                </w:p>
              </w:tc>
              <w:tc>
                <w:tcPr>
                  <w:tcW w:w="1839" w:type="dxa"/>
                </w:tcPr>
                <w:p w:rsidR="005363F7" w:rsidRDefault="00F1341B" w:rsidP="00F1341B">
                  <w:pPr>
                    <w:jc w:val="right"/>
                    <w:rPr>
                      <w:rFonts w:ascii="Times New Roman" w:hAnsi="Times New Roman" w:cs="Times New Roman"/>
                      <w:sz w:val="24"/>
                      <w:szCs w:val="24"/>
                    </w:rPr>
                  </w:pPr>
                  <w:r>
                    <w:rPr>
                      <w:rFonts w:ascii="Times New Roman" w:hAnsi="Times New Roman" w:cs="Times New Roman"/>
                      <w:sz w:val="24"/>
                      <w:szCs w:val="24"/>
                    </w:rPr>
                    <w:t>UNK</w:t>
                  </w:r>
                </w:p>
              </w:tc>
              <w:tc>
                <w:tcPr>
                  <w:tcW w:w="1840" w:type="dxa"/>
                </w:tcPr>
                <w:p w:rsidR="005363F7" w:rsidRDefault="00F1341B" w:rsidP="00F1341B">
                  <w:pPr>
                    <w:jc w:val="right"/>
                    <w:rPr>
                      <w:rFonts w:ascii="Times New Roman" w:hAnsi="Times New Roman" w:cs="Times New Roman"/>
                      <w:sz w:val="24"/>
                      <w:szCs w:val="24"/>
                    </w:rPr>
                  </w:pPr>
                  <w:r>
                    <w:rPr>
                      <w:rFonts w:ascii="Times New Roman" w:hAnsi="Times New Roman" w:cs="Times New Roman"/>
                      <w:sz w:val="24"/>
                      <w:szCs w:val="24"/>
                    </w:rPr>
                    <w:t>UNK</w:t>
                  </w:r>
                </w:p>
              </w:tc>
            </w:tr>
            <w:tr w:rsidR="00CB5A2D" w:rsidTr="000E566B">
              <w:tc>
                <w:tcPr>
                  <w:tcW w:w="1595" w:type="dxa"/>
                </w:tcPr>
                <w:p w:rsidR="00CB5A2D" w:rsidRDefault="00CB5A2D" w:rsidP="0026387A">
                  <w:pPr>
                    <w:rPr>
                      <w:rFonts w:ascii="Times New Roman" w:hAnsi="Times New Roman" w:cs="Times New Roman"/>
                      <w:sz w:val="24"/>
                      <w:szCs w:val="24"/>
                    </w:rPr>
                  </w:pPr>
                </w:p>
              </w:tc>
              <w:tc>
                <w:tcPr>
                  <w:tcW w:w="7534" w:type="dxa"/>
                  <w:gridSpan w:val="4"/>
                </w:tcPr>
                <w:p w:rsidR="00CB5A2D" w:rsidRDefault="00CB5A2D" w:rsidP="0026387A">
                  <w:pPr>
                    <w:rPr>
                      <w:rFonts w:ascii="Times New Roman" w:hAnsi="Times New Roman" w:cs="Times New Roman"/>
                      <w:sz w:val="24"/>
                      <w:szCs w:val="24"/>
                    </w:rPr>
                  </w:pPr>
                  <w:r>
                    <w:rPr>
                      <w:rFonts w:ascii="Times New Roman" w:hAnsi="Times New Roman" w:cs="Times New Roman"/>
                      <w:b/>
                      <w:sz w:val="24"/>
                      <w:szCs w:val="24"/>
                    </w:rPr>
                    <w:t>6 – 12 months (greater than 6 but less than or equal to 12 months)</w:t>
                  </w:r>
                </w:p>
              </w:tc>
            </w:tr>
            <w:tr w:rsidR="005363F7" w:rsidTr="005363F7">
              <w:tc>
                <w:tcPr>
                  <w:tcW w:w="1595" w:type="dxa"/>
                </w:tcPr>
                <w:p w:rsidR="005363F7" w:rsidRDefault="005363F7" w:rsidP="005363F7">
                  <w:pPr>
                    <w:rPr>
                      <w:rFonts w:ascii="Times New Roman" w:hAnsi="Times New Roman" w:cs="Times New Roman"/>
                      <w:sz w:val="24"/>
                      <w:szCs w:val="24"/>
                    </w:rPr>
                  </w:pPr>
                  <w:r>
                    <w:rPr>
                      <w:rFonts w:ascii="Times New Roman" w:hAnsi="Times New Roman" w:cs="Times New Roman"/>
                      <w:sz w:val="24"/>
                      <w:szCs w:val="24"/>
                    </w:rPr>
                    <w:t>PSE</w:t>
                  </w:r>
                </w:p>
              </w:tc>
              <w:tc>
                <w:tcPr>
                  <w:tcW w:w="2016" w:type="dxa"/>
                </w:tcPr>
                <w:p w:rsidR="005363F7" w:rsidRDefault="005363F7" w:rsidP="005363F7">
                  <w:pPr>
                    <w:rPr>
                      <w:rFonts w:ascii="Times New Roman" w:hAnsi="Times New Roman" w:cs="Times New Roman"/>
                      <w:sz w:val="24"/>
                      <w:szCs w:val="24"/>
                    </w:rPr>
                  </w:pPr>
                </w:p>
              </w:tc>
              <w:tc>
                <w:tcPr>
                  <w:tcW w:w="1839" w:type="dxa"/>
                </w:tcPr>
                <w:p w:rsidR="005363F7" w:rsidRDefault="00246113" w:rsidP="00246113">
                  <w:pPr>
                    <w:jc w:val="right"/>
                    <w:rPr>
                      <w:rFonts w:ascii="Times New Roman" w:hAnsi="Times New Roman" w:cs="Times New Roman"/>
                      <w:sz w:val="24"/>
                      <w:szCs w:val="24"/>
                    </w:rPr>
                  </w:pPr>
                  <w:r>
                    <w:rPr>
                      <w:rFonts w:ascii="Times New Roman" w:hAnsi="Times New Roman" w:cs="Times New Roman"/>
                      <w:sz w:val="24"/>
                      <w:szCs w:val="24"/>
                    </w:rPr>
                    <w:t>398</w:t>
                  </w:r>
                </w:p>
              </w:tc>
              <w:tc>
                <w:tcPr>
                  <w:tcW w:w="1839" w:type="dxa"/>
                </w:tcPr>
                <w:p w:rsidR="005363F7" w:rsidRDefault="00246113" w:rsidP="00246113">
                  <w:pPr>
                    <w:jc w:val="right"/>
                    <w:rPr>
                      <w:rFonts w:ascii="Times New Roman" w:hAnsi="Times New Roman" w:cs="Times New Roman"/>
                      <w:sz w:val="24"/>
                      <w:szCs w:val="24"/>
                    </w:rPr>
                  </w:pPr>
                  <w:r>
                    <w:rPr>
                      <w:rFonts w:ascii="Times New Roman" w:hAnsi="Times New Roman" w:cs="Times New Roman"/>
                      <w:sz w:val="24"/>
                      <w:szCs w:val="24"/>
                    </w:rPr>
                    <w:t>327</w:t>
                  </w:r>
                </w:p>
              </w:tc>
              <w:tc>
                <w:tcPr>
                  <w:tcW w:w="1840" w:type="dxa"/>
                </w:tcPr>
                <w:p w:rsidR="005363F7" w:rsidRDefault="00246113" w:rsidP="00246113">
                  <w:pPr>
                    <w:jc w:val="right"/>
                    <w:rPr>
                      <w:rFonts w:ascii="Times New Roman" w:hAnsi="Times New Roman" w:cs="Times New Roman"/>
                      <w:sz w:val="24"/>
                      <w:szCs w:val="24"/>
                    </w:rPr>
                  </w:pPr>
                  <w:r>
                    <w:rPr>
                      <w:rFonts w:ascii="Times New Roman" w:hAnsi="Times New Roman" w:cs="Times New Roman"/>
                      <w:sz w:val="24"/>
                      <w:szCs w:val="24"/>
                    </w:rPr>
                    <w:t>453</w:t>
                  </w:r>
                </w:p>
              </w:tc>
            </w:tr>
            <w:tr w:rsidR="005363F7" w:rsidTr="005363F7">
              <w:tc>
                <w:tcPr>
                  <w:tcW w:w="1595" w:type="dxa"/>
                </w:tcPr>
                <w:p w:rsidR="005363F7" w:rsidRDefault="005363F7" w:rsidP="005363F7">
                  <w:pPr>
                    <w:rPr>
                      <w:rFonts w:ascii="Times New Roman" w:hAnsi="Times New Roman" w:cs="Times New Roman"/>
                      <w:sz w:val="24"/>
                      <w:szCs w:val="24"/>
                    </w:rPr>
                  </w:pPr>
                  <w:r>
                    <w:rPr>
                      <w:rFonts w:ascii="Times New Roman" w:hAnsi="Times New Roman" w:cs="Times New Roman"/>
                      <w:sz w:val="24"/>
                      <w:szCs w:val="24"/>
                    </w:rPr>
                    <w:t>Avista</w:t>
                  </w:r>
                </w:p>
              </w:tc>
              <w:tc>
                <w:tcPr>
                  <w:tcW w:w="2016" w:type="dxa"/>
                </w:tcPr>
                <w:p w:rsidR="005363F7" w:rsidRDefault="005363F7" w:rsidP="005363F7">
                  <w:pPr>
                    <w:rPr>
                      <w:rFonts w:ascii="Times New Roman" w:hAnsi="Times New Roman" w:cs="Times New Roman"/>
                      <w:sz w:val="24"/>
                      <w:szCs w:val="24"/>
                    </w:rPr>
                  </w:pPr>
                </w:p>
              </w:tc>
              <w:tc>
                <w:tcPr>
                  <w:tcW w:w="1839" w:type="dxa"/>
                </w:tcPr>
                <w:p w:rsidR="005363F7" w:rsidRDefault="00D76DC5" w:rsidP="00D76DC5">
                  <w:pPr>
                    <w:jc w:val="right"/>
                    <w:rPr>
                      <w:rFonts w:ascii="Times New Roman" w:hAnsi="Times New Roman" w:cs="Times New Roman"/>
                      <w:sz w:val="24"/>
                      <w:szCs w:val="24"/>
                    </w:rPr>
                  </w:pPr>
                  <w:r>
                    <w:rPr>
                      <w:rFonts w:ascii="Times New Roman" w:hAnsi="Times New Roman" w:cs="Times New Roman"/>
                      <w:sz w:val="24"/>
                      <w:szCs w:val="24"/>
                    </w:rPr>
                    <w:t>5</w:t>
                  </w:r>
                </w:p>
              </w:tc>
              <w:tc>
                <w:tcPr>
                  <w:tcW w:w="1839" w:type="dxa"/>
                </w:tcPr>
                <w:p w:rsidR="005363F7" w:rsidRDefault="00D76DC5" w:rsidP="00D76DC5">
                  <w:pPr>
                    <w:jc w:val="right"/>
                    <w:rPr>
                      <w:rFonts w:ascii="Times New Roman" w:hAnsi="Times New Roman" w:cs="Times New Roman"/>
                      <w:sz w:val="24"/>
                      <w:szCs w:val="24"/>
                    </w:rPr>
                  </w:pPr>
                  <w:r>
                    <w:rPr>
                      <w:rFonts w:ascii="Times New Roman" w:hAnsi="Times New Roman" w:cs="Times New Roman"/>
                      <w:sz w:val="24"/>
                      <w:szCs w:val="24"/>
                    </w:rPr>
                    <w:t>3</w:t>
                  </w:r>
                </w:p>
              </w:tc>
              <w:tc>
                <w:tcPr>
                  <w:tcW w:w="1840" w:type="dxa"/>
                </w:tcPr>
                <w:p w:rsidR="005363F7" w:rsidRDefault="00D76DC5" w:rsidP="00D76DC5">
                  <w:pPr>
                    <w:jc w:val="right"/>
                    <w:rPr>
                      <w:rFonts w:ascii="Times New Roman" w:hAnsi="Times New Roman" w:cs="Times New Roman"/>
                      <w:sz w:val="24"/>
                      <w:szCs w:val="24"/>
                    </w:rPr>
                  </w:pPr>
                  <w:r>
                    <w:rPr>
                      <w:rFonts w:ascii="Times New Roman" w:hAnsi="Times New Roman" w:cs="Times New Roman"/>
                      <w:sz w:val="24"/>
                      <w:szCs w:val="24"/>
                    </w:rPr>
                    <w:t>2</w:t>
                  </w:r>
                </w:p>
              </w:tc>
            </w:tr>
            <w:tr w:rsidR="005363F7" w:rsidTr="005363F7">
              <w:tc>
                <w:tcPr>
                  <w:tcW w:w="1595" w:type="dxa"/>
                </w:tcPr>
                <w:p w:rsidR="005363F7" w:rsidRDefault="005363F7" w:rsidP="005363F7">
                  <w:pPr>
                    <w:rPr>
                      <w:rFonts w:ascii="Times New Roman" w:hAnsi="Times New Roman" w:cs="Times New Roman"/>
                      <w:sz w:val="24"/>
                      <w:szCs w:val="24"/>
                    </w:rPr>
                  </w:pPr>
                  <w:r>
                    <w:rPr>
                      <w:rFonts w:ascii="Times New Roman" w:hAnsi="Times New Roman" w:cs="Times New Roman"/>
                      <w:sz w:val="24"/>
                      <w:szCs w:val="24"/>
                    </w:rPr>
                    <w:t>PP&amp;L</w:t>
                  </w:r>
                </w:p>
              </w:tc>
              <w:tc>
                <w:tcPr>
                  <w:tcW w:w="2016" w:type="dxa"/>
                </w:tcPr>
                <w:p w:rsidR="005363F7" w:rsidRDefault="005363F7" w:rsidP="005363F7">
                  <w:pPr>
                    <w:rPr>
                      <w:rFonts w:ascii="Times New Roman" w:hAnsi="Times New Roman" w:cs="Times New Roman"/>
                      <w:sz w:val="24"/>
                      <w:szCs w:val="24"/>
                    </w:rPr>
                  </w:pPr>
                </w:p>
              </w:tc>
              <w:tc>
                <w:tcPr>
                  <w:tcW w:w="1839" w:type="dxa"/>
                </w:tcPr>
                <w:p w:rsidR="005363F7" w:rsidRDefault="005363F7" w:rsidP="005363F7">
                  <w:pPr>
                    <w:rPr>
                      <w:rFonts w:ascii="Times New Roman" w:hAnsi="Times New Roman" w:cs="Times New Roman"/>
                      <w:sz w:val="24"/>
                      <w:szCs w:val="24"/>
                    </w:rPr>
                  </w:pP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8</w:t>
                  </w:r>
                </w:p>
              </w:tc>
              <w:tc>
                <w:tcPr>
                  <w:tcW w:w="1840" w:type="dxa"/>
                </w:tcPr>
                <w:p w:rsidR="005363F7" w:rsidRDefault="005363F7" w:rsidP="005363F7">
                  <w:pPr>
                    <w:rPr>
                      <w:rFonts w:ascii="Times New Roman" w:hAnsi="Times New Roman" w:cs="Times New Roman"/>
                      <w:sz w:val="24"/>
                      <w:szCs w:val="24"/>
                    </w:rPr>
                  </w:pPr>
                </w:p>
              </w:tc>
            </w:tr>
            <w:tr w:rsidR="005363F7" w:rsidTr="005363F7">
              <w:tc>
                <w:tcPr>
                  <w:tcW w:w="1595" w:type="dxa"/>
                </w:tcPr>
                <w:p w:rsidR="005363F7" w:rsidRDefault="005363F7" w:rsidP="005363F7">
                  <w:pPr>
                    <w:rPr>
                      <w:rFonts w:ascii="Times New Roman" w:hAnsi="Times New Roman" w:cs="Times New Roman"/>
                      <w:sz w:val="24"/>
                      <w:szCs w:val="24"/>
                    </w:rPr>
                  </w:pPr>
                  <w:r>
                    <w:rPr>
                      <w:rFonts w:ascii="Times New Roman" w:hAnsi="Times New Roman" w:cs="Times New Roman"/>
                      <w:sz w:val="24"/>
                      <w:szCs w:val="24"/>
                    </w:rPr>
                    <w:t>NWNG</w:t>
                  </w:r>
                </w:p>
              </w:tc>
              <w:tc>
                <w:tcPr>
                  <w:tcW w:w="2016" w:type="dxa"/>
                </w:tcPr>
                <w:p w:rsidR="005363F7" w:rsidRDefault="005363F7" w:rsidP="005363F7">
                  <w:pPr>
                    <w:rPr>
                      <w:rFonts w:ascii="Times New Roman" w:hAnsi="Times New Roman" w:cs="Times New Roman"/>
                      <w:sz w:val="24"/>
                      <w:szCs w:val="24"/>
                    </w:rPr>
                  </w:pP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1</w:t>
                  </w:r>
                </w:p>
              </w:tc>
              <w:tc>
                <w:tcPr>
                  <w:tcW w:w="1839"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0</w:t>
                  </w:r>
                </w:p>
              </w:tc>
              <w:tc>
                <w:tcPr>
                  <w:tcW w:w="1840" w:type="dxa"/>
                </w:tcPr>
                <w:p w:rsidR="005363F7" w:rsidRDefault="009F5CE5" w:rsidP="009F5CE5">
                  <w:pPr>
                    <w:jc w:val="right"/>
                    <w:rPr>
                      <w:rFonts w:ascii="Times New Roman" w:hAnsi="Times New Roman" w:cs="Times New Roman"/>
                      <w:sz w:val="24"/>
                      <w:szCs w:val="24"/>
                    </w:rPr>
                  </w:pPr>
                  <w:r>
                    <w:rPr>
                      <w:rFonts w:ascii="Times New Roman" w:hAnsi="Times New Roman" w:cs="Times New Roman"/>
                      <w:sz w:val="24"/>
                      <w:szCs w:val="24"/>
                    </w:rPr>
                    <w:t>2</w:t>
                  </w:r>
                </w:p>
              </w:tc>
            </w:tr>
            <w:tr w:rsidR="005363F7" w:rsidTr="005363F7">
              <w:tc>
                <w:tcPr>
                  <w:tcW w:w="1595" w:type="dxa"/>
                </w:tcPr>
                <w:p w:rsidR="005363F7" w:rsidRDefault="005363F7" w:rsidP="005363F7">
                  <w:pPr>
                    <w:rPr>
                      <w:rFonts w:ascii="Times New Roman" w:hAnsi="Times New Roman" w:cs="Times New Roman"/>
                      <w:sz w:val="24"/>
                      <w:szCs w:val="24"/>
                    </w:rPr>
                  </w:pPr>
                  <w:r>
                    <w:rPr>
                      <w:rFonts w:ascii="Times New Roman" w:hAnsi="Times New Roman" w:cs="Times New Roman"/>
                      <w:sz w:val="24"/>
                      <w:szCs w:val="24"/>
                    </w:rPr>
                    <w:t>CNG</w:t>
                  </w:r>
                  <w:r w:rsidR="0039349F">
                    <w:rPr>
                      <w:rFonts w:ascii="Times New Roman" w:hAnsi="Times New Roman" w:cs="Times New Roman"/>
                      <w:sz w:val="24"/>
                      <w:szCs w:val="24"/>
                    </w:rPr>
                    <w:t>C</w:t>
                  </w:r>
                </w:p>
              </w:tc>
              <w:tc>
                <w:tcPr>
                  <w:tcW w:w="2016" w:type="dxa"/>
                </w:tcPr>
                <w:p w:rsidR="005363F7" w:rsidRDefault="005363F7" w:rsidP="005363F7">
                  <w:pPr>
                    <w:rPr>
                      <w:rFonts w:ascii="Times New Roman" w:hAnsi="Times New Roman" w:cs="Times New Roman"/>
                      <w:sz w:val="24"/>
                      <w:szCs w:val="24"/>
                    </w:rPr>
                  </w:pPr>
                </w:p>
              </w:tc>
              <w:tc>
                <w:tcPr>
                  <w:tcW w:w="1839" w:type="dxa"/>
                </w:tcPr>
                <w:p w:rsidR="005363F7" w:rsidRDefault="00F1341B" w:rsidP="00F1341B">
                  <w:pPr>
                    <w:jc w:val="right"/>
                    <w:rPr>
                      <w:rFonts w:ascii="Times New Roman" w:hAnsi="Times New Roman" w:cs="Times New Roman"/>
                      <w:sz w:val="24"/>
                      <w:szCs w:val="24"/>
                    </w:rPr>
                  </w:pPr>
                  <w:r>
                    <w:rPr>
                      <w:rFonts w:ascii="Times New Roman" w:hAnsi="Times New Roman" w:cs="Times New Roman"/>
                      <w:sz w:val="24"/>
                      <w:szCs w:val="24"/>
                    </w:rPr>
                    <w:t>UNK</w:t>
                  </w:r>
                </w:p>
              </w:tc>
              <w:tc>
                <w:tcPr>
                  <w:tcW w:w="1839" w:type="dxa"/>
                </w:tcPr>
                <w:p w:rsidR="005363F7" w:rsidRDefault="00F1341B" w:rsidP="00F1341B">
                  <w:pPr>
                    <w:jc w:val="right"/>
                    <w:rPr>
                      <w:rFonts w:ascii="Times New Roman" w:hAnsi="Times New Roman" w:cs="Times New Roman"/>
                      <w:sz w:val="24"/>
                      <w:szCs w:val="24"/>
                    </w:rPr>
                  </w:pPr>
                  <w:r>
                    <w:rPr>
                      <w:rFonts w:ascii="Times New Roman" w:hAnsi="Times New Roman" w:cs="Times New Roman"/>
                      <w:sz w:val="24"/>
                      <w:szCs w:val="24"/>
                    </w:rPr>
                    <w:t>UNK</w:t>
                  </w:r>
                </w:p>
              </w:tc>
              <w:tc>
                <w:tcPr>
                  <w:tcW w:w="1840" w:type="dxa"/>
                </w:tcPr>
                <w:p w:rsidR="005363F7" w:rsidRDefault="00F1341B" w:rsidP="00F1341B">
                  <w:pPr>
                    <w:jc w:val="right"/>
                    <w:rPr>
                      <w:rFonts w:ascii="Times New Roman" w:hAnsi="Times New Roman" w:cs="Times New Roman"/>
                      <w:sz w:val="24"/>
                      <w:szCs w:val="24"/>
                    </w:rPr>
                  </w:pPr>
                  <w:r>
                    <w:rPr>
                      <w:rFonts w:ascii="Times New Roman" w:hAnsi="Times New Roman" w:cs="Times New Roman"/>
                      <w:sz w:val="24"/>
                      <w:szCs w:val="24"/>
                    </w:rPr>
                    <w:t>UNK</w:t>
                  </w:r>
                </w:p>
              </w:tc>
            </w:tr>
            <w:tr w:rsidR="00CB5A2D" w:rsidTr="009D67ED">
              <w:tc>
                <w:tcPr>
                  <w:tcW w:w="1595" w:type="dxa"/>
                </w:tcPr>
                <w:p w:rsidR="00CB5A2D" w:rsidRDefault="00CB5A2D" w:rsidP="005363F7">
                  <w:pPr>
                    <w:rPr>
                      <w:rFonts w:ascii="Times New Roman" w:hAnsi="Times New Roman" w:cs="Times New Roman"/>
                      <w:sz w:val="24"/>
                      <w:szCs w:val="24"/>
                    </w:rPr>
                  </w:pPr>
                </w:p>
              </w:tc>
              <w:tc>
                <w:tcPr>
                  <w:tcW w:w="7534" w:type="dxa"/>
                  <w:gridSpan w:val="4"/>
                </w:tcPr>
                <w:p w:rsidR="00CB5A2D" w:rsidRDefault="00CB5A2D" w:rsidP="005363F7">
                  <w:pPr>
                    <w:rPr>
                      <w:rFonts w:ascii="Times New Roman" w:hAnsi="Times New Roman" w:cs="Times New Roman"/>
                      <w:sz w:val="24"/>
                      <w:szCs w:val="24"/>
                    </w:rPr>
                  </w:pPr>
                  <w:r w:rsidRPr="00896E8D">
                    <w:rPr>
                      <w:rFonts w:ascii="Times New Roman" w:hAnsi="Times New Roman" w:cs="Times New Roman"/>
                      <w:b/>
                      <w:sz w:val="24"/>
                      <w:szCs w:val="24"/>
                    </w:rPr>
                    <w:t>12-24 months (greater than 12 months but less than or equal to 24 months)</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PSE</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246113" w:rsidP="00246113">
                  <w:pPr>
                    <w:jc w:val="right"/>
                    <w:rPr>
                      <w:rFonts w:ascii="Times New Roman" w:hAnsi="Times New Roman" w:cs="Times New Roman"/>
                      <w:sz w:val="24"/>
                      <w:szCs w:val="24"/>
                    </w:rPr>
                  </w:pPr>
                  <w:r>
                    <w:rPr>
                      <w:rFonts w:ascii="Times New Roman" w:hAnsi="Times New Roman" w:cs="Times New Roman"/>
                      <w:sz w:val="24"/>
                      <w:szCs w:val="24"/>
                    </w:rPr>
                    <w:t>193</w:t>
                  </w:r>
                </w:p>
              </w:tc>
              <w:tc>
                <w:tcPr>
                  <w:tcW w:w="1839" w:type="dxa"/>
                </w:tcPr>
                <w:p w:rsidR="00BC1FE3" w:rsidRDefault="00246113" w:rsidP="00246113">
                  <w:pPr>
                    <w:jc w:val="right"/>
                    <w:rPr>
                      <w:rFonts w:ascii="Times New Roman" w:hAnsi="Times New Roman" w:cs="Times New Roman"/>
                      <w:sz w:val="24"/>
                      <w:szCs w:val="24"/>
                    </w:rPr>
                  </w:pPr>
                  <w:r>
                    <w:rPr>
                      <w:rFonts w:ascii="Times New Roman" w:hAnsi="Times New Roman" w:cs="Times New Roman"/>
                      <w:sz w:val="24"/>
                      <w:szCs w:val="24"/>
                    </w:rPr>
                    <w:t>165</w:t>
                  </w:r>
                </w:p>
              </w:tc>
              <w:tc>
                <w:tcPr>
                  <w:tcW w:w="1840" w:type="dxa"/>
                </w:tcPr>
                <w:p w:rsidR="00BC1FE3" w:rsidRDefault="00246113" w:rsidP="00246113">
                  <w:pPr>
                    <w:jc w:val="right"/>
                    <w:rPr>
                      <w:rFonts w:ascii="Times New Roman" w:hAnsi="Times New Roman" w:cs="Times New Roman"/>
                      <w:sz w:val="24"/>
                      <w:szCs w:val="24"/>
                    </w:rPr>
                  </w:pPr>
                  <w:r>
                    <w:rPr>
                      <w:rFonts w:ascii="Times New Roman" w:hAnsi="Times New Roman" w:cs="Times New Roman"/>
                      <w:sz w:val="24"/>
                      <w:szCs w:val="24"/>
                    </w:rPr>
                    <w:t>178</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Avista</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PP&amp;L</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NWNG</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CNG</w:t>
                  </w:r>
                  <w:r w:rsidR="0039349F">
                    <w:rPr>
                      <w:rFonts w:ascii="Times New Roman" w:hAnsi="Times New Roman" w:cs="Times New Roman"/>
                      <w:sz w:val="24"/>
                      <w:szCs w:val="24"/>
                    </w:rPr>
                    <w:t>C</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B5A2D" w:rsidTr="003558DC">
              <w:tc>
                <w:tcPr>
                  <w:tcW w:w="1595" w:type="dxa"/>
                </w:tcPr>
                <w:p w:rsidR="00CB5A2D" w:rsidRDefault="00CB5A2D" w:rsidP="00BC1FE3">
                  <w:pPr>
                    <w:rPr>
                      <w:rFonts w:ascii="Times New Roman" w:hAnsi="Times New Roman" w:cs="Times New Roman"/>
                      <w:sz w:val="24"/>
                      <w:szCs w:val="24"/>
                    </w:rPr>
                  </w:pPr>
                </w:p>
              </w:tc>
              <w:tc>
                <w:tcPr>
                  <w:tcW w:w="7534" w:type="dxa"/>
                  <w:gridSpan w:val="4"/>
                </w:tcPr>
                <w:p w:rsidR="00CB5A2D" w:rsidRDefault="00CB5A2D" w:rsidP="00BC1FE3">
                  <w:pPr>
                    <w:rPr>
                      <w:rFonts w:ascii="Times New Roman" w:hAnsi="Times New Roman" w:cs="Times New Roman"/>
                      <w:sz w:val="24"/>
                      <w:szCs w:val="24"/>
                    </w:rPr>
                  </w:pPr>
                  <w:r w:rsidRPr="00896E8D">
                    <w:rPr>
                      <w:rFonts w:ascii="Times New Roman" w:hAnsi="Times New Roman" w:cs="Times New Roman"/>
                      <w:b/>
                      <w:sz w:val="24"/>
                      <w:szCs w:val="24"/>
                    </w:rPr>
                    <w:t>Greater than 24 months)</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lastRenderedPageBreak/>
                    <w:t>PSE</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246113" w:rsidP="00246113">
                  <w:pPr>
                    <w:jc w:val="right"/>
                    <w:rPr>
                      <w:rFonts w:ascii="Times New Roman" w:hAnsi="Times New Roman" w:cs="Times New Roman"/>
                      <w:sz w:val="24"/>
                      <w:szCs w:val="24"/>
                    </w:rPr>
                  </w:pPr>
                  <w:r>
                    <w:rPr>
                      <w:rFonts w:ascii="Times New Roman" w:hAnsi="Times New Roman" w:cs="Times New Roman"/>
                      <w:sz w:val="24"/>
                      <w:szCs w:val="24"/>
                    </w:rPr>
                    <w:t>105</w:t>
                  </w:r>
                </w:p>
              </w:tc>
              <w:tc>
                <w:tcPr>
                  <w:tcW w:w="1839" w:type="dxa"/>
                </w:tcPr>
                <w:p w:rsidR="00BC1FE3" w:rsidRDefault="00246113" w:rsidP="00246113">
                  <w:pPr>
                    <w:jc w:val="right"/>
                    <w:rPr>
                      <w:rFonts w:ascii="Times New Roman" w:hAnsi="Times New Roman" w:cs="Times New Roman"/>
                      <w:sz w:val="24"/>
                      <w:szCs w:val="24"/>
                    </w:rPr>
                  </w:pPr>
                  <w:r>
                    <w:rPr>
                      <w:rFonts w:ascii="Times New Roman" w:hAnsi="Times New Roman" w:cs="Times New Roman"/>
                      <w:sz w:val="24"/>
                      <w:szCs w:val="24"/>
                    </w:rPr>
                    <w:t>41</w:t>
                  </w:r>
                </w:p>
              </w:tc>
              <w:tc>
                <w:tcPr>
                  <w:tcW w:w="1840" w:type="dxa"/>
                </w:tcPr>
                <w:p w:rsidR="00BC1FE3" w:rsidRDefault="00246113" w:rsidP="00246113">
                  <w:pPr>
                    <w:jc w:val="right"/>
                    <w:rPr>
                      <w:rFonts w:ascii="Times New Roman" w:hAnsi="Times New Roman" w:cs="Times New Roman"/>
                      <w:sz w:val="24"/>
                      <w:szCs w:val="24"/>
                    </w:rPr>
                  </w:pPr>
                  <w:r>
                    <w:rPr>
                      <w:rFonts w:ascii="Times New Roman" w:hAnsi="Times New Roman" w:cs="Times New Roman"/>
                      <w:sz w:val="24"/>
                      <w:szCs w:val="24"/>
                    </w:rPr>
                    <w:t>39</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Avista</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PP&amp;L</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NWNG</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BC1FE3" w:rsidTr="005363F7">
              <w:tc>
                <w:tcPr>
                  <w:tcW w:w="1595" w:type="dxa"/>
                </w:tcPr>
                <w:p w:rsidR="00BC1FE3" w:rsidRDefault="00BC1FE3" w:rsidP="00BC1FE3">
                  <w:pPr>
                    <w:rPr>
                      <w:rFonts w:ascii="Times New Roman" w:hAnsi="Times New Roman" w:cs="Times New Roman"/>
                      <w:sz w:val="24"/>
                      <w:szCs w:val="24"/>
                    </w:rPr>
                  </w:pPr>
                  <w:r>
                    <w:rPr>
                      <w:rFonts w:ascii="Times New Roman" w:hAnsi="Times New Roman" w:cs="Times New Roman"/>
                      <w:sz w:val="24"/>
                      <w:szCs w:val="24"/>
                    </w:rPr>
                    <w:t>CNG</w:t>
                  </w:r>
                  <w:r w:rsidR="0039349F">
                    <w:rPr>
                      <w:rFonts w:ascii="Times New Roman" w:hAnsi="Times New Roman" w:cs="Times New Roman"/>
                      <w:sz w:val="24"/>
                      <w:szCs w:val="24"/>
                    </w:rPr>
                    <w:t>C</w:t>
                  </w:r>
                </w:p>
              </w:tc>
              <w:tc>
                <w:tcPr>
                  <w:tcW w:w="2016" w:type="dxa"/>
                </w:tcPr>
                <w:p w:rsidR="00BC1FE3" w:rsidRDefault="00BC1FE3" w:rsidP="00BC1FE3">
                  <w:pPr>
                    <w:rPr>
                      <w:rFonts w:ascii="Times New Roman" w:hAnsi="Times New Roman" w:cs="Times New Roman"/>
                      <w:sz w:val="24"/>
                      <w:szCs w:val="24"/>
                    </w:rPr>
                  </w:pP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1839"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1840" w:type="dxa"/>
                </w:tcPr>
                <w:p w:rsidR="00BC1FE3"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bl>
          <w:p w:rsidR="005363F7" w:rsidRDefault="005363F7" w:rsidP="0026387A">
            <w:pPr>
              <w:rPr>
                <w:rFonts w:ascii="Times New Roman" w:hAnsi="Times New Roman" w:cs="Times New Roman"/>
                <w:sz w:val="24"/>
                <w:szCs w:val="24"/>
              </w:rPr>
            </w:pPr>
          </w:p>
        </w:tc>
        <w:tc>
          <w:tcPr>
            <w:tcW w:w="4678" w:type="dxa"/>
          </w:tcPr>
          <w:p w:rsidR="00CB5A2D" w:rsidRDefault="00CB5A2D" w:rsidP="0026387A">
            <w:pPr>
              <w:rPr>
                <w:rFonts w:ascii="Times New Roman" w:hAnsi="Times New Roman" w:cs="Times New Roman"/>
                <w:sz w:val="24"/>
                <w:szCs w:val="24"/>
              </w:rPr>
            </w:pPr>
          </w:p>
          <w:p w:rsidR="00CB5A2D" w:rsidRDefault="00CB5A2D" w:rsidP="0026387A">
            <w:pPr>
              <w:rPr>
                <w:rFonts w:ascii="Times New Roman" w:hAnsi="Times New Roman" w:cs="Times New Roman"/>
                <w:sz w:val="24"/>
                <w:szCs w:val="24"/>
              </w:rPr>
            </w:pPr>
          </w:p>
          <w:p w:rsidR="00CB5A2D" w:rsidRDefault="00CB5A2D" w:rsidP="0026387A">
            <w:pPr>
              <w:rPr>
                <w:rFonts w:ascii="Times New Roman" w:hAnsi="Times New Roman" w:cs="Times New Roman"/>
                <w:sz w:val="24"/>
                <w:szCs w:val="24"/>
              </w:rPr>
            </w:pP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Percentage of retroactive bills by company that are less than or equal to 6 months.</w:t>
            </w:r>
          </w:p>
          <w:p w:rsidR="00DD4986" w:rsidRDefault="00DD4986" w:rsidP="0026387A">
            <w:pPr>
              <w:rPr>
                <w:rFonts w:ascii="Times New Roman" w:hAnsi="Times New Roman" w:cs="Times New Roman"/>
                <w:sz w:val="24"/>
                <w:szCs w:val="24"/>
              </w:rPr>
            </w:pP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PSE:  76 – 84 percent</w:t>
            </w: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Avista: 95 – 97 percent</w:t>
            </w: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PP&amp;L: 95 – 100 percent</w:t>
            </w: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NW Natural: 94 – 100 percent</w:t>
            </w:r>
          </w:p>
          <w:p w:rsidR="00CB5A2D" w:rsidRDefault="00CB5A2D" w:rsidP="0026387A">
            <w:pPr>
              <w:rPr>
                <w:rFonts w:ascii="Times New Roman" w:hAnsi="Times New Roman" w:cs="Times New Roman"/>
                <w:sz w:val="24"/>
                <w:szCs w:val="24"/>
              </w:rPr>
            </w:pP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Percentage of retroactive bills by company that exceed 12 months.</w:t>
            </w:r>
          </w:p>
          <w:p w:rsidR="00DD4986" w:rsidRDefault="00DD4986" w:rsidP="0026387A">
            <w:pPr>
              <w:rPr>
                <w:rFonts w:ascii="Times New Roman" w:hAnsi="Times New Roman" w:cs="Times New Roman"/>
                <w:sz w:val="24"/>
                <w:szCs w:val="24"/>
              </w:rPr>
            </w:pPr>
          </w:p>
          <w:p w:rsidR="005363F7" w:rsidRDefault="00DD4986" w:rsidP="0026387A">
            <w:pPr>
              <w:rPr>
                <w:rFonts w:ascii="Times New Roman" w:hAnsi="Times New Roman" w:cs="Times New Roman"/>
                <w:sz w:val="24"/>
                <w:szCs w:val="24"/>
              </w:rPr>
            </w:pPr>
            <w:r>
              <w:rPr>
                <w:rFonts w:ascii="Times New Roman" w:hAnsi="Times New Roman" w:cs="Times New Roman"/>
                <w:sz w:val="24"/>
                <w:szCs w:val="24"/>
              </w:rPr>
              <w:t xml:space="preserve">PSE: </w:t>
            </w:r>
            <w:r w:rsidR="003016DD">
              <w:rPr>
                <w:rFonts w:ascii="Times New Roman" w:hAnsi="Times New Roman" w:cs="Times New Roman"/>
                <w:sz w:val="24"/>
                <w:szCs w:val="24"/>
              </w:rPr>
              <w:t>7-8</w:t>
            </w:r>
            <w:r>
              <w:rPr>
                <w:rFonts w:ascii="Times New Roman" w:hAnsi="Times New Roman" w:cs="Times New Roman"/>
                <w:sz w:val="24"/>
                <w:szCs w:val="24"/>
              </w:rPr>
              <w:t xml:space="preserve"> percent</w:t>
            </w: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Avista: 0 percent</w:t>
            </w: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PP&amp;L: 0 percent</w:t>
            </w:r>
          </w:p>
          <w:p w:rsidR="00DD4986" w:rsidRDefault="00DD4986" w:rsidP="0026387A">
            <w:pPr>
              <w:rPr>
                <w:rFonts w:ascii="Times New Roman" w:hAnsi="Times New Roman" w:cs="Times New Roman"/>
                <w:sz w:val="24"/>
                <w:szCs w:val="24"/>
              </w:rPr>
            </w:pPr>
            <w:r>
              <w:rPr>
                <w:rFonts w:ascii="Times New Roman" w:hAnsi="Times New Roman" w:cs="Times New Roman"/>
                <w:sz w:val="24"/>
                <w:szCs w:val="24"/>
              </w:rPr>
              <w:t>NW Natural: 0 percent</w:t>
            </w:r>
          </w:p>
        </w:tc>
      </w:tr>
    </w:tbl>
    <w:p w:rsidR="00273A0D" w:rsidRDefault="00273A0D"/>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675"/>
        <w:gridCol w:w="3420"/>
        <w:gridCol w:w="5940"/>
        <w:gridCol w:w="4675"/>
      </w:tblGrid>
      <w:tr w:rsidR="00246113" w:rsidTr="00132458">
        <w:tc>
          <w:tcPr>
            <w:tcW w:w="4675" w:type="dxa"/>
          </w:tcPr>
          <w:p w:rsidR="00246113" w:rsidRPr="00246113" w:rsidRDefault="00246113" w:rsidP="00132458">
            <w:pPr>
              <w:pStyle w:val="ListParagraph"/>
              <w:numPr>
                <w:ilvl w:val="0"/>
                <w:numId w:val="4"/>
              </w:num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t>For unidentified energy usage meters.</w:t>
            </w:r>
          </w:p>
        </w:tc>
        <w:tc>
          <w:tcPr>
            <w:tcW w:w="9360" w:type="dxa"/>
            <w:gridSpan w:val="2"/>
          </w:tcPr>
          <w:tbl>
            <w:tblPr>
              <w:tblStyle w:val="TableGrid"/>
              <w:tblpPr w:leftFromText="180" w:rightFromText="180" w:vertAnchor="page" w:horzAnchor="page" w:tblpX="2596" w:tblpY="1"/>
              <w:tblOverlap w:val="never"/>
              <w:tblW w:w="9178" w:type="dxa"/>
              <w:tblLayout w:type="fixed"/>
              <w:tblLook w:val="04A0" w:firstRow="1" w:lastRow="0" w:firstColumn="1" w:lastColumn="0" w:noHBand="0" w:noVBand="1"/>
            </w:tblPr>
            <w:tblGrid>
              <w:gridCol w:w="1381"/>
              <w:gridCol w:w="1348"/>
              <w:gridCol w:w="1910"/>
              <w:gridCol w:w="2160"/>
              <w:gridCol w:w="2379"/>
            </w:tblGrid>
            <w:tr w:rsidR="00CE37DD" w:rsidTr="00CE37DD">
              <w:tc>
                <w:tcPr>
                  <w:tcW w:w="1381" w:type="dxa"/>
                </w:tcPr>
                <w:p w:rsidR="00CE37DD" w:rsidRDefault="00CE37DD" w:rsidP="00132458">
                  <w:pPr>
                    <w:rPr>
                      <w:color w:val="000000"/>
                      <w:sz w:val="25"/>
                      <w:szCs w:val="25"/>
                    </w:rPr>
                  </w:pPr>
                </w:p>
              </w:tc>
              <w:tc>
                <w:tcPr>
                  <w:tcW w:w="7797" w:type="dxa"/>
                  <w:gridSpan w:val="4"/>
                </w:tcPr>
                <w:p w:rsidR="00CE37DD" w:rsidRDefault="00CE37DD" w:rsidP="00132458">
                  <w:pPr>
                    <w:rPr>
                      <w:rFonts w:ascii="Times New Roman" w:hAnsi="Times New Roman" w:cs="Times New Roman"/>
                      <w:sz w:val="24"/>
                      <w:szCs w:val="24"/>
                    </w:rPr>
                  </w:pPr>
                  <w:r>
                    <w:rPr>
                      <w:color w:val="000000"/>
                      <w:sz w:val="25"/>
                      <w:szCs w:val="25"/>
                    </w:rPr>
                    <w:t>The counts are for accounts with a unidentified energy use meter and rebilled</w:t>
                  </w:r>
                </w:p>
              </w:tc>
            </w:tr>
            <w:tr w:rsidR="00CE37DD" w:rsidTr="00CE37DD">
              <w:tc>
                <w:tcPr>
                  <w:tcW w:w="1381" w:type="dxa"/>
                </w:tcPr>
                <w:p w:rsidR="00CE37DD" w:rsidRDefault="00CE37DD" w:rsidP="00132458">
                  <w:pPr>
                    <w:rPr>
                      <w:rFonts w:ascii="Times New Roman" w:hAnsi="Times New Roman" w:cs="Times New Roman"/>
                      <w:sz w:val="24"/>
                      <w:szCs w:val="24"/>
                    </w:rPr>
                  </w:pPr>
                </w:p>
              </w:tc>
              <w:tc>
                <w:tcPr>
                  <w:tcW w:w="1348" w:type="dxa"/>
                </w:tcPr>
                <w:p w:rsidR="00CE37DD" w:rsidRDefault="00CE37DD" w:rsidP="00132458">
                  <w:pPr>
                    <w:rPr>
                      <w:rFonts w:ascii="Times New Roman" w:hAnsi="Times New Roman" w:cs="Times New Roman"/>
                      <w:sz w:val="24"/>
                      <w:szCs w:val="24"/>
                    </w:rPr>
                  </w:pPr>
                </w:p>
              </w:tc>
              <w:tc>
                <w:tcPr>
                  <w:tcW w:w="6449" w:type="dxa"/>
                  <w:gridSpan w:val="3"/>
                </w:tcPr>
                <w:p w:rsidR="00CE37DD" w:rsidRDefault="00CE37DD" w:rsidP="00132458">
                  <w:pPr>
                    <w:jc w:val="center"/>
                    <w:rPr>
                      <w:rFonts w:ascii="Times New Roman" w:hAnsi="Times New Roman" w:cs="Times New Roman"/>
                      <w:sz w:val="24"/>
                      <w:szCs w:val="24"/>
                    </w:rPr>
                  </w:pPr>
                  <w:r>
                    <w:rPr>
                      <w:color w:val="000000"/>
                      <w:sz w:val="25"/>
                      <w:szCs w:val="25"/>
                    </w:rPr>
                    <w:t>Number of Accounts</w:t>
                  </w:r>
                </w:p>
              </w:tc>
            </w:tr>
            <w:tr w:rsidR="00CE37DD" w:rsidTr="00603C4F">
              <w:tc>
                <w:tcPr>
                  <w:tcW w:w="1381" w:type="dxa"/>
                </w:tcPr>
                <w:p w:rsidR="00CE37DD" w:rsidRDefault="00CE37DD" w:rsidP="00132458">
                  <w:pPr>
                    <w:rPr>
                      <w:rFonts w:ascii="Times New Roman" w:hAnsi="Times New Roman" w:cs="Times New Roman"/>
                      <w:sz w:val="24"/>
                      <w:szCs w:val="24"/>
                    </w:rPr>
                  </w:pPr>
                </w:p>
              </w:tc>
              <w:tc>
                <w:tcPr>
                  <w:tcW w:w="1348" w:type="dxa"/>
                </w:tcPr>
                <w:p w:rsidR="00CE37DD" w:rsidRDefault="00CE37DD" w:rsidP="00132458">
                  <w:pPr>
                    <w:rPr>
                      <w:rFonts w:ascii="Times New Roman" w:hAnsi="Times New Roman" w:cs="Times New Roman"/>
                      <w:sz w:val="24"/>
                      <w:szCs w:val="24"/>
                    </w:rPr>
                  </w:pPr>
                </w:p>
              </w:tc>
              <w:tc>
                <w:tcPr>
                  <w:tcW w:w="1910" w:type="dxa"/>
                  <w:shd w:val="clear" w:color="auto" w:fill="D9D9D9" w:themeFill="background1" w:themeFillShade="D9"/>
                </w:tcPr>
                <w:p w:rsidR="00CE37DD" w:rsidRPr="00603C4F" w:rsidRDefault="00CE37DD" w:rsidP="00603C4F">
                  <w:pPr>
                    <w:jc w:val="right"/>
                    <w:rPr>
                      <w:rFonts w:ascii="Times New Roman" w:hAnsi="Times New Roman" w:cs="Times New Roman"/>
                      <w:b/>
                      <w:sz w:val="24"/>
                      <w:szCs w:val="24"/>
                    </w:rPr>
                  </w:pPr>
                  <w:r w:rsidRPr="00603C4F">
                    <w:rPr>
                      <w:rFonts w:ascii="Times New Roman" w:hAnsi="Times New Roman" w:cs="Times New Roman"/>
                      <w:b/>
                      <w:sz w:val="24"/>
                      <w:szCs w:val="24"/>
                    </w:rPr>
                    <w:t>2012</w:t>
                  </w:r>
                </w:p>
              </w:tc>
              <w:tc>
                <w:tcPr>
                  <w:tcW w:w="2160" w:type="dxa"/>
                  <w:shd w:val="clear" w:color="auto" w:fill="D9D9D9" w:themeFill="background1" w:themeFillShade="D9"/>
                </w:tcPr>
                <w:p w:rsidR="00CE37DD" w:rsidRPr="00603C4F" w:rsidRDefault="00CE37DD" w:rsidP="00603C4F">
                  <w:pPr>
                    <w:jc w:val="right"/>
                    <w:rPr>
                      <w:rFonts w:ascii="Times New Roman" w:hAnsi="Times New Roman" w:cs="Times New Roman"/>
                      <w:b/>
                      <w:sz w:val="24"/>
                      <w:szCs w:val="24"/>
                    </w:rPr>
                  </w:pPr>
                  <w:r w:rsidRPr="00603C4F">
                    <w:rPr>
                      <w:rFonts w:ascii="Times New Roman" w:hAnsi="Times New Roman" w:cs="Times New Roman"/>
                      <w:b/>
                      <w:sz w:val="24"/>
                      <w:szCs w:val="24"/>
                    </w:rPr>
                    <w:t>2013</w:t>
                  </w:r>
                </w:p>
              </w:tc>
              <w:tc>
                <w:tcPr>
                  <w:tcW w:w="2379" w:type="dxa"/>
                  <w:shd w:val="clear" w:color="auto" w:fill="D9D9D9" w:themeFill="background1" w:themeFillShade="D9"/>
                </w:tcPr>
                <w:p w:rsidR="00CE37DD" w:rsidRPr="00603C4F" w:rsidRDefault="00CE37DD" w:rsidP="00603C4F">
                  <w:pPr>
                    <w:jc w:val="right"/>
                    <w:rPr>
                      <w:rFonts w:ascii="Times New Roman" w:hAnsi="Times New Roman" w:cs="Times New Roman"/>
                      <w:b/>
                      <w:sz w:val="24"/>
                      <w:szCs w:val="24"/>
                    </w:rPr>
                  </w:pPr>
                  <w:r w:rsidRPr="00603C4F">
                    <w:rPr>
                      <w:rFonts w:ascii="Times New Roman" w:hAnsi="Times New Roman" w:cs="Times New Roman"/>
                      <w:b/>
                      <w:sz w:val="24"/>
                      <w:szCs w:val="24"/>
                    </w:rPr>
                    <w:t>2014</w:t>
                  </w:r>
                </w:p>
              </w:tc>
            </w:tr>
            <w:tr w:rsidR="00CB5A2D" w:rsidTr="0083402B">
              <w:tc>
                <w:tcPr>
                  <w:tcW w:w="1381" w:type="dxa"/>
                </w:tcPr>
                <w:p w:rsidR="00CB5A2D" w:rsidRDefault="00CB5A2D" w:rsidP="00132458">
                  <w:pPr>
                    <w:rPr>
                      <w:rFonts w:ascii="Times New Roman" w:hAnsi="Times New Roman" w:cs="Times New Roman"/>
                      <w:sz w:val="24"/>
                      <w:szCs w:val="24"/>
                    </w:rPr>
                  </w:pPr>
                </w:p>
              </w:tc>
              <w:tc>
                <w:tcPr>
                  <w:tcW w:w="7797" w:type="dxa"/>
                  <w:gridSpan w:val="4"/>
                </w:tcPr>
                <w:p w:rsidR="00CB5A2D" w:rsidRDefault="00CB5A2D" w:rsidP="00132458">
                  <w:pPr>
                    <w:rPr>
                      <w:rFonts w:ascii="Times New Roman" w:hAnsi="Times New Roman" w:cs="Times New Roman"/>
                      <w:sz w:val="24"/>
                      <w:szCs w:val="24"/>
                    </w:rPr>
                  </w:pPr>
                  <w:r w:rsidRPr="005363F7">
                    <w:rPr>
                      <w:rFonts w:ascii="Times New Roman" w:hAnsi="Times New Roman" w:cs="Times New Roman"/>
                      <w:b/>
                      <w:sz w:val="24"/>
                      <w:szCs w:val="24"/>
                    </w:rPr>
                    <w:t>6 months or less</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PSE</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8,789</w:t>
                  </w:r>
                </w:p>
              </w:tc>
              <w:tc>
                <w:tcPr>
                  <w:tcW w:w="216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11,877</w:t>
                  </w:r>
                </w:p>
              </w:tc>
              <w:tc>
                <w:tcPr>
                  <w:tcW w:w="2379"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8,280</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Avista</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1,425</w:t>
                  </w:r>
                </w:p>
              </w:tc>
              <w:tc>
                <w:tcPr>
                  <w:tcW w:w="216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1,691</w:t>
                  </w:r>
                </w:p>
              </w:tc>
              <w:tc>
                <w:tcPr>
                  <w:tcW w:w="2379"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1,467</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PP&amp;L</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3,507</w:t>
                  </w:r>
                </w:p>
              </w:tc>
              <w:tc>
                <w:tcPr>
                  <w:tcW w:w="216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2,943</w:t>
                  </w:r>
                </w:p>
              </w:tc>
              <w:tc>
                <w:tcPr>
                  <w:tcW w:w="2379"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1,675</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NWNG</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CNGC</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B5A2D" w:rsidTr="005A517A">
              <w:tc>
                <w:tcPr>
                  <w:tcW w:w="1381" w:type="dxa"/>
                </w:tcPr>
                <w:p w:rsidR="00CB5A2D" w:rsidRDefault="00CB5A2D" w:rsidP="00132458">
                  <w:pPr>
                    <w:rPr>
                      <w:rFonts w:ascii="Times New Roman" w:hAnsi="Times New Roman" w:cs="Times New Roman"/>
                      <w:sz w:val="24"/>
                      <w:szCs w:val="24"/>
                    </w:rPr>
                  </w:pPr>
                </w:p>
              </w:tc>
              <w:tc>
                <w:tcPr>
                  <w:tcW w:w="7797" w:type="dxa"/>
                  <w:gridSpan w:val="4"/>
                </w:tcPr>
                <w:p w:rsidR="00CB5A2D" w:rsidRDefault="00CB5A2D" w:rsidP="00132458">
                  <w:pPr>
                    <w:rPr>
                      <w:rFonts w:ascii="Times New Roman" w:hAnsi="Times New Roman" w:cs="Times New Roman"/>
                      <w:sz w:val="24"/>
                      <w:szCs w:val="24"/>
                    </w:rPr>
                  </w:pPr>
                  <w:r>
                    <w:rPr>
                      <w:rFonts w:ascii="Times New Roman" w:hAnsi="Times New Roman" w:cs="Times New Roman"/>
                      <w:b/>
                      <w:sz w:val="24"/>
                      <w:szCs w:val="24"/>
                    </w:rPr>
                    <w:t>6 – 12 months (greater than 6 but less than or equal to 12 months)</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PSE</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CE37DD" w:rsidP="00603C4F">
                  <w:pPr>
                    <w:jc w:val="right"/>
                    <w:rPr>
                      <w:rFonts w:ascii="Times New Roman" w:hAnsi="Times New Roman" w:cs="Times New Roman"/>
                      <w:sz w:val="24"/>
                      <w:szCs w:val="24"/>
                    </w:rPr>
                  </w:pPr>
                  <w:r>
                    <w:rPr>
                      <w:rFonts w:ascii="Times New Roman" w:hAnsi="Times New Roman" w:cs="Times New Roman"/>
                      <w:sz w:val="24"/>
                      <w:szCs w:val="24"/>
                    </w:rPr>
                    <w:t>398</w:t>
                  </w:r>
                </w:p>
              </w:tc>
              <w:tc>
                <w:tcPr>
                  <w:tcW w:w="2160" w:type="dxa"/>
                </w:tcPr>
                <w:p w:rsidR="00CE37DD" w:rsidRDefault="00CE37DD" w:rsidP="00603C4F">
                  <w:pPr>
                    <w:jc w:val="right"/>
                    <w:rPr>
                      <w:rFonts w:ascii="Times New Roman" w:hAnsi="Times New Roman" w:cs="Times New Roman"/>
                      <w:sz w:val="24"/>
                      <w:szCs w:val="24"/>
                    </w:rPr>
                  </w:pPr>
                  <w:r>
                    <w:rPr>
                      <w:rFonts w:ascii="Times New Roman" w:hAnsi="Times New Roman" w:cs="Times New Roman"/>
                      <w:sz w:val="24"/>
                      <w:szCs w:val="24"/>
                    </w:rPr>
                    <w:t>586</w:t>
                  </w:r>
                </w:p>
              </w:tc>
              <w:tc>
                <w:tcPr>
                  <w:tcW w:w="2379" w:type="dxa"/>
                </w:tcPr>
                <w:p w:rsidR="00CE37DD" w:rsidRDefault="00CE37DD" w:rsidP="00603C4F">
                  <w:pPr>
                    <w:jc w:val="right"/>
                    <w:rPr>
                      <w:rFonts w:ascii="Times New Roman" w:hAnsi="Times New Roman" w:cs="Times New Roman"/>
                      <w:sz w:val="24"/>
                      <w:szCs w:val="24"/>
                    </w:rPr>
                  </w:pPr>
                  <w:r>
                    <w:rPr>
                      <w:rFonts w:ascii="Times New Roman" w:hAnsi="Times New Roman" w:cs="Times New Roman"/>
                      <w:sz w:val="24"/>
                      <w:szCs w:val="24"/>
                    </w:rPr>
                    <w:t>8,280</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Avista</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CE37DD" w:rsidP="00603C4F">
                  <w:pPr>
                    <w:jc w:val="right"/>
                    <w:rPr>
                      <w:rFonts w:ascii="Times New Roman" w:hAnsi="Times New Roman" w:cs="Times New Roman"/>
                      <w:sz w:val="24"/>
                      <w:szCs w:val="24"/>
                    </w:rPr>
                  </w:pPr>
                  <w:r>
                    <w:rPr>
                      <w:rFonts w:ascii="Times New Roman" w:hAnsi="Times New Roman" w:cs="Times New Roman"/>
                      <w:sz w:val="24"/>
                      <w:szCs w:val="24"/>
                    </w:rPr>
                    <w:t>3</w:t>
                  </w:r>
                </w:p>
              </w:tc>
              <w:tc>
                <w:tcPr>
                  <w:tcW w:w="2160" w:type="dxa"/>
                </w:tcPr>
                <w:p w:rsidR="00CE37DD" w:rsidRDefault="00CE37DD" w:rsidP="00603C4F">
                  <w:pPr>
                    <w:jc w:val="right"/>
                    <w:rPr>
                      <w:rFonts w:ascii="Times New Roman" w:hAnsi="Times New Roman" w:cs="Times New Roman"/>
                      <w:sz w:val="24"/>
                      <w:szCs w:val="24"/>
                    </w:rPr>
                  </w:pPr>
                  <w:r>
                    <w:rPr>
                      <w:rFonts w:ascii="Times New Roman" w:hAnsi="Times New Roman" w:cs="Times New Roman"/>
                      <w:sz w:val="24"/>
                      <w:szCs w:val="24"/>
                    </w:rPr>
                    <w:t>4</w:t>
                  </w:r>
                </w:p>
              </w:tc>
              <w:tc>
                <w:tcPr>
                  <w:tcW w:w="2379" w:type="dxa"/>
                </w:tcPr>
                <w:p w:rsidR="00CE37DD" w:rsidRDefault="00CE37DD" w:rsidP="00603C4F">
                  <w:pPr>
                    <w:jc w:val="right"/>
                    <w:rPr>
                      <w:rFonts w:ascii="Times New Roman" w:hAnsi="Times New Roman" w:cs="Times New Roman"/>
                      <w:sz w:val="24"/>
                      <w:szCs w:val="24"/>
                    </w:rPr>
                  </w:pPr>
                  <w:r>
                    <w:rPr>
                      <w:rFonts w:ascii="Times New Roman" w:hAnsi="Times New Roman" w:cs="Times New Roman"/>
                      <w:sz w:val="24"/>
                      <w:szCs w:val="24"/>
                    </w:rPr>
                    <w:t>2</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PP&amp;L</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O</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O</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O</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NWNG</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CNGC</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B5A2D" w:rsidTr="00EB44D7">
              <w:tc>
                <w:tcPr>
                  <w:tcW w:w="1381" w:type="dxa"/>
                </w:tcPr>
                <w:p w:rsidR="00CB5A2D" w:rsidRDefault="00CB5A2D" w:rsidP="00132458">
                  <w:pPr>
                    <w:rPr>
                      <w:rFonts w:ascii="Times New Roman" w:hAnsi="Times New Roman" w:cs="Times New Roman"/>
                      <w:sz w:val="24"/>
                      <w:szCs w:val="24"/>
                    </w:rPr>
                  </w:pPr>
                </w:p>
              </w:tc>
              <w:tc>
                <w:tcPr>
                  <w:tcW w:w="7797" w:type="dxa"/>
                  <w:gridSpan w:val="4"/>
                </w:tcPr>
                <w:p w:rsidR="00CB5A2D" w:rsidRDefault="00CB5A2D" w:rsidP="00132458">
                  <w:pPr>
                    <w:rPr>
                      <w:rFonts w:ascii="Times New Roman" w:hAnsi="Times New Roman" w:cs="Times New Roman"/>
                      <w:sz w:val="24"/>
                      <w:szCs w:val="24"/>
                    </w:rPr>
                  </w:pPr>
                  <w:r w:rsidRPr="00CE37DD">
                    <w:rPr>
                      <w:rFonts w:ascii="Times New Roman" w:hAnsi="Times New Roman" w:cs="Times New Roman"/>
                      <w:b/>
                      <w:sz w:val="24"/>
                      <w:szCs w:val="24"/>
                    </w:rPr>
                    <w:t>12-24 months (greater than 12 months but less than or equal to 24 months)</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PSE</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132458">
                  <w:pPr>
                    <w:jc w:val="right"/>
                    <w:rPr>
                      <w:rFonts w:ascii="Times New Roman" w:hAnsi="Times New Roman" w:cs="Times New Roman"/>
                      <w:sz w:val="24"/>
                      <w:szCs w:val="24"/>
                    </w:rPr>
                  </w:pPr>
                  <w:r>
                    <w:rPr>
                      <w:rFonts w:ascii="Times New Roman" w:hAnsi="Times New Roman" w:cs="Times New Roman"/>
                      <w:sz w:val="24"/>
                      <w:szCs w:val="24"/>
                    </w:rPr>
                    <w:t>0</w:t>
                  </w:r>
                </w:p>
              </w:tc>
              <w:tc>
                <w:tcPr>
                  <w:tcW w:w="2160" w:type="dxa"/>
                </w:tcPr>
                <w:p w:rsidR="00CE37DD" w:rsidRDefault="00603C4F" w:rsidP="00132458">
                  <w:pPr>
                    <w:jc w:val="right"/>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CE37DD" w:rsidRDefault="00603C4F" w:rsidP="00132458">
                  <w:pPr>
                    <w:jc w:val="right"/>
                    <w:rPr>
                      <w:rFonts w:ascii="Times New Roman" w:hAnsi="Times New Roman" w:cs="Times New Roman"/>
                      <w:sz w:val="24"/>
                      <w:szCs w:val="24"/>
                    </w:rPr>
                  </w:pPr>
                  <w:r>
                    <w:rPr>
                      <w:rFonts w:ascii="Times New Roman" w:hAnsi="Times New Roman" w:cs="Times New Roman"/>
                      <w:sz w:val="24"/>
                      <w:szCs w:val="24"/>
                    </w:rPr>
                    <w:t>0</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Avista</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PP&amp;L</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NWNG</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CNGC</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B5A2D" w:rsidTr="006938FE">
              <w:tc>
                <w:tcPr>
                  <w:tcW w:w="1381" w:type="dxa"/>
                </w:tcPr>
                <w:p w:rsidR="00CB5A2D" w:rsidRDefault="00CB5A2D" w:rsidP="00132458">
                  <w:pPr>
                    <w:rPr>
                      <w:rFonts w:ascii="Times New Roman" w:hAnsi="Times New Roman" w:cs="Times New Roman"/>
                      <w:sz w:val="24"/>
                      <w:szCs w:val="24"/>
                    </w:rPr>
                  </w:pPr>
                </w:p>
              </w:tc>
              <w:tc>
                <w:tcPr>
                  <w:tcW w:w="7797" w:type="dxa"/>
                  <w:gridSpan w:val="4"/>
                </w:tcPr>
                <w:p w:rsidR="00CB5A2D" w:rsidRDefault="00CB5A2D" w:rsidP="00132458">
                  <w:pPr>
                    <w:rPr>
                      <w:rFonts w:ascii="Times New Roman" w:hAnsi="Times New Roman" w:cs="Times New Roman"/>
                      <w:sz w:val="24"/>
                      <w:szCs w:val="24"/>
                    </w:rPr>
                  </w:pPr>
                  <w:r w:rsidRPr="00CE37DD">
                    <w:rPr>
                      <w:rFonts w:ascii="Times New Roman" w:hAnsi="Times New Roman" w:cs="Times New Roman"/>
                      <w:b/>
                      <w:sz w:val="24"/>
                      <w:szCs w:val="24"/>
                    </w:rPr>
                    <w:t>Greater than 24 months)</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PSE</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33</w:t>
                  </w:r>
                </w:p>
              </w:tc>
              <w:tc>
                <w:tcPr>
                  <w:tcW w:w="2160"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90</w:t>
                  </w:r>
                </w:p>
              </w:tc>
              <w:tc>
                <w:tcPr>
                  <w:tcW w:w="2379" w:type="dxa"/>
                </w:tcPr>
                <w:p w:rsidR="00CE37DD" w:rsidRDefault="00CE37DD" w:rsidP="00132458">
                  <w:pPr>
                    <w:jc w:val="right"/>
                    <w:rPr>
                      <w:rFonts w:ascii="Times New Roman" w:hAnsi="Times New Roman" w:cs="Times New Roman"/>
                      <w:sz w:val="24"/>
                      <w:szCs w:val="24"/>
                    </w:rPr>
                  </w:pPr>
                  <w:r>
                    <w:rPr>
                      <w:rFonts w:ascii="Times New Roman" w:hAnsi="Times New Roman" w:cs="Times New Roman"/>
                      <w:sz w:val="24"/>
                      <w:szCs w:val="24"/>
                    </w:rPr>
                    <w:t>8</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Avista</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lastRenderedPageBreak/>
                    <w:t>PP&amp;L</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0</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NWNG</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r w:rsidR="00CE37DD" w:rsidTr="00CE37DD">
              <w:tc>
                <w:tcPr>
                  <w:tcW w:w="1381" w:type="dxa"/>
                </w:tcPr>
                <w:p w:rsidR="00CE37DD" w:rsidRDefault="00CE37DD" w:rsidP="00132458">
                  <w:pPr>
                    <w:rPr>
                      <w:rFonts w:ascii="Times New Roman" w:hAnsi="Times New Roman" w:cs="Times New Roman"/>
                      <w:sz w:val="24"/>
                      <w:szCs w:val="24"/>
                    </w:rPr>
                  </w:pPr>
                  <w:r>
                    <w:rPr>
                      <w:rFonts w:ascii="Times New Roman" w:hAnsi="Times New Roman" w:cs="Times New Roman"/>
                      <w:sz w:val="24"/>
                      <w:szCs w:val="24"/>
                    </w:rPr>
                    <w:t>CNGC</w:t>
                  </w:r>
                </w:p>
              </w:tc>
              <w:tc>
                <w:tcPr>
                  <w:tcW w:w="1348" w:type="dxa"/>
                </w:tcPr>
                <w:p w:rsidR="00CE37DD" w:rsidRDefault="00CE37DD" w:rsidP="00132458">
                  <w:pPr>
                    <w:rPr>
                      <w:rFonts w:ascii="Times New Roman" w:hAnsi="Times New Roman" w:cs="Times New Roman"/>
                      <w:sz w:val="24"/>
                      <w:szCs w:val="24"/>
                    </w:rPr>
                  </w:pPr>
                </w:p>
              </w:tc>
              <w:tc>
                <w:tcPr>
                  <w:tcW w:w="191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160"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c>
                <w:tcPr>
                  <w:tcW w:w="2379" w:type="dxa"/>
                </w:tcPr>
                <w:p w:rsidR="00CE37DD" w:rsidRDefault="00603C4F" w:rsidP="00603C4F">
                  <w:pPr>
                    <w:jc w:val="right"/>
                    <w:rPr>
                      <w:rFonts w:ascii="Times New Roman" w:hAnsi="Times New Roman" w:cs="Times New Roman"/>
                      <w:sz w:val="24"/>
                      <w:szCs w:val="24"/>
                    </w:rPr>
                  </w:pPr>
                  <w:r>
                    <w:rPr>
                      <w:rFonts w:ascii="Times New Roman" w:hAnsi="Times New Roman" w:cs="Times New Roman"/>
                      <w:sz w:val="24"/>
                      <w:szCs w:val="24"/>
                    </w:rPr>
                    <w:t>UNK</w:t>
                  </w:r>
                </w:p>
              </w:tc>
            </w:tr>
          </w:tbl>
          <w:p w:rsidR="00246113" w:rsidRPr="00255536" w:rsidRDefault="00246113" w:rsidP="00132458">
            <w:pPr>
              <w:rPr>
                <w:rFonts w:ascii="Times New Roman" w:hAnsi="Times New Roman" w:cs="Times New Roman"/>
                <w:sz w:val="24"/>
                <w:szCs w:val="24"/>
              </w:rPr>
            </w:pPr>
          </w:p>
        </w:tc>
        <w:tc>
          <w:tcPr>
            <w:tcW w:w="4675" w:type="dxa"/>
          </w:tcPr>
          <w:p w:rsidR="00DD4986" w:rsidRDefault="00DD4986" w:rsidP="00132458">
            <w:pPr>
              <w:rPr>
                <w:rFonts w:ascii="Times New Roman" w:hAnsi="Times New Roman" w:cs="Times New Roman"/>
                <w:sz w:val="24"/>
                <w:szCs w:val="24"/>
              </w:rPr>
            </w:pPr>
            <w:r>
              <w:rPr>
                <w:rFonts w:ascii="Times New Roman" w:hAnsi="Times New Roman" w:cs="Times New Roman"/>
                <w:sz w:val="24"/>
                <w:szCs w:val="24"/>
              </w:rPr>
              <w:lastRenderedPageBreak/>
              <w:t>Percentage of retroactive bills by company that are less than or equal to 6 months.</w:t>
            </w:r>
          </w:p>
          <w:p w:rsidR="00246113" w:rsidRDefault="00246113" w:rsidP="00132458">
            <w:pPr>
              <w:rPr>
                <w:rFonts w:ascii="Times New Roman" w:hAnsi="Times New Roman" w:cs="Times New Roman"/>
                <w:sz w:val="24"/>
                <w:szCs w:val="24"/>
              </w:rPr>
            </w:pPr>
          </w:p>
          <w:p w:rsidR="00DD4986" w:rsidRDefault="00DD4986" w:rsidP="00132458">
            <w:pPr>
              <w:rPr>
                <w:rFonts w:ascii="Times New Roman" w:hAnsi="Times New Roman" w:cs="Times New Roman"/>
                <w:sz w:val="24"/>
                <w:szCs w:val="24"/>
              </w:rPr>
            </w:pPr>
            <w:r>
              <w:rPr>
                <w:rFonts w:ascii="Times New Roman" w:hAnsi="Times New Roman" w:cs="Times New Roman"/>
                <w:sz w:val="24"/>
                <w:szCs w:val="24"/>
              </w:rPr>
              <w:t>PSE: 92 – 95 percent</w:t>
            </w:r>
          </w:p>
          <w:p w:rsidR="00DD4986" w:rsidRDefault="00DD4986" w:rsidP="00132458">
            <w:pPr>
              <w:rPr>
                <w:rFonts w:ascii="Times New Roman" w:hAnsi="Times New Roman" w:cs="Times New Roman"/>
                <w:sz w:val="24"/>
                <w:szCs w:val="24"/>
              </w:rPr>
            </w:pPr>
            <w:r>
              <w:rPr>
                <w:rFonts w:ascii="Times New Roman" w:hAnsi="Times New Roman" w:cs="Times New Roman"/>
                <w:sz w:val="24"/>
                <w:szCs w:val="24"/>
              </w:rPr>
              <w:t>Avista: 99.8 – 99.9 percent</w:t>
            </w:r>
          </w:p>
          <w:p w:rsidR="00DD4986" w:rsidRDefault="00DD4986" w:rsidP="00132458">
            <w:pPr>
              <w:rPr>
                <w:rFonts w:ascii="Times New Roman" w:hAnsi="Times New Roman" w:cs="Times New Roman"/>
                <w:sz w:val="24"/>
                <w:szCs w:val="24"/>
              </w:rPr>
            </w:pPr>
            <w:r>
              <w:rPr>
                <w:rFonts w:ascii="Times New Roman" w:hAnsi="Times New Roman" w:cs="Times New Roman"/>
                <w:sz w:val="24"/>
                <w:szCs w:val="24"/>
              </w:rPr>
              <w:t>PP&amp;L: 98 – 99 percent</w:t>
            </w:r>
          </w:p>
          <w:p w:rsidR="003016DD" w:rsidRDefault="003016DD" w:rsidP="00132458">
            <w:pPr>
              <w:rPr>
                <w:rFonts w:ascii="Times New Roman" w:hAnsi="Times New Roman" w:cs="Times New Roman"/>
                <w:sz w:val="24"/>
                <w:szCs w:val="24"/>
              </w:rPr>
            </w:pPr>
            <w:r>
              <w:rPr>
                <w:rFonts w:ascii="Times New Roman" w:hAnsi="Times New Roman" w:cs="Times New Roman"/>
                <w:sz w:val="24"/>
                <w:szCs w:val="24"/>
              </w:rPr>
              <w:t>NW Natural: Does not track</w:t>
            </w:r>
          </w:p>
          <w:p w:rsidR="00DD4986" w:rsidRDefault="00DD4986" w:rsidP="00132458">
            <w:pPr>
              <w:rPr>
                <w:rFonts w:ascii="Times New Roman" w:hAnsi="Times New Roman" w:cs="Times New Roman"/>
                <w:sz w:val="24"/>
                <w:szCs w:val="24"/>
              </w:rPr>
            </w:pPr>
          </w:p>
          <w:p w:rsidR="00DD4986" w:rsidRDefault="00DD4986" w:rsidP="00132458">
            <w:pPr>
              <w:rPr>
                <w:rFonts w:ascii="Times New Roman" w:hAnsi="Times New Roman" w:cs="Times New Roman"/>
                <w:sz w:val="24"/>
                <w:szCs w:val="24"/>
              </w:rPr>
            </w:pPr>
          </w:p>
          <w:p w:rsidR="003016DD" w:rsidRDefault="003016DD" w:rsidP="00132458">
            <w:pPr>
              <w:rPr>
                <w:rFonts w:ascii="Times New Roman" w:hAnsi="Times New Roman" w:cs="Times New Roman"/>
                <w:sz w:val="24"/>
                <w:szCs w:val="24"/>
              </w:rPr>
            </w:pPr>
            <w:r>
              <w:rPr>
                <w:rFonts w:ascii="Times New Roman" w:hAnsi="Times New Roman" w:cs="Times New Roman"/>
                <w:sz w:val="24"/>
                <w:szCs w:val="24"/>
              </w:rPr>
              <w:t>Percentage of retroactive bills by company that exceed 12 months.</w:t>
            </w:r>
          </w:p>
          <w:p w:rsidR="003016DD" w:rsidRDefault="003016DD" w:rsidP="00132458">
            <w:pPr>
              <w:rPr>
                <w:rFonts w:ascii="Times New Roman" w:hAnsi="Times New Roman" w:cs="Times New Roman"/>
                <w:sz w:val="24"/>
                <w:szCs w:val="24"/>
              </w:rPr>
            </w:pPr>
          </w:p>
          <w:p w:rsidR="003016DD" w:rsidRDefault="003016DD" w:rsidP="00132458">
            <w:pPr>
              <w:rPr>
                <w:rFonts w:ascii="Times New Roman" w:hAnsi="Times New Roman" w:cs="Times New Roman"/>
                <w:sz w:val="24"/>
                <w:szCs w:val="24"/>
              </w:rPr>
            </w:pPr>
            <w:r>
              <w:rPr>
                <w:rFonts w:ascii="Times New Roman" w:hAnsi="Times New Roman" w:cs="Times New Roman"/>
                <w:sz w:val="24"/>
                <w:szCs w:val="24"/>
              </w:rPr>
              <w:t>PSE: .01 - .4 percent</w:t>
            </w:r>
          </w:p>
          <w:p w:rsidR="003016DD" w:rsidRDefault="003016DD" w:rsidP="00132458">
            <w:pPr>
              <w:rPr>
                <w:rFonts w:ascii="Times New Roman" w:hAnsi="Times New Roman" w:cs="Times New Roman"/>
                <w:sz w:val="24"/>
                <w:szCs w:val="24"/>
              </w:rPr>
            </w:pPr>
            <w:r>
              <w:rPr>
                <w:rFonts w:ascii="Times New Roman" w:hAnsi="Times New Roman" w:cs="Times New Roman"/>
                <w:sz w:val="24"/>
                <w:szCs w:val="24"/>
              </w:rPr>
              <w:t>Avista: 0 percent</w:t>
            </w:r>
          </w:p>
          <w:p w:rsidR="003016DD" w:rsidRDefault="003016DD" w:rsidP="00132458">
            <w:pPr>
              <w:rPr>
                <w:rFonts w:ascii="Times New Roman" w:hAnsi="Times New Roman" w:cs="Times New Roman"/>
                <w:sz w:val="24"/>
                <w:szCs w:val="24"/>
              </w:rPr>
            </w:pPr>
            <w:r>
              <w:rPr>
                <w:rFonts w:ascii="Times New Roman" w:hAnsi="Times New Roman" w:cs="Times New Roman"/>
                <w:sz w:val="24"/>
                <w:szCs w:val="24"/>
              </w:rPr>
              <w:t>PP&amp;L: 0 percent</w:t>
            </w:r>
          </w:p>
          <w:p w:rsidR="003016DD" w:rsidRDefault="003016DD" w:rsidP="00132458">
            <w:pPr>
              <w:rPr>
                <w:rFonts w:ascii="Times New Roman" w:hAnsi="Times New Roman" w:cs="Times New Roman"/>
                <w:sz w:val="24"/>
                <w:szCs w:val="24"/>
              </w:rPr>
            </w:pPr>
            <w:r>
              <w:rPr>
                <w:rFonts w:ascii="Times New Roman" w:hAnsi="Times New Roman" w:cs="Times New Roman"/>
                <w:sz w:val="24"/>
                <w:szCs w:val="24"/>
              </w:rPr>
              <w:t>NW Natural: Does not track</w:t>
            </w:r>
          </w:p>
          <w:p w:rsidR="00DD4986" w:rsidRDefault="00DD4986" w:rsidP="00132458">
            <w:pPr>
              <w:rPr>
                <w:rFonts w:ascii="Times New Roman" w:hAnsi="Times New Roman" w:cs="Times New Roman"/>
                <w:sz w:val="24"/>
                <w:szCs w:val="24"/>
              </w:rPr>
            </w:pPr>
          </w:p>
        </w:tc>
      </w:tr>
      <w:tr w:rsidR="00D17816" w:rsidTr="00132458">
        <w:tc>
          <w:tcPr>
            <w:tcW w:w="4675" w:type="dxa"/>
            <w:vMerge w:val="restart"/>
          </w:tcPr>
          <w:p w:rsidR="00D17816" w:rsidRPr="003C6486" w:rsidRDefault="00D17816" w:rsidP="00132458">
            <w:pPr>
              <w:pStyle w:val="ListParagraph"/>
              <w:numPr>
                <w:ilvl w:val="0"/>
                <w:numId w:val="4"/>
              </w:num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lastRenderedPageBreak/>
              <w:t>What is the company’s policy regarding bill settlement for metering errors</w:t>
            </w:r>
          </w:p>
        </w:tc>
        <w:tc>
          <w:tcPr>
            <w:tcW w:w="3420" w:type="dxa"/>
          </w:tcPr>
          <w:p w:rsidR="00D17816" w:rsidRPr="00C51232" w:rsidRDefault="00D17816" w:rsidP="00132458">
            <w:pPr>
              <w:rPr>
                <w:rFonts w:ascii="Times New Roman" w:hAnsi="Times New Roman" w:cs="Times New Roman"/>
                <w:sz w:val="24"/>
                <w:szCs w:val="24"/>
              </w:rPr>
            </w:pPr>
            <w:r>
              <w:rPr>
                <w:rFonts w:ascii="Times New Roman" w:hAnsi="Times New Roman" w:cs="Times New Roman"/>
                <w:sz w:val="24"/>
                <w:szCs w:val="24"/>
              </w:rPr>
              <w:t>PSE</w:t>
            </w:r>
          </w:p>
        </w:tc>
        <w:tc>
          <w:tcPr>
            <w:tcW w:w="594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PSE works with individual customers to settle bill estimation issues related to billing disputes. PSE takes the usage related information provided by the customer along with PSE’s estimated usage and available actual usage into account in order to determine the revised estimated meter reads.</w:t>
            </w:r>
          </w:p>
          <w:p w:rsidR="00CB5A2D" w:rsidRPr="00C51232" w:rsidRDefault="00CB5A2D" w:rsidP="00132458">
            <w:pPr>
              <w:rPr>
                <w:rFonts w:ascii="Times New Roman" w:hAnsi="Times New Roman" w:cs="Times New Roman"/>
                <w:sz w:val="24"/>
                <w:szCs w:val="24"/>
              </w:rPr>
            </w:pPr>
          </w:p>
        </w:tc>
        <w:tc>
          <w:tcPr>
            <w:tcW w:w="4675" w:type="dxa"/>
            <w:vMerge w:val="restart"/>
          </w:tcPr>
          <w:p w:rsidR="00D17816" w:rsidRDefault="00D17816" w:rsidP="00132458">
            <w:pPr>
              <w:rPr>
                <w:rFonts w:ascii="Times New Roman" w:hAnsi="Times New Roman" w:cs="Times New Roman"/>
                <w:sz w:val="24"/>
                <w:szCs w:val="24"/>
              </w:rPr>
            </w:pPr>
          </w:p>
        </w:tc>
      </w:tr>
      <w:tr w:rsidR="00D17816" w:rsidTr="00132458">
        <w:trPr>
          <w:trHeight w:val="368"/>
        </w:trPr>
        <w:tc>
          <w:tcPr>
            <w:tcW w:w="4675" w:type="dxa"/>
            <w:vMerge/>
          </w:tcPr>
          <w:p w:rsidR="00D17816" w:rsidRPr="0026387A" w:rsidRDefault="00D17816" w:rsidP="00132458">
            <w:pPr>
              <w:numPr>
                <w:ilvl w:val="0"/>
                <w:numId w:val="1"/>
              </w:numPr>
              <w:spacing w:line="264" w:lineRule="auto"/>
              <w:rPr>
                <w:rFonts w:ascii="Times New Roman" w:eastAsia="Calibri" w:hAnsi="Times New Roman" w:cs="Times New Roman"/>
                <w:sz w:val="25"/>
                <w:szCs w:val="25"/>
              </w:rPr>
            </w:pPr>
          </w:p>
        </w:tc>
        <w:tc>
          <w:tcPr>
            <w:tcW w:w="342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Avista</w:t>
            </w:r>
          </w:p>
        </w:tc>
        <w:tc>
          <w:tcPr>
            <w:tcW w:w="594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There are currently no specific timelines specified in Washington rules. Avista follows the Idaho guidelines which states that a utility may rebill for a period of six (6) months unless a reasonable person should have known of the inaccurate billing, in which case the rebilling may be extended for a period not to exceed three (3) years. Utilities shall implement procedures designed to monitor and identify customers who have not been billed or who have been inaccurately billed.</w:t>
            </w:r>
          </w:p>
          <w:p w:rsidR="00CB5A2D" w:rsidRDefault="00CB5A2D" w:rsidP="00132458">
            <w:pPr>
              <w:rPr>
                <w:rFonts w:ascii="Times New Roman" w:hAnsi="Times New Roman" w:cs="Times New Roman"/>
                <w:sz w:val="24"/>
                <w:szCs w:val="24"/>
              </w:rPr>
            </w:pPr>
          </w:p>
        </w:tc>
        <w:tc>
          <w:tcPr>
            <w:tcW w:w="4675" w:type="dxa"/>
            <w:vMerge/>
          </w:tcPr>
          <w:p w:rsidR="00D17816" w:rsidRDefault="00D17816" w:rsidP="00132458">
            <w:pPr>
              <w:rPr>
                <w:rFonts w:ascii="Times New Roman" w:hAnsi="Times New Roman" w:cs="Times New Roman"/>
                <w:sz w:val="24"/>
                <w:szCs w:val="24"/>
              </w:rPr>
            </w:pPr>
          </w:p>
        </w:tc>
      </w:tr>
      <w:tr w:rsidR="00221876" w:rsidTr="00132458">
        <w:trPr>
          <w:trHeight w:val="70"/>
        </w:trPr>
        <w:tc>
          <w:tcPr>
            <w:tcW w:w="4675" w:type="dxa"/>
            <w:vMerge/>
          </w:tcPr>
          <w:p w:rsidR="00221876" w:rsidRPr="00136936" w:rsidRDefault="00221876" w:rsidP="00132458">
            <w:pPr>
              <w:numPr>
                <w:ilvl w:val="0"/>
                <w:numId w:val="1"/>
              </w:numPr>
              <w:spacing w:line="264" w:lineRule="auto"/>
              <w:rPr>
                <w:rFonts w:ascii="Times New Roman" w:eastAsia="Calibri" w:hAnsi="Times New Roman" w:cs="Times New Roman"/>
                <w:sz w:val="25"/>
                <w:szCs w:val="25"/>
              </w:rPr>
            </w:pPr>
          </w:p>
        </w:tc>
        <w:tc>
          <w:tcPr>
            <w:tcW w:w="3420" w:type="dxa"/>
          </w:tcPr>
          <w:p w:rsidR="00221876" w:rsidRDefault="00221876" w:rsidP="00132458">
            <w:pPr>
              <w:rPr>
                <w:rFonts w:ascii="Times New Roman" w:hAnsi="Times New Roman" w:cs="Times New Roman"/>
                <w:sz w:val="24"/>
                <w:szCs w:val="24"/>
              </w:rPr>
            </w:pPr>
            <w:r>
              <w:rPr>
                <w:rFonts w:ascii="Times New Roman" w:hAnsi="Times New Roman" w:cs="Times New Roman"/>
                <w:sz w:val="24"/>
                <w:szCs w:val="24"/>
              </w:rPr>
              <w:t>Cascade Natural Gas</w:t>
            </w:r>
          </w:p>
        </w:tc>
        <w:tc>
          <w:tcPr>
            <w:tcW w:w="5940" w:type="dxa"/>
          </w:tcPr>
          <w:p w:rsidR="00221876" w:rsidRDefault="00221876" w:rsidP="00132458">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company’s practice is to comply with WAC 480-90-183 which states the utility must “adjust the bills to the customer based on the best information available to determine the appropriate charges.” </w:t>
            </w:r>
          </w:p>
          <w:p w:rsidR="00221876" w:rsidRDefault="00221876" w:rsidP="00132458">
            <w:pPr>
              <w:rPr>
                <w:rFonts w:ascii="Times New Roman" w:eastAsia="Calibri" w:hAnsi="Times New Roman" w:cs="Times New Roman"/>
                <w:sz w:val="24"/>
                <w:szCs w:val="24"/>
              </w:rPr>
            </w:pPr>
          </w:p>
          <w:p w:rsidR="00221876" w:rsidRDefault="00221876" w:rsidP="00132458">
            <w:pPr>
              <w:rPr>
                <w:rFonts w:ascii="Times New Roman" w:eastAsia="Calibri" w:hAnsi="Times New Roman" w:cs="Times New Roman"/>
                <w:sz w:val="24"/>
                <w:szCs w:val="24"/>
              </w:rPr>
            </w:pPr>
            <w:r>
              <w:rPr>
                <w:rFonts w:ascii="Times New Roman" w:eastAsia="Calibri" w:hAnsi="Times New Roman" w:cs="Times New Roman"/>
                <w:sz w:val="24"/>
                <w:szCs w:val="24"/>
              </w:rPr>
              <w:t>The company’s practice for settling billing errors related to unidentified usage is established in Rule 6 of its tariff: “In the case of tampering or unauthorized use, probable consumption will be billed as determined by the maximum quantity of gas estimated to have been consumed by the various appliances of customer and a bill will be rendered for a period encompassing six (6) months prior to the detection of such abuse and/or disconnection for cause.</w:t>
            </w:r>
          </w:p>
        </w:tc>
        <w:tc>
          <w:tcPr>
            <w:tcW w:w="4675" w:type="dxa"/>
            <w:vMerge/>
          </w:tcPr>
          <w:p w:rsidR="00221876" w:rsidRDefault="00221876" w:rsidP="00132458">
            <w:pPr>
              <w:rPr>
                <w:rFonts w:ascii="Times New Roman" w:hAnsi="Times New Roman" w:cs="Times New Roman"/>
                <w:sz w:val="24"/>
                <w:szCs w:val="24"/>
              </w:rPr>
            </w:pPr>
          </w:p>
        </w:tc>
      </w:tr>
      <w:tr w:rsidR="00D17816" w:rsidTr="00132458">
        <w:trPr>
          <w:trHeight w:val="70"/>
        </w:trPr>
        <w:tc>
          <w:tcPr>
            <w:tcW w:w="4675" w:type="dxa"/>
            <w:vMerge/>
          </w:tcPr>
          <w:p w:rsidR="00D17816" w:rsidRPr="00136936" w:rsidRDefault="00D17816" w:rsidP="00132458">
            <w:pPr>
              <w:numPr>
                <w:ilvl w:val="0"/>
                <w:numId w:val="1"/>
              </w:numPr>
              <w:spacing w:line="264" w:lineRule="auto"/>
              <w:rPr>
                <w:rFonts w:ascii="Times New Roman" w:eastAsia="Calibri" w:hAnsi="Times New Roman" w:cs="Times New Roman"/>
                <w:sz w:val="25"/>
                <w:szCs w:val="25"/>
              </w:rPr>
            </w:pPr>
          </w:p>
        </w:tc>
        <w:tc>
          <w:tcPr>
            <w:tcW w:w="342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PP&amp;L</w:t>
            </w:r>
          </w:p>
        </w:tc>
        <w:tc>
          <w:tcPr>
            <w:tcW w:w="5940" w:type="dxa"/>
          </w:tcPr>
          <w:p w:rsidR="00D17816" w:rsidRDefault="00D17816" w:rsidP="00132458">
            <w:pPr>
              <w:rPr>
                <w:rFonts w:ascii="Times New Roman" w:eastAsia="Calibri" w:hAnsi="Times New Roman" w:cs="Times New Roman"/>
                <w:sz w:val="24"/>
                <w:szCs w:val="24"/>
              </w:rPr>
            </w:pPr>
            <w:r>
              <w:rPr>
                <w:rFonts w:ascii="Times New Roman" w:eastAsia="Calibri" w:hAnsi="Times New Roman" w:cs="Times New Roman"/>
                <w:sz w:val="24"/>
                <w:szCs w:val="24"/>
              </w:rPr>
              <w:t>Adjustments for billing errors will not exceed six months unless the company can identify the cause of the error and the date the error occurred. However, in no case would the company adjust the billing for more than three years.</w:t>
            </w:r>
          </w:p>
          <w:p w:rsidR="00D17816" w:rsidRPr="00A617BD" w:rsidRDefault="00D17816" w:rsidP="00132458">
            <w:pPr>
              <w:rPr>
                <w:rFonts w:ascii="Times New Roman" w:hAnsi="Times New Roman" w:cs="Times New Roman"/>
                <w:sz w:val="24"/>
                <w:szCs w:val="24"/>
              </w:rPr>
            </w:pPr>
          </w:p>
        </w:tc>
        <w:tc>
          <w:tcPr>
            <w:tcW w:w="4675" w:type="dxa"/>
            <w:vMerge/>
          </w:tcPr>
          <w:p w:rsidR="00D17816" w:rsidRDefault="00D17816" w:rsidP="00132458">
            <w:pPr>
              <w:rPr>
                <w:rFonts w:ascii="Times New Roman" w:hAnsi="Times New Roman" w:cs="Times New Roman"/>
                <w:sz w:val="24"/>
                <w:szCs w:val="24"/>
              </w:rPr>
            </w:pPr>
          </w:p>
        </w:tc>
      </w:tr>
      <w:tr w:rsidR="00D17816" w:rsidTr="00132458">
        <w:tc>
          <w:tcPr>
            <w:tcW w:w="4675" w:type="dxa"/>
            <w:vMerge/>
          </w:tcPr>
          <w:p w:rsidR="00D17816" w:rsidRPr="0026387A" w:rsidRDefault="00D17816" w:rsidP="00132458">
            <w:pPr>
              <w:spacing w:line="264" w:lineRule="auto"/>
              <w:ind w:left="720"/>
              <w:rPr>
                <w:rFonts w:ascii="Times New Roman" w:eastAsia="Calibri" w:hAnsi="Times New Roman" w:cs="Times New Roman"/>
                <w:sz w:val="25"/>
                <w:szCs w:val="25"/>
              </w:rPr>
            </w:pPr>
          </w:p>
        </w:tc>
        <w:tc>
          <w:tcPr>
            <w:tcW w:w="342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NW Natural</w:t>
            </w:r>
          </w:p>
        </w:tc>
        <w:tc>
          <w:tcPr>
            <w:tcW w:w="594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Company will correct for metering errors back to the date that the error is determined to have first occurred, but for not more than one year of adjustment. If the date the meter error first occurred is not known, corrected bills will be issued for up to six months. The company may waive a bill correction for good cause.</w:t>
            </w:r>
          </w:p>
          <w:p w:rsidR="00CB5A2D" w:rsidRDefault="00CB5A2D" w:rsidP="00132458">
            <w:pPr>
              <w:rPr>
                <w:rFonts w:ascii="Times New Roman" w:hAnsi="Times New Roman" w:cs="Times New Roman"/>
                <w:sz w:val="24"/>
                <w:szCs w:val="24"/>
              </w:rPr>
            </w:pPr>
          </w:p>
        </w:tc>
        <w:tc>
          <w:tcPr>
            <w:tcW w:w="4675" w:type="dxa"/>
            <w:vMerge/>
          </w:tcPr>
          <w:p w:rsidR="00D17816" w:rsidRDefault="00D17816" w:rsidP="00132458">
            <w:pPr>
              <w:rPr>
                <w:rFonts w:ascii="Times New Roman" w:hAnsi="Times New Roman" w:cs="Times New Roman"/>
                <w:sz w:val="24"/>
                <w:szCs w:val="24"/>
              </w:rPr>
            </w:pPr>
          </w:p>
        </w:tc>
      </w:tr>
      <w:tr w:rsidR="00896E8D" w:rsidTr="00132458">
        <w:tc>
          <w:tcPr>
            <w:tcW w:w="4675" w:type="dxa"/>
            <w:vMerge w:val="restart"/>
          </w:tcPr>
          <w:p w:rsidR="00896E8D" w:rsidRPr="00453451" w:rsidRDefault="00896E8D" w:rsidP="00C55179">
            <w:pPr>
              <w:pStyle w:val="ListParagraph"/>
              <w:spacing w:line="264" w:lineRule="auto"/>
              <w:ind w:left="1080"/>
              <w:rPr>
                <w:rFonts w:ascii="Times New Roman" w:eastAsia="Calibri" w:hAnsi="Times New Roman" w:cs="Times New Roman"/>
                <w:sz w:val="25"/>
                <w:szCs w:val="25"/>
              </w:rPr>
            </w:pPr>
          </w:p>
        </w:tc>
        <w:tc>
          <w:tcPr>
            <w:tcW w:w="3420" w:type="dxa"/>
          </w:tcPr>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PSE</w:t>
            </w:r>
          </w:p>
        </w:tc>
        <w:tc>
          <w:tcPr>
            <w:tcW w:w="5940" w:type="dxa"/>
          </w:tcPr>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Natural Gas</w:t>
            </w:r>
          </w:p>
          <w:p w:rsidR="00896E8D" w:rsidRDefault="00896E8D" w:rsidP="0013245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letter is sent to the occupant of the location if the cumulated usage reaches 86 CCFs or if the unassigned energy usage has been detected for 270 days but the 86 CCF usage threshold is not reached.</w:t>
            </w:r>
          </w:p>
          <w:p w:rsidR="00896E8D" w:rsidRDefault="00896E8D" w:rsidP="0013245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service notification is generated if the cumulated usage reaches 100 CCFs or it has been 45 days since the letter was sent (with no customer response) or it has been 300 days since the initial detection if the 100-CCF usage threshold has not been reached.</w:t>
            </w:r>
          </w:p>
          <w:p w:rsidR="00896E8D" w:rsidRDefault="00896E8D" w:rsidP="00132458">
            <w:pPr>
              <w:rPr>
                <w:rFonts w:ascii="Times New Roman" w:hAnsi="Times New Roman" w:cs="Times New Roman"/>
                <w:sz w:val="24"/>
                <w:szCs w:val="24"/>
              </w:rPr>
            </w:pPr>
          </w:p>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Electric</w:t>
            </w:r>
          </w:p>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Residential</w:t>
            </w:r>
          </w:p>
          <w:p w:rsidR="00896E8D" w:rsidRDefault="00896E8D" w:rsidP="0013245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letter is sent to the occupant of the location if the cumulated usage reaches 425 KHW or if the unassigned energy usage has been detected for 270 days but the 425 KWH usage threshold has not been reached.</w:t>
            </w:r>
          </w:p>
          <w:p w:rsidR="00896E8D" w:rsidRDefault="00896E8D" w:rsidP="0013245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 service notification is created if the cumulated usage reaches 800 KWH or it has been 45 days since the letter was sent (with no customer </w:t>
            </w:r>
            <w:r>
              <w:rPr>
                <w:rFonts w:ascii="Times New Roman" w:hAnsi="Times New Roman" w:cs="Times New Roman"/>
                <w:sz w:val="24"/>
                <w:szCs w:val="24"/>
              </w:rPr>
              <w:lastRenderedPageBreak/>
              <w:t>response) or it has been 300 days from initial detection but the 800-KWH usage threshold has not been reached.</w:t>
            </w:r>
          </w:p>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Commercial/industrial customers</w:t>
            </w:r>
          </w:p>
          <w:p w:rsidR="00896E8D" w:rsidRDefault="00896E8D" w:rsidP="0013245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letter is created if the cumulated usage reaches 6,000 KWH or it has been 270 days since the initial detection but the 6,000 KWH usage threshold has not been reached.</w:t>
            </w:r>
          </w:p>
          <w:p w:rsidR="00896E8D" w:rsidRPr="00986671" w:rsidRDefault="00896E8D" w:rsidP="0013245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service notification is created if the cumulated usage is more than 7,150 KWH or it has been 45 days since the letter was sent (and no customer response has been received) or it has been 300 days since the initial detection but the 7,150 KWH usage threshold has not been reached.</w:t>
            </w:r>
          </w:p>
        </w:tc>
        <w:tc>
          <w:tcPr>
            <w:tcW w:w="4675" w:type="dxa"/>
            <w:vMerge w:val="restart"/>
          </w:tcPr>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lastRenderedPageBreak/>
              <w:t>Thresholds vary widely between companies.</w:t>
            </w:r>
            <w:r w:rsidR="00D17816">
              <w:rPr>
                <w:rFonts w:ascii="Times New Roman" w:hAnsi="Times New Roman" w:cs="Times New Roman"/>
                <w:sz w:val="24"/>
                <w:szCs w:val="24"/>
              </w:rPr>
              <w:t xml:space="preserve"> There may be room for some improvement in efficiencies.</w:t>
            </w:r>
          </w:p>
          <w:p w:rsidR="00896E8D" w:rsidRDefault="00896E8D" w:rsidP="00132458">
            <w:pPr>
              <w:rPr>
                <w:rFonts w:ascii="Times New Roman" w:hAnsi="Times New Roman" w:cs="Times New Roman"/>
                <w:sz w:val="24"/>
                <w:szCs w:val="24"/>
              </w:rPr>
            </w:pPr>
          </w:p>
          <w:p w:rsidR="00F1793E" w:rsidRDefault="00F1793E" w:rsidP="00F1793E">
            <w:pPr>
              <w:rPr>
                <w:rFonts w:ascii="Times New Roman" w:hAnsi="Times New Roman" w:cs="Times New Roman"/>
                <w:sz w:val="24"/>
                <w:szCs w:val="24"/>
              </w:rPr>
            </w:pPr>
            <w:r>
              <w:rPr>
                <w:rFonts w:ascii="Times New Roman" w:hAnsi="Times New Roman" w:cs="Times New Roman"/>
                <w:sz w:val="24"/>
                <w:szCs w:val="24"/>
              </w:rPr>
              <w:t>Most stringent threshold criteria include:</w:t>
            </w:r>
          </w:p>
          <w:p w:rsidR="00F1793E" w:rsidRDefault="00F1793E" w:rsidP="00F1793E">
            <w:pPr>
              <w:rPr>
                <w:rFonts w:ascii="Times New Roman" w:hAnsi="Times New Roman" w:cs="Times New Roman"/>
                <w:sz w:val="24"/>
                <w:szCs w:val="24"/>
              </w:rPr>
            </w:pPr>
          </w:p>
          <w:p w:rsidR="00F1793E" w:rsidRPr="00C55179" w:rsidRDefault="00F1793E" w:rsidP="00C55179">
            <w:pPr>
              <w:rPr>
                <w:rFonts w:ascii="Times New Roman" w:hAnsi="Times New Roman" w:cs="Times New Roman"/>
                <w:b/>
                <w:sz w:val="24"/>
                <w:szCs w:val="24"/>
              </w:rPr>
            </w:pPr>
            <w:r w:rsidRPr="00C55179">
              <w:rPr>
                <w:rFonts w:ascii="Times New Roman" w:hAnsi="Times New Roman" w:cs="Times New Roman"/>
                <w:b/>
                <w:sz w:val="24"/>
                <w:szCs w:val="24"/>
              </w:rPr>
              <w:t>Electric</w:t>
            </w:r>
          </w:p>
          <w:p w:rsidR="00C55179" w:rsidRDefault="00C55179" w:rsidP="00C5517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Review daily usage report to determine if field personnel are required to investigate potential equipment failure and replacement of the meter if necessary.</w:t>
            </w:r>
          </w:p>
          <w:p w:rsidR="00F1793E" w:rsidRDefault="00F1793E" w:rsidP="00C5517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Manual review after two months of</w:t>
            </w:r>
          </w:p>
          <w:p w:rsidR="00F1793E" w:rsidRDefault="00F1793E" w:rsidP="00F1793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Zero usage for residential and non-residential service;</w:t>
            </w:r>
          </w:p>
          <w:p w:rsidR="00F1793E" w:rsidRDefault="00F1793E" w:rsidP="00F1793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25% fluctuation on nonresidential load;</w:t>
            </w:r>
          </w:p>
          <w:p w:rsidR="00F1793E" w:rsidRDefault="00F1793E" w:rsidP="00F1793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Zero usage on an occupied rental; or</w:t>
            </w:r>
          </w:p>
          <w:p w:rsidR="00F1793E" w:rsidRDefault="00F1793E" w:rsidP="00F1793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Zero consumption for more than 12 months on an irrigation service.</w:t>
            </w:r>
          </w:p>
          <w:p w:rsidR="00C55179" w:rsidRDefault="00C55179" w:rsidP="00C5517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Accounts with use on a meter and no open account (unidentified energy usage) should be disconnected if the use is more </w:t>
            </w:r>
            <w:r>
              <w:rPr>
                <w:rFonts w:ascii="Times New Roman" w:hAnsi="Times New Roman" w:cs="Times New Roman"/>
                <w:sz w:val="24"/>
                <w:szCs w:val="24"/>
              </w:rPr>
              <w:lastRenderedPageBreak/>
              <w:t>than 100 kWhs. Automated process is initiated which sends a series of two letters to the address requesting the resident to contact the company to set up service. If no response, the company will send a serviceman to disconnect service.</w:t>
            </w:r>
          </w:p>
          <w:p w:rsidR="00C55179" w:rsidRDefault="00C55179" w:rsidP="00C55179">
            <w:pPr>
              <w:rPr>
                <w:rFonts w:ascii="Times New Roman" w:hAnsi="Times New Roman" w:cs="Times New Roman"/>
                <w:sz w:val="24"/>
                <w:szCs w:val="24"/>
              </w:rPr>
            </w:pPr>
          </w:p>
          <w:p w:rsidR="00C55179" w:rsidRDefault="00C55179" w:rsidP="00C55179">
            <w:pPr>
              <w:rPr>
                <w:rFonts w:ascii="Times New Roman" w:hAnsi="Times New Roman" w:cs="Times New Roman"/>
                <w:b/>
                <w:sz w:val="24"/>
                <w:szCs w:val="24"/>
              </w:rPr>
            </w:pPr>
            <w:r w:rsidRPr="00C55179">
              <w:rPr>
                <w:rFonts w:ascii="Times New Roman" w:hAnsi="Times New Roman" w:cs="Times New Roman"/>
                <w:b/>
                <w:sz w:val="24"/>
                <w:szCs w:val="24"/>
              </w:rPr>
              <w:t>Natural Gas</w:t>
            </w:r>
          </w:p>
          <w:p w:rsidR="00C55179" w:rsidRPr="00C55179" w:rsidRDefault="00C55179" w:rsidP="00C55179">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 xml:space="preserve">A bill message is reflected on the bill after 3 months of zero usage. The bill message informs the customer to </w:t>
            </w:r>
            <w:proofErr w:type="spellStart"/>
            <w:r>
              <w:rPr>
                <w:rFonts w:ascii="Times New Roman" w:hAnsi="Times New Roman" w:cs="Times New Roman"/>
                <w:sz w:val="24"/>
                <w:szCs w:val="24"/>
              </w:rPr>
              <w:t>cal</w:t>
            </w:r>
            <w:proofErr w:type="spellEnd"/>
            <w:r>
              <w:rPr>
                <w:rFonts w:ascii="Times New Roman" w:hAnsi="Times New Roman" w:cs="Times New Roman"/>
                <w:sz w:val="24"/>
                <w:szCs w:val="24"/>
              </w:rPr>
              <w:t xml:space="preserve"> if they have been using their gas appliances as there may be a meter issue.</w:t>
            </w:r>
          </w:p>
          <w:p w:rsidR="00C924B4" w:rsidRDefault="00C924B4" w:rsidP="00C924B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Accounts with use on a meter and no open account (unidentified energy usage) should be disconnected if the use is more than 10 therms. Automated process is initiated which sends a series of two letters to the address requesting the resident to contact the company to set up service. If no response, the company will send a serviceman to disconnect service.</w:t>
            </w:r>
          </w:p>
          <w:p w:rsidR="00C924B4" w:rsidRDefault="00C924B4" w:rsidP="00C924B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Daily report for unidentified usage meters is generated and reviewed by the customer contact center department. This report is a list of accounts that are closed but where the meter is showing usage. A 5-day notice of disconnection is issued to the premise for each listed account. If no response is received, an order is dispatched to physically shut off the meter.</w:t>
            </w:r>
          </w:p>
          <w:p w:rsidR="00C924B4" w:rsidRDefault="00C924B4" w:rsidP="00C924B4">
            <w:pPr>
              <w:rPr>
                <w:rFonts w:ascii="Times New Roman" w:hAnsi="Times New Roman" w:cs="Times New Roman"/>
                <w:sz w:val="24"/>
                <w:szCs w:val="24"/>
              </w:rPr>
            </w:pPr>
          </w:p>
          <w:p w:rsidR="00C55179" w:rsidRDefault="00C55179" w:rsidP="00C924B4">
            <w:pPr>
              <w:pStyle w:val="ListParagraph"/>
              <w:ind w:left="360"/>
              <w:rPr>
                <w:rFonts w:ascii="Times New Roman" w:hAnsi="Times New Roman" w:cs="Times New Roman"/>
                <w:b/>
                <w:sz w:val="24"/>
                <w:szCs w:val="24"/>
              </w:rPr>
            </w:pPr>
          </w:p>
          <w:p w:rsidR="00D17816" w:rsidRPr="00C55179" w:rsidRDefault="00D17816" w:rsidP="00C924B4">
            <w:pPr>
              <w:pStyle w:val="ListParagraph"/>
              <w:ind w:left="360"/>
              <w:rPr>
                <w:rFonts w:ascii="Times New Roman" w:hAnsi="Times New Roman" w:cs="Times New Roman"/>
                <w:b/>
                <w:sz w:val="24"/>
                <w:szCs w:val="24"/>
              </w:rPr>
            </w:pPr>
          </w:p>
        </w:tc>
      </w:tr>
      <w:tr w:rsidR="00896E8D" w:rsidTr="00132458">
        <w:tc>
          <w:tcPr>
            <w:tcW w:w="4675" w:type="dxa"/>
            <w:vMerge/>
          </w:tcPr>
          <w:p w:rsidR="00896E8D" w:rsidRPr="0026387A" w:rsidRDefault="00896E8D" w:rsidP="00132458">
            <w:pPr>
              <w:spacing w:line="264" w:lineRule="auto"/>
              <w:ind w:left="720"/>
              <w:rPr>
                <w:rFonts w:ascii="Times New Roman" w:eastAsia="Calibri" w:hAnsi="Times New Roman" w:cs="Times New Roman"/>
                <w:sz w:val="25"/>
                <w:szCs w:val="25"/>
              </w:rPr>
            </w:pPr>
          </w:p>
        </w:tc>
        <w:tc>
          <w:tcPr>
            <w:tcW w:w="3420" w:type="dxa"/>
          </w:tcPr>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Avista</w:t>
            </w:r>
          </w:p>
        </w:tc>
        <w:tc>
          <w:tcPr>
            <w:tcW w:w="5940" w:type="dxa"/>
          </w:tcPr>
          <w:p w:rsidR="00896E8D" w:rsidRDefault="00896E8D" w:rsidP="0013245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Accounts with zero use will hit the commercial report after one month of no use and the residential after three months of no use.</w:t>
            </w:r>
          </w:p>
          <w:p w:rsidR="00896E8D" w:rsidRPr="00745E50" w:rsidRDefault="00896E8D" w:rsidP="0013245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Accounts with use on a meter and no open account (unidentified energy usage) should be disconnected if the use is more than 100 kWhs or 10 therms.</w:t>
            </w:r>
          </w:p>
        </w:tc>
        <w:tc>
          <w:tcPr>
            <w:tcW w:w="4675" w:type="dxa"/>
            <w:vMerge/>
          </w:tcPr>
          <w:p w:rsidR="00896E8D" w:rsidRDefault="00896E8D" w:rsidP="00132458">
            <w:pPr>
              <w:rPr>
                <w:rFonts w:ascii="Times New Roman" w:hAnsi="Times New Roman" w:cs="Times New Roman"/>
                <w:sz w:val="24"/>
                <w:szCs w:val="24"/>
              </w:rPr>
            </w:pPr>
          </w:p>
        </w:tc>
      </w:tr>
      <w:tr w:rsidR="00896E8D" w:rsidTr="00132458">
        <w:tc>
          <w:tcPr>
            <w:tcW w:w="4675" w:type="dxa"/>
            <w:vMerge/>
          </w:tcPr>
          <w:p w:rsidR="00896E8D" w:rsidRPr="0026387A" w:rsidRDefault="00896E8D" w:rsidP="00132458">
            <w:pPr>
              <w:spacing w:line="264" w:lineRule="auto"/>
              <w:ind w:left="720"/>
              <w:rPr>
                <w:rFonts w:ascii="Times New Roman" w:eastAsia="Calibri" w:hAnsi="Times New Roman" w:cs="Times New Roman"/>
                <w:sz w:val="25"/>
                <w:szCs w:val="25"/>
              </w:rPr>
            </w:pPr>
          </w:p>
        </w:tc>
        <w:tc>
          <w:tcPr>
            <w:tcW w:w="3420" w:type="dxa"/>
          </w:tcPr>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PP&amp;L</w:t>
            </w:r>
          </w:p>
        </w:tc>
        <w:tc>
          <w:tcPr>
            <w:tcW w:w="5940" w:type="dxa"/>
          </w:tcPr>
          <w:p w:rsidR="00896E8D" w:rsidRDefault="00896E8D" w:rsidP="0013245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Meters with zero use will be included on the Zero Consumption Report for manual review after two months of:</w:t>
            </w:r>
          </w:p>
          <w:p w:rsidR="00896E8D" w:rsidRDefault="00896E8D" w:rsidP="00132458">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Zero usage for residential and non-residential service;</w:t>
            </w:r>
          </w:p>
          <w:p w:rsidR="00896E8D" w:rsidRDefault="00896E8D" w:rsidP="00132458">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25 percent fluctuation on nonresidential load;</w:t>
            </w:r>
          </w:p>
          <w:p w:rsidR="00896E8D" w:rsidRDefault="00896E8D" w:rsidP="00132458">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Zero usage on an occupied rental; or</w:t>
            </w:r>
          </w:p>
          <w:p w:rsidR="00896E8D" w:rsidRDefault="00896E8D" w:rsidP="00132458">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Zero consumption for more than 12 months on an irrigation service.</w:t>
            </w:r>
          </w:p>
          <w:p w:rsidR="00896E8D" w:rsidRPr="00823105" w:rsidRDefault="00896E8D" w:rsidP="0013245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Meters with no customer record, or unidentified energy usage, will have a work order to disconnect service after 1,000 kWh are used.</w:t>
            </w:r>
          </w:p>
        </w:tc>
        <w:tc>
          <w:tcPr>
            <w:tcW w:w="4675" w:type="dxa"/>
            <w:vMerge/>
          </w:tcPr>
          <w:p w:rsidR="00896E8D" w:rsidRDefault="00896E8D" w:rsidP="00132458">
            <w:pPr>
              <w:rPr>
                <w:rFonts w:ascii="Times New Roman" w:hAnsi="Times New Roman" w:cs="Times New Roman"/>
                <w:sz w:val="24"/>
                <w:szCs w:val="24"/>
              </w:rPr>
            </w:pPr>
          </w:p>
        </w:tc>
      </w:tr>
      <w:tr w:rsidR="00896E8D" w:rsidTr="00132458">
        <w:tc>
          <w:tcPr>
            <w:tcW w:w="4675" w:type="dxa"/>
            <w:vMerge/>
          </w:tcPr>
          <w:p w:rsidR="00896E8D" w:rsidRPr="0026387A" w:rsidRDefault="00896E8D" w:rsidP="00132458">
            <w:pPr>
              <w:spacing w:line="264" w:lineRule="auto"/>
              <w:ind w:left="720"/>
              <w:rPr>
                <w:rFonts w:ascii="Times New Roman" w:eastAsia="Calibri" w:hAnsi="Times New Roman" w:cs="Times New Roman"/>
                <w:sz w:val="25"/>
                <w:szCs w:val="25"/>
              </w:rPr>
            </w:pPr>
          </w:p>
        </w:tc>
        <w:tc>
          <w:tcPr>
            <w:tcW w:w="3420" w:type="dxa"/>
          </w:tcPr>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NW Natural</w:t>
            </w:r>
          </w:p>
        </w:tc>
        <w:tc>
          <w:tcPr>
            <w:tcW w:w="5940" w:type="dxa"/>
          </w:tcPr>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NW Natural will investigate zero-use meter reads after six consecutive months of zero usage. A bill message is reflected on the bill after 3 months of zero-use. The bill message informs the customer to call if they have been using their gas appliances as there may be a meter issue.</w:t>
            </w:r>
          </w:p>
          <w:p w:rsidR="00896E8D" w:rsidRDefault="00896E8D" w:rsidP="00132458">
            <w:pPr>
              <w:rPr>
                <w:rFonts w:ascii="Times New Roman" w:hAnsi="Times New Roman" w:cs="Times New Roman"/>
                <w:sz w:val="24"/>
                <w:szCs w:val="24"/>
              </w:rPr>
            </w:pPr>
          </w:p>
          <w:p w:rsidR="00896E8D" w:rsidRDefault="00896E8D" w:rsidP="00132458">
            <w:pPr>
              <w:rPr>
                <w:rFonts w:ascii="Times New Roman" w:hAnsi="Times New Roman" w:cs="Times New Roman"/>
                <w:sz w:val="24"/>
                <w:szCs w:val="24"/>
              </w:rPr>
            </w:pPr>
            <w:r>
              <w:rPr>
                <w:rFonts w:ascii="Times New Roman" w:hAnsi="Times New Roman" w:cs="Times New Roman"/>
                <w:sz w:val="24"/>
                <w:szCs w:val="24"/>
              </w:rPr>
              <w:t>It is NW Natural’s practice to resolve</w:t>
            </w:r>
            <w:r w:rsidR="00F1793E">
              <w:rPr>
                <w:rFonts w:ascii="Times New Roman" w:hAnsi="Times New Roman" w:cs="Times New Roman"/>
                <w:sz w:val="24"/>
                <w:szCs w:val="24"/>
              </w:rPr>
              <w:t xml:space="preserve"> any unidentified energy usage within two months. Typically do not issue a bill for usage that is two therms or less.</w:t>
            </w:r>
          </w:p>
        </w:tc>
        <w:tc>
          <w:tcPr>
            <w:tcW w:w="4675" w:type="dxa"/>
            <w:vMerge/>
          </w:tcPr>
          <w:p w:rsidR="00896E8D" w:rsidRPr="00F614D7" w:rsidRDefault="00896E8D" w:rsidP="00132458">
            <w:pPr>
              <w:rPr>
                <w:rFonts w:ascii="Times New Roman" w:hAnsi="Times New Roman" w:cs="Times New Roman"/>
                <w:sz w:val="24"/>
                <w:szCs w:val="24"/>
              </w:rPr>
            </w:pPr>
          </w:p>
        </w:tc>
      </w:tr>
      <w:tr w:rsidR="00D17816" w:rsidTr="00132458">
        <w:tc>
          <w:tcPr>
            <w:tcW w:w="4675" w:type="dxa"/>
            <w:vMerge w:val="restart"/>
          </w:tcPr>
          <w:p w:rsidR="00D17816" w:rsidRPr="00453451" w:rsidRDefault="00D17816" w:rsidP="00132458">
            <w:pPr>
              <w:pStyle w:val="ListParagraph"/>
              <w:numPr>
                <w:ilvl w:val="0"/>
                <w:numId w:val="4"/>
              </w:num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lastRenderedPageBreak/>
              <w:t>Does the company have specific goals regarding the identification and resolution of stopped meters and unidentified usage meters?</w:t>
            </w:r>
          </w:p>
        </w:tc>
        <w:tc>
          <w:tcPr>
            <w:tcW w:w="342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PSE</w:t>
            </w:r>
          </w:p>
        </w:tc>
        <w:tc>
          <w:tcPr>
            <w:tcW w:w="5940" w:type="dxa"/>
          </w:tcPr>
          <w:p w:rsidR="00D17816" w:rsidRDefault="00D17816" w:rsidP="001324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PSE will identify and correct 98 percent of all stopped meter and unassigned energy usage meter problems for both gas and electric meters within 12 months from initial occurrence of the problem.</w:t>
            </w:r>
          </w:p>
          <w:p w:rsidR="00D17816" w:rsidRDefault="00D17816" w:rsidP="001324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PSE will identify and correct all stopped meter and unassigned energy problems for both gas and electric meters within 24 months from the initial problem.</w:t>
            </w:r>
          </w:p>
          <w:p w:rsidR="00CB5A2D" w:rsidRPr="00D54BF4" w:rsidRDefault="00CB5A2D" w:rsidP="00D54BF4">
            <w:pPr>
              <w:ind w:left="360"/>
              <w:rPr>
                <w:rFonts w:ascii="Times New Roman" w:hAnsi="Times New Roman" w:cs="Times New Roman"/>
                <w:sz w:val="24"/>
                <w:szCs w:val="24"/>
              </w:rPr>
            </w:pPr>
          </w:p>
        </w:tc>
        <w:tc>
          <w:tcPr>
            <w:tcW w:w="4675" w:type="dxa"/>
            <w:vMerge w:val="restart"/>
          </w:tcPr>
          <w:p w:rsidR="00D17816" w:rsidRDefault="00D17816" w:rsidP="00132458">
            <w:pPr>
              <w:rPr>
                <w:rFonts w:ascii="Times New Roman" w:hAnsi="Times New Roman" w:cs="Times New Roman"/>
                <w:sz w:val="24"/>
                <w:szCs w:val="24"/>
              </w:rPr>
            </w:pPr>
          </w:p>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Goals vary among the regulated companies. Staff believes it is reasonable to expect utilities to identify and correct stopped meters, as well as, unidentified energy usage within six months.</w:t>
            </w:r>
          </w:p>
          <w:p w:rsidR="00D17816" w:rsidRDefault="00D17816" w:rsidP="00132458">
            <w:pPr>
              <w:rPr>
                <w:rFonts w:ascii="Times New Roman" w:hAnsi="Times New Roman" w:cs="Times New Roman"/>
                <w:sz w:val="24"/>
                <w:szCs w:val="24"/>
              </w:rPr>
            </w:pPr>
          </w:p>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Customers are continuing to receive retroactive bills for periods in excess of six months, and in some cases, more than 12 and 24 months.</w:t>
            </w:r>
          </w:p>
          <w:p w:rsidR="00D17816" w:rsidRDefault="00D17816" w:rsidP="00132458">
            <w:pPr>
              <w:rPr>
                <w:rFonts w:ascii="Times New Roman" w:hAnsi="Times New Roman" w:cs="Times New Roman"/>
                <w:sz w:val="24"/>
                <w:szCs w:val="24"/>
              </w:rPr>
            </w:pPr>
          </w:p>
          <w:p w:rsidR="00D17816" w:rsidRDefault="00D17816" w:rsidP="00714C6B">
            <w:pPr>
              <w:rPr>
                <w:rFonts w:ascii="Times New Roman" w:hAnsi="Times New Roman" w:cs="Times New Roman"/>
                <w:sz w:val="24"/>
                <w:szCs w:val="24"/>
              </w:rPr>
            </w:pPr>
          </w:p>
        </w:tc>
      </w:tr>
      <w:tr w:rsidR="00D17816" w:rsidTr="00132458">
        <w:tc>
          <w:tcPr>
            <w:tcW w:w="4675" w:type="dxa"/>
            <w:vMerge/>
          </w:tcPr>
          <w:p w:rsidR="00D17816" w:rsidRPr="0026387A" w:rsidRDefault="00D17816" w:rsidP="00132458">
            <w:pPr>
              <w:spacing w:line="264" w:lineRule="auto"/>
              <w:ind w:left="720"/>
              <w:rPr>
                <w:rFonts w:ascii="Times New Roman" w:eastAsia="Calibri" w:hAnsi="Times New Roman" w:cs="Times New Roman"/>
                <w:sz w:val="25"/>
                <w:szCs w:val="25"/>
              </w:rPr>
            </w:pPr>
          </w:p>
        </w:tc>
        <w:tc>
          <w:tcPr>
            <w:tcW w:w="342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Avista</w:t>
            </w:r>
          </w:p>
        </w:tc>
        <w:tc>
          <w:tcPr>
            <w:tcW w:w="594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Avista has a daily zero use report that is used to help identify when a meter has no energy use. If issues are detected, field personnel are sent to investigate potential equipment failure and replacement of the meter, if necessary.</w:t>
            </w:r>
          </w:p>
          <w:p w:rsidR="00D17816" w:rsidRDefault="00D17816" w:rsidP="00132458">
            <w:pPr>
              <w:rPr>
                <w:rFonts w:ascii="Times New Roman" w:hAnsi="Times New Roman" w:cs="Times New Roman"/>
                <w:sz w:val="24"/>
                <w:szCs w:val="24"/>
              </w:rPr>
            </w:pPr>
          </w:p>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When a meter has unidentified energy usage that hits the threshold of 100 kWhs or 10 therms it starts an automated process which sends a series of two letters to the address requesting the resident to contact the company to set up service. If there is no response, the company will send a serviceman to disconnect the service.</w:t>
            </w:r>
          </w:p>
          <w:p w:rsidR="00CB5A2D" w:rsidRDefault="00CB5A2D" w:rsidP="00132458">
            <w:pPr>
              <w:rPr>
                <w:rFonts w:ascii="Times New Roman" w:hAnsi="Times New Roman" w:cs="Times New Roman"/>
                <w:sz w:val="24"/>
                <w:szCs w:val="24"/>
              </w:rPr>
            </w:pPr>
          </w:p>
        </w:tc>
        <w:tc>
          <w:tcPr>
            <w:tcW w:w="4675" w:type="dxa"/>
            <w:vMerge/>
          </w:tcPr>
          <w:p w:rsidR="00D17816" w:rsidRDefault="00D17816" w:rsidP="00132458">
            <w:pPr>
              <w:rPr>
                <w:rFonts w:ascii="Times New Roman" w:hAnsi="Times New Roman" w:cs="Times New Roman"/>
                <w:sz w:val="24"/>
                <w:szCs w:val="24"/>
              </w:rPr>
            </w:pPr>
          </w:p>
        </w:tc>
      </w:tr>
      <w:tr w:rsidR="00221876" w:rsidTr="00132458">
        <w:tc>
          <w:tcPr>
            <w:tcW w:w="4675" w:type="dxa"/>
            <w:vMerge/>
          </w:tcPr>
          <w:p w:rsidR="00221876" w:rsidRPr="0026387A" w:rsidRDefault="00221876" w:rsidP="00132458">
            <w:pPr>
              <w:spacing w:line="264" w:lineRule="auto"/>
              <w:ind w:left="720"/>
              <w:rPr>
                <w:rFonts w:ascii="Times New Roman" w:eastAsia="Calibri" w:hAnsi="Times New Roman" w:cs="Times New Roman"/>
                <w:sz w:val="25"/>
                <w:szCs w:val="25"/>
              </w:rPr>
            </w:pPr>
          </w:p>
        </w:tc>
        <w:tc>
          <w:tcPr>
            <w:tcW w:w="3420" w:type="dxa"/>
          </w:tcPr>
          <w:p w:rsidR="00221876" w:rsidRDefault="00221876" w:rsidP="00132458">
            <w:pPr>
              <w:rPr>
                <w:rFonts w:ascii="Times New Roman" w:hAnsi="Times New Roman" w:cs="Times New Roman"/>
                <w:sz w:val="24"/>
                <w:szCs w:val="24"/>
              </w:rPr>
            </w:pPr>
            <w:r>
              <w:rPr>
                <w:rFonts w:ascii="Times New Roman" w:hAnsi="Times New Roman" w:cs="Times New Roman"/>
                <w:sz w:val="24"/>
                <w:szCs w:val="24"/>
              </w:rPr>
              <w:t>Cascade Natural Gas</w:t>
            </w:r>
          </w:p>
        </w:tc>
        <w:tc>
          <w:tcPr>
            <w:tcW w:w="5940" w:type="dxa"/>
          </w:tcPr>
          <w:p w:rsidR="00221876" w:rsidRDefault="00221876" w:rsidP="00132458">
            <w:pPr>
              <w:rPr>
                <w:rFonts w:ascii="Times New Roman" w:hAnsi="Times New Roman" w:cs="Times New Roman"/>
                <w:sz w:val="24"/>
                <w:szCs w:val="24"/>
              </w:rPr>
            </w:pPr>
            <w:r>
              <w:rPr>
                <w:rFonts w:ascii="Times New Roman" w:hAnsi="Times New Roman" w:cs="Times New Roman"/>
                <w:sz w:val="24"/>
                <w:szCs w:val="24"/>
              </w:rPr>
              <w:t xml:space="preserve">A report listing abnormally high or low reads is automatically generated when a read is 90 percent lower or higher than the expected bandwidth of normal usage. </w:t>
            </w:r>
            <w:r>
              <w:rPr>
                <w:rFonts w:ascii="Times New Roman" w:hAnsi="Times New Roman" w:cs="Times New Roman"/>
                <w:sz w:val="24"/>
                <w:szCs w:val="24"/>
              </w:rPr>
              <w:lastRenderedPageBreak/>
              <w:t>Expected usage is 0.4 to 2.5 times estimated usage based on the demand at the premise for the prior three years.</w:t>
            </w:r>
            <w:r w:rsidR="00E23257">
              <w:rPr>
                <w:rFonts w:ascii="Times New Roman" w:hAnsi="Times New Roman" w:cs="Times New Roman"/>
                <w:sz w:val="24"/>
                <w:szCs w:val="24"/>
              </w:rPr>
              <w:t xml:space="preserve"> The reporting on low reads should alert the company to most dead meters; however, a zero read is not always abnormal depending on whether or not the usage at the </w:t>
            </w:r>
            <w:proofErr w:type="gramStart"/>
            <w:r w:rsidR="00E23257">
              <w:rPr>
                <w:rFonts w:ascii="Times New Roman" w:hAnsi="Times New Roman" w:cs="Times New Roman"/>
                <w:sz w:val="24"/>
                <w:szCs w:val="24"/>
              </w:rPr>
              <w:t>site  is</w:t>
            </w:r>
            <w:proofErr w:type="gramEnd"/>
            <w:r w:rsidR="00E23257">
              <w:rPr>
                <w:rFonts w:ascii="Times New Roman" w:hAnsi="Times New Roman" w:cs="Times New Roman"/>
                <w:sz w:val="24"/>
                <w:szCs w:val="24"/>
              </w:rPr>
              <w:t xml:space="preserve"> seasonal.</w:t>
            </w:r>
          </w:p>
          <w:p w:rsidR="00E23257" w:rsidRDefault="00E23257" w:rsidP="00132458">
            <w:pPr>
              <w:rPr>
                <w:rFonts w:ascii="Times New Roman" w:hAnsi="Times New Roman" w:cs="Times New Roman"/>
                <w:sz w:val="24"/>
                <w:szCs w:val="24"/>
              </w:rPr>
            </w:pPr>
          </w:p>
          <w:p w:rsidR="00E23257" w:rsidRDefault="00E23257" w:rsidP="00132458">
            <w:pPr>
              <w:rPr>
                <w:rFonts w:ascii="Times New Roman" w:hAnsi="Times New Roman" w:cs="Times New Roman"/>
                <w:sz w:val="24"/>
                <w:szCs w:val="24"/>
              </w:rPr>
            </w:pPr>
            <w:r>
              <w:rPr>
                <w:rFonts w:ascii="Times New Roman" w:hAnsi="Times New Roman" w:cs="Times New Roman"/>
                <w:sz w:val="24"/>
                <w:szCs w:val="24"/>
              </w:rPr>
              <w:t>When unidentified energy usage is discovered, the company places a door hanger on the premise asking the occupant to establish service within 48 hours. If service is not established within that timeframe, the service is disconnected.</w:t>
            </w:r>
          </w:p>
          <w:p w:rsidR="008A6ECD" w:rsidRDefault="008A6ECD" w:rsidP="00132458">
            <w:pPr>
              <w:rPr>
                <w:rFonts w:ascii="Times New Roman" w:hAnsi="Times New Roman" w:cs="Times New Roman"/>
                <w:sz w:val="24"/>
                <w:szCs w:val="24"/>
              </w:rPr>
            </w:pPr>
          </w:p>
          <w:p w:rsidR="008A6ECD" w:rsidRDefault="008A6ECD" w:rsidP="00132458">
            <w:pPr>
              <w:rPr>
                <w:rFonts w:ascii="Times New Roman" w:hAnsi="Times New Roman" w:cs="Times New Roman"/>
                <w:sz w:val="24"/>
                <w:szCs w:val="24"/>
              </w:rPr>
            </w:pPr>
            <w:r>
              <w:rPr>
                <w:rFonts w:ascii="Times New Roman" w:hAnsi="Times New Roman" w:cs="Times New Roman"/>
                <w:sz w:val="24"/>
                <w:szCs w:val="24"/>
              </w:rPr>
              <w:t>The company believes goals are unnecessary since the company manages the issue in a reasonable manner by investigating meter read anomalies on daily basis.</w:t>
            </w:r>
          </w:p>
        </w:tc>
        <w:tc>
          <w:tcPr>
            <w:tcW w:w="4675" w:type="dxa"/>
            <w:vMerge/>
          </w:tcPr>
          <w:p w:rsidR="00221876" w:rsidRDefault="00221876" w:rsidP="00132458">
            <w:pPr>
              <w:rPr>
                <w:rFonts w:ascii="Times New Roman" w:hAnsi="Times New Roman" w:cs="Times New Roman"/>
                <w:sz w:val="24"/>
                <w:szCs w:val="24"/>
              </w:rPr>
            </w:pPr>
          </w:p>
        </w:tc>
      </w:tr>
      <w:tr w:rsidR="00D17816" w:rsidTr="00132458">
        <w:tc>
          <w:tcPr>
            <w:tcW w:w="4675" w:type="dxa"/>
            <w:vMerge/>
          </w:tcPr>
          <w:p w:rsidR="00D17816" w:rsidRPr="0026387A" w:rsidRDefault="00D17816" w:rsidP="00132458">
            <w:pPr>
              <w:spacing w:line="264" w:lineRule="auto"/>
              <w:ind w:left="720"/>
              <w:rPr>
                <w:rFonts w:ascii="Times New Roman" w:eastAsia="Calibri" w:hAnsi="Times New Roman" w:cs="Times New Roman"/>
                <w:sz w:val="25"/>
                <w:szCs w:val="25"/>
              </w:rPr>
            </w:pPr>
          </w:p>
        </w:tc>
        <w:tc>
          <w:tcPr>
            <w:tcW w:w="342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NWNG</w:t>
            </w:r>
          </w:p>
        </w:tc>
        <w:tc>
          <w:tcPr>
            <w:tcW w:w="594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NWNG strives to respond to and resolve meter issues and occupant use situations promptly and efficiently, although the company does not have specific defined goals relating to these practices.</w:t>
            </w:r>
          </w:p>
          <w:p w:rsidR="00CB5A2D" w:rsidRDefault="00CB5A2D" w:rsidP="00132458">
            <w:pPr>
              <w:rPr>
                <w:rFonts w:ascii="Times New Roman" w:hAnsi="Times New Roman" w:cs="Times New Roman"/>
                <w:sz w:val="24"/>
                <w:szCs w:val="24"/>
              </w:rPr>
            </w:pPr>
          </w:p>
        </w:tc>
        <w:tc>
          <w:tcPr>
            <w:tcW w:w="4675" w:type="dxa"/>
            <w:vMerge/>
          </w:tcPr>
          <w:p w:rsidR="00D17816" w:rsidRDefault="00D17816" w:rsidP="00132458">
            <w:pPr>
              <w:rPr>
                <w:rFonts w:ascii="Times New Roman" w:hAnsi="Times New Roman" w:cs="Times New Roman"/>
                <w:sz w:val="24"/>
                <w:szCs w:val="24"/>
              </w:rPr>
            </w:pPr>
          </w:p>
        </w:tc>
      </w:tr>
      <w:tr w:rsidR="00D17816" w:rsidTr="00132458">
        <w:tc>
          <w:tcPr>
            <w:tcW w:w="4675" w:type="dxa"/>
            <w:vMerge w:val="restart"/>
          </w:tcPr>
          <w:p w:rsidR="00D17816" w:rsidRPr="00D3771F" w:rsidRDefault="00D17816" w:rsidP="00132458">
            <w:pPr>
              <w:pStyle w:val="ListParagraph"/>
              <w:numPr>
                <w:ilvl w:val="0"/>
                <w:numId w:val="4"/>
              </w:num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t>What types of reports does the company generate to help identify stopped meter and unidentified usage meter problems?</w:t>
            </w:r>
          </w:p>
        </w:tc>
        <w:tc>
          <w:tcPr>
            <w:tcW w:w="342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PSE</w:t>
            </w:r>
          </w:p>
        </w:tc>
        <w:tc>
          <w:tcPr>
            <w:tcW w:w="5940" w:type="dxa"/>
          </w:tcPr>
          <w:p w:rsidR="00D17816" w:rsidRDefault="00D17816" w:rsidP="001324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When a customer’s bill has shown no usage from one billing period to the next, PSE’s customer information system (CIS) identifies the account and creates a service notification in CIS for follow up.</w:t>
            </w:r>
          </w:p>
          <w:p w:rsidR="00D17816" w:rsidRDefault="00D17816" w:rsidP="001324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 service notification can also be created if PSE’s </w:t>
            </w:r>
            <w:proofErr w:type="spellStart"/>
            <w:r>
              <w:rPr>
                <w:rFonts w:ascii="Times New Roman" w:hAnsi="Times New Roman" w:cs="Times New Roman"/>
                <w:sz w:val="24"/>
                <w:szCs w:val="24"/>
              </w:rPr>
              <w:t>DataRaker</w:t>
            </w:r>
            <w:proofErr w:type="spellEnd"/>
            <w:r>
              <w:rPr>
                <w:rFonts w:ascii="Times New Roman" w:hAnsi="Times New Roman" w:cs="Times New Roman"/>
                <w:sz w:val="24"/>
                <w:szCs w:val="24"/>
              </w:rPr>
              <w:t xml:space="preserve"> query, a meter performance and customer usage analysis tool, identifies that a meter module malfunction has occurred based upon the meter reads, weather data, and individual customer usage pattern. The </w:t>
            </w:r>
            <w:proofErr w:type="spellStart"/>
            <w:r>
              <w:rPr>
                <w:rFonts w:ascii="Times New Roman" w:hAnsi="Times New Roman" w:cs="Times New Roman"/>
                <w:sz w:val="24"/>
                <w:szCs w:val="24"/>
              </w:rPr>
              <w:t>DataRaker</w:t>
            </w:r>
            <w:proofErr w:type="spellEnd"/>
            <w:r>
              <w:rPr>
                <w:rFonts w:ascii="Times New Roman" w:hAnsi="Times New Roman" w:cs="Times New Roman"/>
                <w:sz w:val="24"/>
                <w:szCs w:val="24"/>
              </w:rPr>
              <w:t xml:space="preserve"> query is able to identify a probable stopped meter within 3 days when the temperatures dip to below freezing or in a </w:t>
            </w:r>
            <w:r>
              <w:rPr>
                <w:rFonts w:ascii="Times New Roman" w:hAnsi="Times New Roman" w:cs="Times New Roman"/>
                <w:sz w:val="24"/>
                <w:szCs w:val="24"/>
              </w:rPr>
              <w:lastRenderedPageBreak/>
              <w:t>5-10 day window when the temperatures are above freezing.</w:t>
            </w:r>
          </w:p>
          <w:p w:rsidR="00CB5A2D" w:rsidRPr="00D54BF4" w:rsidRDefault="00CB5A2D" w:rsidP="00D54BF4">
            <w:pPr>
              <w:ind w:left="360"/>
              <w:rPr>
                <w:rFonts w:ascii="Times New Roman" w:hAnsi="Times New Roman" w:cs="Times New Roman"/>
                <w:sz w:val="24"/>
                <w:szCs w:val="24"/>
              </w:rPr>
            </w:pPr>
          </w:p>
        </w:tc>
        <w:tc>
          <w:tcPr>
            <w:tcW w:w="4675" w:type="dxa"/>
            <w:vMerge w:val="restart"/>
          </w:tcPr>
          <w:p w:rsidR="00D17816" w:rsidRDefault="00D17816" w:rsidP="00132458">
            <w:pPr>
              <w:rPr>
                <w:rFonts w:ascii="Times New Roman" w:hAnsi="Times New Roman" w:cs="Times New Roman"/>
                <w:sz w:val="24"/>
                <w:szCs w:val="24"/>
              </w:rPr>
            </w:pPr>
          </w:p>
        </w:tc>
      </w:tr>
      <w:tr w:rsidR="00D17816" w:rsidTr="00132458">
        <w:tc>
          <w:tcPr>
            <w:tcW w:w="4675" w:type="dxa"/>
            <w:vMerge/>
          </w:tcPr>
          <w:p w:rsidR="00D17816" w:rsidRPr="005D0AF2" w:rsidRDefault="00D17816" w:rsidP="00132458">
            <w:pPr>
              <w:spacing w:line="264" w:lineRule="auto"/>
              <w:ind w:left="720"/>
              <w:rPr>
                <w:rFonts w:ascii="Times New Roman" w:eastAsia="Calibri" w:hAnsi="Times New Roman" w:cs="Times New Roman"/>
                <w:sz w:val="25"/>
                <w:szCs w:val="25"/>
              </w:rPr>
            </w:pPr>
          </w:p>
        </w:tc>
        <w:tc>
          <w:tcPr>
            <w:tcW w:w="3420" w:type="dxa"/>
          </w:tcPr>
          <w:p w:rsidR="00D17816" w:rsidRPr="001D44AC" w:rsidRDefault="00D17816" w:rsidP="00132458">
            <w:pPr>
              <w:rPr>
                <w:rFonts w:ascii="Times New Roman" w:hAnsi="Times New Roman" w:cs="Times New Roman"/>
                <w:sz w:val="24"/>
                <w:szCs w:val="24"/>
              </w:rPr>
            </w:pPr>
            <w:r>
              <w:rPr>
                <w:rFonts w:ascii="Times New Roman" w:hAnsi="Times New Roman" w:cs="Times New Roman"/>
                <w:sz w:val="24"/>
                <w:szCs w:val="24"/>
              </w:rPr>
              <w:t>Avista</w:t>
            </w:r>
          </w:p>
        </w:tc>
        <w:tc>
          <w:tcPr>
            <w:tcW w:w="5940" w:type="dxa"/>
          </w:tcPr>
          <w:p w:rsidR="00D17816" w:rsidRDefault="00D17816" w:rsidP="0013245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For unbilled usage, the company uses its zero use report. This report is reviewed daily.</w:t>
            </w:r>
          </w:p>
          <w:p w:rsidR="00D17816" w:rsidRDefault="00D17816" w:rsidP="0013245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For unidentified usage meters, the process is automated with the company’s customer care and billing system (see response to 5 above).</w:t>
            </w:r>
          </w:p>
          <w:p w:rsidR="00CB5A2D" w:rsidRPr="00D54BF4" w:rsidRDefault="00CB5A2D" w:rsidP="00D54BF4">
            <w:pPr>
              <w:ind w:left="360"/>
              <w:rPr>
                <w:rFonts w:ascii="Times New Roman" w:hAnsi="Times New Roman" w:cs="Times New Roman"/>
                <w:sz w:val="24"/>
                <w:szCs w:val="24"/>
              </w:rPr>
            </w:pPr>
          </w:p>
        </w:tc>
        <w:tc>
          <w:tcPr>
            <w:tcW w:w="4675" w:type="dxa"/>
            <w:vMerge/>
          </w:tcPr>
          <w:p w:rsidR="00D17816" w:rsidRDefault="00D17816" w:rsidP="00132458">
            <w:pPr>
              <w:rPr>
                <w:rFonts w:ascii="Times New Roman" w:hAnsi="Times New Roman" w:cs="Times New Roman"/>
                <w:sz w:val="24"/>
                <w:szCs w:val="24"/>
              </w:rPr>
            </w:pPr>
          </w:p>
        </w:tc>
      </w:tr>
      <w:tr w:rsidR="00E23257" w:rsidTr="00132458">
        <w:tc>
          <w:tcPr>
            <w:tcW w:w="4675" w:type="dxa"/>
            <w:vMerge/>
          </w:tcPr>
          <w:p w:rsidR="00E23257" w:rsidRPr="0026387A" w:rsidRDefault="00E23257" w:rsidP="00132458">
            <w:pPr>
              <w:spacing w:line="264" w:lineRule="auto"/>
              <w:ind w:left="720"/>
              <w:rPr>
                <w:rFonts w:ascii="Times New Roman" w:eastAsia="Calibri" w:hAnsi="Times New Roman" w:cs="Times New Roman"/>
                <w:sz w:val="25"/>
                <w:szCs w:val="25"/>
              </w:rPr>
            </w:pPr>
          </w:p>
        </w:tc>
        <w:tc>
          <w:tcPr>
            <w:tcW w:w="3420" w:type="dxa"/>
          </w:tcPr>
          <w:p w:rsidR="00E23257" w:rsidRDefault="00E23257" w:rsidP="00132458">
            <w:pPr>
              <w:rPr>
                <w:rFonts w:ascii="Times New Roman" w:hAnsi="Times New Roman" w:cs="Times New Roman"/>
                <w:sz w:val="24"/>
                <w:szCs w:val="24"/>
              </w:rPr>
            </w:pPr>
            <w:r>
              <w:rPr>
                <w:rFonts w:ascii="Times New Roman" w:hAnsi="Times New Roman" w:cs="Times New Roman"/>
                <w:sz w:val="24"/>
                <w:szCs w:val="24"/>
              </w:rPr>
              <w:t>Cascade Natural Gas</w:t>
            </w:r>
          </w:p>
        </w:tc>
        <w:tc>
          <w:tcPr>
            <w:tcW w:w="5940" w:type="dxa"/>
          </w:tcPr>
          <w:p w:rsidR="00E23257" w:rsidRDefault="006F36BB" w:rsidP="00132458">
            <w:pPr>
              <w:rPr>
                <w:rFonts w:ascii="Times New Roman" w:hAnsi="Times New Roman" w:cs="Times New Roman"/>
                <w:sz w:val="24"/>
                <w:szCs w:val="24"/>
              </w:rPr>
            </w:pPr>
            <w:r>
              <w:rPr>
                <w:rFonts w:ascii="Times New Roman" w:hAnsi="Times New Roman" w:cs="Times New Roman"/>
                <w:sz w:val="24"/>
                <w:szCs w:val="24"/>
              </w:rPr>
              <w:t>A daily report of high and low reads is automatically generated in the company’s billing system.  A high or low bill is one that is 90 percent outside the range of normal which is 0.4 to 2.5 times expected use based on the prior on three years of historic usage.</w:t>
            </w:r>
          </w:p>
          <w:p w:rsidR="006F36BB" w:rsidRDefault="006F36BB" w:rsidP="00132458">
            <w:pPr>
              <w:rPr>
                <w:rFonts w:ascii="Times New Roman" w:hAnsi="Times New Roman" w:cs="Times New Roman"/>
                <w:sz w:val="24"/>
                <w:szCs w:val="24"/>
              </w:rPr>
            </w:pPr>
          </w:p>
          <w:p w:rsidR="006F36BB" w:rsidRDefault="006F36BB" w:rsidP="00132458">
            <w:pPr>
              <w:rPr>
                <w:rFonts w:ascii="Times New Roman" w:hAnsi="Times New Roman" w:cs="Times New Roman"/>
                <w:sz w:val="24"/>
                <w:szCs w:val="24"/>
              </w:rPr>
            </w:pPr>
            <w:r>
              <w:rPr>
                <w:rFonts w:ascii="Times New Roman" w:hAnsi="Times New Roman" w:cs="Times New Roman"/>
                <w:sz w:val="24"/>
                <w:szCs w:val="24"/>
              </w:rPr>
              <w:t>Billing personnel manually review the report and determine if a bill should be issued in accordance with the meter or if a service request for a meter check is necessary. Based on the findings of a meter check, field personnel will either validate the accuracy of the meter and the bill will be issued, or the meter will be replaced. If the meter is replaced, an estimated bill is issued using the usage patterns for the same timeframe for the prior three years.</w:t>
            </w:r>
          </w:p>
        </w:tc>
        <w:tc>
          <w:tcPr>
            <w:tcW w:w="4675" w:type="dxa"/>
            <w:vMerge/>
          </w:tcPr>
          <w:p w:rsidR="00E23257" w:rsidRDefault="00E23257" w:rsidP="00132458">
            <w:pPr>
              <w:rPr>
                <w:rFonts w:ascii="Times New Roman" w:hAnsi="Times New Roman" w:cs="Times New Roman"/>
                <w:sz w:val="24"/>
                <w:szCs w:val="24"/>
              </w:rPr>
            </w:pPr>
          </w:p>
        </w:tc>
      </w:tr>
      <w:tr w:rsidR="00D17816" w:rsidTr="00132458">
        <w:tc>
          <w:tcPr>
            <w:tcW w:w="4675" w:type="dxa"/>
            <w:vMerge/>
          </w:tcPr>
          <w:p w:rsidR="00D17816" w:rsidRPr="0026387A" w:rsidRDefault="00D17816" w:rsidP="00132458">
            <w:pPr>
              <w:spacing w:line="264" w:lineRule="auto"/>
              <w:ind w:left="720"/>
              <w:rPr>
                <w:rFonts w:ascii="Times New Roman" w:eastAsia="Calibri" w:hAnsi="Times New Roman" w:cs="Times New Roman"/>
                <w:sz w:val="25"/>
                <w:szCs w:val="25"/>
              </w:rPr>
            </w:pPr>
          </w:p>
        </w:tc>
        <w:tc>
          <w:tcPr>
            <w:tcW w:w="3420" w:type="dxa"/>
          </w:tcPr>
          <w:p w:rsidR="00D17816" w:rsidRPr="001D44AC" w:rsidRDefault="00D17816" w:rsidP="00132458">
            <w:pPr>
              <w:rPr>
                <w:rFonts w:ascii="Times New Roman" w:hAnsi="Times New Roman" w:cs="Times New Roman"/>
                <w:sz w:val="24"/>
                <w:szCs w:val="24"/>
              </w:rPr>
            </w:pPr>
            <w:r>
              <w:rPr>
                <w:rFonts w:ascii="Times New Roman" w:hAnsi="Times New Roman" w:cs="Times New Roman"/>
                <w:sz w:val="24"/>
                <w:szCs w:val="24"/>
              </w:rPr>
              <w:t>NW Natural</w:t>
            </w:r>
          </w:p>
        </w:tc>
        <w:tc>
          <w:tcPr>
            <w:tcW w:w="5940" w:type="dxa"/>
          </w:tcPr>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Zero Use Meters – Bill exception report is generated listing each account where there are six consecutive months of zero usage. The account services department reviews the report. If they cannot find a reasonable explanation for zero usage, a service order is created and a service technician is sent to the premise to inspect the meter.</w:t>
            </w:r>
          </w:p>
          <w:p w:rsidR="00D17816" w:rsidRDefault="00D17816" w:rsidP="00132458">
            <w:pPr>
              <w:rPr>
                <w:rFonts w:ascii="Times New Roman" w:hAnsi="Times New Roman" w:cs="Times New Roman"/>
                <w:sz w:val="24"/>
                <w:szCs w:val="24"/>
              </w:rPr>
            </w:pPr>
          </w:p>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 xml:space="preserve">Unidentified Usage Meters – A daily report is generated and reviewed by the customer contact center department. This report is a list of accounts that are closed but where the meter is showing usage. A 5-day notice of </w:t>
            </w:r>
            <w:r>
              <w:rPr>
                <w:rFonts w:ascii="Times New Roman" w:hAnsi="Times New Roman" w:cs="Times New Roman"/>
                <w:sz w:val="24"/>
                <w:szCs w:val="24"/>
              </w:rPr>
              <w:lastRenderedPageBreak/>
              <w:t>disconnection is issued to the premise for each listed account. If no response is received, an order is dispatched to physically shut off the meter.</w:t>
            </w:r>
          </w:p>
          <w:p w:rsidR="00CB5A2D" w:rsidRPr="00A617BD" w:rsidRDefault="00CB5A2D" w:rsidP="00132458">
            <w:pPr>
              <w:rPr>
                <w:rFonts w:ascii="Times New Roman" w:hAnsi="Times New Roman" w:cs="Times New Roman"/>
                <w:sz w:val="24"/>
                <w:szCs w:val="24"/>
              </w:rPr>
            </w:pPr>
          </w:p>
        </w:tc>
        <w:tc>
          <w:tcPr>
            <w:tcW w:w="4675" w:type="dxa"/>
            <w:vMerge/>
          </w:tcPr>
          <w:p w:rsidR="00D17816" w:rsidRDefault="00D17816" w:rsidP="00132458">
            <w:pPr>
              <w:rPr>
                <w:rFonts w:ascii="Times New Roman" w:hAnsi="Times New Roman" w:cs="Times New Roman"/>
                <w:sz w:val="24"/>
                <w:szCs w:val="24"/>
              </w:rPr>
            </w:pPr>
          </w:p>
        </w:tc>
      </w:tr>
      <w:tr w:rsidR="00745E50" w:rsidTr="00132458">
        <w:tc>
          <w:tcPr>
            <w:tcW w:w="14035" w:type="dxa"/>
            <w:gridSpan w:val="3"/>
          </w:tcPr>
          <w:p w:rsidR="00745E50" w:rsidRPr="00CE37DD" w:rsidRDefault="00745E50" w:rsidP="00132458">
            <w:pPr>
              <w:rPr>
                <w:rFonts w:ascii="Times New Roman" w:hAnsi="Times New Roman" w:cs="Times New Roman"/>
                <w:b/>
                <w:sz w:val="24"/>
                <w:szCs w:val="24"/>
              </w:rPr>
            </w:pPr>
          </w:p>
        </w:tc>
        <w:tc>
          <w:tcPr>
            <w:tcW w:w="4675" w:type="dxa"/>
          </w:tcPr>
          <w:p w:rsidR="00745E50" w:rsidRDefault="00745E50" w:rsidP="00132458">
            <w:pPr>
              <w:rPr>
                <w:rFonts w:ascii="Times New Roman" w:hAnsi="Times New Roman" w:cs="Times New Roman"/>
                <w:sz w:val="24"/>
                <w:szCs w:val="24"/>
              </w:rPr>
            </w:pPr>
          </w:p>
        </w:tc>
      </w:tr>
      <w:tr w:rsidR="00CE37DD" w:rsidTr="00132458">
        <w:tc>
          <w:tcPr>
            <w:tcW w:w="14035" w:type="dxa"/>
            <w:gridSpan w:val="3"/>
          </w:tcPr>
          <w:p w:rsidR="00CE37DD" w:rsidRPr="00CE37DD" w:rsidRDefault="00CE37DD" w:rsidP="00132458">
            <w:pPr>
              <w:rPr>
                <w:rFonts w:ascii="Times New Roman" w:hAnsi="Times New Roman" w:cs="Times New Roman"/>
                <w:b/>
                <w:sz w:val="24"/>
                <w:szCs w:val="24"/>
              </w:rPr>
            </w:pPr>
            <w:r w:rsidRPr="00CE37DD">
              <w:rPr>
                <w:rFonts w:ascii="Times New Roman" w:hAnsi="Times New Roman" w:cs="Times New Roman"/>
                <w:b/>
                <w:sz w:val="24"/>
                <w:szCs w:val="24"/>
              </w:rPr>
              <w:t>Additional Comments</w:t>
            </w:r>
          </w:p>
        </w:tc>
        <w:tc>
          <w:tcPr>
            <w:tcW w:w="4675" w:type="dxa"/>
          </w:tcPr>
          <w:p w:rsidR="00CE37DD" w:rsidRDefault="00CE37DD" w:rsidP="00132458">
            <w:pPr>
              <w:rPr>
                <w:rFonts w:ascii="Times New Roman" w:hAnsi="Times New Roman" w:cs="Times New Roman"/>
                <w:sz w:val="24"/>
                <w:szCs w:val="24"/>
              </w:rPr>
            </w:pPr>
          </w:p>
        </w:tc>
      </w:tr>
      <w:tr w:rsidR="00255536" w:rsidTr="00132458">
        <w:tc>
          <w:tcPr>
            <w:tcW w:w="4675" w:type="dxa"/>
          </w:tcPr>
          <w:p w:rsidR="00255536" w:rsidRPr="0026387A" w:rsidRDefault="00CE37DD" w:rsidP="00132458">
            <w:p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t>Anticipated improvements</w:t>
            </w:r>
          </w:p>
        </w:tc>
        <w:tc>
          <w:tcPr>
            <w:tcW w:w="3420" w:type="dxa"/>
          </w:tcPr>
          <w:p w:rsidR="00255536" w:rsidRDefault="00CE37DD" w:rsidP="00132458">
            <w:pPr>
              <w:rPr>
                <w:rFonts w:ascii="Times New Roman" w:hAnsi="Times New Roman" w:cs="Times New Roman"/>
                <w:sz w:val="24"/>
                <w:szCs w:val="24"/>
              </w:rPr>
            </w:pPr>
            <w:r>
              <w:rPr>
                <w:rFonts w:ascii="Times New Roman" w:hAnsi="Times New Roman" w:cs="Times New Roman"/>
                <w:sz w:val="24"/>
                <w:szCs w:val="24"/>
              </w:rPr>
              <w:t>Avista</w:t>
            </w:r>
          </w:p>
        </w:tc>
        <w:tc>
          <w:tcPr>
            <w:tcW w:w="5940" w:type="dxa"/>
          </w:tcPr>
          <w:p w:rsidR="00255536" w:rsidRDefault="00CE37DD" w:rsidP="00132458">
            <w:pPr>
              <w:rPr>
                <w:rFonts w:ascii="Times New Roman" w:hAnsi="Times New Roman" w:cs="Times New Roman"/>
                <w:sz w:val="24"/>
                <w:szCs w:val="24"/>
              </w:rPr>
            </w:pPr>
            <w:r>
              <w:rPr>
                <w:rFonts w:ascii="Times New Roman" w:hAnsi="Times New Roman" w:cs="Times New Roman"/>
                <w:sz w:val="24"/>
                <w:szCs w:val="24"/>
              </w:rPr>
              <w:t>Deployment of an Advanced Metering Infrastructure (AMI) is expected to reduce retroactive billing in the following cases:</w:t>
            </w:r>
          </w:p>
          <w:p w:rsidR="00CE37DD" w:rsidRDefault="00CE37DD" w:rsidP="0013245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Theft Diversion – This can cause damage to the meter where it stops reading. These circumstances can represent cases of complete diversion, where no usage at all is registered on the meter, partial diversion, and intermittent diversion. AMI will allow the company to take advantage of meter alarming capability, coupled with powerful diagnostic analytics to identify meter locations where</w:t>
            </w:r>
            <w:r w:rsidR="002A5F1D">
              <w:rPr>
                <w:rFonts w:ascii="Times New Roman" w:hAnsi="Times New Roman" w:cs="Times New Roman"/>
                <w:sz w:val="24"/>
                <w:szCs w:val="24"/>
              </w:rPr>
              <w:t xml:space="preserve"> diversion is likely to be occurring.</w:t>
            </w:r>
          </w:p>
          <w:p w:rsidR="002A5F1D" w:rsidRDefault="002A5F1D" w:rsidP="0013245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Unbilled Usage – Unbilled usage is difficult to initially identify with conventional metering, and consequently, it can take several weeks to several months before each issue is resolved. AMI meters can either be disabled when an account is closed to prevent unbilled usage, or the meter can trigger an alarm when usage is occurring.</w:t>
            </w:r>
          </w:p>
          <w:p w:rsidR="002A5F1D" w:rsidRDefault="002A5F1D" w:rsidP="0013245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Slow of Failing Meters – These meters can be very difficult to isolate with conventional metering. The longer the time the meter is not functioning properly the more complex the issue is to resolve.</w:t>
            </w:r>
          </w:p>
          <w:p w:rsidR="002A5F1D" w:rsidRDefault="002A5F1D" w:rsidP="0013245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Stopped Meters – The great majority of the time meters are reported as potentially stopped, there has simply been no use at the premise and the meter is working properly. Avista experiences about 85 percent false positives for electric meters and 95 </w:t>
            </w:r>
            <w:r>
              <w:rPr>
                <w:rFonts w:ascii="Times New Roman" w:hAnsi="Times New Roman" w:cs="Times New Roman"/>
                <w:sz w:val="24"/>
                <w:szCs w:val="24"/>
              </w:rPr>
              <w:lastRenderedPageBreak/>
              <w:t>percent false positives for natural gas meters. Reducing the number of field visits to investigate these false positives represents the core savings opportunity associated with stopped meters.</w:t>
            </w:r>
          </w:p>
          <w:p w:rsidR="002A5F1D" w:rsidRPr="00CE37DD" w:rsidRDefault="002A5F1D" w:rsidP="0013245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Billing Accuracy – Because of the use information is available from the AMI on a 5-15 minute interval, there is no longer a need to estimate bills during adverse weather, or for the processes of opening, closing or transferring utility service.</w:t>
            </w:r>
          </w:p>
        </w:tc>
        <w:tc>
          <w:tcPr>
            <w:tcW w:w="4675" w:type="dxa"/>
          </w:tcPr>
          <w:p w:rsidR="00BA5C2C" w:rsidRDefault="00D17816" w:rsidP="00132458">
            <w:pPr>
              <w:rPr>
                <w:rFonts w:ascii="Times New Roman" w:hAnsi="Times New Roman" w:cs="Times New Roman"/>
                <w:sz w:val="24"/>
                <w:szCs w:val="24"/>
              </w:rPr>
            </w:pPr>
            <w:r>
              <w:rPr>
                <w:rFonts w:ascii="Times New Roman" w:hAnsi="Times New Roman" w:cs="Times New Roman"/>
                <w:sz w:val="24"/>
                <w:szCs w:val="24"/>
              </w:rPr>
              <w:lastRenderedPageBreak/>
              <w:t>Thank you for the information.</w:t>
            </w:r>
          </w:p>
        </w:tc>
      </w:tr>
      <w:tr w:rsidR="00B36B91" w:rsidTr="00132458">
        <w:tc>
          <w:tcPr>
            <w:tcW w:w="4675" w:type="dxa"/>
          </w:tcPr>
          <w:p w:rsidR="00B36B91" w:rsidRDefault="00B36B91" w:rsidP="00132458">
            <w:p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lastRenderedPageBreak/>
              <w:t>Other Affected Rules</w:t>
            </w:r>
          </w:p>
        </w:tc>
        <w:tc>
          <w:tcPr>
            <w:tcW w:w="3420" w:type="dxa"/>
          </w:tcPr>
          <w:p w:rsidR="00B36B91" w:rsidRDefault="00B36B91" w:rsidP="00132458">
            <w:pPr>
              <w:rPr>
                <w:rFonts w:ascii="Times New Roman" w:hAnsi="Times New Roman" w:cs="Times New Roman"/>
                <w:sz w:val="24"/>
                <w:szCs w:val="24"/>
              </w:rPr>
            </w:pPr>
            <w:r>
              <w:rPr>
                <w:rFonts w:ascii="Times New Roman" w:hAnsi="Times New Roman" w:cs="Times New Roman"/>
                <w:sz w:val="24"/>
                <w:szCs w:val="24"/>
              </w:rPr>
              <w:t>NW Natural</w:t>
            </w:r>
          </w:p>
        </w:tc>
        <w:tc>
          <w:tcPr>
            <w:tcW w:w="5940" w:type="dxa"/>
          </w:tcPr>
          <w:p w:rsidR="00B36B91" w:rsidRDefault="00B36B91" w:rsidP="00132458">
            <w:pPr>
              <w:rPr>
                <w:rFonts w:ascii="Times New Roman" w:hAnsi="Times New Roman" w:cs="Times New Roman"/>
                <w:sz w:val="24"/>
                <w:szCs w:val="24"/>
              </w:rPr>
            </w:pPr>
            <w:r>
              <w:rPr>
                <w:rFonts w:ascii="Times New Roman" w:hAnsi="Times New Roman" w:cs="Times New Roman"/>
                <w:sz w:val="24"/>
                <w:szCs w:val="24"/>
              </w:rPr>
              <w:t>WAC 480-90-183(5), Complaint meter tests, currently contains language that establishes the parameters around correcting bills that are related to a meter error. As such, NW Natural suggests that this rulemaking consider whether changes to WAC 480-90-183 are also warranted in order to ensure that any duplicative or contradictory language is removed.</w:t>
            </w:r>
          </w:p>
        </w:tc>
        <w:tc>
          <w:tcPr>
            <w:tcW w:w="4675" w:type="dxa"/>
          </w:tcPr>
          <w:p w:rsidR="00B36B91" w:rsidRDefault="00D17816" w:rsidP="00132458">
            <w:pPr>
              <w:rPr>
                <w:rFonts w:ascii="Times New Roman" w:hAnsi="Times New Roman" w:cs="Times New Roman"/>
                <w:sz w:val="24"/>
                <w:szCs w:val="24"/>
              </w:rPr>
            </w:pPr>
            <w:r>
              <w:rPr>
                <w:rFonts w:ascii="Times New Roman" w:hAnsi="Times New Roman" w:cs="Times New Roman"/>
                <w:sz w:val="24"/>
                <w:szCs w:val="24"/>
              </w:rPr>
              <w:t>NW Natural’s comments are noted. WAC 480-90-183(5) states:</w:t>
            </w:r>
          </w:p>
          <w:p w:rsidR="00D17816" w:rsidRDefault="00D17816" w:rsidP="00132458">
            <w:pPr>
              <w:rPr>
                <w:rFonts w:ascii="Times New Roman" w:hAnsi="Times New Roman" w:cs="Times New Roman"/>
                <w:sz w:val="24"/>
                <w:szCs w:val="24"/>
              </w:rPr>
            </w:pPr>
          </w:p>
          <w:p w:rsidR="00D17816" w:rsidRDefault="00D17816" w:rsidP="00132458">
            <w:pPr>
              <w:rPr>
                <w:rFonts w:ascii="Times New Roman" w:hAnsi="Times New Roman" w:cs="Times New Roman"/>
                <w:sz w:val="24"/>
                <w:szCs w:val="24"/>
              </w:rPr>
            </w:pPr>
            <w:r>
              <w:rPr>
                <w:rFonts w:ascii="Times New Roman" w:hAnsi="Times New Roman" w:cs="Times New Roman"/>
                <w:sz w:val="24"/>
                <w:szCs w:val="24"/>
              </w:rPr>
              <w:t>(5) If a meter test reveals a meter error</w:t>
            </w:r>
            <w:r w:rsidR="009E147D">
              <w:rPr>
                <w:rFonts w:ascii="Times New Roman" w:hAnsi="Times New Roman" w:cs="Times New Roman"/>
                <w:sz w:val="24"/>
                <w:szCs w:val="24"/>
              </w:rPr>
              <w:t xml:space="preserve"> greater than specified as acceptable in WAC 480-90-338, Metering tolerance, the utility must repair or replace the meter at no cost to the customer. The utility must adjust the bills to the customer based on the best information available to determine the appropriate charges. The utility must offer payment arrangements in accordance with WAC 480-90-138(2), Payment arrangements.</w:t>
            </w:r>
          </w:p>
          <w:p w:rsidR="009E147D" w:rsidRDefault="009E147D" w:rsidP="00132458">
            <w:pPr>
              <w:rPr>
                <w:rFonts w:ascii="Times New Roman" w:hAnsi="Times New Roman" w:cs="Times New Roman"/>
                <w:sz w:val="24"/>
                <w:szCs w:val="24"/>
              </w:rPr>
            </w:pPr>
            <w:r>
              <w:rPr>
                <w:rFonts w:ascii="Times New Roman" w:hAnsi="Times New Roman" w:cs="Times New Roman"/>
                <w:sz w:val="24"/>
                <w:szCs w:val="24"/>
              </w:rPr>
              <w:t xml:space="preserve">  (a) If the utility can identify the date the customer was first billed from a defective meter, the utility must refund or bill the customer for the proper usage from that date:</w:t>
            </w:r>
          </w:p>
          <w:p w:rsidR="009E147D" w:rsidRDefault="009E147D" w:rsidP="00132458">
            <w:pPr>
              <w:rPr>
                <w:rFonts w:ascii="Times New Roman" w:hAnsi="Times New Roman" w:cs="Times New Roman"/>
                <w:sz w:val="24"/>
                <w:szCs w:val="24"/>
              </w:rPr>
            </w:pPr>
            <w:r>
              <w:rPr>
                <w:rFonts w:ascii="Times New Roman" w:hAnsi="Times New Roman" w:cs="Times New Roman"/>
                <w:sz w:val="24"/>
                <w:szCs w:val="24"/>
              </w:rPr>
              <w:t xml:space="preserve">  (b) If the utility cannot identify the date the customer was first billed from a defective meter, the utility must refund or bill the </w:t>
            </w:r>
            <w:proofErr w:type="spellStart"/>
            <w:r>
              <w:rPr>
                <w:rFonts w:ascii="Times New Roman" w:hAnsi="Times New Roman" w:cs="Times New Roman"/>
                <w:sz w:val="24"/>
                <w:szCs w:val="24"/>
              </w:rPr>
              <w:t>cusomter</w:t>
            </w:r>
            <w:proofErr w:type="spellEnd"/>
            <w:r>
              <w:rPr>
                <w:rFonts w:ascii="Times New Roman" w:hAnsi="Times New Roman" w:cs="Times New Roman"/>
                <w:sz w:val="24"/>
                <w:szCs w:val="24"/>
              </w:rPr>
              <w:t xml:space="preserve"> for the proper usage, not to exceed six months.</w:t>
            </w:r>
          </w:p>
          <w:p w:rsidR="009E147D" w:rsidRDefault="009E147D" w:rsidP="00132458">
            <w:pPr>
              <w:rPr>
                <w:rFonts w:ascii="Times New Roman" w:hAnsi="Times New Roman" w:cs="Times New Roman"/>
                <w:sz w:val="24"/>
                <w:szCs w:val="24"/>
              </w:rPr>
            </w:pPr>
          </w:p>
          <w:p w:rsidR="009E147D" w:rsidRDefault="009E147D" w:rsidP="00132458">
            <w:pPr>
              <w:rPr>
                <w:rFonts w:ascii="Times New Roman" w:hAnsi="Times New Roman" w:cs="Times New Roman"/>
                <w:sz w:val="24"/>
                <w:szCs w:val="24"/>
              </w:rPr>
            </w:pPr>
            <w:r>
              <w:rPr>
                <w:rFonts w:ascii="Times New Roman" w:hAnsi="Times New Roman" w:cs="Times New Roman"/>
                <w:sz w:val="24"/>
                <w:szCs w:val="24"/>
              </w:rPr>
              <w:lastRenderedPageBreak/>
              <w:t>Staff does expect there will be a conflict in the proposed rules under WAC 480-90-183(5).</w:t>
            </w:r>
          </w:p>
          <w:p w:rsidR="009E147D" w:rsidRDefault="009E147D" w:rsidP="00132458">
            <w:pPr>
              <w:rPr>
                <w:rFonts w:ascii="Times New Roman" w:hAnsi="Times New Roman" w:cs="Times New Roman"/>
                <w:sz w:val="24"/>
                <w:szCs w:val="24"/>
              </w:rPr>
            </w:pPr>
          </w:p>
        </w:tc>
      </w:tr>
      <w:tr w:rsidR="00F05D14" w:rsidTr="00132458">
        <w:tc>
          <w:tcPr>
            <w:tcW w:w="4675" w:type="dxa"/>
            <w:vMerge w:val="restart"/>
          </w:tcPr>
          <w:p w:rsidR="00F05D14" w:rsidRDefault="00F05D14" w:rsidP="00132458">
            <w:p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lastRenderedPageBreak/>
              <w:t>Gas versus Electric</w:t>
            </w:r>
          </w:p>
        </w:tc>
        <w:tc>
          <w:tcPr>
            <w:tcW w:w="3420" w:type="dxa"/>
          </w:tcPr>
          <w:p w:rsidR="00F05D14" w:rsidRDefault="00F05D14" w:rsidP="00132458">
            <w:pPr>
              <w:rPr>
                <w:rFonts w:ascii="Times New Roman" w:hAnsi="Times New Roman" w:cs="Times New Roman"/>
                <w:sz w:val="24"/>
                <w:szCs w:val="24"/>
              </w:rPr>
            </w:pPr>
            <w:r>
              <w:rPr>
                <w:rFonts w:ascii="Times New Roman" w:hAnsi="Times New Roman" w:cs="Times New Roman"/>
                <w:sz w:val="24"/>
                <w:szCs w:val="24"/>
              </w:rPr>
              <w:t>NW Natural</w:t>
            </w:r>
          </w:p>
        </w:tc>
        <w:tc>
          <w:tcPr>
            <w:tcW w:w="5940" w:type="dxa"/>
          </w:tcPr>
          <w:p w:rsidR="00F05D14" w:rsidRDefault="00F05D14" w:rsidP="00132458">
            <w:pPr>
              <w:rPr>
                <w:rFonts w:ascii="Times New Roman" w:hAnsi="Times New Roman" w:cs="Times New Roman"/>
                <w:sz w:val="24"/>
                <w:szCs w:val="24"/>
              </w:rPr>
            </w:pPr>
            <w:r>
              <w:rPr>
                <w:rFonts w:ascii="Times New Roman" w:hAnsi="Times New Roman" w:cs="Times New Roman"/>
                <w:sz w:val="24"/>
                <w:szCs w:val="24"/>
              </w:rPr>
              <w:t>NW Natural strongly recommends that the commission consider the unique differences between gas and electric customer use when assessing the timeline under which a zero-use meter should be investigated. It is not uncommon for a customer that uses natural gas for space heat only to experience zero usage during the spring and fall shoulder months and for the entirety of the summer months. NW Natural’s experience shows that less than 2 percent of accounts with at least six consecutive months of zero usage are related to a meter failure.</w:t>
            </w:r>
          </w:p>
          <w:p w:rsidR="00CB5A2D" w:rsidRDefault="00CB5A2D" w:rsidP="00132458">
            <w:pPr>
              <w:rPr>
                <w:rFonts w:ascii="Times New Roman" w:hAnsi="Times New Roman" w:cs="Times New Roman"/>
                <w:sz w:val="24"/>
                <w:szCs w:val="24"/>
              </w:rPr>
            </w:pPr>
          </w:p>
        </w:tc>
        <w:tc>
          <w:tcPr>
            <w:tcW w:w="4675" w:type="dxa"/>
          </w:tcPr>
          <w:p w:rsidR="00F05D14" w:rsidRDefault="009E147D" w:rsidP="00132458">
            <w:pPr>
              <w:rPr>
                <w:rFonts w:ascii="Times New Roman" w:hAnsi="Times New Roman" w:cs="Times New Roman"/>
                <w:sz w:val="24"/>
                <w:szCs w:val="24"/>
              </w:rPr>
            </w:pPr>
            <w:r>
              <w:rPr>
                <w:rFonts w:ascii="Times New Roman" w:hAnsi="Times New Roman" w:cs="Times New Roman"/>
                <w:sz w:val="24"/>
                <w:szCs w:val="24"/>
              </w:rPr>
              <w:t>Comments noted.</w:t>
            </w:r>
          </w:p>
        </w:tc>
      </w:tr>
      <w:tr w:rsidR="00F05D14" w:rsidTr="00132458">
        <w:tc>
          <w:tcPr>
            <w:tcW w:w="4675" w:type="dxa"/>
            <w:vMerge/>
          </w:tcPr>
          <w:p w:rsidR="00F05D14" w:rsidRDefault="00F05D14" w:rsidP="00132458">
            <w:pPr>
              <w:spacing w:line="264" w:lineRule="auto"/>
              <w:rPr>
                <w:rFonts w:ascii="Times New Roman" w:eastAsia="Calibri" w:hAnsi="Times New Roman" w:cs="Times New Roman"/>
                <w:sz w:val="25"/>
                <w:szCs w:val="25"/>
              </w:rPr>
            </w:pPr>
          </w:p>
        </w:tc>
        <w:tc>
          <w:tcPr>
            <w:tcW w:w="3420" w:type="dxa"/>
          </w:tcPr>
          <w:p w:rsidR="00F05D14" w:rsidRDefault="00F05D14" w:rsidP="00132458">
            <w:pPr>
              <w:rPr>
                <w:rFonts w:ascii="Times New Roman" w:hAnsi="Times New Roman" w:cs="Times New Roman"/>
                <w:sz w:val="24"/>
                <w:szCs w:val="24"/>
              </w:rPr>
            </w:pPr>
            <w:r>
              <w:rPr>
                <w:rFonts w:ascii="Times New Roman" w:hAnsi="Times New Roman" w:cs="Times New Roman"/>
                <w:sz w:val="24"/>
                <w:szCs w:val="24"/>
              </w:rPr>
              <w:t>PSE</w:t>
            </w:r>
          </w:p>
        </w:tc>
        <w:tc>
          <w:tcPr>
            <w:tcW w:w="5940" w:type="dxa"/>
          </w:tcPr>
          <w:p w:rsidR="00F05D14" w:rsidRDefault="00F05D14" w:rsidP="00132458">
            <w:pPr>
              <w:rPr>
                <w:rFonts w:ascii="Times New Roman" w:hAnsi="Times New Roman" w:cs="Times New Roman"/>
                <w:sz w:val="24"/>
                <w:szCs w:val="24"/>
              </w:rPr>
            </w:pPr>
            <w:r>
              <w:rPr>
                <w:rFonts w:ascii="Times New Roman" w:hAnsi="Times New Roman" w:cs="Times New Roman"/>
                <w:sz w:val="24"/>
                <w:szCs w:val="24"/>
              </w:rPr>
              <w:t>At any given time a large number of meters (particularly gas meters) on PSE’s system may show no usage but are valid zero consumption meters. As a result, PSE faces a challenge filtering “valid zero-consumption meters” from zero-consumption usage due to a stopped meter.</w:t>
            </w:r>
          </w:p>
          <w:p w:rsidR="00CB5A2D" w:rsidRDefault="00CB5A2D" w:rsidP="00132458">
            <w:pPr>
              <w:rPr>
                <w:rFonts w:ascii="Times New Roman" w:hAnsi="Times New Roman" w:cs="Times New Roman"/>
                <w:sz w:val="24"/>
                <w:szCs w:val="24"/>
              </w:rPr>
            </w:pPr>
          </w:p>
        </w:tc>
        <w:tc>
          <w:tcPr>
            <w:tcW w:w="4675" w:type="dxa"/>
          </w:tcPr>
          <w:p w:rsidR="00F05D14" w:rsidRDefault="009E147D" w:rsidP="00132458">
            <w:pPr>
              <w:rPr>
                <w:rFonts w:ascii="Times New Roman" w:hAnsi="Times New Roman" w:cs="Times New Roman"/>
                <w:sz w:val="24"/>
                <w:szCs w:val="24"/>
              </w:rPr>
            </w:pPr>
            <w:r>
              <w:rPr>
                <w:rFonts w:ascii="Times New Roman" w:hAnsi="Times New Roman" w:cs="Times New Roman"/>
                <w:sz w:val="24"/>
                <w:szCs w:val="24"/>
              </w:rPr>
              <w:t>Comments noted.</w:t>
            </w:r>
          </w:p>
        </w:tc>
      </w:tr>
      <w:tr w:rsidR="00F05D14" w:rsidTr="00132458">
        <w:tc>
          <w:tcPr>
            <w:tcW w:w="4675" w:type="dxa"/>
          </w:tcPr>
          <w:p w:rsidR="00F05D14" w:rsidRDefault="00F05D14" w:rsidP="00132458">
            <w:pPr>
              <w:spacing w:line="264" w:lineRule="auto"/>
              <w:rPr>
                <w:rFonts w:ascii="Times New Roman" w:eastAsia="Calibri" w:hAnsi="Times New Roman" w:cs="Times New Roman"/>
                <w:sz w:val="25"/>
                <w:szCs w:val="25"/>
              </w:rPr>
            </w:pPr>
            <w:r>
              <w:rPr>
                <w:rFonts w:ascii="Times New Roman" w:eastAsia="Calibri" w:hAnsi="Times New Roman" w:cs="Times New Roman"/>
                <w:sz w:val="25"/>
                <w:szCs w:val="25"/>
              </w:rPr>
              <w:t>Corrected Billings</w:t>
            </w:r>
          </w:p>
        </w:tc>
        <w:tc>
          <w:tcPr>
            <w:tcW w:w="3420" w:type="dxa"/>
          </w:tcPr>
          <w:p w:rsidR="00F05D14" w:rsidRDefault="00F05D14" w:rsidP="00132458">
            <w:pPr>
              <w:rPr>
                <w:rFonts w:ascii="Times New Roman" w:hAnsi="Times New Roman" w:cs="Times New Roman"/>
                <w:sz w:val="24"/>
                <w:szCs w:val="24"/>
              </w:rPr>
            </w:pPr>
            <w:r>
              <w:rPr>
                <w:rFonts w:ascii="Times New Roman" w:hAnsi="Times New Roman" w:cs="Times New Roman"/>
                <w:sz w:val="24"/>
                <w:szCs w:val="24"/>
              </w:rPr>
              <w:t>NW Natural</w:t>
            </w:r>
          </w:p>
        </w:tc>
        <w:tc>
          <w:tcPr>
            <w:tcW w:w="5940" w:type="dxa"/>
          </w:tcPr>
          <w:p w:rsidR="00F05D14" w:rsidRDefault="00F05D14" w:rsidP="00132458">
            <w:pPr>
              <w:rPr>
                <w:rFonts w:ascii="Times New Roman" w:hAnsi="Times New Roman" w:cs="Times New Roman"/>
                <w:sz w:val="24"/>
                <w:szCs w:val="24"/>
              </w:rPr>
            </w:pPr>
            <w:r>
              <w:rPr>
                <w:rFonts w:ascii="Times New Roman" w:hAnsi="Times New Roman" w:cs="Times New Roman"/>
                <w:sz w:val="24"/>
                <w:szCs w:val="24"/>
              </w:rPr>
              <w:t>NW Natural encourages the commission to consider how far back a corrected bill should be issued. In addition, the company encourages the commission to provide sufficient flexibility to make the correction.</w:t>
            </w:r>
          </w:p>
          <w:p w:rsidR="00CB5A2D" w:rsidRDefault="00CB5A2D" w:rsidP="00132458">
            <w:pPr>
              <w:rPr>
                <w:rFonts w:ascii="Times New Roman" w:hAnsi="Times New Roman" w:cs="Times New Roman"/>
                <w:sz w:val="24"/>
                <w:szCs w:val="24"/>
              </w:rPr>
            </w:pPr>
          </w:p>
        </w:tc>
        <w:tc>
          <w:tcPr>
            <w:tcW w:w="4675" w:type="dxa"/>
          </w:tcPr>
          <w:p w:rsidR="00F05D14" w:rsidRDefault="009E147D" w:rsidP="00132458">
            <w:pPr>
              <w:rPr>
                <w:rFonts w:ascii="Times New Roman" w:hAnsi="Times New Roman" w:cs="Times New Roman"/>
                <w:sz w:val="24"/>
                <w:szCs w:val="24"/>
              </w:rPr>
            </w:pPr>
            <w:r>
              <w:rPr>
                <w:rFonts w:ascii="Times New Roman" w:hAnsi="Times New Roman" w:cs="Times New Roman"/>
                <w:sz w:val="24"/>
                <w:szCs w:val="24"/>
              </w:rPr>
              <w:t>Comments noted.</w:t>
            </w:r>
          </w:p>
        </w:tc>
      </w:tr>
    </w:tbl>
    <w:p w:rsidR="0026387A" w:rsidRPr="0026387A" w:rsidRDefault="00132458" w:rsidP="0026387A">
      <w:pPr>
        <w:rPr>
          <w:rFonts w:ascii="Times New Roman" w:hAnsi="Times New Roman" w:cs="Times New Roman"/>
          <w:sz w:val="24"/>
          <w:szCs w:val="24"/>
        </w:rPr>
      </w:pPr>
      <w:r>
        <w:rPr>
          <w:rFonts w:ascii="Times New Roman" w:hAnsi="Times New Roman" w:cs="Times New Roman"/>
          <w:sz w:val="24"/>
          <w:szCs w:val="24"/>
        </w:rPr>
        <w:br w:type="textWrapping" w:clear="all"/>
      </w:r>
    </w:p>
    <w:sectPr w:rsidR="0026387A" w:rsidRPr="0026387A" w:rsidSect="00FC42D6">
      <w:headerReference w:type="default" r:id="rId11"/>
      <w:footerReference w:type="default" r:id="rId12"/>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F8" w:rsidRDefault="000E43F8" w:rsidP="00710C01">
      <w:pPr>
        <w:spacing w:after="0" w:line="240" w:lineRule="auto"/>
      </w:pPr>
      <w:r>
        <w:separator/>
      </w:r>
    </w:p>
  </w:endnote>
  <w:endnote w:type="continuationSeparator" w:id="0">
    <w:p w:rsidR="000E43F8" w:rsidRDefault="000E43F8" w:rsidP="0071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071121"/>
      <w:docPartObj>
        <w:docPartGallery w:val="Page Numbers (Bottom of Page)"/>
        <w:docPartUnique/>
      </w:docPartObj>
    </w:sdtPr>
    <w:sdtEndPr>
      <w:rPr>
        <w:noProof/>
      </w:rPr>
    </w:sdtEndPr>
    <w:sdtContent>
      <w:p w:rsidR="00AD6E16" w:rsidRDefault="00AD6E16">
        <w:pPr>
          <w:pStyle w:val="Footer"/>
          <w:jc w:val="center"/>
        </w:pPr>
        <w:r>
          <w:fldChar w:fldCharType="begin"/>
        </w:r>
        <w:r>
          <w:instrText xml:space="preserve"> PAGE   \* MERGEFORMAT </w:instrText>
        </w:r>
        <w:r>
          <w:fldChar w:fldCharType="separate"/>
        </w:r>
        <w:r w:rsidR="00920CE5">
          <w:rPr>
            <w:noProof/>
          </w:rPr>
          <w:t>11</w:t>
        </w:r>
        <w:r>
          <w:rPr>
            <w:noProof/>
          </w:rPr>
          <w:fldChar w:fldCharType="end"/>
        </w:r>
      </w:p>
    </w:sdtContent>
  </w:sdt>
  <w:p w:rsidR="00AD6E16" w:rsidRDefault="00AD6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F8" w:rsidRDefault="000E43F8" w:rsidP="00710C01">
      <w:pPr>
        <w:spacing w:after="0" w:line="240" w:lineRule="auto"/>
      </w:pPr>
      <w:r>
        <w:separator/>
      </w:r>
    </w:p>
  </w:footnote>
  <w:footnote w:type="continuationSeparator" w:id="0">
    <w:p w:rsidR="000E43F8" w:rsidRDefault="000E43F8" w:rsidP="00710C01">
      <w:pPr>
        <w:spacing w:after="0" w:line="240" w:lineRule="auto"/>
      </w:pPr>
      <w:r>
        <w:continuationSeparator/>
      </w:r>
    </w:p>
  </w:footnote>
  <w:footnote w:id="1">
    <w:p w:rsidR="00B60893" w:rsidRDefault="00B60893">
      <w:pPr>
        <w:pStyle w:val="FootnoteText"/>
      </w:pPr>
      <w:r>
        <w:rPr>
          <w:rStyle w:val="FootnoteReference"/>
        </w:rPr>
        <w:footnoteRef/>
      </w:r>
      <w:r>
        <w:t xml:space="preserve"> Cascade Natural Gas does not track this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677"/>
      <w:gridCol w:w="3418"/>
      <w:gridCol w:w="5937"/>
      <w:gridCol w:w="4678"/>
    </w:tblGrid>
    <w:tr w:rsidR="00FC42D6" w:rsidRPr="0026387A" w:rsidTr="00873E66">
      <w:tc>
        <w:tcPr>
          <w:tcW w:w="4677" w:type="dxa"/>
        </w:tcPr>
        <w:p w:rsidR="00FC42D6" w:rsidRPr="0026387A" w:rsidRDefault="00FC42D6" w:rsidP="00FC42D6">
          <w:pPr>
            <w:rPr>
              <w:rFonts w:ascii="Times New Roman" w:hAnsi="Times New Roman" w:cs="Times New Roman"/>
              <w:b/>
              <w:sz w:val="24"/>
              <w:szCs w:val="24"/>
            </w:rPr>
          </w:pPr>
          <w:r w:rsidRPr="0026387A">
            <w:rPr>
              <w:rFonts w:ascii="Times New Roman" w:hAnsi="Times New Roman" w:cs="Times New Roman"/>
              <w:b/>
              <w:sz w:val="24"/>
              <w:szCs w:val="24"/>
            </w:rPr>
            <w:t>Issue</w:t>
          </w:r>
        </w:p>
      </w:tc>
      <w:tc>
        <w:tcPr>
          <w:tcW w:w="3418" w:type="dxa"/>
        </w:tcPr>
        <w:p w:rsidR="00FC42D6" w:rsidRPr="0026387A" w:rsidRDefault="00FC42D6" w:rsidP="00FC42D6">
          <w:pPr>
            <w:rPr>
              <w:rFonts w:ascii="Times New Roman" w:hAnsi="Times New Roman" w:cs="Times New Roman"/>
              <w:b/>
              <w:sz w:val="24"/>
              <w:szCs w:val="24"/>
            </w:rPr>
          </w:pPr>
          <w:r w:rsidRPr="0026387A">
            <w:rPr>
              <w:rFonts w:ascii="Times New Roman" w:hAnsi="Times New Roman" w:cs="Times New Roman"/>
              <w:b/>
              <w:sz w:val="24"/>
              <w:szCs w:val="24"/>
            </w:rPr>
            <w:t>Company/Agency</w:t>
          </w:r>
          <w:r>
            <w:rPr>
              <w:rFonts w:ascii="Times New Roman" w:hAnsi="Times New Roman" w:cs="Times New Roman"/>
              <w:b/>
              <w:sz w:val="24"/>
              <w:szCs w:val="24"/>
            </w:rPr>
            <w:t xml:space="preserve"> Name</w:t>
          </w:r>
        </w:p>
      </w:tc>
      <w:tc>
        <w:tcPr>
          <w:tcW w:w="5937" w:type="dxa"/>
        </w:tcPr>
        <w:p w:rsidR="00FC42D6" w:rsidRPr="0026387A" w:rsidRDefault="00FC42D6" w:rsidP="00FC42D6">
          <w:pPr>
            <w:rPr>
              <w:rFonts w:ascii="Times New Roman" w:hAnsi="Times New Roman" w:cs="Times New Roman"/>
              <w:b/>
              <w:sz w:val="24"/>
              <w:szCs w:val="24"/>
            </w:rPr>
          </w:pPr>
          <w:r>
            <w:rPr>
              <w:rFonts w:ascii="Times New Roman" w:hAnsi="Times New Roman" w:cs="Times New Roman"/>
              <w:b/>
              <w:sz w:val="24"/>
              <w:szCs w:val="24"/>
            </w:rPr>
            <w:t>Company/Agency Response</w:t>
          </w:r>
        </w:p>
      </w:tc>
      <w:tc>
        <w:tcPr>
          <w:tcW w:w="4678" w:type="dxa"/>
        </w:tcPr>
        <w:p w:rsidR="00FC42D6" w:rsidRPr="0026387A" w:rsidRDefault="00FC42D6" w:rsidP="001B5824">
          <w:pPr>
            <w:rPr>
              <w:rFonts w:ascii="Times New Roman" w:hAnsi="Times New Roman" w:cs="Times New Roman"/>
              <w:b/>
              <w:sz w:val="24"/>
              <w:szCs w:val="24"/>
            </w:rPr>
          </w:pPr>
          <w:r w:rsidRPr="0026387A">
            <w:rPr>
              <w:rFonts w:ascii="Times New Roman" w:hAnsi="Times New Roman" w:cs="Times New Roman"/>
              <w:b/>
              <w:sz w:val="24"/>
              <w:szCs w:val="24"/>
            </w:rPr>
            <w:t xml:space="preserve">Staff </w:t>
          </w:r>
          <w:r w:rsidR="001B5824">
            <w:rPr>
              <w:rFonts w:ascii="Times New Roman" w:hAnsi="Times New Roman" w:cs="Times New Roman"/>
              <w:b/>
              <w:sz w:val="24"/>
              <w:szCs w:val="24"/>
            </w:rPr>
            <w:t>Comments</w:t>
          </w:r>
        </w:p>
      </w:tc>
    </w:tr>
  </w:tbl>
  <w:p w:rsidR="00710C01" w:rsidRDefault="00710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00A"/>
    <w:multiLevelType w:val="hybridMultilevel"/>
    <w:tmpl w:val="3F60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F2D5F"/>
    <w:multiLevelType w:val="hybridMultilevel"/>
    <w:tmpl w:val="1A70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0D3ABC"/>
    <w:multiLevelType w:val="hybridMultilevel"/>
    <w:tmpl w:val="207C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7C5"/>
    <w:multiLevelType w:val="hybridMultilevel"/>
    <w:tmpl w:val="E8DA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B7AB8"/>
    <w:multiLevelType w:val="hybridMultilevel"/>
    <w:tmpl w:val="63E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1478B"/>
    <w:multiLevelType w:val="hybridMultilevel"/>
    <w:tmpl w:val="A1B6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E15DB"/>
    <w:multiLevelType w:val="hybridMultilevel"/>
    <w:tmpl w:val="FB4E75E6"/>
    <w:lvl w:ilvl="0" w:tplc="C1A2EADE">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285D3838"/>
    <w:multiLevelType w:val="hybridMultilevel"/>
    <w:tmpl w:val="143A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A7E08"/>
    <w:multiLevelType w:val="hybridMultilevel"/>
    <w:tmpl w:val="31E44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9A4734"/>
    <w:multiLevelType w:val="hybridMultilevel"/>
    <w:tmpl w:val="F5F456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D">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4C63C6"/>
    <w:multiLevelType w:val="hybridMultilevel"/>
    <w:tmpl w:val="BB0C3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F960D3"/>
    <w:multiLevelType w:val="hybridMultilevel"/>
    <w:tmpl w:val="7986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F7A65"/>
    <w:multiLevelType w:val="hybridMultilevel"/>
    <w:tmpl w:val="AAF2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62C37"/>
    <w:multiLevelType w:val="hybridMultilevel"/>
    <w:tmpl w:val="0D00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55E1B"/>
    <w:multiLevelType w:val="hybridMultilevel"/>
    <w:tmpl w:val="B5F04EC4"/>
    <w:lvl w:ilvl="0" w:tplc="B7969F3E">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nsid w:val="4F8D132F"/>
    <w:multiLevelType w:val="hybridMultilevel"/>
    <w:tmpl w:val="4B76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629EF"/>
    <w:multiLevelType w:val="hybridMultilevel"/>
    <w:tmpl w:val="BC2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EC05EF"/>
    <w:multiLevelType w:val="hybridMultilevel"/>
    <w:tmpl w:val="B11E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8515D"/>
    <w:multiLevelType w:val="hybridMultilevel"/>
    <w:tmpl w:val="2A00CD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F43108"/>
    <w:multiLevelType w:val="hybridMultilevel"/>
    <w:tmpl w:val="2FE83D44"/>
    <w:lvl w:ilvl="0" w:tplc="B862FE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
  </w:num>
  <w:num w:numId="4">
    <w:abstractNumId w:val="18"/>
  </w:num>
  <w:num w:numId="5">
    <w:abstractNumId w:val="12"/>
  </w:num>
  <w:num w:numId="6">
    <w:abstractNumId w:val="16"/>
  </w:num>
  <w:num w:numId="7">
    <w:abstractNumId w:val="2"/>
  </w:num>
  <w:num w:numId="8">
    <w:abstractNumId w:val="13"/>
  </w:num>
  <w:num w:numId="9">
    <w:abstractNumId w:val="5"/>
  </w:num>
  <w:num w:numId="10">
    <w:abstractNumId w:val="0"/>
  </w:num>
  <w:num w:numId="11">
    <w:abstractNumId w:val="7"/>
  </w:num>
  <w:num w:numId="12">
    <w:abstractNumId w:val="3"/>
  </w:num>
  <w:num w:numId="13">
    <w:abstractNumId w:val="15"/>
  </w:num>
  <w:num w:numId="14">
    <w:abstractNumId w:val="11"/>
  </w:num>
  <w:num w:numId="15">
    <w:abstractNumId w:val="10"/>
  </w:num>
  <w:num w:numId="16">
    <w:abstractNumId w:val="4"/>
  </w:num>
  <w:num w:numId="17">
    <w:abstractNumId w:val="6"/>
  </w:num>
  <w:num w:numId="18">
    <w:abstractNumId w:val="14"/>
  </w:num>
  <w:num w:numId="19">
    <w:abstractNumId w:val="9"/>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7A"/>
    <w:rsid w:val="000351BC"/>
    <w:rsid w:val="00035E82"/>
    <w:rsid w:val="00037EA0"/>
    <w:rsid w:val="0005307C"/>
    <w:rsid w:val="00075A21"/>
    <w:rsid w:val="00083FB7"/>
    <w:rsid w:val="000A5676"/>
    <w:rsid w:val="000E38EF"/>
    <w:rsid w:val="000E43F8"/>
    <w:rsid w:val="000F3622"/>
    <w:rsid w:val="000F661F"/>
    <w:rsid w:val="00100D92"/>
    <w:rsid w:val="0010395C"/>
    <w:rsid w:val="00111820"/>
    <w:rsid w:val="00115EE3"/>
    <w:rsid w:val="00132233"/>
    <w:rsid w:val="00132458"/>
    <w:rsid w:val="00136936"/>
    <w:rsid w:val="001436A3"/>
    <w:rsid w:val="00170422"/>
    <w:rsid w:val="00173EDD"/>
    <w:rsid w:val="00180E78"/>
    <w:rsid w:val="00192DFA"/>
    <w:rsid w:val="001975CA"/>
    <w:rsid w:val="001A1ADD"/>
    <w:rsid w:val="001B33C3"/>
    <w:rsid w:val="001B5824"/>
    <w:rsid w:val="001D44AC"/>
    <w:rsid w:val="001E457A"/>
    <w:rsid w:val="00216C07"/>
    <w:rsid w:val="00221876"/>
    <w:rsid w:val="00234258"/>
    <w:rsid w:val="00246113"/>
    <w:rsid w:val="00255536"/>
    <w:rsid w:val="0026387A"/>
    <w:rsid w:val="00273A0D"/>
    <w:rsid w:val="002A5F1D"/>
    <w:rsid w:val="002B188D"/>
    <w:rsid w:val="002F6E97"/>
    <w:rsid w:val="003016DD"/>
    <w:rsid w:val="00374456"/>
    <w:rsid w:val="0039349F"/>
    <w:rsid w:val="003C037B"/>
    <w:rsid w:val="003C6486"/>
    <w:rsid w:val="003E4BA0"/>
    <w:rsid w:val="00453451"/>
    <w:rsid w:val="004823DC"/>
    <w:rsid w:val="004834D9"/>
    <w:rsid w:val="004A0D04"/>
    <w:rsid w:val="004E3CAA"/>
    <w:rsid w:val="004F05F1"/>
    <w:rsid w:val="005363F7"/>
    <w:rsid w:val="00536868"/>
    <w:rsid w:val="0054512D"/>
    <w:rsid w:val="0055227D"/>
    <w:rsid w:val="00553402"/>
    <w:rsid w:val="005D0AF2"/>
    <w:rsid w:val="005E0B4D"/>
    <w:rsid w:val="00602B54"/>
    <w:rsid w:val="00603C4F"/>
    <w:rsid w:val="00641AC6"/>
    <w:rsid w:val="00650BB4"/>
    <w:rsid w:val="006A124D"/>
    <w:rsid w:val="006B5AB7"/>
    <w:rsid w:val="006D1F6F"/>
    <w:rsid w:val="006F19FF"/>
    <w:rsid w:val="006F36BB"/>
    <w:rsid w:val="006F641F"/>
    <w:rsid w:val="00710C01"/>
    <w:rsid w:val="00710D76"/>
    <w:rsid w:val="00711229"/>
    <w:rsid w:val="00745E50"/>
    <w:rsid w:val="00747301"/>
    <w:rsid w:val="007A7E2A"/>
    <w:rsid w:val="007D0DDF"/>
    <w:rsid w:val="00806EC7"/>
    <w:rsid w:val="00823105"/>
    <w:rsid w:val="00843898"/>
    <w:rsid w:val="00847F37"/>
    <w:rsid w:val="008826D1"/>
    <w:rsid w:val="00896E8D"/>
    <w:rsid w:val="008A6ECD"/>
    <w:rsid w:val="008B794F"/>
    <w:rsid w:val="008F00D4"/>
    <w:rsid w:val="00906F15"/>
    <w:rsid w:val="009114C6"/>
    <w:rsid w:val="00920CE5"/>
    <w:rsid w:val="00924D0C"/>
    <w:rsid w:val="009341C0"/>
    <w:rsid w:val="0098420E"/>
    <w:rsid w:val="00986671"/>
    <w:rsid w:val="009E147D"/>
    <w:rsid w:val="009F5CE5"/>
    <w:rsid w:val="00A30570"/>
    <w:rsid w:val="00A37CC0"/>
    <w:rsid w:val="00A5021C"/>
    <w:rsid w:val="00A617BD"/>
    <w:rsid w:val="00A61CD4"/>
    <w:rsid w:val="00A637A3"/>
    <w:rsid w:val="00A76F7B"/>
    <w:rsid w:val="00A9380B"/>
    <w:rsid w:val="00AA5C40"/>
    <w:rsid w:val="00AD6E16"/>
    <w:rsid w:val="00B033C3"/>
    <w:rsid w:val="00B26DA7"/>
    <w:rsid w:val="00B36B91"/>
    <w:rsid w:val="00B60893"/>
    <w:rsid w:val="00B64DE2"/>
    <w:rsid w:val="00BA5C2C"/>
    <w:rsid w:val="00BC1FE3"/>
    <w:rsid w:val="00BC219E"/>
    <w:rsid w:val="00BC26FE"/>
    <w:rsid w:val="00BE38F5"/>
    <w:rsid w:val="00BF6F17"/>
    <w:rsid w:val="00C00290"/>
    <w:rsid w:val="00C01C35"/>
    <w:rsid w:val="00C07CED"/>
    <w:rsid w:val="00C11F37"/>
    <w:rsid w:val="00C14BFD"/>
    <w:rsid w:val="00C329DB"/>
    <w:rsid w:val="00C362E9"/>
    <w:rsid w:val="00C45AAC"/>
    <w:rsid w:val="00C51232"/>
    <w:rsid w:val="00C55179"/>
    <w:rsid w:val="00C60B55"/>
    <w:rsid w:val="00C66992"/>
    <w:rsid w:val="00C7629C"/>
    <w:rsid w:val="00C86223"/>
    <w:rsid w:val="00C924B4"/>
    <w:rsid w:val="00CB5A2D"/>
    <w:rsid w:val="00CD4709"/>
    <w:rsid w:val="00CE37DD"/>
    <w:rsid w:val="00D17816"/>
    <w:rsid w:val="00D25D91"/>
    <w:rsid w:val="00D3771F"/>
    <w:rsid w:val="00D54BF4"/>
    <w:rsid w:val="00D76DC5"/>
    <w:rsid w:val="00D831FC"/>
    <w:rsid w:val="00D84F4C"/>
    <w:rsid w:val="00DB32F6"/>
    <w:rsid w:val="00DC12A7"/>
    <w:rsid w:val="00DC186B"/>
    <w:rsid w:val="00DD36D9"/>
    <w:rsid w:val="00DD4986"/>
    <w:rsid w:val="00E00C47"/>
    <w:rsid w:val="00E01D35"/>
    <w:rsid w:val="00E23257"/>
    <w:rsid w:val="00E5278E"/>
    <w:rsid w:val="00F05D14"/>
    <w:rsid w:val="00F10CE2"/>
    <w:rsid w:val="00F1341B"/>
    <w:rsid w:val="00F1793E"/>
    <w:rsid w:val="00F44B94"/>
    <w:rsid w:val="00F614D7"/>
    <w:rsid w:val="00F62506"/>
    <w:rsid w:val="00F91C52"/>
    <w:rsid w:val="00F96385"/>
    <w:rsid w:val="00FC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A6750D-B2D1-47B3-ABDA-6E967B7C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C01"/>
  </w:style>
  <w:style w:type="paragraph" w:styleId="Footer">
    <w:name w:val="footer"/>
    <w:basedOn w:val="Normal"/>
    <w:link w:val="FooterChar"/>
    <w:uiPriority w:val="99"/>
    <w:unhideWhenUsed/>
    <w:rsid w:val="0071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01"/>
  </w:style>
  <w:style w:type="paragraph" w:styleId="BalloonText">
    <w:name w:val="Balloon Text"/>
    <w:basedOn w:val="Normal"/>
    <w:link w:val="BalloonTextChar"/>
    <w:uiPriority w:val="99"/>
    <w:semiHidden/>
    <w:unhideWhenUsed/>
    <w:rsid w:val="00906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F15"/>
    <w:rPr>
      <w:rFonts w:ascii="Segoe UI" w:hAnsi="Segoe UI" w:cs="Segoe UI"/>
      <w:sz w:val="18"/>
      <w:szCs w:val="18"/>
    </w:rPr>
  </w:style>
  <w:style w:type="character" w:styleId="CommentReference">
    <w:name w:val="annotation reference"/>
    <w:basedOn w:val="DefaultParagraphFont"/>
    <w:uiPriority w:val="99"/>
    <w:semiHidden/>
    <w:unhideWhenUsed/>
    <w:rsid w:val="002F6E97"/>
    <w:rPr>
      <w:sz w:val="16"/>
      <w:szCs w:val="16"/>
    </w:rPr>
  </w:style>
  <w:style w:type="paragraph" w:styleId="CommentText">
    <w:name w:val="annotation text"/>
    <w:basedOn w:val="Normal"/>
    <w:link w:val="CommentTextChar"/>
    <w:uiPriority w:val="99"/>
    <w:semiHidden/>
    <w:unhideWhenUsed/>
    <w:rsid w:val="002F6E97"/>
    <w:pPr>
      <w:spacing w:line="240" w:lineRule="auto"/>
    </w:pPr>
    <w:rPr>
      <w:sz w:val="20"/>
      <w:szCs w:val="20"/>
    </w:rPr>
  </w:style>
  <w:style w:type="character" w:customStyle="1" w:styleId="CommentTextChar">
    <w:name w:val="Comment Text Char"/>
    <w:basedOn w:val="DefaultParagraphFont"/>
    <w:link w:val="CommentText"/>
    <w:uiPriority w:val="99"/>
    <w:semiHidden/>
    <w:rsid w:val="002F6E97"/>
    <w:rPr>
      <w:sz w:val="20"/>
      <w:szCs w:val="20"/>
    </w:rPr>
  </w:style>
  <w:style w:type="paragraph" w:styleId="CommentSubject">
    <w:name w:val="annotation subject"/>
    <w:basedOn w:val="CommentText"/>
    <w:next w:val="CommentText"/>
    <w:link w:val="CommentSubjectChar"/>
    <w:uiPriority w:val="99"/>
    <w:semiHidden/>
    <w:unhideWhenUsed/>
    <w:rsid w:val="002F6E97"/>
    <w:rPr>
      <w:b/>
      <w:bCs/>
    </w:rPr>
  </w:style>
  <w:style w:type="character" w:customStyle="1" w:styleId="CommentSubjectChar">
    <w:name w:val="Comment Subject Char"/>
    <w:basedOn w:val="CommentTextChar"/>
    <w:link w:val="CommentSubject"/>
    <w:uiPriority w:val="99"/>
    <w:semiHidden/>
    <w:rsid w:val="002F6E97"/>
    <w:rPr>
      <w:b/>
      <w:bCs/>
      <w:sz w:val="20"/>
      <w:szCs w:val="20"/>
    </w:rPr>
  </w:style>
  <w:style w:type="paragraph" w:styleId="Revision">
    <w:name w:val="Revision"/>
    <w:hidden/>
    <w:uiPriority w:val="99"/>
    <w:semiHidden/>
    <w:rsid w:val="00650BB4"/>
    <w:pPr>
      <w:spacing w:after="0" w:line="240" w:lineRule="auto"/>
    </w:pPr>
  </w:style>
  <w:style w:type="paragraph" w:styleId="ListParagraph">
    <w:name w:val="List Paragraph"/>
    <w:basedOn w:val="Normal"/>
    <w:uiPriority w:val="34"/>
    <w:qFormat/>
    <w:rsid w:val="00A61CD4"/>
    <w:pPr>
      <w:ind w:left="720"/>
      <w:contextualSpacing/>
    </w:pPr>
  </w:style>
  <w:style w:type="paragraph" w:styleId="FootnoteText">
    <w:name w:val="footnote text"/>
    <w:basedOn w:val="Normal"/>
    <w:link w:val="FootnoteTextChar"/>
    <w:uiPriority w:val="99"/>
    <w:semiHidden/>
    <w:unhideWhenUsed/>
    <w:rsid w:val="00E52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78E"/>
    <w:rPr>
      <w:sz w:val="20"/>
      <w:szCs w:val="20"/>
    </w:rPr>
  </w:style>
  <w:style w:type="character" w:styleId="FootnoteReference">
    <w:name w:val="footnote reference"/>
    <w:basedOn w:val="DefaultParagraphFont"/>
    <w:uiPriority w:val="99"/>
    <w:semiHidden/>
    <w:unhideWhenUsed/>
    <w:rsid w:val="00E52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0826">
      <w:bodyDiv w:val="1"/>
      <w:marLeft w:val="0"/>
      <w:marRight w:val="0"/>
      <w:marTop w:val="0"/>
      <w:marBottom w:val="0"/>
      <w:divBdr>
        <w:top w:val="none" w:sz="0" w:space="0" w:color="auto"/>
        <w:left w:val="none" w:sz="0" w:space="0" w:color="auto"/>
        <w:bottom w:val="none" w:sz="0" w:space="0" w:color="auto"/>
        <w:right w:val="none" w:sz="0" w:space="0" w:color="auto"/>
      </w:divBdr>
    </w:div>
    <w:div w:id="160972017">
      <w:bodyDiv w:val="1"/>
      <w:marLeft w:val="0"/>
      <w:marRight w:val="0"/>
      <w:marTop w:val="0"/>
      <w:marBottom w:val="0"/>
      <w:divBdr>
        <w:top w:val="none" w:sz="0" w:space="0" w:color="auto"/>
        <w:left w:val="none" w:sz="0" w:space="0" w:color="auto"/>
        <w:bottom w:val="none" w:sz="0" w:space="0" w:color="auto"/>
        <w:right w:val="none" w:sz="0" w:space="0" w:color="auto"/>
      </w:divBdr>
    </w:div>
    <w:div w:id="232472328">
      <w:bodyDiv w:val="1"/>
      <w:marLeft w:val="0"/>
      <w:marRight w:val="0"/>
      <w:marTop w:val="0"/>
      <w:marBottom w:val="0"/>
      <w:divBdr>
        <w:top w:val="none" w:sz="0" w:space="0" w:color="auto"/>
        <w:left w:val="none" w:sz="0" w:space="0" w:color="auto"/>
        <w:bottom w:val="none" w:sz="0" w:space="0" w:color="auto"/>
        <w:right w:val="none" w:sz="0" w:space="0" w:color="auto"/>
      </w:divBdr>
    </w:div>
    <w:div w:id="933438030">
      <w:bodyDiv w:val="1"/>
      <w:marLeft w:val="0"/>
      <w:marRight w:val="0"/>
      <w:marTop w:val="0"/>
      <w:marBottom w:val="0"/>
      <w:divBdr>
        <w:top w:val="none" w:sz="0" w:space="0" w:color="auto"/>
        <w:left w:val="none" w:sz="0" w:space="0" w:color="auto"/>
        <w:bottom w:val="none" w:sz="0" w:space="0" w:color="auto"/>
        <w:right w:val="none" w:sz="0" w:space="0" w:color="auto"/>
      </w:divBdr>
    </w:div>
    <w:div w:id="949506065">
      <w:bodyDiv w:val="1"/>
      <w:marLeft w:val="0"/>
      <w:marRight w:val="0"/>
      <w:marTop w:val="0"/>
      <w:marBottom w:val="0"/>
      <w:divBdr>
        <w:top w:val="none" w:sz="0" w:space="0" w:color="auto"/>
        <w:left w:val="none" w:sz="0" w:space="0" w:color="auto"/>
        <w:bottom w:val="none" w:sz="0" w:space="0" w:color="auto"/>
        <w:right w:val="none" w:sz="0" w:space="0" w:color="auto"/>
      </w:divBdr>
    </w:div>
    <w:div w:id="1301308532">
      <w:bodyDiv w:val="1"/>
      <w:marLeft w:val="0"/>
      <w:marRight w:val="0"/>
      <w:marTop w:val="0"/>
      <w:marBottom w:val="0"/>
      <w:divBdr>
        <w:top w:val="none" w:sz="0" w:space="0" w:color="auto"/>
        <w:left w:val="none" w:sz="0" w:space="0" w:color="auto"/>
        <w:bottom w:val="none" w:sz="0" w:space="0" w:color="auto"/>
        <w:right w:val="none" w:sz="0" w:space="0" w:color="auto"/>
      </w:divBdr>
    </w:div>
    <w:div w:id="20444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2015-05-14T16:33:22+00:00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40823-CFC5-4177-BD7A-C2E2D2679A04}"/>
</file>

<file path=customXml/itemProps2.xml><?xml version="1.0" encoding="utf-8"?>
<ds:datastoreItem xmlns:ds="http://schemas.openxmlformats.org/officeDocument/2006/customXml" ds:itemID="{B1A88EBB-7524-4E41-94CD-BCBE9DAED146}"/>
</file>

<file path=customXml/itemProps3.xml><?xml version="1.0" encoding="utf-8"?>
<ds:datastoreItem xmlns:ds="http://schemas.openxmlformats.org/officeDocument/2006/customXml" ds:itemID="{9CAD85E8-2569-432E-B8E2-5175F966DC97}"/>
</file>

<file path=customXml/itemProps4.xml><?xml version="1.0" encoding="utf-8"?>
<ds:datastoreItem xmlns:ds="http://schemas.openxmlformats.org/officeDocument/2006/customXml" ds:itemID="{7D572205-22F0-4508-8E39-94E882E9974A}"/>
</file>

<file path=customXml/itemProps5.xml><?xml version="1.0" encoding="utf-8"?>
<ds:datastoreItem xmlns:ds="http://schemas.openxmlformats.org/officeDocument/2006/customXml" ds:itemID="{436B1B2E-10FA-45A6-ABBF-8549A38B638A}"/>
</file>

<file path=docProps/app.xml><?xml version="1.0" encoding="utf-8"?>
<Properties xmlns="http://schemas.openxmlformats.org/officeDocument/2006/extended-properties" xmlns:vt="http://schemas.openxmlformats.org/officeDocument/2006/docPropsVTypes">
  <Template>Normal</Template>
  <TotalTime>0</TotalTime>
  <Pages>11</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Chris (UTC)</dc:creator>
  <cp:keywords/>
  <dc:description/>
  <cp:lastModifiedBy>Kouchi, Roger (UTC)</cp:lastModifiedBy>
  <cp:revision>2</cp:revision>
  <cp:lastPrinted>2015-04-30T17:19:00Z</cp:lastPrinted>
  <dcterms:created xsi:type="dcterms:W3CDTF">2015-05-15T15:06:00Z</dcterms:created>
  <dcterms:modified xsi:type="dcterms:W3CDTF">2015-05-15T15:06:00Z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