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D1" w:rsidRDefault="000504B8" w:rsidP="00567203">
      <w:pPr>
        <w:ind w:firstLine="720"/>
        <w:rPr>
          <w:rFonts w:asciiTheme="minorHAnsi" w:hAnsiTheme="minorHAnsi" w:cstheme="minorHAnsi"/>
          <w:color w:val="000000"/>
          <w:position w:val="16"/>
        </w:rPr>
      </w:pPr>
      <w:r w:rsidRPr="008711ED">
        <w:rPr>
          <w:rFonts w:asciiTheme="minorHAnsi" w:hAnsiTheme="minorHAnsi" w:cstheme="minorHAnsi"/>
          <w:b/>
          <w:color w:val="000000"/>
          <w:position w:val="16"/>
        </w:rPr>
        <w:t>WAC 480-123-060</w:t>
      </w:r>
      <w:r w:rsidR="008711ED">
        <w:rPr>
          <w:rFonts w:asciiTheme="minorHAnsi" w:hAnsiTheme="minorHAnsi" w:cstheme="minorHAnsi"/>
          <w:b/>
          <w:color w:val="000000"/>
          <w:position w:val="16"/>
        </w:rPr>
        <w:t xml:space="preserve">  Eligible Telecommunications Carriers -</w:t>
      </w:r>
      <w:r w:rsidRPr="008711ED">
        <w:rPr>
          <w:rFonts w:asciiTheme="minorHAnsi" w:hAnsiTheme="minorHAnsi" w:cstheme="minorHAnsi"/>
          <w:b/>
          <w:color w:val="000000"/>
          <w:position w:val="16"/>
        </w:rPr>
        <w:t xml:space="preserve"> Annual certific</w:t>
      </w:r>
      <w:r w:rsidRPr="008711ED">
        <w:rPr>
          <w:rFonts w:asciiTheme="minorHAnsi" w:hAnsiTheme="minorHAnsi" w:cstheme="minorHAnsi"/>
          <w:b/>
          <w:color w:val="000000"/>
          <w:position w:val="16"/>
        </w:rPr>
        <w:t>a</w:t>
      </w:r>
      <w:r w:rsidRPr="008711ED">
        <w:rPr>
          <w:rFonts w:asciiTheme="minorHAnsi" w:hAnsiTheme="minorHAnsi" w:cstheme="minorHAnsi"/>
          <w:b/>
          <w:color w:val="000000"/>
          <w:position w:val="16"/>
        </w:rPr>
        <w:t>tion</w:t>
      </w:r>
      <w:r w:rsidR="008711ED">
        <w:rPr>
          <w:rFonts w:asciiTheme="minorHAnsi" w:hAnsiTheme="minorHAnsi" w:cstheme="minorHAnsi"/>
          <w:b/>
          <w:color w:val="000000"/>
          <w:position w:val="16"/>
        </w:rPr>
        <w:t xml:space="preserve">s and reports.  </w:t>
      </w:r>
      <w:r w:rsidRPr="008711ED">
        <w:rPr>
          <w:rFonts w:asciiTheme="minorHAnsi" w:hAnsiTheme="minorHAnsi" w:cstheme="minorHAnsi"/>
          <w:color w:val="000000"/>
          <w:position w:val="16"/>
        </w:rPr>
        <w:t xml:space="preserve"> </w:t>
      </w:r>
    </w:p>
    <w:p w:rsidR="007B71A9" w:rsidRDefault="000504B8" w:rsidP="00567203">
      <w:pPr>
        <w:ind w:firstLine="720"/>
        <w:rPr>
          <w:rFonts w:asciiTheme="minorHAnsi" w:hAnsiTheme="minorHAnsi" w:cstheme="minorHAnsi"/>
          <w:color w:val="000000"/>
          <w:position w:val="16"/>
        </w:rPr>
      </w:pPr>
      <w:r w:rsidRPr="008711ED">
        <w:rPr>
          <w:rFonts w:asciiTheme="minorHAnsi" w:hAnsiTheme="minorHAnsi" w:cstheme="minorHAnsi"/>
          <w:color w:val="000000"/>
          <w:position w:val="16"/>
        </w:rPr>
        <w:t xml:space="preserve">(1) Each ETC seeking certification of the ETC's use of federal high-cost funds pursuant to 47 C.F.R. §§ 54.314 must request certification by July </w:t>
      </w:r>
      <w:r w:rsidR="007A5C89" w:rsidRPr="008711ED">
        <w:rPr>
          <w:rFonts w:asciiTheme="minorHAnsi" w:hAnsiTheme="minorHAnsi" w:cstheme="minorHAnsi"/>
          <w:color w:val="000000"/>
          <w:position w:val="16"/>
        </w:rPr>
        <w:t xml:space="preserve">1 </w:t>
      </w:r>
      <w:r w:rsidRPr="008711ED">
        <w:rPr>
          <w:rFonts w:asciiTheme="minorHAnsi" w:hAnsiTheme="minorHAnsi" w:cstheme="minorHAnsi"/>
          <w:color w:val="000000"/>
          <w:position w:val="16"/>
        </w:rPr>
        <w:t xml:space="preserve">each year. </w:t>
      </w:r>
    </w:p>
    <w:p w:rsidR="00C04205" w:rsidRPr="008711ED" w:rsidRDefault="000504B8" w:rsidP="00567203">
      <w:pPr>
        <w:ind w:firstLine="720"/>
        <w:rPr>
          <w:rFonts w:asciiTheme="minorHAnsi" w:hAnsiTheme="minorHAnsi" w:cstheme="minorHAnsi"/>
        </w:rPr>
      </w:pPr>
      <w:r w:rsidRPr="008711ED">
        <w:rPr>
          <w:rFonts w:asciiTheme="minorHAnsi" w:hAnsiTheme="minorHAnsi" w:cstheme="minorHAnsi"/>
          <w:color w:val="000000"/>
          <w:position w:val="16"/>
        </w:rPr>
        <w:t xml:space="preserve">(2) The commission will certify an ETC's use of federal high-cost universal service fund support, pursuant to 47 C.F.R. §§ 54.314 only if the ETC complies with the requirements in </w:t>
      </w:r>
      <w:r w:rsidR="008711ED">
        <w:rPr>
          <w:rFonts w:asciiTheme="minorHAnsi" w:hAnsiTheme="minorHAnsi" w:cstheme="minorHAnsi"/>
          <w:color w:val="000000"/>
          <w:position w:val="16"/>
        </w:rPr>
        <w:t xml:space="preserve">this rule. </w:t>
      </w:r>
    </w:p>
    <w:p w:rsidR="00C04205" w:rsidRPr="008711ED" w:rsidRDefault="008711ED" w:rsidP="0056720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position w:val="16"/>
        </w:rPr>
        <w:t>(3)</w:t>
      </w:r>
      <w:r w:rsidR="00D530D1">
        <w:rPr>
          <w:rFonts w:asciiTheme="minorHAnsi" w:hAnsiTheme="minorHAnsi" w:cstheme="minorHAnsi"/>
          <w:color w:val="000000"/>
          <w:position w:val="16"/>
        </w:rPr>
        <w:t xml:space="preserve"> </w:t>
      </w:r>
      <w:r w:rsidR="003E1645">
        <w:rPr>
          <w:rFonts w:asciiTheme="minorHAnsi" w:hAnsiTheme="minorHAnsi" w:cstheme="minorHAnsi"/>
          <w:b/>
          <w:color w:val="000000"/>
          <w:position w:val="16"/>
        </w:rPr>
        <w:t>P</w:t>
      </w:r>
      <w:r w:rsidR="00D530D1">
        <w:rPr>
          <w:rFonts w:asciiTheme="minorHAnsi" w:hAnsiTheme="minorHAnsi" w:cstheme="minorHAnsi"/>
          <w:b/>
          <w:color w:val="000000"/>
          <w:position w:val="16"/>
        </w:rPr>
        <w:t>rior year</w:t>
      </w:r>
      <w:r w:rsidR="003E1645">
        <w:rPr>
          <w:rFonts w:asciiTheme="minorHAnsi" w:hAnsiTheme="minorHAnsi" w:cstheme="minorHAnsi"/>
          <w:b/>
          <w:color w:val="000000"/>
          <w:position w:val="16"/>
        </w:rPr>
        <w:t xml:space="preserve"> report</w:t>
      </w:r>
      <w:r w:rsidR="00D530D1">
        <w:rPr>
          <w:rFonts w:asciiTheme="minorHAnsi" w:hAnsiTheme="minorHAnsi" w:cstheme="minorHAnsi"/>
          <w:b/>
          <w:color w:val="000000"/>
          <w:position w:val="16"/>
        </w:rPr>
        <w:t xml:space="preserve">.  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 xml:space="preserve">Not later than July </w:t>
      </w:r>
      <w:r w:rsidR="00EB1E4F" w:rsidRPr="008711ED">
        <w:rPr>
          <w:rFonts w:asciiTheme="minorHAnsi" w:hAnsiTheme="minorHAnsi" w:cstheme="minorHAnsi"/>
          <w:color w:val="000000"/>
          <w:position w:val="16"/>
        </w:rPr>
        <w:t xml:space="preserve">1 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 xml:space="preserve">of each year, every ETC that receives federal support from any category in the federal high-cost fund must certify </w:t>
      </w:r>
      <w:r w:rsidR="00567203">
        <w:rPr>
          <w:rFonts w:asciiTheme="minorHAnsi" w:hAnsiTheme="minorHAnsi" w:cstheme="minorHAnsi"/>
          <w:color w:val="000000"/>
          <w:position w:val="16"/>
        </w:rPr>
        <w:t>or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 xml:space="preserve"> report as described in this </w:t>
      </w:r>
      <w:r>
        <w:rPr>
          <w:rFonts w:asciiTheme="minorHAnsi" w:hAnsiTheme="minorHAnsi" w:cstheme="minorHAnsi"/>
          <w:color w:val="000000"/>
          <w:position w:val="16"/>
        </w:rPr>
        <w:t>rule.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 xml:space="preserve"> The certifications and reports are for activity related to Washington state in the period January 1 through December 31 of the previous year. A company officer must submit the certifications in the manner required by RCW 9A.72.085.</w:t>
      </w:r>
    </w:p>
    <w:p w:rsidR="00D530D1" w:rsidRDefault="000504B8" w:rsidP="00567203">
      <w:pPr>
        <w:ind w:firstLine="720"/>
        <w:rPr>
          <w:rFonts w:asciiTheme="minorHAnsi" w:hAnsiTheme="minorHAnsi" w:cstheme="minorHAnsi"/>
          <w:color w:val="000000"/>
          <w:position w:val="16"/>
        </w:rPr>
      </w:pPr>
      <w:r w:rsidRPr="00D530D1">
        <w:rPr>
          <w:rFonts w:asciiTheme="minorHAnsi" w:hAnsiTheme="minorHAnsi" w:cstheme="minorHAnsi"/>
          <w:color w:val="000000"/>
          <w:position w:val="16"/>
        </w:rPr>
        <w:t>(</w:t>
      </w:r>
      <w:r w:rsidR="008711ED" w:rsidRPr="00D530D1">
        <w:rPr>
          <w:rFonts w:asciiTheme="minorHAnsi" w:hAnsiTheme="minorHAnsi" w:cstheme="minorHAnsi"/>
          <w:color w:val="000000"/>
          <w:position w:val="16"/>
        </w:rPr>
        <w:t>a</w:t>
      </w:r>
      <w:r w:rsidRPr="00D530D1">
        <w:rPr>
          <w:rFonts w:asciiTheme="minorHAnsi" w:hAnsiTheme="minorHAnsi" w:cstheme="minorHAnsi"/>
          <w:color w:val="000000"/>
          <w:position w:val="16"/>
        </w:rPr>
        <w:t>) Report on use of federal funds and benefits to customers.</w:t>
      </w:r>
      <w:r w:rsidR="008711ED" w:rsidRPr="00D530D1">
        <w:rPr>
          <w:rFonts w:asciiTheme="minorHAnsi" w:hAnsiTheme="minorHAnsi" w:cstheme="minorHAnsi"/>
          <w:color w:val="000000"/>
          <w:position w:val="16"/>
        </w:rPr>
        <w:t xml:space="preserve">  </w:t>
      </w:r>
    </w:p>
    <w:p w:rsidR="00D530D1" w:rsidRDefault="008711ED" w:rsidP="0056720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position w:val="16"/>
        </w:rPr>
      </w:pPr>
      <w:r w:rsidRPr="00D530D1">
        <w:rPr>
          <w:rFonts w:asciiTheme="minorHAnsi" w:hAnsiTheme="minorHAnsi" w:cstheme="minorHAnsi"/>
          <w:color w:val="000000"/>
          <w:position w:val="16"/>
        </w:rPr>
        <w:t xml:space="preserve">Each ETC must provide the commission with a true and correct copy of the </w:t>
      </w:r>
      <w:r w:rsidR="00D530D1">
        <w:rPr>
          <w:rFonts w:asciiTheme="minorHAnsi" w:hAnsiTheme="minorHAnsi" w:cstheme="minorHAnsi"/>
          <w:color w:val="000000"/>
          <w:position w:val="16"/>
        </w:rPr>
        <w:t xml:space="preserve">current </w:t>
      </w:r>
      <w:r w:rsidRPr="00D530D1">
        <w:rPr>
          <w:rFonts w:asciiTheme="minorHAnsi" w:hAnsiTheme="minorHAnsi" w:cstheme="minorHAnsi"/>
          <w:color w:val="000000"/>
          <w:position w:val="16"/>
        </w:rPr>
        <w:t>Form 481 that it has filed with the FCC.</w:t>
      </w:r>
    </w:p>
    <w:p w:rsidR="00554C3B" w:rsidRPr="00D530D1" w:rsidRDefault="008711ED" w:rsidP="0056720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position w:val="16"/>
        </w:rPr>
      </w:pPr>
      <w:r w:rsidRPr="00D530D1">
        <w:rPr>
          <w:rFonts w:asciiTheme="minorHAnsi" w:hAnsiTheme="minorHAnsi" w:cstheme="minorHAnsi"/>
          <w:color w:val="000000"/>
          <w:position w:val="16"/>
        </w:rPr>
        <w:t xml:space="preserve">The ETC must also </w:t>
      </w:r>
      <w:r w:rsidR="000504B8" w:rsidRPr="00D530D1">
        <w:rPr>
          <w:rFonts w:asciiTheme="minorHAnsi" w:hAnsiTheme="minorHAnsi" w:cstheme="minorHAnsi"/>
          <w:color w:val="000000"/>
          <w:position w:val="16"/>
        </w:rPr>
        <w:t>provide a substantive description of investments made and e</w:t>
      </w:r>
      <w:r w:rsidR="000504B8" w:rsidRPr="00D530D1">
        <w:rPr>
          <w:rFonts w:asciiTheme="minorHAnsi" w:hAnsiTheme="minorHAnsi" w:cstheme="minorHAnsi"/>
          <w:color w:val="000000"/>
          <w:position w:val="16"/>
        </w:rPr>
        <w:t>x</w:t>
      </w:r>
      <w:r w:rsidR="000504B8" w:rsidRPr="00D530D1">
        <w:rPr>
          <w:rFonts w:asciiTheme="minorHAnsi" w:hAnsiTheme="minorHAnsi" w:cstheme="minorHAnsi"/>
          <w:color w:val="000000"/>
          <w:position w:val="16"/>
        </w:rPr>
        <w:t>penses paid with support from the federal high-cost fund.</w:t>
      </w:r>
      <w:r w:rsidR="001D514B" w:rsidRPr="00D530D1">
        <w:rPr>
          <w:rFonts w:asciiTheme="minorHAnsi" w:hAnsiTheme="minorHAnsi" w:cstheme="minorHAnsi"/>
          <w:color w:val="000000"/>
          <w:position w:val="16"/>
        </w:rPr>
        <w:t xml:space="preserve"> </w:t>
      </w:r>
      <w:r w:rsidR="006B23EE" w:rsidRPr="00D530D1">
        <w:rPr>
          <w:rFonts w:asciiTheme="minorHAnsi" w:hAnsiTheme="minorHAnsi" w:cstheme="minorHAnsi"/>
          <w:color w:val="000000"/>
          <w:position w:val="16"/>
        </w:rPr>
        <w:t>The report must include the Company’s gross capital e</w:t>
      </w:r>
      <w:r w:rsidR="006B23EE" w:rsidRPr="00D530D1">
        <w:rPr>
          <w:rFonts w:asciiTheme="minorHAnsi" w:hAnsiTheme="minorHAnsi" w:cstheme="minorHAnsi"/>
          <w:color w:val="000000"/>
          <w:position w:val="16"/>
        </w:rPr>
        <w:t>x</w:t>
      </w:r>
      <w:r w:rsidR="006B23EE" w:rsidRPr="00D530D1">
        <w:rPr>
          <w:rFonts w:asciiTheme="minorHAnsi" w:hAnsiTheme="minorHAnsi" w:cstheme="minorHAnsi"/>
          <w:color w:val="000000"/>
          <w:position w:val="16"/>
        </w:rPr>
        <w:t>penditures and maintenance expense in the preceding calendar year along with a description of major projects and affected exchanges.  The rate of return wireline ETCs must also include a copy of its NECA-1 report for the preceding calendar year.</w:t>
      </w:r>
    </w:p>
    <w:p w:rsidR="00C04205" w:rsidRPr="008711ED" w:rsidRDefault="001D514B" w:rsidP="00567203">
      <w:pPr>
        <w:ind w:firstLine="720"/>
        <w:rPr>
          <w:rFonts w:asciiTheme="minorHAnsi" w:hAnsiTheme="minorHAnsi" w:cstheme="minorHAnsi"/>
        </w:rPr>
      </w:pPr>
      <w:r w:rsidRPr="008711ED" w:rsidDel="001D514B">
        <w:rPr>
          <w:rFonts w:asciiTheme="minorHAnsi" w:hAnsiTheme="minorHAnsi" w:cstheme="minorHAnsi"/>
          <w:color w:val="000000"/>
          <w:position w:val="16"/>
        </w:rPr>
        <w:t xml:space="preserve"> 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(b) Every ETC must provide a substantive description of the benefits to consumers that resulted from the inves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t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ments and expenses reported pursuant to (a) of this subsection.</w:t>
      </w:r>
    </w:p>
    <w:p w:rsidR="00C04205" w:rsidRPr="008711ED" w:rsidRDefault="008711ED" w:rsidP="00567203">
      <w:pPr>
        <w:ind w:firstLine="720"/>
        <w:rPr>
          <w:rFonts w:asciiTheme="minorHAnsi" w:hAnsiTheme="minorHAnsi" w:cstheme="minorHAnsi"/>
        </w:rPr>
      </w:pPr>
      <w:r w:rsidRPr="008711ED" w:rsidDel="008711ED">
        <w:rPr>
          <w:rFonts w:asciiTheme="minorHAnsi" w:hAnsiTheme="minorHAnsi" w:cstheme="minorHAnsi"/>
          <w:color w:val="000000"/>
          <w:position w:val="16"/>
        </w:rPr>
        <w:t xml:space="preserve"> 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(</w:t>
      </w:r>
      <w:r>
        <w:rPr>
          <w:rFonts w:asciiTheme="minorHAnsi" w:hAnsiTheme="minorHAnsi" w:cstheme="minorHAnsi"/>
          <w:color w:val="000000"/>
          <w:position w:val="16"/>
        </w:rPr>
        <w:t>4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 xml:space="preserve">) </w:t>
      </w:r>
      <w:r w:rsidR="000504B8" w:rsidRPr="008711ED">
        <w:rPr>
          <w:rFonts w:asciiTheme="minorHAnsi" w:hAnsiTheme="minorHAnsi" w:cstheme="minorHAnsi"/>
          <w:b/>
          <w:color w:val="000000"/>
          <w:position w:val="16"/>
        </w:rPr>
        <w:t>Advertising certification, including advertisement on Indian reservations.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 xml:space="preserve"> </w:t>
      </w:r>
      <w:r>
        <w:rPr>
          <w:rFonts w:asciiTheme="minorHAnsi" w:hAnsiTheme="minorHAnsi" w:cstheme="minorHAnsi"/>
          <w:color w:val="000000"/>
          <w:position w:val="16"/>
        </w:rPr>
        <w:t>The ETC must also c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ertify it has pu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b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licized the availability of its applicable telephone assistance programs, such as Lifeline, in a manner reaso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n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ably designed to reach those likely to qualify for service, including residents of federally recognized Indian reservations within the ETC's de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s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ignated service area. Such publicity should include adve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r</w:t>
      </w:r>
      <w:r w:rsidR="000504B8" w:rsidRPr="008711ED">
        <w:rPr>
          <w:rFonts w:asciiTheme="minorHAnsi" w:hAnsiTheme="minorHAnsi" w:cstheme="minorHAnsi"/>
          <w:color w:val="000000"/>
          <w:position w:val="16"/>
        </w:rPr>
        <w:t>tisements likely to reach those who are not current customers of the ETC within its designated service area.</w:t>
      </w:r>
    </w:p>
    <w:p w:rsidR="00C04205" w:rsidRPr="008711ED" w:rsidRDefault="000504B8" w:rsidP="00567203">
      <w:pPr>
        <w:ind w:firstLine="720"/>
        <w:rPr>
          <w:rFonts w:asciiTheme="minorHAnsi" w:hAnsiTheme="minorHAnsi" w:cstheme="minorHAnsi"/>
        </w:rPr>
      </w:pPr>
      <w:r w:rsidRPr="008711ED">
        <w:rPr>
          <w:rFonts w:asciiTheme="minorHAnsi" w:hAnsiTheme="minorHAnsi" w:cstheme="minorHAnsi"/>
          <w:color w:val="000000"/>
          <w:position w:val="16"/>
        </w:rPr>
        <w:t>(</w:t>
      </w:r>
      <w:r w:rsidR="008711ED">
        <w:rPr>
          <w:rFonts w:asciiTheme="minorHAnsi" w:hAnsiTheme="minorHAnsi" w:cstheme="minorHAnsi"/>
          <w:color w:val="000000"/>
          <w:position w:val="16"/>
        </w:rPr>
        <w:t>5</w:t>
      </w:r>
      <w:r w:rsidRPr="008711ED">
        <w:rPr>
          <w:rFonts w:asciiTheme="minorHAnsi" w:hAnsiTheme="minorHAnsi" w:cstheme="minorHAnsi"/>
          <w:color w:val="000000"/>
          <w:position w:val="16"/>
        </w:rPr>
        <w:t xml:space="preserve">) </w:t>
      </w:r>
      <w:r w:rsidR="00D530D1">
        <w:rPr>
          <w:rFonts w:asciiTheme="minorHAnsi" w:hAnsiTheme="minorHAnsi" w:cstheme="minorHAnsi"/>
          <w:b/>
          <w:color w:val="000000"/>
          <w:position w:val="16"/>
        </w:rPr>
        <w:t xml:space="preserve">Upcoming year report.  </w:t>
      </w:r>
      <w:r w:rsidRPr="008711ED">
        <w:rPr>
          <w:rFonts w:asciiTheme="minorHAnsi" w:hAnsiTheme="minorHAnsi" w:cstheme="minorHAnsi"/>
          <w:color w:val="000000"/>
          <w:position w:val="16"/>
        </w:rPr>
        <w:t xml:space="preserve">Not later than July </w:t>
      </w:r>
      <w:r w:rsidR="004310CB" w:rsidRPr="008711ED">
        <w:rPr>
          <w:rFonts w:asciiTheme="minorHAnsi" w:hAnsiTheme="minorHAnsi" w:cstheme="minorHAnsi"/>
          <w:color w:val="000000"/>
          <w:position w:val="16"/>
        </w:rPr>
        <w:t xml:space="preserve">1 </w:t>
      </w:r>
      <w:r w:rsidRPr="008711ED">
        <w:rPr>
          <w:rFonts w:asciiTheme="minorHAnsi" w:hAnsiTheme="minorHAnsi" w:cstheme="minorHAnsi"/>
          <w:color w:val="000000"/>
          <w:position w:val="16"/>
        </w:rPr>
        <w:t>of each year, every ETC that receives federal support from any ca</w:t>
      </w:r>
      <w:r w:rsidRPr="008711ED">
        <w:rPr>
          <w:rFonts w:asciiTheme="minorHAnsi" w:hAnsiTheme="minorHAnsi" w:cstheme="minorHAnsi"/>
          <w:color w:val="000000"/>
          <w:position w:val="16"/>
        </w:rPr>
        <w:t>t</w:t>
      </w:r>
      <w:r w:rsidRPr="008711ED">
        <w:rPr>
          <w:rFonts w:asciiTheme="minorHAnsi" w:hAnsiTheme="minorHAnsi" w:cstheme="minorHAnsi"/>
          <w:color w:val="000000"/>
          <w:position w:val="16"/>
        </w:rPr>
        <w:t>egory in the federal high-cost fund must report</w:t>
      </w:r>
      <w:r w:rsidR="00943537">
        <w:rPr>
          <w:rFonts w:asciiTheme="minorHAnsi" w:hAnsiTheme="minorHAnsi" w:cstheme="minorHAnsi"/>
          <w:color w:val="000000"/>
          <w:position w:val="16"/>
        </w:rPr>
        <w:t xml:space="preserve"> t</w:t>
      </w:r>
      <w:r w:rsidRPr="008711ED">
        <w:rPr>
          <w:rFonts w:asciiTheme="minorHAnsi" w:hAnsiTheme="minorHAnsi" w:cstheme="minorHAnsi"/>
          <w:color w:val="000000"/>
          <w:position w:val="16"/>
        </w:rPr>
        <w:t>he planned use of federal support related to Was</w:t>
      </w:r>
      <w:r w:rsidRPr="008711ED">
        <w:rPr>
          <w:rFonts w:asciiTheme="minorHAnsi" w:hAnsiTheme="minorHAnsi" w:cstheme="minorHAnsi"/>
          <w:color w:val="000000"/>
          <w:position w:val="16"/>
        </w:rPr>
        <w:t>h</w:t>
      </w:r>
      <w:r w:rsidRPr="008711ED">
        <w:rPr>
          <w:rFonts w:asciiTheme="minorHAnsi" w:hAnsiTheme="minorHAnsi" w:cstheme="minorHAnsi"/>
          <w:color w:val="000000"/>
          <w:position w:val="16"/>
        </w:rPr>
        <w:t>ington state that will be received during the</w:t>
      </w:r>
      <w:r w:rsidR="00EA6832" w:rsidRPr="008711ED">
        <w:rPr>
          <w:rFonts w:asciiTheme="minorHAnsi" w:hAnsiTheme="minorHAnsi" w:cstheme="minorHAnsi"/>
          <w:color w:val="000000"/>
          <w:position w:val="16"/>
        </w:rPr>
        <w:t xml:space="preserve"> </w:t>
      </w:r>
      <w:r w:rsidR="008711ED">
        <w:rPr>
          <w:rFonts w:asciiTheme="minorHAnsi" w:hAnsiTheme="minorHAnsi" w:cstheme="minorHAnsi"/>
          <w:color w:val="000000"/>
          <w:position w:val="16"/>
        </w:rPr>
        <w:t>up-</w:t>
      </w:r>
      <w:r w:rsidR="00EA6832" w:rsidRPr="008711ED">
        <w:rPr>
          <w:rFonts w:asciiTheme="minorHAnsi" w:hAnsiTheme="minorHAnsi" w:cstheme="minorHAnsi"/>
          <w:color w:val="000000"/>
          <w:position w:val="16"/>
        </w:rPr>
        <w:t>coming calendar year</w:t>
      </w:r>
      <w:r w:rsidR="00554C3B" w:rsidRPr="008711ED">
        <w:rPr>
          <w:rFonts w:asciiTheme="minorHAnsi" w:hAnsiTheme="minorHAnsi" w:cstheme="minorHAnsi"/>
          <w:color w:val="000000"/>
          <w:position w:val="16"/>
        </w:rPr>
        <w:t>.</w:t>
      </w:r>
      <w:r w:rsidRPr="008711ED">
        <w:rPr>
          <w:rFonts w:asciiTheme="minorHAnsi" w:hAnsiTheme="minorHAnsi" w:cstheme="minorHAnsi"/>
          <w:color w:val="000000"/>
          <w:position w:val="16"/>
        </w:rPr>
        <w:t xml:space="preserve"> </w:t>
      </w:r>
      <w:r w:rsidR="00626407" w:rsidRPr="008711ED">
        <w:rPr>
          <w:rFonts w:asciiTheme="minorHAnsi" w:hAnsiTheme="minorHAnsi" w:cstheme="minorHAnsi"/>
          <w:color w:val="000000"/>
          <w:position w:val="16"/>
        </w:rPr>
        <w:t xml:space="preserve">The report must include the Company’s budgeted </w:t>
      </w:r>
      <w:r w:rsidR="00626407" w:rsidRPr="008711ED">
        <w:rPr>
          <w:rFonts w:asciiTheme="minorHAnsi" w:hAnsiTheme="minorHAnsi" w:cstheme="minorHAnsi"/>
          <w:color w:val="000000"/>
          <w:position w:val="16"/>
        </w:rPr>
        <w:lastRenderedPageBreak/>
        <w:t>gross capital expenditures and maintenance expense for the coming calendar year along with a description of m</w:t>
      </w:r>
      <w:r w:rsidR="00626407" w:rsidRPr="008711ED">
        <w:rPr>
          <w:rFonts w:asciiTheme="minorHAnsi" w:hAnsiTheme="minorHAnsi" w:cstheme="minorHAnsi"/>
          <w:color w:val="000000"/>
          <w:position w:val="16"/>
        </w:rPr>
        <w:t>a</w:t>
      </w:r>
      <w:r w:rsidR="00626407" w:rsidRPr="008711ED">
        <w:rPr>
          <w:rFonts w:asciiTheme="minorHAnsi" w:hAnsiTheme="minorHAnsi" w:cstheme="minorHAnsi"/>
          <w:color w:val="000000"/>
          <w:position w:val="16"/>
        </w:rPr>
        <w:t>jor projects and affected</w:t>
      </w:r>
      <w:r w:rsidR="00A136FC" w:rsidRPr="008711ED">
        <w:rPr>
          <w:rFonts w:asciiTheme="minorHAnsi" w:hAnsiTheme="minorHAnsi" w:cstheme="minorHAnsi"/>
          <w:color w:val="000000"/>
          <w:position w:val="16"/>
        </w:rPr>
        <w:t xml:space="preserve"> exchanges</w:t>
      </w:r>
      <w:r w:rsidR="00626407" w:rsidRPr="008711ED">
        <w:rPr>
          <w:rFonts w:asciiTheme="minorHAnsi" w:hAnsiTheme="minorHAnsi" w:cstheme="minorHAnsi"/>
          <w:color w:val="000000"/>
          <w:position w:val="16"/>
        </w:rPr>
        <w:t xml:space="preserve">. </w:t>
      </w:r>
    </w:p>
    <w:p w:rsidR="00C04205" w:rsidRPr="008711ED" w:rsidRDefault="000504B8" w:rsidP="00567203">
      <w:pPr>
        <w:ind w:firstLine="720"/>
        <w:rPr>
          <w:rFonts w:asciiTheme="minorHAnsi" w:hAnsiTheme="minorHAnsi" w:cstheme="minorHAnsi"/>
        </w:rPr>
      </w:pPr>
      <w:r w:rsidRPr="008711ED">
        <w:rPr>
          <w:rFonts w:asciiTheme="minorHAnsi" w:hAnsiTheme="minorHAnsi" w:cstheme="minorHAnsi"/>
          <w:color w:val="000000"/>
          <w:position w:val="16"/>
        </w:rPr>
        <w:t>(</w:t>
      </w:r>
      <w:r w:rsidR="00943537">
        <w:rPr>
          <w:rFonts w:asciiTheme="minorHAnsi" w:hAnsiTheme="minorHAnsi" w:cstheme="minorHAnsi"/>
          <w:color w:val="000000"/>
          <w:position w:val="16"/>
        </w:rPr>
        <w:t>a</w:t>
      </w:r>
      <w:r w:rsidRPr="008711ED">
        <w:rPr>
          <w:rFonts w:asciiTheme="minorHAnsi" w:hAnsiTheme="minorHAnsi" w:cstheme="minorHAnsi"/>
          <w:color w:val="000000"/>
          <w:position w:val="16"/>
        </w:rPr>
        <w:t>) The report must include a substantive plan of the investments and expenditures to be made with federal su</w:t>
      </w:r>
      <w:r w:rsidRPr="008711ED">
        <w:rPr>
          <w:rFonts w:asciiTheme="minorHAnsi" w:hAnsiTheme="minorHAnsi" w:cstheme="minorHAnsi"/>
          <w:color w:val="000000"/>
          <w:position w:val="16"/>
        </w:rPr>
        <w:t>p</w:t>
      </w:r>
      <w:r w:rsidRPr="008711ED">
        <w:rPr>
          <w:rFonts w:asciiTheme="minorHAnsi" w:hAnsiTheme="minorHAnsi" w:cstheme="minorHAnsi"/>
          <w:color w:val="000000"/>
          <w:position w:val="16"/>
        </w:rPr>
        <w:t>port and a substantive description of how those investments and expenditures will benefit custo</w:t>
      </w:r>
      <w:r w:rsidRPr="008711ED">
        <w:rPr>
          <w:rFonts w:asciiTheme="minorHAnsi" w:hAnsiTheme="minorHAnsi" w:cstheme="minorHAnsi"/>
          <w:color w:val="000000"/>
          <w:position w:val="16"/>
        </w:rPr>
        <w:t>m</w:t>
      </w:r>
      <w:r w:rsidRPr="008711ED">
        <w:rPr>
          <w:rFonts w:asciiTheme="minorHAnsi" w:hAnsiTheme="minorHAnsi" w:cstheme="minorHAnsi"/>
          <w:color w:val="000000"/>
          <w:position w:val="16"/>
        </w:rPr>
        <w:t>ers.</w:t>
      </w:r>
    </w:p>
    <w:p w:rsidR="00C04205" w:rsidRPr="008711ED" w:rsidRDefault="000504B8" w:rsidP="00567203">
      <w:pPr>
        <w:ind w:firstLine="720"/>
        <w:rPr>
          <w:rFonts w:asciiTheme="minorHAnsi" w:hAnsiTheme="minorHAnsi" w:cstheme="minorHAnsi"/>
        </w:rPr>
      </w:pPr>
      <w:r w:rsidRPr="008711ED">
        <w:rPr>
          <w:rFonts w:asciiTheme="minorHAnsi" w:hAnsiTheme="minorHAnsi" w:cstheme="minorHAnsi"/>
          <w:color w:val="000000"/>
          <w:position w:val="16"/>
        </w:rPr>
        <w:t>(</w:t>
      </w:r>
      <w:r w:rsidR="00943537">
        <w:rPr>
          <w:rFonts w:asciiTheme="minorHAnsi" w:hAnsiTheme="minorHAnsi" w:cstheme="minorHAnsi"/>
          <w:color w:val="000000"/>
          <w:position w:val="16"/>
        </w:rPr>
        <w:t>b</w:t>
      </w:r>
      <w:r w:rsidRPr="008711ED">
        <w:rPr>
          <w:rFonts w:asciiTheme="minorHAnsi" w:hAnsiTheme="minorHAnsi" w:cstheme="minorHAnsi"/>
          <w:color w:val="000000"/>
          <w:position w:val="16"/>
        </w:rPr>
        <w:t xml:space="preserve">) As part of the </w:t>
      </w:r>
      <w:r w:rsidR="00121CEF" w:rsidRPr="008711ED">
        <w:rPr>
          <w:rFonts w:asciiTheme="minorHAnsi" w:hAnsiTheme="minorHAnsi" w:cstheme="minorHAnsi"/>
          <w:color w:val="000000"/>
          <w:position w:val="16"/>
        </w:rPr>
        <w:t>initial ETC petition for federal high-cost support</w:t>
      </w:r>
      <w:r w:rsidRPr="008711ED">
        <w:rPr>
          <w:rFonts w:asciiTheme="minorHAnsi" w:hAnsiTheme="minorHAnsi" w:cstheme="minorHAnsi"/>
          <w:color w:val="000000"/>
          <w:position w:val="16"/>
        </w:rPr>
        <w:t>, and at least once every three years thereafter, a wireless ETC must submit a map in .shp format that shows the general location where it provides commercial mobile radio service signals.</w:t>
      </w:r>
    </w:p>
    <w:p w:rsidR="00C04205" w:rsidRPr="008711ED" w:rsidRDefault="00C04205" w:rsidP="00567203">
      <w:pPr>
        <w:rPr>
          <w:rFonts w:asciiTheme="minorHAnsi" w:hAnsiTheme="minorHAnsi" w:cstheme="minorHAnsi"/>
        </w:rPr>
      </w:pPr>
    </w:p>
    <w:sectPr w:rsidR="00C04205" w:rsidRPr="008711ED" w:rsidSect="00AC2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36" w:bottom="1080" w:left="1036" w:header="720" w:footer="0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9C" w:rsidRDefault="004E5D9C" w:rsidP="00C04205">
      <w:r>
        <w:separator/>
      </w:r>
    </w:p>
    <w:p w:rsidR="004E5D9C" w:rsidRDefault="004E5D9C"/>
  </w:endnote>
  <w:endnote w:type="continuationSeparator" w:id="0">
    <w:p w:rsidR="004E5D9C" w:rsidRDefault="004E5D9C" w:rsidP="00C04205">
      <w:r>
        <w:continuationSeparator/>
      </w:r>
    </w:p>
    <w:p w:rsidR="004E5D9C" w:rsidRDefault="004E5D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40" w:type="dxa"/>
      <w:tblInd w:w="-1036" w:type="dxa"/>
      <w:tblCellMar>
        <w:left w:w="0" w:type="dxa"/>
        <w:right w:w="0" w:type="dxa"/>
      </w:tblCellMar>
      <w:tblLook w:val="0000"/>
    </w:tblPr>
    <w:tblGrid>
      <w:gridCol w:w="12240"/>
    </w:tblGrid>
    <w:tr w:rsidR="00AD71CC">
      <w:trPr>
        <w:trHeight w:val="720"/>
      </w:trPr>
      <w:tc>
        <w:tcPr>
          <w:tcW w:w="0" w:type="auto"/>
        </w:tcPr>
        <w:tbl>
          <w:tblPr>
            <w:tblW w:w="12240" w:type="dxa"/>
            <w:tblCellMar>
              <w:left w:w="0" w:type="dxa"/>
              <w:right w:w="0" w:type="dxa"/>
            </w:tblCellMar>
            <w:tblLook w:val="0000"/>
          </w:tblPr>
          <w:tblGrid>
            <w:gridCol w:w="12240"/>
          </w:tblGrid>
          <w:tr w:rsidR="00AD71CC">
            <w:tc>
              <w:tcPr>
                <w:tcW w:w="0" w:type="auto"/>
              </w:tcPr>
              <w:tbl>
                <w:tblPr>
                  <w:tblW w:w="5000" w:type="pct"/>
                  <w:tblCellMar>
                    <w:left w:w="10" w:type="dxa"/>
                    <w:right w:w="10" w:type="dxa"/>
                  </w:tblCellMar>
                  <w:tblLook w:val="0000"/>
                </w:tblPr>
                <w:tblGrid>
                  <w:gridCol w:w="5631"/>
                  <w:gridCol w:w="1224"/>
                  <w:gridCol w:w="5385"/>
                </w:tblGrid>
                <w:tr w:rsidR="00AD71CC">
                  <w:tc>
                    <w:tcPr>
                      <w:tcW w:w="5630" w:type="dxa"/>
                      <w:tcMar>
                        <w:top w:w="0" w:type="dxa"/>
                        <w:left w:w="1036" w:type="dxa"/>
                        <w:bottom w:w="0" w:type="dxa"/>
                        <w:right w:w="0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WAC (9/26/2013 10:24 AM)</w:t>
                      </w:r>
                    </w:p>
                  </w:tc>
                  <w:tc>
                    <w:tcPr>
                      <w:tcW w:w="122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  <w:jc w:val="center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[ </w:t>
                      </w:r>
                      <w:r w:rsidR="00922F3B" w:rsidRPr="00922F3B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922F3B" w:rsidRPr="00922F3B">
                        <w:fldChar w:fldCharType="separate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###</w:t>
                      </w:r>
                      <w:r w:rsidR="00922F3B" w:rsidRPr="00C04205">
                        <w:rPr>
                          <w:rFonts w:ascii="Courier New" w:hAnsi="Courier New"/>
                          <w:color w:val="000000"/>
                          <w:sz w:val="24"/>
                        </w:rPr>
                        <w:fldChar w:fldCharType="end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 ]</w:t>
                      </w:r>
                    </w:p>
                  </w:tc>
                  <w:tc>
                    <w:tcPr>
                      <w:tcW w:w="5385" w:type="dxa"/>
                      <w:tcMar>
                        <w:top w:w="0" w:type="dxa"/>
                        <w:left w:w="0" w:type="dxa"/>
                        <w:bottom w:w="0" w:type="dxa"/>
                        <w:right w:w="1036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  <w:jc w:val="right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NOT FOR FILING</w:t>
                      </w:r>
                    </w:p>
                  </w:tc>
                </w:tr>
              </w:tbl>
              <w:p w:rsidR="00AD71CC" w:rsidRDefault="00AD71CC">
                <w:pPr>
                  <w:spacing w:line="20" w:lineRule="exact"/>
                </w:pPr>
              </w:p>
            </w:tc>
          </w:tr>
        </w:tbl>
        <w:p w:rsidR="00AD71CC" w:rsidRDefault="00AD71CC">
          <w:pPr>
            <w:spacing w:line="20" w:lineRule="exac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40" w:type="dxa"/>
      <w:tblInd w:w="-1036" w:type="dxa"/>
      <w:tblCellMar>
        <w:left w:w="0" w:type="dxa"/>
        <w:right w:w="0" w:type="dxa"/>
      </w:tblCellMar>
      <w:tblLook w:val="0000"/>
    </w:tblPr>
    <w:tblGrid>
      <w:gridCol w:w="12240"/>
    </w:tblGrid>
    <w:tr w:rsidR="00AD71CC">
      <w:trPr>
        <w:trHeight w:val="720"/>
      </w:trPr>
      <w:tc>
        <w:tcPr>
          <w:tcW w:w="0" w:type="auto"/>
        </w:tcPr>
        <w:tbl>
          <w:tblPr>
            <w:tblW w:w="12240" w:type="dxa"/>
            <w:tblCellMar>
              <w:left w:w="0" w:type="dxa"/>
              <w:right w:w="0" w:type="dxa"/>
            </w:tblCellMar>
            <w:tblLook w:val="0000"/>
          </w:tblPr>
          <w:tblGrid>
            <w:gridCol w:w="12240"/>
          </w:tblGrid>
          <w:tr w:rsidR="00AD71CC">
            <w:tc>
              <w:tcPr>
                <w:tcW w:w="0" w:type="auto"/>
              </w:tcPr>
              <w:tbl>
                <w:tblPr>
                  <w:tblW w:w="5000" w:type="pct"/>
                  <w:tblCellMar>
                    <w:left w:w="10" w:type="dxa"/>
                    <w:right w:w="10" w:type="dxa"/>
                  </w:tblCellMar>
                  <w:tblLook w:val="0000"/>
                </w:tblPr>
                <w:tblGrid>
                  <w:gridCol w:w="5631"/>
                  <w:gridCol w:w="1224"/>
                  <w:gridCol w:w="5385"/>
                </w:tblGrid>
                <w:tr w:rsidR="00AD71CC">
                  <w:tc>
                    <w:tcPr>
                      <w:tcW w:w="5630" w:type="dxa"/>
                      <w:tcMar>
                        <w:top w:w="0" w:type="dxa"/>
                        <w:left w:w="1036" w:type="dxa"/>
                        <w:bottom w:w="0" w:type="dxa"/>
                        <w:right w:w="0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WAC (9/26/2013 10:24 AM)</w:t>
                      </w:r>
                    </w:p>
                  </w:tc>
                  <w:tc>
                    <w:tcPr>
                      <w:tcW w:w="122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  <w:jc w:val="center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[ </w:t>
                      </w:r>
                      <w:r w:rsidR="00922F3B" w:rsidRPr="00922F3B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922F3B" w:rsidRPr="00922F3B">
                        <w:fldChar w:fldCharType="separate"/>
                      </w:r>
                      <w:r w:rsidR="00E650CF" w:rsidRPr="00E650CF">
                        <w:rPr>
                          <w:rFonts w:ascii="Courier New" w:hAnsi="Courier New"/>
                          <w:noProof/>
                          <w:color w:val="000000"/>
                          <w:sz w:val="24"/>
                        </w:rPr>
                        <w:t>1</w:t>
                      </w:r>
                      <w:r w:rsidR="00922F3B" w:rsidRPr="00C04205">
                        <w:rPr>
                          <w:rFonts w:ascii="Courier New" w:hAnsi="Courier New"/>
                          <w:color w:val="000000"/>
                          <w:sz w:val="24"/>
                        </w:rPr>
                        <w:fldChar w:fldCharType="end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 ]</w:t>
                      </w:r>
                    </w:p>
                  </w:tc>
                  <w:tc>
                    <w:tcPr>
                      <w:tcW w:w="5385" w:type="dxa"/>
                      <w:tcMar>
                        <w:top w:w="0" w:type="dxa"/>
                        <w:left w:w="0" w:type="dxa"/>
                        <w:bottom w:w="0" w:type="dxa"/>
                        <w:right w:w="1036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  <w:jc w:val="right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NOT FOR FILING</w:t>
                      </w:r>
                    </w:p>
                  </w:tc>
                </w:tr>
              </w:tbl>
              <w:p w:rsidR="00AD71CC" w:rsidRDefault="00AD71CC">
                <w:pPr>
                  <w:spacing w:line="20" w:lineRule="exact"/>
                </w:pPr>
              </w:p>
            </w:tc>
          </w:tr>
        </w:tbl>
        <w:p w:rsidR="00AD71CC" w:rsidRDefault="00AD71CC">
          <w:pPr>
            <w:spacing w:line="20" w:lineRule="exact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40" w:type="dxa"/>
      <w:tblInd w:w="-1036" w:type="dxa"/>
      <w:tblCellMar>
        <w:left w:w="0" w:type="dxa"/>
        <w:right w:w="0" w:type="dxa"/>
      </w:tblCellMar>
      <w:tblLook w:val="0000"/>
    </w:tblPr>
    <w:tblGrid>
      <w:gridCol w:w="12240"/>
    </w:tblGrid>
    <w:tr w:rsidR="00AD71CC">
      <w:trPr>
        <w:trHeight w:val="720"/>
      </w:trPr>
      <w:tc>
        <w:tcPr>
          <w:tcW w:w="0" w:type="auto"/>
        </w:tcPr>
        <w:tbl>
          <w:tblPr>
            <w:tblW w:w="12240" w:type="dxa"/>
            <w:tblCellMar>
              <w:left w:w="0" w:type="dxa"/>
              <w:right w:w="0" w:type="dxa"/>
            </w:tblCellMar>
            <w:tblLook w:val="0000"/>
          </w:tblPr>
          <w:tblGrid>
            <w:gridCol w:w="12240"/>
          </w:tblGrid>
          <w:tr w:rsidR="00AD71CC">
            <w:tc>
              <w:tcPr>
                <w:tcW w:w="0" w:type="auto"/>
              </w:tcPr>
              <w:tbl>
                <w:tblPr>
                  <w:tblW w:w="5000" w:type="pct"/>
                  <w:tblCellMar>
                    <w:left w:w="10" w:type="dxa"/>
                    <w:right w:w="10" w:type="dxa"/>
                  </w:tblCellMar>
                  <w:tblLook w:val="0000"/>
                </w:tblPr>
                <w:tblGrid>
                  <w:gridCol w:w="5631"/>
                  <w:gridCol w:w="1224"/>
                  <w:gridCol w:w="5385"/>
                </w:tblGrid>
                <w:tr w:rsidR="00AD71CC">
                  <w:tc>
                    <w:tcPr>
                      <w:tcW w:w="5630" w:type="dxa"/>
                      <w:tcMar>
                        <w:top w:w="0" w:type="dxa"/>
                        <w:left w:w="1036" w:type="dxa"/>
                        <w:bottom w:w="0" w:type="dxa"/>
                        <w:right w:w="0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WAC (9/26/2013 10:24 AM)</w:t>
                      </w:r>
                    </w:p>
                  </w:tc>
                  <w:tc>
                    <w:tcPr>
                      <w:tcW w:w="122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  <w:jc w:val="center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[ </w:t>
                      </w:r>
                      <w:r w:rsidR="00922F3B" w:rsidRPr="00922F3B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922F3B" w:rsidRPr="00922F3B">
                        <w:fldChar w:fldCharType="separate"/>
                      </w:r>
                      <w:r w:rsidR="00AC2CBF" w:rsidRPr="00AC2CBF">
                        <w:rPr>
                          <w:rFonts w:ascii="Courier New" w:hAnsi="Courier New"/>
                          <w:noProof/>
                          <w:color w:val="000000"/>
                          <w:sz w:val="24"/>
                        </w:rPr>
                        <w:t>1</w:t>
                      </w:r>
                      <w:r w:rsidR="00922F3B" w:rsidRPr="00C04205">
                        <w:rPr>
                          <w:rFonts w:ascii="Courier New" w:hAnsi="Courier New"/>
                          <w:color w:val="000000"/>
                          <w:sz w:val="24"/>
                        </w:rPr>
                        <w:fldChar w:fldCharType="end"/>
                      </w: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 xml:space="preserve"> ]</w:t>
                      </w:r>
                    </w:p>
                  </w:tc>
                  <w:tc>
                    <w:tcPr>
                      <w:tcW w:w="5385" w:type="dxa"/>
                      <w:tcMar>
                        <w:top w:w="0" w:type="dxa"/>
                        <w:left w:w="0" w:type="dxa"/>
                        <w:bottom w:w="0" w:type="dxa"/>
                        <w:right w:w="1036" w:type="dxa"/>
                      </w:tcMar>
                    </w:tcPr>
                    <w:p w:rsidR="00AD71CC" w:rsidRDefault="00AD71CC">
                      <w:pPr>
                        <w:suppressAutoHyphens/>
                        <w:spacing w:line="239" w:lineRule="auto"/>
                        <w:jc w:val="right"/>
                      </w:pPr>
                      <w:r>
                        <w:rPr>
                          <w:rFonts w:ascii="Courier New" w:hAnsi="Courier New"/>
                          <w:color w:val="000000"/>
                          <w:sz w:val="24"/>
                        </w:rPr>
                        <w:t>NOT FOR FILING</w:t>
                      </w:r>
                    </w:p>
                  </w:tc>
                </w:tr>
              </w:tbl>
              <w:p w:rsidR="00AD71CC" w:rsidRDefault="00AD71CC">
                <w:pPr>
                  <w:spacing w:line="20" w:lineRule="exact"/>
                </w:pPr>
              </w:p>
            </w:tc>
          </w:tr>
        </w:tbl>
        <w:p w:rsidR="00AD71CC" w:rsidRDefault="00AD71CC">
          <w:pPr>
            <w:spacing w:line="20" w:lineRule="exac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9C" w:rsidRDefault="004E5D9C" w:rsidP="00C04205">
      <w:r>
        <w:separator/>
      </w:r>
    </w:p>
    <w:p w:rsidR="004E5D9C" w:rsidRDefault="004E5D9C"/>
  </w:footnote>
  <w:footnote w:type="continuationSeparator" w:id="0">
    <w:p w:rsidR="004E5D9C" w:rsidRDefault="004E5D9C" w:rsidP="00C04205">
      <w:r>
        <w:continuationSeparator/>
      </w:r>
    </w:p>
    <w:p w:rsidR="004E5D9C" w:rsidRDefault="004E5D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CC" w:rsidRDefault="00AD71CC">
    <w:r>
      <w:rPr>
        <w:sz w:val="0"/>
      </w:rPr>
      <w:t> 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CC" w:rsidRPr="00683076" w:rsidRDefault="00683076" w:rsidP="00683076">
    <w:pPr>
      <w:pStyle w:val="Header"/>
    </w:pPr>
    <w:r>
      <w:t>Attachment B, proposed combined ETC rule.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CC" w:rsidRDefault="00AD71CC">
    <w:r>
      <w:rPr>
        <w:sz w:val="0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D47"/>
    <w:multiLevelType w:val="hybridMultilevel"/>
    <w:tmpl w:val="2230008E"/>
    <w:lvl w:ilvl="0" w:tplc="C11CF2E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BC0D26"/>
    <w:multiLevelType w:val="hybridMultilevel"/>
    <w:tmpl w:val="A8A4353E"/>
    <w:lvl w:ilvl="0" w:tplc="E6B08948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AA1669"/>
    <w:multiLevelType w:val="hybridMultilevel"/>
    <w:tmpl w:val="E56E384A"/>
    <w:lvl w:ilvl="0" w:tplc="57E0C57E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DC1D7A"/>
    <w:multiLevelType w:val="hybridMultilevel"/>
    <w:tmpl w:val="A6660720"/>
    <w:lvl w:ilvl="0" w:tplc="1A0EEA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B983966"/>
    <w:multiLevelType w:val="hybridMultilevel"/>
    <w:tmpl w:val="A188769C"/>
    <w:lvl w:ilvl="0" w:tplc="4D9258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205"/>
    <w:rsid w:val="00005147"/>
    <w:rsid w:val="00007C6B"/>
    <w:rsid w:val="00016788"/>
    <w:rsid w:val="000504B8"/>
    <w:rsid w:val="000B56A9"/>
    <w:rsid w:val="000E36A9"/>
    <w:rsid w:val="001051E4"/>
    <w:rsid w:val="00121CEF"/>
    <w:rsid w:val="00180C49"/>
    <w:rsid w:val="00194E78"/>
    <w:rsid w:val="001D514B"/>
    <w:rsid w:val="00203C3B"/>
    <w:rsid w:val="002209C9"/>
    <w:rsid w:val="00233C14"/>
    <w:rsid w:val="002D66FD"/>
    <w:rsid w:val="003229BB"/>
    <w:rsid w:val="00342A9E"/>
    <w:rsid w:val="00367A38"/>
    <w:rsid w:val="00393012"/>
    <w:rsid w:val="003B6925"/>
    <w:rsid w:val="003C0ECF"/>
    <w:rsid w:val="003C5CA1"/>
    <w:rsid w:val="003E1645"/>
    <w:rsid w:val="004310CB"/>
    <w:rsid w:val="00452930"/>
    <w:rsid w:val="00491F6E"/>
    <w:rsid w:val="004E16B0"/>
    <w:rsid w:val="004E5D9C"/>
    <w:rsid w:val="00512EEC"/>
    <w:rsid w:val="00554C3B"/>
    <w:rsid w:val="00567203"/>
    <w:rsid w:val="00573920"/>
    <w:rsid w:val="00626407"/>
    <w:rsid w:val="0063357F"/>
    <w:rsid w:val="00647D28"/>
    <w:rsid w:val="00683076"/>
    <w:rsid w:val="006B23EE"/>
    <w:rsid w:val="006B46E1"/>
    <w:rsid w:val="006F49AA"/>
    <w:rsid w:val="00707323"/>
    <w:rsid w:val="00707450"/>
    <w:rsid w:val="007A5C89"/>
    <w:rsid w:val="007B71A9"/>
    <w:rsid w:val="007C4EBA"/>
    <w:rsid w:val="008711ED"/>
    <w:rsid w:val="00922F3B"/>
    <w:rsid w:val="00943537"/>
    <w:rsid w:val="00974211"/>
    <w:rsid w:val="009A41DE"/>
    <w:rsid w:val="009D58A3"/>
    <w:rsid w:val="00A136FC"/>
    <w:rsid w:val="00AC2CBF"/>
    <w:rsid w:val="00AD71CC"/>
    <w:rsid w:val="00BA6FD1"/>
    <w:rsid w:val="00BB114F"/>
    <w:rsid w:val="00BE7461"/>
    <w:rsid w:val="00C04205"/>
    <w:rsid w:val="00C648DF"/>
    <w:rsid w:val="00CF5A71"/>
    <w:rsid w:val="00D04CF2"/>
    <w:rsid w:val="00D1581B"/>
    <w:rsid w:val="00D530D1"/>
    <w:rsid w:val="00E650CF"/>
    <w:rsid w:val="00E76DB9"/>
    <w:rsid w:val="00EA6832"/>
    <w:rsid w:val="00EB1E4F"/>
    <w:rsid w:val="00F8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EE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E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E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EEC"/>
    <w:rPr>
      <w:b/>
      <w:bCs/>
    </w:rPr>
  </w:style>
  <w:style w:type="paragraph" w:styleId="Revision">
    <w:name w:val="Revision"/>
    <w:hidden/>
    <w:uiPriority w:val="99"/>
    <w:semiHidden/>
    <w:rsid w:val="00512EEC"/>
  </w:style>
  <w:style w:type="paragraph" w:styleId="BalloonText">
    <w:name w:val="Balloon Text"/>
    <w:basedOn w:val="Normal"/>
    <w:link w:val="BalloonTextChar"/>
    <w:uiPriority w:val="99"/>
    <w:semiHidden/>
    <w:unhideWhenUsed/>
    <w:rsid w:val="0051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6FD1"/>
    <w:pPr>
      <w:spacing w:before="100" w:beforeAutospacing="1" w:after="100" w:afterAutospacing="1"/>
      <w:ind w:firstLine="48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C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C2CBF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7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EE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E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E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EEC"/>
    <w:rPr>
      <w:b/>
      <w:bCs/>
    </w:rPr>
  </w:style>
  <w:style w:type="paragraph" w:styleId="Revision">
    <w:name w:val="Revision"/>
    <w:hidden/>
    <w:uiPriority w:val="99"/>
    <w:semiHidden/>
    <w:rsid w:val="00512EEC"/>
  </w:style>
  <w:style w:type="paragraph" w:styleId="BalloonText">
    <w:name w:val="Balloon Text"/>
    <w:basedOn w:val="Normal"/>
    <w:link w:val="BalloonTextChar"/>
    <w:uiPriority w:val="99"/>
    <w:semiHidden/>
    <w:unhideWhenUsed/>
    <w:rsid w:val="0051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6FD1"/>
    <w:pPr>
      <w:spacing w:before="100" w:beforeAutospacing="1" w:after="100" w:afterAutospacing="1"/>
      <w:ind w:firstLine="48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C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C2CBF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1739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1D4F0AC375624F8C67FD848F75F22A" ma:contentTypeVersion="175" ma:contentTypeDescription="" ma:contentTypeScope="" ma:versionID="6674c94fc436a13d99fe9595b47d83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F8D0BE-99F1-4E53-B81A-460782FCF16B}"/>
</file>

<file path=customXml/itemProps2.xml><?xml version="1.0" encoding="utf-8"?>
<ds:datastoreItem xmlns:ds="http://schemas.openxmlformats.org/officeDocument/2006/customXml" ds:itemID="{9523CF7F-703C-43F0-8948-40BFFFC9146E}"/>
</file>

<file path=customXml/itemProps3.xml><?xml version="1.0" encoding="utf-8"?>
<ds:datastoreItem xmlns:ds="http://schemas.openxmlformats.org/officeDocument/2006/customXml" ds:itemID="{87845CF6-1E52-458B-AC39-0DAE13048883}"/>
</file>

<file path=customXml/itemProps4.xml><?xml version="1.0" encoding="utf-8"?>
<ds:datastoreItem xmlns:ds="http://schemas.openxmlformats.org/officeDocument/2006/customXml" ds:itemID="{54A4F7AE-6A14-4BD3-B0E8-462FF4391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2674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XXIII - Chapter 480-123 WAC  -  UNIVERSAL SERVICE</vt:lpstr>
    </vt:vector>
  </TitlesOfParts>
  <Company>Washington Utilities and Transportation Commission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XXIII - Chapter 480-123 WAC  -  UNIVERSAL SERVICE</dc:title>
  <dc:creator>Tim Zawislak</dc:creator>
  <cp:lastModifiedBy>CenturyLink Employee</cp:lastModifiedBy>
  <cp:revision>2</cp:revision>
  <dcterms:created xsi:type="dcterms:W3CDTF">2014-06-06T18:44:00Z</dcterms:created>
  <dcterms:modified xsi:type="dcterms:W3CDTF">2014-06-06T18:44:00Z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0x0101006E56B4D1795A2E4DB2F0B01679ED314A000B1D4F0AC375624F8C67FD848F75F22A</vt:lpwstr>
  </property>
  <property fmtid="{D5CDD505-2E9C-101B-9397-08002B2CF9AE}" pid="3" name="_docset_NoMedatataSyncRequired">
    <vt:lpwstr>False</vt:lpwstr>
  </property>
</Properties>
</file>