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DD1" w:rsidRDefault="00E50DD1" w:rsidP="00E50DD1">
      <w:pPr>
        <w:tabs>
          <w:tab w:val="left" w:pos="-1080"/>
        </w:tabs>
        <w:spacing w:before="100" w:beforeAutospacing="1" w:after="100" w:afterAutospacing="1" w:line="22" w:lineRule="atLeast"/>
        <w:jc w:val="center"/>
        <w:rPr>
          <w:b/>
          <w:u w:val="single"/>
        </w:rPr>
      </w:pPr>
      <w:bookmarkStart w:id="0" w:name="_GoBack"/>
      <w:bookmarkEnd w:id="0"/>
      <w:r>
        <w:rPr>
          <w:b/>
          <w:u w:val="single"/>
        </w:rPr>
        <w:t>EXPLANATION OF TYPICAL/PRESCRIPTIVE ME</w:t>
      </w:r>
      <w:r w:rsidR="00296C9F">
        <w:rPr>
          <w:b/>
          <w:u w:val="single"/>
        </w:rPr>
        <w:t>A</w:t>
      </w:r>
      <w:r>
        <w:rPr>
          <w:b/>
          <w:u w:val="single"/>
        </w:rPr>
        <w:t>SURE CHANGES</w:t>
      </w:r>
    </w:p>
    <w:p w:rsidR="004F14E7" w:rsidRPr="00D810B4" w:rsidRDefault="00E50DD1" w:rsidP="00E50DD1">
      <w:pPr>
        <w:tabs>
          <w:tab w:val="left" w:pos="-1080"/>
        </w:tabs>
        <w:spacing w:before="100" w:beforeAutospacing="1" w:after="100" w:afterAutospacing="1" w:line="22" w:lineRule="atLeast"/>
        <w:jc w:val="center"/>
      </w:pPr>
      <w:r>
        <w:rPr>
          <w:b/>
          <w:u w:val="single"/>
        </w:rPr>
        <w:t xml:space="preserve">NOVEMBER </w:t>
      </w:r>
      <w:r w:rsidR="00CC1D2E">
        <w:rPr>
          <w:b/>
          <w:u w:val="single"/>
        </w:rPr>
        <w:t>12</w:t>
      </w:r>
      <w:r>
        <w:rPr>
          <w:b/>
          <w:u w:val="single"/>
        </w:rPr>
        <w:t>, 2013</w:t>
      </w:r>
    </w:p>
    <w:p w:rsidR="00F46B1F" w:rsidRPr="00D810B4" w:rsidRDefault="00224F3E" w:rsidP="006E0425">
      <w:pPr>
        <w:spacing w:before="100" w:beforeAutospacing="1" w:after="100" w:afterAutospacing="1" w:line="22" w:lineRule="atLeast"/>
        <w:jc w:val="both"/>
        <w:outlineLvl w:val="0"/>
        <w:rPr>
          <w:rFonts w:eastAsia="MS Mincho"/>
          <w:lang w:eastAsia="ja-JP"/>
        </w:rPr>
      </w:pPr>
      <w:r w:rsidRPr="00D810B4">
        <w:rPr>
          <w:rFonts w:eastAsia="MS Mincho"/>
          <w:b/>
          <w:lang w:eastAsia="ja-JP"/>
        </w:rPr>
        <w:t>Lighting</w:t>
      </w:r>
      <w:r w:rsidR="004379D1" w:rsidRPr="00D810B4">
        <w:rPr>
          <w:rFonts w:eastAsia="MS Mincho"/>
          <w:b/>
          <w:lang w:eastAsia="ja-JP"/>
        </w:rPr>
        <w:t xml:space="preserve"> Incentives</w:t>
      </w:r>
    </w:p>
    <w:p w:rsidR="00F46B1F" w:rsidRPr="00D810B4" w:rsidRDefault="009D71F9" w:rsidP="006E0425">
      <w:pPr>
        <w:pStyle w:val="in"/>
        <w:spacing w:before="100" w:beforeAutospacing="1" w:after="100" w:afterAutospacing="1" w:line="22" w:lineRule="atLeast"/>
        <w:ind w:left="0"/>
        <w:jc w:val="both"/>
        <w:rPr>
          <w:rFonts w:ascii="Times New Roman" w:hAnsi="Times New Roman" w:cs="Times New Roman"/>
          <w:sz w:val="24"/>
          <w:szCs w:val="24"/>
        </w:rPr>
      </w:pPr>
      <w:r w:rsidRPr="00D810B4">
        <w:rPr>
          <w:rFonts w:ascii="Times New Roman" w:hAnsi="Times New Roman" w:cs="Times New Roman"/>
          <w:sz w:val="24"/>
          <w:szCs w:val="24"/>
        </w:rPr>
        <w:t>T</w:t>
      </w:r>
      <w:r w:rsidR="00C601BD" w:rsidRPr="00D810B4">
        <w:rPr>
          <w:rFonts w:ascii="Times New Roman" w:hAnsi="Times New Roman" w:cs="Times New Roman"/>
          <w:sz w:val="24"/>
          <w:szCs w:val="24"/>
        </w:rPr>
        <w:t>able</w:t>
      </w:r>
      <w:r w:rsidR="006C72D0" w:rsidRPr="00D810B4">
        <w:rPr>
          <w:rFonts w:ascii="Times New Roman" w:hAnsi="Times New Roman" w:cs="Times New Roman"/>
          <w:sz w:val="24"/>
          <w:szCs w:val="24"/>
        </w:rPr>
        <w:t xml:space="preserve"> </w:t>
      </w:r>
      <w:r w:rsidRPr="00D810B4">
        <w:rPr>
          <w:rFonts w:ascii="Times New Roman" w:hAnsi="Times New Roman" w:cs="Times New Roman"/>
          <w:sz w:val="24"/>
          <w:szCs w:val="24"/>
        </w:rPr>
        <w:t xml:space="preserve">1 </w:t>
      </w:r>
      <w:r w:rsidR="006C72D0" w:rsidRPr="00D810B4">
        <w:rPr>
          <w:rFonts w:ascii="Times New Roman" w:hAnsi="Times New Roman" w:cs="Times New Roman"/>
          <w:sz w:val="24"/>
          <w:szCs w:val="24"/>
        </w:rPr>
        <w:t xml:space="preserve">highlights the </w:t>
      </w:r>
      <w:r w:rsidR="006B4008" w:rsidRPr="00D810B4">
        <w:rPr>
          <w:rFonts w:ascii="Times New Roman" w:hAnsi="Times New Roman" w:cs="Times New Roman"/>
          <w:sz w:val="24"/>
          <w:szCs w:val="24"/>
        </w:rPr>
        <w:t>proposed lighting measure</w:t>
      </w:r>
      <w:r w:rsidR="00CC3B8E" w:rsidRPr="00D810B4">
        <w:rPr>
          <w:rFonts w:ascii="Times New Roman" w:hAnsi="Times New Roman" w:cs="Times New Roman"/>
          <w:sz w:val="24"/>
          <w:szCs w:val="24"/>
        </w:rPr>
        <w:t xml:space="preserve"> changes</w:t>
      </w:r>
      <w:r w:rsidR="007137A5" w:rsidRPr="00D810B4">
        <w:rPr>
          <w:rFonts w:ascii="Times New Roman" w:hAnsi="Times New Roman" w:cs="Times New Roman"/>
          <w:sz w:val="24"/>
          <w:szCs w:val="24"/>
        </w:rPr>
        <w:t>, including modifications to align with changes in federal lighting standards</w:t>
      </w:r>
      <w:r w:rsidRPr="00D810B4">
        <w:rPr>
          <w:rFonts w:ascii="Times New Roman" w:hAnsi="Times New Roman" w:cs="Times New Roman"/>
          <w:sz w:val="24"/>
          <w:szCs w:val="24"/>
        </w:rPr>
        <w:t>.</w:t>
      </w:r>
    </w:p>
    <w:p w:rsidR="009D71F9" w:rsidRPr="00D810B4" w:rsidRDefault="009D71F9" w:rsidP="00E04E92">
      <w:pPr>
        <w:pStyle w:val="in"/>
        <w:spacing w:after="0" w:line="22" w:lineRule="atLeast"/>
        <w:ind w:left="0"/>
        <w:jc w:val="center"/>
        <w:rPr>
          <w:rFonts w:ascii="Times New Roman" w:hAnsi="Times New Roman" w:cs="Times New Roman"/>
          <w:b/>
          <w:sz w:val="24"/>
          <w:szCs w:val="24"/>
        </w:rPr>
      </w:pPr>
      <w:r w:rsidRPr="00D810B4">
        <w:rPr>
          <w:rFonts w:ascii="Times New Roman" w:hAnsi="Times New Roman" w:cs="Times New Roman"/>
          <w:b/>
          <w:sz w:val="24"/>
          <w:szCs w:val="24"/>
        </w:rPr>
        <w:t>Table 1</w:t>
      </w:r>
    </w:p>
    <w:p w:rsidR="00F46B1F" w:rsidRPr="00D810B4" w:rsidRDefault="00B33DDA" w:rsidP="00E04E92">
      <w:pPr>
        <w:pStyle w:val="in"/>
        <w:spacing w:line="22" w:lineRule="atLeast"/>
        <w:ind w:left="0"/>
        <w:jc w:val="center"/>
        <w:rPr>
          <w:rFonts w:ascii="Times New Roman" w:hAnsi="Times New Roman" w:cs="Times New Roman"/>
          <w:b/>
          <w:sz w:val="24"/>
          <w:szCs w:val="24"/>
        </w:rPr>
      </w:pPr>
      <w:r>
        <w:rPr>
          <w:rFonts w:ascii="Times New Roman" w:hAnsi="Times New Roman" w:cs="Times New Roman"/>
          <w:b/>
          <w:sz w:val="24"/>
          <w:szCs w:val="24"/>
        </w:rPr>
        <w:t xml:space="preserve">Retrofit </w:t>
      </w:r>
      <w:r w:rsidR="00C73E24" w:rsidRPr="00D810B4">
        <w:rPr>
          <w:rFonts w:ascii="Times New Roman" w:hAnsi="Times New Roman" w:cs="Times New Roman"/>
          <w:b/>
          <w:sz w:val="24"/>
          <w:szCs w:val="24"/>
        </w:rPr>
        <w:t>Lighting</w:t>
      </w:r>
      <w:r w:rsidR="00EB4D77" w:rsidRPr="00D810B4">
        <w:rPr>
          <w:rFonts w:ascii="Times New Roman" w:hAnsi="Times New Roman" w:cs="Times New Roman"/>
          <w:b/>
          <w:sz w:val="24"/>
          <w:szCs w:val="24"/>
        </w:rPr>
        <w:t xml:space="preserve"> </w:t>
      </w:r>
      <w:r w:rsidR="009D71F9" w:rsidRPr="00D810B4">
        <w:rPr>
          <w:rFonts w:ascii="Times New Roman" w:hAnsi="Times New Roman" w:cs="Times New Roman"/>
          <w:b/>
          <w:sz w:val="24"/>
          <w:szCs w:val="24"/>
        </w:rPr>
        <w:t>C</w:t>
      </w:r>
      <w:r w:rsidR="00EB4D77" w:rsidRPr="00D810B4">
        <w:rPr>
          <w:rFonts w:ascii="Times New Roman" w:hAnsi="Times New Roman" w:cs="Times New Roman"/>
          <w:b/>
          <w:sz w:val="24"/>
          <w:szCs w:val="24"/>
        </w:rPr>
        <w:t>hanges</w:t>
      </w:r>
    </w:p>
    <w:tbl>
      <w:tblPr>
        <w:tblStyle w:val="TableGrid"/>
        <w:tblW w:w="0" w:type="auto"/>
        <w:tblLook w:val="04A0" w:firstRow="1" w:lastRow="0" w:firstColumn="1" w:lastColumn="0" w:noHBand="0" w:noVBand="1"/>
      </w:tblPr>
      <w:tblGrid>
        <w:gridCol w:w="1548"/>
        <w:gridCol w:w="3060"/>
        <w:gridCol w:w="4968"/>
      </w:tblGrid>
      <w:tr w:rsidR="00EB4D77" w:rsidRPr="00D810B4" w:rsidTr="006F223D">
        <w:tc>
          <w:tcPr>
            <w:tcW w:w="1548" w:type="dxa"/>
          </w:tcPr>
          <w:p w:rsidR="00493A86" w:rsidRPr="00D810B4" w:rsidRDefault="007E0478" w:rsidP="00E04E92">
            <w:pPr>
              <w:pStyle w:val="in"/>
              <w:spacing w:before="100" w:beforeAutospacing="1" w:after="100" w:afterAutospacing="1" w:line="22" w:lineRule="atLeast"/>
              <w:ind w:left="0"/>
              <w:rPr>
                <w:rFonts w:ascii="Times New Roman" w:hAnsi="Times New Roman" w:cs="Times New Roman"/>
                <w:b/>
                <w:sz w:val="24"/>
                <w:szCs w:val="24"/>
              </w:rPr>
            </w:pPr>
            <w:r w:rsidRPr="00D810B4">
              <w:rPr>
                <w:rFonts w:ascii="Times New Roman" w:hAnsi="Times New Roman" w:cs="Times New Roman"/>
                <w:b/>
                <w:sz w:val="24"/>
                <w:szCs w:val="24"/>
              </w:rPr>
              <w:t>Measure</w:t>
            </w:r>
          </w:p>
        </w:tc>
        <w:tc>
          <w:tcPr>
            <w:tcW w:w="3060" w:type="dxa"/>
          </w:tcPr>
          <w:p w:rsidR="00493A86" w:rsidRPr="00D810B4" w:rsidRDefault="007E0478" w:rsidP="00E04E92">
            <w:pPr>
              <w:pStyle w:val="in"/>
              <w:spacing w:before="100" w:beforeAutospacing="1" w:after="100" w:afterAutospacing="1" w:line="22" w:lineRule="atLeast"/>
              <w:ind w:left="0"/>
              <w:rPr>
                <w:rFonts w:ascii="Times New Roman" w:hAnsi="Times New Roman" w:cs="Times New Roman"/>
                <w:b/>
                <w:sz w:val="24"/>
                <w:szCs w:val="24"/>
              </w:rPr>
            </w:pPr>
            <w:r w:rsidRPr="00D810B4">
              <w:rPr>
                <w:rFonts w:ascii="Times New Roman" w:hAnsi="Times New Roman" w:cs="Times New Roman"/>
                <w:b/>
                <w:sz w:val="24"/>
                <w:szCs w:val="24"/>
              </w:rPr>
              <w:t>Change</w:t>
            </w:r>
          </w:p>
        </w:tc>
        <w:tc>
          <w:tcPr>
            <w:tcW w:w="4968" w:type="dxa"/>
          </w:tcPr>
          <w:p w:rsidR="00493A86" w:rsidRPr="00D810B4" w:rsidRDefault="007E0478" w:rsidP="00E04E92">
            <w:pPr>
              <w:pStyle w:val="in"/>
              <w:spacing w:before="100" w:beforeAutospacing="1" w:after="100" w:afterAutospacing="1" w:line="22" w:lineRule="atLeast"/>
              <w:ind w:left="0"/>
              <w:rPr>
                <w:rFonts w:ascii="Times New Roman" w:hAnsi="Times New Roman" w:cs="Times New Roman"/>
                <w:b/>
                <w:sz w:val="24"/>
                <w:szCs w:val="24"/>
              </w:rPr>
            </w:pPr>
            <w:r w:rsidRPr="00D810B4">
              <w:rPr>
                <w:rFonts w:ascii="Times New Roman" w:hAnsi="Times New Roman" w:cs="Times New Roman"/>
                <w:b/>
                <w:sz w:val="24"/>
                <w:szCs w:val="24"/>
              </w:rPr>
              <w:t>Reason for Change</w:t>
            </w:r>
          </w:p>
        </w:tc>
      </w:tr>
      <w:tr w:rsidR="00EB4D77" w:rsidRPr="00D810B4" w:rsidTr="006F223D">
        <w:tc>
          <w:tcPr>
            <w:tcW w:w="1548" w:type="dxa"/>
          </w:tcPr>
          <w:p w:rsidR="00EB4D77" w:rsidRPr="00D810B4" w:rsidRDefault="00745256" w:rsidP="00CE760D">
            <w:pPr>
              <w:pStyle w:val="in"/>
              <w:spacing w:before="100" w:beforeAutospacing="1" w:after="100" w:afterAutospacing="1" w:line="22" w:lineRule="atLeast"/>
              <w:ind w:left="0"/>
              <w:rPr>
                <w:rFonts w:ascii="Times New Roman" w:hAnsi="Times New Roman" w:cs="Times New Roman"/>
                <w:sz w:val="24"/>
                <w:szCs w:val="24"/>
              </w:rPr>
            </w:pPr>
            <w:r>
              <w:rPr>
                <w:rFonts w:ascii="Times New Roman" w:hAnsi="Times New Roman" w:cs="Times New Roman"/>
                <w:sz w:val="24"/>
                <w:szCs w:val="24"/>
              </w:rPr>
              <w:t>Linear Fluorescent</w:t>
            </w:r>
          </w:p>
        </w:tc>
        <w:tc>
          <w:tcPr>
            <w:tcW w:w="3060" w:type="dxa"/>
          </w:tcPr>
          <w:p w:rsidR="00923831" w:rsidRPr="00D810B4" w:rsidRDefault="003E5624" w:rsidP="003E5624">
            <w:pPr>
              <w:pStyle w:val="in"/>
              <w:spacing w:before="100" w:beforeAutospacing="1" w:after="100" w:afterAutospacing="1" w:line="22" w:lineRule="atLeast"/>
              <w:ind w:left="0"/>
              <w:rPr>
                <w:rFonts w:ascii="Times New Roman" w:hAnsi="Times New Roman" w:cs="Times New Roman"/>
                <w:sz w:val="24"/>
                <w:szCs w:val="24"/>
              </w:rPr>
            </w:pPr>
            <w:r>
              <w:rPr>
                <w:rFonts w:ascii="Times New Roman" w:hAnsi="Times New Roman" w:cs="Times New Roman"/>
                <w:sz w:val="24"/>
                <w:szCs w:val="24"/>
              </w:rPr>
              <w:t>As of January 1, 2014, m</w:t>
            </w:r>
            <w:r w:rsidR="00745256">
              <w:rPr>
                <w:rFonts w:ascii="Times New Roman" w:hAnsi="Times New Roman" w:cs="Times New Roman"/>
                <w:sz w:val="24"/>
                <w:szCs w:val="24"/>
              </w:rPr>
              <w:t>odify the</w:t>
            </w:r>
            <w:r>
              <w:rPr>
                <w:rFonts w:ascii="Times New Roman" w:hAnsi="Times New Roman" w:cs="Times New Roman"/>
                <w:sz w:val="24"/>
                <w:szCs w:val="24"/>
              </w:rPr>
              <w:t xml:space="preserve"> baseline for fluorescent lighting to be 32W T8 lamps with electronic ballasts that are minimally compliant with federal efficacy standards.</w:t>
            </w:r>
          </w:p>
        </w:tc>
        <w:tc>
          <w:tcPr>
            <w:tcW w:w="4968" w:type="dxa"/>
          </w:tcPr>
          <w:p w:rsidR="00923831" w:rsidRPr="00D810B4" w:rsidRDefault="003E5624" w:rsidP="00B33DDA">
            <w:pPr>
              <w:pStyle w:val="in"/>
              <w:spacing w:before="100" w:beforeAutospacing="1" w:after="100" w:afterAutospacing="1" w:line="22" w:lineRule="atLeast"/>
              <w:ind w:left="0"/>
              <w:rPr>
                <w:rFonts w:ascii="Times New Roman" w:hAnsi="Times New Roman" w:cs="Times New Roman"/>
                <w:sz w:val="24"/>
                <w:szCs w:val="24"/>
              </w:rPr>
            </w:pPr>
            <w:r>
              <w:rPr>
                <w:rFonts w:ascii="Times New Roman" w:hAnsi="Times New Roman" w:cs="Times New Roman"/>
                <w:sz w:val="24"/>
                <w:szCs w:val="24"/>
              </w:rPr>
              <w:t xml:space="preserve">More stringent federal efficacy standards for general service linear fluorescent lamps have been in effect for nearly 18 months, and market data indicates that T8 lamps </w:t>
            </w:r>
            <w:r w:rsidR="00B33DDA">
              <w:rPr>
                <w:rFonts w:ascii="Times New Roman" w:hAnsi="Times New Roman" w:cs="Times New Roman"/>
                <w:sz w:val="24"/>
                <w:szCs w:val="24"/>
              </w:rPr>
              <w:t xml:space="preserve">now </w:t>
            </w:r>
            <w:r>
              <w:rPr>
                <w:rFonts w:ascii="Times New Roman" w:hAnsi="Times New Roman" w:cs="Times New Roman"/>
                <w:sz w:val="24"/>
                <w:szCs w:val="24"/>
              </w:rPr>
              <w:t xml:space="preserve">represent the vast majority of lamps sold.  Shift the baseline to </w:t>
            </w:r>
            <w:r w:rsidR="00B33DDA">
              <w:rPr>
                <w:rFonts w:ascii="Times New Roman" w:hAnsi="Times New Roman" w:cs="Times New Roman"/>
                <w:sz w:val="24"/>
                <w:szCs w:val="24"/>
              </w:rPr>
              <w:t>match the</w:t>
            </w:r>
            <w:r>
              <w:rPr>
                <w:rFonts w:ascii="Times New Roman" w:hAnsi="Times New Roman" w:cs="Times New Roman"/>
                <w:sz w:val="24"/>
                <w:szCs w:val="24"/>
              </w:rPr>
              <w:t xml:space="preserve"> industry standard baseline.</w:t>
            </w:r>
          </w:p>
        </w:tc>
      </w:tr>
      <w:tr w:rsidR="00E023E6" w:rsidRPr="00D810B4" w:rsidTr="006F223D">
        <w:tc>
          <w:tcPr>
            <w:tcW w:w="1548" w:type="dxa"/>
          </w:tcPr>
          <w:p w:rsidR="00E023E6" w:rsidRDefault="00E023E6" w:rsidP="00CE760D">
            <w:pPr>
              <w:pStyle w:val="in"/>
              <w:spacing w:before="100" w:beforeAutospacing="1" w:after="100" w:afterAutospacing="1" w:line="22" w:lineRule="atLeast"/>
              <w:ind w:left="0"/>
              <w:rPr>
                <w:rFonts w:ascii="Times New Roman" w:hAnsi="Times New Roman" w:cs="Times New Roman"/>
                <w:sz w:val="24"/>
                <w:szCs w:val="24"/>
              </w:rPr>
            </w:pPr>
            <w:r>
              <w:rPr>
                <w:rFonts w:ascii="Times New Roman" w:hAnsi="Times New Roman" w:cs="Times New Roman"/>
                <w:sz w:val="24"/>
                <w:szCs w:val="24"/>
              </w:rPr>
              <w:t>Linear Fluorescent, T8, Standard</w:t>
            </w:r>
          </w:p>
        </w:tc>
        <w:tc>
          <w:tcPr>
            <w:tcW w:w="3060" w:type="dxa"/>
          </w:tcPr>
          <w:p w:rsidR="00E023E6" w:rsidRDefault="00E023E6" w:rsidP="003E5624">
            <w:pPr>
              <w:pStyle w:val="in"/>
              <w:spacing w:before="100" w:beforeAutospacing="1" w:after="100" w:afterAutospacing="1" w:line="22" w:lineRule="atLeast"/>
              <w:ind w:left="0"/>
              <w:rPr>
                <w:rFonts w:ascii="Times New Roman" w:hAnsi="Times New Roman" w:cs="Times New Roman"/>
                <w:sz w:val="24"/>
                <w:szCs w:val="24"/>
              </w:rPr>
            </w:pPr>
            <w:r>
              <w:rPr>
                <w:rFonts w:ascii="Times New Roman" w:hAnsi="Times New Roman" w:cs="Times New Roman"/>
                <w:sz w:val="24"/>
                <w:szCs w:val="24"/>
              </w:rPr>
              <w:t xml:space="preserve">Remove measure from incentive table. </w:t>
            </w:r>
          </w:p>
        </w:tc>
        <w:tc>
          <w:tcPr>
            <w:tcW w:w="4968" w:type="dxa"/>
          </w:tcPr>
          <w:p w:rsidR="00E023E6" w:rsidRDefault="00585023" w:rsidP="00585023">
            <w:pPr>
              <w:pStyle w:val="in"/>
              <w:spacing w:before="100" w:beforeAutospacing="1" w:after="100" w:afterAutospacing="1" w:line="22" w:lineRule="atLeast"/>
              <w:ind w:left="0"/>
              <w:rPr>
                <w:rFonts w:ascii="Times New Roman" w:hAnsi="Times New Roman" w:cs="Times New Roman"/>
                <w:sz w:val="24"/>
                <w:szCs w:val="24"/>
              </w:rPr>
            </w:pPr>
            <w:r>
              <w:rPr>
                <w:rFonts w:ascii="Times New Roman" w:hAnsi="Times New Roman" w:cs="Times New Roman"/>
                <w:sz w:val="24"/>
                <w:szCs w:val="24"/>
              </w:rPr>
              <w:t xml:space="preserve">Incentives are no longer available for Standard T8’s since this measure has a sunset date of July 14, 2012.  </w:t>
            </w:r>
            <w:r w:rsidR="00C043B6">
              <w:rPr>
                <w:rFonts w:ascii="Times New Roman" w:hAnsi="Times New Roman" w:cs="Times New Roman"/>
                <w:sz w:val="24"/>
                <w:szCs w:val="24"/>
              </w:rPr>
              <w:t>Continue to offer incentives for “premium” low-wattage or high performance T8 lamps/ballasts.</w:t>
            </w:r>
          </w:p>
        </w:tc>
      </w:tr>
      <w:tr w:rsidR="00E023E6" w:rsidRPr="00D810B4" w:rsidTr="006F223D">
        <w:tc>
          <w:tcPr>
            <w:tcW w:w="1548" w:type="dxa"/>
          </w:tcPr>
          <w:p w:rsidR="00E023E6" w:rsidRDefault="00E023E6" w:rsidP="00E023E6">
            <w:pPr>
              <w:pStyle w:val="in"/>
              <w:spacing w:before="100" w:beforeAutospacing="1" w:after="100" w:afterAutospacing="1" w:line="22" w:lineRule="atLeast"/>
              <w:ind w:left="0"/>
              <w:rPr>
                <w:rFonts w:ascii="Times New Roman" w:hAnsi="Times New Roman" w:cs="Times New Roman"/>
                <w:sz w:val="24"/>
                <w:szCs w:val="24"/>
              </w:rPr>
            </w:pPr>
            <w:r>
              <w:rPr>
                <w:rFonts w:ascii="Times New Roman" w:hAnsi="Times New Roman" w:cs="Times New Roman"/>
                <w:sz w:val="24"/>
                <w:szCs w:val="24"/>
              </w:rPr>
              <w:t>Linear Fluorescent, T8, Delamp</w:t>
            </w:r>
          </w:p>
        </w:tc>
        <w:tc>
          <w:tcPr>
            <w:tcW w:w="3060" w:type="dxa"/>
          </w:tcPr>
          <w:p w:rsidR="00E023E6" w:rsidRDefault="00B176FA" w:rsidP="003E5624">
            <w:pPr>
              <w:pStyle w:val="in"/>
              <w:spacing w:before="100" w:beforeAutospacing="1" w:after="100" w:afterAutospacing="1" w:line="22" w:lineRule="atLeast"/>
              <w:ind w:left="0"/>
              <w:rPr>
                <w:rFonts w:ascii="Times New Roman" w:hAnsi="Times New Roman" w:cs="Times New Roman"/>
                <w:sz w:val="24"/>
                <w:szCs w:val="24"/>
              </w:rPr>
            </w:pPr>
            <w:r>
              <w:rPr>
                <w:rFonts w:ascii="Times New Roman" w:hAnsi="Times New Roman" w:cs="Times New Roman"/>
                <w:sz w:val="24"/>
                <w:szCs w:val="24"/>
              </w:rPr>
              <w:t>Clarify eligibility requirement</w:t>
            </w:r>
            <w:r w:rsidR="00890767">
              <w:rPr>
                <w:rFonts w:ascii="Times New Roman" w:hAnsi="Times New Roman" w:cs="Times New Roman"/>
                <w:sz w:val="24"/>
                <w:szCs w:val="24"/>
              </w:rPr>
              <w:t>s</w:t>
            </w:r>
            <w:r w:rsidR="0082465D">
              <w:rPr>
                <w:rFonts w:ascii="Times New Roman" w:hAnsi="Times New Roman" w:cs="Times New Roman"/>
                <w:sz w:val="24"/>
                <w:szCs w:val="24"/>
              </w:rPr>
              <w:t>.</w:t>
            </w:r>
          </w:p>
        </w:tc>
        <w:tc>
          <w:tcPr>
            <w:tcW w:w="4968" w:type="dxa"/>
          </w:tcPr>
          <w:p w:rsidR="00E023E6" w:rsidRDefault="0082465D" w:rsidP="00B33DDA">
            <w:pPr>
              <w:pStyle w:val="in"/>
              <w:spacing w:before="100" w:beforeAutospacing="1" w:after="100" w:afterAutospacing="1" w:line="22" w:lineRule="atLeast"/>
              <w:ind w:left="0"/>
              <w:rPr>
                <w:rFonts w:ascii="Times New Roman" w:hAnsi="Times New Roman" w:cs="Times New Roman"/>
                <w:sz w:val="24"/>
                <w:szCs w:val="24"/>
              </w:rPr>
            </w:pPr>
            <w:r>
              <w:rPr>
                <w:rFonts w:ascii="Times New Roman" w:hAnsi="Times New Roman" w:cs="Times New Roman"/>
                <w:sz w:val="24"/>
                <w:szCs w:val="24"/>
              </w:rPr>
              <w:t>Adjust eligibility requirements to indicate corresponding sockets must be removed or permanently disabled.</w:t>
            </w:r>
          </w:p>
        </w:tc>
      </w:tr>
      <w:tr w:rsidR="00B113EA" w:rsidRPr="00D810B4" w:rsidTr="006F223D">
        <w:tc>
          <w:tcPr>
            <w:tcW w:w="1548" w:type="dxa"/>
          </w:tcPr>
          <w:p w:rsidR="00B113EA" w:rsidRDefault="00B113EA" w:rsidP="00B113EA">
            <w:pPr>
              <w:pStyle w:val="in"/>
              <w:spacing w:before="100" w:beforeAutospacing="1" w:after="100" w:afterAutospacing="1" w:line="22" w:lineRule="atLeast"/>
              <w:ind w:left="0"/>
              <w:rPr>
                <w:rFonts w:ascii="Times New Roman" w:hAnsi="Times New Roman" w:cs="Times New Roman"/>
                <w:sz w:val="24"/>
                <w:szCs w:val="24"/>
              </w:rPr>
            </w:pPr>
            <w:r>
              <w:rPr>
                <w:rFonts w:ascii="Times New Roman" w:hAnsi="Times New Roman" w:cs="Times New Roman"/>
                <w:sz w:val="24"/>
                <w:szCs w:val="24"/>
              </w:rPr>
              <w:t>Linear Fluorescent, T8, High Bay</w:t>
            </w:r>
          </w:p>
        </w:tc>
        <w:tc>
          <w:tcPr>
            <w:tcW w:w="3060" w:type="dxa"/>
          </w:tcPr>
          <w:p w:rsidR="00B113EA" w:rsidRDefault="00B176FA" w:rsidP="003E5624">
            <w:pPr>
              <w:pStyle w:val="in"/>
              <w:spacing w:before="100" w:beforeAutospacing="1" w:after="100" w:afterAutospacing="1" w:line="22" w:lineRule="atLeast"/>
              <w:ind w:left="0"/>
              <w:rPr>
                <w:rFonts w:ascii="Times New Roman" w:hAnsi="Times New Roman" w:cs="Times New Roman"/>
                <w:sz w:val="24"/>
                <w:szCs w:val="24"/>
              </w:rPr>
            </w:pPr>
            <w:r>
              <w:rPr>
                <w:rFonts w:ascii="Times New Roman" w:hAnsi="Times New Roman" w:cs="Times New Roman"/>
                <w:sz w:val="24"/>
                <w:szCs w:val="24"/>
              </w:rPr>
              <w:t>Clarify eligibility requirement</w:t>
            </w:r>
            <w:r w:rsidR="00890767">
              <w:rPr>
                <w:rFonts w:ascii="Times New Roman" w:hAnsi="Times New Roman" w:cs="Times New Roman"/>
                <w:sz w:val="24"/>
                <w:szCs w:val="24"/>
              </w:rPr>
              <w:t>s</w:t>
            </w:r>
            <w:r>
              <w:rPr>
                <w:rFonts w:ascii="Times New Roman" w:hAnsi="Times New Roman" w:cs="Times New Roman"/>
                <w:sz w:val="24"/>
                <w:szCs w:val="24"/>
              </w:rPr>
              <w:t>.</w:t>
            </w:r>
          </w:p>
        </w:tc>
        <w:tc>
          <w:tcPr>
            <w:tcW w:w="4968" w:type="dxa"/>
          </w:tcPr>
          <w:p w:rsidR="00B113EA" w:rsidRDefault="00B176FA" w:rsidP="00083A72">
            <w:pPr>
              <w:pStyle w:val="in"/>
              <w:spacing w:before="100" w:beforeAutospacing="1" w:after="100" w:afterAutospacing="1" w:line="22" w:lineRule="atLeast"/>
              <w:ind w:left="0"/>
              <w:rPr>
                <w:rFonts w:ascii="Times New Roman" w:hAnsi="Times New Roman" w:cs="Times New Roman"/>
                <w:sz w:val="24"/>
                <w:szCs w:val="24"/>
              </w:rPr>
            </w:pPr>
            <w:r>
              <w:rPr>
                <w:rFonts w:ascii="Times New Roman" w:hAnsi="Times New Roman" w:cs="Times New Roman"/>
                <w:sz w:val="24"/>
                <w:szCs w:val="24"/>
              </w:rPr>
              <w:t xml:space="preserve">Adjust eligibility requirements </w:t>
            </w:r>
            <w:r w:rsidR="00083A72">
              <w:rPr>
                <w:rFonts w:ascii="Times New Roman" w:hAnsi="Times New Roman" w:cs="Times New Roman"/>
                <w:sz w:val="24"/>
                <w:szCs w:val="24"/>
              </w:rPr>
              <w:t>to more clearly delineate eligible replacement fixtures and applications.</w:t>
            </w:r>
          </w:p>
        </w:tc>
      </w:tr>
      <w:tr w:rsidR="008E5EB5" w:rsidTr="0029087F">
        <w:tc>
          <w:tcPr>
            <w:tcW w:w="1548" w:type="dxa"/>
          </w:tcPr>
          <w:p w:rsidR="008E5EB5" w:rsidRDefault="008E5EB5" w:rsidP="0029087F">
            <w:pPr>
              <w:pStyle w:val="in"/>
              <w:spacing w:before="100" w:beforeAutospacing="1" w:after="100" w:afterAutospacing="1" w:line="22" w:lineRule="atLeast"/>
              <w:ind w:left="0"/>
              <w:rPr>
                <w:rFonts w:ascii="Times New Roman" w:hAnsi="Times New Roman" w:cs="Times New Roman"/>
                <w:sz w:val="24"/>
                <w:szCs w:val="24"/>
              </w:rPr>
            </w:pPr>
            <w:r>
              <w:rPr>
                <w:rFonts w:ascii="Times New Roman" w:hAnsi="Times New Roman" w:cs="Times New Roman"/>
                <w:sz w:val="24"/>
                <w:szCs w:val="24"/>
              </w:rPr>
              <w:t>Linear Fluorescent, T8, Continuous Operation</w:t>
            </w:r>
          </w:p>
        </w:tc>
        <w:tc>
          <w:tcPr>
            <w:tcW w:w="3060" w:type="dxa"/>
          </w:tcPr>
          <w:p w:rsidR="008E5EB5" w:rsidRDefault="008E5EB5" w:rsidP="00B176FA">
            <w:pPr>
              <w:pStyle w:val="in"/>
              <w:spacing w:before="100" w:beforeAutospacing="1" w:after="100" w:afterAutospacing="1" w:line="22" w:lineRule="atLeast"/>
              <w:ind w:left="0"/>
              <w:rPr>
                <w:rFonts w:ascii="Times New Roman" w:hAnsi="Times New Roman" w:cs="Times New Roman"/>
                <w:sz w:val="24"/>
                <w:szCs w:val="24"/>
              </w:rPr>
            </w:pPr>
            <w:r>
              <w:rPr>
                <w:rFonts w:ascii="Times New Roman" w:hAnsi="Times New Roman" w:cs="Times New Roman"/>
                <w:sz w:val="24"/>
                <w:szCs w:val="24"/>
              </w:rPr>
              <w:t xml:space="preserve">Add measure for CEE qualified T8 lamps and ballasts in a continuous operation application. </w:t>
            </w:r>
          </w:p>
        </w:tc>
        <w:tc>
          <w:tcPr>
            <w:tcW w:w="4968" w:type="dxa"/>
          </w:tcPr>
          <w:p w:rsidR="008E5EB5" w:rsidRDefault="00603134" w:rsidP="00603134">
            <w:pPr>
              <w:pStyle w:val="in"/>
              <w:spacing w:before="100" w:beforeAutospacing="1" w:after="100" w:afterAutospacing="1" w:line="22" w:lineRule="atLeast"/>
              <w:ind w:left="0"/>
              <w:rPr>
                <w:rFonts w:ascii="Times New Roman" w:hAnsi="Times New Roman" w:cs="Times New Roman"/>
                <w:sz w:val="24"/>
                <w:szCs w:val="24"/>
              </w:rPr>
            </w:pPr>
            <w:r>
              <w:rPr>
                <w:rFonts w:ascii="Times New Roman" w:hAnsi="Times New Roman" w:cs="Times New Roman"/>
                <w:sz w:val="24"/>
                <w:szCs w:val="24"/>
              </w:rPr>
              <w:t>Add a higher incentive in alignment with higher savings achieved from premium T8 lighting installed in a continuous operation application</w:t>
            </w:r>
            <w:r w:rsidR="00890767">
              <w:rPr>
                <w:rFonts w:ascii="Times New Roman" w:hAnsi="Times New Roman" w:cs="Times New Roman"/>
                <w:sz w:val="24"/>
                <w:szCs w:val="24"/>
              </w:rPr>
              <w:t xml:space="preserve"> to encourage greater adoption.</w:t>
            </w:r>
          </w:p>
        </w:tc>
      </w:tr>
      <w:tr w:rsidR="00B113EA" w:rsidRPr="00D810B4" w:rsidTr="006F223D">
        <w:tc>
          <w:tcPr>
            <w:tcW w:w="1548" w:type="dxa"/>
          </w:tcPr>
          <w:p w:rsidR="00B113EA" w:rsidRDefault="00B113EA" w:rsidP="008E5EB5">
            <w:pPr>
              <w:pStyle w:val="in"/>
              <w:spacing w:before="100" w:beforeAutospacing="1" w:after="100" w:afterAutospacing="1" w:line="22" w:lineRule="atLeast"/>
              <w:ind w:left="0"/>
              <w:rPr>
                <w:rFonts w:ascii="Times New Roman" w:hAnsi="Times New Roman" w:cs="Times New Roman"/>
                <w:sz w:val="24"/>
                <w:szCs w:val="24"/>
              </w:rPr>
            </w:pPr>
            <w:r>
              <w:rPr>
                <w:rFonts w:ascii="Times New Roman" w:hAnsi="Times New Roman" w:cs="Times New Roman"/>
                <w:sz w:val="24"/>
                <w:szCs w:val="24"/>
              </w:rPr>
              <w:t>Linear Fluorescent, T</w:t>
            </w:r>
            <w:r w:rsidR="008E5EB5">
              <w:rPr>
                <w:rFonts w:ascii="Times New Roman" w:hAnsi="Times New Roman" w:cs="Times New Roman"/>
                <w:sz w:val="24"/>
                <w:szCs w:val="24"/>
              </w:rPr>
              <w:t>5</w:t>
            </w:r>
            <w:r>
              <w:rPr>
                <w:rFonts w:ascii="Times New Roman" w:hAnsi="Times New Roman" w:cs="Times New Roman"/>
                <w:sz w:val="24"/>
                <w:szCs w:val="24"/>
              </w:rPr>
              <w:t>, Continuous Operation</w:t>
            </w:r>
          </w:p>
        </w:tc>
        <w:tc>
          <w:tcPr>
            <w:tcW w:w="3060" w:type="dxa"/>
          </w:tcPr>
          <w:p w:rsidR="00B113EA" w:rsidRDefault="00B113EA" w:rsidP="00603134">
            <w:pPr>
              <w:pStyle w:val="in"/>
              <w:spacing w:before="100" w:beforeAutospacing="1" w:after="100" w:afterAutospacing="1" w:line="22" w:lineRule="atLeast"/>
              <w:ind w:left="0"/>
              <w:rPr>
                <w:rFonts w:ascii="Times New Roman" w:hAnsi="Times New Roman" w:cs="Times New Roman"/>
                <w:sz w:val="24"/>
                <w:szCs w:val="24"/>
              </w:rPr>
            </w:pPr>
            <w:r>
              <w:rPr>
                <w:rFonts w:ascii="Times New Roman" w:hAnsi="Times New Roman" w:cs="Times New Roman"/>
                <w:sz w:val="24"/>
                <w:szCs w:val="24"/>
              </w:rPr>
              <w:t>Add measure for T</w:t>
            </w:r>
            <w:r w:rsidR="008E5EB5">
              <w:rPr>
                <w:rFonts w:ascii="Times New Roman" w:hAnsi="Times New Roman" w:cs="Times New Roman"/>
                <w:sz w:val="24"/>
                <w:szCs w:val="24"/>
              </w:rPr>
              <w:t>5</w:t>
            </w:r>
            <w:r>
              <w:rPr>
                <w:rFonts w:ascii="Times New Roman" w:hAnsi="Times New Roman" w:cs="Times New Roman"/>
                <w:sz w:val="24"/>
                <w:szCs w:val="24"/>
              </w:rPr>
              <w:t xml:space="preserve"> lamps and ballasts in a continuous operation application. </w:t>
            </w:r>
          </w:p>
        </w:tc>
        <w:tc>
          <w:tcPr>
            <w:tcW w:w="4968" w:type="dxa"/>
          </w:tcPr>
          <w:p w:rsidR="00B113EA" w:rsidRDefault="00890767" w:rsidP="00890767">
            <w:pPr>
              <w:pStyle w:val="in"/>
              <w:spacing w:before="100" w:beforeAutospacing="1" w:after="100" w:afterAutospacing="1" w:line="22" w:lineRule="atLeast"/>
              <w:ind w:left="0"/>
              <w:rPr>
                <w:rFonts w:ascii="Times New Roman" w:hAnsi="Times New Roman" w:cs="Times New Roman"/>
                <w:sz w:val="24"/>
                <w:szCs w:val="24"/>
              </w:rPr>
            </w:pPr>
            <w:r>
              <w:rPr>
                <w:rFonts w:ascii="Times New Roman" w:hAnsi="Times New Roman" w:cs="Times New Roman"/>
                <w:sz w:val="24"/>
                <w:szCs w:val="24"/>
              </w:rPr>
              <w:t>Add a higher incentive in alignment with higher savings achieved from T5 lighting installed in a continuous operation application to encourage greater adoption.</w:t>
            </w:r>
          </w:p>
        </w:tc>
      </w:tr>
      <w:tr w:rsidR="008E5EB5" w:rsidRPr="00D810B4" w:rsidTr="006F223D">
        <w:tc>
          <w:tcPr>
            <w:tcW w:w="1548" w:type="dxa"/>
          </w:tcPr>
          <w:p w:rsidR="008E5EB5" w:rsidRDefault="008E5EB5" w:rsidP="008E5EB5">
            <w:pPr>
              <w:pStyle w:val="in"/>
              <w:spacing w:before="100" w:beforeAutospacing="1" w:after="100" w:afterAutospacing="1" w:line="22" w:lineRule="atLeast"/>
              <w:ind w:left="0"/>
              <w:rPr>
                <w:rFonts w:ascii="Times New Roman" w:hAnsi="Times New Roman" w:cs="Times New Roman"/>
                <w:sz w:val="24"/>
                <w:szCs w:val="24"/>
              </w:rPr>
            </w:pPr>
            <w:r>
              <w:rPr>
                <w:rFonts w:ascii="Times New Roman" w:hAnsi="Times New Roman" w:cs="Times New Roman"/>
                <w:sz w:val="24"/>
                <w:szCs w:val="24"/>
              </w:rPr>
              <w:t>Daylighting Control</w:t>
            </w:r>
          </w:p>
        </w:tc>
        <w:tc>
          <w:tcPr>
            <w:tcW w:w="3060" w:type="dxa"/>
          </w:tcPr>
          <w:p w:rsidR="008E5EB5" w:rsidRDefault="00890767" w:rsidP="008E5EB5">
            <w:pPr>
              <w:pStyle w:val="in"/>
              <w:spacing w:before="100" w:beforeAutospacing="1" w:after="100" w:afterAutospacing="1" w:line="22" w:lineRule="atLeast"/>
              <w:ind w:left="0"/>
              <w:rPr>
                <w:rFonts w:ascii="Times New Roman" w:hAnsi="Times New Roman" w:cs="Times New Roman"/>
                <w:sz w:val="24"/>
                <w:szCs w:val="24"/>
              </w:rPr>
            </w:pPr>
            <w:r>
              <w:rPr>
                <w:rFonts w:ascii="Times New Roman" w:hAnsi="Times New Roman" w:cs="Times New Roman"/>
                <w:sz w:val="24"/>
                <w:szCs w:val="24"/>
              </w:rPr>
              <w:t>Clarify eligibility requirements.</w:t>
            </w:r>
          </w:p>
        </w:tc>
        <w:tc>
          <w:tcPr>
            <w:tcW w:w="4968" w:type="dxa"/>
          </w:tcPr>
          <w:p w:rsidR="008E5EB5" w:rsidRDefault="00890767" w:rsidP="008E5EB5">
            <w:pPr>
              <w:pStyle w:val="in"/>
              <w:spacing w:before="100" w:beforeAutospacing="1" w:after="100" w:afterAutospacing="1" w:line="22" w:lineRule="atLeast"/>
              <w:ind w:left="0"/>
              <w:rPr>
                <w:rFonts w:ascii="Times New Roman" w:hAnsi="Times New Roman" w:cs="Times New Roman"/>
                <w:sz w:val="24"/>
                <w:szCs w:val="24"/>
              </w:rPr>
            </w:pPr>
            <w:r>
              <w:rPr>
                <w:rFonts w:ascii="Times New Roman" w:hAnsi="Times New Roman" w:cs="Times New Roman"/>
                <w:sz w:val="24"/>
                <w:szCs w:val="24"/>
              </w:rPr>
              <w:t>Adjust eligibility requirements to include interior fixtures with drivers (i.e. LEDs), and require at least 50% reduction in output of connected fixtures.</w:t>
            </w:r>
          </w:p>
        </w:tc>
      </w:tr>
    </w:tbl>
    <w:p w:rsidR="00DF1E30" w:rsidRPr="00D810B4" w:rsidRDefault="00DF1E30" w:rsidP="006E0425">
      <w:pPr>
        <w:pStyle w:val="in"/>
        <w:spacing w:before="100" w:beforeAutospacing="1" w:after="100" w:afterAutospacing="1" w:line="22" w:lineRule="atLeast"/>
        <w:ind w:left="0"/>
        <w:jc w:val="both"/>
        <w:rPr>
          <w:rFonts w:ascii="Times New Roman" w:hAnsi="Times New Roman" w:cs="Times New Roman"/>
          <w:sz w:val="24"/>
          <w:szCs w:val="24"/>
        </w:rPr>
      </w:pPr>
      <w:r w:rsidRPr="00D810B4">
        <w:rPr>
          <w:rFonts w:ascii="Times New Roman" w:hAnsi="Times New Roman" w:cs="Times New Roman"/>
          <w:sz w:val="24"/>
          <w:szCs w:val="24"/>
        </w:rPr>
        <w:t>Table 2 highlights the proposed changes to new construction and major renovation lighting measures.</w:t>
      </w:r>
    </w:p>
    <w:p w:rsidR="00DF1E30" w:rsidRPr="00D810B4" w:rsidRDefault="00DF1E30" w:rsidP="00DF1E30">
      <w:pPr>
        <w:pStyle w:val="in"/>
        <w:spacing w:after="0" w:line="22" w:lineRule="atLeast"/>
        <w:ind w:left="0"/>
        <w:jc w:val="center"/>
        <w:rPr>
          <w:rFonts w:ascii="Times New Roman" w:hAnsi="Times New Roman" w:cs="Times New Roman"/>
          <w:b/>
          <w:sz w:val="24"/>
          <w:szCs w:val="24"/>
        </w:rPr>
      </w:pPr>
      <w:r w:rsidRPr="00D810B4">
        <w:rPr>
          <w:rFonts w:ascii="Times New Roman" w:hAnsi="Times New Roman" w:cs="Times New Roman"/>
          <w:b/>
          <w:sz w:val="24"/>
          <w:szCs w:val="24"/>
        </w:rPr>
        <w:lastRenderedPageBreak/>
        <w:t>Table 2</w:t>
      </w:r>
    </w:p>
    <w:p w:rsidR="00F46B1F" w:rsidRPr="00D810B4" w:rsidRDefault="00C73E24" w:rsidP="00DF1E30">
      <w:pPr>
        <w:pStyle w:val="in"/>
        <w:spacing w:line="22" w:lineRule="atLeast"/>
        <w:ind w:left="0"/>
        <w:jc w:val="center"/>
        <w:rPr>
          <w:rFonts w:ascii="Times New Roman" w:hAnsi="Times New Roman" w:cs="Times New Roman"/>
          <w:b/>
          <w:sz w:val="24"/>
          <w:szCs w:val="24"/>
        </w:rPr>
      </w:pPr>
      <w:r w:rsidRPr="00D810B4">
        <w:rPr>
          <w:rFonts w:ascii="Times New Roman" w:hAnsi="Times New Roman" w:cs="Times New Roman"/>
          <w:b/>
          <w:sz w:val="24"/>
          <w:szCs w:val="24"/>
        </w:rPr>
        <w:t>New Construction/Major Renovation Lighting</w:t>
      </w:r>
    </w:p>
    <w:tbl>
      <w:tblPr>
        <w:tblStyle w:val="TableGrid"/>
        <w:tblW w:w="0" w:type="auto"/>
        <w:tblLook w:val="04A0" w:firstRow="1" w:lastRow="0" w:firstColumn="1" w:lastColumn="0" w:noHBand="0" w:noVBand="1"/>
      </w:tblPr>
      <w:tblGrid>
        <w:gridCol w:w="1548"/>
        <w:gridCol w:w="3060"/>
        <w:gridCol w:w="4968"/>
      </w:tblGrid>
      <w:tr w:rsidR="00D72F18" w:rsidRPr="00D810B4" w:rsidTr="00142A42">
        <w:tc>
          <w:tcPr>
            <w:tcW w:w="1548" w:type="dxa"/>
          </w:tcPr>
          <w:p w:rsidR="00D72F18" w:rsidRPr="00D810B4" w:rsidRDefault="00D72F18" w:rsidP="006E0425">
            <w:pPr>
              <w:pStyle w:val="in"/>
              <w:spacing w:before="100" w:beforeAutospacing="1" w:after="100" w:afterAutospacing="1" w:line="22" w:lineRule="atLeast"/>
              <w:ind w:left="0"/>
              <w:rPr>
                <w:rFonts w:ascii="Times New Roman" w:hAnsi="Times New Roman" w:cs="Times New Roman"/>
                <w:b/>
                <w:sz w:val="24"/>
                <w:szCs w:val="24"/>
              </w:rPr>
            </w:pPr>
            <w:r w:rsidRPr="00D810B4">
              <w:rPr>
                <w:rFonts w:ascii="Times New Roman" w:hAnsi="Times New Roman" w:cs="Times New Roman"/>
                <w:b/>
                <w:sz w:val="24"/>
                <w:szCs w:val="24"/>
              </w:rPr>
              <w:t>Measure</w:t>
            </w:r>
          </w:p>
        </w:tc>
        <w:tc>
          <w:tcPr>
            <w:tcW w:w="3060" w:type="dxa"/>
          </w:tcPr>
          <w:p w:rsidR="00D72F18" w:rsidRPr="00D810B4" w:rsidRDefault="00D72F18" w:rsidP="006E0425">
            <w:pPr>
              <w:pStyle w:val="in"/>
              <w:spacing w:before="100" w:beforeAutospacing="1" w:after="100" w:afterAutospacing="1" w:line="22" w:lineRule="atLeast"/>
              <w:ind w:left="0"/>
              <w:rPr>
                <w:rFonts w:ascii="Times New Roman" w:hAnsi="Times New Roman" w:cs="Times New Roman"/>
                <w:b/>
                <w:sz w:val="24"/>
                <w:szCs w:val="24"/>
              </w:rPr>
            </w:pPr>
            <w:r w:rsidRPr="00D810B4">
              <w:rPr>
                <w:rFonts w:ascii="Times New Roman" w:hAnsi="Times New Roman" w:cs="Times New Roman"/>
                <w:b/>
                <w:sz w:val="24"/>
                <w:szCs w:val="24"/>
              </w:rPr>
              <w:t>Change</w:t>
            </w:r>
          </w:p>
        </w:tc>
        <w:tc>
          <w:tcPr>
            <w:tcW w:w="4968" w:type="dxa"/>
          </w:tcPr>
          <w:p w:rsidR="00D72F18" w:rsidRPr="00D810B4" w:rsidRDefault="00D72F18" w:rsidP="006E0425">
            <w:pPr>
              <w:pStyle w:val="in"/>
              <w:spacing w:before="100" w:beforeAutospacing="1" w:after="100" w:afterAutospacing="1" w:line="22" w:lineRule="atLeast"/>
              <w:ind w:left="0"/>
              <w:rPr>
                <w:rFonts w:ascii="Times New Roman" w:hAnsi="Times New Roman" w:cs="Times New Roman"/>
                <w:b/>
                <w:sz w:val="24"/>
                <w:szCs w:val="24"/>
              </w:rPr>
            </w:pPr>
            <w:r w:rsidRPr="00D810B4">
              <w:rPr>
                <w:rFonts w:ascii="Times New Roman" w:hAnsi="Times New Roman" w:cs="Times New Roman"/>
                <w:b/>
                <w:sz w:val="24"/>
                <w:szCs w:val="24"/>
              </w:rPr>
              <w:t>Reason for Change</w:t>
            </w:r>
          </w:p>
        </w:tc>
      </w:tr>
      <w:tr w:rsidR="008E5EB5" w:rsidRPr="00D810B4" w:rsidTr="00142A42">
        <w:tc>
          <w:tcPr>
            <w:tcW w:w="1548" w:type="dxa"/>
          </w:tcPr>
          <w:p w:rsidR="008E5EB5" w:rsidRPr="00D810B4" w:rsidRDefault="008E5EB5" w:rsidP="006E0425">
            <w:pPr>
              <w:pStyle w:val="in"/>
              <w:spacing w:before="100" w:beforeAutospacing="1" w:after="100" w:afterAutospacing="1" w:line="22" w:lineRule="atLeast"/>
              <w:ind w:left="0"/>
              <w:rPr>
                <w:rFonts w:ascii="Times New Roman" w:hAnsi="Times New Roman" w:cs="Times New Roman"/>
                <w:sz w:val="24"/>
                <w:szCs w:val="24"/>
              </w:rPr>
            </w:pPr>
            <w:r>
              <w:rPr>
                <w:rFonts w:ascii="Times New Roman" w:hAnsi="Times New Roman" w:cs="Times New Roman"/>
                <w:sz w:val="24"/>
                <w:szCs w:val="24"/>
              </w:rPr>
              <w:t>Exterior Lighting, LED Parking Garage</w:t>
            </w:r>
          </w:p>
        </w:tc>
        <w:tc>
          <w:tcPr>
            <w:tcW w:w="3060" w:type="dxa"/>
          </w:tcPr>
          <w:p w:rsidR="008E5EB5" w:rsidRDefault="00890767" w:rsidP="004C796C">
            <w:pPr>
              <w:pStyle w:val="in"/>
              <w:spacing w:before="100" w:beforeAutospacing="1" w:after="100" w:afterAutospacing="1" w:line="22" w:lineRule="atLeast"/>
              <w:ind w:left="0"/>
              <w:rPr>
                <w:rFonts w:ascii="Times New Roman" w:hAnsi="Times New Roman" w:cs="Times New Roman"/>
                <w:sz w:val="24"/>
                <w:szCs w:val="24"/>
              </w:rPr>
            </w:pPr>
            <w:r>
              <w:rPr>
                <w:rFonts w:ascii="Times New Roman" w:hAnsi="Times New Roman" w:cs="Times New Roman"/>
                <w:sz w:val="24"/>
                <w:szCs w:val="24"/>
              </w:rPr>
              <w:t>Remove measure from exterior lighting classification.</w:t>
            </w:r>
          </w:p>
        </w:tc>
        <w:tc>
          <w:tcPr>
            <w:tcW w:w="4968" w:type="dxa"/>
          </w:tcPr>
          <w:p w:rsidR="00951AB0" w:rsidRPr="00D810B4" w:rsidRDefault="008E5EB5" w:rsidP="00890767">
            <w:pPr>
              <w:pStyle w:val="in"/>
              <w:spacing w:before="100" w:beforeAutospacing="1" w:after="100" w:afterAutospacing="1" w:line="22" w:lineRule="atLeast"/>
              <w:ind w:left="0"/>
              <w:rPr>
                <w:rFonts w:ascii="Times New Roman" w:hAnsi="Times New Roman" w:cs="Times New Roman"/>
                <w:sz w:val="24"/>
                <w:szCs w:val="24"/>
              </w:rPr>
            </w:pPr>
            <w:r>
              <w:rPr>
                <w:rFonts w:ascii="Times New Roman" w:hAnsi="Times New Roman" w:cs="Times New Roman"/>
                <w:sz w:val="24"/>
                <w:szCs w:val="24"/>
              </w:rPr>
              <w:t>Parking garage</w:t>
            </w:r>
            <w:r w:rsidR="00890767">
              <w:rPr>
                <w:rFonts w:ascii="Times New Roman" w:hAnsi="Times New Roman" w:cs="Times New Roman"/>
                <w:sz w:val="24"/>
                <w:szCs w:val="24"/>
              </w:rPr>
              <w:t>s are considered an interior space as part of the State energy code, resulting in market confusion about available incentives.  Incentives will be paid at $0.08/kWh annual energy savings as described in the eligibility requirements for “Interior Lighting”</w:t>
            </w:r>
          </w:p>
        </w:tc>
      </w:tr>
    </w:tbl>
    <w:p w:rsidR="00F46B1F" w:rsidRPr="00D810B4" w:rsidRDefault="000A18B8" w:rsidP="000136F4">
      <w:pPr>
        <w:spacing w:before="100" w:beforeAutospacing="1" w:after="100" w:afterAutospacing="1" w:line="22" w:lineRule="atLeast"/>
        <w:jc w:val="both"/>
        <w:outlineLvl w:val="0"/>
        <w:rPr>
          <w:rFonts w:eastAsia="MS Mincho"/>
          <w:lang w:eastAsia="ja-JP"/>
        </w:rPr>
      </w:pPr>
      <w:r>
        <w:rPr>
          <w:rFonts w:eastAsia="MS Mincho"/>
          <w:b/>
          <w:lang w:eastAsia="ja-JP"/>
        </w:rPr>
        <w:t>Mechanical and other Energy Efficiency Incentives</w:t>
      </w:r>
    </w:p>
    <w:p w:rsidR="009D71F9" w:rsidRPr="00D810B4" w:rsidRDefault="009D71F9" w:rsidP="000136F4">
      <w:pPr>
        <w:pStyle w:val="in"/>
        <w:spacing w:before="100" w:beforeAutospacing="1" w:after="100" w:afterAutospacing="1" w:line="22" w:lineRule="atLeast"/>
        <w:ind w:left="0"/>
        <w:jc w:val="both"/>
        <w:rPr>
          <w:rFonts w:ascii="Times New Roman" w:hAnsi="Times New Roman" w:cs="Times New Roman"/>
          <w:sz w:val="24"/>
          <w:szCs w:val="24"/>
        </w:rPr>
      </w:pPr>
      <w:r w:rsidRPr="00D810B4">
        <w:rPr>
          <w:rFonts w:ascii="Times New Roman" w:hAnsi="Times New Roman" w:cs="Times New Roman"/>
          <w:sz w:val="24"/>
          <w:szCs w:val="24"/>
        </w:rPr>
        <w:t>T</w:t>
      </w:r>
      <w:r w:rsidR="00FD6DA7" w:rsidRPr="00D810B4">
        <w:rPr>
          <w:rFonts w:ascii="Times New Roman" w:hAnsi="Times New Roman" w:cs="Times New Roman"/>
          <w:sz w:val="24"/>
          <w:szCs w:val="24"/>
        </w:rPr>
        <w:t xml:space="preserve">able </w:t>
      </w:r>
      <w:r w:rsidR="000A18B8">
        <w:rPr>
          <w:rFonts w:ascii="Times New Roman" w:hAnsi="Times New Roman" w:cs="Times New Roman"/>
          <w:sz w:val="24"/>
          <w:szCs w:val="24"/>
        </w:rPr>
        <w:t>3</w:t>
      </w:r>
      <w:r w:rsidRPr="00D810B4">
        <w:rPr>
          <w:rFonts w:ascii="Times New Roman" w:hAnsi="Times New Roman" w:cs="Times New Roman"/>
          <w:sz w:val="24"/>
          <w:szCs w:val="24"/>
        </w:rPr>
        <w:t xml:space="preserve"> </w:t>
      </w:r>
      <w:r w:rsidR="00002558">
        <w:rPr>
          <w:rFonts w:ascii="Times New Roman" w:hAnsi="Times New Roman" w:cs="Times New Roman"/>
          <w:sz w:val="24"/>
          <w:szCs w:val="24"/>
        </w:rPr>
        <w:t>summarizes</w:t>
      </w:r>
      <w:r w:rsidR="007A6235" w:rsidRPr="00D810B4">
        <w:rPr>
          <w:rFonts w:ascii="Times New Roman" w:hAnsi="Times New Roman" w:cs="Times New Roman"/>
          <w:sz w:val="24"/>
          <w:szCs w:val="24"/>
        </w:rPr>
        <w:t xml:space="preserve"> modifications </w:t>
      </w:r>
      <w:r w:rsidR="005B0FCB" w:rsidRPr="00D810B4">
        <w:rPr>
          <w:rFonts w:ascii="Times New Roman" w:hAnsi="Times New Roman" w:cs="Times New Roman"/>
          <w:sz w:val="24"/>
          <w:szCs w:val="24"/>
        </w:rPr>
        <w:t>f</w:t>
      </w:r>
      <w:r w:rsidR="00E707D8">
        <w:rPr>
          <w:rFonts w:ascii="Times New Roman" w:hAnsi="Times New Roman" w:cs="Times New Roman"/>
          <w:sz w:val="24"/>
          <w:szCs w:val="24"/>
        </w:rPr>
        <w:t xml:space="preserve">or </w:t>
      </w:r>
      <w:r w:rsidR="00002558">
        <w:rPr>
          <w:rFonts w:ascii="Times New Roman" w:hAnsi="Times New Roman" w:cs="Times New Roman"/>
          <w:sz w:val="24"/>
          <w:szCs w:val="24"/>
        </w:rPr>
        <w:t xml:space="preserve">existing </w:t>
      </w:r>
      <w:r w:rsidR="009E191C">
        <w:rPr>
          <w:rFonts w:ascii="Times New Roman" w:hAnsi="Times New Roman" w:cs="Times New Roman"/>
          <w:sz w:val="24"/>
          <w:szCs w:val="24"/>
        </w:rPr>
        <w:t>HVAC, building envelope, food service, appliances and office</w:t>
      </w:r>
      <w:r w:rsidR="00E707D8">
        <w:rPr>
          <w:rFonts w:ascii="Times New Roman" w:hAnsi="Times New Roman" w:cs="Times New Roman"/>
          <w:sz w:val="24"/>
          <w:szCs w:val="24"/>
        </w:rPr>
        <w:t xml:space="preserve"> energy efficiency m</w:t>
      </w:r>
      <w:r w:rsidR="00002558">
        <w:rPr>
          <w:rFonts w:ascii="Times New Roman" w:hAnsi="Times New Roman" w:cs="Times New Roman"/>
          <w:sz w:val="24"/>
          <w:szCs w:val="24"/>
        </w:rPr>
        <w:t>easures included in the program.</w:t>
      </w:r>
    </w:p>
    <w:p w:rsidR="00F46B1F" w:rsidRPr="00D810B4" w:rsidRDefault="001919F5" w:rsidP="00E04E92">
      <w:pPr>
        <w:pStyle w:val="in"/>
        <w:spacing w:after="0" w:line="22" w:lineRule="atLeast"/>
        <w:ind w:left="0"/>
        <w:jc w:val="center"/>
        <w:rPr>
          <w:rFonts w:ascii="Times New Roman" w:hAnsi="Times New Roman" w:cs="Times New Roman"/>
          <w:b/>
          <w:sz w:val="24"/>
          <w:szCs w:val="24"/>
        </w:rPr>
      </w:pPr>
      <w:r w:rsidRPr="00D810B4">
        <w:rPr>
          <w:rFonts w:ascii="Times New Roman" w:hAnsi="Times New Roman" w:cs="Times New Roman"/>
          <w:b/>
          <w:sz w:val="24"/>
          <w:szCs w:val="24"/>
        </w:rPr>
        <w:t xml:space="preserve">Table </w:t>
      </w:r>
      <w:r w:rsidR="00002558">
        <w:rPr>
          <w:rFonts w:ascii="Times New Roman" w:hAnsi="Times New Roman" w:cs="Times New Roman"/>
          <w:b/>
          <w:sz w:val="24"/>
          <w:szCs w:val="24"/>
        </w:rPr>
        <w:t>3</w:t>
      </w:r>
    </w:p>
    <w:p w:rsidR="00741304" w:rsidRPr="00D810B4" w:rsidRDefault="00741304" w:rsidP="00E04E92">
      <w:pPr>
        <w:pStyle w:val="in"/>
        <w:spacing w:line="22" w:lineRule="atLeast"/>
        <w:ind w:left="0"/>
        <w:jc w:val="center"/>
        <w:rPr>
          <w:rFonts w:ascii="Times New Roman" w:hAnsi="Times New Roman" w:cs="Times New Roman"/>
          <w:b/>
          <w:sz w:val="24"/>
          <w:szCs w:val="24"/>
        </w:rPr>
      </w:pPr>
      <w:r w:rsidRPr="00D810B4">
        <w:rPr>
          <w:rFonts w:ascii="Times New Roman" w:hAnsi="Times New Roman" w:cs="Times New Roman"/>
          <w:b/>
          <w:sz w:val="24"/>
          <w:szCs w:val="24"/>
        </w:rPr>
        <w:t xml:space="preserve">Summary of Proposed </w:t>
      </w:r>
      <w:r w:rsidR="00002558">
        <w:rPr>
          <w:rFonts w:ascii="Times New Roman" w:hAnsi="Times New Roman" w:cs="Times New Roman"/>
          <w:b/>
          <w:sz w:val="24"/>
          <w:szCs w:val="24"/>
        </w:rPr>
        <w:t xml:space="preserve">Changes to Existing </w:t>
      </w:r>
      <w:r w:rsidR="009E191C">
        <w:rPr>
          <w:rFonts w:ascii="Times New Roman" w:hAnsi="Times New Roman" w:cs="Times New Roman"/>
          <w:sz w:val="24"/>
          <w:szCs w:val="24"/>
        </w:rPr>
        <w:t>HVAC, Building Envelope, Food Service, Appliances and Office</w:t>
      </w:r>
      <w:r w:rsidR="009E191C" w:rsidDel="009E191C">
        <w:rPr>
          <w:rFonts w:ascii="Times New Roman" w:hAnsi="Times New Roman" w:cs="Times New Roman"/>
          <w:b/>
          <w:sz w:val="24"/>
          <w:szCs w:val="24"/>
        </w:rPr>
        <w:t xml:space="preserve"> </w:t>
      </w:r>
      <w:r w:rsidRPr="00D810B4">
        <w:rPr>
          <w:rFonts w:ascii="Times New Roman" w:hAnsi="Times New Roman" w:cs="Times New Roman"/>
          <w:b/>
          <w:sz w:val="24"/>
          <w:szCs w:val="24"/>
        </w:rPr>
        <w:t>Energy Efficiency</w:t>
      </w:r>
      <w:r w:rsidR="00002558">
        <w:rPr>
          <w:rFonts w:ascii="Times New Roman" w:hAnsi="Times New Roman" w:cs="Times New Roman"/>
          <w:b/>
          <w:sz w:val="24"/>
          <w:szCs w:val="24"/>
        </w:rPr>
        <w:t xml:space="preserve"> Measures</w:t>
      </w:r>
    </w:p>
    <w:tbl>
      <w:tblPr>
        <w:tblStyle w:val="TableGrid"/>
        <w:tblW w:w="9558" w:type="dxa"/>
        <w:tblLook w:val="04A0" w:firstRow="1" w:lastRow="0" w:firstColumn="1" w:lastColumn="0" w:noHBand="0" w:noVBand="1"/>
      </w:tblPr>
      <w:tblGrid>
        <w:gridCol w:w="1909"/>
        <w:gridCol w:w="3027"/>
        <w:gridCol w:w="4622"/>
      </w:tblGrid>
      <w:tr w:rsidR="00444B37" w:rsidRPr="00D810B4" w:rsidTr="00872A1D">
        <w:tc>
          <w:tcPr>
            <w:tcW w:w="1909" w:type="dxa"/>
          </w:tcPr>
          <w:p w:rsidR="00444B37" w:rsidRPr="00D810B4" w:rsidRDefault="00E707D8" w:rsidP="00E04E92">
            <w:pPr>
              <w:pStyle w:val="in"/>
              <w:spacing w:after="0" w:line="22" w:lineRule="atLeast"/>
              <w:ind w:left="0"/>
              <w:rPr>
                <w:rFonts w:ascii="Times New Roman" w:hAnsi="Times New Roman" w:cs="Times New Roman"/>
                <w:b/>
                <w:sz w:val="24"/>
                <w:szCs w:val="24"/>
              </w:rPr>
            </w:pPr>
            <w:r>
              <w:rPr>
                <w:rFonts w:ascii="Times New Roman" w:hAnsi="Times New Roman" w:cs="Times New Roman"/>
                <w:b/>
                <w:sz w:val="24"/>
                <w:szCs w:val="24"/>
              </w:rPr>
              <w:t>Measure Category</w:t>
            </w:r>
          </w:p>
        </w:tc>
        <w:tc>
          <w:tcPr>
            <w:tcW w:w="7649" w:type="dxa"/>
            <w:gridSpan w:val="2"/>
          </w:tcPr>
          <w:p w:rsidR="00444B37" w:rsidRPr="00D810B4" w:rsidRDefault="00444B37" w:rsidP="00E04E92">
            <w:pPr>
              <w:pStyle w:val="in"/>
              <w:spacing w:after="0" w:line="22" w:lineRule="atLeast"/>
              <w:ind w:left="0"/>
              <w:jc w:val="center"/>
              <w:rPr>
                <w:rFonts w:ascii="Times New Roman" w:hAnsi="Times New Roman" w:cs="Times New Roman"/>
                <w:b/>
                <w:sz w:val="24"/>
                <w:szCs w:val="24"/>
              </w:rPr>
            </w:pPr>
            <w:r w:rsidRPr="00D810B4">
              <w:rPr>
                <w:rFonts w:ascii="Times New Roman" w:hAnsi="Times New Roman" w:cs="Times New Roman"/>
                <w:b/>
                <w:sz w:val="24"/>
                <w:szCs w:val="24"/>
              </w:rPr>
              <w:t>Measures</w:t>
            </w:r>
          </w:p>
        </w:tc>
      </w:tr>
      <w:tr w:rsidR="0013723F" w:rsidRPr="00D810B4" w:rsidTr="00EB3FC0">
        <w:tc>
          <w:tcPr>
            <w:tcW w:w="1909" w:type="dxa"/>
            <w:vMerge w:val="restart"/>
          </w:tcPr>
          <w:p w:rsidR="0013723F" w:rsidRDefault="0013723F" w:rsidP="0013723F">
            <w:pPr>
              <w:pStyle w:val="in"/>
              <w:spacing w:before="100" w:beforeAutospacing="1" w:after="100" w:afterAutospacing="1" w:line="22" w:lineRule="atLeast"/>
              <w:ind w:left="0"/>
              <w:rPr>
                <w:rFonts w:ascii="Times New Roman" w:hAnsi="Times New Roman" w:cs="Times New Roman"/>
                <w:sz w:val="24"/>
                <w:szCs w:val="24"/>
              </w:rPr>
            </w:pPr>
            <w:r>
              <w:rPr>
                <w:rFonts w:ascii="Times New Roman" w:hAnsi="Times New Roman" w:cs="Times New Roman"/>
                <w:sz w:val="24"/>
                <w:szCs w:val="24"/>
              </w:rPr>
              <w:t xml:space="preserve">HVAC </w:t>
            </w:r>
          </w:p>
          <w:p w:rsidR="0013723F" w:rsidRDefault="0013723F" w:rsidP="0013723F">
            <w:pPr>
              <w:pStyle w:val="in"/>
              <w:spacing w:before="100" w:beforeAutospacing="1" w:after="100" w:afterAutospacing="1" w:line="22" w:lineRule="atLeast"/>
              <w:ind w:left="0"/>
              <w:rPr>
                <w:rFonts w:ascii="Times New Roman" w:hAnsi="Times New Roman" w:cs="Times New Roman"/>
                <w:sz w:val="24"/>
                <w:szCs w:val="24"/>
              </w:rPr>
            </w:pPr>
          </w:p>
          <w:p w:rsidR="0013723F" w:rsidRDefault="0013723F" w:rsidP="0013723F">
            <w:pPr>
              <w:pStyle w:val="in"/>
              <w:spacing w:before="100" w:beforeAutospacing="1" w:after="100" w:afterAutospacing="1" w:line="22" w:lineRule="atLeast"/>
              <w:ind w:left="0"/>
              <w:rPr>
                <w:rFonts w:ascii="Times New Roman" w:hAnsi="Times New Roman" w:cs="Times New Roman"/>
                <w:sz w:val="24"/>
                <w:szCs w:val="24"/>
              </w:rPr>
            </w:pPr>
          </w:p>
          <w:p w:rsidR="0013723F" w:rsidRPr="00D810B4" w:rsidRDefault="0013723F" w:rsidP="0013723F">
            <w:pPr>
              <w:pStyle w:val="in"/>
              <w:spacing w:before="100" w:beforeAutospacing="1" w:after="100" w:afterAutospacing="1" w:line="22" w:lineRule="atLeast"/>
              <w:ind w:left="0"/>
              <w:rPr>
                <w:rFonts w:ascii="Times New Roman" w:hAnsi="Times New Roman" w:cs="Times New Roman"/>
                <w:sz w:val="24"/>
                <w:szCs w:val="24"/>
              </w:rPr>
            </w:pPr>
            <w:r>
              <w:rPr>
                <w:rFonts w:ascii="Times New Roman" w:hAnsi="Times New Roman" w:cs="Times New Roman"/>
                <w:sz w:val="24"/>
                <w:szCs w:val="24"/>
              </w:rPr>
              <w:t>Other HVAC Equipment and Controls</w:t>
            </w:r>
          </w:p>
        </w:tc>
        <w:tc>
          <w:tcPr>
            <w:tcW w:w="3027" w:type="dxa"/>
          </w:tcPr>
          <w:p w:rsidR="0013723F" w:rsidRPr="00D810B4" w:rsidRDefault="0013723F" w:rsidP="00EB3FC0">
            <w:pPr>
              <w:pStyle w:val="in"/>
              <w:spacing w:before="100" w:beforeAutospacing="1" w:after="100" w:afterAutospacing="1" w:line="22" w:lineRule="atLeast"/>
              <w:ind w:left="0"/>
              <w:rPr>
                <w:rFonts w:ascii="Times New Roman" w:hAnsi="Times New Roman" w:cs="Times New Roman"/>
                <w:sz w:val="24"/>
                <w:szCs w:val="24"/>
              </w:rPr>
            </w:pPr>
            <w:r w:rsidRPr="00D810B4">
              <w:rPr>
                <w:rFonts w:ascii="Times New Roman" w:hAnsi="Times New Roman" w:cs="Times New Roman"/>
                <w:sz w:val="24"/>
                <w:szCs w:val="24"/>
              </w:rPr>
              <w:t>Unitary commercial air conditioners and heat pumps</w:t>
            </w:r>
          </w:p>
        </w:tc>
        <w:tc>
          <w:tcPr>
            <w:tcW w:w="4622" w:type="dxa"/>
          </w:tcPr>
          <w:p w:rsidR="0013723F" w:rsidRPr="00D810B4" w:rsidRDefault="0013723F" w:rsidP="00EB3FC0">
            <w:pPr>
              <w:pStyle w:val="in"/>
              <w:spacing w:before="100" w:beforeAutospacing="1" w:after="100" w:afterAutospacing="1" w:line="22" w:lineRule="atLeast"/>
              <w:ind w:left="0"/>
              <w:rPr>
                <w:rFonts w:ascii="Times New Roman" w:hAnsi="Times New Roman" w:cs="Times New Roman"/>
                <w:sz w:val="24"/>
                <w:szCs w:val="24"/>
              </w:rPr>
            </w:pPr>
            <w:r>
              <w:rPr>
                <w:rFonts w:ascii="Times New Roman" w:hAnsi="Times New Roman" w:cs="Times New Roman"/>
                <w:sz w:val="24"/>
                <w:szCs w:val="24"/>
              </w:rPr>
              <w:t>Update deemed costs to align with market data.</w:t>
            </w:r>
          </w:p>
        </w:tc>
      </w:tr>
      <w:tr w:rsidR="0013723F" w:rsidRPr="00D810B4" w:rsidTr="00EB3FC0">
        <w:tc>
          <w:tcPr>
            <w:tcW w:w="1909" w:type="dxa"/>
            <w:vMerge/>
          </w:tcPr>
          <w:p w:rsidR="0013723F" w:rsidRDefault="0013723F" w:rsidP="00EB3FC0">
            <w:pPr>
              <w:pStyle w:val="in"/>
              <w:spacing w:before="100" w:beforeAutospacing="1" w:after="100" w:afterAutospacing="1" w:line="22" w:lineRule="atLeast"/>
              <w:ind w:left="0"/>
              <w:rPr>
                <w:rFonts w:ascii="Times New Roman" w:hAnsi="Times New Roman" w:cs="Times New Roman"/>
                <w:sz w:val="24"/>
                <w:szCs w:val="24"/>
              </w:rPr>
            </w:pPr>
          </w:p>
        </w:tc>
        <w:tc>
          <w:tcPr>
            <w:tcW w:w="3027" w:type="dxa"/>
          </w:tcPr>
          <w:p w:rsidR="0013723F" w:rsidRPr="00D810B4" w:rsidRDefault="0013723F" w:rsidP="00EB3FC0">
            <w:pPr>
              <w:pStyle w:val="in"/>
              <w:spacing w:before="100" w:beforeAutospacing="1" w:after="100" w:afterAutospacing="1" w:line="22" w:lineRule="atLeast"/>
              <w:ind w:left="0"/>
              <w:rPr>
                <w:rFonts w:ascii="Times New Roman" w:hAnsi="Times New Roman" w:cs="Times New Roman"/>
                <w:sz w:val="24"/>
                <w:szCs w:val="24"/>
              </w:rPr>
            </w:pPr>
            <w:r>
              <w:rPr>
                <w:rFonts w:ascii="Times New Roman" w:hAnsi="Times New Roman" w:cs="Times New Roman"/>
                <w:sz w:val="24"/>
                <w:szCs w:val="24"/>
              </w:rPr>
              <w:t>PTAC/PTHP Occupancy Based Controller</w:t>
            </w:r>
          </w:p>
        </w:tc>
        <w:tc>
          <w:tcPr>
            <w:tcW w:w="4622" w:type="dxa"/>
          </w:tcPr>
          <w:p w:rsidR="0013723F" w:rsidRDefault="0013723F" w:rsidP="00EB3FC0">
            <w:pPr>
              <w:pStyle w:val="in"/>
              <w:spacing w:before="100" w:beforeAutospacing="1" w:after="100" w:afterAutospacing="1" w:line="22" w:lineRule="atLeast"/>
              <w:ind w:left="0"/>
              <w:rPr>
                <w:rFonts w:ascii="Times New Roman" w:hAnsi="Times New Roman" w:cs="Times New Roman"/>
                <w:sz w:val="24"/>
                <w:szCs w:val="24"/>
              </w:rPr>
            </w:pPr>
            <w:r>
              <w:rPr>
                <w:rFonts w:ascii="Times New Roman" w:hAnsi="Times New Roman" w:cs="Times New Roman"/>
                <w:sz w:val="24"/>
                <w:szCs w:val="24"/>
              </w:rPr>
              <w:t>Revise eligibility to include door-key occupancy sensors in addition to infrared/ultrasonic sensors.</w:t>
            </w:r>
          </w:p>
        </w:tc>
      </w:tr>
      <w:tr w:rsidR="0013723F" w:rsidRPr="00D810B4" w:rsidTr="00EB3FC0">
        <w:tc>
          <w:tcPr>
            <w:tcW w:w="1909" w:type="dxa"/>
            <w:vMerge/>
          </w:tcPr>
          <w:p w:rsidR="0013723F" w:rsidRDefault="0013723F" w:rsidP="00EB3FC0">
            <w:pPr>
              <w:pStyle w:val="in"/>
              <w:spacing w:before="100" w:beforeAutospacing="1" w:after="100" w:afterAutospacing="1" w:line="22" w:lineRule="atLeast"/>
              <w:ind w:left="0"/>
              <w:rPr>
                <w:rFonts w:ascii="Times New Roman" w:hAnsi="Times New Roman" w:cs="Times New Roman"/>
                <w:sz w:val="24"/>
                <w:szCs w:val="24"/>
              </w:rPr>
            </w:pPr>
          </w:p>
        </w:tc>
        <w:tc>
          <w:tcPr>
            <w:tcW w:w="3027" w:type="dxa"/>
          </w:tcPr>
          <w:p w:rsidR="0013723F" w:rsidRDefault="0013723F" w:rsidP="00EB3FC0">
            <w:pPr>
              <w:pStyle w:val="in"/>
              <w:spacing w:before="100" w:beforeAutospacing="1" w:after="100" w:afterAutospacing="1" w:line="22" w:lineRule="atLeast"/>
              <w:ind w:left="0"/>
              <w:rPr>
                <w:rFonts w:ascii="Times New Roman" w:hAnsi="Times New Roman" w:cs="Times New Roman"/>
                <w:sz w:val="24"/>
                <w:szCs w:val="24"/>
              </w:rPr>
            </w:pPr>
            <w:r>
              <w:rPr>
                <w:rFonts w:ascii="Times New Roman" w:hAnsi="Times New Roman" w:cs="Times New Roman"/>
                <w:sz w:val="24"/>
                <w:szCs w:val="24"/>
              </w:rPr>
              <w:t>Evaporative Cooling</w:t>
            </w:r>
          </w:p>
        </w:tc>
        <w:tc>
          <w:tcPr>
            <w:tcW w:w="4622" w:type="dxa"/>
          </w:tcPr>
          <w:p w:rsidR="0013723F" w:rsidRDefault="0013723F" w:rsidP="00EB3FC0">
            <w:pPr>
              <w:pStyle w:val="in"/>
              <w:spacing w:before="100" w:beforeAutospacing="1" w:after="100" w:afterAutospacing="1" w:line="22" w:lineRule="atLeast"/>
              <w:ind w:left="0"/>
              <w:rPr>
                <w:rFonts w:ascii="Times New Roman" w:hAnsi="Times New Roman" w:cs="Times New Roman"/>
                <w:sz w:val="24"/>
                <w:szCs w:val="24"/>
              </w:rPr>
            </w:pPr>
            <w:r>
              <w:rPr>
                <w:rFonts w:ascii="Times New Roman" w:hAnsi="Times New Roman" w:cs="Times New Roman"/>
                <w:sz w:val="24"/>
                <w:szCs w:val="24"/>
              </w:rPr>
              <w:t>Remove Industry Standard Rating (ISR).  Overly restrictive eligibility requirement. ISR does not apply to all evaporative cooling equipment and has restricted program participation.</w:t>
            </w:r>
          </w:p>
        </w:tc>
      </w:tr>
      <w:tr w:rsidR="0013723F" w:rsidRPr="00D810B4" w:rsidTr="00EB3FC0">
        <w:tc>
          <w:tcPr>
            <w:tcW w:w="1909" w:type="dxa"/>
            <w:vMerge/>
          </w:tcPr>
          <w:p w:rsidR="0013723F" w:rsidRDefault="0013723F" w:rsidP="00EB3FC0">
            <w:pPr>
              <w:pStyle w:val="in"/>
              <w:spacing w:before="100" w:beforeAutospacing="1" w:after="100" w:afterAutospacing="1" w:line="22" w:lineRule="atLeast"/>
              <w:ind w:left="0"/>
              <w:rPr>
                <w:rFonts w:ascii="Times New Roman" w:hAnsi="Times New Roman" w:cs="Times New Roman"/>
                <w:sz w:val="24"/>
                <w:szCs w:val="24"/>
              </w:rPr>
            </w:pPr>
          </w:p>
        </w:tc>
        <w:tc>
          <w:tcPr>
            <w:tcW w:w="3027" w:type="dxa"/>
          </w:tcPr>
          <w:p w:rsidR="0013723F" w:rsidRDefault="0013723F" w:rsidP="00EB3FC0">
            <w:pPr>
              <w:pStyle w:val="in"/>
              <w:spacing w:before="100" w:beforeAutospacing="1" w:after="100" w:afterAutospacing="1" w:line="22" w:lineRule="atLeast"/>
              <w:ind w:left="0"/>
              <w:rPr>
                <w:rFonts w:ascii="Times New Roman" w:hAnsi="Times New Roman" w:cs="Times New Roman"/>
                <w:sz w:val="24"/>
                <w:szCs w:val="24"/>
              </w:rPr>
            </w:pPr>
            <w:r>
              <w:rPr>
                <w:rFonts w:ascii="Times New Roman" w:hAnsi="Times New Roman" w:cs="Times New Roman"/>
                <w:sz w:val="24"/>
                <w:szCs w:val="24"/>
              </w:rPr>
              <w:t>Indirect-Direct Evaporative Cooling (IDEC)</w:t>
            </w:r>
          </w:p>
        </w:tc>
        <w:tc>
          <w:tcPr>
            <w:tcW w:w="4622" w:type="dxa"/>
          </w:tcPr>
          <w:p w:rsidR="0013723F" w:rsidRDefault="0013723F" w:rsidP="00EB3FC0">
            <w:pPr>
              <w:pStyle w:val="in"/>
              <w:spacing w:before="100" w:beforeAutospacing="1" w:after="100" w:afterAutospacing="1" w:line="22" w:lineRule="atLeast"/>
              <w:ind w:left="0"/>
              <w:rPr>
                <w:rFonts w:ascii="Times New Roman" w:hAnsi="Times New Roman" w:cs="Times New Roman"/>
                <w:sz w:val="24"/>
                <w:szCs w:val="24"/>
              </w:rPr>
            </w:pPr>
            <w:r>
              <w:rPr>
                <w:rFonts w:ascii="Times New Roman" w:hAnsi="Times New Roman" w:cs="Times New Roman"/>
                <w:sz w:val="24"/>
                <w:szCs w:val="24"/>
              </w:rPr>
              <w:t>Update incentive rate $/kWh to be consistent with wattsmart Business rate of $0.15/kWh annual energy savings.</w:t>
            </w:r>
          </w:p>
        </w:tc>
      </w:tr>
      <w:tr w:rsidR="0013723F" w:rsidRPr="00D810B4" w:rsidTr="00EB3FC0">
        <w:tc>
          <w:tcPr>
            <w:tcW w:w="1909" w:type="dxa"/>
            <w:vMerge/>
          </w:tcPr>
          <w:p w:rsidR="0013723F" w:rsidRDefault="0013723F" w:rsidP="00EB3FC0">
            <w:pPr>
              <w:pStyle w:val="in"/>
              <w:spacing w:before="100" w:beforeAutospacing="1" w:after="100" w:afterAutospacing="1" w:line="22" w:lineRule="atLeast"/>
              <w:ind w:left="0"/>
              <w:rPr>
                <w:rFonts w:ascii="Times New Roman" w:hAnsi="Times New Roman" w:cs="Times New Roman"/>
                <w:sz w:val="24"/>
                <w:szCs w:val="24"/>
              </w:rPr>
            </w:pPr>
          </w:p>
        </w:tc>
        <w:tc>
          <w:tcPr>
            <w:tcW w:w="3027" w:type="dxa"/>
          </w:tcPr>
          <w:p w:rsidR="0013723F" w:rsidRDefault="0013723F" w:rsidP="00EB3FC0">
            <w:pPr>
              <w:pStyle w:val="in"/>
              <w:spacing w:before="100" w:beforeAutospacing="1" w:after="100" w:afterAutospacing="1" w:line="22" w:lineRule="atLeast"/>
              <w:ind w:left="0"/>
              <w:rPr>
                <w:rFonts w:ascii="Times New Roman" w:hAnsi="Times New Roman" w:cs="Times New Roman"/>
                <w:sz w:val="24"/>
                <w:szCs w:val="24"/>
              </w:rPr>
            </w:pPr>
            <w:r>
              <w:rPr>
                <w:rFonts w:ascii="Times New Roman" w:hAnsi="Times New Roman" w:cs="Times New Roman"/>
                <w:sz w:val="24"/>
                <w:szCs w:val="24"/>
              </w:rPr>
              <w:t>Chillers</w:t>
            </w:r>
          </w:p>
        </w:tc>
        <w:tc>
          <w:tcPr>
            <w:tcW w:w="4622" w:type="dxa"/>
          </w:tcPr>
          <w:p w:rsidR="0013723F" w:rsidRDefault="0013723F" w:rsidP="00EB3FC0">
            <w:pPr>
              <w:pStyle w:val="in"/>
              <w:spacing w:before="100" w:beforeAutospacing="1" w:after="100" w:afterAutospacing="1" w:line="22" w:lineRule="atLeast"/>
              <w:ind w:left="0"/>
              <w:rPr>
                <w:rFonts w:ascii="Times New Roman" w:hAnsi="Times New Roman" w:cs="Times New Roman"/>
                <w:sz w:val="24"/>
                <w:szCs w:val="24"/>
              </w:rPr>
            </w:pPr>
            <w:r>
              <w:rPr>
                <w:rFonts w:ascii="Times New Roman" w:hAnsi="Times New Roman" w:cs="Times New Roman"/>
                <w:sz w:val="24"/>
                <w:szCs w:val="24"/>
              </w:rPr>
              <w:t>Update incentive rate $/kWh to be consistent with wattsmart Business rate of $0.15/kWh annual energy savings.</w:t>
            </w:r>
          </w:p>
        </w:tc>
      </w:tr>
      <w:tr w:rsidR="0013723F" w:rsidRPr="00D810B4" w:rsidTr="00EB3FC0">
        <w:tc>
          <w:tcPr>
            <w:tcW w:w="1909" w:type="dxa"/>
            <w:vMerge/>
          </w:tcPr>
          <w:p w:rsidR="0013723F" w:rsidRDefault="0013723F" w:rsidP="00EB3FC0">
            <w:pPr>
              <w:pStyle w:val="in"/>
              <w:spacing w:before="100" w:beforeAutospacing="1" w:after="100" w:afterAutospacing="1" w:line="22" w:lineRule="atLeast"/>
              <w:ind w:left="0"/>
              <w:rPr>
                <w:rFonts w:ascii="Times New Roman" w:hAnsi="Times New Roman" w:cs="Times New Roman"/>
                <w:sz w:val="24"/>
                <w:szCs w:val="24"/>
              </w:rPr>
            </w:pPr>
          </w:p>
        </w:tc>
        <w:tc>
          <w:tcPr>
            <w:tcW w:w="3027" w:type="dxa"/>
          </w:tcPr>
          <w:p w:rsidR="0013723F" w:rsidRDefault="0013723F" w:rsidP="00EB3FC0">
            <w:pPr>
              <w:pStyle w:val="in"/>
              <w:spacing w:before="100" w:beforeAutospacing="1" w:after="100" w:afterAutospacing="1" w:line="22" w:lineRule="atLeast"/>
              <w:ind w:left="0"/>
              <w:rPr>
                <w:rFonts w:ascii="Times New Roman" w:hAnsi="Times New Roman" w:cs="Times New Roman"/>
                <w:sz w:val="24"/>
                <w:szCs w:val="24"/>
              </w:rPr>
            </w:pPr>
            <w:r>
              <w:rPr>
                <w:rFonts w:ascii="Times New Roman" w:hAnsi="Times New Roman" w:cs="Times New Roman"/>
                <w:sz w:val="24"/>
                <w:szCs w:val="24"/>
              </w:rPr>
              <w:t>Portable Classroom HVAC Control</w:t>
            </w:r>
          </w:p>
        </w:tc>
        <w:tc>
          <w:tcPr>
            <w:tcW w:w="4622" w:type="dxa"/>
          </w:tcPr>
          <w:p w:rsidR="0013723F" w:rsidRDefault="0013723F" w:rsidP="00EB3FC0">
            <w:pPr>
              <w:pStyle w:val="in"/>
              <w:spacing w:before="100" w:beforeAutospacing="1" w:after="100" w:afterAutospacing="1" w:line="22" w:lineRule="atLeast"/>
              <w:ind w:left="0"/>
              <w:rPr>
                <w:rFonts w:ascii="Times New Roman" w:hAnsi="Times New Roman" w:cs="Times New Roman"/>
                <w:sz w:val="24"/>
                <w:szCs w:val="24"/>
              </w:rPr>
            </w:pPr>
            <w:r>
              <w:rPr>
                <w:rFonts w:ascii="Times New Roman" w:hAnsi="Times New Roman" w:cs="Times New Roman"/>
                <w:sz w:val="24"/>
                <w:szCs w:val="24"/>
              </w:rPr>
              <w:t>Revise eligibility to include occupancy based thermostat control in addition to 365/366 scheduling.</w:t>
            </w:r>
          </w:p>
        </w:tc>
      </w:tr>
      <w:tr w:rsidR="0013723F" w:rsidRPr="00D810B4" w:rsidTr="00EB3FC0">
        <w:tc>
          <w:tcPr>
            <w:tcW w:w="1909" w:type="dxa"/>
            <w:vMerge/>
          </w:tcPr>
          <w:p w:rsidR="0013723F" w:rsidRDefault="0013723F" w:rsidP="00EB3FC0">
            <w:pPr>
              <w:pStyle w:val="in"/>
              <w:spacing w:before="100" w:beforeAutospacing="1" w:after="100" w:afterAutospacing="1" w:line="22" w:lineRule="atLeast"/>
              <w:ind w:left="0"/>
              <w:rPr>
                <w:rFonts w:ascii="Times New Roman" w:hAnsi="Times New Roman" w:cs="Times New Roman"/>
                <w:sz w:val="24"/>
                <w:szCs w:val="24"/>
              </w:rPr>
            </w:pPr>
          </w:p>
        </w:tc>
        <w:tc>
          <w:tcPr>
            <w:tcW w:w="3027" w:type="dxa"/>
          </w:tcPr>
          <w:p w:rsidR="0013723F" w:rsidRDefault="0013723F" w:rsidP="00EB3FC0">
            <w:pPr>
              <w:pStyle w:val="in"/>
              <w:spacing w:before="100" w:beforeAutospacing="1" w:after="100" w:afterAutospacing="1" w:line="22" w:lineRule="atLeast"/>
              <w:ind w:left="0"/>
              <w:rPr>
                <w:rFonts w:ascii="Times New Roman" w:hAnsi="Times New Roman" w:cs="Times New Roman"/>
                <w:sz w:val="24"/>
                <w:szCs w:val="24"/>
              </w:rPr>
            </w:pPr>
            <w:r>
              <w:rPr>
                <w:rFonts w:ascii="Times New Roman" w:hAnsi="Times New Roman" w:cs="Times New Roman"/>
                <w:sz w:val="24"/>
                <w:szCs w:val="24"/>
              </w:rPr>
              <w:t>Residential Room Air Conditioner (used in a Business)</w:t>
            </w:r>
          </w:p>
        </w:tc>
        <w:tc>
          <w:tcPr>
            <w:tcW w:w="4622" w:type="dxa"/>
          </w:tcPr>
          <w:p w:rsidR="0013723F" w:rsidRDefault="0013723F" w:rsidP="0013723F">
            <w:pPr>
              <w:pStyle w:val="in"/>
              <w:spacing w:before="100" w:beforeAutospacing="1" w:after="100" w:afterAutospacing="1" w:line="22" w:lineRule="atLeast"/>
              <w:ind w:left="0"/>
              <w:rPr>
                <w:rFonts w:ascii="Times New Roman" w:hAnsi="Times New Roman" w:cs="Times New Roman"/>
                <w:sz w:val="24"/>
                <w:szCs w:val="24"/>
              </w:rPr>
            </w:pPr>
            <w:r>
              <w:rPr>
                <w:rFonts w:ascii="Times New Roman" w:hAnsi="Times New Roman" w:cs="Times New Roman"/>
                <w:sz w:val="24"/>
                <w:szCs w:val="24"/>
              </w:rPr>
              <w:t>Update eligibility/incentives and reported costs/savings to align with the Home Energy Savings program.</w:t>
            </w:r>
          </w:p>
        </w:tc>
      </w:tr>
      <w:tr w:rsidR="00582CC9" w:rsidRPr="00D810B4" w:rsidTr="00872A1D">
        <w:tc>
          <w:tcPr>
            <w:tcW w:w="1909" w:type="dxa"/>
          </w:tcPr>
          <w:p w:rsidR="00582CC9" w:rsidRDefault="00582CC9" w:rsidP="00E04E92">
            <w:pPr>
              <w:pStyle w:val="in"/>
              <w:spacing w:after="0" w:line="22" w:lineRule="atLeast"/>
              <w:ind w:left="0"/>
              <w:rPr>
                <w:rFonts w:ascii="Times New Roman" w:hAnsi="Times New Roman" w:cs="Times New Roman"/>
                <w:sz w:val="24"/>
                <w:szCs w:val="24"/>
              </w:rPr>
            </w:pPr>
            <w:r>
              <w:rPr>
                <w:rFonts w:ascii="Times New Roman" w:hAnsi="Times New Roman" w:cs="Times New Roman"/>
                <w:sz w:val="24"/>
                <w:szCs w:val="24"/>
              </w:rPr>
              <w:t>Building Envelope</w:t>
            </w:r>
          </w:p>
        </w:tc>
        <w:tc>
          <w:tcPr>
            <w:tcW w:w="3027" w:type="dxa"/>
          </w:tcPr>
          <w:p w:rsidR="00582CC9" w:rsidRDefault="00582CC9" w:rsidP="00E04E92">
            <w:pPr>
              <w:pStyle w:val="in"/>
              <w:spacing w:after="0" w:line="22" w:lineRule="atLeast"/>
              <w:ind w:left="0"/>
              <w:rPr>
                <w:rFonts w:ascii="Times New Roman" w:hAnsi="Times New Roman" w:cs="Times New Roman"/>
                <w:sz w:val="24"/>
                <w:szCs w:val="24"/>
              </w:rPr>
            </w:pPr>
            <w:r>
              <w:rPr>
                <w:rFonts w:ascii="Times New Roman" w:hAnsi="Times New Roman" w:cs="Times New Roman"/>
                <w:sz w:val="24"/>
                <w:szCs w:val="24"/>
              </w:rPr>
              <w:t>Window Film</w:t>
            </w:r>
          </w:p>
        </w:tc>
        <w:tc>
          <w:tcPr>
            <w:tcW w:w="4622" w:type="dxa"/>
          </w:tcPr>
          <w:p w:rsidR="00582CC9" w:rsidRDefault="002E0E16" w:rsidP="002E0E16">
            <w:pPr>
              <w:pStyle w:val="in"/>
              <w:spacing w:after="0" w:line="22" w:lineRule="atLeast"/>
              <w:ind w:left="0"/>
              <w:rPr>
                <w:rFonts w:ascii="Times New Roman" w:hAnsi="Times New Roman" w:cs="Times New Roman"/>
                <w:sz w:val="24"/>
                <w:szCs w:val="24"/>
              </w:rPr>
            </w:pPr>
            <w:r>
              <w:rPr>
                <w:rFonts w:ascii="Times New Roman" w:hAnsi="Times New Roman" w:cs="Times New Roman"/>
                <w:sz w:val="24"/>
                <w:szCs w:val="24"/>
              </w:rPr>
              <w:t>Update</w:t>
            </w:r>
            <w:r w:rsidR="00582CC9">
              <w:rPr>
                <w:rFonts w:ascii="Times New Roman" w:hAnsi="Times New Roman" w:cs="Times New Roman"/>
                <w:sz w:val="24"/>
                <w:szCs w:val="24"/>
              </w:rPr>
              <w:t xml:space="preserve"> incentive </w:t>
            </w:r>
            <w:r>
              <w:rPr>
                <w:rFonts w:ascii="Times New Roman" w:hAnsi="Times New Roman" w:cs="Times New Roman"/>
                <w:sz w:val="24"/>
                <w:szCs w:val="24"/>
              </w:rPr>
              <w:t xml:space="preserve">rate </w:t>
            </w:r>
            <w:r w:rsidR="00582CC9">
              <w:rPr>
                <w:rFonts w:ascii="Times New Roman" w:hAnsi="Times New Roman" w:cs="Times New Roman"/>
                <w:sz w:val="24"/>
                <w:szCs w:val="24"/>
              </w:rPr>
              <w:t xml:space="preserve">$/kWh </w:t>
            </w:r>
            <w:r>
              <w:rPr>
                <w:rFonts w:ascii="Times New Roman" w:hAnsi="Times New Roman" w:cs="Times New Roman"/>
                <w:sz w:val="24"/>
                <w:szCs w:val="24"/>
              </w:rPr>
              <w:t>to be consistent with wattsmart Business rate of $0.15/kWh annual energy savings.</w:t>
            </w:r>
          </w:p>
        </w:tc>
      </w:tr>
      <w:tr w:rsidR="00383A6E" w:rsidRPr="00D810B4" w:rsidTr="00872A1D">
        <w:tc>
          <w:tcPr>
            <w:tcW w:w="1909" w:type="dxa"/>
            <w:vMerge w:val="restart"/>
          </w:tcPr>
          <w:p w:rsidR="00383A6E" w:rsidRPr="00D810B4" w:rsidRDefault="00383A6E" w:rsidP="003B4E94">
            <w:pPr>
              <w:pStyle w:val="in"/>
              <w:spacing w:after="0" w:line="22" w:lineRule="atLeast"/>
              <w:ind w:left="0"/>
              <w:jc w:val="both"/>
              <w:rPr>
                <w:rFonts w:ascii="Times New Roman" w:hAnsi="Times New Roman" w:cs="Times New Roman"/>
                <w:sz w:val="24"/>
                <w:szCs w:val="24"/>
              </w:rPr>
            </w:pPr>
            <w:r>
              <w:rPr>
                <w:rFonts w:ascii="Times New Roman" w:hAnsi="Times New Roman" w:cs="Times New Roman"/>
                <w:sz w:val="24"/>
                <w:szCs w:val="24"/>
              </w:rPr>
              <w:t>Food Service</w:t>
            </w:r>
          </w:p>
        </w:tc>
        <w:tc>
          <w:tcPr>
            <w:tcW w:w="3027" w:type="dxa"/>
          </w:tcPr>
          <w:p w:rsidR="00383A6E" w:rsidRPr="00D810B4" w:rsidRDefault="00383A6E" w:rsidP="00E04E92">
            <w:pPr>
              <w:pStyle w:val="in"/>
              <w:spacing w:after="0" w:line="22" w:lineRule="atLeast"/>
              <w:ind w:left="0"/>
              <w:rPr>
                <w:rFonts w:ascii="Times New Roman" w:hAnsi="Times New Roman" w:cs="Times New Roman"/>
                <w:sz w:val="24"/>
                <w:szCs w:val="24"/>
              </w:rPr>
            </w:pPr>
            <w:r>
              <w:rPr>
                <w:rFonts w:ascii="Times New Roman" w:hAnsi="Times New Roman" w:cs="Times New Roman"/>
                <w:sz w:val="24"/>
                <w:szCs w:val="24"/>
              </w:rPr>
              <w:t>Commercial Dishwasher</w:t>
            </w:r>
          </w:p>
        </w:tc>
        <w:tc>
          <w:tcPr>
            <w:tcW w:w="4622" w:type="dxa"/>
          </w:tcPr>
          <w:p w:rsidR="00383A6E" w:rsidRDefault="00383A6E" w:rsidP="007D34DA">
            <w:pPr>
              <w:pStyle w:val="in"/>
              <w:spacing w:after="0" w:line="22" w:lineRule="atLeast"/>
              <w:ind w:left="0"/>
              <w:rPr>
                <w:rFonts w:ascii="Times New Roman" w:hAnsi="Times New Roman" w:cs="Times New Roman"/>
                <w:sz w:val="24"/>
                <w:szCs w:val="24"/>
              </w:rPr>
            </w:pPr>
            <w:r>
              <w:rPr>
                <w:rFonts w:ascii="Times New Roman" w:hAnsi="Times New Roman" w:cs="Times New Roman"/>
                <w:sz w:val="24"/>
                <w:szCs w:val="24"/>
              </w:rPr>
              <w:t xml:space="preserve">Update deemed savings/costs and incentive to align with ENERGY STAR specification </w:t>
            </w:r>
            <w:r>
              <w:rPr>
                <w:rFonts w:ascii="Times New Roman" w:hAnsi="Times New Roman" w:cs="Times New Roman"/>
                <w:sz w:val="24"/>
                <w:szCs w:val="24"/>
              </w:rPr>
              <w:lastRenderedPageBreak/>
              <w:t>update</w:t>
            </w:r>
            <w:r w:rsidR="004A019E">
              <w:rPr>
                <w:rFonts w:ascii="Times New Roman" w:hAnsi="Times New Roman" w:cs="Times New Roman"/>
                <w:sz w:val="24"/>
                <w:szCs w:val="24"/>
              </w:rPr>
              <w:t xml:space="preserve"> and current industry standard baseline</w:t>
            </w:r>
            <w:r>
              <w:rPr>
                <w:rFonts w:ascii="Times New Roman" w:hAnsi="Times New Roman" w:cs="Times New Roman"/>
                <w:sz w:val="24"/>
                <w:szCs w:val="24"/>
              </w:rPr>
              <w:t>.</w:t>
            </w:r>
          </w:p>
          <w:p w:rsidR="004A019E" w:rsidRPr="00D810B4" w:rsidRDefault="004A019E" w:rsidP="002E0E16">
            <w:pPr>
              <w:pStyle w:val="in"/>
              <w:spacing w:after="0" w:line="22" w:lineRule="atLeast"/>
              <w:ind w:left="0"/>
              <w:rPr>
                <w:rFonts w:ascii="Times New Roman" w:hAnsi="Times New Roman" w:cs="Times New Roman"/>
                <w:sz w:val="24"/>
                <w:szCs w:val="24"/>
              </w:rPr>
            </w:pPr>
            <w:r>
              <w:rPr>
                <w:rFonts w:ascii="Times New Roman" w:hAnsi="Times New Roman" w:cs="Times New Roman"/>
                <w:sz w:val="24"/>
                <w:szCs w:val="24"/>
              </w:rPr>
              <w:t>Remove eligibility requirement of electrically heated DHW</w:t>
            </w:r>
            <w:r w:rsidR="002E0E16">
              <w:rPr>
                <w:rFonts w:ascii="Times New Roman" w:hAnsi="Times New Roman" w:cs="Times New Roman"/>
                <w:sz w:val="24"/>
                <w:szCs w:val="24"/>
              </w:rPr>
              <w:t>, but require electric booster heater</w:t>
            </w:r>
            <w:r>
              <w:rPr>
                <w:rFonts w:ascii="Times New Roman" w:hAnsi="Times New Roman" w:cs="Times New Roman"/>
                <w:sz w:val="24"/>
                <w:szCs w:val="24"/>
              </w:rPr>
              <w:t xml:space="preserve"> to increase program participation. Savings </w:t>
            </w:r>
            <w:r w:rsidR="002E0E16">
              <w:rPr>
                <w:rFonts w:ascii="Times New Roman" w:hAnsi="Times New Roman" w:cs="Times New Roman"/>
                <w:sz w:val="24"/>
                <w:szCs w:val="24"/>
              </w:rPr>
              <w:t xml:space="preserve">will vary based on </w:t>
            </w:r>
            <w:r>
              <w:rPr>
                <w:rFonts w:ascii="Times New Roman" w:hAnsi="Times New Roman" w:cs="Times New Roman"/>
                <w:sz w:val="24"/>
                <w:szCs w:val="24"/>
              </w:rPr>
              <w:t>DHW energy source.</w:t>
            </w:r>
          </w:p>
        </w:tc>
      </w:tr>
      <w:tr w:rsidR="00383A6E" w:rsidRPr="00D810B4" w:rsidTr="00872A1D">
        <w:tc>
          <w:tcPr>
            <w:tcW w:w="1909" w:type="dxa"/>
            <w:vMerge/>
          </w:tcPr>
          <w:p w:rsidR="00383A6E" w:rsidRDefault="00383A6E" w:rsidP="003B4E94">
            <w:pPr>
              <w:pStyle w:val="in"/>
              <w:spacing w:after="0" w:line="22" w:lineRule="atLeast"/>
              <w:ind w:left="0"/>
              <w:jc w:val="both"/>
              <w:rPr>
                <w:rFonts w:ascii="Times New Roman" w:hAnsi="Times New Roman" w:cs="Times New Roman"/>
                <w:sz w:val="24"/>
                <w:szCs w:val="24"/>
              </w:rPr>
            </w:pPr>
          </w:p>
        </w:tc>
        <w:tc>
          <w:tcPr>
            <w:tcW w:w="3027" w:type="dxa"/>
          </w:tcPr>
          <w:p w:rsidR="00383A6E" w:rsidRPr="00D810B4" w:rsidRDefault="00383A6E" w:rsidP="0029087F">
            <w:pPr>
              <w:pStyle w:val="in"/>
              <w:spacing w:after="0" w:line="22" w:lineRule="atLeast"/>
              <w:ind w:left="0"/>
              <w:rPr>
                <w:rFonts w:ascii="Times New Roman" w:hAnsi="Times New Roman" w:cs="Times New Roman"/>
                <w:sz w:val="24"/>
                <w:szCs w:val="24"/>
              </w:rPr>
            </w:pPr>
            <w:r>
              <w:rPr>
                <w:rFonts w:ascii="Times New Roman" w:hAnsi="Times New Roman" w:cs="Times New Roman"/>
                <w:sz w:val="24"/>
                <w:szCs w:val="24"/>
              </w:rPr>
              <w:t>Refrigerator/Freezer</w:t>
            </w:r>
          </w:p>
        </w:tc>
        <w:tc>
          <w:tcPr>
            <w:tcW w:w="4622" w:type="dxa"/>
          </w:tcPr>
          <w:p w:rsidR="00827A19" w:rsidRPr="00D810B4" w:rsidRDefault="00383A6E" w:rsidP="00827A19">
            <w:pPr>
              <w:pStyle w:val="in"/>
              <w:spacing w:after="0" w:line="22" w:lineRule="atLeast"/>
              <w:ind w:left="0"/>
              <w:rPr>
                <w:rFonts w:ascii="Times New Roman" w:hAnsi="Times New Roman" w:cs="Times New Roman"/>
                <w:sz w:val="24"/>
                <w:szCs w:val="24"/>
              </w:rPr>
            </w:pPr>
            <w:r>
              <w:rPr>
                <w:rFonts w:ascii="Times New Roman" w:hAnsi="Times New Roman" w:cs="Times New Roman"/>
                <w:sz w:val="24"/>
                <w:szCs w:val="24"/>
              </w:rPr>
              <w:t>Discontinue offering incentives for solid door refrigerators/freezers.  Very limited savings potential relative to</w:t>
            </w:r>
            <w:r w:rsidR="00827A19">
              <w:rPr>
                <w:rFonts w:ascii="Times New Roman" w:hAnsi="Times New Roman" w:cs="Times New Roman"/>
                <w:sz w:val="24"/>
                <w:szCs w:val="24"/>
              </w:rPr>
              <w:t xml:space="preserve"> industry standard baseline</w:t>
            </w:r>
            <w:r>
              <w:rPr>
                <w:rFonts w:ascii="Times New Roman" w:hAnsi="Times New Roman" w:cs="Times New Roman"/>
                <w:sz w:val="24"/>
                <w:szCs w:val="24"/>
              </w:rPr>
              <w:t>.</w:t>
            </w:r>
          </w:p>
        </w:tc>
      </w:tr>
      <w:tr w:rsidR="00D24E14" w:rsidRPr="00D810B4" w:rsidTr="00872A1D">
        <w:tc>
          <w:tcPr>
            <w:tcW w:w="1909" w:type="dxa"/>
            <w:vMerge/>
          </w:tcPr>
          <w:p w:rsidR="00D24E14" w:rsidRDefault="00D24E14" w:rsidP="003B4E94">
            <w:pPr>
              <w:pStyle w:val="in"/>
              <w:spacing w:after="0" w:line="22" w:lineRule="atLeast"/>
              <w:ind w:left="0"/>
              <w:jc w:val="both"/>
              <w:rPr>
                <w:rFonts w:ascii="Times New Roman" w:hAnsi="Times New Roman" w:cs="Times New Roman"/>
                <w:sz w:val="24"/>
                <w:szCs w:val="24"/>
              </w:rPr>
            </w:pPr>
          </w:p>
        </w:tc>
        <w:tc>
          <w:tcPr>
            <w:tcW w:w="3027" w:type="dxa"/>
          </w:tcPr>
          <w:p w:rsidR="00D24E14" w:rsidRDefault="00D24E14" w:rsidP="0029087F">
            <w:pPr>
              <w:pStyle w:val="in"/>
              <w:spacing w:after="0" w:line="22" w:lineRule="atLeast"/>
              <w:ind w:left="0"/>
              <w:rPr>
                <w:rFonts w:ascii="Times New Roman" w:hAnsi="Times New Roman" w:cs="Times New Roman"/>
                <w:sz w:val="24"/>
                <w:szCs w:val="24"/>
              </w:rPr>
            </w:pPr>
            <w:r>
              <w:rPr>
                <w:rFonts w:ascii="Times New Roman" w:hAnsi="Times New Roman" w:cs="Times New Roman"/>
                <w:sz w:val="24"/>
                <w:szCs w:val="24"/>
              </w:rPr>
              <w:t>Electric Insulated Holding Cabinet</w:t>
            </w:r>
          </w:p>
        </w:tc>
        <w:tc>
          <w:tcPr>
            <w:tcW w:w="4622" w:type="dxa"/>
          </w:tcPr>
          <w:p w:rsidR="00D24E14" w:rsidRDefault="00A61C73" w:rsidP="00827A19">
            <w:pPr>
              <w:pStyle w:val="in"/>
              <w:spacing w:after="0" w:line="22" w:lineRule="atLeast"/>
              <w:ind w:left="0"/>
              <w:rPr>
                <w:rFonts w:ascii="Times New Roman" w:hAnsi="Times New Roman" w:cs="Times New Roman"/>
                <w:sz w:val="24"/>
                <w:szCs w:val="24"/>
              </w:rPr>
            </w:pPr>
            <w:r>
              <w:rPr>
                <w:rFonts w:ascii="Times New Roman" w:hAnsi="Times New Roman" w:cs="Times New Roman"/>
                <w:sz w:val="24"/>
                <w:szCs w:val="24"/>
              </w:rPr>
              <w:t xml:space="preserve">ENERGY STAR specification now aligns with previous Tier 2 eligibility requirements.  </w:t>
            </w:r>
          </w:p>
          <w:p w:rsidR="001B7899" w:rsidRDefault="00A61C73" w:rsidP="00A61C73">
            <w:pPr>
              <w:pStyle w:val="in"/>
              <w:spacing w:after="0" w:line="22" w:lineRule="atLeast"/>
              <w:ind w:left="0"/>
              <w:rPr>
                <w:rFonts w:ascii="Times New Roman" w:hAnsi="Times New Roman" w:cs="Times New Roman"/>
                <w:sz w:val="24"/>
                <w:szCs w:val="24"/>
              </w:rPr>
            </w:pPr>
            <w:r>
              <w:rPr>
                <w:rFonts w:ascii="Times New Roman" w:hAnsi="Times New Roman" w:cs="Times New Roman"/>
                <w:sz w:val="24"/>
                <w:szCs w:val="24"/>
              </w:rPr>
              <w:t>Update deemed costs/savings and maintain ENERGY STAR eligibility requirements (previously Tier 2).  Discontinue Tier 2 incentive offering.</w:t>
            </w:r>
          </w:p>
        </w:tc>
      </w:tr>
      <w:tr w:rsidR="00383A6E" w:rsidRPr="00D810B4" w:rsidTr="00872A1D">
        <w:tc>
          <w:tcPr>
            <w:tcW w:w="1909" w:type="dxa"/>
            <w:vMerge/>
          </w:tcPr>
          <w:p w:rsidR="00383A6E" w:rsidRDefault="00383A6E" w:rsidP="003B4E94">
            <w:pPr>
              <w:pStyle w:val="in"/>
              <w:spacing w:after="0" w:line="22" w:lineRule="atLeast"/>
              <w:ind w:left="0"/>
              <w:jc w:val="both"/>
              <w:rPr>
                <w:rFonts w:ascii="Times New Roman" w:hAnsi="Times New Roman" w:cs="Times New Roman"/>
                <w:sz w:val="24"/>
                <w:szCs w:val="24"/>
              </w:rPr>
            </w:pPr>
          </w:p>
        </w:tc>
        <w:tc>
          <w:tcPr>
            <w:tcW w:w="3027" w:type="dxa"/>
          </w:tcPr>
          <w:p w:rsidR="00383A6E" w:rsidRDefault="00383A6E" w:rsidP="0029087F">
            <w:pPr>
              <w:pStyle w:val="in"/>
              <w:spacing w:after="0" w:line="22" w:lineRule="atLeast"/>
              <w:ind w:left="0"/>
              <w:rPr>
                <w:rFonts w:ascii="Times New Roman" w:hAnsi="Times New Roman" w:cs="Times New Roman"/>
                <w:sz w:val="24"/>
                <w:szCs w:val="24"/>
              </w:rPr>
            </w:pPr>
            <w:r>
              <w:rPr>
                <w:rFonts w:ascii="Times New Roman" w:hAnsi="Times New Roman" w:cs="Times New Roman"/>
                <w:sz w:val="24"/>
                <w:szCs w:val="24"/>
              </w:rPr>
              <w:t>Electric Combination Oven</w:t>
            </w:r>
          </w:p>
        </w:tc>
        <w:tc>
          <w:tcPr>
            <w:tcW w:w="4622" w:type="dxa"/>
          </w:tcPr>
          <w:p w:rsidR="00383A6E" w:rsidRDefault="00383A6E" w:rsidP="004A019E">
            <w:pPr>
              <w:pStyle w:val="in"/>
              <w:spacing w:after="0" w:line="22" w:lineRule="atLeast"/>
              <w:ind w:left="0"/>
              <w:rPr>
                <w:rFonts w:ascii="Times New Roman" w:hAnsi="Times New Roman" w:cs="Times New Roman"/>
                <w:sz w:val="24"/>
                <w:szCs w:val="24"/>
              </w:rPr>
            </w:pPr>
            <w:r>
              <w:rPr>
                <w:rFonts w:ascii="Times New Roman" w:hAnsi="Times New Roman" w:cs="Times New Roman"/>
                <w:sz w:val="24"/>
                <w:szCs w:val="24"/>
              </w:rPr>
              <w:t>Update deemed savings/costs and incentive to align with pending ENERGY STAR specification update</w:t>
            </w:r>
            <w:r w:rsidR="004A019E">
              <w:rPr>
                <w:rFonts w:ascii="Times New Roman" w:hAnsi="Times New Roman" w:cs="Times New Roman"/>
                <w:sz w:val="24"/>
                <w:szCs w:val="24"/>
              </w:rPr>
              <w:t xml:space="preserve"> (effective 1/1/2014)</w:t>
            </w:r>
            <w:r>
              <w:rPr>
                <w:rFonts w:ascii="Times New Roman" w:hAnsi="Times New Roman" w:cs="Times New Roman"/>
                <w:sz w:val="24"/>
                <w:szCs w:val="24"/>
              </w:rPr>
              <w:t>.</w:t>
            </w:r>
          </w:p>
          <w:p w:rsidR="00752A9E" w:rsidRDefault="00752A9E" w:rsidP="004A019E">
            <w:pPr>
              <w:pStyle w:val="in"/>
              <w:spacing w:after="0" w:line="22" w:lineRule="atLeast"/>
              <w:ind w:left="0"/>
              <w:rPr>
                <w:rFonts w:ascii="Times New Roman" w:hAnsi="Times New Roman" w:cs="Times New Roman"/>
                <w:sz w:val="24"/>
                <w:szCs w:val="24"/>
              </w:rPr>
            </w:pPr>
            <w:r>
              <w:rPr>
                <w:rFonts w:ascii="Times New Roman" w:hAnsi="Times New Roman" w:cs="Times New Roman"/>
                <w:sz w:val="24"/>
                <w:szCs w:val="24"/>
              </w:rPr>
              <w:t xml:space="preserve">Add/define size category to account for </w:t>
            </w:r>
            <w:r w:rsidR="00A61C73">
              <w:rPr>
                <w:rFonts w:ascii="Times New Roman" w:hAnsi="Times New Roman" w:cs="Times New Roman"/>
                <w:sz w:val="24"/>
                <w:szCs w:val="24"/>
              </w:rPr>
              <w:t xml:space="preserve">large </w:t>
            </w:r>
            <w:r>
              <w:rPr>
                <w:rFonts w:ascii="Times New Roman" w:hAnsi="Times New Roman" w:cs="Times New Roman"/>
                <w:sz w:val="24"/>
                <w:szCs w:val="24"/>
              </w:rPr>
              <w:t>differences in incremental costs.</w:t>
            </w:r>
          </w:p>
        </w:tc>
      </w:tr>
      <w:tr w:rsidR="00383A6E" w:rsidRPr="00D810B4" w:rsidTr="00872A1D">
        <w:tc>
          <w:tcPr>
            <w:tcW w:w="1909" w:type="dxa"/>
            <w:vMerge/>
          </w:tcPr>
          <w:p w:rsidR="00383A6E" w:rsidRDefault="00383A6E" w:rsidP="003B4E94">
            <w:pPr>
              <w:pStyle w:val="in"/>
              <w:spacing w:after="0" w:line="22" w:lineRule="atLeast"/>
              <w:ind w:left="0"/>
              <w:jc w:val="both"/>
              <w:rPr>
                <w:rFonts w:ascii="Times New Roman" w:hAnsi="Times New Roman" w:cs="Times New Roman"/>
                <w:sz w:val="24"/>
                <w:szCs w:val="24"/>
              </w:rPr>
            </w:pPr>
          </w:p>
        </w:tc>
        <w:tc>
          <w:tcPr>
            <w:tcW w:w="3027" w:type="dxa"/>
          </w:tcPr>
          <w:p w:rsidR="00383A6E" w:rsidRDefault="00383A6E" w:rsidP="0029087F">
            <w:pPr>
              <w:pStyle w:val="in"/>
              <w:spacing w:after="0" w:line="22" w:lineRule="atLeast"/>
              <w:ind w:left="0"/>
              <w:rPr>
                <w:rFonts w:ascii="Times New Roman" w:hAnsi="Times New Roman" w:cs="Times New Roman"/>
                <w:sz w:val="24"/>
                <w:szCs w:val="24"/>
              </w:rPr>
            </w:pPr>
            <w:r>
              <w:rPr>
                <w:rFonts w:ascii="Times New Roman" w:hAnsi="Times New Roman" w:cs="Times New Roman"/>
                <w:sz w:val="24"/>
                <w:szCs w:val="24"/>
              </w:rPr>
              <w:t>Electric Convection Oven</w:t>
            </w:r>
          </w:p>
        </w:tc>
        <w:tc>
          <w:tcPr>
            <w:tcW w:w="4622" w:type="dxa"/>
          </w:tcPr>
          <w:p w:rsidR="00383A6E" w:rsidRDefault="00383A6E" w:rsidP="0029087F">
            <w:pPr>
              <w:pStyle w:val="in"/>
              <w:spacing w:after="0" w:line="22" w:lineRule="atLeast"/>
              <w:ind w:left="0"/>
              <w:rPr>
                <w:rFonts w:ascii="Times New Roman" w:hAnsi="Times New Roman" w:cs="Times New Roman"/>
                <w:sz w:val="24"/>
                <w:szCs w:val="24"/>
              </w:rPr>
            </w:pPr>
            <w:r>
              <w:rPr>
                <w:rFonts w:ascii="Times New Roman" w:hAnsi="Times New Roman" w:cs="Times New Roman"/>
                <w:sz w:val="24"/>
                <w:szCs w:val="24"/>
              </w:rPr>
              <w:t>Update deemed savings/costs and incentive to align with pending ENERGY STAR specification update</w:t>
            </w:r>
            <w:r w:rsidR="004A019E">
              <w:rPr>
                <w:rFonts w:ascii="Times New Roman" w:hAnsi="Times New Roman" w:cs="Times New Roman"/>
                <w:sz w:val="24"/>
                <w:szCs w:val="24"/>
              </w:rPr>
              <w:t xml:space="preserve"> (effective 1/1/2014)</w:t>
            </w:r>
            <w:r>
              <w:rPr>
                <w:rFonts w:ascii="Times New Roman" w:hAnsi="Times New Roman" w:cs="Times New Roman"/>
                <w:sz w:val="24"/>
                <w:szCs w:val="24"/>
              </w:rPr>
              <w:t>.</w:t>
            </w:r>
          </w:p>
        </w:tc>
      </w:tr>
      <w:tr w:rsidR="00383A6E" w:rsidRPr="00D810B4" w:rsidTr="00872A1D">
        <w:tc>
          <w:tcPr>
            <w:tcW w:w="1909" w:type="dxa"/>
            <w:vMerge/>
          </w:tcPr>
          <w:p w:rsidR="00383A6E" w:rsidRPr="00D810B4" w:rsidRDefault="00383A6E" w:rsidP="00E04E92">
            <w:pPr>
              <w:pStyle w:val="in"/>
              <w:spacing w:after="0" w:line="22" w:lineRule="atLeast"/>
              <w:ind w:left="0"/>
              <w:jc w:val="both"/>
              <w:rPr>
                <w:rFonts w:ascii="Times New Roman" w:hAnsi="Times New Roman" w:cs="Times New Roman"/>
                <w:sz w:val="24"/>
                <w:szCs w:val="24"/>
              </w:rPr>
            </w:pPr>
          </w:p>
        </w:tc>
        <w:tc>
          <w:tcPr>
            <w:tcW w:w="3027" w:type="dxa"/>
          </w:tcPr>
          <w:p w:rsidR="00383A6E" w:rsidRPr="00D810B4" w:rsidRDefault="00383A6E" w:rsidP="00E04E92">
            <w:pPr>
              <w:pStyle w:val="in"/>
              <w:spacing w:after="0" w:line="22" w:lineRule="atLeast"/>
              <w:ind w:left="0"/>
              <w:rPr>
                <w:rFonts w:ascii="Times New Roman" w:hAnsi="Times New Roman" w:cs="Times New Roman"/>
                <w:sz w:val="24"/>
                <w:szCs w:val="24"/>
              </w:rPr>
            </w:pPr>
            <w:r>
              <w:rPr>
                <w:rFonts w:ascii="Times New Roman" w:hAnsi="Times New Roman" w:cs="Times New Roman"/>
                <w:sz w:val="24"/>
                <w:szCs w:val="24"/>
              </w:rPr>
              <w:t>Electric Griddle</w:t>
            </w:r>
          </w:p>
        </w:tc>
        <w:tc>
          <w:tcPr>
            <w:tcW w:w="4622" w:type="dxa"/>
          </w:tcPr>
          <w:p w:rsidR="00D24E14" w:rsidRPr="00D810B4" w:rsidRDefault="00383A6E" w:rsidP="00A61C73">
            <w:pPr>
              <w:pStyle w:val="in"/>
              <w:spacing w:after="0" w:line="22" w:lineRule="atLeast"/>
              <w:ind w:left="0"/>
              <w:rPr>
                <w:rFonts w:ascii="Times New Roman" w:hAnsi="Times New Roman" w:cs="Times New Roman"/>
                <w:sz w:val="24"/>
                <w:szCs w:val="24"/>
              </w:rPr>
            </w:pPr>
            <w:r>
              <w:rPr>
                <w:rFonts w:ascii="Times New Roman" w:hAnsi="Times New Roman" w:cs="Times New Roman"/>
                <w:sz w:val="24"/>
                <w:szCs w:val="24"/>
              </w:rPr>
              <w:t xml:space="preserve">Discontinue offering incentives for </w:t>
            </w:r>
            <w:r w:rsidR="00752A9E">
              <w:rPr>
                <w:rFonts w:ascii="Times New Roman" w:hAnsi="Times New Roman" w:cs="Times New Roman"/>
                <w:sz w:val="24"/>
                <w:szCs w:val="24"/>
              </w:rPr>
              <w:t xml:space="preserve">ENERGY STAR Tier 1 </w:t>
            </w:r>
            <w:r>
              <w:rPr>
                <w:rFonts w:ascii="Times New Roman" w:hAnsi="Times New Roman" w:cs="Times New Roman"/>
                <w:sz w:val="24"/>
                <w:szCs w:val="24"/>
              </w:rPr>
              <w:t xml:space="preserve">electric griddles.  Negligible incremental cost difference and small savings between standard and ENERGY STAR </w:t>
            </w:r>
            <w:r w:rsidR="00752A9E">
              <w:rPr>
                <w:rFonts w:ascii="Times New Roman" w:hAnsi="Times New Roman" w:cs="Times New Roman"/>
                <w:sz w:val="24"/>
                <w:szCs w:val="24"/>
              </w:rPr>
              <w:t xml:space="preserve">Tier 1 </w:t>
            </w:r>
            <w:r>
              <w:rPr>
                <w:rFonts w:ascii="Times New Roman" w:hAnsi="Times New Roman" w:cs="Times New Roman"/>
                <w:sz w:val="24"/>
                <w:szCs w:val="24"/>
              </w:rPr>
              <w:t xml:space="preserve">qualified products.  </w:t>
            </w:r>
            <w:r w:rsidR="00D24E14">
              <w:rPr>
                <w:rFonts w:ascii="Times New Roman" w:hAnsi="Times New Roman" w:cs="Times New Roman"/>
                <w:sz w:val="24"/>
                <w:szCs w:val="24"/>
              </w:rPr>
              <w:t>Adjust eligibility requirements to ENERGY STAR Tier 2 qualified models only. Update deemed costs/savings.</w:t>
            </w:r>
          </w:p>
        </w:tc>
      </w:tr>
      <w:tr w:rsidR="00383A6E" w:rsidRPr="00D810B4" w:rsidTr="00872A1D">
        <w:tc>
          <w:tcPr>
            <w:tcW w:w="1909" w:type="dxa"/>
            <w:vMerge/>
          </w:tcPr>
          <w:p w:rsidR="00383A6E" w:rsidRPr="00D810B4" w:rsidRDefault="00383A6E" w:rsidP="00E04E92">
            <w:pPr>
              <w:pStyle w:val="in"/>
              <w:spacing w:after="0" w:line="22" w:lineRule="atLeast"/>
              <w:ind w:left="0"/>
              <w:jc w:val="both"/>
              <w:rPr>
                <w:rFonts w:ascii="Times New Roman" w:hAnsi="Times New Roman" w:cs="Times New Roman"/>
                <w:sz w:val="24"/>
                <w:szCs w:val="24"/>
              </w:rPr>
            </w:pPr>
          </w:p>
        </w:tc>
        <w:tc>
          <w:tcPr>
            <w:tcW w:w="3027" w:type="dxa"/>
          </w:tcPr>
          <w:p w:rsidR="00383A6E" w:rsidRDefault="00383A6E" w:rsidP="00E04E92">
            <w:pPr>
              <w:pStyle w:val="in"/>
              <w:spacing w:after="0" w:line="22" w:lineRule="atLeast"/>
              <w:ind w:left="0"/>
              <w:rPr>
                <w:rFonts w:ascii="Times New Roman" w:hAnsi="Times New Roman" w:cs="Times New Roman"/>
                <w:sz w:val="24"/>
                <w:szCs w:val="24"/>
              </w:rPr>
            </w:pPr>
            <w:r>
              <w:rPr>
                <w:rFonts w:ascii="Times New Roman" w:hAnsi="Times New Roman" w:cs="Times New Roman"/>
                <w:sz w:val="24"/>
                <w:szCs w:val="24"/>
              </w:rPr>
              <w:t>Electric Steam Cooker</w:t>
            </w:r>
          </w:p>
        </w:tc>
        <w:tc>
          <w:tcPr>
            <w:tcW w:w="4622" w:type="dxa"/>
          </w:tcPr>
          <w:p w:rsidR="00752A9E" w:rsidRDefault="00752A9E" w:rsidP="008F3130">
            <w:pPr>
              <w:pStyle w:val="in"/>
              <w:spacing w:after="0" w:line="22" w:lineRule="atLeast"/>
              <w:ind w:left="0"/>
              <w:rPr>
                <w:rFonts w:ascii="Times New Roman" w:hAnsi="Times New Roman" w:cs="Times New Roman"/>
                <w:sz w:val="24"/>
                <w:szCs w:val="24"/>
              </w:rPr>
            </w:pPr>
            <w:r>
              <w:rPr>
                <w:rFonts w:ascii="Times New Roman" w:hAnsi="Times New Roman" w:cs="Times New Roman"/>
                <w:sz w:val="24"/>
                <w:szCs w:val="24"/>
              </w:rPr>
              <w:t>Tier 1 – Update deemed costs/savings</w:t>
            </w:r>
            <w:r w:rsidR="00A61C73">
              <w:rPr>
                <w:rFonts w:ascii="Times New Roman" w:hAnsi="Times New Roman" w:cs="Times New Roman"/>
                <w:sz w:val="24"/>
                <w:szCs w:val="24"/>
              </w:rPr>
              <w:t>.</w:t>
            </w:r>
          </w:p>
          <w:p w:rsidR="00383A6E" w:rsidRDefault="00752A9E" w:rsidP="008F3130">
            <w:pPr>
              <w:pStyle w:val="in"/>
              <w:spacing w:after="0" w:line="22" w:lineRule="atLeast"/>
              <w:ind w:left="0"/>
              <w:rPr>
                <w:rFonts w:ascii="Times New Roman" w:hAnsi="Times New Roman" w:cs="Times New Roman"/>
                <w:sz w:val="24"/>
                <w:szCs w:val="24"/>
              </w:rPr>
            </w:pPr>
            <w:r>
              <w:rPr>
                <w:rFonts w:ascii="Times New Roman" w:hAnsi="Times New Roman" w:cs="Times New Roman"/>
                <w:sz w:val="24"/>
                <w:szCs w:val="24"/>
              </w:rPr>
              <w:t xml:space="preserve">Tier 2 - </w:t>
            </w:r>
            <w:r w:rsidR="00383A6E">
              <w:rPr>
                <w:rFonts w:ascii="Times New Roman" w:hAnsi="Times New Roman" w:cs="Times New Roman"/>
                <w:sz w:val="24"/>
                <w:szCs w:val="24"/>
              </w:rPr>
              <w:t>Adjust eligibility requirements and deemed savings/costs and incentive to align with revised RTF data.</w:t>
            </w:r>
          </w:p>
        </w:tc>
      </w:tr>
      <w:tr w:rsidR="001B7899" w:rsidRPr="00D810B4" w:rsidTr="00872A1D">
        <w:tc>
          <w:tcPr>
            <w:tcW w:w="1909" w:type="dxa"/>
            <w:vMerge/>
          </w:tcPr>
          <w:p w:rsidR="001B7899" w:rsidRPr="00D810B4" w:rsidRDefault="001B7899" w:rsidP="00E04E92">
            <w:pPr>
              <w:pStyle w:val="in"/>
              <w:spacing w:after="0" w:line="22" w:lineRule="atLeast"/>
              <w:ind w:left="0"/>
              <w:jc w:val="both"/>
              <w:rPr>
                <w:rFonts w:ascii="Times New Roman" w:hAnsi="Times New Roman" w:cs="Times New Roman"/>
                <w:sz w:val="24"/>
                <w:szCs w:val="24"/>
              </w:rPr>
            </w:pPr>
          </w:p>
        </w:tc>
        <w:tc>
          <w:tcPr>
            <w:tcW w:w="3027" w:type="dxa"/>
          </w:tcPr>
          <w:p w:rsidR="001B7899" w:rsidRDefault="001B7899" w:rsidP="00E04E92">
            <w:pPr>
              <w:pStyle w:val="in"/>
              <w:spacing w:after="0" w:line="22" w:lineRule="atLeast"/>
              <w:ind w:left="0"/>
              <w:rPr>
                <w:rFonts w:ascii="Times New Roman" w:hAnsi="Times New Roman" w:cs="Times New Roman"/>
                <w:sz w:val="24"/>
                <w:szCs w:val="24"/>
              </w:rPr>
            </w:pPr>
            <w:r>
              <w:rPr>
                <w:rFonts w:ascii="Times New Roman" w:hAnsi="Times New Roman" w:cs="Times New Roman"/>
                <w:sz w:val="24"/>
                <w:szCs w:val="24"/>
              </w:rPr>
              <w:t>Electric Commercial Fryer</w:t>
            </w:r>
          </w:p>
        </w:tc>
        <w:tc>
          <w:tcPr>
            <w:tcW w:w="4622" w:type="dxa"/>
          </w:tcPr>
          <w:p w:rsidR="001B7899" w:rsidRDefault="000B2D2D" w:rsidP="008F3130">
            <w:pPr>
              <w:pStyle w:val="in"/>
              <w:spacing w:after="0" w:line="22" w:lineRule="atLeast"/>
              <w:ind w:left="0"/>
              <w:rPr>
                <w:rFonts w:ascii="Times New Roman" w:hAnsi="Times New Roman" w:cs="Times New Roman"/>
                <w:sz w:val="24"/>
                <w:szCs w:val="24"/>
              </w:rPr>
            </w:pPr>
            <w:r>
              <w:rPr>
                <w:rFonts w:ascii="Times New Roman" w:hAnsi="Times New Roman" w:cs="Times New Roman"/>
                <w:sz w:val="24"/>
                <w:szCs w:val="24"/>
              </w:rPr>
              <w:t>Tier 2 - Adjust eligibility requirements and deemed savings/costs and incentive to align with revised RTF data.</w:t>
            </w:r>
          </w:p>
        </w:tc>
      </w:tr>
      <w:tr w:rsidR="00383A6E" w:rsidRPr="00D810B4" w:rsidTr="00872A1D">
        <w:tc>
          <w:tcPr>
            <w:tcW w:w="1909" w:type="dxa"/>
            <w:vMerge/>
          </w:tcPr>
          <w:p w:rsidR="00383A6E" w:rsidRPr="00D810B4" w:rsidRDefault="00383A6E" w:rsidP="00E04E92">
            <w:pPr>
              <w:pStyle w:val="in"/>
              <w:spacing w:after="0" w:line="22" w:lineRule="atLeast"/>
              <w:ind w:left="0"/>
              <w:jc w:val="both"/>
              <w:rPr>
                <w:rFonts w:ascii="Times New Roman" w:hAnsi="Times New Roman" w:cs="Times New Roman"/>
                <w:sz w:val="24"/>
                <w:szCs w:val="24"/>
              </w:rPr>
            </w:pPr>
          </w:p>
        </w:tc>
        <w:tc>
          <w:tcPr>
            <w:tcW w:w="3027" w:type="dxa"/>
          </w:tcPr>
          <w:p w:rsidR="00383A6E" w:rsidRDefault="00383A6E" w:rsidP="00E04E92">
            <w:pPr>
              <w:pStyle w:val="in"/>
              <w:spacing w:after="0" w:line="22" w:lineRule="atLeast"/>
              <w:ind w:left="0"/>
              <w:rPr>
                <w:rFonts w:ascii="Times New Roman" w:hAnsi="Times New Roman" w:cs="Times New Roman"/>
                <w:sz w:val="24"/>
                <w:szCs w:val="24"/>
              </w:rPr>
            </w:pPr>
            <w:r>
              <w:rPr>
                <w:rFonts w:ascii="Times New Roman" w:hAnsi="Times New Roman" w:cs="Times New Roman"/>
                <w:sz w:val="24"/>
                <w:szCs w:val="24"/>
              </w:rPr>
              <w:t>Air-Cooled Ice Machines</w:t>
            </w:r>
          </w:p>
        </w:tc>
        <w:tc>
          <w:tcPr>
            <w:tcW w:w="4622" w:type="dxa"/>
          </w:tcPr>
          <w:p w:rsidR="00383A6E" w:rsidRDefault="00383A6E" w:rsidP="00ED0DF2">
            <w:pPr>
              <w:pStyle w:val="in"/>
              <w:spacing w:after="0" w:line="22" w:lineRule="atLeast"/>
              <w:ind w:left="0"/>
              <w:rPr>
                <w:rFonts w:ascii="Times New Roman" w:hAnsi="Times New Roman" w:cs="Times New Roman"/>
                <w:sz w:val="24"/>
                <w:szCs w:val="24"/>
              </w:rPr>
            </w:pPr>
            <w:r>
              <w:rPr>
                <w:rFonts w:ascii="Times New Roman" w:hAnsi="Times New Roman" w:cs="Times New Roman"/>
                <w:sz w:val="24"/>
                <w:szCs w:val="24"/>
              </w:rPr>
              <w:t>Update deemed savings/costs and incentive to align with ENERGY STAR specification update.</w:t>
            </w:r>
          </w:p>
        </w:tc>
      </w:tr>
      <w:tr w:rsidR="000B2D2D" w:rsidRPr="00D810B4" w:rsidTr="00872A1D">
        <w:tc>
          <w:tcPr>
            <w:tcW w:w="1909" w:type="dxa"/>
            <w:vMerge/>
          </w:tcPr>
          <w:p w:rsidR="000B2D2D" w:rsidRPr="00D810B4" w:rsidRDefault="000B2D2D" w:rsidP="00E04E92">
            <w:pPr>
              <w:pStyle w:val="in"/>
              <w:spacing w:after="0" w:line="22" w:lineRule="atLeast"/>
              <w:ind w:left="0"/>
              <w:jc w:val="both"/>
              <w:rPr>
                <w:rFonts w:ascii="Times New Roman" w:hAnsi="Times New Roman" w:cs="Times New Roman"/>
                <w:sz w:val="24"/>
                <w:szCs w:val="24"/>
              </w:rPr>
            </w:pPr>
          </w:p>
        </w:tc>
        <w:tc>
          <w:tcPr>
            <w:tcW w:w="3027" w:type="dxa"/>
          </w:tcPr>
          <w:p w:rsidR="000B2D2D" w:rsidRDefault="000B2D2D" w:rsidP="00E04E92">
            <w:pPr>
              <w:pStyle w:val="in"/>
              <w:spacing w:after="0" w:line="22" w:lineRule="atLeast"/>
              <w:ind w:left="0"/>
              <w:rPr>
                <w:rFonts w:ascii="Times New Roman" w:hAnsi="Times New Roman" w:cs="Times New Roman"/>
                <w:sz w:val="24"/>
                <w:szCs w:val="24"/>
              </w:rPr>
            </w:pPr>
            <w:r>
              <w:rPr>
                <w:rFonts w:ascii="Times New Roman" w:hAnsi="Times New Roman" w:cs="Times New Roman"/>
                <w:sz w:val="24"/>
                <w:szCs w:val="24"/>
              </w:rPr>
              <w:t>High Efficiency Refrigerated Beverage Vending Machine</w:t>
            </w:r>
          </w:p>
        </w:tc>
        <w:tc>
          <w:tcPr>
            <w:tcW w:w="4622" w:type="dxa"/>
          </w:tcPr>
          <w:p w:rsidR="000B2D2D" w:rsidRDefault="00A4226A" w:rsidP="00A4226A">
            <w:pPr>
              <w:pStyle w:val="in"/>
              <w:spacing w:after="0" w:line="22" w:lineRule="atLeast"/>
              <w:ind w:left="0"/>
              <w:rPr>
                <w:rFonts w:ascii="Times New Roman" w:hAnsi="Times New Roman" w:cs="Times New Roman"/>
                <w:sz w:val="24"/>
                <w:szCs w:val="24"/>
              </w:rPr>
            </w:pPr>
            <w:r>
              <w:rPr>
                <w:rFonts w:ascii="Times New Roman" w:hAnsi="Times New Roman" w:cs="Times New Roman"/>
                <w:sz w:val="24"/>
                <w:szCs w:val="24"/>
              </w:rPr>
              <w:t xml:space="preserve">Incentives are no longer available for this measure since it has a sunset date of August 31, 2012.  </w:t>
            </w:r>
          </w:p>
        </w:tc>
      </w:tr>
      <w:tr w:rsidR="00383A6E" w:rsidRPr="00D810B4" w:rsidTr="00872A1D">
        <w:tc>
          <w:tcPr>
            <w:tcW w:w="1909" w:type="dxa"/>
            <w:vMerge/>
          </w:tcPr>
          <w:p w:rsidR="00383A6E" w:rsidRPr="00D810B4" w:rsidRDefault="00383A6E" w:rsidP="00E04E92">
            <w:pPr>
              <w:pStyle w:val="in"/>
              <w:spacing w:after="0" w:line="22" w:lineRule="atLeast"/>
              <w:ind w:left="0"/>
              <w:jc w:val="both"/>
              <w:rPr>
                <w:rFonts w:ascii="Times New Roman" w:hAnsi="Times New Roman" w:cs="Times New Roman"/>
                <w:sz w:val="24"/>
                <w:szCs w:val="24"/>
              </w:rPr>
            </w:pPr>
          </w:p>
        </w:tc>
        <w:tc>
          <w:tcPr>
            <w:tcW w:w="3027" w:type="dxa"/>
          </w:tcPr>
          <w:p w:rsidR="00383A6E" w:rsidRDefault="00383A6E" w:rsidP="00E04E92">
            <w:pPr>
              <w:pStyle w:val="in"/>
              <w:spacing w:after="0" w:line="22" w:lineRule="atLeast"/>
              <w:ind w:left="0"/>
              <w:rPr>
                <w:rFonts w:ascii="Times New Roman" w:hAnsi="Times New Roman" w:cs="Times New Roman"/>
                <w:sz w:val="24"/>
                <w:szCs w:val="24"/>
              </w:rPr>
            </w:pPr>
            <w:r>
              <w:rPr>
                <w:rFonts w:ascii="Times New Roman" w:hAnsi="Times New Roman" w:cs="Times New Roman"/>
                <w:sz w:val="24"/>
                <w:szCs w:val="24"/>
              </w:rPr>
              <w:t>LED Case Lighting</w:t>
            </w:r>
          </w:p>
        </w:tc>
        <w:tc>
          <w:tcPr>
            <w:tcW w:w="4622" w:type="dxa"/>
          </w:tcPr>
          <w:p w:rsidR="00383A6E" w:rsidRDefault="00383A6E" w:rsidP="008F3130">
            <w:pPr>
              <w:pStyle w:val="in"/>
              <w:spacing w:after="0" w:line="22" w:lineRule="atLeast"/>
              <w:ind w:left="0"/>
              <w:rPr>
                <w:rFonts w:ascii="Times New Roman" w:hAnsi="Times New Roman" w:cs="Times New Roman"/>
                <w:sz w:val="24"/>
                <w:szCs w:val="24"/>
              </w:rPr>
            </w:pPr>
            <w:r>
              <w:rPr>
                <w:rFonts w:ascii="Times New Roman" w:hAnsi="Times New Roman" w:cs="Times New Roman"/>
                <w:sz w:val="24"/>
                <w:szCs w:val="24"/>
              </w:rPr>
              <w:t>Update deemed savings and costs to align with revised RTF data.</w:t>
            </w:r>
          </w:p>
        </w:tc>
      </w:tr>
      <w:tr w:rsidR="00383A6E" w:rsidRPr="00D810B4" w:rsidTr="00872A1D">
        <w:tc>
          <w:tcPr>
            <w:tcW w:w="1909" w:type="dxa"/>
            <w:vMerge/>
          </w:tcPr>
          <w:p w:rsidR="00383A6E" w:rsidRPr="00D810B4" w:rsidRDefault="00383A6E" w:rsidP="00E04E92">
            <w:pPr>
              <w:pStyle w:val="in"/>
              <w:spacing w:after="0" w:line="22" w:lineRule="atLeast"/>
              <w:ind w:left="0"/>
              <w:jc w:val="both"/>
              <w:rPr>
                <w:rFonts w:ascii="Times New Roman" w:hAnsi="Times New Roman" w:cs="Times New Roman"/>
                <w:sz w:val="24"/>
                <w:szCs w:val="24"/>
              </w:rPr>
            </w:pPr>
          </w:p>
        </w:tc>
        <w:tc>
          <w:tcPr>
            <w:tcW w:w="3027" w:type="dxa"/>
          </w:tcPr>
          <w:p w:rsidR="00383A6E" w:rsidRDefault="00383A6E" w:rsidP="000D413B">
            <w:pPr>
              <w:pStyle w:val="in"/>
              <w:spacing w:after="0" w:line="22" w:lineRule="atLeast"/>
              <w:ind w:left="0"/>
              <w:rPr>
                <w:rFonts w:ascii="Times New Roman" w:hAnsi="Times New Roman" w:cs="Times New Roman"/>
                <w:sz w:val="24"/>
                <w:szCs w:val="24"/>
              </w:rPr>
            </w:pPr>
            <w:r>
              <w:rPr>
                <w:rFonts w:ascii="Times New Roman" w:hAnsi="Times New Roman" w:cs="Times New Roman"/>
                <w:sz w:val="24"/>
                <w:szCs w:val="24"/>
              </w:rPr>
              <w:t>Residential Refrigerator (used in a Business)</w:t>
            </w:r>
          </w:p>
        </w:tc>
        <w:tc>
          <w:tcPr>
            <w:tcW w:w="4622" w:type="dxa"/>
            <w:vMerge w:val="restart"/>
          </w:tcPr>
          <w:p w:rsidR="00383A6E" w:rsidRDefault="00ED0DF2" w:rsidP="00022F86">
            <w:pPr>
              <w:pStyle w:val="in"/>
              <w:spacing w:after="0" w:line="22" w:lineRule="atLeast"/>
              <w:ind w:left="0"/>
              <w:rPr>
                <w:rFonts w:ascii="Times New Roman" w:hAnsi="Times New Roman" w:cs="Times New Roman"/>
                <w:sz w:val="24"/>
                <w:szCs w:val="24"/>
              </w:rPr>
            </w:pPr>
            <w:r>
              <w:rPr>
                <w:rFonts w:ascii="Times New Roman" w:hAnsi="Times New Roman" w:cs="Times New Roman"/>
                <w:sz w:val="24"/>
                <w:szCs w:val="24"/>
              </w:rPr>
              <w:t xml:space="preserve">Update eligibility/incentives and reported costs/savings to align with the </w:t>
            </w:r>
            <w:r w:rsidR="00022F86">
              <w:rPr>
                <w:rFonts w:ascii="Times New Roman" w:hAnsi="Times New Roman" w:cs="Times New Roman"/>
                <w:sz w:val="24"/>
                <w:szCs w:val="24"/>
              </w:rPr>
              <w:t xml:space="preserve">Home Energy Savings </w:t>
            </w:r>
            <w:r>
              <w:rPr>
                <w:rFonts w:ascii="Times New Roman" w:hAnsi="Times New Roman" w:cs="Times New Roman"/>
                <w:sz w:val="24"/>
                <w:szCs w:val="24"/>
              </w:rPr>
              <w:t>program.</w:t>
            </w:r>
          </w:p>
        </w:tc>
      </w:tr>
      <w:tr w:rsidR="00383A6E" w:rsidRPr="00D810B4" w:rsidTr="00872A1D">
        <w:tc>
          <w:tcPr>
            <w:tcW w:w="1909" w:type="dxa"/>
            <w:vMerge/>
          </w:tcPr>
          <w:p w:rsidR="00383A6E" w:rsidRPr="00D810B4" w:rsidRDefault="00383A6E" w:rsidP="00E04E92">
            <w:pPr>
              <w:pStyle w:val="in"/>
              <w:spacing w:after="0" w:line="22" w:lineRule="atLeast"/>
              <w:ind w:left="0"/>
              <w:jc w:val="both"/>
              <w:rPr>
                <w:rFonts w:ascii="Times New Roman" w:hAnsi="Times New Roman" w:cs="Times New Roman"/>
                <w:sz w:val="24"/>
                <w:szCs w:val="24"/>
              </w:rPr>
            </w:pPr>
          </w:p>
        </w:tc>
        <w:tc>
          <w:tcPr>
            <w:tcW w:w="3027" w:type="dxa"/>
          </w:tcPr>
          <w:p w:rsidR="00383A6E" w:rsidRDefault="00383A6E" w:rsidP="00E04E92">
            <w:pPr>
              <w:pStyle w:val="in"/>
              <w:spacing w:after="0" w:line="22" w:lineRule="atLeast"/>
              <w:ind w:left="0"/>
              <w:rPr>
                <w:rFonts w:ascii="Times New Roman" w:hAnsi="Times New Roman" w:cs="Times New Roman"/>
                <w:sz w:val="24"/>
                <w:szCs w:val="24"/>
              </w:rPr>
            </w:pPr>
            <w:r>
              <w:rPr>
                <w:rFonts w:ascii="Times New Roman" w:hAnsi="Times New Roman" w:cs="Times New Roman"/>
                <w:sz w:val="24"/>
                <w:szCs w:val="24"/>
              </w:rPr>
              <w:t>Residential Dishwasher (used in a Business)</w:t>
            </w:r>
          </w:p>
        </w:tc>
        <w:tc>
          <w:tcPr>
            <w:tcW w:w="4622" w:type="dxa"/>
            <w:vMerge/>
          </w:tcPr>
          <w:p w:rsidR="00383A6E" w:rsidRDefault="00383A6E" w:rsidP="008F3130">
            <w:pPr>
              <w:pStyle w:val="in"/>
              <w:spacing w:after="0" w:line="22" w:lineRule="atLeast"/>
              <w:ind w:left="0"/>
              <w:rPr>
                <w:rFonts w:ascii="Times New Roman" w:hAnsi="Times New Roman" w:cs="Times New Roman"/>
                <w:sz w:val="24"/>
                <w:szCs w:val="24"/>
              </w:rPr>
            </w:pPr>
          </w:p>
        </w:tc>
      </w:tr>
      <w:tr w:rsidR="00872A1D" w:rsidRPr="00D810B4" w:rsidTr="00872A1D">
        <w:tc>
          <w:tcPr>
            <w:tcW w:w="1909" w:type="dxa"/>
            <w:vMerge w:val="restart"/>
          </w:tcPr>
          <w:p w:rsidR="00872A1D" w:rsidRDefault="00872A1D" w:rsidP="0029087F">
            <w:pPr>
              <w:pStyle w:val="in"/>
              <w:spacing w:before="100" w:beforeAutospacing="1" w:after="100" w:afterAutospacing="1" w:line="22" w:lineRule="atLeast"/>
              <w:ind w:left="0"/>
              <w:rPr>
                <w:rFonts w:ascii="Times New Roman" w:hAnsi="Times New Roman" w:cs="Times New Roman"/>
                <w:sz w:val="24"/>
                <w:szCs w:val="24"/>
              </w:rPr>
            </w:pPr>
            <w:r>
              <w:rPr>
                <w:rFonts w:ascii="Times New Roman" w:hAnsi="Times New Roman" w:cs="Times New Roman"/>
                <w:sz w:val="24"/>
                <w:szCs w:val="24"/>
              </w:rPr>
              <w:t>Appliances</w:t>
            </w:r>
          </w:p>
        </w:tc>
        <w:tc>
          <w:tcPr>
            <w:tcW w:w="3027" w:type="dxa"/>
          </w:tcPr>
          <w:p w:rsidR="00872A1D" w:rsidRDefault="00872A1D" w:rsidP="0029087F">
            <w:pPr>
              <w:pStyle w:val="in"/>
              <w:spacing w:before="100" w:beforeAutospacing="1" w:after="100" w:afterAutospacing="1" w:line="22" w:lineRule="atLeast"/>
              <w:ind w:left="0"/>
              <w:rPr>
                <w:rFonts w:ascii="Times New Roman" w:hAnsi="Times New Roman" w:cs="Times New Roman"/>
                <w:sz w:val="24"/>
                <w:szCs w:val="24"/>
              </w:rPr>
            </w:pPr>
            <w:r>
              <w:rPr>
                <w:rFonts w:ascii="Times New Roman" w:hAnsi="Times New Roman" w:cs="Times New Roman"/>
                <w:sz w:val="24"/>
                <w:szCs w:val="24"/>
              </w:rPr>
              <w:t>Commercial Clothes Washer</w:t>
            </w:r>
          </w:p>
        </w:tc>
        <w:tc>
          <w:tcPr>
            <w:tcW w:w="4622" w:type="dxa"/>
          </w:tcPr>
          <w:p w:rsidR="00872A1D" w:rsidRDefault="00872A1D" w:rsidP="003F5624">
            <w:pPr>
              <w:pStyle w:val="in"/>
              <w:spacing w:before="100" w:beforeAutospacing="1" w:after="100" w:afterAutospacing="1" w:line="22" w:lineRule="atLeast"/>
              <w:ind w:left="0"/>
              <w:rPr>
                <w:rFonts w:ascii="Times New Roman" w:hAnsi="Times New Roman" w:cs="Times New Roman"/>
                <w:sz w:val="24"/>
                <w:szCs w:val="24"/>
              </w:rPr>
            </w:pPr>
            <w:r>
              <w:rPr>
                <w:rFonts w:ascii="Times New Roman" w:hAnsi="Times New Roman" w:cs="Times New Roman"/>
                <w:sz w:val="24"/>
                <w:szCs w:val="24"/>
              </w:rPr>
              <w:t>Update incentives, deemed costs/savings to align with market data for ENERGY STAR qualified models.</w:t>
            </w:r>
          </w:p>
          <w:p w:rsidR="00872A1D" w:rsidRDefault="00872A1D" w:rsidP="003F5624">
            <w:pPr>
              <w:pStyle w:val="in"/>
              <w:spacing w:before="100" w:beforeAutospacing="1" w:after="100" w:afterAutospacing="1" w:line="22" w:lineRule="atLeast"/>
              <w:ind w:left="0"/>
              <w:rPr>
                <w:rFonts w:ascii="Times New Roman" w:hAnsi="Times New Roman" w:cs="Times New Roman"/>
                <w:sz w:val="24"/>
                <w:szCs w:val="24"/>
              </w:rPr>
            </w:pPr>
            <w:r>
              <w:rPr>
                <w:rFonts w:ascii="Times New Roman" w:hAnsi="Times New Roman" w:cs="Times New Roman"/>
                <w:sz w:val="24"/>
                <w:szCs w:val="24"/>
              </w:rPr>
              <w:t>Remove incentives for CEE Tier 3 qualified models as CEE has suspended its commercial clothes washer specification.</w:t>
            </w:r>
          </w:p>
        </w:tc>
      </w:tr>
      <w:tr w:rsidR="00872A1D" w:rsidRPr="00D810B4" w:rsidTr="00872A1D">
        <w:tc>
          <w:tcPr>
            <w:tcW w:w="1909" w:type="dxa"/>
            <w:vMerge/>
          </w:tcPr>
          <w:p w:rsidR="00872A1D" w:rsidRPr="00D810B4" w:rsidRDefault="00872A1D" w:rsidP="00EB3FC0">
            <w:pPr>
              <w:pStyle w:val="in"/>
              <w:spacing w:after="0" w:line="22" w:lineRule="atLeast"/>
              <w:ind w:left="0"/>
              <w:jc w:val="both"/>
              <w:rPr>
                <w:rFonts w:ascii="Times New Roman" w:hAnsi="Times New Roman" w:cs="Times New Roman"/>
                <w:sz w:val="24"/>
                <w:szCs w:val="24"/>
              </w:rPr>
            </w:pPr>
          </w:p>
        </w:tc>
        <w:tc>
          <w:tcPr>
            <w:tcW w:w="3027" w:type="dxa"/>
          </w:tcPr>
          <w:p w:rsidR="00872A1D" w:rsidRPr="00D810B4" w:rsidRDefault="00872A1D" w:rsidP="00EB3FC0">
            <w:pPr>
              <w:pStyle w:val="in"/>
              <w:spacing w:after="0" w:line="22" w:lineRule="atLeast"/>
              <w:ind w:left="0"/>
              <w:jc w:val="both"/>
              <w:rPr>
                <w:rFonts w:ascii="Times New Roman" w:hAnsi="Times New Roman" w:cs="Times New Roman"/>
                <w:sz w:val="24"/>
                <w:szCs w:val="24"/>
              </w:rPr>
            </w:pPr>
            <w:r>
              <w:rPr>
                <w:rFonts w:ascii="Times New Roman" w:hAnsi="Times New Roman" w:cs="Times New Roman"/>
                <w:sz w:val="24"/>
                <w:szCs w:val="24"/>
              </w:rPr>
              <w:t>Residential Water Heater (Used in a Business)</w:t>
            </w:r>
          </w:p>
        </w:tc>
        <w:tc>
          <w:tcPr>
            <w:tcW w:w="4622" w:type="dxa"/>
            <w:vMerge w:val="restart"/>
          </w:tcPr>
          <w:p w:rsidR="00872A1D" w:rsidRPr="00D810B4" w:rsidRDefault="00872A1D" w:rsidP="00A4226A">
            <w:pPr>
              <w:pStyle w:val="in"/>
              <w:spacing w:after="0" w:line="22" w:lineRule="atLeast"/>
              <w:ind w:left="0"/>
              <w:rPr>
                <w:rFonts w:ascii="Times New Roman" w:hAnsi="Times New Roman" w:cs="Times New Roman"/>
                <w:sz w:val="24"/>
                <w:szCs w:val="24"/>
              </w:rPr>
            </w:pPr>
            <w:r>
              <w:rPr>
                <w:rFonts w:ascii="Times New Roman" w:hAnsi="Times New Roman" w:cs="Times New Roman"/>
                <w:sz w:val="24"/>
                <w:szCs w:val="24"/>
              </w:rPr>
              <w:t xml:space="preserve">Update eligibility/incentives and reported costs/savings to align with the </w:t>
            </w:r>
            <w:r w:rsidR="00A4226A">
              <w:rPr>
                <w:rFonts w:ascii="Times New Roman" w:hAnsi="Times New Roman" w:cs="Times New Roman"/>
                <w:sz w:val="24"/>
                <w:szCs w:val="24"/>
              </w:rPr>
              <w:t>Home Energy Savings</w:t>
            </w:r>
            <w:r>
              <w:rPr>
                <w:rFonts w:ascii="Times New Roman" w:hAnsi="Times New Roman" w:cs="Times New Roman"/>
                <w:sz w:val="24"/>
                <w:szCs w:val="24"/>
              </w:rPr>
              <w:t xml:space="preserve"> program.</w:t>
            </w:r>
          </w:p>
        </w:tc>
      </w:tr>
      <w:tr w:rsidR="00872A1D" w:rsidRPr="00D810B4" w:rsidTr="00872A1D">
        <w:tc>
          <w:tcPr>
            <w:tcW w:w="1909" w:type="dxa"/>
            <w:vMerge/>
          </w:tcPr>
          <w:p w:rsidR="00872A1D" w:rsidRPr="00D810B4" w:rsidRDefault="00872A1D" w:rsidP="00EB3FC0">
            <w:pPr>
              <w:pStyle w:val="in"/>
              <w:spacing w:after="0" w:line="22" w:lineRule="atLeast"/>
              <w:ind w:left="0"/>
              <w:jc w:val="both"/>
              <w:rPr>
                <w:rFonts w:ascii="Times New Roman" w:hAnsi="Times New Roman" w:cs="Times New Roman"/>
                <w:sz w:val="24"/>
                <w:szCs w:val="24"/>
              </w:rPr>
            </w:pPr>
          </w:p>
        </w:tc>
        <w:tc>
          <w:tcPr>
            <w:tcW w:w="3027" w:type="dxa"/>
          </w:tcPr>
          <w:p w:rsidR="00872A1D" w:rsidRDefault="00872A1D" w:rsidP="00EB3FC0">
            <w:pPr>
              <w:pStyle w:val="in"/>
              <w:spacing w:after="0" w:line="22" w:lineRule="atLeast"/>
              <w:ind w:left="0"/>
              <w:rPr>
                <w:rFonts w:ascii="Times New Roman" w:hAnsi="Times New Roman" w:cs="Times New Roman"/>
                <w:sz w:val="24"/>
                <w:szCs w:val="24"/>
              </w:rPr>
            </w:pPr>
            <w:r>
              <w:rPr>
                <w:rFonts w:ascii="Times New Roman" w:hAnsi="Times New Roman" w:cs="Times New Roman"/>
                <w:sz w:val="24"/>
                <w:szCs w:val="24"/>
              </w:rPr>
              <w:t>Residential Clothes Washer (Used in a Business)</w:t>
            </w:r>
          </w:p>
        </w:tc>
        <w:tc>
          <w:tcPr>
            <w:tcW w:w="4622" w:type="dxa"/>
            <w:vMerge/>
          </w:tcPr>
          <w:p w:rsidR="00872A1D" w:rsidRPr="00D810B4" w:rsidRDefault="00872A1D" w:rsidP="00EB3FC0">
            <w:pPr>
              <w:pStyle w:val="in"/>
              <w:spacing w:after="0" w:line="22" w:lineRule="atLeast"/>
              <w:ind w:left="0"/>
              <w:rPr>
                <w:rFonts w:ascii="Times New Roman" w:hAnsi="Times New Roman" w:cs="Times New Roman"/>
                <w:sz w:val="24"/>
                <w:szCs w:val="24"/>
              </w:rPr>
            </w:pPr>
          </w:p>
        </w:tc>
      </w:tr>
      <w:tr w:rsidR="008C6012" w:rsidRPr="00D810B4" w:rsidTr="00872A1D">
        <w:tc>
          <w:tcPr>
            <w:tcW w:w="1909" w:type="dxa"/>
            <w:vMerge w:val="restart"/>
          </w:tcPr>
          <w:p w:rsidR="008C6012" w:rsidRPr="00D810B4" w:rsidRDefault="008C6012" w:rsidP="00EB3FC0">
            <w:pPr>
              <w:pStyle w:val="in"/>
              <w:spacing w:after="0" w:line="22" w:lineRule="atLeast"/>
              <w:ind w:left="0"/>
              <w:jc w:val="both"/>
              <w:rPr>
                <w:rFonts w:ascii="Times New Roman" w:hAnsi="Times New Roman" w:cs="Times New Roman"/>
                <w:sz w:val="24"/>
                <w:szCs w:val="24"/>
              </w:rPr>
            </w:pPr>
            <w:r>
              <w:rPr>
                <w:rFonts w:ascii="Times New Roman" w:hAnsi="Times New Roman" w:cs="Times New Roman"/>
                <w:sz w:val="24"/>
                <w:szCs w:val="24"/>
              </w:rPr>
              <w:t>Office</w:t>
            </w:r>
          </w:p>
        </w:tc>
        <w:tc>
          <w:tcPr>
            <w:tcW w:w="3027" w:type="dxa"/>
          </w:tcPr>
          <w:p w:rsidR="008C6012" w:rsidRDefault="008C6012" w:rsidP="00EB3FC0">
            <w:pPr>
              <w:pStyle w:val="in"/>
              <w:spacing w:after="0" w:line="22" w:lineRule="atLeast"/>
              <w:ind w:left="0"/>
              <w:rPr>
                <w:rFonts w:ascii="Times New Roman" w:hAnsi="Times New Roman" w:cs="Times New Roman"/>
                <w:sz w:val="24"/>
                <w:szCs w:val="24"/>
              </w:rPr>
            </w:pPr>
            <w:r>
              <w:rPr>
                <w:rFonts w:ascii="Times New Roman" w:hAnsi="Times New Roman" w:cs="Times New Roman"/>
                <w:sz w:val="24"/>
                <w:szCs w:val="24"/>
              </w:rPr>
              <w:t>Network Power PC Management</w:t>
            </w:r>
          </w:p>
        </w:tc>
        <w:tc>
          <w:tcPr>
            <w:tcW w:w="4622" w:type="dxa"/>
          </w:tcPr>
          <w:p w:rsidR="008C6012" w:rsidRPr="00D810B4" w:rsidRDefault="008C6012" w:rsidP="00146E37">
            <w:pPr>
              <w:pStyle w:val="in"/>
              <w:spacing w:after="0" w:line="22" w:lineRule="atLeast"/>
              <w:ind w:left="0"/>
              <w:rPr>
                <w:rFonts w:ascii="Times New Roman" w:hAnsi="Times New Roman" w:cs="Times New Roman"/>
                <w:sz w:val="24"/>
                <w:szCs w:val="24"/>
              </w:rPr>
            </w:pPr>
            <w:r>
              <w:rPr>
                <w:rFonts w:ascii="Times New Roman" w:hAnsi="Times New Roman" w:cs="Times New Roman"/>
                <w:sz w:val="24"/>
                <w:szCs w:val="24"/>
              </w:rPr>
              <w:t xml:space="preserve">Update deemed savings and costs to align with data from </w:t>
            </w:r>
            <w:r w:rsidR="00146E37">
              <w:rPr>
                <w:rFonts w:ascii="Times New Roman" w:hAnsi="Times New Roman" w:cs="Times New Roman"/>
                <w:sz w:val="24"/>
                <w:szCs w:val="24"/>
              </w:rPr>
              <w:t>NWPCC 6</w:t>
            </w:r>
            <w:r w:rsidR="00146E37" w:rsidRPr="00146E37">
              <w:rPr>
                <w:rFonts w:ascii="Times New Roman" w:hAnsi="Times New Roman" w:cs="Times New Roman"/>
                <w:sz w:val="24"/>
                <w:szCs w:val="24"/>
                <w:vertAlign w:val="superscript"/>
              </w:rPr>
              <w:t>th</w:t>
            </w:r>
            <w:r w:rsidR="00146E37">
              <w:rPr>
                <w:rFonts w:ascii="Times New Roman" w:hAnsi="Times New Roman" w:cs="Times New Roman"/>
                <w:sz w:val="24"/>
                <w:szCs w:val="24"/>
              </w:rPr>
              <w:t xml:space="preserve"> Plan </w:t>
            </w:r>
            <w:r>
              <w:rPr>
                <w:rFonts w:ascii="Times New Roman" w:hAnsi="Times New Roman" w:cs="Times New Roman"/>
                <w:sz w:val="24"/>
                <w:szCs w:val="24"/>
              </w:rPr>
              <w:t>RTF</w:t>
            </w:r>
            <w:r w:rsidR="00146E37">
              <w:rPr>
                <w:rFonts w:ascii="Times New Roman" w:hAnsi="Times New Roman" w:cs="Times New Roman"/>
                <w:sz w:val="24"/>
                <w:szCs w:val="24"/>
              </w:rPr>
              <w:t xml:space="preserve"> since RTF measure is now limited to K-12 schools. </w:t>
            </w:r>
            <w:r>
              <w:rPr>
                <w:rFonts w:ascii="Times New Roman" w:hAnsi="Times New Roman" w:cs="Times New Roman"/>
                <w:sz w:val="24"/>
                <w:szCs w:val="24"/>
              </w:rPr>
              <w:t>. Update eligibility criteria to controlled laptop computers for higher savings certainty.</w:t>
            </w:r>
          </w:p>
        </w:tc>
      </w:tr>
      <w:tr w:rsidR="008C6012" w:rsidRPr="00D810B4" w:rsidTr="00872A1D">
        <w:tc>
          <w:tcPr>
            <w:tcW w:w="1909" w:type="dxa"/>
            <w:vMerge/>
          </w:tcPr>
          <w:p w:rsidR="008C6012" w:rsidRPr="00D810B4" w:rsidRDefault="008C6012" w:rsidP="00EB3FC0">
            <w:pPr>
              <w:pStyle w:val="in"/>
              <w:spacing w:after="0" w:line="22" w:lineRule="atLeast"/>
              <w:ind w:left="0"/>
              <w:jc w:val="both"/>
              <w:rPr>
                <w:rFonts w:ascii="Times New Roman" w:hAnsi="Times New Roman" w:cs="Times New Roman"/>
                <w:sz w:val="24"/>
                <w:szCs w:val="24"/>
              </w:rPr>
            </w:pPr>
          </w:p>
        </w:tc>
        <w:tc>
          <w:tcPr>
            <w:tcW w:w="3027" w:type="dxa"/>
          </w:tcPr>
          <w:p w:rsidR="008C6012" w:rsidRDefault="008C6012" w:rsidP="00EB3FC0">
            <w:pPr>
              <w:pStyle w:val="in"/>
              <w:spacing w:after="0" w:line="22" w:lineRule="atLeast"/>
              <w:ind w:left="0"/>
              <w:rPr>
                <w:rFonts w:ascii="Times New Roman" w:hAnsi="Times New Roman" w:cs="Times New Roman"/>
                <w:sz w:val="24"/>
                <w:szCs w:val="24"/>
              </w:rPr>
            </w:pPr>
            <w:r>
              <w:rPr>
                <w:rFonts w:ascii="Times New Roman" w:hAnsi="Times New Roman" w:cs="Times New Roman"/>
                <w:sz w:val="24"/>
                <w:szCs w:val="24"/>
              </w:rPr>
              <w:t>Smart Plug Strip</w:t>
            </w:r>
          </w:p>
        </w:tc>
        <w:tc>
          <w:tcPr>
            <w:tcW w:w="4622" w:type="dxa"/>
          </w:tcPr>
          <w:p w:rsidR="008C6012" w:rsidRPr="00D810B4" w:rsidRDefault="008C6012" w:rsidP="00EB3FC0">
            <w:pPr>
              <w:pStyle w:val="in"/>
              <w:spacing w:after="0" w:line="22" w:lineRule="atLeast"/>
              <w:ind w:left="0"/>
              <w:rPr>
                <w:rFonts w:ascii="Times New Roman" w:hAnsi="Times New Roman" w:cs="Times New Roman"/>
                <w:sz w:val="24"/>
                <w:szCs w:val="24"/>
              </w:rPr>
            </w:pPr>
            <w:r>
              <w:rPr>
                <w:rFonts w:ascii="Times New Roman" w:hAnsi="Times New Roman" w:cs="Times New Roman"/>
                <w:sz w:val="24"/>
                <w:szCs w:val="24"/>
              </w:rPr>
              <w:t>Update deemed savings and costs to align with revised data from RTF.</w:t>
            </w:r>
          </w:p>
        </w:tc>
      </w:tr>
    </w:tbl>
    <w:p w:rsidR="008F3130" w:rsidRPr="00D810B4" w:rsidRDefault="0079688C" w:rsidP="008F3130">
      <w:pPr>
        <w:pStyle w:val="in"/>
        <w:spacing w:before="100" w:beforeAutospacing="1" w:after="100" w:afterAutospacing="1" w:line="22" w:lineRule="atLeast"/>
        <w:ind w:left="0"/>
        <w:jc w:val="both"/>
        <w:rPr>
          <w:rFonts w:ascii="Times New Roman" w:hAnsi="Times New Roman" w:cs="Times New Roman"/>
          <w:sz w:val="24"/>
          <w:szCs w:val="24"/>
        </w:rPr>
      </w:pPr>
      <w:r w:rsidRPr="00D810B4">
        <w:rPr>
          <w:rFonts w:ascii="Times New Roman" w:hAnsi="Times New Roman" w:cs="Times New Roman"/>
          <w:sz w:val="24"/>
          <w:szCs w:val="24"/>
        </w:rPr>
        <w:t xml:space="preserve">To further increase participation and the comprehensiveness of the program and streamline program administration, the Company is requesting approval to add new measures </w:t>
      </w:r>
      <w:r>
        <w:rPr>
          <w:rFonts w:ascii="Times New Roman" w:hAnsi="Times New Roman" w:cs="Times New Roman"/>
          <w:sz w:val="24"/>
          <w:szCs w:val="24"/>
        </w:rPr>
        <w:t>to existing measure categories, as detailed below in Table 4.</w:t>
      </w:r>
      <w:r w:rsidR="009E191C">
        <w:rPr>
          <w:rFonts w:ascii="Times New Roman" w:hAnsi="Times New Roman" w:cs="Times New Roman"/>
          <w:sz w:val="24"/>
          <w:szCs w:val="24"/>
        </w:rPr>
        <w:t xml:space="preserve">  In addition, there are new industrial and ag measures described in Tables 5, 6 and 7.</w:t>
      </w:r>
    </w:p>
    <w:p w:rsidR="008F3130" w:rsidRPr="00D810B4" w:rsidRDefault="0079688C" w:rsidP="008F3130">
      <w:pPr>
        <w:pStyle w:val="in"/>
        <w:spacing w:after="0" w:line="22" w:lineRule="atLeast"/>
        <w:ind w:left="0"/>
        <w:jc w:val="center"/>
        <w:rPr>
          <w:rFonts w:ascii="Times New Roman" w:hAnsi="Times New Roman" w:cs="Times New Roman"/>
          <w:b/>
          <w:sz w:val="24"/>
          <w:szCs w:val="24"/>
        </w:rPr>
      </w:pPr>
      <w:r>
        <w:rPr>
          <w:rFonts w:ascii="Times New Roman" w:hAnsi="Times New Roman" w:cs="Times New Roman"/>
          <w:b/>
          <w:sz w:val="24"/>
          <w:szCs w:val="24"/>
        </w:rPr>
        <w:t>Table 4</w:t>
      </w:r>
    </w:p>
    <w:p w:rsidR="008F3130" w:rsidRPr="00D810B4" w:rsidRDefault="0079688C" w:rsidP="008F3130">
      <w:pPr>
        <w:pStyle w:val="in"/>
        <w:spacing w:line="22" w:lineRule="atLeast"/>
        <w:ind w:left="0"/>
        <w:jc w:val="center"/>
        <w:rPr>
          <w:rFonts w:ascii="Times New Roman" w:hAnsi="Times New Roman" w:cs="Times New Roman"/>
          <w:b/>
          <w:sz w:val="24"/>
          <w:szCs w:val="24"/>
        </w:rPr>
      </w:pPr>
      <w:r>
        <w:rPr>
          <w:rFonts w:ascii="Times New Roman" w:hAnsi="Times New Roman" w:cs="Times New Roman"/>
          <w:b/>
          <w:sz w:val="24"/>
          <w:szCs w:val="24"/>
        </w:rPr>
        <w:t>New Measures</w:t>
      </w:r>
    </w:p>
    <w:tbl>
      <w:tblPr>
        <w:tblStyle w:val="TableGrid"/>
        <w:tblW w:w="0" w:type="auto"/>
        <w:tblLook w:val="04A0" w:firstRow="1" w:lastRow="0" w:firstColumn="1" w:lastColumn="0" w:noHBand="0" w:noVBand="1"/>
      </w:tblPr>
      <w:tblGrid>
        <w:gridCol w:w="1656"/>
        <w:gridCol w:w="3025"/>
        <w:gridCol w:w="4895"/>
      </w:tblGrid>
      <w:tr w:rsidR="00241C22" w:rsidRPr="00D810B4" w:rsidTr="00241C22">
        <w:tc>
          <w:tcPr>
            <w:tcW w:w="1548" w:type="dxa"/>
          </w:tcPr>
          <w:p w:rsidR="00241C22" w:rsidRPr="00D810B4" w:rsidRDefault="00241C22" w:rsidP="008F3130">
            <w:pPr>
              <w:pStyle w:val="in"/>
              <w:spacing w:before="100" w:beforeAutospacing="1" w:after="100" w:afterAutospacing="1" w:line="22" w:lineRule="atLeast"/>
              <w:ind w:left="0"/>
              <w:rPr>
                <w:rFonts w:ascii="Times New Roman" w:hAnsi="Times New Roman" w:cs="Times New Roman"/>
                <w:b/>
                <w:sz w:val="24"/>
                <w:szCs w:val="24"/>
              </w:rPr>
            </w:pPr>
            <w:r w:rsidRPr="00D810B4">
              <w:rPr>
                <w:rFonts w:ascii="Times New Roman" w:hAnsi="Times New Roman" w:cs="Times New Roman"/>
                <w:b/>
                <w:sz w:val="24"/>
                <w:szCs w:val="24"/>
              </w:rPr>
              <w:t>Measure</w:t>
            </w:r>
            <w:r w:rsidR="0079688C">
              <w:rPr>
                <w:rFonts w:ascii="Times New Roman" w:hAnsi="Times New Roman" w:cs="Times New Roman"/>
                <w:b/>
                <w:sz w:val="24"/>
                <w:szCs w:val="24"/>
              </w:rPr>
              <w:t xml:space="preserve"> Category</w:t>
            </w:r>
          </w:p>
        </w:tc>
        <w:tc>
          <w:tcPr>
            <w:tcW w:w="3060" w:type="dxa"/>
          </w:tcPr>
          <w:p w:rsidR="00241C22" w:rsidRPr="00D810B4" w:rsidRDefault="0079688C" w:rsidP="008F3130">
            <w:pPr>
              <w:pStyle w:val="in"/>
              <w:spacing w:before="100" w:beforeAutospacing="1" w:after="100" w:afterAutospacing="1" w:line="22" w:lineRule="atLeast"/>
              <w:ind w:left="0"/>
              <w:rPr>
                <w:rFonts w:ascii="Times New Roman" w:hAnsi="Times New Roman" w:cs="Times New Roman"/>
                <w:b/>
                <w:sz w:val="24"/>
                <w:szCs w:val="24"/>
              </w:rPr>
            </w:pPr>
            <w:r>
              <w:rPr>
                <w:rFonts w:ascii="Times New Roman" w:hAnsi="Times New Roman" w:cs="Times New Roman"/>
                <w:b/>
                <w:sz w:val="24"/>
                <w:szCs w:val="24"/>
              </w:rPr>
              <w:t>Measure</w:t>
            </w:r>
          </w:p>
        </w:tc>
        <w:tc>
          <w:tcPr>
            <w:tcW w:w="4968" w:type="dxa"/>
          </w:tcPr>
          <w:p w:rsidR="00241C22" w:rsidRPr="00D810B4" w:rsidRDefault="00D37C70" w:rsidP="008F3130">
            <w:pPr>
              <w:pStyle w:val="in"/>
              <w:spacing w:before="100" w:beforeAutospacing="1" w:after="100" w:afterAutospacing="1" w:line="22" w:lineRule="atLeast"/>
              <w:ind w:left="0"/>
              <w:rPr>
                <w:rFonts w:ascii="Times New Roman" w:hAnsi="Times New Roman" w:cs="Times New Roman"/>
                <w:b/>
                <w:sz w:val="24"/>
                <w:szCs w:val="24"/>
              </w:rPr>
            </w:pPr>
            <w:r>
              <w:rPr>
                <w:rFonts w:ascii="Times New Roman" w:hAnsi="Times New Roman" w:cs="Times New Roman"/>
                <w:b/>
                <w:sz w:val="24"/>
                <w:szCs w:val="24"/>
              </w:rPr>
              <w:t>Description</w:t>
            </w:r>
          </w:p>
        </w:tc>
      </w:tr>
      <w:tr w:rsidR="00162FF9" w:rsidRPr="00D810B4" w:rsidTr="00241C22">
        <w:tc>
          <w:tcPr>
            <w:tcW w:w="1548" w:type="dxa"/>
            <w:vMerge w:val="restart"/>
          </w:tcPr>
          <w:p w:rsidR="00162FF9" w:rsidRPr="00D810B4" w:rsidRDefault="00162FF9" w:rsidP="0079688C">
            <w:pPr>
              <w:pStyle w:val="in"/>
              <w:spacing w:before="100" w:beforeAutospacing="1" w:after="100" w:afterAutospacing="1" w:line="22" w:lineRule="atLeast"/>
              <w:ind w:left="0"/>
              <w:rPr>
                <w:rFonts w:ascii="Times New Roman" w:hAnsi="Times New Roman" w:cs="Times New Roman"/>
                <w:sz w:val="24"/>
                <w:szCs w:val="24"/>
              </w:rPr>
            </w:pPr>
            <w:r>
              <w:rPr>
                <w:rFonts w:ascii="Times New Roman" w:hAnsi="Times New Roman" w:cs="Times New Roman"/>
                <w:sz w:val="24"/>
                <w:szCs w:val="24"/>
              </w:rPr>
              <w:t>HVAC</w:t>
            </w:r>
          </w:p>
        </w:tc>
        <w:tc>
          <w:tcPr>
            <w:tcW w:w="3060" w:type="dxa"/>
          </w:tcPr>
          <w:p w:rsidR="00162FF9" w:rsidRPr="00D810B4" w:rsidRDefault="00162FF9" w:rsidP="008F3130">
            <w:pPr>
              <w:pStyle w:val="in"/>
              <w:spacing w:before="100" w:beforeAutospacing="1" w:after="100" w:afterAutospacing="1" w:line="22" w:lineRule="atLeast"/>
              <w:ind w:left="0"/>
              <w:rPr>
                <w:rFonts w:ascii="Times New Roman" w:hAnsi="Times New Roman" w:cs="Times New Roman"/>
                <w:sz w:val="24"/>
                <w:szCs w:val="24"/>
              </w:rPr>
            </w:pPr>
            <w:r>
              <w:rPr>
                <w:rFonts w:ascii="Times New Roman" w:hAnsi="Times New Roman" w:cs="Times New Roman"/>
                <w:sz w:val="24"/>
                <w:szCs w:val="24"/>
              </w:rPr>
              <w:t>Variable Refrigerant Flow (VRF) Heat Pump/AC</w:t>
            </w:r>
          </w:p>
        </w:tc>
        <w:tc>
          <w:tcPr>
            <w:tcW w:w="4968" w:type="dxa"/>
          </w:tcPr>
          <w:p w:rsidR="00162FF9" w:rsidRPr="00D810B4" w:rsidRDefault="00162FF9" w:rsidP="00D37C70">
            <w:pPr>
              <w:pStyle w:val="in"/>
              <w:spacing w:before="100" w:beforeAutospacing="1" w:after="100" w:afterAutospacing="1" w:line="22" w:lineRule="atLeast"/>
              <w:ind w:left="0"/>
              <w:rPr>
                <w:rFonts w:ascii="Times New Roman" w:hAnsi="Times New Roman" w:cs="Times New Roman"/>
                <w:sz w:val="24"/>
                <w:szCs w:val="24"/>
              </w:rPr>
            </w:pPr>
            <w:r>
              <w:rPr>
                <w:rFonts w:ascii="Times New Roman" w:hAnsi="Times New Roman" w:cs="Times New Roman"/>
                <w:sz w:val="24"/>
                <w:szCs w:val="24"/>
              </w:rPr>
              <w:t>Offer a prescriptive incentive for VRF systems, which are an increasingly requested HVAC option in small/medium commercial buildings.  Align eligibility requirements with CEE high-efficiency HVAC specification and calculate savings based on building type, climate and size of system.</w:t>
            </w:r>
          </w:p>
        </w:tc>
      </w:tr>
      <w:tr w:rsidR="00162FF9" w:rsidRPr="00D810B4" w:rsidTr="00241C22">
        <w:tc>
          <w:tcPr>
            <w:tcW w:w="1548" w:type="dxa"/>
            <w:vMerge/>
          </w:tcPr>
          <w:p w:rsidR="00162FF9" w:rsidRDefault="00162FF9" w:rsidP="0079688C">
            <w:pPr>
              <w:pStyle w:val="in"/>
              <w:spacing w:before="100" w:beforeAutospacing="1" w:after="100" w:afterAutospacing="1" w:line="22" w:lineRule="atLeast"/>
              <w:ind w:left="0"/>
              <w:rPr>
                <w:rFonts w:ascii="Times New Roman" w:hAnsi="Times New Roman" w:cs="Times New Roman"/>
                <w:sz w:val="24"/>
                <w:szCs w:val="24"/>
              </w:rPr>
            </w:pPr>
          </w:p>
        </w:tc>
        <w:tc>
          <w:tcPr>
            <w:tcW w:w="3060" w:type="dxa"/>
          </w:tcPr>
          <w:p w:rsidR="00162FF9" w:rsidRDefault="00162FF9" w:rsidP="008F3130">
            <w:pPr>
              <w:pStyle w:val="in"/>
              <w:spacing w:before="100" w:beforeAutospacing="1" w:after="100" w:afterAutospacing="1" w:line="22" w:lineRule="atLeast"/>
              <w:ind w:left="0"/>
              <w:rPr>
                <w:rFonts w:ascii="Times New Roman" w:hAnsi="Times New Roman" w:cs="Times New Roman"/>
                <w:sz w:val="24"/>
                <w:szCs w:val="24"/>
              </w:rPr>
            </w:pPr>
            <w:r>
              <w:rPr>
                <w:rFonts w:ascii="Times New Roman" w:hAnsi="Times New Roman" w:cs="Times New Roman"/>
                <w:sz w:val="24"/>
                <w:szCs w:val="24"/>
              </w:rPr>
              <w:t>Evaporative Pre-Cooling</w:t>
            </w:r>
          </w:p>
        </w:tc>
        <w:tc>
          <w:tcPr>
            <w:tcW w:w="4968" w:type="dxa"/>
          </w:tcPr>
          <w:p w:rsidR="00162FF9" w:rsidRDefault="00162FF9" w:rsidP="00D37C70">
            <w:pPr>
              <w:pStyle w:val="in"/>
              <w:spacing w:before="100" w:beforeAutospacing="1" w:after="100" w:afterAutospacing="1" w:line="22" w:lineRule="atLeast"/>
              <w:ind w:left="0"/>
              <w:rPr>
                <w:rFonts w:ascii="Times New Roman" w:hAnsi="Times New Roman" w:cs="Times New Roman"/>
                <w:sz w:val="24"/>
                <w:szCs w:val="24"/>
              </w:rPr>
            </w:pPr>
            <w:r>
              <w:rPr>
                <w:rFonts w:ascii="Times New Roman" w:hAnsi="Times New Roman" w:cs="Times New Roman"/>
                <w:sz w:val="24"/>
                <w:szCs w:val="24"/>
              </w:rPr>
              <w:t>Offer a prescriptive incentive (based on air conditioning equipment size) for equipment that pre-cools air before it reaches the air conditioner condenser coil.</w:t>
            </w:r>
          </w:p>
        </w:tc>
      </w:tr>
      <w:tr w:rsidR="00D37C70" w:rsidRPr="00D810B4" w:rsidTr="00241C22">
        <w:tc>
          <w:tcPr>
            <w:tcW w:w="1548" w:type="dxa"/>
          </w:tcPr>
          <w:p w:rsidR="00D37C70" w:rsidRDefault="008C6012" w:rsidP="0079688C">
            <w:pPr>
              <w:pStyle w:val="in"/>
              <w:spacing w:before="100" w:beforeAutospacing="1" w:after="100" w:afterAutospacing="1" w:line="22" w:lineRule="atLeast"/>
              <w:ind w:left="0"/>
              <w:rPr>
                <w:rFonts w:ascii="Times New Roman" w:hAnsi="Times New Roman" w:cs="Times New Roman"/>
                <w:sz w:val="24"/>
                <w:szCs w:val="24"/>
              </w:rPr>
            </w:pPr>
            <w:r>
              <w:rPr>
                <w:rFonts w:ascii="Times New Roman" w:hAnsi="Times New Roman" w:cs="Times New Roman"/>
                <w:sz w:val="24"/>
                <w:szCs w:val="24"/>
              </w:rPr>
              <w:t>Food Service (</w:t>
            </w:r>
            <w:r w:rsidR="00D37C70">
              <w:rPr>
                <w:rFonts w:ascii="Times New Roman" w:hAnsi="Times New Roman" w:cs="Times New Roman"/>
                <w:sz w:val="24"/>
                <w:szCs w:val="24"/>
              </w:rPr>
              <w:t>Refrigeration</w:t>
            </w:r>
            <w:r>
              <w:rPr>
                <w:rFonts w:ascii="Times New Roman" w:hAnsi="Times New Roman" w:cs="Times New Roman"/>
                <w:sz w:val="24"/>
                <w:szCs w:val="24"/>
              </w:rPr>
              <w:t>)</w:t>
            </w:r>
          </w:p>
        </w:tc>
        <w:tc>
          <w:tcPr>
            <w:tcW w:w="3060" w:type="dxa"/>
          </w:tcPr>
          <w:p w:rsidR="00D37C70" w:rsidRDefault="00D37C70" w:rsidP="008F3130">
            <w:pPr>
              <w:pStyle w:val="in"/>
              <w:spacing w:before="100" w:beforeAutospacing="1" w:after="100" w:afterAutospacing="1" w:line="22" w:lineRule="atLeast"/>
              <w:ind w:left="0"/>
              <w:rPr>
                <w:rFonts w:ascii="Times New Roman" w:hAnsi="Times New Roman" w:cs="Times New Roman"/>
                <w:sz w:val="24"/>
                <w:szCs w:val="24"/>
              </w:rPr>
            </w:pPr>
            <w:r>
              <w:rPr>
                <w:rFonts w:ascii="Times New Roman" w:hAnsi="Times New Roman" w:cs="Times New Roman"/>
                <w:sz w:val="24"/>
                <w:szCs w:val="24"/>
              </w:rPr>
              <w:t>Anti-Sweat Heater Controls</w:t>
            </w:r>
          </w:p>
        </w:tc>
        <w:tc>
          <w:tcPr>
            <w:tcW w:w="4968" w:type="dxa"/>
          </w:tcPr>
          <w:p w:rsidR="00D37C70" w:rsidRDefault="00D37C70" w:rsidP="00D37C70">
            <w:pPr>
              <w:pStyle w:val="in"/>
              <w:spacing w:before="100" w:beforeAutospacing="1" w:after="100" w:afterAutospacing="1" w:line="22" w:lineRule="atLeast"/>
              <w:ind w:left="0"/>
              <w:rPr>
                <w:rFonts w:ascii="Times New Roman" w:hAnsi="Times New Roman" w:cs="Times New Roman"/>
                <w:sz w:val="24"/>
                <w:szCs w:val="24"/>
              </w:rPr>
            </w:pPr>
            <w:r>
              <w:rPr>
                <w:rFonts w:ascii="Times New Roman" w:hAnsi="Times New Roman" w:cs="Times New Roman"/>
                <w:sz w:val="24"/>
                <w:szCs w:val="24"/>
              </w:rPr>
              <w:t>Offer prescriptive incentives</w:t>
            </w:r>
            <w:r w:rsidR="00A5337A">
              <w:rPr>
                <w:rFonts w:ascii="Times New Roman" w:hAnsi="Times New Roman" w:cs="Times New Roman"/>
                <w:sz w:val="24"/>
                <w:szCs w:val="24"/>
              </w:rPr>
              <w:t xml:space="preserve"> (per linear foot of refrigerated case) for anti-sweat heater controls </w:t>
            </w:r>
            <w:r>
              <w:rPr>
                <w:rFonts w:ascii="Times New Roman" w:hAnsi="Times New Roman" w:cs="Times New Roman"/>
                <w:sz w:val="24"/>
                <w:szCs w:val="24"/>
              </w:rPr>
              <w:t>installed in retrofit applications.</w:t>
            </w:r>
            <w:r w:rsidR="003176E5">
              <w:rPr>
                <w:rFonts w:ascii="Times New Roman" w:hAnsi="Times New Roman" w:cs="Times New Roman"/>
                <w:sz w:val="24"/>
                <w:szCs w:val="24"/>
              </w:rPr>
              <w:t xml:space="preserve">  Align deemed </w:t>
            </w:r>
            <w:r w:rsidR="003176E5">
              <w:rPr>
                <w:rFonts w:ascii="Times New Roman" w:hAnsi="Times New Roman" w:cs="Times New Roman"/>
                <w:sz w:val="24"/>
                <w:szCs w:val="24"/>
              </w:rPr>
              <w:lastRenderedPageBreak/>
              <w:t>savings/costs with recently approved RTF UES data.</w:t>
            </w:r>
          </w:p>
        </w:tc>
      </w:tr>
      <w:tr w:rsidR="00022F86" w:rsidRPr="00D810B4" w:rsidTr="00241C22">
        <w:tc>
          <w:tcPr>
            <w:tcW w:w="1548" w:type="dxa"/>
            <w:vMerge w:val="restart"/>
          </w:tcPr>
          <w:p w:rsidR="00022F86" w:rsidRDefault="00022F86" w:rsidP="0079688C">
            <w:pPr>
              <w:pStyle w:val="in"/>
              <w:spacing w:before="100" w:beforeAutospacing="1" w:after="100" w:afterAutospacing="1" w:line="22" w:lineRule="atLeast"/>
              <w:ind w:left="0"/>
              <w:rPr>
                <w:rFonts w:ascii="Times New Roman" w:hAnsi="Times New Roman" w:cs="Times New Roman"/>
                <w:sz w:val="24"/>
                <w:szCs w:val="24"/>
              </w:rPr>
            </w:pPr>
            <w:r>
              <w:rPr>
                <w:rFonts w:ascii="Times New Roman" w:hAnsi="Times New Roman" w:cs="Times New Roman"/>
                <w:sz w:val="24"/>
                <w:szCs w:val="24"/>
              </w:rPr>
              <w:lastRenderedPageBreak/>
              <w:t>Food Service</w:t>
            </w:r>
          </w:p>
        </w:tc>
        <w:tc>
          <w:tcPr>
            <w:tcW w:w="3060" w:type="dxa"/>
          </w:tcPr>
          <w:p w:rsidR="00022F86" w:rsidRDefault="00022F86" w:rsidP="008F3130">
            <w:pPr>
              <w:pStyle w:val="in"/>
              <w:spacing w:before="100" w:beforeAutospacing="1" w:after="100" w:afterAutospacing="1" w:line="22" w:lineRule="atLeast"/>
              <w:ind w:left="0"/>
              <w:rPr>
                <w:rFonts w:ascii="Times New Roman" w:hAnsi="Times New Roman" w:cs="Times New Roman"/>
                <w:sz w:val="24"/>
                <w:szCs w:val="24"/>
              </w:rPr>
            </w:pPr>
            <w:r>
              <w:rPr>
                <w:rFonts w:ascii="Times New Roman" w:hAnsi="Times New Roman" w:cs="Times New Roman"/>
                <w:sz w:val="24"/>
                <w:szCs w:val="24"/>
              </w:rPr>
              <w:t>Demand-Controlled Kitchen Ventilation</w:t>
            </w:r>
          </w:p>
        </w:tc>
        <w:tc>
          <w:tcPr>
            <w:tcW w:w="4968" w:type="dxa"/>
          </w:tcPr>
          <w:p w:rsidR="00022F86" w:rsidRDefault="00022F86" w:rsidP="00ED0DF2">
            <w:pPr>
              <w:pStyle w:val="in"/>
              <w:spacing w:before="100" w:beforeAutospacing="1" w:after="100" w:afterAutospacing="1" w:line="22" w:lineRule="atLeast"/>
              <w:ind w:left="0"/>
              <w:rPr>
                <w:rFonts w:ascii="Times New Roman" w:hAnsi="Times New Roman" w:cs="Times New Roman"/>
                <w:sz w:val="24"/>
                <w:szCs w:val="24"/>
              </w:rPr>
            </w:pPr>
            <w:r>
              <w:rPr>
                <w:rFonts w:ascii="Times New Roman" w:hAnsi="Times New Roman" w:cs="Times New Roman"/>
                <w:sz w:val="24"/>
                <w:szCs w:val="24"/>
              </w:rPr>
              <w:t>A simplified calculator tool should be utilized to estimate savings based on kitchen operating hours, climate, and HVAC system efficiency.  Incentives offered on a $/kWh saved basis.</w:t>
            </w:r>
          </w:p>
        </w:tc>
      </w:tr>
      <w:tr w:rsidR="00022F86" w:rsidRPr="00D810B4" w:rsidTr="00241C22">
        <w:tc>
          <w:tcPr>
            <w:tcW w:w="1548" w:type="dxa"/>
            <w:vMerge/>
          </w:tcPr>
          <w:p w:rsidR="00022F86" w:rsidRDefault="00022F86" w:rsidP="0079688C">
            <w:pPr>
              <w:pStyle w:val="in"/>
              <w:spacing w:before="100" w:beforeAutospacing="1" w:after="100" w:afterAutospacing="1" w:line="22" w:lineRule="atLeast"/>
              <w:ind w:left="0"/>
              <w:rPr>
                <w:rFonts w:ascii="Times New Roman" w:hAnsi="Times New Roman" w:cs="Times New Roman"/>
                <w:sz w:val="24"/>
                <w:szCs w:val="24"/>
              </w:rPr>
            </w:pPr>
          </w:p>
        </w:tc>
        <w:tc>
          <w:tcPr>
            <w:tcW w:w="3060" w:type="dxa"/>
          </w:tcPr>
          <w:p w:rsidR="00022F86" w:rsidRDefault="00022F86" w:rsidP="008F3130">
            <w:pPr>
              <w:pStyle w:val="in"/>
              <w:spacing w:before="100" w:beforeAutospacing="1" w:after="100" w:afterAutospacing="1" w:line="22" w:lineRule="atLeast"/>
              <w:ind w:left="0"/>
              <w:rPr>
                <w:rFonts w:ascii="Times New Roman" w:hAnsi="Times New Roman" w:cs="Times New Roman"/>
                <w:sz w:val="24"/>
                <w:szCs w:val="24"/>
              </w:rPr>
            </w:pPr>
            <w:r>
              <w:rPr>
                <w:rFonts w:ascii="Times New Roman" w:hAnsi="Times New Roman" w:cs="Times New Roman"/>
                <w:sz w:val="24"/>
                <w:szCs w:val="24"/>
              </w:rPr>
              <w:t>Residential Refrigerator/ Freezer Recycling</w:t>
            </w:r>
          </w:p>
        </w:tc>
        <w:tc>
          <w:tcPr>
            <w:tcW w:w="4968" w:type="dxa"/>
          </w:tcPr>
          <w:p w:rsidR="00022F86" w:rsidRDefault="00022F86" w:rsidP="00022F86">
            <w:pPr>
              <w:pStyle w:val="in"/>
              <w:spacing w:before="100" w:beforeAutospacing="1" w:after="100" w:afterAutospacing="1" w:line="22" w:lineRule="atLeast"/>
              <w:ind w:left="0"/>
              <w:rPr>
                <w:rFonts w:ascii="Times New Roman" w:hAnsi="Times New Roman" w:cs="Times New Roman"/>
                <w:sz w:val="24"/>
                <w:szCs w:val="24"/>
              </w:rPr>
            </w:pPr>
            <w:r>
              <w:rPr>
                <w:rFonts w:ascii="Times New Roman" w:hAnsi="Times New Roman" w:cs="Times New Roman"/>
                <w:sz w:val="24"/>
                <w:szCs w:val="24"/>
              </w:rPr>
              <w:t>Allow non-residential customers to participate in the residential refrigerator and freezer recycling program for qualifying residential refrigerators and freezers used in a business.</w:t>
            </w:r>
          </w:p>
        </w:tc>
      </w:tr>
    </w:tbl>
    <w:p w:rsidR="00442E75" w:rsidRDefault="00990D1A" w:rsidP="003452DC">
      <w:pPr>
        <w:autoSpaceDE w:val="0"/>
        <w:autoSpaceDN w:val="0"/>
        <w:spacing w:before="100" w:beforeAutospacing="1" w:after="100" w:afterAutospacing="1" w:line="22" w:lineRule="atLeast"/>
        <w:jc w:val="both"/>
        <w:outlineLvl w:val="0"/>
      </w:pPr>
      <w:r>
        <w:t xml:space="preserve"> </w:t>
      </w:r>
    </w:p>
    <w:p w:rsidR="005A5B56" w:rsidRPr="00146E37" w:rsidRDefault="005A5B56" w:rsidP="003452DC">
      <w:pPr>
        <w:autoSpaceDE w:val="0"/>
        <w:autoSpaceDN w:val="0"/>
        <w:spacing w:before="100" w:beforeAutospacing="1" w:after="100" w:afterAutospacing="1" w:line="22" w:lineRule="atLeast"/>
        <w:jc w:val="both"/>
        <w:outlineLvl w:val="0"/>
        <w:rPr>
          <w:b/>
          <w:u w:val="single"/>
        </w:rPr>
      </w:pPr>
    </w:p>
    <w:p w:rsidR="005A5B56" w:rsidRPr="00146E37" w:rsidRDefault="005A5B56" w:rsidP="005A5B56">
      <w:pPr>
        <w:autoSpaceDE w:val="0"/>
        <w:autoSpaceDN w:val="0"/>
        <w:spacing w:line="22" w:lineRule="atLeast"/>
        <w:jc w:val="center"/>
        <w:rPr>
          <w:b/>
        </w:rPr>
      </w:pPr>
      <w:r w:rsidRPr="00146E37">
        <w:rPr>
          <w:b/>
        </w:rPr>
        <w:t>Table 5</w:t>
      </w:r>
    </w:p>
    <w:p w:rsidR="005A5B56" w:rsidRPr="00146E37" w:rsidRDefault="005A5B56" w:rsidP="005A5B56">
      <w:pPr>
        <w:autoSpaceDE w:val="0"/>
        <w:autoSpaceDN w:val="0"/>
        <w:spacing w:line="22" w:lineRule="atLeast"/>
        <w:jc w:val="center"/>
        <w:rPr>
          <w:b/>
          <w:u w:val="single"/>
        </w:rPr>
      </w:pPr>
      <w:r w:rsidRPr="00146E37">
        <w:rPr>
          <w:b/>
        </w:rPr>
        <w:t>Modifications for Irrigation Incentives for Wheel Lines, Hand Line, or Other Portable Systems, and Pivot and Linear Systems.</w:t>
      </w:r>
    </w:p>
    <w:p w:rsidR="005A5B56" w:rsidRPr="00146E37" w:rsidRDefault="00611618" w:rsidP="00611618">
      <w:pPr>
        <w:spacing w:line="22" w:lineRule="atLeast"/>
        <w:jc w:val="both"/>
      </w:pPr>
      <w:r w:rsidRPr="00146E37">
        <w:t xml:space="preserve"> </w:t>
      </w:r>
    </w:p>
    <w:tbl>
      <w:tblPr>
        <w:tblStyle w:val="TableGrid1"/>
        <w:tblW w:w="9558" w:type="dxa"/>
        <w:tblLayout w:type="fixed"/>
        <w:tblLook w:val="04A0" w:firstRow="1" w:lastRow="0" w:firstColumn="1" w:lastColumn="0" w:noHBand="0" w:noVBand="1"/>
      </w:tblPr>
      <w:tblGrid>
        <w:gridCol w:w="2178"/>
        <w:gridCol w:w="2520"/>
        <w:gridCol w:w="4860"/>
      </w:tblGrid>
      <w:tr w:rsidR="005A5B56" w:rsidRPr="005A5B56" w:rsidTr="0029087F">
        <w:trPr>
          <w:tblHeader/>
        </w:trPr>
        <w:tc>
          <w:tcPr>
            <w:tcW w:w="2178" w:type="dxa"/>
          </w:tcPr>
          <w:p w:rsidR="005A5B56" w:rsidRPr="00146E37" w:rsidRDefault="005A5B56" w:rsidP="005A5B56">
            <w:pPr>
              <w:tabs>
                <w:tab w:val="left" w:pos="-1080"/>
              </w:tabs>
              <w:rPr>
                <w:b/>
              </w:rPr>
            </w:pPr>
            <w:r w:rsidRPr="00146E37">
              <w:rPr>
                <w:b/>
              </w:rPr>
              <w:t>Measure Category</w:t>
            </w:r>
          </w:p>
        </w:tc>
        <w:tc>
          <w:tcPr>
            <w:tcW w:w="2520" w:type="dxa"/>
          </w:tcPr>
          <w:p w:rsidR="005A5B56" w:rsidRPr="00146E37" w:rsidRDefault="005A5B56" w:rsidP="005A5B56">
            <w:pPr>
              <w:tabs>
                <w:tab w:val="left" w:pos="-1080"/>
              </w:tabs>
              <w:rPr>
                <w:b/>
              </w:rPr>
            </w:pPr>
            <w:r w:rsidRPr="00146E37">
              <w:rPr>
                <w:b/>
              </w:rPr>
              <w:t>Description of Change</w:t>
            </w:r>
          </w:p>
        </w:tc>
        <w:tc>
          <w:tcPr>
            <w:tcW w:w="4860" w:type="dxa"/>
          </w:tcPr>
          <w:p w:rsidR="005A5B56" w:rsidRPr="005A5B56" w:rsidRDefault="005A5B56" w:rsidP="005A5B56">
            <w:pPr>
              <w:tabs>
                <w:tab w:val="left" w:pos="-1080"/>
              </w:tabs>
              <w:rPr>
                <w:b/>
              </w:rPr>
            </w:pPr>
            <w:r w:rsidRPr="00146E37">
              <w:rPr>
                <w:b/>
              </w:rPr>
              <w:t>Reason for Change</w:t>
            </w:r>
          </w:p>
        </w:tc>
      </w:tr>
      <w:tr w:rsidR="005A5B56" w:rsidRPr="005A5B56" w:rsidTr="0029087F">
        <w:tc>
          <w:tcPr>
            <w:tcW w:w="2178" w:type="dxa"/>
            <w:vMerge w:val="restart"/>
          </w:tcPr>
          <w:p w:rsidR="005A5B56" w:rsidRPr="005A5B56" w:rsidRDefault="005A5B56" w:rsidP="005A5B56">
            <w:pPr>
              <w:tabs>
                <w:tab w:val="left" w:pos="-1080"/>
              </w:tabs>
            </w:pPr>
            <w:r w:rsidRPr="005A5B56">
              <w:t>Irrigation</w:t>
            </w:r>
          </w:p>
          <w:p w:rsidR="005A5B56" w:rsidRPr="005A5B56" w:rsidRDefault="005A5B56" w:rsidP="005A5B56">
            <w:pPr>
              <w:tabs>
                <w:tab w:val="left" w:pos="-1080"/>
              </w:tabs>
              <w:rPr>
                <w:i/>
              </w:rPr>
            </w:pPr>
          </w:p>
        </w:tc>
        <w:tc>
          <w:tcPr>
            <w:tcW w:w="2520" w:type="dxa"/>
          </w:tcPr>
          <w:p w:rsidR="005A5B56" w:rsidRPr="005A5B56" w:rsidRDefault="005A5B56" w:rsidP="005A5B56">
            <w:pPr>
              <w:spacing w:after="120"/>
            </w:pPr>
            <w:r w:rsidRPr="005A5B56">
              <w:t xml:space="preserve">Revise Unit Energy Savings </w:t>
            </w:r>
            <w:r w:rsidR="00892CEB">
              <w:t xml:space="preserve">(UES) </w:t>
            </w:r>
            <w:r w:rsidRPr="005A5B56">
              <w:t xml:space="preserve">for each measure based on April 2013 RTF values for leakage or avoided excess irrigation together with average values for pumping lift, discharge pressure, and annual runtime specific to areas served by Pacific Power in Washington.  </w:t>
            </w:r>
            <w:r w:rsidR="00892CEB">
              <w:t xml:space="preserve"> </w:t>
            </w:r>
          </w:p>
          <w:p w:rsidR="005A5B56" w:rsidRPr="005A5B56" w:rsidRDefault="005A5B56" w:rsidP="005A5B56">
            <w:pPr>
              <w:spacing w:after="120"/>
            </w:pPr>
          </w:p>
          <w:p w:rsidR="005A5B56" w:rsidRPr="005A5B56" w:rsidRDefault="005A5B56" w:rsidP="005A5B56">
            <w:pPr>
              <w:spacing w:after="120"/>
            </w:pPr>
          </w:p>
          <w:p w:rsidR="005A5B56" w:rsidRPr="005A5B56" w:rsidRDefault="005A5B56" w:rsidP="005A5B56">
            <w:pPr>
              <w:tabs>
                <w:tab w:val="left" w:pos="-1080"/>
              </w:tabs>
              <w:rPr>
                <w:i/>
              </w:rPr>
            </w:pPr>
          </w:p>
        </w:tc>
        <w:tc>
          <w:tcPr>
            <w:tcW w:w="4860" w:type="dxa"/>
          </w:tcPr>
          <w:p w:rsidR="005A5B56" w:rsidRPr="005A5B56" w:rsidRDefault="005A5B56" w:rsidP="00892CEB">
            <w:pPr>
              <w:spacing w:after="120"/>
            </w:pPr>
            <w:r w:rsidRPr="005A5B56">
              <w:t xml:space="preserve">The Regional Technical Forum updated its estimates of flow reduction for each irrigation measure in April 2013, </w:t>
            </w:r>
            <w:r w:rsidR="00892CEB">
              <w:t xml:space="preserve">utilizing </w:t>
            </w:r>
            <w:r w:rsidRPr="005A5B56">
              <w:t xml:space="preserve">the results of a study by Dr. Howard Neibling of the University of Idaho (Evaluation of Sprinkler Irrigation System Components in Southern Idaho, March 5, 2013).  These flow reduction values inform </w:t>
            </w:r>
            <w:r w:rsidR="00892CEB">
              <w:t xml:space="preserve">updated UES  </w:t>
            </w:r>
            <w:r w:rsidRPr="005A5B56">
              <w:t xml:space="preserve"> for each of the five regions addressed by the RTF – Eastern &amp; Southern Idaho, Western Idaho, Western Washington and Oregon, Eastern Washington and Oregon, and Montana.  Average values for pumping lift, pump discharge pressure, and annual runtime for each of these areas is applied to the flow reduction to derive energy savings.  The same process is used to derive energy savings for the areas served by PacifiCorp, using values specific to those areas.  </w:t>
            </w:r>
          </w:p>
        </w:tc>
      </w:tr>
      <w:tr w:rsidR="005A5B56" w:rsidRPr="005A5B56" w:rsidTr="0029087F">
        <w:tc>
          <w:tcPr>
            <w:tcW w:w="2178" w:type="dxa"/>
            <w:vMerge/>
          </w:tcPr>
          <w:p w:rsidR="005A5B56" w:rsidRPr="005A5B56" w:rsidRDefault="005A5B56" w:rsidP="005A5B56">
            <w:pPr>
              <w:tabs>
                <w:tab w:val="left" w:pos="-1080"/>
              </w:tabs>
            </w:pPr>
          </w:p>
        </w:tc>
        <w:tc>
          <w:tcPr>
            <w:tcW w:w="2520" w:type="dxa"/>
          </w:tcPr>
          <w:p w:rsidR="005A5B56" w:rsidRPr="005A5B56" w:rsidRDefault="005A5B56" w:rsidP="005A5B56">
            <w:pPr>
              <w:spacing w:after="120"/>
            </w:pPr>
            <w:r w:rsidRPr="005A5B56">
              <w:t>Revise savings for nozzle measure from 28.0 kWh per nozzle to 26.0 kWh per nozzle.  Revise incentive from $0.25 to $0.50 per nozzle.</w:t>
            </w:r>
          </w:p>
        </w:tc>
        <w:tc>
          <w:tcPr>
            <w:tcW w:w="4860" w:type="dxa"/>
          </w:tcPr>
          <w:p w:rsidR="005A5B56" w:rsidRPr="005A5B56" w:rsidRDefault="005A5B56" w:rsidP="004850E0">
            <w:pPr>
              <w:spacing w:after="120"/>
              <w:rPr>
                <w:szCs w:val="22"/>
              </w:rPr>
            </w:pPr>
            <w:r w:rsidRPr="005A5B56">
              <w:rPr>
                <w:szCs w:val="22"/>
              </w:rPr>
              <w:t xml:space="preserve">Leakage </w:t>
            </w:r>
            <w:r w:rsidR="00892CEB">
              <w:rPr>
                <w:szCs w:val="22"/>
              </w:rPr>
              <w:t xml:space="preserve">identified in </w:t>
            </w:r>
            <w:r w:rsidRPr="005A5B56">
              <w:rPr>
                <w:szCs w:val="22"/>
              </w:rPr>
              <w:t xml:space="preserve">Neibling study slightly less than previously adopted PacifiCorp value.  </w:t>
            </w:r>
            <w:r w:rsidR="00892CEB">
              <w:rPr>
                <w:szCs w:val="22"/>
              </w:rPr>
              <w:t xml:space="preserve">Adjust incentive to cover higher percentage of </w:t>
            </w:r>
            <w:r w:rsidR="00E56D78">
              <w:rPr>
                <w:szCs w:val="22"/>
              </w:rPr>
              <w:t xml:space="preserve">estimated current </w:t>
            </w:r>
            <w:r w:rsidR="00892CEB">
              <w:rPr>
                <w:szCs w:val="22"/>
              </w:rPr>
              <w:t>customer costs</w:t>
            </w:r>
            <w:r w:rsidR="00E56D78">
              <w:rPr>
                <w:szCs w:val="22"/>
              </w:rPr>
              <w:t xml:space="preserve"> to i</w:t>
            </w:r>
            <w:r w:rsidRPr="005A5B56">
              <w:rPr>
                <w:szCs w:val="22"/>
              </w:rPr>
              <w:t xml:space="preserve">ncrease participation.  All nozzles on wheel line or hand line </w:t>
            </w:r>
            <w:r w:rsidR="00E56D78">
              <w:rPr>
                <w:szCs w:val="22"/>
              </w:rPr>
              <w:t xml:space="preserve">must be </w:t>
            </w:r>
            <w:r w:rsidRPr="005A5B56">
              <w:rPr>
                <w:szCs w:val="22"/>
              </w:rPr>
              <w:t xml:space="preserve">replaced </w:t>
            </w:r>
            <w:r w:rsidR="00E56D78">
              <w:rPr>
                <w:szCs w:val="22"/>
              </w:rPr>
              <w:t xml:space="preserve">to help maintain system application </w:t>
            </w:r>
            <w:r w:rsidRPr="005A5B56">
              <w:rPr>
                <w:szCs w:val="22"/>
              </w:rPr>
              <w:t xml:space="preserve">uniformity </w:t>
            </w:r>
            <w:r w:rsidR="00E56D78">
              <w:rPr>
                <w:szCs w:val="22"/>
              </w:rPr>
              <w:t xml:space="preserve">and to facilitate program quality assurance activities. </w:t>
            </w:r>
            <w:r w:rsidR="004850E0">
              <w:rPr>
                <w:szCs w:val="22"/>
              </w:rPr>
              <w:t xml:space="preserve"> </w:t>
            </w:r>
          </w:p>
        </w:tc>
      </w:tr>
      <w:tr w:rsidR="005A5B56" w:rsidRPr="005A5B56" w:rsidTr="0029087F">
        <w:tc>
          <w:tcPr>
            <w:tcW w:w="2178" w:type="dxa"/>
            <w:vMerge/>
          </w:tcPr>
          <w:p w:rsidR="005A5B56" w:rsidRPr="005A5B56" w:rsidRDefault="005A5B56" w:rsidP="005A5B56">
            <w:pPr>
              <w:tabs>
                <w:tab w:val="left" w:pos="-1080"/>
              </w:tabs>
            </w:pPr>
          </w:p>
        </w:tc>
        <w:tc>
          <w:tcPr>
            <w:tcW w:w="2520" w:type="dxa"/>
          </w:tcPr>
          <w:p w:rsidR="005A5B56" w:rsidRPr="005A5B56" w:rsidRDefault="005A5B56" w:rsidP="005A5B56">
            <w:r w:rsidRPr="005A5B56">
              <w:t xml:space="preserve">Revise savings for flow </w:t>
            </w:r>
            <w:r w:rsidRPr="005A5B56">
              <w:lastRenderedPageBreak/>
              <w:t>control nozzle measure from 28.0 kWh per nozzle to 26.0 kWh per nozzle.  Revise incentive from $1.50 to $2.75 per nozzle.</w:t>
            </w:r>
          </w:p>
        </w:tc>
        <w:tc>
          <w:tcPr>
            <w:tcW w:w="4860" w:type="dxa"/>
          </w:tcPr>
          <w:p w:rsidR="005A5B56" w:rsidRPr="005A5B56" w:rsidRDefault="00E56D78" w:rsidP="00415807">
            <w:r w:rsidRPr="005A5B56">
              <w:rPr>
                <w:szCs w:val="22"/>
              </w:rPr>
              <w:lastRenderedPageBreak/>
              <w:t xml:space="preserve">Leakage </w:t>
            </w:r>
            <w:r>
              <w:rPr>
                <w:szCs w:val="22"/>
              </w:rPr>
              <w:t xml:space="preserve">identified in </w:t>
            </w:r>
            <w:r w:rsidRPr="005A5B56">
              <w:rPr>
                <w:szCs w:val="22"/>
              </w:rPr>
              <w:t xml:space="preserve">Neibling study slightly </w:t>
            </w:r>
            <w:r w:rsidRPr="005A5B56">
              <w:rPr>
                <w:szCs w:val="22"/>
              </w:rPr>
              <w:lastRenderedPageBreak/>
              <w:t xml:space="preserve">less than previously adopted PacifiCorp value.  </w:t>
            </w:r>
            <w:r>
              <w:rPr>
                <w:szCs w:val="22"/>
              </w:rPr>
              <w:t>Adjust incentive to cover higher percentage of estimated current customer costs to i</w:t>
            </w:r>
            <w:r w:rsidRPr="005A5B56">
              <w:rPr>
                <w:szCs w:val="22"/>
              </w:rPr>
              <w:t xml:space="preserve">ncrease participation.  All nozzles on wheel line or hand line </w:t>
            </w:r>
            <w:r>
              <w:rPr>
                <w:szCs w:val="22"/>
              </w:rPr>
              <w:t xml:space="preserve">must be </w:t>
            </w:r>
            <w:r w:rsidRPr="005A5B56">
              <w:rPr>
                <w:szCs w:val="22"/>
              </w:rPr>
              <w:t xml:space="preserve">replaced </w:t>
            </w:r>
            <w:r>
              <w:rPr>
                <w:szCs w:val="22"/>
              </w:rPr>
              <w:t xml:space="preserve">to help maintain system application </w:t>
            </w:r>
            <w:r w:rsidRPr="005A5B56">
              <w:rPr>
                <w:szCs w:val="22"/>
              </w:rPr>
              <w:t xml:space="preserve">uniformity </w:t>
            </w:r>
            <w:r>
              <w:rPr>
                <w:szCs w:val="22"/>
              </w:rPr>
              <w:t xml:space="preserve">and to facilitate program quality assurance activities. </w:t>
            </w:r>
          </w:p>
        </w:tc>
      </w:tr>
      <w:tr w:rsidR="005A5B56" w:rsidRPr="005A5B56" w:rsidTr="0029087F">
        <w:tc>
          <w:tcPr>
            <w:tcW w:w="2178" w:type="dxa"/>
            <w:vMerge/>
          </w:tcPr>
          <w:p w:rsidR="005A5B56" w:rsidRPr="005A5B56" w:rsidRDefault="005A5B56" w:rsidP="005A5B56">
            <w:pPr>
              <w:tabs>
                <w:tab w:val="left" w:pos="-1080"/>
              </w:tabs>
            </w:pPr>
          </w:p>
        </w:tc>
        <w:tc>
          <w:tcPr>
            <w:tcW w:w="2520" w:type="dxa"/>
          </w:tcPr>
          <w:p w:rsidR="005A5B56" w:rsidRPr="005A5B56" w:rsidRDefault="005A5B56" w:rsidP="005A5B56">
            <w:r w:rsidRPr="005A5B56">
              <w:t>Revise savings for impact sprinkler measure from 45.0 kWh per sprinkler to 34.9 kWh per sprinkler.  Revise incentive from $3.00 to $2.25 per sprinkler.</w:t>
            </w:r>
          </w:p>
        </w:tc>
        <w:tc>
          <w:tcPr>
            <w:tcW w:w="4860" w:type="dxa"/>
          </w:tcPr>
          <w:p w:rsidR="005A5B56" w:rsidRPr="005A5B56" w:rsidRDefault="005A5B56" w:rsidP="005A5B56">
            <w:r w:rsidRPr="005A5B56">
              <w:t>Over</w:t>
            </w:r>
            <w:r w:rsidR="00E56D78">
              <w:t xml:space="preserve"> </w:t>
            </w:r>
            <w:r w:rsidRPr="005A5B56">
              <w:t xml:space="preserve">irrigation due to lack of uniformity </w:t>
            </w:r>
            <w:r w:rsidR="00E56D78">
              <w:t xml:space="preserve">identified </w:t>
            </w:r>
            <w:r w:rsidRPr="005A5B56">
              <w:t xml:space="preserve">by the Neibling study slightly less than previously adopted PacifiCorp value.  </w:t>
            </w:r>
            <w:r w:rsidR="00E56D78">
              <w:t xml:space="preserve">Adjust available incentive for best alignment with current estimate of customer costs and available savings. </w:t>
            </w:r>
          </w:p>
          <w:p w:rsidR="005A5B56" w:rsidRPr="005A5B56" w:rsidRDefault="005A5B56" w:rsidP="005A5B56"/>
          <w:p w:rsidR="005A5B56" w:rsidRPr="005A5B56" w:rsidRDefault="005A5B56" w:rsidP="005A5B56">
            <w:pPr>
              <w:tabs>
                <w:tab w:val="left" w:pos="1185"/>
              </w:tabs>
            </w:pPr>
            <w:r w:rsidRPr="005A5B56">
              <w:tab/>
            </w:r>
          </w:p>
        </w:tc>
      </w:tr>
      <w:tr w:rsidR="005A5B56" w:rsidRPr="005A5B56" w:rsidTr="0029087F">
        <w:tc>
          <w:tcPr>
            <w:tcW w:w="2178" w:type="dxa"/>
            <w:vMerge/>
          </w:tcPr>
          <w:p w:rsidR="005A5B56" w:rsidRPr="005A5B56" w:rsidRDefault="005A5B56" w:rsidP="005A5B56">
            <w:pPr>
              <w:tabs>
                <w:tab w:val="left" w:pos="-1080"/>
              </w:tabs>
            </w:pPr>
          </w:p>
        </w:tc>
        <w:tc>
          <w:tcPr>
            <w:tcW w:w="2520" w:type="dxa"/>
          </w:tcPr>
          <w:p w:rsidR="005A5B56" w:rsidRPr="005A5B56" w:rsidRDefault="005A5B56" w:rsidP="005A5B56">
            <w:r w:rsidRPr="005A5B56">
              <w:t>Redefine the measure addressing rotating, spray-type, or low pressure sprinklers.  For wheel lines or hand</w:t>
            </w:r>
            <w:r w:rsidR="00E56D78">
              <w:t xml:space="preserve"> </w:t>
            </w:r>
            <w:r w:rsidRPr="005A5B56">
              <w:t>lines, define a rotating sprinkler measure using the same UES and incentive as the impact sprinkler measure.  For pivot and linear applications, define a measure combination with sprinkler, regulator, and nozzle.  The sprinkler may be any type of low pressure sprinkler.  UES and incentive for the combination are 115.6 kWh/yr and $7.50.</w:t>
            </w:r>
          </w:p>
        </w:tc>
        <w:tc>
          <w:tcPr>
            <w:tcW w:w="4860" w:type="dxa"/>
          </w:tcPr>
          <w:p w:rsidR="005A5B56" w:rsidRPr="005A5B56" w:rsidRDefault="005A5B56" w:rsidP="005A5B56">
            <w:r w:rsidRPr="005A5B56">
              <w:t xml:space="preserve">For wheel line and hand line applications, replacing impact sprinklers with rotators </w:t>
            </w:r>
            <w:r w:rsidR="00E56D78">
              <w:t xml:space="preserve">delivers energy savings and better application uniformity and is comparable </w:t>
            </w:r>
            <w:r w:rsidR="00CC454C">
              <w:t xml:space="preserve">to </w:t>
            </w:r>
            <w:r w:rsidR="00E56D78">
              <w:t xml:space="preserve">replacing worn impact sprinklers. . </w:t>
            </w:r>
            <w:r w:rsidRPr="005A5B56">
              <w:t xml:space="preserve">Savings and costs are similar, and rotators have a slight uniformity advantage.  This particular measure is not defined in the RTF 2013 </w:t>
            </w:r>
            <w:r w:rsidR="00E56D78">
              <w:t xml:space="preserve">workbooks </w:t>
            </w:r>
            <w:r w:rsidRPr="005A5B56">
              <w:t xml:space="preserve">likely </w:t>
            </w:r>
            <w:r w:rsidR="00E56D78">
              <w:t>given low adoption in the Northwest</w:t>
            </w:r>
            <w:r w:rsidR="004850E0">
              <w:t xml:space="preserve">. </w:t>
            </w:r>
          </w:p>
          <w:p w:rsidR="005A5B56" w:rsidRPr="005A5B56" w:rsidRDefault="005A5B56" w:rsidP="005A5B56"/>
          <w:p w:rsidR="005A5B56" w:rsidRPr="005A5B56" w:rsidRDefault="005A5B56" w:rsidP="0077070E">
            <w:r w:rsidRPr="005A5B56">
              <w:t xml:space="preserve">For pivots and linears, the RTF moved to combine pressure regulators and low pressure sprinklers (with nozzle) into a single measure, </w:t>
            </w:r>
            <w:r w:rsidR="00E06E16">
              <w:t xml:space="preserve">given complexity of attributing </w:t>
            </w:r>
            <w:r w:rsidRPr="005A5B56">
              <w:t xml:space="preserve"> lack of uniformity  to a failed regulator, worn nozzle, or both</w:t>
            </w:r>
            <w:r w:rsidR="00E06E16">
              <w:t>. Fi</w:t>
            </w:r>
            <w:r w:rsidR="00CC454C">
              <w:t>eld</w:t>
            </w:r>
            <w:r w:rsidR="00E06E16">
              <w:t xml:space="preserve"> experience also suggests if one component is worn, the other </w:t>
            </w:r>
            <w:r w:rsidRPr="005A5B56">
              <w:t>is likely to be worn a</w:t>
            </w:r>
            <w:r w:rsidR="00E06E16">
              <w:t xml:space="preserve">lso. As a result, </w:t>
            </w:r>
            <w:r w:rsidRPr="005A5B56">
              <w:t>the standalone pressure regulator measure has been removed.</w:t>
            </w:r>
          </w:p>
        </w:tc>
      </w:tr>
      <w:tr w:rsidR="005A5B56" w:rsidRPr="005A5B56" w:rsidTr="0029087F">
        <w:tc>
          <w:tcPr>
            <w:tcW w:w="2178" w:type="dxa"/>
            <w:vMerge/>
          </w:tcPr>
          <w:p w:rsidR="005A5B56" w:rsidRPr="005A5B56" w:rsidRDefault="005A5B56" w:rsidP="005A5B56">
            <w:pPr>
              <w:tabs>
                <w:tab w:val="left" w:pos="-1080"/>
              </w:tabs>
            </w:pPr>
          </w:p>
        </w:tc>
        <w:tc>
          <w:tcPr>
            <w:tcW w:w="2520" w:type="dxa"/>
          </w:tcPr>
          <w:p w:rsidR="005A5B56" w:rsidRPr="005A5B56" w:rsidRDefault="005A5B56" w:rsidP="005A5B56">
            <w:r w:rsidRPr="005A5B56">
              <w:t>Revise savings for gasket measure from 45.0 kWh per gasket to 156.7 kWh per gasket.  Revise incentive from $1.00 to $2.00 per gasket.</w:t>
            </w:r>
          </w:p>
        </w:tc>
        <w:tc>
          <w:tcPr>
            <w:tcW w:w="4860" w:type="dxa"/>
          </w:tcPr>
          <w:p w:rsidR="005A5B56" w:rsidRPr="005A5B56" w:rsidRDefault="005A5B56" w:rsidP="0077070E">
            <w:r w:rsidRPr="005A5B56">
              <w:t xml:space="preserve">Neibling study showed significantly higher average </w:t>
            </w:r>
            <w:r w:rsidR="00E06E16">
              <w:t xml:space="preserve">flow </w:t>
            </w:r>
            <w:r w:rsidRPr="005A5B56">
              <w:t xml:space="preserve">per leaking gasket than previously assumed.  </w:t>
            </w:r>
            <w:r w:rsidR="00E06E16">
              <w:t xml:space="preserve">To maximize energy savings, </w:t>
            </w:r>
            <w:r w:rsidRPr="005A5B56">
              <w:t xml:space="preserve">only leaking gaskets </w:t>
            </w:r>
            <w:r w:rsidR="00E06E16">
              <w:t>would be</w:t>
            </w:r>
            <w:r w:rsidRPr="005A5B56">
              <w:t xml:space="preserve"> incented</w:t>
            </w:r>
            <w:r w:rsidR="00E06E16">
              <w:t xml:space="preserve">, however this requirement would be administratively challenging. As a result, </w:t>
            </w:r>
            <w:r w:rsidRPr="005A5B56">
              <w:t xml:space="preserve">the UES </w:t>
            </w:r>
            <w:r w:rsidR="00E06E16">
              <w:t xml:space="preserve">for this measure </w:t>
            </w:r>
            <w:r w:rsidRPr="005A5B56">
              <w:t>has been de</w:t>
            </w:r>
            <w:r w:rsidR="00E06E16">
              <w:t>-</w:t>
            </w:r>
            <w:r w:rsidRPr="005A5B56">
              <w:t xml:space="preserve">rated by 25%, assuming that 25% of gasket replacements are pre-emptive rather than replacement of active leakers.  Incentive </w:t>
            </w:r>
            <w:r w:rsidR="00E06E16">
              <w:t xml:space="preserve">adjusted upward to reflect </w:t>
            </w:r>
            <w:r w:rsidR="00E06E16">
              <w:lastRenderedPageBreak/>
              <w:t xml:space="preserve">greater available savings and is designed to be </w:t>
            </w:r>
            <w:r w:rsidRPr="005A5B56">
              <w:t xml:space="preserve">approximately </w:t>
            </w:r>
            <w:r w:rsidR="00E06E16">
              <w:t xml:space="preserve">half </w:t>
            </w:r>
            <w:r w:rsidRPr="005A5B56">
              <w:t xml:space="preserve">of </w:t>
            </w:r>
            <w:r w:rsidR="00E06E16">
              <w:t xml:space="preserve">the estimated </w:t>
            </w:r>
            <w:r w:rsidRPr="005A5B56">
              <w:t xml:space="preserve">average </w:t>
            </w:r>
            <w:r w:rsidR="00E06E16">
              <w:t xml:space="preserve">material </w:t>
            </w:r>
            <w:r w:rsidRPr="005A5B56">
              <w:t>cost</w:t>
            </w:r>
            <w:r w:rsidR="00E06E16">
              <w:t xml:space="preserve">. </w:t>
            </w:r>
          </w:p>
        </w:tc>
      </w:tr>
      <w:tr w:rsidR="005A5B56" w:rsidRPr="005A5B56" w:rsidTr="0029087F">
        <w:tc>
          <w:tcPr>
            <w:tcW w:w="2178" w:type="dxa"/>
            <w:vMerge/>
          </w:tcPr>
          <w:p w:rsidR="005A5B56" w:rsidRPr="005A5B56" w:rsidRDefault="005A5B56" w:rsidP="005A5B56">
            <w:pPr>
              <w:tabs>
                <w:tab w:val="left" w:pos="-1080"/>
              </w:tabs>
            </w:pPr>
          </w:p>
        </w:tc>
        <w:tc>
          <w:tcPr>
            <w:tcW w:w="2520" w:type="dxa"/>
          </w:tcPr>
          <w:p w:rsidR="005A5B56" w:rsidRPr="005A5B56" w:rsidRDefault="005A5B56" w:rsidP="005A5B56">
            <w:r w:rsidRPr="005A5B56">
              <w:t>Revise savings for drain measure from 45.0 kWh per gasket to 162.4 kWh per drain.  Revise incentive from $1.00 to $3.00 per drain.  Measure applies for drains on pivots and linears as well as wheel lines and hand lines.</w:t>
            </w:r>
          </w:p>
        </w:tc>
        <w:tc>
          <w:tcPr>
            <w:tcW w:w="4860" w:type="dxa"/>
          </w:tcPr>
          <w:p w:rsidR="005A5B56" w:rsidRPr="005A5B56" w:rsidRDefault="005A5B56" w:rsidP="00E06E16">
            <w:r w:rsidRPr="005A5B56">
              <w:t xml:space="preserve">Same </w:t>
            </w:r>
            <w:r w:rsidR="00E06E16">
              <w:t xml:space="preserve">rationale </w:t>
            </w:r>
            <w:r w:rsidRPr="005A5B56">
              <w:t>as for gaskets above.</w:t>
            </w:r>
          </w:p>
        </w:tc>
      </w:tr>
      <w:tr w:rsidR="005A5B56" w:rsidRPr="005A5B56" w:rsidTr="0029087F">
        <w:tc>
          <w:tcPr>
            <w:tcW w:w="2178" w:type="dxa"/>
            <w:vMerge w:val="restart"/>
          </w:tcPr>
          <w:p w:rsidR="005A5B56" w:rsidRPr="005A5B56" w:rsidRDefault="005A5B56" w:rsidP="005A5B56">
            <w:pPr>
              <w:tabs>
                <w:tab w:val="left" w:pos="-1080"/>
              </w:tabs>
            </w:pPr>
          </w:p>
        </w:tc>
        <w:tc>
          <w:tcPr>
            <w:tcW w:w="2520" w:type="dxa"/>
          </w:tcPr>
          <w:p w:rsidR="005A5B56" w:rsidRPr="005A5B56" w:rsidRDefault="005A5B56" w:rsidP="005A5B56">
            <w:r w:rsidRPr="005A5B56">
              <w:t xml:space="preserve">Revise savings for pipe repair measure from 89.0 kWh per leak repaired to 103.9 kWh per leak repaired.  Revise incentive from $8.00 to $10.00 per leak repaired.  Change wording from $ per joint to $ per leak repaired.  </w:t>
            </w:r>
          </w:p>
        </w:tc>
        <w:tc>
          <w:tcPr>
            <w:tcW w:w="4860" w:type="dxa"/>
          </w:tcPr>
          <w:p w:rsidR="005A5B56" w:rsidRPr="005A5B56" w:rsidRDefault="005A5B56" w:rsidP="00BC2435">
            <w:r w:rsidRPr="005A5B56">
              <w:t xml:space="preserve">Neibling study </w:t>
            </w:r>
            <w:r w:rsidR="00E06E16">
              <w:t xml:space="preserve">indicates </w:t>
            </w:r>
            <w:r w:rsidRPr="005A5B56">
              <w:t>higher average leakage per pipe leak than pr</w:t>
            </w:r>
            <w:r w:rsidR="00E06E16">
              <w:t xml:space="preserve">ior assumptions. </w:t>
            </w:r>
            <w:r w:rsidRPr="005A5B56">
              <w:t xml:space="preserve">  </w:t>
            </w:r>
            <w:r w:rsidR="00E06E16">
              <w:t xml:space="preserve">Incentive adjusted upward to better reflect current market costs and </w:t>
            </w:r>
            <w:r w:rsidRPr="005A5B56">
              <w:t xml:space="preserve">encourage participation. </w:t>
            </w:r>
            <w:r w:rsidR="00E06E16">
              <w:t xml:space="preserve">Language </w:t>
            </w:r>
            <w:r w:rsidR="00BC2435">
              <w:t xml:space="preserve">change from “pipe” to “leak” since more than </w:t>
            </w:r>
            <w:r w:rsidRPr="005A5B56">
              <w:t xml:space="preserve">one leak in a pipe section </w:t>
            </w:r>
            <w:r w:rsidR="00BC2435">
              <w:t xml:space="preserve">may be </w:t>
            </w:r>
            <w:r w:rsidRPr="005A5B56">
              <w:t>repaired.</w:t>
            </w:r>
          </w:p>
        </w:tc>
      </w:tr>
      <w:tr w:rsidR="005A5B56" w:rsidRPr="005A5B56" w:rsidTr="0029087F">
        <w:tc>
          <w:tcPr>
            <w:tcW w:w="2178" w:type="dxa"/>
            <w:vMerge/>
          </w:tcPr>
          <w:p w:rsidR="005A5B56" w:rsidRPr="005A5B56" w:rsidRDefault="005A5B56" w:rsidP="005A5B56">
            <w:pPr>
              <w:tabs>
                <w:tab w:val="left" w:pos="-1080"/>
              </w:tabs>
            </w:pPr>
          </w:p>
        </w:tc>
        <w:tc>
          <w:tcPr>
            <w:tcW w:w="2520" w:type="dxa"/>
          </w:tcPr>
          <w:p w:rsidR="005A5B56" w:rsidRPr="005A5B56" w:rsidRDefault="005A5B56" w:rsidP="005A5B56">
            <w:r w:rsidRPr="005A5B56">
              <w:t>Revise savings for Thunderbird wheel line hub measure from 89.0 kWh to 90.0 kWh per hub.  Revise incentive from $10.00 to $12.00 per hub.</w:t>
            </w:r>
          </w:p>
        </w:tc>
        <w:tc>
          <w:tcPr>
            <w:tcW w:w="4860" w:type="dxa"/>
          </w:tcPr>
          <w:p w:rsidR="005A5B56" w:rsidRPr="005A5B56" w:rsidRDefault="005A5B56" w:rsidP="00BC2435">
            <w:r w:rsidRPr="005A5B56">
              <w:t xml:space="preserve">Increase incentive slightly to </w:t>
            </w:r>
            <w:r w:rsidR="00BC2435">
              <w:t xml:space="preserve">better reflect market costs and </w:t>
            </w:r>
            <w:r w:rsidRPr="005A5B56">
              <w:t xml:space="preserve">encourage participation. </w:t>
            </w:r>
          </w:p>
        </w:tc>
      </w:tr>
      <w:tr w:rsidR="005A5B56" w:rsidRPr="005A5B56" w:rsidTr="0029087F">
        <w:tc>
          <w:tcPr>
            <w:tcW w:w="2178" w:type="dxa"/>
            <w:vMerge/>
          </w:tcPr>
          <w:p w:rsidR="005A5B56" w:rsidRPr="005A5B56" w:rsidRDefault="005A5B56" w:rsidP="005A5B56">
            <w:pPr>
              <w:tabs>
                <w:tab w:val="left" w:pos="-1080"/>
              </w:tabs>
            </w:pPr>
          </w:p>
        </w:tc>
        <w:tc>
          <w:tcPr>
            <w:tcW w:w="2520" w:type="dxa"/>
          </w:tcPr>
          <w:p w:rsidR="005A5B56" w:rsidRPr="005A5B56" w:rsidRDefault="005A5B56" w:rsidP="005A5B56">
            <w:r w:rsidRPr="005A5B56">
              <w:t>Revise savings for leveler measure from 22.0 kWh to 51.8 kWh per leveler.  Revise incentive from $0.75 to $3.00 per leveler.</w:t>
            </w:r>
          </w:p>
        </w:tc>
        <w:tc>
          <w:tcPr>
            <w:tcW w:w="4860" w:type="dxa"/>
          </w:tcPr>
          <w:p w:rsidR="005A5B56" w:rsidRPr="005A5B56" w:rsidRDefault="005A5B56" w:rsidP="00BC2435">
            <w:r w:rsidRPr="005A5B56">
              <w:t xml:space="preserve">Neibling study </w:t>
            </w:r>
            <w:r w:rsidR="00BC2435">
              <w:t xml:space="preserve">indicates </w:t>
            </w:r>
            <w:r w:rsidRPr="005A5B56">
              <w:t xml:space="preserve">higher average </w:t>
            </w:r>
            <w:r w:rsidR="00BC2435">
              <w:t xml:space="preserve">flow </w:t>
            </w:r>
            <w:r w:rsidRPr="005A5B56">
              <w:t xml:space="preserve">per leaking leveler than previously assumed.  Increase incentive amount </w:t>
            </w:r>
            <w:r w:rsidR="00BC2435">
              <w:t xml:space="preserve">align with available savings and </w:t>
            </w:r>
            <w:r w:rsidRPr="005A5B56">
              <w:t>encourage participation.</w:t>
            </w:r>
          </w:p>
        </w:tc>
      </w:tr>
      <w:tr w:rsidR="005A5B56" w:rsidRPr="005A5B56" w:rsidTr="0029087F">
        <w:tc>
          <w:tcPr>
            <w:tcW w:w="2178" w:type="dxa"/>
            <w:vMerge/>
          </w:tcPr>
          <w:p w:rsidR="005A5B56" w:rsidRPr="005A5B56" w:rsidRDefault="005A5B56" w:rsidP="005A5B56">
            <w:pPr>
              <w:tabs>
                <w:tab w:val="left" w:pos="-1080"/>
              </w:tabs>
            </w:pPr>
          </w:p>
        </w:tc>
        <w:tc>
          <w:tcPr>
            <w:tcW w:w="2520" w:type="dxa"/>
          </w:tcPr>
          <w:p w:rsidR="005A5B56" w:rsidRPr="005A5B56" w:rsidRDefault="005A5B56" w:rsidP="005A5B56">
            <w:r w:rsidRPr="005A5B56">
              <w:t>Revise savings for wheel line feed hose measure from 224.0 kWh to 210.2 kWh per hose.  Revise incentive from $15.00 to $12.00 per hose.</w:t>
            </w:r>
          </w:p>
        </w:tc>
        <w:tc>
          <w:tcPr>
            <w:tcW w:w="4860" w:type="dxa"/>
          </w:tcPr>
          <w:p w:rsidR="005A5B56" w:rsidRPr="005A5B56" w:rsidRDefault="005A5B56" w:rsidP="00BC2435">
            <w:r w:rsidRPr="005A5B56">
              <w:t>This measure not addressed in Neibling study</w:t>
            </w:r>
            <w:r w:rsidR="00BC2435">
              <w:t xml:space="preserve"> or contained in RTF workbooks</w:t>
            </w:r>
            <w:r w:rsidRPr="005A5B56">
              <w:t xml:space="preserve">.  Previous leakage value has been retained.  </w:t>
            </w:r>
            <w:r w:rsidR="00BC2435">
              <w:t xml:space="preserve">Savings adjusted based on territory specific information on </w:t>
            </w:r>
            <w:r w:rsidRPr="005A5B56">
              <w:t>pumping lift and annual runtime.</w:t>
            </w:r>
            <w:r w:rsidR="00BC2435">
              <w:t xml:space="preserve"> Incentive adjusted to better align with available savings and estimated customer costs. </w:t>
            </w:r>
            <w:r w:rsidRPr="005A5B56">
              <w:t xml:space="preserve"> </w:t>
            </w:r>
          </w:p>
        </w:tc>
      </w:tr>
      <w:tr w:rsidR="005A5B56" w:rsidRPr="005A5B56" w:rsidTr="0029087F">
        <w:tc>
          <w:tcPr>
            <w:tcW w:w="2178" w:type="dxa"/>
          </w:tcPr>
          <w:p w:rsidR="005A5B56" w:rsidRPr="005A5B56" w:rsidRDefault="005A5B56" w:rsidP="005A5B56">
            <w:pPr>
              <w:tabs>
                <w:tab w:val="left" w:pos="-1080"/>
              </w:tabs>
            </w:pPr>
          </w:p>
        </w:tc>
        <w:tc>
          <w:tcPr>
            <w:tcW w:w="2520" w:type="dxa"/>
          </w:tcPr>
          <w:p w:rsidR="005A5B56" w:rsidRPr="005A5B56" w:rsidRDefault="005A5B56" w:rsidP="005A5B56">
            <w:r w:rsidRPr="005A5B56">
              <w:t xml:space="preserve">Revise gooseneck and drop tube measure to separate the two into a </w:t>
            </w:r>
            <w:r w:rsidRPr="005A5B56">
              <w:lastRenderedPageBreak/>
              <w:t>gooseneck measure and a drop tube measure.  Define savings as 8.8 kWh/yr from gooseneck and 8.8 kWh/yr from drop tube.  Revise incentive from $1.00 each for the combination to $0.50 for the gooseneck and $2.00 for the drop tube.</w:t>
            </w:r>
          </w:p>
        </w:tc>
        <w:tc>
          <w:tcPr>
            <w:tcW w:w="4860" w:type="dxa"/>
          </w:tcPr>
          <w:p w:rsidR="005A5B56" w:rsidRPr="005A5B56" w:rsidRDefault="005A5B56" w:rsidP="00C93668">
            <w:r w:rsidRPr="005A5B56">
              <w:lastRenderedPageBreak/>
              <w:t xml:space="preserve">Combined measure had been designed to address conversion of pivots from impact sprinklers on top to low pressure sprinklers on </w:t>
            </w:r>
            <w:r w:rsidRPr="005A5B56">
              <w:lastRenderedPageBreak/>
              <w:t xml:space="preserve">drop tubes.  </w:t>
            </w:r>
            <w:r w:rsidR="00BC2435">
              <w:t>To better align with operational field practices, this measure has been separated to a</w:t>
            </w:r>
            <w:r w:rsidRPr="005A5B56">
              <w:t>llow replacement of old drop tubes on existing pivots without replacing goosenecks.</w:t>
            </w:r>
            <w:r w:rsidR="00C93668">
              <w:t xml:space="preserve"> Separating the measure is consistent with updated RTF workbook.  </w:t>
            </w:r>
          </w:p>
        </w:tc>
      </w:tr>
      <w:tr w:rsidR="005A5B56" w:rsidRPr="005A5B56" w:rsidTr="0029087F">
        <w:tc>
          <w:tcPr>
            <w:tcW w:w="2178" w:type="dxa"/>
          </w:tcPr>
          <w:p w:rsidR="005A5B56" w:rsidRPr="005A5B56" w:rsidRDefault="005A5B56" w:rsidP="005A5B56">
            <w:pPr>
              <w:tabs>
                <w:tab w:val="left" w:pos="-1080"/>
              </w:tabs>
            </w:pPr>
          </w:p>
        </w:tc>
        <w:tc>
          <w:tcPr>
            <w:tcW w:w="2520" w:type="dxa"/>
          </w:tcPr>
          <w:p w:rsidR="005A5B56" w:rsidRPr="005A5B56" w:rsidRDefault="005A5B56" w:rsidP="005A5B56">
            <w:r w:rsidRPr="005A5B56">
              <w:t>Revise savings for center pivot base boot basket from 965.0 kWh to 1,681.3 kWh.  Revise incentive from $80.00 to $125.00 each.</w:t>
            </w:r>
          </w:p>
        </w:tc>
        <w:tc>
          <w:tcPr>
            <w:tcW w:w="4860" w:type="dxa"/>
          </w:tcPr>
          <w:p w:rsidR="005A5B56" w:rsidRPr="005A5B56" w:rsidRDefault="005A5B56" w:rsidP="005A5B56">
            <w:r w:rsidRPr="005A5B56">
              <w:t xml:space="preserve">Leakage unchanged from previous version, but average pumping lift is </w:t>
            </w:r>
            <w:r w:rsidR="004850E0">
              <w:t xml:space="preserve">approximately </w:t>
            </w:r>
            <w:r w:rsidRPr="005A5B56">
              <w:t>twice the previous value.</w:t>
            </w:r>
            <w:r w:rsidR="004850E0">
              <w:t xml:space="preserve"> This is a</w:t>
            </w:r>
            <w:r w:rsidR="0077070E">
              <w:t>n</w:t>
            </w:r>
            <w:r w:rsidR="004850E0">
              <w:t xml:space="preserve"> RTF measure. </w:t>
            </w:r>
          </w:p>
        </w:tc>
      </w:tr>
      <w:tr w:rsidR="005A5B56" w:rsidRPr="005A5B56" w:rsidTr="0029087F">
        <w:tc>
          <w:tcPr>
            <w:tcW w:w="2178" w:type="dxa"/>
          </w:tcPr>
          <w:p w:rsidR="005A5B56" w:rsidRPr="005A5B56" w:rsidRDefault="005A5B56" w:rsidP="005A5B56">
            <w:pPr>
              <w:tabs>
                <w:tab w:val="left" w:pos="-1080"/>
              </w:tabs>
            </w:pPr>
          </w:p>
        </w:tc>
        <w:tc>
          <w:tcPr>
            <w:tcW w:w="2520" w:type="dxa"/>
          </w:tcPr>
          <w:p w:rsidR="005A5B56" w:rsidRPr="005A5B56" w:rsidRDefault="005A5B56" w:rsidP="005A5B56">
            <w:r w:rsidRPr="005A5B56">
              <w:t>Add new tower gasket measure with UES of 42.0 kWh/yr and incentive of $4.00 per gasket.</w:t>
            </w:r>
          </w:p>
        </w:tc>
        <w:tc>
          <w:tcPr>
            <w:tcW w:w="4860" w:type="dxa"/>
          </w:tcPr>
          <w:p w:rsidR="005A5B56" w:rsidRPr="005A5B56" w:rsidRDefault="005A5B56" w:rsidP="004850E0">
            <w:r w:rsidRPr="005A5B56">
              <w:t xml:space="preserve"> RTF </w:t>
            </w:r>
            <w:r w:rsidR="0029087F">
              <w:t xml:space="preserve">added measure as part of </w:t>
            </w:r>
            <w:r w:rsidRPr="005A5B56">
              <w:t>2013</w:t>
            </w:r>
            <w:r w:rsidR="0029087F">
              <w:t xml:space="preserve"> update</w:t>
            </w:r>
            <w:r w:rsidRPr="005A5B56">
              <w:t xml:space="preserve"> but</w:t>
            </w:r>
            <w:r w:rsidR="0029087F">
              <w:t xml:space="preserve"> it’s </w:t>
            </w:r>
            <w:r w:rsidRPr="005A5B56">
              <w:t>not in the current PacifiCorp program.  Add</w:t>
            </w:r>
            <w:r w:rsidR="0029087F">
              <w:t xml:space="preserve">ed </w:t>
            </w:r>
            <w:r w:rsidRPr="005A5B56">
              <w:t xml:space="preserve">measure </w:t>
            </w:r>
            <w:r w:rsidR="0029087F">
              <w:t xml:space="preserve">for completeness and consistency </w:t>
            </w:r>
            <w:r w:rsidRPr="005A5B56">
              <w:t xml:space="preserve">using RTF </w:t>
            </w:r>
            <w:r w:rsidR="0029087F">
              <w:t xml:space="preserve">UES. </w:t>
            </w:r>
            <w:r w:rsidR="004850E0">
              <w:t xml:space="preserve">Incentive set based on available savings. </w:t>
            </w:r>
          </w:p>
        </w:tc>
      </w:tr>
      <w:tr w:rsidR="005A5B56" w:rsidRPr="005A5B56" w:rsidTr="0029087F">
        <w:tc>
          <w:tcPr>
            <w:tcW w:w="2178" w:type="dxa"/>
            <w:vMerge w:val="restart"/>
          </w:tcPr>
          <w:p w:rsidR="005A5B56" w:rsidRPr="005A5B56" w:rsidRDefault="005A5B56" w:rsidP="005A5B56">
            <w:pPr>
              <w:tabs>
                <w:tab w:val="left" w:pos="-1080"/>
              </w:tabs>
            </w:pPr>
          </w:p>
        </w:tc>
        <w:tc>
          <w:tcPr>
            <w:tcW w:w="2520" w:type="dxa"/>
          </w:tcPr>
          <w:p w:rsidR="005A5B56" w:rsidRPr="005A5B56" w:rsidRDefault="005A5B56" w:rsidP="0029087F">
            <w:r w:rsidRPr="005A5B56">
              <w:t xml:space="preserve">Expand eligibility for the pump VFD measure to include new construction projects.  Clarify that </w:t>
            </w:r>
            <w:r w:rsidR="001747B0">
              <w:t xml:space="preserve">efficient </w:t>
            </w:r>
            <w:r w:rsidRPr="005A5B56">
              <w:t>pump</w:t>
            </w:r>
            <w:r w:rsidR="001747B0">
              <w:t>ing</w:t>
            </w:r>
            <w:r w:rsidR="0029087F">
              <w:t xml:space="preserve"> plant equipment </w:t>
            </w:r>
            <w:r w:rsidRPr="005A5B56">
              <w:t xml:space="preserve">serving fixed in place systems are eligible (unlike </w:t>
            </w:r>
            <w:r w:rsidR="0029087F">
              <w:t>flow reduction measures on the irrigation distribution equipment)</w:t>
            </w:r>
            <w:r w:rsidRPr="005A5B56">
              <w:t>.</w:t>
            </w:r>
          </w:p>
        </w:tc>
        <w:tc>
          <w:tcPr>
            <w:tcW w:w="4860" w:type="dxa"/>
          </w:tcPr>
          <w:p w:rsidR="005A5B56" w:rsidRPr="005A5B56" w:rsidRDefault="0029087F" w:rsidP="00415807">
            <w:r>
              <w:t xml:space="preserve">Tying pump VFD eligibility solely to retrofit installations precluded </w:t>
            </w:r>
            <w:r w:rsidR="005A5B56" w:rsidRPr="005A5B56">
              <w:t xml:space="preserve">new construction pumping installations from being eligible.  </w:t>
            </w:r>
            <w:r w:rsidR="001747B0">
              <w:t xml:space="preserve"> </w:t>
            </w:r>
            <w:r w:rsidR="005A5B56" w:rsidRPr="005A5B56">
              <w:t xml:space="preserve">  Fixed in place systems </w:t>
            </w:r>
            <w:r w:rsidR="001747B0">
              <w:t xml:space="preserve">may have </w:t>
            </w:r>
            <w:r w:rsidR="005A5B56" w:rsidRPr="005A5B56">
              <w:t>divers</w:t>
            </w:r>
            <w:r w:rsidR="001747B0">
              <w:t xml:space="preserve">e pumping profiles which provide the </w:t>
            </w:r>
            <w:r w:rsidR="005A5B56" w:rsidRPr="005A5B56">
              <w:t xml:space="preserve">opportunity for </w:t>
            </w:r>
            <w:r w:rsidR="001747B0">
              <w:t xml:space="preserve">energy </w:t>
            </w:r>
            <w:r w:rsidR="005A5B56" w:rsidRPr="005A5B56">
              <w:t>savings</w:t>
            </w:r>
            <w:r w:rsidR="001747B0">
              <w:t xml:space="preserve">. </w:t>
            </w:r>
            <w:r w:rsidR="005A5B56" w:rsidRPr="005A5B56">
              <w:t xml:space="preserve">   </w:t>
            </w:r>
          </w:p>
        </w:tc>
      </w:tr>
      <w:tr w:rsidR="005A5B56" w:rsidRPr="005A5B56" w:rsidTr="0029087F">
        <w:tc>
          <w:tcPr>
            <w:tcW w:w="2178" w:type="dxa"/>
            <w:vMerge/>
          </w:tcPr>
          <w:p w:rsidR="005A5B56" w:rsidRPr="005A5B56" w:rsidRDefault="005A5B56" w:rsidP="005A5B56">
            <w:pPr>
              <w:tabs>
                <w:tab w:val="left" w:pos="-1080"/>
              </w:tabs>
            </w:pPr>
          </w:p>
        </w:tc>
        <w:tc>
          <w:tcPr>
            <w:tcW w:w="2520" w:type="dxa"/>
          </w:tcPr>
          <w:p w:rsidR="005A5B56" w:rsidRPr="004850E0" w:rsidRDefault="001747B0" w:rsidP="0077070E">
            <w:r>
              <w:t xml:space="preserve">Apply project level caps (percent of project costs and one-year payback) to all irrigation measures. </w:t>
            </w:r>
          </w:p>
        </w:tc>
        <w:tc>
          <w:tcPr>
            <w:tcW w:w="4860" w:type="dxa"/>
          </w:tcPr>
          <w:p w:rsidR="005A5B56" w:rsidRPr="004850E0" w:rsidRDefault="001747B0" w:rsidP="00792224">
            <w:r>
              <w:t xml:space="preserve">Customer costs for irrigation measures vary widely and per unit savings are comparatively small. While incentives are set to be a portion of (but not exceed) the measure costs, having caps project cost and simple payback caps consistent with the custom project offer in the program aligns program delivery with design intent and simplifies </w:t>
            </w:r>
            <w:r w:rsidR="007C0E17">
              <w:t xml:space="preserve">marketing to  </w:t>
            </w:r>
            <w:r w:rsidR="005A5B56" w:rsidRPr="004850E0">
              <w:t>customers and trade allies</w:t>
            </w:r>
            <w:r w:rsidR="007C0E17">
              <w:t xml:space="preserve">. </w:t>
            </w:r>
          </w:p>
        </w:tc>
      </w:tr>
    </w:tbl>
    <w:p w:rsidR="00DA58CB" w:rsidRDefault="00611618" w:rsidP="00611618">
      <w:pPr>
        <w:spacing w:line="22" w:lineRule="atLeast"/>
        <w:jc w:val="both"/>
      </w:pPr>
      <w:r>
        <w:t xml:space="preserve"> </w:t>
      </w:r>
    </w:p>
    <w:p w:rsidR="003C3DDC" w:rsidRDefault="003C3DDC" w:rsidP="00611618">
      <w:pPr>
        <w:spacing w:line="22" w:lineRule="atLeast"/>
        <w:jc w:val="both"/>
      </w:pPr>
    </w:p>
    <w:p w:rsidR="001748DE" w:rsidRDefault="001748DE" w:rsidP="00611618">
      <w:pPr>
        <w:spacing w:line="22" w:lineRule="atLeast"/>
        <w:jc w:val="both"/>
      </w:pPr>
      <w:r>
        <w:lastRenderedPageBreak/>
        <w:t>Table 6 summarizes modifications for the Farm and dairy measures</w:t>
      </w:r>
      <w:r w:rsidR="009E191C">
        <w:t>.</w:t>
      </w:r>
      <w:r>
        <w:t xml:space="preserve"> </w:t>
      </w:r>
    </w:p>
    <w:p w:rsidR="001748DE" w:rsidRDefault="001748DE" w:rsidP="00611618">
      <w:pPr>
        <w:spacing w:line="22" w:lineRule="atLeast"/>
        <w:jc w:val="both"/>
      </w:pPr>
    </w:p>
    <w:p w:rsidR="003C3DDC" w:rsidRPr="001748DE" w:rsidRDefault="001748DE" w:rsidP="001748DE">
      <w:pPr>
        <w:spacing w:line="22" w:lineRule="atLeast"/>
        <w:jc w:val="center"/>
        <w:rPr>
          <w:b/>
        </w:rPr>
      </w:pPr>
      <w:r w:rsidRPr="001748DE">
        <w:rPr>
          <w:b/>
        </w:rPr>
        <w:t>Table 6</w:t>
      </w:r>
    </w:p>
    <w:p w:rsidR="001748DE" w:rsidRPr="001748DE" w:rsidRDefault="001748DE" w:rsidP="001748DE">
      <w:pPr>
        <w:spacing w:line="22" w:lineRule="atLeast"/>
        <w:jc w:val="center"/>
        <w:rPr>
          <w:b/>
        </w:rPr>
      </w:pPr>
      <w:r w:rsidRPr="001748DE">
        <w:rPr>
          <w:b/>
        </w:rPr>
        <w:t xml:space="preserve">Farm and </w:t>
      </w:r>
      <w:r w:rsidR="00792224">
        <w:rPr>
          <w:b/>
        </w:rPr>
        <w:t>D</w:t>
      </w:r>
      <w:r w:rsidRPr="001748DE">
        <w:rPr>
          <w:b/>
        </w:rPr>
        <w:t>airy</w:t>
      </w:r>
    </w:p>
    <w:p w:rsidR="003C3DDC" w:rsidRDefault="003C3DDC" w:rsidP="00611618">
      <w:pPr>
        <w:spacing w:line="22" w:lineRule="atLeast"/>
        <w:jc w:val="both"/>
      </w:pPr>
    </w:p>
    <w:tbl>
      <w:tblPr>
        <w:tblStyle w:val="TableGrid2"/>
        <w:tblW w:w="9558" w:type="dxa"/>
        <w:tblLayout w:type="fixed"/>
        <w:tblLook w:val="04A0" w:firstRow="1" w:lastRow="0" w:firstColumn="1" w:lastColumn="0" w:noHBand="0" w:noVBand="1"/>
      </w:tblPr>
      <w:tblGrid>
        <w:gridCol w:w="2178"/>
        <w:gridCol w:w="2520"/>
        <w:gridCol w:w="4860"/>
      </w:tblGrid>
      <w:tr w:rsidR="003C3DDC" w:rsidRPr="003C3DDC" w:rsidTr="0029087F">
        <w:tc>
          <w:tcPr>
            <w:tcW w:w="2178" w:type="dxa"/>
          </w:tcPr>
          <w:p w:rsidR="003C3DDC" w:rsidRPr="001748DE" w:rsidRDefault="001748DE" w:rsidP="003C3DDC">
            <w:pPr>
              <w:tabs>
                <w:tab w:val="left" w:pos="-1080"/>
              </w:tabs>
              <w:rPr>
                <w:b/>
              </w:rPr>
            </w:pPr>
            <w:r w:rsidRPr="001748DE">
              <w:rPr>
                <w:b/>
              </w:rPr>
              <w:t xml:space="preserve">Measure Category </w:t>
            </w:r>
          </w:p>
        </w:tc>
        <w:tc>
          <w:tcPr>
            <w:tcW w:w="2520" w:type="dxa"/>
          </w:tcPr>
          <w:p w:rsidR="003C3DDC" w:rsidRPr="001748DE" w:rsidRDefault="001748DE" w:rsidP="003C3DDC">
            <w:pPr>
              <w:tabs>
                <w:tab w:val="left" w:pos="-1080"/>
              </w:tabs>
              <w:rPr>
                <w:b/>
              </w:rPr>
            </w:pPr>
            <w:r w:rsidRPr="001748DE">
              <w:rPr>
                <w:b/>
              </w:rPr>
              <w:t xml:space="preserve">Description of Change </w:t>
            </w:r>
          </w:p>
        </w:tc>
        <w:tc>
          <w:tcPr>
            <w:tcW w:w="4860" w:type="dxa"/>
          </w:tcPr>
          <w:p w:rsidR="003C3DDC" w:rsidRPr="001748DE" w:rsidRDefault="001748DE" w:rsidP="003C3DDC">
            <w:pPr>
              <w:autoSpaceDE w:val="0"/>
              <w:autoSpaceDN w:val="0"/>
              <w:adjustRightInd w:val="0"/>
              <w:rPr>
                <w:b/>
              </w:rPr>
            </w:pPr>
            <w:r w:rsidRPr="001748DE">
              <w:rPr>
                <w:b/>
              </w:rPr>
              <w:t xml:space="preserve">Reason for Change </w:t>
            </w:r>
          </w:p>
        </w:tc>
      </w:tr>
      <w:tr w:rsidR="003C3DDC" w:rsidRPr="003C3DDC" w:rsidTr="0029087F">
        <w:tc>
          <w:tcPr>
            <w:tcW w:w="2178" w:type="dxa"/>
            <w:vMerge w:val="restart"/>
          </w:tcPr>
          <w:p w:rsidR="003C3DDC" w:rsidRPr="003C3DDC" w:rsidRDefault="003C3DDC" w:rsidP="003C3DDC">
            <w:pPr>
              <w:tabs>
                <w:tab w:val="left" w:pos="-1080"/>
              </w:tabs>
            </w:pPr>
            <w:r w:rsidRPr="003C3DDC">
              <w:t>Farm and Dairy</w:t>
            </w:r>
          </w:p>
        </w:tc>
        <w:tc>
          <w:tcPr>
            <w:tcW w:w="2520" w:type="dxa"/>
          </w:tcPr>
          <w:p w:rsidR="003C3DDC" w:rsidRPr="003C3DDC" w:rsidRDefault="003C3DDC" w:rsidP="003C3DDC">
            <w:pPr>
              <w:tabs>
                <w:tab w:val="left" w:pos="-1080"/>
              </w:tabs>
            </w:pPr>
            <w:r w:rsidRPr="003C3DDC">
              <w:t>Revise the basis for determining incentives for the heat recovery measure.</w:t>
            </w:r>
          </w:p>
        </w:tc>
        <w:tc>
          <w:tcPr>
            <w:tcW w:w="4860" w:type="dxa"/>
          </w:tcPr>
          <w:p w:rsidR="00DE7433" w:rsidRDefault="003C3DDC" w:rsidP="005F4E64">
            <w:pPr>
              <w:autoSpaceDE w:val="0"/>
              <w:autoSpaceDN w:val="0"/>
              <w:adjustRightInd w:val="0"/>
            </w:pPr>
            <w:r w:rsidRPr="003C3DDC">
              <w:t xml:space="preserve">The previous incentive for heat reclaim – using heat rejected from the milk refrigeration system to offset electric water heating – was calculated as $220 per condenser kW.  The revised approach uses a calculator to directly calculate energy savings from lbs milk/day, temperature differences, and information about the refrigeration system.  </w:t>
            </w:r>
            <w:r w:rsidR="005F4E64">
              <w:t xml:space="preserve"> </w:t>
            </w:r>
            <w:r w:rsidRPr="003C3DDC">
              <w:t xml:space="preserve">  </w:t>
            </w:r>
          </w:p>
          <w:p w:rsidR="003C3DDC" w:rsidRDefault="003C3DDC" w:rsidP="005F4E64">
            <w:pPr>
              <w:autoSpaceDE w:val="0"/>
              <w:autoSpaceDN w:val="0"/>
              <w:adjustRightInd w:val="0"/>
            </w:pPr>
            <w:r w:rsidRPr="003C3DDC">
              <w:t>Incentive rate is aligned with the custom project rate, $0.15/kWh annual savings up to 70% of measure cost.</w:t>
            </w:r>
          </w:p>
          <w:p w:rsidR="005F4E64" w:rsidRPr="003C3DDC" w:rsidRDefault="005F4E64" w:rsidP="005F4E64">
            <w:pPr>
              <w:autoSpaceDE w:val="0"/>
              <w:autoSpaceDN w:val="0"/>
              <w:adjustRightInd w:val="0"/>
            </w:pPr>
            <w:r>
              <w:t>This is a measure in the existing program and currently utilizes site specific calculations. The RTF does not maintain UES value(s) for this measure.</w:t>
            </w:r>
          </w:p>
        </w:tc>
      </w:tr>
      <w:tr w:rsidR="003C3DDC" w:rsidRPr="003C3DDC" w:rsidTr="0029087F">
        <w:tc>
          <w:tcPr>
            <w:tcW w:w="2178" w:type="dxa"/>
            <w:vMerge/>
          </w:tcPr>
          <w:p w:rsidR="003C3DDC" w:rsidRPr="003C3DDC" w:rsidRDefault="003C3DDC" w:rsidP="003C3DDC">
            <w:pPr>
              <w:tabs>
                <w:tab w:val="left" w:pos="-1080"/>
              </w:tabs>
            </w:pPr>
          </w:p>
        </w:tc>
        <w:tc>
          <w:tcPr>
            <w:tcW w:w="2520" w:type="dxa"/>
          </w:tcPr>
          <w:p w:rsidR="003C3DDC" w:rsidRPr="003C3DDC" w:rsidRDefault="003C3DDC" w:rsidP="00DE7433">
            <w:pPr>
              <w:tabs>
                <w:tab w:val="left" w:pos="-1080"/>
              </w:tabs>
            </w:pPr>
            <w:r w:rsidRPr="003C3DDC">
              <w:t>Revise incentive rate for milk pre-cooler measure from the previous $0.12/kWh plus $50/kW to the new custom rate of $0.15/kWh</w:t>
            </w:r>
            <w:r w:rsidR="005A5315">
              <w:t xml:space="preserve"> with project level caps (percent of project costs and one-year payback)</w:t>
            </w:r>
            <w:r w:rsidR="00296C9F">
              <w:t>.</w:t>
            </w:r>
          </w:p>
        </w:tc>
        <w:tc>
          <w:tcPr>
            <w:tcW w:w="4860" w:type="dxa"/>
          </w:tcPr>
          <w:p w:rsidR="003C3DDC" w:rsidRDefault="003C3DDC" w:rsidP="003C3DDC">
            <w:pPr>
              <w:autoSpaceDE w:val="0"/>
              <w:autoSpaceDN w:val="0"/>
              <w:adjustRightInd w:val="0"/>
            </w:pPr>
            <w:r w:rsidRPr="003C3DDC">
              <w:t>This revision brings the incentive rate for milk pre-coolers into alignment with the standard custom rate.</w:t>
            </w:r>
          </w:p>
          <w:p w:rsidR="005F4E64" w:rsidRDefault="005F4E64" w:rsidP="003C3DDC">
            <w:pPr>
              <w:autoSpaceDE w:val="0"/>
              <w:autoSpaceDN w:val="0"/>
              <w:adjustRightInd w:val="0"/>
            </w:pPr>
          </w:p>
          <w:p w:rsidR="005F4E64" w:rsidRPr="003C3DDC" w:rsidRDefault="005F4E64" w:rsidP="003C3DDC">
            <w:pPr>
              <w:autoSpaceDE w:val="0"/>
              <w:autoSpaceDN w:val="0"/>
              <w:adjustRightInd w:val="0"/>
            </w:pPr>
            <w:r>
              <w:t>This is a measure in the existing program and currently utilizes site specific calculations. The RTF does not maintain UES value(s) for this measure.</w:t>
            </w:r>
          </w:p>
        </w:tc>
      </w:tr>
      <w:tr w:rsidR="003C3DDC" w:rsidRPr="003C3DDC" w:rsidTr="0029087F">
        <w:tc>
          <w:tcPr>
            <w:tcW w:w="2178" w:type="dxa"/>
            <w:vMerge/>
          </w:tcPr>
          <w:p w:rsidR="003C3DDC" w:rsidRPr="003C3DDC" w:rsidRDefault="003C3DDC" w:rsidP="003C3DDC">
            <w:pPr>
              <w:tabs>
                <w:tab w:val="left" w:pos="-1080"/>
              </w:tabs>
            </w:pPr>
          </w:p>
        </w:tc>
        <w:tc>
          <w:tcPr>
            <w:tcW w:w="2520" w:type="dxa"/>
          </w:tcPr>
          <w:p w:rsidR="003C3DDC" w:rsidRPr="003C3DDC" w:rsidRDefault="003C3DDC" w:rsidP="003C3DDC">
            <w:pPr>
              <w:tabs>
                <w:tab w:val="left" w:pos="-1080"/>
              </w:tabs>
            </w:pPr>
            <w:r w:rsidRPr="003C3DDC">
              <w:t>Add new measure:  Variable Frequency Drives for fans in potato or onion storages.</w:t>
            </w:r>
          </w:p>
        </w:tc>
        <w:tc>
          <w:tcPr>
            <w:tcW w:w="4860" w:type="dxa"/>
          </w:tcPr>
          <w:p w:rsidR="003C3DDC" w:rsidRPr="003C3DDC" w:rsidRDefault="003C3DDC" w:rsidP="005F4E64">
            <w:pPr>
              <w:autoSpaceDE w:val="0"/>
              <w:autoSpaceDN w:val="0"/>
              <w:adjustRightInd w:val="0"/>
            </w:pPr>
            <w:r w:rsidRPr="003C3DDC">
              <w:t xml:space="preserve">Potato and onion storage fan VFDs have been </w:t>
            </w:r>
            <w:r w:rsidR="005F4E64">
              <w:t xml:space="preserve">eligible for custom incentives in the current programs.  Key variables affecting energy consumption and available savings can be gathered. The measure is well suited to utilize a calculator to determine savings. </w:t>
            </w:r>
            <w:r w:rsidRPr="003C3DDC">
              <w:t xml:space="preserve"> Making potato/onion storage fan VFDs a listed measure enables rapid turnaround on the incentive process, low cost administration, and optimal participation by vendors and growers.</w:t>
            </w:r>
            <w:r w:rsidR="005F4E64">
              <w:t xml:space="preserve"> The RTF has maintained a UES (on a per HP basis) for this measure in the past. In 2012 the RTF adopted the recommendation to move this measure to Out of Compliance status with sunset date of November 1, 2013. </w:t>
            </w:r>
          </w:p>
        </w:tc>
      </w:tr>
      <w:tr w:rsidR="003C3DDC" w:rsidRPr="003C3DDC" w:rsidTr="0029087F">
        <w:tc>
          <w:tcPr>
            <w:tcW w:w="2178" w:type="dxa"/>
            <w:vMerge/>
          </w:tcPr>
          <w:p w:rsidR="003C3DDC" w:rsidRPr="003C3DDC" w:rsidRDefault="003C3DDC" w:rsidP="003C3DDC">
            <w:pPr>
              <w:tabs>
                <w:tab w:val="left" w:pos="-1080"/>
              </w:tabs>
            </w:pPr>
          </w:p>
        </w:tc>
        <w:tc>
          <w:tcPr>
            <w:tcW w:w="2520" w:type="dxa"/>
          </w:tcPr>
          <w:p w:rsidR="003C3DDC" w:rsidRPr="004850E0" w:rsidRDefault="00792224" w:rsidP="00792224">
            <w:pPr>
              <w:rPr>
                <w:sz w:val="20"/>
                <w:szCs w:val="20"/>
              </w:rPr>
            </w:pPr>
            <w:r w:rsidRPr="004850E0">
              <w:t xml:space="preserve"> Apply project level caps (percent of project </w:t>
            </w:r>
            <w:r w:rsidRPr="004850E0">
              <w:lastRenderedPageBreak/>
              <w:t>costs and one-year payback) to all Farm and Dairy measures.</w:t>
            </w:r>
          </w:p>
        </w:tc>
        <w:tc>
          <w:tcPr>
            <w:tcW w:w="4860" w:type="dxa"/>
          </w:tcPr>
          <w:p w:rsidR="003C3DDC" w:rsidRPr="004850E0" w:rsidRDefault="00792224" w:rsidP="005F4E64">
            <w:pPr>
              <w:autoSpaceDE w:val="0"/>
              <w:autoSpaceDN w:val="0"/>
              <w:adjustRightInd w:val="0"/>
            </w:pPr>
            <w:r w:rsidRPr="004850E0">
              <w:lastRenderedPageBreak/>
              <w:t xml:space="preserve">Customer costs for Farm and Dairy measures vary. While incentives are set to be a portion of </w:t>
            </w:r>
            <w:r w:rsidRPr="004850E0">
              <w:lastRenderedPageBreak/>
              <w:t xml:space="preserve">(but not exceed) the measure costs, having  project cost and simple payback caps consistent with the custom project offer in the program aligns program delivery with design intent and simplifies marketing to  customers and trade allies.  </w:t>
            </w:r>
          </w:p>
        </w:tc>
      </w:tr>
    </w:tbl>
    <w:p w:rsidR="003C3DDC" w:rsidRDefault="003C3DDC" w:rsidP="00611618">
      <w:pPr>
        <w:spacing w:line="22" w:lineRule="atLeast"/>
        <w:jc w:val="both"/>
      </w:pPr>
    </w:p>
    <w:p w:rsidR="007D1798" w:rsidRDefault="007D1798" w:rsidP="00611618">
      <w:pPr>
        <w:spacing w:line="22" w:lineRule="atLeast"/>
        <w:jc w:val="both"/>
      </w:pPr>
    </w:p>
    <w:p w:rsidR="007D1798" w:rsidRPr="00892CEB" w:rsidRDefault="00892CEB" w:rsidP="00892CEB">
      <w:pPr>
        <w:spacing w:line="22" w:lineRule="atLeast"/>
        <w:jc w:val="center"/>
        <w:rPr>
          <w:b/>
        </w:rPr>
      </w:pPr>
      <w:r w:rsidRPr="00892CEB">
        <w:rPr>
          <w:b/>
        </w:rPr>
        <w:t>Table 7</w:t>
      </w:r>
    </w:p>
    <w:p w:rsidR="00892CEB" w:rsidRPr="00892CEB" w:rsidRDefault="00892CEB" w:rsidP="00892CEB">
      <w:pPr>
        <w:spacing w:line="22" w:lineRule="atLeast"/>
        <w:jc w:val="center"/>
        <w:rPr>
          <w:b/>
        </w:rPr>
      </w:pPr>
      <w:r w:rsidRPr="00892CEB">
        <w:rPr>
          <w:b/>
        </w:rPr>
        <w:t>Compressed Air</w:t>
      </w:r>
    </w:p>
    <w:p w:rsidR="007D1798" w:rsidRPr="00892CEB" w:rsidRDefault="007D1798" w:rsidP="00892CEB">
      <w:pPr>
        <w:spacing w:line="22" w:lineRule="atLeast"/>
        <w:jc w:val="center"/>
        <w:rPr>
          <w:b/>
        </w:rPr>
      </w:pPr>
    </w:p>
    <w:tbl>
      <w:tblPr>
        <w:tblStyle w:val="TableGrid3"/>
        <w:tblW w:w="9558" w:type="dxa"/>
        <w:tblLayout w:type="fixed"/>
        <w:tblLook w:val="04A0" w:firstRow="1" w:lastRow="0" w:firstColumn="1" w:lastColumn="0" w:noHBand="0" w:noVBand="1"/>
      </w:tblPr>
      <w:tblGrid>
        <w:gridCol w:w="2178"/>
        <w:gridCol w:w="2520"/>
        <w:gridCol w:w="4860"/>
      </w:tblGrid>
      <w:tr w:rsidR="007D1798" w:rsidRPr="007D1798" w:rsidTr="0029087F">
        <w:tc>
          <w:tcPr>
            <w:tcW w:w="2178" w:type="dxa"/>
          </w:tcPr>
          <w:p w:rsidR="007D1798" w:rsidRPr="007D1798" w:rsidRDefault="007D1798" w:rsidP="007D1798">
            <w:pPr>
              <w:tabs>
                <w:tab w:val="left" w:pos="-1080"/>
              </w:tabs>
              <w:rPr>
                <w:b/>
              </w:rPr>
            </w:pPr>
            <w:r w:rsidRPr="007D1798">
              <w:rPr>
                <w:b/>
              </w:rPr>
              <w:t xml:space="preserve">Measure Category </w:t>
            </w:r>
          </w:p>
        </w:tc>
        <w:tc>
          <w:tcPr>
            <w:tcW w:w="2520" w:type="dxa"/>
          </w:tcPr>
          <w:p w:rsidR="007D1798" w:rsidRPr="007D1798" w:rsidRDefault="007D1798" w:rsidP="007D1798">
            <w:pPr>
              <w:rPr>
                <w:b/>
              </w:rPr>
            </w:pPr>
            <w:r w:rsidRPr="007D1798">
              <w:rPr>
                <w:b/>
              </w:rPr>
              <w:t xml:space="preserve">Description of Change </w:t>
            </w:r>
          </w:p>
        </w:tc>
        <w:tc>
          <w:tcPr>
            <w:tcW w:w="4860" w:type="dxa"/>
          </w:tcPr>
          <w:p w:rsidR="007D1798" w:rsidRPr="007D1798" w:rsidRDefault="007D1798" w:rsidP="007D1798">
            <w:pPr>
              <w:spacing w:after="120"/>
              <w:rPr>
                <w:b/>
              </w:rPr>
            </w:pPr>
            <w:r w:rsidRPr="007D1798">
              <w:rPr>
                <w:b/>
              </w:rPr>
              <w:t xml:space="preserve">Reason for Change </w:t>
            </w:r>
          </w:p>
        </w:tc>
      </w:tr>
      <w:tr w:rsidR="007D1798" w:rsidRPr="007D1798" w:rsidTr="0029087F">
        <w:tc>
          <w:tcPr>
            <w:tcW w:w="2178" w:type="dxa"/>
            <w:vMerge w:val="restart"/>
          </w:tcPr>
          <w:p w:rsidR="007D1798" w:rsidRPr="007D1798" w:rsidRDefault="007D1798" w:rsidP="007D1798">
            <w:pPr>
              <w:tabs>
                <w:tab w:val="left" w:pos="-1080"/>
              </w:tabs>
            </w:pPr>
            <w:r w:rsidRPr="007D1798">
              <w:t>Compressed Air</w:t>
            </w:r>
          </w:p>
        </w:tc>
        <w:tc>
          <w:tcPr>
            <w:tcW w:w="2520" w:type="dxa"/>
          </w:tcPr>
          <w:p w:rsidR="007D1798" w:rsidRPr="007D1798" w:rsidRDefault="007D1798" w:rsidP="007D1798">
            <w:pPr>
              <w:rPr>
                <w:sz w:val="20"/>
                <w:szCs w:val="20"/>
              </w:rPr>
            </w:pPr>
            <w:r w:rsidRPr="007D1798">
              <w:t xml:space="preserve">Revise savings for zero loss condensate drain from 0.14590 kWh per hour of operation per year to 786.37 kWh/yr.  Revise incentive from $90 each to $100 each.   </w:t>
            </w:r>
          </w:p>
        </w:tc>
        <w:tc>
          <w:tcPr>
            <w:tcW w:w="4860" w:type="dxa"/>
          </w:tcPr>
          <w:p w:rsidR="007D1798" w:rsidRPr="007D1798" w:rsidRDefault="007D1798" w:rsidP="003B2BFF">
            <w:pPr>
              <w:spacing w:after="120"/>
            </w:pPr>
            <w:r w:rsidRPr="007D1798">
              <w:t xml:space="preserve">Using average annual system runtime to determine Unit Energy Savings is a simpler approach for this small </w:t>
            </w:r>
            <w:r w:rsidR="003B2BFF">
              <w:t xml:space="preserve">system </w:t>
            </w:r>
            <w:r w:rsidRPr="007D1798">
              <w:t xml:space="preserve">measure than collecting runtime for each system to calculate system-specific savings. Experience over time with the program has led to an annual average runtime close to the DOE estimated average.  This runtime has been used to simplify the UES value.  Measure cost has increased slightly, </w:t>
            </w:r>
            <w:r w:rsidR="003B2BFF">
              <w:t xml:space="preserve">and available savings support a </w:t>
            </w:r>
            <w:r w:rsidRPr="007D1798">
              <w:t>slight increase in incentive</w:t>
            </w:r>
            <w:r w:rsidR="003B2BFF">
              <w:t xml:space="preserve"> to help further increase participation</w:t>
            </w:r>
            <w:r w:rsidRPr="007D1798">
              <w:t>.</w:t>
            </w:r>
            <w:r w:rsidR="003B2BFF">
              <w:t xml:space="preserve"> The RTF does not maintain UES(s) for any compressed air measure(s). </w:t>
            </w:r>
          </w:p>
        </w:tc>
      </w:tr>
      <w:tr w:rsidR="007D1798" w:rsidRPr="007D1798" w:rsidTr="0029087F">
        <w:tc>
          <w:tcPr>
            <w:tcW w:w="2178" w:type="dxa"/>
            <w:vMerge/>
          </w:tcPr>
          <w:p w:rsidR="007D1798" w:rsidRPr="007D1798" w:rsidRDefault="007D1798" w:rsidP="007D1798">
            <w:pPr>
              <w:tabs>
                <w:tab w:val="left" w:pos="-1080"/>
              </w:tabs>
            </w:pPr>
          </w:p>
        </w:tc>
        <w:tc>
          <w:tcPr>
            <w:tcW w:w="2520" w:type="dxa"/>
          </w:tcPr>
          <w:p w:rsidR="007D1798" w:rsidRPr="007D1798" w:rsidRDefault="007D1798" w:rsidP="007D1798">
            <w:pPr>
              <w:tabs>
                <w:tab w:val="left" w:pos="-1080"/>
              </w:tabs>
            </w:pPr>
            <w:r w:rsidRPr="007D1798">
              <w:t xml:space="preserve">Revise savings for cycling refrigerated dryer from 0.00242 kWh per scfm per hour of operation per year to 12.73 kWh/scfm per year.  Revise incentive from $1.50/scfm to $2.00/scfm.  For projects where a new dryer is installed along with a new air compressor, use the Northwest Regional Compressed Air Tool to calculate dryer savings and pay the incentive at $0.15/kWh </w:t>
            </w:r>
            <w:r w:rsidR="005A5315">
              <w:t>with project level caps (percent of project costs and one-year payback)</w:t>
            </w:r>
            <w:r w:rsidRPr="007D1798">
              <w:t xml:space="preserve">rather than </w:t>
            </w:r>
            <w:r w:rsidRPr="007D1798">
              <w:lastRenderedPageBreak/>
              <w:t xml:space="preserve">using the Unit Energy Savings kWh and incentive value.   </w:t>
            </w:r>
          </w:p>
        </w:tc>
        <w:tc>
          <w:tcPr>
            <w:tcW w:w="4860" w:type="dxa"/>
          </w:tcPr>
          <w:p w:rsidR="007D1798" w:rsidRPr="007D1798" w:rsidRDefault="007D1798" w:rsidP="007D1798">
            <w:pPr>
              <w:spacing w:after="240"/>
            </w:pPr>
            <w:r w:rsidRPr="007D1798">
              <w:lastRenderedPageBreak/>
              <w:t>Same note as above regarding runtime</w:t>
            </w:r>
            <w:r w:rsidR="003B2BFF">
              <w:t xml:space="preserve"> and RTF</w:t>
            </w:r>
            <w:r w:rsidRPr="007D1798">
              <w:t xml:space="preserve"> Incentive slightly increased to encourage participation.  Cycling dryers installed with a compressor may take advantage of the fact that the load profile for the specific installation has already been estimated.  The NW Regional Compressed Air calculator can calculate actual dryer savings using the compressor load profile and can package the presentation of compressor and dryer economics into the same single sheet presentation for the decision</w:t>
            </w:r>
            <w:r w:rsidR="005F4E64">
              <w:t xml:space="preserve"> </w:t>
            </w:r>
            <w:r w:rsidRPr="007D1798">
              <w:t>maker.  Hence the use of the custom approach for the dryer when purchased in conjunction with a compressor.</w:t>
            </w:r>
          </w:p>
        </w:tc>
      </w:tr>
      <w:tr w:rsidR="007D1798" w:rsidRPr="007D1798" w:rsidTr="0029087F">
        <w:tc>
          <w:tcPr>
            <w:tcW w:w="2178" w:type="dxa"/>
            <w:vMerge w:val="restart"/>
          </w:tcPr>
          <w:p w:rsidR="007D1798" w:rsidRPr="007D1798" w:rsidRDefault="007D1798" w:rsidP="007D1798">
            <w:pPr>
              <w:tabs>
                <w:tab w:val="left" w:pos="-1080"/>
              </w:tabs>
            </w:pPr>
          </w:p>
        </w:tc>
        <w:tc>
          <w:tcPr>
            <w:tcW w:w="2520" w:type="dxa"/>
          </w:tcPr>
          <w:p w:rsidR="007D1798" w:rsidRPr="007D1798" w:rsidRDefault="007D1798" w:rsidP="007D1798">
            <w:pPr>
              <w:tabs>
                <w:tab w:val="left" w:pos="-1080"/>
              </w:tabs>
            </w:pPr>
            <w:r w:rsidRPr="007D1798">
              <w:t>Revise savings for receiver capacity addition measure from 0.00249 kWh per gallon per hour of operation per year to 13.10 kWh per gallon per year.  Revise incentive from $1.50 per gallon to $3.00 per gallon of receiver capacity above the first 2 gallons/scfm of trim compressor capacity.</w:t>
            </w:r>
          </w:p>
        </w:tc>
        <w:tc>
          <w:tcPr>
            <w:tcW w:w="4860" w:type="dxa"/>
          </w:tcPr>
          <w:p w:rsidR="007D1798" w:rsidRPr="007D1798" w:rsidRDefault="007D1798" w:rsidP="003B2BFF">
            <w:pPr>
              <w:spacing w:after="240"/>
            </w:pPr>
            <w:r w:rsidRPr="007D1798">
              <w:t>Same note as above regarding runtime</w:t>
            </w:r>
            <w:r w:rsidR="003B2BFF">
              <w:t xml:space="preserve"> and RTF</w:t>
            </w:r>
            <w:r w:rsidRPr="007D1798">
              <w:t xml:space="preserve">.  Incentive has been increased to encourage participation.  </w:t>
            </w:r>
            <w:r w:rsidR="003B2BFF">
              <w:t xml:space="preserve"> </w:t>
            </w:r>
          </w:p>
        </w:tc>
      </w:tr>
      <w:tr w:rsidR="007D1798" w:rsidRPr="007D1798" w:rsidTr="0029087F">
        <w:tc>
          <w:tcPr>
            <w:tcW w:w="2178" w:type="dxa"/>
            <w:vMerge/>
          </w:tcPr>
          <w:p w:rsidR="007D1798" w:rsidRPr="007D1798" w:rsidRDefault="007D1798" w:rsidP="007D1798">
            <w:pPr>
              <w:tabs>
                <w:tab w:val="left" w:pos="-1080"/>
              </w:tabs>
            </w:pPr>
          </w:p>
        </w:tc>
        <w:tc>
          <w:tcPr>
            <w:tcW w:w="2520" w:type="dxa"/>
          </w:tcPr>
          <w:p w:rsidR="007D1798" w:rsidRPr="007D1798" w:rsidRDefault="007D1798" w:rsidP="007D1798">
            <w:pPr>
              <w:tabs>
                <w:tab w:val="left" w:pos="-1080"/>
              </w:tabs>
            </w:pPr>
            <w:r w:rsidRPr="007D1798">
              <w:t>Revise savings for low pressure drop filter measure from 0.00129 kWh per scfm per hour of operation per year to 6.79 kWh per scfm per year.  Revise incentive from $0.80 per scfm to $2.00 per scfm.</w:t>
            </w:r>
          </w:p>
        </w:tc>
        <w:tc>
          <w:tcPr>
            <w:tcW w:w="4860" w:type="dxa"/>
          </w:tcPr>
          <w:p w:rsidR="007D1798" w:rsidRPr="007D1798" w:rsidRDefault="007D1798" w:rsidP="003B2BFF">
            <w:pPr>
              <w:spacing w:after="240"/>
            </w:pPr>
            <w:r w:rsidRPr="007D1798">
              <w:t>Same note as above regarding runtime</w:t>
            </w:r>
            <w:r w:rsidR="003B2BFF">
              <w:t xml:space="preserve"> and RTF</w:t>
            </w:r>
            <w:r w:rsidRPr="007D1798">
              <w:t xml:space="preserve"> Incentive has been increased to encourage participation.  </w:t>
            </w:r>
            <w:r w:rsidR="003B2BFF">
              <w:t xml:space="preserve"> </w:t>
            </w:r>
          </w:p>
        </w:tc>
      </w:tr>
      <w:tr w:rsidR="007D1798" w:rsidRPr="007D1798" w:rsidTr="0029087F">
        <w:tc>
          <w:tcPr>
            <w:tcW w:w="2178" w:type="dxa"/>
            <w:vMerge/>
          </w:tcPr>
          <w:p w:rsidR="007D1798" w:rsidRPr="007D1798" w:rsidRDefault="007D1798" w:rsidP="007D1798">
            <w:pPr>
              <w:tabs>
                <w:tab w:val="left" w:pos="-1080"/>
              </w:tabs>
            </w:pPr>
          </w:p>
        </w:tc>
        <w:tc>
          <w:tcPr>
            <w:tcW w:w="2520" w:type="dxa"/>
          </w:tcPr>
          <w:p w:rsidR="007D1798" w:rsidRPr="007D1798" w:rsidRDefault="007D1798" w:rsidP="007D1798">
            <w:pPr>
              <w:tabs>
                <w:tab w:val="left" w:pos="-1080"/>
              </w:tabs>
            </w:pPr>
            <w:r w:rsidRPr="007D1798">
              <w:t>Revise savings for outside air intake measure from 0.00931 kWh per hp per hour of operation per year to 48.97 kWh per hp per year.  Incentive remains unchanged.</w:t>
            </w:r>
          </w:p>
        </w:tc>
        <w:tc>
          <w:tcPr>
            <w:tcW w:w="4860" w:type="dxa"/>
          </w:tcPr>
          <w:p w:rsidR="007D1798" w:rsidRPr="007D1798" w:rsidRDefault="007D1798" w:rsidP="003B2BFF">
            <w:pPr>
              <w:spacing w:after="240"/>
            </w:pPr>
            <w:r w:rsidRPr="007D1798">
              <w:t>Same note as above regarding runtime</w:t>
            </w:r>
            <w:r w:rsidR="003B2BFF">
              <w:t xml:space="preserve"> and RTF</w:t>
            </w:r>
            <w:r w:rsidRPr="007D1798">
              <w:t xml:space="preserve">.  </w:t>
            </w:r>
            <w:r w:rsidR="003B2BFF">
              <w:t xml:space="preserve"> </w:t>
            </w:r>
            <w:r w:rsidRPr="007D1798">
              <w:t xml:space="preserve">  </w:t>
            </w:r>
          </w:p>
        </w:tc>
      </w:tr>
      <w:tr w:rsidR="007D1798" w:rsidRPr="007D1798" w:rsidTr="0029087F">
        <w:tc>
          <w:tcPr>
            <w:tcW w:w="2178" w:type="dxa"/>
            <w:vMerge/>
          </w:tcPr>
          <w:p w:rsidR="007D1798" w:rsidRPr="007D1798" w:rsidRDefault="007D1798" w:rsidP="007D1798">
            <w:pPr>
              <w:tabs>
                <w:tab w:val="left" w:pos="-1080"/>
              </w:tabs>
            </w:pPr>
          </w:p>
        </w:tc>
        <w:tc>
          <w:tcPr>
            <w:tcW w:w="2520" w:type="dxa"/>
          </w:tcPr>
          <w:p w:rsidR="007D1798" w:rsidRPr="007D1798" w:rsidRDefault="007D1798" w:rsidP="007D1798">
            <w:pPr>
              <w:tabs>
                <w:tab w:val="left" w:pos="-1080"/>
              </w:tabs>
            </w:pPr>
            <w:r w:rsidRPr="007D1798">
              <w:t xml:space="preserve">Remove the constraint on the VFD compressor measure that the system be comprised of only a single operating compressor (not counting backup capacity).  Allow VFD compressors to be treated as listed measures as long as the compressor receiving the incentive is installed in a system </w:t>
            </w:r>
            <w:r w:rsidRPr="007D1798">
              <w:lastRenderedPageBreak/>
              <w:t>with total capacity of 75 hp or less, not counting backup compressor(s) that do not normally run.</w:t>
            </w:r>
          </w:p>
        </w:tc>
        <w:tc>
          <w:tcPr>
            <w:tcW w:w="4860" w:type="dxa"/>
          </w:tcPr>
          <w:p w:rsidR="007D1798" w:rsidRPr="007D1798" w:rsidRDefault="003B2BFF" w:rsidP="00415807">
            <w:pPr>
              <w:spacing w:after="240"/>
            </w:pPr>
            <w:r>
              <w:lastRenderedPageBreak/>
              <w:t xml:space="preserve">Clarifies program design intent to focus on smaller systems with identifiable key variables that affect energy consumption and savings. Second machines may be in place for back-up purposes and may not materially affect available energy savings. Eliminates confusion when a customer </w:t>
            </w:r>
            <w:r w:rsidR="007D1798" w:rsidRPr="007D1798">
              <w:t>wishes to install VFD compressor in a system with a second fixed speed compressor that operates at times to keep up plant pressure</w:t>
            </w:r>
            <w:r>
              <w:t xml:space="preserve"> and the total system is less than 75 hp in total capacity. </w:t>
            </w:r>
            <w:r w:rsidR="007D1798" w:rsidRPr="007D1798">
              <w:t xml:space="preserve">  </w:t>
            </w:r>
            <w:r>
              <w:t xml:space="preserve">Systems with multiple compressors can be handled through a combination of calculators and </w:t>
            </w:r>
            <w:r w:rsidR="007D1798" w:rsidRPr="007D1798">
              <w:t xml:space="preserve">program staff engineering calculations outside of the </w:t>
            </w:r>
            <w:r w:rsidR="007D1798" w:rsidRPr="007D1798">
              <w:lastRenderedPageBreak/>
              <w:t>calculator</w:t>
            </w:r>
            <w:r>
              <w:t xml:space="preserve">. </w:t>
            </w:r>
            <w:r w:rsidR="004850E0">
              <w:t xml:space="preserve"> </w:t>
            </w:r>
          </w:p>
        </w:tc>
      </w:tr>
      <w:tr w:rsidR="007D1798" w:rsidRPr="007D1798" w:rsidTr="0029087F">
        <w:tc>
          <w:tcPr>
            <w:tcW w:w="2178" w:type="dxa"/>
            <w:vMerge/>
          </w:tcPr>
          <w:p w:rsidR="007D1798" w:rsidRPr="007D1798" w:rsidRDefault="007D1798" w:rsidP="007D1798">
            <w:pPr>
              <w:tabs>
                <w:tab w:val="left" w:pos="-1080"/>
              </w:tabs>
            </w:pPr>
          </w:p>
        </w:tc>
        <w:tc>
          <w:tcPr>
            <w:tcW w:w="2520" w:type="dxa"/>
          </w:tcPr>
          <w:p w:rsidR="007D1798" w:rsidRPr="007D1798" w:rsidRDefault="007D1798" w:rsidP="007D1798">
            <w:pPr>
              <w:tabs>
                <w:tab w:val="left" w:pos="-1080"/>
              </w:tabs>
            </w:pPr>
            <w:r w:rsidRPr="007D1798">
              <w:t>For the VFD compressor measure, remove the constraint that “compressor must not use inlet modulation when demand is below the minimum speed threshold of the VFD compressor.”</w:t>
            </w:r>
          </w:p>
        </w:tc>
        <w:tc>
          <w:tcPr>
            <w:tcW w:w="4860" w:type="dxa"/>
          </w:tcPr>
          <w:p w:rsidR="007D1798" w:rsidRPr="007D1798" w:rsidRDefault="00806997" w:rsidP="009E191C">
            <w:pPr>
              <w:spacing w:after="240"/>
            </w:pPr>
            <w:r>
              <w:t xml:space="preserve">Aligns program eligibility with best available market information on how various manufacturers </w:t>
            </w:r>
            <w:r w:rsidR="007D1798" w:rsidRPr="007D1798">
              <w:t>control</w:t>
            </w:r>
            <w:r>
              <w:t xml:space="preserve"> </w:t>
            </w:r>
            <w:r w:rsidR="007D1798" w:rsidRPr="007D1798">
              <w:t xml:space="preserve">a compressor when demand for compressed air </w:t>
            </w:r>
            <w:r w:rsidR="009E191C">
              <w:t>is</w:t>
            </w:r>
            <w:r w:rsidR="009E191C" w:rsidRPr="007D1798">
              <w:t xml:space="preserve"> </w:t>
            </w:r>
            <w:r w:rsidR="007D1798" w:rsidRPr="007D1798">
              <w:t>less than that delivered by the machine once the VFD has slowed to its minimum allowable speed.  Some of these methods are more efficient than others</w:t>
            </w:r>
            <w:r>
              <w:t xml:space="preserve">, yet the </w:t>
            </w:r>
            <w:r w:rsidR="007D1798" w:rsidRPr="007D1798">
              <w:t xml:space="preserve">net effect on savings </w:t>
            </w:r>
            <w:r>
              <w:t xml:space="preserve">is minimal given the amount of time system typically is in this operating mode. </w:t>
            </w:r>
            <w:r w:rsidR="00D97749">
              <w:t xml:space="preserve"> Removing the language broadens the equipment options for customers.  </w:t>
            </w:r>
            <w:r w:rsidR="007D1798" w:rsidRPr="007D1798">
              <w:t xml:space="preserve">   </w:t>
            </w:r>
          </w:p>
        </w:tc>
      </w:tr>
      <w:tr w:rsidR="007D1798" w:rsidRPr="007D1798" w:rsidTr="0029087F">
        <w:tc>
          <w:tcPr>
            <w:tcW w:w="2178" w:type="dxa"/>
            <w:vMerge/>
          </w:tcPr>
          <w:p w:rsidR="007D1798" w:rsidRPr="007D1798" w:rsidRDefault="007D1798" w:rsidP="007D1798">
            <w:pPr>
              <w:tabs>
                <w:tab w:val="left" w:pos="-1080"/>
              </w:tabs>
            </w:pPr>
          </w:p>
        </w:tc>
        <w:tc>
          <w:tcPr>
            <w:tcW w:w="2520" w:type="dxa"/>
          </w:tcPr>
          <w:p w:rsidR="007D1798" w:rsidRPr="007D1798" w:rsidRDefault="007D1798" w:rsidP="009E191C">
            <w:pPr>
              <w:tabs>
                <w:tab w:val="left" w:pos="-1080"/>
              </w:tabs>
            </w:pPr>
            <w:r w:rsidRPr="007D1798">
              <w:t xml:space="preserve">Add compressed air end use reduction as a </w:t>
            </w:r>
            <w:r w:rsidR="005A5315">
              <w:t xml:space="preserve">new </w:t>
            </w:r>
            <w:r w:rsidRPr="007D1798">
              <w:t>listed measure.  Use the NW Regional Compressed Air Tool to estimate savings and pay $0.15/per kWh</w:t>
            </w:r>
            <w:r w:rsidR="005A5315">
              <w:t xml:space="preserve"> with project level caps (percent of project costs and one-year payback)</w:t>
            </w:r>
            <w:r w:rsidR="00296C9F">
              <w:t>.</w:t>
            </w:r>
          </w:p>
        </w:tc>
        <w:tc>
          <w:tcPr>
            <w:tcW w:w="4860" w:type="dxa"/>
          </w:tcPr>
          <w:p w:rsidR="007D1798" w:rsidRPr="007D1798" w:rsidRDefault="00D97749" w:rsidP="00D97749">
            <w:pPr>
              <w:spacing w:after="240"/>
            </w:pPr>
            <w:r>
              <w:t>I</w:t>
            </w:r>
            <w:r w:rsidR="007D1798" w:rsidRPr="007D1798">
              <w:t>nefficient uses of compressed air are very common in industry.  Where functionally equivalent alternatives are available, savings can be had by undertaking small projects to make a change in the system.  Examples include replacing simple blowing applications with engineered nozzles, using electric pumps in place of air operated pumps, and adding isolation valves to close off a portion of a distribution system when not operating (saving on leak load).  Compressed air savings in cfm may be estimated by program staff, and the NW Regional Compressed Air tool may then be used to estimate savings and incentives.  This approach makes such small projects feasible to administer.</w:t>
            </w:r>
          </w:p>
        </w:tc>
      </w:tr>
      <w:tr w:rsidR="007D1798" w:rsidRPr="007D1798" w:rsidTr="0029087F">
        <w:tc>
          <w:tcPr>
            <w:tcW w:w="2178" w:type="dxa"/>
            <w:vMerge/>
          </w:tcPr>
          <w:p w:rsidR="007D1798" w:rsidRPr="007D1798" w:rsidRDefault="007D1798" w:rsidP="007D1798">
            <w:pPr>
              <w:tabs>
                <w:tab w:val="left" w:pos="-1080"/>
              </w:tabs>
            </w:pPr>
          </w:p>
        </w:tc>
        <w:tc>
          <w:tcPr>
            <w:tcW w:w="2520" w:type="dxa"/>
          </w:tcPr>
          <w:p w:rsidR="003C6583" w:rsidRPr="007D1798" w:rsidRDefault="003C6583" w:rsidP="00CE241A">
            <w:pPr>
              <w:tabs>
                <w:tab w:val="left" w:pos="-1080"/>
              </w:tabs>
              <w:rPr>
                <w:highlight w:val="yellow"/>
              </w:rPr>
            </w:pPr>
            <w:r>
              <w:t xml:space="preserve">Apply project level caps (percent of project costs and one-year payback) to all Compressed Air </w:t>
            </w:r>
            <w:r w:rsidR="00CE241A">
              <w:t xml:space="preserve">projects. </w:t>
            </w:r>
            <w:r>
              <w:t xml:space="preserve">  </w:t>
            </w:r>
          </w:p>
        </w:tc>
        <w:tc>
          <w:tcPr>
            <w:tcW w:w="4860" w:type="dxa"/>
          </w:tcPr>
          <w:p w:rsidR="007D1798" w:rsidRPr="007D1798" w:rsidRDefault="00D97749" w:rsidP="00D97749">
            <w:pPr>
              <w:spacing w:after="240"/>
              <w:rPr>
                <w:highlight w:val="yellow"/>
              </w:rPr>
            </w:pPr>
            <w:r w:rsidRPr="00CE241A">
              <w:t xml:space="preserve">Customer costs for Compressed Air measures vary. While incentives are set to be a portion of (but not exceed) the measure costs, having  project cost and simple payback caps consistent with the custom project offer in the program aligns program delivery with design intent and simplifies marketing to  customers and trade allies.  </w:t>
            </w:r>
          </w:p>
        </w:tc>
      </w:tr>
    </w:tbl>
    <w:p w:rsidR="007D1798" w:rsidRDefault="007D1798" w:rsidP="00611618">
      <w:pPr>
        <w:spacing w:line="22" w:lineRule="atLeast"/>
        <w:jc w:val="both"/>
      </w:pPr>
    </w:p>
    <w:p w:rsidR="000C175C" w:rsidRDefault="000C175C" w:rsidP="00892CEB">
      <w:pPr>
        <w:spacing w:line="22" w:lineRule="atLeast"/>
        <w:jc w:val="center"/>
        <w:rPr>
          <w:b/>
        </w:rPr>
      </w:pPr>
    </w:p>
    <w:p w:rsidR="000C175C" w:rsidRDefault="000C175C" w:rsidP="00892CEB">
      <w:pPr>
        <w:spacing w:line="22" w:lineRule="atLeast"/>
        <w:jc w:val="center"/>
        <w:rPr>
          <w:b/>
        </w:rPr>
      </w:pPr>
    </w:p>
    <w:p w:rsidR="000C175C" w:rsidRDefault="000C175C" w:rsidP="00892CEB">
      <w:pPr>
        <w:spacing w:line="22" w:lineRule="atLeast"/>
        <w:jc w:val="center"/>
        <w:rPr>
          <w:b/>
        </w:rPr>
      </w:pPr>
    </w:p>
    <w:p w:rsidR="000C175C" w:rsidRDefault="000C175C" w:rsidP="00892CEB">
      <w:pPr>
        <w:spacing w:line="22" w:lineRule="atLeast"/>
        <w:jc w:val="center"/>
        <w:rPr>
          <w:b/>
        </w:rPr>
      </w:pPr>
    </w:p>
    <w:p w:rsidR="007D1798" w:rsidRPr="00892CEB" w:rsidRDefault="00892CEB" w:rsidP="00892CEB">
      <w:pPr>
        <w:spacing w:line="22" w:lineRule="atLeast"/>
        <w:jc w:val="center"/>
        <w:rPr>
          <w:b/>
        </w:rPr>
      </w:pPr>
      <w:r w:rsidRPr="00892CEB">
        <w:rPr>
          <w:b/>
        </w:rPr>
        <w:lastRenderedPageBreak/>
        <w:t>Table 8</w:t>
      </w:r>
    </w:p>
    <w:p w:rsidR="00892CEB" w:rsidRPr="00892CEB" w:rsidRDefault="00892CEB" w:rsidP="00892CEB">
      <w:pPr>
        <w:spacing w:line="22" w:lineRule="atLeast"/>
        <w:jc w:val="center"/>
        <w:rPr>
          <w:b/>
        </w:rPr>
      </w:pPr>
      <w:r>
        <w:rPr>
          <w:b/>
        </w:rPr>
        <w:t>Waste Water and Other R</w:t>
      </w:r>
      <w:r w:rsidRPr="00892CEB">
        <w:rPr>
          <w:b/>
        </w:rPr>
        <w:t>efrigeration</w:t>
      </w:r>
    </w:p>
    <w:p w:rsidR="007D1798" w:rsidRDefault="007D1798" w:rsidP="00611618">
      <w:pPr>
        <w:spacing w:line="22" w:lineRule="atLeast"/>
        <w:jc w:val="both"/>
      </w:pPr>
    </w:p>
    <w:tbl>
      <w:tblPr>
        <w:tblStyle w:val="TableGrid4"/>
        <w:tblW w:w="9558" w:type="dxa"/>
        <w:tblLayout w:type="fixed"/>
        <w:tblLook w:val="04A0" w:firstRow="1" w:lastRow="0" w:firstColumn="1" w:lastColumn="0" w:noHBand="0" w:noVBand="1"/>
      </w:tblPr>
      <w:tblGrid>
        <w:gridCol w:w="2178"/>
        <w:gridCol w:w="2520"/>
        <w:gridCol w:w="4860"/>
      </w:tblGrid>
      <w:tr w:rsidR="00892CEB" w:rsidRPr="00892CEB" w:rsidTr="0029087F">
        <w:tc>
          <w:tcPr>
            <w:tcW w:w="2178" w:type="dxa"/>
          </w:tcPr>
          <w:p w:rsidR="00892CEB" w:rsidRPr="00892CEB" w:rsidRDefault="00892CEB" w:rsidP="00892CEB">
            <w:pPr>
              <w:tabs>
                <w:tab w:val="left" w:pos="-1080"/>
              </w:tabs>
              <w:rPr>
                <w:b/>
              </w:rPr>
            </w:pPr>
            <w:r w:rsidRPr="00892CEB">
              <w:rPr>
                <w:b/>
              </w:rPr>
              <w:t xml:space="preserve">Measure Category </w:t>
            </w:r>
          </w:p>
        </w:tc>
        <w:tc>
          <w:tcPr>
            <w:tcW w:w="2520" w:type="dxa"/>
          </w:tcPr>
          <w:p w:rsidR="00892CEB" w:rsidRPr="00892CEB" w:rsidRDefault="00892CEB" w:rsidP="00892CEB">
            <w:pPr>
              <w:tabs>
                <w:tab w:val="left" w:pos="-1080"/>
              </w:tabs>
              <w:rPr>
                <w:b/>
              </w:rPr>
            </w:pPr>
            <w:r w:rsidRPr="00892CEB">
              <w:rPr>
                <w:b/>
              </w:rPr>
              <w:t xml:space="preserve">Description of change </w:t>
            </w:r>
          </w:p>
        </w:tc>
        <w:tc>
          <w:tcPr>
            <w:tcW w:w="4860" w:type="dxa"/>
          </w:tcPr>
          <w:p w:rsidR="00892CEB" w:rsidRPr="00892CEB" w:rsidRDefault="00892CEB" w:rsidP="00892CEB">
            <w:pPr>
              <w:autoSpaceDE w:val="0"/>
              <w:autoSpaceDN w:val="0"/>
              <w:adjustRightInd w:val="0"/>
              <w:rPr>
                <w:b/>
              </w:rPr>
            </w:pPr>
            <w:r w:rsidRPr="00892CEB">
              <w:rPr>
                <w:b/>
              </w:rPr>
              <w:t xml:space="preserve">Reason for Change </w:t>
            </w:r>
          </w:p>
        </w:tc>
      </w:tr>
      <w:tr w:rsidR="00892CEB" w:rsidRPr="00892CEB" w:rsidTr="0029087F">
        <w:tc>
          <w:tcPr>
            <w:tcW w:w="2178" w:type="dxa"/>
            <w:vMerge w:val="restart"/>
          </w:tcPr>
          <w:p w:rsidR="00892CEB" w:rsidRPr="00892CEB" w:rsidRDefault="00892CEB" w:rsidP="00892CEB">
            <w:pPr>
              <w:tabs>
                <w:tab w:val="left" w:pos="-1080"/>
              </w:tabs>
            </w:pPr>
            <w:r w:rsidRPr="00892CEB">
              <w:t>Other – Refrigeration, Wastewater</w:t>
            </w:r>
          </w:p>
        </w:tc>
        <w:tc>
          <w:tcPr>
            <w:tcW w:w="2520" w:type="dxa"/>
          </w:tcPr>
          <w:p w:rsidR="00892CEB" w:rsidRPr="00892CEB" w:rsidRDefault="00892CEB" w:rsidP="003C6583">
            <w:pPr>
              <w:tabs>
                <w:tab w:val="left" w:pos="-1080"/>
              </w:tabs>
            </w:pPr>
            <w:r w:rsidRPr="00892CEB">
              <w:t xml:space="preserve">Add adaptive refrigeration control </w:t>
            </w:r>
            <w:r w:rsidR="005A5315">
              <w:t xml:space="preserve">as a new listed </w:t>
            </w:r>
            <w:r w:rsidRPr="00892CEB">
              <w:t xml:space="preserve">measure.  Use calculator to estimate savings and pay at the custom rate of $0.15/per kWh </w:t>
            </w:r>
            <w:r w:rsidR="003C6583">
              <w:t>with project level caps (percent of project costs and one-year payback).</w:t>
            </w:r>
          </w:p>
        </w:tc>
        <w:tc>
          <w:tcPr>
            <w:tcW w:w="4860" w:type="dxa"/>
          </w:tcPr>
          <w:p w:rsidR="00892CEB" w:rsidRPr="00892CEB" w:rsidRDefault="00892CEB" w:rsidP="00126A9D">
            <w:pPr>
              <w:autoSpaceDE w:val="0"/>
              <w:autoSpaceDN w:val="0"/>
              <w:adjustRightInd w:val="0"/>
            </w:pPr>
            <w:r w:rsidRPr="00892CEB">
              <w:t xml:space="preserve">Adaptive refrigeration controllers replace conventional </w:t>
            </w:r>
            <w:r w:rsidR="00126A9D">
              <w:t xml:space="preserve">thermostat, defrost time clock and defrost termination controls </w:t>
            </w:r>
            <w:r w:rsidRPr="00892CEB">
              <w:t>in refrigerated spaces cooled by unitary systems.  Projects are typically small, with savings ranging from 2,000 to 20,000 kWh per controller, depending on system size. Savings is readily determined using nameplate information and operating schedules.  These opportunities are efficiently administered as a calculator-based listed measure.</w:t>
            </w:r>
            <w:r w:rsidR="00126A9D">
              <w:t xml:space="preserve"> The RTF has maintained a floating head pressure control UES for single systems. The RTF measure derives savings from different control points in the refrigeration system. In addition, in December of 2012, the RTF adopted the recommendation to change the measure status to Out of Compliance with sunset date of December 31, 2013. </w:t>
            </w:r>
          </w:p>
        </w:tc>
      </w:tr>
      <w:tr w:rsidR="00892CEB" w:rsidRPr="00892CEB" w:rsidTr="0029087F">
        <w:tc>
          <w:tcPr>
            <w:tcW w:w="2178" w:type="dxa"/>
            <w:vMerge/>
          </w:tcPr>
          <w:p w:rsidR="00892CEB" w:rsidRPr="00892CEB" w:rsidRDefault="00892CEB" w:rsidP="00892CEB">
            <w:pPr>
              <w:tabs>
                <w:tab w:val="left" w:pos="-1080"/>
              </w:tabs>
            </w:pPr>
          </w:p>
        </w:tc>
        <w:tc>
          <w:tcPr>
            <w:tcW w:w="2520" w:type="dxa"/>
          </w:tcPr>
          <w:p w:rsidR="00892CEB" w:rsidRPr="00892CEB" w:rsidRDefault="00892CEB" w:rsidP="003C6583">
            <w:pPr>
              <w:tabs>
                <w:tab w:val="left" w:pos="-1080"/>
              </w:tabs>
            </w:pPr>
            <w:r w:rsidRPr="00892CEB">
              <w:t xml:space="preserve">Add fast acting door </w:t>
            </w:r>
            <w:r w:rsidR="005A5315">
              <w:t xml:space="preserve">as a new listed </w:t>
            </w:r>
            <w:r w:rsidRPr="00892CEB">
              <w:t xml:space="preserve">measure.  Use calculator to estimate savings and pay at the custom rate of $0.15/per kWh </w:t>
            </w:r>
            <w:r w:rsidR="003C6583">
              <w:t>with project level caps (percent of project costs and one-year payback).</w:t>
            </w:r>
          </w:p>
        </w:tc>
        <w:tc>
          <w:tcPr>
            <w:tcW w:w="4860" w:type="dxa"/>
          </w:tcPr>
          <w:p w:rsidR="00892CEB" w:rsidRPr="00892CEB" w:rsidRDefault="00892CEB" w:rsidP="00892CEB">
            <w:pPr>
              <w:autoSpaceDE w:val="0"/>
              <w:autoSpaceDN w:val="0"/>
              <w:adjustRightInd w:val="0"/>
            </w:pPr>
            <w:r w:rsidRPr="00892CEB">
              <w:t>Fast acting doors replace manually operated doors, automatic doors with long cycle times, strip curtains, or entryways with no door at all in refrigerated or conditioned space.  Savings is highly situation specific.  A calculator-based listed measure takes into account the details of each situation, while affording an efficient administrative approach.</w:t>
            </w:r>
          </w:p>
        </w:tc>
      </w:tr>
      <w:tr w:rsidR="00892CEB" w:rsidRPr="00892CEB" w:rsidTr="0029087F">
        <w:tc>
          <w:tcPr>
            <w:tcW w:w="2178" w:type="dxa"/>
            <w:vMerge/>
          </w:tcPr>
          <w:p w:rsidR="00892CEB" w:rsidRPr="00892CEB" w:rsidRDefault="00892CEB" w:rsidP="00892CEB">
            <w:pPr>
              <w:tabs>
                <w:tab w:val="left" w:pos="-1080"/>
              </w:tabs>
            </w:pPr>
          </w:p>
        </w:tc>
        <w:tc>
          <w:tcPr>
            <w:tcW w:w="2520" w:type="dxa"/>
          </w:tcPr>
          <w:p w:rsidR="00892CEB" w:rsidRPr="00892CEB" w:rsidRDefault="00892CEB" w:rsidP="003C6583">
            <w:pPr>
              <w:tabs>
                <w:tab w:val="left" w:pos="-1080"/>
              </w:tabs>
            </w:pPr>
            <w:r w:rsidRPr="00892CEB">
              <w:t xml:space="preserve">Add low power mixer </w:t>
            </w:r>
            <w:r w:rsidR="005A5315">
              <w:t xml:space="preserve">as a new listed </w:t>
            </w:r>
            <w:r w:rsidRPr="00892CEB">
              <w:t xml:space="preserve">measure.  Use calculator to estimate savings and pay at the custom rate of $0.15/per kWh </w:t>
            </w:r>
            <w:r w:rsidR="003C6583">
              <w:t>with project level caps (percent of project costs and one-year payback).</w:t>
            </w:r>
          </w:p>
        </w:tc>
        <w:tc>
          <w:tcPr>
            <w:tcW w:w="4860" w:type="dxa"/>
          </w:tcPr>
          <w:p w:rsidR="00892CEB" w:rsidRPr="00892CEB" w:rsidRDefault="00892CEB" w:rsidP="00892CEB">
            <w:pPr>
              <w:autoSpaceDE w:val="0"/>
              <w:autoSpaceDN w:val="0"/>
              <w:adjustRightInd w:val="0"/>
            </w:pPr>
            <w:r w:rsidRPr="00892CEB">
              <w:t>Low power mixers, also called extended range circulators, take the place of high powered mixers or the practice of using aeration for mixing in wastewater treatment ponds.  A calculator-based approach is an effective method of generating leads and administering project using the custom incentive rate and cap.</w:t>
            </w:r>
          </w:p>
        </w:tc>
      </w:tr>
    </w:tbl>
    <w:p w:rsidR="00892CEB" w:rsidRPr="00D810B4" w:rsidRDefault="00892CEB" w:rsidP="00611618">
      <w:pPr>
        <w:spacing w:line="22" w:lineRule="atLeast"/>
        <w:jc w:val="both"/>
      </w:pPr>
    </w:p>
    <w:p w:rsidR="007D1798" w:rsidRPr="00D810B4" w:rsidRDefault="007D1798">
      <w:pPr>
        <w:spacing w:line="22" w:lineRule="atLeast"/>
        <w:jc w:val="both"/>
      </w:pPr>
    </w:p>
    <w:sectPr w:rsidR="007D1798" w:rsidRPr="00D810B4" w:rsidSect="00DA58CB">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87F" w:rsidRDefault="0029087F">
      <w:r>
        <w:separator/>
      </w:r>
    </w:p>
  </w:endnote>
  <w:endnote w:type="continuationSeparator" w:id="0">
    <w:p w:rsidR="0029087F" w:rsidRDefault="00290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D2E" w:rsidRDefault="00CC1D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700051"/>
      <w:docPartObj>
        <w:docPartGallery w:val="Page Numbers (Bottom of Page)"/>
        <w:docPartUnique/>
      </w:docPartObj>
    </w:sdtPr>
    <w:sdtEndPr/>
    <w:sdtContent>
      <w:sdt>
        <w:sdtPr>
          <w:id w:val="-692461076"/>
          <w:docPartObj>
            <w:docPartGallery w:val="Page Numbers (Top of Page)"/>
            <w:docPartUnique/>
          </w:docPartObj>
        </w:sdtPr>
        <w:sdtEndPr/>
        <w:sdtContent>
          <w:p w:rsidR="00CC1D2E" w:rsidRDefault="00CC1D2E">
            <w:pPr>
              <w:pStyle w:val="Footer"/>
              <w:jc w:val="center"/>
            </w:pPr>
            <w:r>
              <w:t xml:space="preserve">Page </w:t>
            </w:r>
            <w:r>
              <w:rPr>
                <w:b/>
                <w:bCs/>
              </w:rPr>
              <w:fldChar w:fldCharType="begin"/>
            </w:r>
            <w:r>
              <w:rPr>
                <w:b/>
                <w:bCs/>
              </w:rPr>
              <w:instrText xml:space="preserve"> PAGE </w:instrText>
            </w:r>
            <w:r>
              <w:rPr>
                <w:b/>
                <w:bCs/>
              </w:rPr>
              <w:fldChar w:fldCharType="separate"/>
            </w:r>
            <w:r w:rsidR="00DE4790">
              <w:rPr>
                <w:b/>
                <w:bCs/>
                <w:noProof/>
              </w:rPr>
              <w:t>13</w:t>
            </w:r>
            <w:r>
              <w:rPr>
                <w:b/>
                <w:bCs/>
              </w:rPr>
              <w:fldChar w:fldCharType="end"/>
            </w:r>
            <w:r>
              <w:t xml:space="preserve"> of </w:t>
            </w:r>
            <w:r>
              <w:rPr>
                <w:b/>
                <w:bCs/>
              </w:rPr>
              <w:fldChar w:fldCharType="begin"/>
            </w:r>
            <w:r>
              <w:rPr>
                <w:b/>
                <w:bCs/>
              </w:rPr>
              <w:instrText xml:space="preserve"> NUMPAGES  </w:instrText>
            </w:r>
            <w:r>
              <w:rPr>
                <w:b/>
                <w:bCs/>
              </w:rPr>
              <w:fldChar w:fldCharType="separate"/>
            </w:r>
            <w:r w:rsidR="00DE4790">
              <w:rPr>
                <w:b/>
                <w:bCs/>
                <w:noProof/>
              </w:rPr>
              <w:t>13</w:t>
            </w:r>
            <w:r>
              <w:rPr>
                <w:b/>
                <w:bCs/>
              </w:rPr>
              <w:fldChar w:fldCharType="end"/>
            </w:r>
          </w:p>
        </w:sdtContent>
      </w:sdt>
    </w:sdtContent>
  </w:sdt>
  <w:p w:rsidR="00CC1D2E" w:rsidRDefault="00CC1D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2296740"/>
      <w:docPartObj>
        <w:docPartGallery w:val="Page Numbers (Bottom of Page)"/>
        <w:docPartUnique/>
      </w:docPartObj>
    </w:sdtPr>
    <w:sdtEndPr/>
    <w:sdtContent>
      <w:sdt>
        <w:sdtPr>
          <w:id w:val="-1669238322"/>
          <w:docPartObj>
            <w:docPartGallery w:val="Page Numbers (Top of Page)"/>
            <w:docPartUnique/>
          </w:docPartObj>
        </w:sdtPr>
        <w:sdtEndPr/>
        <w:sdtContent>
          <w:p w:rsidR="00CC1D2E" w:rsidRDefault="00CC1D2E">
            <w:pPr>
              <w:pStyle w:val="Footer"/>
              <w:jc w:val="center"/>
            </w:pPr>
            <w:r>
              <w:t xml:space="preserve">Page </w:t>
            </w:r>
            <w:r>
              <w:rPr>
                <w:b/>
                <w:bCs/>
              </w:rPr>
              <w:fldChar w:fldCharType="begin"/>
            </w:r>
            <w:r>
              <w:rPr>
                <w:b/>
                <w:bCs/>
              </w:rPr>
              <w:instrText xml:space="preserve"> PAGE </w:instrText>
            </w:r>
            <w:r>
              <w:rPr>
                <w:b/>
                <w:bCs/>
              </w:rPr>
              <w:fldChar w:fldCharType="separate"/>
            </w:r>
            <w:r w:rsidR="00DE479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DE4790">
              <w:rPr>
                <w:b/>
                <w:bCs/>
                <w:noProof/>
              </w:rPr>
              <w:t>13</w:t>
            </w:r>
            <w:r>
              <w:rPr>
                <w:b/>
                <w:bCs/>
              </w:rPr>
              <w:fldChar w:fldCharType="end"/>
            </w:r>
          </w:p>
        </w:sdtContent>
      </w:sdt>
    </w:sdtContent>
  </w:sdt>
  <w:p w:rsidR="00CC1D2E" w:rsidRDefault="00CC1D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87F" w:rsidRDefault="0029087F">
      <w:r>
        <w:separator/>
      </w:r>
    </w:p>
  </w:footnote>
  <w:footnote w:type="continuationSeparator" w:id="0">
    <w:p w:rsidR="0029087F" w:rsidRDefault="002908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D2E" w:rsidRDefault="00CC1D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D2E" w:rsidRDefault="00CC1D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D2E" w:rsidRDefault="00CC1D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40AE726"/>
    <w:lvl w:ilvl="0">
      <w:start w:val="1"/>
      <w:numFmt w:val="bullet"/>
      <w:lvlText w:val=""/>
      <w:lvlJc w:val="left"/>
      <w:pPr>
        <w:tabs>
          <w:tab w:val="num" w:pos="1440"/>
        </w:tabs>
        <w:ind w:left="1440" w:hanging="360"/>
      </w:pPr>
      <w:rPr>
        <w:rFonts w:ascii="Symbol" w:hAnsi="Symbol" w:hint="default"/>
      </w:rPr>
    </w:lvl>
  </w:abstractNum>
  <w:abstractNum w:abstractNumId="1">
    <w:nsid w:val="025E751A"/>
    <w:multiLevelType w:val="singleLevel"/>
    <w:tmpl w:val="436ABFDA"/>
    <w:lvl w:ilvl="0">
      <w:start w:val="1"/>
      <w:numFmt w:val="bullet"/>
      <w:pStyle w:val="b"/>
      <w:lvlText w:val=""/>
      <w:lvlJc w:val="left"/>
      <w:pPr>
        <w:tabs>
          <w:tab w:val="num" w:pos="360"/>
        </w:tabs>
        <w:ind w:left="360" w:hanging="360"/>
      </w:pPr>
      <w:rPr>
        <w:rFonts w:ascii="Wingdings" w:hAnsi="Wingdings" w:hint="default"/>
      </w:rPr>
    </w:lvl>
  </w:abstractNum>
  <w:abstractNum w:abstractNumId="2">
    <w:nsid w:val="06947FCF"/>
    <w:multiLevelType w:val="hybridMultilevel"/>
    <w:tmpl w:val="45703276"/>
    <w:lvl w:ilvl="0" w:tplc="03AC5576">
      <w:start w:val="1"/>
      <w:numFmt w:val="bullet"/>
      <w:lvlText w:val=""/>
      <w:lvlJc w:val="left"/>
      <w:pPr>
        <w:tabs>
          <w:tab w:val="num" w:pos="732"/>
        </w:tabs>
        <w:ind w:left="732" w:hanging="360"/>
      </w:pPr>
      <w:rPr>
        <w:rFonts w:ascii="Wingdings" w:hAnsi="Wingdings" w:hint="default"/>
        <w:color w:val="auto"/>
      </w:rPr>
    </w:lvl>
    <w:lvl w:ilvl="1" w:tplc="04090003">
      <w:start w:val="1"/>
      <w:numFmt w:val="bullet"/>
      <w:lvlText w:val="o"/>
      <w:lvlJc w:val="left"/>
      <w:pPr>
        <w:tabs>
          <w:tab w:val="num" w:pos="1452"/>
        </w:tabs>
        <w:ind w:left="1452" w:hanging="360"/>
      </w:pPr>
      <w:rPr>
        <w:rFonts w:ascii="Courier New" w:hAnsi="Courier New" w:hint="default"/>
      </w:rPr>
    </w:lvl>
    <w:lvl w:ilvl="2" w:tplc="04090005">
      <w:start w:val="1"/>
      <w:numFmt w:val="bullet"/>
      <w:lvlText w:val=""/>
      <w:lvlJc w:val="left"/>
      <w:pPr>
        <w:tabs>
          <w:tab w:val="num" w:pos="2172"/>
        </w:tabs>
        <w:ind w:left="2172" w:hanging="360"/>
      </w:pPr>
      <w:rPr>
        <w:rFonts w:ascii="Wingdings" w:hAnsi="Wingdings" w:hint="default"/>
      </w:rPr>
    </w:lvl>
    <w:lvl w:ilvl="3" w:tplc="04090001" w:tentative="1">
      <w:start w:val="1"/>
      <w:numFmt w:val="bullet"/>
      <w:lvlText w:val=""/>
      <w:lvlJc w:val="left"/>
      <w:pPr>
        <w:tabs>
          <w:tab w:val="num" w:pos="2892"/>
        </w:tabs>
        <w:ind w:left="2892" w:hanging="360"/>
      </w:pPr>
      <w:rPr>
        <w:rFonts w:ascii="Symbol" w:hAnsi="Symbol" w:hint="default"/>
      </w:rPr>
    </w:lvl>
    <w:lvl w:ilvl="4" w:tplc="04090003" w:tentative="1">
      <w:start w:val="1"/>
      <w:numFmt w:val="bullet"/>
      <w:lvlText w:val="o"/>
      <w:lvlJc w:val="left"/>
      <w:pPr>
        <w:tabs>
          <w:tab w:val="num" w:pos="3612"/>
        </w:tabs>
        <w:ind w:left="3612" w:hanging="360"/>
      </w:pPr>
      <w:rPr>
        <w:rFonts w:ascii="Courier New" w:hAnsi="Courier New" w:hint="default"/>
      </w:rPr>
    </w:lvl>
    <w:lvl w:ilvl="5" w:tplc="04090005" w:tentative="1">
      <w:start w:val="1"/>
      <w:numFmt w:val="bullet"/>
      <w:lvlText w:val=""/>
      <w:lvlJc w:val="left"/>
      <w:pPr>
        <w:tabs>
          <w:tab w:val="num" w:pos="4332"/>
        </w:tabs>
        <w:ind w:left="4332" w:hanging="360"/>
      </w:pPr>
      <w:rPr>
        <w:rFonts w:ascii="Wingdings" w:hAnsi="Wingdings" w:hint="default"/>
      </w:rPr>
    </w:lvl>
    <w:lvl w:ilvl="6" w:tplc="04090001" w:tentative="1">
      <w:start w:val="1"/>
      <w:numFmt w:val="bullet"/>
      <w:lvlText w:val=""/>
      <w:lvlJc w:val="left"/>
      <w:pPr>
        <w:tabs>
          <w:tab w:val="num" w:pos="5052"/>
        </w:tabs>
        <w:ind w:left="5052" w:hanging="360"/>
      </w:pPr>
      <w:rPr>
        <w:rFonts w:ascii="Symbol" w:hAnsi="Symbol" w:hint="default"/>
      </w:rPr>
    </w:lvl>
    <w:lvl w:ilvl="7" w:tplc="04090003" w:tentative="1">
      <w:start w:val="1"/>
      <w:numFmt w:val="bullet"/>
      <w:lvlText w:val="o"/>
      <w:lvlJc w:val="left"/>
      <w:pPr>
        <w:tabs>
          <w:tab w:val="num" w:pos="5772"/>
        </w:tabs>
        <w:ind w:left="5772" w:hanging="360"/>
      </w:pPr>
      <w:rPr>
        <w:rFonts w:ascii="Courier New" w:hAnsi="Courier New" w:hint="default"/>
      </w:rPr>
    </w:lvl>
    <w:lvl w:ilvl="8" w:tplc="04090005" w:tentative="1">
      <w:start w:val="1"/>
      <w:numFmt w:val="bullet"/>
      <w:lvlText w:val=""/>
      <w:lvlJc w:val="left"/>
      <w:pPr>
        <w:tabs>
          <w:tab w:val="num" w:pos="6492"/>
        </w:tabs>
        <w:ind w:left="6492" w:hanging="360"/>
      </w:pPr>
      <w:rPr>
        <w:rFonts w:ascii="Wingdings" w:hAnsi="Wingdings" w:hint="default"/>
      </w:rPr>
    </w:lvl>
  </w:abstractNum>
  <w:abstractNum w:abstractNumId="3">
    <w:nsid w:val="154A5F70"/>
    <w:multiLevelType w:val="hybridMultilevel"/>
    <w:tmpl w:val="49DCE5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FB0A3B"/>
    <w:multiLevelType w:val="hybridMultilevel"/>
    <w:tmpl w:val="47365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1A70FCB"/>
    <w:multiLevelType w:val="hybridMultilevel"/>
    <w:tmpl w:val="AE080298"/>
    <w:lvl w:ilvl="0" w:tplc="04090011">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37377C72"/>
    <w:multiLevelType w:val="hybridMultilevel"/>
    <w:tmpl w:val="EEACD796"/>
    <w:lvl w:ilvl="0" w:tplc="179E5090">
      <w:start w:val="1"/>
      <w:numFmt w:val="bullet"/>
      <w:lvlText w:val="–"/>
      <w:lvlJc w:val="left"/>
      <w:pPr>
        <w:tabs>
          <w:tab w:val="num" w:pos="720"/>
        </w:tabs>
        <w:ind w:left="720" w:hanging="360"/>
      </w:pPr>
      <w:rPr>
        <w:rFonts w:ascii="Times New Roman" w:hAnsi="Times New Roman" w:hint="default"/>
      </w:rPr>
    </w:lvl>
    <w:lvl w:ilvl="1" w:tplc="2AB0EF80" w:tentative="1">
      <w:start w:val="1"/>
      <w:numFmt w:val="bullet"/>
      <w:lvlText w:val="–"/>
      <w:lvlJc w:val="left"/>
      <w:pPr>
        <w:tabs>
          <w:tab w:val="num" w:pos="1440"/>
        </w:tabs>
        <w:ind w:left="1440" w:hanging="360"/>
      </w:pPr>
      <w:rPr>
        <w:rFonts w:ascii="Times New Roman" w:hAnsi="Times New Roman" w:hint="default"/>
      </w:rPr>
    </w:lvl>
    <w:lvl w:ilvl="2" w:tplc="8C9CD578" w:tentative="1">
      <w:start w:val="1"/>
      <w:numFmt w:val="bullet"/>
      <w:lvlText w:val="–"/>
      <w:lvlJc w:val="left"/>
      <w:pPr>
        <w:tabs>
          <w:tab w:val="num" w:pos="2160"/>
        </w:tabs>
        <w:ind w:left="2160" w:hanging="360"/>
      </w:pPr>
      <w:rPr>
        <w:rFonts w:ascii="Times New Roman" w:hAnsi="Times New Roman" w:hint="default"/>
      </w:rPr>
    </w:lvl>
    <w:lvl w:ilvl="3" w:tplc="EFB6C3F0" w:tentative="1">
      <w:start w:val="1"/>
      <w:numFmt w:val="bullet"/>
      <w:lvlText w:val="–"/>
      <w:lvlJc w:val="left"/>
      <w:pPr>
        <w:tabs>
          <w:tab w:val="num" w:pos="2880"/>
        </w:tabs>
        <w:ind w:left="2880" w:hanging="360"/>
      </w:pPr>
      <w:rPr>
        <w:rFonts w:ascii="Times New Roman" w:hAnsi="Times New Roman" w:hint="default"/>
      </w:rPr>
    </w:lvl>
    <w:lvl w:ilvl="4" w:tplc="709A4B1A" w:tentative="1">
      <w:start w:val="1"/>
      <w:numFmt w:val="bullet"/>
      <w:lvlText w:val="–"/>
      <w:lvlJc w:val="left"/>
      <w:pPr>
        <w:tabs>
          <w:tab w:val="num" w:pos="3600"/>
        </w:tabs>
        <w:ind w:left="3600" w:hanging="360"/>
      </w:pPr>
      <w:rPr>
        <w:rFonts w:ascii="Times New Roman" w:hAnsi="Times New Roman" w:hint="default"/>
      </w:rPr>
    </w:lvl>
    <w:lvl w:ilvl="5" w:tplc="74A8E31C" w:tentative="1">
      <w:start w:val="1"/>
      <w:numFmt w:val="bullet"/>
      <w:lvlText w:val="–"/>
      <w:lvlJc w:val="left"/>
      <w:pPr>
        <w:tabs>
          <w:tab w:val="num" w:pos="4320"/>
        </w:tabs>
        <w:ind w:left="4320" w:hanging="360"/>
      </w:pPr>
      <w:rPr>
        <w:rFonts w:ascii="Times New Roman" w:hAnsi="Times New Roman" w:hint="default"/>
      </w:rPr>
    </w:lvl>
    <w:lvl w:ilvl="6" w:tplc="66DC65D2" w:tentative="1">
      <w:start w:val="1"/>
      <w:numFmt w:val="bullet"/>
      <w:lvlText w:val="–"/>
      <w:lvlJc w:val="left"/>
      <w:pPr>
        <w:tabs>
          <w:tab w:val="num" w:pos="5040"/>
        </w:tabs>
        <w:ind w:left="5040" w:hanging="360"/>
      </w:pPr>
      <w:rPr>
        <w:rFonts w:ascii="Times New Roman" w:hAnsi="Times New Roman" w:hint="default"/>
      </w:rPr>
    </w:lvl>
    <w:lvl w:ilvl="7" w:tplc="C122BF00" w:tentative="1">
      <w:start w:val="1"/>
      <w:numFmt w:val="bullet"/>
      <w:lvlText w:val="–"/>
      <w:lvlJc w:val="left"/>
      <w:pPr>
        <w:tabs>
          <w:tab w:val="num" w:pos="5760"/>
        </w:tabs>
        <w:ind w:left="5760" w:hanging="360"/>
      </w:pPr>
      <w:rPr>
        <w:rFonts w:ascii="Times New Roman" w:hAnsi="Times New Roman" w:hint="default"/>
      </w:rPr>
    </w:lvl>
    <w:lvl w:ilvl="8" w:tplc="F3B28C08" w:tentative="1">
      <w:start w:val="1"/>
      <w:numFmt w:val="bullet"/>
      <w:lvlText w:val="–"/>
      <w:lvlJc w:val="left"/>
      <w:pPr>
        <w:tabs>
          <w:tab w:val="num" w:pos="6480"/>
        </w:tabs>
        <w:ind w:left="6480" w:hanging="360"/>
      </w:pPr>
      <w:rPr>
        <w:rFonts w:ascii="Times New Roman" w:hAnsi="Times New Roman" w:hint="default"/>
      </w:rPr>
    </w:lvl>
  </w:abstractNum>
  <w:abstractNum w:abstractNumId="7">
    <w:nsid w:val="62AF1187"/>
    <w:multiLevelType w:val="hybridMultilevel"/>
    <w:tmpl w:val="A948CE66"/>
    <w:lvl w:ilvl="0" w:tplc="CEFA07EC">
      <w:start w:val="1"/>
      <w:numFmt w:val="decimal"/>
      <w:lvlText w:val="%1."/>
      <w:lvlJc w:val="left"/>
      <w:pPr>
        <w:tabs>
          <w:tab w:val="num" w:pos="720"/>
        </w:tabs>
        <w:ind w:left="720" w:hanging="360"/>
      </w:pPr>
      <w:rPr>
        <w:rFonts w:cs="Times New Roman"/>
        <w:b w:val="0"/>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93D12EF"/>
    <w:multiLevelType w:val="hybridMultilevel"/>
    <w:tmpl w:val="3B82685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6834214"/>
    <w:multiLevelType w:val="hybridMultilevel"/>
    <w:tmpl w:val="6FF0D57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A456996"/>
    <w:multiLevelType w:val="hybridMultilevel"/>
    <w:tmpl w:val="C1B4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6703BF"/>
    <w:multiLevelType w:val="hybridMultilevel"/>
    <w:tmpl w:val="4E463A4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7B3E57FE"/>
    <w:multiLevelType w:val="hybridMultilevel"/>
    <w:tmpl w:val="F356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6977FF"/>
    <w:multiLevelType w:val="hybridMultilevel"/>
    <w:tmpl w:val="8DC690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F890610"/>
    <w:multiLevelType w:val="hybridMultilevel"/>
    <w:tmpl w:val="91A61B9E"/>
    <w:lvl w:ilvl="0" w:tplc="0409000F">
      <w:start w:val="11"/>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14"/>
  </w:num>
  <w:num w:numId="3">
    <w:abstractNumId w:val="13"/>
  </w:num>
  <w:num w:numId="4">
    <w:abstractNumId w:val="1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11"/>
  </w:num>
  <w:num w:numId="9">
    <w:abstractNumId w:val="2"/>
  </w:num>
  <w:num w:numId="10">
    <w:abstractNumId w:val="3"/>
  </w:num>
  <w:num w:numId="11">
    <w:abstractNumId w:val="1"/>
  </w:num>
  <w:num w:numId="12">
    <w:abstractNumId w:val="0"/>
  </w:num>
  <w:num w:numId="13">
    <w:abstractNumId w:val="9"/>
  </w:num>
  <w:num w:numId="14">
    <w:abstractNumId w:val="4"/>
  </w:num>
  <w:num w:numId="15">
    <w:abstractNumId w:val="8"/>
  </w:num>
  <w:num w:numId="16">
    <w:abstractNumId w:val="1"/>
  </w:num>
  <w:num w:numId="17">
    <w:abstractNumId w:val="1"/>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90D"/>
    <w:rsid w:val="00000F48"/>
    <w:rsid w:val="00001A22"/>
    <w:rsid w:val="00002558"/>
    <w:rsid w:val="00011749"/>
    <w:rsid w:val="000118F0"/>
    <w:rsid w:val="000136F4"/>
    <w:rsid w:val="0001572B"/>
    <w:rsid w:val="00017D19"/>
    <w:rsid w:val="00020381"/>
    <w:rsid w:val="00022F86"/>
    <w:rsid w:val="00031A74"/>
    <w:rsid w:val="00031E4E"/>
    <w:rsid w:val="00033432"/>
    <w:rsid w:val="00033F85"/>
    <w:rsid w:val="00034B39"/>
    <w:rsid w:val="00035403"/>
    <w:rsid w:val="000365E3"/>
    <w:rsid w:val="000372EC"/>
    <w:rsid w:val="000376F6"/>
    <w:rsid w:val="00037C73"/>
    <w:rsid w:val="00040C36"/>
    <w:rsid w:val="000415C5"/>
    <w:rsid w:val="00042018"/>
    <w:rsid w:val="00042A31"/>
    <w:rsid w:val="00043A48"/>
    <w:rsid w:val="000461AA"/>
    <w:rsid w:val="0005152A"/>
    <w:rsid w:val="0005163B"/>
    <w:rsid w:val="00051EE8"/>
    <w:rsid w:val="0005271D"/>
    <w:rsid w:val="00052B9E"/>
    <w:rsid w:val="00053B8C"/>
    <w:rsid w:val="00053F83"/>
    <w:rsid w:val="00054262"/>
    <w:rsid w:val="0005455A"/>
    <w:rsid w:val="00055348"/>
    <w:rsid w:val="00064EB6"/>
    <w:rsid w:val="0006743A"/>
    <w:rsid w:val="00074752"/>
    <w:rsid w:val="00075B0B"/>
    <w:rsid w:val="000760CC"/>
    <w:rsid w:val="000821F7"/>
    <w:rsid w:val="00082583"/>
    <w:rsid w:val="00083639"/>
    <w:rsid w:val="00083A72"/>
    <w:rsid w:val="00085418"/>
    <w:rsid w:val="000864B4"/>
    <w:rsid w:val="00090830"/>
    <w:rsid w:val="00091953"/>
    <w:rsid w:val="000923B7"/>
    <w:rsid w:val="000936F8"/>
    <w:rsid w:val="000946CE"/>
    <w:rsid w:val="00095F2F"/>
    <w:rsid w:val="000A00ED"/>
    <w:rsid w:val="000A18B8"/>
    <w:rsid w:val="000A2C23"/>
    <w:rsid w:val="000A3B47"/>
    <w:rsid w:val="000A4BA2"/>
    <w:rsid w:val="000A612E"/>
    <w:rsid w:val="000A6617"/>
    <w:rsid w:val="000A6932"/>
    <w:rsid w:val="000A6D84"/>
    <w:rsid w:val="000B1805"/>
    <w:rsid w:val="000B297C"/>
    <w:rsid w:val="000B29B0"/>
    <w:rsid w:val="000B2D2D"/>
    <w:rsid w:val="000B2D6B"/>
    <w:rsid w:val="000B30D0"/>
    <w:rsid w:val="000B4277"/>
    <w:rsid w:val="000B76A4"/>
    <w:rsid w:val="000B77A2"/>
    <w:rsid w:val="000C175C"/>
    <w:rsid w:val="000C3C57"/>
    <w:rsid w:val="000C4635"/>
    <w:rsid w:val="000C47D2"/>
    <w:rsid w:val="000C533C"/>
    <w:rsid w:val="000C603E"/>
    <w:rsid w:val="000C7DDA"/>
    <w:rsid w:val="000D034E"/>
    <w:rsid w:val="000D1CA3"/>
    <w:rsid w:val="000D413B"/>
    <w:rsid w:val="000D4B29"/>
    <w:rsid w:val="000D5273"/>
    <w:rsid w:val="000D57FA"/>
    <w:rsid w:val="000D6E2E"/>
    <w:rsid w:val="000E1A04"/>
    <w:rsid w:val="000E333F"/>
    <w:rsid w:val="000E41C4"/>
    <w:rsid w:val="000E5610"/>
    <w:rsid w:val="000F2068"/>
    <w:rsid w:val="000F274C"/>
    <w:rsid w:val="000F47F1"/>
    <w:rsid w:val="000F542B"/>
    <w:rsid w:val="00100109"/>
    <w:rsid w:val="001008AA"/>
    <w:rsid w:val="001038C6"/>
    <w:rsid w:val="001064B2"/>
    <w:rsid w:val="0010727A"/>
    <w:rsid w:val="0011143E"/>
    <w:rsid w:val="00112803"/>
    <w:rsid w:val="00113E9C"/>
    <w:rsid w:val="00113F35"/>
    <w:rsid w:val="00114CF1"/>
    <w:rsid w:val="00115C83"/>
    <w:rsid w:val="001227B2"/>
    <w:rsid w:val="00124C1A"/>
    <w:rsid w:val="0012573A"/>
    <w:rsid w:val="001268E1"/>
    <w:rsid w:val="001269A2"/>
    <w:rsid w:val="00126A9D"/>
    <w:rsid w:val="001276A7"/>
    <w:rsid w:val="00127F12"/>
    <w:rsid w:val="00130DFF"/>
    <w:rsid w:val="001310F8"/>
    <w:rsid w:val="001338DC"/>
    <w:rsid w:val="001342EE"/>
    <w:rsid w:val="00134CE1"/>
    <w:rsid w:val="0013511E"/>
    <w:rsid w:val="0013723F"/>
    <w:rsid w:val="0014009C"/>
    <w:rsid w:val="00142A42"/>
    <w:rsid w:val="001431BF"/>
    <w:rsid w:val="0014405A"/>
    <w:rsid w:val="00144B32"/>
    <w:rsid w:val="00146E37"/>
    <w:rsid w:val="00147A44"/>
    <w:rsid w:val="00151965"/>
    <w:rsid w:val="00152B52"/>
    <w:rsid w:val="00153040"/>
    <w:rsid w:val="00154AC3"/>
    <w:rsid w:val="00154BCE"/>
    <w:rsid w:val="00156222"/>
    <w:rsid w:val="00157169"/>
    <w:rsid w:val="00162FF9"/>
    <w:rsid w:val="00163AC8"/>
    <w:rsid w:val="00167264"/>
    <w:rsid w:val="00167D43"/>
    <w:rsid w:val="00171BAD"/>
    <w:rsid w:val="001732D8"/>
    <w:rsid w:val="00173CD0"/>
    <w:rsid w:val="001747B0"/>
    <w:rsid w:val="001748DE"/>
    <w:rsid w:val="00174BAB"/>
    <w:rsid w:val="0017513A"/>
    <w:rsid w:val="00176130"/>
    <w:rsid w:val="001779A0"/>
    <w:rsid w:val="00181175"/>
    <w:rsid w:val="00182FA0"/>
    <w:rsid w:val="00185DE5"/>
    <w:rsid w:val="00187AF9"/>
    <w:rsid w:val="001919F5"/>
    <w:rsid w:val="00191C31"/>
    <w:rsid w:val="00192C28"/>
    <w:rsid w:val="0019490E"/>
    <w:rsid w:val="00194DAC"/>
    <w:rsid w:val="00195E4F"/>
    <w:rsid w:val="00197A73"/>
    <w:rsid w:val="001A0594"/>
    <w:rsid w:val="001A0C34"/>
    <w:rsid w:val="001A476F"/>
    <w:rsid w:val="001A7433"/>
    <w:rsid w:val="001A790D"/>
    <w:rsid w:val="001A79E6"/>
    <w:rsid w:val="001B0E55"/>
    <w:rsid w:val="001B1898"/>
    <w:rsid w:val="001B377E"/>
    <w:rsid w:val="001B7899"/>
    <w:rsid w:val="001C0EF0"/>
    <w:rsid w:val="001C28F5"/>
    <w:rsid w:val="001C395E"/>
    <w:rsid w:val="001C44B4"/>
    <w:rsid w:val="001C6494"/>
    <w:rsid w:val="001D0873"/>
    <w:rsid w:val="001D2007"/>
    <w:rsid w:val="001D21EE"/>
    <w:rsid w:val="001D2C19"/>
    <w:rsid w:val="001D374C"/>
    <w:rsid w:val="001D45D4"/>
    <w:rsid w:val="001D4957"/>
    <w:rsid w:val="001D6767"/>
    <w:rsid w:val="001D7E14"/>
    <w:rsid w:val="001E5E30"/>
    <w:rsid w:val="001F19C1"/>
    <w:rsid w:val="001F2B31"/>
    <w:rsid w:val="001F2EB9"/>
    <w:rsid w:val="001F3032"/>
    <w:rsid w:val="001F3B99"/>
    <w:rsid w:val="002006B8"/>
    <w:rsid w:val="00201192"/>
    <w:rsid w:val="00201CDB"/>
    <w:rsid w:val="00205457"/>
    <w:rsid w:val="00205C86"/>
    <w:rsid w:val="0020693C"/>
    <w:rsid w:val="00206E07"/>
    <w:rsid w:val="00210A6C"/>
    <w:rsid w:val="00210BEF"/>
    <w:rsid w:val="00211809"/>
    <w:rsid w:val="00211979"/>
    <w:rsid w:val="00214706"/>
    <w:rsid w:val="0021720B"/>
    <w:rsid w:val="00217B1C"/>
    <w:rsid w:val="00217E56"/>
    <w:rsid w:val="00222ADE"/>
    <w:rsid w:val="002240A0"/>
    <w:rsid w:val="00224F3E"/>
    <w:rsid w:val="00226128"/>
    <w:rsid w:val="00226D80"/>
    <w:rsid w:val="002278EA"/>
    <w:rsid w:val="00227D42"/>
    <w:rsid w:val="00230C67"/>
    <w:rsid w:val="00231F46"/>
    <w:rsid w:val="002338D8"/>
    <w:rsid w:val="00241C22"/>
    <w:rsid w:val="00245A91"/>
    <w:rsid w:val="00245F62"/>
    <w:rsid w:val="00247330"/>
    <w:rsid w:val="0024738C"/>
    <w:rsid w:val="00247694"/>
    <w:rsid w:val="00251E11"/>
    <w:rsid w:val="00254798"/>
    <w:rsid w:val="002547FA"/>
    <w:rsid w:val="00254B80"/>
    <w:rsid w:val="00255248"/>
    <w:rsid w:val="00256297"/>
    <w:rsid w:val="0025775C"/>
    <w:rsid w:val="0026121B"/>
    <w:rsid w:val="00261588"/>
    <w:rsid w:val="00262A67"/>
    <w:rsid w:val="00263C5A"/>
    <w:rsid w:val="00267806"/>
    <w:rsid w:val="00267E0E"/>
    <w:rsid w:val="002721DA"/>
    <w:rsid w:val="00272354"/>
    <w:rsid w:val="0027252F"/>
    <w:rsid w:val="00272536"/>
    <w:rsid w:val="00272D08"/>
    <w:rsid w:val="0027443B"/>
    <w:rsid w:val="00274D67"/>
    <w:rsid w:val="00276951"/>
    <w:rsid w:val="0027743E"/>
    <w:rsid w:val="00282625"/>
    <w:rsid w:val="00284426"/>
    <w:rsid w:val="00284672"/>
    <w:rsid w:val="0029087F"/>
    <w:rsid w:val="00295F7F"/>
    <w:rsid w:val="0029607A"/>
    <w:rsid w:val="00296C9F"/>
    <w:rsid w:val="00297BC3"/>
    <w:rsid w:val="002A03D9"/>
    <w:rsid w:val="002A5AAC"/>
    <w:rsid w:val="002A76DB"/>
    <w:rsid w:val="002A778A"/>
    <w:rsid w:val="002B2015"/>
    <w:rsid w:val="002B32EF"/>
    <w:rsid w:val="002B7C31"/>
    <w:rsid w:val="002C6874"/>
    <w:rsid w:val="002D0101"/>
    <w:rsid w:val="002D070D"/>
    <w:rsid w:val="002D21AE"/>
    <w:rsid w:val="002D251C"/>
    <w:rsid w:val="002D33B1"/>
    <w:rsid w:val="002D3887"/>
    <w:rsid w:val="002D5768"/>
    <w:rsid w:val="002D5B0A"/>
    <w:rsid w:val="002D5BA5"/>
    <w:rsid w:val="002D6487"/>
    <w:rsid w:val="002D6795"/>
    <w:rsid w:val="002D75BB"/>
    <w:rsid w:val="002D7FED"/>
    <w:rsid w:val="002E04C7"/>
    <w:rsid w:val="002E0E16"/>
    <w:rsid w:val="002E6039"/>
    <w:rsid w:val="002F1E8C"/>
    <w:rsid w:val="002F4DB7"/>
    <w:rsid w:val="002F5FCC"/>
    <w:rsid w:val="002F65D7"/>
    <w:rsid w:val="00301083"/>
    <w:rsid w:val="003012C8"/>
    <w:rsid w:val="00301C17"/>
    <w:rsid w:val="00303668"/>
    <w:rsid w:val="003054F2"/>
    <w:rsid w:val="00305E48"/>
    <w:rsid w:val="00306E93"/>
    <w:rsid w:val="00311A60"/>
    <w:rsid w:val="00314DF8"/>
    <w:rsid w:val="00316750"/>
    <w:rsid w:val="00316DA7"/>
    <w:rsid w:val="00317411"/>
    <w:rsid w:val="003176E5"/>
    <w:rsid w:val="00320263"/>
    <w:rsid w:val="003243D5"/>
    <w:rsid w:val="0032687D"/>
    <w:rsid w:val="00327254"/>
    <w:rsid w:val="00327B63"/>
    <w:rsid w:val="00327BE6"/>
    <w:rsid w:val="00330AF2"/>
    <w:rsid w:val="00331197"/>
    <w:rsid w:val="00331708"/>
    <w:rsid w:val="00342712"/>
    <w:rsid w:val="003452DC"/>
    <w:rsid w:val="00350563"/>
    <w:rsid w:val="00351FF9"/>
    <w:rsid w:val="003521CB"/>
    <w:rsid w:val="00357783"/>
    <w:rsid w:val="003618BC"/>
    <w:rsid w:val="00363110"/>
    <w:rsid w:val="00363355"/>
    <w:rsid w:val="00370945"/>
    <w:rsid w:val="00374F17"/>
    <w:rsid w:val="00375A29"/>
    <w:rsid w:val="00383008"/>
    <w:rsid w:val="003830FE"/>
    <w:rsid w:val="00383A6E"/>
    <w:rsid w:val="00386E09"/>
    <w:rsid w:val="00386E7F"/>
    <w:rsid w:val="00391055"/>
    <w:rsid w:val="003942FB"/>
    <w:rsid w:val="00395E7E"/>
    <w:rsid w:val="003A0A37"/>
    <w:rsid w:val="003A1669"/>
    <w:rsid w:val="003A511A"/>
    <w:rsid w:val="003A7756"/>
    <w:rsid w:val="003A7B81"/>
    <w:rsid w:val="003B0114"/>
    <w:rsid w:val="003B023E"/>
    <w:rsid w:val="003B1833"/>
    <w:rsid w:val="003B2BFF"/>
    <w:rsid w:val="003B4B74"/>
    <w:rsid w:val="003B4E94"/>
    <w:rsid w:val="003C0F89"/>
    <w:rsid w:val="003C12E1"/>
    <w:rsid w:val="003C15FA"/>
    <w:rsid w:val="003C3DDC"/>
    <w:rsid w:val="003C3FF9"/>
    <w:rsid w:val="003C4490"/>
    <w:rsid w:val="003C59D1"/>
    <w:rsid w:val="003C6583"/>
    <w:rsid w:val="003C7C94"/>
    <w:rsid w:val="003D35E1"/>
    <w:rsid w:val="003D40C9"/>
    <w:rsid w:val="003D4D57"/>
    <w:rsid w:val="003D7D6E"/>
    <w:rsid w:val="003E1C2B"/>
    <w:rsid w:val="003E2BDE"/>
    <w:rsid w:val="003E4BCF"/>
    <w:rsid w:val="003E5624"/>
    <w:rsid w:val="003E5DFF"/>
    <w:rsid w:val="003E68FC"/>
    <w:rsid w:val="003F1BDC"/>
    <w:rsid w:val="003F2391"/>
    <w:rsid w:val="003F342B"/>
    <w:rsid w:val="003F5624"/>
    <w:rsid w:val="003F746E"/>
    <w:rsid w:val="003F76D6"/>
    <w:rsid w:val="00400347"/>
    <w:rsid w:val="00400CA1"/>
    <w:rsid w:val="00402813"/>
    <w:rsid w:val="00402BBA"/>
    <w:rsid w:val="0040439B"/>
    <w:rsid w:val="00404486"/>
    <w:rsid w:val="00405770"/>
    <w:rsid w:val="00406E80"/>
    <w:rsid w:val="00411025"/>
    <w:rsid w:val="004123DA"/>
    <w:rsid w:val="00412E82"/>
    <w:rsid w:val="00413BDF"/>
    <w:rsid w:val="00415807"/>
    <w:rsid w:val="00417B0B"/>
    <w:rsid w:val="0042193E"/>
    <w:rsid w:val="00427A82"/>
    <w:rsid w:val="004301A8"/>
    <w:rsid w:val="004306F3"/>
    <w:rsid w:val="004317E7"/>
    <w:rsid w:val="00432953"/>
    <w:rsid w:val="00433998"/>
    <w:rsid w:val="00434B49"/>
    <w:rsid w:val="004379D1"/>
    <w:rsid w:val="00437B60"/>
    <w:rsid w:val="00442E75"/>
    <w:rsid w:val="00443DA7"/>
    <w:rsid w:val="00444B37"/>
    <w:rsid w:val="004450CE"/>
    <w:rsid w:val="0044587C"/>
    <w:rsid w:val="004458EC"/>
    <w:rsid w:val="0045081D"/>
    <w:rsid w:val="0045353E"/>
    <w:rsid w:val="00455B48"/>
    <w:rsid w:val="00457079"/>
    <w:rsid w:val="004615DC"/>
    <w:rsid w:val="004618A1"/>
    <w:rsid w:val="00462B7C"/>
    <w:rsid w:val="00462D62"/>
    <w:rsid w:val="0046469D"/>
    <w:rsid w:val="0046504D"/>
    <w:rsid w:val="00465582"/>
    <w:rsid w:val="004660A9"/>
    <w:rsid w:val="0046655D"/>
    <w:rsid w:val="00466CB9"/>
    <w:rsid w:val="0046731C"/>
    <w:rsid w:val="00470B36"/>
    <w:rsid w:val="00470E50"/>
    <w:rsid w:val="00474595"/>
    <w:rsid w:val="00474F7E"/>
    <w:rsid w:val="0047539F"/>
    <w:rsid w:val="00476AC5"/>
    <w:rsid w:val="0047727C"/>
    <w:rsid w:val="0048102D"/>
    <w:rsid w:val="004850E0"/>
    <w:rsid w:val="0048592B"/>
    <w:rsid w:val="00486685"/>
    <w:rsid w:val="00486A12"/>
    <w:rsid w:val="00487904"/>
    <w:rsid w:val="0049148F"/>
    <w:rsid w:val="00492090"/>
    <w:rsid w:val="0049277F"/>
    <w:rsid w:val="00493A86"/>
    <w:rsid w:val="004968D0"/>
    <w:rsid w:val="004977E4"/>
    <w:rsid w:val="004A019E"/>
    <w:rsid w:val="004A0DDE"/>
    <w:rsid w:val="004A0F79"/>
    <w:rsid w:val="004A42D5"/>
    <w:rsid w:val="004A5B1F"/>
    <w:rsid w:val="004B08B1"/>
    <w:rsid w:val="004B27CA"/>
    <w:rsid w:val="004B2836"/>
    <w:rsid w:val="004B2C6D"/>
    <w:rsid w:val="004B2DC6"/>
    <w:rsid w:val="004B2F1C"/>
    <w:rsid w:val="004B32CA"/>
    <w:rsid w:val="004B3F86"/>
    <w:rsid w:val="004B4935"/>
    <w:rsid w:val="004B559D"/>
    <w:rsid w:val="004B6040"/>
    <w:rsid w:val="004C0D62"/>
    <w:rsid w:val="004C22AB"/>
    <w:rsid w:val="004C22CB"/>
    <w:rsid w:val="004C3CE0"/>
    <w:rsid w:val="004C5171"/>
    <w:rsid w:val="004C5AEF"/>
    <w:rsid w:val="004C698B"/>
    <w:rsid w:val="004C74FB"/>
    <w:rsid w:val="004C796C"/>
    <w:rsid w:val="004D013D"/>
    <w:rsid w:val="004D1651"/>
    <w:rsid w:val="004D4897"/>
    <w:rsid w:val="004D49DA"/>
    <w:rsid w:val="004D7E5E"/>
    <w:rsid w:val="004D7E9D"/>
    <w:rsid w:val="004E4A7A"/>
    <w:rsid w:val="004E5A13"/>
    <w:rsid w:val="004E71E8"/>
    <w:rsid w:val="004E7C3E"/>
    <w:rsid w:val="004F03AE"/>
    <w:rsid w:val="004F0871"/>
    <w:rsid w:val="004F1189"/>
    <w:rsid w:val="004F14E7"/>
    <w:rsid w:val="004F5008"/>
    <w:rsid w:val="004F7D99"/>
    <w:rsid w:val="00501613"/>
    <w:rsid w:val="005048C8"/>
    <w:rsid w:val="00510C43"/>
    <w:rsid w:val="0051244F"/>
    <w:rsid w:val="005146BD"/>
    <w:rsid w:val="005156F6"/>
    <w:rsid w:val="00515F60"/>
    <w:rsid w:val="005176A6"/>
    <w:rsid w:val="00517E06"/>
    <w:rsid w:val="00522C62"/>
    <w:rsid w:val="0052564E"/>
    <w:rsid w:val="00525823"/>
    <w:rsid w:val="00527ACC"/>
    <w:rsid w:val="005406A2"/>
    <w:rsid w:val="00540FB3"/>
    <w:rsid w:val="005411FE"/>
    <w:rsid w:val="0054539D"/>
    <w:rsid w:val="00547157"/>
    <w:rsid w:val="00550363"/>
    <w:rsid w:val="005509D2"/>
    <w:rsid w:val="005520D0"/>
    <w:rsid w:val="00561717"/>
    <w:rsid w:val="00562EED"/>
    <w:rsid w:val="00563422"/>
    <w:rsid w:val="0056379A"/>
    <w:rsid w:val="00563DCC"/>
    <w:rsid w:val="0056734F"/>
    <w:rsid w:val="00570F02"/>
    <w:rsid w:val="00570F7A"/>
    <w:rsid w:val="005736FA"/>
    <w:rsid w:val="005743EB"/>
    <w:rsid w:val="00575733"/>
    <w:rsid w:val="005758D2"/>
    <w:rsid w:val="00577AC2"/>
    <w:rsid w:val="00577C1D"/>
    <w:rsid w:val="00581F72"/>
    <w:rsid w:val="00582127"/>
    <w:rsid w:val="00582165"/>
    <w:rsid w:val="00582CC9"/>
    <w:rsid w:val="00583518"/>
    <w:rsid w:val="00583BA3"/>
    <w:rsid w:val="00585023"/>
    <w:rsid w:val="00585610"/>
    <w:rsid w:val="00587FE7"/>
    <w:rsid w:val="00591888"/>
    <w:rsid w:val="00591962"/>
    <w:rsid w:val="00591DB8"/>
    <w:rsid w:val="0059230A"/>
    <w:rsid w:val="00594435"/>
    <w:rsid w:val="005971BF"/>
    <w:rsid w:val="005A0ABC"/>
    <w:rsid w:val="005A1127"/>
    <w:rsid w:val="005A11A1"/>
    <w:rsid w:val="005A15BD"/>
    <w:rsid w:val="005A15C4"/>
    <w:rsid w:val="005A4159"/>
    <w:rsid w:val="005A50F0"/>
    <w:rsid w:val="005A5315"/>
    <w:rsid w:val="005A5B56"/>
    <w:rsid w:val="005A773D"/>
    <w:rsid w:val="005B0100"/>
    <w:rsid w:val="005B0131"/>
    <w:rsid w:val="005B073C"/>
    <w:rsid w:val="005B0FCB"/>
    <w:rsid w:val="005B293A"/>
    <w:rsid w:val="005B40B2"/>
    <w:rsid w:val="005B4B2C"/>
    <w:rsid w:val="005B4CAA"/>
    <w:rsid w:val="005B5EF4"/>
    <w:rsid w:val="005B73D9"/>
    <w:rsid w:val="005B7516"/>
    <w:rsid w:val="005B7EEE"/>
    <w:rsid w:val="005C1E21"/>
    <w:rsid w:val="005C31A3"/>
    <w:rsid w:val="005C555F"/>
    <w:rsid w:val="005C5B75"/>
    <w:rsid w:val="005C5F44"/>
    <w:rsid w:val="005D10D6"/>
    <w:rsid w:val="005D217D"/>
    <w:rsid w:val="005D28F5"/>
    <w:rsid w:val="005D31F0"/>
    <w:rsid w:val="005D5A11"/>
    <w:rsid w:val="005D61E0"/>
    <w:rsid w:val="005D7CA4"/>
    <w:rsid w:val="005E3273"/>
    <w:rsid w:val="005E4558"/>
    <w:rsid w:val="005E5048"/>
    <w:rsid w:val="005E51D2"/>
    <w:rsid w:val="005E726A"/>
    <w:rsid w:val="005F0CC7"/>
    <w:rsid w:val="005F31ED"/>
    <w:rsid w:val="005F3308"/>
    <w:rsid w:val="005F345C"/>
    <w:rsid w:val="005F4E64"/>
    <w:rsid w:val="005F4E9B"/>
    <w:rsid w:val="005F5F2C"/>
    <w:rsid w:val="005F6AFC"/>
    <w:rsid w:val="005F7024"/>
    <w:rsid w:val="005F75B1"/>
    <w:rsid w:val="005F7C54"/>
    <w:rsid w:val="00603134"/>
    <w:rsid w:val="006051C7"/>
    <w:rsid w:val="006071AD"/>
    <w:rsid w:val="006071F2"/>
    <w:rsid w:val="006112C0"/>
    <w:rsid w:val="00611618"/>
    <w:rsid w:val="00612A81"/>
    <w:rsid w:val="00621BC0"/>
    <w:rsid w:val="00623345"/>
    <w:rsid w:val="006245E5"/>
    <w:rsid w:val="0062747F"/>
    <w:rsid w:val="00627A86"/>
    <w:rsid w:val="00627CD2"/>
    <w:rsid w:val="00631B9D"/>
    <w:rsid w:val="00632DD4"/>
    <w:rsid w:val="00635A63"/>
    <w:rsid w:val="006362C2"/>
    <w:rsid w:val="00640219"/>
    <w:rsid w:val="0064059B"/>
    <w:rsid w:val="00640A64"/>
    <w:rsid w:val="0064480A"/>
    <w:rsid w:val="00644C26"/>
    <w:rsid w:val="006472AB"/>
    <w:rsid w:val="00650AE7"/>
    <w:rsid w:val="0065393F"/>
    <w:rsid w:val="006543C3"/>
    <w:rsid w:val="00654C10"/>
    <w:rsid w:val="006561A3"/>
    <w:rsid w:val="00657FC5"/>
    <w:rsid w:val="006619C3"/>
    <w:rsid w:val="006631FB"/>
    <w:rsid w:val="006645C1"/>
    <w:rsid w:val="006650B5"/>
    <w:rsid w:val="00667F30"/>
    <w:rsid w:val="0067068F"/>
    <w:rsid w:val="0067169B"/>
    <w:rsid w:val="006717D5"/>
    <w:rsid w:val="00671A1E"/>
    <w:rsid w:val="0067253E"/>
    <w:rsid w:val="006729A5"/>
    <w:rsid w:val="00674FEB"/>
    <w:rsid w:val="00675897"/>
    <w:rsid w:val="00677091"/>
    <w:rsid w:val="00677E20"/>
    <w:rsid w:val="00681C59"/>
    <w:rsid w:val="00681EA2"/>
    <w:rsid w:val="006863DD"/>
    <w:rsid w:val="0068682A"/>
    <w:rsid w:val="00695208"/>
    <w:rsid w:val="006971BE"/>
    <w:rsid w:val="006A22EB"/>
    <w:rsid w:val="006A558A"/>
    <w:rsid w:val="006A6156"/>
    <w:rsid w:val="006A6562"/>
    <w:rsid w:val="006B12B5"/>
    <w:rsid w:val="006B263D"/>
    <w:rsid w:val="006B4008"/>
    <w:rsid w:val="006B5138"/>
    <w:rsid w:val="006B6160"/>
    <w:rsid w:val="006B63A6"/>
    <w:rsid w:val="006B6DAE"/>
    <w:rsid w:val="006B7D7C"/>
    <w:rsid w:val="006C18F7"/>
    <w:rsid w:val="006C4309"/>
    <w:rsid w:val="006C6104"/>
    <w:rsid w:val="006C61A5"/>
    <w:rsid w:val="006C72D0"/>
    <w:rsid w:val="006D2867"/>
    <w:rsid w:val="006D30B9"/>
    <w:rsid w:val="006D311F"/>
    <w:rsid w:val="006D390D"/>
    <w:rsid w:val="006D4E72"/>
    <w:rsid w:val="006D6609"/>
    <w:rsid w:val="006D6A2A"/>
    <w:rsid w:val="006D7C5A"/>
    <w:rsid w:val="006D7C75"/>
    <w:rsid w:val="006E0425"/>
    <w:rsid w:val="006E0ADF"/>
    <w:rsid w:val="006E2600"/>
    <w:rsid w:val="006E55C4"/>
    <w:rsid w:val="006E63A9"/>
    <w:rsid w:val="006E6F88"/>
    <w:rsid w:val="006F223D"/>
    <w:rsid w:val="006F3BA1"/>
    <w:rsid w:val="006F3DCC"/>
    <w:rsid w:val="006F56CE"/>
    <w:rsid w:val="006F7BAA"/>
    <w:rsid w:val="00700AD0"/>
    <w:rsid w:val="007011D2"/>
    <w:rsid w:val="00702A16"/>
    <w:rsid w:val="00706103"/>
    <w:rsid w:val="0070672F"/>
    <w:rsid w:val="00706ADC"/>
    <w:rsid w:val="00711271"/>
    <w:rsid w:val="0071208D"/>
    <w:rsid w:val="00712AAC"/>
    <w:rsid w:val="00713060"/>
    <w:rsid w:val="007137A5"/>
    <w:rsid w:val="00715E9F"/>
    <w:rsid w:val="00716AB9"/>
    <w:rsid w:val="0072151D"/>
    <w:rsid w:val="00721B51"/>
    <w:rsid w:val="00723095"/>
    <w:rsid w:val="007266FE"/>
    <w:rsid w:val="00726EDB"/>
    <w:rsid w:val="007301DF"/>
    <w:rsid w:val="00730D1F"/>
    <w:rsid w:val="00731380"/>
    <w:rsid w:val="00731C81"/>
    <w:rsid w:val="00732CCF"/>
    <w:rsid w:val="00733623"/>
    <w:rsid w:val="00734B29"/>
    <w:rsid w:val="00735C8B"/>
    <w:rsid w:val="007362E1"/>
    <w:rsid w:val="00736430"/>
    <w:rsid w:val="00736D9C"/>
    <w:rsid w:val="00741304"/>
    <w:rsid w:val="00743551"/>
    <w:rsid w:val="00743C3D"/>
    <w:rsid w:val="00745256"/>
    <w:rsid w:val="00746261"/>
    <w:rsid w:val="0074747E"/>
    <w:rsid w:val="007523D9"/>
    <w:rsid w:val="00752A9E"/>
    <w:rsid w:val="007531CB"/>
    <w:rsid w:val="00754CF8"/>
    <w:rsid w:val="00756D95"/>
    <w:rsid w:val="00760362"/>
    <w:rsid w:val="00760CE8"/>
    <w:rsid w:val="0076137A"/>
    <w:rsid w:val="0076186C"/>
    <w:rsid w:val="00762322"/>
    <w:rsid w:val="007627FA"/>
    <w:rsid w:val="00762E2E"/>
    <w:rsid w:val="00762E51"/>
    <w:rsid w:val="00763E6E"/>
    <w:rsid w:val="00764AE5"/>
    <w:rsid w:val="00765FE5"/>
    <w:rsid w:val="00767CFA"/>
    <w:rsid w:val="0077070E"/>
    <w:rsid w:val="007727AB"/>
    <w:rsid w:val="00775A4A"/>
    <w:rsid w:val="0078203B"/>
    <w:rsid w:val="007860A4"/>
    <w:rsid w:val="007862DB"/>
    <w:rsid w:val="00786A4A"/>
    <w:rsid w:val="00786D9D"/>
    <w:rsid w:val="007876F0"/>
    <w:rsid w:val="00790586"/>
    <w:rsid w:val="00792224"/>
    <w:rsid w:val="00792CB0"/>
    <w:rsid w:val="00794C36"/>
    <w:rsid w:val="007965DF"/>
    <w:rsid w:val="0079688C"/>
    <w:rsid w:val="007A1297"/>
    <w:rsid w:val="007A23FE"/>
    <w:rsid w:val="007A46E5"/>
    <w:rsid w:val="007A4CF8"/>
    <w:rsid w:val="007A6235"/>
    <w:rsid w:val="007A7C8D"/>
    <w:rsid w:val="007A7FC8"/>
    <w:rsid w:val="007B2B5B"/>
    <w:rsid w:val="007B34F9"/>
    <w:rsid w:val="007B3896"/>
    <w:rsid w:val="007B4442"/>
    <w:rsid w:val="007B540D"/>
    <w:rsid w:val="007B5704"/>
    <w:rsid w:val="007B5859"/>
    <w:rsid w:val="007C0E17"/>
    <w:rsid w:val="007C2964"/>
    <w:rsid w:val="007C3986"/>
    <w:rsid w:val="007C521C"/>
    <w:rsid w:val="007C54F9"/>
    <w:rsid w:val="007C57BF"/>
    <w:rsid w:val="007D0624"/>
    <w:rsid w:val="007D1798"/>
    <w:rsid w:val="007D34DA"/>
    <w:rsid w:val="007D5773"/>
    <w:rsid w:val="007E02C1"/>
    <w:rsid w:val="007E0478"/>
    <w:rsid w:val="007E0847"/>
    <w:rsid w:val="007E1409"/>
    <w:rsid w:val="007E1499"/>
    <w:rsid w:val="007E19A3"/>
    <w:rsid w:val="007E1F0C"/>
    <w:rsid w:val="007E33C2"/>
    <w:rsid w:val="007E357C"/>
    <w:rsid w:val="007E72FA"/>
    <w:rsid w:val="007F4706"/>
    <w:rsid w:val="00802023"/>
    <w:rsid w:val="00803358"/>
    <w:rsid w:val="00803547"/>
    <w:rsid w:val="00803A1F"/>
    <w:rsid w:val="00805148"/>
    <w:rsid w:val="00805DA7"/>
    <w:rsid w:val="0080685E"/>
    <w:rsid w:val="00806997"/>
    <w:rsid w:val="008108C5"/>
    <w:rsid w:val="0081297A"/>
    <w:rsid w:val="00814DB9"/>
    <w:rsid w:val="0081502C"/>
    <w:rsid w:val="0082135B"/>
    <w:rsid w:val="00821596"/>
    <w:rsid w:val="008221A9"/>
    <w:rsid w:val="0082465D"/>
    <w:rsid w:val="00825A3E"/>
    <w:rsid w:val="00826328"/>
    <w:rsid w:val="00827220"/>
    <w:rsid w:val="00827A19"/>
    <w:rsid w:val="00831351"/>
    <w:rsid w:val="00834D66"/>
    <w:rsid w:val="00835CBB"/>
    <w:rsid w:val="00835D1A"/>
    <w:rsid w:val="00836477"/>
    <w:rsid w:val="00836908"/>
    <w:rsid w:val="00837215"/>
    <w:rsid w:val="00842699"/>
    <w:rsid w:val="00843641"/>
    <w:rsid w:val="0084412D"/>
    <w:rsid w:val="0084618F"/>
    <w:rsid w:val="00846EB3"/>
    <w:rsid w:val="00847056"/>
    <w:rsid w:val="00847BB1"/>
    <w:rsid w:val="00852557"/>
    <w:rsid w:val="0085746F"/>
    <w:rsid w:val="00861577"/>
    <w:rsid w:val="00861A88"/>
    <w:rsid w:val="00866729"/>
    <w:rsid w:val="0087249A"/>
    <w:rsid w:val="00872A1D"/>
    <w:rsid w:val="008731FF"/>
    <w:rsid w:val="00874AB2"/>
    <w:rsid w:val="00874FFB"/>
    <w:rsid w:val="008754CF"/>
    <w:rsid w:val="00882FA0"/>
    <w:rsid w:val="00884447"/>
    <w:rsid w:val="008868A6"/>
    <w:rsid w:val="00886CB3"/>
    <w:rsid w:val="008873C0"/>
    <w:rsid w:val="008873FA"/>
    <w:rsid w:val="008878CF"/>
    <w:rsid w:val="008879C1"/>
    <w:rsid w:val="00890767"/>
    <w:rsid w:val="008907D2"/>
    <w:rsid w:val="00892CEB"/>
    <w:rsid w:val="00896D99"/>
    <w:rsid w:val="008A07C6"/>
    <w:rsid w:val="008A1DAF"/>
    <w:rsid w:val="008A235F"/>
    <w:rsid w:val="008A27E7"/>
    <w:rsid w:val="008A36FA"/>
    <w:rsid w:val="008B0D6C"/>
    <w:rsid w:val="008B29A8"/>
    <w:rsid w:val="008B4B3B"/>
    <w:rsid w:val="008B646B"/>
    <w:rsid w:val="008C309A"/>
    <w:rsid w:val="008C343C"/>
    <w:rsid w:val="008C6012"/>
    <w:rsid w:val="008C76CD"/>
    <w:rsid w:val="008D108F"/>
    <w:rsid w:val="008D2618"/>
    <w:rsid w:val="008D5733"/>
    <w:rsid w:val="008D5A8C"/>
    <w:rsid w:val="008D5AFF"/>
    <w:rsid w:val="008D6188"/>
    <w:rsid w:val="008E0C42"/>
    <w:rsid w:val="008E2BA0"/>
    <w:rsid w:val="008E3C96"/>
    <w:rsid w:val="008E4BBA"/>
    <w:rsid w:val="008E5EB5"/>
    <w:rsid w:val="008E657C"/>
    <w:rsid w:val="008E7045"/>
    <w:rsid w:val="008F1EA6"/>
    <w:rsid w:val="008F2BDE"/>
    <w:rsid w:val="008F3130"/>
    <w:rsid w:val="008F5858"/>
    <w:rsid w:val="008F5B96"/>
    <w:rsid w:val="008F66C6"/>
    <w:rsid w:val="008F77B6"/>
    <w:rsid w:val="008F783D"/>
    <w:rsid w:val="0090031D"/>
    <w:rsid w:val="00900F59"/>
    <w:rsid w:val="009017EC"/>
    <w:rsid w:val="00901AB7"/>
    <w:rsid w:val="00903821"/>
    <w:rsid w:val="00904CF0"/>
    <w:rsid w:val="0090722C"/>
    <w:rsid w:val="00907FB9"/>
    <w:rsid w:val="00912395"/>
    <w:rsid w:val="00913226"/>
    <w:rsid w:val="0091360F"/>
    <w:rsid w:val="00916492"/>
    <w:rsid w:val="00923831"/>
    <w:rsid w:val="00924041"/>
    <w:rsid w:val="00924554"/>
    <w:rsid w:val="009271BC"/>
    <w:rsid w:val="00931D66"/>
    <w:rsid w:val="009327FB"/>
    <w:rsid w:val="00933135"/>
    <w:rsid w:val="00934B66"/>
    <w:rsid w:val="00940481"/>
    <w:rsid w:val="0094053A"/>
    <w:rsid w:val="00940570"/>
    <w:rsid w:val="0094296E"/>
    <w:rsid w:val="00950ADC"/>
    <w:rsid w:val="00951AB0"/>
    <w:rsid w:val="00954005"/>
    <w:rsid w:val="00954572"/>
    <w:rsid w:val="0095459F"/>
    <w:rsid w:val="009563D4"/>
    <w:rsid w:val="00957257"/>
    <w:rsid w:val="0095768E"/>
    <w:rsid w:val="009577C2"/>
    <w:rsid w:val="00960FB5"/>
    <w:rsid w:val="00961D4A"/>
    <w:rsid w:val="0096259D"/>
    <w:rsid w:val="00963302"/>
    <w:rsid w:val="00963693"/>
    <w:rsid w:val="00964252"/>
    <w:rsid w:val="00967DCE"/>
    <w:rsid w:val="00972E8F"/>
    <w:rsid w:val="00975F94"/>
    <w:rsid w:val="00976003"/>
    <w:rsid w:val="00980EFA"/>
    <w:rsid w:val="00981F02"/>
    <w:rsid w:val="00982A45"/>
    <w:rsid w:val="009846FB"/>
    <w:rsid w:val="00987AE3"/>
    <w:rsid w:val="00987CEA"/>
    <w:rsid w:val="00990D1A"/>
    <w:rsid w:val="00994C96"/>
    <w:rsid w:val="009969BF"/>
    <w:rsid w:val="009A0040"/>
    <w:rsid w:val="009A0A0F"/>
    <w:rsid w:val="009A22B8"/>
    <w:rsid w:val="009A4170"/>
    <w:rsid w:val="009A44E4"/>
    <w:rsid w:val="009A51C6"/>
    <w:rsid w:val="009B049A"/>
    <w:rsid w:val="009B2D67"/>
    <w:rsid w:val="009B31E2"/>
    <w:rsid w:val="009B361A"/>
    <w:rsid w:val="009B6031"/>
    <w:rsid w:val="009B6692"/>
    <w:rsid w:val="009C137F"/>
    <w:rsid w:val="009C2288"/>
    <w:rsid w:val="009C2C1C"/>
    <w:rsid w:val="009C4129"/>
    <w:rsid w:val="009C50C1"/>
    <w:rsid w:val="009C7BE5"/>
    <w:rsid w:val="009D2678"/>
    <w:rsid w:val="009D388E"/>
    <w:rsid w:val="009D47F0"/>
    <w:rsid w:val="009D71F9"/>
    <w:rsid w:val="009D739E"/>
    <w:rsid w:val="009E191C"/>
    <w:rsid w:val="009E61C3"/>
    <w:rsid w:val="009F43BD"/>
    <w:rsid w:val="00A00145"/>
    <w:rsid w:val="00A036E4"/>
    <w:rsid w:val="00A047BB"/>
    <w:rsid w:val="00A05905"/>
    <w:rsid w:val="00A075E4"/>
    <w:rsid w:val="00A1212D"/>
    <w:rsid w:val="00A14A01"/>
    <w:rsid w:val="00A15677"/>
    <w:rsid w:val="00A15F56"/>
    <w:rsid w:val="00A16A8E"/>
    <w:rsid w:val="00A16B0F"/>
    <w:rsid w:val="00A16E41"/>
    <w:rsid w:val="00A20195"/>
    <w:rsid w:val="00A20645"/>
    <w:rsid w:val="00A21BBC"/>
    <w:rsid w:val="00A30643"/>
    <w:rsid w:val="00A3074F"/>
    <w:rsid w:val="00A30C03"/>
    <w:rsid w:val="00A31150"/>
    <w:rsid w:val="00A3566B"/>
    <w:rsid w:val="00A36669"/>
    <w:rsid w:val="00A40AA6"/>
    <w:rsid w:val="00A41C59"/>
    <w:rsid w:val="00A4226A"/>
    <w:rsid w:val="00A427E0"/>
    <w:rsid w:val="00A428C2"/>
    <w:rsid w:val="00A43C88"/>
    <w:rsid w:val="00A46A03"/>
    <w:rsid w:val="00A46B5B"/>
    <w:rsid w:val="00A5039A"/>
    <w:rsid w:val="00A527E9"/>
    <w:rsid w:val="00A52E30"/>
    <w:rsid w:val="00A5337A"/>
    <w:rsid w:val="00A55A17"/>
    <w:rsid w:val="00A56BB0"/>
    <w:rsid w:val="00A56D26"/>
    <w:rsid w:val="00A56D2D"/>
    <w:rsid w:val="00A6009B"/>
    <w:rsid w:val="00A60D1E"/>
    <w:rsid w:val="00A61C73"/>
    <w:rsid w:val="00A659A4"/>
    <w:rsid w:val="00A661FC"/>
    <w:rsid w:val="00A72CF7"/>
    <w:rsid w:val="00A735E2"/>
    <w:rsid w:val="00A73664"/>
    <w:rsid w:val="00A74D9C"/>
    <w:rsid w:val="00A808A5"/>
    <w:rsid w:val="00A912DA"/>
    <w:rsid w:val="00A97B57"/>
    <w:rsid w:val="00AA0B9D"/>
    <w:rsid w:val="00AA2033"/>
    <w:rsid w:val="00AA53D6"/>
    <w:rsid w:val="00AB048E"/>
    <w:rsid w:val="00AB2C6F"/>
    <w:rsid w:val="00AB69AA"/>
    <w:rsid w:val="00AB757F"/>
    <w:rsid w:val="00AB7637"/>
    <w:rsid w:val="00AC1CB8"/>
    <w:rsid w:val="00AC207A"/>
    <w:rsid w:val="00AC2C24"/>
    <w:rsid w:val="00AC5669"/>
    <w:rsid w:val="00AD02D0"/>
    <w:rsid w:val="00AD4858"/>
    <w:rsid w:val="00AD704B"/>
    <w:rsid w:val="00AD7AB3"/>
    <w:rsid w:val="00AE2AA9"/>
    <w:rsid w:val="00AE5C94"/>
    <w:rsid w:val="00AF0625"/>
    <w:rsid w:val="00AF1A39"/>
    <w:rsid w:val="00AF2B5D"/>
    <w:rsid w:val="00AF3C73"/>
    <w:rsid w:val="00AF44C8"/>
    <w:rsid w:val="00AF4872"/>
    <w:rsid w:val="00AF50EF"/>
    <w:rsid w:val="00AF62F3"/>
    <w:rsid w:val="00B0159F"/>
    <w:rsid w:val="00B04074"/>
    <w:rsid w:val="00B057B0"/>
    <w:rsid w:val="00B05F62"/>
    <w:rsid w:val="00B07E54"/>
    <w:rsid w:val="00B1070A"/>
    <w:rsid w:val="00B113EA"/>
    <w:rsid w:val="00B1349F"/>
    <w:rsid w:val="00B13B18"/>
    <w:rsid w:val="00B14941"/>
    <w:rsid w:val="00B16724"/>
    <w:rsid w:val="00B176FA"/>
    <w:rsid w:val="00B20185"/>
    <w:rsid w:val="00B207A4"/>
    <w:rsid w:val="00B21452"/>
    <w:rsid w:val="00B21B38"/>
    <w:rsid w:val="00B2263F"/>
    <w:rsid w:val="00B227CE"/>
    <w:rsid w:val="00B2330C"/>
    <w:rsid w:val="00B254D8"/>
    <w:rsid w:val="00B2556B"/>
    <w:rsid w:val="00B264BA"/>
    <w:rsid w:val="00B317A9"/>
    <w:rsid w:val="00B32795"/>
    <w:rsid w:val="00B32ABE"/>
    <w:rsid w:val="00B33DDA"/>
    <w:rsid w:val="00B343A2"/>
    <w:rsid w:val="00B3742A"/>
    <w:rsid w:val="00B406F7"/>
    <w:rsid w:val="00B4190F"/>
    <w:rsid w:val="00B46889"/>
    <w:rsid w:val="00B502B7"/>
    <w:rsid w:val="00B53B34"/>
    <w:rsid w:val="00B53F39"/>
    <w:rsid w:val="00B561F3"/>
    <w:rsid w:val="00B57C0C"/>
    <w:rsid w:val="00B57C35"/>
    <w:rsid w:val="00B57D9E"/>
    <w:rsid w:val="00B61F08"/>
    <w:rsid w:val="00B624D9"/>
    <w:rsid w:val="00B62DAA"/>
    <w:rsid w:val="00B64B27"/>
    <w:rsid w:val="00B667FF"/>
    <w:rsid w:val="00B750A8"/>
    <w:rsid w:val="00B754D3"/>
    <w:rsid w:val="00B769CC"/>
    <w:rsid w:val="00B77A52"/>
    <w:rsid w:val="00B808D9"/>
    <w:rsid w:val="00B829C1"/>
    <w:rsid w:val="00B8703D"/>
    <w:rsid w:val="00B87098"/>
    <w:rsid w:val="00B914C7"/>
    <w:rsid w:val="00B916F3"/>
    <w:rsid w:val="00B9516E"/>
    <w:rsid w:val="00B974E9"/>
    <w:rsid w:val="00BA171B"/>
    <w:rsid w:val="00BA32A9"/>
    <w:rsid w:val="00BA36D2"/>
    <w:rsid w:val="00BA7BD2"/>
    <w:rsid w:val="00BB015B"/>
    <w:rsid w:val="00BB0AEC"/>
    <w:rsid w:val="00BB1EB1"/>
    <w:rsid w:val="00BB2043"/>
    <w:rsid w:val="00BB24AD"/>
    <w:rsid w:val="00BB2DE9"/>
    <w:rsid w:val="00BB3565"/>
    <w:rsid w:val="00BB3596"/>
    <w:rsid w:val="00BB4FF7"/>
    <w:rsid w:val="00BB70CD"/>
    <w:rsid w:val="00BC2435"/>
    <w:rsid w:val="00BC2DAF"/>
    <w:rsid w:val="00BC2F62"/>
    <w:rsid w:val="00BC3642"/>
    <w:rsid w:val="00BC4FEF"/>
    <w:rsid w:val="00BC5AF4"/>
    <w:rsid w:val="00BC6EDD"/>
    <w:rsid w:val="00BD0F45"/>
    <w:rsid w:val="00BD13AE"/>
    <w:rsid w:val="00BD3C76"/>
    <w:rsid w:val="00BD4237"/>
    <w:rsid w:val="00BD4F09"/>
    <w:rsid w:val="00BD5521"/>
    <w:rsid w:val="00BD75B8"/>
    <w:rsid w:val="00BE13D1"/>
    <w:rsid w:val="00BE198F"/>
    <w:rsid w:val="00BE2C15"/>
    <w:rsid w:val="00BE4AAF"/>
    <w:rsid w:val="00BE50B3"/>
    <w:rsid w:val="00BE6630"/>
    <w:rsid w:val="00BE7802"/>
    <w:rsid w:val="00BF1BFD"/>
    <w:rsid w:val="00BF6D32"/>
    <w:rsid w:val="00C028E8"/>
    <w:rsid w:val="00C031AE"/>
    <w:rsid w:val="00C03CFF"/>
    <w:rsid w:val="00C043B6"/>
    <w:rsid w:val="00C04743"/>
    <w:rsid w:val="00C0605D"/>
    <w:rsid w:val="00C1059F"/>
    <w:rsid w:val="00C118B3"/>
    <w:rsid w:val="00C13486"/>
    <w:rsid w:val="00C141C7"/>
    <w:rsid w:val="00C165B3"/>
    <w:rsid w:val="00C1719F"/>
    <w:rsid w:val="00C209DD"/>
    <w:rsid w:val="00C21005"/>
    <w:rsid w:val="00C220DD"/>
    <w:rsid w:val="00C239A9"/>
    <w:rsid w:val="00C3127A"/>
    <w:rsid w:val="00C340BD"/>
    <w:rsid w:val="00C3502A"/>
    <w:rsid w:val="00C351AF"/>
    <w:rsid w:val="00C3673E"/>
    <w:rsid w:val="00C37E2E"/>
    <w:rsid w:val="00C407C1"/>
    <w:rsid w:val="00C41BFE"/>
    <w:rsid w:val="00C4274C"/>
    <w:rsid w:val="00C4406E"/>
    <w:rsid w:val="00C440D0"/>
    <w:rsid w:val="00C464E1"/>
    <w:rsid w:val="00C50934"/>
    <w:rsid w:val="00C51110"/>
    <w:rsid w:val="00C5432B"/>
    <w:rsid w:val="00C546D0"/>
    <w:rsid w:val="00C57D23"/>
    <w:rsid w:val="00C57D59"/>
    <w:rsid w:val="00C601BD"/>
    <w:rsid w:val="00C6152A"/>
    <w:rsid w:val="00C6400A"/>
    <w:rsid w:val="00C67611"/>
    <w:rsid w:val="00C67D43"/>
    <w:rsid w:val="00C70C2E"/>
    <w:rsid w:val="00C71374"/>
    <w:rsid w:val="00C71573"/>
    <w:rsid w:val="00C72017"/>
    <w:rsid w:val="00C73A51"/>
    <w:rsid w:val="00C73E13"/>
    <w:rsid w:val="00C73E24"/>
    <w:rsid w:val="00C74482"/>
    <w:rsid w:val="00C74497"/>
    <w:rsid w:val="00C74705"/>
    <w:rsid w:val="00C74FA2"/>
    <w:rsid w:val="00C753BB"/>
    <w:rsid w:val="00C76091"/>
    <w:rsid w:val="00C81626"/>
    <w:rsid w:val="00C81DD8"/>
    <w:rsid w:val="00C81E73"/>
    <w:rsid w:val="00C83194"/>
    <w:rsid w:val="00C84E53"/>
    <w:rsid w:val="00C870D5"/>
    <w:rsid w:val="00C90A17"/>
    <w:rsid w:val="00C90BDD"/>
    <w:rsid w:val="00C920B4"/>
    <w:rsid w:val="00C93668"/>
    <w:rsid w:val="00C9660C"/>
    <w:rsid w:val="00CA0821"/>
    <w:rsid w:val="00CA25D6"/>
    <w:rsid w:val="00CB102A"/>
    <w:rsid w:val="00CB113A"/>
    <w:rsid w:val="00CB30FF"/>
    <w:rsid w:val="00CB39DF"/>
    <w:rsid w:val="00CB4128"/>
    <w:rsid w:val="00CB7FD0"/>
    <w:rsid w:val="00CC1D2E"/>
    <w:rsid w:val="00CC3154"/>
    <w:rsid w:val="00CC3B8E"/>
    <w:rsid w:val="00CC454C"/>
    <w:rsid w:val="00CC4B4D"/>
    <w:rsid w:val="00CC4E50"/>
    <w:rsid w:val="00CC5C31"/>
    <w:rsid w:val="00CC7FB0"/>
    <w:rsid w:val="00CD18C3"/>
    <w:rsid w:val="00CD257C"/>
    <w:rsid w:val="00CD4024"/>
    <w:rsid w:val="00CD4673"/>
    <w:rsid w:val="00CD48FF"/>
    <w:rsid w:val="00CD59D0"/>
    <w:rsid w:val="00CE241A"/>
    <w:rsid w:val="00CE32F5"/>
    <w:rsid w:val="00CE3670"/>
    <w:rsid w:val="00CE3FE8"/>
    <w:rsid w:val="00CE760D"/>
    <w:rsid w:val="00CE7794"/>
    <w:rsid w:val="00CF32DA"/>
    <w:rsid w:val="00CF3865"/>
    <w:rsid w:val="00CF77CF"/>
    <w:rsid w:val="00CF79DA"/>
    <w:rsid w:val="00D00DE7"/>
    <w:rsid w:val="00D01B6A"/>
    <w:rsid w:val="00D01B8F"/>
    <w:rsid w:val="00D03407"/>
    <w:rsid w:val="00D0412B"/>
    <w:rsid w:val="00D06A47"/>
    <w:rsid w:val="00D073AE"/>
    <w:rsid w:val="00D10CAF"/>
    <w:rsid w:val="00D10DEB"/>
    <w:rsid w:val="00D11249"/>
    <w:rsid w:val="00D11898"/>
    <w:rsid w:val="00D1470E"/>
    <w:rsid w:val="00D1591A"/>
    <w:rsid w:val="00D17FBF"/>
    <w:rsid w:val="00D21C30"/>
    <w:rsid w:val="00D2211D"/>
    <w:rsid w:val="00D2254B"/>
    <w:rsid w:val="00D24E14"/>
    <w:rsid w:val="00D25DE0"/>
    <w:rsid w:val="00D269AB"/>
    <w:rsid w:val="00D27038"/>
    <w:rsid w:val="00D30902"/>
    <w:rsid w:val="00D30948"/>
    <w:rsid w:val="00D31A95"/>
    <w:rsid w:val="00D31AFD"/>
    <w:rsid w:val="00D324F7"/>
    <w:rsid w:val="00D34450"/>
    <w:rsid w:val="00D34A45"/>
    <w:rsid w:val="00D36897"/>
    <w:rsid w:val="00D37C70"/>
    <w:rsid w:val="00D41E44"/>
    <w:rsid w:val="00D44158"/>
    <w:rsid w:val="00D455D1"/>
    <w:rsid w:val="00D4649A"/>
    <w:rsid w:val="00D4760E"/>
    <w:rsid w:val="00D50BAF"/>
    <w:rsid w:val="00D518BA"/>
    <w:rsid w:val="00D53B8E"/>
    <w:rsid w:val="00D54F48"/>
    <w:rsid w:val="00D57722"/>
    <w:rsid w:val="00D664E5"/>
    <w:rsid w:val="00D678B6"/>
    <w:rsid w:val="00D7022C"/>
    <w:rsid w:val="00D709BA"/>
    <w:rsid w:val="00D72F18"/>
    <w:rsid w:val="00D73877"/>
    <w:rsid w:val="00D74836"/>
    <w:rsid w:val="00D75141"/>
    <w:rsid w:val="00D77455"/>
    <w:rsid w:val="00D779D5"/>
    <w:rsid w:val="00D80430"/>
    <w:rsid w:val="00D80B3D"/>
    <w:rsid w:val="00D810B4"/>
    <w:rsid w:val="00D81891"/>
    <w:rsid w:val="00D83805"/>
    <w:rsid w:val="00D86F7D"/>
    <w:rsid w:val="00D92266"/>
    <w:rsid w:val="00D9404F"/>
    <w:rsid w:val="00D955B8"/>
    <w:rsid w:val="00D97749"/>
    <w:rsid w:val="00DA0A15"/>
    <w:rsid w:val="00DA29F9"/>
    <w:rsid w:val="00DA2A07"/>
    <w:rsid w:val="00DA2F33"/>
    <w:rsid w:val="00DA3589"/>
    <w:rsid w:val="00DA58CB"/>
    <w:rsid w:val="00DA65CE"/>
    <w:rsid w:val="00DB2935"/>
    <w:rsid w:val="00DB2ACB"/>
    <w:rsid w:val="00DB33B7"/>
    <w:rsid w:val="00DB49BD"/>
    <w:rsid w:val="00DC0221"/>
    <w:rsid w:val="00DC1291"/>
    <w:rsid w:val="00DC2EAF"/>
    <w:rsid w:val="00DC4E63"/>
    <w:rsid w:val="00DC783F"/>
    <w:rsid w:val="00DD0DB9"/>
    <w:rsid w:val="00DD22F3"/>
    <w:rsid w:val="00DD2468"/>
    <w:rsid w:val="00DD3727"/>
    <w:rsid w:val="00DD37E0"/>
    <w:rsid w:val="00DD41F4"/>
    <w:rsid w:val="00DD4E50"/>
    <w:rsid w:val="00DE2B04"/>
    <w:rsid w:val="00DE4790"/>
    <w:rsid w:val="00DE62AC"/>
    <w:rsid w:val="00DE660A"/>
    <w:rsid w:val="00DE7433"/>
    <w:rsid w:val="00DE74C7"/>
    <w:rsid w:val="00DF0507"/>
    <w:rsid w:val="00DF176A"/>
    <w:rsid w:val="00DF17C4"/>
    <w:rsid w:val="00DF1E30"/>
    <w:rsid w:val="00DF3DF1"/>
    <w:rsid w:val="00DF49FF"/>
    <w:rsid w:val="00DF61C6"/>
    <w:rsid w:val="00DF72D3"/>
    <w:rsid w:val="00DF77FF"/>
    <w:rsid w:val="00DF7F9F"/>
    <w:rsid w:val="00E00384"/>
    <w:rsid w:val="00E023E6"/>
    <w:rsid w:val="00E04E92"/>
    <w:rsid w:val="00E06E16"/>
    <w:rsid w:val="00E07B76"/>
    <w:rsid w:val="00E10BE0"/>
    <w:rsid w:val="00E12E3C"/>
    <w:rsid w:val="00E167F3"/>
    <w:rsid w:val="00E20F85"/>
    <w:rsid w:val="00E22CC8"/>
    <w:rsid w:val="00E24683"/>
    <w:rsid w:val="00E3058D"/>
    <w:rsid w:val="00E32AB8"/>
    <w:rsid w:val="00E32AF0"/>
    <w:rsid w:val="00E33C0C"/>
    <w:rsid w:val="00E33E70"/>
    <w:rsid w:val="00E34FA0"/>
    <w:rsid w:val="00E37328"/>
    <w:rsid w:val="00E37A70"/>
    <w:rsid w:val="00E37E73"/>
    <w:rsid w:val="00E433EE"/>
    <w:rsid w:val="00E447DC"/>
    <w:rsid w:val="00E458A3"/>
    <w:rsid w:val="00E50366"/>
    <w:rsid w:val="00E50DD1"/>
    <w:rsid w:val="00E50E8B"/>
    <w:rsid w:val="00E51FDF"/>
    <w:rsid w:val="00E52599"/>
    <w:rsid w:val="00E52E58"/>
    <w:rsid w:val="00E5341A"/>
    <w:rsid w:val="00E541F4"/>
    <w:rsid w:val="00E5682E"/>
    <w:rsid w:val="00E56D78"/>
    <w:rsid w:val="00E60878"/>
    <w:rsid w:val="00E60961"/>
    <w:rsid w:val="00E646D5"/>
    <w:rsid w:val="00E6531D"/>
    <w:rsid w:val="00E658BE"/>
    <w:rsid w:val="00E707D8"/>
    <w:rsid w:val="00E70D68"/>
    <w:rsid w:val="00E72A52"/>
    <w:rsid w:val="00E745BB"/>
    <w:rsid w:val="00E7555C"/>
    <w:rsid w:val="00E75DD1"/>
    <w:rsid w:val="00E763C6"/>
    <w:rsid w:val="00E776E2"/>
    <w:rsid w:val="00E81F82"/>
    <w:rsid w:val="00E82455"/>
    <w:rsid w:val="00E83D48"/>
    <w:rsid w:val="00E852AD"/>
    <w:rsid w:val="00E858C2"/>
    <w:rsid w:val="00E8615F"/>
    <w:rsid w:val="00E86A18"/>
    <w:rsid w:val="00E8723D"/>
    <w:rsid w:val="00E9080C"/>
    <w:rsid w:val="00E9123A"/>
    <w:rsid w:val="00E91BEA"/>
    <w:rsid w:val="00E91E8F"/>
    <w:rsid w:val="00E92439"/>
    <w:rsid w:val="00E929E8"/>
    <w:rsid w:val="00E92B81"/>
    <w:rsid w:val="00E94C97"/>
    <w:rsid w:val="00E9640D"/>
    <w:rsid w:val="00E9656C"/>
    <w:rsid w:val="00E96BFE"/>
    <w:rsid w:val="00E9706D"/>
    <w:rsid w:val="00EA1553"/>
    <w:rsid w:val="00EA1ED7"/>
    <w:rsid w:val="00EA56E8"/>
    <w:rsid w:val="00EA70AE"/>
    <w:rsid w:val="00EA7C1B"/>
    <w:rsid w:val="00EB4D77"/>
    <w:rsid w:val="00EB551D"/>
    <w:rsid w:val="00EC00A2"/>
    <w:rsid w:val="00EC00F2"/>
    <w:rsid w:val="00EC0208"/>
    <w:rsid w:val="00EC4CDB"/>
    <w:rsid w:val="00EC5952"/>
    <w:rsid w:val="00ED0DF2"/>
    <w:rsid w:val="00ED251C"/>
    <w:rsid w:val="00ED28CB"/>
    <w:rsid w:val="00ED664A"/>
    <w:rsid w:val="00EE1B84"/>
    <w:rsid w:val="00EE2F59"/>
    <w:rsid w:val="00EE358B"/>
    <w:rsid w:val="00EE3D2E"/>
    <w:rsid w:val="00EE6443"/>
    <w:rsid w:val="00EE698C"/>
    <w:rsid w:val="00EE7DCA"/>
    <w:rsid w:val="00EF07B3"/>
    <w:rsid w:val="00EF5B37"/>
    <w:rsid w:val="00EF6FBB"/>
    <w:rsid w:val="00F00796"/>
    <w:rsid w:val="00F01A4F"/>
    <w:rsid w:val="00F04A43"/>
    <w:rsid w:val="00F06C08"/>
    <w:rsid w:val="00F07287"/>
    <w:rsid w:val="00F13066"/>
    <w:rsid w:val="00F13970"/>
    <w:rsid w:val="00F1447E"/>
    <w:rsid w:val="00F20DA3"/>
    <w:rsid w:val="00F22AB3"/>
    <w:rsid w:val="00F24D86"/>
    <w:rsid w:val="00F3009B"/>
    <w:rsid w:val="00F302D6"/>
    <w:rsid w:val="00F30307"/>
    <w:rsid w:val="00F31F90"/>
    <w:rsid w:val="00F331C5"/>
    <w:rsid w:val="00F33B51"/>
    <w:rsid w:val="00F366D4"/>
    <w:rsid w:val="00F4093A"/>
    <w:rsid w:val="00F40CDA"/>
    <w:rsid w:val="00F40D6F"/>
    <w:rsid w:val="00F419BD"/>
    <w:rsid w:val="00F41CE9"/>
    <w:rsid w:val="00F4272E"/>
    <w:rsid w:val="00F4322E"/>
    <w:rsid w:val="00F46B1F"/>
    <w:rsid w:val="00F47306"/>
    <w:rsid w:val="00F474DA"/>
    <w:rsid w:val="00F540FB"/>
    <w:rsid w:val="00F5537C"/>
    <w:rsid w:val="00F558AA"/>
    <w:rsid w:val="00F56AEB"/>
    <w:rsid w:val="00F62AB3"/>
    <w:rsid w:val="00F63A2A"/>
    <w:rsid w:val="00F6750F"/>
    <w:rsid w:val="00F67E1E"/>
    <w:rsid w:val="00F70FFA"/>
    <w:rsid w:val="00F7213B"/>
    <w:rsid w:val="00F72ED6"/>
    <w:rsid w:val="00F750AA"/>
    <w:rsid w:val="00F750AD"/>
    <w:rsid w:val="00F7517F"/>
    <w:rsid w:val="00F75923"/>
    <w:rsid w:val="00F8384D"/>
    <w:rsid w:val="00F85575"/>
    <w:rsid w:val="00F85710"/>
    <w:rsid w:val="00F85CC8"/>
    <w:rsid w:val="00F9121F"/>
    <w:rsid w:val="00F94E37"/>
    <w:rsid w:val="00F9544B"/>
    <w:rsid w:val="00FA0182"/>
    <w:rsid w:val="00FA3A1D"/>
    <w:rsid w:val="00FA7882"/>
    <w:rsid w:val="00FB0552"/>
    <w:rsid w:val="00FB3DC5"/>
    <w:rsid w:val="00FB3DE8"/>
    <w:rsid w:val="00FB3F2D"/>
    <w:rsid w:val="00FC1A48"/>
    <w:rsid w:val="00FC24AA"/>
    <w:rsid w:val="00FC3042"/>
    <w:rsid w:val="00FC39A2"/>
    <w:rsid w:val="00FC39B8"/>
    <w:rsid w:val="00FC4A35"/>
    <w:rsid w:val="00FD0722"/>
    <w:rsid w:val="00FD218F"/>
    <w:rsid w:val="00FD2668"/>
    <w:rsid w:val="00FD6DA7"/>
    <w:rsid w:val="00FD7695"/>
    <w:rsid w:val="00FD7EE1"/>
    <w:rsid w:val="00FE13D2"/>
    <w:rsid w:val="00FE1F43"/>
    <w:rsid w:val="00FE29F4"/>
    <w:rsid w:val="00FE3564"/>
    <w:rsid w:val="00FE3775"/>
    <w:rsid w:val="00FE6D33"/>
    <w:rsid w:val="00FF1053"/>
    <w:rsid w:val="00FF2DD5"/>
    <w:rsid w:val="00FF43FE"/>
    <w:rsid w:val="00FF6FC3"/>
    <w:rsid w:val="00FF7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12D"/>
    <w:rPr>
      <w:sz w:val="24"/>
      <w:szCs w:val="24"/>
    </w:rPr>
  </w:style>
  <w:style w:type="paragraph" w:styleId="Heading4">
    <w:name w:val="heading 4"/>
    <w:basedOn w:val="Normal"/>
    <w:next w:val="Normal"/>
    <w:link w:val="Heading4Char"/>
    <w:uiPriority w:val="99"/>
    <w:qFormat/>
    <w:rsid w:val="002D75BB"/>
    <w:pPr>
      <w:keepNext/>
      <w:ind w:right="-45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4D49DA"/>
    <w:rPr>
      <w:rFonts w:ascii="Calibri" w:hAnsi="Calibri" w:cs="Times New Roman"/>
      <w:b/>
      <w:bCs/>
      <w:sz w:val="28"/>
      <w:szCs w:val="28"/>
    </w:rPr>
  </w:style>
  <w:style w:type="character" w:styleId="Hyperlink">
    <w:name w:val="Hyperlink"/>
    <w:basedOn w:val="DefaultParagraphFont"/>
    <w:uiPriority w:val="99"/>
    <w:rsid w:val="006D390D"/>
    <w:rPr>
      <w:rFonts w:cs="Times New Roman"/>
      <w:color w:val="0000FF"/>
      <w:u w:val="single"/>
    </w:rPr>
  </w:style>
  <w:style w:type="paragraph" w:styleId="BodyText">
    <w:name w:val="Body Text"/>
    <w:basedOn w:val="Normal"/>
    <w:link w:val="BodyTextChar"/>
    <w:uiPriority w:val="99"/>
    <w:rsid w:val="006D390D"/>
    <w:rPr>
      <w:szCs w:val="20"/>
    </w:rPr>
  </w:style>
  <w:style w:type="character" w:customStyle="1" w:styleId="BodyTextChar">
    <w:name w:val="Body Text Char"/>
    <w:basedOn w:val="DefaultParagraphFont"/>
    <w:link w:val="BodyText"/>
    <w:uiPriority w:val="99"/>
    <w:semiHidden/>
    <w:locked/>
    <w:rsid w:val="004D49DA"/>
    <w:rPr>
      <w:rFonts w:cs="Times New Roman"/>
      <w:sz w:val="24"/>
      <w:szCs w:val="24"/>
    </w:rPr>
  </w:style>
  <w:style w:type="paragraph" w:customStyle="1" w:styleId="InsideAddress">
    <w:name w:val="Inside Address"/>
    <w:basedOn w:val="Normal"/>
    <w:uiPriority w:val="99"/>
    <w:rsid w:val="006D390D"/>
    <w:rPr>
      <w:szCs w:val="20"/>
    </w:rPr>
  </w:style>
  <w:style w:type="table" w:styleId="TableGrid">
    <w:name w:val="Table Grid"/>
    <w:aliases w:val="Hrztl Table"/>
    <w:basedOn w:val="TableNormal"/>
    <w:rsid w:val="006D39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D390D"/>
    <w:pPr>
      <w:tabs>
        <w:tab w:val="center" w:pos="4320"/>
        <w:tab w:val="right" w:pos="8640"/>
      </w:tabs>
    </w:pPr>
  </w:style>
  <w:style w:type="character" w:customStyle="1" w:styleId="HeaderChar">
    <w:name w:val="Header Char"/>
    <w:basedOn w:val="DefaultParagraphFont"/>
    <w:link w:val="Header"/>
    <w:uiPriority w:val="99"/>
    <w:semiHidden/>
    <w:locked/>
    <w:rsid w:val="004D49DA"/>
    <w:rPr>
      <w:rFonts w:cs="Times New Roman"/>
      <w:sz w:val="24"/>
      <w:szCs w:val="24"/>
    </w:rPr>
  </w:style>
  <w:style w:type="paragraph" w:styleId="Footer">
    <w:name w:val="footer"/>
    <w:basedOn w:val="Normal"/>
    <w:link w:val="FooterChar"/>
    <w:uiPriority w:val="99"/>
    <w:rsid w:val="006D390D"/>
    <w:pPr>
      <w:tabs>
        <w:tab w:val="center" w:pos="4320"/>
        <w:tab w:val="right" w:pos="8640"/>
      </w:tabs>
    </w:pPr>
  </w:style>
  <w:style w:type="character" w:customStyle="1" w:styleId="FooterChar">
    <w:name w:val="Footer Char"/>
    <w:basedOn w:val="DefaultParagraphFont"/>
    <w:link w:val="Footer"/>
    <w:uiPriority w:val="99"/>
    <w:locked/>
    <w:rsid w:val="004D49DA"/>
    <w:rPr>
      <w:rFonts w:cs="Times New Roman"/>
      <w:sz w:val="24"/>
      <w:szCs w:val="24"/>
    </w:rPr>
  </w:style>
  <w:style w:type="character" w:styleId="PageNumber">
    <w:name w:val="page number"/>
    <w:basedOn w:val="DefaultParagraphFont"/>
    <w:uiPriority w:val="99"/>
    <w:rsid w:val="006D390D"/>
    <w:rPr>
      <w:rFonts w:cs="Times New Roman"/>
    </w:rPr>
  </w:style>
  <w:style w:type="paragraph" w:styleId="EndnoteText">
    <w:name w:val="endnote text"/>
    <w:basedOn w:val="Normal"/>
    <w:link w:val="EndnoteTextChar"/>
    <w:uiPriority w:val="99"/>
    <w:semiHidden/>
    <w:rsid w:val="00582165"/>
    <w:pPr>
      <w:widowControl w:val="0"/>
    </w:pPr>
    <w:rPr>
      <w:rFonts w:ascii="Courier New" w:hAnsi="Courier New"/>
      <w:szCs w:val="20"/>
    </w:rPr>
  </w:style>
  <w:style w:type="character" w:customStyle="1" w:styleId="EndnoteTextChar">
    <w:name w:val="Endnote Text Char"/>
    <w:basedOn w:val="DefaultParagraphFont"/>
    <w:link w:val="EndnoteText"/>
    <w:uiPriority w:val="99"/>
    <w:semiHidden/>
    <w:locked/>
    <w:rsid w:val="004D49DA"/>
    <w:rPr>
      <w:rFonts w:cs="Times New Roman"/>
      <w:sz w:val="20"/>
      <w:szCs w:val="20"/>
    </w:rPr>
  </w:style>
  <w:style w:type="paragraph" w:styleId="NormalWeb">
    <w:name w:val="Normal (Web)"/>
    <w:basedOn w:val="Normal"/>
    <w:uiPriority w:val="99"/>
    <w:rsid w:val="002D75BB"/>
    <w:pPr>
      <w:spacing w:before="100" w:after="100"/>
    </w:pPr>
    <w:rPr>
      <w:szCs w:val="20"/>
    </w:rPr>
  </w:style>
  <w:style w:type="paragraph" w:styleId="BalloonText">
    <w:name w:val="Balloon Text"/>
    <w:basedOn w:val="Normal"/>
    <w:link w:val="BalloonTextChar"/>
    <w:uiPriority w:val="99"/>
    <w:semiHidden/>
    <w:rsid w:val="00174BA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49DA"/>
    <w:rPr>
      <w:rFonts w:cs="Times New Roman"/>
      <w:sz w:val="2"/>
    </w:rPr>
  </w:style>
  <w:style w:type="character" w:styleId="CommentReference">
    <w:name w:val="annotation reference"/>
    <w:basedOn w:val="DefaultParagraphFont"/>
    <w:rsid w:val="00174BAB"/>
    <w:rPr>
      <w:rFonts w:cs="Times New Roman"/>
      <w:sz w:val="16"/>
      <w:szCs w:val="16"/>
    </w:rPr>
  </w:style>
  <w:style w:type="paragraph" w:styleId="CommentText">
    <w:name w:val="annotation text"/>
    <w:basedOn w:val="Normal"/>
    <w:link w:val="CommentTextChar"/>
    <w:rsid w:val="00174BAB"/>
    <w:rPr>
      <w:sz w:val="20"/>
      <w:szCs w:val="20"/>
    </w:rPr>
  </w:style>
  <w:style w:type="character" w:customStyle="1" w:styleId="CommentTextChar">
    <w:name w:val="Comment Text Char"/>
    <w:basedOn w:val="DefaultParagraphFont"/>
    <w:link w:val="CommentText"/>
    <w:locked/>
    <w:rsid w:val="004D49DA"/>
    <w:rPr>
      <w:rFonts w:cs="Times New Roman"/>
      <w:sz w:val="20"/>
      <w:szCs w:val="20"/>
    </w:rPr>
  </w:style>
  <w:style w:type="paragraph" w:styleId="CommentSubject">
    <w:name w:val="annotation subject"/>
    <w:basedOn w:val="CommentText"/>
    <w:next w:val="CommentText"/>
    <w:link w:val="CommentSubjectChar"/>
    <w:uiPriority w:val="99"/>
    <w:semiHidden/>
    <w:rsid w:val="00174BAB"/>
    <w:rPr>
      <w:b/>
      <w:bCs/>
    </w:rPr>
  </w:style>
  <w:style w:type="character" w:customStyle="1" w:styleId="CommentSubjectChar">
    <w:name w:val="Comment Subject Char"/>
    <w:basedOn w:val="CommentTextChar"/>
    <w:link w:val="CommentSubject"/>
    <w:uiPriority w:val="99"/>
    <w:semiHidden/>
    <w:locked/>
    <w:rsid w:val="004D49DA"/>
    <w:rPr>
      <w:rFonts w:cs="Times New Roman"/>
      <w:b/>
      <w:bCs/>
      <w:sz w:val="20"/>
      <w:szCs w:val="20"/>
    </w:rPr>
  </w:style>
  <w:style w:type="character" w:styleId="EndnoteReference">
    <w:name w:val="endnote reference"/>
    <w:basedOn w:val="DefaultParagraphFont"/>
    <w:uiPriority w:val="99"/>
    <w:semiHidden/>
    <w:rsid w:val="00F72ED6"/>
    <w:rPr>
      <w:rFonts w:cs="Times New Roman"/>
      <w:vertAlign w:val="superscript"/>
    </w:rPr>
  </w:style>
  <w:style w:type="paragraph" w:styleId="FootnoteText">
    <w:name w:val="footnote text"/>
    <w:basedOn w:val="Normal"/>
    <w:link w:val="FootnoteTextChar"/>
    <w:uiPriority w:val="99"/>
    <w:semiHidden/>
    <w:rsid w:val="00AB757F"/>
    <w:rPr>
      <w:sz w:val="20"/>
      <w:szCs w:val="20"/>
    </w:rPr>
  </w:style>
  <w:style w:type="character" w:customStyle="1" w:styleId="FootnoteTextChar">
    <w:name w:val="Footnote Text Char"/>
    <w:basedOn w:val="DefaultParagraphFont"/>
    <w:link w:val="FootnoteText"/>
    <w:uiPriority w:val="99"/>
    <w:semiHidden/>
    <w:locked/>
    <w:rsid w:val="004D49DA"/>
    <w:rPr>
      <w:rFonts w:cs="Times New Roman"/>
      <w:sz w:val="20"/>
      <w:szCs w:val="20"/>
    </w:rPr>
  </w:style>
  <w:style w:type="character" w:styleId="FootnoteReference">
    <w:name w:val="footnote reference"/>
    <w:basedOn w:val="DefaultParagraphFont"/>
    <w:uiPriority w:val="99"/>
    <w:semiHidden/>
    <w:rsid w:val="00AB757F"/>
    <w:rPr>
      <w:rFonts w:cs="Times New Roman"/>
      <w:vertAlign w:val="superscript"/>
    </w:rPr>
  </w:style>
  <w:style w:type="paragraph" w:styleId="Revision">
    <w:name w:val="Revision"/>
    <w:hidden/>
    <w:uiPriority w:val="99"/>
    <w:semiHidden/>
    <w:rsid w:val="00FE13D2"/>
    <w:rPr>
      <w:sz w:val="24"/>
      <w:szCs w:val="24"/>
    </w:rPr>
  </w:style>
  <w:style w:type="paragraph" w:customStyle="1" w:styleId="tabletext">
    <w:name w:val="table text"/>
    <w:basedOn w:val="Normal"/>
    <w:uiPriority w:val="99"/>
    <w:rsid w:val="0076186C"/>
    <w:pPr>
      <w:spacing w:before="20" w:after="20"/>
    </w:pPr>
    <w:rPr>
      <w:rFonts w:ascii="Arial Narrow" w:hAnsi="Arial Narrow"/>
      <w:sz w:val="20"/>
      <w:szCs w:val="20"/>
    </w:rPr>
  </w:style>
  <w:style w:type="paragraph" w:styleId="ListParagraph">
    <w:name w:val="List Paragraph"/>
    <w:basedOn w:val="Normal"/>
    <w:uiPriority w:val="34"/>
    <w:qFormat/>
    <w:rsid w:val="0076186C"/>
    <w:pPr>
      <w:ind w:left="720"/>
      <w:contextualSpacing/>
    </w:pPr>
  </w:style>
  <w:style w:type="paragraph" w:customStyle="1" w:styleId="Default">
    <w:name w:val="Default"/>
    <w:uiPriority w:val="99"/>
    <w:rsid w:val="003A0A37"/>
    <w:pPr>
      <w:autoSpaceDE w:val="0"/>
      <w:autoSpaceDN w:val="0"/>
      <w:adjustRightInd w:val="0"/>
    </w:pPr>
    <w:rPr>
      <w:color w:val="000000"/>
      <w:sz w:val="24"/>
      <w:szCs w:val="24"/>
    </w:rPr>
  </w:style>
  <w:style w:type="paragraph" w:styleId="DocumentMap">
    <w:name w:val="Document Map"/>
    <w:basedOn w:val="Normal"/>
    <w:link w:val="DocumentMapChar"/>
    <w:uiPriority w:val="99"/>
    <w:semiHidden/>
    <w:unhideWhenUsed/>
    <w:rsid w:val="00640219"/>
    <w:rPr>
      <w:rFonts w:ascii="Tahoma" w:hAnsi="Tahoma" w:cs="Tahoma"/>
      <w:sz w:val="16"/>
      <w:szCs w:val="16"/>
    </w:rPr>
  </w:style>
  <w:style w:type="character" w:customStyle="1" w:styleId="DocumentMapChar">
    <w:name w:val="Document Map Char"/>
    <w:basedOn w:val="DefaultParagraphFont"/>
    <w:link w:val="DocumentMap"/>
    <w:uiPriority w:val="99"/>
    <w:semiHidden/>
    <w:rsid w:val="00640219"/>
    <w:rPr>
      <w:rFonts w:ascii="Tahoma" w:hAnsi="Tahoma" w:cs="Tahoma"/>
      <w:sz w:val="16"/>
      <w:szCs w:val="16"/>
    </w:rPr>
  </w:style>
  <w:style w:type="paragraph" w:customStyle="1" w:styleId="in">
    <w:name w:val="in"/>
    <w:aliases w:val="into bullet"/>
    <w:basedOn w:val="Normal"/>
    <w:link w:val="inChar"/>
    <w:rsid w:val="005B0FCB"/>
    <w:pPr>
      <w:spacing w:after="120" w:line="264" w:lineRule="auto"/>
      <w:ind w:left="360"/>
    </w:pPr>
    <w:rPr>
      <w:rFonts w:ascii="Calibri" w:hAnsi="Calibri" w:cs="Arial"/>
      <w:sz w:val="22"/>
      <w:szCs w:val="22"/>
    </w:rPr>
  </w:style>
  <w:style w:type="paragraph" w:customStyle="1" w:styleId="b">
    <w:name w:val="b"/>
    <w:aliases w:val="bullet"/>
    <w:basedOn w:val="Normal"/>
    <w:link w:val="bChar"/>
    <w:rsid w:val="005B0FCB"/>
    <w:pPr>
      <w:numPr>
        <w:numId w:val="11"/>
      </w:numPr>
      <w:spacing w:after="120" w:line="264" w:lineRule="auto"/>
    </w:pPr>
    <w:rPr>
      <w:rFonts w:ascii="Calibri" w:hAnsi="Calibri" w:cs="Arial"/>
      <w:sz w:val="22"/>
      <w:szCs w:val="22"/>
    </w:rPr>
  </w:style>
  <w:style w:type="character" w:customStyle="1" w:styleId="inChar">
    <w:name w:val="in Char"/>
    <w:aliases w:val="into bullet Char"/>
    <w:basedOn w:val="DefaultParagraphFont"/>
    <w:link w:val="in"/>
    <w:rsid w:val="005B0FCB"/>
    <w:rPr>
      <w:rFonts w:ascii="Calibri" w:hAnsi="Calibri" w:cs="Arial"/>
      <w:sz w:val="22"/>
      <w:szCs w:val="22"/>
    </w:rPr>
  </w:style>
  <w:style w:type="character" w:customStyle="1" w:styleId="bChar">
    <w:name w:val="b Char"/>
    <w:aliases w:val="bullet Char,bullet Char Char"/>
    <w:basedOn w:val="DefaultParagraphFont"/>
    <w:link w:val="b"/>
    <w:rsid w:val="005B0FCB"/>
    <w:rPr>
      <w:rFonts w:ascii="Calibri" w:hAnsi="Calibri" w:cs="Arial"/>
      <w:sz w:val="22"/>
      <w:szCs w:val="22"/>
    </w:rPr>
  </w:style>
  <w:style w:type="paragraph" w:customStyle="1" w:styleId="TableCell">
    <w:name w:val="TableCell"/>
    <w:link w:val="TableCellChar"/>
    <w:rsid w:val="00760362"/>
    <w:pPr>
      <w:spacing w:before="40" w:after="40"/>
    </w:pPr>
    <w:rPr>
      <w:rFonts w:ascii="Arial" w:hAnsi="Arial" w:cs="Arial"/>
      <w:sz w:val="16"/>
      <w:szCs w:val="16"/>
    </w:rPr>
  </w:style>
  <w:style w:type="character" w:customStyle="1" w:styleId="TableCellChar">
    <w:name w:val="TableCell Char"/>
    <w:basedOn w:val="DefaultParagraphFont"/>
    <w:link w:val="TableCell"/>
    <w:rsid w:val="00760362"/>
    <w:rPr>
      <w:rFonts w:ascii="Arial" w:hAnsi="Arial" w:cs="Arial"/>
      <w:sz w:val="16"/>
      <w:szCs w:val="16"/>
    </w:rPr>
  </w:style>
  <w:style w:type="paragraph" w:customStyle="1" w:styleId="Table">
    <w:name w:val="Table"/>
    <w:basedOn w:val="TableCell"/>
    <w:rsid w:val="00760362"/>
    <w:pPr>
      <w:jc w:val="right"/>
    </w:pPr>
    <w:rPr>
      <w:rFonts w:asciiTheme="minorHAnsi" w:hAnsiTheme="minorHAnsi" w:cs="Times New Roman"/>
      <w:sz w:val="18"/>
      <w:szCs w:val="20"/>
    </w:rPr>
  </w:style>
  <w:style w:type="paragraph" w:styleId="Caption">
    <w:name w:val="caption"/>
    <w:basedOn w:val="Normal"/>
    <w:next w:val="Normal"/>
    <w:unhideWhenUsed/>
    <w:qFormat/>
    <w:locked/>
    <w:rsid w:val="00760362"/>
    <w:pPr>
      <w:spacing w:before="120" w:after="240"/>
      <w:ind w:left="360"/>
      <w:jc w:val="center"/>
    </w:pPr>
    <w:rPr>
      <w:rFonts w:ascii="Calibri" w:hAnsi="Calibri" w:cs="Arial"/>
      <w:b/>
      <w:sz w:val="20"/>
      <w:szCs w:val="20"/>
    </w:rPr>
  </w:style>
  <w:style w:type="paragraph" w:customStyle="1" w:styleId="Contents">
    <w:name w:val="Contents"/>
    <w:next w:val="Normal"/>
    <w:qFormat/>
    <w:rsid w:val="00B62DAA"/>
    <w:pPr>
      <w:shd w:val="clear" w:color="auto" w:fill="1F497D"/>
      <w:ind w:left="1170" w:hanging="1170"/>
      <w:jc w:val="right"/>
    </w:pPr>
    <w:rPr>
      <w:rFonts w:ascii="Calibri" w:hAnsi="Calibri"/>
      <w:b/>
      <w:smallCaps/>
      <w:color w:val="FFFFFF"/>
      <w:kern w:val="28"/>
      <w:sz w:val="32"/>
    </w:rPr>
  </w:style>
  <w:style w:type="paragraph" w:customStyle="1" w:styleId="t">
    <w:name w:val="t"/>
    <w:aliases w:val="text"/>
    <w:basedOn w:val="Normal"/>
    <w:link w:val="tChar"/>
    <w:rsid w:val="00A41C59"/>
    <w:pPr>
      <w:spacing w:after="240" w:line="264" w:lineRule="auto"/>
      <w:ind w:left="360"/>
    </w:pPr>
    <w:rPr>
      <w:rFonts w:ascii="Calibri" w:hAnsi="Calibri" w:cs="Arial"/>
      <w:sz w:val="22"/>
      <w:szCs w:val="22"/>
    </w:rPr>
  </w:style>
  <w:style w:type="character" w:customStyle="1" w:styleId="tChar">
    <w:name w:val="t Char"/>
    <w:aliases w:val="text Char Char"/>
    <w:basedOn w:val="DefaultParagraphFont"/>
    <w:link w:val="t"/>
    <w:rsid w:val="00A41C59"/>
    <w:rPr>
      <w:rFonts w:ascii="Calibri" w:hAnsi="Calibri" w:cs="Arial"/>
      <w:sz w:val="22"/>
      <w:szCs w:val="22"/>
    </w:rPr>
  </w:style>
  <w:style w:type="character" w:styleId="FollowedHyperlink">
    <w:name w:val="FollowedHyperlink"/>
    <w:basedOn w:val="DefaultParagraphFont"/>
    <w:uiPriority w:val="99"/>
    <w:semiHidden/>
    <w:unhideWhenUsed/>
    <w:rsid w:val="00F31F90"/>
    <w:rPr>
      <w:color w:val="800080" w:themeColor="followedHyperlink"/>
      <w:u w:val="single"/>
    </w:rPr>
  </w:style>
  <w:style w:type="table" w:customStyle="1" w:styleId="TableGrid1">
    <w:name w:val="Table Grid1"/>
    <w:basedOn w:val="TableNormal"/>
    <w:next w:val="TableGrid"/>
    <w:uiPriority w:val="99"/>
    <w:rsid w:val="005A5B56"/>
    <w:rPr>
      <w:rFonts w:ascii="Times" w:hAnsi="Times" w:cs="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99"/>
    <w:rsid w:val="003C3DDC"/>
    <w:rPr>
      <w:rFonts w:ascii="Times" w:hAnsi="Times" w:cs="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99"/>
    <w:rsid w:val="007D1798"/>
    <w:rPr>
      <w:rFonts w:ascii="Times" w:hAnsi="Times" w:cs="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99"/>
    <w:rsid w:val="00892CEB"/>
    <w:rPr>
      <w:rFonts w:ascii="Times" w:hAnsi="Times" w:cs="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12D"/>
    <w:rPr>
      <w:sz w:val="24"/>
      <w:szCs w:val="24"/>
    </w:rPr>
  </w:style>
  <w:style w:type="paragraph" w:styleId="Heading4">
    <w:name w:val="heading 4"/>
    <w:basedOn w:val="Normal"/>
    <w:next w:val="Normal"/>
    <w:link w:val="Heading4Char"/>
    <w:uiPriority w:val="99"/>
    <w:qFormat/>
    <w:rsid w:val="002D75BB"/>
    <w:pPr>
      <w:keepNext/>
      <w:ind w:right="-45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4D49DA"/>
    <w:rPr>
      <w:rFonts w:ascii="Calibri" w:hAnsi="Calibri" w:cs="Times New Roman"/>
      <w:b/>
      <w:bCs/>
      <w:sz w:val="28"/>
      <w:szCs w:val="28"/>
    </w:rPr>
  </w:style>
  <w:style w:type="character" w:styleId="Hyperlink">
    <w:name w:val="Hyperlink"/>
    <w:basedOn w:val="DefaultParagraphFont"/>
    <w:uiPriority w:val="99"/>
    <w:rsid w:val="006D390D"/>
    <w:rPr>
      <w:rFonts w:cs="Times New Roman"/>
      <w:color w:val="0000FF"/>
      <w:u w:val="single"/>
    </w:rPr>
  </w:style>
  <w:style w:type="paragraph" w:styleId="BodyText">
    <w:name w:val="Body Text"/>
    <w:basedOn w:val="Normal"/>
    <w:link w:val="BodyTextChar"/>
    <w:uiPriority w:val="99"/>
    <w:rsid w:val="006D390D"/>
    <w:rPr>
      <w:szCs w:val="20"/>
    </w:rPr>
  </w:style>
  <w:style w:type="character" w:customStyle="1" w:styleId="BodyTextChar">
    <w:name w:val="Body Text Char"/>
    <w:basedOn w:val="DefaultParagraphFont"/>
    <w:link w:val="BodyText"/>
    <w:uiPriority w:val="99"/>
    <w:semiHidden/>
    <w:locked/>
    <w:rsid w:val="004D49DA"/>
    <w:rPr>
      <w:rFonts w:cs="Times New Roman"/>
      <w:sz w:val="24"/>
      <w:szCs w:val="24"/>
    </w:rPr>
  </w:style>
  <w:style w:type="paragraph" w:customStyle="1" w:styleId="InsideAddress">
    <w:name w:val="Inside Address"/>
    <w:basedOn w:val="Normal"/>
    <w:uiPriority w:val="99"/>
    <w:rsid w:val="006D390D"/>
    <w:rPr>
      <w:szCs w:val="20"/>
    </w:rPr>
  </w:style>
  <w:style w:type="table" w:styleId="TableGrid">
    <w:name w:val="Table Grid"/>
    <w:aliases w:val="Hrztl Table"/>
    <w:basedOn w:val="TableNormal"/>
    <w:rsid w:val="006D39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D390D"/>
    <w:pPr>
      <w:tabs>
        <w:tab w:val="center" w:pos="4320"/>
        <w:tab w:val="right" w:pos="8640"/>
      </w:tabs>
    </w:pPr>
  </w:style>
  <w:style w:type="character" w:customStyle="1" w:styleId="HeaderChar">
    <w:name w:val="Header Char"/>
    <w:basedOn w:val="DefaultParagraphFont"/>
    <w:link w:val="Header"/>
    <w:uiPriority w:val="99"/>
    <w:semiHidden/>
    <w:locked/>
    <w:rsid w:val="004D49DA"/>
    <w:rPr>
      <w:rFonts w:cs="Times New Roman"/>
      <w:sz w:val="24"/>
      <w:szCs w:val="24"/>
    </w:rPr>
  </w:style>
  <w:style w:type="paragraph" w:styleId="Footer">
    <w:name w:val="footer"/>
    <w:basedOn w:val="Normal"/>
    <w:link w:val="FooterChar"/>
    <w:uiPriority w:val="99"/>
    <w:rsid w:val="006D390D"/>
    <w:pPr>
      <w:tabs>
        <w:tab w:val="center" w:pos="4320"/>
        <w:tab w:val="right" w:pos="8640"/>
      </w:tabs>
    </w:pPr>
  </w:style>
  <w:style w:type="character" w:customStyle="1" w:styleId="FooterChar">
    <w:name w:val="Footer Char"/>
    <w:basedOn w:val="DefaultParagraphFont"/>
    <w:link w:val="Footer"/>
    <w:uiPriority w:val="99"/>
    <w:locked/>
    <w:rsid w:val="004D49DA"/>
    <w:rPr>
      <w:rFonts w:cs="Times New Roman"/>
      <w:sz w:val="24"/>
      <w:szCs w:val="24"/>
    </w:rPr>
  </w:style>
  <w:style w:type="character" w:styleId="PageNumber">
    <w:name w:val="page number"/>
    <w:basedOn w:val="DefaultParagraphFont"/>
    <w:uiPriority w:val="99"/>
    <w:rsid w:val="006D390D"/>
    <w:rPr>
      <w:rFonts w:cs="Times New Roman"/>
    </w:rPr>
  </w:style>
  <w:style w:type="paragraph" w:styleId="EndnoteText">
    <w:name w:val="endnote text"/>
    <w:basedOn w:val="Normal"/>
    <w:link w:val="EndnoteTextChar"/>
    <w:uiPriority w:val="99"/>
    <w:semiHidden/>
    <w:rsid w:val="00582165"/>
    <w:pPr>
      <w:widowControl w:val="0"/>
    </w:pPr>
    <w:rPr>
      <w:rFonts w:ascii="Courier New" w:hAnsi="Courier New"/>
      <w:szCs w:val="20"/>
    </w:rPr>
  </w:style>
  <w:style w:type="character" w:customStyle="1" w:styleId="EndnoteTextChar">
    <w:name w:val="Endnote Text Char"/>
    <w:basedOn w:val="DefaultParagraphFont"/>
    <w:link w:val="EndnoteText"/>
    <w:uiPriority w:val="99"/>
    <w:semiHidden/>
    <w:locked/>
    <w:rsid w:val="004D49DA"/>
    <w:rPr>
      <w:rFonts w:cs="Times New Roman"/>
      <w:sz w:val="20"/>
      <w:szCs w:val="20"/>
    </w:rPr>
  </w:style>
  <w:style w:type="paragraph" w:styleId="NormalWeb">
    <w:name w:val="Normal (Web)"/>
    <w:basedOn w:val="Normal"/>
    <w:uiPriority w:val="99"/>
    <w:rsid w:val="002D75BB"/>
    <w:pPr>
      <w:spacing w:before="100" w:after="100"/>
    </w:pPr>
    <w:rPr>
      <w:szCs w:val="20"/>
    </w:rPr>
  </w:style>
  <w:style w:type="paragraph" w:styleId="BalloonText">
    <w:name w:val="Balloon Text"/>
    <w:basedOn w:val="Normal"/>
    <w:link w:val="BalloonTextChar"/>
    <w:uiPriority w:val="99"/>
    <w:semiHidden/>
    <w:rsid w:val="00174BA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49DA"/>
    <w:rPr>
      <w:rFonts w:cs="Times New Roman"/>
      <w:sz w:val="2"/>
    </w:rPr>
  </w:style>
  <w:style w:type="character" w:styleId="CommentReference">
    <w:name w:val="annotation reference"/>
    <w:basedOn w:val="DefaultParagraphFont"/>
    <w:rsid w:val="00174BAB"/>
    <w:rPr>
      <w:rFonts w:cs="Times New Roman"/>
      <w:sz w:val="16"/>
      <w:szCs w:val="16"/>
    </w:rPr>
  </w:style>
  <w:style w:type="paragraph" w:styleId="CommentText">
    <w:name w:val="annotation text"/>
    <w:basedOn w:val="Normal"/>
    <w:link w:val="CommentTextChar"/>
    <w:rsid w:val="00174BAB"/>
    <w:rPr>
      <w:sz w:val="20"/>
      <w:szCs w:val="20"/>
    </w:rPr>
  </w:style>
  <w:style w:type="character" w:customStyle="1" w:styleId="CommentTextChar">
    <w:name w:val="Comment Text Char"/>
    <w:basedOn w:val="DefaultParagraphFont"/>
    <w:link w:val="CommentText"/>
    <w:locked/>
    <w:rsid w:val="004D49DA"/>
    <w:rPr>
      <w:rFonts w:cs="Times New Roman"/>
      <w:sz w:val="20"/>
      <w:szCs w:val="20"/>
    </w:rPr>
  </w:style>
  <w:style w:type="paragraph" w:styleId="CommentSubject">
    <w:name w:val="annotation subject"/>
    <w:basedOn w:val="CommentText"/>
    <w:next w:val="CommentText"/>
    <w:link w:val="CommentSubjectChar"/>
    <w:uiPriority w:val="99"/>
    <w:semiHidden/>
    <w:rsid w:val="00174BAB"/>
    <w:rPr>
      <w:b/>
      <w:bCs/>
    </w:rPr>
  </w:style>
  <w:style w:type="character" w:customStyle="1" w:styleId="CommentSubjectChar">
    <w:name w:val="Comment Subject Char"/>
    <w:basedOn w:val="CommentTextChar"/>
    <w:link w:val="CommentSubject"/>
    <w:uiPriority w:val="99"/>
    <w:semiHidden/>
    <w:locked/>
    <w:rsid w:val="004D49DA"/>
    <w:rPr>
      <w:rFonts w:cs="Times New Roman"/>
      <w:b/>
      <w:bCs/>
      <w:sz w:val="20"/>
      <w:szCs w:val="20"/>
    </w:rPr>
  </w:style>
  <w:style w:type="character" w:styleId="EndnoteReference">
    <w:name w:val="endnote reference"/>
    <w:basedOn w:val="DefaultParagraphFont"/>
    <w:uiPriority w:val="99"/>
    <w:semiHidden/>
    <w:rsid w:val="00F72ED6"/>
    <w:rPr>
      <w:rFonts w:cs="Times New Roman"/>
      <w:vertAlign w:val="superscript"/>
    </w:rPr>
  </w:style>
  <w:style w:type="paragraph" w:styleId="FootnoteText">
    <w:name w:val="footnote text"/>
    <w:basedOn w:val="Normal"/>
    <w:link w:val="FootnoteTextChar"/>
    <w:uiPriority w:val="99"/>
    <w:semiHidden/>
    <w:rsid w:val="00AB757F"/>
    <w:rPr>
      <w:sz w:val="20"/>
      <w:szCs w:val="20"/>
    </w:rPr>
  </w:style>
  <w:style w:type="character" w:customStyle="1" w:styleId="FootnoteTextChar">
    <w:name w:val="Footnote Text Char"/>
    <w:basedOn w:val="DefaultParagraphFont"/>
    <w:link w:val="FootnoteText"/>
    <w:uiPriority w:val="99"/>
    <w:semiHidden/>
    <w:locked/>
    <w:rsid w:val="004D49DA"/>
    <w:rPr>
      <w:rFonts w:cs="Times New Roman"/>
      <w:sz w:val="20"/>
      <w:szCs w:val="20"/>
    </w:rPr>
  </w:style>
  <w:style w:type="character" w:styleId="FootnoteReference">
    <w:name w:val="footnote reference"/>
    <w:basedOn w:val="DefaultParagraphFont"/>
    <w:uiPriority w:val="99"/>
    <w:semiHidden/>
    <w:rsid w:val="00AB757F"/>
    <w:rPr>
      <w:rFonts w:cs="Times New Roman"/>
      <w:vertAlign w:val="superscript"/>
    </w:rPr>
  </w:style>
  <w:style w:type="paragraph" w:styleId="Revision">
    <w:name w:val="Revision"/>
    <w:hidden/>
    <w:uiPriority w:val="99"/>
    <w:semiHidden/>
    <w:rsid w:val="00FE13D2"/>
    <w:rPr>
      <w:sz w:val="24"/>
      <w:szCs w:val="24"/>
    </w:rPr>
  </w:style>
  <w:style w:type="paragraph" w:customStyle="1" w:styleId="tabletext">
    <w:name w:val="table text"/>
    <w:basedOn w:val="Normal"/>
    <w:uiPriority w:val="99"/>
    <w:rsid w:val="0076186C"/>
    <w:pPr>
      <w:spacing w:before="20" w:after="20"/>
    </w:pPr>
    <w:rPr>
      <w:rFonts w:ascii="Arial Narrow" w:hAnsi="Arial Narrow"/>
      <w:sz w:val="20"/>
      <w:szCs w:val="20"/>
    </w:rPr>
  </w:style>
  <w:style w:type="paragraph" w:styleId="ListParagraph">
    <w:name w:val="List Paragraph"/>
    <w:basedOn w:val="Normal"/>
    <w:uiPriority w:val="34"/>
    <w:qFormat/>
    <w:rsid w:val="0076186C"/>
    <w:pPr>
      <w:ind w:left="720"/>
      <w:contextualSpacing/>
    </w:pPr>
  </w:style>
  <w:style w:type="paragraph" w:customStyle="1" w:styleId="Default">
    <w:name w:val="Default"/>
    <w:uiPriority w:val="99"/>
    <w:rsid w:val="003A0A37"/>
    <w:pPr>
      <w:autoSpaceDE w:val="0"/>
      <w:autoSpaceDN w:val="0"/>
      <w:adjustRightInd w:val="0"/>
    </w:pPr>
    <w:rPr>
      <w:color w:val="000000"/>
      <w:sz w:val="24"/>
      <w:szCs w:val="24"/>
    </w:rPr>
  </w:style>
  <w:style w:type="paragraph" w:styleId="DocumentMap">
    <w:name w:val="Document Map"/>
    <w:basedOn w:val="Normal"/>
    <w:link w:val="DocumentMapChar"/>
    <w:uiPriority w:val="99"/>
    <w:semiHidden/>
    <w:unhideWhenUsed/>
    <w:rsid w:val="00640219"/>
    <w:rPr>
      <w:rFonts w:ascii="Tahoma" w:hAnsi="Tahoma" w:cs="Tahoma"/>
      <w:sz w:val="16"/>
      <w:szCs w:val="16"/>
    </w:rPr>
  </w:style>
  <w:style w:type="character" w:customStyle="1" w:styleId="DocumentMapChar">
    <w:name w:val="Document Map Char"/>
    <w:basedOn w:val="DefaultParagraphFont"/>
    <w:link w:val="DocumentMap"/>
    <w:uiPriority w:val="99"/>
    <w:semiHidden/>
    <w:rsid w:val="00640219"/>
    <w:rPr>
      <w:rFonts w:ascii="Tahoma" w:hAnsi="Tahoma" w:cs="Tahoma"/>
      <w:sz w:val="16"/>
      <w:szCs w:val="16"/>
    </w:rPr>
  </w:style>
  <w:style w:type="paragraph" w:customStyle="1" w:styleId="in">
    <w:name w:val="in"/>
    <w:aliases w:val="into bullet"/>
    <w:basedOn w:val="Normal"/>
    <w:link w:val="inChar"/>
    <w:rsid w:val="005B0FCB"/>
    <w:pPr>
      <w:spacing w:after="120" w:line="264" w:lineRule="auto"/>
      <w:ind w:left="360"/>
    </w:pPr>
    <w:rPr>
      <w:rFonts w:ascii="Calibri" w:hAnsi="Calibri" w:cs="Arial"/>
      <w:sz w:val="22"/>
      <w:szCs w:val="22"/>
    </w:rPr>
  </w:style>
  <w:style w:type="paragraph" w:customStyle="1" w:styleId="b">
    <w:name w:val="b"/>
    <w:aliases w:val="bullet"/>
    <w:basedOn w:val="Normal"/>
    <w:link w:val="bChar"/>
    <w:rsid w:val="005B0FCB"/>
    <w:pPr>
      <w:numPr>
        <w:numId w:val="11"/>
      </w:numPr>
      <w:spacing w:after="120" w:line="264" w:lineRule="auto"/>
    </w:pPr>
    <w:rPr>
      <w:rFonts w:ascii="Calibri" w:hAnsi="Calibri" w:cs="Arial"/>
      <w:sz w:val="22"/>
      <w:szCs w:val="22"/>
    </w:rPr>
  </w:style>
  <w:style w:type="character" w:customStyle="1" w:styleId="inChar">
    <w:name w:val="in Char"/>
    <w:aliases w:val="into bullet Char"/>
    <w:basedOn w:val="DefaultParagraphFont"/>
    <w:link w:val="in"/>
    <w:rsid w:val="005B0FCB"/>
    <w:rPr>
      <w:rFonts w:ascii="Calibri" w:hAnsi="Calibri" w:cs="Arial"/>
      <w:sz w:val="22"/>
      <w:szCs w:val="22"/>
    </w:rPr>
  </w:style>
  <w:style w:type="character" w:customStyle="1" w:styleId="bChar">
    <w:name w:val="b Char"/>
    <w:aliases w:val="bullet Char,bullet Char Char"/>
    <w:basedOn w:val="DefaultParagraphFont"/>
    <w:link w:val="b"/>
    <w:rsid w:val="005B0FCB"/>
    <w:rPr>
      <w:rFonts w:ascii="Calibri" w:hAnsi="Calibri" w:cs="Arial"/>
      <w:sz w:val="22"/>
      <w:szCs w:val="22"/>
    </w:rPr>
  </w:style>
  <w:style w:type="paragraph" w:customStyle="1" w:styleId="TableCell">
    <w:name w:val="TableCell"/>
    <w:link w:val="TableCellChar"/>
    <w:rsid w:val="00760362"/>
    <w:pPr>
      <w:spacing w:before="40" w:after="40"/>
    </w:pPr>
    <w:rPr>
      <w:rFonts w:ascii="Arial" w:hAnsi="Arial" w:cs="Arial"/>
      <w:sz w:val="16"/>
      <w:szCs w:val="16"/>
    </w:rPr>
  </w:style>
  <w:style w:type="character" w:customStyle="1" w:styleId="TableCellChar">
    <w:name w:val="TableCell Char"/>
    <w:basedOn w:val="DefaultParagraphFont"/>
    <w:link w:val="TableCell"/>
    <w:rsid w:val="00760362"/>
    <w:rPr>
      <w:rFonts w:ascii="Arial" w:hAnsi="Arial" w:cs="Arial"/>
      <w:sz w:val="16"/>
      <w:szCs w:val="16"/>
    </w:rPr>
  </w:style>
  <w:style w:type="paragraph" w:customStyle="1" w:styleId="Table">
    <w:name w:val="Table"/>
    <w:basedOn w:val="TableCell"/>
    <w:rsid w:val="00760362"/>
    <w:pPr>
      <w:jc w:val="right"/>
    </w:pPr>
    <w:rPr>
      <w:rFonts w:asciiTheme="minorHAnsi" w:hAnsiTheme="minorHAnsi" w:cs="Times New Roman"/>
      <w:sz w:val="18"/>
      <w:szCs w:val="20"/>
    </w:rPr>
  </w:style>
  <w:style w:type="paragraph" w:styleId="Caption">
    <w:name w:val="caption"/>
    <w:basedOn w:val="Normal"/>
    <w:next w:val="Normal"/>
    <w:unhideWhenUsed/>
    <w:qFormat/>
    <w:locked/>
    <w:rsid w:val="00760362"/>
    <w:pPr>
      <w:spacing w:before="120" w:after="240"/>
      <w:ind w:left="360"/>
      <w:jc w:val="center"/>
    </w:pPr>
    <w:rPr>
      <w:rFonts w:ascii="Calibri" w:hAnsi="Calibri" w:cs="Arial"/>
      <w:b/>
      <w:sz w:val="20"/>
      <w:szCs w:val="20"/>
    </w:rPr>
  </w:style>
  <w:style w:type="paragraph" w:customStyle="1" w:styleId="Contents">
    <w:name w:val="Contents"/>
    <w:next w:val="Normal"/>
    <w:qFormat/>
    <w:rsid w:val="00B62DAA"/>
    <w:pPr>
      <w:shd w:val="clear" w:color="auto" w:fill="1F497D"/>
      <w:ind w:left="1170" w:hanging="1170"/>
      <w:jc w:val="right"/>
    </w:pPr>
    <w:rPr>
      <w:rFonts w:ascii="Calibri" w:hAnsi="Calibri"/>
      <w:b/>
      <w:smallCaps/>
      <w:color w:val="FFFFFF"/>
      <w:kern w:val="28"/>
      <w:sz w:val="32"/>
    </w:rPr>
  </w:style>
  <w:style w:type="paragraph" w:customStyle="1" w:styleId="t">
    <w:name w:val="t"/>
    <w:aliases w:val="text"/>
    <w:basedOn w:val="Normal"/>
    <w:link w:val="tChar"/>
    <w:rsid w:val="00A41C59"/>
    <w:pPr>
      <w:spacing w:after="240" w:line="264" w:lineRule="auto"/>
      <w:ind w:left="360"/>
    </w:pPr>
    <w:rPr>
      <w:rFonts w:ascii="Calibri" w:hAnsi="Calibri" w:cs="Arial"/>
      <w:sz w:val="22"/>
      <w:szCs w:val="22"/>
    </w:rPr>
  </w:style>
  <w:style w:type="character" w:customStyle="1" w:styleId="tChar">
    <w:name w:val="t Char"/>
    <w:aliases w:val="text Char Char"/>
    <w:basedOn w:val="DefaultParagraphFont"/>
    <w:link w:val="t"/>
    <w:rsid w:val="00A41C59"/>
    <w:rPr>
      <w:rFonts w:ascii="Calibri" w:hAnsi="Calibri" w:cs="Arial"/>
      <w:sz w:val="22"/>
      <w:szCs w:val="22"/>
    </w:rPr>
  </w:style>
  <w:style w:type="character" w:styleId="FollowedHyperlink">
    <w:name w:val="FollowedHyperlink"/>
    <w:basedOn w:val="DefaultParagraphFont"/>
    <w:uiPriority w:val="99"/>
    <w:semiHidden/>
    <w:unhideWhenUsed/>
    <w:rsid w:val="00F31F90"/>
    <w:rPr>
      <w:color w:val="800080" w:themeColor="followedHyperlink"/>
      <w:u w:val="single"/>
    </w:rPr>
  </w:style>
  <w:style w:type="table" w:customStyle="1" w:styleId="TableGrid1">
    <w:name w:val="Table Grid1"/>
    <w:basedOn w:val="TableNormal"/>
    <w:next w:val="TableGrid"/>
    <w:uiPriority w:val="99"/>
    <w:rsid w:val="005A5B56"/>
    <w:rPr>
      <w:rFonts w:ascii="Times" w:hAnsi="Times" w:cs="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99"/>
    <w:rsid w:val="003C3DDC"/>
    <w:rPr>
      <w:rFonts w:ascii="Times" w:hAnsi="Times" w:cs="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99"/>
    <w:rsid w:val="007D1798"/>
    <w:rPr>
      <w:rFonts w:ascii="Times" w:hAnsi="Times" w:cs="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99"/>
    <w:rsid w:val="00892CEB"/>
    <w:rPr>
      <w:rFonts w:ascii="Times" w:hAnsi="Times" w:cs="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52367">
      <w:bodyDiv w:val="1"/>
      <w:marLeft w:val="0"/>
      <w:marRight w:val="0"/>
      <w:marTop w:val="0"/>
      <w:marBottom w:val="0"/>
      <w:divBdr>
        <w:top w:val="none" w:sz="0" w:space="0" w:color="auto"/>
        <w:left w:val="none" w:sz="0" w:space="0" w:color="auto"/>
        <w:bottom w:val="none" w:sz="0" w:space="0" w:color="auto"/>
        <w:right w:val="none" w:sz="0" w:space="0" w:color="auto"/>
      </w:divBdr>
    </w:div>
    <w:div w:id="249124810">
      <w:bodyDiv w:val="1"/>
      <w:marLeft w:val="0"/>
      <w:marRight w:val="0"/>
      <w:marTop w:val="0"/>
      <w:marBottom w:val="0"/>
      <w:divBdr>
        <w:top w:val="none" w:sz="0" w:space="0" w:color="auto"/>
        <w:left w:val="none" w:sz="0" w:space="0" w:color="auto"/>
        <w:bottom w:val="none" w:sz="0" w:space="0" w:color="auto"/>
        <w:right w:val="none" w:sz="0" w:space="0" w:color="auto"/>
      </w:divBdr>
    </w:div>
    <w:div w:id="601383240">
      <w:bodyDiv w:val="1"/>
      <w:marLeft w:val="0"/>
      <w:marRight w:val="0"/>
      <w:marTop w:val="0"/>
      <w:marBottom w:val="0"/>
      <w:divBdr>
        <w:top w:val="none" w:sz="0" w:space="0" w:color="auto"/>
        <w:left w:val="none" w:sz="0" w:space="0" w:color="auto"/>
        <w:bottom w:val="none" w:sz="0" w:space="0" w:color="auto"/>
        <w:right w:val="none" w:sz="0" w:space="0" w:color="auto"/>
      </w:divBdr>
    </w:div>
    <w:div w:id="982004992">
      <w:bodyDiv w:val="1"/>
      <w:marLeft w:val="0"/>
      <w:marRight w:val="0"/>
      <w:marTop w:val="0"/>
      <w:marBottom w:val="0"/>
      <w:divBdr>
        <w:top w:val="none" w:sz="0" w:space="0" w:color="auto"/>
        <w:left w:val="none" w:sz="0" w:space="0" w:color="auto"/>
        <w:bottom w:val="none" w:sz="0" w:space="0" w:color="auto"/>
        <w:right w:val="none" w:sz="0" w:space="0" w:color="auto"/>
      </w:divBdr>
    </w:div>
    <w:div w:id="1143083157">
      <w:bodyDiv w:val="1"/>
      <w:marLeft w:val="0"/>
      <w:marRight w:val="0"/>
      <w:marTop w:val="0"/>
      <w:marBottom w:val="0"/>
      <w:divBdr>
        <w:top w:val="none" w:sz="0" w:space="0" w:color="auto"/>
        <w:left w:val="none" w:sz="0" w:space="0" w:color="auto"/>
        <w:bottom w:val="none" w:sz="0" w:space="0" w:color="auto"/>
        <w:right w:val="none" w:sz="0" w:space="0" w:color="auto"/>
      </w:divBdr>
    </w:div>
    <w:div w:id="1279216873">
      <w:bodyDiv w:val="1"/>
      <w:marLeft w:val="0"/>
      <w:marRight w:val="0"/>
      <w:marTop w:val="0"/>
      <w:marBottom w:val="0"/>
      <w:divBdr>
        <w:top w:val="none" w:sz="0" w:space="0" w:color="auto"/>
        <w:left w:val="none" w:sz="0" w:space="0" w:color="auto"/>
        <w:bottom w:val="none" w:sz="0" w:space="0" w:color="auto"/>
        <w:right w:val="none" w:sz="0" w:space="0" w:color="auto"/>
      </w:divBdr>
    </w:div>
    <w:div w:id="1567837597">
      <w:bodyDiv w:val="1"/>
      <w:marLeft w:val="0"/>
      <w:marRight w:val="0"/>
      <w:marTop w:val="0"/>
      <w:marBottom w:val="0"/>
      <w:divBdr>
        <w:top w:val="none" w:sz="0" w:space="0" w:color="auto"/>
        <w:left w:val="none" w:sz="0" w:space="0" w:color="auto"/>
        <w:bottom w:val="none" w:sz="0" w:space="0" w:color="auto"/>
        <w:right w:val="none" w:sz="0" w:space="0" w:color="auto"/>
      </w:divBdr>
    </w:div>
    <w:div w:id="1972242230">
      <w:bodyDiv w:val="1"/>
      <w:marLeft w:val="0"/>
      <w:marRight w:val="0"/>
      <w:marTop w:val="0"/>
      <w:marBottom w:val="0"/>
      <w:divBdr>
        <w:top w:val="none" w:sz="0" w:space="0" w:color="auto"/>
        <w:left w:val="none" w:sz="0" w:space="0" w:color="auto"/>
        <w:bottom w:val="none" w:sz="0" w:space="0" w:color="auto"/>
        <w:right w:val="none" w:sz="0" w:space="0" w:color="auto"/>
      </w:divBdr>
    </w:div>
    <w:div w:id="1984580523">
      <w:marLeft w:val="0"/>
      <w:marRight w:val="0"/>
      <w:marTop w:val="0"/>
      <w:marBottom w:val="0"/>
      <w:divBdr>
        <w:top w:val="none" w:sz="0" w:space="0" w:color="auto"/>
        <w:left w:val="none" w:sz="0" w:space="0" w:color="auto"/>
        <w:bottom w:val="none" w:sz="0" w:space="0" w:color="auto"/>
        <w:right w:val="none" w:sz="0" w:space="0" w:color="auto"/>
      </w:divBdr>
    </w:div>
    <w:div w:id="1984580524">
      <w:marLeft w:val="0"/>
      <w:marRight w:val="0"/>
      <w:marTop w:val="0"/>
      <w:marBottom w:val="0"/>
      <w:divBdr>
        <w:top w:val="none" w:sz="0" w:space="0" w:color="auto"/>
        <w:left w:val="none" w:sz="0" w:space="0" w:color="auto"/>
        <w:bottom w:val="none" w:sz="0" w:space="0" w:color="auto"/>
        <w:right w:val="none" w:sz="0" w:space="0" w:color="auto"/>
      </w:divBdr>
    </w:div>
    <w:div w:id="1984580525">
      <w:marLeft w:val="0"/>
      <w:marRight w:val="0"/>
      <w:marTop w:val="0"/>
      <w:marBottom w:val="0"/>
      <w:divBdr>
        <w:top w:val="none" w:sz="0" w:space="0" w:color="auto"/>
        <w:left w:val="none" w:sz="0" w:space="0" w:color="auto"/>
        <w:bottom w:val="none" w:sz="0" w:space="0" w:color="auto"/>
        <w:right w:val="none" w:sz="0" w:space="0" w:color="auto"/>
      </w:divBdr>
    </w:div>
    <w:div w:id="1984580526">
      <w:marLeft w:val="0"/>
      <w:marRight w:val="0"/>
      <w:marTop w:val="0"/>
      <w:marBottom w:val="0"/>
      <w:divBdr>
        <w:top w:val="none" w:sz="0" w:space="0" w:color="auto"/>
        <w:left w:val="none" w:sz="0" w:space="0" w:color="auto"/>
        <w:bottom w:val="none" w:sz="0" w:space="0" w:color="auto"/>
        <w:right w:val="none" w:sz="0" w:space="0" w:color="auto"/>
      </w:divBdr>
    </w:div>
    <w:div w:id="1984580528">
      <w:marLeft w:val="0"/>
      <w:marRight w:val="0"/>
      <w:marTop w:val="0"/>
      <w:marBottom w:val="0"/>
      <w:divBdr>
        <w:top w:val="none" w:sz="0" w:space="0" w:color="auto"/>
        <w:left w:val="none" w:sz="0" w:space="0" w:color="auto"/>
        <w:bottom w:val="none" w:sz="0" w:space="0" w:color="auto"/>
        <w:right w:val="none" w:sz="0" w:space="0" w:color="auto"/>
      </w:divBdr>
      <w:divsChild>
        <w:div w:id="1984580527">
          <w:marLeft w:val="547"/>
          <w:marRight w:val="0"/>
          <w:marTop w:val="77"/>
          <w:marBottom w:val="0"/>
          <w:divBdr>
            <w:top w:val="none" w:sz="0" w:space="0" w:color="auto"/>
            <w:left w:val="none" w:sz="0" w:space="0" w:color="auto"/>
            <w:bottom w:val="none" w:sz="0" w:space="0" w:color="auto"/>
            <w:right w:val="none" w:sz="0" w:space="0" w:color="auto"/>
          </w:divBdr>
        </w:div>
        <w:div w:id="1984580529">
          <w:marLeft w:val="547"/>
          <w:marRight w:val="0"/>
          <w:marTop w:val="77"/>
          <w:marBottom w:val="0"/>
          <w:divBdr>
            <w:top w:val="none" w:sz="0" w:space="0" w:color="auto"/>
            <w:left w:val="none" w:sz="0" w:space="0" w:color="auto"/>
            <w:bottom w:val="none" w:sz="0" w:space="0" w:color="auto"/>
            <w:right w:val="none" w:sz="0" w:space="0" w:color="auto"/>
          </w:divBdr>
        </w:div>
        <w:div w:id="1984580530">
          <w:marLeft w:val="547"/>
          <w:marRight w:val="0"/>
          <w:marTop w:val="77"/>
          <w:marBottom w:val="0"/>
          <w:divBdr>
            <w:top w:val="none" w:sz="0" w:space="0" w:color="auto"/>
            <w:left w:val="none" w:sz="0" w:space="0" w:color="auto"/>
            <w:bottom w:val="none" w:sz="0" w:space="0" w:color="auto"/>
            <w:right w:val="none" w:sz="0" w:space="0" w:color="auto"/>
          </w:divBdr>
        </w:div>
        <w:div w:id="1984580531">
          <w:marLeft w:val="547"/>
          <w:marRight w:val="0"/>
          <w:marTop w:val="67"/>
          <w:marBottom w:val="0"/>
          <w:divBdr>
            <w:top w:val="none" w:sz="0" w:space="0" w:color="auto"/>
            <w:left w:val="none" w:sz="0" w:space="0" w:color="auto"/>
            <w:bottom w:val="none" w:sz="0" w:space="0" w:color="auto"/>
            <w:right w:val="none" w:sz="0" w:space="0" w:color="auto"/>
          </w:divBdr>
        </w:div>
      </w:divsChild>
    </w:div>
    <w:div w:id="1984580532">
      <w:marLeft w:val="0"/>
      <w:marRight w:val="0"/>
      <w:marTop w:val="0"/>
      <w:marBottom w:val="0"/>
      <w:divBdr>
        <w:top w:val="none" w:sz="0" w:space="0" w:color="auto"/>
        <w:left w:val="none" w:sz="0" w:space="0" w:color="auto"/>
        <w:bottom w:val="none" w:sz="0" w:space="0" w:color="auto"/>
        <w:right w:val="none" w:sz="0" w:space="0" w:color="auto"/>
      </w:divBdr>
    </w:div>
    <w:div w:id="1984580533">
      <w:marLeft w:val="0"/>
      <w:marRight w:val="0"/>
      <w:marTop w:val="0"/>
      <w:marBottom w:val="0"/>
      <w:divBdr>
        <w:top w:val="none" w:sz="0" w:space="0" w:color="auto"/>
        <w:left w:val="none" w:sz="0" w:space="0" w:color="auto"/>
        <w:bottom w:val="none" w:sz="0" w:space="0" w:color="auto"/>
        <w:right w:val="none" w:sz="0" w:space="0" w:color="auto"/>
      </w:divBdr>
    </w:div>
    <w:div w:id="1984580534">
      <w:marLeft w:val="0"/>
      <w:marRight w:val="0"/>
      <w:marTop w:val="0"/>
      <w:marBottom w:val="0"/>
      <w:divBdr>
        <w:top w:val="none" w:sz="0" w:space="0" w:color="auto"/>
        <w:left w:val="none" w:sz="0" w:space="0" w:color="auto"/>
        <w:bottom w:val="none" w:sz="0" w:space="0" w:color="auto"/>
        <w:right w:val="none" w:sz="0" w:space="0" w:color="auto"/>
      </w:divBdr>
    </w:div>
    <w:div w:id="1984580535">
      <w:marLeft w:val="0"/>
      <w:marRight w:val="0"/>
      <w:marTop w:val="0"/>
      <w:marBottom w:val="0"/>
      <w:divBdr>
        <w:top w:val="none" w:sz="0" w:space="0" w:color="auto"/>
        <w:left w:val="none" w:sz="0" w:space="0" w:color="auto"/>
        <w:bottom w:val="none" w:sz="0" w:space="0" w:color="auto"/>
        <w:right w:val="none" w:sz="0" w:space="0" w:color="auto"/>
      </w:divBdr>
    </w:div>
    <w:div w:id="202362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2013-11-12T08:00:00+00:00</OpenedDate>
    <Date1 xmlns="dc463f71-b30c-4ab2-9473-d307f9d35888">2013-11-12T08:00:00+00:00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132083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AA7C0586A89A94783BF854927FF99D1" ma:contentTypeVersion="127" ma:contentTypeDescription="" ma:contentTypeScope="" ma:versionID="9209dba9d47478d4ba8eba82ae03e19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D65013D-F72C-4979-9BB4-77FE7DD413A7}"/>
</file>

<file path=customXml/itemProps2.xml><?xml version="1.0" encoding="utf-8"?>
<ds:datastoreItem xmlns:ds="http://schemas.openxmlformats.org/officeDocument/2006/customXml" ds:itemID="{19CF9EC7-B628-462F-9AA4-BD7E156BAFBD}"/>
</file>

<file path=customXml/itemProps3.xml><?xml version="1.0" encoding="utf-8"?>
<ds:datastoreItem xmlns:ds="http://schemas.openxmlformats.org/officeDocument/2006/customXml" ds:itemID="{6957FD5F-5D06-4872-81EA-D1A75D15A89B}"/>
</file>

<file path=customXml/itemProps4.xml><?xml version="1.0" encoding="utf-8"?>
<ds:datastoreItem xmlns:ds="http://schemas.openxmlformats.org/officeDocument/2006/customXml" ds:itemID="{011328EA-D37C-4BC5-8D9C-26F541C24014}"/>
</file>

<file path=docProps/app.xml><?xml version="1.0" encoding="utf-8"?>
<Properties xmlns="http://schemas.openxmlformats.org/officeDocument/2006/extended-properties" xmlns:vt="http://schemas.openxmlformats.org/officeDocument/2006/docPropsVTypes">
  <Template>Normal.dotm</Template>
  <TotalTime>0</TotalTime>
  <Pages>13</Pages>
  <Words>4151</Words>
  <Characters>24013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2013-11-06T15:32:00Z</dcterms:created>
  <dcterms:modified xsi:type="dcterms:W3CDTF">2013-11-12T18:59:00Z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0x0101006E56B4D1795A2E4DB2F0B01679ED314A001AA7C0586A89A94783BF854927FF99D1</vt:lpwstr>
  </property>
  <property fmtid="{D5CDD505-2E9C-101B-9397-08002B2CF9AE}" pid="4" name="_docset_NoMedatataSyncRequired">
    <vt:lpwstr>False</vt:lpwstr>
  </property>
</Properties>
</file>