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17AB" w14:textId="77777777" w:rsidR="005033F6" w:rsidRPr="00433FB3" w:rsidRDefault="005033F6">
      <w:pPr>
        <w:pStyle w:val="BodyText"/>
        <w:rPr>
          <w:b/>
          <w:bCs/>
        </w:rPr>
      </w:pPr>
      <w:r w:rsidRPr="00433FB3">
        <w:rPr>
          <w:b/>
          <w:bCs/>
        </w:rPr>
        <w:t>BEFORE THE WASHINGTON</w:t>
      </w:r>
    </w:p>
    <w:p w14:paraId="7DBF17AC" w14:textId="77777777" w:rsidR="005033F6" w:rsidRPr="00433FB3" w:rsidRDefault="005033F6">
      <w:pPr>
        <w:pStyle w:val="BodyText"/>
        <w:rPr>
          <w:b/>
          <w:bCs/>
        </w:rPr>
      </w:pPr>
      <w:r w:rsidRPr="00433FB3">
        <w:rPr>
          <w:b/>
          <w:bCs/>
        </w:rPr>
        <w:t>UTILITIES AND TRANSPORTATION COMMISSION</w:t>
      </w:r>
    </w:p>
    <w:p w14:paraId="7DBF17AD" w14:textId="77777777" w:rsidR="005033F6" w:rsidRPr="00433FB3" w:rsidRDefault="005033F6">
      <w:pPr>
        <w:rPr>
          <w:b/>
          <w:bCs/>
        </w:rPr>
      </w:pPr>
    </w:p>
    <w:tbl>
      <w:tblPr>
        <w:tblW w:w="0" w:type="auto"/>
        <w:tblLook w:val="0000" w:firstRow="0" w:lastRow="0" w:firstColumn="0" w:lastColumn="0" w:noHBand="0" w:noVBand="0"/>
      </w:tblPr>
      <w:tblGrid>
        <w:gridCol w:w="3908"/>
        <w:gridCol w:w="600"/>
        <w:gridCol w:w="4348"/>
      </w:tblGrid>
      <w:tr w:rsidR="005033F6" w:rsidRPr="00433FB3" w14:paraId="7DBF17C0" w14:textId="77777777">
        <w:tc>
          <w:tcPr>
            <w:tcW w:w="3908" w:type="dxa"/>
          </w:tcPr>
          <w:p w14:paraId="7DBF17AE" w14:textId="77777777" w:rsidR="005033F6" w:rsidRPr="00433FB3" w:rsidRDefault="005033F6">
            <w:r w:rsidRPr="00433FB3">
              <w:t>In the Matter of the Petition of</w:t>
            </w:r>
          </w:p>
          <w:p w14:paraId="7DBF17AF" w14:textId="77777777" w:rsidR="005033F6" w:rsidRPr="00433FB3" w:rsidRDefault="005033F6"/>
          <w:p w14:paraId="7DBF17B0" w14:textId="2EE85A17" w:rsidR="005033F6" w:rsidRDefault="00763AAA" w:rsidP="00AB7B77">
            <w:pPr>
              <w:pStyle w:val="Header"/>
              <w:tabs>
                <w:tab w:val="clear" w:pos="4320"/>
                <w:tab w:val="clear" w:pos="8640"/>
              </w:tabs>
            </w:pPr>
            <w:r>
              <w:t xml:space="preserve">Qwest Corporation d/b/a </w:t>
            </w:r>
            <w:r w:rsidR="005A6E9F">
              <w:t xml:space="preserve"> </w:t>
            </w:r>
            <w:proofErr w:type="spellStart"/>
            <w:r w:rsidR="005A6E9F">
              <w:t>CenturyLink</w:t>
            </w:r>
            <w:proofErr w:type="spellEnd"/>
            <w:r w:rsidR="005A6E9F">
              <w:t xml:space="preserve"> QC</w:t>
            </w:r>
          </w:p>
          <w:p w14:paraId="7DBF17B1" w14:textId="77777777" w:rsidR="005A6E9F" w:rsidRPr="00433FB3" w:rsidRDefault="005A6E9F" w:rsidP="00AB7B77">
            <w:pPr>
              <w:pStyle w:val="Header"/>
              <w:tabs>
                <w:tab w:val="clear" w:pos="4320"/>
                <w:tab w:val="clear" w:pos="8640"/>
              </w:tabs>
            </w:pPr>
          </w:p>
          <w:p w14:paraId="7DBF17B2" w14:textId="77777777" w:rsidR="005033F6" w:rsidRPr="00433FB3" w:rsidRDefault="005033F6">
            <w:r w:rsidRPr="00433FB3">
              <w:t xml:space="preserve">                     Petitioner, </w:t>
            </w:r>
          </w:p>
          <w:p w14:paraId="7DBF17B3" w14:textId="77777777" w:rsidR="005033F6" w:rsidRPr="00433FB3" w:rsidRDefault="005033F6">
            <w:pPr>
              <w:rPr>
                <w:b/>
                <w:bCs/>
              </w:rPr>
            </w:pPr>
          </w:p>
          <w:p w14:paraId="7DBF17B4" w14:textId="77777777" w:rsidR="00913A98" w:rsidRDefault="000C1C8B" w:rsidP="00FA26F0">
            <w:r>
              <w:t xml:space="preserve">For </w:t>
            </w:r>
            <w:r w:rsidR="007E5C27">
              <w:t>A</w:t>
            </w:r>
            <w:r>
              <w:t xml:space="preserve">pproval of </w:t>
            </w:r>
            <w:r w:rsidR="00160E37">
              <w:t>Amendments</w:t>
            </w:r>
            <w:r>
              <w:t xml:space="preserve"> to </w:t>
            </w:r>
            <w:r w:rsidR="00160E37">
              <w:t>the Qwest</w:t>
            </w:r>
            <w:r w:rsidR="005A6E9F">
              <w:t xml:space="preserve"> Performance Assurance Plan and Performance Indicato</w:t>
            </w:r>
            <w:r w:rsidR="00EF4B60">
              <w:t>r</w:t>
            </w:r>
            <w:r w:rsidR="005A6E9F">
              <w:t xml:space="preserve"> Definitions</w:t>
            </w:r>
          </w:p>
          <w:p w14:paraId="7DBF17B5" w14:textId="77777777" w:rsidR="005033F6" w:rsidRPr="00433FB3" w:rsidRDefault="005033F6" w:rsidP="00FA26F0">
            <w:pPr>
              <w:rPr>
                <w:b/>
                <w:bCs/>
              </w:rPr>
            </w:pPr>
            <w:r w:rsidRPr="00433FB3">
              <w:t>. . . . . . . . . .</w:t>
            </w:r>
            <w:r w:rsidR="00913A98">
              <w:t xml:space="preserve"> . . . . . . . . . . . . . . . . . . . . . </w:t>
            </w:r>
            <w:r w:rsidRPr="00433FB3">
              <w:t xml:space="preserve"> </w:t>
            </w:r>
          </w:p>
        </w:tc>
        <w:tc>
          <w:tcPr>
            <w:tcW w:w="600" w:type="dxa"/>
          </w:tcPr>
          <w:p w14:paraId="7DBF17B6"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7DBF17B7" w14:textId="77777777" w:rsidR="00595E68" w:rsidRDefault="00595E68" w:rsidP="000B0196">
            <w:pPr>
              <w:jc w:val="center"/>
            </w:pPr>
            <w:r>
              <w:t>)</w:t>
            </w:r>
          </w:p>
          <w:p w14:paraId="7DBF17B8" w14:textId="77777777" w:rsidR="005033F6" w:rsidRPr="00433FB3" w:rsidRDefault="005033F6" w:rsidP="000B0196">
            <w:pPr>
              <w:jc w:val="center"/>
            </w:pPr>
          </w:p>
        </w:tc>
        <w:tc>
          <w:tcPr>
            <w:tcW w:w="4348" w:type="dxa"/>
          </w:tcPr>
          <w:p w14:paraId="7DBF17B9" w14:textId="77777777"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0" w:name="docket_no"/>
            <w:r w:rsidR="007605F9">
              <w:t>UT-130579</w:t>
            </w:r>
            <w:bookmarkEnd w:id="0"/>
            <w:r w:rsidR="00A93F0F">
              <w:fldChar w:fldCharType="end"/>
            </w:r>
            <w:r w:rsidR="00E97C1D">
              <w:t>UT-131949</w:t>
            </w:r>
          </w:p>
          <w:p w14:paraId="7DBF17BA" w14:textId="77777777" w:rsidR="005033F6" w:rsidRPr="00433FB3" w:rsidRDefault="005033F6">
            <w:pPr>
              <w:ind w:left="720"/>
              <w:rPr>
                <w:b/>
                <w:bCs/>
              </w:rPr>
            </w:pPr>
          </w:p>
          <w:p w14:paraId="7DBF17BB" w14:textId="77777777" w:rsidR="005033F6" w:rsidRPr="00433FB3" w:rsidRDefault="00485E50">
            <w:pPr>
              <w:rPr>
                <w:b/>
                <w:bCs/>
              </w:rPr>
            </w:pPr>
            <w:r>
              <w:t xml:space="preserve">ORDER </w:t>
            </w:r>
            <w:r w:rsidR="00A93F0F">
              <w:fldChar w:fldCharType="begin"/>
            </w:r>
            <w:r w:rsidR="00A93F0F">
              <w:instrText xml:space="preserve"> ASK order_no "Enter Order Number"</w:instrText>
            </w:r>
            <w:r w:rsidR="00A93F0F">
              <w:fldChar w:fldCharType="separate"/>
            </w:r>
            <w:bookmarkStart w:id="1" w:name="order_no"/>
            <w:r w:rsidR="007605F9">
              <w:t>01</w:t>
            </w:r>
            <w:bookmarkEnd w:id="1"/>
            <w:r w:rsidR="00A93F0F">
              <w:fldChar w:fldCharType="end"/>
            </w:r>
            <w:fldSimple w:instr=" REF order_no \* MERGEFORMAT">
              <w:r w:rsidR="009262C5">
                <w:t>01</w:t>
              </w:r>
            </w:fldSimple>
          </w:p>
          <w:p w14:paraId="7DBF17BC" w14:textId="77777777" w:rsidR="005033F6" w:rsidRPr="00433FB3" w:rsidRDefault="005033F6">
            <w:pPr>
              <w:ind w:left="720"/>
              <w:rPr>
                <w:b/>
                <w:bCs/>
              </w:rPr>
            </w:pPr>
          </w:p>
          <w:p w14:paraId="7DBF17BD" w14:textId="77777777" w:rsidR="005033F6" w:rsidRPr="00433FB3" w:rsidRDefault="005033F6"/>
          <w:p w14:paraId="7DBF17BE" w14:textId="77777777" w:rsidR="00185EAD" w:rsidRDefault="00185EAD" w:rsidP="000D1D1C"/>
          <w:p w14:paraId="7DBF17BF" w14:textId="7A80188A" w:rsidR="005033F6" w:rsidRPr="00433FB3" w:rsidRDefault="005033F6" w:rsidP="00EF4B60">
            <w:pPr>
              <w:rPr>
                <w:b/>
                <w:bCs/>
              </w:rPr>
            </w:pPr>
            <w:r w:rsidRPr="00433FB3">
              <w:t xml:space="preserve">ORDER </w:t>
            </w:r>
            <w:r w:rsidR="005A6E9F">
              <w:t xml:space="preserve">APPROVING </w:t>
            </w:r>
            <w:r w:rsidR="00EF4B60">
              <w:t xml:space="preserve">AMENDMENTS TO THE </w:t>
            </w:r>
            <w:r w:rsidR="005A6E9F">
              <w:t>PERFORMANCE ASSURAN</w:t>
            </w:r>
            <w:r w:rsidR="00E505B1">
              <w:t>CE PLAN AND PERFORMANCE INDICAT</w:t>
            </w:r>
            <w:bookmarkStart w:id="2" w:name="_GoBack"/>
            <w:bookmarkEnd w:id="2"/>
            <w:r w:rsidR="005A6E9F">
              <w:t>OR DEFINITIONS</w:t>
            </w:r>
          </w:p>
        </w:tc>
      </w:tr>
    </w:tbl>
    <w:p w14:paraId="7DBF17C1" w14:textId="77777777" w:rsidR="005033F6" w:rsidRPr="00433FB3" w:rsidRDefault="005033F6">
      <w:pPr>
        <w:pStyle w:val="Header"/>
        <w:tabs>
          <w:tab w:val="clear" w:pos="4320"/>
          <w:tab w:val="clear" w:pos="8640"/>
        </w:tabs>
      </w:pPr>
    </w:p>
    <w:p w14:paraId="7DBF17C2" w14:textId="77777777" w:rsidR="005033F6" w:rsidRPr="00433FB3" w:rsidRDefault="005033F6" w:rsidP="00B80065">
      <w:pPr>
        <w:pStyle w:val="Findings"/>
        <w:numPr>
          <w:ilvl w:val="0"/>
          <w:numId w:val="0"/>
        </w:numPr>
        <w:spacing w:line="320" w:lineRule="exact"/>
        <w:ind w:left="-720" w:firstLine="720"/>
        <w:jc w:val="center"/>
        <w:rPr>
          <w:b/>
          <w:bCs/>
        </w:rPr>
      </w:pPr>
      <w:r w:rsidRPr="00433FB3">
        <w:rPr>
          <w:b/>
          <w:bCs/>
        </w:rPr>
        <w:t>BACKGROUND</w:t>
      </w:r>
    </w:p>
    <w:p w14:paraId="7DBF17C3" w14:textId="77777777" w:rsidR="005033F6" w:rsidRPr="00433FB3" w:rsidRDefault="005033F6" w:rsidP="00B80065">
      <w:pPr>
        <w:pStyle w:val="Header"/>
        <w:tabs>
          <w:tab w:val="clear" w:pos="4320"/>
          <w:tab w:val="clear" w:pos="8640"/>
        </w:tabs>
        <w:spacing w:line="320" w:lineRule="exact"/>
      </w:pPr>
    </w:p>
    <w:p w14:paraId="7DBF17C4" w14:textId="6E9E2B5D" w:rsidR="005033F6" w:rsidRDefault="005033F6" w:rsidP="005D100F">
      <w:pPr>
        <w:pStyle w:val="Findings"/>
        <w:tabs>
          <w:tab w:val="clear" w:pos="720"/>
          <w:tab w:val="num" w:pos="90"/>
        </w:tabs>
        <w:spacing w:line="288" w:lineRule="auto"/>
        <w:ind w:left="86" w:hanging="806"/>
        <w:rPr>
          <w:sz w:val="25"/>
          <w:szCs w:val="25"/>
        </w:rPr>
      </w:pPr>
      <w:r w:rsidRPr="005D100F">
        <w:rPr>
          <w:sz w:val="25"/>
          <w:szCs w:val="25"/>
        </w:rPr>
        <w:t>On</w:t>
      </w:r>
      <w:r w:rsidR="00A93F0F" w:rsidRPr="005D100F">
        <w:rPr>
          <w:sz w:val="25"/>
          <w:szCs w:val="25"/>
        </w:rPr>
        <w:t xml:space="preserve"> </w:t>
      </w:r>
      <w:r w:rsidR="00613DB0">
        <w:rPr>
          <w:sz w:val="25"/>
          <w:szCs w:val="25"/>
        </w:rPr>
        <w:t>October 15, 2013</w:t>
      </w:r>
      <w:r w:rsidR="00A93F0F" w:rsidRPr="005D100F">
        <w:rPr>
          <w:sz w:val="25"/>
          <w:szCs w:val="25"/>
        </w:rPr>
        <w:fldChar w:fldCharType="begin"/>
      </w:r>
      <w:r w:rsidR="00A93F0F" w:rsidRPr="005D100F">
        <w:rPr>
          <w:sz w:val="25"/>
          <w:szCs w:val="25"/>
        </w:rPr>
        <w:instrText xml:space="preserve"> ask filing_date "Enter Filing Date" </w:instrText>
      </w:r>
      <w:r w:rsidR="00A93F0F" w:rsidRPr="005D100F">
        <w:rPr>
          <w:sz w:val="25"/>
          <w:szCs w:val="25"/>
        </w:rPr>
        <w:fldChar w:fldCharType="separate"/>
      </w:r>
      <w:bookmarkStart w:id="3" w:name="filing_date"/>
      <w:r w:rsidR="007605F9" w:rsidRPr="005D100F">
        <w:rPr>
          <w:sz w:val="25"/>
          <w:szCs w:val="25"/>
        </w:rPr>
        <w:t>April 23, 2013</w:t>
      </w:r>
      <w:bookmarkEnd w:id="3"/>
      <w:r w:rsidR="00A93F0F" w:rsidRPr="005D100F">
        <w:rPr>
          <w:sz w:val="25"/>
          <w:szCs w:val="25"/>
        </w:rPr>
        <w:fldChar w:fldCharType="end"/>
      </w:r>
      <w:r w:rsidRPr="005D100F">
        <w:rPr>
          <w:sz w:val="25"/>
          <w:szCs w:val="25"/>
        </w:rPr>
        <w:t xml:space="preserve">, </w:t>
      </w:r>
      <w:r w:rsidR="000C1C8B" w:rsidRPr="005D100F">
        <w:rPr>
          <w:sz w:val="25"/>
          <w:szCs w:val="25"/>
        </w:rPr>
        <w:t xml:space="preserve">Qwest </w:t>
      </w:r>
      <w:r w:rsidR="00160E37" w:rsidRPr="005D100F">
        <w:rPr>
          <w:sz w:val="25"/>
          <w:szCs w:val="25"/>
        </w:rPr>
        <w:t>Corporation</w:t>
      </w:r>
      <w:r w:rsidR="00763AAA">
        <w:rPr>
          <w:sz w:val="25"/>
          <w:szCs w:val="25"/>
        </w:rPr>
        <w:t xml:space="preserve"> d/b/a </w:t>
      </w:r>
      <w:proofErr w:type="spellStart"/>
      <w:r w:rsidR="000C1C8B" w:rsidRPr="005D100F">
        <w:rPr>
          <w:sz w:val="25"/>
          <w:szCs w:val="25"/>
        </w:rPr>
        <w:t>CenturyLink</w:t>
      </w:r>
      <w:proofErr w:type="spellEnd"/>
      <w:r w:rsidR="000C1C8B" w:rsidRPr="005D100F">
        <w:rPr>
          <w:sz w:val="25"/>
          <w:szCs w:val="25"/>
        </w:rPr>
        <w:t xml:space="preserve"> QC (</w:t>
      </w:r>
      <w:proofErr w:type="spellStart"/>
      <w:r w:rsidR="00EF4B60" w:rsidRPr="005D100F">
        <w:rPr>
          <w:sz w:val="25"/>
          <w:szCs w:val="25"/>
        </w:rPr>
        <w:t>CenturyLink</w:t>
      </w:r>
      <w:proofErr w:type="spellEnd"/>
      <w:r w:rsidR="00EF4B60" w:rsidRPr="005D100F">
        <w:rPr>
          <w:sz w:val="25"/>
          <w:szCs w:val="25"/>
        </w:rPr>
        <w:t xml:space="preserve"> </w:t>
      </w:r>
      <w:r w:rsidR="00A93F0F" w:rsidRPr="005D100F">
        <w:rPr>
          <w:sz w:val="25"/>
          <w:szCs w:val="25"/>
        </w:rPr>
        <w:fldChar w:fldCharType="begin"/>
      </w:r>
      <w:r w:rsidR="00A93F0F" w:rsidRPr="005D100F">
        <w:rPr>
          <w:sz w:val="25"/>
          <w:szCs w:val="25"/>
        </w:rPr>
        <w:instrText xml:space="preserve"> ASK acronym1 "Enter company 1's Short Name" \* MERGEFORMAT </w:instrText>
      </w:r>
      <w:r w:rsidR="00A93F0F" w:rsidRPr="005D100F">
        <w:rPr>
          <w:sz w:val="25"/>
          <w:szCs w:val="25"/>
        </w:rPr>
        <w:fldChar w:fldCharType="separate"/>
      </w:r>
      <w:bookmarkStart w:id="4" w:name="acronym1"/>
      <w:r w:rsidR="007605F9" w:rsidRPr="005D100F">
        <w:rPr>
          <w:sz w:val="25"/>
          <w:szCs w:val="25"/>
        </w:rPr>
        <w:t>Pend Oreille</w:t>
      </w:r>
      <w:bookmarkEnd w:id="4"/>
      <w:r w:rsidR="00A93F0F" w:rsidRPr="005D100F">
        <w:rPr>
          <w:sz w:val="25"/>
          <w:szCs w:val="25"/>
        </w:rPr>
        <w:fldChar w:fldCharType="end"/>
      </w:r>
      <w:r w:rsidR="000C1C8B" w:rsidRPr="005D100F">
        <w:rPr>
          <w:sz w:val="25"/>
          <w:szCs w:val="25"/>
        </w:rPr>
        <w:t>o</w:t>
      </w:r>
      <w:r w:rsidR="009B7A39" w:rsidRPr="005D100F">
        <w:rPr>
          <w:bCs/>
          <w:sz w:val="25"/>
          <w:szCs w:val="25"/>
        </w:rPr>
        <w:t>r Company</w:t>
      </w:r>
      <w:r w:rsidRPr="005D100F">
        <w:rPr>
          <w:sz w:val="25"/>
          <w:szCs w:val="25"/>
        </w:rPr>
        <w:t xml:space="preserve">) filed with the </w:t>
      </w:r>
      <w:r w:rsidR="00AB7B77" w:rsidRPr="005D100F">
        <w:rPr>
          <w:sz w:val="25"/>
          <w:szCs w:val="25"/>
        </w:rPr>
        <w:t xml:space="preserve">Washington Utilities and Transportation </w:t>
      </w:r>
      <w:r w:rsidRPr="005D100F">
        <w:rPr>
          <w:sz w:val="25"/>
          <w:szCs w:val="25"/>
        </w:rPr>
        <w:t xml:space="preserve">Commission </w:t>
      </w:r>
      <w:r w:rsidR="00AB7B77" w:rsidRPr="005D100F">
        <w:rPr>
          <w:sz w:val="25"/>
          <w:szCs w:val="25"/>
        </w:rPr>
        <w:t xml:space="preserve">(Commission) </w:t>
      </w:r>
      <w:r w:rsidRPr="005D100F">
        <w:rPr>
          <w:sz w:val="25"/>
          <w:szCs w:val="25"/>
        </w:rPr>
        <w:t xml:space="preserve">a petition </w:t>
      </w:r>
      <w:r w:rsidR="000C1C8B" w:rsidRPr="005D100F">
        <w:rPr>
          <w:sz w:val="25"/>
          <w:szCs w:val="25"/>
        </w:rPr>
        <w:t xml:space="preserve">requesting that the Commission replace the existing Qwest </w:t>
      </w:r>
      <w:r w:rsidR="00EF4B60" w:rsidRPr="005D100F">
        <w:rPr>
          <w:sz w:val="25"/>
          <w:szCs w:val="25"/>
        </w:rPr>
        <w:t xml:space="preserve">Performance Assurance Plan (PAP) and Performance Indicator Definitions (PIDs) with those recently negotiated between </w:t>
      </w:r>
      <w:proofErr w:type="spellStart"/>
      <w:r w:rsidR="00EF4B60" w:rsidRPr="005D100F">
        <w:rPr>
          <w:sz w:val="25"/>
          <w:szCs w:val="25"/>
        </w:rPr>
        <w:t>CenturyLink</w:t>
      </w:r>
      <w:proofErr w:type="spellEnd"/>
      <w:r w:rsidR="00EF4B60" w:rsidRPr="005D100F">
        <w:rPr>
          <w:sz w:val="25"/>
          <w:szCs w:val="25"/>
        </w:rPr>
        <w:t xml:space="preserve"> and several </w:t>
      </w:r>
      <w:r w:rsidR="00E633C2">
        <w:rPr>
          <w:sz w:val="25"/>
          <w:szCs w:val="25"/>
        </w:rPr>
        <w:t>c</w:t>
      </w:r>
      <w:r w:rsidR="00160E37" w:rsidRPr="005D100F">
        <w:rPr>
          <w:sz w:val="25"/>
          <w:szCs w:val="25"/>
        </w:rPr>
        <w:t>ompetitive</w:t>
      </w:r>
      <w:r w:rsidR="00EF4B60" w:rsidRPr="005D100F">
        <w:rPr>
          <w:sz w:val="25"/>
          <w:szCs w:val="25"/>
        </w:rPr>
        <w:t xml:space="preserve"> </w:t>
      </w:r>
      <w:r w:rsidR="00E633C2">
        <w:rPr>
          <w:sz w:val="25"/>
          <w:szCs w:val="25"/>
        </w:rPr>
        <w:t>l</w:t>
      </w:r>
      <w:r w:rsidR="00EF4B60" w:rsidRPr="005D100F">
        <w:rPr>
          <w:sz w:val="25"/>
          <w:szCs w:val="25"/>
        </w:rPr>
        <w:t xml:space="preserve">ocal </w:t>
      </w:r>
      <w:r w:rsidR="00E633C2">
        <w:rPr>
          <w:sz w:val="25"/>
          <w:szCs w:val="25"/>
        </w:rPr>
        <w:t>e</w:t>
      </w:r>
      <w:r w:rsidR="00EF4B60" w:rsidRPr="005D100F">
        <w:rPr>
          <w:sz w:val="25"/>
          <w:szCs w:val="25"/>
        </w:rPr>
        <w:t xml:space="preserve">xchange </w:t>
      </w:r>
      <w:r w:rsidR="00E633C2">
        <w:rPr>
          <w:sz w:val="25"/>
          <w:szCs w:val="25"/>
        </w:rPr>
        <w:t>c</w:t>
      </w:r>
      <w:r w:rsidR="00EF4B60" w:rsidRPr="005D100F">
        <w:rPr>
          <w:sz w:val="25"/>
          <w:szCs w:val="25"/>
        </w:rPr>
        <w:t>ompanies (CLECs)</w:t>
      </w:r>
      <w:r w:rsidR="00171431" w:rsidRPr="005D100F">
        <w:rPr>
          <w:sz w:val="25"/>
          <w:szCs w:val="25"/>
        </w:rPr>
        <w:t xml:space="preserve"> in Colorado</w:t>
      </w:r>
      <w:r w:rsidR="00EF4B60" w:rsidRPr="005D100F">
        <w:rPr>
          <w:sz w:val="25"/>
          <w:szCs w:val="25"/>
        </w:rPr>
        <w:t>.  The Colorado Public Utilities Commission has entered a</w:t>
      </w:r>
      <w:r w:rsidR="00685CA4" w:rsidRPr="005D100F">
        <w:rPr>
          <w:sz w:val="25"/>
          <w:szCs w:val="25"/>
        </w:rPr>
        <w:t>n</w:t>
      </w:r>
      <w:r w:rsidR="00EF4B60" w:rsidRPr="005D100F">
        <w:rPr>
          <w:sz w:val="25"/>
          <w:szCs w:val="25"/>
        </w:rPr>
        <w:t xml:space="preserve"> order approving a settlement containing the new PAP and PIDs, and settling CLECs agreed that the redesigned PAP and PIDs should be proposed for adoption in the </w:t>
      </w:r>
      <w:r w:rsidR="00685CA4" w:rsidRPr="005D100F">
        <w:rPr>
          <w:sz w:val="25"/>
          <w:szCs w:val="25"/>
        </w:rPr>
        <w:t xml:space="preserve">thirteen </w:t>
      </w:r>
      <w:r w:rsidR="00EF4B60" w:rsidRPr="005D100F">
        <w:rPr>
          <w:sz w:val="25"/>
          <w:szCs w:val="25"/>
        </w:rPr>
        <w:t>other</w:t>
      </w:r>
      <w:r w:rsidR="00015A92" w:rsidRPr="005D100F">
        <w:rPr>
          <w:sz w:val="25"/>
          <w:szCs w:val="25"/>
        </w:rPr>
        <w:t xml:space="preserve"> states</w:t>
      </w:r>
      <w:r w:rsidR="00685CA4" w:rsidRPr="005D100F">
        <w:rPr>
          <w:sz w:val="25"/>
          <w:szCs w:val="25"/>
        </w:rPr>
        <w:t>, including Washington,</w:t>
      </w:r>
      <w:r w:rsidR="00015A92" w:rsidRPr="005D100F">
        <w:rPr>
          <w:sz w:val="25"/>
          <w:szCs w:val="25"/>
        </w:rPr>
        <w:t xml:space="preserve"> where</w:t>
      </w:r>
      <w:r w:rsidR="00EF4B60" w:rsidRPr="005D100F">
        <w:rPr>
          <w:sz w:val="25"/>
          <w:szCs w:val="25"/>
        </w:rPr>
        <w:t xml:space="preserve"> </w:t>
      </w:r>
      <w:proofErr w:type="spellStart"/>
      <w:r w:rsidR="00EF4B60" w:rsidRPr="005D100F">
        <w:rPr>
          <w:sz w:val="25"/>
          <w:szCs w:val="25"/>
        </w:rPr>
        <w:t>CenturyLink</w:t>
      </w:r>
      <w:proofErr w:type="spellEnd"/>
      <w:r w:rsidR="00EF4B60" w:rsidRPr="005D100F">
        <w:rPr>
          <w:sz w:val="25"/>
          <w:szCs w:val="25"/>
        </w:rPr>
        <w:t xml:space="preserve"> </w:t>
      </w:r>
      <w:r w:rsidR="00015A92" w:rsidRPr="005D100F">
        <w:rPr>
          <w:sz w:val="25"/>
          <w:szCs w:val="25"/>
        </w:rPr>
        <w:t>has operations</w:t>
      </w:r>
      <w:r w:rsidR="00EF4B60" w:rsidRPr="005D100F">
        <w:rPr>
          <w:sz w:val="25"/>
          <w:szCs w:val="25"/>
        </w:rPr>
        <w:t>.</w:t>
      </w:r>
      <w:r w:rsidR="00AB40FC" w:rsidRPr="005D100F">
        <w:rPr>
          <w:sz w:val="25"/>
          <w:szCs w:val="25"/>
        </w:rPr>
        <w:t xml:space="preserve">  </w:t>
      </w:r>
      <w:r w:rsidR="00160E37" w:rsidRPr="005D100F">
        <w:rPr>
          <w:sz w:val="25"/>
          <w:szCs w:val="25"/>
        </w:rPr>
        <w:t xml:space="preserve">Currently, </w:t>
      </w:r>
      <w:r w:rsidR="00A07F7F">
        <w:rPr>
          <w:sz w:val="25"/>
          <w:szCs w:val="25"/>
        </w:rPr>
        <w:t>eleven</w:t>
      </w:r>
      <w:r w:rsidR="00EF292D">
        <w:rPr>
          <w:sz w:val="25"/>
          <w:szCs w:val="25"/>
        </w:rPr>
        <w:t xml:space="preserve"> </w:t>
      </w:r>
      <w:r w:rsidR="00160E37" w:rsidRPr="005D100F">
        <w:rPr>
          <w:sz w:val="25"/>
          <w:szCs w:val="25"/>
        </w:rPr>
        <w:t xml:space="preserve">states have approved the Company’s </w:t>
      </w:r>
      <w:r w:rsidR="00000048" w:rsidRPr="005D100F">
        <w:rPr>
          <w:sz w:val="25"/>
          <w:szCs w:val="25"/>
        </w:rPr>
        <w:t xml:space="preserve">petitions to </w:t>
      </w:r>
      <w:r w:rsidR="00160E37" w:rsidRPr="005D100F">
        <w:rPr>
          <w:sz w:val="25"/>
          <w:szCs w:val="25"/>
        </w:rPr>
        <w:t xml:space="preserve">replace </w:t>
      </w:r>
      <w:r w:rsidR="00000048" w:rsidRPr="005D100F">
        <w:rPr>
          <w:sz w:val="25"/>
          <w:szCs w:val="25"/>
        </w:rPr>
        <w:t>the</w:t>
      </w:r>
      <w:r w:rsidR="00160E37" w:rsidRPr="005D100F">
        <w:rPr>
          <w:sz w:val="25"/>
          <w:szCs w:val="25"/>
        </w:rPr>
        <w:t xml:space="preserve"> </w:t>
      </w:r>
      <w:r w:rsidR="00EF292D" w:rsidRPr="005D100F">
        <w:rPr>
          <w:sz w:val="25"/>
          <w:szCs w:val="25"/>
        </w:rPr>
        <w:t>existing</w:t>
      </w:r>
      <w:r w:rsidR="00160E37" w:rsidRPr="005D100F">
        <w:rPr>
          <w:sz w:val="25"/>
          <w:szCs w:val="25"/>
        </w:rPr>
        <w:t xml:space="preserve"> PAP and PIDs.  </w:t>
      </w:r>
      <w:proofErr w:type="spellStart"/>
      <w:r w:rsidR="00AB40FC" w:rsidRPr="005D100F">
        <w:rPr>
          <w:sz w:val="25"/>
          <w:szCs w:val="25"/>
        </w:rPr>
        <w:t>CenturyLink</w:t>
      </w:r>
      <w:proofErr w:type="spellEnd"/>
      <w:r w:rsidR="00AB40FC" w:rsidRPr="005D100F">
        <w:rPr>
          <w:sz w:val="25"/>
          <w:szCs w:val="25"/>
        </w:rPr>
        <w:t xml:space="preserve"> also requests that these amendments be </w:t>
      </w:r>
      <w:r w:rsidR="00685CA4" w:rsidRPr="005D100F">
        <w:rPr>
          <w:sz w:val="25"/>
          <w:szCs w:val="25"/>
        </w:rPr>
        <w:t xml:space="preserve">applied </w:t>
      </w:r>
      <w:r w:rsidR="00AB40FC" w:rsidRPr="005D100F">
        <w:rPr>
          <w:sz w:val="25"/>
          <w:szCs w:val="25"/>
        </w:rPr>
        <w:t>to all interconnection agree</w:t>
      </w:r>
      <w:r w:rsidR="00015A92" w:rsidRPr="005D100F">
        <w:rPr>
          <w:sz w:val="25"/>
          <w:szCs w:val="25"/>
        </w:rPr>
        <w:t>m</w:t>
      </w:r>
      <w:r w:rsidR="00AB40FC" w:rsidRPr="005D100F">
        <w:rPr>
          <w:sz w:val="25"/>
          <w:szCs w:val="25"/>
        </w:rPr>
        <w:t xml:space="preserve">ents that include the PAP and PIDs without the need for additional filings.  </w:t>
      </w:r>
      <w:r w:rsidR="00015A92" w:rsidRPr="005D100F">
        <w:rPr>
          <w:sz w:val="25"/>
          <w:szCs w:val="25"/>
        </w:rPr>
        <w:t>The Company requests</w:t>
      </w:r>
      <w:r w:rsidR="00A429BE" w:rsidRPr="005D100F">
        <w:rPr>
          <w:sz w:val="25"/>
          <w:szCs w:val="25"/>
        </w:rPr>
        <w:t xml:space="preserve"> the change</w:t>
      </w:r>
      <w:r w:rsidR="007E5C27">
        <w:rPr>
          <w:sz w:val="25"/>
          <w:szCs w:val="25"/>
        </w:rPr>
        <w:t>s</w:t>
      </w:r>
      <w:r w:rsidR="00A429BE" w:rsidRPr="005D100F">
        <w:rPr>
          <w:sz w:val="25"/>
          <w:szCs w:val="25"/>
        </w:rPr>
        <w:t xml:space="preserve"> </w:t>
      </w:r>
      <w:r w:rsidR="00EF292D" w:rsidRPr="005D100F">
        <w:rPr>
          <w:sz w:val="25"/>
          <w:szCs w:val="25"/>
        </w:rPr>
        <w:t>become effective</w:t>
      </w:r>
      <w:r w:rsidR="00AB40FC" w:rsidRPr="005D100F">
        <w:rPr>
          <w:sz w:val="25"/>
          <w:szCs w:val="25"/>
        </w:rPr>
        <w:t xml:space="preserve"> </w:t>
      </w:r>
      <w:r w:rsidR="00A429BE" w:rsidRPr="005D100F">
        <w:rPr>
          <w:sz w:val="25"/>
          <w:szCs w:val="25"/>
        </w:rPr>
        <w:t>on</w:t>
      </w:r>
      <w:r w:rsidR="00AB40FC" w:rsidRPr="005D100F">
        <w:rPr>
          <w:sz w:val="25"/>
          <w:szCs w:val="25"/>
        </w:rPr>
        <w:t xml:space="preserve"> January 1, 2014</w:t>
      </w:r>
      <w:r w:rsidR="00A429BE" w:rsidRPr="005D100F">
        <w:rPr>
          <w:sz w:val="25"/>
          <w:szCs w:val="25"/>
        </w:rPr>
        <w:t>.</w:t>
      </w:r>
    </w:p>
    <w:p w14:paraId="7DBF17C5" w14:textId="77777777" w:rsidR="001F1F60" w:rsidRPr="005D100F" w:rsidRDefault="001F1F60" w:rsidP="005D100F">
      <w:pPr>
        <w:pStyle w:val="Findings"/>
        <w:numPr>
          <w:ilvl w:val="0"/>
          <w:numId w:val="0"/>
        </w:numPr>
        <w:spacing w:line="288" w:lineRule="auto"/>
        <w:ind w:left="86"/>
        <w:rPr>
          <w:sz w:val="25"/>
          <w:szCs w:val="25"/>
        </w:rPr>
      </w:pPr>
    </w:p>
    <w:p w14:paraId="7DBF17C6" w14:textId="77777777" w:rsidR="001F1F60" w:rsidRPr="005D100F" w:rsidRDefault="001F1F60" w:rsidP="005D100F">
      <w:pPr>
        <w:pStyle w:val="Findings"/>
        <w:tabs>
          <w:tab w:val="clear" w:pos="720"/>
          <w:tab w:val="num" w:pos="90"/>
        </w:tabs>
        <w:spacing w:line="288" w:lineRule="auto"/>
        <w:ind w:left="86" w:hanging="806"/>
        <w:rPr>
          <w:sz w:val="25"/>
          <w:szCs w:val="25"/>
        </w:rPr>
      </w:pPr>
      <w:r w:rsidRPr="005D100F">
        <w:rPr>
          <w:sz w:val="25"/>
          <w:szCs w:val="25"/>
        </w:rPr>
        <w:t>The Commission issued a notice on October 18, 2013</w:t>
      </w:r>
      <w:r w:rsidR="007E5C27">
        <w:rPr>
          <w:sz w:val="25"/>
          <w:szCs w:val="25"/>
        </w:rPr>
        <w:t>,</w:t>
      </w:r>
      <w:r w:rsidRPr="005D100F">
        <w:rPr>
          <w:sz w:val="25"/>
          <w:szCs w:val="25"/>
        </w:rPr>
        <w:t xml:space="preserve"> inviting parties to comment on the amendments to the Company’s</w:t>
      </w:r>
      <w:r w:rsidR="00EF292D">
        <w:rPr>
          <w:sz w:val="25"/>
          <w:szCs w:val="25"/>
        </w:rPr>
        <w:t xml:space="preserve"> existing PAP and PIDs</w:t>
      </w:r>
      <w:r w:rsidRPr="005D100F">
        <w:rPr>
          <w:sz w:val="25"/>
          <w:szCs w:val="25"/>
        </w:rPr>
        <w:t xml:space="preserve">.  </w:t>
      </w:r>
      <w:r>
        <w:rPr>
          <w:sz w:val="25"/>
          <w:szCs w:val="25"/>
        </w:rPr>
        <w:t xml:space="preserve">The </w:t>
      </w:r>
      <w:r w:rsidRPr="005D100F">
        <w:rPr>
          <w:sz w:val="25"/>
          <w:szCs w:val="25"/>
        </w:rPr>
        <w:t>Commission</w:t>
      </w:r>
      <w:r>
        <w:rPr>
          <w:sz w:val="25"/>
          <w:szCs w:val="25"/>
        </w:rPr>
        <w:t>’s regulatory staff</w:t>
      </w:r>
      <w:r w:rsidRPr="005D100F">
        <w:rPr>
          <w:sz w:val="25"/>
          <w:szCs w:val="25"/>
        </w:rPr>
        <w:t xml:space="preserve"> </w:t>
      </w:r>
      <w:r w:rsidR="0052781E">
        <w:rPr>
          <w:sz w:val="25"/>
          <w:szCs w:val="25"/>
        </w:rPr>
        <w:t xml:space="preserve">(Staff) </w:t>
      </w:r>
      <w:r w:rsidRPr="005D100F">
        <w:rPr>
          <w:sz w:val="25"/>
          <w:szCs w:val="25"/>
        </w:rPr>
        <w:t xml:space="preserve">and </w:t>
      </w:r>
      <w:r>
        <w:rPr>
          <w:sz w:val="25"/>
          <w:szCs w:val="25"/>
        </w:rPr>
        <w:t xml:space="preserve">the </w:t>
      </w:r>
      <w:r w:rsidRPr="005D100F">
        <w:rPr>
          <w:sz w:val="25"/>
          <w:szCs w:val="25"/>
        </w:rPr>
        <w:t>Public Counsel</w:t>
      </w:r>
      <w:r>
        <w:rPr>
          <w:sz w:val="25"/>
          <w:szCs w:val="25"/>
        </w:rPr>
        <w:t xml:space="preserve"> Section of the Washington Attorney General’s Office</w:t>
      </w:r>
      <w:r w:rsidRPr="005D100F">
        <w:rPr>
          <w:sz w:val="25"/>
          <w:szCs w:val="25"/>
        </w:rPr>
        <w:t xml:space="preserve"> responded to the notice neither opposing nor objecting to </w:t>
      </w:r>
      <w:proofErr w:type="spellStart"/>
      <w:r>
        <w:rPr>
          <w:sz w:val="25"/>
          <w:szCs w:val="25"/>
        </w:rPr>
        <w:t>CenturyLink’s</w:t>
      </w:r>
      <w:proofErr w:type="spellEnd"/>
      <w:r>
        <w:rPr>
          <w:sz w:val="25"/>
          <w:szCs w:val="25"/>
        </w:rPr>
        <w:t xml:space="preserve"> request</w:t>
      </w:r>
      <w:r w:rsidRPr="005D100F">
        <w:rPr>
          <w:sz w:val="25"/>
          <w:szCs w:val="25"/>
        </w:rPr>
        <w:t xml:space="preserve">.  </w:t>
      </w:r>
    </w:p>
    <w:p w14:paraId="7DBF17C7" w14:textId="77777777" w:rsidR="00EF4B60" w:rsidRDefault="00EF4B60" w:rsidP="007501EA">
      <w:pPr>
        <w:pStyle w:val="Findings"/>
        <w:numPr>
          <w:ilvl w:val="0"/>
          <w:numId w:val="0"/>
        </w:numPr>
        <w:spacing w:line="320" w:lineRule="exact"/>
      </w:pPr>
    </w:p>
    <w:p w14:paraId="7DBF17C8" w14:textId="77777777" w:rsidR="00273226" w:rsidRDefault="00273226" w:rsidP="00AB40FC">
      <w:pPr>
        <w:pStyle w:val="Findings"/>
        <w:numPr>
          <w:ilvl w:val="0"/>
          <w:numId w:val="0"/>
        </w:numPr>
        <w:spacing w:line="320" w:lineRule="exact"/>
        <w:ind w:left="90"/>
        <w:jc w:val="center"/>
        <w:rPr>
          <w:b/>
        </w:rPr>
      </w:pPr>
    </w:p>
    <w:p w14:paraId="7DBF17C9" w14:textId="77777777" w:rsidR="002E7DC9" w:rsidRDefault="001E5D74" w:rsidP="00185EAD">
      <w:pPr>
        <w:pStyle w:val="Findings"/>
        <w:tabs>
          <w:tab w:val="clear" w:pos="720"/>
          <w:tab w:val="num" w:pos="90"/>
        </w:tabs>
        <w:spacing w:line="320" w:lineRule="exact"/>
        <w:ind w:left="90" w:hanging="810"/>
      </w:pPr>
      <w:proofErr w:type="spellStart"/>
      <w:r>
        <w:lastRenderedPageBreak/>
        <w:t>CenturyLink</w:t>
      </w:r>
      <w:proofErr w:type="spellEnd"/>
      <w:r>
        <w:t xml:space="preserve"> filed the redesigned PAP and PIDs as Exhibits X</w:t>
      </w:r>
      <w:r w:rsidR="00A429BE">
        <w:t>,</w:t>
      </w:r>
      <w:r>
        <w:t xml:space="preserve"> Y</w:t>
      </w:r>
      <w:r w:rsidR="00A429BE">
        <w:t>,</w:t>
      </w:r>
      <w:r>
        <w:t xml:space="preserve"> and Z with its petition.  Exhibit X </w:t>
      </w:r>
      <w:r w:rsidR="001F1F60">
        <w:t xml:space="preserve">contains </w:t>
      </w:r>
      <w:r>
        <w:t>a comprehensive description of the changes to the PAP and the PIDs</w:t>
      </w:r>
      <w:r w:rsidR="001F1F60">
        <w:t xml:space="preserve">, while </w:t>
      </w:r>
      <w:r>
        <w:t xml:space="preserve">Exhibit Y is the new PAP </w:t>
      </w:r>
      <w:r w:rsidR="001F1F60">
        <w:t xml:space="preserve">and </w:t>
      </w:r>
      <w:r>
        <w:t>replaces the</w:t>
      </w:r>
      <w:r w:rsidR="00A429BE">
        <w:t xml:space="preserve"> existing</w:t>
      </w:r>
      <w:r>
        <w:t xml:space="preserve"> Exhibit K for interconnection agreements</w:t>
      </w:r>
      <w:r w:rsidR="001F1F60">
        <w:t xml:space="preserve">.  </w:t>
      </w:r>
      <w:r>
        <w:t>Exhibit Z consists of the new PIDs that replace</w:t>
      </w:r>
      <w:r w:rsidR="00A429BE">
        <w:t xml:space="preserve"> the existing</w:t>
      </w:r>
      <w:r>
        <w:t xml:space="preserve"> Exhibit B </w:t>
      </w:r>
      <w:r w:rsidR="007E5C27">
        <w:t>within</w:t>
      </w:r>
      <w:r>
        <w:t xml:space="preserve"> interconnection agreements.</w:t>
      </w:r>
      <w:r w:rsidR="008568B1">
        <w:t xml:space="preserve"> </w:t>
      </w:r>
    </w:p>
    <w:p w14:paraId="7DBF17CA" w14:textId="77777777" w:rsidR="00A429BE" w:rsidRDefault="00A429BE" w:rsidP="005D100F">
      <w:pPr>
        <w:pStyle w:val="Findings"/>
        <w:numPr>
          <w:ilvl w:val="0"/>
          <w:numId w:val="0"/>
        </w:numPr>
        <w:spacing w:line="320" w:lineRule="exact"/>
        <w:ind w:left="90"/>
      </w:pPr>
    </w:p>
    <w:p w14:paraId="7DBF17CB" w14:textId="77777777" w:rsidR="005512A5" w:rsidRDefault="00E633C2" w:rsidP="009825E1">
      <w:pPr>
        <w:pStyle w:val="Findings"/>
        <w:tabs>
          <w:tab w:val="clear" w:pos="720"/>
          <w:tab w:val="num" w:pos="90"/>
        </w:tabs>
        <w:spacing w:line="320" w:lineRule="exact"/>
        <w:ind w:left="90" w:hanging="810"/>
      </w:pPr>
      <w:r>
        <w:t xml:space="preserve">On October 18, 2013, </w:t>
      </w:r>
      <w:proofErr w:type="spellStart"/>
      <w:r w:rsidR="00171431">
        <w:t>CenturyLink</w:t>
      </w:r>
      <w:proofErr w:type="spellEnd"/>
      <w:r w:rsidR="00171431">
        <w:t xml:space="preserve"> </w:t>
      </w:r>
      <w:r>
        <w:t>notified</w:t>
      </w:r>
      <w:r w:rsidR="00171431">
        <w:t xml:space="preserve"> all CLECs in Washington who have </w:t>
      </w:r>
      <w:r>
        <w:t xml:space="preserve">entered into </w:t>
      </w:r>
      <w:r w:rsidR="00171431">
        <w:t xml:space="preserve">interconnections agreements with </w:t>
      </w:r>
      <w:r w:rsidR="0052781E">
        <w:t>the Company of its request to modify the PAP and PIDs</w:t>
      </w:r>
      <w:r w:rsidR="00171431">
        <w:t>.</w:t>
      </w:r>
      <w:r w:rsidR="00A429BE">
        <w:t xml:space="preserve"> </w:t>
      </w:r>
      <w:r w:rsidR="00DE1002">
        <w:t xml:space="preserve"> The Commission has not received any responses from the CLECs regarding the filing.</w:t>
      </w:r>
      <w:r w:rsidR="00171431">
        <w:t xml:space="preserve"> </w:t>
      </w:r>
    </w:p>
    <w:p w14:paraId="7DBF17CC" w14:textId="77777777" w:rsidR="005512A5" w:rsidRDefault="005512A5" w:rsidP="00966FB5">
      <w:pPr>
        <w:pStyle w:val="ListParagraph"/>
      </w:pPr>
    </w:p>
    <w:p w14:paraId="7DBF17CD" w14:textId="77777777" w:rsidR="00CC18F0" w:rsidRDefault="005512A5" w:rsidP="00AB40FC">
      <w:pPr>
        <w:pStyle w:val="Findings"/>
        <w:tabs>
          <w:tab w:val="clear" w:pos="720"/>
          <w:tab w:val="num" w:pos="90"/>
        </w:tabs>
        <w:spacing w:line="320" w:lineRule="exact"/>
        <w:ind w:left="90" w:hanging="810"/>
      </w:pPr>
      <w:proofErr w:type="spellStart"/>
      <w:r>
        <w:t>CenturyLink’s</w:t>
      </w:r>
      <w:proofErr w:type="spellEnd"/>
      <w:r>
        <w:t xml:space="preserve"> existing Washington base payment is $150.00 per occurrence. </w:t>
      </w:r>
      <w:r w:rsidR="00DB02A9">
        <w:t xml:space="preserve"> </w:t>
      </w:r>
      <w:r w:rsidR="00CC18F0">
        <w:t xml:space="preserve">The </w:t>
      </w:r>
      <w:r>
        <w:t xml:space="preserve">new agreement </w:t>
      </w:r>
      <w:r w:rsidR="006D465D">
        <w:t>creates</w:t>
      </w:r>
      <w:r w:rsidR="00F81FC7">
        <w:t xml:space="preserve"> three</w:t>
      </w:r>
      <w:r>
        <w:t xml:space="preserve"> different </w:t>
      </w:r>
      <w:r w:rsidR="00CC18F0">
        <w:t>levels</w:t>
      </w:r>
      <w:r>
        <w:t xml:space="preserve"> and </w:t>
      </w:r>
      <w:r w:rsidR="008172E2">
        <w:t>d</w:t>
      </w:r>
      <w:r>
        <w:t>ifferent rates for</w:t>
      </w:r>
      <w:r w:rsidR="00CC18F0">
        <w:t xml:space="preserve"> non-conformance</w:t>
      </w:r>
      <w:r>
        <w:t xml:space="preserve"> conditions</w:t>
      </w:r>
      <w:r w:rsidR="00F81FC7">
        <w:t>:</w:t>
      </w:r>
      <w:r w:rsidR="00CC18F0">
        <w:t xml:space="preserve"> </w:t>
      </w:r>
      <w:r w:rsidR="00941BB5">
        <w:t xml:space="preserve"> </w:t>
      </w:r>
    </w:p>
    <w:p w14:paraId="7DBF17CE" w14:textId="77777777" w:rsidR="00CC18F0" w:rsidRDefault="00CC18F0" w:rsidP="00966FB5">
      <w:pPr>
        <w:pStyle w:val="ListParagraph"/>
      </w:pPr>
    </w:p>
    <w:p w14:paraId="7DBF17CF" w14:textId="77777777" w:rsidR="00F37EA3" w:rsidRDefault="00F37EA3" w:rsidP="00966FB5">
      <w:pPr>
        <w:pStyle w:val="Findings"/>
        <w:numPr>
          <w:ilvl w:val="1"/>
          <w:numId w:val="19"/>
        </w:numPr>
        <w:spacing w:line="320" w:lineRule="exact"/>
      </w:pPr>
      <w:r>
        <w:t xml:space="preserve">Level 1 Non-Conformance exists for any month, in which a Level 2 or Level 3 non-conformance is not found, </w:t>
      </w:r>
      <w:r w:rsidR="007E5C27">
        <w:t xml:space="preserve">and </w:t>
      </w:r>
      <w:r>
        <w:t>that fails to meet the established standard for three or more consecutive months;</w:t>
      </w:r>
    </w:p>
    <w:p w14:paraId="7DBF17D0" w14:textId="77777777" w:rsidR="00F37EA3" w:rsidRDefault="00F37EA3" w:rsidP="00966FB5">
      <w:pPr>
        <w:pStyle w:val="Findings"/>
        <w:numPr>
          <w:ilvl w:val="0"/>
          <w:numId w:val="0"/>
        </w:numPr>
        <w:ind w:left="720" w:hanging="720"/>
      </w:pPr>
    </w:p>
    <w:p w14:paraId="7DBF17D1" w14:textId="77777777" w:rsidR="00F37EA3" w:rsidRDefault="00F37EA3" w:rsidP="00F37EA3">
      <w:pPr>
        <w:pStyle w:val="Findings"/>
        <w:numPr>
          <w:ilvl w:val="1"/>
          <w:numId w:val="19"/>
        </w:numPr>
        <w:spacing w:line="320" w:lineRule="exact"/>
      </w:pPr>
      <w:r>
        <w:t>Level 2 Non-Conformance exists for any month, in which a Level 3 non-conformance is not found,</w:t>
      </w:r>
      <w:r w:rsidR="007E5C27">
        <w:t xml:space="preserve"> and</w:t>
      </w:r>
      <w:r>
        <w:t xml:space="preserve"> that fails to meet the established standard for two consecutive months;</w:t>
      </w:r>
    </w:p>
    <w:p w14:paraId="7DBF17D2" w14:textId="77777777" w:rsidR="00F37EA3" w:rsidRDefault="00F37EA3" w:rsidP="00966FB5">
      <w:pPr>
        <w:pStyle w:val="Findings"/>
        <w:numPr>
          <w:ilvl w:val="0"/>
          <w:numId w:val="0"/>
        </w:numPr>
        <w:ind w:left="720" w:hanging="720"/>
      </w:pPr>
    </w:p>
    <w:p w14:paraId="7DBF17D3" w14:textId="77777777" w:rsidR="005512A5" w:rsidRDefault="00F37EA3" w:rsidP="00966FB5">
      <w:pPr>
        <w:pStyle w:val="Findings"/>
        <w:numPr>
          <w:ilvl w:val="1"/>
          <w:numId w:val="19"/>
        </w:numPr>
        <w:spacing w:line="320" w:lineRule="exact"/>
      </w:pPr>
      <w:r>
        <w:t xml:space="preserve">Level 3 Non-Conformance exists for any month in which </w:t>
      </w:r>
      <w:proofErr w:type="spellStart"/>
      <w:r>
        <w:t>CenturyLink</w:t>
      </w:r>
      <w:proofErr w:type="spellEnd"/>
      <w:r>
        <w:t xml:space="preserve"> QC fails to meet the established standard to the extent defined for a Level 3 non-conformance.</w:t>
      </w:r>
    </w:p>
    <w:p w14:paraId="7DBF17D4" w14:textId="77777777" w:rsidR="00910BE1" w:rsidRDefault="00910BE1" w:rsidP="00966FB5">
      <w:pPr>
        <w:pStyle w:val="ListParagraph"/>
      </w:pPr>
    </w:p>
    <w:p w14:paraId="7DBF17D5" w14:textId="77777777" w:rsidR="00910BE1" w:rsidRDefault="00910BE1" w:rsidP="00966FB5">
      <w:pPr>
        <w:pStyle w:val="Findings"/>
        <w:tabs>
          <w:tab w:val="clear" w:pos="720"/>
          <w:tab w:val="num" w:pos="90"/>
        </w:tabs>
        <w:ind w:left="90" w:hanging="900"/>
      </w:pPr>
      <w:r>
        <w:t>Washington</w:t>
      </w:r>
      <w:r w:rsidR="006445F2">
        <w:t>’s</w:t>
      </w:r>
      <w:r>
        <w:t xml:space="preserve"> </w:t>
      </w:r>
      <w:r w:rsidR="006445F2">
        <w:t>D</w:t>
      </w:r>
      <w:r>
        <w:t xml:space="preserve">efined </w:t>
      </w:r>
      <w:r w:rsidR="006445F2">
        <w:t>B</w:t>
      </w:r>
      <w:r>
        <w:t xml:space="preserve">ase rate under the </w:t>
      </w:r>
      <w:r w:rsidR="008172E2">
        <w:t>new</w:t>
      </w:r>
      <w:r>
        <w:t xml:space="preserve"> agreement is $150.00 per occurrence</w:t>
      </w:r>
      <w:r w:rsidR="008172E2">
        <w:t xml:space="preserve"> with a different </w:t>
      </w:r>
      <w:r>
        <w:t>rate for each</w:t>
      </w:r>
      <w:r w:rsidR="006445F2">
        <w:t xml:space="preserve"> non-conformance</w:t>
      </w:r>
      <w:r>
        <w:t xml:space="preserve"> level. </w:t>
      </w:r>
    </w:p>
    <w:p w14:paraId="7DBF17D6" w14:textId="77777777" w:rsidR="005512A5" w:rsidRDefault="005512A5" w:rsidP="00966FB5">
      <w:pPr>
        <w:pStyle w:val="ListParagraph"/>
      </w:pPr>
    </w:p>
    <w:tbl>
      <w:tblPr>
        <w:tblStyle w:val="TableGrid"/>
        <w:tblW w:w="0" w:type="auto"/>
        <w:tblInd w:w="1278" w:type="dxa"/>
        <w:tblLook w:val="04A0" w:firstRow="1" w:lastRow="0" w:firstColumn="1" w:lastColumn="0" w:noHBand="0" w:noVBand="1"/>
      </w:tblPr>
      <w:tblGrid>
        <w:gridCol w:w="3195"/>
        <w:gridCol w:w="2295"/>
      </w:tblGrid>
      <w:tr w:rsidR="0072393B" w14:paraId="7DBF17D9" w14:textId="77777777" w:rsidTr="00966FB5">
        <w:tc>
          <w:tcPr>
            <w:tcW w:w="3195" w:type="dxa"/>
          </w:tcPr>
          <w:p w14:paraId="7DBF17D7" w14:textId="77777777" w:rsidR="0072393B" w:rsidRDefault="0072393B" w:rsidP="00966FB5">
            <w:pPr>
              <w:pStyle w:val="Findings"/>
              <w:numPr>
                <w:ilvl w:val="0"/>
                <w:numId w:val="0"/>
              </w:numPr>
              <w:tabs>
                <w:tab w:val="left" w:pos="90"/>
              </w:tabs>
              <w:jc w:val="center"/>
            </w:pPr>
            <w:r>
              <w:t>Non-Conformance Level</w:t>
            </w:r>
          </w:p>
        </w:tc>
        <w:tc>
          <w:tcPr>
            <w:tcW w:w="2295" w:type="dxa"/>
          </w:tcPr>
          <w:p w14:paraId="7DBF17D8" w14:textId="77777777" w:rsidR="0072393B" w:rsidRDefault="0072393B" w:rsidP="00966FB5">
            <w:pPr>
              <w:pStyle w:val="Findings"/>
              <w:numPr>
                <w:ilvl w:val="0"/>
                <w:numId w:val="0"/>
              </w:numPr>
              <w:tabs>
                <w:tab w:val="left" w:pos="90"/>
              </w:tabs>
              <w:jc w:val="center"/>
            </w:pPr>
            <w:r>
              <w:t>Washington per occurrence</w:t>
            </w:r>
          </w:p>
        </w:tc>
      </w:tr>
      <w:tr w:rsidR="0072393B" w14:paraId="7DBF17DC" w14:textId="77777777" w:rsidTr="00966FB5">
        <w:tc>
          <w:tcPr>
            <w:tcW w:w="3195" w:type="dxa"/>
          </w:tcPr>
          <w:p w14:paraId="7DBF17DA" w14:textId="77777777" w:rsidR="0072393B" w:rsidRDefault="0072393B" w:rsidP="00966FB5">
            <w:pPr>
              <w:pStyle w:val="Findings"/>
              <w:numPr>
                <w:ilvl w:val="0"/>
                <w:numId w:val="0"/>
              </w:numPr>
              <w:tabs>
                <w:tab w:val="left" w:pos="90"/>
              </w:tabs>
              <w:jc w:val="center"/>
            </w:pPr>
            <w:r>
              <w:t>Level 1</w:t>
            </w:r>
          </w:p>
        </w:tc>
        <w:tc>
          <w:tcPr>
            <w:tcW w:w="2295" w:type="dxa"/>
          </w:tcPr>
          <w:p w14:paraId="7DBF17DB" w14:textId="77777777" w:rsidR="0072393B" w:rsidRDefault="0072393B" w:rsidP="00966FB5">
            <w:pPr>
              <w:pStyle w:val="Findings"/>
              <w:numPr>
                <w:ilvl w:val="0"/>
                <w:numId w:val="0"/>
              </w:numPr>
              <w:tabs>
                <w:tab w:val="left" w:pos="90"/>
              </w:tabs>
              <w:jc w:val="center"/>
            </w:pPr>
            <w:r>
              <w:t xml:space="preserve">$150.00 </w:t>
            </w:r>
          </w:p>
        </w:tc>
      </w:tr>
      <w:tr w:rsidR="0072393B" w14:paraId="7DBF17DF" w14:textId="77777777" w:rsidTr="00966FB5">
        <w:tc>
          <w:tcPr>
            <w:tcW w:w="3195" w:type="dxa"/>
          </w:tcPr>
          <w:p w14:paraId="7DBF17DD" w14:textId="77777777" w:rsidR="0072393B" w:rsidRDefault="006445F2" w:rsidP="00966FB5">
            <w:pPr>
              <w:pStyle w:val="Findings"/>
              <w:numPr>
                <w:ilvl w:val="0"/>
                <w:numId w:val="0"/>
              </w:numPr>
              <w:tabs>
                <w:tab w:val="left" w:pos="90"/>
              </w:tabs>
              <w:jc w:val="center"/>
            </w:pPr>
            <w:r>
              <w:t>Level 2</w:t>
            </w:r>
          </w:p>
        </w:tc>
        <w:tc>
          <w:tcPr>
            <w:tcW w:w="2295" w:type="dxa"/>
          </w:tcPr>
          <w:p w14:paraId="7DBF17DE" w14:textId="77777777" w:rsidR="0072393B" w:rsidRDefault="006445F2" w:rsidP="00966FB5">
            <w:pPr>
              <w:pStyle w:val="Findings"/>
              <w:numPr>
                <w:ilvl w:val="0"/>
                <w:numId w:val="0"/>
              </w:numPr>
              <w:tabs>
                <w:tab w:val="left" w:pos="90"/>
              </w:tabs>
              <w:jc w:val="center"/>
            </w:pPr>
            <w:r>
              <w:t>$225.00</w:t>
            </w:r>
          </w:p>
        </w:tc>
      </w:tr>
      <w:tr w:rsidR="0072393B" w14:paraId="7DBF17E2" w14:textId="77777777" w:rsidTr="00966FB5">
        <w:tc>
          <w:tcPr>
            <w:tcW w:w="3195" w:type="dxa"/>
          </w:tcPr>
          <w:p w14:paraId="7DBF17E0" w14:textId="77777777" w:rsidR="0072393B" w:rsidRDefault="006445F2" w:rsidP="00966FB5">
            <w:pPr>
              <w:pStyle w:val="Findings"/>
              <w:numPr>
                <w:ilvl w:val="0"/>
                <w:numId w:val="0"/>
              </w:numPr>
              <w:tabs>
                <w:tab w:val="left" w:pos="90"/>
              </w:tabs>
              <w:jc w:val="center"/>
            </w:pPr>
            <w:r>
              <w:t>Level 3</w:t>
            </w:r>
          </w:p>
        </w:tc>
        <w:tc>
          <w:tcPr>
            <w:tcW w:w="2295" w:type="dxa"/>
          </w:tcPr>
          <w:p w14:paraId="7DBF17E1" w14:textId="77777777" w:rsidR="0072393B" w:rsidRDefault="006445F2" w:rsidP="00966FB5">
            <w:pPr>
              <w:pStyle w:val="Findings"/>
              <w:numPr>
                <w:ilvl w:val="0"/>
                <w:numId w:val="0"/>
              </w:numPr>
              <w:tabs>
                <w:tab w:val="left" w:pos="90"/>
              </w:tabs>
              <w:jc w:val="center"/>
            </w:pPr>
            <w:r>
              <w:t>$300.00</w:t>
            </w:r>
          </w:p>
        </w:tc>
      </w:tr>
    </w:tbl>
    <w:p w14:paraId="7DBF17E3" w14:textId="77777777" w:rsidR="005512A5" w:rsidRDefault="005512A5" w:rsidP="00966FB5">
      <w:pPr>
        <w:pStyle w:val="Findings"/>
        <w:numPr>
          <w:ilvl w:val="0"/>
          <w:numId w:val="0"/>
        </w:numPr>
        <w:tabs>
          <w:tab w:val="left" w:pos="90"/>
        </w:tabs>
        <w:ind w:left="90" w:hanging="810"/>
      </w:pPr>
    </w:p>
    <w:p w14:paraId="7DBF17E4" w14:textId="77777777" w:rsidR="006445F2" w:rsidRDefault="00872A9C" w:rsidP="00966FB5">
      <w:pPr>
        <w:pStyle w:val="Findings"/>
        <w:numPr>
          <w:ilvl w:val="0"/>
          <w:numId w:val="0"/>
        </w:numPr>
        <w:tabs>
          <w:tab w:val="left" w:pos="90"/>
        </w:tabs>
        <w:ind w:left="90" w:hanging="810"/>
      </w:pPr>
      <w:r>
        <w:tab/>
      </w:r>
      <w:r w:rsidR="006445F2">
        <w:t>The petition also has a provision for</w:t>
      </w:r>
      <w:r w:rsidR="008172E2">
        <w:t xml:space="preserve"> escalation</w:t>
      </w:r>
      <w:r w:rsidR="006445F2">
        <w:t xml:space="preserve"> of payments for consecutive mon</w:t>
      </w:r>
      <w:r w:rsidR="00F81FC7">
        <w:t>th</w:t>
      </w:r>
      <w:r w:rsidR="006445F2">
        <w:t>s for non-conforming service</w:t>
      </w:r>
      <w:r w:rsidR="008172E2">
        <w:t xml:space="preserve"> as listed in the f</w:t>
      </w:r>
      <w:r w:rsidR="006445F2">
        <w:t>ollow</w:t>
      </w:r>
      <w:r w:rsidR="008172E2">
        <w:t>ing Table</w:t>
      </w:r>
      <w:r w:rsidR="006445F2">
        <w:t>:</w:t>
      </w:r>
    </w:p>
    <w:p w14:paraId="7DBF17E5" w14:textId="77777777" w:rsidR="00DE19B4" w:rsidRDefault="00DE19B4" w:rsidP="00DE19B4">
      <w:pPr>
        <w:pStyle w:val="Findings"/>
        <w:numPr>
          <w:ilvl w:val="0"/>
          <w:numId w:val="0"/>
        </w:numPr>
        <w:tabs>
          <w:tab w:val="left" w:pos="90"/>
        </w:tabs>
        <w:ind w:left="90" w:hanging="810"/>
      </w:pPr>
    </w:p>
    <w:p w14:paraId="7DBF17E6" w14:textId="77777777" w:rsidR="00E92EBE" w:rsidRPr="00216E59" w:rsidRDefault="00E92EBE" w:rsidP="00E92EBE">
      <w:pPr>
        <w:jc w:val="center"/>
        <w:rPr>
          <w:b/>
        </w:rPr>
      </w:pPr>
      <w:r w:rsidRPr="00216E59">
        <w:rPr>
          <w:b/>
        </w:rPr>
        <w:lastRenderedPageBreak/>
        <w:t>PER-OCCURRENCE PAYMENTS TO CLEC – WITH ESCALATION</w:t>
      </w:r>
    </w:p>
    <w:p w14:paraId="7DBF17E7" w14:textId="77777777" w:rsidR="00E92EBE" w:rsidRPr="00216E59" w:rsidRDefault="00E92EBE" w:rsidP="00E92EBE">
      <w:pPr>
        <w:jc w:val="center"/>
        <w:rPr>
          <w:b/>
        </w:rPr>
      </w:pPr>
      <w:r w:rsidRPr="00216E59">
        <w:rPr>
          <w:b/>
        </w:rPr>
        <w:t>WASHINGTON STATE</w:t>
      </w:r>
    </w:p>
    <w:p w14:paraId="7DBF17E8" w14:textId="77777777" w:rsidR="00E92EBE" w:rsidRDefault="00E92EBE" w:rsidP="00E92EBE"/>
    <w:tbl>
      <w:tblPr>
        <w:tblStyle w:val="TableGrid"/>
        <w:tblW w:w="0" w:type="auto"/>
        <w:jc w:val="center"/>
        <w:tblLayout w:type="fixed"/>
        <w:tblLook w:val="04A0" w:firstRow="1" w:lastRow="0" w:firstColumn="1" w:lastColumn="0" w:noHBand="0" w:noVBand="1"/>
      </w:tblPr>
      <w:tblGrid>
        <w:gridCol w:w="1578"/>
        <w:gridCol w:w="1239"/>
        <w:gridCol w:w="1440"/>
        <w:gridCol w:w="1440"/>
        <w:gridCol w:w="1350"/>
        <w:gridCol w:w="1467"/>
      </w:tblGrid>
      <w:tr w:rsidR="00E92EBE" w:rsidRPr="00216E59" w14:paraId="7DBF17EB" w14:textId="77777777" w:rsidTr="00966FB5">
        <w:trPr>
          <w:jc w:val="center"/>
        </w:trPr>
        <w:tc>
          <w:tcPr>
            <w:tcW w:w="1578" w:type="dxa"/>
          </w:tcPr>
          <w:p w14:paraId="7DBF17E9" w14:textId="77777777" w:rsidR="00E92EBE" w:rsidRPr="00216E59" w:rsidRDefault="00E92EBE" w:rsidP="00370FCD">
            <w:pPr>
              <w:jc w:val="center"/>
              <w:rPr>
                <w:b/>
              </w:rPr>
            </w:pPr>
            <w:r w:rsidRPr="00216E59">
              <w:rPr>
                <w:b/>
              </w:rPr>
              <w:t>Per Occurrence</w:t>
            </w:r>
          </w:p>
        </w:tc>
        <w:tc>
          <w:tcPr>
            <w:tcW w:w="6936" w:type="dxa"/>
            <w:gridSpan w:val="5"/>
          </w:tcPr>
          <w:p w14:paraId="7DBF17EA" w14:textId="77777777" w:rsidR="00E92EBE" w:rsidRPr="00216E59" w:rsidRDefault="00E92EBE" w:rsidP="00370FCD">
            <w:pPr>
              <w:jc w:val="center"/>
              <w:rPr>
                <w:b/>
              </w:rPr>
            </w:pPr>
            <w:r w:rsidRPr="00216E59">
              <w:rPr>
                <w:b/>
              </w:rPr>
              <w:t>Consecutive Months of Non-conforming Performance at Any Level</w:t>
            </w:r>
          </w:p>
        </w:tc>
      </w:tr>
      <w:tr w:rsidR="00E92EBE" w14:paraId="7DBF17F2" w14:textId="77777777" w:rsidTr="00966FB5">
        <w:trPr>
          <w:jc w:val="center"/>
        </w:trPr>
        <w:tc>
          <w:tcPr>
            <w:tcW w:w="1578" w:type="dxa"/>
          </w:tcPr>
          <w:p w14:paraId="7DBF17EC" w14:textId="77777777" w:rsidR="00E92EBE" w:rsidRDefault="00E92EBE" w:rsidP="00370FCD">
            <w:pPr>
              <w:jc w:val="center"/>
            </w:pPr>
            <w:r>
              <w:t>Measurement Group</w:t>
            </w:r>
          </w:p>
        </w:tc>
        <w:tc>
          <w:tcPr>
            <w:tcW w:w="1239" w:type="dxa"/>
          </w:tcPr>
          <w:p w14:paraId="7DBF17ED" w14:textId="77777777" w:rsidR="00E92EBE" w:rsidRDefault="00E92EBE" w:rsidP="00370FCD">
            <w:pPr>
              <w:jc w:val="center"/>
            </w:pPr>
            <w:r>
              <w:t>Month 1</w:t>
            </w:r>
          </w:p>
        </w:tc>
        <w:tc>
          <w:tcPr>
            <w:tcW w:w="1440" w:type="dxa"/>
          </w:tcPr>
          <w:p w14:paraId="7DBF17EE" w14:textId="77777777" w:rsidR="00E92EBE" w:rsidRDefault="00E92EBE" w:rsidP="00370FCD">
            <w:pPr>
              <w:jc w:val="center"/>
            </w:pPr>
            <w:r>
              <w:t>Month 2</w:t>
            </w:r>
          </w:p>
        </w:tc>
        <w:tc>
          <w:tcPr>
            <w:tcW w:w="1440" w:type="dxa"/>
          </w:tcPr>
          <w:p w14:paraId="7DBF17EF" w14:textId="77777777" w:rsidR="00E92EBE" w:rsidRDefault="00E92EBE" w:rsidP="00370FCD">
            <w:pPr>
              <w:jc w:val="center"/>
            </w:pPr>
            <w:r>
              <w:t>Month 3</w:t>
            </w:r>
          </w:p>
        </w:tc>
        <w:tc>
          <w:tcPr>
            <w:tcW w:w="1350" w:type="dxa"/>
          </w:tcPr>
          <w:p w14:paraId="7DBF17F0" w14:textId="77777777" w:rsidR="00E92EBE" w:rsidRDefault="00E92EBE" w:rsidP="00370FCD">
            <w:pPr>
              <w:jc w:val="center"/>
            </w:pPr>
            <w:r>
              <w:t>Month 4</w:t>
            </w:r>
          </w:p>
        </w:tc>
        <w:tc>
          <w:tcPr>
            <w:tcW w:w="1467" w:type="dxa"/>
          </w:tcPr>
          <w:p w14:paraId="7DBF17F1" w14:textId="77777777" w:rsidR="00E92EBE" w:rsidRDefault="00E92EBE" w:rsidP="00E04A99">
            <w:pPr>
              <w:jc w:val="center"/>
            </w:pPr>
            <w:r>
              <w:t xml:space="preserve">Each following month after Month 4 </w:t>
            </w:r>
            <w:r w:rsidR="00E04A99">
              <w:t>a</w:t>
            </w:r>
            <w:r>
              <w:t>dd</w:t>
            </w:r>
          </w:p>
        </w:tc>
      </w:tr>
      <w:tr w:rsidR="00E92EBE" w14:paraId="7DBF17F9" w14:textId="77777777" w:rsidTr="00966FB5">
        <w:trPr>
          <w:jc w:val="center"/>
        </w:trPr>
        <w:tc>
          <w:tcPr>
            <w:tcW w:w="1578" w:type="dxa"/>
          </w:tcPr>
          <w:p w14:paraId="7DBF17F3" w14:textId="77777777" w:rsidR="00E92EBE" w:rsidRDefault="00E92EBE" w:rsidP="00370FCD">
            <w:pPr>
              <w:jc w:val="center"/>
            </w:pPr>
            <w:r>
              <w:t>Level 1</w:t>
            </w:r>
          </w:p>
        </w:tc>
        <w:tc>
          <w:tcPr>
            <w:tcW w:w="1239" w:type="dxa"/>
          </w:tcPr>
          <w:p w14:paraId="7DBF17F4" w14:textId="77777777" w:rsidR="00E92EBE" w:rsidRDefault="00E92EBE" w:rsidP="00370FCD">
            <w:pPr>
              <w:jc w:val="center"/>
            </w:pPr>
            <w:r>
              <w:t>$150.00</w:t>
            </w:r>
          </w:p>
        </w:tc>
        <w:tc>
          <w:tcPr>
            <w:tcW w:w="1440" w:type="dxa"/>
          </w:tcPr>
          <w:p w14:paraId="7DBF17F5" w14:textId="77777777" w:rsidR="00E92EBE" w:rsidRDefault="00E92EBE" w:rsidP="00370FCD">
            <w:pPr>
              <w:jc w:val="center"/>
            </w:pPr>
            <w:r>
              <w:t>$175.00</w:t>
            </w:r>
          </w:p>
        </w:tc>
        <w:tc>
          <w:tcPr>
            <w:tcW w:w="1440" w:type="dxa"/>
          </w:tcPr>
          <w:p w14:paraId="7DBF17F6" w14:textId="77777777" w:rsidR="00E92EBE" w:rsidRDefault="00E92EBE" w:rsidP="00370FCD">
            <w:pPr>
              <w:jc w:val="center"/>
            </w:pPr>
            <w:r>
              <w:t>$350.00</w:t>
            </w:r>
          </w:p>
        </w:tc>
        <w:tc>
          <w:tcPr>
            <w:tcW w:w="1350" w:type="dxa"/>
          </w:tcPr>
          <w:p w14:paraId="7DBF17F7" w14:textId="77777777" w:rsidR="00E92EBE" w:rsidRDefault="00E92EBE" w:rsidP="00370FCD">
            <w:pPr>
              <w:jc w:val="center"/>
            </w:pPr>
            <w:r>
              <w:t>$450.00</w:t>
            </w:r>
          </w:p>
        </w:tc>
        <w:tc>
          <w:tcPr>
            <w:tcW w:w="1467" w:type="dxa"/>
          </w:tcPr>
          <w:p w14:paraId="7DBF17F8" w14:textId="77777777" w:rsidR="00E92EBE" w:rsidRDefault="00E92EBE" w:rsidP="00370FCD">
            <w:pPr>
              <w:jc w:val="center"/>
            </w:pPr>
            <w:r>
              <w:t>$100.00</w:t>
            </w:r>
          </w:p>
        </w:tc>
      </w:tr>
      <w:tr w:rsidR="00E92EBE" w14:paraId="7DBF1800" w14:textId="77777777" w:rsidTr="00966FB5">
        <w:trPr>
          <w:jc w:val="center"/>
        </w:trPr>
        <w:tc>
          <w:tcPr>
            <w:tcW w:w="1578" w:type="dxa"/>
          </w:tcPr>
          <w:p w14:paraId="7DBF17FA" w14:textId="77777777" w:rsidR="00E92EBE" w:rsidRDefault="00E92EBE" w:rsidP="00370FCD">
            <w:pPr>
              <w:jc w:val="center"/>
            </w:pPr>
            <w:r>
              <w:t>Level 2</w:t>
            </w:r>
          </w:p>
        </w:tc>
        <w:tc>
          <w:tcPr>
            <w:tcW w:w="1239" w:type="dxa"/>
          </w:tcPr>
          <w:p w14:paraId="7DBF17FB" w14:textId="77777777" w:rsidR="00E92EBE" w:rsidRDefault="00E92EBE" w:rsidP="00370FCD">
            <w:pPr>
              <w:jc w:val="center"/>
            </w:pPr>
            <w:r>
              <w:t>$225.00</w:t>
            </w:r>
          </w:p>
        </w:tc>
        <w:tc>
          <w:tcPr>
            <w:tcW w:w="1440" w:type="dxa"/>
          </w:tcPr>
          <w:p w14:paraId="7DBF17FC" w14:textId="77777777" w:rsidR="00E92EBE" w:rsidRDefault="00E92EBE" w:rsidP="00370FCD">
            <w:pPr>
              <w:jc w:val="center"/>
            </w:pPr>
            <w:r>
              <w:t>$250.00</w:t>
            </w:r>
          </w:p>
        </w:tc>
        <w:tc>
          <w:tcPr>
            <w:tcW w:w="1440" w:type="dxa"/>
          </w:tcPr>
          <w:p w14:paraId="7DBF17FD" w14:textId="77777777" w:rsidR="00E92EBE" w:rsidRDefault="00E92EBE" w:rsidP="00370FCD">
            <w:pPr>
              <w:jc w:val="center"/>
            </w:pPr>
            <w:r>
              <w:t>$500.00</w:t>
            </w:r>
          </w:p>
        </w:tc>
        <w:tc>
          <w:tcPr>
            <w:tcW w:w="1350" w:type="dxa"/>
          </w:tcPr>
          <w:p w14:paraId="7DBF17FE" w14:textId="77777777" w:rsidR="00E92EBE" w:rsidRDefault="00E92EBE" w:rsidP="00370FCD">
            <w:pPr>
              <w:jc w:val="center"/>
            </w:pPr>
            <w:r>
              <w:t>$600.00</w:t>
            </w:r>
          </w:p>
        </w:tc>
        <w:tc>
          <w:tcPr>
            <w:tcW w:w="1467" w:type="dxa"/>
          </w:tcPr>
          <w:p w14:paraId="7DBF17FF" w14:textId="77777777" w:rsidR="00E92EBE" w:rsidRDefault="00E92EBE" w:rsidP="00370FCD">
            <w:pPr>
              <w:jc w:val="center"/>
            </w:pPr>
            <w:r>
              <w:t>$100.00</w:t>
            </w:r>
          </w:p>
        </w:tc>
      </w:tr>
      <w:tr w:rsidR="00E92EBE" w14:paraId="7DBF1807" w14:textId="77777777" w:rsidTr="00966FB5">
        <w:trPr>
          <w:jc w:val="center"/>
        </w:trPr>
        <w:tc>
          <w:tcPr>
            <w:tcW w:w="1578" w:type="dxa"/>
          </w:tcPr>
          <w:p w14:paraId="7DBF1801" w14:textId="77777777" w:rsidR="00E92EBE" w:rsidRDefault="00E92EBE" w:rsidP="00370FCD">
            <w:pPr>
              <w:jc w:val="center"/>
            </w:pPr>
            <w:r>
              <w:t>Level 3</w:t>
            </w:r>
          </w:p>
        </w:tc>
        <w:tc>
          <w:tcPr>
            <w:tcW w:w="1239" w:type="dxa"/>
          </w:tcPr>
          <w:p w14:paraId="7DBF1802" w14:textId="77777777" w:rsidR="00E92EBE" w:rsidRDefault="00E92EBE" w:rsidP="00370FCD">
            <w:pPr>
              <w:jc w:val="center"/>
            </w:pPr>
            <w:r>
              <w:t>$300.00</w:t>
            </w:r>
          </w:p>
        </w:tc>
        <w:tc>
          <w:tcPr>
            <w:tcW w:w="1440" w:type="dxa"/>
          </w:tcPr>
          <w:p w14:paraId="7DBF1803" w14:textId="77777777" w:rsidR="00E92EBE" w:rsidRDefault="00E92EBE" w:rsidP="00370FCD">
            <w:pPr>
              <w:jc w:val="center"/>
            </w:pPr>
            <w:r>
              <w:t>$325.00</w:t>
            </w:r>
          </w:p>
        </w:tc>
        <w:tc>
          <w:tcPr>
            <w:tcW w:w="1440" w:type="dxa"/>
          </w:tcPr>
          <w:p w14:paraId="7DBF1804" w14:textId="77777777" w:rsidR="00E92EBE" w:rsidRDefault="00E92EBE" w:rsidP="00370FCD">
            <w:pPr>
              <w:jc w:val="center"/>
            </w:pPr>
            <w:r>
              <w:t>$650.00</w:t>
            </w:r>
          </w:p>
        </w:tc>
        <w:tc>
          <w:tcPr>
            <w:tcW w:w="1350" w:type="dxa"/>
          </w:tcPr>
          <w:p w14:paraId="7DBF1805" w14:textId="77777777" w:rsidR="00E92EBE" w:rsidRDefault="00E92EBE" w:rsidP="00370FCD">
            <w:pPr>
              <w:jc w:val="center"/>
            </w:pPr>
            <w:r>
              <w:t>$750.00</w:t>
            </w:r>
          </w:p>
        </w:tc>
        <w:tc>
          <w:tcPr>
            <w:tcW w:w="1467" w:type="dxa"/>
          </w:tcPr>
          <w:p w14:paraId="7DBF1806" w14:textId="77777777" w:rsidR="00E92EBE" w:rsidRDefault="00E92EBE" w:rsidP="00370FCD">
            <w:pPr>
              <w:jc w:val="center"/>
            </w:pPr>
            <w:r>
              <w:t>$100.00</w:t>
            </w:r>
          </w:p>
        </w:tc>
      </w:tr>
    </w:tbl>
    <w:p w14:paraId="7DBF1808" w14:textId="77777777" w:rsidR="00F81FC7" w:rsidRDefault="00F81FC7" w:rsidP="00966FB5">
      <w:pPr>
        <w:pStyle w:val="Findings"/>
        <w:numPr>
          <w:ilvl w:val="0"/>
          <w:numId w:val="0"/>
        </w:numPr>
        <w:tabs>
          <w:tab w:val="left" w:pos="0"/>
        </w:tabs>
        <w:spacing w:line="320" w:lineRule="exact"/>
      </w:pPr>
    </w:p>
    <w:p w14:paraId="7DBF1809" w14:textId="77777777" w:rsidR="008172E2" w:rsidRDefault="008172E2" w:rsidP="007501EA">
      <w:pPr>
        <w:pStyle w:val="Findings"/>
        <w:numPr>
          <w:ilvl w:val="0"/>
          <w:numId w:val="0"/>
        </w:numPr>
        <w:ind w:left="90"/>
      </w:pPr>
    </w:p>
    <w:p w14:paraId="7DBF180A" w14:textId="77777777" w:rsidR="008172E2" w:rsidRDefault="008172E2" w:rsidP="00966FB5">
      <w:pPr>
        <w:pStyle w:val="Findings"/>
        <w:numPr>
          <w:ilvl w:val="0"/>
          <w:numId w:val="0"/>
        </w:numPr>
        <w:ind w:left="90"/>
      </w:pPr>
    </w:p>
    <w:p w14:paraId="7DBF180B" w14:textId="77777777" w:rsidR="00DE19B4" w:rsidRDefault="00534725" w:rsidP="00966FB5">
      <w:pPr>
        <w:pStyle w:val="Findings"/>
        <w:tabs>
          <w:tab w:val="clear" w:pos="720"/>
          <w:tab w:val="num" w:pos="90"/>
        </w:tabs>
        <w:ind w:left="90" w:hanging="900"/>
      </w:pPr>
      <w:r>
        <w:t xml:space="preserve">The filing </w:t>
      </w:r>
      <w:r w:rsidR="006D465D">
        <w:t>will</w:t>
      </w:r>
      <w:r>
        <w:t xml:space="preserve"> eliminate</w:t>
      </w:r>
      <w:r w:rsidR="00F81FC7">
        <w:t xml:space="preserve"> Tier 2 performance payments estimated to be approximately $80,000 paid to the Commission for the last 12 months.</w:t>
      </w:r>
      <w:r>
        <w:t xml:space="preserve">  Other CLECs are not required to pay fees to the Commission for quality of service issues.  With the change in technology and the increasing level of c</w:t>
      </w:r>
      <w:r w:rsidR="006E7057">
        <w:t xml:space="preserve">ompetition in Washington, Staff believes the Tier 2 payments to the Commission are no longer necessary under the new filing. </w:t>
      </w:r>
      <w:r>
        <w:t xml:space="preserve"> </w:t>
      </w:r>
      <w:r w:rsidR="00F81FC7">
        <w:t xml:space="preserve"> </w:t>
      </w:r>
    </w:p>
    <w:p w14:paraId="7DBF180C" w14:textId="77777777" w:rsidR="00F81FC7" w:rsidRDefault="00F81FC7" w:rsidP="00966FB5">
      <w:pPr>
        <w:pStyle w:val="Findings"/>
        <w:numPr>
          <w:ilvl w:val="0"/>
          <w:numId w:val="0"/>
        </w:numPr>
        <w:ind w:left="90"/>
      </w:pPr>
    </w:p>
    <w:p w14:paraId="7DBF180D" w14:textId="77777777" w:rsidR="0052781E" w:rsidRDefault="005033F6" w:rsidP="00DE19B4">
      <w:pPr>
        <w:pStyle w:val="Findings"/>
        <w:tabs>
          <w:tab w:val="clear" w:pos="720"/>
          <w:tab w:val="num" w:pos="90"/>
        </w:tabs>
        <w:spacing w:line="320" w:lineRule="exact"/>
        <w:ind w:left="90" w:hanging="810"/>
      </w:pPr>
      <w:r w:rsidRPr="00433FB3">
        <w:t xml:space="preserve">Staff </w:t>
      </w:r>
      <w:r w:rsidR="0052781E">
        <w:t>believes the Company’s revisions are appropriate and</w:t>
      </w:r>
      <w:r w:rsidR="00764A16">
        <w:t xml:space="preserve"> </w:t>
      </w:r>
      <w:r w:rsidR="00E92EBE">
        <w:t>consistent with</w:t>
      </w:r>
      <w:r w:rsidR="0052781E">
        <w:t xml:space="preserve"> the public interest</w:t>
      </w:r>
      <w:r w:rsidR="00E92EBE">
        <w:t xml:space="preserve"> </w:t>
      </w:r>
      <w:r w:rsidR="00764A16">
        <w:t>and not</w:t>
      </w:r>
      <w:r w:rsidR="00E92EBE">
        <w:t xml:space="preserve"> discriminatory</w:t>
      </w:r>
      <w:r w:rsidR="007E18C6">
        <w:t>.</w:t>
      </w:r>
      <w:r w:rsidR="00F81FC7">
        <w:rPr>
          <w:rStyle w:val="FootnoteReference"/>
        </w:rPr>
        <w:footnoteReference w:id="2"/>
      </w:r>
      <w:r w:rsidR="0052781E">
        <w:t xml:space="preserve">  </w:t>
      </w:r>
      <w:r w:rsidR="00966FB5">
        <w:t xml:space="preserve">Assuming all states adopt the PAP changes, it standardizes the performance measures for both </w:t>
      </w:r>
      <w:proofErr w:type="spellStart"/>
      <w:r w:rsidR="00966FB5">
        <w:t>CenturyLink</w:t>
      </w:r>
      <w:proofErr w:type="spellEnd"/>
      <w:r w:rsidR="00966FB5">
        <w:t xml:space="preserve"> and the CLECs throughout the Company’s operating states.  It </w:t>
      </w:r>
      <w:r w:rsidR="007E18C6">
        <w:t xml:space="preserve">also </w:t>
      </w:r>
      <w:r w:rsidR="00966FB5">
        <w:t>reduces the number of performance measures.  The revised agreement will remain in place through April 1, 2016, giving the CLECs certainty of future payments if the quality of wholesale services decline</w:t>
      </w:r>
      <w:r w:rsidR="007E18C6">
        <w:t>s</w:t>
      </w:r>
      <w:r w:rsidR="00966FB5">
        <w:t xml:space="preserve">.  The agreement maintains key metric measurements and results in escalating payments if </w:t>
      </w:r>
      <w:proofErr w:type="spellStart"/>
      <w:r w:rsidR="00966FB5">
        <w:t>CenturyLink’s</w:t>
      </w:r>
      <w:proofErr w:type="spellEnd"/>
      <w:r w:rsidR="00966FB5">
        <w:t xml:space="preserve"> quality of service declines.  For these reasons, </w:t>
      </w:r>
      <w:r w:rsidR="0052781E">
        <w:t xml:space="preserve">Staff </w:t>
      </w:r>
      <w:r w:rsidRPr="00433FB3">
        <w:t>recommend</w:t>
      </w:r>
      <w:r w:rsidR="00132AFA">
        <w:t>s</w:t>
      </w:r>
      <w:r w:rsidRPr="00433FB3">
        <w:t xml:space="preserve"> </w:t>
      </w:r>
      <w:r w:rsidR="0052781E">
        <w:t xml:space="preserve">the Commission </w:t>
      </w:r>
      <w:r w:rsidRPr="00433FB3">
        <w:t>grant</w:t>
      </w:r>
      <w:r w:rsidR="00C4358E">
        <w:t xml:space="preserve"> </w:t>
      </w:r>
      <w:proofErr w:type="spellStart"/>
      <w:r w:rsidR="00E97C1D">
        <w:t>CenturyLink’s</w:t>
      </w:r>
      <w:proofErr w:type="spellEnd"/>
      <w:r w:rsidR="00E97C1D">
        <w:t xml:space="preserve"> petition.</w:t>
      </w:r>
    </w:p>
    <w:p w14:paraId="7DBF180E" w14:textId="77777777" w:rsidR="00E97C1D" w:rsidRDefault="00E97C1D" w:rsidP="00E97C1D">
      <w:pPr>
        <w:pStyle w:val="Findings"/>
        <w:numPr>
          <w:ilvl w:val="0"/>
          <w:numId w:val="0"/>
        </w:numPr>
        <w:spacing w:line="320" w:lineRule="exact"/>
      </w:pPr>
    </w:p>
    <w:p w14:paraId="7DBF180F" w14:textId="77777777" w:rsidR="007E5C27" w:rsidRDefault="007E5C27" w:rsidP="007E5C27">
      <w:pPr>
        <w:pStyle w:val="Findings"/>
        <w:numPr>
          <w:ilvl w:val="0"/>
          <w:numId w:val="0"/>
        </w:numPr>
        <w:spacing w:line="320" w:lineRule="exact"/>
        <w:ind w:left="90"/>
        <w:jc w:val="center"/>
        <w:rPr>
          <w:b/>
        </w:rPr>
      </w:pPr>
      <w:r w:rsidRPr="00AB40FC">
        <w:rPr>
          <w:b/>
        </w:rPr>
        <w:t>DI</w:t>
      </w:r>
      <w:r>
        <w:rPr>
          <w:b/>
        </w:rPr>
        <w:t>S</w:t>
      </w:r>
      <w:r w:rsidRPr="00AB40FC">
        <w:rPr>
          <w:b/>
        </w:rPr>
        <w:t>CUSSION</w:t>
      </w:r>
      <w:r>
        <w:rPr>
          <w:b/>
        </w:rPr>
        <w:t xml:space="preserve"> AND DECISION</w:t>
      </w:r>
    </w:p>
    <w:p w14:paraId="7DBF1810" w14:textId="77777777" w:rsidR="007E5C27" w:rsidRDefault="007E5C27" w:rsidP="007501EA"/>
    <w:p w14:paraId="7DBF1811" w14:textId="77777777" w:rsidR="007E5C27" w:rsidRDefault="007E5C27" w:rsidP="007501EA">
      <w:pPr>
        <w:pStyle w:val="Findings"/>
        <w:numPr>
          <w:ilvl w:val="0"/>
          <w:numId w:val="0"/>
        </w:numPr>
        <w:spacing w:line="320" w:lineRule="exact"/>
        <w:ind w:left="90"/>
      </w:pPr>
    </w:p>
    <w:p w14:paraId="7DBF1812" w14:textId="29540BA6" w:rsidR="0052781E" w:rsidRDefault="0052781E" w:rsidP="001E5D74">
      <w:pPr>
        <w:pStyle w:val="Findings"/>
        <w:tabs>
          <w:tab w:val="clear" w:pos="720"/>
          <w:tab w:val="num" w:pos="90"/>
        </w:tabs>
        <w:spacing w:line="320" w:lineRule="exact"/>
        <w:ind w:left="90" w:hanging="810"/>
      </w:pPr>
      <w:r>
        <w:t xml:space="preserve">The Commission agrees with Staff </w:t>
      </w:r>
      <w:r w:rsidR="007E5C27">
        <w:t xml:space="preserve">that the QPAP changes </w:t>
      </w:r>
      <w:proofErr w:type="spellStart"/>
      <w:r w:rsidR="007E5C27">
        <w:t>CenturyLink</w:t>
      </w:r>
      <w:proofErr w:type="spellEnd"/>
      <w:r w:rsidR="007E5C27">
        <w:t xml:space="preserve"> proposes are consistent with the </w:t>
      </w:r>
      <w:r w:rsidR="007F067C">
        <w:t>public</w:t>
      </w:r>
      <w:r w:rsidR="007E5C27">
        <w:t xml:space="preserve"> interest and federal law.  The revisions to the PAP and PIDs to which </w:t>
      </w:r>
      <w:proofErr w:type="spellStart"/>
      <w:r w:rsidR="007E5C27">
        <w:t>CenturyLink</w:t>
      </w:r>
      <w:proofErr w:type="spellEnd"/>
      <w:r w:rsidR="007E5C27">
        <w:t xml:space="preserve"> and the CLECs have agreed recognize the improvement in </w:t>
      </w:r>
      <w:proofErr w:type="spellStart"/>
      <w:r w:rsidR="007E5C27">
        <w:lastRenderedPageBreak/>
        <w:t>CenturyLink’s</w:t>
      </w:r>
      <w:proofErr w:type="spellEnd"/>
      <w:r w:rsidR="007E5C27">
        <w:t xml:space="preserve"> wholesal</w:t>
      </w:r>
      <w:r w:rsidR="009262C5">
        <w:t>e</w:t>
      </w:r>
      <w:r w:rsidR="007E5C27">
        <w:t xml:space="preserve"> service quality and eliminate unnecessary standards and measures while adding others that reflect the services the Company currently provides to its competitors.  We also agree that Tier 2 payments to the Commission have outlived their usefulness and should be discontinued.  All of these changes further the Commission’s goal of tailoring regulation to the realities of today’s telecommunications marketplace. </w:t>
      </w:r>
      <w:r w:rsidR="00763AAA">
        <w:t xml:space="preserve"> </w:t>
      </w:r>
      <w:r w:rsidR="007E5C27">
        <w:t>The revised PAP and PIDs should be approved.</w:t>
      </w:r>
    </w:p>
    <w:p w14:paraId="7DBF1813" w14:textId="77777777" w:rsidR="003D27F9" w:rsidRPr="00433FB3" w:rsidRDefault="003D27F9" w:rsidP="00B80065">
      <w:pPr>
        <w:pStyle w:val="Findings"/>
        <w:numPr>
          <w:ilvl w:val="0"/>
          <w:numId w:val="0"/>
        </w:numPr>
        <w:spacing w:line="320" w:lineRule="exact"/>
      </w:pPr>
    </w:p>
    <w:p w14:paraId="7DBF1814"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7DBF1815" w14:textId="77777777" w:rsidR="00EA2E9A" w:rsidRPr="00433FB3" w:rsidRDefault="00EA2E9A" w:rsidP="00B80065">
      <w:pPr>
        <w:pStyle w:val="Findings"/>
        <w:numPr>
          <w:ilvl w:val="0"/>
          <w:numId w:val="0"/>
        </w:numPr>
        <w:spacing w:line="320" w:lineRule="exact"/>
        <w:ind w:left="-720" w:firstLine="720"/>
        <w:jc w:val="center"/>
        <w:rPr>
          <w:b/>
          <w:bCs/>
        </w:rPr>
      </w:pPr>
    </w:p>
    <w:p w14:paraId="7DBF1816" w14:textId="77777777" w:rsidR="005033F6" w:rsidRPr="00433FB3" w:rsidRDefault="005033F6" w:rsidP="00405254">
      <w:pPr>
        <w:pStyle w:val="Findings"/>
        <w:tabs>
          <w:tab w:val="clear" w:pos="720"/>
          <w:tab w:val="num" w:pos="90"/>
        </w:tabs>
        <w:spacing w:line="320" w:lineRule="exact"/>
        <w:ind w:left="700" w:hanging="1420"/>
      </w:pPr>
      <w:r w:rsidRPr="00433FB3">
        <w:t>(1)</w:t>
      </w:r>
      <w:r w:rsidRPr="00433FB3">
        <w:tab/>
        <w:t xml:space="preserve">The Washington Utilities and Transportation Commission is an agency of the </w:t>
      </w:r>
      <w:r w:rsidR="00CA62AF">
        <w:t>S</w:t>
      </w:r>
      <w:r w:rsidRPr="00433FB3">
        <w:t xml:space="preserve">tate of Washington vested by statute with the authority to regulate </w:t>
      </w:r>
      <w:r w:rsidR="0079177F">
        <w:t xml:space="preserve">the </w:t>
      </w:r>
      <w:r w:rsidRPr="00433FB3">
        <w:t xml:space="preserve">rates, rules, regulations, practices, accounts, </w:t>
      </w:r>
      <w:r w:rsidR="00727FA6" w:rsidRPr="00433FB3">
        <w:t>and securities</w:t>
      </w:r>
      <w:r w:rsidRPr="00433FB3">
        <w:t xml:space="preserve">, transfers of </w:t>
      </w:r>
      <w:r w:rsidR="00B21261">
        <w:t>property and affiliated interest</w:t>
      </w:r>
      <w:r w:rsidR="0079177F">
        <w:t>s</w:t>
      </w:r>
      <w:r w:rsidR="00B21261">
        <w:t xml:space="preserve"> of </w:t>
      </w:r>
      <w:r w:rsidRPr="00433FB3">
        <w:t xml:space="preserve">public service companies, including telecommunications companies.  </w:t>
      </w:r>
    </w:p>
    <w:p w14:paraId="7DBF1817" w14:textId="77777777" w:rsidR="005033F6" w:rsidRPr="00433FB3" w:rsidRDefault="005033F6" w:rsidP="00B80065">
      <w:pPr>
        <w:spacing w:line="320" w:lineRule="exact"/>
      </w:pPr>
    </w:p>
    <w:p w14:paraId="7DBF1818" w14:textId="77777777" w:rsidR="005033F6" w:rsidRDefault="005033F6" w:rsidP="00405254">
      <w:pPr>
        <w:pStyle w:val="Findings"/>
        <w:tabs>
          <w:tab w:val="clear" w:pos="720"/>
          <w:tab w:val="num" w:pos="90"/>
        </w:tabs>
        <w:spacing w:line="320" w:lineRule="exact"/>
        <w:ind w:left="700" w:hanging="1420"/>
      </w:pPr>
      <w:r w:rsidRPr="00433FB3">
        <w:t xml:space="preserve">(2) </w:t>
      </w:r>
      <w:r w:rsidRPr="00433FB3">
        <w:tab/>
      </w:r>
      <w:proofErr w:type="spellStart"/>
      <w:r w:rsidR="00015A92">
        <w:t>CenturyLink</w:t>
      </w:r>
      <w:proofErr w:type="spellEnd"/>
      <w:r w:rsidR="00EF4B60">
        <w:t xml:space="preserve"> </w:t>
      </w:r>
      <w:r w:rsidRPr="00433FB3">
        <w:t xml:space="preserve">is a telecommunications company and a public service company subject to </w:t>
      </w:r>
      <w:r w:rsidR="009B7A39">
        <w:t xml:space="preserve">Commission </w:t>
      </w:r>
      <w:r w:rsidRPr="00433FB3">
        <w:t xml:space="preserve">jurisdiction. </w:t>
      </w:r>
    </w:p>
    <w:p w14:paraId="7DBF1819" w14:textId="77777777" w:rsidR="00020CCD" w:rsidRDefault="00020CCD" w:rsidP="00B80065">
      <w:pPr>
        <w:pStyle w:val="Findings"/>
        <w:numPr>
          <w:ilvl w:val="0"/>
          <w:numId w:val="0"/>
        </w:numPr>
        <w:spacing w:line="320" w:lineRule="exact"/>
      </w:pPr>
    </w:p>
    <w:p w14:paraId="7DBF181A" w14:textId="77777777" w:rsidR="00AB40FC" w:rsidRDefault="005033F6" w:rsidP="00AB40FC">
      <w:pPr>
        <w:pStyle w:val="Findings"/>
        <w:tabs>
          <w:tab w:val="clear" w:pos="720"/>
          <w:tab w:val="num" w:pos="90"/>
        </w:tabs>
        <w:spacing w:line="320" w:lineRule="exact"/>
        <w:ind w:left="700" w:hanging="1420"/>
      </w:pPr>
      <w:r w:rsidRPr="00433FB3">
        <w:t xml:space="preserve">(3) </w:t>
      </w:r>
      <w:r w:rsidRPr="00433FB3">
        <w:tab/>
      </w:r>
      <w:r w:rsidR="000D50DF" w:rsidRPr="00A41682">
        <w:rPr>
          <w:sz w:val="25"/>
          <w:szCs w:val="25"/>
        </w:rPr>
        <w:t>The Telecommunications Act of 1996</w:t>
      </w:r>
      <w:r w:rsidR="000D50DF">
        <w:rPr>
          <w:sz w:val="25"/>
          <w:szCs w:val="25"/>
        </w:rPr>
        <w:t>, 47 U.S.C. § 252,</w:t>
      </w:r>
      <w:r w:rsidR="000D50DF" w:rsidRPr="00A41682">
        <w:rPr>
          <w:sz w:val="25"/>
          <w:szCs w:val="25"/>
        </w:rPr>
        <w:t xml:space="preserve"> </w:t>
      </w:r>
      <w:r w:rsidR="008568B1">
        <w:rPr>
          <w:sz w:val="25"/>
          <w:szCs w:val="25"/>
        </w:rPr>
        <w:t xml:space="preserve">requires telecommunications carriers submit negotiated </w:t>
      </w:r>
      <w:r w:rsidR="000D50DF" w:rsidRPr="00A41682">
        <w:rPr>
          <w:sz w:val="25"/>
          <w:szCs w:val="25"/>
        </w:rPr>
        <w:t xml:space="preserve">interconnection agreements </w:t>
      </w:r>
      <w:r w:rsidR="008568B1">
        <w:rPr>
          <w:sz w:val="25"/>
          <w:szCs w:val="25"/>
        </w:rPr>
        <w:t>to the Commission for approval</w:t>
      </w:r>
      <w:r w:rsidR="000D50DF" w:rsidRPr="00A41682">
        <w:rPr>
          <w:sz w:val="25"/>
          <w:szCs w:val="25"/>
        </w:rPr>
        <w:t xml:space="preserve">.  </w:t>
      </w:r>
    </w:p>
    <w:p w14:paraId="7DBF181B" w14:textId="77777777" w:rsidR="00AB40FC" w:rsidRDefault="00AB40FC" w:rsidP="00AB40FC">
      <w:pPr>
        <w:pStyle w:val="Findings"/>
        <w:numPr>
          <w:ilvl w:val="0"/>
          <w:numId w:val="0"/>
        </w:numPr>
        <w:spacing w:line="320" w:lineRule="exact"/>
      </w:pPr>
    </w:p>
    <w:p w14:paraId="7DBF181C" w14:textId="77777777" w:rsidR="005033F6" w:rsidRDefault="005033F6" w:rsidP="00913A98">
      <w:pPr>
        <w:pStyle w:val="Findings"/>
        <w:tabs>
          <w:tab w:val="clear" w:pos="720"/>
          <w:tab w:val="num" w:pos="90"/>
        </w:tabs>
        <w:spacing w:line="320" w:lineRule="exact"/>
        <w:ind w:left="700" w:hanging="1420"/>
      </w:pPr>
      <w:r w:rsidRPr="00433FB3">
        <w:t>(</w:t>
      </w:r>
      <w:r w:rsidR="00AB40FC">
        <w:t>4</w:t>
      </w:r>
      <w:r w:rsidR="00F45CA9">
        <w:t>)</w:t>
      </w:r>
      <w:r w:rsidRPr="00433FB3">
        <w:tab/>
        <w:t xml:space="preserve">This matter </w:t>
      </w:r>
      <w:r w:rsidR="00B21261">
        <w:t>came</w:t>
      </w:r>
      <w:r w:rsidRPr="00433FB3">
        <w:t xml:space="preserve"> before the Commission at its regularly</w:t>
      </w:r>
      <w:r w:rsidR="0052781E">
        <w:t>-</w:t>
      </w:r>
      <w:r w:rsidRPr="00433FB3">
        <w:t>scheduled meeting on</w:t>
      </w:r>
      <w:r w:rsidR="00C4358E">
        <w:t xml:space="preserve"> </w:t>
      </w:r>
      <w:r w:rsidR="00A93F0F">
        <w:fldChar w:fldCharType="begin"/>
      </w:r>
      <w:r w:rsidR="00A93F0F">
        <w:instrText xml:space="preserve"> ASK om_date "Enter Open Meeting Date "</w:instrText>
      </w:r>
      <w:r w:rsidR="00A93F0F">
        <w:fldChar w:fldCharType="separate"/>
      </w:r>
      <w:bookmarkStart w:id="5" w:name="om_date"/>
      <w:r w:rsidR="007605F9">
        <w:t>May 9, 2013</w:t>
      </w:r>
      <w:bookmarkEnd w:id="5"/>
      <w:r w:rsidR="00A93F0F">
        <w:fldChar w:fldCharType="end"/>
      </w:r>
      <w:r w:rsidR="009670BB">
        <w:t>December 27, 2013.</w:t>
      </w:r>
    </w:p>
    <w:p w14:paraId="7DBF181D" w14:textId="77777777" w:rsidR="00764A16" w:rsidRDefault="00764A16" w:rsidP="00966FB5">
      <w:pPr>
        <w:pStyle w:val="Findings"/>
        <w:numPr>
          <w:ilvl w:val="0"/>
          <w:numId w:val="0"/>
        </w:numPr>
        <w:spacing w:line="320" w:lineRule="exact"/>
      </w:pPr>
    </w:p>
    <w:p w14:paraId="7DBF181E" w14:textId="77777777" w:rsidR="005033F6" w:rsidRDefault="005033F6" w:rsidP="00913A98">
      <w:pPr>
        <w:pStyle w:val="Findings"/>
        <w:tabs>
          <w:tab w:val="clear" w:pos="720"/>
          <w:tab w:val="num" w:pos="90"/>
        </w:tabs>
        <w:spacing w:line="320" w:lineRule="exact"/>
        <w:ind w:left="700" w:hanging="1420"/>
      </w:pPr>
      <w:r w:rsidRPr="00433FB3">
        <w:t>(</w:t>
      </w:r>
      <w:r w:rsidR="008568B1">
        <w:t>5</w:t>
      </w:r>
      <w:r w:rsidRPr="00433FB3">
        <w:t>)</w:t>
      </w:r>
      <w:r w:rsidRPr="00433FB3">
        <w:tab/>
        <w:t>After review</w:t>
      </w:r>
      <w:r w:rsidR="00556020">
        <w:t xml:space="preserve"> of the petition filed by</w:t>
      </w:r>
      <w:r w:rsidR="00A93F0F">
        <w:t xml:space="preserve"> </w:t>
      </w:r>
      <w:proofErr w:type="spellStart"/>
      <w:r w:rsidR="00015A92">
        <w:t>CenturyLink</w:t>
      </w:r>
      <w:proofErr w:type="spellEnd"/>
      <w:r w:rsidR="00AB40FC">
        <w:t xml:space="preserve"> </w:t>
      </w:r>
      <w:r w:rsidR="008568B1">
        <w:t>requesting approval of its modified PAP and PIDs</w:t>
      </w:r>
      <w:r w:rsidRPr="00433FB3">
        <w:t>, and giving due consideration</w:t>
      </w:r>
      <w:r w:rsidR="008568B1">
        <w:t xml:space="preserve"> to the comments received </w:t>
      </w:r>
      <w:r w:rsidR="000A53AF">
        <w:t xml:space="preserve">from </w:t>
      </w:r>
      <w:r w:rsidR="008568B1">
        <w:t>Staff and Public Counsel</w:t>
      </w:r>
      <w:r w:rsidRPr="00433FB3">
        <w:t xml:space="preserve">, the Commission finds </w:t>
      </w:r>
      <w:r w:rsidR="00556020">
        <w:t xml:space="preserve">that </w:t>
      </w:r>
      <w:r w:rsidR="000A53AF">
        <w:t xml:space="preserve">the proposed modifications to the PAP should not adversely affect </w:t>
      </w:r>
      <w:proofErr w:type="spellStart"/>
      <w:r w:rsidR="000A53AF">
        <w:t>CenturyLink’s</w:t>
      </w:r>
      <w:proofErr w:type="spellEnd"/>
      <w:r w:rsidR="000A53AF">
        <w:t xml:space="preserve"> wholesale services in Washington.  Therefore, it is </w:t>
      </w:r>
      <w:r w:rsidR="006E7057">
        <w:t>consistent with</w:t>
      </w:r>
      <w:r w:rsidR="000A53AF">
        <w:t xml:space="preserve"> public </w:t>
      </w:r>
      <w:r w:rsidR="00727FA6">
        <w:t>interest</w:t>
      </w:r>
      <w:r w:rsidR="006E7057">
        <w:t xml:space="preserve"> </w:t>
      </w:r>
      <w:r w:rsidR="00764A16">
        <w:t>and not</w:t>
      </w:r>
      <w:r w:rsidR="006E7057">
        <w:t xml:space="preserve"> discriminatory</w:t>
      </w:r>
      <w:r w:rsidR="000A53AF">
        <w:t xml:space="preserve"> and should be granted.</w:t>
      </w:r>
    </w:p>
    <w:p w14:paraId="7DBF181F" w14:textId="77777777" w:rsidR="00872A9C" w:rsidRDefault="00872A9C" w:rsidP="00872A9C">
      <w:pPr>
        <w:pStyle w:val="ListParagraph"/>
      </w:pPr>
    </w:p>
    <w:p w14:paraId="7DBF1820" w14:textId="77777777" w:rsidR="00872A9C" w:rsidRDefault="00872A9C" w:rsidP="00872A9C">
      <w:pPr>
        <w:pStyle w:val="Findings"/>
        <w:numPr>
          <w:ilvl w:val="0"/>
          <w:numId w:val="0"/>
        </w:numPr>
        <w:spacing w:line="320" w:lineRule="exact"/>
        <w:ind w:left="720" w:hanging="720"/>
      </w:pPr>
    </w:p>
    <w:p w14:paraId="7DBF1821" w14:textId="77777777" w:rsidR="00872A9C" w:rsidRDefault="00872A9C" w:rsidP="00872A9C">
      <w:pPr>
        <w:pStyle w:val="Findings"/>
        <w:numPr>
          <w:ilvl w:val="0"/>
          <w:numId w:val="0"/>
        </w:numPr>
        <w:spacing w:line="320" w:lineRule="exact"/>
        <w:ind w:left="720" w:hanging="720"/>
      </w:pPr>
    </w:p>
    <w:p w14:paraId="7DBF1822" w14:textId="77777777" w:rsidR="00872A9C" w:rsidRPr="00433FB3" w:rsidRDefault="00872A9C" w:rsidP="00872A9C">
      <w:pPr>
        <w:pStyle w:val="Findings"/>
        <w:numPr>
          <w:ilvl w:val="0"/>
          <w:numId w:val="0"/>
        </w:numPr>
        <w:spacing w:line="320" w:lineRule="exact"/>
        <w:ind w:left="720" w:hanging="720"/>
      </w:pPr>
    </w:p>
    <w:p w14:paraId="7DBF1823" w14:textId="77777777" w:rsidR="000A53AF" w:rsidRDefault="000A53AF" w:rsidP="00B80065">
      <w:pPr>
        <w:pStyle w:val="Heading2"/>
        <w:spacing w:line="320" w:lineRule="exact"/>
        <w:rPr>
          <w:b/>
          <w:bCs/>
          <w:u w:val="none"/>
        </w:rPr>
      </w:pPr>
    </w:p>
    <w:p w14:paraId="7DBF1824" w14:textId="77777777" w:rsidR="005033F6" w:rsidRPr="00433FB3" w:rsidRDefault="005033F6" w:rsidP="00B80065">
      <w:pPr>
        <w:pStyle w:val="Heading2"/>
        <w:spacing w:line="320" w:lineRule="exact"/>
        <w:rPr>
          <w:b/>
          <w:bCs/>
          <w:u w:val="none"/>
        </w:rPr>
      </w:pPr>
      <w:r w:rsidRPr="00433FB3">
        <w:rPr>
          <w:b/>
          <w:bCs/>
          <w:u w:val="none"/>
        </w:rPr>
        <w:t>O R D E R</w:t>
      </w:r>
    </w:p>
    <w:p w14:paraId="7DBF1825" w14:textId="77777777" w:rsidR="005033F6" w:rsidRPr="00433FB3" w:rsidRDefault="005033F6" w:rsidP="00B80065">
      <w:pPr>
        <w:spacing w:line="320" w:lineRule="exact"/>
      </w:pPr>
    </w:p>
    <w:p w14:paraId="7DBF1826" w14:textId="77777777" w:rsidR="005033F6" w:rsidRPr="00377E27" w:rsidRDefault="005033F6" w:rsidP="00B80065">
      <w:pPr>
        <w:pStyle w:val="Findings"/>
        <w:numPr>
          <w:ilvl w:val="0"/>
          <w:numId w:val="0"/>
        </w:numPr>
        <w:spacing w:line="320" w:lineRule="exact"/>
        <w:ind w:left="-720" w:firstLine="720"/>
        <w:rPr>
          <w:b/>
        </w:rPr>
      </w:pPr>
      <w:r w:rsidRPr="00377E27">
        <w:rPr>
          <w:b/>
        </w:rPr>
        <w:t>THE COMMISSION ORDERS:</w:t>
      </w:r>
    </w:p>
    <w:p w14:paraId="7DBF1827" w14:textId="77777777" w:rsidR="005033F6" w:rsidRPr="00433FB3" w:rsidRDefault="005033F6" w:rsidP="00B80065">
      <w:pPr>
        <w:spacing w:line="320" w:lineRule="exact"/>
      </w:pPr>
    </w:p>
    <w:p w14:paraId="7DBF1828" w14:textId="77777777" w:rsidR="005033F6" w:rsidRDefault="005033F6" w:rsidP="00966476">
      <w:pPr>
        <w:pStyle w:val="Findings"/>
        <w:tabs>
          <w:tab w:val="clear" w:pos="720"/>
          <w:tab w:val="num" w:pos="90"/>
        </w:tabs>
        <w:spacing w:line="320" w:lineRule="exact"/>
        <w:ind w:left="700" w:hanging="1420"/>
      </w:pPr>
      <w:r w:rsidRPr="00433FB3">
        <w:t>(1)</w:t>
      </w:r>
      <w:r w:rsidRPr="00433FB3">
        <w:tab/>
      </w:r>
      <w:r w:rsidR="004C5DAE">
        <w:t xml:space="preserve">The request by </w:t>
      </w:r>
      <w:r w:rsidR="00472FFE">
        <w:t xml:space="preserve">Qwest Corporation d/b/a </w:t>
      </w:r>
      <w:proofErr w:type="spellStart"/>
      <w:r w:rsidR="00B73D6A">
        <w:t>CenturyLink</w:t>
      </w:r>
      <w:proofErr w:type="spellEnd"/>
      <w:r w:rsidR="00AB40FC">
        <w:t xml:space="preserve"> </w:t>
      </w:r>
      <w:r w:rsidR="00472FFE">
        <w:t xml:space="preserve">QC </w:t>
      </w:r>
      <w:r w:rsidR="00AB40FC">
        <w:t>for approval of the amendments to the P</w:t>
      </w:r>
      <w:r w:rsidR="00472FFE">
        <w:t xml:space="preserve">erformance </w:t>
      </w:r>
      <w:r w:rsidR="00AB40FC">
        <w:t>A</w:t>
      </w:r>
      <w:r w:rsidR="00472FFE">
        <w:t xml:space="preserve">ssurance </w:t>
      </w:r>
      <w:r w:rsidR="00AB40FC">
        <w:t>P</w:t>
      </w:r>
      <w:r w:rsidR="00472FFE">
        <w:t>lan</w:t>
      </w:r>
      <w:r w:rsidR="00AB40FC">
        <w:t xml:space="preserve"> and </w:t>
      </w:r>
      <w:r w:rsidR="00DE1002">
        <w:t>P</w:t>
      </w:r>
      <w:r w:rsidR="00472FFE">
        <w:t xml:space="preserve">erformance </w:t>
      </w:r>
      <w:r w:rsidR="00AB40FC">
        <w:t>I</w:t>
      </w:r>
      <w:r w:rsidR="00472FFE">
        <w:t xml:space="preserve">ndicator </w:t>
      </w:r>
      <w:r w:rsidR="00AB40FC">
        <w:t>D</w:t>
      </w:r>
      <w:r w:rsidR="00472FFE">
        <w:t>efinition</w:t>
      </w:r>
      <w:r w:rsidR="00AB40FC">
        <w:t xml:space="preserve">s </w:t>
      </w:r>
      <w:r w:rsidRPr="00433FB3">
        <w:t>is granted.</w:t>
      </w:r>
    </w:p>
    <w:p w14:paraId="7DBF1829" w14:textId="77777777" w:rsidR="00472FFE" w:rsidRDefault="00472FFE" w:rsidP="005D100F">
      <w:pPr>
        <w:pStyle w:val="Findings"/>
        <w:numPr>
          <w:ilvl w:val="0"/>
          <w:numId w:val="0"/>
        </w:numPr>
        <w:spacing w:line="320" w:lineRule="exact"/>
        <w:ind w:left="700"/>
      </w:pPr>
    </w:p>
    <w:p w14:paraId="7DBF182A" w14:textId="77777777" w:rsidR="005033F6" w:rsidRDefault="00913A98" w:rsidP="00966FB5">
      <w:pPr>
        <w:pStyle w:val="Findings"/>
        <w:tabs>
          <w:tab w:val="clear" w:pos="720"/>
          <w:tab w:val="num" w:pos="90"/>
        </w:tabs>
        <w:spacing w:line="320" w:lineRule="exact"/>
        <w:ind w:left="700" w:hanging="1420"/>
      </w:pPr>
      <w:r>
        <w:t xml:space="preserve"> </w:t>
      </w:r>
      <w:r w:rsidR="00472FFE">
        <w:t>(2)</w:t>
      </w:r>
      <w:r w:rsidR="00472FFE">
        <w:tab/>
      </w:r>
      <w:r w:rsidR="000A53AF">
        <w:t xml:space="preserve">All existing interconnection agreements between Qwest Corporation, d/b/a </w:t>
      </w:r>
      <w:proofErr w:type="spellStart"/>
      <w:r w:rsidR="000A53AF">
        <w:t>CenturyLink</w:t>
      </w:r>
      <w:proofErr w:type="spellEnd"/>
      <w:r w:rsidR="000A53AF">
        <w:t xml:space="preserve"> QC, and </w:t>
      </w:r>
      <w:r w:rsidR="007E5C27">
        <w:t>c</w:t>
      </w:r>
      <w:r w:rsidR="000A53AF">
        <w:t>ompetitive local exchange carriers that have received notice of the proposed changed are modified to incorporate the new Performance Assurance Plan without the need for further filings or Commission’s action.</w:t>
      </w:r>
    </w:p>
    <w:p w14:paraId="7DBF182B" w14:textId="77777777" w:rsidR="000A53AF" w:rsidRPr="00433FB3" w:rsidRDefault="000A53AF" w:rsidP="000A53AF">
      <w:pPr>
        <w:pStyle w:val="Findings"/>
        <w:numPr>
          <w:ilvl w:val="0"/>
          <w:numId w:val="0"/>
        </w:numPr>
        <w:tabs>
          <w:tab w:val="num" w:pos="90"/>
        </w:tabs>
        <w:spacing w:line="320" w:lineRule="exact"/>
        <w:ind w:left="700" w:hanging="700"/>
      </w:pPr>
    </w:p>
    <w:p w14:paraId="7DBF182C" w14:textId="77777777" w:rsidR="005033F6" w:rsidRDefault="005033F6" w:rsidP="00966476">
      <w:pPr>
        <w:pStyle w:val="Findings"/>
        <w:tabs>
          <w:tab w:val="clear" w:pos="720"/>
          <w:tab w:val="num" w:pos="90"/>
        </w:tabs>
        <w:spacing w:line="320" w:lineRule="exact"/>
        <w:ind w:hanging="1440"/>
      </w:pPr>
      <w:r w:rsidRPr="00433FB3">
        <w:t>(</w:t>
      </w:r>
      <w:r w:rsidR="00472FFE">
        <w:t>3</w:t>
      </w:r>
      <w:r w:rsidRPr="00433FB3">
        <w:t>)</w:t>
      </w:r>
      <w:r w:rsidRPr="00433FB3">
        <w:tab/>
        <w:t xml:space="preserve">The Commission retains jurisdiction over </w:t>
      </w:r>
      <w:r w:rsidR="00472FFE">
        <w:t>this</w:t>
      </w:r>
      <w:r w:rsidR="00472FFE" w:rsidRPr="00433FB3">
        <w:t xml:space="preserve"> </w:t>
      </w:r>
      <w:r w:rsidRPr="00433FB3">
        <w:t>matter to effectuate the provisions of this Order.</w:t>
      </w:r>
    </w:p>
    <w:p w14:paraId="7DBF182D" w14:textId="77777777" w:rsidR="00220D89" w:rsidRDefault="00220D89" w:rsidP="00B80065">
      <w:pPr>
        <w:pStyle w:val="ListParagraph"/>
        <w:spacing w:line="320" w:lineRule="exact"/>
      </w:pPr>
    </w:p>
    <w:p w14:paraId="7DBF182E" w14:textId="77777777" w:rsidR="005033F6" w:rsidRPr="00433FB3" w:rsidRDefault="005033F6" w:rsidP="00472FFE">
      <w:pPr>
        <w:pStyle w:val="Findings"/>
        <w:numPr>
          <w:ilvl w:val="0"/>
          <w:numId w:val="0"/>
        </w:numPr>
        <w:spacing w:line="320" w:lineRule="exact"/>
      </w:pPr>
      <w:r w:rsidRPr="00433FB3">
        <w:t>The Commissioners, having determined this Order to be consistent with the</w:t>
      </w:r>
      <w:r w:rsidR="00EA2E9A">
        <w:t xml:space="preserve"> </w:t>
      </w:r>
      <w:r w:rsidR="000A53AF">
        <w:t>public interest</w:t>
      </w:r>
      <w:r w:rsidR="00E82BF5">
        <w:t>, directed the</w:t>
      </w:r>
      <w:r w:rsidR="00377E27">
        <w:t xml:space="preserve"> </w:t>
      </w:r>
      <w:r w:rsidRPr="00433FB3">
        <w:t>Secretary to enter this Order.</w:t>
      </w:r>
    </w:p>
    <w:p w14:paraId="7DBF182F" w14:textId="77777777" w:rsidR="00607324" w:rsidRPr="00433FB3" w:rsidRDefault="00607324" w:rsidP="00B80065">
      <w:pPr>
        <w:pStyle w:val="Findings"/>
        <w:numPr>
          <w:ilvl w:val="0"/>
          <w:numId w:val="0"/>
        </w:numPr>
        <w:spacing w:line="320" w:lineRule="exact"/>
        <w:ind w:left="-720" w:firstLine="720"/>
      </w:pPr>
    </w:p>
    <w:p w14:paraId="7DBF1830" w14:textId="77777777" w:rsidR="005033F6" w:rsidRPr="00433FB3" w:rsidRDefault="005033F6" w:rsidP="00B80065">
      <w:pPr>
        <w:pStyle w:val="Findings"/>
        <w:numPr>
          <w:ilvl w:val="0"/>
          <w:numId w:val="0"/>
        </w:numPr>
        <w:spacing w:line="320" w:lineRule="exact"/>
      </w:pPr>
      <w:proofErr w:type="gramStart"/>
      <w:r w:rsidRPr="00433FB3">
        <w:t>DATED at Olympia, Washington, and effective</w:t>
      </w:r>
      <w:r w:rsidR="00B958CE">
        <w:t xml:space="preserve"> </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6" w:name="effect_date"/>
      <w:r w:rsidR="007605F9">
        <w:rPr>
          <w:bCs/>
        </w:rPr>
        <w:t>May 9, 2013</w:t>
      </w:r>
      <w:bookmarkEnd w:id="6"/>
      <w:r w:rsidR="00A93F0F" w:rsidRPr="00A93F0F">
        <w:rPr>
          <w:bCs/>
        </w:rPr>
        <w:fldChar w:fldCharType="end"/>
      </w:r>
      <w:r w:rsidR="00472FFE">
        <w:rPr>
          <w:bCs/>
        </w:rPr>
        <w:t>December 27, 2013</w:t>
      </w:r>
      <w:r w:rsidR="00A93F0F">
        <w:t>.</w:t>
      </w:r>
      <w:proofErr w:type="gramEnd"/>
    </w:p>
    <w:p w14:paraId="7DBF1831" w14:textId="77777777" w:rsidR="00607324" w:rsidRPr="00433FB3" w:rsidRDefault="00607324" w:rsidP="00B80065">
      <w:pPr>
        <w:spacing w:line="320" w:lineRule="exact"/>
        <w:ind w:firstLine="720"/>
      </w:pPr>
    </w:p>
    <w:p w14:paraId="7DBF1832"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7DBF1833" w14:textId="77777777" w:rsidR="005033F6" w:rsidRPr="00433FB3" w:rsidRDefault="005033F6" w:rsidP="00B80065">
      <w:pPr>
        <w:spacing w:line="320" w:lineRule="exact"/>
      </w:pPr>
    </w:p>
    <w:p w14:paraId="7DBF1834" w14:textId="77777777" w:rsidR="005033F6" w:rsidRDefault="005033F6" w:rsidP="00B80065">
      <w:pPr>
        <w:spacing w:line="320" w:lineRule="exact"/>
      </w:pPr>
    </w:p>
    <w:p w14:paraId="7DBF1835" w14:textId="77777777" w:rsidR="00F45CA9" w:rsidRPr="00433FB3" w:rsidRDefault="00F45CA9" w:rsidP="00B80065">
      <w:pPr>
        <w:spacing w:line="320" w:lineRule="exact"/>
      </w:pPr>
    </w:p>
    <w:p w14:paraId="7DBF1836" w14:textId="77777777" w:rsidR="005033F6" w:rsidRDefault="00A63F15" w:rsidP="00B80065">
      <w:pPr>
        <w:spacing w:line="320" w:lineRule="exact"/>
        <w:ind w:left="1440" w:firstLine="720"/>
      </w:pPr>
      <w:r>
        <w:t>STEVEN V. KING</w:t>
      </w:r>
      <w:r w:rsidR="00B86CA1">
        <w:t>, Executive Director</w:t>
      </w:r>
      <w:r w:rsidR="00EB59A5">
        <w:t xml:space="preserve"> and Secretary</w:t>
      </w:r>
    </w:p>
    <w:sectPr w:rsidR="005033F6" w:rsidSect="00F45CA9">
      <w:headerReference w:type="default" r:id="rId12"/>
      <w:type w:val="continuous"/>
      <w:pgSz w:w="12240" w:h="15840"/>
      <w:pgMar w:top="117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F183A" w14:textId="77777777" w:rsidR="00943D50" w:rsidRDefault="00943D50">
      <w:r>
        <w:separator/>
      </w:r>
    </w:p>
  </w:endnote>
  <w:endnote w:type="continuationSeparator" w:id="0">
    <w:p w14:paraId="7DBF183B" w14:textId="77777777" w:rsidR="00943D50" w:rsidRDefault="00943D50">
      <w:r>
        <w:continuationSeparator/>
      </w:r>
    </w:p>
  </w:endnote>
  <w:endnote w:type="continuationNotice" w:id="1">
    <w:p w14:paraId="7DBF183C" w14:textId="77777777" w:rsidR="00943D50" w:rsidRDefault="00943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F1837" w14:textId="77777777" w:rsidR="00943D50" w:rsidRDefault="00943D50">
      <w:r>
        <w:separator/>
      </w:r>
    </w:p>
  </w:footnote>
  <w:footnote w:type="continuationSeparator" w:id="0">
    <w:p w14:paraId="7DBF1838" w14:textId="77777777" w:rsidR="00943D50" w:rsidRDefault="00943D50">
      <w:r>
        <w:continuationSeparator/>
      </w:r>
    </w:p>
  </w:footnote>
  <w:footnote w:type="continuationNotice" w:id="1">
    <w:p w14:paraId="7DBF1839" w14:textId="77777777" w:rsidR="00943D50" w:rsidRDefault="00943D50"/>
  </w:footnote>
  <w:footnote w:id="2">
    <w:p w14:paraId="7DBF1841" w14:textId="77777777" w:rsidR="00F81FC7" w:rsidRDefault="00F81FC7">
      <w:pPr>
        <w:pStyle w:val="FootnoteText"/>
      </w:pPr>
      <w:r>
        <w:rPr>
          <w:rStyle w:val="FootnoteReference"/>
        </w:rPr>
        <w:footnoteRef/>
      </w:r>
      <w:r>
        <w:t xml:space="preserve"> </w:t>
      </w:r>
      <w:r w:rsidR="00E04A99">
        <w:t>47 U.S.C. §</w:t>
      </w:r>
      <w:r>
        <w:t xml:space="preserve"> 252(e)(2)</w:t>
      </w:r>
      <w:r w:rsidR="00E04A99">
        <w:t>.</w:t>
      </w:r>
    </w:p>
    <w:p w14:paraId="7DBF1842" w14:textId="77777777" w:rsidR="00F81FC7" w:rsidRDefault="00F81FC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183D" w14:textId="77777777" w:rsidR="00910BE1" w:rsidRPr="00BD5A59" w:rsidRDefault="00910BE1" w:rsidP="009262C5">
    <w:pPr>
      <w:pStyle w:val="Header"/>
      <w:tabs>
        <w:tab w:val="left" w:pos="4251"/>
        <w:tab w:val="left" w:pos="7000"/>
      </w:tabs>
      <w:rPr>
        <w:rStyle w:val="PageNumber"/>
        <w:b/>
        <w:sz w:val="20"/>
      </w:rPr>
    </w:pPr>
    <w:r w:rsidRPr="00BD5A59">
      <w:rPr>
        <w:b/>
        <w:sz w:val="20"/>
      </w:rPr>
      <w:t>DOCKET</w:t>
    </w:r>
    <w:r>
      <w:rPr>
        <w:b/>
        <w:sz w:val="20"/>
      </w:rPr>
      <w:t xml:space="preserve"> UT-131949</w:t>
    </w:r>
    <w:r w:rsidRPr="00BD5A59">
      <w:rPr>
        <w:b/>
        <w:sz w:val="20"/>
      </w:rPr>
      <w:tab/>
    </w:r>
    <w:r w:rsidR="009262C5">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F6067B">
      <w:rPr>
        <w:rStyle w:val="PageNumber"/>
        <w:b/>
        <w:noProof/>
        <w:sz w:val="20"/>
      </w:rPr>
      <w:t>3</w:t>
    </w:r>
    <w:r w:rsidRPr="00BD5A59">
      <w:rPr>
        <w:rStyle w:val="PageNumber"/>
        <w:b/>
        <w:sz w:val="20"/>
      </w:rPr>
      <w:fldChar w:fldCharType="end"/>
    </w:r>
  </w:p>
  <w:p w14:paraId="7DBF183E" w14:textId="77777777" w:rsidR="00910BE1" w:rsidRPr="00BD5A59" w:rsidRDefault="00910BE1"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9262C5" w:rsidRPr="009262C5">
      <w:rPr>
        <w:b/>
        <w:sz w:val="20"/>
      </w:rPr>
      <w:t>01</w:t>
    </w:r>
    <w:r w:rsidRPr="00BD5A59">
      <w:rPr>
        <w:rStyle w:val="PageNumber"/>
        <w:b/>
        <w:sz w:val="20"/>
      </w:rPr>
      <w:fldChar w:fldCharType="end"/>
    </w:r>
  </w:p>
  <w:p w14:paraId="7DBF183F" w14:textId="77777777" w:rsidR="00910BE1" w:rsidRDefault="00910BE1">
    <w:pPr>
      <w:pStyle w:val="Header"/>
      <w:tabs>
        <w:tab w:val="left" w:pos="7100"/>
      </w:tabs>
      <w:rPr>
        <w:sz w:val="20"/>
      </w:rPr>
    </w:pPr>
  </w:p>
  <w:p w14:paraId="7DBF1840" w14:textId="77777777" w:rsidR="00910BE1" w:rsidRDefault="00910BE1">
    <w:pPr>
      <w:pStyle w:val="Header"/>
      <w:tabs>
        <w:tab w:val="left" w:pos="71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854C26"/>
    <w:multiLevelType w:val="hybridMultilevel"/>
    <w:tmpl w:val="1DFA7178"/>
    <w:lvl w:ilvl="0" w:tplc="04090013">
      <w:start w:val="1"/>
      <w:numFmt w:val="upperRoman"/>
      <w:lvlText w:val="%1."/>
      <w:lvlJc w:val="righ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2B138DD"/>
    <w:multiLevelType w:val="hybridMultilevel"/>
    <w:tmpl w:val="58D68B04"/>
    <w:lvl w:ilvl="0" w:tplc="2D325F0E">
      <w:start w:val="1"/>
      <w:numFmt w:val="decimal"/>
      <w:pStyle w:val="Findings"/>
      <w:lvlText w:val="%1"/>
      <w:lvlJc w:val="right"/>
      <w:pPr>
        <w:tabs>
          <w:tab w:val="num" w:pos="720"/>
        </w:tabs>
        <w:ind w:left="720" w:hanging="720"/>
      </w:pPr>
      <w:rPr>
        <w:rFonts w:hint="default"/>
        <w:b w:val="0"/>
        <w:i/>
        <w:sz w:val="20"/>
      </w:rPr>
    </w:lvl>
    <w:lvl w:ilvl="1" w:tplc="04090013">
      <w:start w:val="1"/>
      <w:numFmt w:val="upp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3"/>
  </w:num>
  <w:num w:numId="35">
    <w:abstractNumId w:val="5"/>
  </w:num>
  <w:num w:numId="36">
    <w:abstractNumId w:val="5"/>
  </w:num>
  <w:num w:numId="37">
    <w:abstractNumId w:val="5"/>
  </w:num>
  <w:num w:numId="38">
    <w:abstractNumId w:val="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F9"/>
    <w:rsid w:val="00000048"/>
    <w:rsid w:val="00000E7A"/>
    <w:rsid w:val="00010F7A"/>
    <w:rsid w:val="00012CA3"/>
    <w:rsid w:val="00015A92"/>
    <w:rsid w:val="00020CCD"/>
    <w:rsid w:val="0003182C"/>
    <w:rsid w:val="00042FA0"/>
    <w:rsid w:val="00064E67"/>
    <w:rsid w:val="00096D48"/>
    <w:rsid w:val="000A0D61"/>
    <w:rsid w:val="000A53AF"/>
    <w:rsid w:val="000B0196"/>
    <w:rsid w:val="000B1A24"/>
    <w:rsid w:val="000C1588"/>
    <w:rsid w:val="000C1C8B"/>
    <w:rsid w:val="000C43F9"/>
    <w:rsid w:val="000D1D1C"/>
    <w:rsid w:val="000D50DF"/>
    <w:rsid w:val="000E7E2B"/>
    <w:rsid w:val="000F6DCF"/>
    <w:rsid w:val="00103B02"/>
    <w:rsid w:val="00132AFA"/>
    <w:rsid w:val="00160E37"/>
    <w:rsid w:val="00171431"/>
    <w:rsid w:val="00181BD6"/>
    <w:rsid w:val="00185EAD"/>
    <w:rsid w:val="001A493D"/>
    <w:rsid w:val="001A53FA"/>
    <w:rsid w:val="001B6DB5"/>
    <w:rsid w:val="001E5D74"/>
    <w:rsid w:val="001F1F60"/>
    <w:rsid w:val="001F76EA"/>
    <w:rsid w:val="00212CA9"/>
    <w:rsid w:val="00220D89"/>
    <w:rsid w:val="00257941"/>
    <w:rsid w:val="00273226"/>
    <w:rsid w:val="00283FFF"/>
    <w:rsid w:val="0028545E"/>
    <w:rsid w:val="002E1CCC"/>
    <w:rsid w:val="002E7DC9"/>
    <w:rsid w:val="00370FCD"/>
    <w:rsid w:val="00377E27"/>
    <w:rsid w:val="00396F14"/>
    <w:rsid w:val="003B759F"/>
    <w:rsid w:val="003C3B92"/>
    <w:rsid w:val="003D1CC4"/>
    <w:rsid w:val="003D27F9"/>
    <w:rsid w:val="00405254"/>
    <w:rsid w:val="00422748"/>
    <w:rsid w:val="00425B89"/>
    <w:rsid w:val="00433FB3"/>
    <w:rsid w:val="004562CE"/>
    <w:rsid w:val="00472FFE"/>
    <w:rsid w:val="004769CB"/>
    <w:rsid w:val="00485E50"/>
    <w:rsid w:val="004C5DAE"/>
    <w:rsid w:val="004C71B1"/>
    <w:rsid w:val="005033F6"/>
    <w:rsid w:val="0052781E"/>
    <w:rsid w:val="00534725"/>
    <w:rsid w:val="00550509"/>
    <w:rsid w:val="005512A5"/>
    <w:rsid w:val="00556020"/>
    <w:rsid w:val="00570DE0"/>
    <w:rsid w:val="00593717"/>
    <w:rsid w:val="00595E68"/>
    <w:rsid w:val="005A6E9F"/>
    <w:rsid w:val="005B6BD8"/>
    <w:rsid w:val="005D100F"/>
    <w:rsid w:val="005F7756"/>
    <w:rsid w:val="00603D11"/>
    <w:rsid w:val="00607324"/>
    <w:rsid w:val="00613DB0"/>
    <w:rsid w:val="006445F2"/>
    <w:rsid w:val="00667A9D"/>
    <w:rsid w:val="00685CA4"/>
    <w:rsid w:val="006A21A6"/>
    <w:rsid w:val="006A4083"/>
    <w:rsid w:val="006B5470"/>
    <w:rsid w:val="006D465D"/>
    <w:rsid w:val="006E7057"/>
    <w:rsid w:val="006E7B08"/>
    <w:rsid w:val="00700D16"/>
    <w:rsid w:val="007106F2"/>
    <w:rsid w:val="0072393B"/>
    <w:rsid w:val="00723C5E"/>
    <w:rsid w:val="00723E5B"/>
    <w:rsid w:val="00727FA6"/>
    <w:rsid w:val="007501EA"/>
    <w:rsid w:val="00750351"/>
    <w:rsid w:val="007605F9"/>
    <w:rsid w:val="00763AAA"/>
    <w:rsid w:val="00764A16"/>
    <w:rsid w:val="007710A5"/>
    <w:rsid w:val="00775A06"/>
    <w:rsid w:val="0079177F"/>
    <w:rsid w:val="007C30F7"/>
    <w:rsid w:val="007C7D88"/>
    <w:rsid w:val="007E18C6"/>
    <w:rsid w:val="007E5C27"/>
    <w:rsid w:val="007F067C"/>
    <w:rsid w:val="008172E2"/>
    <w:rsid w:val="0082026A"/>
    <w:rsid w:val="008460A5"/>
    <w:rsid w:val="008460D3"/>
    <w:rsid w:val="008568B1"/>
    <w:rsid w:val="00863B6F"/>
    <w:rsid w:val="00872A9C"/>
    <w:rsid w:val="00873171"/>
    <w:rsid w:val="00874101"/>
    <w:rsid w:val="008916E3"/>
    <w:rsid w:val="00896186"/>
    <w:rsid w:val="008D61CD"/>
    <w:rsid w:val="008E1A5E"/>
    <w:rsid w:val="008E2E7A"/>
    <w:rsid w:val="008E4FE5"/>
    <w:rsid w:val="008F0543"/>
    <w:rsid w:val="008F6549"/>
    <w:rsid w:val="00906716"/>
    <w:rsid w:val="00910BE1"/>
    <w:rsid w:val="00913A98"/>
    <w:rsid w:val="00913E33"/>
    <w:rsid w:val="009200AC"/>
    <w:rsid w:val="009262C5"/>
    <w:rsid w:val="00941BB5"/>
    <w:rsid w:val="00943D50"/>
    <w:rsid w:val="0094517A"/>
    <w:rsid w:val="00953E37"/>
    <w:rsid w:val="00964265"/>
    <w:rsid w:val="00966476"/>
    <w:rsid w:val="00966FB5"/>
    <w:rsid w:val="009670BB"/>
    <w:rsid w:val="009825E1"/>
    <w:rsid w:val="00983E5B"/>
    <w:rsid w:val="009A6009"/>
    <w:rsid w:val="009B0298"/>
    <w:rsid w:val="009B4F41"/>
    <w:rsid w:val="009B7A39"/>
    <w:rsid w:val="009C0DC3"/>
    <w:rsid w:val="009D3D06"/>
    <w:rsid w:val="009E674A"/>
    <w:rsid w:val="00A02B73"/>
    <w:rsid w:val="00A07F7F"/>
    <w:rsid w:val="00A23D31"/>
    <w:rsid w:val="00A420C1"/>
    <w:rsid w:val="00A429BE"/>
    <w:rsid w:val="00A44875"/>
    <w:rsid w:val="00A5294B"/>
    <w:rsid w:val="00A61736"/>
    <w:rsid w:val="00A62431"/>
    <w:rsid w:val="00A63F15"/>
    <w:rsid w:val="00A744D6"/>
    <w:rsid w:val="00A75D61"/>
    <w:rsid w:val="00A9019C"/>
    <w:rsid w:val="00A93F0F"/>
    <w:rsid w:val="00AB40FC"/>
    <w:rsid w:val="00AB7B77"/>
    <w:rsid w:val="00B042D2"/>
    <w:rsid w:val="00B21261"/>
    <w:rsid w:val="00B263C5"/>
    <w:rsid w:val="00B73D6A"/>
    <w:rsid w:val="00B80065"/>
    <w:rsid w:val="00B86CA1"/>
    <w:rsid w:val="00B958CE"/>
    <w:rsid w:val="00B96634"/>
    <w:rsid w:val="00BA3F9A"/>
    <w:rsid w:val="00BA72BD"/>
    <w:rsid w:val="00BB1BA6"/>
    <w:rsid w:val="00BD5A59"/>
    <w:rsid w:val="00BF2282"/>
    <w:rsid w:val="00C14EF5"/>
    <w:rsid w:val="00C24DEE"/>
    <w:rsid w:val="00C371FF"/>
    <w:rsid w:val="00C4358E"/>
    <w:rsid w:val="00C47C91"/>
    <w:rsid w:val="00C56B7F"/>
    <w:rsid w:val="00C92C22"/>
    <w:rsid w:val="00C952F3"/>
    <w:rsid w:val="00CA62AF"/>
    <w:rsid w:val="00CC18F0"/>
    <w:rsid w:val="00CC4033"/>
    <w:rsid w:val="00CE1294"/>
    <w:rsid w:val="00D02A24"/>
    <w:rsid w:val="00D16428"/>
    <w:rsid w:val="00D25270"/>
    <w:rsid w:val="00D43017"/>
    <w:rsid w:val="00D55E1C"/>
    <w:rsid w:val="00D772E4"/>
    <w:rsid w:val="00DB02A9"/>
    <w:rsid w:val="00DE1002"/>
    <w:rsid w:val="00DE19B4"/>
    <w:rsid w:val="00E03197"/>
    <w:rsid w:val="00E04A99"/>
    <w:rsid w:val="00E20968"/>
    <w:rsid w:val="00E372C2"/>
    <w:rsid w:val="00E505B1"/>
    <w:rsid w:val="00E54B78"/>
    <w:rsid w:val="00E62019"/>
    <w:rsid w:val="00E633C2"/>
    <w:rsid w:val="00E82BF5"/>
    <w:rsid w:val="00E92EBE"/>
    <w:rsid w:val="00E97C1D"/>
    <w:rsid w:val="00EA2E9A"/>
    <w:rsid w:val="00EA3E68"/>
    <w:rsid w:val="00EB24E9"/>
    <w:rsid w:val="00EB59A5"/>
    <w:rsid w:val="00EC7408"/>
    <w:rsid w:val="00ED105F"/>
    <w:rsid w:val="00ED1F0C"/>
    <w:rsid w:val="00EE4628"/>
    <w:rsid w:val="00EF292D"/>
    <w:rsid w:val="00EF4B60"/>
    <w:rsid w:val="00EF5A41"/>
    <w:rsid w:val="00F04EE3"/>
    <w:rsid w:val="00F1198B"/>
    <w:rsid w:val="00F37EA3"/>
    <w:rsid w:val="00F45CA9"/>
    <w:rsid w:val="00F6067B"/>
    <w:rsid w:val="00F7764F"/>
    <w:rsid w:val="00F81FC7"/>
    <w:rsid w:val="00F82302"/>
    <w:rsid w:val="00FA26F0"/>
    <w:rsid w:val="00FB42BE"/>
    <w:rsid w:val="00FC0E84"/>
    <w:rsid w:val="00FD2E68"/>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DBF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styleId="CommentReference">
    <w:name w:val="annotation reference"/>
    <w:basedOn w:val="DefaultParagraphFont"/>
    <w:rsid w:val="00DE1002"/>
    <w:rPr>
      <w:sz w:val="16"/>
      <w:szCs w:val="16"/>
    </w:rPr>
  </w:style>
  <w:style w:type="paragraph" w:styleId="CommentText">
    <w:name w:val="annotation text"/>
    <w:basedOn w:val="Normal"/>
    <w:link w:val="CommentTextChar"/>
    <w:rsid w:val="00DE1002"/>
    <w:rPr>
      <w:sz w:val="20"/>
      <w:szCs w:val="20"/>
    </w:rPr>
  </w:style>
  <w:style w:type="character" w:customStyle="1" w:styleId="CommentTextChar">
    <w:name w:val="Comment Text Char"/>
    <w:basedOn w:val="DefaultParagraphFont"/>
    <w:link w:val="CommentText"/>
    <w:rsid w:val="00DE1002"/>
  </w:style>
  <w:style w:type="paragraph" w:styleId="CommentSubject">
    <w:name w:val="annotation subject"/>
    <w:basedOn w:val="CommentText"/>
    <w:next w:val="CommentText"/>
    <w:link w:val="CommentSubjectChar"/>
    <w:rsid w:val="00DE1002"/>
    <w:rPr>
      <w:b/>
      <w:bCs/>
    </w:rPr>
  </w:style>
  <w:style w:type="character" w:customStyle="1" w:styleId="CommentSubjectChar">
    <w:name w:val="Comment Subject Char"/>
    <w:basedOn w:val="CommentTextChar"/>
    <w:link w:val="CommentSubject"/>
    <w:rsid w:val="00DE1002"/>
    <w:rPr>
      <w:b/>
      <w:bCs/>
    </w:rPr>
  </w:style>
  <w:style w:type="table" w:styleId="TableGrid">
    <w:name w:val="Table Grid"/>
    <w:basedOn w:val="TableNormal"/>
    <w:uiPriority w:val="59"/>
    <w:rsid w:val="00723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81FC7"/>
    <w:rPr>
      <w:sz w:val="20"/>
      <w:szCs w:val="20"/>
    </w:rPr>
  </w:style>
  <w:style w:type="character" w:customStyle="1" w:styleId="FootnoteTextChar">
    <w:name w:val="Footnote Text Char"/>
    <w:basedOn w:val="DefaultParagraphFont"/>
    <w:link w:val="FootnoteText"/>
    <w:rsid w:val="00F81FC7"/>
  </w:style>
  <w:style w:type="character" w:styleId="FootnoteReference">
    <w:name w:val="footnote reference"/>
    <w:basedOn w:val="DefaultParagraphFont"/>
    <w:rsid w:val="00F81F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character" w:styleId="CommentReference">
    <w:name w:val="annotation reference"/>
    <w:basedOn w:val="DefaultParagraphFont"/>
    <w:rsid w:val="00DE1002"/>
    <w:rPr>
      <w:sz w:val="16"/>
      <w:szCs w:val="16"/>
    </w:rPr>
  </w:style>
  <w:style w:type="paragraph" w:styleId="CommentText">
    <w:name w:val="annotation text"/>
    <w:basedOn w:val="Normal"/>
    <w:link w:val="CommentTextChar"/>
    <w:rsid w:val="00DE1002"/>
    <w:rPr>
      <w:sz w:val="20"/>
      <w:szCs w:val="20"/>
    </w:rPr>
  </w:style>
  <w:style w:type="character" w:customStyle="1" w:styleId="CommentTextChar">
    <w:name w:val="Comment Text Char"/>
    <w:basedOn w:val="DefaultParagraphFont"/>
    <w:link w:val="CommentText"/>
    <w:rsid w:val="00DE1002"/>
  </w:style>
  <w:style w:type="paragraph" w:styleId="CommentSubject">
    <w:name w:val="annotation subject"/>
    <w:basedOn w:val="CommentText"/>
    <w:next w:val="CommentText"/>
    <w:link w:val="CommentSubjectChar"/>
    <w:rsid w:val="00DE1002"/>
    <w:rPr>
      <w:b/>
      <w:bCs/>
    </w:rPr>
  </w:style>
  <w:style w:type="character" w:customStyle="1" w:styleId="CommentSubjectChar">
    <w:name w:val="Comment Subject Char"/>
    <w:basedOn w:val="CommentTextChar"/>
    <w:link w:val="CommentSubject"/>
    <w:rsid w:val="00DE1002"/>
    <w:rPr>
      <w:b/>
      <w:bCs/>
    </w:rPr>
  </w:style>
  <w:style w:type="table" w:styleId="TableGrid">
    <w:name w:val="Table Grid"/>
    <w:basedOn w:val="TableNormal"/>
    <w:uiPriority w:val="59"/>
    <w:rsid w:val="00723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81FC7"/>
    <w:rPr>
      <w:sz w:val="20"/>
      <w:szCs w:val="20"/>
    </w:rPr>
  </w:style>
  <w:style w:type="character" w:customStyle="1" w:styleId="FootnoteTextChar">
    <w:name w:val="Footnote Text Char"/>
    <w:basedOn w:val="DefaultParagraphFont"/>
    <w:link w:val="FootnoteText"/>
    <w:rsid w:val="00F81FC7"/>
  </w:style>
  <w:style w:type="character" w:styleId="FootnoteReference">
    <w:name w:val="footnote reference"/>
    <w:basedOn w:val="DefaultParagraphFont"/>
    <w:rsid w:val="00F81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Exemption%20From%20Rule%20-%20Annual%20Report%20(non-competitive%20telecommunications%20compan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2013-10-15T07:00:00+00:00</OpenedDate>
    <Date1 xmlns="dc463f71-b30c-4ab2-9473-d307f9d35888">2013-12-30T08:00:00+00:00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131949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7733F8E7B5C4F983581A60140C614" ma:contentTypeVersion="135" ma:contentTypeDescription="" ma:contentTypeScope="" ma:versionID="2654ab96a871ee833f51139a72f57b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780CA-6125-44C7-974F-955256D81D7E}"/>
</file>

<file path=customXml/itemProps2.xml><?xml version="1.0" encoding="utf-8"?>
<ds:datastoreItem xmlns:ds="http://schemas.openxmlformats.org/officeDocument/2006/customXml" ds:itemID="{940FEC44-C041-48C3-A1AE-4DFC041010D4}"/>
</file>

<file path=customXml/itemProps3.xml><?xml version="1.0" encoding="utf-8"?>
<ds:datastoreItem xmlns:ds="http://schemas.openxmlformats.org/officeDocument/2006/customXml" ds:itemID="{FE432CA3-CE0F-46FB-8A4C-36AE032945EE}"/>
</file>

<file path=customXml/itemProps4.xml><?xml version="1.0" encoding="utf-8"?>
<ds:datastoreItem xmlns:ds="http://schemas.openxmlformats.org/officeDocument/2006/customXml" ds:itemID="{4D606A3F-355C-4C5D-9618-B428CCC30810}"/>
</file>

<file path=customXml/itemProps5.xml><?xml version="1.0" encoding="utf-8"?>
<ds:datastoreItem xmlns:ds="http://schemas.openxmlformats.org/officeDocument/2006/customXml" ds:itemID="{0AA0E606-EFEC-4C36-9AD1-8FC25FC2D73E}"/>
</file>

<file path=docProps/app.xml><?xml version="1.0" encoding="utf-8"?>
<Properties xmlns="http://schemas.openxmlformats.org/officeDocument/2006/extended-properties" xmlns:vt="http://schemas.openxmlformats.org/officeDocument/2006/docPropsVTypes">
  <Template>Exemption From Rule - Annual Report (non-competitive telecommunications companies)</Template>
  <TotalTime>1</TotalTime>
  <Pages>5</Pages>
  <Words>1208</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Order in UT-131949</vt:lpstr>
    </vt:vector>
  </TitlesOfParts>
  <Company>WUTC</Company>
  <LinksUpToDate>false</LinksUpToDate>
  <CharactersWithSpaces>8393</CharactersWithSpaces>
  <SharedDoc>false</SharedDoc>
  <HLinks>
    <vt:vector size="78"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2621485</vt:i4>
      </vt:variant>
      <vt:variant>
        <vt:i4>146</vt:i4>
      </vt:variant>
      <vt:variant>
        <vt:i4>0</vt:i4>
      </vt:variant>
      <vt:variant>
        <vt:i4>5</vt:i4>
      </vt:variant>
      <vt:variant>
        <vt:lpwstr>http://apps.leg.wa.gov/RCW/default.aspx?cite=80.04.405</vt:lpwstr>
      </vt:variant>
      <vt:variant>
        <vt:lpwstr/>
      </vt:variant>
      <vt:variant>
        <vt:i4>1638403</vt:i4>
      </vt:variant>
      <vt:variant>
        <vt:i4>131</vt:i4>
      </vt:variant>
      <vt:variant>
        <vt:i4>0</vt:i4>
      </vt:variant>
      <vt:variant>
        <vt:i4>5</vt:i4>
      </vt:variant>
      <vt:variant>
        <vt:lpwstr>http://apps.leg.wa.gov/WAC/default.aspx?cite=480-120-385</vt:lpwstr>
      </vt:variant>
      <vt:variant>
        <vt:lpwstr/>
      </vt:variant>
      <vt:variant>
        <vt:i4>3276834</vt:i4>
      </vt:variant>
      <vt:variant>
        <vt:i4>108</vt:i4>
      </vt:variant>
      <vt:variant>
        <vt:i4>0</vt:i4>
      </vt:variant>
      <vt:variant>
        <vt:i4>5</vt:i4>
      </vt:variant>
      <vt:variant>
        <vt:lpwstr>http://apps.leg.wa.gov/WAC/default.aspx?cite=480-07-110</vt:lpwstr>
      </vt:variant>
      <vt:variant>
        <vt:lpwstr/>
      </vt:variant>
      <vt:variant>
        <vt:i4>2031638</vt:i4>
      </vt:variant>
      <vt:variant>
        <vt:i4>105</vt:i4>
      </vt:variant>
      <vt:variant>
        <vt:i4>0</vt:i4>
      </vt:variant>
      <vt:variant>
        <vt:i4>5</vt:i4>
      </vt:variant>
      <vt:variant>
        <vt:lpwstr>http://apps.leg.wa.gov/WAC/default.aspx?cite=480-120</vt:lpwstr>
      </vt:variant>
      <vt:variant>
        <vt:lpwstr/>
      </vt:variant>
      <vt:variant>
        <vt:i4>1703946</vt:i4>
      </vt:variant>
      <vt:variant>
        <vt:i4>102</vt:i4>
      </vt:variant>
      <vt:variant>
        <vt:i4>0</vt:i4>
      </vt:variant>
      <vt:variant>
        <vt:i4>5</vt:i4>
      </vt:variant>
      <vt:variant>
        <vt:lpwstr>http://apps.leg.wa.gov/WAC/default.aspx?cite=480-120-015</vt:lpwstr>
      </vt:variant>
      <vt:variant>
        <vt:lpwstr/>
      </vt:variant>
      <vt:variant>
        <vt:i4>1638403</vt:i4>
      </vt:variant>
      <vt:variant>
        <vt:i4>99</vt:i4>
      </vt:variant>
      <vt:variant>
        <vt:i4>0</vt:i4>
      </vt:variant>
      <vt:variant>
        <vt:i4>5</vt:i4>
      </vt:variant>
      <vt:variant>
        <vt:lpwstr>http://apps.leg.wa.gov/WAC/default.aspx?cite=480-120-385</vt:lpwstr>
      </vt:variant>
      <vt:variant>
        <vt:lpwstr/>
      </vt:variant>
      <vt:variant>
        <vt:i4>2818096</vt:i4>
      </vt:variant>
      <vt:variant>
        <vt:i4>90</vt:i4>
      </vt:variant>
      <vt:variant>
        <vt:i4>0</vt:i4>
      </vt:variant>
      <vt:variant>
        <vt:i4>5</vt:i4>
      </vt:variant>
      <vt:variant>
        <vt:lpwstr>http://apps.leg.wa.gov/RCW/default.aspx?cite=80.36</vt:lpwstr>
      </vt:variant>
      <vt:variant>
        <vt:lpwstr/>
      </vt:variant>
      <vt:variant>
        <vt:i4>2818098</vt:i4>
      </vt:variant>
      <vt:variant>
        <vt:i4>87</vt:i4>
      </vt:variant>
      <vt:variant>
        <vt:i4>0</vt:i4>
      </vt:variant>
      <vt:variant>
        <vt:i4>5</vt:i4>
      </vt:variant>
      <vt:variant>
        <vt:lpwstr>http://apps.leg.wa.gov/RCW/default.aspx?cite=80.16</vt:lpwstr>
      </vt:variant>
      <vt:variant>
        <vt:lpwstr/>
      </vt:variant>
      <vt:variant>
        <vt:i4>3080242</vt:i4>
      </vt:variant>
      <vt:variant>
        <vt:i4>84</vt:i4>
      </vt:variant>
      <vt:variant>
        <vt:i4>0</vt:i4>
      </vt:variant>
      <vt:variant>
        <vt:i4>5</vt:i4>
      </vt:variant>
      <vt:variant>
        <vt:lpwstr>http://apps.leg.wa.gov/RCW/default.aspx?cite=80.12</vt:lpwstr>
      </vt:variant>
      <vt:variant>
        <vt:lpwstr/>
      </vt:variant>
      <vt:variant>
        <vt:i4>2424883</vt:i4>
      </vt:variant>
      <vt:variant>
        <vt:i4>81</vt:i4>
      </vt:variant>
      <vt:variant>
        <vt:i4>0</vt:i4>
      </vt:variant>
      <vt:variant>
        <vt:i4>5</vt:i4>
      </vt:variant>
      <vt:variant>
        <vt:lpwstr>http://apps.leg.wa.gov/RCW/default.aspx?cite=80.08</vt:lpwstr>
      </vt:variant>
      <vt:variant>
        <vt:lpwstr/>
      </vt:variant>
      <vt:variant>
        <vt:i4>2687027</vt:i4>
      </vt:variant>
      <vt:variant>
        <vt:i4>78</vt:i4>
      </vt:variant>
      <vt:variant>
        <vt:i4>0</vt:i4>
      </vt:variant>
      <vt:variant>
        <vt:i4>5</vt:i4>
      </vt:variant>
      <vt:variant>
        <vt:lpwstr>http://apps.leg.wa.gov/RCW/default.aspx?cite=80.04</vt:lpwstr>
      </vt:variant>
      <vt:variant>
        <vt:lpwstr/>
      </vt:variant>
      <vt:variant>
        <vt:i4>2883625</vt:i4>
      </vt:variant>
      <vt:variant>
        <vt:i4>75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in UT-131949</dc:title>
  <dc:creator>Hahn, Roger (UTC)</dc:creator>
  <cp:lastModifiedBy>Kern, Cathy (UTC)</cp:lastModifiedBy>
  <cp:revision>2</cp:revision>
  <cp:lastPrinted>2013-12-27T17:51:00Z</cp:lastPrinted>
  <dcterms:created xsi:type="dcterms:W3CDTF">2013-12-30T17:08:00Z</dcterms:created>
  <dcterms:modified xsi:type="dcterms:W3CDTF">2013-12-30T17:08:00Z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0x0101006E56B4D1795A2E4DB2F0B01679ED314A00B627733F8E7B5C4F983581A60140C614</vt:lpwstr>
  </property>
  <property fmtid="{D5CDD505-2E9C-101B-9397-08002B2CF9AE}" pid="3" name="_docset_NoMedatataSyncRequired">
    <vt:lpwstr>False</vt:lpwstr>
  </property>
</Properties>
</file>