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3D93" w:rsidRPr="00E834A1" w:rsidRDefault="00673D93" w:rsidP="00E834A1">
      <w:pPr>
        <w:pStyle w:val="BodyText2"/>
        <w:ind w:left="720" w:hanging="720"/>
        <w:rPr>
          <w:b/>
          <w:bCs/>
        </w:rPr>
      </w:pPr>
      <w:r w:rsidRPr="00E834A1">
        <w:rPr>
          <w:b/>
          <w:bCs/>
        </w:rPr>
        <w:t>Q.</w:t>
      </w:r>
      <w:r w:rsidRPr="00E834A1">
        <w:rPr>
          <w:b/>
          <w:bCs/>
        </w:rPr>
        <w:tab/>
        <w:t xml:space="preserve">Please state your </w:t>
      </w:r>
      <w:r w:rsidRPr="00E834A1">
        <w:rPr>
          <w:rStyle w:val="LineNumber"/>
          <w:b/>
          <w:bCs/>
        </w:rPr>
        <w:t>name</w:t>
      </w:r>
      <w:r w:rsidRPr="00E834A1">
        <w:rPr>
          <w:b/>
          <w:bCs/>
        </w:rPr>
        <w:t>, business address and present position with PacifiCorp (</w:t>
      </w:r>
      <w:r w:rsidR="00DC6939" w:rsidRPr="00E834A1">
        <w:rPr>
          <w:b/>
          <w:bCs/>
        </w:rPr>
        <w:t xml:space="preserve">the </w:t>
      </w:r>
      <w:r w:rsidRPr="00E834A1">
        <w:rPr>
          <w:b/>
          <w:bCs/>
        </w:rPr>
        <w:t>Company).</w:t>
      </w:r>
    </w:p>
    <w:p w:rsidR="00673D93" w:rsidRPr="00E834A1" w:rsidRDefault="00673D93" w:rsidP="00E834A1">
      <w:pPr>
        <w:pStyle w:val="BodyText2"/>
        <w:ind w:left="720" w:hanging="720"/>
      </w:pPr>
      <w:r w:rsidRPr="00E834A1">
        <w:t>A.</w:t>
      </w:r>
      <w:r w:rsidRPr="00E834A1">
        <w:tab/>
        <w:t>My name is Gregory N. Duvall, my business</w:t>
      </w:r>
      <w:r w:rsidR="00E834A1">
        <w:t xml:space="preserve"> address is 825 NE Multnomah Street</w:t>
      </w:r>
      <w:r w:rsidRPr="00E834A1">
        <w:t>, Suite 600, Portland, Oregon 97232</w:t>
      </w:r>
      <w:r w:rsidR="00E87BF4" w:rsidRPr="00E834A1">
        <w:t>.  M</w:t>
      </w:r>
      <w:r w:rsidRPr="00E834A1">
        <w:t xml:space="preserve">y present </w:t>
      </w:r>
      <w:r w:rsidR="00E87BF4" w:rsidRPr="00E834A1">
        <w:t xml:space="preserve">position </w:t>
      </w:r>
      <w:r w:rsidRPr="00E834A1">
        <w:t xml:space="preserve">is Director, </w:t>
      </w:r>
      <w:r w:rsidR="00E74647" w:rsidRPr="00E834A1">
        <w:t>Long-</w:t>
      </w:r>
      <w:r w:rsidRPr="00E834A1">
        <w:t>Range Planning and Net Power Costs.</w:t>
      </w:r>
    </w:p>
    <w:p w:rsidR="00673D93" w:rsidRPr="00E834A1" w:rsidRDefault="00673D93" w:rsidP="00E834A1">
      <w:pPr>
        <w:tabs>
          <w:tab w:val="left" w:pos="720"/>
        </w:tabs>
        <w:spacing w:line="480" w:lineRule="auto"/>
        <w:rPr>
          <w:b/>
          <w:bCs/>
          <w:sz w:val="24"/>
          <w:szCs w:val="24"/>
        </w:rPr>
      </w:pPr>
      <w:r w:rsidRPr="00E834A1">
        <w:rPr>
          <w:b/>
          <w:bCs/>
          <w:sz w:val="24"/>
          <w:szCs w:val="24"/>
        </w:rPr>
        <w:t>Q.</w:t>
      </w:r>
      <w:r w:rsidRPr="00E834A1">
        <w:rPr>
          <w:b/>
          <w:bCs/>
          <w:sz w:val="24"/>
          <w:szCs w:val="24"/>
        </w:rPr>
        <w:tab/>
      </w:r>
      <w:r w:rsidR="005940B1" w:rsidRPr="00E834A1">
        <w:rPr>
          <w:b/>
          <w:bCs/>
          <w:sz w:val="24"/>
          <w:szCs w:val="24"/>
        </w:rPr>
        <w:t>D</w:t>
      </w:r>
      <w:r w:rsidRPr="00E834A1">
        <w:rPr>
          <w:b/>
          <w:bCs/>
          <w:sz w:val="24"/>
          <w:szCs w:val="24"/>
        </w:rPr>
        <w:t>escribe your education</w:t>
      </w:r>
      <w:r w:rsidR="00DC60B3" w:rsidRPr="00E834A1">
        <w:rPr>
          <w:b/>
          <w:bCs/>
          <w:sz w:val="24"/>
          <w:szCs w:val="24"/>
        </w:rPr>
        <w:t xml:space="preserve"> and professional background</w:t>
      </w:r>
      <w:r w:rsidRPr="00E834A1">
        <w:rPr>
          <w:b/>
          <w:bCs/>
          <w:sz w:val="24"/>
          <w:szCs w:val="24"/>
        </w:rPr>
        <w:t>.</w:t>
      </w:r>
    </w:p>
    <w:p w:rsidR="00673D93" w:rsidRPr="00E834A1" w:rsidRDefault="00673D93" w:rsidP="00E834A1">
      <w:pPr>
        <w:tabs>
          <w:tab w:val="left" w:pos="720"/>
        </w:tabs>
        <w:spacing w:line="480" w:lineRule="auto"/>
        <w:ind w:left="720" w:hanging="720"/>
        <w:rPr>
          <w:b/>
          <w:bCs/>
          <w:sz w:val="24"/>
          <w:szCs w:val="24"/>
        </w:rPr>
      </w:pPr>
      <w:r w:rsidRPr="00E834A1">
        <w:rPr>
          <w:sz w:val="24"/>
          <w:szCs w:val="24"/>
        </w:rPr>
        <w:t>A.</w:t>
      </w:r>
      <w:r w:rsidRPr="00E834A1">
        <w:rPr>
          <w:sz w:val="24"/>
          <w:szCs w:val="24"/>
        </w:rPr>
        <w:tab/>
        <w:t xml:space="preserve">I received a degree in Mathematics from </w:t>
      </w:r>
      <w:smartTag w:uri="urn:schemas-microsoft-com:office:smarttags" w:element="place">
        <w:smartTag w:uri="urn:schemas-microsoft-com:office:smarttags" w:element="PlaceType">
          <w:r w:rsidRPr="00E834A1">
            <w:rPr>
              <w:sz w:val="24"/>
              <w:szCs w:val="24"/>
            </w:rPr>
            <w:t>University</w:t>
          </w:r>
        </w:smartTag>
        <w:r w:rsidRPr="00E834A1">
          <w:rPr>
            <w:sz w:val="24"/>
            <w:szCs w:val="24"/>
          </w:rPr>
          <w:t xml:space="preserve"> of </w:t>
        </w:r>
        <w:smartTag w:uri="urn:schemas-microsoft-com:office:smarttags" w:element="PlaceName">
          <w:r w:rsidRPr="00E834A1">
            <w:rPr>
              <w:sz w:val="24"/>
              <w:szCs w:val="24"/>
            </w:rPr>
            <w:t>Washington</w:t>
          </w:r>
        </w:smartTag>
      </w:smartTag>
      <w:r w:rsidRPr="00E834A1">
        <w:rPr>
          <w:sz w:val="24"/>
          <w:szCs w:val="24"/>
        </w:rPr>
        <w:t xml:space="preserve"> in 1976 and a Masters of Business Administration from </w:t>
      </w:r>
      <w:smartTag w:uri="urn:schemas-microsoft-com:office:smarttags" w:element="place">
        <w:smartTag w:uri="urn:schemas-microsoft-com:office:smarttags" w:element="PlaceType">
          <w:r w:rsidRPr="00E834A1">
            <w:rPr>
              <w:sz w:val="24"/>
              <w:szCs w:val="24"/>
            </w:rPr>
            <w:t>University</w:t>
          </w:r>
        </w:smartTag>
        <w:r w:rsidRPr="00E834A1">
          <w:rPr>
            <w:sz w:val="24"/>
            <w:szCs w:val="24"/>
          </w:rPr>
          <w:t xml:space="preserve"> of </w:t>
        </w:r>
        <w:smartTag w:uri="urn:schemas-microsoft-com:office:smarttags" w:element="PlaceName">
          <w:r w:rsidRPr="00E834A1">
            <w:rPr>
              <w:sz w:val="24"/>
              <w:szCs w:val="24"/>
            </w:rPr>
            <w:t>Portland</w:t>
          </w:r>
        </w:smartTag>
      </w:smartTag>
      <w:r w:rsidRPr="00E834A1">
        <w:rPr>
          <w:sz w:val="24"/>
          <w:szCs w:val="24"/>
        </w:rPr>
        <w:t xml:space="preserve"> in 1979.  I was first employed by PacifiCorp in 1976 and have held various positions in resource and transmission planning, regulation, resource acquisitions and trading.  From 1997 through 2000 I lived in </w:t>
      </w:r>
      <w:smartTag w:uri="urn:schemas-microsoft-com:office:smarttags" w:element="place">
        <w:smartTag w:uri="urn:schemas-microsoft-com:office:smarttags" w:element="country-region">
          <w:r w:rsidRPr="00E834A1">
            <w:rPr>
              <w:sz w:val="24"/>
              <w:szCs w:val="24"/>
            </w:rPr>
            <w:t>Australia</w:t>
          </w:r>
        </w:smartTag>
      </w:smartTag>
      <w:r w:rsidRPr="00E834A1">
        <w:rPr>
          <w:sz w:val="24"/>
          <w:szCs w:val="24"/>
        </w:rPr>
        <w:t xml:space="preserve"> where I managed the Energy Trading Department for Powercor, a PacifiCorp subsidiary at that time.  After returning to Portland, I was involved in direct access issues in Oregon and was responsible for directing the analytical effort for the Multi-State Process.  Currently, I direct the work of the load forecasting group, the net power cost group, and the renewable compliance area.</w:t>
      </w:r>
    </w:p>
    <w:p w:rsidR="00B9296B" w:rsidRPr="00E834A1" w:rsidRDefault="00B9296B" w:rsidP="00E834A1">
      <w:pPr>
        <w:pStyle w:val="Answer0"/>
        <w:rPr>
          <w:b/>
        </w:rPr>
      </w:pPr>
      <w:r w:rsidRPr="00E834A1">
        <w:rPr>
          <w:b/>
        </w:rPr>
        <w:t>Purpose of Testimony</w:t>
      </w:r>
    </w:p>
    <w:p w:rsidR="00B9296B" w:rsidRPr="00E834A1" w:rsidRDefault="00B9296B" w:rsidP="00E834A1">
      <w:pPr>
        <w:pStyle w:val="Question"/>
        <w:jc w:val="left"/>
      </w:pPr>
      <w:r w:rsidRPr="00E834A1">
        <w:t>Q.</w:t>
      </w:r>
      <w:r w:rsidRPr="00E834A1">
        <w:tab/>
        <w:t>What is the purpose of your testimony?</w:t>
      </w:r>
    </w:p>
    <w:p w:rsidR="000C223D" w:rsidRPr="00E834A1" w:rsidRDefault="000C223D" w:rsidP="00E834A1">
      <w:pPr>
        <w:pStyle w:val="BodyTextIndent"/>
        <w:widowControl w:val="0"/>
        <w:jc w:val="left"/>
      </w:pPr>
      <w:r w:rsidRPr="00E834A1">
        <w:t>A.</w:t>
      </w:r>
      <w:r w:rsidRPr="00E834A1">
        <w:tab/>
        <w:t>I present the proposed pr</w:t>
      </w:r>
      <w:r w:rsidR="004B754A" w:rsidRPr="00E834A1">
        <w:t>o</w:t>
      </w:r>
      <w:r w:rsidR="008D72E5" w:rsidRPr="00E834A1">
        <w:t xml:space="preserve"> </w:t>
      </w:r>
      <w:r w:rsidRPr="00E834A1">
        <w:t>forma normalized net power costs for the</w:t>
      </w:r>
      <w:r w:rsidR="0086701E" w:rsidRPr="00E834A1">
        <w:t xml:space="preserve"> </w:t>
      </w:r>
      <w:r w:rsidR="00993264" w:rsidRPr="00E834A1">
        <w:t>12</w:t>
      </w:r>
      <w:r w:rsidR="00551BC4" w:rsidRPr="00E834A1">
        <w:t>-month period</w:t>
      </w:r>
      <w:r w:rsidR="0086701E" w:rsidRPr="00E834A1">
        <w:t xml:space="preserve"> ending </w:t>
      </w:r>
      <w:r w:rsidR="00FB235C" w:rsidRPr="00E834A1">
        <w:t xml:space="preserve">May </w:t>
      </w:r>
      <w:r w:rsidR="0086701E" w:rsidRPr="00E834A1">
        <w:t>31, 201</w:t>
      </w:r>
      <w:r w:rsidR="00FB235C" w:rsidRPr="00E834A1">
        <w:t>3</w:t>
      </w:r>
      <w:r w:rsidR="0086701E" w:rsidRPr="00E834A1">
        <w:t xml:space="preserve">.  </w:t>
      </w:r>
      <w:r w:rsidR="00993264" w:rsidRPr="00E834A1">
        <w:t>Specifically</w:t>
      </w:r>
      <w:r w:rsidRPr="00E834A1">
        <w:t>, my testimony:</w:t>
      </w:r>
    </w:p>
    <w:p w:rsidR="000C223D" w:rsidRPr="00E834A1" w:rsidRDefault="000C223D" w:rsidP="00E834A1">
      <w:pPr>
        <w:pStyle w:val="BodyTextIndent"/>
        <w:widowControl w:val="0"/>
        <w:numPr>
          <w:ilvl w:val="0"/>
          <w:numId w:val="4"/>
        </w:numPr>
        <w:tabs>
          <w:tab w:val="clear" w:pos="720"/>
          <w:tab w:val="num" w:pos="1440"/>
        </w:tabs>
        <w:ind w:left="1440"/>
        <w:jc w:val="left"/>
        <w:rPr>
          <w:szCs w:val="24"/>
        </w:rPr>
      </w:pPr>
      <w:r w:rsidRPr="00E834A1">
        <w:t xml:space="preserve">Describes the </w:t>
      </w:r>
      <w:r w:rsidR="0017142C" w:rsidRPr="00E834A1">
        <w:t xml:space="preserve">primary </w:t>
      </w:r>
      <w:r w:rsidR="00993264" w:rsidRPr="00E834A1">
        <w:t xml:space="preserve">drivers behind </w:t>
      </w:r>
      <w:r w:rsidR="0017142C" w:rsidRPr="00E834A1">
        <w:t xml:space="preserve">the </w:t>
      </w:r>
      <w:r w:rsidR="0004221A" w:rsidRPr="00E834A1">
        <w:t xml:space="preserve">increase in </w:t>
      </w:r>
      <w:r w:rsidR="00B8046B" w:rsidRPr="00E834A1">
        <w:t>net power cost</w:t>
      </w:r>
      <w:r w:rsidR="0004221A" w:rsidRPr="00E834A1">
        <w:t>s</w:t>
      </w:r>
      <w:r w:rsidR="00073E13" w:rsidRPr="00E834A1">
        <w:t xml:space="preserve"> as well as factors that mitigate the increase</w:t>
      </w:r>
      <w:r w:rsidR="00A40436" w:rsidRPr="00E834A1">
        <w:t>;</w:t>
      </w:r>
    </w:p>
    <w:p w:rsidR="00CB4F9B" w:rsidRPr="00E834A1" w:rsidRDefault="00CB4F9B" w:rsidP="00E834A1">
      <w:pPr>
        <w:pStyle w:val="BodyTextIndent"/>
        <w:numPr>
          <w:ilvl w:val="0"/>
          <w:numId w:val="4"/>
        </w:numPr>
        <w:tabs>
          <w:tab w:val="clear" w:pos="720"/>
          <w:tab w:val="num" w:pos="1440"/>
        </w:tabs>
        <w:ind w:left="1440"/>
        <w:jc w:val="left"/>
        <w:rPr>
          <w:szCs w:val="24"/>
        </w:rPr>
      </w:pPr>
      <w:r w:rsidRPr="00E834A1">
        <w:lastRenderedPageBreak/>
        <w:t xml:space="preserve">Describes the changes that the Company has made to </w:t>
      </w:r>
      <w:r w:rsidR="00FC6E37" w:rsidRPr="00E834A1">
        <w:t xml:space="preserve">comply with </w:t>
      </w:r>
      <w:r w:rsidRPr="00E834A1">
        <w:t xml:space="preserve"> </w:t>
      </w:r>
      <w:r w:rsidR="00215375" w:rsidRPr="00E834A1">
        <w:t>Order 06</w:t>
      </w:r>
      <w:r w:rsidRPr="00E834A1">
        <w:t xml:space="preserve"> in the Company’s last general rate case in Docket UE-100749 (2010 Rate Case)</w:t>
      </w:r>
      <w:r w:rsidR="006D788F" w:rsidRPr="00E834A1">
        <w:t>;</w:t>
      </w:r>
      <w:r w:rsidR="00215375" w:rsidRPr="00E834A1">
        <w:rPr>
          <w:rStyle w:val="FootnoteReference"/>
        </w:rPr>
        <w:footnoteReference w:id="1"/>
      </w:r>
      <w:r w:rsidRPr="00E834A1">
        <w:t xml:space="preserve"> </w:t>
      </w:r>
    </w:p>
    <w:p w:rsidR="00CB4F9B" w:rsidRPr="00E834A1" w:rsidRDefault="00CB4F9B" w:rsidP="00E834A1">
      <w:pPr>
        <w:pStyle w:val="BodyTextIndent"/>
        <w:numPr>
          <w:ilvl w:val="0"/>
          <w:numId w:val="4"/>
        </w:numPr>
        <w:tabs>
          <w:tab w:val="clear" w:pos="720"/>
          <w:tab w:val="num" w:pos="1440"/>
        </w:tabs>
        <w:ind w:left="1440"/>
        <w:jc w:val="left"/>
        <w:rPr>
          <w:szCs w:val="24"/>
        </w:rPr>
      </w:pPr>
      <w:r w:rsidRPr="00E834A1">
        <w:t xml:space="preserve">Presents the Company’s 2011 Wind Integration Study (Wind Study), and </w:t>
      </w:r>
      <w:r w:rsidR="00993264" w:rsidRPr="00E834A1">
        <w:t>explains how it is incorporated in the current filing</w:t>
      </w:r>
      <w:r w:rsidRPr="00E834A1">
        <w:t>, and</w:t>
      </w:r>
    </w:p>
    <w:p w:rsidR="00795986" w:rsidRPr="00E834A1" w:rsidRDefault="0004221A" w:rsidP="00E834A1">
      <w:pPr>
        <w:pStyle w:val="BodyTextIndent"/>
        <w:widowControl w:val="0"/>
        <w:numPr>
          <w:ilvl w:val="0"/>
          <w:numId w:val="4"/>
        </w:numPr>
        <w:tabs>
          <w:tab w:val="clear" w:pos="720"/>
          <w:tab w:val="num" w:pos="1440"/>
        </w:tabs>
        <w:ind w:left="1440"/>
        <w:jc w:val="left"/>
      </w:pPr>
      <w:r w:rsidRPr="00E834A1">
        <w:t xml:space="preserve">Describes the modeling of net power costs under the </w:t>
      </w:r>
      <w:r w:rsidR="006B34D7" w:rsidRPr="00E834A1">
        <w:t>w</w:t>
      </w:r>
      <w:r w:rsidRPr="00E834A1">
        <w:t xml:space="preserve">est </w:t>
      </w:r>
      <w:r w:rsidR="006B34D7" w:rsidRPr="00E834A1">
        <w:t>c</w:t>
      </w:r>
      <w:r w:rsidRPr="00E834A1">
        <w:t xml:space="preserve">ontrol </w:t>
      </w:r>
      <w:r w:rsidR="006B34D7" w:rsidRPr="00E834A1">
        <w:t>a</w:t>
      </w:r>
      <w:r w:rsidRPr="00E834A1">
        <w:t xml:space="preserve">rea </w:t>
      </w:r>
      <w:r w:rsidR="00F90C67" w:rsidRPr="00E834A1">
        <w:t xml:space="preserve">(WCA) </w:t>
      </w:r>
      <w:r w:rsidRPr="00E834A1">
        <w:t>allocation method</w:t>
      </w:r>
      <w:r w:rsidR="00E07BCF" w:rsidRPr="00E834A1">
        <w:t>ology</w:t>
      </w:r>
      <w:r w:rsidR="00CB4F9B" w:rsidRPr="00E834A1">
        <w:t>.</w:t>
      </w:r>
      <w:r w:rsidR="000A0753" w:rsidRPr="00E834A1">
        <w:t xml:space="preserve"> </w:t>
      </w:r>
    </w:p>
    <w:p w:rsidR="00942627" w:rsidRPr="00E834A1" w:rsidRDefault="00942627" w:rsidP="00E834A1">
      <w:pPr>
        <w:pStyle w:val="BodyTextIndent"/>
        <w:widowControl w:val="0"/>
        <w:tabs>
          <w:tab w:val="clear" w:pos="720"/>
        </w:tabs>
        <w:jc w:val="left"/>
        <w:rPr>
          <w:b/>
        </w:rPr>
      </w:pPr>
      <w:r w:rsidRPr="00E834A1">
        <w:rPr>
          <w:b/>
        </w:rPr>
        <w:t>Q.</w:t>
      </w:r>
      <w:r w:rsidRPr="00E834A1">
        <w:rPr>
          <w:b/>
        </w:rPr>
        <w:tab/>
        <w:t xml:space="preserve">Is the Company proposing to </w:t>
      </w:r>
      <w:r w:rsidR="00E07BCF" w:rsidRPr="00E834A1">
        <w:rPr>
          <w:b/>
        </w:rPr>
        <w:t>contest</w:t>
      </w:r>
      <w:r w:rsidRPr="00E834A1">
        <w:rPr>
          <w:b/>
        </w:rPr>
        <w:t xml:space="preserve"> any net power cost issues that were decided in the 2010 Rate Case?</w:t>
      </w:r>
    </w:p>
    <w:p w:rsidR="00942627" w:rsidRPr="00E834A1" w:rsidRDefault="00942627" w:rsidP="00E834A1">
      <w:pPr>
        <w:pStyle w:val="BodyTextIndent"/>
        <w:widowControl w:val="0"/>
        <w:tabs>
          <w:tab w:val="clear" w:pos="720"/>
        </w:tabs>
        <w:jc w:val="left"/>
      </w:pPr>
      <w:r w:rsidRPr="00E834A1">
        <w:t>A.</w:t>
      </w:r>
      <w:r w:rsidRPr="00E834A1">
        <w:tab/>
        <w:t xml:space="preserve">No.  Consistent with the </w:t>
      </w:r>
      <w:r w:rsidR="00713EE2" w:rsidRPr="00E834A1">
        <w:t>m</w:t>
      </w:r>
      <w:r w:rsidRPr="00E834A1">
        <w:t>ake-</w:t>
      </w:r>
      <w:r w:rsidR="00713EE2" w:rsidRPr="00E834A1">
        <w:t>w</w:t>
      </w:r>
      <w:r w:rsidRPr="00E834A1">
        <w:t>hole rate filing</w:t>
      </w:r>
      <w:r w:rsidR="00F90C67" w:rsidRPr="00E834A1">
        <w:t xml:space="preserve"> approach</w:t>
      </w:r>
      <w:r w:rsidR="00713EE2" w:rsidRPr="00E834A1">
        <w:t>,</w:t>
      </w:r>
      <w:r w:rsidRPr="00E834A1">
        <w:t xml:space="preserve"> the Company has elected not to </w:t>
      </w:r>
      <w:r w:rsidR="00E07BCF" w:rsidRPr="00E834A1">
        <w:t>contest</w:t>
      </w:r>
      <w:r w:rsidRPr="00E834A1">
        <w:t xml:space="preserve"> any issues that were decided in the 2010 Rate Case</w:t>
      </w:r>
      <w:r w:rsidR="00474DFD" w:rsidRPr="00E834A1">
        <w:t>, including net power costs</w:t>
      </w:r>
      <w:r w:rsidRPr="00E834A1">
        <w:t xml:space="preserve">.  </w:t>
      </w:r>
      <w:r w:rsidR="00E07BCF" w:rsidRPr="00E834A1">
        <w:t xml:space="preserve">The Company, however, reserves the right to contest these issues in the future as appropriate.  </w:t>
      </w:r>
    </w:p>
    <w:p w:rsidR="000C223D" w:rsidRPr="00E834A1" w:rsidRDefault="00993264" w:rsidP="00E834A1">
      <w:pPr>
        <w:pStyle w:val="Heading2"/>
        <w:jc w:val="both"/>
      </w:pPr>
      <w:r w:rsidRPr="00E834A1">
        <w:t xml:space="preserve">Summary of </w:t>
      </w:r>
      <w:r w:rsidR="000C223D" w:rsidRPr="00E834A1">
        <w:t>Net Power Cost Results</w:t>
      </w:r>
      <w:r w:rsidR="00830586" w:rsidRPr="00E834A1">
        <w:t xml:space="preserve"> </w:t>
      </w:r>
      <w:r w:rsidRPr="00E834A1">
        <w:t>in the Current Filing</w:t>
      </w:r>
    </w:p>
    <w:p w:rsidR="000C223D" w:rsidRPr="00E834A1" w:rsidRDefault="000C223D" w:rsidP="00E834A1">
      <w:pPr>
        <w:numPr>
          <w:ilvl w:val="0"/>
          <w:numId w:val="2"/>
        </w:numPr>
        <w:spacing w:line="480" w:lineRule="auto"/>
        <w:rPr>
          <w:b/>
          <w:sz w:val="24"/>
        </w:rPr>
      </w:pPr>
      <w:r w:rsidRPr="00E834A1">
        <w:rPr>
          <w:b/>
          <w:sz w:val="24"/>
        </w:rPr>
        <w:t xml:space="preserve">What are the proposed </w:t>
      </w:r>
      <w:r w:rsidR="00426076" w:rsidRPr="00E834A1">
        <w:rPr>
          <w:b/>
          <w:sz w:val="24"/>
        </w:rPr>
        <w:t>pro</w:t>
      </w:r>
      <w:r w:rsidR="00873E24" w:rsidRPr="00E834A1">
        <w:rPr>
          <w:b/>
          <w:sz w:val="24"/>
        </w:rPr>
        <w:t xml:space="preserve"> </w:t>
      </w:r>
      <w:r w:rsidR="00426076" w:rsidRPr="00E834A1">
        <w:rPr>
          <w:b/>
          <w:sz w:val="24"/>
        </w:rPr>
        <w:t>forma</w:t>
      </w:r>
      <w:r w:rsidRPr="00E834A1">
        <w:rPr>
          <w:b/>
          <w:sz w:val="24"/>
        </w:rPr>
        <w:t xml:space="preserve"> normalized net power costs</w:t>
      </w:r>
      <w:r w:rsidR="00830586" w:rsidRPr="00E834A1">
        <w:rPr>
          <w:b/>
          <w:sz w:val="24"/>
        </w:rPr>
        <w:t xml:space="preserve"> </w:t>
      </w:r>
      <w:r w:rsidR="00993264" w:rsidRPr="00E834A1">
        <w:rPr>
          <w:b/>
          <w:sz w:val="24"/>
        </w:rPr>
        <w:t>for the test period</w:t>
      </w:r>
      <w:r w:rsidRPr="00E834A1">
        <w:rPr>
          <w:b/>
          <w:sz w:val="24"/>
        </w:rPr>
        <w:t>?</w:t>
      </w:r>
    </w:p>
    <w:p w:rsidR="000C223D" w:rsidRPr="00E834A1" w:rsidRDefault="000C223D" w:rsidP="00E834A1">
      <w:pPr>
        <w:spacing w:line="480" w:lineRule="auto"/>
        <w:ind w:left="720" w:hanging="720"/>
        <w:rPr>
          <w:szCs w:val="24"/>
        </w:rPr>
      </w:pPr>
      <w:r w:rsidRPr="00E834A1">
        <w:rPr>
          <w:sz w:val="24"/>
        </w:rPr>
        <w:t>A.</w:t>
      </w:r>
      <w:r w:rsidRPr="00E834A1">
        <w:rPr>
          <w:sz w:val="24"/>
        </w:rPr>
        <w:tab/>
        <w:t xml:space="preserve">The proposed </w:t>
      </w:r>
      <w:r w:rsidR="00692D41" w:rsidRPr="00E834A1">
        <w:rPr>
          <w:sz w:val="24"/>
        </w:rPr>
        <w:t xml:space="preserve">pro forma normalized </w:t>
      </w:r>
      <w:r w:rsidR="00F01CAD" w:rsidRPr="00E834A1">
        <w:rPr>
          <w:sz w:val="24"/>
        </w:rPr>
        <w:t>net power costs</w:t>
      </w:r>
      <w:r w:rsidRPr="00E834A1">
        <w:rPr>
          <w:sz w:val="24"/>
        </w:rPr>
        <w:t xml:space="preserve"> </w:t>
      </w:r>
      <w:r w:rsidR="00993264" w:rsidRPr="00E834A1">
        <w:rPr>
          <w:sz w:val="24"/>
        </w:rPr>
        <w:t>for the 12-months ending May 31, 2013</w:t>
      </w:r>
      <w:r w:rsidR="00F90C67" w:rsidRPr="00E834A1">
        <w:rPr>
          <w:sz w:val="24"/>
        </w:rPr>
        <w:t>,</w:t>
      </w:r>
      <w:r w:rsidRPr="00E834A1">
        <w:rPr>
          <w:sz w:val="24"/>
        </w:rPr>
        <w:t xml:space="preserve"> are approximately </w:t>
      </w:r>
      <w:r w:rsidR="00E82F42" w:rsidRPr="00E834A1">
        <w:rPr>
          <w:sz w:val="24"/>
        </w:rPr>
        <w:t>$</w:t>
      </w:r>
      <w:r w:rsidR="006C5963" w:rsidRPr="00E834A1">
        <w:rPr>
          <w:sz w:val="24"/>
        </w:rPr>
        <w:t>5</w:t>
      </w:r>
      <w:r w:rsidR="00460617" w:rsidRPr="00E834A1">
        <w:rPr>
          <w:sz w:val="24"/>
        </w:rPr>
        <w:t>6</w:t>
      </w:r>
      <w:r w:rsidR="007F7F7B" w:rsidRPr="00E834A1">
        <w:rPr>
          <w:sz w:val="24"/>
        </w:rPr>
        <w:t>7</w:t>
      </w:r>
      <w:r w:rsidR="003150F6" w:rsidRPr="00E834A1">
        <w:rPr>
          <w:sz w:val="24"/>
        </w:rPr>
        <w:t>.5</w:t>
      </w:r>
      <w:r w:rsidR="00E82F42" w:rsidRPr="00E834A1">
        <w:rPr>
          <w:sz w:val="24"/>
        </w:rPr>
        <w:t xml:space="preserve"> </w:t>
      </w:r>
      <w:r w:rsidRPr="00E834A1">
        <w:rPr>
          <w:sz w:val="24"/>
        </w:rPr>
        <w:t xml:space="preserve">million </w:t>
      </w:r>
      <w:r w:rsidR="00981638" w:rsidRPr="00E834A1">
        <w:rPr>
          <w:sz w:val="24"/>
        </w:rPr>
        <w:t xml:space="preserve">for the </w:t>
      </w:r>
      <w:r w:rsidR="00EA330C" w:rsidRPr="00E834A1">
        <w:rPr>
          <w:sz w:val="24"/>
        </w:rPr>
        <w:t>C</w:t>
      </w:r>
      <w:r w:rsidR="00981638" w:rsidRPr="00E834A1">
        <w:rPr>
          <w:sz w:val="24"/>
        </w:rPr>
        <w:t>ompany’s</w:t>
      </w:r>
      <w:r w:rsidRPr="00E834A1">
        <w:rPr>
          <w:sz w:val="24"/>
        </w:rPr>
        <w:t xml:space="preserve"> </w:t>
      </w:r>
      <w:r w:rsidR="00E07BCF" w:rsidRPr="00E834A1">
        <w:rPr>
          <w:sz w:val="24"/>
        </w:rPr>
        <w:t>west control area</w:t>
      </w:r>
      <w:r w:rsidRPr="00E834A1">
        <w:rPr>
          <w:sz w:val="24"/>
        </w:rPr>
        <w:t>.</w:t>
      </w:r>
      <w:r w:rsidR="00B70554" w:rsidRPr="00E834A1">
        <w:rPr>
          <w:sz w:val="24"/>
        </w:rPr>
        <w:t xml:space="preserve">  </w:t>
      </w:r>
      <w:r w:rsidR="0004221A" w:rsidRPr="00E834A1">
        <w:rPr>
          <w:sz w:val="24"/>
        </w:rPr>
        <w:t>As discussed in Company witness</w:t>
      </w:r>
      <w:r w:rsidR="00C01516" w:rsidRPr="00E834A1">
        <w:rPr>
          <w:sz w:val="24"/>
        </w:rPr>
        <w:t xml:space="preserve"> </w:t>
      </w:r>
      <w:r w:rsidR="00481E09" w:rsidRPr="00E834A1">
        <w:rPr>
          <w:sz w:val="24"/>
        </w:rPr>
        <w:t>R. Bryce Dalley’s</w:t>
      </w:r>
      <w:r w:rsidR="0004221A" w:rsidRPr="00E834A1">
        <w:rPr>
          <w:sz w:val="24"/>
        </w:rPr>
        <w:t xml:space="preserve"> </w:t>
      </w:r>
      <w:r w:rsidR="00796228" w:rsidRPr="00E834A1">
        <w:rPr>
          <w:sz w:val="24"/>
        </w:rPr>
        <w:t xml:space="preserve">direct </w:t>
      </w:r>
      <w:r w:rsidR="0004221A" w:rsidRPr="00E834A1">
        <w:rPr>
          <w:sz w:val="24"/>
        </w:rPr>
        <w:t>testimony, t</w:t>
      </w:r>
      <w:r w:rsidR="00C41461" w:rsidRPr="00E834A1">
        <w:rPr>
          <w:sz w:val="24"/>
        </w:rPr>
        <w:t>he Washington</w:t>
      </w:r>
      <w:r w:rsidR="005C63AF" w:rsidRPr="00E834A1">
        <w:rPr>
          <w:sz w:val="24"/>
        </w:rPr>
        <w:t>-</w:t>
      </w:r>
      <w:r w:rsidR="00C41461" w:rsidRPr="00E834A1">
        <w:rPr>
          <w:sz w:val="24"/>
        </w:rPr>
        <w:t xml:space="preserve">allocated </w:t>
      </w:r>
      <w:r w:rsidR="0004221A" w:rsidRPr="00E834A1">
        <w:rPr>
          <w:sz w:val="24"/>
        </w:rPr>
        <w:t>net power costs are</w:t>
      </w:r>
      <w:r w:rsidR="00C41461" w:rsidRPr="00E834A1">
        <w:rPr>
          <w:sz w:val="24"/>
        </w:rPr>
        <w:t xml:space="preserve"> </w:t>
      </w:r>
      <w:r w:rsidR="001D12A6" w:rsidRPr="00E834A1">
        <w:rPr>
          <w:sz w:val="24"/>
        </w:rPr>
        <w:t xml:space="preserve">approximately </w:t>
      </w:r>
      <w:r w:rsidR="00E82F42" w:rsidRPr="00E834A1">
        <w:rPr>
          <w:sz w:val="24"/>
        </w:rPr>
        <w:t>$</w:t>
      </w:r>
      <w:r w:rsidR="008E5518" w:rsidRPr="00E834A1">
        <w:rPr>
          <w:sz w:val="24"/>
        </w:rPr>
        <w:t>12</w:t>
      </w:r>
      <w:r w:rsidR="007F7F7B" w:rsidRPr="00E834A1">
        <w:rPr>
          <w:sz w:val="24"/>
        </w:rPr>
        <w:t>8</w:t>
      </w:r>
      <w:r w:rsidR="008E5518" w:rsidRPr="00E834A1">
        <w:rPr>
          <w:sz w:val="24"/>
        </w:rPr>
        <w:t>.</w:t>
      </w:r>
      <w:r w:rsidR="007F7F7B" w:rsidRPr="00E834A1">
        <w:rPr>
          <w:sz w:val="24"/>
        </w:rPr>
        <w:t>2</w:t>
      </w:r>
      <w:r w:rsidR="00E82F42" w:rsidRPr="00E834A1">
        <w:rPr>
          <w:sz w:val="24"/>
        </w:rPr>
        <w:t xml:space="preserve"> </w:t>
      </w:r>
      <w:r w:rsidR="00C41461" w:rsidRPr="00E834A1">
        <w:rPr>
          <w:sz w:val="24"/>
        </w:rPr>
        <w:t>million</w:t>
      </w:r>
      <w:r w:rsidR="007F53CD" w:rsidRPr="00E834A1">
        <w:rPr>
          <w:sz w:val="24"/>
        </w:rPr>
        <w:t xml:space="preserve"> </w:t>
      </w:r>
      <w:r w:rsidR="0004221A" w:rsidRPr="00E834A1">
        <w:rPr>
          <w:sz w:val="24"/>
        </w:rPr>
        <w:t>prior to the application of the production factor adjustment</w:t>
      </w:r>
      <w:r w:rsidR="007F53CD" w:rsidRPr="00E834A1">
        <w:rPr>
          <w:sz w:val="24"/>
        </w:rPr>
        <w:t>.</w:t>
      </w:r>
    </w:p>
    <w:p w:rsidR="00315681" w:rsidRPr="00E834A1" w:rsidRDefault="000C223D" w:rsidP="00E834A1">
      <w:pPr>
        <w:pStyle w:val="BodyTextIndent"/>
        <w:tabs>
          <w:tab w:val="clear" w:pos="720"/>
        </w:tabs>
        <w:jc w:val="left"/>
        <w:rPr>
          <w:b/>
        </w:rPr>
      </w:pPr>
      <w:r w:rsidRPr="00E834A1">
        <w:rPr>
          <w:b/>
        </w:rPr>
        <w:lastRenderedPageBreak/>
        <w:t>Q.</w:t>
      </w:r>
      <w:r w:rsidR="00DD1910" w:rsidRPr="00E834A1">
        <w:rPr>
          <w:b/>
        </w:rPr>
        <w:tab/>
      </w:r>
      <w:r w:rsidR="00873E24" w:rsidRPr="00E834A1">
        <w:rPr>
          <w:b/>
        </w:rPr>
        <w:t xml:space="preserve">How do the pro forma normalized net power costs in this proceeding compare to the </w:t>
      </w:r>
      <w:r w:rsidR="00830586" w:rsidRPr="00E834A1">
        <w:rPr>
          <w:b/>
        </w:rPr>
        <w:t>net power costs</w:t>
      </w:r>
      <w:r w:rsidR="00EE1DFF" w:rsidRPr="00E834A1">
        <w:rPr>
          <w:b/>
        </w:rPr>
        <w:t xml:space="preserve"> authorized </w:t>
      </w:r>
      <w:r w:rsidR="00873E24" w:rsidRPr="00E834A1">
        <w:rPr>
          <w:b/>
        </w:rPr>
        <w:t xml:space="preserve">in the </w:t>
      </w:r>
      <w:r w:rsidR="00EE1DFF" w:rsidRPr="00E834A1">
        <w:rPr>
          <w:b/>
        </w:rPr>
        <w:t>Company’s 2010 Rate Case</w:t>
      </w:r>
      <w:r w:rsidR="00873E24" w:rsidRPr="00E834A1">
        <w:rPr>
          <w:b/>
        </w:rPr>
        <w:t>?</w:t>
      </w:r>
      <w:r w:rsidR="00873E24" w:rsidRPr="00E834A1" w:rsidDel="00873E24">
        <w:rPr>
          <w:b/>
        </w:rPr>
        <w:t xml:space="preserve"> </w:t>
      </w:r>
    </w:p>
    <w:p w:rsidR="00DD1910" w:rsidRPr="00E834A1" w:rsidRDefault="00DD1910" w:rsidP="00E834A1">
      <w:pPr>
        <w:pStyle w:val="BodyTextIndent"/>
        <w:tabs>
          <w:tab w:val="clear" w:pos="720"/>
        </w:tabs>
        <w:jc w:val="left"/>
      </w:pPr>
      <w:r w:rsidRPr="00E834A1">
        <w:t>A.</w:t>
      </w:r>
      <w:r w:rsidRPr="00E834A1">
        <w:tab/>
      </w:r>
      <w:r w:rsidR="0082663D" w:rsidRPr="00E834A1">
        <w:t xml:space="preserve">The </w:t>
      </w:r>
      <w:r w:rsidR="00426076" w:rsidRPr="00E834A1">
        <w:t>pro</w:t>
      </w:r>
      <w:r w:rsidR="00692D41" w:rsidRPr="00E834A1">
        <w:t xml:space="preserve"> </w:t>
      </w:r>
      <w:r w:rsidR="00426076" w:rsidRPr="00E834A1">
        <w:t>forma</w:t>
      </w:r>
      <w:r w:rsidR="0082663D" w:rsidRPr="00E834A1">
        <w:t xml:space="preserve"> normalized net power costs in the current proceeding </w:t>
      </w:r>
      <w:r w:rsidR="00102B16" w:rsidRPr="00E834A1">
        <w:t>are</w:t>
      </w:r>
      <w:r w:rsidR="0082663D" w:rsidRPr="00E834A1">
        <w:t xml:space="preserve"> approximately $</w:t>
      </w:r>
      <w:r w:rsidR="00E0076B" w:rsidRPr="00E834A1">
        <w:t>32.7</w:t>
      </w:r>
      <w:r w:rsidR="0082663D" w:rsidRPr="00E834A1">
        <w:t xml:space="preserve"> </w:t>
      </w:r>
      <w:r w:rsidR="00E87BF4" w:rsidRPr="00E834A1">
        <w:t xml:space="preserve">million </w:t>
      </w:r>
      <w:r w:rsidR="0082663D" w:rsidRPr="00E834A1">
        <w:t xml:space="preserve">higher than what was </w:t>
      </w:r>
      <w:r w:rsidR="00530FEC" w:rsidRPr="00E834A1">
        <w:t xml:space="preserve">authorized by the Commission </w:t>
      </w:r>
      <w:r w:rsidR="0082663D" w:rsidRPr="00E834A1">
        <w:t>in the Company’s 20</w:t>
      </w:r>
      <w:r w:rsidR="00530FEC" w:rsidRPr="00E834A1">
        <w:t>10</w:t>
      </w:r>
      <w:r w:rsidR="0082663D" w:rsidRPr="00E834A1">
        <w:t xml:space="preserve"> </w:t>
      </w:r>
      <w:r w:rsidR="0024051D" w:rsidRPr="00E834A1">
        <w:t>Rate C</w:t>
      </w:r>
      <w:r w:rsidR="0082663D" w:rsidRPr="00E834A1">
        <w:t xml:space="preserve">ase on a </w:t>
      </w:r>
      <w:r w:rsidR="00E07BCF" w:rsidRPr="00E834A1">
        <w:t>west control area</w:t>
      </w:r>
      <w:r w:rsidR="00940181" w:rsidRPr="00E834A1">
        <w:t xml:space="preserve"> </w:t>
      </w:r>
      <w:r w:rsidR="0082663D" w:rsidRPr="00E834A1">
        <w:t>basis</w:t>
      </w:r>
      <w:r w:rsidR="001C0CAA" w:rsidRPr="00E834A1">
        <w:t xml:space="preserve">, and </w:t>
      </w:r>
      <w:r w:rsidR="00873E24" w:rsidRPr="00E834A1">
        <w:t xml:space="preserve">approximately </w:t>
      </w:r>
      <w:r w:rsidR="00180654" w:rsidRPr="00E834A1">
        <w:t>$</w:t>
      </w:r>
      <w:r w:rsidR="00E0076B" w:rsidRPr="00E834A1">
        <w:t>7.0</w:t>
      </w:r>
      <w:r w:rsidR="00022D0E" w:rsidRPr="00E834A1">
        <w:t xml:space="preserve"> </w:t>
      </w:r>
      <w:r w:rsidR="001C0CAA" w:rsidRPr="00E834A1">
        <w:t>million higher on a Washington</w:t>
      </w:r>
      <w:r w:rsidR="00873E24" w:rsidRPr="00E834A1">
        <w:t>-</w:t>
      </w:r>
      <w:r w:rsidR="001C0CAA" w:rsidRPr="00E834A1">
        <w:t>allocated basis</w:t>
      </w:r>
      <w:r w:rsidR="0082663D" w:rsidRPr="00E834A1">
        <w:t>.</w:t>
      </w:r>
      <w:r w:rsidR="00814BD6" w:rsidRPr="00E834A1">
        <w:t xml:space="preserve">  </w:t>
      </w:r>
      <w:r w:rsidR="00030613" w:rsidRPr="00E834A1">
        <w:t>The $</w:t>
      </w:r>
      <w:r w:rsidR="00E0076B" w:rsidRPr="00E834A1">
        <w:t>32.7</w:t>
      </w:r>
      <w:r w:rsidR="00030613" w:rsidRPr="00E834A1">
        <w:t xml:space="preserve"> millio</w:t>
      </w:r>
      <w:r w:rsidR="00942627" w:rsidRPr="00E834A1">
        <w:t>n increase in net power costs</w:t>
      </w:r>
      <w:r w:rsidR="00030613" w:rsidRPr="00E834A1">
        <w:t xml:space="preserve"> includes all Commission ordered adjustments and is consistent with the Company’s </w:t>
      </w:r>
      <w:r w:rsidR="00713EE2" w:rsidRPr="00E834A1">
        <w:t>m</w:t>
      </w:r>
      <w:r w:rsidR="00030613" w:rsidRPr="00E834A1">
        <w:t>ake</w:t>
      </w:r>
      <w:r w:rsidR="00942627" w:rsidRPr="00E834A1">
        <w:t>-</w:t>
      </w:r>
      <w:r w:rsidR="00713EE2" w:rsidRPr="00E834A1">
        <w:t>w</w:t>
      </w:r>
      <w:r w:rsidR="00030613" w:rsidRPr="00E834A1">
        <w:t xml:space="preserve">hole filing.  </w:t>
      </w:r>
    </w:p>
    <w:p w:rsidR="00030613" w:rsidRPr="00E834A1" w:rsidRDefault="00FC4083" w:rsidP="00E834A1">
      <w:pPr>
        <w:pStyle w:val="BodyTextIndent"/>
        <w:tabs>
          <w:tab w:val="clear" w:pos="720"/>
        </w:tabs>
        <w:jc w:val="left"/>
        <w:rPr>
          <w:b/>
        </w:rPr>
      </w:pPr>
      <w:r w:rsidRPr="00E834A1">
        <w:rPr>
          <w:b/>
        </w:rPr>
        <w:t>Q.</w:t>
      </w:r>
      <w:r w:rsidRPr="00E834A1">
        <w:rPr>
          <w:b/>
        </w:rPr>
        <w:tab/>
        <w:t xml:space="preserve">Please provide an illustration of the changes in </w:t>
      </w:r>
      <w:r w:rsidR="00710519" w:rsidRPr="00E834A1">
        <w:rPr>
          <w:b/>
        </w:rPr>
        <w:t xml:space="preserve">net </w:t>
      </w:r>
      <w:r w:rsidRPr="00E834A1">
        <w:rPr>
          <w:b/>
        </w:rPr>
        <w:t xml:space="preserve">power costs since the 2010 Rate Case.  </w:t>
      </w:r>
    </w:p>
    <w:p w:rsidR="00B951C6" w:rsidRPr="00E834A1" w:rsidRDefault="00B951C6" w:rsidP="00E834A1">
      <w:pPr>
        <w:pStyle w:val="BodyTextIndent"/>
        <w:tabs>
          <w:tab w:val="clear" w:pos="720"/>
        </w:tabs>
        <w:jc w:val="left"/>
      </w:pPr>
      <w:r w:rsidRPr="00E834A1">
        <w:t>A.</w:t>
      </w:r>
      <w:r w:rsidRPr="00E834A1">
        <w:tab/>
        <w:t>Table A, provided below, illustrates the change in net power costs by category:</w:t>
      </w:r>
    </w:p>
    <w:p w:rsidR="00FC4083" w:rsidRPr="00E834A1" w:rsidRDefault="00B5714F" w:rsidP="00E834A1">
      <w:pPr>
        <w:pStyle w:val="BodyTextIndent"/>
        <w:suppressLineNumbers/>
        <w:tabs>
          <w:tab w:val="clear" w:pos="720"/>
        </w:tabs>
        <w:ind w:firstLine="0"/>
        <w:jc w:val="left"/>
      </w:pPr>
      <w:r w:rsidRPr="00E834A1">
        <w:rPr>
          <w:noProof/>
        </w:rPr>
        <w:drawing>
          <wp:inline distT="0" distB="0" distL="0" distR="0">
            <wp:extent cx="4924425" cy="1506727"/>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4937800" cy="1510819"/>
                    </a:xfrm>
                    <a:prstGeom prst="rect">
                      <a:avLst/>
                    </a:prstGeom>
                    <a:noFill/>
                    <a:ln w="9525">
                      <a:noFill/>
                      <a:miter lim="800000"/>
                      <a:headEnd/>
                      <a:tailEnd/>
                    </a:ln>
                  </pic:spPr>
                </pic:pic>
              </a:graphicData>
            </a:graphic>
          </wp:inline>
        </w:drawing>
      </w:r>
    </w:p>
    <w:p w:rsidR="00B951C6" w:rsidRPr="00E834A1" w:rsidRDefault="00B951C6" w:rsidP="00E834A1">
      <w:pPr>
        <w:pStyle w:val="BodyTextIndent"/>
        <w:tabs>
          <w:tab w:val="clear" w:pos="720"/>
        </w:tabs>
        <w:jc w:val="left"/>
      </w:pPr>
      <w:r w:rsidRPr="00E834A1">
        <w:tab/>
        <w:t xml:space="preserve">The increase in net power costs is driven largely by </w:t>
      </w:r>
      <w:r w:rsidR="006B34D7" w:rsidRPr="00E834A1">
        <w:t>an increase</w:t>
      </w:r>
      <w:r w:rsidRPr="00E834A1">
        <w:t xml:space="preserve"> in purchase</w:t>
      </w:r>
      <w:r w:rsidR="004D3561" w:rsidRPr="00E834A1">
        <w:t>d</w:t>
      </w:r>
      <w:r w:rsidRPr="00E834A1">
        <w:t xml:space="preserve"> power</w:t>
      </w:r>
      <w:r w:rsidR="00942627" w:rsidRPr="00E834A1">
        <w:t>, coal fuel burn</w:t>
      </w:r>
      <w:r w:rsidRPr="00E834A1">
        <w:t xml:space="preserve"> expense and </w:t>
      </w:r>
      <w:r w:rsidR="00E0076B" w:rsidRPr="00E834A1">
        <w:t xml:space="preserve">decreased </w:t>
      </w:r>
      <w:r w:rsidRPr="00E834A1">
        <w:t xml:space="preserve">revenues from </w:t>
      </w:r>
      <w:r w:rsidR="00E0076B" w:rsidRPr="00E834A1">
        <w:t xml:space="preserve">special sales for </w:t>
      </w:r>
      <w:r w:rsidRPr="00E834A1">
        <w:t xml:space="preserve">resale.  These increases in costs are partially offset by a </w:t>
      </w:r>
      <w:r w:rsidR="006B34D7" w:rsidRPr="00E834A1">
        <w:t xml:space="preserve">decrease </w:t>
      </w:r>
      <w:r w:rsidRPr="00E834A1">
        <w:t xml:space="preserve">in natural gas fuel burn expense, wheeling and wind integration costs.  </w:t>
      </w:r>
      <w:r w:rsidR="004F0D1C" w:rsidRPr="00E834A1">
        <w:t xml:space="preserve">Due to </w:t>
      </w:r>
      <w:r w:rsidR="00713EE2" w:rsidRPr="00E834A1">
        <w:t xml:space="preserve">load growth, expiring low-cost contracts, </w:t>
      </w:r>
      <w:r w:rsidR="004F0D1C" w:rsidRPr="00E834A1">
        <w:t xml:space="preserve">continued low market prices, </w:t>
      </w:r>
      <w:r w:rsidR="00713EE2" w:rsidRPr="00E834A1">
        <w:t>and</w:t>
      </w:r>
      <w:r w:rsidR="004F0D1C" w:rsidRPr="00E834A1">
        <w:t xml:space="preserve"> the need to carry additional reserves on thermal generation, the Company realized less volume of wholesale sales and thermal generation and an </w:t>
      </w:r>
      <w:r w:rsidRPr="00E834A1">
        <w:t>increase in purchased power expense</w:t>
      </w:r>
      <w:r w:rsidR="004F0D1C" w:rsidRPr="00E834A1">
        <w:t xml:space="preserve">.  </w:t>
      </w:r>
      <w:r w:rsidR="00076614" w:rsidRPr="00E834A1">
        <w:t>The</w:t>
      </w:r>
      <w:r w:rsidR="004F0D1C" w:rsidRPr="00E834A1">
        <w:t xml:space="preserve"> </w:t>
      </w:r>
      <w:r w:rsidRPr="00E834A1">
        <w:t>continued depression in market prices and the expiration of long term wholesale purchase contracts</w:t>
      </w:r>
      <w:r w:rsidR="004F0D1C" w:rsidRPr="00E834A1">
        <w:t xml:space="preserve"> </w:t>
      </w:r>
      <w:r w:rsidRPr="00E834A1">
        <w:t>make it more economic at times to displace thermal units with purchases from the market</w:t>
      </w:r>
      <w:r w:rsidR="00076614" w:rsidRPr="00E834A1">
        <w:t xml:space="preserve">. </w:t>
      </w:r>
    </w:p>
    <w:p w:rsidR="00046C9F" w:rsidRPr="00E834A1" w:rsidRDefault="00046C9F" w:rsidP="00E834A1">
      <w:pPr>
        <w:pStyle w:val="BodyText2"/>
        <w:ind w:left="720" w:hanging="720"/>
        <w:rPr>
          <w:b/>
          <w:bCs/>
        </w:rPr>
      </w:pPr>
      <w:r w:rsidRPr="00E834A1">
        <w:rPr>
          <w:b/>
          <w:bCs/>
        </w:rPr>
        <w:t xml:space="preserve">Major Cost Drivers in the Pro Forma Test Period </w:t>
      </w:r>
    </w:p>
    <w:p w:rsidR="001C01E6" w:rsidRPr="00E834A1" w:rsidRDefault="001C01E6" w:rsidP="00E834A1">
      <w:pPr>
        <w:pStyle w:val="BodyText2"/>
        <w:ind w:left="720" w:hanging="720"/>
      </w:pPr>
      <w:r w:rsidRPr="00E834A1">
        <w:rPr>
          <w:b/>
          <w:bCs/>
        </w:rPr>
        <w:t>Q</w:t>
      </w:r>
      <w:r w:rsidR="00C01516" w:rsidRPr="00E834A1">
        <w:rPr>
          <w:b/>
          <w:bCs/>
        </w:rPr>
        <w:t>.</w:t>
      </w:r>
      <w:r w:rsidR="00C01516" w:rsidRPr="00E834A1">
        <w:rPr>
          <w:b/>
          <w:bCs/>
        </w:rPr>
        <w:tab/>
      </w:r>
      <w:r w:rsidRPr="00E834A1">
        <w:rPr>
          <w:b/>
          <w:bCs/>
        </w:rPr>
        <w:t xml:space="preserve">What are the primary </w:t>
      </w:r>
      <w:r w:rsidR="00046C9F" w:rsidRPr="00E834A1">
        <w:rPr>
          <w:b/>
          <w:bCs/>
        </w:rPr>
        <w:t>drivers of the</w:t>
      </w:r>
      <w:r w:rsidRPr="00E834A1">
        <w:rPr>
          <w:b/>
          <w:bCs/>
        </w:rPr>
        <w:t xml:space="preserve"> increase in net power costs since the 20</w:t>
      </w:r>
      <w:r w:rsidR="00530FEC" w:rsidRPr="00E834A1">
        <w:rPr>
          <w:b/>
          <w:bCs/>
        </w:rPr>
        <w:t>10</w:t>
      </w:r>
      <w:r w:rsidRPr="00E834A1">
        <w:rPr>
          <w:b/>
          <w:bCs/>
        </w:rPr>
        <w:t xml:space="preserve"> Rate Case?</w:t>
      </w:r>
    </w:p>
    <w:p w:rsidR="001C01E6" w:rsidRPr="00E834A1" w:rsidRDefault="001C01E6" w:rsidP="00E834A1">
      <w:pPr>
        <w:pStyle w:val="BodyTextIndent"/>
        <w:tabs>
          <w:tab w:val="clear" w:pos="720"/>
        </w:tabs>
        <w:jc w:val="left"/>
      </w:pPr>
      <w:r w:rsidRPr="00E834A1">
        <w:t>A.</w:t>
      </w:r>
      <w:r w:rsidRPr="00E834A1">
        <w:rPr>
          <w:b/>
        </w:rPr>
        <w:tab/>
      </w:r>
      <w:r w:rsidRPr="00E834A1">
        <w:t xml:space="preserve">The </w:t>
      </w:r>
      <w:r w:rsidR="00B64F15" w:rsidRPr="00E834A1">
        <w:t>increases</w:t>
      </w:r>
      <w:r w:rsidR="00CF137F" w:rsidRPr="00E834A1">
        <w:t xml:space="preserve"> in </w:t>
      </w:r>
      <w:r w:rsidR="00E86457" w:rsidRPr="00E834A1">
        <w:t xml:space="preserve">net power costs </w:t>
      </w:r>
      <w:r w:rsidR="00CF137F" w:rsidRPr="00E834A1">
        <w:t>are</w:t>
      </w:r>
      <w:r w:rsidR="00B64F15" w:rsidRPr="00E834A1">
        <w:t xml:space="preserve"> primarily due to</w:t>
      </w:r>
      <w:r w:rsidR="00873E24" w:rsidRPr="00E834A1">
        <w:t>:</w:t>
      </w:r>
    </w:p>
    <w:p w:rsidR="00C63236" w:rsidRPr="00E834A1" w:rsidRDefault="009C5164" w:rsidP="00E834A1">
      <w:pPr>
        <w:pStyle w:val="BodyTextIndent"/>
        <w:numPr>
          <w:ilvl w:val="0"/>
          <w:numId w:val="8"/>
        </w:numPr>
        <w:tabs>
          <w:tab w:val="clear" w:pos="720"/>
        </w:tabs>
        <w:jc w:val="left"/>
      </w:pPr>
      <w:r w:rsidRPr="00E834A1">
        <w:t xml:space="preserve">Increases in market purchases to replace power lost due to the </w:t>
      </w:r>
      <w:r w:rsidR="00B64F15" w:rsidRPr="00E834A1">
        <w:t>e</w:t>
      </w:r>
      <w:r w:rsidR="001C01E6" w:rsidRPr="00E834A1">
        <w:t xml:space="preserve">xpiration of </w:t>
      </w:r>
      <w:r w:rsidR="00B64F15" w:rsidRPr="00E834A1">
        <w:t>low</w:t>
      </w:r>
      <w:r w:rsidRPr="00E834A1">
        <w:t>-</w:t>
      </w:r>
      <w:r w:rsidR="00B64F15" w:rsidRPr="00E834A1">
        <w:t>cost</w:t>
      </w:r>
      <w:r w:rsidR="00F90C67" w:rsidRPr="00E834A1">
        <w:t>,</w:t>
      </w:r>
      <w:r w:rsidR="001C01E6" w:rsidRPr="00E834A1">
        <w:t xml:space="preserve"> long-term firm </w:t>
      </w:r>
      <w:r w:rsidR="00B47F32" w:rsidRPr="00E834A1">
        <w:t xml:space="preserve">wholesale </w:t>
      </w:r>
      <w:r w:rsidR="001C01E6" w:rsidRPr="00E834A1">
        <w:t>purchase power contracts;</w:t>
      </w:r>
    </w:p>
    <w:p w:rsidR="00C63236" w:rsidRPr="00E834A1" w:rsidRDefault="001C01E6" w:rsidP="00E834A1">
      <w:pPr>
        <w:pStyle w:val="BodyTextIndent"/>
        <w:numPr>
          <w:ilvl w:val="0"/>
          <w:numId w:val="8"/>
        </w:numPr>
        <w:tabs>
          <w:tab w:val="clear" w:pos="720"/>
        </w:tabs>
        <w:jc w:val="left"/>
      </w:pPr>
      <w:r w:rsidRPr="00E834A1">
        <w:t xml:space="preserve">Increases in </w:t>
      </w:r>
      <w:r w:rsidR="009C5164" w:rsidRPr="00E834A1">
        <w:t>retail load and reduction in wholesale sales</w:t>
      </w:r>
      <w:r w:rsidRPr="00E834A1">
        <w:t>;</w:t>
      </w:r>
    </w:p>
    <w:p w:rsidR="00E86457" w:rsidRPr="00E834A1" w:rsidRDefault="00315681" w:rsidP="00E834A1">
      <w:pPr>
        <w:pStyle w:val="BodyTextIndent"/>
        <w:numPr>
          <w:ilvl w:val="0"/>
          <w:numId w:val="8"/>
        </w:numPr>
        <w:tabs>
          <w:tab w:val="clear" w:pos="720"/>
        </w:tabs>
        <w:jc w:val="left"/>
      </w:pPr>
      <w:r w:rsidRPr="00E834A1">
        <w:t xml:space="preserve">Increases in </w:t>
      </w:r>
      <w:r w:rsidR="00530FEC" w:rsidRPr="00E834A1">
        <w:t>coal costs</w:t>
      </w:r>
      <w:r w:rsidR="00E86457" w:rsidRPr="00E834A1">
        <w:t>; and</w:t>
      </w:r>
    </w:p>
    <w:p w:rsidR="00315681" w:rsidRPr="00E834A1" w:rsidRDefault="00E86457" w:rsidP="00E834A1">
      <w:pPr>
        <w:pStyle w:val="BodyTextIndent"/>
        <w:numPr>
          <w:ilvl w:val="0"/>
          <w:numId w:val="8"/>
        </w:numPr>
        <w:tabs>
          <w:tab w:val="clear" w:pos="720"/>
        </w:tabs>
        <w:jc w:val="left"/>
      </w:pPr>
      <w:r w:rsidRPr="00E834A1">
        <w:t>Removal of the Condit hydro-electric facility.</w:t>
      </w:r>
    </w:p>
    <w:p w:rsidR="00C63236" w:rsidRPr="00E834A1" w:rsidRDefault="001C01E6" w:rsidP="00E834A1">
      <w:pPr>
        <w:pStyle w:val="BodyTextIndent"/>
        <w:tabs>
          <w:tab w:val="clear" w:pos="720"/>
        </w:tabs>
        <w:ind w:left="810" w:firstLine="0"/>
        <w:jc w:val="left"/>
      </w:pPr>
      <w:r w:rsidRPr="00E834A1">
        <w:t xml:space="preserve">These factors are partially offset by reductions in net power costs </w:t>
      </w:r>
      <w:r w:rsidR="00B64F15" w:rsidRPr="00E834A1">
        <w:t>due to the</w:t>
      </w:r>
      <w:r w:rsidR="00873E24" w:rsidRPr="00E834A1">
        <w:t xml:space="preserve"> </w:t>
      </w:r>
      <w:r w:rsidR="00530FEC" w:rsidRPr="00E834A1">
        <w:t>expiration of wheeling contracts,</w:t>
      </w:r>
      <w:r w:rsidR="00622D13" w:rsidRPr="00E834A1">
        <w:t xml:space="preserve"> </w:t>
      </w:r>
      <w:r w:rsidR="00F90C67" w:rsidRPr="00E834A1">
        <w:t xml:space="preserve">and </w:t>
      </w:r>
      <w:r w:rsidR="009C5164" w:rsidRPr="00E834A1">
        <w:t>reduced output from natural gas-fired generation units</w:t>
      </w:r>
      <w:r w:rsidR="00F90C67" w:rsidRPr="00E834A1">
        <w:t>.</w:t>
      </w:r>
    </w:p>
    <w:p w:rsidR="0094381E" w:rsidRPr="00E834A1" w:rsidRDefault="0094381E" w:rsidP="00E834A1">
      <w:pPr>
        <w:pStyle w:val="BodyText2"/>
        <w:widowControl w:val="0"/>
        <w:tabs>
          <w:tab w:val="clear" w:pos="720"/>
        </w:tabs>
        <w:ind w:left="720" w:hanging="720"/>
        <w:rPr>
          <w:b/>
          <w:bCs/>
        </w:rPr>
      </w:pPr>
      <w:r w:rsidRPr="00E834A1">
        <w:rPr>
          <w:b/>
          <w:bCs/>
        </w:rPr>
        <w:t>Q.</w:t>
      </w:r>
      <w:r w:rsidRPr="00E834A1">
        <w:rPr>
          <w:b/>
          <w:bCs/>
        </w:rPr>
        <w:tab/>
        <w:t xml:space="preserve">Please </w:t>
      </w:r>
      <w:r w:rsidR="009C5164" w:rsidRPr="00E834A1">
        <w:rPr>
          <w:b/>
          <w:bCs/>
        </w:rPr>
        <w:t>identify</w:t>
      </w:r>
      <w:r w:rsidR="00B72831" w:rsidRPr="00E834A1">
        <w:rPr>
          <w:b/>
          <w:bCs/>
        </w:rPr>
        <w:t xml:space="preserve"> the</w:t>
      </w:r>
      <w:r w:rsidRPr="00E834A1">
        <w:rPr>
          <w:b/>
          <w:bCs/>
        </w:rPr>
        <w:t xml:space="preserve"> long-term wholesale purchase </w:t>
      </w:r>
      <w:r w:rsidR="00046C9F" w:rsidRPr="00E834A1">
        <w:rPr>
          <w:b/>
          <w:bCs/>
        </w:rPr>
        <w:t xml:space="preserve">power </w:t>
      </w:r>
      <w:r w:rsidRPr="00E834A1">
        <w:rPr>
          <w:b/>
          <w:bCs/>
        </w:rPr>
        <w:t xml:space="preserve">contracts that </w:t>
      </w:r>
      <w:r w:rsidR="009C5164" w:rsidRPr="00E834A1">
        <w:rPr>
          <w:b/>
          <w:bCs/>
        </w:rPr>
        <w:t>expire</w:t>
      </w:r>
      <w:r w:rsidR="002F32BE" w:rsidRPr="00E834A1">
        <w:rPr>
          <w:b/>
          <w:bCs/>
        </w:rPr>
        <w:t xml:space="preserve"> prior to the pro forma period</w:t>
      </w:r>
      <w:r w:rsidRPr="00E834A1">
        <w:rPr>
          <w:b/>
          <w:bCs/>
        </w:rPr>
        <w:t>.</w:t>
      </w:r>
    </w:p>
    <w:p w:rsidR="0094381E" w:rsidRPr="00E834A1" w:rsidRDefault="0094381E" w:rsidP="00E834A1">
      <w:pPr>
        <w:pStyle w:val="BodyText2"/>
        <w:widowControl w:val="0"/>
        <w:tabs>
          <w:tab w:val="clear" w:pos="720"/>
        </w:tabs>
        <w:ind w:left="720" w:hanging="720"/>
        <w:rPr>
          <w:bCs/>
        </w:rPr>
      </w:pPr>
      <w:r w:rsidRPr="00E834A1">
        <w:rPr>
          <w:bCs/>
        </w:rPr>
        <w:t>A.</w:t>
      </w:r>
      <w:r w:rsidRPr="00E834A1">
        <w:rPr>
          <w:bCs/>
        </w:rPr>
        <w:tab/>
        <w:t>The</w:t>
      </w:r>
      <w:r w:rsidR="005E24D1" w:rsidRPr="00E834A1">
        <w:t xml:space="preserve"> major wholesale purchase power contracts </w:t>
      </w:r>
      <w:r w:rsidRPr="00E834A1">
        <w:rPr>
          <w:bCs/>
        </w:rPr>
        <w:t>that expire prior to the pro forma period are:</w:t>
      </w:r>
    </w:p>
    <w:p w:rsidR="00405DA3" w:rsidRPr="00E834A1" w:rsidRDefault="0094381E" w:rsidP="00E834A1">
      <w:pPr>
        <w:pStyle w:val="BodyText2"/>
        <w:widowControl w:val="0"/>
        <w:numPr>
          <w:ilvl w:val="0"/>
          <w:numId w:val="10"/>
        </w:numPr>
        <w:tabs>
          <w:tab w:val="clear" w:pos="720"/>
        </w:tabs>
        <w:ind w:left="1440"/>
        <w:rPr>
          <w:bCs/>
        </w:rPr>
      </w:pPr>
      <w:r w:rsidRPr="00E834A1">
        <w:rPr>
          <w:bCs/>
        </w:rPr>
        <w:t>The Chelan Public Utility District (Chelan PUD) Rocky Reach project generation, expiring in October 2011;</w:t>
      </w:r>
    </w:p>
    <w:p w:rsidR="00405DA3" w:rsidRPr="00E834A1" w:rsidRDefault="0094381E" w:rsidP="00E834A1">
      <w:pPr>
        <w:pStyle w:val="BodyText2"/>
        <w:widowControl w:val="0"/>
        <w:numPr>
          <w:ilvl w:val="0"/>
          <w:numId w:val="10"/>
        </w:numPr>
        <w:tabs>
          <w:tab w:val="clear" w:pos="720"/>
        </w:tabs>
        <w:ind w:left="1440"/>
        <w:rPr>
          <w:bCs/>
        </w:rPr>
      </w:pPr>
      <w:r w:rsidRPr="00E834A1">
        <w:rPr>
          <w:bCs/>
        </w:rPr>
        <w:t>Grant Public Utility District (Grant PUD) Displacement generation, expiring in September 2011;</w:t>
      </w:r>
    </w:p>
    <w:p w:rsidR="00405DA3" w:rsidRPr="00E834A1" w:rsidRDefault="0094381E" w:rsidP="00E834A1">
      <w:pPr>
        <w:pStyle w:val="BodyText2"/>
        <w:widowControl w:val="0"/>
        <w:numPr>
          <w:ilvl w:val="0"/>
          <w:numId w:val="10"/>
        </w:numPr>
        <w:tabs>
          <w:tab w:val="clear" w:pos="720"/>
        </w:tabs>
        <w:ind w:left="1440"/>
        <w:rPr>
          <w:bCs/>
        </w:rPr>
      </w:pPr>
      <w:r w:rsidRPr="00E834A1">
        <w:t>Alcoa Power Generating Inc. (APGI) for approximately 100 megawatts (MW) of capacity from the Rocky Reach project, expiring in June 2011; and</w:t>
      </w:r>
    </w:p>
    <w:p w:rsidR="00405DA3" w:rsidRPr="00E834A1" w:rsidRDefault="0094381E" w:rsidP="00E834A1">
      <w:pPr>
        <w:pStyle w:val="BodyText2"/>
        <w:widowControl w:val="0"/>
        <w:numPr>
          <w:ilvl w:val="0"/>
          <w:numId w:val="10"/>
        </w:numPr>
        <w:tabs>
          <w:tab w:val="clear" w:pos="720"/>
        </w:tabs>
        <w:ind w:left="1440"/>
        <w:rPr>
          <w:bCs/>
        </w:rPr>
      </w:pPr>
      <w:r w:rsidRPr="00E834A1">
        <w:t xml:space="preserve">Bonneville Power Administration (BPA) for 575 </w:t>
      </w:r>
      <w:r w:rsidR="00F90C67" w:rsidRPr="00E834A1">
        <w:t>MW</w:t>
      </w:r>
      <w:r w:rsidRPr="00E834A1">
        <w:t xml:space="preserve"> of capacity, expiring in August 2011</w:t>
      </w:r>
      <w:r w:rsidR="00B5714F" w:rsidRPr="00E834A1">
        <w:t>.</w:t>
      </w:r>
    </w:p>
    <w:p w:rsidR="00471226" w:rsidRPr="00E834A1" w:rsidRDefault="006B34D7" w:rsidP="00E834A1">
      <w:pPr>
        <w:pStyle w:val="BodyText2"/>
        <w:widowControl w:val="0"/>
        <w:tabs>
          <w:tab w:val="clear" w:pos="720"/>
        </w:tabs>
        <w:ind w:left="720"/>
        <w:rPr>
          <w:bCs/>
          <w:szCs w:val="24"/>
        </w:rPr>
      </w:pPr>
      <w:r w:rsidRPr="00E834A1">
        <w:rPr>
          <w:szCs w:val="24"/>
        </w:rPr>
        <w:t>While t</w:t>
      </w:r>
      <w:r w:rsidR="00311F93" w:rsidRPr="00E834A1">
        <w:rPr>
          <w:szCs w:val="24"/>
        </w:rPr>
        <w:t>hese contracts were partially in effect in the 2010 Rate Case</w:t>
      </w:r>
      <w:r w:rsidRPr="00E834A1">
        <w:rPr>
          <w:szCs w:val="24"/>
        </w:rPr>
        <w:t xml:space="preserve">, they have been completely removed from the pro forma test period.  </w:t>
      </w:r>
    </w:p>
    <w:p w:rsidR="00405DA3" w:rsidRPr="00E834A1" w:rsidRDefault="00B47F32" w:rsidP="00E834A1">
      <w:pPr>
        <w:pStyle w:val="BodyText2"/>
        <w:tabs>
          <w:tab w:val="clear" w:pos="720"/>
          <w:tab w:val="left" w:pos="0"/>
        </w:tabs>
        <w:ind w:left="720" w:hanging="720"/>
        <w:rPr>
          <w:b/>
          <w:bCs/>
        </w:rPr>
      </w:pPr>
      <w:r w:rsidRPr="00E834A1">
        <w:rPr>
          <w:b/>
        </w:rPr>
        <w:t>Q.</w:t>
      </w:r>
      <w:r w:rsidRPr="00E834A1">
        <w:rPr>
          <w:b/>
        </w:rPr>
        <w:tab/>
        <w:t xml:space="preserve">Why do expiring </w:t>
      </w:r>
      <w:r w:rsidR="00DB3037" w:rsidRPr="00E834A1">
        <w:rPr>
          <w:b/>
        </w:rPr>
        <w:t xml:space="preserve">wholesale </w:t>
      </w:r>
      <w:r w:rsidRPr="00E834A1">
        <w:rPr>
          <w:b/>
        </w:rPr>
        <w:t>purchase power contracts increase net power costs?</w:t>
      </w:r>
    </w:p>
    <w:p w:rsidR="00C63236" w:rsidRPr="00E834A1" w:rsidRDefault="00B47F32" w:rsidP="00E834A1">
      <w:pPr>
        <w:pStyle w:val="BodyText2"/>
        <w:tabs>
          <w:tab w:val="clear" w:pos="720"/>
          <w:tab w:val="left" w:pos="0"/>
        </w:tabs>
        <w:ind w:left="720" w:hanging="720"/>
      </w:pPr>
      <w:r w:rsidRPr="00E834A1">
        <w:t>A.</w:t>
      </w:r>
      <w:r w:rsidR="005E24D1" w:rsidRPr="00E834A1">
        <w:tab/>
      </w:r>
      <w:r w:rsidR="00AA2911" w:rsidRPr="00E834A1">
        <w:t xml:space="preserve">Wholesale </w:t>
      </w:r>
      <w:r w:rsidR="00DB3037" w:rsidRPr="00E834A1">
        <w:t>p</w:t>
      </w:r>
      <w:r w:rsidRPr="00E834A1">
        <w:t xml:space="preserve">urchase power contracts generally reflect wholesale electric market prices at the time they were executed.  </w:t>
      </w:r>
      <w:r w:rsidR="00B72831" w:rsidRPr="00E834A1">
        <w:rPr>
          <w:bCs/>
        </w:rPr>
        <w:t xml:space="preserve">For example, the </w:t>
      </w:r>
      <w:r w:rsidR="002C7859" w:rsidRPr="00E834A1">
        <w:t>Chelan PUD contract has been in existence for</w:t>
      </w:r>
      <w:r w:rsidR="00315681" w:rsidRPr="00E834A1">
        <w:t xml:space="preserve"> </w:t>
      </w:r>
      <w:r w:rsidR="00E74647" w:rsidRPr="00E834A1">
        <w:t>approximately</w:t>
      </w:r>
      <w:r w:rsidR="002C7859" w:rsidRPr="00E834A1">
        <w:t xml:space="preserve"> 50 years, and is priced at the embedded cost of the </w:t>
      </w:r>
      <w:r w:rsidR="009C5164" w:rsidRPr="00E834A1">
        <w:t xml:space="preserve">Rocky Reach hydro-electric </w:t>
      </w:r>
      <w:r w:rsidR="002C7859" w:rsidRPr="00E834A1">
        <w:t>project</w:t>
      </w:r>
      <w:r w:rsidR="004D3561" w:rsidRPr="00E834A1">
        <w:t>.  T</w:t>
      </w:r>
      <w:r w:rsidR="00B72831" w:rsidRPr="00E834A1">
        <w:t>he Grant PUD contract</w:t>
      </w:r>
      <w:r w:rsidR="0098219B" w:rsidRPr="00E834A1">
        <w:t xml:space="preserve"> for displacement generation </w:t>
      </w:r>
      <w:r w:rsidR="00B72831" w:rsidRPr="00E834A1">
        <w:t xml:space="preserve">is </w:t>
      </w:r>
      <w:r w:rsidR="0098219B" w:rsidRPr="00E834A1">
        <w:t>priced at BPA’s Priority Firm Power (PF) rate</w:t>
      </w:r>
      <w:r w:rsidR="008C6470" w:rsidRPr="00E834A1">
        <w:t>.</w:t>
      </w:r>
      <w:r w:rsidR="009C5164" w:rsidRPr="00E834A1">
        <w:t xml:space="preserve"> </w:t>
      </w:r>
      <w:r w:rsidR="002F32BE" w:rsidRPr="00E834A1">
        <w:t xml:space="preserve"> </w:t>
      </w:r>
      <w:r w:rsidR="008E4D39" w:rsidRPr="00E834A1">
        <w:t>The total</w:t>
      </w:r>
      <w:r w:rsidR="0023439B" w:rsidRPr="00E834A1">
        <w:t xml:space="preserve"> impact of</w:t>
      </w:r>
      <w:r w:rsidR="00BB3129" w:rsidRPr="00E834A1">
        <w:t xml:space="preserve"> replacing the output of </w:t>
      </w:r>
      <w:r w:rsidR="0023439B" w:rsidRPr="00E834A1">
        <w:t>the</w:t>
      </w:r>
      <w:r w:rsidR="008E4D39" w:rsidRPr="00E834A1">
        <w:t xml:space="preserve">se </w:t>
      </w:r>
      <w:r w:rsidR="00B72831" w:rsidRPr="00E834A1">
        <w:t xml:space="preserve">two </w:t>
      </w:r>
      <w:r w:rsidR="008E4D39" w:rsidRPr="00E834A1">
        <w:t xml:space="preserve">expiring contracts has the net effect of </w:t>
      </w:r>
      <w:r w:rsidR="0023439B" w:rsidRPr="00E834A1">
        <w:t>increas</w:t>
      </w:r>
      <w:r w:rsidR="008E4D39" w:rsidRPr="00E834A1">
        <w:t>ing</w:t>
      </w:r>
      <w:r w:rsidR="0023439B" w:rsidRPr="00E834A1">
        <w:t xml:space="preserve"> net power costs by approximately $</w:t>
      </w:r>
      <w:r w:rsidR="00BB7D14" w:rsidRPr="00E834A1">
        <w:t>6.</w:t>
      </w:r>
      <w:r w:rsidR="002E1620" w:rsidRPr="00E834A1">
        <w:t>6</w:t>
      </w:r>
      <w:r w:rsidR="0023439B" w:rsidRPr="00E834A1">
        <w:t xml:space="preserve"> million</w:t>
      </w:r>
      <w:r w:rsidR="002C7859" w:rsidRPr="00E834A1">
        <w:t xml:space="preserve"> on a </w:t>
      </w:r>
      <w:r w:rsidR="001779B5" w:rsidRPr="00E834A1">
        <w:t xml:space="preserve">west control area </w:t>
      </w:r>
      <w:r w:rsidR="002C7859" w:rsidRPr="00E834A1">
        <w:t>basis</w:t>
      </w:r>
      <w:r w:rsidR="0023439B" w:rsidRPr="00E834A1">
        <w:t>.</w:t>
      </w:r>
    </w:p>
    <w:p w:rsidR="00B47F32" w:rsidRPr="00E834A1" w:rsidRDefault="00B72831" w:rsidP="00E834A1">
      <w:pPr>
        <w:pStyle w:val="BodyText2"/>
        <w:widowControl w:val="0"/>
        <w:tabs>
          <w:tab w:val="clear" w:pos="720"/>
        </w:tabs>
        <w:ind w:left="810" w:firstLine="630"/>
      </w:pPr>
      <w:r w:rsidRPr="00E834A1">
        <w:t xml:space="preserve">Further, </w:t>
      </w:r>
      <w:r w:rsidR="00BB3129" w:rsidRPr="00E834A1">
        <w:t xml:space="preserve">both </w:t>
      </w:r>
      <w:r w:rsidRPr="00E834A1">
        <w:t>t</w:t>
      </w:r>
      <w:r w:rsidR="00DB3037" w:rsidRPr="00E834A1">
        <w:t xml:space="preserve">he </w:t>
      </w:r>
      <w:r w:rsidR="006A033F" w:rsidRPr="00E834A1">
        <w:t xml:space="preserve">arrangement with </w:t>
      </w:r>
      <w:r w:rsidR="00DB3037" w:rsidRPr="00E834A1">
        <w:t xml:space="preserve">BPA </w:t>
      </w:r>
      <w:r w:rsidR="006A033F" w:rsidRPr="00E834A1">
        <w:t xml:space="preserve">for </w:t>
      </w:r>
      <w:r w:rsidR="00DB3037" w:rsidRPr="00E834A1">
        <w:t>peaking</w:t>
      </w:r>
      <w:r w:rsidR="006A033F" w:rsidRPr="00E834A1">
        <w:t xml:space="preserve"> products</w:t>
      </w:r>
      <w:r w:rsidRPr="00E834A1">
        <w:t xml:space="preserve">, an expiring </w:t>
      </w:r>
      <w:r w:rsidR="00DB3037" w:rsidRPr="00E834A1">
        <w:t>40</w:t>
      </w:r>
      <w:r w:rsidR="005940B1" w:rsidRPr="00E834A1">
        <w:t>-</w:t>
      </w:r>
      <w:r w:rsidR="00DB3037" w:rsidRPr="00E834A1">
        <w:t xml:space="preserve"> year</w:t>
      </w:r>
      <w:r w:rsidRPr="00E834A1">
        <w:t xml:space="preserve"> contract, </w:t>
      </w:r>
      <w:r w:rsidR="00814252" w:rsidRPr="00E834A1">
        <w:t>and</w:t>
      </w:r>
      <w:r w:rsidRPr="00E834A1">
        <w:t xml:space="preserve"> the APGI contract for 100 MW of capacity, allowed </w:t>
      </w:r>
      <w:r w:rsidR="00F36C53" w:rsidRPr="00E834A1">
        <w:t xml:space="preserve">the Company </w:t>
      </w:r>
      <w:r w:rsidRPr="00E834A1">
        <w:t xml:space="preserve">to </w:t>
      </w:r>
      <w:r w:rsidR="00F36C53" w:rsidRPr="00E834A1">
        <w:t>receive energy during peak periods and return energy during off-peak periods</w:t>
      </w:r>
      <w:r w:rsidRPr="00E834A1">
        <w:t>, realizing value</w:t>
      </w:r>
      <w:r w:rsidR="00BB3129" w:rsidRPr="00E834A1">
        <w:t xml:space="preserve"> from taking power during high cost periods and returning it during low cost periods</w:t>
      </w:r>
      <w:r w:rsidR="00F36C53" w:rsidRPr="00E834A1">
        <w:t xml:space="preserve">.  </w:t>
      </w:r>
      <w:r w:rsidR="00814252" w:rsidRPr="00E834A1">
        <w:t>In addition, t</w:t>
      </w:r>
      <w:r w:rsidR="0023439B" w:rsidRPr="00E834A1">
        <w:t>he</w:t>
      </w:r>
      <w:r w:rsidR="00F36C53" w:rsidRPr="00E834A1">
        <w:t xml:space="preserve"> power received under </w:t>
      </w:r>
      <w:r w:rsidR="0023439B" w:rsidRPr="00E834A1">
        <w:t>the BPA</w:t>
      </w:r>
      <w:r w:rsidR="00F36C53" w:rsidRPr="00E834A1">
        <w:t xml:space="preserve"> </w:t>
      </w:r>
      <w:r w:rsidR="0023439B" w:rsidRPr="00E834A1">
        <w:t xml:space="preserve">capacity </w:t>
      </w:r>
      <w:r w:rsidR="00F36C53" w:rsidRPr="00E834A1">
        <w:t xml:space="preserve">contract </w:t>
      </w:r>
      <w:r w:rsidRPr="00E834A1">
        <w:t>was</w:t>
      </w:r>
      <w:r w:rsidR="00F36C53" w:rsidRPr="00E834A1">
        <w:t xml:space="preserve"> delivered directly to a variety of the Company’s load pockets in the </w:t>
      </w:r>
      <w:r w:rsidR="001779B5" w:rsidRPr="00E834A1">
        <w:t xml:space="preserve">west control area </w:t>
      </w:r>
      <w:r w:rsidR="00F36C53" w:rsidRPr="00E834A1">
        <w:t>at the Company’s discretion</w:t>
      </w:r>
      <w:r w:rsidR="00BB3129" w:rsidRPr="00E834A1">
        <w:t xml:space="preserve"> without incurring any additional wheeling expense</w:t>
      </w:r>
      <w:r w:rsidR="00F36C53" w:rsidRPr="00E834A1">
        <w:t>.</w:t>
      </w:r>
      <w:r w:rsidR="00BB7D14" w:rsidRPr="00E834A1">
        <w:t xml:space="preserve">  </w:t>
      </w:r>
      <w:r w:rsidR="00BD0A3B" w:rsidRPr="00E834A1">
        <w:t xml:space="preserve">The Company must replace this energy and capacity with either its own generation resources or through wholesale </w:t>
      </w:r>
      <w:r w:rsidR="00BB3129" w:rsidRPr="00E834A1">
        <w:t xml:space="preserve">power </w:t>
      </w:r>
      <w:r w:rsidR="00BD0A3B" w:rsidRPr="00E834A1">
        <w:t xml:space="preserve">purchases.  </w:t>
      </w:r>
    </w:p>
    <w:p w:rsidR="00481E09" w:rsidRPr="00E834A1" w:rsidRDefault="00FB48DA" w:rsidP="00E834A1">
      <w:pPr>
        <w:pStyle w:val="BodyTextIndent"/>
        <w:widowControl w:val="0"/>
        <w:tabs>
          <w:tab w:val="clear" w:pos="720"/>
        </w:tabs>
        <w:jc w:val="left"/>
        <w:rPr>
          <w:b/>
        </w:rPr>
      </w:pPr>
      <w:r w:rsidRPr="00E834A1">
        <w:rPr>
          <w:b/>
        </w:rPr>
        <w:t>Q.</w:t>
      </w:r>
      <w:r w:rsidRPr="00E834A1">
        <w:rPr>
          <w:b/>
        </w:rPr>
        <w:tab/>
      </w:r>
      <w:r w:rsidR="006578C4" w:rsidRPr="00E834A1">
        <w:rPr>
          <w:b/>
        </w:rPr>
        <w:t>Does th</w:t>
      </w:r>
      <w:r w:rsidR="0098505B" w:rsidRPr="00E834A1">
        <w:rPr>
          <w:b/>
        </w:rPr>
        <w:t>is</w:t>
      </w:r>
      <w:r w:rsidR="006578C4" w:rsidRPr="00E834A1">
        <w:rPr>
          <w:b/>
        </w:rPr>
        <w:t xml:space="preserve"> filing reflect an increase in retail load that impacts </w:t>
      </w:r>
      <w:r w:rsidR="00E86457" w:rsidRPr="00E834A1">
        <w:rPr>
          <w:b/>
        </w:rPr>
        <w:t>net power costs</w:t>
      </w:r>
      <w:r w:rsidRPr="00E834A1">
        <w:rPr>
          <w:b/>
        </w:rPr>
        <w:t>?</w:t>
      </w:r>
    </w:p>
    <w:p w:rsidR="00481E09" w:rsidRPr="00E834A1" w:rsidRDefault="00FB48DA" w:rsidP="00E834A1">
      <w:pPr>
        <w:pStyle w:val="BodyTextIndent"/>
        <w:widowControl w:val="0"/>
        <w:tabs>
          <w:tab w:val="clear" w:pos="720"/>
        </w:tabs>
        <w:jc w:val="left"/>
      </w:pPr>
      <w:r w:rsidRPr="00E834A1">
        <w:t>A.</w:t>
      </w:r>
      <w:r w:rsidRPr="00E834A1">
        <w:tab/>
      </w:r>
      <w:r w:rsidR="006578C4" w:rsidRPr="00E834A1">
        <w:t xml:space="preserve">Yes.  </w:t>
      </w:r>
      <w:r w:rsidR="00BB3129" w:rsidRPr="00E834A1">
        <w:t>At the same time the Company is losing existing resources, loads</w:t>
      </w:r>
      <w:r w:rsidR="00F90C67" w:rsidRPr="00E834A1">
        <w:t xml:space="preserve"> for the pro forma period</w:t>
      </w:r>
      <w:r w:rsidR="00BB3129" w:rsidRPr="00E834A1">
        <w:t xml:space="preserve"> are forecast to increase by</w:t>
      </w:r>
      <w:r w:rsidRPr="00E834A1">
        <w:t xml:space="preserve"> approximately </w:t>
      </w:r>
      <w:r w:rsidR="00460617" w:rsidRPr="00E834A1">
        <w:t>290</w:t>
      </w:r>
      <w:r w:rsidR="00126011" w:rsidRPr="00E834A1">
        <w:t>,000</w:t>
      </w:r>
      <w:r w:rsidRPr="00E834A1">
        <w:t xml:space="preserve"> </w:t>
      </w:r>
      <w:r w:rsidR="00DF7185" w:rsidRPr="00E834A1">
        <w:t>MWh</w:t>
      </w:r>
      <w:r w:rsidR="00126011" w:rsidRPr="00E834A1">
        <w:t xml:space="preserve">, or </w:t>
      </w:r>
      <w:r w:rsidR="00460617" w:rsidRPr="00E834A1">
        <w:t>1.4</w:t>
      </w:r>
      <w:r w:rsidRPr="00E834A1">
        <w:t xml:space="preserve"> percent in the </w:t>
      </w:r>
      <w:r w:rsidR="001779B5" w:rsidRPr="00E834A1">
        <w:t>west control area</w:t>
      </w:r>
      <w:r w:rsidR="0098505B" w:rsidRPr="00E834A1">
        <w:t>,</w:t>
      </w:r>
      <w:r w:rsidRPr="00E834A1">
        <w:t xml:space="preserve"> </w:t>
      </w:r>
      <w:r w:rsidR="00246B0A" w:rsidRPr="00E834A1">
        <w:t xml:space="preserve">as </w:t>
      </w:r>
      <w:r w:rsidRPr="00E834A1">
        <w:t xml:space="preserve">compared to loads </w:t>
      </w:r>
      <w:r w:rsidR="006578C4" w:rsidRPr="00E834A1">
        <w:t xml:space="preserve">reflected </w:t>
      </w:r>
      <w:r w:rsidRPr="00E834A1">
        <w:t>in the 20</w:t>
      </w:r>
      <w:r w:rsidR="00126011" w:rsidRPr="00E834A1">
        <w:t xml:space="preserve">10 </w:t>
      </w:r>
      <w:r w:rsidR="0098505B" w:rsidRPr="00E834A1">
        <w:t>R</w:t>
      </w:r>
      <w:r w:rsidR="00126011" w:rsidRPr="00E834A1">
        <w:t xml:space="preserve">ate </w:t>
      </w:r>
      <w:r w:rsidR="0098505B" w:rsidRPr="00E834A1">
        <w:t>C</w:t>
      </w:r>
      <w:r w:rsidR="00126011" w:rsidRPr="00E834A1">
        <w:t>ase</w:t>
      </w:r>
      <w:r w:rsidR="00F90C67" w:rsidRPr="00E834A1">
        <w:t xml:space="preserve"> for the twelve months ended </w:t>
      </w:r>
      <w:r w:rsidR="005940B1" w:rsidRPr="00E834A1">
        <w:t>M</w:t>
      </w:r>
      <w:r w:rsidR="00F90C67" w:rsidRPr="00E834A1">
        <w:t>arch 31, 2012</w:t>
      </w:r>
      <w:r w:rsidRPr="00E834A1">
        <w:t xml:space="preserve">. </w:t>
      </w:r>
      <w:r w:rsidR="00C01516" w:rsidRPr="00E834A1">
        <w:t xml:space="preserve"> </w:t>
      </w:r>
      <w:r w:rsidRPr="00E834A1">
        <w:t xml:space="preserve">All else held constant, increased load increases </w:t>
      </w:r>
      <w:r w:rsidR="00E86457" w:rsidRPr="00E834A1">
        <w:t>net power costs</w:t>
      </w:r>
      <w:r w:rsidR="006578C4" w:rsidRPr="00E834A1">
        <w:t>, which i</w:t>
      </w:r>
      <w:r w:rsidRPr="00E834A1">
        <w:t xml:space="preserve">n this case </w:t>
      </w:r>
      <w:r w:rsidR="006578C4" w:rsidRPr="00E834A1">
        <w:t xml:space="preserve">increased </w:t>
      </w:r>
      <w:r w:rsidR="00E86457" w:rsidRPr="00E834A1">
        <w:t>net power costs</w:t>
      </w:r>
      <w:r w:rsidRPr="00E834A1">
        <w:t xml:space="preserve"> by approximately $</w:t>
      </w:r>
      <w:r w:rsidR="00460617" w:rsidRPr="00E834A1">
        <w:t>10</w:t>
      </w:r>
      <w:r w:rsidR="00F90C67" w:rsidRPr="00E834A1">
        <w:t>.0</w:t>
      </w:r>
      <w:r w:rsidR="00460617" w:rsidRPr="00E834A1">
        <w:t xml:space="preserve"> </w:t>
      </w:r>
      <w:r w:rsidRPr="00E834A1">
        <w:t>million.</w:t>
      </w:r>
    </w:p>
    <w:p w:rsidR="006A5271" w:rsidRPr="00E834A1" w:rsidRDefault="0046528B" w:rsidP="00E834A1">
      <w:pPr>
        <w:pStyle w:val="BodyTextIndent"/>
        <w:widowControl w:val="0"/>
        <w:tabs>
          <w:tab w:val="clear" w:pos="720"/>
        </w:tabs>
        <w:jc w:val="left"/>
        <w:rPr>
          <w:b/>
        </w:rPr>
      </w:pPr>
      <w:r w:rsidRPr="00E834A1">
        <w:rPr>
          <w:b/>
        </w:rPr>
        <w:t>Q.</w:t>
      </w:r>
      <w:r w:rsidRPr="00E834A1">
        <w:rPr>
          <w:b/>
        </w:rPr>
        <w:tab/>
      </w:r>
      <w:r w:rsidR="006A5271" w:rsidRPr="00E834A1">
        <w:rPr>
          <w:b/>
        </w:rPr>
        <w:t>How does this increase in load discussed above reconcile with the statements in the direct testimony of Company witness Andrea L. Kelly regarding decreases in loads</w:t>
      </w:r>
      <w:r w:rsidR="00BE2EF0" w:rsidRPr="00E834A1">
        <w:rPr>
          <w:b/>
        </w:rPr>
        <w:t xml:space="preserve"> and retail revenues</w:t>
      </w:r>
      <w:r w:rsidR="006A5271" w:rsidRPr="00E834A1">
        <w:rPr>
          <w:b/>
        </w:rPr>
        <w:t>?</w:t>
      </w:r>
    </w:p>
    <w:p w:rsidR="006A5271" w:rsidRPr="00E834A1" w:rsidRDefault="006A5271" w:rsidP="00E834A1">
      <w:pPr>
        <w:pStyle w:val="BodyTextIndent"/>
        <w:widowControl w:val="0"/>
        <w:tabs>
          <w:tab w:val="clear" w:pos="720"/>
        </w:tabs>
        <w:jc w:val="left"/>
      </w:pPr>
      <w:r w:rsidRPr="00E834A1">
        <w:t>A.</w:t>
      </w:r>
      <w:r w:rsidRPr="00E834A1">
        <w:tab/>
        <w:t xml:space="preserve">The comparisons relate to different time periods.  The Company experienced a decrease in historic normalized sales when comparing calendar year 2009 to calendar year 2010.  </w:t>
      </w:r>
      <w:r w:rsidR="00BE2EF0" w:rsidRPr="00E834A1">
        <w:t xml:space="preserve">Historic loads are used for purposes of calculating test period revenues and allocation factors.  </w:t>
      </w:r>
      <w:r w:rsidRPr="00E834A1">
        <w:t xml:space="preserve">For purposes of net power costs, the forecast loads in the 2010 Rate Case were for the </w:t>
      </w:r>
      <w:r w:rsidR="00E834A1">
        <w:t>12</w:t>
      </w:r>
      <w:r w:rsidRPr="00E834A1">
        <w:t xml:space="preserve"> months ended March 31, 2012</w:t>
      </w:r>
      <w:r w:rsidR="00BE2EF0" w:rsidRPr="00E834A1">
        <w:t xml:space="preserve"> and in this proceeding are for the </w:t>
      </w:r>
      <w:r w:rsidR="00E834A1">
        <w:t>12</w:t>
      </w:r>
      <w:r w:rsidR="00BE2EF0" w:rsidRPr="00E834A1">
        <w:t xml:space="preserve"> months ended May 31, 2013.  </w:t>
      </w:r>
    </w:p>
    <w:p w:rsidR="00481E09" w:rsidRPr="00E834A1" w:rsidRDefault="00FB48DA" w:rsidP="00E834A1">
      <w:pPr>
        <w:pStyle w:val="BodyTextIndent"/>
        <w:widowControl w:val="0"/>
        <w:tabs>
          <w:tab w:val="clear" w:pos="720"/>
        </w:tabs>
        <w:jc w:val="left"/>
        <w:rPr>
          <w:b/>
        </w:rPr>
      </w:pPr>
      <w:r w:rsidRPr="00E834A1">
        <w:rPr>
          <w:b/>
        </w:rPr>
        <w:t>Q.</w:t>
      </w:r>
      <w:r w:rsidRPr="00E834A1">
        <w:rPr>
          <w:b/>
        </w:rPr>
        <w:tab/>
      </w:r>
      <w:r w:rsidR="006578C4" w:rsidRPr="00E834A1">
        <w:rPr>
          <w:b/>
        </w:rPr>
        <w:t xml:space="preserve">Do the </w:t>
      </w:r>
      <w:r w:rsidR="0098505B" w:rsidRPr="00E834A1">
        <w:rPr>
          <w:b/>
        </w:rPr>
        <w:t>net power costs</w:t>
      </w:r>
      <w:r w:rsidR="006578C4" w:rsidRPr="00E834A1">
        <w:rPr>
          <w:b/>
        </w:rPr>
        <w:t xml:space="preserve"> in this filing reflect increases in coal costs since the 2010 </w:t>
      </w:r>
      <w:r w:rsidR="0098505B" w:rsidRPr="00E834A1">
        <w:rPr>
          <w:b/>
        </w:rPr>
        <w:t>R</w:t>
      </w:r>
      <w:r w:rsidR="006578C4" w:rsidRPr="00E834A1">
        <w:rPr>
          <w:b/>
        </w:rPr>
        <w:t xml:space="preserve">ate </w:t>
      </w:r>
      <w:r w:rsidR="0098505B" w:rsidRPr="00E834A1">
        <w:rPr>
          <w:b/>
        </w:rPr>
        <w:t>C</w:t>
      </w:r>
      <w:r w:rsidR="006578C4" w:rsidRPr="00E834A1">
        <w:rPr>
          <w:b/>
        </w:rPr>
        <w:t>ase</w:t>
      </w:r>
      <w:r w:rsidRPr="00E834A1">
        <w:rPr>
          <w:b/>
        </w:rPr>
        <w:t>?</w:t>
      </w:r>
    </w:p>
    <w:p w:rsidR="00481E09" w:rsidRPr="00E834A1" w:rsidRDefault="00FB48DA" w:rsidP="00E834A1">
      <w:pPr>
        <w:pStyle w:val="BodyTextIndent"/>
        <w:widowControl w:val="0"/>
        <w:tabs>
          <w:tab w:val="clear" w:pos="720"/>
        </w:tabs>
        <w:jc w:val="left"/>
      </w:pPr>
      <w:r w:rsidRPr="00E834A1">
        <w:t>A.</w:t>
      </w:r>
      <w:r w:rsidRPr="00E834A1">
        <w:tab/>
        <w:t xml:space="preserve">Yes. </w:t>
      </w:r>
      <w:r w:rsidR="00EC4312" w:rsidRPr="00E834A1">
        <w:t xml:space="preserve"> </w:t>
      </w:r>
      <w:r w:rsidR="00E86457" w:rsidRPr="00E834A1">
        <w:t xml:space="preserve">Net power costs </w:t>
      </w:r>
      <w:r w:rsidRPr="00E834A1">
        <w:t xml:space="preserve">are higher </w:t>
      </w:r>
      <w:r w:rsidR="00814252" w:rsidRPr="00E834A1">
        <w:t>by</w:t>
      </w:r>
      <w:r w:rsidR="00126011" w:rsidRPr="00E834A1">
        <w:t xml:space="preserve"> </w:t>
      </w:r>
      <w:r w:rsidR="00EC4312" w:rsidRPr="00E834A1">
        <w:t>approximately $</w:t>
      </w:r>
      <w:r w:rsidR="00BB3129" w:rsidRPr="00E834A1">
        <w:t>16</w:t>
      </w:r>
      <w:r w:rsidR="002E1620" w:rsidRPr="00E834A1">
        <w:t>.4</w:t>
      </w:r>
      <w:r w:rsidR="003150F6" w:rsidRPr="00E834A1">
        <w:t xml:space="preserve"> </w:t>
      </w:r>
      <w:r w:rsidR="00EC4312" w:rsidRPr="00E834A1">
        <w:t>m</w:t>
      </w:r>
      <w:r w:rsidR="003150F6" w:rsidRPr="00E834A1">
        <w:t>illion</w:t>
      </w:r>
      <w:r w:rsidR="00EC4312" w:rsidRPr="00E834A1">
        <w:t xml:space="preserve"> </w:t>
      </w:r>
      <w:r w:rsidR="00FF783A" w:rsidRPr="00E834A1">
        <w:t xml:space="preserve">as a result of increased coal </w:t>
      </w:r>
      <w:r w:rsidR="00F90C67" w:rsidRPr="00E834A1">
        <w:t>prices</w:t>
      </w:r>
      <w:r w:rsidR="0098505B" w:rsidRPr="00E834A1">
        <w:t xml:space="preserve"> that are</w:t>
      </w:r>
      <w:r w:rsidR="00FF783A" w:rsidRPr="00E834A1">
        <w:t xml:space="preserve"> partially offset by reduced generation </w:t>
      </w:r>
      <w:r w:rsidR="00126011" w:rsidRPr="00E834A1">
        <w:t xml:space="preserve">at the Jim Bridger </w:t>
      </w:r>
      <w:r w:rsidR="00FF783A" w:rsidRPr="00E834A1">
        <w:t>plant</w:t>
      </w:r>
      <w:r w:rsidRPr="00E834A1">
        <w:t xml:space="preserve">. </w:t>
      </w:r>
      <w:r w:rsidR="0098505B" w:rsidRPr="00E834A1">
        <w:t xml:space="preserve"> </w:t>
      </w:r>
      <w:r w:rsidR="00FF783A" w:rsidRPr="00E834A1">
        <w:t xml:space="preserve">The increased coal costs are </w:t>
      </w:r>
      <w:r w:rsidRPr="00E834A1">
        <w:t>addressed in detail in the direct t</w:t>
      </w:r>
      <w:r w:rsidR="00E834A1">
        <w:t xml:space="preserve">estimony of Company witness </w:t>
      </w:r>
      <w:r w:rsidR="00481E09" w:rsidRPr="00E834A1">
        <w:t>Cindy A. Crane</w:t>
      </w:r>
      <w:r w:rsidRPr="00E834A1">
        <w:t>.</w:t>
      </w:r>
    </w:p>
    <w:p w:rsidR="00E86457" w:rsidRPr="00E834A1" w:rsidRDefault="00E86457" w:rsidP="00E834A1">
      <w:pPr>
        <w:pStyle w:val="BodyTextIndent"/>
        <w:widowControl w:val="0"/>
        <w:tabs>
          <w:tab w:val="clear" w:pos="720"/>
        </w:tabs>
        <w:jc w:val="left"/>
        <w:rPr>
          <w:b/>
        </w:rPr>
      </w:pPr>
      <w:r w:rsidRPr="00E834A1">
        <w:rPr>
          <w:b/>
        </w:rPr>
        <w:t>Q.</w:t>
      </w:r>
      <w:r w:rsidRPr="00E834A1">
        <w:rPr>
          <w:b/>
        </w:rPr>
        <w:tab/>
        <w:t xml:space="preserve">Has the Company removed the Condit hydro-electric facility from the </w:t>
      </w:r>
      <w:r w:rsidR="0098505B" w:rsidRPr="00E834A1">
        <w:rPr>
          <w:b/>
        </w:rPr>
        <w:t xml:space="preserve">pro forma </w:t>
      </w:r>
      <w:r w:rsidRPr="00E834A1">
        <w:rPr>
          <w:b/>
        </w:rPr>
        <w:t>period?</w:t>
      </w:r>
    </w:p>
    <w:p w:rsidR="00E86457" w:rsidRPr="00E834A1" w:rsidRDefault="00E86457" w:rsidP="00E834A1">
      <w:pPr>
        <w:pStyle w:val="BodyTextIndent"/>
        <w:widowControl w:val="0"/>
        <w:tabs>
          <w:tab w:val="clear" w:pos="720"/>
        </w:tabs>
        <w:jc w:val="left"/>
      </w:pPr>
      <w:r w:rsidRPr="00E834A1">
        <w:t>A.</w:t>
      </w:r>
      <w:r w:rsidRPr="00E834A1">
        <w:tab/>
        <w:t>Yes.  The last day of generation from the Condit hydro-electric facility on the White Salmon River in southern Washington is currently targeted to be Nove</w:t>
      </w:r>
      <w:r w:rsidR="00C01516" w:rsidRPr="00E834A1">
        <w:t xml:space="preserve">mber 19, 2011.  </w:t>
      </w:r>
      <w:r w:rsidRPr="00E834A1">
        <w:t>The Company has received all the necessary approvals to remove the Condit dam, provided a surrender order to the Federal Energy Regulatory Commission (FERC) and provided a notice to proceed to JR Merit who has been contracted by the Company to perform the dam removal. </w:t>
      </w:r>
    </w:p>
    <w:p w:rsidR="00BD0A3B" w:rsidRPr="00E834A1" w:rsidRDefault="00BD0A3B" w:rsidP="00E834A1">
      <w:pPr>
        <w:pStyle w:val="BodyTextIndent"/>
        <w:widowControl w:val="0"/>
        <w:tabs>
          <w:tab w:val="clear" w:pos="720"/>
        </w:tabs>
        <w:jc w:val="left"/>
        <w:rPr>
          <w:b/>
        </w:rPr>
      </w:pPr>
      <w:r w:rsidRPr="00E834A1">
        <w:rPr>
          <w:b/>
        </w:rPr>
        <w:t>Compliance with the Commission Ordered Adjustments</w:t>
      </w:r>
    </w:p>
    <w:p w:rsidR="00BD0A3B" w:rsidRPr="00E834A1" w:rsidRDefault="00BD0A3B" w:rsidP="00E834A1">
      <w:pPr>
        <w:pStyle w:val="BodyTextIndent"/>
        <w:widowControl w:val="0"/>
        <w:tabs>
          <w:tab w:val="clear" w:pos="720"/>
        </w:tabs>
        <w:jc w:val="left"/>
        <w:rPr>
          <w:b/>
        </w:rPr>
      </w:pPr>
      <w:r w:rsidRPr="00E834A1">
        <w:rPr>
          <w:b/>
        </w:rPr>
        <w:t>Q.</w:t>
      </w:r>
      <w:r w:rsidRPr="00E834A1">
        <w:rPr>
          <w:b/>
        </w:rPr>
        <w:tab/>
      </w:r>
      <w:r w:rsidR="00AC0E50" w:rsidRPr="00E834A1">
        <w:rPr>
          <w:b/>
        </w:rPr>
        <w:t xml:space="preserve">Please describe how the Company reflected </w:t>
      </w:r>
      <w:r w:rsidR="00942627" w:rsidRPr="00E834A1">
        <w:rPr>
          <w:b/>
        </w:rPr>
        <w:t xml:space="preserve">all </w:t>
      </w:r>
      <w:r w:rsidR="00AC0E50" w:rsidRPr="00E834A1">
        <w:rPr>
          <w:b/>
        </w:rPr>
        <w:t>Commission ordered adjustments in the current filing.</w:t>
      </w:r>
    </w:p>
    <w:p w:rsidR="00BD0A3B" w:rsidRPr="00E834A1" w:rsidRDefault="00BD0A3B" w:rsidP="00E834A1">
      <w:pPr>
        <w:pStyle w:val="BodyTextIndent"/>
        <w:widowControl w:val="0"/>
        <w:tabs>
          <w:tab w:val="clear" w:pos="720"/>
        </w:tabs>
        <w:jc w:val="left"/>
      </w:pPr>
      <w:r w:rsidRPr="00E834A1">
        <w:t>A.</w:t>
      </w:r>
      <w:r w:rsidRPr="00E834A1">
        <w:tab/>
      </w:r>
      <w:r w:rsidR="00942627" w:rsidRPr="00E834A1">
        <w:t>Consistent with the Company’s make-whole filing, t</w:t>
      </w:r>
      <w:r w:rsidRPr="00E834A1">
        <w:t xml:space="preserve">he net power costs for the pro forma period in the current filing have incorporated </w:t>
      </w:r>
      <w:r w:rsidR="007E7702" w:rsidRPr="00E834A1">
        <w:t>all the</w:t>
      </w:r>
      <w:r w:rsidRPr="00E834A1">
        <w:t xml:space="preserve"> adjustments </w:t>
      </w:r>
      <w:r w:rsidR="002D2C10" w:rsidRPr="00E834A1">
        <w:t>ordered</w:t>
      </w:r>
      <w:r w:rsidRPr="00E834A1">
        <w:t xml:space="preserve"> by the Commission in </w:t>
      </w:r>
      <w:r w:rsidR="002D2C10" w:rsidRPr="00E834A1">
        <w:t xml:space="preserve">Order 06 for </w:t>
      </w:r>
      <w:r w:rsidRPr="00E834A1">
        <w:t>the 2010 Rate Case:</w:t>
      </w:r>
    </w:p>
    <w:p w:rsidR="00BD0A3B" w:rsidRPr="00E834A1" w:rsidRDefault="00BD0A3B" w:rsidP="00E834A1">
      <w:pPr>
        <w:pStyle w:val="BodyTextIndent"/>
        <w:numPr>
          <w:ilvl w:val="0"/>
          <w:numId w:val="8"/>
        </w:numPr>
        <w:tabs>
          <w:tab w:val="clear" w:pos="720"/>
        </w:tabs>
        <w:jc w:val="left"/>
      </w:pPr>
      <w:r w:rsidRPr="00E834A1">
        <w:t>Remove</w:t>
      </w:r>
      <w:r w:rsidR="00F90C67" w:rsidRPr="00E834A1">
        <w:t>d</w:t>
      </w:r>
      <w:r w:rsidRPr="00E834A1">
        <w:t xml:space="preserve"> temperature normalization of the commercial class;</w:t>
      </w:r>
    </w:p>
    <w:p w:rsidR="00BD0A3B" w:rsidRPr="00E834A1" w:rsidRDefault="006A3120" w:rsidP="00E834A1">
      <w:pPr>
        <w:pStyle w:val="BodyTextIndent"/>
        <w:numPr>
          <w:ilvl w:val="0"/>
          <w:numId w:val="8"/>
        </w:numPr>
        <w:tabs>
          <w:tab w:val="clear" w:pos="720"/>
        </w:tabs>
        <w:jc w:val="left"/>
      </w:pPr>
      <w:r w:rsidRPr="00E834A1">
        <w:t>Added arbitrage margin based on a historical four-year average;</w:t>
      </w:r>
    </w:p>
    <w:p w:rsidR="00BD0A3B" w:rsidRPr="00E834A1" w:rsidRDefault="00BD0A3B" w:rsidP="00E834A1">
      <w:pPr>
        <w:pStyle w:val="BodyTextIndent"/>
        <w:numPr>
          <w:ilvl w:val="0"/>
          <w:numId w:val="8"/>
        </w:numPr>
        <w:tabs>
          <w:tab w:val="clear" w:pos="720"/>
        </w:tabs>
        <w:jc w:val="left"/>
      </w:pPr>
      <w:r w:rsidRPr="00E834A1">
        <w:t xml:space="preserve">Removed inter-hour wind integration costs for the wind projects located in the Company’s west balancing authority area </w:t>
      </w:r>
      <w:r w:rsidR="0046528B" w:rsidRPr="00E834A1">
        <w:rPr>
          <w:szCs w:val="24"/>
        </w:rPr>
        <w:t>from which the company purchases nor of which the company owns</w:t>
      </w:r>
      <w:r w:rsidRPr="00E834A1">
        <w:t>;</w:t>
      </w:r>
    </w:p>
    <w:p w:rsidR="00BD0A3B" w:rsidRPr="00E834A1" w:rsidRDefault="00BD0A3B" w:rsidP="00E834A1">
      <w:pPr>
        <w:pStyle w:val="BodyTextIndent"/>
        <w:numPr>
          <w:ilvl w:val="0"/>
          <w:numId w:val="8"/>
        </w:numPr>
        <w:tabs>
          <w:tab w:val="clear" w:pos="720"/>
        </w:tabs>
        <w:jc w:val="left"/>
      </w:pPr>
      <w:r w:rsidRPr="00E834A1">
        <w:t>De-optimize</w:t>
      </w:r>
      <w:r w:rsidR="00AC0E50" w:rsidRPr="00E834A1">
        <w:t>d</w:t>
      </w:r>
      <w:r w:rsidRPr="00E834A1">
        <w:t xml:space="preserve"> the energy delivery of the sales contract with the Sacramento Municipal Utility District (SMUD) based on monthly delivery pattern</w:t>
      </w:r>
      <w:r w:rsidR="00AC0E50" w:rsidRPr="00E834A1">
        <w:t>s</w:t>
      </w:r>
      <w:r w:rsidRPr="00E834A1">
        <w:t xml:space="preserve"> of the four-year historical average;</w:t>
      </w:r>
    </w:p>
    <w:p w:rsidR="00BD0A3B" w:rsidRPr="00E834A1" w:rsidRDefault="00BD0A3B" w:rsidP="00E834A1">
      <w:pPr>
        <w:pStyle w:val="BodyTextIndent"/>
        <w:numPr>
          <w:ilvl w:val="0"/>
          <w:numId w:val="8"/>
        </w:numPr>
        <w:tabs>
          <w:tab w:val="clear" w:pos="720"/>
          <w:tab w:val="left" w:pos="1440"/>
        </w:tabs>
        <w:jc w:val="left"/>
      </w:pPr>
      <w:r w:rsidRPr="00E834A1">
        <w:t>Imputed the outage rate of Colstrip 4 at 8</w:t>
      </w:r>
      <w:r w:rsidR="00F90C67" w:rsidRPr="00E834A1">
        <w:t>.0</w:t>
      </w:r>
      <w:r w:rsidRPr="00E834A1">
        <w:t xml:space="preserve"> percent;</w:t>
      </w:r>
    </w:p>
    <w:p w:rsidR="00A372DE" w:rsidRPr="00E834A1" w:rsidRDefault="00A372DE" w:rsidP="00E834A1">
      <w:pPr>
        <w:pStyle w:val="BodyTextIndent"/>
        <w:numPr>
          <w:ilvl w:val="0"/>
          <w:numId w:val="8"/>
        </w:numPr>
        <w:tabs>
          <w:tab w:val="clear" w:pos="720"/>
        </w:tabs>
        <w:jc w:val="left"/>
      </w:pPr>
      <w:r w:rsidRPr="00E834A1">
        <w:t>Excluded expenses of the wheeling contract for access to the Direct Current (DC) Intertie;</w:t>
      </w:r>
    </w:p>
    <w:p w:rsidR="00BD0A3B" w:rsidRPr="00E834A1" w:rsidRDefault="00BD0A3B" w:rsidP="00E834A1">
      <w:pPr>
        <w:pStyle w:val="BodyTextIndent"/>
        <w:numPr>
          <w:ilvl w:val="0"/>
          <w:numId w:val="8"/>
        </w:numPr>
        <w:tabs>
          <w:tab w:val="clear" w:pos="720"/>
        </w:tabs>
        <w:jc w:val="left"/>
      </w:pPr>
      <w:r w:rsidRPr="00E834A1">
        <w:t>Removed half of the wheeling expenses under the contract with the Idaho Power Company for dynamic overlay services;</w:t>
      </w:r>
    </w:p>
    <w:p w:rsidR="00BD0A3B" w:rsidRPr="00E834A1" w:rsidRDefault="00AC0E50" w:rsidP="00E834A1">
      <w:pPr>
        <w:pStyle w:val="BodyTextIndent"/>
        <w:numPr>
          <w:ilvl w:val="0"/>
          <w:numId w:val="8"/>
        </w:numPr>
        <w:tabs>
          <w:tab w:val="clear" w:pos="720"/>
        </w:tabs>
        <w:jc w:val="left"/>
      </w:pPr>
      <w:r w:rsidRPr="00E834A1">
        <w:t>Modeled</w:t>
      </w:r>
      <w:r w:rsidR="00BD0A3B" w:rsidRPr="00E834A1">
        <w:t xml:space="preserve"> sales</w:t>
      </w:r>
      <w:r w:rsidRPr="00E834A1">
        <w:t xml:space="preserve"> to</w:t>
      </w:r>
      <w:r w:rsidR="00BD0A3B" w:rsidRPr="00E834A1">
        <w:t xml:space="preserve"> the east on an hourly basis;</w:t>
      </w:r>
    </w:p>
    <w:p w:rsidR="00942627" w:rsidRPr="00E834A1" w:rsidRDefault="00942627" w:rsidP="00E834A1">
      <w:pPr>
        <w:pStyle w:val="BodyTextIndent"/>
        <w:numPr>
          <w:ilvl w:val="0"/>
          <w:numId w:val="8"/>
        </w:numPr>
        <w:tabs>
          <w:tab w:val="clear" w:pos="720"/>
        </w:tabs>
        <w:jc w:val="left"/>
      </w:pPr>
      <w:r w:rsidRPr="00E834A1">
        <w:t xml:space="preserve">Prorated wheeling expenses for Colstrip 4 based on the transmission capacity from Colstrip to </w:t>
      </w:r>
      <w:r w:rsidR="00E07BCF" w:rsidRPr="00E834A1">
        <w:t>the west control area</w:t>
      </w:r>
      <w:r w:rsidRPr="00E834A1">
        <w:t xml:space="preserve">; </w:t>
      </w:r>
      <w:r w:rsidR="002D2C10" w:rsidRPr="00E834A1">
        <w:t>i</w:t>
      </w:r>
      <w:r w:rsidRPr="00E834A1">
        <w:t>ns</w:t>
      </w:r>
      <w:r w:rsidR="006D788F" w:rsidRPr="00E834A1">
        <w:t xml:space="preserve">tead of </w:t>
      </w:r>
      <w:r w:rsidR="00F90C67" w:rsidRPr="00E834A1">
        <w:t>splitting equally between</w:t>
      </w:r>
      <w:r w:rsidR="006D788F" w:rsidRPr="00E834A1">
        <w:t xml:space="preserve"> </w:t>
      </w:r>
      <w:r w:rsidR="00C01516" w:rsidRPr="00E834A1">
        <w:t>east and west;</w:t>
      </w:r>
    </w:p>
    <w:p w:rsidR="00BD0A3B" w:rsidRPr="00E834A1" w:rsidRDefault="00BD0A3B" w:rsidP="00E834A1">
      <w:pPr>
        <w:pStyle w:val="BodyTextIndent"/>
        <w:numPr>
          <w:ilvl w:val="0"/>
          <w:numId w:val="8"/>
        </w:numPr>
        <w:tabs>
          <w:tab w:val="clear" w:pos="720"/>
        </w:tabs>
        <w:jc w:val="left"/>
      </w:pPr>
      <w:r w:rsidRPr="00E834A1">
        <w:t>Excluded non-firm transmission capability and expenses; and</w:t>
      </w:r>
    </w:p>
    <w:p w:rsidR="00BD0A3B" w:rsidRPr="00E834A1" w:rsidRDefault="00BD0A3B" w:rsidP="00E834A1">
      <w:pPr>
        <w:pStyle w:val="BodyTextIndent"/>
        <w:numPr>
          <w:ilvl w:val="0"/>
          <w:numId w:val="8"/>
        </w:numPr>
        <w:tabs>
          <w:tab w:val="clear" w:pos="720"/>
        </w:tabs>
        <w:jc w:val="left"/>
      </w:pPr>
      <w:r w:rsidRPr="00E834A1">
        <w:t>Adjusted the heat rates and minimum generation levels of the thermal plants for outage derates.</w:t>
      </w:r>
    </w:p>
    <w:p w:rsidR="00A930A4" w:rsidRPr="00E834A1" w:rsidRDefault="00A930A4" w:rsidP="00E834A1">
      <w:pPr>
        <w:pStyle w:val="BodyTextIndent"/>
        <w:widowControl w:val="0"/>
        <w:tabs>
          <w:tab w:val="clear" w:pos="720"/>
        </w:tabs>
        <w:jc w:val="left"/>
        <w:rPr>
          <w:b/>
        </w:rPr>
      </w:pPr>
      <w:r w:rsidRPr="00E834A1">
        <w:rPr>
          <w:b/>
        </w:rPr>
        <w:t>Q.</w:t>
      </w:r>
      <w:r w:rsidRPr="00E834A1">
        <w:rPr>
          <w:b/>
        </w:rPr>
        <w:tab/>
      </w:r>
      <w:r w:rsidR="005A1FF7" w:rsidRPr="00E834A1">
        <w:rPr>
          <w:b/>
        </w:rPr>
        <w:t xml:space="preserve">Please discuss the change in </w:t>
      </w:r>
      <w:r w:rsidR="002D2C10" w:rsidRPr="00E834A1">
        <w:rPr>
          <w:b/>
        </w:rPr>
        <w:t>w</w:t>
      </w:r>
      <w:r w:rsidR="005A1FF7" w:rsidRPr="00E834A1">
        <w:rPr>
          <w:b/>
        </w:rPr>
        <w:t xml:space="preserve">heeling </w:t>
      </w:r>
      <w:r w:rsidR="00F90C67" w:rsidRPr="00E834A1">
        <w:rPr>
          <w:b/>
        </w:rPr>
        <w:t>expenses</w:t>
      </w:r>
      <w:r w:rsidRPr="00E834A1">
        <w:rPr>
          <w:b/>
        </w:rPr>
        <w:t xml:space="preserve"> </w:t>
      </w:r>
      <w:r w:rsidR="005A1FF7" w:rsidRPr="00E834A1">
        <w:rPr>
          <w:b/>
        </w:rPr>
        <w:t xml:space="preserve">from the Company’s 2010 </w:t>
      </w:r>
      <w:r w:rsidR="002D2C10" w:rsidRPr="00E834A1">
        <w:rPr>
          <w:b/>
        </w:rPr>
        <w:t>R</w:t>
      </w:r>
      <w:r w:rsidR="005A1FF7" w:rsidRPr="00E834A1">
        <w:rPr>
          <w:b/>
        </w:rPr>
        <w:t xml:space="preserve">ate </w:t>
      </w:r>
      <w:r w:rsidR="002D2C10" w:rsidRPr="00E834A1">
        <w:rPr>
          <w:b/>
        </w:rPr>
        <w:t>C</w:t>
      </w:r>
      <w:r w:rsidR="005A1FF7" w:rsidRPr="00E834A1">
        <w:rPr>
          <w:b/>
        </w:rPr>
        <w:t>ase.</w:t>
      </w:r>
    </w:p>
    <w:p w:rsidR="008C3DB8" w:rsidRPr="00E834A1" w:rsidRDefault="00A930A4" w:rsidP="00E834A1">
      <w:pPr>
        <w:pStyle w:val="BodyTextIndent"/>
        <w:widowControl w:val="0"/>
        <w:tabs>
          <w:tab w:val="clear" w:pos="720"/>
        </w:tabs>
        <w:jc w:val="left"/>
      </w:pPr>
      <w:r w:rsidRPr="00E834A1">
        <w:t>A.</w:t>
      </w:r>
      <w:r w:rsidRPr="00E834A1">
        <w:tab/>
      </w:r>
      <w:r w:rsidR="008C3DB8" w:rsidRPr="00E834A1">
        <w:t>Wheeling expenses are low</w:t>
      </w:r>
      <w:r w:rsidR="005A1FF7" w:rsidRPr="00E834A1">
        <w:t>er</w:t>
      </w:r>
      <w:r w:rsidR="008C3DB8" w:rsidRPr="00E834A1">
        <w:t xml:space="preserve"> in the current pro forma period </w:t>
      </w:r>
      <w:r w:rsidR="005B04DD" w:rsidRPr="00E834A1">
        <w:t xml:space="preserve">primarily </w:t>
      </w:r>
      <w:r w:rsidR="008C3DB8" w:rsidRPr="00E834A1">
        <w:t xml:space="preserve">due to the expiration of the Centralia </w:t>
      </w:r>
      <w:r w:rsidR="00E86457" w:rsidRPr="00E834A1">
        <w:t xml:space="preserve">point-to-point </w:t>
      </w:r>
      <w:r w:rsidR="008C3DB8" w:rsidRPr="00E834A1">
        <w:t>wheeling contract with BPA</w:t>
      </w:r>
      <w:r w:rsidR="005B04DD" w:rsidRPr="00E834A1">
        <w:t xml:space="preserve"> which the Company does not anticipate extending</w:t>
      </w:r>
      <w:r w:rsidR="008C3DB8" w:rsidRPr="00E834A1">
        <w:t xml:space="preserve">.    </w:t>
      </w:r>
    </w:p>
    <w:p w:rsidR="00E834A1" w:rsidRDefault="003F1C29" w:rsidP="00E834A1">
      <w:pPr>
        <w:pStyle w:val="BodyText2"/>
        <w:widowControl w:val="0"/>
        <w:ind w:left="720" w:hanging="720"/>
        <w:rPr>
          <w:b/>
          <w:bCs/>
        </w:rPr>
      </w:pPr>
      <w:r w:rsidRPr="00E834A1">
        <w:rPr>
          <w:b/>
          <w:bCs/>
        </w:rPr>
        <w:t>Q.</w:t>
      </w:r>
      <w:r w:rsidRPr="00E834A1">
        <w:rPr>
          <w:b/>
          <w:bCs/>
        </w:rPr>
        <w:tab/>
      </w:r>
      <w:r w:rsidR="00513407" w:rsidRPr="00E834A1">
        <w:rPr>
          <w:b/>
          <w:bCs/>
        </w:rPr>
        <w:t>What</w:t>
      </w:r>
      <w:r w:rsidRPr="00E834A1">
        <w:rPr>
          <w:b/>
          <w:bCs/>
        </w:rPr>
        <w:t xml:space="preserve"> assumptions </w:t>
      </w:r>
      <w:r w:rsidR="00513407" w:rsidRPr="00E834A1">
        <w:rPr>
          <w:b/>
          <w:bCs/>
        </w:rPr>
        <w:t xml:space="preserve">did the Company make in regard to the </w:t>
      </w:r>
      <w:r w:rsidRPr="00E834A1">
        <w:rPr>
          <w:b/>
          <w:bCs/>
        </w:rPr>
        <w:t xml:space="preserve">power rates and transmission rates proposed in the current </w:t>
      </w:r>
      <w:r w:rsidR="002D2C10" w:rsidRPr="00E834A1">
        <w:rPr>
          <w:b/>
          <w:bCs/>
        </w:rPr>
        <w:t xml:space="preserve">BPA </w:t>
      </w:r>
      <w:r w:rsidRPr="00E834A1">
        <w:rPr>
          <w:b/>
          <w:bCs/>
        </w:rPr>
        <w:t>rate cases?</w:t>
      </w:r>
    </w:p>
    <w:p w:rsidR="00FC6DF0" w:rsidRPr="00E834A1" w:rsidRDefault="003F1C29" w:rsidP="007569F2">
      <w:pPr>
        <w:pStyle w:val="BodyText2"/>
        <w:widowControl w:val="0"/>
        <w:ind w:left="720" w:hanging="720"/>
      </w:pPr>
      <w:r w:rsidRPr="00E834A1">
        <w:t>A.</w:t>
      </w:r>
      <w:r w:rsidRPr="00E834A1">
        <w:tab/>
        <w:t xml:space="preserve">The BPA rate cases </w:t>
      </w:r>
      <w:r w:rsidR="00513407" w:rsidRPr="00E834A1">
        <w:t>will</w:t>
      </w:r>
      <w:r w:rsidRPr="00E834A1">
        <w:t xml:space="preserve"> determine the new rates for the fiscal period beginning in October 2011. </w:t>
      </w:r>
      <w:r w:rsidR="00C01516" w:rsidRPr="00E834A1">
        <w:t xml:space="preserve"> </w:t>
      </w:r>
      <w:r w:rsidRPr="00E834A1">
        <w:t xml:space="preserve">Given the current proposals made by BPA, the Company assumes that the wheeling expenses of the transmission contracts with BPA would not change in the new rate effective period beginning in October 2011. </w:t>
      </w:r>
      <w:r w:rsidR="002D2C10" w:rsidRPr="00E834A1">
        <w:t xml:space="preserve"> </w:t>
      </w:r>
      <w:r w:rsidRPr="00E834A1">
        <w:t xml:space="preserve">In </w:t>
      </w:r>
      <w:r w:rsidR="002D2C10" w:rsidRPr="00E834A1">
        <w:t>this</w:t>
      </w:r>
      <w:r w:rsidRPr="00E834A1">
        <w:t xml:space="preserve"> filing, the Company has incorporated the proposed wind integration charge at $1.32/kW-month beginning in October 2011, which is a change from the current $1.29/kW-month. </w:t>
      </w:r>
      <w:r w:rsidR="00415725" w:rsidRPr="00E834A1">
        <w:t xml:space="preserve"> </w:t>
      </w:r>
      <w:r w:rsidRPr="00E834A1">
        <w:t xml:space="preserve">The Company has also incorporated the impact of BPA’s </w:t>
      </w:r>
      <w:r w:rsidR="00513407" w:rsidRPr="00E834A1">
        <w:t xml:space="preserve">proposed </w:t>
      </w:r>
      <w:r w:rsidRPr="00E834A1">
        <w:t xml:space="preserve">charges for reserves and power. </w:t>
      </w:r>
    </w:p>
    <w:p w:rsidR="00415725" w:rsidRPr="00E834A1" w:rsidRDefault="003F1C29" w:rsidP="00E834A1">
      <w:pPr>
        <w:pStyle w:val="BodyText2"/>
        <w:widowControl w:val="0"/>
        <w:ind w:left="720" w:hanging="720"/>
        <w:rPr>
          <w:b/>
        </w:rPr>
      </w:pPr>
      <w:r w:rsidRPr="00E834A1">
        <w:rPr>
          <w:b/>
        </w:rPr>
        <w:t>Q.</w:t>
      </w:r>
      <w:r w:rsidRPr="00E834A1">
        <w:rPr>
          <w:b/>
        </w:rPr>
        <w:tab/>
        <w:t>Does the Company expect to update the expenses related to all contracts with BPA?</w:t>
      </w:r>
    </w:p>
    <w:p w:rsidR="003F1C29" w:rsidRPr="00E834A1" w:rsidRDefault="003F1C29" w:rsidP="00E834A1">
      <w:pPr>
        <w:pStyle w:val="BodyText2"/>
        <w:widowControl w:val="0"/>
        <w:ind w:left="720" w:hanging="720"/>
      </w:pPr>
      <w:r w:rsidRPr="00E834A1">
        <w:t>A.</w:t>
      </w:r>
      <w:r w:rsidRPr="00E834A1">
        <w:tab/>
        <w:t xml:space="preserve">Yes. </w:t>
      </w:r>
      <w:r w:rsidR="00415725" w:rsidRPr="00E834A1">
        <w:t xml:space="preserve"> </w:t>
      </w:r>
      <w:r w:rsidRPr="00E834A1">
        <w:t>The Company will update its</w:t>
      </w:r>
      <w:r w:rsidR="002D2C10" w:rsidRPr="00E834A1">
        <w:t xml:space="preserve"> net power costs</w:t>
      </w:r>
      <w:r w:rsidRPr="00E834A1">
        <w:t xml:space="preserve"> on rebuttal with the final decision of the BPA rate cases</w:t>
      </w:r>
      <w:r w:rsidR="00513407" w:rsidRPr="00E834A1">
        <w:t xml:space="preserve"> currently expected in July 2011</w:t>
      </w:r>
      <w:r w:rsidRPr="00E834A1">
        <w:t>, or when better information becomes available.</w:t>
      </w:r>
    </w:p>
    <w:p w:rsidR="00CB112C" w:rsidRPr="00E834A1" w:rsidRDefault="00CB112C" w:rsidP="00E834A1">
      <w:pPr>
        <w:pStyle w:val="BodyText2"/>
        <w:ind w:left="720" w:hanging="720"/>
        <w:rPr>
          <w:b/>
          <w:bCs/>
        </w:rPr>
      </w:pPr>
      <w:r w:rsidRPr="00E834A1">
        <w:rPr>
          <w:b/>
          <w:bCs/>
        </w:rPr>
        <w:t>Wind Integration Costs</w:t>
      </w:r>
    </w:p>
    <w:p w:rsidR="00CB112C" w:rsidRPr="00E834A1" w:rsidRDefault="00CB112C" w:rsidP="00E834A1">
      <w:pPr>
        <w:pStyle w:val="BodyText2"/>
        <w:ind w:left="720" w:hanging="720"/>
        <w:rPr>
          <w:b/>
          <w:bCs/>
        </w:rPr>
      </w:pPr>
      <w:r w:rsidRPr="00E834A1">
        <w:rPr>
          <w:b/>
          <w:bCs/>
        </w:rPr>
        <w:t>Q.</w:t>
      </w:r>
      <w:r w:rsidRPr="00E834A1">
        <w:rPr>
          <w:b/>
          <w:bCs/>
        </w:rPr>
        <w:tab/>
        <w:t>Please discuss the Company’s approach to calculating wind integration costs?</w:t>
      </w:r>
    </w:p>
    <w:p w:rsidR="00CB112C" w:rsidRPr="00E834A1" w:rsidRDefault="00CB112C" w:rsidP="00E834A1">
      <w:pPr>
        <w:pStyle w:val="BodyText2"/>
        <w:ind w:left="720" w:hanging="720"/>
      </w:pPr>
      <w:r w:rsidRPr="00E834A1">
        <w:t>A.</w:t>
      </w:r>
      <w:r w:rsidRPr="00E834A1">
        <w:rPr>
          <w:b/>
          <w:bCs/>
        </w:rPr>
        <w:tab/>
      </w:r>
      <w:r w:rsidRPr="00E834A1">
        <w:rPr>
          <w:bCs/>
        </w:rPr>
        <w:t xml:space="preserve">As part of the 2011 </w:t>
      </w:r>
      <w:r w:rsidR="002D2C10" w:rsidRPr="00E834A1">
        <w:rPr>
          <w:bCs/>
        </w:rPr>
        <w:t xml:space="preserve">integrated resource plan (2011 </w:t>
      </w:r>
      <w:r w:rsidRPr="00E834A1">
        <w:rPr>
          <w:bCs/>
        </w:rPr>
        <w:t>IRP</w:t>
      </w:r>
      <w:r w:rsidR="00B5714F" w:rsidRPr="00E834A1">
        <w:rPr>
          <w:bCs/>
        </w:rPr>
        <w:t>, Appendix I</w:t>
      </w:r>
      <w:r w:rsidR="002D2C10" w:rsidRPr="00E834A1">
        <w:rPr>
          <w:bCs/>
        </w:rPr>
        <w:t>)</w:t>
      </w:r>
      <w:r w:rsidRPr="00E834A1">
        <w:rPr>
          <w:bCs/>
        </w:rPr>
        <w:t>, the Company performed an extensive</w:t>
      </w:r>
      <w:r w:rsidR="005B04DD" w:rsidRPr="00E834A1">
        <w:rPr>
          <w:bCs/>
        </w:rPr>
        <w:t xml:space="preserve"> </w:t>
      </w:r>
      <w:r w:rsidRPr="00E834A1">
        <w:rPr>
          <w:bCs/>
        </w:rPr>
        <w:t>Wind Study</w:t>
      </w:r>
      <w:r w:rsidR="00B5714F" w:rsidRPr="00E834A1">
        <w:rPr>
          <w:bCs/>
        </w:rPr>
        <w:t xml:space="preserve">, included as </w:t>
      </w:r>
      <w:r w:rsidR="004D0A27" w:rsidRPr="00E834A1">
        <w:rPr>
          <w:bCs/>
        </w:rPr>
        <w:t>E</w:t>
      </w:r>
      <w:r w:rsidR="00B5714F" w:rsidRPr="00E834A1">
        <w:rPr>
          <w:bCs/>
        </w:rPr>
        <w:t>xhibit</w:t>
      </w:r>
      <w:r w:rsidR="004D0A27" w:rsidRPr="00E834A1">
        <w:rPr>
          <w:bCs/>
        </w:rPr>
        <w:t xml:space="preserve"> No.__</w:t>
      </w:r>
      <w:r w:rsidR="00415725" w:rsidRPr="00E834A1">
        <w:rPr>
          <w:bCs/>
        </w:rPr>
        <w:t>_</w:t>
      </w:r>
      <w:r w:rsidR="004D0A27" w:rsidRPr="00E834A1">
        <w:rPr>
          <w:bCs/>
        </w:rPr>
        <w:t>(</w:t>
      </w:r>
      <w:r w:rsidR="00B5714F" w:rsidRPr="00E834A1">
        <w:rPr>
          <w:bCs/>
        </w:rPr>
        <w:t>GND-2</w:t>
      </w:r>
      <w:r w:rsidR="004D0A27" w:rsidRPr="00E834A1">
        <w:rPr>
          <w:bCs/>
        </w:rPr>
        <w:t>),</w:t>
      </w:r>
      <w:r w:rsidRPr="00E834A1">
        <w:rPr>
          <w:bCs/>
        </w:rPr>
        <w:t xml:space="preserve"> on the impact of integrating wind generation into its resource portfolio. </w:t>
      </w:r>
      <w:r w:rsidR="00415725" w:rsidRPr="00E834A1">
        <w:rPr>
          <w:bCs/>
        </w:rPr>
        <w:t xml:space="preserve"> </w:t>
      </w:r>
      <w:r w:rsidRPr="00E834A1">
        <w:rPr>
          <w:bCs/>
        </w:rPr>
        <w:t xml:space="preserve">The Wind Study was completed after reviewing the issues and concerns raised by various parties in </w:t>
      </w:r>
      <w:r w:rsidR="005B04DD" w:rsidRPr="00E834A1">
        <w:rPr>
          <w:bCs/>
        </w:rPr>
        <w:t xml:space="preserve">all of the Company’s </w:t>
      </w:r>
      <w:r w:rsidRPr="00E834A1">
        <w:rPr>
          <w:bCs/>
        </w:rPr>
        <w:t>jurisdictions</w:t>
      </w:r>
      <w:r w:rsidR="002D2C10" w:rsidRPr="00E834A1">
        <w:rPr>
          <w:bCs/>
        </w:rPr>
        <w:t>.  S</w:t>
      </w:r>
      <w:r w:rsidRPr="00E834A1">
        <w:rPr>
          <w:bCs/>
        </w:rPr>
        <w:t xml:space="preserve">uch </w:t>
      </w:r>
      <w:r w:rsidR="002D2C10" w:rsidRPr="00E834A1">
        <w:rPr>
          <w:bCs/>
        </w:rPr>
        <w:t xml:space="preserve">issues include </w:t>
      </w:r>
      <w:r w:rsidRPr="00E834A1">
        <w:rPr>
          <w:bCs/>
        </w:rPr>
        <w:t>whether the wind integration costs should be studied independent of load, the amount of additional reserves needed to integrate the wind generation and what resources should be utilized to serve the additional reserve requirements.</w:t>
      </w:r>
    </w:p>
    <w:p w:rsidR="00CB112C" w:rsidRPr="00E834A1" w:rsidRDefault="00CB112C" w:rsidP="00E834A1">
      <w:pPr>
        <w:pStyle w:val="BodyText2"/>
        <w:ind w:left="720" w:hanging="720"/>
        <w:rPr>
          <w:b/>
        </w:rPr>
      </w:pPr>
      <w:r w:rsidRPr="00E834A1">
        <w:rPr>
          <w:b/>
        </w:rPr>
        <w:t>Q.</w:t>
      </w:r>
      <w:r w:rsidRPr="00E834A1">
        <w:rPr>
          <w:b/>
        </w:rPr>
        <w:tab/>
        <w:t>Please describe the Company’s Wind Study.</w:t>
      </w:r>
    </w:p>
    <w:p w:rsidR="00CB112C" w:rsidRPr="00E834A1" w:rsidRDefault="00CB112C" w:rsidP="00E834A1">
      <w:pPr>
        <w:pStyle w:val="BodyText2"/>
        <w:ind w:left="720" w:hanging="720"/>
      </w:pPr>
      <w:r w:rsidRPr="00E834A1">
        <w:t>A.</w:t>
      </w:r>
      <w:r w:rsidRPr="00E834A1">
        <w:tab/>
        <w:t xml:space="preserve">The purpose of the Wind Study is twofold. </w:t>
      </w:r>
      <w:r w:rsidR="002D2C10" w:rsidRPr="00E834A1">
        <w:t xml:space="preserve"> </w:t>
      </w:r>
      <w:r w:rsidRPr="00E834A1">
        <w:t xml:space="preserve">First, the Wind Study quantifies how wind generation affects the amount of additional reserves needed to maintain reliability. </w:t>
      </w:r>
      <w:r w:rsidR="00415725" w:rsidRPr="00E834A1">
        <w:t xml:space="preserve"> </w:t>
      </w:r>
      <w:r w:rsidRPr="00E834A1">
        <w:t>Second, the Wind Study determines the costs of integrating wind generation by measuring how system costs change with changes in operating reserve demand, and by measuring how system costs are affected by daily system balancing practices.</w:t>
      </w:r>
    </w:p>
    <w:p w:rsidR="00CB112C" w:rsidRPr="00E834A1" w:rsidRDefault="00CB112C" w:rsidP="00E834A1">
      <w:pPr>
        <w:pStyle w:val="BodyText2"/>
        <w:ind w:left="720" w:hanging="720"/>
        <w:rPr>
          <w:b/>
        </w:rPr>
      </w:pPr>
      <w:r w:rsidRPr="00E834A1">
        <w:rPr>
          <w:b/>
        </w:rPr>
        <w:t>Q.</w:t>
      </w:r>
      <w:r w:rsidRPr="00E834A1">
        <w:rPr>
          <w:b/>
        </w:rPr>
        <w:tab/>
        <w:t>What are the additional reserve requirements?</w:t>
      </w:r>
    </w:p>
    <w:p w:rsidR="00CB112C" w:rsidRPr="00E834A1" w:rsidRDefault="00CB112C" w:rsidP="00E834A1">
      <w:pPr>
        <w:pStyle w:val="BodyText2"/>
        <w:ind w:left="720" w:hanging="720"/>
      </w:pPr>
      <w:r w:rsidRPr="00E834A1">
        <w:t>A.</w:t>
      </w:r>
      <w:r w:rsidRPr="00E834A1">
        <w:tab/>
        <w:t xml:space="preserve">The Wind Study identified additional regulation reserve requirements in two categories: regulating services that deal with load and wind variability in 10-minute intervals, and load following services that deal with load and wind variability over hourly time intervals. </w:t>
      </w:r>
      <w:r w:rsidR="00415725" w:rsidRPr="00E834A1">
        <w:t xml:space="preserve"> </w:t>
      </w:r>
      <w:r w:rsidRPr="00E834A1">
        <w:t xml:space="preserve">Both services respond to the up and down variations of wind generation. </w:t>
      </w:r>
      <w:r w:rsidR="00415725" w:rsidRPr="00E834A1">
        <w:t xml:space="preserve"> </w:t>
      </w:r>
      <w:r w:rsidRPr="00E834A1">
        <w:t xml:space="preserve">That is, the additional reserve requirements to integrate wind generation into the Company’s resource portfolio consist of regulating up, regulating down, load following up and load following down. </w:t>
      </w:r>
      <w:r w:rsidR="00787CF3" w:rsidRPr="00E834A1">
        <w:t xml:space="preserve"> </w:t>
      </w:r>
      <w:r w:rsidRPr="00E834A1">
        <w:t>The Wind Study performed analyses of additional reserve requirements for load only (excluding wind generation) and for wind net of load (including wind generation), based on historical 10-minute data for the Company’s system.</w:t>
      </w:r>
    </w:p>
    <w:p w:rsidR="00CB112C" w:rsidRPr="00E834A1" w:rsidRDefault="00CB112C" w:rsidP="00E834A1">
      <w:pPr>
        <w:pStyle w:val="BodyText2"/>
        <w:ind w:left="720" w:hanging="720"/>
        <w:rPr>
          <w:b/>
        </w:rPr>
      </w:pPr>
      <w:r w:rsidRPr="00E834A1">
        <w:rPr>
          <w:b/>
        </w:rPr>
        <w:t>Q.</w:t>
      </w:r>
      <w:r w:rsidRPr="00E834A1">
        <w:rPr>
          <w:b/>
        </w:rPr>
        <w:tab/>
        <w:t>How did the Company incorporate the results from the Wind Study</w:t>
      </w:r>
      <w:r w:rsidR="0017769C" w:rsidRPr="00E834A1">
        <w:rPr>
          <w:b/>
        </w:rPr>
        <w:t xml:space="preserve"> in this filing</w:t>
      </w:r>
      <w:r w:rsidRPr="00E834A1">
        <w:rPr>
          <w:b/>
        </w:rPr>
        <w:t>?</w:t>
      </w:r>
    </w:p>
    <w:p w:rsidR="00FC6DF0" w:rsidRPr="00E834A1" w:rsidRDefault="00CB112C" w:rsidP="007569F2">
      <w:pPr>
        <w:pStyle w:val="BodyText2"/>
        <w:ind w:left="720" w:hanging="720"/>
      </w:pPr>
      <w:r w:rsidRPr="00E834A1">
        <w:t>A.</w:t>
      </w:r>
      <w:r w:rsidRPr="00E834A1">
        <w:tab/>
      </w:r>
      <w:r w:rsidR="00A030A8" w:rsidRPr="00E834A1">
        <w:t xml:space="preserve">The Wind Study does not address the impact of additional reserve requirement on the </w:t>
      </w:r>
      <w:r w:rsidR="00E07BCF" w:rsidRPr="00E834A1">
        <w:t>west control area</w:t>
      </w:r>
      <w:r w:rsidR="00A030A8" w:rsidRPr="00E834A1">
        <w:t xml:space="preserve"> in isolation.  As a result, for this filing, the Company prorated the amount of additional reserve requirement to integrate wind in the </w:t>
      </w:r>
      <w:r w:rsidR="00E07BCF" w:rsidRPr="00E834A1">
        <w:t xml:space="preserve">west control area </w:t>
      </w:r>
      <w:r w:rsidR="00A030A8" w:rsidRPr="00E834A1">
        <w:t xml:space="preserve">based on the amount of west side wind generation included in the Wind Study and the amount of wind generation in the pro forma period from the Marengo </w:t>
      </w:r>
      <w:r w:rsidR="0017769C" w:rsidRPr="00E834A1">
        <w:t xml:space="preserve">I and II </w:t>
      </w:r>
      <w:r w:rsidR="00A030A8" w:rsidRPr="00E834A1">
        <w:t>projects and Combine Hills</w:t>
      </w:r>
      <w:r w:rsidR="0017769C" w:rsidRPr="00E834A1">
        <w:t>.</w:t>
      </w:r>
      <w:r w:rsidR="00A960DB" w:rsidRPr="00E834A1">
        <w:t xml:space="preserve"> </w:t>
      </w:r>
      <w:r w:rsidR="00415725" w:rsidRPr="00E834A1">
        <w:t xml:space="preserve"> </w:t>
      </w:r>
      <w:r w:rsidR="0017769C" w:rsidRPr="00E834A1">
        <w:t>G</w:t>
      </w:r>
      <w:r w:rsidR="00BE55F7" w:rsidRPr="00E834A1">
        <w:t xml:space="preserve">eneration from </w:t>
      </w:r>
      <w:r w:rsidR="00A960DB" w:rsidRPr="00E834A1">
        <w:t>non-owned wind projects</w:t>
      </w:r>
      <w:r w:rsidR="0088742C" w:rsidRPr="00E834A1">
        <w:t xml:space="preserve"> in the </w:t>
      </w:r>
      <w:r w:rsidR="00E07BCF" w:rsidRPr="00E834A1">
        <w:t>west control area</w:t>
      </w:r>
      <w:r w:rsidR="006B34D7" w:rsidRPr="00E834A1">
        <w:t xml:space="preserve"> </w:t>
      </w:r>
      <w:r w:rsidR="0017769C" w:rsidRPr="00E834A1">
        <w:t>were not included</w:t>
      </w:r>
      <w:r w:rsidR="00A030A8" w:rsidRPr="00E834A1">
        <w:t>.</w:t>
      </w:r>
      <w:r w:rsidRPr="00E834A1">
        <w:t xml:space="preserve"> </w:t>
      </w:r>
    </w:p>
    <w:p w:rsidR="00CB112C" w:rsidRPr="00E834A1" w:rsidRDefault="00CB112C" w:rsidP="00E834A1">
      <w:pPr>
        <w:pStyle w:val="BodyText2"/>
        <w:ind w:left="720" w:hanging="720"/>
        <w:rPr>
          <w:b/>
        </w:rPr>
      </w:pPr>
      <w:r w:rsidRPr="00E834A1">
        <w:rPr>
          <w:b/>
        </w:rPr>
        <w:t>Q.</w:t>
      </w:r>
      <w:r w:rsidRPr="00E834A1">
        <w:rPr>
          <w:b/>
        </w:rPr>
        <w:tab/>
        <w:t xml:space="preserve">Did the Company </w:t>
      </w:r>
      <w:r w:rsidR="00A030A8" w:rsidRPr="00E834A1">
        <w:rPr>
          <w:b/>
        </w:rPr>
        <w:t>implement the “must-run” operation</w:t>
      </w:r>
      <w:r w:rsidRPr="00E834A1">
        <w:rPr>
          <w:b/>
        </w:rPr>
        <w:t xml:space="preserve"> </w:t>
      </w:r>
      <w:r w:rsidR="00513407" w:rsidRPr="00E834A1">
        <w:rPr>
          <w:b/>
        </w:rPr>
        <w:t xml:space="preserve">identified in the </w:t>
      </w:r>
      <w:r w:rsidR="00787CF3" w:rsidRPr="00E834A1">
        <w:rPr>
          <w:b/>
        </w:rPr>
        <w:t>W</w:t>
      </w:r>
      <w:r w:rsidR="00513407" w:rsidRPr="00E834A1">
        <w:rPr>
          <w:b/>
        </w:rPr>
        <w:t xml:space="preserve">ind </w:t>
      </w:r>
      <w:r w:rsidR="00787CF3" w:rsidRPr="00E834A1">
        <w:rPr>
          <w:b/>
        </w:rPr>
        <w:t>S</w:t>
      </w:r>
      <w:r w:rsidR="00513407" w:rsidRPr="00E834A1">
        <w:rPr>
          <w:b/>
        </w:rPr>
        <w:t>tudy</w:t>
      </w:r>
      <w:r w:rsidRPr="00E834A1">
        <w:rPr>
          <w:b/>
        </w:rPr>
        <w:t xml:space="preserve"> in order to accommodate the additional reserve requirements in </w:t>
      </w:r>
      <w:r w:rsidR="00830586" w:rsidRPr="00E834A1">
        <w:rPr>
          <w:b/>
          <w:szCs w:val="24"/>
        </w:rPr>
        <w:t xml:space="preserve">the Generation and Regulation Initiatives Decision tools model </w:t>
      </w:r>
      <w:r w:rsidR="00830586" w:rsidRPr="00E834A1">
        <w:rPr>
          <w:b/>
        </w:rPr>
        <w:t>(</w:t>
      </w:r>
      <w:r w:rsidRPr="00E834A1">
        <w:rPr>
          <w:b/>
        </w:rPr>
        <w:t>GRID</w:t>
      </w:r>
      <w:r w:rsidR="00830586" w:rsidRPr="00E834A1">
        <w:rPr>
          <w:b/>
        </w:rPr>
        <w:t>)</w:t>
      </w:r>
      <w:r w:rsidR="00A030A8" w:rsidRPr="00E834A1">
        <w:rPr>
          <w:b/>
        </w:rPr>
        <w:t xml:space="preserve"> in the current proceeding</w:t>
      </w:r>
      <w:r w:rsidRPr="00E834A1">
        <w:rPr>
          <w:b/>
        </w:rPr>
        <w:t>?</w:t>
      </w:r>
    </w:p>
    <w:p w:rsidR="00511A4B" w:rsidRPr="00E834A1" w:rsidRDefault="00CB112C" w:rsidP="00E834A1">
      <w:pPr>
        <w:pStyle w:val="BodyText2"/>
        <w:ind w:left="720" w:hanging="720"/>
      </w:pPr>
      <w:r w:rsidRPr="00E834A1">
        <w:t>A.</w:t>
      </w:r>
      <w:r w:rsidRPr="00E834A1">
        <w:tab/>
      </w:r>
      <w:r w:rsidR="00A030A8" w:rsidRPr="00E834A1">
        <w:t>No</w:t>
      </w:r>
      <w:r w:rsidR="00513407" w:rsidRPr="00E834A1">
        <w:t>.  T</w:t>
      </w:r>
      <w:r w:rsidR="00A030A8" w:rsidRPr="00E834A1">
        <w:t>he Wind Study does not address the impact of additional reserve requirement</w:t>
      </w:r>
      <w:r w:rsidR="00513407" w:rsidRPr="00E834A1">
        <w:t>s</w:t>
      </w:r>
      <w:r w:rsidR="00A030A8" w:rsidRPr="00E834A1">
        <w:t xml:space="preserve"> </w:t>
      </w:r>
      <w:r w:rsidR="00511A4B" w:rsidRPr="00E834A1">
        <w:t xml:space="preserve">in the </w:t>
      </w:r>
      <w:r w:rsidR="006B34D7" w:rsidRPr="00E834A1">
        <w:t xml:space="preserve">west control area </w:t>
      </w:r>
      <w:r w:rsidR="00A030A8" w:rsidRPr="00E834A1">
        <w:t xml:space="preserve">in isolation and has not identified the need for “must-run” thermal resources </w:t>
      </w:r>
      <w:r w:rsidR="00511A4B" w:rsidRPr="00E834A1">
        <w:t xml:space="preserve">in the </w:t>
      </w:r>
      <w:r w:rsidR="006B34D7" w:rsidRPr="00E834A1">
        <w:t>west control area</w:t>
      </w:r>
      <w:r w:rsidR="00A030A8" w:rsidRPr="00E834A1">
        <w:t>.  The Company makes the assumption that the hydro</w:t>
      </w:r>
      <w:r w:rsidR="00511A4B" w:rsidRPr="00E834A1">
        <w:t>-electric</w:t>
      </w:r>
      <w:r w:rsidR="00A030A8" w:rsidRPr="00E834A1">
        <w:t xml:space="preserve"> </w:t>
      </w:r>
      <w:r w:rsidR="00E86457" w:rsidRPr="00E834A1">
        <w:t xml:space="preserve">and thermal </w:t>
      </w:r>
      <w:r w:rsidR="00A030A8" w:rsidRPr="00E834A1">
        <w:t xml:space="preserve">resources in the </w:t>
      </w:r>
      <w:r w:rsidR="006B34D7" w:rsidRPr="00E834A1">
        <w:t>west control area</w:t>
      </w:r>
      <w:r w:rsidR="00A030A8" w:rsidRPr="00E834A1">
        <w:t xml:space="preserve"> are sufficient to deal with the rapid variations in wind generation.  </w:t>
      </w:r>
    </w:p>
    <w:p w:rsidR="00CB112C" w:rsidRPr="00E834A1" w:rsidRDefault="00CB112C" w:rsidP="00E834A1">
      <w:pPr>
        <w:pStyle w:val="BodyText2"/>
        <w:ind w:left="720" w:hanging="720"/>
        <w:rPr>
          <w:b/>
        </w:rPr>
      </w:pPr>
      <w:r w:rsidRPr="00E834A1">
        <w:rPr>
          <w:b/>
        </w:rPr>
        <w:t>Q.</w:t>
      </w:r>
      <w:r w:rsidRPr="00E834A1">
        <w:rPr>
          <w:b/>
        </w:rPr>
        <w:tab/>
        <w:t>Does the Company believe that reflecting the additional reserve requirements</w:t>
      </w:r>
      <w:r w:rsidR="00511A4B" w:rsidRPr="00E834A1">
        <w:rPr>
          <w:b/>
        </w:rPr>
        <w:t xml:space="preserve"> in the GRID model</w:t>
      </w:r>
      <w:r w:rsidRPr="00E834A1">
        <w:rPr>
          <w:b/>
        </w:rPr>
        <w:t xml:space="preserve">, accurately reflects the costs of integrating wind into its system?  </w:t>
      </w:r>
    </w:p>
    <w:p w:rsidR="00CB112C" w:rsidRDefault="00CB112C" w:rsidP="00E834A1">
      <w:pPr>
        <w:pStyle w:val="BodyText2"/>
        <w:ind w:left="720" w:hanging="720"/>
      </w:pPr>
      <w:r w:rsidRPr="00E834A1">
        <w:t>A.</w:t>
      </w:r>
      <w:r w:rsidRPr="00E834A1">
        <w:tab/>
        <w:t xml:space="preserve">Yes. </w:t>
      </w:r>
      <w:r w:rsidR="00787CF3" w:rsidRPr="00E834A1">
        <w:t xml:space="preserve"> </w:t>
      </w:r>
      <w:r w:rsidRPr="00E834A1">
        <w:t>Allowing the GRID model to optimize the system, taking into consideration the additional reserves required to integrate the level of wind that is included in the GRID model, more accurately reflects the real-time operation of the system</w:t>
      </w:r>
      <w:r w:rsidR="00511A4B" w:rsidRPr="00E834A1">
        <w:t xml:space="preserve"> and the impact that current wholesale market prices have on the changes in system operation</w:t>
      </w:r>
      <w:r w:rsidRPr="00E834A1">
        <w:t xml:space="preserve">. </w:t>
      </w:r>
    </w:p>
    <w:p w:rsidR="007569F2" w:rsidRPr="00E834A1" w:rsidRDefault="007569F2" w:rsidP="007569F2">
      <w:pPr>
        <w:pStyle w:val="BodyText2"/>
        <w:suppressLineNumbers/>
        <w:ind w:left="720" w:hanging="720"/>
      </w:pPr>
    </w:p>
    <w:p w:rsidR="00CB112C" w:rsidRPr="00E834A1" w:rsidRDefault="00CB112C" w:rsidP="00E834A1">
      <w:pPr>
        <w:pStyle w:val="BodyText2"/>
        <w:ind w:left="720" w:hanging="720"/>
        <w:rPr>
          <w:b/>
        </w:rPr>
      </w:pPr>
      <w:r w:rsidRPr="00E834A1">
        <w:rPr>
          <w:b/>
        </w:rPr>
        <w:t>Q.</w:t>
      </w:r>
      <w:r w:rsidRPr="00E834A1">
        <w:rPr>
          <w:b/>
        </w:rPr>
        <w:tab/>
        <w:t xml:space="preserve">Did the </w:t>
      </w:r>
      <w:r w:rsidR="00787CF3" w:rsidRPr="00E834A1">
        <w:rPr>
          <w:b/>
        </w:rPr>
        <w:t>W</w:t>
      </w:r>
      <w:r w:rsidRPr="00E834A1">
        <w:rPr>
          <w:b/>
        </w:rPr>
        <w:t xml:space="preserve">ind </w:t>
      </w:r>
      <w:r w:rsidR="00787CF3" w:rsidRPr="00E834A1">
        <w:rPr>
          <w:b/>
        </w:rPr>
        <w:t>S</w:t>
      </w:r>
      <w:r w:rsidRPr="00E834A1">
        <w:rPr>
          <w:b/>
        </w:rPr>
        <w:t>tudy also identify additional costs associated with day-ahead forecast errors for wind and load?</w:t>
      </w:r>
    </w:p>
    <w:p w:rsidR="00CB112C" w:rsidRPr="00E834A1" w:rsidRDefault="00CB112C" w:rsidP="00E834A1">
      <w:pPr>
        <w:pStyle w:val="BodyText2"/>
        <w:ind w:left="720" w:hanging="720"/>
      </w:pPr>
      <w:r w:rsidRPr="00E834A1">
        <w:t>A.</w:t>
      </w:r>
      <w:r w:rsidRPr="00E834A1">
        <w:tab/>
        <w:t xml:space="preserve">Yes. </w:t>
      </w:r>
      <w:r w:rsidR="00787CF3" w:rsidRPr="00E834A1">
        <w:t xml:space="preserve"> </w:t>
      </w:r>
      <w:r w:rsidRPr="00E834A1">
        <w:t>Using the results of the Wind Study, the Company modeled $0.7</w:t>
      </w:r>
      <w:r w:rsidR="0014306B" w:rsidRPr="00E834A1">
        <w:t>0</w:t>
      </w:r>
      <w:r w:rsidR="0086266C" w:rsidRPr="00E834A1">
        <w:t xml:space="preserve"> </w:t>
      </w:r>
      <w:r w:rsidR="0014306B" w:rsidRPr="00E834A1">
        <w:t xml:space="preserve">and $1.21 </w:t>
      </w:r>
      <w:r w:rsidR="0086266C" w:rsidRPr="00E834A1">
        <w:t>per megawatt-hour</w:t>
      </w:r>
      <w:r w:rsidRPr="00E834A1">
        <w:t xml:space="preserve"> for day-ahead forecast errors, or system balancing costs in the </w:t>
      </w:r>
      <w:r w:rsidR="00787CF3" w:rsidRPr="00E834A1">
        <w:t>net power cost</w:t>
      </w:r>
      <w:r w:rsidRPr="00E834A1">
        <w:t xml:space="preserve"> study</w:t>
      </w:r>
      <w:r w:rsidR="0014306B" w:rsidRPr="00E834A1">
        <w:t xml:space="preserve"> for the months in 2012 and in 2013, respectively</w:t>
      </w:r>
      <w:r w:rsidRPr="00E834A1">
        <w:t>.</w:t>
      </w:r>
      <w:r w:rsidR="00830586" w:rsidRPr="00E834A1">
        <w:t xml:space="preserve"> </w:t>
      </w:r>
      <w:r w:rsidR="00787CF3" w:rsidRPr="00E834A1">
        <w:t xml:space="preserve"> </w:t>
      </w:r>
      <w:r w:rsidR="00830586" w:rsidRPr="00E834A1">
        <w:t>These values are taken directly from Table 13 on page 33 of the Wind Study.</w:t>
      </w:r>
    </w:p>
    <w:p w:rsidR="00CB112C" w:rsidRPr="00E834A1" w:rsidRDefault="00CB112C" w:rsidP="00E834A1">
      <w:pPr>
        <w:pStyle w:val="BodyText2"/>
        <w:ind w:left="720" w:hanging="720"/>
        <w:rPr>
          <w:b/>
        </w:rPr>
      </w:pPr>
      <w:r w:rsidRPr="00E834A1">
        <w:rPr>
          <w:b/>
        </w:rPr>
        <w:t>Q.</w:t>
      </w:r>
      <w:r w:rsidRPr="00E834A1">
        <w:rPr>
          <w:b/>
        </w:rPr>
        <w:tab/>
        <w:t xml:space="preserve">Does the Company include system balancing costs for the non-owned wind projects and for projects located in the BPA’s balancing </w:t>
      </w:r>
      <w:r w:rsidR="0088742C" w:rsidRPr="00E834A1">
        <w:rPr>
          <w:b/>
        </w:rPr>
        <w:t xml:space="preserve">authority </w:t>
      </w:r>
      <w:r w:rsidRPr="00E834A1">
        <w:rPr>
          <w:b/>
        </w:rPr>
        <w:t>area?</w:t>
      </w:r>
    </w:p>
    <w:p w:rsidR="00CB112C" w:rsidRPr="00E834A1" w:rsidRDefault="00CB112C" w:rsidP="00E834A1">
      <w:pPr>
        <w:pStyle w:val="BodyText2"/>
        <w:ind w:left="720" w:hanging="720"/>
      </w:pPr>
      <w:r w:rsidRPr="00E834A1">
        <w:t>A.</w:t>
      </w:r>
      <w:r w:rsidRPr="00E834A1">
        <w:tab/>
        <w:t>No</w:t>
      </w:r>
      <w:r w:rsidR="00D94B14" w:rsidRPr="00E834A1">
        <w:t xml:space="preserve">.  </w:t>
      </w:r>
      <w:r w:rsidR="00AB3685" w:rsidRPr="00E834A1">
        <w:t>I</w:t>
      </w:r>
      <w:r w:rsidR="00481F6B" w:rsidRPr="00E834A1">
        <w:t>n</w:t>
      </w:r>
      <w:r w:rsidR="00D94B14" w:rsidRPr="00E834A1">
        <w:t xml:space="preserve"> compliance with </w:t>
      </w:r>
      <w:r w:rsidR="00481F6B" w:rsidRPr="00E834A1">
        <w:t>Order 06</w:t>
      </w:r>
      <w:r w:rsidR="00D94B14" w:rsidRPr="00E834A1">
        <w:t xml:space="preserve">, </w:t>
      </w:r>
      <w:r w:rsidRPr="00E834A1">
        <w:t xml:space="preserve">the </w:t>
      </w:r>
      <w:r w:rsidR="00D94B14" w:rsidRPr="00E834A1">
        <w:t>pro forma net power costs</w:t>
      </w:r>
      <w:r w:rsidRPr="00E834A1">
        <w:t xml:space="preserve"> in the current filing do not include system balancing costs for the wind projects located in the Company’s </w:t>
      </w:r>
      <w:r w:rsidR="00D94B14" w:rsidRPr="00E834A1">
        <w:t xml:space="preserve">west </w:t>
      </w:r>
      <w:r w:rsidRPr="00E834A1">
        <w:t xml:space="preserve">balancing </w:t>
      </w:r>
      <w:r w:rsidR="0088742C" w:rsidRPr="00E834A1">
        <w:rPr>
          <w:szCs w:val="24"/>
        </w:rPr>
        <w:t>authority</w:t>
      </w:r>
      <w:r w:rsidR="0088742C" w:rsidRPr="00E834A1">
        <w:t xml:space="preserve"> </w:t>
      </w:r>
      <w:r w:rsidR="007569F2">
        <w:t>area</w:t>
      </w:r>
      <w:r w:rsidRPr="00E834A1">
        <w:t xml:space="preserve"> </w:t>
      </w:r>
      <w:r w:rsidR="0046528B" w:rsidRPr="007569F2">
        <w:rPr>
          <w:szCs w:val="24"/>
        </w:rPr>
        <w:t>from which the company purchases nor of which the company owns</w:t>
      </w:r>
      <w:r w:rsidRPr="007569F2">
        <w:t>.</w:t>
      </w:r>
      <w:r w:rsidRPr="00E834A1">
        <w:t xml:space="preserve"> </w:t>
      </w:r>
      <w:r w:rsidR="00131AA5" w:rsidRPr="00E834A1">
        <w:t xml:space="preserve"> </w:t>
      </w:r>
      <w:r w:rsidRPr="00E834A1">
        <w:t xml:space="preserve">This is based on the assumption that the entities that own and/or operate those wind projects will balance their own system prior to handing over their generation schedule to the Company. </w:t>
      </w:r>
    </w:p>
    <w:p w:rsidR="00DF7185" w:rsidRPr="00E834A1" w:rsidRDefault="00DF7185" w:rsidP="00E834A1">
      <w:pPr>
        <w:pStyle w:val="BodyText2"/>
        <w:ind w:left="720" w:hanging="720"/>
        <w:rPr>
          <w:b/>
        </w:rPr>
      </w:pPr>
      <w:r w:rsidRPr="00E834A1">
        <w:rPr>
          <w:b/>
        </w:rPr>
        <w:t>Q.</w:t>
      </w:r>
      <w:r w:rsidRPr="00E834A1">
        <w:rPr>
          <w:b/>
        </w:rPr>
        <w:tab/>
        <w:t>Have wind integration costs decreased in the current filing as compared to the 2010 Rate Case?</w:t>
      </w:r>
    </w:p>
    <w:p w:rsidR="00DF7185" w:rsidRPr="00E834A1" w:rsidRDefault="00DF7185" w:rsidP="00E834A1">
      <w:pPr>
        <w:pStyle w:val="BodyText2"/>
        <w:ind w:left="720" w:hanging="720"/>
      </w:pPr>
      <w:r w:rsidRPr="00E834A1">
        <w:t>A.</w:t>
      </w:r>
      <w:r w:rsidRPr="00E834A1">
        <w:tab/>
        <w:t xml:space="preserve">Yes.  </w:t>
      </w:r>
      <w:r w:rsidR="00076614" w:rsidRPr="00E834A1">
        <w:t xml:space="preserve">Wind integration costs have decreased by </w:t>
      </w:r>
      <w:r w:rsidR="00A372DE" w:rsidRPr="00E834A1">
        <w:t xml:space="preserve">approximately </w:t>
      </w:r>
      <w:r w:rsidR="00076614" w:rsidRPr="00E834A1">
        <w:t>$</w:t>
      </w:r>
      <w:r w:rsidR="00AA7E49" w:rsidRPr="00E834A1">
        <w:t>4.7</w:t>
      </w:r>
      <w:r w:rsidR="00076614" w:rsidRPr="00E834A1">
        <w:t xml:space="preserve"> million</w:t>
      </w:r>
      <w:r w:rsidR="00AA7E49" w:rsidRPr="00E834A1">
        <w:t>,</w:t>
      </w:r>
      <w:r w:rsidR="00076614" w:rsidRPr="00E834A1">
        <w:t xml:space="preserve"> </w:t>
      </w:r>
      <w:r w:rsidR="00AA7E49" w:rsidRPr="00E834A1">
        <w:t>from</w:t>
      </w:r>
      <w:r w:rsidR="008A13ED" w:rsidRPr="00E834A1">
        <w:t xml:space="preserve"> </w:t>
      </w:r>
      <w:r w:rsidR="00A372DE" w:rsidRPr="00E834A1">
        <w:t xml:space="preserve">approximately </w:t>
      </w:r>
      <w:r w:rsidR="00AA7E49" w:rsidRPr="00E834A1">
        <w:t xml:space="preserve">$7.5 million to </w:t>
      </w:r>
      <w:r w:rsidR="00A372DE" w:rsidRPr="00E834A1">
        <w:t xml:space="preserve">approximately </w:t>
      </w:r>
      <w:r w:rsidR="008A13ED" w:rsidRPr="00E834A1">
        <w:t xml:space="preserve">$2.8 million </w:t>
      </w:r>
      <w:r w:rsidR="00076614" w:rsidRPr="00E834A1">
        <w:t xml:space="preserve">for the </w:t>
      </w:r>
      <w:r w:rsidR="006B34D7" w:rsidRPr="00E834A1">
        <w:t>west control area</w:t>
      </w:r>
      <w:r w:rsidR="00076614" w:rsidRPr="00E834A1">
        <w:t>.</w:t>
      </w:r>
    </w:p>
    <w:p w:rsidR="00707EDD" w:rsidRPr="00E834A1" w:rsidRDefault="00707EDD" w:rsidP="00E834A1">
      <w:pPr>
        <w:pStyle w:val="BodyTextIndent"/>
        <w:widowControl w:val="0"/>
        <w:tabs>
          <w:tab w:val="clear" w:pos="720"/>
        </w:tabs>
        <w:jc w:val="left"/>
        <w:rPr>
          <w:b/>
        </w:rPr>
      </w:pPr>
      <w:r w:rsidRPr="00E834A1">
        <w:rPr>
          <w:b/>
        </w:rPr>
        <w:t xml:space="preserve">Determination </w:t>
      </w:r>
      <w:r w:rsidR="00C633AB" w:rsidRPr="00E834A1">
        <w:rPr>
          <w:b/>
        </w:rPr>
        <w:t xml:space="preserve">and Modeling </w:t>
      </w:r>
      <w:r w:rsidRPr="00E834A1">
        <w:rPr>
          <w:b/>
        </w:rPr>
        <w:t>of Net Power Costs</w:t>
      </w:r>
    </w:p>
    <w:p w:rsidR="00707EDD" w:rsidRPr="00E834A1" w:rsidRDefault="00707EDD" w:rsidP="00E834A1">
      <w:pPr>
        <w:pStyle w:val="BodyTextIndent2"/>
        <w:numPr>
          <w:ilvl w:val="0"/>
          <w:numId w:val="3"/>
        </w:numPr>
        <w:tabs>
          <w:tab w:val="left" w:pos="720"/>
        </w:tabs>
        <w:rPr>
          <w:b/>
        </w:rPr>
      </w:pPr>
      <w:r w:rsidRPr="00E834A1">
        <w:rPr>
          <w:b/>
        </w:rPr>
        <w:t>Please explain net power costs.</w:t>
      </w:r>
    </w:p>
    <w:p w:rsidR="00707EDD" w:rsidRPr="00E834A1" w:rsidRDefault="00707EDD" w:rsidP="00E834A1">
      <w:pPr>
        <w:pStyle w:val="BodyTextIndent2"/>
        <w:numPr>
          <w:ilvl w:val="0"/>
          <w:numId w:val="12"/>
        </w:numPr>
        <w:tabs>
          <w:tab w:val="clear" w:pos="720"/>
        </w:tabs>
        <w:ind w:hanging="720"/>
      </w:pPr>
      <w:r w:rsidRPr="00E834A1">
        <w:t xml:space="preserve">Net power costs are defined as the sum of fuel expenses, wholesale purchase power expenses and wheeling expenses, less wholesale sales revenue. </w:t>
      </w:r>
    </w:p>
    <w:p w:rsidR="00707EDD" w:rsidRPr="00E834A1" w:rsidRDefault="00707EDD" w:rsidP="00E834A1">
      <w:pPr>
        <w:pStyle w:val="BodyText2"/>
        <w:widowControl w:val="0"/>
        <w:ind w:left="720" w:hanging="720"/>
        <w:rPr>
          <w:szCs w:val="24"/>
        </w:rPr>
      </w:pPr>
      <w:r w:rsidRPr="00E834A1">
        <w:rPr>
          <w:b/>
        </w:rPr>
        <w:t>Q.</w:t>
      </w:r>
      <w:r w:rsidRPr="00E834A1">
        <w:rPr>
          <w:b/>
        </w:rPr>
        <w:tab/>
      </w:r>
      <w:r w:rsidRPr="00E834A1">
        <w:rPr>
          <w:b/>
          <w:szCs w:val="24"/>
        </w:rPr>
        <w:t xml:space="preserve">Please explain how the Company calculated </w:t>
      </w:r>
      <w:r w:rsidR="00426076" w:rsidRPr="00E834A1">
        <w:rPr>
          <w:b/>
          <w:szCs w:val="24"/>
        </w:rPr>
        <w:t>pro</w:t>
      </w:r>
      <w:r w:rsidR="0044797B" w:rsidRPr="00E834A1">
        <w:rPr>
          <w:b/>
          <w:szCs w:val="24"/>
        </w:rPr>
        <w:t xml:space="preserve"> </w:t>
      </w:r>
      <w:r w:rsidR="00426076" w:rsidRPr="00E834A1">
        <w:rPr>
          <w:b/>
          <w:szCs w:val="24"/>
        </w:rPr>
        <w:t>forma</w:t>
      </w:r>
      <w:r w:rsidRPr="00E834A1">
        <w:rPr>
          <w:b/>
          <w:szCs w:val="24"/>
        </w:rPr>
        <w:t xml:space="preserve"> net power costs</w:t>
      </w:r>
      <w:r w:rsidR="00316D57" w:rsidRPr="00E834A1">
        <w:rPr>
          <w:b/>
          <w:szCs w:val="24"/>
        </w:rPr>
        <w:t xml:space="preserve"> for the </w:t>
      </w:r>
      <w:r w:rsidR="000D3520" w:rsidRPr="00E834A1">
        <w:rPr>
          <w:b/>
          <w:szCs w:val="24"/>
        </w:rPr>
        <w:t>12</w:t>
      </w:r>
      <w:r w:rsidR="00316D57" w:rsidRPr="00E834A1">
        <w:rPr>
          <w:b/>
          <w:szCs w:val="24"/>
        </w:rPr>
        <w:t xml:space="preserve">-month period ending </w:t>
      </w:r>
      <w:r w:rsidR="00D266D6" w:rsidRPr="00E834A1">
        <w:rPr>
          <w:b/>
          <w:szCs w:val="24"/>
        </w:rPr>
        <w:t xml:space="preserve">May </w:t>
      </w:r>
      <w:r w:rsidR="00316D57" w:rsidRPr="00E834A1">
        <w:rPr>
          <w:b/>
          <w:szCs w:val="24"/>
        </w:rPr>
        <w:t>31, 201</w:t>
      </w:r>
      <w:r w:rsidR="00D266D6" w:rsidRPr="00E834A1">
        <w:rPr>
          <w:b/>
          <w:szCs w:val="24"/>
        </w:rPr>
        <w:t>3</w:t>
      </w:r>
      <w:r w:rsidRPr="00E834A1">
        <w:rPr>
          <w:b/>
          <w:szCs w:val="24"/>
        </w:rPr>
        <w:t>.</w:t>
      </w:r>
    </w:p>
    <w:p w:rsidR="00707EDD" w:rsidRPr="00E834A1" w:rsidRDefault="00316D57" w:rsidP="00E834A1">
      <w:pPr>
        <w:pStyle w:val="BodyTextIndent2"/>
        <w:tabs>
          <w:tab w:val="clear" w:pos="720"/>
        </w:tabs>
        <w:rPr>
          <w:b/>
        </w:rPr>
      </w:pPr>
      <w:r w:rsidRPr="00E834A1">
        <w:rPr>
          <w:szCs w:val="24"/>
        </w:rPr>
        <w:t>A.</w:t>
      </w:r>
      <w:r w:rsidRPr="00E834A1">
        <w:rPr>
          <w:szCs w:val="24"/>
        </w:rPr>
        <w:tab/>
      </w:r>
      <w:r w:rsidR="00707EDD" w:rsidRPr="00E834A1">
        <w:rPr>
          <w:szCs w:val="24"/>
        </w:rPr>
        <w:t xml:space="preserve">Net power costs are calculated using GRID.  For each hour in the </w:t>
      </w:r>
      <w:r w:rsidR="00426076" w:rsidRPr="00E834A1">
        <w:rPr>
          <w:szCs w:val="24"/>
        </w:rPr>
        <w:t>pro</w:t>
      </w:r>
      <w:r w:rsidR="00A3300F" w:rsidRPr="00E834A1">
        <w:rPr>
          <w:szCs w:val="24"/>
        </w:rPr>
        <w:t xml:space="preserve"> </w:t>
      </w:r>
      <w:r w:rsidR="00426076" w:rsidRPr="00E834A1">
        <w:rPr>
          <w:szCs w:val="24"/>
        </w:rPr>
        <w:t>forma</w:t>
      </w:r>
      <w:r w:rsidR="00707EDD" w:rsidRPr="00E834A1">
        <w:rPr>
          <w:szCs w:val="24"/>
        </w:rPr>
        <w:t xml:space="preserve"> period the model simulates the operation of the power supply of the Company.</w:t>
      </w:r>
      <w:r w:rsidR="00707EDD" w:rsidRPr="00E834A1">
        <w:t xml:space="preserve"> </w:t>
      </w:r>
    </w:p>
    <w:p w:rsidR="00707EDD" w:rsidRPr="00E834A1" w:rsidRDefault="00707EDD" w:rsidP="00E834A1">
      <w:pPr>
        <w:pStyle w:val="BodyTextIndent2"/>
        <w:rPr>
          <w:b/>
        </w:rPr>
      </w:pPr>
      <w:r w:rsidRPr="00E834A1">
        <w:rPr>
          <w:b/>
        </w:rPr>
        <w:t>Q.</w:t>
      </w:r>
      <w:r w:rsidRPr="00E834A1">
        <w:rPr>
          <w:b/>
        </w:rPr>
        <w:tab/>
        <w:t>Is the Company’s general approach to the calculation of net power costs using the GRID model the same in this case as in the 20</w:t>
      </w:r>
      <w:r w:rsidR="005A69ED" w:rsidRPr="00E834A1">
        <w:rPr>
          <w:b/>
        </w:rPr>
        <w:t>10</w:t>
      </w:r>
      <w:r w:rsidRPr="00E834A1">
        <w:rPr>
          <w:b/>
        </w:rPr>
        <w:t xml:space="preserve"> Rate Case?</w:t>
      </w:r>
    </w:p>
    <w:p w:rsidR="00CF79E3" w:rsidRPr="00E834A1" w:rsidRDefault="00707EDD" w:rsidP="00E834A1">
      <w:pPr>
        <w:tabs>
          <w:tab w:val="left" w:pos="720"/>
        </w:tabs>
        <w:spacing w:line="480" w:lineRule="auto"/>
        <w:ind w:left="720" w:hanging="720"/>
        <w:rPr>
          <w:sz w:val="24"/>
        </w:rPr>
      </w:pPr>
      <w:r w:rsidRPr="00E834A1">
        <w:rPr>
          <w:sz w:val="24"/>
        </w:rPr>
        <w:t>A.</w:t>
      </w:r>
      <w:r w:rsidRPr="00E834A1">
        <w:rPr>
          <w:sz w:val="24"/>
        </w:rPr>
        <w:tab/>
        <w:t xml:space="preserve">Yes.  </w:t>
      </w:r>
      <w:r w:rsidR="003175CB" w:rsidRPr="00E834A1">
        <w:rPr>
          <w:sz w:val="24"/>
        </w:rPr>
        <w:t>The Company uses</w:t>
      </w:r>
      <w:r w:rsidRPr="00E834A1">
        <w:rPr>
          <w:sz w:val="24"/>
        </w:rPr>
        <w:t xml:space="preserve"> the GRID model in this case consistent with the </w:t>
      </w:r>
      <w:r w:rsidR="00E53CE0" w:rsidRPr="00E834A1">
        <w:rPr>
          <w:sz w:val="24"/>
        </w:rPr>
        <w:t>20</w:t>
      </w:r>
      <w:r w:rsidR="005A69ED" w:rsidRPr="00E834A1">
        <w:rPr>
          <w:sz w:val="24"/>
        </w:rPr>
        <w:t>10</w:t>
      </w:r>
      <w:r w:rsidR="00E53CE0" w:rsidRPr="00E834A1">
        <w:rPr>
          <w:sz w:val="24"/>
        </w:rPr>
        <w:t xml:space="preserve"> Rate C</w:t>
      </w:r>
      <w:r w:rsidRPr="00E834A1">
        <w:rPr>
          <w:sz w:val="24"/>
        </w:rPr>
        <w:t>ase</w:t>
      </w:r>
      <w:r w:rsidR="005A69ED" w:rsidRPr="00E834A1">
        <w:rPr>
          <w:sz w:val="24"/>
        </w:rPr>
        <w:t>, except a new release of the same version providing additional reports to address the thermal generating unit commitment logic issue</w:t>
      </w:r>
      <w:r w:rsidRPr="00E834A1">
        <w:rPr>
          <w:sz w:val="24"/>
        </w:rPr>
        <w:t xml:space="preserve">.  Because none of the general background on GRID has changed, instead of including GRID background testimony, I have attached that information to my </w:t>
      </w:r>
      <w:r w:rsidR="00CF79E3" w:rsidRPr="00E834A1">
        <w:rPr>
          <w:sz w:val="24"/>
        </w:rPr>
        <w:t>testimony as Exhibit No.___</w:t>
      </w:r>
      <w:r w:rsidRPr="00E834A1">
        <w:rPr>
          <w:sz w:val="24"/>
        </w:rPr>
        <w:t>(</w:t>
      </w:r>
      <w:r w:rsidR="00481E09" w:rsidRPr="00E834A1">
        <w:rPr>
          <w:sz w:val="24"/>
        </w:rPr>
        <w:t>GND-</w:t>
      </w:r>
      <w:r w:rsidR="008A13ED" w:rsidRPr="00E834A1">
        <w:rPr>
          <w:sz w:val="24"/>
        </w:rPr>
        <w:t>3</w:t>
      </w:r>
      <w:r w:rsidRPr="00E834A1">
        <w:rPr>
          <w:sz w:val="24"/>
        </w:rPr>
        <w:t>).  As I discuss below, the Compan</w:t>
      </w:r>
      <w:r w:rsidR="003175CB" w:rsidRPr="00E834A1">
        <w:rPr>
          <w:sz w:val="24"/>
        </w:rPr>
        <w:t>y has made some changes to the inputs to the GRID model</w:t>
      </w:r>
      <w:r w:rsidRPr="00E834A1">
        <w:rPr>
          <w:sz w:val="24"/>
        </w:rPr>
        <w:t>.</w:t>
      </w:r>
    </w:p>
    <w:p w:rsidR="00707EDD" w:rsidRPr="00E834A1" w:rsidRDefault="00707EDD" w:rsidP="00E834A1">
      <w:pPr>
        <w:tabs>
          <w:tab w:val="left" w:pos="720"/>
        </w:tabs>
        <w:spacing w:line="480" w:lineRule="auto"/>
        <w:ind w:left="720" w:hanging="720"/>
        <w:rPr>
          <w:sz w:val="24"/>
        </w:rPr>
      </w:pPr>
      <w:r w:rsidRPr="00E834A1">
        <w:rPr>
          <w:b/>
          <w:sz w:val="24"/>
          <w:szCs w:val="24"/>
        </w:rPr>
        <w:t>GRID Model Inputs and Outputs</w:t>
      </w:r>
    </w:p>
    <w:p w:rsidR="00707EDD" w:rsidRPr="00E834A1" w:rsidRDefault="00707EDD" w:rsidP="00E834A1">
      <w:pPr>
        <w:tabs>
          <w:tab w:val="left" w:pos="720"/>
        </w:tabs>
        <w:spacing w:line="480" w:lineRule="auto"/>
        <w:ind w:left="720" w:hanging="720"/>
        <w:rPr>
          <w:b/>
          <w:sz w:val="24"/>
          <w:szCs w:val="24"/>
        </w:rPr>
      </w:pPr>
      <w:r w:rsidRPr="00E834A1">
        <w:rPr>
          <w:b/>
          <w:sz w:val="24"/>
          <w:szCs w:val="24"/>
        </w:rPr>
        <w:t>Q.</w:t>
      </w:r>
      <w:r w:rsidRPr="00E834A1">
        <w:rPr>
          <w:b/>
          <w:sz w:val="24"/>
          <w:szCs w:val="24"/>
        </w:rPr>
        <w:tab/>
        <w:t>Please describe any updated inputs to GRID.</w:t>
      </w:r>
    </w:p>
    <w:p w:rsidR="00707EDD" w:rsidRPr="00E834A1" w:rsidRDefault="00707EDD" w:rsidP="00E834A1">
      <w:pPr>
        <w:tabs>
          <w:tab w:val="left" w:pos="720"/>
        </w:tabs>
        <w:spacing w:line="480" w:lineRule="auto"/>
        <w:ind w:left="720" w:hanging="720"/>
        <w:rPr>
          <w:sz w:val="24"/>
          <w:szCs w:val="24"/>
        </w:rPr>
      </w:pPr>
      <w:r w:rsidRPr="00E834A1">
        <w:rPr>
          <w:sz w:val="24"/>
          <w:szCs w:val="24"/>
        </w:rPr>
        <w:t>A.</w:t>
      </w:r>
      <w:r w:rsidRPr="00E834A1">
        <w:rPr>
          <w:sz w:val="24"/>
          <w:szCs w:val="24"/>
        </w:rPr>
        <w:tab/>
        <w:t xml:space="preserve">The inputs to the GRID model have been updated to reflect the information available at the time the net power cost study was prepared for the current filing.  </w:t>
      </w:r>
      <w:r w:rsidR="00FC2181" w:rsidRPr="00E834A1">
        <w:rPr>
          <w:sz w:val="24"/>
          <w:szCs w:val="24"/>
        </w:rPr>
        <w:t>This includes updates to t</w:t>
      </w:r>
      <w:r w:rsidRPr="00E834A1">
        <w:rPr>
          <w:sz w:val="24"/>
          <w:szCs w:val="24"/>
        </w:rPr>
        <w:t xml:space="preserve">he </w:t>
      </w:r>
      <w:r w:rsidR="006B34D7" w:rsidRPr="00E834A1">
        <w:rPr>
          <w:sz w:val="24"/>
          <w:szCs w:val="24"/>
        </w:rPr>
        <w:t xml:space="preserve">west control area </w:t>
      </w:r>
      <w:r w:rsidRPr="00E834A1">
        <w:rPr>
          <w:sz w:val="24"/>
          <w:szCs w:val="24"/>
        </w:rPr>
        <w:t xml:space="preserve">load, wholesale sales and purchase </w:t>
      </w:r>
      <w:r w:rsidR="00AE1FB1" w:rsidRPr="00E834A1">
        <w:rPr>
          <w:sz w:val="24"/>
          <w:szCs w:val="24"/>
        </w:rPr>
        <w:t>contracts for electricity, natural gas and wheeling, market prices for electricity and natural gas, fuel expenses</w:t>
      </w:r>
      <w:r w:rsidRPr="00E834A1">
        <w:rPr>
          <w:sz w:val="24"/>
          <w:szCs w:val="24"/>
        </w:rPr>
        <w:t xml:space="preserve">, </w:t>
      </w:r>
      <w:r w:rsidR="00E721D9" w:rsidRPr="00E834A1">
        <w:rPr>
          <w:sz w:val="24"/>
          <w:szCs w:val="24"/>
        </w:rPr>
        <w:t>transmission capability</w:t>
      </w:r>
      <w:r w:rsidR="00AE1FB1" w:rsidRPr="00E834A1">
        <w:rPr>
          <w:sz w:val="24"/>
          <w:szCs w:val="24"/>
        </w:rPr>
        <w:t xml:space="preserve">, characteristics of the Company’s generation facilities, </w:t>
      </w:r>
      <w:r w:rsidR="00FC2181" w:rsidRPr="00E834A1">
        <w:rPr>
          <w:sz w:val="24"/>
          <w:szCs w:val="24"/>
        </w:rPr>
        <w:t xml:space="preserve">and </w:t>
      </w:r>
      <w:r w:rsidR="00AE1FB1" w:rsidRPr="00E834A1">
        <w:rPr>
          <w:sz w:val="24"/>
          <w:szCs w:val="24"/>
        </w:rPr>
        <w:t>planned outages and forced outages of the Company’s generation resources</w:t>
      </w:r>
      <w:r w:rsidRPr="00E834A1">
        <w:rPr>
          <w:sz w:val="24"/>
          <w:szCs w:val="24"/>
        </w:rPr>
        <w:t>.</w:t>
      </w:r>
    </w:p>
    <w:p w:rsidR="00FC6DF0" w:rsidRPr="00E834A1" w:rsidRDefault="00FC6DF0" w:rsidP="00E834A1">
      <w:pPr>
        <w:suppressLineNumbers/>
        <w:tabs>
          <w:tab w:val="left" w:pos="720"/>
        </w:tabs>
        <w:spacing w:line="480" w:lineRule="auto"/>
        <w:ind w:left="720" w:hanging="720"/>
        <w:rPr>
          <w:sz w:val="24"/>
          <w:szCs w:val="24"/>
        </w:rPr>
      </w:pPr>
    </w:p>
    <w:p w:rsidR="00707EDD" w:rsidRPr="00E834A1" w:rsidRDefault="00707EDD" w:rsidP="00E834A1">
      <w:pPr>
        <w:tabs>
          <w:tab w:val="left" w:pos="720"/>
        </w:tabs>
        <w:spacing w:line="480" w:lineRule="auto"/>
        <w:ind w:left="720" w:hanging="720"/>
        <w:rPr>
          <w:b/>
          <w:sz w:val="24"/>
          <w:szCs w:val="24"/>
        </w:rPr>
      </w:pPr>
      <w:r w:rsidRPr="00E834A1">
        <w:rPr>
          <w:b/>
          <w:sz w:val="24"/>
          <w:szCs w:val="24"/>
        </w:rPr>
        <w:t>Q.</w:t>
      </w:r>
      <w:r w:rsidRPr="00E834A1">
        <w:rPr>
          <w:b/>
          <w:sz w:val="24"/>
          <w:szCs w:val="24"/>
        </w:rPr>
        <w:tab/>
        <w:t>What reports does the GRID model produce?</w:t>
      </w:r>
    </w:p>
    <w:p w:rsidR="00814BD6" w:rsidRPr="00E834A1" w:rsidRDefault="00707EDD" w:rsidP="00E834A1">
      <w:pPr>
        <w:tabs>
          <w:tab w:val="left" w:pos="720"/>
        </w:tabs>
        <w:spacing w:line="480" w:lineRule="auto"/>
        <w:ind w:left="720" w:hanging="720"/>
        <w:rPr>
          <w:sz w:val="24"/>
          <w:szCs w:val="24"/>
        </w:rPr>
      </w:pPr>
      <w:r w:rsidRPr="00E834A1">
        <w:rPr>
          <w:sz w:val="24"/>
          <w:szCs w:val="24"/>
        </w:rPr>
        <w:t>A.</w:t>
      </w:r>
      <w:r w:rsidRPr="00E834A1">
        <w:rPr>
          <w:sz w:val="24"/>
          <w:szCs w:val="24"/>
        </w:rPr>
        <w:tab/>
        <w:t xml:space="preserve">The major output from the GRID model is the net power cost report. </w:t>
      </w:r>
      <w:r w:rsidR="000D3520" w:rsidRPr="00E834A1">
        <w:rPr>
          <w:sz w:val="24"/>
          <w:szCs w:val="24"/>
        </w:rPr>
        <w:t xml:space="preserve"> </w:t>
      </w:r>
      <w:r w:rsidRPr="00E834A1">
        <w:rPr>
          <w:sz w:val="24"/>
          <w:szCs w:val="24"/>
        </w:rPr>
        <w:t>This is attached to my testimony as Exhibit No.___(</w:t>
      </w:r>
      <w:r w:rsidR="00481E09" w:rsidRPr="00E834A1">
        <w:rPr>
          <w:sz w:val="24"/>
          <w:szCs w:val="24"/>
        </w:rPr>
        <w:t>GND-</w:t>
      </w:r>
      <w:r w:rsidR="008A13ED" w:rsidRPr="00E834A1">
        <w:rPr>
          <w:sz w:val="24"/>
          <w:szCs w:val="24"/>
        </w:rPr>
        <w:t>4</w:t>
      </w:r>
      <w:r w:rsidRPr="00E834A1">
        <w:rPr>
          <w:sz w:val="24"/>
          <w:szCs w:val="24"/>
        </w:rPr>
        <w:t xml:space="preserve">).  Additional data with more detailed analyses are also available in hourly, daily, monthly and annual formats by heavy load hours and light load hours. </w:t>
      </w:r>
    </w:p>
    <w:p w:rsidR="00707EDD" w:rsidRPr="00E834A1" w:rsidRDefault="00707EDD" w:rsidP="00E834A1">
      <w:pPr>
        <w:tabs>
          <w:tab w:val="left" w:pos="720"/>
        </w:tabs>
        <w:spacing w:line="480" w:lineRule="auto"/>
        <w:ind w:left="720" w:hanging="720"/>
        <w:rPr>
          <w:b/>
          <w:sz w:val="24"/>
          <w:szCs w:val="24"/>
        </w:rPr>
      </w:pPr>
      <w:r w:rsidRPr="00E834A1">
        <w:rPr>
          <w:b/>
          <w:sz w:val="24"/>
          <w:szCs w:val="24"/>
        </w:rPr>
        <w:t xml:space="preserve">Determination of Net Power Costs on a </w:t>
      </w:r>
      <w:r w:rsidR="006B34D7" w:rsidRPr="00E834A1">
        <w:rPr>
          <w:b/>
          <w:sz w:val="24"/>
          <w:szCs w:val="24"/>
        </w:rPr>
        <w:t xml:space="preserve">West Control Area </w:t>
      </w:r>
      <w:r w:rsidRPr="00E834A1">
        <w:rPr>
          <w:b/>
          <w:sz w:val="24"/>
          <w:szCs w:val="24"/>
        </w:rPr>
        <w:t>Basis</w:t>
      </w:r>
    </w:p>
    <w:p w:rsidR="00707EDD" w:rsidRPr="00E834A1" w:rsidRDefault="00707EDD" w:rsidP="00E834A1">
      <w:pPr>
        <w:tabs>
          <w:tab w:val="left" w:pos="720"/>
        </w:tabs>
        <w:spacing w:line="480" w:lineRule="auto"/>
        <w:ind w:left="720" w:hanging="720"/>
        <w:rPr>
          <w:b/>
          <w:sz w:val="24"/>
          <w:szCs w:val="24"/>
        </w:rPr>
      </w:pPr>
      <w:r w:rsidRPr="00E834A1">
        <w:rPr>
          <w:b/>
          <w:sz w:val="24"/>
          <w:szCs w:val="24"/>
        </w:rPr>
        <w:t>Q.</w:t>
      </w:r>
      <w:r w:rsidRPr="00E834A1">
        <w:rPr>
          <w:b/>
          <w:sz w:val="24"/>
          <w:szCs w:val="24"/>
        </w:rPr>
        <w:tab/>
        <w:t xml:space="preserve">How does the Company model net power costs for the </w:t>
      </w:r>
      <w:r w:rsidR="006B34D7" w:rsidRPr="00E834A1">
        <w:rPr>
          <w:b/>
          <w:sz w:val="24"/>
          <w:szCs w:val="24"/>
        </w:rPr>
        <w:t>west control area</w:t>
      </w:r>
      <w:r w:rsidRPr="00E834A1">
        <w:rPr>
          <w:b/>
          <w:sz w:val="24"/>
          <w:szCs w:val="24"/>
        </w:rPr>
        <w:t>?</w:t>
      </w:r>
    </w:p>
    <w:p w:rsidR="00707EDD" w:rsidRPr="00E834A1" w:rsidRDefault="00707EDD" w:rsidP="00E834A1">
      <w:pPr>
        <w:tabs>
          <w:tab w:val="left" w:pos="720"/>
        </w:tabs>
        <w:spacing w:line="480" w:lineRule="auto"/>
        <w:ind w:left="720" w:hanging="720"/>
        <w:rPr>
          <w:sz w:val="24"/>
          <w:szCs w:val="24"/>
        </w:rPr>
      </w:pPr>
      <w:r w:rsidRPr="00E834A1">
        <w:rPr>
          <w:sz w:val="24"/>
          <w:szCs w:val="24"/>
        </w:rPr>
        <w:t>A.</w:t>
      </w:r>
      <w:r w:rsidRPr="00E834A1">
        <w:rPr>
          <w:sz w:val="24"/>
          <w:szCs w:val="24"/>
        </w:rPr>
        <w:tab/>
        <w:t xml:space="preserve">The Company modeled net power costs using the </w:t>
      </w:r>
      <w:r w:rsidR="00AB3685" w:rsidRPr="00E834A1">
        <w:rPr>
          <w:sz w:val="24"/>
          <w:szCs w:val="24"/>
        </w:rPr>
        <w:t>WCA</w:t>
      </w:r>
      <w:r w:rsidR="006B34D7" w:rsidRPr="00E834A1">
        <w:rPr>
          <w:sz w:val="24"/>
          <w:szCs w:val="24"/>
        </w:rPr>
        <w:t xml:space="preserve"> a</w:t>
      </w:r>
      <w:r w:rsidR="00692D41" w:rsidRPr="00E834A1">
        <w:rPr>
          <w:sz w:val="24"/>
          <w:szCs w:val="24"/>
        </w:rPr>
        <w:t xml:space="preserve">llocation </w:t>
      </w:r>
      <w:r w:rsidRPr="00E834A1">
        <w:rPr>
          <w:sz w:val="24"/>
          <w:szCs w:val="24"/>
        </w:rPr>
        <w:t>methodology adopted in Order 08, Docket UE-061546</w:t>
      </w:r>
      <w:r w:rsidR="006D788F" w:rsidRPr="00E834A1">
        <w:rPr>
          <w:sz w:val="24"/>
          <w:szCs w:val="24"/>
        </w:rPr>
        <w:t>.</w:t>
      </w:r>
      <w:r w:rsidR="00481F6B" w:rsidRPr="00E834A1">
        <w:rPr>
          <w:rStyle w:val="FootnoteReference"/>
        </w:rPr>
        <w:footnoteReference w:id="2"/>
      </w:r>
      <w:r w:rsidRPr="00E834A1">
        <w:rPr>
          <w:sz w:val="24"/>
          <w:szCs w:val="24"/>
        </w:rPr>
        <w:t xml:space="preserve">  The Company has two control areas, east and west, with limited transfers between the two control areas.  Under the </w:t>
      </w:r>
      <w:r w:rsidR="00AB3685" w:rsidRPr="00E834A1">
        <w:rPr>
          <w:sz w:val="24"/>
          <w:szCs w:val="24"/>
        </w:rPr>
        <w:t>WCA</w:t>
      </w:r>
      <w:r w:rsidR="006B34D7" w:rsidRPr="00E834A1">
        <w:rPr>
          <w:sz w:val="24"/>
          <w:szCs w:val="24"/>
        </w:rPr>
        <w:t xml:space="preserve"> </w:t>
      </w:r>
      <w:r w:rsidRPr="00E834A1">
        <w:rPr>
          <w:sz w:val="24"/>
          <w:szCs w:val="24"/>
        </w:rPr>
        <w:t>allocation method</w:t>
      </w:r>
      <w:r w:rsidR="0044797B" w:rsidRPr="00E834A1">
        <w:rPr>
          <w:sz w:val="24"/>
          <w:szCs w:val="24"/>
        </w:rPr>
        <w:t>ology</w:t>
      </w:r>
      <w:r w:rsidRPr="00E834A1">
        <w:rPr>
          <w:sz w:val="24"/>
          <w:szCs w:val="24"/>
        </w:rPr>
        <w:t xml:space="preserve">, only the load and resources in the </w:t>
      </w:r>
      <w:r w:rsidR="006B34D7" w:rsidRPr="00E834A1">
        <w:rPr>
          <w:sz w:val="24"/>
          <w:szCs w:val="24"/>
        </w:rPr>
        <w:t xml:space="preserve">west control area load </w:t>
      </w:r>
      <w:r w:rsidRPr="00E834A1">
        <w:rPr>
          <w:sz w:val="24"/>
          <w:szCs w:val="24"/>
        </w:rPr>
        <w:t>are taken into consideration.</w:t>
      </w:r>
    </w:p>
    <w:p w:rsidR="00707EDD" w:rsidRPr="00E834A1" w:rsidRDefault="00707EDD" w:rsidP="00E834A1">
      <w:pPr>
        <w:widowControl w:val="0"/>
        <w:tabs>
          <w:tab w:val="left" w:pos="720"/>
        </w:tabs>
        <w:spacing w:line="480" w:lineRule="auto"/>
        <w:ind w:left="720" w:hanging="720"/>
        <w:rPr>
          <w:b/>
          <w:sz w:val="24"/>
          <w:szCs w:val="24"/>
        </w:rPr>
      </w:pPr>
      <w:r w:rsidRPr="00E834A1">
        <w:rPr>
          <w:b/>
          <w:sz w:val="24"/>
          <w:szCs w:val="24"/>
        </w:rPr>
        <w:t>Q.</w:t>
      </w:r>
      <w:r w:rsidRPr="00E834A1">
        <w:rPr>
          <w:b/>
          <w:sz w:val="24"/>
          <w:szCs w:val="24"/>
        </w:rPr>
        <w:tab/>
        <w:t xml:space="preserve">What are the load obligations in the </w:t>
      </w:r>
      <w:r w:rsidR="006B34D7" w:rsidRPr="00E834A1">
        <w:rPr>
          <w:b/>
          <w:sz w:val="24"/>
          <w:szCs w:val="24"/>
        </w:rPr>
        <w:t>west control area</w:t>
      </w:r>
      <w:r w:rsidRPr="00E834A1">
        <w:rPr>
          <w:b/>
          <w:sz w:val="24"/>
          <w:szCs w:val="24"/>
        </w:rPr>
        <w:t>?</w:t>
      </w:r>
    </w:p>
    <w:p w:rsidR="00707EDD" w:rsidRPr="00E834A1" w:rsidRDefault="00707EDD" w:rsidP="00E834A1">
      <w:pPr>
        <w:widowControl w:val="0"/>
        <w:tabs>
          <w:tab w:val="left" w:pos="720"/>
        </w:tabs>
        <w:spacing w:line="480" w:lineRule="auto"/>
        <w:ind w:left="720" w:hanging="720"/>
        <w:rPr>
          <w:sz w:val="24"/>
          <w:szCs w:val="24"/>
        </w:rPr>
      </w:pPr>
      <w:r w:rsidRPr="00E834A1">
        <w:rPr>
          <w:sz w:val="24"/>
          <w:szCs w:val="24"/>
        </w:rPr>
        <w:t>A.</w:t>
      </w:r>
      <w:r w:rsidRPr="00E834A1">
        <w:rPr>
          <w:sz w:val="24"/>
          <w:szCs w:val="24"/>
        </w:rPr>
        <w:tab/>
        <w:t xml:space="preserve">The load in the </w:t>
      </w:r>
      <w:r w:rsidR="006B34D7" w:rsidRPr="00E834A1">
        <w:rPr>
          <w:sz w:val="24"/>
          <w:szCs w:val="24"/>
        </w:rPr>
        <w:t xml:space="preserve">west control area </w:t>
      </w:r>
      <w:r w:rsidRPr="00E834A1">
        <w:rPr>
          <w:sz w:val="24"/>
          <w:szCs w:val="24"/>
        </w:rPr>
        <w:t xml:space="preserve">is composed of the retail load in the Company’s service territories in the states of California, Oregon and Washington.  </w:t>
      </w:r>
    </w:p>
    <w:p w:rsidR="00707EDD" w:rsidRPr="00E834A1" w:rsidRDefault="00A95B77" w:rsidP="00E834A1">
      <w:pPr>
        <w:tabs>
          <w:tab w:val="left" w:pos="720"/>
        </w:tabs>
        <w:spacing w:line="480" w:lineRule="auto"/>
        <w:ind w:left="720" w:hanging="720"/>
        <w:rPr>
          <w:b/>
          <w:sz w:val="24"/>
          <w:szCs w:val="24"/>
        </w:rPr>
      </w:pPr>
      <w:r w:rsidRPr="00E834A1">
        <w:rPr>
          <w:b/>
          <w:sz w:val="24"/>
          <w:szCs w:val="24"/>
        </w:rPr>
        <w:t>Q.</w:t>
      </w:r>
      <w:r w:rsidRPr="00E834A1">
        <w:rPr>
          <w:b/>
          <w:sz w:val="24"/>
          <w:szCs w:val="24"/>
        </w:rPr>
        <w:tab/>
        <w:t>What are the Company-</w:t>
      </w:r>
      <w:r w:rsidR="00707EDD" w:rsidRPr="00E834A1">
        <w:rPr>
          <w:b/>
          <w:sz w:val="24"/>
          <w:szCs w:val="24"/>
        </w:rPr>
        <w:t xml:space="preserve">owned resources in the </w:t>
      </w:r>
      <w:r w:rsidR="006B34D7" w:rsidRPr="00E834A1">
        <w:rPr>
          <w:b/>
          <w:sz w:val="24"/>
          <w:szCs w:val="24"/>
        </w:rPr>
        <w:t>west control area</w:t>
      </w:r>
      <w:r w:rsidR="00707EDD" w:rsidRPr="00E834A1">
        <w:rPr>
          <w:b/>
          <w:sz w:val="24"/>
          <w:szCs w:val="24"/>
        </w:rPr>
        <w:t>?</w:t>
      </w:r>
    </w:p>
    <w:p w:rsidR="00707EDD" w:rsidRPr="00E834A1" w:rsidRDefault="00707EDD" w:rsidP="00E834A1">
      <w:pPr>
        <w:tabs>
          <w:tab w:val="left" w:pos="720"/>
        </w:tabs>
        <w:spacing w:line="480" w:lineRule="auto"/>
        <w:ind w:left="720" w:hanging="720"/>
        <w:rPr>
          <w:sz w:val="24"/>
          <w:szCs w:val="24"/>
        </w:rPr>
      </w:pPr>
      <w:r w:rsidRPr="00E834A1">
        <w:rPr>
          <w:sz w:val="24"/>
          <w:szCs w:val="24"/>
        </w:rPr>
        <w:t>A.</w:t>
      </w:r>
      <w:r w:rsidRPr="00E834A1">
        <w:rPr>
          <w:sz w:val="24"/>
          <w:szCs w:val="24"/>
        </w:rPr>
        <w:tab/>
        <w:t xml:space="preserve">The </w:t>
      </w:r>
      <w:r w:rsidR="00A95B77" w:rsidRPr="00E834A1">
        <w:rPr>
          <w:sz w:val="24"/>
          <w:szCs w:val="24"/>
        </w:rPr>
        <w:t xml:space="preserve">Company-owned resources in the </w:t>
      </w:r>
      <w:r w:rsidR="006B34D7" w:rsidRPr="00E834A1">
        <w:rPr>
          <w:sz w:val="24"/>
          <w:szCs w:val="24"/>
        </w:rPr>
        <w:t xml:space="preserve">west control area </w:t>
      </w:r>
      <w:r w:rsidRPr="00E834A1">
        <w:rPr>
          <w:sz w:val="24"/>
          <w:szCs w:val="24"/>
        </w:rPr>
        <w:t>include:</w:t>
      </w:r>
    </w:p>
    <w:p w:rsidR="003F5660" w:rsidRPr="00E834A1" w:rsidRDefault="00AA2911" w:rsidP="00E834A1">
      <w:pPr>
        <w:pStyle w:val="ListParagraph"/>
        <w:numPr>
          <w:ilvl w:val="0"/>
          <w:numId w:val="9"/>
        </w:numPr>
        <w:spacing w:line="480" w:lineRule="auto"/>
        <w:rPr>
          <w:sz w:val="24"/>
          <w:szCs w:val="24"/>
        </w:rPr>
      </w:pPr>
      <w:r w:rsidRPr="00E834A1">
        <w:rPr>
          <w:sz w:val="24"/>
          <w:szCs w:val="24"/>
        </w:rPr>
        <w:t xml:space="preserve">Hydro resources – facilities on the North Umpqua River and Rogue River in Oregon, Lewis River in Washington, Klamath River in Oregon and California, and other small hydro facilities in the </w:t>
      </w:r>
      <w:r w:rsidR="006B34D7" w:rsidRPr="00E834A1">
        <w:rPr>
          <w:sz w:val="24"/>
          <w:szCs w:val="24"/>
        </w:rPr>
        <w:t>west control area</w:t>
      </w:r>
      <w:r w:rsidRPr="00E834A1">
        <w:rPr>
          <w:sz w:val="24"/>
          <w:szCs w:val="24"/>
        </w:rPr>
        <w:t>;</w:t>
      </w:r>
    </w:p>
    <w:p w:rsidR="003F5660" w:rsidRPr="00E834A1" w:rsidRDefault="00AA2911" w:rsidP="00E834A1">
      <w:pPr>
        <w:pStyle w:val="ListParagraph"/>
        <w:numPr>
          <w:ilvl w:val="0"/>
          <w:numId w:val="9"/>
        </w:numPr>
        <w:spacing w:line="480" w:lineRule="auto"/>
        <w:rPr>
          <w:sz w:val="24"/>
          <w:szCs w:val="24"/>
        </w:rPr>
      </w:pPr>
      <w:r w:rsidRPr="00E834A1">
        <w:rPr>
          <w:sz w:val="24"/>
          <w:szCs w:val="24"/>
        </w:rPr>
        <w:t>Wind resources – Leaning Juniper in Oregon, Goodnoe Hills, Marengo I and Marengo II in Washington; and</w:t>
      </w:r>
    </w:p>
    <w:p w:rsidR="003F5660" w:rsidRPr="00E834A1" w:rsidRDefault="00AA2911" w:rsidP="00E834A1">
      <w:pPr>
        <w:pStyle w:val="ListParagraph"/>
        <w:numPr>
          <w:ilvl w:val="0"/>
          <w:numId w:val="9"/>
        </w:numPr>
        <w:spacing w:line="480" w:lineRule="auto"/>
        <w:rPr>
          <w:sz w:val="24"/>
          <w:szCs w:val="24"/>
        </w:rPr>
      </w:pPr>
      <w:r w:rsidRPr="00E834A1">
        <w:rPr>
          <w:sz w:val="24"/>
          <w:szCs w:val="24"/>
        </w:rPr>
        <w:t>Thermal resources – Colstrip in Montana, Jim Bridger in Wyoming, Chehalis in Washington and Hermiston in Oregon.</w:t>
      </w:r>
    </w:p>
    <w:p w:rsidR="00707EDD" w:rsidRPr="00E834A1" w:rsidRDefault="00C8486D" w:rsidP="00E834A1">
      <w:pPr>
        <w:tabs>
          <w:tab w:val="left" w:pos="720"/>
        </w:tabs>
        <w:spacing w:line="480" w:lineRule="auto"/>
        <w:ind w:left="720" w:hanging="720"/>
        <w:rPr>
          <w:sz w:val="24"/>
          <w:szCs w:val="24"/>
        </w:rPr>
      </w:pPr>
      <w:r w:rsidRPr="00E834A1">
        <w:rPr>
          <w:sz w:val="24"/>
          <w:szCs w:val="24"/>
        </w:rPr>
        <w:tab/>
      </w:r>
      <w:r w:rsidR="00707EDD" w:rsidRPr="00E834A1">
        <w:rPr>
          <w:sz w:val="24"/>
          <w:szCs w:val="24"/>
        </w:rPr>
        <w:tab/>
        <w:t xml:space="preserve">The Colstrip and Jim Bridger plants are located outside the geographical area of the three western states.  However, through owned and contracted transmission capabilities, the generation from the two plants is </w:t>
      </w:r>
      <w:r w:rsidR="00A95B77" w:rsidRPr="00E834A1">
        <w:rPr>
          <w:sz w:val="24"/>
          <w:szCs w:val="24"/>
        </w:rPr>
        <w:t xml:space="preserve">electrically </w:t>
      </w:r>
      <w:r w:rsidR="00707EDD" w:rsidRPr="00E834A1">
        <w:rPr>
          <w:sz w:val="24"/>
          <w:szCs w:val="24"/>
        </w:rPr>
        <w:t xml:space="preserve">interconnected with the Company’s </w:t>
      </w:r>
      <w:r w:rsidR="006B34D7" w:rsidRPr="00E834A1">
        <w:rPr>
          <w:sz w:val="24"/>
          <w:szCs w:val="24"/>
        </w:rPr>
        <w:t>west control area</w:t>
      </w:r>
      <w:r w:rsidR="00707EDD" w:rsidRPr="00E834A1">
        <w:rPr>
          <w:sz w:val="24"/>
          <w:szCs w:val="24"/>
        </w:rPr>
        <w:t>.</w:t>
      </w:r>
    </w:p>
    <w:p w:rsidR="00707EDD" w:rsidRPr="00E834A1" w:rsidRDefault="00C8486D" w:rsidP="00E834A1">
      <w:pPr>
        <w:widowControl w:val="0"/>
        <w:tabs>
          <w:tab w:val="left" w:pos="720"/>
        </w:tabs>
        <w:spacing w:line="480" w:lineRule="auto"/>
        <w:ind w:left="720" w:hanging="720"/>
        <w:rPr>
          <w:sz w:val="24"/>
          <w:szCs w:val="24"/>
        </w:rPr>
      </w:pPr>
      <w:r w:rsidRPr="00E834A1">
        <w:rPr>
          <w:sz w:val="24"/>
          <w:szCs w:val="24"/>
        </w:rPr>
        <w:tab/>
      </w:r>
      <w:r w:rsidR="00707EDD" w:rsidRPr="00E834A1">
        <w:rPr>
          <w:sz w:val="24"/>
          <w:szCs w:val="24"/>
        </w:rPr>
        <w:tab/>
        <w:t>T</w:t>
      </w:r>
      <w:r w:rsidR="00A95B77" w:rsidRPr="00E834A1">
        <w:rPr>
          <w:sz w:val="24"/>
          <w:szCs w:val="24"/>
        </w:rPr>
        <w:t>he Company has shares in two</w:t>
      </w:r>
      <w:r w:rsidR="00707EDD" w:rsidRPr="00E834A1">
        <w:rPr>
          <w:sz w:val="24"/>
          <w:szCs w:val="24"/>
        </w:rPr>
        <w:t xml:space="preserve"> units of the Colstrip plant.  Because only Colstrip 4 is authorized by the Commission for rate setting purposes in Washington, only Colstrip 4 is </w:t>
      </w:r>
      <w:r w:rsidR="00A95B77" w:rsidRPr="00E834A1">
        <w:rPr>
          <w:sz w:val="24"/>
          <w:szCs w:val="24"/>
        </w:rPr>
        <w:t xml:space="preserve">included in the </w:t>
      </w:r>
      <w:r w:rsidR="00AB3685" w:rsidRPr="00E834A1">
        <w:rPr>
          <w:sz w:val="24"/>
          <w:szCs w:val="24"/>
        </w:rPr>
        <w:t>W</w:t>
      </w:r>
      <w:r w:rsidR="005940B1" w:rsidRPr="00E834A1">
        <w:rPr>
          <w:sz w:val="24"/>
          <w:szCs w:val="24"/>
        </w:rPr>
        <w:t>ashington</w:t>
      </w:r>
      <w:r w:rsidR="00AB3685" w:rsidRPr="00E834A1">
        <w:rPr>
          <w:sz w:val="24"/>
          <w:szCs w:val="24"/>
        </w:rPr>
        <w:t>-allocated</w:t>
      </w:r>
      <w:r w:rsidR="00707EDD" w:rsidRPr="00E834A1">
        <w:rPr>
          <w:sz w:val="24"/>
          <w:szCs w:val="24"/>
        </w:rPr>
        <w:t xml:space="preserve"> net power cost.  In addition, because the</w:t>
      </w:r>
      <w:r w:rsidR="00A95B77" w:rsidRPr="00E834A1">
        <w:rPr>
          <w:sz w:val="24"/>
          <w:szCs w:val="24"/>
        </w:rPr>
        <w:t>re is a</w:t>
      </w:r>
      <w:r w:rsidR="00707EDD" w:rsidRPr="00E834A1">
        <w:rPr>
          <w:sz w:val="24"/>
          <w:szCs w:val="24"/>
        </w:rPr>
        <w:t xml:space="preserve"> </w:t>
      </w:r>
      <w:r w:rsidR="00A95B77" w:rsidRPr="00E834A1">
        <w:rPr>
          <w:sz w:val="24"/>
          <w:szCs w:val="24"/>
        </w:rPr>
        <w:t>limitation on</w:t>
      </w:r>
      <w:r w:rsidR="00707EDD" w:rsidRPr="00E834A1">
        <w:rPr>
          <w:sz w:val="24"/>
          <w:szCs w:val="24"/>
        </w:rPr>
        <w:t xml:space="preserve"> transmission c</w:t>
      </w:r>
      <w:r w:rsidR="00A95B77" w:rsidRPr="00E834A1">
        <w:rPr>
          <w:sz w:val="24"/>
          <w:szCs w:val="24"/>
        </w:rPr>
        <w:t>apabilities</w:t>
      </w:r>
      <w:r w:rsidR="00707EDD" w:rsidRPr="00E834A1">
        <w:rPr>
          <w:sz w:val="24"/>
          <w:szCs w:val="24"/>
        </w:rPr>
        <w:t>, the generation from the Jim Bridger plant that can be wheeled int</w:t>
      </w:r>
      <w:r w:rsidR="00A95B77" w:rsidRPr="00E834A1">
        <w:rPr>
          <w:sz w:val="24"/>
          <w:szCs w:val="24"/>
        </w:rPr>
        <w:t xml:space="preserve">o the </w:t>
      </w:r>
      <w:r w:rsidR="006B34D7" w:rsidRPr="00E834A1">
        <w:rPr>
          <w:sz w:val="24"/>
          <w:szCs w:val="24"/>
        </w:rPr>
        <w:t>west control area</w:t>
      </w:r>
      <w:r w:rsidR="00A95B77" w:rsidRPr="00E834A1">
        <w:rPr>
          <w:sz w:val="24"/>
          <w:szCs w:val="24"/>
        </w:rPr>
        <w:t xml:space="preserve"> is approximately</w:t>
      </w:r>
      <w:r w:rsidR="00707EDD" w:rsidRPr="00E834A1">
        <w:rPr>
          <w:sz w:val="24"/>
          <w:szCs w:val="24"/>
        </w:rPr>
        <w:t xml:space="preserve"> 96 percent of </w:t>
      </w:r>
      <w:r w:rsidR="00A3300F" w:rsidRPr="00E834A1">
        <w:rPr>
          <w:sz w:val="24"/>
          <w:szCs w:val="24"/>
        </w:rPr>
        <w:t xml:space="preserve">the </w:t>
      </w:r>
      <w:r w:rsidR="00707EDD" w:rsidRPr="00E834A1">
        <w:rPr>
          <w:sz w:val="24"/>
          <w:szCs w:val="24"/>
        </w:rPr>
        <w:t>total Jim Bridger capability.</w:t>
      </w:r>
      <w:r w:rsidR="00A95B77" w:rsidRPr="00E834A1">
        <w:rPr>
          <w:sz w:val="24"/>
          <w:szCs w:val="24"/>
        </w:rPr>
        <w:t xml:space="preserve">  As such, the </w:t>
      </w:r>
      <w:r w:rsidR="00AB3685" w:rsidRPr="00E834A1">
        <w:rPr>
          <w:sz w:val="24"/>
          <w:szCs w:val="24"/>
        </w:rPr>
        <w:t>WCA</w:t>
      </w:r>
      <w:r w:rsidR="00A95B77" w:rsidRPr="00E834A1">
        <w:rPr>
          <w:sz w:val="24"/>
          <w:szCs w:val="24"/>
        </w:rPr>
        <w:t xml:space="preserve"> allocation methodology only includes </w:t>
      </w:r>
      <w:r w:rsidR="007B60F9" w:rsidRPr="00E834A1">
        <w:rPr>
          <w:sz w:val="24"/>
          <w:szCs w:val="24"/>
        </w:rPr>
        <w:t xml:space="preserve">approximately </w:t>
      </w:r>
      <w:r w:rsidR="00A95B77" w:rsidRPr="00E834A1">
        <w:rPr>
          <w:sz w:val="24"/>
          <w:szCs w:val="24"/>
        </w:rPr>
        <w:t>96 percent of the costs and output of Jim Bridger.</w:t>
      </w:r>
    </w:p>
    <w:p w:rsidR="00707EDD" w:rsidRPr="00E834A1" w:rsidRDefault="00707EDD" w:rsidP="00E834A1">
      <w:pPr>
        <w:tabs>
          <w:tab w:val="left" w:pos="720"/>
        </w:tabs>
        <w:spacing w:line="480" w:lineRule="auto"/>
        <w:ind w:left="720" w:hanging="720"/>
        <w:rPr>
          <w:b/>
          <w:sz w:val="24"/>
          <w:szCs w:val="24"/>
        </w:rPr>
      </w:pPr>
      <w:r w:rsidRPr="00E834A1">
        <w:rPr>
          <w:b/>
          <w:sz w:val="24"/>
          <w:szCs w:val="24"/>
        </w:rPr>
        <w:t>Q.</w:t>
      </w:r>
      <w:r w:rsidRPr="00E834A1">
        <w:rPr>
          <w:b/>
          <w:sz w:val="24"/>
          <w:szCs w:val="24"/>
        </w:rPr>
        <w:tab/>
      </w:r>
      <w:r w:rsidR="00E2634D" w:rsidRPr="00E834A1">
        <w:rPr>
          <w:b/>
          <w:sz w:val="24"/>
          <w:szCs w:val="24"/>
        </w:rPr>
        <w:t>Which</w:t>
      </w:r>
      <w:r w:rsidRPr="00E834A1">
        <w:rPr>
          <w:b/>
          <w:sz w:val="24"/>
          <w:szCs w:val="24"/>
        </w:rPr>
        <w:t xml:space="preserve"> wholesale purchase </w:t>
      </w:r>
      <w:r w:rsidR="00E2634D" w:rsidRPr="00E834A1">
        <w:rPr>
          <w:b/>
          <w:sz w:val="24"/>
          <w:szCs w:val="24"/>
        </w:rPr>
        <w:t xml:space="preserve">and sales </w:t>
      </w:r>
      <w:r w:rsidRPr="00E834A1">
        <w:rPr>
          <w:b/>
          <w:sz w:val="24"/>
          <w:szCs w:val="24"/>
        </w:rPr>
        <w:t xml:space="preserve">contracts </w:t>
      </w:r>
      <w:r w:rsidR="00E2634D" w:rsidRPr="00E834A1">
        <w:rPr>
          <w:b/>
          <w:sz w:val="24"/>
          <w:szCs w:val="24"/>
        </w:rPr>
        <w:t xml:space="preserve">are included </w:t>
      </w:r>
      <w:r w:rsidRPr="00E834A1">
        <w:rPr>
          <w:b/>
          <w:sz w:val="24"/>
          <w:szCs w:val="24"/>
        </w:rPr>
        <w:t xml:space="preserve">in the </w:t>
      </w:r>
      <w:r w:rsidR="006B34D7" w:rsidRPr="00E834A1">
        <w:rPr>
          <w:b/>
          <w:sz w:val="24"/>
          <w:szCs w:val="24"/>
        </w:rPr>
        <w:t>west control area</w:t>
      </w:r>
      <w:r w:rsidRPr="00E834A1">
        <w:rPr>
          <w:b/>
          <w:sz w:val="24"/>
          <w:szCs w:val="24"/>
        </w:rPr>
        <w:t>?</w:t>
      </w:r>
    </w:p>
    <w:p w:rsidR="00F96DBF" w:rsidRPr="00E834A1" w:rsidRDefault="00707EDD" w:rsidP="00E834A1">
      <w:pPr>
        <w:widowControl w:val="0"/>
        <w:tabs>
          <w:tab w:val="left" w:pos="720"/>
        </w:tabs>
        <w:spacing w:line="480" w:lineRule="auto"/>
        <w:ind w:left="720" w:hanging="720"/>
        <w:rPr>
          <w:sz w:val="24"/>
          <w:szCs w:val="24"/>
        </w:rPr>
      </w:pPr>
      <w:r w:rsidRPr="00E834A1">
        <w:rPr>
          <w:sz w:val="24"/>
          <w:szCs w:val="24"/>
        </w:rPr>
        <w:t>A.</w:t>
      </w:r>
      <w:r w:rsidRPr="00E834A1">
        <w:rPr>
          <w:sz w:val="24"/>
          <w:szCs w:val="24"/>
        </w:rPr>
        <w:tab/>
      </w:r>
      <w:r w:rsidR="00A95B77" w:rsidRPr="00E834A1">
        <w:rPr>
          <w:sz w:val="24"/>
          <w:szCs w:val="24"/>
        </w:rPr>
        <w:t xml:space="preserve">The </w:t>
      </w:r>
      <w:r w:rsidR="006B34D7" w:rsidRPr="00E834A1">
        <w:rPr>
          <w:sz w:val="24"/>
          <w:szCs w:val="24"/>
        </w:rPr>
        <w:t>west control area</w:t>
      </w:r>
      <w:r w:rsidRPr="00E834A1">
        <w:rPr>
          <w:sz w:val="24"/>
          <w:szCs w:val="24"/>
        </w:rPr>
        <w:t xml:space="preserve"> net power costs include the Company’s wholesale purchase contracts that have delivery points within the </w:t>
      </w:r>
      <w:r w:rsidR="006B34D7" w:rsidRPr="00E834A1">
        <w:rPr>
          <w:sz w:val="24"/>
          <w:szCs w:val="24"/>
        </w:rPr>
        <w:t>west control area</w:t>
      </w:r>
      <w:r w:rsidRPr="00E834A1">
        <w:rPr>
          <w:sz w:val="24"/>
          <w:szCs w:val="24"/>
        </w:rPr>
        <w:t>, which include the contracts for the generation from the Mid</w:t>
      </w:r>
      <w:r w:rsidR="00F72BB1" w:rsidRPr="00E834A1">
        <w:rPr>
          <w:sz w:val="24"/>
          <w:szCs w:val="24"/>
        </w:rPr>
        <w:t>-</w:t>
      </w:r>
      <w:r w:rsidRPr="00E834A1">
        <w:rPr>
          <w:sz w:val="24"/>
          <w:szCs w:val="24"/>
        </w:rPr>
        <w:t xml:space="preserve">Columbia river </w:t>
      </w:r>
      <w:r w:rsidR="00A95B77" w:rsidRPr="00E834A1">
        <w:rPr>
          <w:sz w:val="24"/>
          <w:szCs w:val="24"/>
        </w:rPr>
        <w:t xml:space="preserve">hydro </w:t>
      </w:r>
      <w:r w:rsidRPr="00E834A1">
        <w:rPr>
          <w:sz w:val="24"/>
          <w:szCs w:val="24"/>
        </w:rPr>
        <w:t>projects.</w:t>
      </w:r>
      <w:r w:rsidR="00E2634D" w:rsidRPr="00E834A1">
        <w:rPr>
          <w:sz w:val="24"/>
          <w:szCs w:val="24"/>
        </w:rPr>
        <w:t xml:space="preserve"> </w:t>
      </w:r>
      <w:r w:rsidR="00CE052F" w:rsidRPr="00E834A1">
        <w:rPr>
          <w:sz w:val="24"/>
          <w:szCs w:val="24"/>
        </w:rPr>
        <w:t>Simil</w:t>
      </w:r>
      <w:r w:rsidR="00CC1C79" w:rsidRPr="00E834A1">
        <w:rPr>
          <w:sz w:val="24"/>
          <w:szCs w:val="24"/>
        </w:rPr>
        <w:t>arl</w:t>
      </w:r>
      <w:r w:rsidR="00CE052F" w:rsidRPr="00E834A1">
        <w:rPr>
          <w:sz w:val="24"/>
          <w:szCs w:val="24"/>
        </w:rPr>
        <w:t>y, t</w:t>
      </w:r>
      <w:r w:rsidR="00E2634D" w:rsidRPr="00E834A1">
        <w:rPr>
          <w:sz w:val="24"/>
          <w:szCs w:val="24"/>
        </w:rPr>
        <w:t xml:space="preserve">he wholesale sales contracts included </w:t>
      </w:r>
      <w:r w:rsidR="00CE052F" w:rsidRPr="00E834A1">
        <w:rPr>
          <w:sz w:val="24"/>
          <w:szCs w:val="24"/>
        </w:rPr>
        <w:t>all</w:t>
      </w:r>
      <w:r w:rsidR="00E2634D" w:rsidRPr="00E834A1">
        <w:rPr>
          <w:sz w:val="24"/>
          <w:szCs w:val="24"/>
        </w:rPr>
        <w:t xml:space="preserve"> have delivery points in the Company’s </w:t>
      </w:r>
      <w:r w:rsidR="006B34D7" w:rsidRPr="00E834A1">
        <w:rPr>
          <w:sz w:val="24"/>
          <w:szCs w:val="24"/>
        </w:rPr>
        <w:t>west control area</w:t>
      </w:r>
      <w:r w:rsidR="00E2634D" w:rsidRPr="00E834A1">
        <w:rPr>
          <w:sz w:val="24"/>
          <w:szCs w:val="24"/>
        </w:rPr>
        <w:t>.</w:t>
      </w:r>
    </w:p>
    <w:p w:rsidR="00FC6DF0" w:rsidRPr="00E834A1" w:rsidRDefault="00FC6DF0" w:rsidP="00E834A1">
      <w:pPr>
        <w:widowControl w:val="0"/>
        <w:suppressLineNumbers/>
        <w:tabs>
          <w:tab w:val="left" w:pos="720"/>
        </w:tabs>
        <w:spacing w:line="480" w:lineRule="auto"/>
        <w:ind w:left="720" w:hanging="720"/>
        <w:rPr>
          <w:sz w:val="24"/>
          <w:szCs w:val="24"/>
        </w:rPr>
      </w:pPr>
    </w:p>
    <w:p w:rsidR="00707EDD" w:rsidRPr="00E834A1" w:rsidRDefault="00707EDD" w:rsidP="00E834A1">
      <w:pPr>
        <w:tabs>
          <w:tab w:val="left" w:pos="720"/>
        </w:tabs>
        <w:spacing w:line="480" w:lineRule="auto"/>
        <w:ind w:left="720" w:hanging="720"/>
        <w:rPr>
          <w:b/>
          <w:sz w:val="24"/>
          <w:szCs w:val="24"/>
        </w:rPr>
      </w:pPr>
      <w:r w:rsidRPr="00E834A1">
        <w:rPr>
          <w:b/>
          <w:sz w:val="24"/>
          <w:szCs w:val="24"/>
        </w:rPr>
        <w:t>Q.</w:t>
      </w:r>
      <w:r w:rsidRPr="00E834A1">
        <w:rPr>
          <w:b/>
          <w:sz w:val="24"/>
          <w:szCs w:val="24"/>
        </w:rPr>
        <w:tab/>
        <w:t>How are the Company’s owned transmission capabili</w:t>
      </w:r>
      <w:r w:rsidR="00A95B77" w:rsidRPr="00E834A1">
        <w:rPr>
          <w:b/>
          <w:sz w:val="24"/>
          <w:szCs w:val="24"/>
        </w:rPr>
        <w:t xml:space="preserve">ties and wheeling contracts </w:t>
      </w:r>
      <w:r w:rsidRPr="00E834A1">
        <w:rPr>
          <w:b/>
          <w:sz w:val="24"/>
          <w:szCs w:val="24"/>
        </w:rPr>
        <w:t xml:space="preserve">treated under the </w:t>
      </w:r>
      <w:r w:rsidR="00AB3685" w:rsidRPr="00E834A1">
        <w:rPr>
          <w:b/>
          <w:sz w:val="24"/>
          <w:szCs w:val="24"/>
        </w:rPr>
        <w:t>WCA</w:t>
      </w:r>
      <w:r w:rsidRPr="00E834A1">
        <w:rPr>
          <w:b/>
          <w:sz w:val="24"/>
          <w:szCs w:val="24"/>
        </w:rPr>
        <w:t xml:space="preserve"> allocation method</w:t>
      </w:r>
      <w:r w:rsidR="00692D41" w:rsidRPr="00E834A1">
        <w:rPr>
          <w:b/>
          <w:sz w:val="24"/>
          <w:szCs w:val="24"/>
        </w:rPr>
        <w:t>ology</w:t>
      </w:r>
      <w:r w:rsidRPr="00E834A1">
        <w:rPr>
          <w:b/>
          <w:sz w:val="24"/>
          <w:szCs w:val="24"/>
        </w:rPr>
        <w:t>?</w:t>
      </w:r>
    </w:p>
    <w:p w:rsidR="00814BD6" w:rsidRPr="00E834A1" w:rsidRDefault="00A95B77" w:rsidP="00E834A1">
      <w:pPr>
        <w:tabs>
          <w:tab w:val="left" w:pos="720"/>
        </w:tabs>
        <w:spacing w:line="480" w:lineRule="auto"/>
        <w:ind w:left="720" w:hanging="720"/>
        <w:rPr>
          <w:sz w:val="24"/>
          <w:szCs w:val="24"/>
        </w:rPr>
      </w:pPr>
      <w:r w:rsidRPr="00E834A1">
        <w:rPr>
          <w:sz w:val="24"/>
          <w:szCs w:val="24"/>
        </w:rPr>
        <w:t>A.</w:t>
      </w:r>
      <w:r w:rsidRPr="00E834A1">
        <w:rPr>
          <w:sz w:val="24"/>
          <w:szCs w:val="24"/>
        </w:rPr>
        <w:tab/>
        <w:t>The Company-</w:t>
      </w:r>
      <w:r w:rsidR="00707EDD" w:rsidRPr="00E834A1">
        <w:rPr>
          <w:sz w:val="24"/>
          <w:szCs w:val="24"/>
        </w:rPr>
        <w:t xml:space="preserve">owned transmission capabilities and the rights from the wheeling contracts with third parties are included in the </w:t>
      </w:r>
      <w:r w:rsidR="006B34D7" w:rsidRPr="00E834A1">
        <w:rPr>
          <w:sz w:val="24"/>
          <w:szCs w:val="24"/>
        </w:rPr>
        <w:t>west control area</w:t>
      </w:r>
      <w:r w:rsidR="00707EDD" w:rsidRPr="00E834A1">
        <w:rPr>
          <w:sz w:val="24"/>
          <w:szCs w:val="24"/>
        </w:rPr>
        <w:t xml:space="preserve"> modeling if they are used to transmit power from and to locations in the </w:t>
      </w:r>
      <w:r w:rsidR="006B34D7" w:rsidRPr="00E834A1">
        <w:rPr>
          <w:sz w:val="24"/>
          <w:szCs w:val="24"/>
        </w:rPr>
        <w:t>west control area</w:t>
      </w:r>
      <w:r w:rsidR="00707EDD" w:rsidRPr="00E834A1">
        <w:rPr>
          <w:sz w:val="24"/>
          <w:szCs w:val="24"/>
        </w:rPr>
        <w:t>.</w:t>
      </w:r>
    </w:p>
    <w:p w:rsidR="00FC7190" w:rsidRPr="00E834A1" w:rsidRDefault="00FC7190" w:rsidP="00E834A1">
      <w:pPr>
        <w:tabs>
          <w:tab w:val="left" w:pos="720"/>
        </w:tabs>
        <w:spacing w:line="480" w:lineRule="auto"/>
        <w:ind w:left="720" w:hanging="720"/>
        <w:rPr>
          <w:b/>
          <w:sz w:val="24"/>
          <w:szCs w:val="24"/>
        </w:rPr>
      </w:pPr>
      <w:r w:rsidRPr="00E834A1">
        <w:rPr>
          <w:b/>
          <w:sz w:val="24"/>
          <w:szCs w:val="24"/>
        </w:rPr>
        <w:t>Q.</w:t>
      </w:r>
      <w:r w:rsidRPr="00E834A1">
        <w:rPr>
          <w:b/>
          <w:sz w:val="24"/>
          <w:szCs w:val="24"/>
        </w:rPr>
        <w:tab/>
        <w:t xml:space="preserve">Is the </w:t>
      </w:r>
      <w:r w:rsidR="006B34D7" w:rsidRPr="00E834A1">
        <w:rPr>
          <w:b/>
          <w:sz w:val="24"/>
          <w:szCs w:val="24"/>
        </w:rPr>
        <w:t>west control area</w:t>
      </w:r>
      <w:r w:rsidRPr="00E834A1">
        <w:rPr>
          <w:b/>
          <w:sz w:val="24"/>
          <w:szCs w:val="24"/>
        </w:rPr>
        <w:t xml:space="preserve"> net power cost model constructed to include the load obligations, owned resources, wholesale contracts and transmission capabilities as described above?</w:t>
      </w:r>
    </w:p>
    <w:p w:rsidR="00FC7190" w:rsidRPr="00E834A1" w:rsidRDefault="00FC7190" w:rsidP="00E834A1">
      <w:pPr>
        <w:tabs>
          <w:tab w:val="left" w:pos="720"/>
        </w:tabs>
        <w:spacing w:line="480" w:lineRule="auto"/>
        <w:ind w:left="720" w:hanging="720"/>
        <w:rPr>
          <w:i/>
          <w:sz w:val="24"/>
          <w:szCs w:val="24"/>
        </w:rPr>
      </w:pPr>
      <w:r w:rsidRPr="00E834A1">
        <w:rPr>
          <w:sz w:val="24"/>
          <w:szCs w:val="24"/>
        </w:rPr>
        <w:t>A.</w:t>
      </w:r>
      <w:r w:rsidRPr="00E834A1">
        <w:rPr>
          <w:sz w:val="24"/>
          <w:szCs w:val="24"/>
        </w:rPr>
        <w:tab/>
        <w:t>Yes.</w:t>
      </w:r>
    </w:p>
    <w:p w:rsidR="000C223D" w:rsidRPr="00E834A1" w:rsidRDefault="000C223D" w:rsidP="00E834A1">
      <w:pPr>
        <w:tabs>
          <w:tab w:val="left" w:pos="720"/>
        </w:tabs>
        <w:spacing w:line="480" w:lineRule="auto"/>
        <w:rPr>
          <w:b/>
          <w:sz w:val="24"/>
        </w:rPr>
      </w:pPr>
      <w:r w:rsidRPr="00E834A1">
        <w:rPr>
          <w:b/>
          <w:sz w:val="24"/>
        </w:rPr>
        <w:t>Q.</w:t>
      </w:r>
      <w:r w:rsidRPr="00E834A1">
        <w:rPr>
          <w:b/>
          <w:sz w:val="24"/>
        </w:rPr>
        <w:tab/>
        <w:t>Does this conclude your direct testimony?</w:t>
      </w:r>
    </w:p>
    <w:p w:rsidR="000C223D" w:rsidRPr="00E834A1" w:rsidRDefault="000C223D" w:rsidP="00E834A1">
      <w:pPr>
        <w:pStyle w:val="BodyTextIndent"/>
        <w:widowControl w:val="0"/>
        <w:ind w:right="-90"/>
        <w:jc w:val="left"/>
        <w:rPr>
          <w:b/>
        </w:rPr>
      </w:pPr>
      <w:r w:rsidRPr="00E834A1">
        <w:t>A.</w:t>
      </w:r>
      <w:r w:rsidRPr="00E834A1">
        <w:tab/>
        <w:t>Yes.</w:t>
      </w:r>
    </w:p>
    <w:sectPr w:rsidR="000C223D" w:rsidRPr="00E834A1" w:rsidSect="00CF79E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F3C" w:rsidRDefault="00986F3C">
      <w:r>
        <w:separator/>
      </w:r>
    </w:p>
  </w:endnote>
  <w:endnote w:type="continuationSeparator" w:id="0">
    <w:p w:rsidR="00986F3C" w:rsidRDefault="00986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67" w:rsidRDefault="007F7A91">
    <w:pPr>
      <w:pStyle w:val="Footer"/>
      <w:framePr w:wrap="around" w:vAnchor="text" w:hAnchor="margin" w:xAlign="right" w:y="1"/>
      <w:rPr>
        <w:rStyle w:val="PageNumber"/>
      </w:rPr>
    </w:pPr>
    <w:r>
      <w:rPr>
        <w:rStyle w:val="PageNumber"/>
      </w:rPr>
      <w:fldChar w:fldCharType="begin"/>
    </w:r>
    <w:r w:rsidR="00F90C67">
      <w:rPr>
        <w:rStyle w:val="PageNumber"/>
      </w:rPr>
      <w:instrText xml:space="preserve">PAGE  </w:instrText>
    </w:r>
    <w:r>
      <w:rPr>
        <w:rStyle w:val="PageNumber"/>
      </w:rPr>
      <w:fldChar w:fldCharType="separate"/>
    </w:r>
    <w:r w:rsidR="00F90C67">
      <w:rPr>
        <w:rStyle w:val="PageNumber"/>
        <w:noProof/>
      </w:rPr>
      <w:t>10</w:t>
    </w:r>
    <w:r>
      <w:rPr>
        <w:rStyle w:val="PageNumber"/>
      </w:rPr>
      <w:fldChar w:fldCharType="end"/>
    </w:r>
  </w:p>
  <w:p w:rsidR="00F90C67" w:rsidRDefault="00F90C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67" w:rsidRDefault="00F90C67" w:rsidP="00AB02F3">
    <w:pPr>
      <w:pStyle w:val="Footer"/>
      <w:tabs>
        <w:tab w:val="clear" w:pos="8640"/>
        <w:tab w:val="right" w:pos="9000"/>
      </w:tabs>
      <w:rPr>
        <w:sz w:val="24"/>
        <w:szCs w:val="24"/>
      </w:rPr>
    </w:pPr>
    <w:r w:rsidRPr="00FF34E0">
      <w:rPr>
        <w:sz w:val="24"/>
        <w:szCs w:val="24"/>
      </w:rPr>
      <w:t xml:space="preserve">Direct Testimony of </w:t>
    </w:r>
    <w:r>
      <w:rPr>
        <w:sz w:val="24"/>
        <w:szCs w:val="24"/>
      </w:rPr>
      <w:t>Gregory N. Duvall</w:t>
    </w:r>
    <w:r w:rsidRPr="00FF34E0">
      <w:rPr>
        <w:sz w:val="24"/>
        <w:szCs w:val="24"/>
      </w:rPr>
      <w:t xml:space="preserve"> </w:t>
    </w:r>
    <w:r>
      <w:rPr>
        <w:sz w:val="24"/>
        <w:szCs w:val="24"/>
      </w:rPr>
      <w:tab/>
    </w:r>
    <w:r>
      <w:rPr>
        <w:sz w:val="24"/>
        <w:szCs w:val="24"/>
      </w:rPr>
      <w:tab/>
      <w:t>Exhibit No.___(GND-1T)</w:t>
    </w:r>
  </w:p>
  <w:p w:rsidR="00F90C67" w:rsidRPr="00FF34E0" w:rsidRDefault="00F90C67" w:rsidP="00FF34E0">
    <w:pPr>
      <w:pStyle w:val="Footer"/>
      <w:tabs>
        <w:tab w:val="clear" w:pos="8640"/>
        <w:tab w:val="right" w:pos="9000"/>
      </w:tabs>
      <w:rPr>
        <w:sz w:val="24"/>
        <w:szCs w:val="24"/>
      </w:rPr>
    </w:pPr>
    <w:r>
      <w:rPr>
        <w:sz w:val="24"/>
        <w:szCs w:val="24"/>
      </w:rPr>
      <w:tab/>
    </w:r>
    <w:r>
      <w:rPr>
        <w:sz w:val="24"/>
        <w:szCs w:val="24"/>
      </w:rPr>
      <w:tab/>
      <w:t xml:space="preserve">       P</w:t>
    </w:r>
    <w:r w:rsidRPr="00FF34E0">
      <w:rPr>
        <w:sz w:val="24"/>
        <w:szCs w:val="24"/>
      </w:rPr>
      <w:t xml:space="preserve">age </w:t>
    </w:r>
    <w:r w:rsidR="007F7A91" w:rsidRPr="00FF34E0">
      <w:rPr>
        <w:rStyle w:val="PageNumber"/>
        <w:sz w:val="24"/>
        <w:szCs w:val="24"/>
      </w:rPr>
      <w:fldChar w:fldCharType="begin"/>
    </w:r>
    <w:r w:rsidRPr="00FF34E0">
      <w:rPr>
        <w:rStyle w:val="PageNumber"/>
        <w:sz w:val="24"/>
        <w:szCs w:val="24"/>
      </w:rPr>
      <w:instrText xml:space="preserve"> PAGE </w:instrText>
    </w:r>
    <w:r w:rsidR="007F7A91" w:rsidRPr="00FF34E0">
      <w:rPr>
        <w:rStyle w:val="PageNumber"/>
        <w:sz w:val="24"/>
        <w:szCs w:val="24"/>
      </w:rPr>
      <w:fldChar w:fldCharType="separate"/>
    </w:r>
    <w:r w:rsidR="0020613A">
      <w:rPr>
        <w:rStyle w:val="PageNumber"/>
        <w:noProof/>
        <w:sz w:val="24"/>
        <w:szCs w:val="24"/>
      </w:rPr>
      <w:t>1</w:t>
    </w:r>
    <w:r w:rsidR="007F7A91" w:rsidRPr="00FF34E0">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3A" w:rsidRDefault="00206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F3C" w:rsidRDefault="00986F3C">
      <w:r>
        <w:separator/>
      </w:r>
    </w:p>
  </w:footnote>
  <w:footnote w:type="continuationSeparator" w:id="0">
    <w:p w:rsidR="00986F3C" w:rsidRDefault="00986F3C">
      <w:r>
        <w:continuationSeparator/>
      </w:r>
    </w:p>
  </w:footnote>
  <w:footnote w:id="1">
    <w:p w:rsidR="00F90C67" w:rsidRPr="00C01516" w:rsidRDefault="00F90C67" w:rsidP="00C01516">
      <w:pPr>
        <w:pStyle w:val="FootnoteText"/>
        <w:ind w:firstLine="0"/>
        <w:rPr>
          <w:sz w:val="20"/>
          <w:szCs w:val="20"/>
        </w:rPr>
      </w:pPr>
      <w:r w:rsidRPr="00C01516">
        <w:rPr>
          <w:rStyle w:val="FootnoteReference"/>
        </w:rPr>
        <w:footnoteRef/>
      </w:r>
      <w:r w:rsidRPr="00C01516">
        <w:rPr>
          <w:sz w:val="20"/>
          <w:szCs w:val="20"/>
        </w:rPr>
        <w:t xml:space="preserve"> </w:t>
      </w:r>
      <w:r w:rsidRPr="00C01516">
        <w:rPr>
          <w:rFonts w:ascii="Times New Roman" w:hAnsi="Times New Roman"/>
          <w:sz w:val="20"/>
          <w:szCs w:val="20"/>
        </w:rPr>
        <w:t xml:space="preserve">See </w:t>
      </w:r>
      <w:r w:rsidRPr="00C01516">
        <w:rPr>
          <w:rFonts w:ascii="Times New Roman" w:hAnsi="Times New Roman"/>
          <w:i/>
          <w:iCs/>
          <w:sz w:val="20"/>
          <w:szCs w:val="20"/>
        </w:rPr>
        <w:t>Wash. Utils. &amp; Transp. Comm'n v. PacifiCorp</w:t>
      </w:r>
      <w:r w:rsidRPr="00C01516">
        <w:rPr>
          <w:rFonts w:ascii="Times New Roman" w:hAnsi="Times New Roman"/>
          <w:sz w:val="20"/>
          <w:szCs w:val="20"/>
        </w:rPr>
        <w:t>,</w:t>
      </w:r>
      <w:r w:rsidRPr="00C01516">
        <w:rPr>
          <w:rFonts w:ascii="Times New Roman" w:hAnsi="Times New Roman"/>
          <w:i/>
          <w:iCs/>
          <w:sz w:val="20"/>
          <w:szCs w:val="20"/>
        </w:rPr>
        <w:t xml:space="preserve"> </w:t>
      </w:r>
      <w:r w:rsidRPr="00C01516">
        <w:rPr>
          <w:rFonts w:ascii="Times New Roman" w:hAnsi="Times New Roman"/>
          <w:sz w:val="20"/>
          <w:szCs w:val="20"/>
        </w:rPr>
        <w:t>Docket UE-100749, Order 06 (March 25, 2011) (Order 06).</w:t>
      </w:r>
    </w:p>
  </w:footnote>
  <w:footnote w:id="2">
    <w:p w:rsidR="00F90C67" w:rsidRPr="000D3520" w:rsidRDefault="00F90C67" w:rsidP="000D3520">
      <w:pPr>
        <w:pStyle w:val="FootnoteText"/>
        <w:ind w:firstLine="0"/>
        <w:rPr>
          <w:sz w:val="20"/>
          <w:szCs w:val="20"/>
        </w:rPr>
      </w:pPr>
      <w:r w:rsidRPr="000D3520">
        <w:rPr>
          <w:rStyle w:val="FootnoteReference"/>
        </w:rPr>
        <w:footnoteRef/>
      </w:r>
      <w:r w:rsidRPr="000D3520">
        <w:rPr>
          <w:sz w:val="20"/>
          <w:szCs w:val="20"/>
        </w:rPr>
        <w:t xml:space="preserve"> </w:t>
      </w:r>
      <w:r w:rsidRPr="000D3520">
        <w:rPr>
          <w:rFonts w:ascii="Times New Roman" w:hAnsi="Times New Roman"/>
          <w:sz w:val="20"/>
          <w:szCs w:val="20"/>
        </w:rPr>
        <w:t xml:space="preserve">See </w:t>
      </w:r>
      <w:r w:rsidRPr="000D3520">
        <w:rPr>
          <w:rFonts w:ascii="Times New Roman" w:hAnsi="Times New Roman"/>
          <w:i/>
          <w:iCs/>
          <w:sz w:val="20"/>
          <w:szCs w:val="20"/>
        </w:rPr>
        <w:t>Wash. Utils. &amp; Transp. Comm'n v. PacifiCorp</w:t>
      </w:r>
      <w:r w:rsidRPr="000D3520">
        <w:rPr>
          <w:rFonts w:ascii="Times New Roman" w:hAnsi="Times New Roman"/>
          <w:sz w:val="20"/>
          <w:szCs w:val="20"/>
        </w:rPr>
        <w:t>,</w:t>
      </w:r>
      <w:r w:rsidRPr="000D3520">
        <w:rPr>
          <w:rFonts w:ascii="Times New Roman" w:hAnsi="Times New Roman"/>
          <w:i/>
          <w:iCs/>
          <w:sz w:val="20"/>
          <w:szCs w:val="20"/>
        </w:rPr>
        <w:t xml:space="preserve"> </w:t>
      </w:r>
      <w:r w:rsidRPr="000D3520">
        <w:rPr>
          <w:rFonts w:ascii="Times New Roman" w:hAnsi="Times New Roman"/>
          <w:sz w:val="20"/>
          <w:szCs w:val="20"/>
        </w:rPr>
        <w:t>Docket UE-061546, Order 08 (June 21,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3A" w:rsidRDefault="00206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3A" w:rsidRDefault="002061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3A" w:rsidRDefault="00206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221"/>
    <w:multiLevelType w:val="hybridMultilevel"/>
    <w:tmpl w:val="E0C8EBAE"/>
    <w:lvl w:ilvl="0" w:tplc="5DCCDC7A">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02570130"/>
    <w:multiLevelType w:val="singleLevel"/>
    <w:tmpl w:val="75DCEAD2"/>
    <w:lvl w:ilvl="0">
      <w:start w:val="17"/>
      <w:numFmt w:val="upperLetter"/>
      <w:lvlText w:val="%1."/>
      <w:lvlJc w:val="left"/>
      <w:pPr>
        <w:tabs>
          <w:tab w:val="num" w:pos="720"/>
        </w:tabs>
        <w:ind w:left="720" w:hanging="720"/>
      </w:pPr>
      <w:rPr>
        <w:rFonts w:hint="default"/>
      </w:rPr>
    </w:lvl>
  </w:abstractNum>
  <w:abstractNum w:abstractNumId="2">
    <w:nsid w:val="13B35EBC"/>
    <w:multiLevelType w:val="singleLevel"/>
    <w:tmpl w:val="4A4CA5D4"/>
    <w:lvl w:ilvl="0">
      <w:start w:val="1"/>
      <w:numFmt w:val="upperLetter"/>
      <w:pStyle w:val="Heading1"/>
      <w:lvlText w:val="%1."/>
      <w:lvlJc w:val="left"/>
      <w:pPr>
        <w:tabs>
          <w:tab w:val="num" w:pos="360"/>
        </w:tabs>
        <w:ind w:left="360" w:hanging="360"/>
      </w:pPr>
      <w:rPr>
        <w:rFonts w:hint="default"/>
      </w:rPr>
    </w:lvl>
  </w:abstractNum>
  <w:abstractNum w:abstractNumId="3">
    <w:nsid w:val="26205361"/>
    <w:multiLevelType w:val="hybridMultilevel"/>
    <w:tmpl w:val="F5789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9572CCF"/>
    <w:multiLevelType w:val="hybridMultilevel"/>
    <w:tmpl w:val="CDEA3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49AC"/>
    <w:multiLevelType w:val="hybridMultilevel"/>
    <w:tmpl w:val="796C9E4A"/>
    <w:lvl w:ilvl="0" w:tplc="19B8F85E">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F17862"/>
    <w:multiLevelType w:val="hybridMultilevel"/>
    <w:tmpl w:val="E4703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FC3977"/>
    <w:multiLevelType w:val="hybridMultilevel"/>
    <w:tmpl w:val="B052AE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nsid w:val="5B405D07"/>
    <w:multiLevelType w:val="singleLevel"/>
    <w:tmpl w:val="4E883D2A"/>
    <w:lvl w:ilvl="0">
      <w:start w:val="17"/>
      <w:numFmt w:val="upperLetter"/>
      <w:lvlText w:val="%1."/>
      <w:lvlJc w:val="left"/>
      <w:pPr>
        <w:tabs>
          <w:tab w:val="num" w:pos="720"/>
        </w:tabs>
        <w:ind w:left="720" w:hanging="720"/>
      </w:pPr>
      <w:rPr>
        <w:rFonts w:hint="default"/>
      </w:rPr>
    </w:lvl>
  </w:abstractNum>
  <w:abstractNum w:abstractNumId="9">
    <w:nsid w:val="5CD5230F"/>
    <w:multiLevelType w:val="hybridMultilevel"/>
    <w:tmpl w:val="819CC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EE7163"/>
    <w:multiLevelType w:val="hybridMultilevel"/>
    <w:tmpl w:val="595A6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
  </w:num>
  <w:num w:numId="4">
    <w:abstractNumId w:val="10"/>
  </w:num>
  <w:num w:numId="5">
    <w:abstractNumId w:val="5"/>
  </w:num>
  <w:num w:numId="6">
    <w:abstractNumId w:val="9"/>
  </w:num>
  <w:num w:numId="7">
    <w:abstractNumId w:val="7"/>
  </w:num>
  <w:num w:numId="8">
    <w:abstractNumId w:val="11"/>
  </w:num>
  <w:num w:numId="9">
    <w:abstractNumId w:val="6"/>
  </w:num>
  <w:num w:numId="10">
    <w:abstractNumId w:val="3"/>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EE6923"/>
    <w:rsid w:val="0000098A"/>
    <w:rsid w:val="00006E5B"/>
    <w:rsid w:val="00010737"/>
    <w:rsid w:val="0001237B"/>
    <w:rsid w:val="0001716A"/>
    <w:rsid w:val="00021401"/>
    <w:rsid w:val="00022D0E"/>
    <w:rsid w:val="00023B2C"/>
    <w:rsid w:val="000259BD"/>
    <w:rsid w:val="00025B48"/>
    <w:rsid w:val="00030613"/>
    <w:rsid w:val="0003397A"/>
    <w:rsid w:val="0003447A"/>
    <w:rsid w:val="0003675B"/>
    <w:rsid w:val="00037509"/>
    <w:rsid w:val="00040381"/>
    <w:rsid w:val="000406D9"/>
    <w:rsid w:val="00040B67"/>
    <w:rsid w:val="000412D0"/>
    <w:rsid w:val="0004221A"/>
    <w:rsid w:val="00044FCA"/>
    <w:rsid w:val="00046C9F"/>
    <w:rsid w:val="00050AA1"/>
    <w:rsid w:val="00052137"/>
    <w:rsid w:val="00052CCB"/>
    <w:rsid w:val="00053125"/>
    <w:rsid w:val="00060F2D"/>
    <w:rsid w:val="000613E5"/>
    <w:rsid w:val="0006171E"/>
    <w:rsid w:val="000656B0"/>
    <w:rsid w:val="000713E4"/>
    <w:rsid w:val="00073E13"/>
    <w:rsid w:val="00074990"/>
    <w:rsid w:val="000754B1"/>
    <w:rsid w:val="000764C2"/>
    <w:rsid w:val="00076614"/>
    <w:rsid w:val="00080323"/>
    <w:rsid w:val="000832EA"/>
    <w:rsid w:val="0008457C"/>
    <w:rsid w:val="00084B9D"/>
    <w:rsid w:val="00086479"/>
    <w:rsid w:val="0008705C"/>
    <w:rsid w:val="00091E92"/>
    <w:rsid w:val="00094FF0"/>
    <w:rsid w:val="000969B1"/>
    <w:rsid w:val="00096B93"/>
    <w:rsid w:val="00096DB3"/>
    <w:rsid w:val="000A0753"/>
    <w:rsid w:val="000A1FB1"/>
    <w:rsid w:val="000A258F"/>
    <w:rsid w:val="000A4C46"/>
    <w:rsid w:val="000B06E9"/>
    <w:rsid w:val="000B5D40"/>
    <w:rsid w:val="000B771C"/>
    <w:rsid w:val="000C0E3D"/>
    <w:rsid w:val="000C1DD5"/>
    <w:rsid w:val="000C2158"/>
    <w:rsid w:val="000C223D"/>
    <w:rsid w:val="000C2D76"/>
    <w:rsid w:val="000C4313"/>
    <w:rsid w:val="000D2D15"/>
    <w:rsid w:val="000D2DF3"/>
    <w:rsid w:val="000D3520"/>
    <w:rsid w:val="000D3D23"/>
    <w:rsid w:val="000D3FEB"/>
    <w:rsid w:val="000D5D22"/>
    <w:rsid w:val="000E0CA4"/>
    <w:rsid w:val="000E176A"/>
    <w:rsid w:val="000F5CF6"/>
    <w:rsid w:val="000F5E3D"/>
    <w:rsid w:val="000F60AC"/>
    <w:rsid w:val="000F74E4"/>
    <w:rsid w:val="00102B16"/>
    <w:rsid w:val="00104A08"/>
    <w:rsid w:val="00106410"/>
    <w:rsid w:val="001076F4"/>
    <w:rsid w:val="00110AFA"/>
    <w:rsid w:val="00111E99"/>
    <w:rsid w:val="0011308B"/>
    <w:rsid w:val="0011331F"/>
    <w:rsid w:val="00115E99"/>
    <w:rsid w:val="001165C9"/>
    <w:rsid w:val="00117AD1"/>
    <w:rsid w:val="0012314F"/>
    <w:rsid w:val="00126011"/>
    <w:rsid w:val="0013152D"/>
    <w:rsid w:val="00131AA5"/>
    <w:rsid w:val="001328B4"/>
    <w:rsid w:val="0013344A"/>
    <w:rsid w:val="001339BB"/>
    <w:rsid w:val="00136A4F"/>
    <w:rsid w:val="0014306B"/>
    <w:rsid w:val="00150894"/>
    <w:rsid w:val="001518D1"/>
    <w:rsid w:val="001538C8"/>
    <w:rsid w:val="001541C6"/>
    <w:rsid w:val="0015450F"/>
    <w:rsid w:val="001558E4"/>
    <w:rsid w:val="00162442"/>
    <w:rsid w:val="00163DBD"/>
    <w:rsid w:val="00164071"/>
    <w:rsid w:val="00166F18"/>
    <w:rsid w:val="0017142C"/>
    <w:rsid w:val="001725F4"/>
    <w:rsid w:val="00174218"/>
    <w:rsid w:val="00175F89"/>
    <w:rsid w:val="0017769C"/>
    <w:rsid w:val="001779B5"/>
    <w:rsid w:val="00180116"/>
    <w:rsid w:val="0018022F"/>
    <w:rsid w:val="00180654"/>
    <w:rsid w:val="00181533"/>
    <w:rsid w:val="00184FAD"/>
    <w:rsid w:val="00186543"/>
    <w:rsid w:val="0018794F"/>
    <w:rsid w:val="001908CA"/>
    <w:rsid w:val="00191D4F"/>
    <w:rsid w:val="00196E6F"/>
    <w:rsid w:val="001A0745"/>
    <w:rsid w:val="001A3868"/>
    <w:rsid w:val="001A6EC0"/>
    <w:rsid w:val="001B05F9"/>
    <w:rsid w:val="001B09D2"/>
    <w:rsid w:val="001B1889"/>
    <w:rsid w:val="001B19E4"/>
    <w:rsid w:val="001B4A90"/>
    <w:rsid w:val="001B4FCB"/>
    <w:rsid w:val="001C01E6"/>
    <w:rsid w:val="001C0CAA"/>
    <w:rsid w:val="001C0D2A"/>
    <w:rsid w:val="001C1DAE"/>
    <w:rsid w:val="001C2D10"/>
    <w:rsid w:val="001C2E72"/>
    <w:rsid w:val="001C4581"/>
    <w:rsid w:val="001C51F6"/>
    <w:rsid w:val="001D12A6"/>
    <w:rsid w:val="001D2165"/>
    <w:rsid w:val="001D3418"/>
    <w:rsid w:val="001D4A54"/>
    <w:rsid w:val="001D5E39"/>
    <w:rsid w:val="001D63D8"/>
    <w:rsid w:val="001E241B"/>
    <w:rsid w:val="001E3AF7"/>
    <w:rsid w:val="001E4A88"/>
    <w:rsid w:val="001E4F61"/>
    <w:rsid w:val="001F0452"/>
    <w:rsid w:val="001F100A"/>
    <w:rsid w:val="001F20C4"/>
    <w:rsid w:val="001F60E5"/>
    <w:rsid w:val="002050E7"/>
    <w:rsid w:val="0020613A"/>
    <w:rsid w:val="00210B4F"/>
    <w:rsid w:val="0021219D"/>
    <w:rsid w:val="00212A8A"/>
    <w:rsid w:val="00215375"/>
    <w:rsid w:val="00215542"/>
    <w:rsid w:val="00217AD1"/>
    <w:rsid w:val="00224D4A"/>
    <w:rsid w:val="00227DCB"/>
    <w:rsid w:val="00230B55"/>
    <w:rsid w:val="00232A91"/>
    <w:rsid w:val="00232C03"/>
    <w:rsid w:val="0023439B"/>
    <w:rsid w:val="00234D45"/>
    <w:rsid w:val="0023652E"/>
    <w:rsid w:val="00236DE9"/>
    <w:rsid w:val="0024051D"/>
    <w:rsid w:val="00243D7F"/>
    <w:rsid w:val="00246210"/>
    <w:rsid w:val="00246B0A"/>
    <w:rsid w:val="00247638"/>
    <w:rsid w:val="0025200E"/>
    <w:rsid w:val="002528FB"/>
    <w:rsid w:val="0025366F"/>
    <w:rsid w:val="00253C93"/>
    <w:rsid w:val="002544B5"/>
    <w:rsid w:val="00257DE6"/>
    <w:rsid w:val="002613A8"/>
    <w:rsid w:val="00262876"/>
    <w:rsid w:val="00266202"/>
    <w:rsid w:val="00273645"/>
    <w:rsid w:val="00275DBD"/>
    <w:rsid w:val="00277AD4"/>
    <w:rsid w:val="002814DA"/>
    <w:rsid w:val="00281D38"/>
    <w:rsid w:val="00286070"/>
    <w:rsid w:val="00286423"/>
    <w:rsid w:val="00291537"/>
    <w:rsid w:val="00291BBA"/>
    <w:rsid w:val="002924F2"/>
    <w:rsid w:val="00293A90"/>
    <w:rsid w:val="0029494D"/>
    <w:rsid w:val="002958E5"/>
    <w:rsid w:val="002A0AF4"/>
    <w:rsid w:val="002A11B3"/>
    <w:rsid w:val="002A22AC"/>
    <w:rsid w:val="002A33B4"/>
    <w:rsid w:val="002A51CE"/>
    <w:rsid w:val="002A62B4"/>
    <w:rsid w:val="002A6568"/>
    <w:rsid w:val="002B6B87"/>
    <w:rsid w:val="002B6BFB"/>
    <w:rsid w:val="002C4CE1"/>
    <w:rsid w:val="002C7859"/>
    <w:rsid w:val="002D2C10"/>
    <w:rsid w:val="002D2EF0"/>
    <w:rsid w:val="002D70DD"/>
    <w:rsid w:val="002E1620"/>
    <w:rsid w:val="002E533E"/>
    <w:rsid w:val="002F32BE"/>
    <w:rsid w:val="002F6350"/>
    <w:rsid w:val="002F7122"/>
    <w:rsid w:val="00311F93"/>
    <w:rsid w:val="003140CE"/>
    <w:rsid w:val="00314DF4"/>
    <w:rsid w:val="003150F6"/>
    <w:rsid w:val="00315681"/>
    <w:rsid w:val="00316110"/>
    <w:rsid w:val="00316B8D"/>
    <w:rsid w:val="00316D57"/>
    <w:rsid w:val="003175CB"/>
    <w:rsid w:val="00322617"/>
    <w:rsid w:val="0032533E"/>
    <w:rsid w:val="00325F6A"/>
    <w:rsid w:val="003330D9"/>
    <w:rsid w:val="0033481C"/>
    <w:rsid w:val="00337DC0"/>
    <w:rsid w:val="0034179F"/>
    <w:rsid w:val="00342868"/>
    <w:rsid w:val="00343F69"/>
    <w:rsid w:val="00346A19"/>
    <w:rsid w:val="00347C8A"/>
    <w:rsid w:val="00353F72"/>
    <w:rsid w:val="003543E3"/>
    <w:rsid w:val="00355699"/>
    <w:rsid w:val="00360AAE"/>
    <w:rsid w:val="0036309E"/>
    <w:rsid w:val="00363A5D"/>
    <w:rsid w:val="00372F43"/>
    <w:rsid w:val="00374EF4"/>
    <w:rsid w:val="00374F85"/>
    <w:rsid w:val="00375E8E"/>
    <w:rsid w:val="003761D9"/>
    <w:rsid w:val="003825CC"/>
    <w:rsid w:val="00390719"/>
    <w:rsid w:val="003950D9"/>
    <w:rsid w:val="003959D9"/>
    <w:rsid w:val="003A012A"/>
    <w:rsid w:val="003A0958"/>
    <w:rsid w:val="003A3BD0"/>
    <w:rsid w:val="003A3D4F"/>
    <w:rsid w:val="003A509E"/>
    <w:rsid w:val="003A6C88"/>
    <w:rsid w:val="003A7F0C"/>
    <w:rsid w:val="003B354D"/>
    <w:rsid w:val="003B6F3C"/>
    <w:rsid w:val="003C001A"/>
    <w:rsid w:val="003C04D2"/>
    <w:rsid w:val="003D1BEA"/>
    <w:rsid w:val="003D34C3"/>
    <w:rsid w:val="003D7FB0"/>
    <w:rsid w:val="003E0273"/>
    <w:rsid w:val="003E06A0"/>
    <w:rsid w:val="003E4B35"/>
    <w:rsid w:val="003E5894"/>
    <w:rsid w:val="003E6846"/>
    <w:rsid w:val="003E6E92"/>
    <w:rsid w:val="003E7938"/>
    <w:rsid w:val="003F0B36"/>
    <w:rsid w:val="003F1C29"/>
    <w:rsid w:val="003F1FAE"/>
    <w:rsid w:val="003F2EBE"/>
    <w:rsid w:val="003F5660"/>
    <w:rsid w:val="00402569"/>
    <w:rsid w:val="0040266F"/>
    <w:rsid w:val="00402973"/>
    <w:rsid w:val="00405DA3"/>
    <w:rsid w:val="0041069E"/>
    <w:rsid w:val="004117EE"/>
    <w:rsid w:val="004132BF"/>
    <w:rsid w:val="00415725"/>
    <w:rsid w:val="00416F3A"/>
    <w:rsid w:val="00423861"/>
    <w:rsid w:val="00426076"/>
    <w:rsid w:val="00427688"/>
    <w:rsid w:val="004354BE"/>
    <w:rsid w:val="00446092"/>
    <w:rsid w:val="0044797B"/>
    <w:rsid w:val="004505D2"/>
    <w:rsid w:val="00451636"/>
    <w:rsid w:val="00451FC2"/>
    <w:rsid w:val="004528E4"/>
    <w:rsid w:val="004530DC"/>
    <w:rsid w:val="00457086"/>
    <w:rsid w:val="00457D48"/>
    <w:rsid w:val="00457E1A"/>
    <w:rsid w:val="00460617"/>
    <w:rsid w:val="00460645"/>
    <w:rsid w:val="004607D8"/>
    <w:rsid w:val="00464A49"/>
    <w:rsid w:val="0046528B"/>
    <w:rsid w:val="00466DD3"/>
    <w:rsid w:val="00470B39"/>
    <w:rsid w:val="00471226"/>
    <w:rsid w:val="00471FA8"/>
    <w:rsid w:val="00474DFD"/>
    <w:rsid w:val="00477829"/>
    <w:rsid w:val="00480145"/>
    <w:rsid w:val="00481E09"/>
    <w:rsid w:val="00481F6B"/>
    <w:rsid w:val="004872BD"/>
    <w:rsid w:val="004A20AB"/>
    <w:rsid w:val="004A2AAD"/>
    <w:rsid w:val="004A397A"/>
    <w:rsid w:val="004A4425"/>
    <w:rsid w:val="004A70F1"/>
    <w:rsid w:val="004B002B"/>
    <w:rsid w:val="004B2246"/>
    <w:rsid w:val="004B44F3"/>
    <w:rsid w:val="004B4D24"/>
    <w:rsid w:val="004B5063"/>
    <w:rsid w:val="004B5EA2"/>
    <w:rsid w:val="004B66C9"/>
    <w:rsid w:val="004B754A"/>
    <w:rsid w:val="004C01BB"/>
    <w:rsid w:val="004C123D"/>
    <w:rsid w:val="004C2E5B"/>
    <w:rsid w:val="004C7844"/>
    <w:rsid w:val="004D0A27"/>
    <w:rsid w:val="004D2F35"/>
    <w:rsid w:val="004D3561"/>
    <w:rsid w:val="004E1F8D"/>
    <w:rsid w:val="004E472E"/>
    <w:rsid w:val="004E4B1A"/>
    <w:rsid w:val="004E51FD"/>
    <w:rsid w:val="004E55C3"/>
    <w:rsid w:val="004F0D1C"/>
    <w:rsid w:val="004F32ED"/>
    <w:rsid w:val="004F5C65"/>
    <w:rsid w:val="004F6395"/>
    <w:rsid w:val="00501B1E"/>
    <w:rsid w:val="00501FE5"/>
    <w:rsid w:val="00505AFC"/>
    <w:rsid w:val="00510A1B"/>
    <w:rsid w:val="00511A4B"/>
    <w:rsid w:val="0051225C"/>
    <w:rsid w:val="00512878"/>
    <w:rsid w:val="00513407"/>
    <w:rsid w:val="00515D4E"/>
    <w:rsid w:val="005161A3"/>
    <w:rsid w:val="005211C0"/>
    <w:rsid w:val="00530FEC"/>
    <w:rsid w:val="005330A5"/>
    <w:rsid w:val="00533DA2"/>
    <w:rsid w:val="0054757A"/>
    <w:rsid w:val="00551BC4"/>
    <w:rsid w:val="00551EDA"/>
    <w:rsid w:val="00556BE0"/>
    <w:rsid w:val="005603EC"/>
    <w:rsid w:val="005651BB"/>
    <w:rsid w:val="00570C81"/>
    <w:rsid w:val="00573641"/>
    <w:rsid w:val="0057572D"/>
    <w:rsid w:val="00575AD7"/>
    <w:rsid w:val="0057684E"/>
    <w:rsid w:val="00582FE9"/>
    <w:rsid w:val="00586227"/>
    <w:rsid w:val="00586511"/>
    <w:rsid w:val="0058717D"/>
    <w:rsid w:val="005871B0"/>
    <w:rsid w:val="00587C48"/>
    <w:rsid w:val="00592B00"/>
    <w:rsid w:val="00592B6E"/>
    <w:rsid w:val="005940B1"/>
    <w:rsid w:val="00594D47"/>
    <w:rsid w:val="005A0A1B"/>
    <w:rsid w:val="005A1FF7"/>
    <w:rsid w:val="005A37FB"/>
    <w:rsid w:val="005A69ED"/>
    <w:rsid w:val="005B04DD"/>
    <w:rsid w:val="005B195D"/>
    <w:rsid w:val="005B234E"/>
    <w:rsid w:val="005B3A3E"/>
    <w:rsid w:val="005B7B1B"/>
    <w:rsid w:val="005C32A5"/>
    <w:rsid w:val="005C63AF"/>
    <w:rsid w:val="005C6A6A"/>
    <w:rsid w:val="005C74E2"/>
    <w:rsid w:val="005D02F3"/>
    <w:rsid w:val="005D2506"/>
    <w:rsid w:val="005D27C2"/>
    <w:rsid w:val="005D29BF"/>
    <w:rsid w:val="005D3CFF"/>
    <w:rsid w:val="005E10B4"/>
    <w:rsid w:val="005E24D1"/>
    <w:rsid w:val="005E4993"/>
    <w:rsid w:val="005E6CA3"/>
    <w:rsid w:val="005F674A"/>
    <w:rsid w:val="006001DD"/>
    <w:rsid w:val="00603F59"/>
    <w:rsid w:val="0060600F"/>
    <w:rsid w:val="00607472"/>
    <w:rsid w:val="00622D13"/>
    <w:rsid w:val="006252E9"/>
    <w:rsid w:val="00626B77"/>
    <w:rsid w:val="00627C19"/>
    <w:rsid w:val="00630238"/>
    <w:rsid w:val="00631844"/>
    <w:rsid w:val="0063550D"/>
    <w:rsid w:val="006360A9"/>
    <w:rsid w:val="00641D80"/>
    <w:rsid w:val="00643189"/>
    <w:rsid w:val="00650110"/>
    <w:rsid w:val="00650A76"/>
    <w:rsid w:val="006578C4"/>
    <w:rsid w:val="00661053"/>
    <w:rsid w:val="006655BE"/>
    <w:rsid w:val="00666CBE"/>
    <w:rsid w:val="006673AA"/>
    <w:rsid w:val="00670A30"/>
    <w:rsid w:val="00673452"/>
    <w:rsid w:val="00673D93"/>
    <w:rsid w:val="00674C63"/>
    <w:rsid w:val="00676DE3"/>
    <w:rsid w:val="00677DB5"/>
    <w:rsid w:val="00684075"/>
    <w:rsid w:val="00684312"/>
    <w:rsid w:val="00685162"/>
    <w:rsid w:val="00686F14"/>
    <w:rsid w:val="0068781F"/>
    <w:rsid w:val="00692410"/>
    <w:rsid w:val="00692D41"/>
    <w:rsid w:val="00694304"/>
    <w:rsid w:val="00695DFF"/>
    <w:rsid w:val="006965CD"/>
    <w:rsid w:val="006A033F"/>
    <w:rsid w:val="006A11C7"/>
    <w:rsid w:val="006A3120"/>
    <w:rsid w:val="006A4241"/>
    <w:rsid w:val="006A44F9"/>
    <w:rsid w:val="006A5271"/>
    <w:rsid w:val="006A6F07"/>
    <w:rsid w:val="006B0B09"/>
    <w:rsid w:val="006B0C32"/>
    <w:rsid w:val="006B34D7"/>
    <w:rsid w:val="006B51AF"/>
    <w:rsid w:val="006B6BC4"/>
    <w:rsid w:val="006C180B"/>
    <w:rsid w:val="006C1AC3"/>
    <w:rsid w:val="006C481E"/>
    <w:rsid w:val="006C57ED"/>
    <w:rsid w:val="006C5963"/>
    <w:rsid w:val="006C74A9"/>
    <w:rsid w:val="006D0004"/>
    <w:rsid w:val="006D10A8"/>
    <w:rsid w:val="006D2304"/>
    <w:rsid w:val="006D3D8B"/>
    <w:rsid w:val="006D686A"/>
    <w:rsid w:val="006D788F"/>
    <w:rsid w:val="006E0753"/>
    <w:rsid w:val="006E5238"/>
    <w:rsid w:val="006E5FF8"/>
    <w:rsid w:val="006F0A9E"/>
    <w:rsid w:val="006F1292"/>
    <w:rsid w:val="006F55B9"/>
    <w:rsid w:val="0070520F"/>
    <w:rsid w:val="00707B30"/>
    <w:rsid w:val="00707EDD"/>
    <w:rsid w:val="00710519"/>
    <w:rsid w:val="00710BAB"/>
    <w:rsid w:val="00710D25"/>
    <w:rsid w:val="007120A9"/>
    <w:rsid w:val="007125DD"/>
    <w:rsid w:val="00713EE2"/>
    <w:rsid w:val="00714E4A"/>
    <w:rsid w:val="007165A7"/>
    <w:rsid w:val="00717481"/>
    <w:rsid w:val="007250A2"/>
    <w:rsid w:val="00730C9A"/>
    <w:rsid w:val="00731A10"/>
    <w:rsid w:val="00733D16"/>
    <w:rsid w:val="00736CE6"/>
    <w:rsid w:val="00736E82"/>
    <w:rsid w:val="00741B47"/>
    <w:rsid w:val="00743716"/>
    <w:rsid w:val="00746110"/>
    <w:rsid w:val="00746827"/>
    <w:rsid w:val="007521FD"/>
    <w:rsid w:val="007535CD"/>
    <w:rsid w:val="0075414B"/>
    <w:rsid w:val="007569F2"/>
    <w:rsid w:val="007576D8"/>
    <w:rsid w:val="00760380"/>
    <w:rsid w:val="00761A12"/>
    <w:rsid w:val="00762730"/>
    <w:rsid w:val="00765173"/>
    <w:rsid w:val="00766F9E"/>
    <w:rsid w:val="0076741E"/>
    <w:rsid w:val="00767F39"/>
    <w:rsid w:val="00770210"/>
    <w:rsid w:val="0077238B"/>
    <w:rsid w:val="00773116"/>
    <w:rsid w:val="00774922"/>
    <w:rsid w:val="007754AA"/>
    <w:rsid w:val="00776E79"/>
    <w:rsid w:val="007777B3"/>
    <w:rsid w:val="00782416"/>
    <w:rsid w:val="00782BE9"/>
    <w:rsid w:val="00787CF3"/>
    <w:rsid w:val="00792E27"/>
    <w:rsid w:val="0079317D"/>
    <w:rsid w:val="00795986"/>
    <w:rsid w:val="00795D8B"/>
    <w:rsid w:val="00796228"/>
    <w:rsid w:val="00797A41"/>
    <w:rsid w:val="007A0C77"/>
    <w:rsid w:val="007A2BF5"/>
    <w:rsid w:val="007A32E5"/>
    <w:rsid w:val="007A6D88"/>
    <w:rsid w:val="007B022F"/>
    <w:rsid w:val="007B0B36"/>
    <w:rsid w:val="007B36B8"/>
    <w:rsid w:val="007B4BF0"/>
    <w:rsid w:val="007B60F9"/>
    <w:rsid w:val="007B6885"/>
    <w:rsid w:val="007B7CD2"/>
    <w:rsid w:val="007C1056"/>
    <w:rsid w:val="007C2351"/>
    <w:rsid w:val="007C2E31"/>
    <w:rsid w:val="007C30FE"/>
    <w:rsid w:val="007C330B"/>
    <w:rsid w:val="007C5D01"/>
    <w:rsid w:val="007D3560"/>
    <w:rsid w:val="007D3CA1"/>
    <w:rsid w:val="007D5405"/>
    <w:rsid w:val="007D620F"/>
    <w:rsid w:val="007E46C0"/>
    <w:rsid w:val="007E6706"/>
    <w:rsid w:val="007E7702"/>
    <w:rsid w:val="007F0B96"/>
    <w:rsid w:val="007F2459"/>
    <w:rsid w:val="007F3070"/>
    <w:rsid w:val="007F53CD"/>
    <w:rsid w:val="007F664D"/>
    <w:rsid w:val="007F6702"/>
    <w:rsid w:val="007F7A91"/>
    <w:rsid w:val="007F7DC3"/>
    <w:rsid w:val="007F7F7B"/>
    <w:rsid w:val="00805E5B"/>
    <w:rsid w:val="008064E2"/>
    <w:rsid w:val="00811F19"/>
    <w:rsid w:val="00812876"/>
    <w:rsid w:val="00814252"/>
    <w:rsid w:val="00814BD6"/>
    <w:rsid w:val="00814C00"/>
    <w:rsid w:val="0081516F"/>
    <w:rsid w:val="00817E86"/>
    <w:rsid w:val="00820643"/>
    <w:rsid w:val="00821D4F"/>
    <w:rsid w:val="008238A4"/>
    <w:rsid w:val="0082407A"/>
    <w:rsid w:val="0082663D"/>
    <w:rsid w:val="00826CE2"/>
    <w:rsid w:val="00830320"/>
    <w:rsid w:val="00830586"/>
    <w:rsid w:val="008328AD"/>
    <w:rsid w:val="00836588"/>
    <w:rsid w:val="00837C4E"/>
    <w:rsid w:val="00840D14"/>
    <w:rsid w:val="0084220B"/>
    <w:rsid w:val="008423C9"/>
    <w:rsid w:val="00842DBB"/>
    <w:rsid w:val="00843244"/>
    <w:rsid w:val="0084593C"/>
    <w:rsid w:val="00846162"/>
    <w:rsid w:val="0084706C"/>
    <w:rsid w:val="00853038"/>
    <w:rsid w:val="00853AC9"/>
    <w:rsid w:val="0085416A"/>
    <w:rsid w:val="00856B02"/>
    <w:rsid w:val="00857C3A"/>
    <w:rsid w:val="00860C4C"/>
    <w:rsid w:val="0086266C"/>
    <w:rsid w:val="00863291"/>
    <w:rsid w:val="00864C61"/>
    <w:rsid w:val="0086701E"/>
    <w:rsid w:val="008677D5"/>
    <w:rsid w:val="00871B38"/>
    <w:rsid w:val="00871D8C"/>
    <w:rsid w:val="008726BA"/>
    <w:rsid w:val="00873158"/>
    <w:rsid w:val="00873750"/>
    <w:rsid w:val="00873E24"/>
    <w:rsid w:val="00873F52"/>
    <w:rsid w:val="008742C3"/>
    <w:rsid w:val="00877E7F"/>
    <w:rsid w:val="008817E6"/>
    <w:rsid w:val="00881AAA"/>
    <w:rsid w:val="00882313"/>
    <w:rsid w:val="0088514C"/>
    <w:rsid w:val="008868E3"/>
    <w:rsid w:val="0088742C"/>
    <w:rsid w:val="0089186A"/>
    <w:rsid w:val="0089208D"/>
    <w:rsid w:val="00894E42"/>
    <w:rsid w:val="00895615"/>
    <w:rsid w:val="00897898"/>
    <w:rsid w:val="008A0AAC"/>
    <w:rsid w:val="008A13ED"/>
    <w:rsid w:val="008A4E33"/>
    <w:rsid w:val="008A4E36"/>
    <w:rsid w:val="008B09F9"/>
    <w:rsid w:val="008B0A51"/>
    <w:rsid w:val="008B110B"/>
    <w:rsid w:val="008B2541"/>
    <w:rsid w:val="008B3584"/>
    <w:rsid w:val="008B3C97"/>
    <w:rsid w:val="008B42A9"/>
    <w:rsid w:val="008C0171"/>
    <w:rsid w:val="008C241E"/>
    <w:rsid w:val="008C3C7C"/>
    <w:rsid w:val="008C3DB8"/>
    <w:rsid w:val="008C49E8"/>
    <w:rsid w:val="008C540E"/>
    <w:rsid w:val="008C6470"/>
    <w:rsid w:val="008C6535"/>
    <w:rsid w:val="008C6FEA"/>
    <w:rsid w:val="008C752B"/>
    <w:rsid w:val="008C7FEE"/>
    <w:rsid w:val="008D567E"/>
    <w:rsid w:val="008D72E5"/>
    <w:rsid w:val="008D7A79"/>
    <w:rsid w:val="008E03A9"/>
    <w:rsid w:val="008E1251"/>
    <w:rsid w:val="008E440D"/>
    <w:rsid w:val="008E4D39"/>
    <w:rsid w:val="008E5518"/>
    <w:rsid w:val="008F3D9F"/>
    <w:rsid w:val="008F5156"/>
    <w:rsid w:val="008F5173"/>
    <w:rsid w:val="009027C4"/>
    <w:rsid w:val="0090467D"/>
    <w:rsid w:val="00907FB2"/>
    <w:rsid w:val="009108C6"/>
    <w:rsid w:val="00913FFD"/>
    <w:rsid w:val="00914E45"/>
    <w:rsid w:val="00915074"/>
    <w:rsid w:val="009155D9"/>
    <w:rsid w:val="00922A38"/>
    <w:rsid w:val="00923431"/>
    <w:rsid w:val="00923519"/>
    <w:rsid w:val="00923FC6"/>
    <w:rsid w:val="009257AA"/>
    <w:rsid w:val="00926D84"/>
    <w:rsid w:val="0092749F"/>
    <w:rsid w:val="00927F63"/>
    <w:rsid w:val="009355EE"/>
    <w:rsid w:val="0093768F"/>
    <w:rsid w:val="00940181"/>
    <w:rsid w:val="009406F0"/>
    <w:rsid w:val="0094259D"/>
    <w:rsid w:val="00942627"/>
    <w:rsid w:val="0094381E"/>
    <w:rsid w:val="00945621"/>
    <w:rsid w:val="009456A1"/>
    <w:rsid w:val="009464C0"/>
    <w:rsid w:val="00947054"/>
    <w:rsid w:val="00950114"/>
    <w:rsid w:val="00954FAF"/>
    <w:rsid w:val="0095671B"/>
    <w:rsid w:val="00960686"/>
    <w:rsid w:val="00962DB6"/>
    <w:rsid w:val="009650C6"/>
    <w:rsid w:val="00967B25"/>
    <w:rsid w:val="00970A2C"/>
    <w:rsid w:val="00970DAA"/>
    <w:rsid w:val="0097412D"/>
    <w:rsid w:val="0097458C"/>
    <w:rsid w:val="00981638"/>
    <w:rsid w:val="00981A6A"/>
    <w:rsid w:val="0098219B"/>
    <w:rsid w:val="0098505B"/>
    <w:rsid w:val="009859AC"/>
    <w:rsid w:val="00985AFD"/>
    <w:rsid w:val="00986F3C"/>
    <w:rsid w:val="00987370"/>
    <w:rsid w:val="00993264"/>
    <w:rsid w:val="0099711E"/>
    <w:rsid w:val="00997EBF"/>
    <w:rsid w:val="009A1EA6"/>
    <w:rsid w:val="009A223A"/>
    <w:rsid w:val="009A6966"/>
    <w:rsid w:val="009A6B4B"/>
    <w:rsid w:val="009A7DE7"/>
    <w:rsid w:val="009B04E1"/>
    <w:rsid w:val="009B1011"/>
    <w:rsid w:val="009B4AFC"/>
    <w:rsid w:val="009B5BDD"/>
    <w:rsid w:val="009C1FA5"/>
    <w:rsid w:val="009C3010"/>
    <w:rsid w:val="009C3893"/>
    <w:rsid w:val="009C5164"/>
    <w:rsid w:val="009C52FC"/>
    <w:rsid w:val="009C54DC"/>
    <w:rsid w:val="009C63BA"/>
    <w:rsid w:val="009D3C6A"/>
    <w:rsid w:val="009D76C5"/>
    <w:rsid w:val="009E0088"/>
    <w:rsid w:val="009E5083"/>
    <w:rsid w:val="009E771D"/>
    <w:rsid w:val="009F3856"/>
    <w:rsid w:val="009F493F"/>
    <w:rsid w:val="009F5CC9"/>
    <w:rsid w:val="00A01537"/>
    <w:rsid w:val="00A016C3"/>
    <w:rsid w:val="00A021E8"/>
    <w:rsid w:val="00A024CB"/>
    <w:rsid w:val="00A030A8"/>
    <w:rsid w:val="00A10485"/>
    <w:rsid w:val="00A111BD"/>
    <w:rsid w:val="00A14959"/>
    <w:rsid w:val="00A16572"/>
    <w:rsid w:val="00A177F4"/>
    <w:rsid w:val="00A17D9C"/>
    <w:rsid w:val="00A2123E"/>
    <w:rsid w:val="00A25175"/>
    <w:rsid w:val="00A26B29"/>
    <w:rsid w:val="00A3300F"/>
    <w:rsid w:val="00A372DE"/>
    <w:rsid w:val="00A3737F"/>
    <w:rsid w:val="00A40436"/>
    <w:rsid w:val="00A40893"/>
    <w:rsid w:val="00A40EDF"/>
    <w:rsid w:val="00A43230"/>
    <w:rsid w:val="00A44284"/>
    <w:rsid w:val="00A44C83"/>
    <w:rsid w:val="00A44C99"/>
    <w:rsid w:val="00A51A08"/>
    <w:rsid w:val="00A51DCE"/>
    <w:rsid w:val="00A5202A"/>
    <w:rsid w:val="00A5492D"/>
    <w:rsid w:val="00A57311"/>
    <w:rsid w:val="00A608F8"/>
    <w:rsid w:val="00A6462D"/>
    <w:rsid w:val="00A7006B"/>
    <w:rsid w:val="00A70094"/>
    <w:rsid w:val="00A75169"/>
    <w:rsid w:val="00A75A85"/>
    <w:rsid w:val="00A8167B"/>
    <w:rsid w:val="00A82773"/>
    <w:rsid w:val="00A836DC"/>
    <w:rsid w:val="00A84FD4"/>
    <w:rsid w:val="00A8612A"/>
    <w:rsid w:val="00A87451"/>
    <w:rsid w:val="00A930A4"/>
    <w:rsid w:val="00A93FE5"/>
    <w:rsid w:val="00A95B77"/>
    <w:rsid w:val="00A960DB"/>
    <w:rsid w:val="00AA0732"/>
    <w:rsid w:val="00AA0943"/>
    <w:rsid w:val="00AA2911"/>
    <w:rsid w:val="00AA31CF"/>
    <w:rsid w:val="00AA367E"/>
    <w:rsid w:val="00AA3EC2"/>
    <w:rsid w:val="00AA7E49"/>
    <w:rsid w:val="00AB02F3"/>
    <w:rsid w:val="00AB0D95"/>
    <w:rsid w:val="00AB3685"/>
    <w:rsid w:val="00AC0E50"/>
    <w:rsid w:val="00AC176F"/>
    <w:rsid w:val="00AC18AC"/>
    <w:rsid w:val="00AC1B48"/>
    <w:rsid w:val="00AC3104"/>
    <w:rsid w:val="00AC4AC1"/>
    <w:rsid w:val="00AC5F98"/>
    <w:rsid w:val="00AC618B"/>
    <w:rsid w:val="00AD0DEC"/>
    <w:rsid w:val="00AD5977"/>
    <w:rsid w:val="00AD5AA0"/>
    <w:rsid w:val="00AD6494"/>
    <w:rsid w:val="00AD6C6F"/>
    <w:rsid w:val="00AD7098"/>
    <w:rsid w:val="00AE0323"/>
    <w:rsid w:val="00AE1472"/>
    <w:rsid w:val="00AE1658"/>
    <w:rsid w:val="00AE1FB1"/>
    <w:rsid w:val="00AE21C9"/>
    <w:rsid w:val="00AE5089"/>
    <w:rsid w:val="00AE6316"/>
    <w:rsid w:val="00AF1139"/>
    <w:rsid w:val="00AF1CDC"/>
    <w:rsid w:val="00AF2732"/>
    <w:rsid w:val="00AF27BE"/>
    <w:rsid w:val="00AF2A09"/>
    <w:rsid w:val="00AF2D16"/>
    <w:rsid w:val="00AF458C"/>
    <w:rsid w:val="00AF5F6C"/>
    <w:rsid w:val="00AF6CA0"/>
    <w:rsid w:val="00B0163E"/>
    <w:rsid w:val="00B0311E"/>
    <w:rsid w:val="00B041A3"/>
    <w:rsid w:val="00B0681E"/>
    <w:rsid w:val="00B07B5C"/>
    <w:rsid w:val="00B129A5"/>
    <w:rsid w:val="00B158AA"/>
    <w:rsid w:val="00B20B92"/>
    <w:rsid w:val="00B24E9B"/>
    <w:rsid w:val="00B252DF"/>
    <w:rsid w:val="00B255C6"/>
    <w:rsid w:val="00B2580C"/>
    <w:rsid w:val="00B318F8"/>
    <w:rsid w:val="00B31D43"/>
    <w:rsid w:val="00B35372"/>
    <w:rsid w:val="00B365EF"/>
    <w:rsid w:val="00B40622"/>
    <w:rsid w:val="00B431AB"/>
    <w:rsid w:val="00B47114"/>
    <w:rsid w:val="00B47E26"/>
    <w:rsid w:val="00B47F32"/>
    <w:rsid w:val="00B50195"/>
    <w:rsid w:val="00B50304"/>
    <w:rsid w:val="00B53A29"/>
    <w:rsid w:val="00B5714F"/>
    <w:rsid w:val="00B6001E"/>
    <w:rsid w:val="00B60A2A"/>
    <w:rsid w:val="00B63B19"/>
    <w:rsid w:val="00B64F15"/>
    <w:rsid w:val="00B662F1"/>
    <w:rsid w:val="00B66FA0"/>
    <w:rsid w:val="00B70554"/>
    <w:rsid w:val="00B71B0B"/>
    <w:rsid w:val="00B72113"/>
    <w:rsid w:val="00B72831"/>
    <w:rsid w:val="00B744EC"/>
    <w:rsid w:val="00B759BF"/>
    <w:rsid w:val="00B8046B"/>
    <w:rsid w:val="00B82B02"/>
    <w:rsid w:val="00B856BF"/>
    <w:rsid w:val="00B9296B"/>
    <w:rsid w:val="00B92E9F"/>
    <w:rsid w:val="00B951C6"/>
    <w:rsid w:val="00BA0BB2"/>
    <w:rsid w:val="00BA1766"/>
    <w:rsid w:val="00BA2442"/>
    <w:rsid w:val="00BA2CE0"/>
    <w:rsid w:val="00BA67E5"/>
    <w:rsid w:val="00BB217D"/>
    <w:rsid w:val="00BB3129"/>
    <w:rsid w:val="00BB43D2"/>
    <w:rsid w:val="00BB49CC"/>
    <w:rsid w:val="00BB6BED"/>
    <w:rsid w:val="00BB7665"/>
    <w:rsid w:val="00BB7D14"/>
    <w:rsid w:val="00BC3013"/>
    <w:rsid w:val="00BC33D7"/>
    <w:rsid w:val="00BC4DE0"/>
    <w:rsid w:val="00BC63E8"/>
    <w:rsid w:val="00BD03FA"/>
    <w:rsid w:val="00BD0A3B"/>
    <w:rsid w:val="00BD1402"/>
    <w:rsid w:val="00BD1ED7"/>
    <w:rsid w:val="00BD6D78"/>
    <w:rsid w:val="00BD7948"/>
    <w:rsid w:val="00BE0729"/>
    <w:rsid w:val="00BE0877"/>
    <w:rsid w:val="00BE2EF0"/>
    <w:rsid w:val="00BE3946"/>
    <w:rsid w:val="00BE55F7"/>
    <w:rsid w:val="00BF2C1D"/>
    <w:rsid w:val="00BF4017"/>
    <w:rsid w:val="00BF5481"/>
    <w:rsid w:val="00C00104"/>
    <w:rsid w:val="00C01516"/>
    <w:rsid w:val="00C03AE7"/>
    <w:rsid w:val="00C041F5"/>
    <w:rsid w:val="00C0484F"/>
    <w:rsid w:val="00C0505D"/>
    <w:rsid w:val="00C0579A"/>
    <w:rsid w:val="00C06DDB"/>
    <w:rsid w:val="00C070D5"/>
    <w:rsid w:val="00C11770"/>
    <w:rsid w:val="00C16FC6"/>
    <w:rsid w:val="00C219FC"/>
    <w:rsid w:val="00C258EF"/>
    <w:rsid w:val="00C26233"/>
    <w:rsid w:val="00C277DD"/>
    <w:rsid w:val="00C27E70"/>
    <w:rsid w:val="00C3077F"/>
    <w:rsid w:val="00C31375"/>
    <w:rsid w:val="00C33DDD"/>
    <w:rsid w:val="00C3583D"/>
    <w:rsid w:val="00C36089"/>
    <w:rsid w:val="00C40438"/>
    <w:rsid w:val="00C41461"/>
    <w:rsid w:val="00C5104E"/>
    <w:rsid w:val="00C63236"/>
    <w:rsid w:val="00C633AB"/>
    <w:rsid w:val="00C63EFE"/>
    <w:rsid w:val="00C64CB1"/>
    <w:rsid w:val="00C65D6D"/>
    <w:rsid w:val="00C664F2"/>
    <w:rsid w:val="00C72AF9"/>
    <w:rsid w:val="00C72F5A"/>
    <w:rsid w:val="00C73731"/>
    <w:rsid w:val="00C75659"/>
    <w:rsid w:val="00C765B1"/>
    <w:rsid w:val="00C818E2"/>
    <w:rsid w:val="00C8237E"/>
    <w:rsid w:val="00C82C71"/>
    <w:rsid w:val="00C8486D"/>
    <w:rsid w:val="00C8673E"/>
    <w:rsid w:val="00C9005A"/>
    <w:rsid w:val="00C91838"/>
    <w:rsid w:val="00C919B5"/>
    <w:rsid w:val="00C9710C"/>
    <w:rsid w:val="00CA0C89"/>
    <w:rsid w:val="00CA22B2"/>
    <w:rsid w:val="00CA4BD9"/>
    <w:rsid w:val="00CA7D32"/>
    <w:rsid w:val="00CB03DA"/>
    <w:rsid w:val="00CB112C"/>
    <w:rsid w:val="00CB249C"/>
    <w:rsid w:val="00CB3713"/>
    <w:rsid w:val="00CB39C5"/>
    <w:rsid w:val="00CB4F9B"/>
    <w:rsid w:val="00CB5470"/>
    <w:rsid w:val="00CB6D43"/>
    <w:rsid w:val="00CC017E"/>
    <w:rsid w:val="00CC1C79"/>
    <w:rsid w:val="00CC24FC"/>
    <w:rsid w:val="00CC3882"/>
    <w:rsid w:val="00CC4365"/>
    <w:rsid w:val="00CD063F"/>
    <w:rsid w:val="00CD0651"/>
    <w:rsid w:val="00CD1B83"/>
    <w:rsid w:val="00CD5065"/>
    <w:rsid w:val="00CE052F"/>
    <w:rsid w:val="00CE0B5C"/>
    <w:rsid w:val="00CE2E44"/>
    <w:rsid w:val="00CE46EF"/>
    <w:rsid w:val="00CE5A74"/>
    <w:rsid w:val="00CE5ABE"/>
    <w:rsid w:val="00CE63CF"/>
    <w:rsid w:val="00CE67F4"/>
    <w:rsid w:val="00CE6F28"/>
    <w:rsid w:val="00CF137F"/>
    <w:rsid w:val="00CF4187"/>
    <w:rsid w:val="00CF4446"/>
    <w:rsid w:val="00CF58F6"/>
    <w:rsid w:val="00CF59E9"/>
    <w:rsid w:val="00CF6267"/>
    <w:rsid w:val="00CF79E3"/>
    <w:rsid w:val="00D072B9"/>
    <w:rsid w:val="00D07967"/>
    <w:rsid w:val="00D07C01"/>
    <w:rsid w:val="00D11E68"/>
    <w:rsid w:val="00D1355D"/>
    <w:rsid w:val="00D20AE5"/>
    <w:rsid w:val="00D20BD1"/>
    <w:rsid w:val="00D23E58"/>
    <w:rsid w:val="00D266D6"/>
    <w:rsid w:val="00D273E3"/>
    <w:rsid w:val="00D276C6"/>
    <w:rsid w:val="00D31BD2"/>
    <w:rsid w:val="00D33987"/>
    <w:rsid w:val="00D428FE"/>
    <w:rsid w:val="00D43548"/>
    <w:rsid w:val="00D446DE"/>
    <w:rsid w:val="00D5155F"/>
    <w:rsid w:val="00D56060"/>
    <w:rsid w:val="00D62300"/>
    <w:rsid w:val="00D630BE"/>
    <w:rsid w:val="00D6754A"/>
    <w:rsid w:val="00D676AD"/>
    <w:rsid w:val="00D706B6"/>
    <w:rsid w:val="00D745DE"/>
    <w:rsid w:val="00D77CA5"/>
    <w:rsid w:val="00D80F1E"/>
    <w:rsid w:val="00D839BB"/>
    <w:rsid w:val="00D87E93"/>
    <w:rsid w:val="00D90B51"/>
    <w:rsid w:val="00D91089"/>
    <w:rsid w:val="00D94217"/>
    <w:rsid w:val="00D94586"/>
    <w:rsid w:val="00D94B14"/>
    <w:rsid w:val="00D9668A"/>
    <w:rsid w:val="00DA0A1E"/>
    <w:rsid w:val="00DA1E59"/>
    <w:rsid w:val="00DA674E"/>
    <w:rsid w:val="00DA6D6B"/>
    <w:rsid w:val="00DB1BF8"/>
    <w:rsid w:val="00DB3037"/>
    <w:rsid w:val="00DB3D4A"/>
    <w:rsid w:val="00DB3E60"/>
    <w:rsid w:val="00DB76BD"/>
    <w:rsid w:val="00DB7873"/>
    <w:rsid w:val="00DC031D"/>
    <w:rsid w:val="00DC1410"/>
    <w:rsid w:val="00DC208D"/>
    <w:rsid w:val="00DC396E"/>
    <w:rsid w:val="00DC50C8"/>
    <w:rsid w:val="00DC60B3"/>
    <w:rsid w:val="00DC6939"/>
    <w:rsid w:val="00DD1910"/>
    <w:rsid w:val="00DD26ED"/>
    <w:rsid w:val="00DD3127"/>
    <w:rsid w:val="00DD46D5"/>
    <w:rsid w:val="00DD601B"/>
    <w:rsid w:val="00DD72F6"/>
    <w:rsid w:val="00DE0124"/>
    <w:rsid w:val="00DE1DEB"/>
    <w:rsid w:val="00DE48FB"/>
    <w:rsid w:val="00DE578A"/>
    <w:rsid w:val="00DE6623"/>
    <w:rsid w:val="00DE6D9F"/>
    <w:rsid w:val="00DE7BAC"/>
    <w:rsid w:val="00DF2030"/>
    <w:rsid w:val="00DF3A87"/>
    <w:rsid w:val="00DF5939"/>
    <w:rsid w:val="00DF7185"/>
    <w:rsid w:val="00E0076B"/>
    <w:rsid w:val="00E07BCF"/>
    <w:rsid w:val="00E11C95"/>
    <w:rsid w:val="00E13AF4"/>
    <w:rsid w:val="00E1414C"/>
    <w:rsid w:val="00E15342"/>
    <w:rsid w:val="00E2238F"/>
    <w:rsid w:val="00E253D0"/>
    <w:rsid w:val="00E2554B"/>
    <w:rsid w:val="00E2634D"/>
    <w:rsid w:val="00E27DA3"/>
    <w:rsid w:val="00E32462"/>
    <w:rsid w:val="00E335F9"/>
    <w:rsid w:val="00E35A56"/>
    <w:rsid w:val="00E43A66"/>
    <w:rsid w:val="00E459FE"/>
    <w:rsid w:val="00E4662C"/>
    <w:rsid w:val="00E4674C"/>
    <w:rsid w:val="00E50C71"/>
    <w:rsid w:val="00E516B7"/>
    <w:rsid w:val="00E5308D"/>
    <w:rsid w:val="00E53565"/>
    <w:rsid w:val="00E53CE0"/>
    <w:rsid w:val="00E559C9"/>
    <w:rsid w:val="00E55B4E"/>
    <w:rsid w:val="00E63353"/>
    <w:rsid w:val="00E63A0E"/>
    <w:rsid w:val="00E64138"/>
    <w:rsid w:val="00E66557"/>
    <w:rsid w:val="00E665F5"/>
    <w:rsid w:val="00E66C12"/>
    <w:rsid w:val="00E67988"/>
    <w:rsid w:val="00E721D9"/>
    <w:rsid w:val="00E7233F"/>
    <w:rsid w:val="00E73E42"/>
    <w:rsid w:val="00E74647"/>
    <w:rsid w:val="00E80645"/>
    <w:rsid w:val="00E81587"/>
    <w:rsid w:val="00E81646"/>
    <w:rsid w:val="00E82F42"/>
    <w:rsid w:val="00E834A1"/>
    <w:rsid w:val="00E836C9"/>
    <w:rsid w:val="00E84ED9"/>
    <w:rsid w:val="00E860FE"/>
    <w:rsid w:val="00E86457"/>
    <w:rsid w:val="00E87BF4"/>
    <w:rsid w:val="00E91649"/>
    <w:rsid w:val="00EA07A3"/>
    <w:rsid w:val="00EA330C"/>
    <w:rsid w:val="00EA3370"/>
    <w:rsid w:val="00EA53DC"/>
    <w:rsid w:val="00EB2776"/>
    <w:rsid w:val="00EC0681"/>
    <w:rsid w:val="00EC4312"/>
    <w:rsid w:val="00EC4970"/>
    <w:rsid w:val="00EC7592"/>
    <w:rsid w:val="00ED1995"/>
    <w:rsid w:val="00ED37C9"/>
    <w:rsid w:val="00ED60C3"/>
    <w:rsid w:val="00ED6AC1"/>
    <w:rsid w:val="00ED73F1"/>
    <w:rsid w:val="00EE1337"/>
    <w:rsid w:val="00EE1DFF"/>
    <w:rsid w:val="00EE6085"/>
    <w:rsid w:val="00EE6923"/>
    <w:rsid w:val="00EF4636"/>
    <w:rsid w:val="00EF4ACA"/>
    <w:rsid w:val="00EF6141"/>
    <w:rsid w:val="00F014DE"/>
    <w:rsid w:val="00F01CAD"/>
    <w:rsid w:val="00F06BF7"/>
    <w:rsid w:val="00F06D97"/>
    <w:rsid w:val="00F103CF"/>
    <w:rsid w:val="00F11821"/>
    <w:rsid w:val="00F152F5"/>
    <w:rsid w:val="00F16BD2"/>
    <w:rsid w:val="00F1794D"/>
    <w:rsid w:val="00F20EB4"/>
    <w:rsid w:val="00F32F27"/>
    <w:rsid w:val="00F36C53"/>
    <w:rsid w:val="00F41405"/>
    <w:rsid w:val="00F442CA"/>
    <w:rsid w:val="00F45143"/>
    <w:rsid w:val="00F52BA4"/>
    <w:rsid w:val="00F55ADD"/>
    <w:rsid w:val="00F55C31"/>
    <w:rsid w:val="00F617D3"/>
    <w:rsid w:val="00F640B3"/>
    <w:rsid w:val="00F668FF"/>
    <w:rsid w:val="00F67A89"/>
    <w:rsid w:val="00F70979"/>
    <w:rsid w:val="00F72BB1"/>
    <w:rsid w:val="00F75E3E"/>
    <w:rsid w:val="00F76D84"/>
    <w:rsid w:val="00F8397F"/>
    <w:rsid w:val="00F84F29"/>
    <w:rsid w:val="00F85644"/>
    <w:rsid w:val="00F90472"/>
    <w:rsid w:val="00F90C67"/>
    <w:rsid w:val="00F91680"/>
    <w:rsid w:val="00F93230"/>
    <w:rsid w:val="00F946C7"/>
    <w:rsid w:val="00F967A3"/>
    <w:rsid w:val="00F96DBF"/>
    <w:rsid w:val="00FA4060"/>
    <w:rsid w:val="00FB235C"/>
    <w:rsid w:val="00FB48DA"/>
    <w:rsid w:val="00FC08EC"/>
    <w:rsid w:val="00FC2181"/>
    <w:rsid w:val="00FC2381"/>
    <w:rsid w:val="00FC4083"/>
    <w:rsid w:val="00FC60B1"/>
    <w:rsid w:val="00FC6532"/>
    <w:rsid w:val="00FC6CFA"/>
    <w:rsid w:val="00FC6DF0"/>
    <w:rsid w:val="00FC6E37"/>
    <w:rsid w:val="00FC7190"/>
    <w:rsid w:val="00FD262D"/>
    <w:rsid w:val="00FD2BEC"/>
    <w:rsid w:val="00FE1B61"/>
    <w:rsid w:val="00FE3FD2"/>
    <w:rsid w:val="00FE43F9"/>
    <w:rsid w:val="00FE4588"/>
    <w:rsid w:val="00FE7502"/>
    <w:rsid w:val="00FF12E2"/>
    <w:rsid w:val="00FF34E0"/>
    <w:rsid w:val="00FF3530"/>
    <w:rsid w:val="00FF3685"/>
    <w:rsid w:val="00FF6A82"/>
    <w:rsid w:val="00FF783A"/>
    <w:rsid w:val="00FF7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CB"/>
    <w:rPr>
      <w:lang w:eastAsia="en-US"/>
    </w:rPr>
  </w:style>
  <w:style w:type="paragraph" w:styleId="Heading1">
    <w:name w:val="heading 1"/>
    <w:basedOn w:val="Normal"/>
    <w:next w:val="Normal"/>
    <w:qFormat/>
    <w:rsid w:val="001B4FCB"/>
    <w:pPr>
      <w:keepNext/>
      <w:numPr>
        <w:numId w:val="1"/>
      </w:numPr>
      <w:tabs>
        <w:tab w:val="clear" w:pos="360"/>
        <w:tab w:val="left" w:pos="720"/>
      </w:tabs>
      <w:spacing w:line="480" w:lineRule="auto"/>
      <w:ind w:left="720" w:hanging="720"/>
      <w:outlineLvl w:val="0"/>
    </w:pPr>
    <w:rPr>
      <w:sz w:val="24"/>
    </w:rPr>
  </w:style>
  <w:style w:type="paragraph" w:styleId="Heading2">
    <w:name w:val="heading 2"/>
    <w:basedOn w:val="Normal"/>
    <w:next w:val="Normal"/>
    <w:qFormat/>
    <w:rsid w:val="001B4FCB"/>
    <w:pPr>
      <w:keepNext/>
      <w:tabs>
        <w:tab w:val="left" w:pos="720"/>
      </w:tabs>
      <w:spacing w:line="480" w:lineRule="auto"/>
      <w:outlineLvl w:val="1"/>
    </w:pPr>
    <w:rPr>
      <w:b/>
      <w:sz w:val="24"/>
    </w:rPr>
  </w:style>
  <w:style w:type="paragraph" w:styleId="Heading3">
    <w:name w:val="heading 3"/>
    <w:basedOn w:val="Normal"/>
    <w:next w:val="Normal"/>
    <w:qFormat/>
    <w:rsid w:val="001B4FCB"/>
    <w:pPr>
      <w:keepNext/>
      <w:tabs>
        <w:tab w:val="left" w:pos="720"/>
      </w:tabs>
      <w:spacing w:line="480" w:lineRule="auto"/>
      <w:ind w:left="720" w:hanging="720"/>
      <w:outlineLvl w:val="2"/>
    </w:pPr>
    <w:rPr>
      <w:b/>
      <w:sz w:val="24"/>
    </w:rPr>
  </w:style>
  <w:style w:type="paragraph" w:styleId="Heading4">
    <w:name w:val="heading 4"/>
    <w:basedOn w:val="Normal"/>
    <w:next w:val="Normal"/>
    <w:qFormat/>
    <w:rsid w:val="001B4FCB"/>
    <w:pPr>
      <w:keepNext/>
      <w:tabs>
        <w:tab w:val="left" w:pos="720"/>
      </w:tabs>
      <w:spacing w:line="480" w:lineRule="auto"/>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1B4FCB"/>
    <w:rPr>
      <w:rFonts w:ascii="Times New Roman" w:hAnsi="Times New Roman"/>
      <w:sz w:val="24"/>
    </w:rPr>
  </w:style>
  <w:style w:type="paragraph" w:styleId="Header">
    <w:name w:val="header"/>
    <w:basedOn w:val="Normal"/>
    <w:rsid w:val="001B4FCB"/>
    <w:pPr>
      <w:tabs>
        <w:tab w:val="center" w:pos="4320"/>
        <w:tab w:val="right" w:pos="8640"/>
      </w:tabs>
    </w:pPr>
  </w:style>
  <w:style w:type="paragraph" w:styleId="Footer">
    <w:name w:val="footer"/>
    <w:basedOn w:val="Normal"/>
    <w:rsid w:val="001B4FCB"/>
    <w:pPr>
      <w:tabs>
        <w:tab w:val="center" w:pos="4320"/>
        <w:tab w:val="right" w:pos="8640"/>
      </w:tabs>
    </w:pPr>
  </w:style>
  <w:style w:type="character" w:styleId="PageNumber">
    <w:name w:val="page number"/>
    <w:basedOn w:val="DefaultParagraphFont"/>
    <w:rsid w:val="001B4FCB"/>
  </w:style>
  <w:style w:type="paragraph" w:styleId="BodyTextIndent">
    <w:name w:val="Body Text Indent"/>
    <w:basedOn w:val="Normal"/>
    <w:rsid w:val="001B4FCB"/>
    <w:pPr>
      <w:tabs>
        <w:tab w:val="left" w:pos="720"/>
      </w:tabs>
      <w:spacing w:line="480" w:lineRule="auto"/>
      <w:ind w:left="720" w:hanging="720"/>
      <w:jc w:val="both"/>
    </w:pPr>
    <w:rPr>
      <w:sz w:val="24"/>
    </w:rPr>
  </w:style>
  <w:style w:type="paragraph" w:styleId="BodyText">
    <w:name w:val="Body Text"/>
    <w:basedOn w:val="Normal"/>
    <w:rsid w:val="001B4FCB"/>
    <w:pPr>
      <w:tabs>
        <w:tab w:val="left" w:pos="720"/>
      </w:tabs>
      <w:spacing w:line="480" w:lineRule="auto"/>
      <w:jc w:val="both"/>
    </w:pPr>
    <w:rPr>
      <w:sz w:val="24"/>
    </w:rPr>
  </w:style>
  <w:style w:type="paragraph" w:styleId="BodyText2">
    <w:name w:val="Body Text 2"/>
    <w:basedOn w:val="Normal"/>
    <w:rsid w:val="001B4FCB"/>
    <w:pPr>
      <w:tabs>
        <w:tab w:val="left" w:pos="720"/>
      </w:tabs>
      <w:spacing w:line="480" w:lineRule="auto"/>
    </w:pPr>
    <w:rPr>
      <w:sz w:val="24"/>
    </w:rPr>
  </w:style>
  <w:style w:type="paragraph" w:styleId="BodyTextIndent2">
    <w:name w:val="Body Text Indent 2"/>
    <w:basedOn w:val="Normal"/>
    <w:rsid w:val="001B4FCB"/>
    <w:pPr>
      <w:tabs>
        <w:tab w:val="left" w:pos="720"/>
      </w:tabs>
      <w:spacing w:line="480" w:lineRule="auto"/>
      <w:ind w:left="720" w:hanging="720"/>
    </w:pPr>
    <w:rPr>
      <w:sz w:val="24"/>
    </w:rPr>
  </w:style>
  <w:style w:type="paragraph" w:styleId="BalloonText">
    <w:name w:val="Balloon Text"/>
    <w:basedOn w:val="Normal"/>
    <w:semiHidden/>
    <w:rsid w:val="001B4FCB"/>
    <w:rPr>
      <w:rFonts w:ascii="Tahoma" w:hAnsi="Tahoma" w:cs="Tahoma"/>
      <w:sz w:val="16"/>
      <w:szCs w:val="16"/>
    </w:rPr>
  </w:style>
  <w:style w:type="paragraph" w:styleId="DocumentMap">
    <w:name w:val="Document Map"/>
    <w:basedOn w:val="Normal"/>
    <w:semiHidden/>
    <w:rsid w:val="001B4FCB"/>
    <w:pPr>
      <w:shd w:val="clear" w:color="auto" w:fill="000080"/>
    </w:pPr>
    <w:rPr>
      <w:rFonts w:ascii="Tahoma" w:hAnsi="Tahoma" w:cs="Tahoma"/>
    </w:rPr>
  </w:style>
  <w:style w:type="paragraph" w:customStyle="1" w:styleId="answer">
    <w:name w:val="answer"/>
    <w:basedOn w:val="Normal"/>
    <w:rsid w:val="001B4FCB"/>
    <w:pPr>
      <w:spacing w:before="120" w:after="120" w:line="480" w:lineRule="auto"/>
      <w:ind w:left="720" w:hanging="720"/>
    </w:pPr>
    <w:rPr>
      <w:sz w:val="24"/>
    </w:rPr>
  </w:style>
  <w:style w:type="paragraph" w:customStyle="1" w:styleId="Question">
    <w:name w:val="Question"/>
    <w:basedOn w:val="Normal"/>
    <w:link w:val="QuestionChar"/>
    <w:rsid w:val="00B9296B"/>
    <w:pPr>
      <w:spacing w:line="480" w:lineRule="auto"/>
      <w:ind w:left="720" w:hanging="720"/>
      <w:jc w:val="both"/>
    </w:pPr>
    <w:rPr>
      <w:b/>
      <w:bCs/>
      <w:sz w:val="24"/>
    </w:rPr>
  </w:style>
  <w:style w:type="character" w:customStyle="1" w:styleId="QuestionChar">
    <w:name w:val="Question Char"/>
    <w:basedOn w:val="DefaultParagraphFont"/>
    <w:link w:val="Question"/>
    <w:rsid w:val="00B9296B"/>
    <w:rPr>
      <w:b/>
      <w:bCs/>
      <w:sz w:val="24"/>
      <w:lang w:val="en-US" w:eastAsia="en-US" w:bidi="ar-SA"/>
    </w:rPr>
  </w:style>
  <w:style w:type="paragraph" w:customStyle="1" w:styleId="Answer0">
    <w:name w:val="Answer"/>
    <w:basedOn w:val="Normal"/>
    <w:link w:val="AnswerChar1"/>
    <w:rsid w:val="00B9296B"/>
    <w:pPr>
      <w:spacing w:line="480" w:lineRule="auto"/>
      <w:ind w:left="720" w:hanging="720"/>
      <w:jc w:val="both"/>
    </w:pPr>
    <w:rPr>
      <w:sz w:val="24"/>
    </w:rPr>
  </w:style>
  <w:style w:type="character" w:customStyle="1" w:styleId="AnswerChar1">
    <w:name w:val="Answer Char1"/>
    <w:basedOn w:val="DefaultParagraphFont"/>
    <w:link w:val="Answer0"/>
    <w:rsid w:val="00B9296B"/>
    <w:rPr>
      <w:sz w:val="24"/>
      <w:lang w:val="en-US" w:eastAsia="en-US" w:bidi="ar-SA"/>
    </w:rPr>
  </w:style>
  <w:style w:type="paragraph" w:customStyle="1" w:styleId="CharChar1">
    <w:name w:val="Char Char1"/>
    <w:basedOn w:val="Normal"/>
    <w:rsid w:val="00B9296B"/>
    <w:pPr>
      <w:spacing w:after="160" w:line="240" w:lineRule="exact"/>
    </w:pPr>
    <w:rPr>
      <w:rFonts w:ascii="Verdana" w:hAnsi="Verdana"/>
    </w:rPr>
  </w:style>
  <w:style w:type="paragraph" w:customStyle="1" w:styleId="CharCharCharCharCharCharCharChar">
    <w:name w:val="Char Char Char Char Char Char Char Char"/>
    <w:basedOn w:val="Normal"/>
    <w:rsid w:val="00967B25"/>
    <w:pPr>
      <w:spacing w:after="160" w:line="240" w:lineRule="exact"/>
    </w:pPr>
    <w:rPr>
      <w:rFonts w:ascii="Verdana" w:hAnsi="Verdana"/>
    </w:rPr>
  </w:style>
  <w:style w:type="paragraph" w:customStyle="1" w:styleId="CharChar2CharCharCharCharCharChar">
    <w:name w:val="Char Char2 Char Char Char Char Char Char"/>
    <w:basedOn w:val="Normal"/>
    <w:rsid w:val="0090467D"/>
    <w:pPr>
      <w:spacing w:after="160" w:line="240" w:lineRule="exact"/>
    </w:pPr>
    <w:rPr>
      <w:rFonts w:ascii="Verdana" w:hAnsi="Verdana"/>
    </w:rPr>
  </w:style>
  <w:style w:type="paragraph" w:styleId="FootnoteText">
    <w:name w:val="footnote text"/>
    <w:basedOn w:val="Normal"/>
    <w:link w:val="FootnoteTextChar"/>
    <w:semiHidden/>
    <w:rsid w:val="0034179F"/>
    <w:pPr>
      <w:autoSpaceDE w:val="0"/>
      <w:autoSpaceDN w:val="0"/>
      <w:spacing w:after="100"/>
      <w:ind w:firstLine="720"/>
    </w:pPr>
    <w:rPr>
      <w:rFonts w:ascii="Verdana" w:eastAsia="Calibri" w:hAnsi="Verdana"/>
      <w:sz w:val="24"/>
      <w:szCs w:val="24"/>
    </w:rPr>
  </w:style>
  <w:style w:type="character" w:customStyle="1" w:styleId="FootnoteTextChar">
    <w:name w:val="Footnote Text Char"/>
    <w:basedOn w:val="DefaultParagraphFont"/>
    <w:link w:val="FootnoteText"/>
    <w:semiHidden/>
    <w:rsid w:val="0034179F"/>
    <w:rPr>
      <w:rFonts w:ascii="Verdana" w:eastAsia="Calibri" w:hAnsi="Verdana"/>
      <w:sz w:val="24"/>
      <w:szCs w:val="24"/>
      <w:lang w:val="en-US" w:eastAsia="en-US" w:bidi="ar-SA"/>
    </w:rPr>
  </w:style>
  <w:style w:type="character" w:styleId="FootnoteReference">
    <w:name w:val="footnote reference"/>
    <w:basedOn w:val="DefaultParagraphFont"/>
    <w:semiHidden/>
    <w:rsid w:val="0034179F"/>
    <w:rPr>
      <w:rFonts w:ascii="Times New Roman" w:hAnsi="Times New Roman"/>
      <w:sz w:val="20"/>
      <w:szCs w:val="20"/>
      <w:vertAlign w:val="superscript"/>
      <w:lang w:val="en-US" w:eastAsia="en-US" w:bidi="ar-SA"/>
    </w:rPr>
  </w:style>
  <w:style w:type="character" w:styleId="CommentReference">
    <w:name w:val="annotation reference"/>
    <w:basedOn w:val="DefaultParagraphFont"/>
    <w:semiHidden/>
    <w:rsid w:val="002A11B3"/>
    <w:rPr>
      <w:sz w:val="16"/>
      <w:szCs w:val="16"/>
    </w:rPr>
  </w:style>
  <w:style w:type="paragraph" w:styleId="CommentText">
    <w:name w:val="annotation text"/>
    <w:basedOn w:val="Normal"/>
    <w:semiHidden/>
    <w:rsid w:val="002A11B3"/>
  </w:style>
  <w:style w:type="paragraph" w:styleId="CommentSubject">
    <w:name w:val="annotation subject"/>
    <w:basedOn w:val="CommentText"/>
    <w:next w:val="CommentText"/>
    <w:semiHidden/>
    <w:rsid w:val="002A11B3"/>
    <w:rPr>
      <w:b/>
      <w:bCs/>
    </w:rPr>
  </w:style>
  <w:style w:type="paragraph" w:styleId="ListParagraph">
    <w:name w:val="List Paragraph"/>
    <w:basedOn w:val="Normal"/>
    <w:uiPriority w:val="34"/>
    <w:qFormat/>
    <w:rsid w:val="00A3300F"/>
    <w:pPr>
      <w:ind w:left="720"/>
      <w:contextualSpacing/>
    </w:pPr>
  </w:style>
  <w:style w:type="paragraph" w:customStyle="1" w:styleId="Default">
    <w:name w:val="Default"/>
    <w:rsid w:val="00353F72"/>
    <w:pPr>
      <w:autoSpaceDE w:val="0"/>
      <w:autoSpaceDN w:val="0"/>
      <w:adjustRightInd w:val="0"/>
    </w:pPr>
    <w:rPr>
      <w:rFonts w:ascii="Palatino Linotype" w:hAnsi="Palatino Linotype" w:cs="Palatino Linotype"/>
      <w:color w:val="000000"/>
      <w:sz w:val="24"/>
      <w:szCs w:val="24"/>
    </w:rPr>
  </w:style>
  <w:style w:type="paragraph" w:styleId="Revision">
    <w:name w:val="Revision"/>
    <w:hidden/>
    <w:uiPriority w:val="99"/>
    <w:semiHidden/>
    <w:rsid w:val="000F74E4"/>
    <w:rPr>
      <w:lang w:eastAsia="en-US"/>
    </w:rPr>
  </w:style>
</w:styles>
</file>

<file path=word/webSettings.xml><?xml version="1.0" encoding="utf-8"?>
<w:webSettings xmlns:r="http://schemas.openxmlformats.org/officeDocument/2006/relationships" xmlns:w="http://schemas.openxmlformats.org/wordprocessingml/2006/main">
  <w:divs>
    <w:div w:id="1204249005">
      <w:bodyDiv w:val="1"/>
      <w:marLeft w:val="0"/>
      <w:marRight w:val="0"/>
      <w:marTop w:val="0"/>
      <w:marBottom w:val="0"/>
      <w:divBdr>
        <w:top w:val="none" w:sz="0" w:space="0" w:color="auto"/>
        <w:left w:val="none" w:sz="0" w:space="0" w:color="auto"/>
        <w:bottom w:val="none" w:sz="0" w:space="0" w:color="auto"/>
        <w:right w:val="none" w:sz="0" w:space="0" w:color="auto"/>
      </w:divBdr>
    </w:div>
    <w:div w:id="1483496928">
      <w:bodyDiv w:val="1"/>
      <w:marLeft w:val="0"/>
      <w:marRight w:val="0"/>
      <w:marTop w:val="0"/>
      <w:marBottom w:val="0"/>
      <w:divBdr>
        <w:top w:val="none" w:sz="0" w:space="0" w:color="auto"/>
        <w:left w:val="none" w:sz="0" w:space="0" w:color="auto"/>
        <w:bottom w:val="none" w:sz="0" w:space="0" w:color="auto"/>
        <w:right w:val="none" w:sz="0" w:space="0" w:color="auto"/>
      </w:divBdr>
    </w:div>
    <w:div w:id="20413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F60A23-7805-4BCF-BA2F-675402B4CBD2}"/>
</file>

<file path=customXml/itemProps2.xml><?xml version="1.0" encoding="utf-8"?>
<ds:datastoreItem xmlns:ds="http://schemas.openxmlformats.org/officeDocument/2006/customXml" ds:itemID="{086FB3D7-A3A5-4EE5-8911-DA32B577DFA6}"/>
</file>

<file path=customXml/itemProps3.xml><?xml version="1.0" encoding="utf-8"?>
<ds:datastoreItem xmlns:ds="http://schemas.openxmlformats.org/officeDocument/2006/customXml" ds:itemID="{BA580EB9-AFBB-4B80-B121-A2D0D5936996}"/>
</file>

<file path=customXml/itemProps4.xml><?xml version="1.0" encoding="utf-8"?>
<ds:datastoreItem xmlns:ds="http://schemas.openxmlformats.org/officeDocument/2006/customXml" ds:itemID="{E5B6140A-3905-4C11-82C4-AF8F0B80E996}"/>
</file>

<file path=docProps/app.xml><?xml version="1.0" encoding="utf-8"?>
<Properties xmlns="http://schemas.openxmlformats.org/officeDocument/2006/extended-properties" xmlns:vt="http://schemas.openxmlformats.org/officeDocument/2006/docPropsVTypes">
  <Template>Normal.dotm</Template>
  <TotalTime>0</TotalTime>
  <Pages>16</Pages>
  <Words>3532</Words>
  <Characters>18559</Characters>
  <Application>Microsoft Office Word</Application>
  <DocSecurity>0</DocSecurity>
  <Lines>154</Lines>
  <Paragraphs>44</Paragraphs>
  <ScaleCrop>false</ScaleCrop>
  <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2011-06-24T22:58:00Z</dcterms:created>
  <dcterms:modified xsi:type="dcterms:W3CDTF">2011-06-24T22:58:00Z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