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F6" w:rsidRPr="00114DF9" w:rsidRDefault="00C701F6" w:rsidP="00114DF9">
      <w:pPr>
        <w:autoSpaceDE w:val="0"/>
        <w:autoSpaceDN w:val="0"/>
        <w:adjustRightInd w:val="0"/>
        <w:spacing w:after="0" w:line="240" w:lineRule="auto"/>
        <w:jc w:val="center"/>
        <w:outlineLvl w:val="0"/>
        <w:rPr>
          <w:rFonts w:ascii="Times New Roman" w:hAnsi="Times New Roman"/>
          <w:b/>
          <w:bCs/>
          <w:sz w:val="24"/>
          <w:szCs w:val="24"/>
        </w:rPr>
      </w:pPr>
      <w:r w:rsidRPr="00114DF9">
        <w:rPr>
          <w:rFonts w:ascii="Times New Roman" w:hAnsi="Times New Roman"/>
          <w:b/>
          <w:bCs/>
          <w:sz w:val="24"/>
          <w:szCs w:val="24"/>
        </w:rPr>
        <w:t>Washington State’s Energy Independence Act</w:t>
      </w:r>
    </w:p>
    <w:p w:rsidR="006F39D8" w:rsidRPr="00114DF9" w:rsidRDefault="006F39D8" w:rsidP="00114DF9">
      <w:pPr>
        <w:autoSpaceDE w:val="0"/>
        <w:autoSpaceDN w:val="0"/>
        <w:adjustRightInd w:val="0"/>
        <w:spacing w:after="0" w:line="240" w:lineRule="auto"/>
        <w:jc w:val="center"/>
        <w:outlineLvl w:val="0"/>
        <w:rPr>
          <w:rFonts w:ascii="Times New Roman" w:hAnsi="Times New Roman"/>
          <w:b/>
          <w:bCs/>
          <w:sz w:val="24"/>
          <w:szCs w:val="24"/>
        </w:rPr>
      </w:pPr>
      <w:r w:rsidRPr="00114DF9">
        <w:rPr>
          <w:rFonts w:ascii="Times New Roman" w:hAnsi="Times New Roman"/>
          <w:b/>
          <w:bCs/>
          <w:sz w:val="24"/>
          <w:szCs w:val="24"/>
        </w:rPr>
        <w:t>Docket UE-110523</w:t>
      </w:r>
    </w:p>
    <w:p w:rsidR="00114DF9" w:rsidRDefault="00114DF9">
      <w:pPr>
        <w:autoSpaceDE w:val="0"/>
        <w:autoSpaceDN w:val="0"/>
        <w:adjustRightInd w:val="0"/>
        <w:spacing w:after="0" w:line="240" w:lineRule="auto"/>
        <w:outlineLvl w:val="0"/>
        <w:rPr>
          <w:rFonts w:ascii="Times New Roman" w:hAnsi="Times New Roman"/>
          <w:b/>
          <w:bCs/>
          <w:sz w:val="24"/>
          <w:szCs w:val="24"/>
        </w:rPr>
      </w:pPr>
    </w:p>
    <w:p w:rsidR="006F39D8" w:rsidRPr="00114DF9" w:rsidRDefault="006F39D8" w:rsidP="00114DF9">
      <w:pPr>
        <w:autoSpaceDE w:val="0"/>
        <w:autoSpaceDN w:val="0"/>
        <w:adjustRightInd w:val="0"/>
        <w:spacing w:after="0" w:line="240" w:lineRule="auto"/>
        <w:jc w:val="center"/>
        <w:outlineLvl w:val="0"/>
        <w:rPr>
          <w:rFonts w:ascii="Times New Roman" w:hAnsi="Times New Roman"/>
          <w:b/>
          <w:bCs/>
          <w:sz w:val="24"/>
          <w:szCs w:val="24"/>
        </w:rPr>
      </w:pPr>
      <w:bookmarkStart w:id="0" w:name="_GoBack"/>
      <w:bookmarkEnd w:id="0"/>
      <w:r w:rsidRPr="00114DF9">
        <w:rPr>
          <w:rFonts w:ascii="Times New Roman" w:hAnsi="Times New Roman"/>
          <w:b/>
          <w:bCs/>
          <w:sz w:val="24"/>
          <w:szCs w:val="24"/>
        </w:rPr>
        <w:t>Compliance Reporting Tool</w:t>
      </w:r>
      <w:r w:rsidR="00114DF9" w:rsidRPr="00114DF9">
        <w:rPr>
          <w:rFonts w:ascii="Times New Roman" w:hAnsi="Times New Roman"/>
          <w:b/>
          <w:bCs/>
          <w:sz w:val="24"/>
          <w:szCs w:val="24"/>
        </w:rPr>
        <w:t xml:space="preserve"> Summary</w:t>
      </w:r>
    </w:p>
    <w:p w:rsidR="00114DF9" w:rsidRDefault="00114DF9">
      <w:pPr>
        <w:autoSpaceDE w:val="0"/>
        <w:autoSpaceDN w:val="0"/>
        <w:adjustRightInd w:val="0"/>
        <w:spacing w:after="0" w:line="240" w:lineRule="auto"/>
        <w:outlineLvl w:val="0"/>
        <w:rPr>
          <w:rFonts w:ascii="Times New Roman" w:hAnsi="Times New Roman"/>
          <w:b/>
          <w:bCs/>
          <w:sz w:val="24"/>
          <w:szCs w:val="24"/>
        </w:rPr>
      </w:pPr>
    </w:p>
    <w:p w:rsidR="00C701F6" w:rsidRPr="00114DF9" w:rsidRDefault="00C701F6">
      <w:pPr>
        <w:autoSpaceDE w:val="0"/>
        <w:autoSpaceDN w:val="0"/>
        <w:adjustRightInd w:val="0"/>
        <w:spacing w:after="0" w:line="240" w:lineRule="auto"/>
        <w:outlineLvl w:val="0"/>
        <w:rPr>
          <w:rFonts w:ascii="Times New Roman" w:hAnsi="Times New Roman"/>
          <w:b/>
          <w:bCs/>
          <w:sz w:val="24"/>
          <w:szCs w:val="24"/>
        </w:rPr>
      </w:pPr>
      <w:r w:rsidRPr="00114DF9">
        <w:rPr>
          <w:rFonts w:ascii="Times New Roman" w:hAnsi="Times New Roman"/>
          <w:b/>
          <w:bCs/>
          <w:sz w:val="24"/>
          <w:szCs w:val="24"/>
        </w:rPr>
        <w:t xml:space="preserve">Renewable Target Energy Reporting Guidelines to the </w:t>
      </w:r>
      <w:r w:rsidR="00114DF9" w:rsidRPr="00114DF9">
        <w:rPr>
          <w:rFonts w:ascii="Times New Roman" w:hAnsi="Times New Roman"/>
          <w:b/>
          <w:bCs/>
          <w:sz w:val="24"/>
          <w:szCs w:val="24"/>
        </w:rPr>
        <w:t>Washington Utilities and Transportation Commission</w:t>
      </w:r>
    </w:p>
    <w:p w:rsidR="00C701F6" w:rsidRPr="00114DF9" w:rsidRDefault="00C701F6" w:rsidP="00E12482">
      <w:pPr>
        <w:autoSpaceDE w:val="0"/>
        <w:autoSpaceDN w:val="0"/>
        <w:adjustRightInd w:val="0"/>
        <w:spacing w:after="0" w:line="240" w:lineRule="auto"/>
        <w:rPr>
          <w:rFonts w:ascii="Times New Roman" w:hAnsi="Times New Roman"/>
          <w:sz w:val="24"/>
          <w:szCs w:val="24"/>
        </w:rPr>
      </w:pPr>
    </w:p>
    <w:p w:rsidR="00C701F6" w:rsidRPr="00114DF9" w:rsidRDefault="00C701F6" w:rsidP="00235AE0">
      <w:pPr>
        <w:autoSpaceDE w:val="0"/>
        <w:autoSpaceDN w:val="0"/>
        <w:adjustRightInd w:val="0"/>
        <w:spacing w:after="0" w:line="240" w:lineRule="auto"/>
        <w:outlineLvl w:val="0"/>
        <w:rPr>
          <w:rFonts w:ascii="Times New Roman" w:hAnsi="Times New Roman"/>
          <w:b/>
          <w:sz w:val="24"/>
          <w:szCs w:val="24"/>
        </w:rPr>
      </w:pPr>
      <w:r w:rsidRPr="00114DF9">
        <w:rPr>
          <w:rFonts w:ascii="Times New Roman" w:hAnsi="Times New Roman"/>
          <w:b/>
          <w:sz w:val="24"/>
          <w:szCs w:val="24"/>
        </w:rPr>
        <w:t>Purpose</w:t>
      </w:r>
    </w:p>
    <w:p w:rsidR="00C701F6" w:rsidRPr="00114DF9" w:rsidRDefault="00C701F6" w:rsidP="00E12482">
      <w:p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Capture informal Stakeholder</w:t>
      </w:r>
      <w:r w:rsidRPr="00114DF9">
        <w:rPr>
          <w:rStyle w:val="FootnoteReference"/>
          <w:rFonts w:ascii="Times New Roman" w:hAnsi="Times New Roman"/>
          <w:sz w:val="24"/>
          <w:szCs w:val="24"/>
        </w:rPr>
        <w:footnoteReference w:id="1"/>
      </w:r>
      <w:r w:rsidRPr="00114DF9">
        <w:rPr>
          <w:rFonts w:ascii="Times New Roman" w:hAnsi="Times New Roman"/>
          <w:sz w:val="24"/>
          <w:szCs w:val="24"/>
        </w:rPr>
        <w:t xml:space="preserve"> consensus with respect to implementation of Washington State’s Energy Independence Act (“EIA”) renewable energy target reporting related to docket UE-110523 for requirements pursuant to RCW 19.285.070(1) and WAC 480-109-040(1).</w:t>
      </w:r>
    </w:p>
    <w:p w:rsidR="00C701F6" w:rsidRPr="00114DF9" w:rsidRDefault="00C701F6" w:rsidP="00E12482">
      <w:pPr>
        <w:autoSpaceDE w:val="0"/>
        <w:autoSpaceDN w:val="0"/>
        <w:adjustRightInd w:val="0"/>
        <w:spacing w:after="0" w:line="240" w:lineRule="auto"/>
        <w:rPr>
          <w:rFonts w:ascii="Times New Roman" w:hAnsi="Times New Roman"/>
          <w:sz w:val="24"/>
          <w:szCs w:val="24"/>
        </w:rPr>
      </w:pPr>
    </w:p>
    <w:p w:rsidR="00C701F6" w:rsidRPr="00114DF9" w:rsidRDefault="00C701F6" w:rsidP="00235AE0">
      <w:pPr>
        <w:autoSpaceDE w:val="0"/>
        <w:autoSpaceDN w:val="0"/>
        <w:adjustRightInd w:val="0"/>
        <w:spacing w:after="0" w:line="240" w:lineRule="auto"/>
        <w:outlineLvl w:val="0"/>
        <w:rPr>
          <w:rFonts w:ascii="Times New Roman" w:hAnsi="Times New Roman"/>
          <w:b/>
          <w:sz w:val="24"/>
          <w:szCs w:val="24"/>
        </w:rPr>
      </w:pPr>
      <w:r w:rsidRPr="00114DF9">
        <w:rPr>
          <w:rFonts w:ascii="Times New Roman" w:hAnsi="Times New Roman"/>
          <w:b/>
          <w:sz w:val="24"/>
          <w:szCs w:val="24"/>
        </w:rPr>
        <w:t>Reporting [RCW 19.285.070]</w:t>
      </w:r>
    </w:p>
    <w:p w:rsidR="00C701F6" w:rsidRPr="00114DF9" w:rsidRDefault="00C701F6" w:rsidP="00506DD9">
      <w:p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Stakeholders have informally agreed to use the following approach to reporting by utilities: </w:t>
      </w:r>
    </w:p>
    <w:p w:rsidR="00C701F6" w:rsidRPr="00114DF9" w:rsidRDefault="00C701F6" w:rsidP="00E12482">
      <w:pPr>
        <w:autoSpaceDE w:val="0"/>
        <w:autoSpaceDN w:val="0"/>
        <w:adjustRightInd w:val="0"/>
        <w:spacing w:after="0" w:line="240" w:lineRule="auto"/>
        <w:rPr>
          <w:rFonts w:ascii="Times New Roman" w:hAnsi="Times New Roman"/>
          <w:sz w:val="24"/>
          <w:szCs w:val="24"/>
        </w:rPr>
      </w:pPr>
    </w:p>
    <w:p w:rsidR="00C701F6" w:rsidRPr="00114DF9" w:rsidRDefault="00C701F6" w:rsidP="008E55CD">
      <w:pPr>
        <w:pStyle w:val="ListParagraph"/>
        <w:numPr>
          <w:ilvl w:val="0"/>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File a report on progress in meeting renewable resource targets on or before June 1, 2012, and annually thereafter, describing the resources acquired by January 1 of the target year intended to meet the renewable energy target;</w:t>
      </w:r>
    </w:p>
    <w:p w:rsidR="00C701F6" w:rsidRPr="00114DF9" w:rsidRDefault="00C701F6" w:rsidP="008E55CD">
      <w:pPr>
        <w:pStyle w:val="ListParagraph"/>
        <w:numPr>
          <w:ilvl w:val="0"/>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Use reporting outline [See Attachment A]; </w:t>
      </w:r>
    </w:p>
    <w:p w:rsidR="00C701F6" w:rsidRPr="00114DF9" w:rsidRDefault="00C701F6" w:rsidP="008E55CD">
      <w:pPr>
        <w:pStyle w:val="ListParagraph"/>
        <w:numPr>
          <w:ilvl w:val="0"/>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Use a Compliance Reporting Spreadsheet  (also referred to as “Spreadsheet”) [See Attachment B] that includes information on the compliance year, the preceding year and the subsequent year, as applicable; </w:t>
      </w:r>
    </w:p>
    <w:p w:rsidR="00C701F6" w:rsidRPr="00114DF9" w:rsidRDefault="00C701F6" w:rsidP="000F7469">
      <w:pPr>
        <w:autoSpaceDE w:val="0"/>
        <w:autoSpaceDN w:val="0"/>
        <w:adjustRightInd w:val="0"/>
        <w:spacing w:after="0" w:line="240" w:lineRule="auto"/>
        <w:ind w:left="360"/>
        <w:rPr>
          <w:rFonts w:ascii="Times New Roman" w:hAnsi="Times New Roman"/>
          <w:sz w:val="24"/>
          <w:szCs w:val="24"/>
        </w:rPr>
      </w:pPr>
      <w:r w:rsidRPr="00114DF9">
        <w:rPr>
          <w:rFonts w:ascii="Times New Roman" w:hAnsi="Times New Roman"/>
          <w:sz w:val="24"/>
          <w:szCs w:val="24"/>
        </w:rPr>
        <w:t>(Utilities may unilaterally make modifications to the reporting outline and Spreadsheet based on individual utility needs, as appropriate); and</w:t>
      </w:r>
    </w:p>
    <w:p w:rsidR="00C701F6" w:rsidRPr="00114DF9" w:rsidRDefault="00C701F6" w:rsidP="008E55CD">
      <w:pPr>
        <w:pStyle w:val="ListParagraph"/>
        <w:numPr>
          <w:ilvl w:val="0"/>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Utilities may need to protect commercially sensitive information by use of the “Confidential” designation in any or all of the tools used for reporting requirements.</w:t>
      </w:r>
    </w:p>
    <w:p w:rsidR="00C701F6" w:rsidRPr="00114DF9" w:rsidRDefault="00C701F6" w:rsidP="00DA272E">
      <w:pPr>
        <w:autoSpaceDE w:val="0"/>
        <w:autoSpaceDN w:val="0"/>
        <w:adjustRightInd w:val="0"/>
        <w:spacing w:after="0" w:line="240" w:lineRule="auto"/>
        <w:rPr>
          <w:rFonts w:ascii="Times New Roman" w:hAnsi="Times New Roman"/>
          <w:sz w:val="24"/>
          <w:szCs w:val="24"/>
        </w:rPr>
      </w:pPr>
    </w:p>
    <w:p w:rsidR="00C701F6" w:rsidRPr="00114DF9" w:rsidRDefault="00C701F6" w:rsidP="00235AE0">
      <w:pPr>
        <w:autoSpaceDE w:val="0"/>
        <w:autoSpaceDN w:val="0"/>
        <w:adjustRightInd w:val="0"/>
        <w:spacing w:after="0" w:line="240" w:lineRule="auto"/>
        <w:outlineLvl w:val="0"/>
        <w:rPr>
          <w:rFonts w:ascii="Times New Roman" w:hAnsi="Times New Roman"/>
          <w:b/>
          <w:sz w:val="24"/>
          <w:szCs w:val="24"/>
        </w:rPr>
      </w:pPr>
      <w:r w:rsidRPr="00114DF9">
        <w:rPr>
          <w:rFonts w:ascii="Times New Roman" w:hAnsi="Times New Roman"/>
          <w:b/>
          <w:sz w:val="24"/>
          <w:szCs w:val="24"/>
        </w:rPr>
        <w:t>Reporting Requirements [WAC 480-109-040</w:t>
      </w:r>
      <w:r w:rsidR="00942A5D" w:rsidRPr="00114DF9">
        <w:rPr>
          <w:rFonts w:ascii="Times New Roman" w:hAnsi="Times New Roman"/>
          <w:b/>
          <w:sz w:val="24"/>
          <w:szCs w:val="24"/>
        </w:rPr>
        <w:t xml:space="preserve"> (1)</w:t>
      </w:r>
      <w:r w:rsidRPr="00114DF9">
        <w:rPr>
          <w:rFonts w:ascii="Times New Roman" w:hAnsi="Times New Roman"/>
          <w:b/>
          <w:sz w:val="24"/>
          <w:szCs w:val="24"/>
        </w:rPr>
        <w:t>]</w:t>
      </w:r>
    </w:p>
    <w:p w:rsidR="00C701F6" w:rsidRPr="00114DF9" w:rsidRDefault="00C701F6" w:rsidP="00506DD9">
      <w:p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Stakeholders have informally agreed to include the following information in the Spreadsheet, as applicable: </w:t>
      </w:r>
    </w:p>
    <w:p w:rsidR="00C701F6" w:rsidRPr="00114DF9" w:rsidRDefault="00C701F6" w:rsidP="00E12482">
      <w:pPr>
        <w:autoSpaceDE w:val="0"/>
        <w:autoSpaceDN w:val="0"/>
        <w:adjustRightInd w:val="0"/>
        <w:spacing w:after="0" w:line="240" w:lineRule="auto"/>
        <w:rPr>
          <w:rFonts w:ascii="Times New Roman" w:hAnsi="Times New Roman"/>
          <w:sz w:val="24"/>
          <w:szCs w:val="24"/>
        </w:rPr>
      </w:pPr>
    </w:p>
    <w:p w:rsidR="00C701F6" w:rsidRPr="00114DF9" w:rsidRDefault="00C701F6" w:rsidP="008E55CD">
      <w:pPr>
        <w:pStyle w:val="ListParagraph"/>
        <w:numPr>
          <w:ilvl w:val="0"/>
          <w:numId w:val="8"/>
        </w:numPr>
        <w:autoSpaceDE w:val="0"/>
        <w:autoSpaceDN w:val="0"/>
        <w:adjustRightInd w:val="0"/>
        <w:spacing w:after="0" w:line="240" w:lineRule="auto"/>
        <w:rPr>
          <w:rFonts w:ascii="Times New Roman" w:hAnsi="Times New Roman"/>
          <w:b/>
          <w:sz w:val="24"/>
          <w:szCs w:val="24"/>
        </w:rPr>
      </w:pPr>
      <w:r w:rsidRPr="00114DF9">
        <w:rPr>
          <w:rFonts w:ascii="Times New Roman" w:hAnsi="Times New Roman"/>
          <w:sz w:val="24"/>
          <w:szCs w:val="24"/>
        </w:rPr>
        <w:t xml:space="preserve">Eligible renewable generation, renewable energy credits, and load.  </w:t>
      </w:r>
    </w:p>
    <w:p w:rsidR="00C701F6" w:rsidRPr="00114DF9" w:rsidRDefault="00C701F6" w:rsidP="008E55CD">
      <w:pPr>
        <w:pStyle w:val="ListParagraph"/>
        <w:numPr>
          <w:ilvl w:val="1"/>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The utility’s annual Washington load for the prior two years;</w:t>
      </w:r>
    </w:p>
    <w:p w:rsidR="00C701F6" w:rsidRPr="00114DF9" w:rsidRDefault="00C701F6" w:rsidP="008E55CD">
      <w:pPr>
        <w:pStyle w:val="ListParagraph"/>
        <w:numPr>
          <w:ilvl w:val="1"/>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Amount of megawatt-hours needed to meet the annual renewable energy target by January 1 of the target year;</w:t>
      </w:r>
    </w:p>
    <w:p w:rsidR="00C701F6" w:rsidRPr="00114DF9" w:rsidRDefault="00C701F6" w:rsidP="008E55CD">
      <w:pPr>
        <w:pStyle w:val="ListParagraph"/>
        <w:numPr>
          <w:ilvl w:val="1"/>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The report must describe the steps the utility is taking to meet the renewable resource requirements for the </w:t>
      </w:r>
      <w:r w:rsidR="00F83261" w:rsidRPr="00114DF9">
        <w:rPr>
          <w:rFonts w:ascii="Times New Roman" w:hAnsi="Times New Roman"/>
          <w:sz w:val="24"/>
          <w:szCs w:val="24"/>
        </w:rPr>
        <w:t xml:space="preserve">current </w:t>
      </w:r>
      <w:r w:rsidRPr="00114DF9">
        <w:rPr>
          <w:rFonts w:ascii="Times New Roman" w:hAnsi="Times New Roman"/>
          <w:sz w:val="24"/>
          <w:szCs w:val="24"/>
        </w:rPr>
        <w:t xml:space="preserve">year. </w:t>
      </w:r>
    </w:p>
    <w:p w:rsidR="00C701F6" w:rsidRPr="00114DF9" w:rsidRDefault="00C701F6" w:rsidP="008E55CD">
      <w:pPr>
        <w:pStyle w:val="ListParagraph"/>
        <w:numPr>
          <w:ilvl w:val="1"/>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Amount of megawatt-hours of each type of eligible renewable resource acquired, and/or renewable energy credits acquired and multiplier credits, if any; and</w:t>
      </w:r>
    </w:p>
    <w:p w:rsidR="00C701F6" w:rsidRPr="00114DF9" w:rsidRDefault="00C701F6" w:rsidP="00176F01">
      <w:pPr>
        <w:pStyle w:val="ListParagraph"/>
        <w:numPr>
          <w:ilvl w:val="1"/>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Amount (in megawatt-hours) of eligible renewable resources</w:t>
      </w:r>
      <w:r w:rsidRPr="00114DF9">
        <w:rPr>
          <w:rStyle w:val="FootnoteReference"/>
          <w:rFonts w:ascii="Times New Roman" w:hAnsi="Times New Roman"/>
          <w:sz w:val="24"/>
          <w:szCs w:val="24"/>
        </w:rPr>
        <w:footnoteReference w:id="2"/>
      </w:r>
      <w:r w:rsidRPr="00114DF9">
        <w:rPr>
          <w:rFonts w:ascii="Times New Roman" w:hAnsi="Times New Roman"/>
          <w:sz w:val="24"/>
          <w:szCs w:val="24"/>
        </w:rPr>
        <w:t xml:space="preserve"> or renewable energy credits applied to the renewable energy target from the prior year, target year or subsequent year</w:t>
      </w:r>
    </w:p>
    <w:p w:rsidR="00C701F6" w:rsidRPr="00114DF9" w:rsidRDefault="00C701F6">
      <w:pPr>
        <w:pStyle w:val="ListParagraph"/>
        <w:numPr>
          <w:ilvl w:val="2"/>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lastRenderedPageBreak/>
        <w:t>For multi-jurisdictional utilities, report Washington allocated eligible renewable resource or renewable energy credits applied to the renewable energy targets from the prior year, target year or subsequent year.</w:t>
      </w:r>
    </w:p>
    <w:p w:rsidR="00C701F6" w:rsidRPr="00114DF9" w:rsidRDefault="00C701F6" w:rsidP="00E12482">
      <w:pPr>
        <w:autoSpaceDE w:val="0"/>
        <w:autoSpaceDN w:val="0"/>
        <w:adjustRightInd w:val="0"/>
        <w:spacing w:after="0" w:line="240" w:lineRule="auto"/>
        <w:rPr>
          <w:rFonts w:ascii="Times New Roman" w:hAnsi="Times New Roman"/>
          <w:sz w:val="24"/>
          <w:szCs w:val="24"/>
        </w:rPr>
      </w:pPr>
    </w:p>
    <w:p w:rsidR="00C701F6" w:rsidRPr="00114DF9" w:rsidRDefault="00C701F6" w:rsidP="00235AE0">
      <w:pPr>
        <w:autoSpaceDE w:val="0"/>
        <w:autoSpaceDN w:val="0"/>
        <w:adjustRightInd w:val="0"/>
        <w:spacing w:after="0" w:line="240" w:lineRule="auto"/>
        <w:outlineLvl w:val="0"/>
        <w:rPr>
          <w:rFonts w:ascii="Times New Roman" w:hAnsi="Times New Roman"/>
          <w:b/>
          <w:sz w:val="24"/>
          <w:szCs w:val="24"/>
        </w:rPr>
      </w:pPr>
      <w:r w:rsidRPr="00114DF9">
        <w:rPr>
          <w:rFonts w:ascii="Times New Roman" w:hAnsi="Times New Roman"/>
          <w:b/>
          <w:sz w:val="24"/>
          <w:szCs w:val="24"/>
        </w:rPr>
        <w:t xml:space="preserve">Report Supporting Documentation </w:t>
      </w:r>
    </w:p>
    <w:p w:rsidR="00C701F6" w:rsidRPr="00114DF9" w:rsidRDefault="00C701F6" w:rsidP="00506DD9">
      <w:p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Stakeholders have informally agreed to include documentation to support data provided in the Spreadsheet, as further described below. Some commercially sensitive data may be designated as “Confidential”.</w:t>
      </w:r>
    </w:p>
    <w:p w:rsidR="00C701F6" w:rsidRPr="00114DF9" w:rsidRDefault="00C701F6" w:rsidP="00E12482">
      <w:pPr>
        <w:autoSpaceDE w:val="0"/>
        <w:autoSpaceDN w:val="0"/>
        <w:adjustRightInd w:val="0"/>
        <w:spacing w:after="0" w:line="240" w:lineRule="auto"/>
        <w:rPr>
          <w:rFonts w:ascii="Times New Roman" w:hAnsi="Times New Roman"/>
          <w:sz w:val="24"/>
          <w:szCs w:val="24"/>
        </w:rPr>
      </w:pPr>
    </w:p>
    <w:p w:rsidR="00C701F6" w:rsidRPr="00114DF9" w:rsidRDefault="00C701F6" w:rsidP="00176F01">
      <w:pPr>
        <w:pStyle w:val="ListParagraph"/>
        <w:numPr>
          <w:ilvl w:val="0"/>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Utilities may provide any of the following documentation to demonstrate acquisition by January 1 of the target year for megawatt-hours contracted for or generated from eligible renewable resources, and/or renewable energy credits, and other multiplier credits </w:t>
      </w:r>
      <w:r w:rsidRPr="00114DF9">
        <w:rPr>
          <w:rFonts w:ascii="Times New Roman" w:hAnsi="Times New Roman"/>
          <w:b/>
          <w:sz w:val="24"/>
          <w:szCs w:val="24"/>
        </w:rPr>
        <w:t>[RCW 19.285.030, RCW 19.285.070]</w:t>
      </w:r>
      <w:r w:rsidRPr="00114DF9">
        <w:rPr>
          <w:rFonts w:ascii="Times New Roman" w:hAnsi="Times New Roman"/>
          <w:sz w:val="24"/>
          <w:szCs w:val="24"/>
        </w:rPr>
        <w:t>:</w:t>
      </w:r>
    </w:p>
    <w:p w:rsidR="00C701F6" w:rsidRPr="00114DF9" w:rsidRDefault="00C701F6" w:rsidP="008E55CD">
      <w:pPr>
        <w:pStyle w:val="ListParagraph"/>
        <w:numPr>
          <w:ilvl w:val="1"/>
          <w:numId w:val="8"/>
        </w:numPr>
        <w:autoSpaceDE w:val="0"/>
        <w:autoSpaceDN w:val="0"/>
        <w:adjustRightInd w:val="0"/>
        <w:spacing w:after="0" w:line="240" w:lineRule="auto"/>
        <w:rPr>
          <w:rFonts w:ascii="Times New Roman" w:hAnsi="Times New Roman"/>
          <w:sz w:val="24"/>
          <w:szCs w:val="24"/>
          <w:u w:val="single"/>
        </w:rPr>
      </w:pPr>
      <w:r w:rsidRPr="00114DF9">
        <w:rPr>
          <w:rFonts w:ascii="Times New Roman" w:hAnsi="Times New Roman"/>
          <w:sz w:val="24"/>
          <w:szCs w:val="24"/>
          <w:u w:val="single"/>
        </w:rPr>
        <w:t xml:space="preserve">Utility-Owned Generation </w:t>
      </w:r>
    </w:p>
    <w:p w:rsidR="00C701F6" w:rsidRPr="00114DF9" w:rsidRDefault="00C701F6" w:rsidP="008E55CD">
      <w:pPr>
        <w:pStyle w:val="ListParagraph"/>
        <w:numPr>
          <w:ilvl w:val="2"/>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WREGIS report of certificates from utility-owned generation; or </w:t>
      </w:r>
    </w:p>
    <w:p w:rsidR="00C701F6" w:rsidRPr="00114DF9" w:rsidRDefault="00C701F6" w:rsidP="008E55CD">
      <w:pPr>
        <w:pStyle w:val="ListParagraph"/>
        <w:numPr>
          <w:ilvl w:val="2"/>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Attestation(s) signed by the utility reporting the amount of generation from non-WREGIS facilities for a specified time period, and confirming no double-counting</w:t>
      </w:r>
      <w:r w:rsidRPr="00114DF9" w:rsidDel="005C6EDA">
        <w:rPr>
          <w:rFonts w:ascii="Times New Roman" w:hAnsi="Times New Roman"/>
          <w:sz w:val="24"/>
          <w:szCs w:val="24"/>
        </w:rPr>
        <w:t xml:space="preserve"> </w:t>
      </w:r>
      <w:r w:rsidRPr="00114DF9">
        <w:rPr>
          <w:rFonts w:ascii="Times New Roman" w:hAnsi="Times New Roman"/>
          <w:sz w:val="24"/>
          <w:szCs w:val="24"/>
        </w:rPr>
        <w:t xml:space="preserve"> (only for facilities for which WREGIS tracking is not reasonably available)</w:t>
      </w:r>
    </w:p>
    <w:p w:rsidR="00C701F6" w:rsidRPr="00114DF9" w:rsidRDefault="00C701F6" w:rsidP="008E55CD">
      <w:pPr>
        <w:pStyle w:val="ListParagraph"/>
        <w:numPr>
          <w:ilvl w:val="1"/>
          <w:numId w:val="8"/>
        </w:numPr>
        <w:autoSpaceDE w:val="0"/>
        <w:autoSpaceDN w:val="0"/>
        <w:adjustRightInd w:val="0"/>
        <w:spacing w:after="0" w:line="240" w:lineRule="auto"/>
        <w:rPr>
          <w:rFonts w:ascii="Times New Roman" w:hAnsi="Times New Roman"/>
          <w:sz w:val="24"/>
          <w:szCs w:val="24"/>
          <w:u w:val="single"/>
        </w:rPr>
      </w:pPr>
      <w:r w:rsidRPr="00114DF9">
        <w:rPr>
          <w:rFonts w:ascii="Times New Roman" w:hAnsi="Times New Roman"/>
          <w:sz w:val="24"/>
          <w:szCs w:val="24"/>
          <w:u w:val="single"/>
        </w:rPr>
        <w:t>Purchased Generation and/or Purchased Renewable Energy Credits</w:t>
      </w:r>
    </w:p>
    <w:p w:rsidR="00C701F6" w:rsidRPr="00114DF9" w:rsidRDefault="00C701F6" w:rsidP="008E55CD">
      <w:pPr>
        <w:pStyle w:val="ListParagraph"/>
        <w:numPr>
          <w:ilvl w:val="2"/>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WREGIS report of certificates from purchased generation and/or renewable energy credits; or</w:t>
      </w:r>
    </w:p>
    <w:p w:rsidR="00C701F6" w:rsidRPr="00114DF9" w:rsidRDefault="00C701F6" w:rsidP="008E55CD">
      <w:pPr>
        <w:pStyle w:val="ListParagraph"/>
        <w:numPr>
          <w:ilvl w:val="2"/>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Attestations from seller reporting the amount of generation purchased from a non-WREGIS facility and/or renewable energy credits for a specified time period, and confirming no double-counting (only for facilities for which WREGIS tracking is not reasonably available)</w:t>
      </w:r>
    </w:p>
    <w:p w:rsidR="00C701F6" w:rsidRPr="00114DF9" w:rsidRDefault="00C701F6" w:rsidP="008E55CD">
      <w:pPr>
        <w:pStyle w:val="ListParagraph"/>
        <w:numPr>
          <w:ilvl w:val="1"/>
          <w:numId w:val="8"/>
        </w:numPr>
        <w:autoSpaceDE w:val="0"/>
        <w:autoSpaceDN w:val="0"/>
        <w:adjustRightInd w:val="0"/>
        <w:spacing w:after="0" w:line="240" w:lineRule="auto"/>
        <w:rPr>
          <w:rFonts w:ascii="Times New Roman" w:hAnsi="Times New Roman"/>
          <w:b/>
          <w:sz w:val="24"/>
          <w:szCs w:val="24"/>
        </w:rPr>
      </w:pPr>
      <w:r w:rsidRPr="00114DF9">
        <w:rPr>
          <w:rFonts w:ascii="Times New Roman" w:hAnsi="Times New Roman"/>
          <w:sz w:val="24"/>
          <w:szCs w:val="24"/>
          <w:u w:val="single"/>
        </w:rPr>
        <w:t xml:space="preserve">Incremental Hydro </w:t>
      </w:r>
      <w:r w:rsidRPr="00114DF9">
        <w:rPr>
          <w:rFonts w:ascii="Times New Roman" w:hAnsi="Times New Roman"/>
          <w:b/>
          <w:sz w:val="24"/>
          <w:szCs w:val="24"/>
        </w:rPr>
        <w:t>[RCW 19.285.030 (10) (b)]</w:t>
      </w:r>
    </w:p>
    <w:p w:rsidR="00C701F6" w:rsidRPr="00114DF9" w:rsidRDefault="00C701F6" w:rsidP="008E55CD">
      <w:pPr>
        <w:pStyle w:val="ListParagraph"/>
        <w:numPr>
          <w:ilvl w:val="2"/>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Provide documentation as recommended by Incremental Hydro Electricity Calculation Methodologies outline [See Attachment C]</w:t>
      </w:r>
    </w:p>
    <w:p w:rsidR="00C701F6" w:rsidRPr="00114DF9" w:rsidRDefault="00C701F6" w:rsidP="00E12482">
      <w:pPr>
        <w:autoSpaceDE w:val="0"/>
        <w:autoSpaceDN w:val="0"/>
        <w:adjustRightInd w:val="0"/>
        <w:spacing w:after="0" w:line="240" w:lineRule="auto"/>
        <w:rPr>
          <w:rFonts w:ascii="Times New Roman" w:hAnsi="Times New Roman"/>
          <w:sz w:val="24"/>
          <w:szCs w:val="24"/>
        </w:rPr>
      </w:pPr>
    </w:p>
    <w:p w:rsidR="00C701F6" w:rsidRPr="00114DF9" w:rsidRDefault="00C701F6">
      <w:pPr>
        <w:pStyle w:val="ListParagraph"/>
        <w:numPr>
          <w:ilvl w:val="1"/>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u w:val="single"/>
        </w:rPr>
        <w:t xml:space="preserve">Multiplier Credits </w:t>
      </w:r>
    </w:p>
    <w:p w:rsidR="00C701F6" w:rsidRPr="00114DF9" w:rsidRDefault="00C701F6">
      <w:pPr>
        <w:pStyle w:val="ListParagraph"/>
        <w:numPr>
          <w:ilvl w:val="2"/>
          <w:numId w:val="8"/>
        </w:numPr>
        <w:autoSpaceDE w:val="0"/>
        <w:autoSpaceDN w:val="0"/>
        <w:adjustRightInd w:val="0"/>
        <w:spacing w:after="0" w:line="240" w:lineRule="auto"/>
        <w:rPr>
          <w:rFonts w:ascii="Times New Roman" w:hAnsi="Times New Roman"/>
          <w:b/>
          <w:sz w:val="24"/>
          <w:szCs w:val="24"/>
        </w:rPr>
      </w:pPr>
      <w:r w:rsidRPr="00114DF9">
        <w:rPr>
          <w:rFonts w:ascii="Times New Roman" w:hAnsi="Times New Roman"/>
          <w:sz w:val="24"/>
          <w:szCs w:val="24"/>
        </w:rPr>
        <w:t xml:space="preserve">Apprenticeship Labor Credits </w:t>
      </w:r>
      <w:r w:rsidRPr="00114DF9">
        <w:rPr>
          <w:rFonts w:ascii="Times New Roman" w:hAnsi="Times New Roman"/>
          <w:b/>
          <w:sz w:val="24"/>
          <w:szCs w:val="24"/>
        </w:rPr>
        <w:t>[RCW 19.285.040 (2) (h) (i)]</w:t>
      </w:r>
    </w:p>
    <w:p w:rsidR="00C701F6" w:rsidRPr="00114DF9" w:rsidRDefault="00C701F6">
      <w:pPr>
        <w:pStyle w:val="ListParagraph"/>
        <w:numPr>
          <w:ilvl w:val="3"/>
          <w:numId w:val="5"/>
        </w:numPr>
        <w:autoSpaceDE w:val="0"/>
        <w:autoSpaceDN w:val="0"/>
        <w:adjustRightInd w:val="0"/>
        <w:spacing w:after="0" w:line="240" w:lineRule="auto"/>
        <w:rPr>
          <w:rFonts w:ascii="Times New Roman" w:hAnsi="Times New Roman"/>
          <w:b/>
          <w:sz w:val="24"/>
          <w:szCs w:val="24"/>
        </w:rPr>
      </w:pPr>
      <w:r w:rsidRPr="00114DF9">
        <w:rPr>
          <w:rFonts w:ascii="Times New Roman" w:hAnsi="Times New Roman"/>
          <w:sz w:val="24"/>
          <w:szCs w:val="24"/>
        </w:rPr>
        <w:t xml:space="preserve">Utilities agree to provide a letter from Washington State Apprenticeship and Training Council (Washington State Department of Labor) certifying that the renewable energy project met the apprentice labor standard </w:t>
      </w:r>
      <w:r w:rsidRPr="00114DF9">
        <w:rPr>
          <w:rFonts w:ascii="Times New Roman" w:hAnsi="Times New Roman"/>
          <w:b/>
          <w:sz w:val="24"/>
          <w:szCs w:val="24"/>
        </w:rPr>
        <w:t>[WAC 296-05-329]</w:t>
      </w:r>
    </w:p>
    <w:p w:rsidR="00C701F6" w:rsidRPr="00114DF9" w:rsidRDefault="00C701F6" w:rsidP="00EC4782">
      <w:pPr>
        <w:pStyle w:val="ListParagraph"/>
        <w:numPr>
          <w:ilvl w:val="2"/>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Distributed Generation Credits </w:t>
      </w:r>
      <w:r w:rsidRPr="00114DF9">
        <w:rPr>
          <w:rFonts w:ascii="Times New Roman" w:hAnsi="Times New Roman"/>
          <w:b/>
          <w:sz w:val="24"/>
          <w:szCs w:val="24"/>
        </w:rPr>
        <w:t>[RCW, 19.285.040 (2) (b)]</w:t>
      </w:r>
    </w:p>
    <w:p w:rsidR="00C701F6" w:rsidRPr="00114DF9" w:rsidRDefault="00C701F6" w:rsidP="00EC4782">
      <w:pPr>
        <w:pStyle w:val="ListParagraph"/>
        <w:numPr>
          <w:ilvl w:val="3"/>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Utilities agree to provide sufficient documentation that </w:t>
      </w:r>
    </w:p>
    <w:p w:rsidR="00C701F6" w:rsidRPr="00114DF9" w:rsidRDefault="00C701F6" w:rsidP="00EC4782">
      <w:pPr>
        <w:pStyle w:val="ListParagraph"/>
        <w:numPr>
          <w:ilvl w:val="4"/>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the generation facility or any integrated cluster of such facilities has a generating capacity of not more than five megawatts. [</w:t>
      </w:r>
      <w:r w:rsidRPr="00114DF9">
        <w:rPr>
          <w:rFonts w:ascii="Times New Roman" w:hAnsi="Times New Roman"/>
          <w:b/>
          <w:sz w:val="24"/>
          <w:szCs w:val="24"/>
        </w:rPr>
        <w:t>RCW.19.285.030 (9)]</w:t>
      </w:r>
    </w:p>
    <w:p w:rsidR="00C701F6" w:rsidRPr="00114DF9" w:rsidRDefault="00C701F6" w:rsidP="00EC4782">
      <w:pPr>
        <w:pStyle w:val="ListParagraph"/>
        <w:numPr>
          <w:ilvl w:val="4"/>
          <w:numId w:val="5"/>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the associated renewable energy credits are </w:t>
      </w:r>
      <w:r w:rsidRPr="00114DF9">
        <w:rPr>
          <w:rFonts w:ascii="Times New Roman" w:hAnsi="Times New Roman"/>
          <w:sz w:val="24"/>
          <w:szCs w:val="24"/>
          <w:u w:val="single"/>
        </w:rPr>
        <w:t>not</w:t>
      </w:r>
      <w:r w:rsidRPr="00114DF9">
        <w:rPr>
          <w:rFonts w:ascii="Times New Roman" w:hAnsi="Times New Roman"/>
          <w:sz w:val="24"/>
          <w:szCs w:val="24"/>
        </w:rPr>
        <w:t xml:space="preserve"> owned by a separate entity [</w:t>
      </w:r>
      <w:r w:rsidRPr="00114DF9">
        <w:rPr>
          <w:rFonts w:ascii="Times New Roman" w:hAnsi="Times New Roman"/>
          <w:b/>
          <w:sz w:val="24"/>
          <w:szCs w:val="24"/>
        </w:rPr>
        <w:t>RCW.19.285.040 (2) (f) (i)]</w:t>
      </w:r>
    </w:p>
    <w:p w:rsidR="00C701F6" w:rsidRPr="00114DF9" w:rsidRDefault="00C701F6">
      <w:pPr>
        <w:pStyle w:val="ListParagraph"/>
        <w:autoSpaceDE w:val="0"/>
        <w:autoSpaceDN w:val="0"/>
        <w:adjustRightInd w:val="0"/>
        <w:spacing w:after="0" w:line="240" w:lineRule="auto"/>
        <w:rPr>
          <w:rFonts w:ascii="Times New Roman" w:hAnsi="Times New Roman"/>
          <w:sz w:val="24"/>
          <w:szCs w:val="24"/>
        </w:rPr>
      </w:pPr>
    </w:p>
    <w:p w:rsidR="00C701F6" w:rsidRPr="00114DF9" w:rsidRDefault="00C701F6" w:rsidP="00235AE0">
      <w:pPr>
        <w:autoSpaceDE w:val="0"/>
        <w:autoSpaceDN w:val="0"/>
        <w:adjustRightInd w:val="0"/>
        <w:spacing w:after="0" w:line="240" w:lineRule="auto"/>
        <w:outlineLvl w:val="0"/>
        <w:rPr>
          <w:rFonts w:ascii="Times New Roman" w:hAnsi="Times New Roman"/>
          <w:b/>
          <w:sz w:val="24"/>
          <w:szCs w:val="24"/>
        </w:rPr>
      </w:pPr>
      <w:r w:rsidRPr="00114DF9">
        <w:rPr>
          <w:rFonts w:ascii="Times New Roman" w:hAnsi="Times New Roman"/>
          <w:b/>
          <w:sz w:val="24"/>
          <w:szCs w:val="24"/>
        </w:rPr>
        <w:lastRenderedPageBreak/>
        <w:t>Timing of WREGIS Certificate Retirement and WREGIS Reports to the Commission</w:t>
      </w:r>
    </w:p>
    <w:p w:rsidR="00C701F6" w:rsidRPr="00114DF9" w:rsidRDefault="00C701F6" w:rsidP="001C5C0E">
      <w:pPr>
        <w:autoSpaceDE w:val="0"/>
        <w:autoSpaceDN w:val="0"/>
        <w:adjustRightInd w:val="0"/>
        <w:spacing w:after="0" w:line="240" w:lineRule="auto"/>
        <w:rPr>
          <w:rFonts w:ascii="Times New Roman" w:hAnsi="Times New Roman"/>
          <w:sz w:val="24"/>
          <w:szCs w:val="24"/>
        </w:rPr>
      </w:pPr>
    </w:p>
    <w:p w:rsidR="00C701F6" w:rsidRPr="00114DF9" w:rsidRDefault="00C701F6" w:rsidP="00EC4782">
      <w:pPr>
        <w:pStyle w:val="ListParagraph"/>
        <w:numPr>
          <w:ilvl w:val="0"/>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WREGIS certificates associated with the reported eligible renewable resource or renewable energy credits to be used for compliance in the target year, will be placed in an active WREGIS sub-account (designated for Washington compliance for the specific target year) – including any applicable WREGIS certificates created in the prior year and being used for compliance in the specific target year. WREGIS certificates will be retired in the sub-account as directed by the Commission.</w:t>
      </w:r>
    </w:p>
    <w:p w:rsidR="00C701F6" w:rsidRPr="00114DF9" w:rsidRDefault="00C701F6">
      <w:pPr>
        <w:pStyle w:val="ListParagraph"/>
        <w:autoSpaceDE w:val="0"/>
        <w:autoSpaceDN w:val="0"/>
        <w:adjustRightInd w:val="0"/>
        <w:spacing w:after="0" w:line="240" w:lineRule="auto"/>
        <w:rPr>
          <w:rFonts w:ascii="Times New Roman" w:hAnsi="Times New Roman"/>
          <w:sz w:val="24"/>
          <w:szCs w:val="24"/>
        </w:rPr>
      </w:pPr>
    </w:p>
    <w:p w:rsidR="00C701F6" w:rsidRPr="00114DF9" w:rsidRDefault="00C701F6" w:rsidP="00EC4782">
      <w:pPr>
        <w:pStyle w:val="ListParagraph"/>
        <w:numPr>
          <w:ilvl w:val="0"/>
          <w:numId w:val="8"/>
        </w:numPr>
        <w:autoSpaceDE w:val="0"/>
        <w:autoSpaceDN w:val="0"/>
        <w:adjustRightInd w:val="0"/>
        <w:spacing w:after="0" w:line="240" w:lineRule="auto"/>
        <w:rPr>
          <w:rFonts w:ascii="Times New Roman" w:hAnsi="Times New Roman"/>
          <w:sz w:val="24"/>
          <w:szCs w:val="24"/>
        </w:rPr>
      </w:pPr>
      <w:r w:rsidRPr="00114DF9">
        <w:rPr>
          <w:rFonts w:ascii="Times New Roman" w:hAnsi="Times New Roman"/>
          <w:sz w:val="24"/>
          <w:szCs w:val="24"/>
        </w:rPr>
        <w:t xml:space="preserve">Given target year compliance can be achieved from renewable energy credits produced during the target year, the preceding year or the subsequent year, there could be notable lag associated with the creation of WREGIS certificates, and in addition, retirement of WREGIS certificates.  The utility will provide Commission staff with a WREGIS report that demonstrates WREGIS certificates were retired for a specific target year (after-the-fact). Some commercially sensitive data provided to Commission staff may be designated as “Confidential”. </w:t>
      </w:r>
    </w:p>
    <w:sectPr w:rsidR="00C701F6" w:rsidRPr="00114DF9" w:rsidSect="005406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69" w:rsidRDefault="000F7469" w:rsidP="00AB2D47">
      <w:pPr>
        <w:spacing w:after="0" w:line="240" w:lineRule="auto"/>
      </w:pPr>
      <w:r>
        <w:separator/>
      </w:r>
    </w:p>
  </w:endnote>
  <w:endnote w:type="continuationSeparator" w:id="0">
    <w:p w:rsidR="000F7469" w:rsidRDefault="000F7469" w:rsidP="00AB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69" w:rsidRDefault="000F7469" w:rsidP="00064F8B">
    <w:pPr>
      <w:pStyle w:val="Footer"/>
    </w:pPr>
    <w:r>
      <w:tab/>
    </w:r>
    <w:r w:rsidR="00621102">
      <w:fldChar w:fldCharType="begin"/>
    </w:r>
    <w:r>
      <w:instrText xml:space="preserve"> PAGE   \* MERGEFORMAT </w:instrText>
    </w:r>
    <w:r w:rsidR="00621102">
      <w:fldChar w:fldCharType="separate"/>
    </w:r>
    <w:r w:rsidR="00114DF9">
      <w:rPr>
        <w:noProof/>
      </w:rPr>
      <w:t>3</w:t>
    </w:r>
    <w:r w:rsidR="00621102">
      <w:rPr>
        <w:noProof/>
      </w:rPr>
      <w:fldChar w:fldCharType="end"/>
    </w:r>
  </w:p>
  <w:p w:rsidR="000F7469" w:rsidRPr="00AB2D47" w:rsidRDefault="000F7469">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69" w:rsidRDefault="000F7469" w:rsidP="00AB2D47">
      <w:pPr>
        <w:spacing w:after="0" w:line="240" w:lineRule="auto"/>
      </w:pPr>
      <w:r>
        <w:separator/>
      </w:r>
    </w:p>
  </w:footnote>
  <w:footnote w:type="continuationSeparator" w:id="0">
    <w:p w:rsidR="000F7469" w:rsidRDefault="000F7469" w:rsidP="00AB2D47">
      <w:pPr>
        <w:spacing w:after="0" w:line="240" w:lineRule="auto"/>
      </w:pPr>
      <w:r>
        <w:continuationSeparator/>
      </w:r>
    </w:p>
  </w:footnote>
  <w:footnote w:id="1">
    <w:p w:rsidR="000F7469" w:rsidRDefault="000F7469">
      <w:pPr>
        <w:pStyle w:val="FootnoteText"/>
      </w:pPr>
      <w:r>
        <w:rPr>
          <w:rStyle w:val="FootnoteReference"/>
        </w:rPr>
        <w:footnoteRef/>
      </w:r>
      <w:r>
        <w:t xml:space="preserve"> </w:t>
      </w:r>
      <w:r w:rsidRPr="00A23FF7">
        <w:rPr>
          <w:rFonts w:ascii="Times New Roman" w:hAnsi="Times New Roman"/>
        </w:rPr>
        <w:t>Stakeholders include Commission Staff, utilities and other participating parties in the Commission Staff hosted RPS Workshop</w:t>
      </w:r>
      <w:r>
        <w:rPr>
          <w:rFonts w:ascii="Times New Roman" w:hAnsi="Times New Roman"/>
        </w:rPr>
        <w:t xml:space="preserve"> in Docket UE-110523</w:t>
      </w:r>
      <w:r w:rsidRPr="00A23FF7">
        <w:rPr>
          <w:rFonts w:ascii="Times New Roman" w:hAnsi="Times New Roman"/>
        </w:rPr>
        <w:t xml:space="preserve"> </w:t>
      </w:r>
    </w:p>
  </w:footnote>
  <w:footnote w:id="2">
    <w:p w:rsidR="000F7469" w:rsidRDefault="000F7469">
      <w:pPr>
        <w:pStyle w:val="FootnoteText"/>
      </w:pPr>
      <w:r w:rsidRPr="00E83DAD">
        <w:rPr>
          <w:rStyle w:val="FootnoteReference"/>
          <w:rFonts w:ascii="Times New Roman" w:hAnsi="Times New Roman"/>
        </w:rPr>
        <w:footnoteRef/>
      </w:r>
      <w:r w:rsidRPr="000F7469">
        <w:rPr>
          <w:rFonts w:ascii="Times New Roman" w:hAnsi="Times New Roman"/>
        </w:rPr>
        <w:t xml:space="preserve"> Eligible renewable resources are only allowed to be applied to the target year in which the power was generated.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D8" w:rsidRDefault="006F39D8" w:rsidP="006F39D8">
    <w:pPr>
      <w:pStyle w:val="Header"/>
    </w:pPr>
    <w:r>
      <w:t>UE-110523 Compliance Reporting Tool Summary Consensus</w:t>
    </w:r>
  </w:p>
  <w:p w:rsidR="000F7469" w:rsidRDefault="006F39D8" w:rsidP="006F39D8">
    <w:pPr>
      <w:pStyle w:val="Header"/>
    </w:pPr>
    <w:r>
      <w:t>4/24/2012</w:t>
    </w:r>
    <w:r>
      <w:tab/>
    </w:r>
    <w:r>
      <w:tab/>
    </w:r>
    <w:r w:rsidR="000F7469">
      <w:t xml:space="preserve">Page </w:t>
    </w:r>
    <w:r w:rsidR="00621102">
      <w:rPr>
        <w:b/>
        <w:bCs/>
      </w:rPr>
      <w:fldChar w:fldCharType="begin"/>
    </w:r>
    <w:r w:rsidR="000F7469">
      <w:rPr>
        <w:b/>
        <w:bCs/>
      </w:rPr>
      <w:instrText xml:space="preserve"> PAGE </w:instrText>
    </w:r>
    <w:r w:rsidR="00621102">
      <w:rPr>
        <w:b/>
        <w:bCs/>
      </w:rPr>
      <w:fldChar w:fldCharType="separate"/>
    </w:r>
    <w:r w:rsidR="00114DF9">
      <w:rPr>
        <w:b/>
        <w:bCs/>
        <w:noProof/>
      </w:rPr>
      <w:t>3</w:t>
    </w:r>
    <w:r w:rsidR="00621102">
      <w:rPr>
        <w:b/>
        <w:bCs/>
      </w:rPr>
      <w:fldChar w:fldCharType="end"/>
    </w:r>
    <w:r w:rsidR="000F7469">
      <w:t xml:space="preserve"> of </w:t>
    </w:r>
    <w:r w:rsidR="00621102">
      <w:rPr>
        <w:b/>
        <w:bCs/>
      </w:rPr>
      <w:fldChar w:fldCharType="begin"/>
    </w:r>
    <w:r w:rsidR="000F7469">
      <w:rPr>
        <w:b/>
        <w:bCs/>
      </w:rPr>
      <w:instrText xml:space="preserve"> NUMPAGES  </w:instrText>
    </w:r>
    <w:r w:rsidR="00621102">
      <w:rPr>
        <w:b/>
        <w:bCs/>
      </w:rPr>
      <w:fldChar w:fldCharType="separate"/>
    </w:r>
    <w:r w:rsidR="00114DF9">
      <w:rPr>
        <w:b/>
        <w:bCs/>
        <w:noProof/>
      </w:rPr>
      <w:t>3</w:t>
    </w:r>
    <w:r w:rsidR="00621102">
      <w:rPr>
        <w:b/>
        <w:bCs/>
      </w:rPr>
      <w:fldChar w:fldCharType="end"/>
    </w:r>
  </w:p>
  <w:p w:rsidR="000F7469" w:rsidRDefault="000F7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3C"/>
    <w:multiLevelType w:val="hybridMultilevel"/>
    <w:tmpl w:val="A8C8716C"/>
    <w:lvl w:ilvl="0" w:tplc="45982CBC">
      <w:start w:val="1"/>
      <w:numFmt w:val="bullet"/>
      <w:lvlText w:val="-"/>
      <w:lvlJc w:val="left"/>
      <w:pPr>
        <w:ind w:left="405" w:hanging="360"/>
      </w:pPr>
      <w:rPr>
        <w:rFonts w:ascii="Times New Roman" w:eastAsia="Times New Roman" w:hAnsi="Times New Roman"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BB84C30"/>
    <w:multiLevelType w:val="hybridMultilevel"/>
    <w:tmpl w:val="F3D03038"/>
    <w:lvl w:ilvl="0" w:tplc="B4D2938C">
      <w:start w:val="1"/>
      <w:numFmt w:val="bullet"/>
      <w:lvlText w:val="-"/>
      <w:lvlJc w:val="left"/>
      <w:pPr>
        <w:ind w:left="405" w:hanging="360"/>
      </w:pPr>
      <w:rPr>
        <w:rFonts w:ascii="Times New Roman" w:eastAsia="Times New Roman" w:hAnsi="Times New Roman" w:hint="default"/>
      </w:rPr>
    </w:lvl>
    <w:lvl w:ilvl="1" w:tplc="04090003">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6980963"/>
    <w:multiLevelType w:val="hybridMultilevel"/>
    <w:tmpl w:val="620CD62C"/>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62E7850"/>
    <w:multiLevelType w:val="hybridMultilevel"/>
    <w:tmpl w:val="EA60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F71C6"/>
    <w:multiLevelType w:val="hybridMultilevel"/>
    <w:tmpl w:val="48A8D1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8A48CD"/>
    <w:multiLevelType w:val="hybridMultilevel"/>
    <w:tmpl w:val="1D081406"/>
    <w:lvl w:ilvl="0" w:tplc="70C6DF5E">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9E63020"/>
    <w:multiLevelType w:val="hybridMultilevel"/>
    <w:tmpl w:val="685AB4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5F27B76"/>
    <w:multiLevelType w:val="hybridMultilevel"/>
    <w:tmpl w:val="48A8D1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A8555A"/>
    <w:multiLevelType w:val="hybridMultilevel"/>
    <w:tmpl w:val="2C16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0"/>
  </w:num>
  <w:num w:numId="6">
    <w:abstractNumId w:val="2"/>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82"/>
    <w:rsid w:val="000102BA"/>
    <w:rsid w:val="000218E4"/>
    <w:rsid w:val="00031AF3"/>
    <w:rsid w:val="0004493F"/>
    <w:rsid w:val="00063A61"/>
    <w:rsid w:val="00064F8B"/>
    <w:rsid w:val="000700EB"/>
    <w:rsid w:val="00073277"/>
    <w:rsid w:val="000C2E51"/>
    <w:rsid w:val="000C51E8"/>
    <w:rsid w:val="000E1023"/>
    <w:rsid w:val="000F7469"/>
    <w:rsid w:val="00102B00"/>
    <w:rsid w:val="001036A8"/>
    <w:rsid w:val="00104D4B"/>
    <w:rsid w:val="001050D1"/>
    <w:rsid w:val="00114737"/>
    <w:rsid w:val="00114DF9"/>
    <w:rsid w:val="0014141F"/>
    <w:rsid w:val="0014185D"/>
    <w:rsid w:val="00150741"/>
    <w:rsid w:val="00154213"/>
    <w:rsid w:val="001635B2"/>
    <w:rsid w:val="00167AA7"/>
    <w:rsid w:val="00176F01"/>
    <w:rsid w:val="001B7AF4"/>
    <w:rsid w:val="001C03E0"/>
    <w:rsid w:val="001C0464"/>
    <w:rsid w:val="001C5C0E"/>
    <w:rsid w:val="001F4055"/>
    <w:rsid w:val="00200260"/>
    <w:rsid w:val="0022714B"/>
    <w:rsid w:val="00235AE0"/>
    <w:rsid w:val="0023693D"/>
    <w:rsid w:val="00244835"/>
    <w:rsid w:val="00283935"/>
    <w:rsid w:val="00287B08"/>
    <w:rsid w:val="00290F02"/>
    <w:rsid w:val="002A09D5"/>
    <w:rsid w:val="002A6A84"/>
    <w:rsid w:val="002B6D6D"/>
    <w:rsid w:val="002B6ED5"/>
    <w:rsid w:val="002C0811"/>
    <w:rsid w:val="002C6A62"/>
    <w:rsid w:val="002C71F8"/>
    <w:rsid w:val="002D33B5"/>
    <w:rsid w:val="002E1094"/>
    <w:rsid w:val="002F176C"/>
    <w:rsid w:val="00307930"/>
    <w:rsid w:val="00314402"/>
    <w:rsid w:val="0032570C"/>
    <w:rsid w:val="00326474"/>
    <w:rsid w:val="003279A7"/>
    <w:rsid w:val="003376C7"/>
    <w:rsid w:val="003538C5"/>
    <w:rsid w:val="003910BA"/>
    <w:rsid w:val="003A5801"/>
    <w:rsid w:val="003A724C"/>
    <w:rsid w:val="003A7C4F"/>
    <w:rsid w:val="003B2D0A"/>
    <w:rsid w:val="003C2A47"/>
    <w:rsid w:val="003D2961"/>
    <w:rsid w:val="003D2B58"/>
    <w:rsid w:val="003E67DE"/>
    <w:rsid w:val="003E7F41"/>
    <w:rsid w:val="00405730"/>
    <w:rsid w:val="004159FA"/>
    <w:rsid w:val="004311AF"/>
    <w:rsid w:val="00445C6E"/>
    <w:rsid w:val="00452CD3"/>
    <w:rsid w:val="00456236"/>
    <w:rsid w:val="004575C6"/>
    <w:rsid w:val="004620A9"/>
    <w:rsid w:val="00475C52"/>
    <w:rsid w:val="004814CA"/>
    <w:rsid w:val="0048196D"/>
    <w:rsid w:val="004968FF"/>
    <w:rsid w:val="004B63F7"/>
    <w:rsid w:val="004F7478"/>
    <w:rsid w:val="00501AE7"/>
    <w:rsid w:val="00502A51"/>
    <w:rsid w:val="0050552E"/>
    <w:rsid w:val="00506DD9"/>
    <w:rsid w:val="00506DF0"/>
    <w:rsid w:val="00517EC8"/>
    <w:rsid w:val="00527BC9"/>
    <w:rsid w:val="00540659"/>
    <w:rsid w:val="00542DAC"/>
    <w:rsid w:val="00545E7B"/>
    <w:rsid w:val="005467F4"/>
    <w:rsid w:val="00553299"/>
    <w:rsid w:val="00561D8C"/>
    <w:rsid w:val="00565433"/>
    <w:rsid w:val="00567413"/>
    <w:rsid w:val="00574701"/>
    <w:rsid w:val="00575303"/>
    <w:rsid w:val="005C06DF"/>
    <w:rsid w:val="005C6EDA"/>
    <w:rsid w:val="0060011D"/>
    <w:rsid w:val="00600A24"/>
    <w:rsid w:val="0060615A"/>
    <w:rsid w:val="00621102"/>
    <w:rsid w:val="00623BBE"/>
    <w:rsid w:val="0062556D"/>
    <w:rsid w:val="0063054E"/>
    <w:rsid w:val="006402FF"/>
    <w:rsid w:val="00651734"/>
    <w:rsid w:val="00660A60"/>
    <w:rsid w:val="00665E93"/>
    <w:rsid w:val="00672374"/>
    <w:rsid w:val="006770C8"/>
    <w:rsid w:val="006943F3"/>
    <w:rsid w:val="006A6BE7"/>
    <w:rsid w:val="006B1872"/>
    <w:rsid w:val="006B3322"/>
    <w:rsid w:val="006E255E"/>
    <w:rsid w:val="006E3CCD"/>
    <w:rsid w:val="006F39D8"/>
    <w:rsid w:val="006F50E3"/>
    <w:rsid w:val="006F6DFC"/>
    <w:rsid w:val="00705914"/>
    <w:rsid w:val="00715A9C"/>
    <w:rsid w:val="00720609"/>
    <w:rsid w:val="00722948"/>
    <w:rsid w:val="00722ED9"/>
    <w:rsid w:val="00722FBF"/>
    <w:rsid w:val="007404F8"/>
    <w:rsid w:val="007632E2"/>
    <w:rsid w:val="007707DB"/>
    <w:rsid w:val="007718B0"/>
    <w:rsid w:val="00796783"/>
    <w:rsid w:val="007A0C28"/>
    <w:rsid w:val="007A6743"/>
    <w:rsid w:val="007A674C"/>
    <w:rsid w:val="007C05E2"/>
    <w:rsid w:val="007C184B"/>
    <w:rsid w:val="007C1D0E"/>
    <w:rsid w:val="007C7FF0"/>
    <w:rsid w:val="007E6534"/>
    <w:rsid w:val="007E73DC"/>
    <w:rsid w:val="00814B61"/>
    <w:rsid w:val="00817331"/>
    <w:rsid w:val="00821A2C"/>
    <w:rsid w:val="00822EB5"/>
    <w:rsid w:val="00823386"/>
    <w:rsid w:val="00826904"/>
    <w:rsid w:val="008374DE"/>
    <w:rsid w:val="00843BCE"/>
    <w:rsid w:val="0085500E"/>
    <w:rsid w:val="00867D22"/>
    <w:rsid w:val="00871AF2"/>
    <w:rsid w:val="008B04FC"/>
    <w:rsid w:val="008C2E0B"/>
    <w:rsid w:val="008C55A0"/>
    <w:rsid w:val="008E15F4"/>
    <w:rsid w:val="008E55CD"/>
    <w:rsid w:val="00911F18"/>
    <w:rsid w:val="0093087F"/>
    <w:rsid w:val="00940869"/>
    <w:rsid w:val="00942A5D"/>
    <w:rsid w:val="00955391"/>
    <w:rsid w:val="00955E52"/>
    <w:rsid w:val="0097202F"/>
    <w:rsid w:val="00981822"/>
    <w:rsid w:val="00995B78"/>
    <w:rsid w:val="009A5256"/>
    <w:rsid w:val="009C498D"/>
    <w:rsid w:val="009F1C70"/>
    <w:rsid w:val="009F4A01"/>
    <w:rsid w:val="00A01281"/>
    <w:rsid w:val="00A04D64"/>
    <w:rsid w:val="00A0693F"/>
    <w:rsid w:val="00A167A8"/>
    <w:rsid w:val="00A21BD5"/>
    <w:rsid w:val="00A23AFC"/>
    <w:rsid w:val="00A23FF7"/>
    <w:rsid w:val="00A26343"/>
    <w:rsid w:val="00A27CB0"/>
    <w:rsid w:val="00A457F5"/>
    <w:rsid w:val="00A45A76"/>
    <w:rsid w:val="00A62ED7"/>
    <w:rsid w:val="00A65B2E"/>
    <w:rsid w:val="00A6624A"/>
    <w:rsid w:val="00A80086"/>
    <w:rsid w:val="00A94A14"/>
    <w:rsid w:val="00AA0990"/>
    <w:rsid w:val="00AA74C5"/>
    <w:rsid w:val="00AB068E"/>
    <w:rsid w:val="00AB09D1"/>
    <w:rsid w:val="00AB2D47"/>
    <w:rsid w:val="00AC334F"/>
    <w:rsid w:val="00B002EE"/>
    <w:rsid w:val="00B02229"/>
    <w:rsid w:val="00B03AEB"/>
    <w:rsid w:val="00B0447B"/>
    <w:rsid w:val="00B06FBF"/>
    <w:rsid w:val="00B12B55"/>
    <w:rsid w:val="00B12DA9"/>
    <w:rsid w:val="00B2088C"/>
    <w:rsid w:val="00B278E1"/>
    <w:rsid w:val="00B3336F"/>
    <w:rsid w:val="00B4453A"/>
    <w:rsid w:val="00B507E9"/>
    <w:rsid w:val="00B6382E"/>
    <w:rsid w:val="00B6775E"/>
    <w:rsid w:val="00B76654"/>
    <w:rsid w:val="00BA0F91"/>
    <w:rsid w:val="00BB06A1"/>
    <w:rsid w:val="00BC35C3"/>
    <w:rsid w:val="00BC60C2"/>
    <w:rsid w:val="00BF1835"/>
    <w:rsid w:val="00C03081"/>
    <w:rsid w:val="00C062D7"/>
    <w:rsid w:val="00C34486"/>
    <w:rsid w:val="00C4318B"/>
    <w:rsid w:val="00C66C06"/>
    <w:rsid w:val="00C67620"/>
    <w:rsid w:val="00C701F6"/>
    <w:rsid w:val="00C74A5C"/>
    <w:rsid w:val="00C767C3"/>
    <w:rsid w:val="00C7766E"/>
    <w:rsid w:val="00C83949"/>
    <w:rsid w:val="00C84569"/>
    <w:rsid w:val="00C96538"/>
    <w:rsid w:val="00CA610F"/>
    <w:rsid w:val="00CD2E6B"/>
    <w:rsid w:val="00CE0241"/>
    <w:rsid w:val="00CE6F27"/>
    <w:rsid w:val="00D00B45"/>
    <w:rsid w:val="00D0617E"/>
    <w:rsid w:val="00D15282"/>
    <w:rsid w:val="00D3141D"/>
    <w:rsid w:val="00D31DDE"/>
    <w:rsid w:val="00D5515E"/>
    <w:rsid w:val="00D55205"/>
    <w:rsid w:val="00D553DF"/>
    <w:rsid w:val="00D55439"/>
    <w:rsid w:val="00D6367E"/>
    <w:rsid w:val="00D63C1C"/>
    <w:rsid w:val="00D63CFD"/>
    <w:rsid w:val="00D663CD"/>
    <w:rsid w:val="00D73B2D"/>
    <w:rsid w:val="00D74A87"/>
    <w:rsid w:val="00D84E92"/>
    <w:rsid w:val="00D85652"/>
    <w:rsid w:val="00D913BA"/>
    <w:rsid w:val="00D93729"/>
    <w:rsid w:val="00D950DC"/>
    <w:rsid w:val="00DA10D1"/>
    <w:rsid w:val="00DA272E"/>
    <w:rsid w:val="00DD72BE"/>
    <w:rsid w:val="00DE46DB"/>
    <w:rsid w:val="00DF2756"/>
    <w:rsid w:val="00DF6DF8"/>
    <w:rsid w:val="00E02D9B"/>
    <w:rsid w:val="00E12482"/>
    <w:rsid w:val="00E25A15"/>
    <w:rsid w:val="00E3311E"/>
    <w:rsid w:val="00E3607F"/>
    <w:rsid w:val="00E52ABD"/>
    <w:rsid w:val="00E538E9"/>
    <w:rsid w:val="00E60E2E"/>
    <w:rsid w:val="00E625C6"/>
    <w:rsid w:val="00E83DAD"/>
    <w:rsid w:val="00E90AAA"/>
    <w:rsid w:val="00E95C02"/>
    <w:rsid w:val="00EA326E"/>
    <w:rsid w:val="00EC27D5"/>
    <w:rsid w:val="00EC4782"/>
    <w:rsid w:val="00ED7873"/>
    <w:rsid w:val="00EF0ADA"/>
    <w:rsid w:val="00EF1E2E"/>
    <w:rsid w:val="00F039D1"/>
    <w:rsid w:val="00F21B6F"/>
    <w:rsid w:val="00F24EB5"/>
    <w:rsid w:val="00F359C0"/>
    <w:rsid w:val="00F450FC"/>
    <w:rsid w:val="00F576ED"/>
    <w:rsid w:val="00F83261"/>
    <w:rsid w:val="00FA42A6"/>
    <w:rsid w:val="00FE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59"/>
    <w:pPr>
      <w:spacing w:after="200" w:line="276" w:lineRule="auto"/>
    </w:pPr>
  </w:style>
  <w:style w:type="paragraph" w:styleId="Heading1">
    <w:name w:val="heading 1"/>
    <w:basedOn w:val="Normal"/>
    <w:link w:val="Heading1Char"/>
    <w:uiPriority w:val="99"/>
    <w:qFormat/>
    <w:rsid w:val="00E25A15"/>
    <w:pPr>
      <w:spacing w:after="136" w:line="240" w:lineRule="auto"/>
      <w:outlineLvl w:val="0"/>
    </w:pPr>
    <w:rPr>
      <w:rFonts w:ascii="Arial Black" w:eastAsia="Times New Roman" w:hAnsi="Arial Black"/>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5A15"/>
    <w:rPr>
      <w:rFonts w:ascii="Arial Black" w:hAnsi="Arial Black" w:cs="Times New Roman"/>
      <w:color w:val="000000"/>
      <w:kern w:val="36"/>
      <w:sz w:val="36"/>
      <w:szCs w:val="36"/>
    </w:rPr>
  </w:style>
  <w:style w:type="paragraph" w:styleId="ListParagraph">
    <w:name w:val="List Paragraph"/>
    <w:basedOn w:val="Normal"/>
    <w:uiPriority w:val="99"/>
    <w:qFormat/>
    <w:rsid w:val="00E12482"/>
    <w:pPr>
      <w:ind w:left="720"/>
      <w:contextualSpacing/>
    </w:pPr>
  </w:style>
  <w:style w:type="character" w:styleId="Hyperlink">
    <w:name w:val="Hyperlink"/>
    <w:basedOn w:val="DefaultParagraphFont"/>
    <w:uiPriority w:val="99"/>
    <w:semiHidden/>
    <w:rsid w:val="00E25A15"/>
    <w:rPr>
      <w:rFonts w:cs="Times New Roman"/>
      <w:color w:val="2B674D"/>
      <w:u w:val="single"/>
    </w:rPr>
  </w:style>
  <w:style w:type="paragraph" w:styleId="Header">
    <w:name w:val="header"/>
    <w:basedOn w:val="Normal"/>
    <w:link w:val="HeaderChar"/>
    <w:uiPriority w:val="99"/>
    <w:rsid w:val="00AB2D4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B2D47"/>
    <w:rPr>
      <w:rFonts w:cs="Times New Roman"/>
    </w:rPr>
  </w:style>
  <w:style w:type="paragraph" w:styleId="Footer">
    <w:name w:val="footer"/>
    <w:basedOn w:val="Normal"/>
    <w:link w:val="FooterChar"/>
    <w:uiPriority w:val="99"/>
    <w:rsid w:val="00AB2D4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B2D47"/>
    <w:rPr>
      <w:rFonts w:cs="Times New Roman"/>
    </w:rPr>
  </w:style>
  <w:style w:type="character" w:styleId="CommentReference">
    <w:name w:val="annotation reference"/>
    <w:basedOn w:val="DefaultParagraphFont"/>
    <w:uiPriority w:val="99"/>
    <w:semiHidden/>
    <w:rsid w:val="0093087F"/>
    <w:rPr>
      <w:rFonts w:cs="Times New Roman"/>
      <w:sz w:val="16"/>
      <w:szCs w:val="16"/>
    </w:rPr>
  </w:style>
  <w:style w:type="paragraph" w:styleId="CommentText">
    <w:name w:val="annotation text"/>
    <w:basedOn w:val="Normal"/>
    <w:link w:val="CommentTextChar"/>
    <w:uiPriority w:val="99"/>
    <w:semiHidden/>
    <w:rsid w:val="0093087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087F"/>
    <w:rPr>
      <w:rFonts w:cs="Times New Roman"/>
      <w:sz w:val="20"/>
      <w:szCs w:val="20"/>
    </w:rPr>
  </w:style>
  <w:style w:type="paragraph" w:styleId="CommentSubject">
    <w:name w:val="annotation subject"/>
    <w:basedOn w:val="CommentText"/>
    <w:next w:val="CommentText"/>
    <w:link w:val="CommentSubjectChar"/>
    <w:uiPriority w:val="99"/>
    <w:semiHidden/>
    <w:rsid w:val="0093087F"/>
    <w:rPr>
      <w:b/>
      <w:bCs/>
    </w:rPr>
  </w:style>
  <w:style w:type="character" w:customStyle="1" w:styleId="CommentSubjectChar">
    <w:name w:val="Comment Subject Char"/>
    <w:basedOn w:val="CommentTextChar"/>
    <w:link w:val="CommentSubject"/>
    <w:uiPriority w:val="99"/>
    <w:semiHidden/>
    <w:locked/>
    <w:rsid w:val="0093087F"/>
    <w:rPr>
      <w:rFonts w:cs="Times New Roman"/>
      <w:b/>
      <w:bCs/>
      <w:sz w:val="20"/>
      <w:szCs w:val="20"/>
    </w:rPr>
  </w:style>
  <w:style w:type="paragraph" w:styleId="BalloonText">
    <w:name w:val="Balloon Text"/>
    <w:basedOn w:val="Normal"/>
    <w:link w:val="BalloonTextChar"/>
    <w:uiPriority w:val="99"/>
    <w:semiHidden/>
    <w:rsid w:val="0093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087F"/>
    <w:rPr>
      <w:rFonts w:ascii="Tahoma" w:hAnsi="Tahoma" w:cs="Tahoma"/>
      <w:sz w:val="16"/>
      <w:szCs w:val="16"/>
    </w:rPr>
  </w:style>
  <w:style w:type="paragraph" w:styleId="Revision">
    <w:name w:val="Revision"/>
    <w:hidden/>
    <w:uiPriority w:val="99"/>
    <w:semiHidden/>
    <w:rsid w:val="00A26343"/>
  </w:style>
  <w:style w:type="paragraph" w:styleId="FootnoteText">
    <w:name w:val="footnote text"/>
    <w:basedOn w:val="Normal"/>
    <w:link w:val="FootnoteTextChar"/>
    <w:uiPriority w:val="99"/>
    <w:semiHidden/>
    <w:rsid w:val="00722FB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2FBF"/>
    <w:rPr>
      <w:rFonts w:cs="Times New Roman"/>
      <w:sz w:val="20"/>
      <w:szCs w:val="20"/>
    </w:rPr>
  </w:style>
  <w:style w:type="character" w:styleId="FootnoteReference">
    <w:name w:val="footnote reference"/>
    <w:basedOn w:val="DefaultParagraphFont"/>
    <w:uiPriority w:val="99"/>
    <w:semiHidden/>
    <w:rsid w:val="00722FBF"/>
    <w:rPr>
      <w:rFonts w:cs="Times New Roman"/>
      <w:vertAlign w:val="superscript"/>
    </w:rPr>
  </w:style>
  <w:style w:type="paragraph" w:styleId="DocumentMap">
    <w:name w:val="Document Map"/>
    <w:basedOn w:val="Normal"/>
    <w:link w:val="DocumentMapChar"/>
    <w:uiPriority w:val="99"/>
    <w:semiHidden/>
    <w:rsid w:val="00235A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01281"/>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59"/>
    <w:pPr>
      <w:spacing w:after="200" w:line="276" w:lineRule="auto"/>
    </w:pPr>
  </w:style>
  <w:style w:type="paragraph" w:styleId="Heading1">
    <w:name w:val="heading 1"/>
    <w:basedOn w:val="Normal"/>
    <w:link w:val="Heading1Char"/>
    <w:uiPriority w:val="99"/>
    <w:qFormat/>
    <w:rsid w:val="00E25A15"/>
    <w:pPr>
      <w:spacing w:after="136" w:line="240" w:lineRule="auto"/>
      <w:outlineLvl w:val="0"/>
    </w:pPr>
    <w:rPr>
      <w:rFonts w:ascii="Arial Black" w:eastAsia="Times New Roman" w:hAnsi="Arial Black"/>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5A15"/>
    <w:rPr>
      <w:rFonts w:ascii="Arial Black" w:hAnsi="Arial Black" w:cs="Times New Roman"/>
      <w:color w:val="000000"/>
      <w:kern w:val="36"/>
      <w:sz w:val="36"/>
      <w:szCs w:val="36"/>
    </w:rPr>
  </w:style>
  <w:style w:type="paragraph" w:styleId="ListParagraph">
    <w:name w:val="List Paragraph"/>
    <w:basedOn w:val="Normal"/>
    <w:uiPriority w:val="99"/>
    <w:qFormat/>
    <w:rsid w:val="00E12482"/>
    <w:pPr>
      <w:ind w:left="720"/>
      <w:contextualSpacing/>
    </w:pPr>
  </w:style>
  <w:style w:type="character" w:styleId="Hyperlink">
    <w:name w:val="Hyperlink"/>
    <w:basedOn w:val="DefaultParagraphFont"/>
    <w:uiPriority w:val="99"/>
    <w:semiHidden/>
    <w:rsid w:val="00E25A15"/>
    <w:rPr>
      <w:rFonts w:cs="Times New Roman"/>
      <w:color w:val="2B674D"/>
      <w:u w:val="single"/>
    </w:rPr>
  </w:style>
  <w:style w:type="paragraph" w:styleId="Header">
    <w:name w:val="header"/>
    <w:basedOn w:val="Normal"/>
    <w:link w:val="HeaderChar"/>
    <w:uiPriority w:val="99"/>
    <w:rsid w:val="00AB2D4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B2D47"/>
    <w:rPr>
      <w:rFonts w:cs="Times New Roman"/>
    </w:rPr>
  </w:style>
  <w:style w:type="paragraph" w:styleId="Footer">
    <w:name w:val="footer"/>
    <w:basedOn w:val="Normal"/>
    <w:link w:val="FooterChar"/>
    <w:uiPriority w:val="99"/>
    <w:rsid w:val="00AB2D4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B2D47"/>
    <w:rPr>
      <w:rFonts w:cs="Times New Roman"/>
    </w:rPr>
  </w:style>
  <w:style w:type="character" w:styleId="CommentReference">
    <w:name w:val="annotation reference"/>
    <w:basedOn w:val="DefaultParagraphFont"/>
    <w:uiPriority w:val="99"/>
    <w:semiHidden/>
    <w:rsid w:val="0093087F"/>
    <w:rPr>
      <w:rFonts w:cs="Times New Roman"/>
      <w:sz w:val="16"/>
      <w:szCs w:val="16"/>
    </w:rPr>
  </w:style>
  <w:style w:type="paragraph" w:styleId="CommentText">
    <w:name w:val="annotation text"/>
    <w:basedOn w:val="Normal"/>
    <w:link w:val="CommentTextChar"/>
    <w:uiPriority w:val="99"/>
    <w:semiHidden/>
    <w:rsid w:val="0093087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087F"/>
    <w:rPr>
      <w:rFonts w:cs="Times New Roman"/>
      <w:sz w:val="20"/>
      <w:szCs w:val="20"/>
    </w:rPr>
  </w:style>
  <w:style w:type="paragraph" w:styleId="CommentSubject">
    <w:name w:val="annotation subject"/>
    <w:basedOn w:val="CommentText"/>
    <w:next w:val="CommentText"/>
    <w:link w:val="CommentSubjectChar"/>
    <w:uiPriority w:val="99"/>
    <w:semiHidden/>
    <w:rsid w:val="0093087F"/>
    <w:rPr>
      <w:b/>
      <w:bCs/>
    </w:rPr>
  </w:style>
  <w:style w:type="character" w:customStyle="1" w:styleId="CommentSubjectChar">
    <w:name w:val="Comment Subject Char"/>
    <w:basedOn w:val="CommentTextChar"/>
    <w:link w:val="CommentSubject"/>
    <w:uiPriority w:val="99"/>
    <w:semiHidden/>
    <w:locked/>
    <w:rsid w:val="0093087F"/>
    <w:rPr>
      <w:rFonts w:cs="Times New Roman"/>
      <w:b/>
      <w:bCs/>
      <w:sz w:val="20"/>
      <w:szCs w:val="20"/>
    </w:rPr>
  </w:style>
  <w:style w:type="paragraph" w:styleId="BalloonText">
    <w:name w:val="Balloon Text"/>
    <w:basedOn w:val="Normal"/>
    <w:link w:val="BalloonTextChar"/>
    <w:uiPriority w:val="99"/>
    <w:semiHidden/>
    <w:rsid w:val="0093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087F"/>
    <w:rPr>
      <w:rFonts w:ascii="Tahoma" w:hAnsi="Tahoma" w:cs="Tahoma"/>
      <w:sz w:val="16"/>
      <w:szCs w:val="16"/>
    </w:rPr>
  </w:style>
  <w:style w:type="paragraph" w:styleId="Revision">
    <w:name w:val="Revision"/>
    <w:hidden/>
    <w:uiPriority w:val="99"/>
    <w:semiHidden/>
    <w:rsid w:val="00A26343"/>
  </w:style>
  <w:style w:type="paragraph" w:styleId="FootnoteText">
    <w:name w:val="footnote text"/>
    <w:basedOn w:val="Normal"/>
    <w:link w:val="FootnoteTextChar"/>
    <w:uiPriority w:val="99"/>
    <w:semiHidden/>
    <w:rsid w:val="00722FB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2FBF"/>
    <w:rPr>
      <w:rFonts w:cs="Times New Roman"/>
      <w:sz w:val="20"/>
      <w:szCs w:val="20"/>
    </w:rPr>
  </w:style>
  <w:style w:type="character" w:styleId="FootnoteReference">
    <w:name w:val="footnote reference"/>
    <w:basedOn w:val="DefaultParagraphFont"/>
    <w:uiPriority w:val="99"/>
    <w:semiHidden/>
    <w:rsid w:val="00722FBF"/>
    <w:rPr>
      <w:rFonts w:cs="Times New Roman"/>
      <w:vertAlign w:val="superscript"/>
    </w:rPr>
  </w:style>
  <w:style w:type="paragraph" w:styleId="DocumentMap">
    <w:name w:val="Document Map"/>
    <w:basedOn w:val="Normal"/>
    <w:link w:val="DocumentMapChar"/>
    <w:uiPriority w:val="99"/>
    <w:semiHidden/>
    <w:rsid w:val="00235A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01281"/>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91389">
      <w:marLeft w:val="0"/>
      <w:marRight w:val="0"/>
      <w:marTop w:val="0"/>
      <w:marBottom w:val="0"/>
      <w:divBdr>
        <w:top w:val="none" w:sz="0" w:space="0" w:color="auto"/>
        <w:left w:val="none" w:sz="0" w:space="0" w:color="auto"/>
        <w:bottom w:val="none" w:sz="0" w:space="0" w:color="auto"/>
        <w:right w:val="none" w:sz="0" w:space="0" w:color="auto"/>
      </w:divBdr>
      <w:divsChild>
        <w:div w:id="829491390">
          <w:marLeft w:val="0"/>
          <w:marRight w:val="0"/>
          <w:marTop w:val="0"/>
          <w:marBottom w:val="0"/>
          <w:divBdr>
            <w:top w:val="none" w:sz="0" w:space="0" w:color="auto"/>
            <w:left w:val="none" w:sz="0" w:space="0" w:color="auto"/>
            <w:bottom w:val="none" w:sz="0" w:space="0" w:color="auto"/>
            <w:right w:val="none" w:sz="0" w:space="0" w:color="auto"/>
          </w:divBdr>
          <w:divsChild>
            <w:div w:id="829491391">
              <w:marLeft w:val="240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2011-03-23T07:00:00+00:00</OpenedDate>
    <Date1 xmlns="dc463f71-b30c-4ab2-9473-d307f9d35888">2012-05-01T07:00:00+00:00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575A0E5804F54E8465AC0EE212CE33" ma:contentTypeVersion="143" ma:contentTypeDescription="" ma:contentTypeScope="" ma:versionID="0c42fd81cbd967a0a9d7db5d487fdd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8F345-995E-48BD-B202-80B3C2CA3ADA}"/>
</file>

<file path=customXml/itemProps2.xml><?xml version="1.0" encoding="utf-8"?>
<ds:datastoreItem xmlns:ds="http://schemas.openxmlformats.org/officeDocument/2006/customXml" ds:itemID="{A9688DAC-060C-449F-96CC-ACF45A59FAA8}"/>
</file>

<file path=customXml/itemProps3.xml><?xml version="1.0" encoding="utf-8"?>
<ds:datastoreItem xmlns:ds="http://schemas.openxmlformats.org/officeDocument/2006/customXml" ds:itemID="{5E783CDA-D7C4-413B-B3B6-FC4262348FC3}"/>
</file>

<file path=customXml/itemProps4.xml><?xml version="1.0" encoding="utf-8"?>
<ds:datastoreItem xmlns:ds="http://schemas.openxmlformats.org/officeDocument/2006/customXml" ds:itemID="{E2C962DF-002C-4911-82BB-CEA0CD12EB88}"/>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Washington State’s Energy Independence Act Renewable Energy Target Report to the Commission</vt:lpstr>
    </vt:vector>
  </TitlesOfParts>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State’s Energy Independence Act Renewable Energy Target Report to the Commission</dc:title>
  <dc:creator/>
  <cp:lastModifiedBy/>
  <cp:revision>1</cp:revision>
  <dcterms:created xsi:type="dcterms:W3CDTF">2012-05-01T23:18:00Z</dcterms:created>
  <dcterms:modified xsi:type="dcterms:W3CDTF">2012-05-01T23:18:00Z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0x0101006E56B4D1795A2E4DB2F0B01679ED314A004F575A0E5804F54E8465AC0EE212CE33</vt:lpwstr>
  </property>
  <property fmtid="{D5CDD505-2E9C-101B-9397-08002B2CF9AE}" pid="3" name="_docset_NoMedatataSyncRequired">
    <vt:lpwstr>False</vt:lpwstr>
  </property>
</Properties>
</file>