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F77" w:rsidRDefault="00835F77">
      <w:pPr>
        <w:jc w:val="center"/>
        <w:rPr>
          <w:b/>
        </w:rPr>
      </w:pPr>
      <w:r>
        <w:rPr>
          <w:b/>
        </w:rPr>
        <w:t xml:space="preserve">BEFORE THE </w:t>
      </w:r>
      <w:smartTag w:uri="urn:schemas-microsoft-com:office:smarttags" w:element="State">
        <w:smartTag w:uri="urn:schemas-microsoft-com:office:smarttags" w:element="place">
          <w:r>
            <w:rPr>
              <w:b/>
            </w:rPr>
            <w:t>WASHINGTON</w:t>
          </w:r>
        </w:smartTag>
      </w:smartTag>
      <w:r>
        <w:rPr>
          <w:b/>
        </w:rPr>
        <w:t xml:space="preserve"> STATE UTILITIES AND TRANSPORTATION</w:t>
      </w:r>
    </w:p>
    <w:p w:rsidR="00835F77" w:rsidRDefault="00835F77">
      <w:pPr>
        <w:jc w:val="center"/>
      </w:pPr>
      <w:r>
        <w:rPr>
          <w:b/>
        </w:rPr>
        <w:t>COMMISSION</w:t>
      </w:r>
    </w:p>
    <w:p w:rsidR="00835F77" w:rsidRDefault="00835F77">
      <w:r>
        <w:tab/>
      </w:r>
      <w:r>
        <w:tab/>
      </w:r>
      <w:r>
        <w:tab/>
      </w:r>
    </w:p>
    <w:tbl>
      <w:tblPr>
        <w:tblW w:w="0" w:type="auto"/>
        <w:tblInd w:w="120" w:type="dxa"/>
        <w:tblLayout w:type="fixed"/>
        <w:tblCellMar>
          <w:left w:w="120" w:type="dxa"/>
          <w:right w:w="120" w:type="dxa"/>
        </w:tblCellMar>
        <w:tblLook w:val="0000"/>
      </w:tblPr>
      <w:tblGrid>
        <w:gridCol w:w="4680"/>
        <w:gridCol w:w="270"/>
        <w:gridCol w:w="3996"/>
      </w:tblGrid>
      <w:tr w:rsidR="00835F77">
        <w:trPr>
          <w:cantSplit/>
        </w:trPr>
        <w:tc>
          <w:tcPr>
            <w:tcW w:w="4680" w:type="dxa"/>
            <w:tcBorders>
              <w:top w:val="nil"/>
              <w:left w:val="nil"/>
              <w:bottom w:val="single" w:sz="6" w:space="0" w:color="000000"/>
              <w:right w:val="nil"/>
            </w:tcBorders>
          </w:tcPr>
          <w:p w:rsidR="00E5223B" w:rsidRDefault="00E5223B">
            <w:pPr>
              <w:spacing w:before="144"/>
            </w:pPr>
            <w:bookmarkStart w:id="0" w:name="BM1"/>
            <w:bookmarkEnd w:id="0"/>
          </w:p>
          <w:p w:rsidR="00E5223B" w:rsidRDefault="00E5223B">
            <w:pPr>
              <w:spacing w:before="144"/>
            </w:pPr>
          </w:p>
          <w:p w:rsidR="00E5223B" w:rsidRPr="00E5223B" w:rsidRDefault="00E5223B" w:rsidP="00E5223B">
            <w:pPr>
              <w:spacing w:before="144"/>
            </w:pPr>
            <w:r>
              <w:t xml:space="preserve">In </w:t>
            </w:r>
            <w:r w:rsidR="00835F77">
              <w:t>the Matter of</w:t>
            </w:r>
            <w:r w:rsidR="00DF5E0C" w:rsidRPr="009F4BFE">
              <w:rPr>
                <w:sz w:val="25"/>
                <w:szCs w:val="25"/>
              </w:rPr>
              <w:t xml:space="preserve"> </w:t>
            </w:r>
            <w:r>
              <w:rPr>
                <w:sz w:val="25"/>
                <w:szCs w:val="25"/>
              </w:rPr>
              <w:t xml:space="preserve">Avista’s Ten-year Achievable Conservation Potential and Biennial Conservation Target </w:t>
            </w:r>
            <w:r w:rsidR="004C1649">
              <w:rPr>
                <w:sz w:val="25"/>
                <w:szCs w:val="25"/>
              </w:rPr>
              <w:t xml:space="preserve">Report in Compliance with </w:t>
            </w:r>
            <w:r w:rsidR="004C1649" w:rsidRPr="009F4BFE">
              <w:rPr>
                <w:bCs/>
                <w:sz w:val="25"/>
                <w:szCs w:val="25"/>
              </w:rPr>
              <w:t>RCW 19.285</w:t>
            </w:r>
            <w:r w:rsidR="004C1649">
              <w:rPr>
                <w:bCs/>
                <w:sz w:val="25"/>
                <w:szCs w:val="25"/>
              </w:rPr>
              <w:t xml:space="preserve"> and </w:t>
            </w:r>
            <w:r w:rsidR="004C1649" w:rsidRPr="009F4BFE">
              <w:rPr>
                <w:sz w:val="25"/>
                <w:szCs w:val="25"/>
              </w:rPr>
              <w:t>WAC 480-</w:t>
            </w:r>
            <w:r w:rsidR="004C1649" w:rsidRPr="009F4BFE">
              <w:rPr>
                <w:bCs/>
                <w:sz w:val="25"/>
                <w:szCs w:val="25"/>
              </w:rPr>
              <w:t>109</w:t>
            </w:r>
          </w:p>
          <w:p w:rsidR="00DF5E0C" w:rsidRDefault="00DF5E0C" w:rsidP="00DF5E0C">
            <w:pPr>
              <w:rPr>
                <w:sz w:val="25"/>
                <w:szCs w:val="25"/>
              </w:rPr>
            </w:pPr>
          </w:p>
          <w:p w:rsidR="00DF5E0C" w:rsidRPr="00DF5E0C" w:rsidRDefault="00DF5E0C" w:rsidP="00DF5E0C"/>
        </w:tc>
        <w:tc>
          <w:tcPr>
            <w:tcW w:w="270" w:type="dxa"/>
            <w:tcBorders>
              <w:top w:val="nil"/>
              <w:left w:val="nil"/>
              <w:bottom w:val="nil"/>
              <w:right w:val="nil"/>
            </w:tcBorders>
          </w:tcPr>
          <w:p w:rsidR="00835F77" w:rsidRDefault="00835F77">
            <w:pPr>
              <w:spacing w:before="144"/>
            </w:pPr>
            <w:r>
              <w:t>)</w:t>
            </w:r>
          </w:p>
          <w:p w:rsidR="00835F77" w:rsidRDefault="00835F77">
            <w:r>
              <w:t>)</w:t>
            </w:r>
          </w:p>
          <w:p w:rsidR="00835F77" w:rsidRDefault="00835F77">
            <w:r>
              <w:t>)</w:t>
            </w:r>
          </w:p>
          <w:p w:rsidR="00835F77" w:rsidRDefault="00835F77">
            <w:r>
              <w:t>)</w:t>
            </w:r>
          </w:p>
          <w:p w:rsidR="00835F77" w:rsidRDefault="00835F77">
            <w:r>
              <w:t>)</w:t>
            </w:r>
          </w:p>
          <w:p w:rsidR="00835F77" w:rsidRDefault="00835F77">
            <w:r>
              <w:t>)</w:t>
            </w:r>
          </w:p>
          <w:p w:rsidR="00835F77" w:rsidRDefault="00835F77">
            <w:r>
              <w:t>)</w:t>
            </w:r>
          </w:p>
          <w:p w:rsidR="00835F77" w:rsidRDefault="00835F77">
            <w:r>
              <w:t>)</w:t>
            </w:r>
          </w:p>
          <w:p w:rsidR="00835F77" w:rsidRDefault="00835F77">
            <w:r>
              <w:t>)</w:t>
            </w:r>
          </w:p>
          <w:p w:rsidR="00835F77" w:rsidRDefault="00835F77">
            <w:r>
              <w:t>)</w:t>
            </w:r>
          </w:p>
          <w:p w:rsidR="00835F77" w:rsidRDefault="00835F77">
            <w:r>
              <w:t>)</w:t>
            </w:r>
          </w:p>
          <w:p w:rsidR="00835F77" w:rsidRDefault="00835F77">
            <w:r>
              <w:t>)</w:t>
            </w:r>
          </w:p>
          <w:p w:rsidR="00835F77" w:rsidRDefault="00835F77">
            <w:r>
              <w:t>)</w:t>
            </w:r>
          </w:p>
        </w:tc>
        <w:tc>
          <w:tcPr>
            <w:tcW w:w="3996" w:type="dxa"/>
            <w:tcBorders>
              <w:top w:val="nil"/>
              <w:left w:val="nil"/>
              <w:bottom w:val="nil"/>
              <w:right w:val="nil"/>
            </w:tcBorders>
          </w:tcPr>
          <w:p w:rsidR="00835F77" w:rsidRDefault="00835F77">
            <w:pPr>
              <w:spacing w:before="144"/>
            </w:pPr>
          </w:p>
          <w:p w:rsidR="00835F77" w:rsidRDefault="00835F77">
            <w:bookmarkStart w:id="1" w:name="BM5"/>
            <w:bookmarkEnd w:id="1"/>
            <w:r>
              <w:t xml:space="preserve">DOCKET NO. </w:t>
            </w:r>
            <w:r w:rsidR="00DF5E0C" w:rsidRPr="00DF5E0C">
              <w:t>UE-</w:t>
            </w:r>
            <w:r w:rsidR="00527EF3">
              <w:t>100176</w:t>
            </w:r>
          </w:p>
          <w:p w:rsidR="00835F77" w:rsidRDefault="00835F77"/>
          <w:p w:rsidR="00835F77" w:rsidRDefault="00835F77">
            <w:bookmarkStart w:id="2" w:name="BM7"/>
            <w:bookmarkEnd w:id="2"/>
          </w:p>
          <w:p w:rsidR="00835F77" w:rsidRDefault="00524944">
            <w:r>
              <w:t xml:space="preserve">REVISED </w:t>
            </w:r>
            <w:r w:rsidR="0071546D">
              <w:t>COMPLIANCE REPORTING</w:t>
            </w:r>
            <w:r w:rsidR="00835F77">
              <w:t xml:space="preserve"> OF AVISTA CORPORATION</w:t>
            </w:r>
          </w:p>
        </w:tc>
      </w:tr>
    </w:tbl>
    <w:p w:rsidR="00835F77" w:rsidRDefault="00835F77"/>
    <w:p w:rsidR="00835F77" w:rsidRDefault="0071546D" w:rsidP="00B8723F">
      <w:pPr>
        <w:spacing w:line="480" w:lineRule="auto"/>
        <w:jc w:val="both"/>
      </w:pPr>
      <w:r w:rsidRPr="00E5223B">
        <w:t xml:space="preserve">In compliance </w:t>
      </w:r>
      <w:r w:rsidR="00724BA4" w:rsidRPr="00E5223B">
        <w:t>with WAC 480-109-010,</w:t>
      </w:r>
      <w:r w:rsidRPr="00E5223B">
        <w:t xml:space="preserve"> </w:t>
      </w:r>
      <w:r w:rsidR="00835F77" w:rsidRPr="00E5223B">
        <w:t xml:space="preserve">Avista Corporation (hereinafter "Avista," the "Utility," or "Company"), respectfully submits this </w:t>
      </w:r>
      <w:r w:rsidR="00A42E34">
        <w:t xml:space="preserve">“revised” </w:t>
      </w:r>
      <w:r w:rsidR="00E5223B" w:rsidRPr="00E5223B">
        <w:t xml:space="preserve">Ten-year Achievable Conservation Potential and Biennial Conservation Target </w:t>
      </w:r>
      <w:r w:rsidR="00E5223B">
        <w:t>Report (</w:t>
      </w:r>
      <w:r w:rsidR="00FE2BDB">
        <w:t>“</w:t>
      </w:r>
      <w:r w:rsidRPr="00E5223B">
        <w:t>Co</w:t>
      </w:r>
      <w:r w:rsidR="00724BA4" w:rsidRPr="00E5223B">
        <w:t>nservation Resource</w:t>
      </w:r>
      <w:r w:rsidRPr="00E5223B">
        <w:t xml:space="preserve"> Report</w:t>
      </w:r>
      <w:r w:rsidR="00FE2BDB">
        <w:t>”</w:t>
      </w:r>
      <w:r w:rsidR="00E5223B">
        <w:t>)</w:t>
      </w:r>
      <w:r w:rsidR="00835F77" w:rsidRPr="00E5223B">
        <w:t xml:space="preserve"> in the above-captioned matter.  </w:t>
      </w:r>
      <w:r w:rsidR="00B562E1">
        <w:t>The term “conservation” will be used interchangeably with energy efficiency and demand-side management (“DSM”) throughout this filing.</w:t>
      </w:r>
    </w:p>
    <w:p w:rsidR="00AA3A4D" w:rsidRPr="00E5223B" w:rsidRDefault="00AA3A4D" w:rsidP="00B8723F">
      <w:pPr>
        <w:spacing w:line="480" w:lineRule="auto"/>
        <w:jc w:val="both"/>
      </w:pPr>
    </w:p>
    <w:p w:rsidR="00835F77" w:rsidRDefault="00835F77" w:rsidP="005042B0">
      <w:pPr>
        <w:jc w:val="center"/>
        <w:rPr>
          <w:b/>
        </w:rPr>
      </w:pPr>
      <w:r>
        <w:rPr>
          <w:b/>
        </w:rPr>
        <w:t xml:space="preserve">I.   </w:t>
      </w:r>
      <w:r w:rsidR="004538CE">
        <w:rPr>
          <w:b/>
        </w:rPr>
        <w:t>BACKGROUND</w:t>
      </w:r>
      <w:r w:rsidR="00631F4A">
        <w:rPr>
          <w:b/>
        </w:rPr>
        <w:fldChar w:fldCharType="begin"/>
      </w:r>
      <w:r>
        <w:instrText xml:space="preserve"> TC "</w:instrText>
      </w:r>
      <w:bookmarkStart w:id="3" w:name="_Toc61252480"/>
      <w:bookmarkStart w:id="4" w:name="_Toc61253173"/>
      <w:bookmarkStart w:id="5" w:name="_Toc61253232"/>
      <w:bookmarkStart w:id="6" w:name="_Toc61327727"/>
      <w:r>
        <w:rPr>
          <w:b/>
        </w:rPr>
        <w:instrText>I.    THE AFFILIATED NATURE OF AVISTA ENERGY'S INVOLVEMENT WITH THE MECHANISM</w:instrText>
      </w:r>
      <w:bookmarkEnd w:id="3"/>
      <w:bookmarkEnd w:id="4"/>
      <w:bookmarkEnd w:id="5"/>
      <w:bookmarkEnd w:id="6"/>
      <w:r>
        <w:instrText xml:space="preserve">" \f C \l "1" </w:instrText>
      </w:r>
      <w:r w:rsidR="00631F4A">
        <w:rPr>
          <w:b/>
        </w:rPr>
        <w:fldChar w:fldCharType="end"/>
      </w:r>
    </w:p>
    <w:p w:rsidR="00835F77" w:rsidRDefault="00835F77" w:rsidP="005042B0">
      <w:pPr>
        <w:jc w:val="center"/>
      </w:pPr>
    </w:p>
    <w:p w:rsidR="00FF4CE0" w:rsidRDefault="00226668" w:rsidP="00B8723F">
      <w:pPr>
        <w:spacing w:line="480" w:lineRule="auto"/>
        <w:jc w:val="both"/>
      </w:pPr>
      <w:r w:rsidRPr="00226668">
        <w:t xml:space="preserve">Washington voters </w:t>
      </w:r>
      <w:r w:rsidR="00B061E4" w:rsidRPr="00226668">
        <w:t>on November 7, 2006</w:t>
      </w:r>
      <w:r w:rsidR="00B061E4">
        <w:t xml:space="preserve"> </w:t>
      </w:r>
      <w:r w:rsidRPr="00226668">
        <w:t xml:space="preserve">approved </w:t>
      </w:r>
      <w:r w:rsidR="00B061E4" w:rsidRPr="00226668">
        <w:rPr>
          <w:color w:val="000000"/>
        </w:rPr>
        <w:t>Initiative Measure No. 937</w:t>
      </w:r>
      <w:r w:rsidR="00B061E4">
        <w:rPr>
          <w:color w:val="000000"/>
        </w:rPr>
        <w:t xml:space="preserve"> (</w:t>
      </w:r>
      <w:r w:rsidR="00FE2BDB">
        <w:rPr>
          <w:color w:val="000000"/>
        </w:rPr>
        <w:t>“</w:t>
      </w:r>
      <w:r w:rsidR="00B061E4">
        <w:rPr>
          <w:color w:val="000000"/>
        </w:rPr>
        <w:t>I-937</w:t>
      </w:r>
      <w:r w:rsidR="00FE2BDB">
        <w:rPr>
          <w:color w:val="000000"/>
        </w:rPr>
        <w:t>”</w:t>
      </w:r>
      <w:r w:rsidR="00B061E4">
        <w:rPr>
          <w:color w:val="000000"/>
        </w:rPr>
        <w:t>)</w:t>
      </w:r>
      <w:r w:rsidR="00B061E4" w:rsidRPr="00226668">
        <w:rPr>
          <w:color w:val="000000"/>
        </w:rPr>
        <w:t>, titled the Energy Independence Act (</w:t>
      </w:r>
      <w:r w:rsidR="00FE2BDB">
        <w:rPr>
          <w:color w:val="000000"/>
        </w:rPr>
        <w:t>“</w:t>
      </w:r>
      <w:r w:rsidR="00B061E4" w:rsidRPr="00226668">
        <w:rPr>
          <w:color w:val="000000"/>
        </w:rPr>
        <w:t>Act</w:t>
      </w:r>
      <w:r w:rsidR="00FE2BDB">
        <w:rPr>
          <w:color w:val="000000"/>
        </w:rPr>
        <w:t>”</w:t>
      </w:r>
      <w:r w:rsidR="00B061E4" w:rsidRPr="00226668">
        <w:rPr>
          <w:color w:val="000000"/>
        </w:rPr>
        <w:t xml:space="preserve">).  </w:t>
      </w:r>
      <w:r w:rsidR="00B061E4">
        <w:t>The Act,</w:t>
      </w:r>
      <w:r w:rsidRPr="00226668">
        <w:t xml:space="preserve"> now codified at chapter 19.285 RCW,</w:t>
      </w:r>
      <w:r w:rsidR="00B061E4">
        <w:t xml:space="preserve"> </w:t>
      </w:r>
      <w:r w:rsidRPr="00226668">
        <w:t xml:space="preserve">concerns requirements for new electrical energy resources.  Large utility companies are required to obtain 15 percent of their electricity from new renewable resources such as solar and wind by 2020 and to undertake cost-effective energy conservation.  The new law provides that the Commission “may adopt rules to ensure the proper implementation and enforcement of this chapter as it applies to investor-owned utilities.”  </w:t>
      </w:r>
      <w:r w:rsidRPr="00226668">
        <w:rPr>
          <w:i/>
        </w:rPr>
        <w:t>RCW 19.285.080.</w:t>
      </w:r>
      <w:r w:rsidRPr="00226668">
        <w:t xml:space="preserve">  </w:t>
      </w:r>
    </w:p>
    <w:p w:rsidR="00B061E4" w:rsidRDefault="00B061E4" w:rsidP="00B8723F">
      <w:pPr>
        <w:spacing w:line="480" w:lineRule="auto"/>
        <w:jc w:val="both"/>
      </w:pPr>
    </w:p>
    <w:p w:rsidR="004538CE" w:rsidRDefault="004538CE" w:rsidP="00B8723F">
      <w:pPr>
        <w:spacing w:line="480" w:lineRule="auto"/>
        <w:jc w:val="both"/>
      </w:pPr>
      <w:r w:rsidRPr="004538CE">
        <w:t xml:space="preserve">On November 27, 2007, the Commission filed with the </w:t>
      </w:r>
      <w:r w:rsidR="00B061E4">
        <w:t xml:space="preserve">Office of the </w:t>
      </w:r>
      <w:r w:rsidRPr="004538CE">
        <w:t xml:space="preserve">Code Reviser an Order Adopting Rules Permanently in WAC 480-109, related to Electric Companies—Acquisition of Minimum Quantities of Conservation and Renewable Energy as Required by the Energy Independence Act (Chapter 19.285 RCW).  The effective date </w:t>
      </w:r>
      <w:r>
        <w:t>for the adoption of the rules was</w:t>
      </w:r>
      <w:r w:rsidRPr="004538CE">
        <w:t xml:space="preserve"> December 28, 2007.</w:t>
      </w:r>
    </w:p>
    <w:p w:rsidR="00B061E4" w:rsidRDefault="00B061E4" w:rsidP="00B8723F">
      <w:pPr>
        <w:spacing w:line="480" w:lineRule="auto"/>
        <w:jc w:val="both"/>
      </w:pPr>
    </w:p>
    <w:p w:rsidR="004538CE" w:rsidRDefault="00CA417D" w:rsidP="005042B0">
      <w:pPr>
        <w:spacing w:line="480" w:lineRule="auto"/>
        <w:jc w:val="both"/>
      </w:pPr>
      <w:r>
        <w:t>The conservation provisions of RCW 19.285 became effective on January 1, 2010 and WAC 480</w:t>
      </w:r>
      <w:r w:rsidR="00EC5EBE">
        <w:t>-109-010 requires the filing of this Conservation Resource Report on or before January 31, 2010</w:t>
      </w:r>
      <w:r>
        <w:t xml:space="preserve">.  </w:t>
      </w:r>
      <w:r w:rsidR="00F74F3C">
        <w:t>(References to I-937 and WAC 480-109 are used interchangeably in this filing.)</w:t>
      </w:r>
    </w:p>
    <w:p w:rsidR="00C25984" w:rsidRDefault="00C25984" w:rsidP="005042B0">
      <w:pPr>
        <w:spacing w:line="480" w:lineRule="auto"/>
        <w:jc w:val="both"/>
      </w:pPr>
    </w:p>
    <w:p w:rsidR="004538CE" w:rsidRPr="004538CE" w:rsidRDefault="004538CE" w:rsidP="005042B0">
      <w:pPr>
        <w:spacing w:line="480" w:lineRule="auto"/>
        <w:jc w:val="center"/>
        <w:rPr>
          <w:b/>
        </w:rPr>
      </w:pPr>
      <w:r w:rsidRPr="004538CE">
        <w:rPr>
          <w:b/>
        </w:rPr>
        <w:t>II.</w:t>
      </w:r>
      <w:r w:rsidRPr="004538CE">
        <w:rPr>
          <w:b/>
        </w:rPr>
        <w:tab/>
        <w:t>INTRODUCTION</w:t>
      </w:r>
    </w:p>
    <w:p w:rsidR="00835F77" w:rsidRDefault="00724BA4" w:rsidP="00B8723F">
      <w:pPr>
        <w:spacing w:line="480" w:lineRule="auto"/>
        <w:jc w:val="both"/>
      </w:pPr>
      <w:r w:rsidRPr="00724BA4">
        <w:t xml:space="preserve">This </w:t>
      </w:r>
      <w:r w:rsidR="00CD5A64">
        <w:t>filing</w:t>
      </w:r>
      <w:r w:rsidRPr="00724BA4">
        <w:t xml:space="preserve"> </w:t>
      </w:r>
      <w:r w:rsidR="00927837">
        <w:t xml:space="preserve">describes </w:t>
      </w:r>
      <w:r w:rsidR="00CD5A64">
        <w:t xml:space="preserve">public involvement efforts by Avista in developing its targets, how the Company </w:t>
      </w:r>
      <w:r w:rsidRPr="00724BA4">
        <w:t>establish</w:t>
      </w:r>
      <w:r w:rsidR="00927837">
        <w:t>es its</w:t>
      </w:r>
      <w:r w:rsidRPr="00724BA4">
        <w:t xml:space="preserve"> </w:t>
      </w:r>
      <w:r w:rsidR="00927837" w:rsidRPr="00E5223B">
        <w:t>ten-year achievable conservation potential and biennial conservation target</w:t>
      </w:r>
      <w:r w:rsidRPr="00724BA4">
        <w:t>, what measures will qualify towards that target, how acquisition will be measured</w:t>
      </w:r>
      <w:r w:rsidR="00927837">
        <w:t>,</w:t>
      </w:r>
      <w:r w:rsidRPr="00724BA4">
        <w:t xml:space="preserve"> and how Avista will work with stakeholders during the initial (2010-2011) </w:t>
      </w:r>
      <w:r w:rsidR="00056A1D">
        <w:t>compliance period</w:t>
      </w:r>
      <w:r w:rsidR="00927837">
        <w:t>,</w:t>
      </w:r>
      <w:r w:rsidR="00056A1D">
        <w:t xml:space="preserve"> as well as the Company’s</w:t>
      </w:r>
      <w:r w:rsidRPr="00724BA4">
        <w:t xml:space="preserve"> expectations for future compliance periods.</w:t>
      </w:r>
      <w:r w:rsidR="00835F77" w:rsidRPr="00724BA4">
        <w:t xml:space="preserve">  </w:t>
      </w:r>
    </w:p>
    <w:p w:rsidR="004C1649" w:rsidRDefault="004C1649" w:rsidP="00B8723F">
      <w:pPr>
        <w:spacing w:line="480" w:lineRule="auto"/>
        <w:jc w:val="both"/>
      </w:pPr>
    </w:p>
    <w:p w:rsidR="004C1649" w:rsidRDefault="004C1649" w:rsidP="00B8723F">
      <w:pPr>
        <w:spacing w:line="480" w:lineRule="auto"/>
        <w:jc w:val="both"/>
      </w:pPr>
      <w:r w:rsidRPr="00EB69E2">
        <w:t>Avista has chose</w:t>
      </w:r>
      <w:r>
        <w:t>n to use the Northwest Power Planning Council’s O</w:t>
      </w:r>
      <w:r w:rsidRPr="00455A8F">
        <w:t xml:space="preserve">ption #1 </w:t>
      </w:r>
      <w:r>
        <w:t xml:space="preserve">of the </w:t>
      </w:r>
      <w:r w:rsidRPr="0027401B">
        <w:rPr>
          <w:u w:val="single"/>
        </w:rPr>
        <w:t>6</w:t>
      </w:r>
      <w:r w:rsidRPr="0027401B">
        <w:rPr>
          <w:u w:val="single"/>
          <w:vertAlign w:val="superscript"/>
        </w:rPr>
        <w:t>th</w:t>
      </w:r>
      <w:r w:rsidRPr="0027401B">
        <w:rPr>
          <w:u w:val="single"/>
        </w:rPr>
        <w:t xml:space="preserve"> Power Plan</w:t>
      </w:r>
      <w:r>
        <w:t xml:space="preserve"> to establish</w:t>
      </w:r>
      <w:r w:rsidRPr="00EB69E2">
        <w:t xml:space="preserve"> the </w:t>
      </w:r>
      <w:r>
        <w:t xml:space="preserve">Company’s </w:t>
      </w:r>
      <w:r w:rsidRPr="00EB69E2">
        <w:t>acquisition target</w:t>
      </w:r>
      <w:r>
        <w:t>, adjusted to include electric-to-natural-gas fuel conversions</w:t>
      </w:r>
      <w:r w:rsidRPr="00EB69E2">
        <w:t>.</w:t>
      </w:r>
      <w:r>
        <w:t xml:space="preserve">  </w:t>
      </w:r>
      <w:r w:rsidR="005D750D">
        <w:t>This adjustment</w:t>
      </w:r>
      <w:r w:rsidR="00524944">
        <w:t>,</w:t>
      </w:r>
      <w:r w:rsidR="005D750D">
        <w:t xml:space="preserve"> </w:t>
      </w:r>
      <w:r w:rsidR="00A3129B">
        <w:t>in addition to the 6</w:t>
      </w:r>
      <w:r w:rsidR="00D672FF" w:rsidRPr="00D672FF">
        <w:rPr>
          <w:vertAlign w:val="superscript"/>
        </w:rPr>
        <w:t>th</w:t>
      </w:r>
      <w:r w:rsidR="00A3129B">
        <w:t xml:space="preserve"> Power Plan target </w:t>
      </w:r>
      <w:r w:rsidR="005D750D">
        <w:t xml:space="preserve">provides for the symmetrical augmentation of Avista’s acquisition target while adding these efficiency resources as an eligible measure.  As a result of this adjustment the acquisition target is 11.6% </w:t>
      </w:r>
      <w:r w:rsidRPr="0027401B">
        <w:rPr>
          <w:u w:val="single"/>
        </w:rPr>
        <w:t>greater than</w:t>
      </w:r>
      <w:r>
        <w:t xml:space="preserve"> </w:t>
      </w:r>
      <w:r>
        <w:lastRenderedPageBreak/>
        <w:t>the Company’s Integrated Resource Plan’s energy efficiency targets for the same period. Avista intends</w:t>
      </w:r>
      <w:r w:rsidRPr="00EB69E2">
        <w:t xml:space="preserve"> to </w:t>
      </w:r>
      <w:r>
        <w:t xml:space="preserve">acquire </w:t>
      </w:r>
      <w:r w:rsidRPr="00EB69E2">
        <w:t xml:space="preserve">128,603 mWh’s of </w:t>
      </w:r>
      <w:r>
        <w:t xml:space="preserve">energy </w:t>
      </w:r>
      <w:r w:rsidRPr="00EB69E2">
        <w:t xml:space="preserve">efficiency </w:t>
      </w:r>
      <w:r>
        <w:t xml:space="preserve">as described in this filing in 2010 and </w:t>
      </w:r>
      <w:r w:rsidRPr="00EB69E2">
        <w:t>2011</w:t>
      </w:r>
      <w:r>
        <w:t>, the first</w:t>
      </w:r>
      <w:r w:rsidRPr="00EB69E2">
        <w:t xml:space="preserve"> I-937 </w:t>
      </w:r>
      <w:r>
        <w:t xml:space="preserve">two-year </w:t>
      </w:r>
      <w:r w:rsidRPr="00EB69E2">
        <w:t>compliance period</w:t>
      </w:r>
      <w:r w:rsidR="00A3129B">
        <w:t xml:space="preserve">, </w:t>
      </w:r>
      <w:r w:rsidR="004A549E">
        <w:t xml:space="preserve">including </w:t>
      </w:r>
      <w:r w:rsidR="00973F6B">
        <w:t xml:space="preserve">a minimum of </w:t>
      </w:r>
      <w:r w:rsidR="00A3129B">
        <w:t xml:space="preserve">125,982 mWh’s </w:t>
      </w:r>
      <w:r w:rsidR="00973F6B">
        <w:t xml:space="preserve">from </w:t>
      </w:r>
      <w:r w:rsidR="004A549E">
        <w:t>non-conversion resources identified in the 6</w:t>
      </w:r>
      <w:r w:rsidR="00D672FF" w:rsidRPr="00D672FF">
        <w:rPr>
          <w:vertAlign w:val="superscript"/>
        </w:rPr>
        <w:t>th</w:t>
      </w:r>
      <w:r w:rsidR="004A549E">
        <w:t xml:space="preserve"> Plan</w:t>
      </w:r>
      <w:r w:rsidRPr="00EB69E2">
        <w:t>.</w:t>
      </w:r>
      <w:r>
        <w:t xml:space="preserve"> </w:t>
      </w:r>
      <w:r w:rsidRPr="00EB69E2">
        <w:t>Avista’s projection of the acquisition over a ten-year period, assuming that this same option is selected in future complia</w:t>
      </w:r>
      <w:r>
        <w:t>nce periods, is 873,302 mWh’s.</w:t>
      </w:r>
    </w:p>
    <w:p w:rsidR="00C25984" w:rsidRDefault="00C25984" w:rsidP="00B8723F">
      <w:pPr>
        <w:spacing w:line="480" w:lineRule="auto"/>
        <w:jc w:val="both"/>
      </w:pPr>
    </w:p>
    <w:p w:rsidR="00B26887" w:rsidRPr="00B26887" w:rsidRDefault="00B26887" w:rsidP="00B26887">
      <w:pPr>
        <w:spacing w:line="480" w:lineRule="auto"/>
        <w:jc w:val="center"/>
        <w:rPr>
          <w:b/>
        </w:rPr>
      </w:pPr>
      <w:r w:rsidRPr="00B26887">
        <w:rPr>
          <w:b/>
        </w:rPr>
        <w:t>III.</w:t>
      </w:r>
      <w:r w:rsidRPr="00B26887">
        <w:rPr>
          <w:b/>
        </w:rPr>
        <w:tab/>
        <w:t>PROCESS AND PUBLIC INVOLVEMENT</w:t>
      </w:r>
    </w:p>
    <w:p w:rsidR="0017769A" w:rsidRDefault="00B562E1" w:rsidP="00B26887">
      <w:pPr>
        <w:pStyle w:val="NoSpacing"/>
        <w:spacing w:before="0" w:beforeAutospacing="0" w:after="0" w:afterAutospacing="0" w:line="480" w:lineRule="auto"/>
        <w:jc w:val="both"/>
      </w:pPr>
      <w:r>
        <w:t>Avista’s energy efficiency</w:t>
      </w:r>
      <w:r w:rsidR="00FC0353">
        <w:t xml:space="preserve"> targets have historically </w:t>
      </w:r>
      <w:r w:rsidR="004C1649">
        <w:t>been determined through</w:t>
      </w:r>
      <w:r>
        <w:t xml:space="preserve"> its Integrated Resource Planning (“IRP”) process, pursuant to WAC 480-100-</w:t>
      </w:r>
      <w:r w:rsidR="00FC2882">
        <w:t>238</w:t>
      </w:r>
      <w:r>
        <w:t xml:space="preserve">. </w:t>
      </w:r>
      <w:r w:rsidR="0017769A">
        <w:t xml:space="preserve"> Substantial </w:t>
      </w:r>
      <w:r w:rsidR="00CB41B8">
        <w:t>pub</w:t>
      </w:r>
      <w:r w:rsidR="00E24287">
        <w:t>l</w:t>
      </w:r>
      <w:r w:rsidR="00CB41B8">
        <w:t xml:space="preserve">ic involvement </w:t>
      </w:r>
      <w:r w:rsidR="0017769A">
        <w:t xml:space="preserve">opportunity was presented to interested parties as the IRP process convened </w:t>
      </w:r>
      <w:r w:rsidR="00196499">
        <w:t>six</w:t>
      </w:r>
      <w:r w:rsidR="0017769A">
        <w:t xml:space="preserve"> meetings of the Technical Advisory Committee (TAC) in 2008 and 2009.  The Company’s Integrated Resource Plan was filed with the Commission on </w:t>
      </w:r>
      <w:r w:rsidR="00FC2882">
        <w:t>August 31</w:t>
      </w:r>
      <w:r w:rsidR="0017769A">
        <w:t>, 2009.  Chapter 3 of the IRP describes Avista’s analysis of conservation potential under then-current protocols.</w:t>
      </w:r>
    </w:p>
    <w:p w:rsidR="00CB41B8" w:rsidRDefault="00CB41B8" w:rsidP="00B26887">
      <w:pPr>
        <w:pStyle w:val="NoSpacing"/>
        <w:spacing w:before="0" w:beforeAutospacing="0" w:after="0" w:afterAutospacing="0" w:line="480" w:lineRule="auto"/>
        <w:jc w:val="both"/>
      </w:pPr>
    </w:p>
    <w:p w:rsidR="00CB41B8" w:rsidRDefault="00FB3EF4" w:rsidP="00B26887">
      <w:pPr>
        <w:pStyle w:val="NoSpacing"/>
        <w:spacing w:before="0" w:beforeAutospacing="0" w:after="0" w:afterAutospacing="0" w:line="480" w:lineRule="auto"/>
        <w:jc w:val="both"/>
      </w:pPr>
      <w:r>
        <w:t xml:space="preserve">The </w:t>
      </w:r>
      <w:r w:rsidR="00CB41B8">
        <w:t>Northwest Power and Conservation Council (“Council”)</w:t>
      </w:r>
      <w:r>
        <w:t xml:space="preserve"> convened </w:t>
      </w:r>
      <w:r w:rsidR="008E5EC3">
        <w:t>several</w:t>
      </w:r>
      <w:r>
        <w:t xml:space="preserve"> meetings of its Conservation Resource Advisory Committee (“CRAC”) to describe how the Council staff was determining the regional conservation targets</w:t>
      </w:r>
      <w:r w:rsidR="008A782C">
        <w:t xml:space="preserve"> for inclusion in the Council’s 6</w:t>
      </w:r>
      <w:r w:rsidR="008A782C" w:rsidRPr="008A782C">
        <w:rPr>
          <w:vertAlign w:val="superscript"/>
        </w:rPr>
        <w:t>th</w:t>
      </w:r>
      <w:r w:rsidR="008A782C">
        <w:t xml:space="preserve"> Power Plan</w:t>
      </w:r>
      <w:r>
        <w:t xml:space="preserve">.  </w:t>
      </w:r>
      <w:r w:rsidR="008A782C">
        <w:t xml:space="preserve">Significant public involvement, between April and August of 2009, was </w:t>
      </w:r>
      <w:r w:rsidR="00E24287">
        <w:t>provided</w:t>
      </w:r>
      <w:r w:rsidR="008A782C">
        <w:t xml:space="preserve"> given the attention to increases in proposed energy efficiency targets.  </w:t>
      </w:r>
    </w:p>
    <w:p w:rsidR="00B562E1" w:rsidRDefault="00B562E1" w:rsidP="00B26887">
      <w:pPr>
        <w:pStyle w:val="NoSpacing"/>
        <w:spacing w:before="0" w:beforeAutospacing="0" w:after="0" w:afterAutospacing="0" w:line="480" w:lineRule="auto"/>
        <w:jc w:val="both"/>
      </w:pPr>
    </w:p>
    <w:p w:rsidR="00E24287" w:rsidRDefault="00B26887" w:rsidP="00B26887">
      <w:pPr>
        <w:pStyle w:val="NoSpacing"/>
        <w:spacing w:before="0" w:beforeAutospacing="0" w:after="0" w:afterAutospacing="0" w:line="480" w:lineRule="auto"/>
        <w:jc w:val="both"/>
        <w:rPr>
          <w:color w:val="000000"/>
        </w:rPr>
      </w:pPr>
      <w:r>
        <w:rPr>
          <w:color w:val="000000"/>
        </w:rPr>
        <w:t>In July, Avista</w:t>
      </w:r>
      <w:r w:rsidRPr="00301C34">
        <w:rPr>
          <w:color w:val="000000"/>
        </w:rPr>
        <w:t xml:space="preserve"> discussed with </w:t>
      </w:r>
      <w:r w:rsidR="004C1649">
        <w:t>Commission Staff</w:t>
      </w:r>
      <w:r w:rsidRPr="00301C34">
        <w:rPr>
          <w:color w:val="000000"/>
        </w:rPr>
        <w:t xml:space="preserve"> the public involvem</w:t>
      </w:r>
      <w:r w:rsidR="00F83564">
        <w:rPr>
          <w:color w:val="000000"/>
        </w:rPr>
        <w:t>ent components of WAC 480-109.</w:t>
      </w:r>
      <w:r w:rsidR="009F3660">
        <w:rPr>
          <w:color w:val="000000"/>
        </w:rPr>
        <w:t xml:space="preserve"> </w:t>
      </w:r>
      <w:r w:rsidR="00F83564">
        <w:rPr>
          <w:color w:val="000000"/>
        </w:rPr>
        <w:t xml:space="preserve"> The Company</w:t>
      </w:r>
      <w:r w:rsidRPr="00301C34">
        <w:rPr>
          <w:color w:val="000000"/>
        </w:rPr>
        <w:t xml:space="preserve"> </w:t>
      </w:r>
      <w:r w:rsidR="004C1649">
        <w:rPr>
          <w:color w:val="000000"/>
        </w:rPr>
        <w:t xml:space="preserve">and Commission Staff agreed to move up the </w:t>
      </w:r>
      <w:r w:rsidRPr="00301C34">
        <w:rPr>
          <w:color w:val="000000"/>
        </w:rPr>
        <w:t xml:space="preserve">External Energy </w:t>
      </w:r>
      <w:r w:rsidRPr="00301C34">
        <w:rPr>
          <w:color w:val="000000"/>
        </w:rPr>
        <w:lastRenderedPageBreak/>
        <w:t>Efficiency Board (Triple E) meeting fr</w:t>
      </w:r>
      <w:r w:rsidR="004C1649">
        <w:rPr>
          <w:color w:val="000000"/>
        </w:rPr>
        <w:t>om November to September,</w:t>
      </w:r>
      <w:r w:rsidRPr="00301C34">
        <w:rPr>
          <w:color w:val="000000"/>
        </w:rPr>
        <w:t xml:space="preserve"> for the purpose of </w:t>
      </w:r>
      <w:r w:rsidR="00E24287">
        <w:rPr>
          <w:color w:val="000000"/>
        </w:rPr>
        <w:t>accelerating</w:t>
      </w:r>
      <w:r>
        <w:rPr>
          <w:color w:val="000000"/>
        </w:rPr>
        <w:t xml:space="preserve"> the Company’s</w:t>
      </w:r>
      <w:r w:rsidRPr="00301C34">
        <w:rPr>
          <w:color w:val="000000"/>
        </w:rPr>
        <w:t xml:space="preserve"> Compliance Plan, </w:t>
      </w:r>
      <w:r w:rsidR="004C1649">
        <w:rPr>
          <w:color w:val="000000"/>
        </w:rPr>
        <w:t>and to provide opportunity for public involvement, per the</w:t>
      </w:r>
      <w:r w:rsidRPr="00301C34">
        <w:rPr>
          <w:color w:val="000000"/>
        </w:rPr>
        <w:t xml:space="preserve"> requirement</w:t>
      </w:r>
      <w:r w:rsidR="004C1649">
        <w:rPr>
          <w:color w:val="000000"/>
        </w:rPr>
        <w:t>s</w:t>
      </w:r>
      <w:r w:rsidR="00F83564">
        <w:rPr>
          <w:color w:val="000000"/>
        </w:rPr>
        <w:t xml:space="preserve"> of WAC 480-109</w:t>
      </w:r>
      <w:r w:rsidRPr="00301C34">
        <w:rPr>
          <w:color w:val="000000"/>
        </w:rPr>
        <w:t xml:space="preserve">.  </w:t>
      </w:r>
      <w:r w:rsidR="00E24287">
        <w:rPr>
          <w:color w:val="000000"/>
        </w:rPr>
        <w:t>(</w:t>
      </w:r>
      <w:r w:rsidR="00F83564">
        <w:rPr>
          <w:color w:val="000000"/>
        </w:rPr>
        <w:t>The Triple E is Avista’s stakeholder advisory committee for its energy efficiency planning and programs</w:t>
      </w:r>
      <w:r w:rsidR="0027401B">
        <w:rPr>
          <w:rStyle w:val="FootnoteReference"/>
          <w:color w:val="000000"/>
        </w:rPr>
        <w:footnoteReference w:id="1"/>
      </w:r>
      <w:r w:rsidR="00F83564">
        <w:rPr>
          <w:color w:val="000000"/>
        </w:rPr>
        <w:t>.</w:t>
      </w:r>
      <w:r w:rsidR="00E24287">
        <w:rPr>
          <w:color w:val="000000"/>
        </w:rPr>
        <w:t>)</w:t>
      </w:r>
      <w:r w:rsidR="00F83564">
        <w:rPr>
          <w:color w:val="000000"/>
        </w:rPr>
        <w:t xml:space="preserve">  </w:t>
      </w:r>
      <w:r w:rsidR="004C1649">
        <w:rPr>
          <w:color w:val="000000"/>
        </w:rPr>
        <w:t xml:space="preserve">Commission </w:t>
      </w:r>
      <w:r w:rsidRPr="00301C34">
        <w:rPr>
          <w:color w:val="000000"/>
        </w:rPr>
        <w:t xml:space="preserve">Staff suggested broadening the </w:t>
      </w:r>
      <w:r>
        <w:rPr>
          <w:color w:val="000000"/>
        </w:rPr>
        <w:t>notification list to include the Company’s</w:t>
      </w:r>
      <w:r w:rsidRPr="00301C34">
        <w:rPr>
          <w:color w:val="000000"/>
        </w:rPr>
        <w:t xml:space="preserve"> </w:t>
      </w:r>
      <w:r w:rsidR="00E24287">
        <w:rPr>
          <w:color w:val="000000"/>
        </w:rPr>
        <w:t>IRP</w:t>
      </w:r>
      <w:r w:rsidRPr="00301C34">
        <w:rPr>
          <w:color w:val="000000"/>
        </w:rPr>
        <w:t xml:space="preserve"> Tec</w:t>
      </w:r>
      <w:r w:rsidR="00E24287">
        <w:rPr>
          <w:color w:val="000000"/>
        </w:rPr>
        <w:t>hnical Advisory Committee</w:t>
      </w:r>
      <w:r w:rsidR="0027401B">
        <w:rPr>
          <w:rStyle w:val="FootnoteReference"/>
          <w:color w:val="000000"/>
        </w:rPr>
        <w:footnoteReference w:id="2"/>
      </w:r>
      <w:r w:rsidRPr="00301C34">
        <w:rPr>
          <w:color w:val="000000"/>
        </w:rPr>
        <w:t xml:space="preserve"> and others, which </w:t>
      </w:r>
      <w:r w:rsidR="00E24287">
        <w:rPr>
          <w:color w:val="000000"/>
        </w:rPr>
        <w:t>the Company</w:t>
      </w:r>
      <w:r w:rsidRPr="00301C34">
        <w:rPr>
          <w:color w:val="000000"/>
        </w:rPr>
        <w:t xml:space="preserve"> did.  </w:t>
      </w:r>
      <w:r>
        <w:rPr>
          <w:color w:val="000000"/>
        </w:rPr>
        <w:t>Avista</w:t>
      </w:r>
      <w:r w:rsidRPr="00301C34">
        <w:rPr>
          <w:color w:val="000000"/>
        </w:rPr>
        <w:t xml:space="preserve"> consulted with </w:t>
      </w:r>
      <w:r w:rsidR="004C1649">
        <w:rPr>
          <w:color w:val="000000"/>
        </w:rPr>
        <w:t xml:space="preserve">Commission </w:t>
      </w:r>
      <w:r w:rsidRPr="00301C34">
        <w:rPr>
          <w:color w:val="000000"/>
        </w:rPr>
        <w:t xml:space="preserve">Staff regarding the type of notification (e.g., newspaper notice, etc.) </w:t>
      </w:r>
      <w:r w:rsidR="00E24287">
        <w:rPr>
          <w:color w:val="000000"/>
        </w:rPr>
        <w:t xml:space="preserve">for the planned September Triple E meeting </w:t>
      </w:r>
      <w:r w:rsidRPr="00301C34">
        <w:rPr>
          <w:color w:val="000000"/>
        </w:rPr>
        <w:t xml:space="preserve">and followed </w:t>
      </w:r>
      <w:r w:rsidR="004C1649">
        <w:rPr>
          <w:color w:val="000000"/>
        </w:rPr>
        <w:t xml:space="preserve">Commission </w:t>
      </w:r>
      <w:r w:rsidRPr="00301C34">
        <w:rPr>
          <w:color w:val="000000"/>
        </w:rPr>
        <w:t>Staff suggestions regarding e-mail notification to specific interested party lists and posting the meeting notice to the Company’s we</w:t>
      </w:r>
      <w:r>
        <w:rPr>
          <w:color w:val="000000"/>
        </w:rPr>
        <w:t xml:space="preserve">bsite. </w:t>
      </w:r>
    </w:p>
    <w:p w:rsidR="00E24287" w:rsidRDefault="00E24287" w:rsidP="00B26887">
      <w:pPr>
        <w:pStyle w:val="NoSpacing"/>
        <w:spacing w:before="0" w:beforeAutospacing="0" w:after="0" w:afterAutospacing="0" w:line="480" w:lineRule="auto"/>
        <w:jc w:val="both"/>
        <w:rPr>
          <w:color w:val="000000"/>
        </w:rPr>
      </w:pPr>
    </w:p>
    <w:p w:rsidR="00E24287" w:rsidRDefault="00E24287" w:rsidP="00B26887">
      <w:pPr>
        <w:pStyle w:val="NoSpacing"/>
        <w:spacing w:before="0" w:beforeAutospacing="0" w:after="0" w:afterAutospacing="0" w:line="480" w:lineRule="auto"/>
        <w:jc w:val="both"/>
      </w:pPr>
      <w:r w:rsidRPr="00301C34">
        <w:t>On September 4</w:t>
      </w:r>
      <w:r w:rsidRPr="00301C34">
        <w:rPr>
          <w:vertAlign w:val="superscript"/>
        </w:rPr>
        <w:t>th</w:t>
      </w:r>
      <w:r w:rsidRPr="00301C34">
        <w:t xml:space="preserve">, 2009 the </w:t>
      </w:r>
      <w:r w:rsidR="009930FC">
        <w:t>Commission Staff</w:t>
      </w:r>
      <w:r w:rsidR="00D96A04">
        <w:t xml:space="preserve"> </w:t>
      </w:r>
      <w:r w:rsidRPr="00301C34">
        <w:t xml:space="preserve">hosted a Conservation Potential Methodology Meeting that included </w:t>
      </w:r>
      <w:r>
        <w:t>jurisdictional electric uti</w:t>
      </w:r>
      <w:r w:rsidRPr="00301C34">
        <w:t xml:space="preserve">lities and interested parties.  </w:t>
      </w:r>
      <w:r>
        <w:t xml:space="preserve">Commission Staff provided an overview of the “Energy Conservation Requirements of the Energy Independence Act.” The Northwest </w:t>
      </w:r>
      <w:r w:rsidR="004C1649">
        <w:t>Power and Conservation Council S</w:t>
      </w:r>
      <w:r>
        <w:t>taff presented the 6</w:t>
      </w:r>
      <w:r w:rsidRPr="00574887">
        <w:rPr>
          <w:vertAlign w:val="superscript"/>
        </w:rPr>
        <w:t>th</w:t>
      </w:r>
      <w:r>
        <w:t xml:space="preserve"> Power Plan draft targets, the public involvement process leading to these targets, and the “Utility Target Calculator” for determination of any </w:t>
      </w:r>
      <w:r w:rsidR="004C1649">
        <w:t>utility’s share of the Council S</w:t>
      </w:r>
      <w:r>
        <w:t xml:space="preserve">taff’s proposed regional targets.  </w:t>
      </w:r>
    </w:p>
    <w:p w:rsidR="00E24287" w:rsidRPr="00E24287" w:rsidRDefault="00E24287" w:rsidP="00B26887">
      <w:pPr>
        <w:pStyle w:val="NoSpacing"/>
        <w:spacing w:before="0" w:beforeAutospacing="0" w:after="0" w:afterAutospacing="0" w:line="480" w:lineRule="auto"/>
        <w:jc w:val="both"/>
      </w:pPr>
    </w:p>
    <w:p w:rsidR="00CF0F70" w:rsidRDefault="004C1649" w:rsidP="00B26887">
      <w:pPr>
        <w:pStyle w:val="NoSpacing"/>
        <w:spacing w:before="0" w:beforeAutospacing="0" w:after="0" w:afterAutospacing="0" w:line="480" w:lineRule="auto"/>
        <w:jc w:val="both"/>
        <w:rPr>
          <w:color w:val="000000"/>
        </w:rPr>
      </w:pPr>
      <w:r>
        <w:rPr>
          <w:color w:val="000000"/>
        </w:rPr>
        <w:t xml:space="preserve">Commission </w:t>
      </w:r>
      <w:r w:rsidR="00B26887">
        <w:rPr>
          <w:color w:val="000000"/>
        </w:rPr>
        <w:t>Staff participated in Avista’s</w:t>
      </w:r>
      <w:r w:rsidR="00B26887" w:rsidRPr="00301C34">
        <w:rPr>
          <w:color w:val="000000"/>
        </w:rPr>
        <w:t xml:space="preserve"> September 3</w:t>
      </w:r>
      <w:r w:rsidR="005F1C4D">
        <w:rPr>
          <w:color w:val="000000"/>
        </w:rPr>
        <w:t>0,</w:t>
      </w:r>
      <w:r w:rsidR="005F1C4D">
        <w:rPr>
          <w:color w:val="000000"/>
          <w:vertAlign w:val="superscript"/>
        </w:rPr>
        <w:t xml:space="preserve"> </w:t>
      </w:r>
      <w:r w:rsidR="005F1C4D">
        <w:rPr>
          <w:color w:val="000000"/>
        </w:rPr>
        <w:t>2009</w:t>
      </w:r>
      <w:r w:rsidR="00B26887" w:rsidRPr="00301C34">
        <w:rPr>
          <w:color w:val="000000"/>
        </w:rPr>
        <w:t xml:space="preserve"> I-937 Compliance Plan meeting.  </w:t>
      </w:r>
      <w:r w:rsidR="009F3660">
        <w:rPr>
          <w:color w:val="000000"/>
        </w:rPr>
        <w:t>T</w:t>
      </w:r>
      <w:r w:rsidR="00915633">
        <w:rPr>
          <w:color w:val="000000"/>
        </w:rPr>
        <w:t xml:space="preserve">he Company </w:t>
      </w:r>
      <w:r w:rsidR="009F3660">
        <w:rPr>
          <w:color w:val="000000"/>
        </w:rPr>
        <w:t>later inquired of</w:t>
      </w:r>
      <w:r w:rsidR="00915633" w:rsidRPr="00301C34">
        <w:rPr>
          <w:color w:val="000000"/>
        </w:rPr>
        <w:t xml:space="preserve"> </w:t>
      </w:r>
      <w:r>
        <w:rPr>
          <w:color w:val="000000"/>
        </w:rPr>
        <w:t xml:space="preserve">Commission </w:t>
      </w:r>
      <w:r w:rsidR="00915633" w:rsidRPr="00301C34">
        <w:rPr>
          <w:color w:val="000000"/>
        </w:rPr>
        <w:t xml:space="preserve">Staff </w:t>
      </w:r>
      <w:r w:rsidR="009F3660">
        <w:rPr>
          <w:color w:val="000000"/>
        </w:rPr>
        <w:t>regarding the need for</w:t>
      </w:r>
      <w:r w:rsidR="00915633" w:rsidRPr="00301C34">
        <w:rPr>
          <w:color w:val="000000"/>
        </w:rPr>
        <w:t xml:space="preserve"> more</w:t>
      </w:r>
      <w:r w:rsidR="00915633">
        <w:rPr>
          <w:color w:val="000000"/>
        </w:rPr>
        <w:t xml:space="preserve"> meetings, </w:t>
      </w:r>
      <w:r w:rsidR="0027401B">
        <w:rPr>
          <w:color w:val="000000"/>
        </w:rPr>
        <w:t xml:space="preserve">and </w:t>
      </w:r>
      <w:r>
        <w:rPr>
          <w:color w:val="000000"/>
        </w:rPr>
        <w:t xml:space="preserve">Commission </w:t>
      </w:r>
      <w:r w:rsidR="00915633" w:rsidRPr="00301C34">
        <w:rPr>
          <w:color w:val="000000"/>
        </w:rPr>
        <w:t xml:space="preserve">Staff suggested that </w:t>
      </w:r>
      <w:r w:rsidR="00CF0F70">
        <w:rPr>
          <w:color w:val="000000"/>
        </w:rPr>
        <w:t>Avista</w:t>
      </w:r>
      <w:r w:rsidR="00915633" w:rsidRPr="00301C34">
        <w:rPr>
          <w:color w:val="000000"/>
        </w:rPr>
        <w:t xml:space="preserve"> </w:t>
      </w:r>
      <w:r w:rsidR="00915633">
        <w:rPr>
          <w:color w:val="000000"/>
        </w:rPr>
        <w:t>continue</w:t>
      </w:r>
      <w:r w:rsidR="00CF0F70">
        <w:rPr>
          <w:color w:val="000000"/>
        </w:rPr>
        <w:t xml:space="preserve"> the process that</w:t>
      </w:r>
      <w:r w:rsidR="00915633" w:rsidRPr="00301C34">
        <w:rPr>
          <w:color w:val="000000"/>
        </w:rPr>
        <w:t xml:space="preserve"> </w:t>
      </w:r>
      <w:r w:rsidR="00915633">
        <w:rPr>
          <w:color w:val="000000"/>
        </w:rPr>
        <w:t>had</w:t>
      </w:r>
      <w:r w:rsidR="00CF0F70">
        <w:rPr>
          <w:color w:val="000000"/>
        </w:rPr>
        <w:t xml:space="preserve"> been</w:t>
      </w:r>
      <w:r w:rsidR="00915633">
        <w:rPr>
          <w:color w:val="000000"/>
        </w:rPr>
        <w:t xml:space="preserve"> implemented</w:t>
      </w:r>
      <w:r w:rsidR="00915633" w:rsidRPr="00301C34">
        <w:rPr>
          <w:color w:val="000000"/>
        </w:rPr>
        <w:t xml:space="preserve">, </w:t>
      </w:r>
      <w:r w:rsidR="00915633" w:rsidRPr="00301C34">
        <w:rPr>
          <w:color w:val="000000"/>
        </w:rPr>
        <w:lastRenderedPageBreak/>
        <w:t>specifically to request e-mail responses to a draft Compliance Plan</w:t>
      </w:r>
      <w:r w:rsidR="00CF0F70">
        <w:rPr>
          <w:color w:val="000000"/>
        </w:rPr>
        <w:t xml:space="preserve"> and</w:t>
      </w:r>
      <w:r w:rsidR="009F3660">
        <w:rPr>
          <w:color w:val="000000"/>
        </w:rPr>
        <w:t xml:space="preserve"> to keep</w:t>
      </w:r>
      <w:r w:rsidR="00915633" w:rsidRPr="00301C34">
        <w:rPr>
          <w:color w:val="000000"/>
        </w:rPr>
        <w:t xml:space="preserve"> responses</w:t>
      </w:r>
      <w:r w:rsidR="009F3660">
        <w:rPr>
          <w:color w:val="000000"/>
        </w:rPr>
        <w:t xml:space="preserve"> </w:t>
      </w:r>
      <w:r w:rsidR="00CF0F70">
        <w:rPr>
          <w:color w:val="000000"/>
        </w:rPr>
        <w:t>for purposes of</w:t>
      </w:r>
      <w:r w:rsidR="009F3660">
        <w:rPr>
          <w:color w:val="000000"/>
        </w:rPr>
        <w:t xml:space="preserve"> append</w:t>
      </w:r>
      <w:r w:rsidR="00CF0F70">
        <w:rPr>
          <w:color w:val="000000"/>
        </w:rPr>
        <w:t>ing</w:t>
      </w:r>
      <w:r w:rsidR="009F3660">
        <w:rPr>
          <w:color w:val="000000"/>
        </w:rPr>
        <w:t xml:space="preserve"> them</w:t>
      </w:r>
      <w:r w:rsidR="00915633" w:rsidRPr="00301C34">
        <w:rPr>
          <w:color w:val="000000"/>
        </w:rPr>
        <w:t xml:space="preserve"> to </w:t>
      </w:r>
      <w:r w:rsidR="009F3660">
        <w:rPr>
          <w:color w:val="000000"/>
        </w:rPr>
        <w:t>the Company’s compliance filing</w:t>
      </w:r>
      <w:r w:rsidR="00915633" w:rsidRPr="00301C34">
        <w:rPr>
          <w:color w:val="000000"/>
        </w:rPr>
        <w:t>.</w:t>
      </w:r>
      <w:r w:rsidR="00915633">
        <w:rPr>
          <w:color w:val="000000"/>
        </w:rPr>
        <w:t xml:space="preserve"> </w:t>
      </w:r>
      <w:r w:rsidR="009F3660">
        <w:rPr>
          <w:color w:val="000000"/>
        </w:rPr>
        <w:t xml:space="preserve"> </w:t>
      </w:r>
    </w:p>
    <w:p w:rsidR="00CF0F70" w:rsidRDefault="00CF0F70" w:rsidP="00B26887">
      <w:pPr>
        <w:pStyle w:val="NoSpacing"/>
        <w:spacing w:before="0" w:beforeAutospacing="0" w:after="0" w:afterAutospacing="0" w:line="480" w:lineRule="auto"/>
        <w:jc w:val="both"/>
        <w:rPr>
          <w:color w:val="000000"/>
        </w:rPr>
      </w:pPr>
    </w:p>
    <w:p w:rsidR="00D96A04" w:rsidRDefault="00915633" w:rsidP="00B26887">
      <w:pPr>
        <w:pStyle w:val="NoSpacing"/>
        <w:spacing w:before="0" w:beforeAutospacing="0" w:after="0" w:afterAutospacing="0" w:line="480" w:lineRule="auto"/>
        <w:jc w:val="both"/>
        <w:rPr>
          <w:color w:val="000000"/>
        </w:rPr>
      </w:pPr>
      <w:r>
        <w:rPr>
          <w:color w:val="000000"/>
        </w:rPr>
        <w:t xml:space="preserve">On November 11, 2009, Avista </w:t>
      </w:r>
      <w:r w:rsidR="00CF0F70">
        <w:rPr>
          <w:color w:val="000000"/>
        </w:rPr>
        <w:t>distributed to the</w:t>
      </w:r>
      <w:r>
        <w:rPr>
          <w:color w:val="000000"/>
        </w:rPr>
        <w:t xml:space="preserve"> Triple E and TAC members a draft compliance filing via electronic mail reiterating that “</w:t>
      </w:r>
      <w:r w:rsidR="00CF0F70">
        <w:rPr>
          <w:color w:val="000000"/>
        </w:rPr>
        <w:t>…</w:t>
      </w:r>
      <w:r w:rsidR="00CF0F70">
        <w:t>p</w:t>
      </w:r>
      <w:r w:rsidRPr="00915633">
        <w:t xml:space="preserve">ublic involvement </w:t>
      </w:r>
      <w:r>
        <w:t>is essential to this process and c</w:t>
      </w:r>
      <w:r w:rsidRPr="00915633">
        <w:t>onsequently, seeking input as an interested stakeholder.</w:t>
      </w:r>
      <w:r>
        <w:t xml:space="preserve">” </w:t>
      </w:r>
      <w:r w:rsidRPr="00301C34">
        <w:rPr>
          <w:color w:val="000000"/>
        </w:rPr>
        <w:t xml:space="preserve">  </w:t>
      </w:r>
      <w:r w:rsidR="005F1C4D">
        <w:rPr>
          <w:color w:val="000000"/>
        </w:rPr>
        <w:t xml:space="preserve">Avista received comments from parties and </w:t>
      </w:r>
      <w:r w:rsidR="00CF0F70">
        <w:rPr>
          <w:color w:val="000000"/>
        </w:rPr>
        <w:t>hosted</w:t>
      </w:r>
      <w:r w:rsidR="005F1C4D">
        <w:rPr>
          <w:color w:val="000000"/>
        </w:rPr>
        <w:t xml:space="preserve"> a conference call on December 16, 2009. The Company’s Evaluation, Measurement and Verification (EM&amp;V) draft plan was </w:t>
      </w:r>
      <w:r w:rsidR="00736FAB">
        <w:rPr>
          <w:color w:val="000000"/>
        </w:rPr>
        <w:t>distributed</w:t>
      </w:r>
      <w:r w:rsidR="005F1C4D">
        <w:rPr>
          <w:color w:val="000000"/>
        </w:rPr>
        <w:t xml:space="preserve"> to the Triple E on November 24, 2009</w:t>
      </w:r>
      <w:r w:rsidR="000608CB">
        <w:rPr>
          <w:color w:val="000000"/>
        </w:rPr>
        <w:t xml:space="preserve"> with a follow up progres</w:t>
      </w:r>
      <w:r w:rsidR="00CF0F70">
        <w:rPr>
          <w:color w:val="000000"/>
        </w:rPr>
        <w:t>s report on December 29, 2009 in response to a</w:t>
      </w:r>
      <w:r w:rsidR="000608CB">
        <w:rPr>
          <w:color w:val="000000"/>
        </w:rPr>
        <w:t xml:space="preserve"> Staff</w:t>
      </w:r>
      <w:r w:rsidR="00CF0F70">
        <w:rPr>
          <w:color w:val="000000"/>
        </w:rPr>
        <w:t xml:space="preserve"> </w:t>
      </w:r>
      <w:r w:rsidR="00736FAB">
        <w:rPr>
          <w:color w:val="000000"/>
        </w:rPr>
        <w:t>inquiry</w:t>
      </w:r>
      <w:r w:rsidR="005F1C4D">
        <w:rPr>
          <w:color w:val="000000"/>
        </w:rPr>
        <w:t xml:space="preserve">.  </w:t>
      </w:r>
      <w:r>
        <w:rPr>
          <w:color w:val="000000"/>
        </w:rPr>
        <w:t xml:space="preserve">  </w:t>
      </w:r>
    </w:p>
    <w:p w:rsidR="00D96A04" w:rsidRDefault="00D96A04" w:rsidP="00B26887">
      <w:pPr>
        <w:pStyle w:val="NoSpacing"/>
        <w:spacing w:before="0" w:beforeAutospacing="0" w:after="0" w:afterAutospacing="0" w:line="480" w:lineRule="auto"/>
        <w:jc w:val="both"/>
        <w:rPr>
          <w:color w:val="000000"/>
        </w:rPr>
      </w:pPr>
    </w:p>
    <w:p w:rsidR="0039485C" w:rsidRDefault="00B22B0E" w:rsidP="00B26887">
      <w:pPr>
        <w:pStyle w:val="NoSpacing"/>
        <w:spacing w:before="0" w:beforeAutospacing="0" w:after="0" w:afterAutospacing="0" w:line="480" w:lineRule="auto"/>
        <w:jc w:val="both"/>
        <w:rPr>
          <w:color w:val="000000"/>
        </w:rPr>
      </w:pPr>
      <w:r>
        <w:rPr>
          <w:color w:val="000000"/>
        </w:rPr>
        <w:t xml:space="preserve">On December 31, 2009, the Company </w:t>
      </w:r>
      <w:r w:rsidR="00D96A04">
        <w:rPr>
          <w:color w:val="000000"/>
        </w:rPr>
        <w:t>provide</w:t>
      </w:r>
      <w:r w:rsidR="0039485C">
        <w:rPr>
          <w:color w:val="000000"/>
        </w:rPr>
        <w:t>d</w:t>
      </w:r>
      <w:r>
        <w:rPr>
          <w:color w:val="000000"/>
        </w:rPr>
        <w:t xml:space="preserve"> its “Informal Compliance with WAC 480-109-010(1)</w:t>
      </w:r>
      <w:r w:rsidR="00D96A04">
        <w:rPr>
          <w:color w:val="000000"/>
        </w:rPr>
        <w:t>”</w:t>
      </w:r>
      <w:r>
        <w:rPr>
          <w:color w:val="000000"/>
        </w:rPr>
        <w:t xml:space="preserve"> </w:t>
      </w:r>
      <w:r>
        <w:t xml:space="preserve">projecting </w:t>
      </w:r>
      <w:r w:rsidR="00D96A04">
        <w:t>Avista’s</w:t>
      </w:r>
      <w:r w:rsidRPr="00B22B0E">
        <w:t xml:space="preserve"> cumulative ten-year electric conservation potential in </w:t>
      </w:r>
      <w:r>
        <w:t xml:space="preserve">the state of </w:t>
      </w:r>
      <w:r w:rsidRPr="00B22B0E">
        <w:t>Washington</w:t>
      </w:r>
      <w:r w:rsidR="00D96A04">
        <w:t xml:space="preserve"> and two-year targets</w:t>
      </w:r>
      <w:r>
        <w:t>.</w:t>
      </w:r>
      <w:r>
        <w:rPr>
          <w:color w:val="000000"/>
        </w:rPr>
        <w:t xml:space="preserve"> </w:t>
      </w:r>
      <w:r w:rsidR="00915633">
        <w:rPr>
          <w:color w:val="000000"/>
        </w:rPr>
        <w:t xml:space="preserve">Presentations from </w:t>
      </w:r>
      <w:r w:rsidR="00D96A04">
        <w:rPr>
          <w:color w:val="000000"/>
        </w:rPr>
        <w:t>Avista’s</w:t>
      </w:r>
      <w:r w:rsidR="00B26887" w:rsidRPr="00301C34">
        <w:rPr>
          <w:color w:val="000000"/>
        </w:rPr>
        <w:t xml:space="preserve"> meeting</w:t>
      </w:r>
      <w:r w:rsidR="00915633">
        <w:rPr>
          <w:color w:val="000000"/>
        </w:rPr>
        <w:t>s</w:t>
      </w:r>
      <w:r w:rsidR="00B26887" w:rsidRPr="00301C34">
        <w:rPr>
          <w:color w:val="000000"/>
        </w:rPr>
        <w:t xml:space="preserve"> </w:t>
      </w:r>
      <w:r w:rsidR="009F3660">
        <w:rPr>
          <w:color w:val="000000"/>
        </w:rPr>
        <w:t>and responses to the draft compliance plan</w:t>
      </w:r>
      <w:r>
        <w:rPr>
          <w:color w:val="000000"/>
        </w:rPr>
        <w:t xml:space="preserve">, </w:t>
      </w:r>
      <w:r w:rsidR="005F1C4D">
        <w:rPr>
          <w:color w:val="000000"/>
        </w:rPr>
        <w:t xml:space="preserve">the EM&amp;V draft, </w:t>
      </w:r>
      <w:r>
        <w:rPr>
          <w:color w:val="000000"/>
        </w:rPr>
        <w:t>and the informal filing</w:t>
      </w:r>
      <w:r w:rsidR="009F3660">
        <w:rPr>
          <w:color w:val="000000"/>
        </w:rPr>
        <w:t xml:space="preserve"> </w:t>
      </w:r>
      <w:r w:rsidR="00915633">
        <w:rPr>
          <w:color w:val="000000"/>
        </w:rPr>
        <w:t>are</w:t>
      </w:r>
      <w:r w:rsidR="009F3660">
        <w:rPr>
          <w:color w:val="000000"/>
        </w:rPr>
        <w:t xml:space="preserve"> provided in</w:t>
      </w:r>
      <w:r w:rsidR="00B26887" w:rsidRPr="00301C34">
        <w:rPr>
          <w:color w:val="000000"/>
        </w:rPr>
        <w:t xml:space="preserve"> </w:t>
      </w:r>
      <w:r w:rsidR="00196499">
        <w:rPr>
          <w:color w:val="000000"/>
        </w:rPr>
        <w:t xml:space="preserve">Attachment </w:t>
      </w:r>
      <w:r w:rsidR="009930C1">
        <w:rPr>
          <w:color w:val="000000"/>
        </w:rPr>
        <w:t>A</w:t>
      </w:r>
      <w:r w:rsidR="00B26887" w:rsidRPr="00301C34">
        <w:rPr>
          <w:color w:val="000000"/>
        </w:rPr>
        <w:t xml:space="preserve">. </w:t>
      </w:r>
    </w:p>
    <w:p w:rsidR="001A5EF5" w:rsidRDefault="001A5EF5" w:rsidP="00B26887">
      <w:pPr>
        <w:pStyle w:val="NoSpacing"/>
        <w:spacing w:before="0" w:beforeAutospacing="0" w:after="0" w:afterAutospacing="0" w:line="480" w:lineRule="auto"/>
        <w:jc w:val="both"/>
        <w:rPr>
          <w:color w:val="000000"/>
        </w:rPr>
      </w:pPr>
    </w:p>
    <w:p w:rsidR="00D30FCD" w:rsidRPr="00D30FCD" w:rsidRDefault="00D30FCD" w:rsidP="00D30FCD">
      <w:pPr>
        <w:pStyle w:val="NoSpacing"/>
        <w:spacing w:before="0" w:beforeAutospacing="0" w:after="0" w:afterAutospacing="0" w:line="480" w:lineRule="auto"/>
        <w:jc w:val="center"/>
        <w:rPr>
          <w:b/>
          <w:color w:val="000000"/>
        </w:rPr>
      </w:pPr>
      <w:r w:rsidRPr="00D30FCD">
        <w:rPr>
          <w:b/>
          <w:color w:val="000000"/>
        </w:rPr>
        <w:t>IV.</w:t>
      </w:r>
      <w:r w:rsidRPr="00D30FCD">
        <w:rPr>
          <w:b/>
          <w:color w:val="000000"/>
        </w:rPr>
        <w:tab/>
      </w:r>
      <w:r w:rsidR="00541B85">
        <w:rPr>
          <w:b/>
          <w:color w:val="000000"/>
        </w:rPr>
        <w:t xml:space="preserve">CONSERVATION </w:t>
      </w:r>
      <w:r w:rsidRPr="00D30FCD">
        <w:rPr>
          <w:b/>
          <w:color w:val="000000"/>
        </w:rPr>
        <w:t>PROGRAM</w:t>
      </w:r>
      <w:r w:rsidR="00541B85">
        <w:rPr>
          <w:b/>
          <w:color w:val="000000"/>
        </w:rPr>
        <w:t>S</w:t>
      </w:r>
    </w:p>
    <w:p w:rsidR="00B26887" w:rsidRDefault="00D30FCD" w:rsidP="00D30FCD">
      <w:pPr>
        <w:pStyle w:val="NoSpacing"/>
        <w:spacing w:before="0" w:beforeAutospacing="0" w:after="0" w:afterAutospacing="0" w:line="480" w:lineRule="auto"/>
        <w:jc w:val="both"/>
      </w:pPr>
      <w:r>
        <w:t xml:space="preserve">Avista’s energy efficiency programs provide a wide range of conservation programs and education for residential, commercial, industrial and low income customers. Programs fall into </w:t>
      </w:r>
      <w:r w:rsidR="007F0E72">
        <w:t>standard offer (or “</w:t>
      </w:r>
      <w:r>
        <w:t>prescriptive</w:t>
      </w:r>
      <w:r w:rsidR="007F0E72">
        <w:t>”)</w:t>
      </w:r>
      <w:r>
        <w:t xml:space="preserve"> and </w:t>
      </w:r>
      <w:r w:rsidR="007F0E72">
        <w:t>customized (or “</w:t>
      </w:r>
      <w:r>
        <w:t>site-specific</w:t>
      </w:r>
      <w:r w:rsidR="007F0E72">
        <w:t>”)</w:t>
      </w:r>
      <w:r>
        <w:t xml:space="preserve"> classifications. Prescriptive programs offer cash incentives for standardized products, such as </w:t>
      </w:r>
      <w:r w:rsidR="007F0E72">
        <w:t xml:space="preserve">weatherization measures and </w:t>
      </w:r>
      <w:r>
        <w:t xml:space="preserve">high efficiency appliances. These programs are primarily directed towards residential and small commercial customers. Site-specific programs provide cash incentives </w:t>
      </w:r>
      <w:r w:rsidR="007F0E72">
        <w:t xml:space="preserve">to commercial and industrial customers </w:t>
      </w:r>
      <w:r>
        <w:t xml:space="preserve">for any </w:t>
      </w:r>
      <w:r w:rsidRPr="001A5EF5">
        <w:t>cost-effective</w:t>
      </w:r>
      <w:r>
        <w:t xml:space="preserve"> energy savings measure with a </w:t>
      </w:r>
      <w:r w:rsidR="007F0E72">
        <w:t xml:space="preserve">simple </w:t>
      </w:r>
      <w:r>
        <w:t xml:space="preserve">payback greater </w:t>
      </w:r>
      <w:r>
        <w:lastRenderedPageBreak/>
        <w:t>than one year. These site-specific programs require customized services for commercial and industrial customers because many applications need to be tailored to the uniq</w:t>
      </w:r>
      <w:r w:rsidR="007F0E72">
        <w:t>ue characteristics of customers’</w:t>
      </w:r>
      <w:r>
        <w:t xml:space="preserve"> premises and processes.</w:t>
      </w:r>
      <w:r w:rsidR="00135FA7">
        <w:t xml:space="preserve"> Provided as </w:t>
      </w:r>
      <w:r w:rsidR="00F61A3A">
        <w:t>A</w:t>
      </w:r>
      <w:r w:rsidR="00B6557B">
        <w:t xml:space="preserve">ttachment </w:t>
      </w:r>
      <w:r w:rsidR="009930C1">
        <w:t>B</w:t>
      </w:r>
      <w:r w:rsidR="00135FA7">
        <w:t xml:space="preserve"> is the Company’s 2010 </w:t>
      </w:r>
      <w:r w:rsidR="007F0E72">
        <w:t xml:space="preserve">DSM </w:t>
      </w:r>
      <w:r w:rsidR="00135FA7">
        <w:t>Business Plan</w:t>
      </w:r>
      <w:r w:rsidR="007F0E72">
        <w:t xml:space="preserve">, a </w:t>
      </w:r>
      <w:r w:rsidR="002A796C">
        <w:t>207</w:t>
      </w:r>
      <w:r w:rsidR="00494206">
        <w:t xml:space="preserve"> page document that</w:t>
      </w:r>
      <w:r w:rsidR="00135FA7">
        <w:t xml:space="preserve"> provides </w:t>
      </w:r>
      <w:r w:rsidR="007F0E72">
        <w:t>substantial</w:t>
      </w:r>
      <w:r w:rsidR="00135FA7">
        <w:t xml:space="preserve"> detail</w:t>
      </w:r>
      <w:r w:rsidR="007F0E72">
        <w:t>s about Avista’s energy efficiency</w:t>
      </w:r>
      <w:r w:rsidR="00135FA7">
        <w:t xml:space="preserve"> programs.</w:t>
      </w:r>
    </w:p>
    <w:p w:rsidR="00D30FCD" w:rsidRDefault="00D30FCD" w:rsidP="00D30FCD">
      <w:pPr>
        <w:pStyle w:val="NoSpacing"/>
        <w:spacing w:before="0" w:beforeAutospacing="0" w:after="0" w:afterAutospacing="0" w:line="480" w:lineRule="auto"/>
        <w:jc w:val="both"/>
      </w:pPr>
    </w:p>
    <w:p w:rsidR="00D30FCD" w:rsidRDefault="00D30FCD" w:rsidP="00D30FCD">
      <w:pPr>
        <w:pStyle w:val="BodyText"/>
      </w:pPr>
      <w:r>
        <w:t xml:space="preserve">Avista </w:t>
      </w:r>
      <w:r w:rsidR="00F25A26">
        <w:t xml:space="preserve">has used the results of its </w:t>
      </w:r>
      <w:r>
        <w:t xml:space="preserve">IRP </w:t>
      </w:r>
      <w:r w:rsidR="00F25A26">
        <w:t>process</w:t>
      </w:r>
      <w:r>
        <w:t xml:space="preserve"> to establish a budget for conservation measures, determine the size and skill sets necessary for future conservation operations, and identify gene</w:t>
      </w:r>
      <w:r w:rsidR="001A5EF5">
        <w:t>ral target markets for programs</w:t>
      </w:r>
      <w:r>
        <w:t>. The results of the IRP analysis establish baseline goals for continued development and enhancement of Avista’s conservation programs</w:t>
      </w:r>
      <w:r w:rsidR="001A5EF5">
        <w:t xml:space="preserve"> and an operational conservation business plan</w:t>
      </w:r>
      <w:r w:rsidR="005D750D">
        <w:t>. However</w:t>
      </w:r>
      <w:r w:rsidR="00ED5770">
        <w:t>, for purposes of this compliance period, Avista is using the Council’s 6</w:t>
      </w:r>
      <w:r w:rsidR="00ED5770" w:rsidRPr="00ED5770">
        <w:rPr>
          <w:vertAlign w:val="superscript"/>
        </w:rPr>
        <w:t>th</w:t>
      </w:r>
      <w:r w:rsidR="00ED5770">
        <w:t xml:space="preserve"> Power Plan</w:t>
      </w:r>
      <w:r w:rsidR="005D750D">
        <w:t xml:space="preserve"> with the previously explained addition to the acquisition target for </w:t>
      </w:r>
      <w:r w:rsidR="001959A0">
        <w:t xml:space="preserve">residential and non-residential </w:t>
      </w:r>
      <w:r w:rsidR="005D750D">
        <w:t>electric-to-natural gas efficiency measures</w:t>
      </w:r>
      <w:r w:rsidR="00ED5770">
        <w:t>.</w:t>
      </w:r>
      <w:r w:rsidR="00875146">
        <w:t xml:space="preserve"> </w:t>
      </w:r>
      <w:r w:rsidR="00ED5770">
        <w:t xml:space="preserve"> </w:t>
      </w:r>
      <w:r w:rsidR="00875146">
        <w:t xml:space="preserve">The Council’s statutory authority is limited to electric-efficiency savings not to include conversions to other fuels.  </w:t>
      </w:r>
      <w:r>
        <w:t>The near-term conservation business planning is summarized by portfolio in the following sections</w:t>
      </w:r>
      <w:r w:rsidR="00FC0353">
        <w:t xml:space="preserve"> (excepting regional programs which will be described later in Section V)</w:t>
      </w:r>
      <w:r>
        <w:t>:</w:t>
      </w:r>
    </w:p>
    <w:p w:rsidR="00B6557B" w:rsidRDefault="00B6557B" w:rsidP="00D30FCD">
      <w:pPr>
        <w:pStyle w:val="BodyText"/>
      </w:pPr>
    </w:p>
    <w:p w:rsidR="00D30FCD" w:rsidRDefault="00D30FCD" w:rsidP="00D30FCD">
      <w:pPr>
        <w:pStyle w:val="Heading3"/>
      </w:pPr>
      <w:r>
        <w:t>Residential Portfolio</w:t>
      </w:r>
    </w:p>
    <w:p w:rsidR="00F61A3A" w:rsidRPr="00F61A3A" w:rsidRDefault="00F61A3A" w:rsidP="00F61A3A"/>
    <w:p w:rsidR="00D30FCD" w:rsidRPr="00D30FCD" w:rsidRDefault="00D30FCD" w:rsidP="00D30FCD"/>
    <w:p w:rsidR="00494206" w:rsidRDefault="00A168E1" w:rsidP="00D30FCD">
      <w:pPr>
        <w:pStyle w:val="BodyText"/>
      </w:pPr>
      <w:r>
        <w:t xml:space="preserve">Avista’s residential programs include high efficiency equipment, compact fluorescent lights (CFLs), “second” refrigerator recycling, weatherization, rooftop dampers as well as providing educational assistance through various community events.  Additionally, Avista has long encouraged the direct-use of natural gas to its electric customers.  The Company is continuing this effort with residential rebates for the conversion of electric to natural gas space and water heat </w:t>
      </w:r>
      <w:r>
        <w:lastRenderedPageBreak/>
        <w:t xml:space="preserve">loads as well as a broad program for any non-residential electric to natural gas conversions meeting specified criteria for relative British Thermal Unit (BTU) efficiency.  </w:t>
      </w:r>
      <w:r w:rsidR="00D30FCD">
        <w:t xml:space="preserve">A review of residential program concepts and their sensitivity to key assumptions </w:t>
      </w:r>
      <w:r w:rsidR="005E4D80">
        <w:t xml:space="preserve">included in the IRP process </w:t>
      </w:r>
      <w:r w:rsidR="00D30FCD">
        <w:t>indicate that more detailed assumptions based upon actual program plans and target markets may improve the cost-effectiveness of m</w:t>
      </w:r>
      <w:r w:rsidR="005E4D80">
        <w:t xml:space="preserve">any of the residential concepts.  Thus, </w:t>
      </w:r>
      <w:r w:rsidR="00D30FCD">
        <w:t xml:space="preserve">all concepts with Total Resource Cost (TRC) benefit-to-cost ratios of 0.75 or better are evaluated as part of the business planning process. </w:t>
      </w:r>
      <w:r w:rsidR="001A5EF5">
        <w:t>See additional details in Attachment B</w:t>
      </w:r>
      <w:r w:rsidR="00BA591E">
        <w:t>, beginning at page 93</w:t>
      </w:r>
      <w:r w:rsidR="001A5EF5">
        <w:t>.</w:t>
      </w:r>
    </w:p>
    <w:p w:rsidR="00F61A3A" w:rsidRDefault="00F61A3A" w:rsidP="00D30FCD">
      <w:pPr>
        <w:pStyle w:val="BodyText"/>
      </w:pPr>
    </w:p>
    <w:p w:rsidR="00D30FCD" w:rsidRDefault="00D30FCD" w:rsidP="00D30FCD">
      <w:pPr>
        <w:pStyle w:val="Heading3"/>
      </w:pPr>
      <w:r>
        <w:t>Limited Income Residential Portfolio</w:t>
      </w:r>
    </w:p>
    <w:p w:rsidR="00D30FCD" w:rsidRPr="00D30FCD" w:rsidRDefault="00D30FCD" w:rsidP="00D30FCD"/>
    <w:p w:rsidR="00D30FCD" w:rsidRDefault="00D30FCD" w:rsidP="00D30FCD">
      <w:pPr>
        <w:pStyle w:val="BodyText"/>
      </w:pPr>
      <w:r>
        <w:t>Avista is committed to maintaining stable funding and maintaining program flexibility for limited income conservation programs. There are six local community action partner (CAP) agencies</w:t>
      </w:r>
      <w:r w:rsidR="005E4D80">
        <w:t>—five in Washington—that the Company funds for the</w:t>
      </w:r>
      <w:r>
        <w:t xml:space="preserve"> deliver</w:t>
      </w:r>
      <w:r w:rsidR="005E4D80">
        <w:t>y of</w:t>
      </w:r>
      <w:r>
        <w:t xml:space="preserve"> limited income weatherization and energy effi</w:t>
      </w:r>
      <w:r w:rsidR="005E4D80">
        <w:t>ciency programs. CAP</w:t>
      </w:r>
      <w:r>
        <w:t xml:space="preserve"> funding is currently set a</w:t>
      </w:r>
      <w:r w:rsidR="005E4D80">
        <w:t>t $1,</w:t>
      </w:r>
      <w:r w:rsidR="00B6557B">
        <w:t>482</w:t>
      </w:r>
      <w:r w:rsidR="005E4D80">
        <w:t xml:space="preserve">,000 million per year </w:t>
      </w:r>
      <w:r w:rsidR="00B6557B">
        <w:t>for the State of Washington</w:t>
      </w:r>
      <w:r>
        <w:t xml:space="preserve">. </w:t>
      </w:r>
      <w:r w:rsidR="005E4D80">
        <w:t xml:space="preserve"> </w:t>
      </w:r>
      <w:r>
        <w:t>Limited incom</w:t>
      </w:r>
      <w:r w:rsidR="005E4D80">
        <w:t>e programs include</w:t>
      </w:r>
      <w:r>
        <w:t xml:space="preserve"> </w:t>
      </w:r>
      <w:r w:rsidR="005E4D80">
        <w:t>insulation and</w:t>
      </w:r>
      <w:r>
        <w:t xml:space="preserve"> ENERGY STAR® approved windows, doors and refrigerators, space and water heating upgrades, and electric to natural gas space and water heating conversions. CAP agencies can offer other cost-effective programs with Avista’s approval. These programs require periodic updates because of changes in fuel focus and target measures. </w:t>
      </w:r>
    </w:p>
    <w:p w:rsidR="00F61A3A" w:rsidRDefault="00F61A3A" w:rsidP="00D30FCD">
      <w:pPr>
        <w:pStyle w:val="BodyText"/>
      </w:pPr>
    </w:p>
    <w:p w:rsidR="00D30FCD" w:rsidRDefault="00D30FCD" w:rsidP="00D30FCD">
      <w:pPr>
        <w:pStyle w:val="Heading3"/>
      </w:pPr>
      <w:r>
        <w:t>Non-Residential Portfolio</w:t>
      </w:r>
    </w:p>
    <w:p w:rsidR="00D30FCD" w:rsidRPr="00D30FCD" w:rsidRDefault="00D30FCD" w:rsidP="00D30FCD"/>
    <w:p w:rsidR="00CC680F" w:rsidRDefault="00D30FCD" w:rsidP="00D30FCD">
      <w:pPr>
        <w:pStyle w:val="BodyText"/>
      </w:pPr>
      <w:r>
        <w:t xml:space="preserve">All electric-efficiency measures with a simple payback exceeding one year automatically qualify for </w:t>
      </w:r>
      <w:r w:rsidR="005E4D80">
        <w:t>Avista’s</w:t>
      </w:r>
      <w:r>
        <w:t xml:space="preserve"> non-residential portfolio. The </w:t>
      </w:r>
      <w:r w:rsidR="00135FA7">
        <w:t>Business Plan</w:t>
      </w:r>
      <w:r>
        <w:t xml:space="preserve"> provides </w:t>
      </w:r>
      <w:r w:rsidR="005E4D80">
        <w:t xml:space="preserve">Avista’s </w:t>
      </w:r>
      <w:r>
        <w:t xml:space="preserve">account executives, program managers and end-use engineers with </w:t>
      </w:r>
      <w:r w:rsidR="005E4D80">
        <w:t>guidance</w:t>
      </w:r>
      <w:r>
        <w:t xml:space="preserve"> regarding potentially cost-effective target </w:t>
      </w:r>
      <w:r>
        <w:lastRenderedPageBreak/>
        <w:t>markets. However, the unique and s</w:t>
      </w:r>
      <w:r w:rsidRPr="00657358">
        <w:t>pecific characteristics of a customer’s facility</w:t>
      </w:r>
      <w:r>
        <w:t xml:space="preserve"> override any high-level program prioritization.</w:t>
      </w:r>
      <w:r w:rsidR="001A5EF5">
        <w:t xml:space="preserve">  More details related to the site-specific conservation are provided in Attachment B starting on page </w:t>
      </w:r>
      <w:r w:rsidR="00BA591E">
        <w:t>88</w:t>
      </w:r>
      <w:r w:rsidR="001A5EF5">
        <w:t>.</w:t>
      </w:r>
    </w:p>
    <w:p w:rsidR="00973A6D" w:rsidRDefault="00973A6D" w:rsidP="00D30FCD">
      <w:pPr>
        <w:pStyle w:val="BodyText"/>
      </w:pPr>
    </w:p>
    <w:p w:rsidR="00524944" w:rsidRDefault="00524944" w:rsidP="00524944">
      <w:pPr>
        <w:spacing w:line="480" w:lineRule="auto"/>
        <w:jc w:val="both"/>
      </w:pPr>
      <w:r w:rsidRPr="005157A9">
        <w:t>Avista does not have a sizable agricultural load relative to other utilities.  The Company’</w:t>
      </w:r>
      <w:r>
        <w:t>s “pumping” schedules 31 and 32, the</w:t>
      </w:r>
      <w:r w:rsidRPr="005157A9">
        <w:t>s</w:t>
      </w:r>
      <w:r>
        <w:t>e</w:t>
      </w:r>
      <w:r w:rsidRPr="005157A9">
        <w:t xml:space="preserve"> schedule</w:t>
      </w:r>
      <w:r>
        <w:t>s, which cover</w:t>
      </w:r>
      <w:r w:rsidRPr="005157A9">
        <w:t xml:space="preserve"> both agricultural and non-agri</w:t>
      </w:r>
      <w:r>
        <w:t>cultural pumping loads, account</w:t>
      </w:r>
      <w:r w:rsidRPr="005157A9">
        <w:t xml:space="preserve"> for only 2.5% of usage and 2.3% of revenue.  </w:t>
      </w:r>
    </w:p>
    <w:p w:rsidR="00524944" w:rsidRPr="005157A9" w:rsidRDefault="00524944" w:rsidP="00524944">
      <w:pPr>
        <w:spacing w:line="480" w:lineRule="auto"/>
        <w:jc w:val="both"/>
      </w:pPr>
    </w:p>
    <w:p w:rsidR="00973A6D" w:rsidRDefault="00524944" w:rsidP="00524944">
      <w:pPr>
        <w:pStyle w:val="BodyText"/>
      </w:pPr>
      <w:r w:rsidRPr="005157A9">
        <w:rPr>
          <w:color w:val="auto"/>
        </w:rPr>
        <w:t>Pumping efficiency measures are incorporated within Option #1 of the 6</w:t>
      </w:r>
      <w:r w:rsidRPr="005157A9">
        <w:rPr>
          <w:color w:val="auto"/>
          <w:vertAlign w:val="superscript"/>
        </w:rPr>
        <w:t>th</w:t>
      </w:r>
      <w:r w:rsidRPr="005157A9">
        <w:rPr>
          <w:color w:val="auto"/>
        </w:rPr>
        <w:t xml:space="preserve"> Power Plan target, and consequently we regard it as an eligible measure for purposes of meeting our I-937 acquisition target.  Avista generally pursues pumping efficiency opportunities through our site-specific program since, due to the nature of pumping loads in general and the agriculture within our service territory in particular, they tend to be fairly unique projects.</w:t>
      </w:r>
      <w:r w:rsidRPr="00BA5DBB">
        <w:t xml:space="preserve"> </w:t>
      </w:r>
      <w:r w:rsidRPr="005157A9">
        <w:t xml:space="preserve">The attached Excel worksheet </w:t>
      </w:r>
      <w:r>
        <w:t xml:space="preserve">provided as Attachment C </w:t>
      </w:r>
      <w:r w:rsidRPr="005157A9">
        <w:t>further breaks out usage and revenue by rate class for 2009.</w:t>
      </w:r>
    </w:p>
    <w:p w:rsidR="00F61A3A" w:rsidRDefault="00F61A3A" w:rsidP="00D30FCD">
      <w:pPr>
        <w:pStyle w:val="BodyText"/>
      </w:pPr>
    </w:p>
    <w:p w:rsidR="00D30FCD" w:rsidRDefault="00D30FCD" w:rsidP="00B26887">
      <w:pPr>
        <w:pStyle w:val="NoSpacing"/>
        <w:spacing w:before="0" w:beforeAutospacing="0" w:after="0" w:afterAutospacing="0"/>
        <w:rPr>
          <w:rFonts w:ascii="Arial" w:hAnsi="Arial" w:cs="Arial"/>
          <w:color w:val="000000"/>
          <w:sz w:val="22"/>
          <w:szCs w:val="22"/>
        </w:rPr>
      </w:pPr>
    </w:p>
    <w:p w:rsidR="004538CE" w:rsidRPr="005042B0" w:rsidRDefault="0078608A" w:rsidP="005042B0">
      <w:pPr>
        <w:pStyle w:val="ListParagraph"/>
        <w:spacing w:line="480" w:lineRule="auto"/>
        <w:ind w:left="0"/>
        <w:jc w:val="center"/>
        <w:rPr>
          <w:b/>
          <w:sz w:val="28"/>
        </w:rPr>
      </w:pPr>
      <w:r>
        <w:rPr>
          <w:b/>
        </w:rPr>
        <w:t>V</w:t>
      </w:r>
      <w:r w:rsidR="004538CE" w:rsidRPr="004538CE">
        <w:rPr>
          <w:b/>
        </w:rPr>
        <w:t xml:space="preserve">.  </w:t>
      </w:r>
      <w:r w:rsidR="004538CE" w:rsidRPr="004538CE">
        <w:rPr>
          <w:b/>
        </w:rPr>
        <w:tab/>
        <w:t>ESTABLISHING THE CONSERVATION TARGET</w:t>
      </w:r>
      <w:r w:rsidR="004538CE" w:rsidRPr="004538CE">
        <w:rPr>
          <w:b/>
          <w:sz w:val="28"/>
        </w:rPr>
        <w:t xml:space="preserve"> </w:t>
      </w:r>
      <w:r w:rsidR="00631F4A" w:rsidRPr="004538CE">
        <w:rPr>
          <w:b/>
        </w:rPr>
        <w:fldChar w:fldCharType="begin"/>
      </w:r>
      <w:r w:rsidR="004538CE">
        <w:instrText xml:space="preserve"> TC "</w:instrText>
      </w:r>
      <w:bookmarkStart w:id="7" w:name="_Toc61252485"/>
      <w:bookmarkStart w:id="8" w:name="_Toc61253178"/>
      <w:bookmarkStart w:id="9" w:name="_Toc61253237"/>
      <w:bookmarkStart w:id="10" w:name="_Toc61327732"/>
      <w:r w:rsidR="004538CE" w:rsidRPr="004538CE">
        <w:rPr>
          <w:b/>
        </w:rPr>
        <w:instrText>VI.  CONCLUSION</w:instrText>
      </w:r>
      <w:bookmarkEnd w:id="7"/>
      <w:bookmarkEnd w:id="8"/>
      <w:bookmarkEnd w:id="9"/>
      <w:bookmarkEnd w:id="10"/>
      <w:r w:rsidR="004538CE">
        <w:instrText xml:space="preserve">" \f C \l "1" </w:instrText>
      </w:r>
      <w:r w:rsidR="00631F4A" w:rsidRPr="004538CE">
        <w:rPr>
          <w:b/>
        </w:rPr>
        <w:fldChar w:fldCharType="end"/>
      </w:r>
    </w:p>
    <w:p w:rsidR="00315EEF" w:rsidRDefault="005E4D80" w:rsidP="005042B0">
      <w:pPr>
        <w:spacing w:line="480" w:lineRule="auto"/>
        <w:jc w:val="both"/>
      </w:pPr>
      <w:r>
        <w:t>WAC</w:t>
      </w:r>
      <w:r w:rsidR="00315EEF">
        <w:t xml:space="preserve"> 480-109 </w:t>
      </w:r>
      <w:r w:rsidR="00315EEF" w:rsidRPr="00EB69E2">
        <w:t>permit</w:t>
      </w:r>
      <w:r>
        <w:t>s</w:t>
      </w:r>
      <w:r w:rsidR="00474DC7">
        <w:t xml:space="preserve"> the utility</w:t>
      </w:r>
      <w:r w:rsidR="00315EEF" w:rsidRPr="00EB69E2">
        <w:t xml:space="preserve"> to establish </w:t>
      </w:r>
      <w:r w:rsidR="00315EEF">
        <w:t xml:space="preserve">electric energy efficiency </w:t>
      </w:r>
      <w:r w:rsidR="00315EEF" w:rsidRPr="00EB69E2">
        <w:t>acquisition targets based upon either the most recent Northwest Power</w:t>
      </w:r>
      <w:r>
        <w:t xml:space="preserve"> and Conservation Council</w:t>
      </w:r>
      <w:r w:rsidR="00315EEF" w:rsidRPr="00EB69E2">
        <w:t xml:space="preserve"> power plan or </w:t>
      </w:r>
      <w:r w:rsidR="00474DC7">
        <w:t>its</w:t>
      </w:r>
      <w:r w:rsidR="00315EEF" w:rsidRPr="00EB69E2">
        <w:t xml:space="preserve"> most recent integ</w:t>
      </w:r>
      <w:r>
        <w:t>rated resource plan (IRP),</w:t>
      </w:r>
      <w:r w:rsidR="00315EEF" w:rsidRPr="00EB69E2">
        <w:t xml:space="preserve"> </w:t>
      </w:r>
      <w:r w:rsidR="001A5EF5">
        <w:t>provided that</w:t>
      </w:r>
      <w:r w:rsidR="00315EEF" w:rsidRPr="00EB69E2">
        <w:t xml:space="preserve"> the methodology used in that IRP is consistent with th</w:t>
      </w:r>
      <w:r w:rsidR="00315EEF">
        <w:t xml:space="preserve">e </w:t>
      </w:r>
      <w:r>
        <w:t>Council’s</w:t>
      </w:r>
      <w:r w:rsidR="00315EEF">
        <w:t xml:space="preserve"> power plan methodology.</w:t>
      </w:r>
      <w:r w:rsidR="00580251">
        <w:rPr>
          <w:rStyle w:val="FootnoteReference"/>
        </w:rPr>
        <w:footnoteReference w:id="3"/>
      </w:r>
    </w:p>
    <w:p w:rsidR="00315EEF" w:rsidRDefault="00315EEF" w:rsidP="005042B0">
      <w:pPr>
        <w:spacing w:line="480" w:lineRule="auto"/>
        <w:jc w:val="both"/>
      </w:pPr>
    </w:p>
    <w:p w:rsidR="00315EEF" w:rsidRDefault="00315EEF" w:rsidP="005042B0">
      <w:pPr>
        <w:spacing w:line="480" w:lineRule="auto"/>
        <w:jc w:val="both"/>
      </w:pPr>
      <w:r w:rsidRPr="00EB69E2">
        <w:t>The 6</w:t>
      </w:r>
      <w:r w:rsidRPr="00EB69E2">
        <w:rPr>
          <w:vertAlign w:val="superscript"/>
        </w:rPr>
        <w:t>th</w:t>
      </w:r>
      <w:r w:rsidRPr="00EB69E2">
        <w:t xml:space="preserve"> Power Plan establishes three options for determining the target of a particular utility and jurisdiction.  The options are distinguished by the degree of market segment disaggregatio</w:t>
      </w:r>
      <w:r>
        <w:t xml:space="preserve">n </w:t>
      </w:r>
      <w:r w:rsidR="00853946">
        <w:t xml:space="preserve">(i.e., energy efficiency measures available to specific customer type) </w:t>
      </w:r>
      <w:r>
        <w:t>contained within the estimate. O</w:t>
      </w:r>
      <w:r w:rsidRPr="00EB69E2">
        <w:t xml:space="preserve">ption #1 is the least disaggregated and contains an acquisition target for the entire utility and jurisdiction, option #2 disaggregates the acquisition into four market segments and option #3 disaggregates acquisition into five market segments.  </w:t>
      </w:r>
    </w:p>
    <w:p w:rsidR="005042B0" w:rsidRDefault="005042B0" w:rsidP="005042B0">
      <w:pPr>
        <w:spacing w:line="480" w:lineRule="auto"/>
        <w:jc w:val="both"/>
      </w:pPr>
    </w:p>
    <w:p w:rsidR="00023F14" w:rsidRDefault="00315EEF" w:rsidP="005042B0">
      <w:pPr>
        <w:spacing w:line="480" w:lineRule="auto"/>
        <w:jc w:val="both"/>
      </w:pPr>
      <w:r w:rsidRPr="00EB69E2">
        <w:t>Avista has chose</w:t>
      </w:r>
      <w:r>
        <w:t xml:space="preserve">n to use </w:t>
      </w:r>
      <w:r w:rsidRPr="00121D31">
        <w:rPr>
          <w:u w:val="single"/>
        </w:rPr>
        <w:t>option #1</w:t>
      </w:r>
      <w:r>
        <w:t xml:space="preserve"> of t</w:t>
      </w:r>
      <w:r w:rsidR="00E968BE">
        <w:t>he 6</w:t>
      </w:r>
      <w:r w:rsidR="00E968BE" w:rsidRPr="00E968BE">
        <w:rPr>
          <w:vertAlign w:val="superscript"/>
        </w:rPr>
        <w:t>th</w:t>
      </w:r>
      <w:r w:rsidR="00E968BE">
        <w:t xml:space="preserve"> Power P</w:t>
      </w:r>
      <w:r w:rsidR="00033FEB">
        <w:t>lan</w:t>
      </w:r>
      <w:r w:rsidRPr="00EB69E2">
        <w:t xml:space="preserve"> to </w:t>
      </w:r>
      <w:r w:rsidR="00033FEB">
        <w:t>reflect its specific share of</w:t>
      </w:r>
      <w:r w:rsidRPr="00EB69E2">
        <w:t xml:space="preserve"> the </w:t>
      </w:r>
      <w:r w:rsidR="00033FEB">
        <w:t>regional target,</w:t>
      </w:r>
      <w:r w:rsidRPr="00EB69E2">
        <w:t xml:space="preserve"> based upon overall a</w:t>
      </w:r>
      <w:r w:rsidR="00033FEB">
        <w:t>cquisition without regard to</w:t>
      </w:r>
      <w:r w:rsidRPr="00EB69E2">
        <w:t xml:space="preserve"> segment</w:t>
      </w:r>
      <w:r w:rsidR="00033FEB">
        <w:t xml:space="preserve">.  </w:t>
      </w:r>
      <w:r w:rsidR="00FD2893">
        <w:t>T</w:t>
      </w:r>
      <w:r>
        <w:t>he Company will</w:t>
      </w:r>
      <w:r w:rsidR="00033FEB">
        <w:t xml:space="preserve"> provide a financial rebate to commercial and i</w:t>
      </w:r>
      <w:r>
        <w:t>ndustrial customers through site-specific program</w:t>
      </w:r>
      <w:r w:rsidR="00033FEB">
        <w:t>s</w:t>
      </w:r>
      <w:r>
        <w:t xml:space="preserve"> for any electric energy saving measure with a simple financial pa</w:t>
      </w:r>
      <w:r w:rsidR="00033FEB">
        <w:t>yback of one-year or over,</w:t>
      </w:r>
      <w:r>
        <w:t xml:space="preserve"> pursuant to Tariff Schedule 90.  </w:t>
      </w:r>
      <w:r w:rsidRPr="00EB69E2">
        <w:t xml:space="preserve">For purposes of the IRP, Avista does attempt to </w:t>
      </w:r>
      <w:r w:rsidR="000A25E5">
        <w:t>identify</w:t>
      </w:r>
      <w:r w:rsidRPr="00EB69E2">
        <w:t xml:space="preserve"> efficiency opportunities to develop an estimate of future cost-effectiveness and acquirable potential.  However, a signific</w:t>
      </w:r>
      <w:r w:rsidR="00147A68">
        <w:t>ant quantity of acquisition results from</w:t>
      </w:r>
      <w:r w:rsidRPr="00EB69E2">
        <w:t xml:space="preserve"> measures that are extremely unique and therefore not amenable to generic analysis or from measures that could be reasonably anticipated during the IRP process.  Consequently</w:t>
      </w:r>
      <w:r>
        <w:t>,</w:t>
      </w:r>
      <w:r w:rsidRPr="00EB69E2">
        <w:t xml:space="preserve"> Avista performs an estimate of the future acquisition of these measures primarily based upon historical acquisition with modifications for customer load growth, price elasticity and other expected events that would improve this estimate.  Acquirable potential for the site-specific program, and all othe</w:t>
      </w:r>
      <w:r w:rsidR="00147A68">
        <w:t>r programs, are derived from</w:t>
      </w:r>
      <w:r w:rsidRPr="00EB69E2">
        <w:t xml:space="preserve"> </w:t>
      </w:r>
      <w:r>
        <w:t xml:space="preserve">results driven by </w:t>
      </w:r>
      <w:r w:rsidRPr="00EB69E2">
        <w:t>program planners and technical staff based upon the specific characteristics of that program and expected market conditions.</w:t>
      </w:r>
      <w:r>
        <w:t xml:space="preserve"> </w:t>
      </w:r>
      <w:r w:rsidR="00023F14">
        <w:t xml:space="preserve"> While historically Avista has </w:t>
      </w:r>
      <w:r w:rsidR="00023F14">
        <w:lastRenderedPageBreak/>
        <w:t xml:space="preserve">used its IRP targets for conservation acquisition, </w:t>
      </w:r>
      <w:r w:rsidR="000A25E5">
        <w:t>due in part to the difficulty in estimating savings from site-specific measures, the Company has chosen to use its share of the</w:t>
      </w:r>
      <w:r w:rsidR="00023F14">
        <w:t xml:space="preserve"> Council’s targets be fo</w:t>
      </w:r>
      <w:r w:rsidR="000A25E5">
        <w:t>r the 2010-2011 biennial period</w:t>
      </w:r>
      <w:r w:rsidR="00023F14">
        <w:t xml:space="preserve">.  </w:t>
      </w:r>
    </w:p>
    <w:p w:rsidR="00023F14" w:rsidRDefault="00023F14" w:rsidP="005042B0">
      <w:pPr>
        <w:spacing w:line="480" w:lineRule="auto"/>
        <w:jc w:val="both"/>
      </w:pPr>
    </w:p>
    <w:p w:rsidR="00023F14" w:rsidRDefault="00023F14" w:rsidP="00023F14">
      <w:pPr>
        <w:pStyle w:val="NoSpacing"/>
        <w:spacing w:before="0" w:beforeAutospacing="0" w:after="0" w:afterAutospacing="0" w:line="480" w:lineRule="auto"/>
        <w:jc w:val="both"/>
      </w:pPr>
      <w:r>
        <w:t xml:space="preserve">The table below shows that Avista’s elected targets based on option </w:t>
      </w:r>
      <w:r w:rsidR="004B1821">
        <w:t>#</w:t>
      </w:r>
      <w:r>
        <w:t>1, under the Council’s 6</w:t>
      </w:r>
      <w:r w:rsidRPr="00023F14">
        <w:rPr>
          <w:vertAlign w:val="superscript"/>
        </w:rPr>
        <w:t>th</w:t>
      </w:r>
      <w:r>
        <w:t xml:space="preserve"> Power Plan</w:t>
      </w:r>
      <w:r w:rsidR="004B1821">
        <w:t>,</w:t>
      </w:r>
      <w:r>
        <w:t xml:space="preserve"> exceeds those of the Company’s IRP targets. </w:t>
      </w:r>
    </w:p>
    <w:p w:rsidR="00315EEF" w:rsidRDefault="004B268B" w:rsidP="005042B0">
      <w:pPr>
        <w:spacing w:line="360" w:lineRule="auto"/>
        <w:jc w:val="both"/>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180975</wp:posOffset>
            </wp:positionV>
            <wp:extent cx="5943600" cy="40290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4029075"/>
                    </a:xfrm>
                    <a:prstGeom prst="rect">
                      <a:avLst/>
                    </a:prstGeom>
                    <a:noFill/>
                    <a:ln w="9525">
                      <a:noFill/>
                      <a:miter lim="800000"/>
                      <a:headEnd/>
                      <a:tailEnd/>
                    </a:ln>
                  </pic:spPr>
                </pic:pic>
              </a:graphicData>
            </a:graphic>
          </wp:anchor>
        </w:drawing>
      </w:r>
    </w:p>
    <w:p w:rsidR="00542B82" w:rsidRDefault="00542B82" w:rsidP="00B8723F">
      <w:pPr>
        <w:pStyle w:val="ListParagraph"/>
        <w:spacing w:line="480" w:lineRule="auto"/>
        <w:ind w:left="0"/>
        <w:jc w:val="both"/>
      </w:pPr>
    </w:p>
    <w:p w:rsidR="00542B82" w:rsidRDefault="00542B82" w:rsidP="00B8723F">
      <w:pPr>
        <w:pStyle w:val="ListParagraph"/>
        <w:spacing w:line="480" w:lineRule="auto"/>
        <w:ind w:left="0"/>
        <w:jc w:val="both"/>
      </w:pPr>
    </w:p>
    <w:p w:rsidR="00542B82" w:rsidRDefault="00542B82" w:rsidP="00B8723F">
      <w:pPr>
        <w:pStyle w:val="ListParagraph"/>
        <w:spacing w:line="480" w:lineRule="auto"/>
        <w:ind w:left="0"/>
        <w:jc w:val="both"/>
      </w:pPr>
    </w:p>
    <w:p w:rsidR="00542B82" w:rsidRDefault="00542B82" w:rsidP="00B8723F">
      <w:pPr>
        <w:pStyle w:val="ListParagraph"/>
        <w:spacing w:line="480" w:lineRule="auto"/>
        <w:ind w:left="0"/>
        <w:jc w:val="both"/>
      </w:pPr>
    </w:p>
    <w:p w:rsidR="00542B82" w:rsidRDefault="00542B82" w:rsidP="00B8723F">
      <w:pPr>
        <w:pStyle w:val="ListParagraph"/>
        <w:spacing w:line="480" w:lineRule="auto"/>
        <w:ind w:left="0"/>
        <w:jc w:val="both"/>
      </w:pPr>
    </w:p>
    <w:p w:rsidR="00542B82" w:rsidRDefault="00542B82" w:rsidP="00B8723F">
      <w:pPr>
        <w:pStyle w:val="ListParagraph"/>
        <w:spacing w:line="480" w:lineRule="auto"/>
        <w:ind w:left="0"/>
        <w:jc w:val="both"/>
      </w:pPr>
    </w:p>
    <w:p w:rsidR="00542B82" w:rsidRDefault="00542B82" w:rsidP="00B8723F">
      <w:pPr>
        <w:pStyle w:val="ListParagraph"/>
        <w:spacing w:line="480" w:lineRule="auto"/>
        <w:ind w:left="0"/>
        <w:jc w:val="both"/>
      </w:pPr>
    </w:p>
    <w:p w:rsidR="00542B82" w:rsidRDefault="00542B82" w:rsidP="00B8723F">
      <w:pPr>
        <w:pStyle w:val="ListParagraph"/>
        <w:spacing w:line="480" w:lineRule="auto"/>
        <w:ind w:left="0"/>
        <w:jc w:val="both"/>
      </w:pPr>
    </w:p>
    <w:p w:rsidR="00542B82" w:rsidRDefault="00542B82" w:rsidP="00B8723F">
      <w:pPr>
        <w:pStyle w:val="ListParagraph"/>
        <w:spacing w:line="480" w:lineRule="auto"/>
        <w:ind w:left="0"/>
        <w:jc w:val="both"/>
      </w:pPr>
    </w:p>
    <w:p w:rsidR="00542B82" w:rsidRDefault="00542B82" w:rsidP="00B8723F">
      <w:pPr>
        <w:pStyle w:val="ListParagraph"/>
        <w:spacing w:line="480" w:lineRule="auto"/>
        <w:ind w:left="0"/>
        <w:jc w:val="both"/>
      </w:pPr>
    </w:p>
    <w:p w:rsidR="00023F14" w:rsidRDefault="00023F14" w:rsidP="00B8723F">
      <w:pPr>
        <w:pStyle w:val="ListParagraph"/>
        <w:spacing w:line="480" w:lineRule="auto"/>
        <w:ind w:left="0"/>
        <w:jc w:val="both"/>
      </w:pPr>
    </w:p>
    <w:p w:rsidR="00A168E1" w:rsidRDefault="00A168E1" w:rsidP="00B8723F">
      <w:pPr>
        <w:pStyle w:val="ListParagraph"/>
        <w:spacing w:line="480" w:lineRule="auto"/>
        <w:ind w:left="0"/>
        <w:jc w:val="both"/>
      </w:pPr>
    </w:p>
    <w:p w:rsidR="00A168E1" w:rsidRDefault="00A168E1" w:rsidP="00B8723F">
      <w:pPr>
        <w:pStyle w:val="ListParagraph"/>
        <w:spacing w:line="480" w:lineRule="auto"/>
        <w:ind w:left="0"/>
        <w:jc w:val="both"/>
      </w:pPr>
    </w:p>
    <w:p w:rsidR="005042B0" w:rsidRDefault="00542B82" w:rsidP="00B8723F">
      <w:pPr>
        <w:pStyle w:val="ListParagraph"/>
        <w:spacing w:line="480" w:lineRule="auto"/>
        <w:ind w:left="0"/>
        <w:jc w:val="both"/>
      </w:pPr>
      <w:r w:rsidRPr="00EB69E2">
        <w:t xml:space="preserve">The </w:t>
      </w:r>
      <w:r w:rsidR="00147A68">
        <w:t>Northwest Power Act,</w:t>
      </w:r>
      <w:r w:rsidRPr="00EB69E2">
        <w:t xml:space="preserve"> establishing the requirement for the </w:t>
      </w:r>
      <w:r w:rsidR="00147A68">
        <w:t>Council’s</w:t>
      </w:r>
      <w:r w:rsidRPr="00EB69E2">
        <w:t xml:space="preserve"> power plan process</w:t>
      </w:r>
      <w:r w:rsidR="00147A68">
        <w:t>,</w:t>
      </w:r>
      <w:r w:rsidRPr="00EB69E2">
        <w:t xml:space="preserve"> contains a specific definition of “conservation” that excludes electri</w:t>
      </w:r>
      <w:r w:rsidR="00F74F3C">
        <w:t>c-to-natural gas conversions.  However, t</w:t>
      </w:r>
      <w:r w:rsidRPr="00EB69E2">
        <w:t xml:space="preserve">hese conversions are eligible for incentives under Avista’s electric efficiency programs, and these measures are often the most cost-effective alternative for both the customer </w:t>
      </w:r>
      <w:r w:rsidRPr="00EB69E2">
        <w:lastRenderedPageBreak/>
        <w:t xml:space="preserve">and the utility.  </w:t>
      </w:r>
      <w:r w:rsidR="002A796C" w:rsidRPr="002A796C">
        <w:t>However, the WUTC has authorized the inclusion of these conversions within Avista’s electric-efficiency programs since 1992.  The conversion of appropriate end-uses is often the most cost-effective alternative for both the customer and the utility and are eligible for incentives under the Company’s Schedule 90 DSM tariff.  For purposes of consistency with the intent of the legislation, the tariffs authorizing Avista’s DSM programs and WUTC policy regarding the utility role in encouraging the appropriate fuel choice, we believe that the inclusion of resources acquired through electric-to-natural gas conversions should be contained within the I-937 target and be considered an eligible measure.</w:t>
      </w:r>
      <w:r w:rsidR="00ED5770">
        <w:t xml:space="preserve"> </w:t>
      </w:r>
      <w:r w:rsidRPr="00EB69E2">
        <w:t>Consequently, Avista has chosen to increase the NPCC option #1 target in the amount of the acquisition incorporated into our corporate budget submittal.  By increasing the target by the amount of acquisition expected from these programs during 2010-2011 we also are proposing that these conversions will become an eligible measure for meeting that target.</w:t>
      </w:r>
    </w:p>
    <w:p w:rsidR="005042B0" w:rsidRDefault="004B268B" w:rsidP="005042B0">
      <w:pPr>
        <w:spacing w:line="480" w:lineRule="auto"/>
        <w:jc w:val="both"/>
      </w:pP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97790</wp:posOffset>
            </wp:positionV>
            <wp:extent cx="5943600" cy="40576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3600" cy="4057650"/>
                    </a:xfrm>
                    <a:prstGeom prst="rect">
                      <a:avLst/>
                    </a:prstGeom>
                    <a:noFill/>
                    <a:ln w="9525">
                      <a:noFill/>
                      <a:miter lim="800000"/>
                      <a:headEnd/>
                      <a:tailEnd/>
                    </a:ln>
                  </pic:spPr>
                </pic:pic>
              </a:graphicData>
            </a:graphic>
          </wp:anchor>
        </w:drawing>
      </w:r>
    </w:p>
    <w:p w:rsidR="005042B0" w:rsidRDefault="005042B0" w:rsidP="005042B0">
      <w:pPr>
        <w:spacing w:line="480" w:lineRule="auto"/>
        <w:jc w:val="both"/>
      </w:pPr>
    </w:p>
    <w:p w:rsidR="005042B0" w:rsidRDefault="005042B0" w:rsidP="005042B0">
      <w:pPr>
        <w:spacing w:line="480" w:lineRule="auto"/>
        <w:jc w:val="both"/>
      </w:pPr>
    </w:p>
    <w:p w:rsidR="005042B0" w:rsidRDefault="005042B0" w:rsidP="005042B0">
      <w:pPr>
        <w:spacing w:line="480" w:lineRule="auto"/>
        <w:jc w:val="both"/>
      </w:pPr>
    </w:p>
    <w:p w:rsidR="005042B0" w:rsidRDefault="005042B0" w:rsidP="005042B0">
      <w:pPr>
        <w:spacing w:line="360" w:lineRule="auto"/>
        <w:jc w:val="both"/>
      </w:pPr>
    </w:p>
    <w:p w:rsidR="00524944" w:rsidRDefault="00524944" w:rsidP="005E4D80">
      <w:pPr>
        <w:spacing w:line="480" w:lineRule="auto"/>
        <w:jc w:val="both"/>
      </w:pPr>
    </w:p>
    <w:p w:rsidR="00524944" w:rsidRDefault="00524944" w:rsidP="005E4D80">
      <w:pPr>
        <w:spacing w:line="480" w:lineRule="auto"/>
        <w:jc w:val="both"/>
      </w:pPr>
    </w:p>
    <w:p w:rsidR="00524944" w:rsidRDefault="00524944" w:rsidP="005E4D80">
      <w:pPr>
        <w:spacing w:line="480" w:lineRule="auto"/>
        <w:jc w:val="both"/>
      </w:pPr>
    </w:p>
    <w:p w:rsidR="00524944" w:rsidRDefault="00524944" w:rsidP="005E4D80">
      <w:pPr>
        <w:spacing w:line="480" w:lineRule="auto"/>
        <w:jc w:val="both"/>
      </w:pPr>
    </w:p>
    <w:p w:rsidR="00524944" w:rsidRDefault="00524944" w:rsidP="005E4D80">
      <w:pPr>
        <w:spacing w:line="480" w:lineRule="auto"/>
        <w:jc w:val="both"/>
      </w:pPr>
    </w:p>
    <w:p w:rsidR="00524944" w:rsidRDefault="00524944" w:rsidP="005E4D80">
      <w:pPr>
        <w:spacing w:line="480" w:lineRule="auto"/>
        <w:jc w:val="both"/>
      </w:pPr>
    </w:p>
    <w:p w:rsidR="00524944" w:rsidRDefault="00524944" w:rsidP="005E4D80">
      <w:pPr>
        <w:spacing w:line="480" w:lineRule="auto"/>
        <w:jc w:val="both"/>
      </w:pPr>
    </w:p>
    <w:p w:rsidR="00524944" w:rsidRDefault="00524944" w:rsidP="005E4D80">
      <w:pPr>
        <w:spacing w:line="480" w:lineRule="auto"/>
        <w:jc w:val="both"/>
      </w:pPr>
    </w:p>
    <w:p w:rsidR="008E5190" w:rsidRDefault="005042B0" w:rsidP="005E4D80">
      <w:pPr>
        <w:spacing w:line="480" w:lineRule="auto"/>
        <w:jc w:val="both"/>
      </w:pPr>
      <w:r w:rsidRPr="00EB69E2">
        <w:t xml:space="preserve">Based upon the selection of this option, it is Avista’s intent to </w:t>
      </w:r>
      <w:r>
        <w:t xml:space="preserve">acquire </w:t>
      </w:r>
      <w:r w:rsidRPr="00EB69E2">
        <w:t xml:space="preserve">128,603 mWh’s of </w:t>
      </w:r>
      <w:r>
        <w:t xml:space="preserve">energy </w:t>
      </w:r>
      <w:r w:rsidRPr="00EB69E2">
        <w:t>efficiency qualifying under our proposal in the first 2010-2011 I-937 compliance period.  Avista’s projection of the acquisition over a ten-year period, assuming that this same option is selected in future complia</w:t>
      </w:r>
      <w:r>
        <w:t xml:space="preserve">nce periods, is 873,302 mWh’s. </w:t>
      </w:r>
      <w:r w:rsidRPr="00EB69E2">
        <w:t>This acquisition will include traditional local electric efficiency measures</w:t>
      </w:r>
      <w:r>
        <w:t>,</w:t>
      </w:r>
      <w:r w:rsidRPr="00EB69E2">
        <w:t xml:space="preserve"> as well as electric to natural gas conversions, quantifiable behavioral efficiencies, distribution system efficiencies on both the customer and utility side of the meter, quantifiable adoption of efficiency measures contained within the scope of the 6</w:t>
      </w:r>
      <w:r w:rsidRPr="00EB69E2">
        <w:rPr>
          <w:vertAlign w:val="superscript"/>
        </w:rPr>
        <w:t>th</w:t>
      </w:r>
      <w:r w:rsidRPr="00EB69E2">
        <w:t xml:space="preserve"> Power Plan beyond utility program intervention and Avista’s share of acquisition achieved by the Northwest Energy Efficiency Alliance</w:t>
      </w:r>
      <w:r>
        <w:t xml:space="preserve"> (NEEA)</w:t>
      </w:r>
      <w:r w:rsidRPr="00EB69E2">
        <w:t>.</w:t>
      </w:r>
      <w:r w:rsidR="00EC1787">
        <w:rPr>
          <w:rStyle w:val="FootnoteReference"/>
        </w:rPr>
        <w:footnoteReference w:id="4"/>
      </w:r>
      <w:r w:rsidRPr="00EB69E2">
        <w:t xml:space="preserve">  Only Washington jurisdictional acquisition will be credited towards achieving the I-937 target.  Avista is not committing to any predetermined allocation of the target acquisition across customer segments or efficiency technologies.</w:t>
      </w:r>
      <w:r w:rsidR="00875146">
        <w:t xml:space="preserve">  </w:t>
      </w:r>
    </w:p>
    <w:p w:rsidR="008E5190" w:rsidRDefault="008E5190" w:rsidP="005E4D80">
      <w:pPr>
        <w:spacing w:line="480" w:lineRule="auto"/>
        <w:jc w:val="both"/>
      </w:pPr>
    </w:p>
    <w:p w:rsidR="008E5190" w:rsidRDefault="008E5190" w:rsidP="005E4D80">
      <w:pPr>
        <w:spacing w:line="480" w:lineRule="auto"/>
        <w:jc w:val="both"/>
      </w:pPr>
      <w:r>
        <w:t xml:space="preserve">In the likely event that Avista identifies a new measure or program that is eligible </w:t>
      </w:r>
      <w:r w:rsidR="00452FAC">
        <w:t>to contribute to the Company’s acquisition target during a two-year compliance period, Avista will provide the Triple-E Board with full documentation of the measure or program in a timely manner.  That documentation will include program eligibility criteria and the planned evaluation, measurement and verification protocols to be applied.  Whenever possible and appropriate these protocols will be consistent with the Regional Technical Forum (RTF) or other recognized peer reviewed protocols.</w:t>
      </w:r>
    </w:p>
    <w:p w:rsidR="005042B0" w:rsidRPr="00EB69E2" w:rsidRDefault="005042B0" w:rsidP="005E4D80">
      <w:pPr>
        <w:spacing w:line="480" w:lineRule="auto"/>
        <w:jc w:val="both"/>
      </w:pPr>
    </w:p>
    <w:p w:rsidR="00FD2893" w:rsidRDefault="005042B0" w:rsidP="005042B0">
      <w:pPr>
        <w:pStyle w:val="ListParagraph"/>
        <w:spacing w:line="480" w:lineRule="auto"/>
        <w:ind w:left="0"/>
        <w:jc w:val="both"/>
      </w:pPr>
      <w:r w:rsidRPr="00EB69E2">
        <w:t xml:space="preserve">For this first compliance period, Avista is electing to establish a target based upon a single acquisition target rather than a range of target acquisition.   </w:t>
      </w:r>
      <w:r w:rsidR="005D750D">
        <w:t xml:space="preserve">We recognize that a new 10 year achievable conservation potential will be determined for the next Biennial Conservation </w:t>
      </w:r>
      <w:r w:rsidR="004B268B">
        <w:t>Target Report</w:t>
      </w:r>
      <w:r w:rsidR="005D750D">
        <w:t xml:space="preserve"> for the 2012-20</w:t>
      </w:r>
      <w:r w:rsidR="004B268B">
        <w:t>21</w:t>
      </w:r>
      <w:r w:rsidR="005D750D">
        <w:t xml:space="preserve"> time period.  Acquisition targets for the 2012-2013 compliance period </w:t>
      </w:r>
      <w:r w:rsidR="00AD1076">
        <w:t xml:space="preserve">will be developed </w:t>
      </w:r>
      <w:r w:rsidR="004B268B">
        <w:t>at a later time.</w:t>
      </w:r>
      <w:r w:rsidR="008E5190">
        <w:t xml:space="preserve"> </w:t>
      </w:r>
      <w:r w:rsidR="00973F6B">
        <w:t xml:space="preserve"> </w:t>
      </w:r>
      <w:r w:rsidR="004B268B" w:rsidRPr="004B268B">
        <w:t xml:space="preserve">RCW 19.285.060(4) provides, ‘The commission … may consider providing positive incentives for an investor-owned utility to exceed the targets established in RCW </w:t>
      </w:r>
      <w:hyperlink r:id="rId10" w:history="1">
        <w:r w:rsidR="004B268B" w:rsidRPr="004B268B">
          <w:rPr>
            <w:rStyle w:val="Hyperlink"/>
            <w:color w:val="auto"/>
            <w:u w:val="none"/>
          </w:rPr>
          <w:t>19.285.040</w:t>
        </w:r>
      </w:hyperlink>
      <w:r w:rsidR="004B268B" w:rsidRPr="004B268B">
        <w:t xml:space="preserve">.” Avista currently has no ratemaking incentive mechanism to provide for rewards to recognize DSM acquisition in excess of targets, and plans to explore such options </w:t>
      </w:r>
      <w:r w:rsidR="004B268B">
        <w:t>in the future</w:t>
      </w:r>
      <w:r w:rsidR="004B268B" w:rsidRPr="004B268B">
        <w:t>.</w:t>
      </w:r>
    </w:p>
    <w:p w:rsidR="004B268B" w:rsidRDefault="004B268B" w:rsidP="005042B0">
      <w:pPr>
        <w:pStyle w:val="ListParagraph"/>
        <w:spacing w:line="480" w:lineRule="auto"/>
        <w:ind w:left="0"/>
        <w:jc w:val="both"/>
      </w:pPr>
    </w:p>
    <w:p w:rsidR="00974E2F" w:rsidRDefault="0078608A" w:rsidP="005042B0">
      <w:pPr>
        <w:spacing w:line="480" w:lineRule="auto"/>
        <w:jc w:val="center"/>
        <w:rPr>
          <w:b/>
        </w:rPr>
      </w:pPr>
      <w:r>
        <w:rPr>
          <w:b/>
        </w:rPr>
        <w:t>V</w:t>
      </w:r>
      <w:r w:rsidR="00541B85">
        <w:rPr>
          <w:b/>
        </w:rPr>
        <w:t>I</w:t>
      </w:r>
      <w:r w:rsidR="00974E2F">
        <w:rPr>
          <w:b/>
        </w:rPr>
        <w:t>.</w:t>
      </w:r>
      <w:r w:rsidR="00974E2F">
        <w:rPr>
          <w:b/>
        </w:rPr>
        <w:tab/>
      </w:r>
      <w:r w:rsidR="00974E2F" w:rsidRPr="00974E2F">
        <w:rPr>
          <w:b/>
        </w:rPr>
        <w:t>QUALIFYING CONSERVATION MEASURES</w:t>
      </w:r>
    </w:p>
    <w:p w:rsidR="00C25984" w:rsidRPr="00974E2F" w:rsidRDefault="00C25984" w:rsidP="005042B0">
      <w:pPr>
        <w:spacing w:line="480" w:lineRule="auto"/>
        <w:jc w:val="center"/>
        <w:rPr>
          <w:b/>
        </w:rPr>
      </w:pPr>
    </w:p>
    <w:p w:rsidR="00CD06B5" w:rsidRDefault="00974E2F" w:rsidP="005042B0">
      <w:pPr>
        <w:spacing w:line="480" w:lineRule="auto"/>
        <w:jc w:val="both"/>
      </w:pPr>
      <w:r>
        <w:t>Acquisition from all conservation measures qualifying under the Northwest Power Act plus electric to natural gas conversion acquisition will qualify towards meeting the conservation target.  This includes measures that may not have been identified during the prior Power Plan due to insufficient information or analysis</w:t>
      </w:r>
      <w:r w:rsidR="000A25E5">
        <w:t>,</w:t>
      </w:r>
      <w:r>
        <w:t xml:space="preserve"> and measures that were evaluated and </w:t>
      </w:r>
      <w:r w:rsidR="000A25E5">
        <w:t>may not have been</w:t>
      </w:r>
      <w:r>
        <w:t xml:space="preserve"> cost-effective </w:t>
      </w:r>
      <w:r w:rsidR="000A25E5">
        <w:t>at the time they were evaluated for</w:t>
      </w:r>
      <w:r>
        <w:t xml:space="preserve"> the Power Plan.</w:t>
      </w:r>
      <w:r w:rsidR="00687D02">
        <w:t xml:space="preserve">  The American Recovery and Reinvestment Act (“ARRA” and also known as “economic stimulus”) has provided funding to Avista for some aspects of energy efficiency programs, to customers for use on energy efficiency projects, and to potential community partners who may expand energy efficiency opportunities.  Energy efficiency measures from ARRA-supported projects are included as qualifying measures.  </w:t>
      </w:r>
    </w:p>
    <w:p w:rsidR="00196499" w:rsidRDefault="00196499" w:rsidP="005042B0">
      <w:pPr>
        <w:spacing w:line="480" w:lineRule="auto"/>
        <w:jc w:val="both"/>
      </w:pPr>
    </w:p>
    <w:p w:rsidR="00687D02" w:rsidRDefault="00687D02" w:rsidP="005042B0">
      <w:pPr>
        <w:spacing w:line="480" w:lineRule="auto"/>
        <w:jc w:val="both"/>
      </w:pPr>
      <w:r>
        <w:t xml:space="preserve">This Conservation Resource Report presumes that no significant structural changes to DSM acquisition, beyond the Company’s control, will occur during the compliance period that would affect target determination.  If changes occur that would materially affect Avista’s DSM targets, the Company will file </w:t>
      </w:r>
      <w:r w:rsidR="00EA267A">
        <w:t>appro</w:t>
      </w:r>
      <w:r w:rsidR="00ED5770">
        <w:t>priate amendments and will be reflected in the Biennial Reports</w:t>
      </w:r>
      <w:r w:rsidR="00EA267A">
        <w:t>.</w:t>
      </w:r>
    </w:p>
    <w:p w:rsidR="004F5F6E" w:rsidRDefault="004F5F6E" w:rsidP="005042B0">
      <w:pPr>
        <w:spacing w:line="480" w:lineRule="auto"/>
        <w:jc w:val="both"/>
      </w:pPr>
    </w:p>
    <w:p w:rsidR="00EA267A" w:rsidRDefault="00974E2F" w:rsidP="00B8723F">
      <w:pPr>
        <w:spacing w:line="480" w:lineRule="auto"/>
        <w:jc w:val="both"/>
      </w:pPr>
      <w:r>
        <w:t xml:space="preserve">If, during the course of any two year compliance period, energy codes or federal manufacturing standards are revised, the baseline for purposes of measuring conservation acquisition will be based upon the codes and standards in effect at the beginning of that compliance period.  In subsequent compliance periods the acquisition target will be modified to account for the higher code or standard and </w:t>
      </w:r>
      <w:r w:rsidR="00ED5770">
        <w:t>an</w:t>
      </w:r>
      <w:r>
        <w:t xml:space="preserve"> adjustment will be made to the measurement of acquisition applicable towards that target.</w:t>
      </w:r>
      <w:r w:rsidR="00EA267A">
        <w:t xml:space="preserve">  </w:t>
      </w:r>
      <w:r>
        <w:t xml:space="preserve">This </w:t>
      </w:r>
      <w:r w:rsidR="00EA267A">
        <w:t xml:space="preserve">convention </w:t>
      </w:r>
      <w:r>
        <w:t>prevents providing utilities with an incentive to oppose cost-effective codes and standards in order to enhance their acquisition relative to the conservation target.</w:t>
      </w:r>
    </w:p>
    <w:p w:rsidR="00D94107" w:rsidRDefault="00D94107" w:rsidP="00B8723F">
      <w:pPr>
        <w:spacing w:line="480" w:lineRule="auto"/>
        <w:jc w:val="both"/>
      </w:pPr>
    </w:p>
    <w:p w:rsidR="00D94107" w:rsidRDefault="00D94107" w:rsidP="00B8723F">
      <w:pPr>
        <w:spacing w:line="480" w:lineRule="auto"/>
        <w:jc w:val="both"/>
      </w:pPr>
      <w:r>
        <w:t xml:space="preserve">The Company is committed to a continuing evaluation of the best methods available to obtain efficiency through </w:t>
      </w:r>
      <w:r w:rsidR="004B7500">
        <w:t>favorably</w:t>
      </w:r>
      <w:r>
        <w:t xml:space="preserve"> influencing how our customers use energy.  In the event that cost-effective programmatic opportunities to pursue these behavioral </w:t>
      </w:r>
      <w:r w:rsidR="004B7500">
        <w:t xml:space="preserve">efficiencies without compromising end-use quality </w:t>
      </w:r>
      <w:r>
        <w:t xml:space="preserve">are identified, it is Avista’s intent to pursue them as part of our demand-side resource portfolio.  If it is possible to develop a reasonable quantification of the energy </w:t>
      </w:r>
      <w:r w:rsidR="004B7500">
        <w:t>efficiencies resulting</w:t>
      </w:r>
      <w:r>
        <w:t xml:space="preserve"> from these programs</w:t>
      </w:r>
      <w:r w:rsidR="004B7500">
        <w:t>, then</w:t>
      </w:r>
      <w:r>
        <w:t xml:space="preserve"> the savings</w:t>
      </w:r>
      <w:r w:rsidR="004B7500">
        <w:t xml:space="preserve"> associated with those efficiencies</w:t>
      </w:r>
      <w:r>
        <w:t xml:space="preserve"> will be included in our portfolio acquisition for </w:t>
      </w:r>
      <w:r w:rsidR="004B7500">
        <w:t xml:space="preserve">purposes of </w:t>
      </w:r>
      <w:r>
        <w:t>meeting the I-937 target.</w:t>
      </w:r>
    </w:p>
    <w:p w:rsidR="00196499" w:rsidRDefault="00196499" w:rsidP="00B8723F">
      <w:pPr>
        <w:spacing w:line="480" w:lineRule="auto"/>
        <w:jc w:val="both"/>
      </w:pPr>
    </w:p>
    <w:p w:rsidR="00EA267A" w:rsidRDefault="00EA267A" w:rsidP="00EA267A">
      <w:pPr>
        <w:spacing w:line="480" w:lineRule="auto"/>
        <w:jc w:val="both"/>
      </w:pPr>
      <w:r>
        <w:lastRenderedPageBreak/>
        <w:t>Avista will claim a share of acquisition resulting from its investment and involvement in the Northwest Energy Efficiency Alliance (NEEA) based upon the best available disaggregation of savings for Avista’s Washington jurisdiction.</w:t>
      </w:r>
    </w:p>
    <w:p w:rsidR="002A796C" w:rsidRDefault="002A796C" w:rsidP="00EA267A">
      <w:pPr>
        <w:spacing w:line="480" w:lineRule="auto"/>
        <w:jc w:val="both"/>
        <w:rPr>
          <w:b/>
        </w:rPr>
      </w:pPr>
    </w:p>
    <w:p w:rsidR="00EA267A" w:rsidRDefault="00BD06BD" w:rsidP="00EA267A">
      <w:pPr>
        <w:spacing w:line="480" w:lineRule="auto"/>
        <w:jc w:val="both"/>
      </w:pPr>
      <w:r w:rsidRPr="00E04DBD">
        <w:rPr>
          <w:b/>
        </w:rPr>
        <w:t>Distribution Efficiency</w:t>
      </w:r>
      <w:r w:rsidR="00E04DBD">
        <w:t xml:space="preserve"> </w:t>
      </w:r>
    </w:p>
    <w:p w:rsidR="000364CC" w:rsidRDefault="00ED5770" w:rsidP="000364CC">
      <w:pPr>
        <w:spacing w:line="480" w:lineRule="auto"/>
        <w:jc w:val="both"/>
      </w:pPr>
      <w:r>
        <w:t>Avista’s</w:t>
      </w:r>
      <w:r w:rsidR="00E04DBD">
        <w:t xml:space="preserve"> </w:t>
      </w:r>
      <w:r w:rsidR="000A2834">
        <w:t xml:space="preserve">distribution </w:t>
      </w:r>
      <w:r w:rsidR="000364CC">
        <w:t xml:space="preserve">engineering staff </w:t>
      </w:r>
      <w:r w:rsidR="00E04DBD">
        <w:t xml:space="preserve">has </w:t>
      </w:r>
      <w:r w:rsidR="000364CC">
        <w:t xml:space="preserve">developed a process to evaluate the quantity </w:t>
      </w:r>
      <w:r w:rsidR="00BD06BD">
        <w:t>and</w:t>
      </w:r>
      <w:r w:rsidR="000364CC">
        <w:t xml:space="preserve"> type of losses across its existing distribution infrastructure. As part of the process, </w:t>
      </w:r>
      <w:r w:rsidR="00CC6403">
        <w:t>Avista</w:t>
      </w:r>
      <w:r w:rsidR="000364CC">
        <w:t xml:space="preserve"> approximated losses across the following compone</w:t>
      </w:r>
      <w:r>
        <w:t>nts of each distribution feeder:</w:t>
      </w:r>
      <w:r w:rsidR="000364CC">
        <w:t xml:space="preserve"> conductors, transformers, secondary districts and </w:t>
      </w:r>
      <w:r w:rsidR="00CC6403">
        <w:t xml:space="preserve">Voltage </w:t>
      </w:r>
      <w:r w:rsidR="000A2834">
        <w:t>Amps Reactive</w:t>
      </w:r>
      <w:r w:rsidR="00CC6403">
        <w:t xml:space="preserve"> (</w:t>
      </w:r>
      <w:r w:rsidR="000364CC">
        <w:t>VAR</w:t>
      </w:r>
      <w:r w:rsidR="00CC6403">
        <w:t>)</w:t>
      </w:r>
      <w:r w:rsidR="000364CC">
        <w:t xml:space="preserve"> compensation.  In order to rank each feeder as a possible efficiency project, an economic analysis </w:t>
      </w:r>
      <w:r w:rsidR="001959A0">
        <w:t xml:space="preserve">based upon lifecycle costing </w:t>
      </w:r>
      <w:r w:rsidR="000364CC">
        <w:t xml:space="preserve">was performed to determine opportunity and priority.  </w:t>
      </w:r>
    </w:p>
    <w:p w:rsidR="000364CC" w:rsidRDefault="000364CC" w:rsidP="000364CC">
      <w:pPr>
        <w:spacing w:line="480" w:lineRule="auto"/>
        <w:jc w:val="both"/>
      </w:pPr>
    </w:p>
    <w:p w:rsidR="000364CC" w:rsidRDefault="000364CC" w:rsidP="000364CC">
      <w:pPr>
        <w:spacing w:line="480" w:lineRule="auto"/>
        <w:jc w:val="both"/>
      </w:pPr>
      <w:r>
        <w:t xml:space="preserve">Recognizing the challenge in approximating energy savings for specific load varying feeders, </w:t>
      </w:r>
      <w:r w:rsidR="00ED5770">
        <w:t xml:space="preserve">the </w:t>
      </w:r>
      <w:r>
        <w:t xml:space="preserve">Avista </w:t>
      </w:r>
      <w:r w:rsidR="00ED5770">
        <w:t xml:space="preserve">distribution </w:t>
      </w:r>
      <w:r>
        <w:t xml:space="preserve">engineering staff developed a program to improve the measurement of power flow across the feeders.  Currently, the measurement of load is limited to drag meters or </w:t>
      </w:r>
      <w:r w:rsidR="00E9563A">
        <w:t>Supervisory Control a</w:t>
      </w:r>
      <w:r w:rsidR="000A2834">
        <w:t>nd Data Acquisition</w:t>
      </w:r>
      <w:r w:rsidR="00E67C29">
        <w:t xml:space="preserve"> </w:t>
      </w:r>
      <w:r w:rsidR="009243B9">
        <w:t>(</w:t>
      </w:r>
      <w:r>
        <w:t>SCADA</w:t>
      </w:r>
      <w:r w:rsidR="009243B9">
        <w:t>)</w:t>
      </w:r>
      <w:r>
        <w:t xml:space="preserve"> points located back at the substation bus. </w:t>
      </w:r>
      <w:r w:rsidR="004B2A28">
        <w:t>The measurement program referred to as “Distribution Reliability Energy Efficiency” (DREE) identified meters and communication infrastructure necessary to measure voltage and current at points along the length of a feeder. The DREE program approach will provide calibration for the engineering models used to approximate energy savings.</w:t>
      </w:r>
      <w:r>
        <w:t xml:space="preserve"> </w:t>
      </w:r>
    </w:p>
    <w:p w:rsidR="000364CC" w:rsidRDefault="000364CC" w:rsidP="000364CC">
      <w:pPr>
        <w:spacing w:line="480" w:lineRule="auto"/>
        <w:jc w:val="both"/>
      </w:pPr>
    </w:p>
    <w:p w:rsidR="000364CC" w:rsidRDefault="000364CC" w:rsidP="000364CC">
      <w:pPr>
        <w:spacing w:line="480" w:lineRule="auto"/>
        <w:jc w:val="both"/>
      </w:pPr>
      <w:r>
        <w:t>Avis</w:t>
      </w:r>
      <w:r w:rsidR="00AE5EE8">
        <w:t>ta has been selected to receive</w:t>
      </w:r>
      <w:r>
        <w:t xml:space="preserve"> grant awards in each of the Smart Grid catego</w:t>
      </w:r>
      <w:r w:rsidR="00222201">
        <w:t>ries “Smart Grid Investment Grant</w:t>
      </w:r>
      <w:r>
        <w:t xml:space="preserve">” (SGIG) and “Smart Grid Demonstration Project” (SGDP) funded by the </w:t>
      </w:r>
      <w:r>
        <w:lastRenderedPageBreak/>
        <w:t xml:space="preserve">American Reinvestment and Recovery Act (ARRA).  Prior to these grant awards, Avista </w:t>
      </w:r>
      <w:r w:rsidR="00AE5EE8">
        <w:t>had evaluated</w:t>
      </w:r>
      <w:r>
        <w:t xml:space="preserve"> a set of feeder upgrade programs independent of</w:t>
      </w:r>
      <w:r w:rsidR="00AE5EE8">
        <w:t>,</w:t>
      </w:r>
      <w:r>
        <w:t xml:space="preserve"> but not exclusive of</w:t>
      </w:r>
      <w:r w:rsidR="00AE5EE8">
        <w:t>,</w:t>
      </w:r>
      <w:r>
        <w:t xml:space="preserve"> smart grid concepts</w:t>
      </w:r>
      <w:r w:rsidR="004B2A28">
        <w:t xml:space="preserve"> as previously discussed</w:t>
      </w:r>
      <w:r>
        <w:t xml:space="preserve">.  </w:t>
      </w:r>
      <w:r w:rsidR="004B2A28">
        <w:t>With the opportunity afforded by the grant funding</w:t>
      </w:r>
      <w:r w:rsidR="00BA591E">
        <w:t>, elements</w:t>
      </w:r>
      <w:r w:rsidR="004B2A28">
        <w:t xml:space="preserve"> of the feeder upgrade program combined with smart grid concepts were deemed appropriate.  Both smart grid projects have energy efficiency targets identified.  </w:t>
      </w:r>
    </w:p>
    <w:p w:rsidR="004B268B" w:rsidRDefault="004B268B" w:rsidP="000364CC">
      <w:pPr>
        <w:spacing w:line="480" w:lineRule="auto"/>
        <w:jc w:val="both"/>
      </w:pPr>
    </w:p>
    <w:p w:rsidR="009D5CFB" w:rsidRDefault="009D5CFB" w:rsidP="000364CC">
      <w:pPr>
        <w:spacing w:line="480" w:lineRule="auto"/>
        <w:jc w:val="both"/>
      </w:pPr>
      <w:r>
        <w:t>Avista</w:t>
      </w:r>
      <w:r w:rsidR="0066788A">
        <w:t>’s incorporation of distribution</w:t>
      </w:r>
      <w:r>
        <w:t xml:space="preserve"> efficiency upgrades </w:t>
      </w:r>
      <w:r w:rsidR="0066788A">
        <w:t xml:space="preserve">is </w:t>
      </w:r>
      <w:r>
        <w:t xml:space="preserve">in accordance with the methodology established by the Northwest Energy Efficiency Alliance (NEEA) and published in the Distribution Efficiency Initiative Report (DEI 2008).  These distribution efficiency upgrades include the addition of capacitor banks and voltage regulators controlled in a complimentary manner to provide system optimization, loss minimization and </w:t>
      </w:r>
      <w:r w:rsidR="0066788A">
        <w:t xml:space="preserve">to </w:t>
      </w:r>
      <w:r>
        <w:t>reduce end of line voltage levels.  Avista</w:t>
      </w:r>
      <w:r w:rsidR="0066788A">
        <w:t xml:space="preserve">’s </w:t>
      </w:r>
      <w:r>
        <w:t>estimate</w:t>
      </w:r>
      <w:r w:rsidR="0066788A">
        <w:t xml:space="preserve"> of</w:t>
      </w:r>
      <w:r>
        <w:t xml:space="preserve"> the savings for distribution efficiency </w:t>
      </w:r>
      <w:r w:rsidR="0066788A">
        <w:t>is</w:t>
      </w:r>
      <w:r>
        <w:t xml:space="preserve"> approximately 1.85% </w:t>
      </w:r>
      <w:r w:rsidR="0066788A">
        <w:t xml:space="preserve">of controlled load </w:t>
      </w:r>
      <w:r>
        <w:t>based on this NEEA methodology.</w:t>
      </w:r>
    </w:p>
    <w:p w:rsidR="009D5CFB" w:rsidRDefault="009D5CFB" w:rsidP="000364CC">
      <w:pPr>
        <w:spacing w:line="480" w:lineRule="auto"/>
        <w:jc w:val="both"/>
      </w:pPr>
    </w:p>
    <w:p w:rsidR="00A3129B" w:rsidRDefault="00A3129B" w:rsidP="00A3129B">
      <w:pPr>
        <w:spacing w:line="480" w:lineRule="auto"/>
        <w:jc w:val="both"/>
      </w:pPr>
      <w:r>
        <w:t xml:space="preserve">Because the distribution efficiency feeder improvements are on a one-to-four year construction cycle, the majority of these savings will not be recognized until a future two-year compliance period (e.g. 2012-2013).  Avista is expecting </w:t>
      </w:r>
      <w:r w:rsidR="004A549E">
        <w:t>approximately</w:t>
      </w:r>
      <w:r>
        <w:t xml:space="preserve"> 3% to 6% </w:t>
      </w:r>
      <w:r w:rsidR="00452ACB">
        <w:t xml:space="preserve">(or 7,000 mWh’s) </w:t>
      </w:r>
      <w:r>
        <w:t>of the currently identified distribution efficiency potential to be completed in the current two-year (2010-2011) compliance period.</w:t>
      </w:r>
    </w:p>
    <w:p w:rsidR="009D5CFB" w:rsidRDefault="009D5CFB" w:rsidP="000364CC">
      <w:pPr>
        <w:spacing w:line="480" w:lineRule="auto"/>
        <w:jc w:val="both"/>
      </w:pPr>
    </w:p>
    <w:p w:rsidR="004F5F6E" w:rsidRDefault="000364CC" w:rsidP="000364CC">
      <w:pPr>
        <w:spacing w:line="480" w:lineRule="auto"/>
        <w:jc w:val="both"/>
      </w:pPr>
      <w:r>
        <w:t xml:space="preserve">In addition to specific efficiency programs, </w:t>
      </w:r>
      <w:r w:rsidR="00AE5EE8">
        <w:t>Avista</w:t>
      </w:r>
      <w:r>
        <w:t xml:space="preserve"> revised existing distribution standards that were based on a life-cycle cost model versus an initial </w:t>
      </w:r>
      <w:r w:rsidR="000A2834">
        <w:t>first</w:t>
      </w:r>
      <w:r>
        <w:t xml:space="preserve"> cost model. The life-cycle cost model takes into consideration the cost of energy loss over the life of the equipment.  As a result of the </w:t>
      </w:r>
      <w:r>
        <w:lastRenderedPageBreak/>
        <w:t>revised standards, distribution infrastructure which requires</w:t>
      </w:r>
      <w:r w:rsidR="00AE5EE8">
        <w:t xml:space="preserve"> rebuilding or replacement as </w:t>
      </w:r>
      <w:r>
        <w:t>part of normal business practices will utilize more efficient equipment. The incremental energy savings resulting from the replacement of old equipme</w:t>
      </w:r>
      <w:r w:rsidR="00AE5EE8">
        <w:t xml:space="preserve">nt with new equipment will be </w:t>
      </w:r>
      <w:r>
        <w:t>counted towards conservation targets.</w:t>
      </w:r>
    </w:p>
    <w:p w:rsidR="00E04DBD" w:rsidRDefault="00E04DBD" w:rsidP="004F5F6E">
      <w:pPr>
        <w:spacing w:line="480" w:lineRule="auto"/>
        <w:jc w:val="both"/>
      </w:pPr>
    </w:p>
    <w:p w:rsidR="00D76A47" w:rsidRDefault="00D76A47" w:rsidP="005042B0">
      <w:pPr>
        <w:spacing w:line="480" w:lineRule="auto"/>
        <w:jc w:val="center"/>
        <w:rPr>
          <w:b/>
        </w:rPr>
      </w:pPr>
      <w:r>
        <w:rPr>
          <w:b/>
        </w:rPr>
        <w:t>V</w:t>
      </w:r>
      <w:r w:rsidR="0078608A">
        <w:rPr>
          <w:b/>
        </w:rPr>
        <w:t>I</w:t>
      </w:r>
      <w:r w:rsidR="00541B85">
        <w:rPr>
          <w:b/>
        </w:rPr>
        <w:t>I</w:t>
      </w:r>
      <w:r>
        <w:rPr>
          <w:b/>
        </w:rPr>
        <w:t>.</w:t>
      </w:r>
      <w:r>
        <w:rPr>
          <w:b/>
        </w:rPr>
        <w:tab/>
      </w:r>
      <w:r w:rsidRPr="00D76A47">
        <w:rPr>
          <w:b/>
        </w:rPr>
        <w:t>MEASUREMENT OF ACQUISITION</w:t>
      </w:r>
    </w:p>
    <w:p w:rsidR="00DF6F4D" w:rsidRDefault="00DF6F4D" w:rsidP="005042B0">
      <w:pPr>
        <w:spacing w:line="480" w:lineRule="auto"/>
        <w:jc w:val="center"/>
        <w:rPr>
          <w:b/>
        </w:rPr>
      </w:pPr>
    </w:p>
    <w:p w:rsidR="00044C75" w:rsidRDefault="00044C75" w:rsidP="005042B0">
      <w:pPr>
        <w:spacing w:line="480" w:lineRule="auto"/>
        <w:jc w:val="both"/>
      </w:pPr>
      <w:r>
        <w:t>Avista is in its 30</w:t>
      </w:r>
      <w:r w:rsidRPr="00044C75">
        <w:rPr>
          <w:vertAlign w:val="superscript"/>
        </w:rPr>
        <w:t>th</w:t>
      </w:r>
      <w:r>
        <w:t xml:space="preserve"> year of providing energy efficiency services.  Its current methodology for evaluation of savings was established in 1995.  The Company has received findings of prudence for its energy efficiency expenditures, under this methodology, from both the Washington and Idaho Commiss</w:t>
      </w:r>
      <w:r w:rsidR="00E04DBD">
        <w:t xml:space="preserve">ion for every period requested </w:t>
      </w:r>
      <w:r>
        <w:t>through 2007.</w:t>
      </w:r>
    </w:p>
    <w:p w:rsidR="00044C75" w:rsidRDefault="00044C75" w:rsidP="005042B0">
      <w:pPr>
        <w:spacing w:line="480" w:lineRule="auto"/>
        <w:jc w:val="both"/>
      </w:pPr>
    </w:p>
    <w:p w:rsidR="00D76A47" w:rsidRDefault="00044C75" w:rsidP="005042B0">
      <w:pPr>
        <w:spacing w:line="480" w:lineRule="auto"/>
        <w:jc w:val="both"/>
      </w:pPr>
      <w:r>
        <w:t xml:space="preserve">Avista is in the process of enhancing its </w:t>
      </w:r>
      <w:r w:rsidR="00D76A47" w:rsidRPr="00192FBB">
        <w:t>Evaluation</w:t>
      </w:r>
      <w:r w:rsidR="000A2834">
        <w:t>, Measurement</w:t>
      </w:r>
      <w:r w:rsidR="00D76A47" w:rsidRPr="00192FBB">
        <w:t xml:space="preserve"> and Verification </w:t>
      </w:r>
      <w:r w:rsidR="009E622F">
        <w:t>protocols</w:t>
      </w:r>
      <w:r w:rsidR="00452ACB">
        <w:t xml:space="preserve"> for customer end-use energy-efficiency</w:t>
      </w:r>
      <w:r w:rsidR="009E622F">
        <w:t xml:space="preserve">.  </w:t>
      </w:r>
      <w:r w:rsidR="00D76A47" w:rsidRPr="00192FBB">
        <w:t xml:space="preserve"> </w:t>
      </w:r>
      <w:r w:rsidR="00452ACB">
        <w:t xml:space="preserve">Distribution efficiency evaluation will be performed as described in the previous section.  </w:t>
      </w:r>
      <w:r w:rsidR="009E622F">
        <w:t xml:space="preserve">The Company </w:t>
      </w:r>
      <w:r w:rsidR="00D76A47" w:rsidRPr="00192FBB">
        <w:t xml:space="preserve">circulated </w:t>
      </w:r>
      <w:r w:rsidR="009E622F">
        <w:t xml:space="preserve">an EM&amp;V draft plan </w:t>
      </w:r>
      <w:r w:rsidR="00D76A47" w:rsidRPr="00192FBB">
        <w:t>for review by the Triple-E board</w:t>
      </w:r>
      <w:r w:rsidR="009E622F">
        <w:t xml:space="preserve"> in November, 2009</w:t>
      </w:r>
      <w:r w:rsidR="00D76A47" w:rsidRPr="00192FBB">
        <w:t>.</w:t>
      </w:r>
      <w:r w:rsidR="009E622F">
        <w:t xml:space="preserve">  The Commission ordered, in Docket Nos. </w:t>
      </w:r>
      <w:r w:rsidR="0002055F" w:rsidRPr="00353FD5">
        <w:rPr>
          <w:color w:val="000000"/>
        </w:rPr>
        <w:t>UE 090134, UG 090135 and UG 060518 (consolidated)</w:t>
      </w:r>
      <w:r w:rsidR="009E622F">
        <w:t>, Avista to initiate a collaborative to review EM&amp;V issues and to provide a report to the Commission on or</w:t>
      </w:r>
      <w:r w:rsidR="00E04DBD">
        <w:t xml:space="preserve"> before September 1, 2010.  That</w:t>
      </w:r>
      <w:r w:rsidR="009E622F">
        <w:t xml:space="preserve"> report will describe Avista’s enhanced EM&amp;V protocols.</w:t>
      </w:r>
    </w:p>
    <w:p w:rsidR="009E622F" w:rsidRDefault="009E622F" w:rsidP="005042B0">
      <w:pPr>
        <w:spacing w:line="480" w:lineRule="auto"/>
        <w:jc w:val="both"/>
        <w:rPr>
          <w:b/>
        </w:rPr>
      </w:pPr>
    </w:p>
    <w:p w:rsidR="000E3E76" w:rsidRDefault="009E622F" w:rsidP="000E3E76">
      <w:pPr>
        <w:spacing w:line="480" w:lineRule="auto"/>
        <w:jc w:val="both"/>
      </w:pPr>
      <w:r>
        <w:t xml:space="preserve">As described in its draft plans, </w:t>
      </w:r>
      <w:r w:rsidR="00ED5770">
        <w:t>EM&amp;V</w:t>
      </w:r>
      <w:r w:rsidR="000E3E76">
        <w:t xml:space="preserve"> </w:t>
      </w:r>
      <w:r>
        <w:t>is intended</w:t>
      </w:r>
      <w:r w:rsidR="000E3E76">
        <w:t xml:space="preserve"> to reflect all</w:t>
      </w:r>
      <w:r>
        <w:t xml:space="preserve"> of the analyse</w:t>
      </w:r>
      <w:r w:rsidR="000E3E76">
        <w:t>s necessary to supply information to stakeholders to a</w:t>
      </w:r>
      <w:r>
        <w:t>dequately determine the prudence</w:t>
      </w:r>
      <w:r w:rsidR="000E3E76">
        <w:t xml:space="preserve"> of Avista’s </w:t>
      </w:r>
      <w:r w:rsidR="00D75329">
        <w:t>DSM Programs.  EM&amp;V</w:t>
      </w:r>
      <w:r>
        <w:t xml:space="preserve"> includes “</w:t>
      </w:r>
      <w:r w:rsidR="007E4C8A">
        <w:t>impact,”</w:t>
      </w:r>
      <w:r>
        <w:t xml:space="preserve"> “process</w:t>
      </w:r>
      <w:r w:rsidR="007E4C8A">
        <w:t>,</w:t>
      </w:r>
      <w:r>
        <w:t>” “market</w:t>
      </w:r>
      <w:r w:rsidR="007E4C8A">
        <w:t>,” and</w:t>
      </w:r>
      <w:r>
        <w:t xml:space="preserve"> </w:t>
      </w:r>
      <w:r w:rsidR="007E4C8A">
        <w:t>“</w:t>
      </w:r>
      <w:r>
        <w:t>cost test</w:t>
      </w:r>
      <w:r w:rsidR="00DF6F4D">
        <w:t>” test analyses.  These</w:t>
      </w:r>
      <w:r w:rsidR="007E4C8A">
        <w:t xml:space="preserve"> </w:t>
      </w:r>
      <w:r w:rsidR="007E4C8A">
        <w:lastRenderedPageBreak/>
        <w:t xml:space="preserve">are described below (and taken as a whole are </w:t>
      </w:r>
      <w:r w:rsidR="000E3E76">
        <w:t xml:space="preserve">synonymous with other terms </w:t>
      </w:r>
      <w:r w:rsidR="007E4C8A">
        <w:t>such as</w:t>
      </w:r>
      <w:r w:rsidR="000E3E76">
        <w:t xml:space="preserve"> </w:t>
      </w:r>
      <w:r w:rsidR="007E4C8A">
        <w:t>“</w:t>
      </w:r>
      <w:r w:rsidR="000E3E76">
        <w:t xml:space="preserve">Portfolio </w:t>
      </w:r>
      <w:r w:rsidR="0002055F">
        <w:t>Evaluation</w:t>
      </w:r>
      <w:r w:rsidR="007E4C8A">
        <w:t>”</w:t>
      </w:r>
      <w:r w:rsidR="000E3E76">
        <w:t xml:space="preserve"> or </w:t>
      </w:r>
      <w:r w:rsidR="007E4C8A">
        <w:t>“</w:t>
      </w:r>
      <w:r w:rsidR="000E3E76">
        <w:t>Program Evaluation</w:t>
      </w:r>
      <w:r w:rsidR="007E4C8A">
        <w:t>”).</w:t>
      </w:r>
      <w:r w:rsidR="000E3E76">
        <w:t xml:space="preserve"> </w:t>
      </w:r>
    </w:p>
    <w:p w:rsidR="00D75329" w:rsidRDefault="00D75329" w:rsidP="000E3E76">
      <w:pPr>
        <w:spacing w:line="480" w:lineRule="auto"/>
        <w:jc w:val="both"/>
      </w:pPr>
    </w:p>
    <w:p w:rsidR="000E3E76" w:rsidRDefault="000E3E76" w:rsidP="000E3E76">
      <w:pPr>
        <w:spacing w:after="200" w:line="360" w:lineRule="auto"/>
        <w:ind w:left="720"/>
        <w:jc w:val="both"/>
      </w:pPr>
      <w:r w:rsidRPr="000E3E76">
        <w:rPr>
          <w:u w:val="single"/>
        </w:rPr>
        <w:t>Impact Analysis</w:t>
      </w:r>
      <w:r>
        <w:t xml:space="preserve"> – </w:t>
      </w:r>
      <w:r w:rsidR="007E4C8A">
        <w:t>Impact analysis provides the documentation</w:t>
      </w:r>
      <w:r>
        <w:t xml:space="preserve"> necessary to prove that the savings estimated within a particular program </w:t>
      </w:r>
      <w:r w:rsidR="00D75329">
        <w:t>are</w:t>
      </w:r>
      <w:r>
        <w:t xml:space="preserve"> equal to the savings realized by all of the customers </w:t>
      </w:r>
      <w:r w:rsidR="00D75329">
        <w:t xml:space="preserve">participating </w:t>
      </w:r>
      <w:r>
        <w:t xml:space="preserve">in that program.  </w:t>
      </w:r>
      <w:r w:rsidR="007E4C8A">
        <w:t>I</w:t>
      </w:r>
      <w:r>
        <w:t>mpact analysis</w:t>
      </w:r>
      <w:r w:rsidR="007E4C8A">
        <w:t xml:space="preserve"> subcomponents include:</w:t>
      </w:r>
    </w:p>
    <w:p w:rsidR="000E3E76" w:rsidRDefault="000E3E76" w:rsidP="000E3E76">
      <w:pPr>
        <w:pStyle w:val="ListParagraph"/>
        <w:numPr>
          <w:ilvl w:val="2"/>
          <w:numId w:val="11"/>
        </w:numPr>
        <w:autoSpaceDE w:val="0"/>
        <w:autoSpaceDN w:val="0"/>
        <w:adjustRightInd w:val="0"/>
        <w:jc w:val="both"/>
      </w:pPr>
      <w:r>
        <w:t xml:space="preserve">Measure Verification </w:t>
      </w:r>
      <w:r w:rsidR="007E4C8A">
        <w:t>applies</w:t>
      </w:r>
      <w:r>
        <w:t xml:space="preserve"> principles of </w:t>
      </w:r>
      <w:r w:rsidR="007E4C8A">
        <w:t xml:space="preserve">the </w:t>
      </w:r>
      <w:r w:rsidRPr="00972F7F">
        <w:t>International Performance</w:t>
      </w:r>
      <w:r>
        <w:t xml:space="preserve"> </w:t>
      </w:r>
      <w:r w:rsidRPr="00972F7F">
        <w:t>Measurement &amp; Verification Protocol</w:t>
      </w:r>
      <w:r w:rsidRPr="000E3E76">
        <w:t xml:space="preserve"> </w:t>
      </w:r>
      <w:r w:rsidR="007E4C8A">
        <w:t>(IPMVP)</w:t>
      </w:r>
      <w:r>
        <w:t xml:space="preserve">.  Only a single measure may be verified using this technique or protocol.  The verification of a statistically significant number of projects using IPMVP techniques </w:t>
      </w:r>
      <w:r w:rsidR="007E4C8A">
        <w:t>is</w:t>
      </w:r>
      <w:r>
        <w:t xml:space="preserve"> often extrapolated to verify and perform impact analysis on whole programs.  The following parameters are necessary for the verification of a measure.</w:t>
      </w:r>
    </w:p>
    <w:p w:rsidR="000E3E76" w:rsidRDefault="000E3E76" w:rsidP="000E3E76">
      <w:pPr>
        <w:autoSpaceDE w:val="0"/>
        <w:autoSpaceDN w:val="0"/>
        <w:adjustRightInd w:val="0"/>
        <w:jc w:val="both"/>
      </w:pPr>
    </w:p>
    <w:p w:rsidR="000E3E76" w:rsidRDefault="000E3E76" w:rsidP="00E51914">
      <w:pPr>
        <w:pStyle w:val="ListParagraph"/>
        <w:numPr>
          <w:ilvl w:val="2"/>
          <w:numId w:val="11"/>
        </w:numPr>
        <w:autoSpaceDE w:val="0"/>
        <w:autoSpaceDN w:val="0"/>
        <w:adjustRightInd w:val="0"/>
        <w:ind w:left="2520"/>
        <w:jc w:val="both"/>
      </w:pPr>
      <w:r>
        <w:t>Process for calculating the savings</w:t>
      </w:r>
      <w:r w:rsidR="00E51914">
        <w:t>;</w:t>
      </w:r>
    </w:p>
    <w:p w:rsidR="000E3E76" w:rsidRDefault="000E3E76" w:rsidP="00E51914">
      <w:pPr>
        <w:pStyle w:val="ListParagraph"/>
        <w:numPr>
          <w:ilvl w:val="2"/>
          <w:numId w:val="11"/>
        </w:numPr>
        <w:autoSpaceDE w:val="0"/>
        <w:autoSpaceDN w:val="0"/>
        <w:adjustRightInd w:val="0"/>
        <w:ind w:left="2520"/>
        <w:jc w:val="both"/>
      </w:pPr>
      <w:r>
        <w:t>Incremental cost of a measure</w:t>
      </w:r>
      <w:r w:rsidR="00E51914">
        <w:t>;</w:t>
      </w:r>
    </w:p>
    <w:p w:rsidR="000E3E76" w:rsidRDefault="000E3E76" w:rsidP="00E51914">
      <w:pPr>
        <w:pStyle w:val="ListParagraph"/>
        <w:numPr>
          <w:ilvl w:val="2"/>
          <w:numId w:val="11"/>
        </w:numPr>
        <w:autoSpaceDE w:val="0"/>
        <w:autoSpaceDN w:val="0"/>
        <w:adjustRightInd w:val="0"/>
        <w:ind w:left="2520"/>
        <w:jc w:val="both"/>
      </w:pPr>
      <w:r>
        <w:t>Installation date</w:t>
      </w:r>
      <w:r w:rsidR="00E51914">
        <w:t>;</w:t>
      </w:r>
    </w:p>
    <w:p w:rsidR="000E3E76" w:rsidRDefault="000E3E76" w:rsidP="00E51914">
      <w:pPr>
        <w:pStyle w:val="ListParagraph"/>
        <w:numPr>
          <w:ilvl w:val="2"/>
          <w:numId w:val="11"/>
        </w:numPr>
        <w:autoSpaceDE w:val="0"/>
        <w:autoSpaceDN w:val="0"/>
        <w:adjustRightInd w:val="0"/>
        <w:ind w:left="2520"/>
        <w:jc w:val="both"/>
      </w:pPr>
      <w:r>
        <w:t>Measure life</w:t>
      </w:r>
      <w:r w:rsidR="00E51914">
        <w:t>;</w:t>
      </w:r>
    </w:p>
    <w:p w:rsidR="000E3E76" w:rsidRDefault="000E3E76" w:rsidP="00E51914">
      <w:pPr>
        <w:pStyle w:val="ListParagraph"/>
        <w:numPr>
          <w:ilvl w:val="2"/>
          <w:numId w:val="11"/>
        </w:numPr>
        <w:autoSpaceDE w:val="0"/>
        <w:autoSpaceDN w:val="0"/>
        <w:adjustRightInd w:val="0"/>
        <w:ind w:left="2520"/>
        <w:jc w:val="both"/>
      </w:pPr>
      <w:r>
        <w:t>Claimed savings</w:t>
      </w:r>
      <w:r w:rsidR="00E51914">
        <w:t>;</w:t>
      </w:r>
    </w:p>
    <w:p w:rsidR="000E3E76" w:rsidRDefault="000E3E76" w:rsidP="00E51914">
      <w:pPr>
        <w:pStyle w:val="ListParagraph"/>
        <w:numPr>
          <w:ilvl w:val="2"/>
          <w:numId w:val="11"/>
        </w:numPr>
        <w:autoSpaceDE w:val="0"/>
        <w:autoSpaceDN w:val="0"/>
        <w:adjustRightInd w:val="0"/>
        <w:ind w:left="2520"/>
        <w:jc w:val="both"/>
      </w:pPr>
      <w:r>
        <w:t>Rate schedule for DFIC Calculation</w:t>
      </w:r>
      <w:r w:rsidR="00E51914">
        <w:t>; and</w:t>
      </w:r>
    </w:p>
    <w:p w:rsidR="000E3E76" w:rsidRDefault="000E3E76" w:rsidP="00E51914">
      <w:pPr>
        <w:pStyle w:val="ListParagraph"/>
        <w:numPr>
          <w:ilvl w:val="2"/>
          <w:numId w:val="11"/>
        </w:numPr>
        <w:autoSpaceDE w:val="0"/>
        <w:autoSpaceDN w:val="0"/>
        <w:adjustRightInd w:val="0"/>
        <w:ind w:left="2520"/>
        <w:jc w:val="both"/>
      </w:pPr>
      <w:r>
        <w:t>Other</w:t>
      </w:r>
    </w:p>
    <w:p w:rsidR="000E3E76" w:rsidRDefault="000E3E76" w:rsidP="000E3E76">
      <w:pPr>
        <w:autoSpaceDE w:val="0"/>
        <w:autoSpaceDN w:val="0"/>
        <w:adjustRightInd w:val="0"/>
        <w:jc w:val="both"/>
      </w:pPr>
    </w:p>
    <w:p w:rsidR="000E3E76" w:rsidRDefault="000E3E76" w:rsidP="00E51914">
      <w:pPr>
        <w:pStyle w:val="ListParagraph"/>
        <w:autoSpaceDE w:val="0"/>
        <w:autoSpaceDN w:val="0"/>
        <w:adjustRightInd w:val="0"/>
        <w:spacing w:line="360" w:lineRule="auto"/>
        <w:ind w:left="1080"/>
        <w:jc w:val="both"/>
      </w:pPr>
      <w:r w:rsidRPr="00E51914">
        <w:rPr>
          <w:u w:val="single"/>
        </w:rPr>
        <w:t>Process Analysis</w:t>
      </w:r>
      <w:r>
        <w:t xml:space="preserve"> –</w:t>
      </w:r>
      <w:r w:rsidR="00E51914">
        <w:t xml:space="preserve"> </w:t>
      </w:r>
      <w:r w:rsidR="007E4C8A">
        <w:t xml:space="preserve">Process analysis </w:t>
      </w:r>
      <w:r>
        <w:t>is the documentation of the continuous changes necessary to create, implement</w:t>
      </w:r>
      <w:r w:rsidR="007E4C8A">
        <w:t>, modify</w:t>
      </w:r>
      <w:r>
        <w:t xml:space="preserve"> and possibly terminate programs.  The following items </w:t>
      </w:r>
      <w:r w:rsidR="00E51914">
        <w:t>are</w:t>
      </w:r>
      <w:r>
        <w:t xml:space="preserve"> </w:t>
      </w:r>
      <w:r w:rsidR="007E4C8A">
        <w:t>included in process a</w:t>
      </w:r>
      <w:r>
        <w:t xml:space="preserve">nalysis.  </w:t>
      </w:r>
    </w:p>
    <w:p w:rsidR="000E3E76" w:rsidRDefault="000E3E76" w:rsidP="000E3E76">
      <w:pPr>
        <w:autoSpaceDE w:val="0"/>
        <w:autoSpaceDN w:val="0"/>
        <w:adjustRightInd w:val="0"/>
        <w:jc w:val="both"/>
      </w:pPr>
    </w:p>
    <w:p w:rsidR="000E3E76" w:rsidRDefault="000E3E76" w:rsidP="000E3E76">
      <w:pPr>
        <w:pStyle w:val="ListParagraph"/>
        <w:numPr>
          <w:ilvl w:val="2"/>
          <w:numId w:val="11"/>
        </w:numPr>
        <w:autoSpaceDE w:val="0"/>
        <w:autoSpaceDN w:val="0"/>
        <w:adjustRightInd w:val="0"/>
        <w:jc w:val="both"/>
      </w:pPr>
      <w:r>
        <w:t>Contact information</w:t>
      </w:r>
      <w:r w:rsidR="00E51914">
        <w:t>;</w:t>
      </w:r>
    </w:p>
    <w:p w:rsidR="000E3E76" w:rsidRDefault="000E3E76" w:rsidP="000E3E76">
      <w:pPr>
        <w:pStyle w:val="ListParagraph"/>
        <w:numPr>
          <w:ilvl w:val="2"/>
          <w:numId w:val="11"/>
        </w:numPr>
        <w:autoSpaceDE w:val="0"/>
        <w:autoSpaceDN w:val="0"/>
        <w:adjustRightInd w:val="0"/>
        <w:jc w:val="both"/>
      </w:pPr>
      <w:r>
        <w:t>Changes to programs over time</w:t>
      </w:r>
      <w:r w:rsidR="00E51914">
        <w:t>;</w:t>
      </w:r>
    </w:p>
    <w:p w:rsidR="000E3E76" w:rsidRDefault="000E3E76" w:rsidP="000E3E76">
      <w:pPr>
        <w:pStyle w:val="ListParagraph"/>
        <w:numPr>
          <w:ilvl w:val="2"/>
          <w:numId w:val="11"/>
        </w:numPr>
        <w:autoSpaceDE w:val="0"/>
        <w:autoSpaceDN w:val="0"/>
        <w:adjustRightInd w:val="0"/>
        <w:jc w:val="both"/>
      </w:pPr>
      <w:r>
        <w:t>Rules for customer qualification</w:t>
      </w:r>
      <w:r w:rsidR="00E51914">
        <w:t>;</w:t>
      </w:r>
    </w:p>
    <w:p w:rsidR="000E3E76" w:rsidRDefault="000E3E76" w:rsidP="000E3E76">
      <w:pPr>
        <w:pStyle w:val="ListParagraph"/>
        <w:numPr>
          <w:ilvl w:val="2"/>
          <w:numId w:val="11"/>
        </w:numPr>
        <w:autoSpaceDE w:val="0"/>
        <w:autoSpaceDN w:val="0"/>
        <w:adjustRightInd w:val="0"/>
        <w:jc w:val="both"/>
      </w:pPr>
      <w:r>
        <w:t>Project Cost data</w:t>
      </w:r>
      <w:r w:rsidR="00E51914">
        <w:t>; and</w:t>
      </w:r>
    </w:p>
    <w:p w:rsidR="000E3E76" w:rsidRDefault="000E3E76" w:rsidP="000E3E76">
      <w:pPr>
        <w:pStyle w:val="ListParagraph"/>
        <w:numPr>
          <w:ilvl w:val="2"/>
          <w:numId w:val="11"/>
        </w:numPr>
        <w:autoSpaceDE w:val="0"/>
        <w:autoSpaceDN w:val="0"/>
        <w:adjustRightInd w:val="0"/>
        <w:jc w:val="both"/>
      </w:pPr>
      <w:r>
        <w:t>Other</w:t>
      </w:r>
    </w:p>
    <w:p w:rsidR="000E3E76" w:rsidRDefault="000E3E76" w:rsidP="000E3E76">
      <w:pPr>
        <w:autoSpaceDE w:val="0"/>
        <w:autoSpaceDN w:val="0"/>
        <w:adjustRightInd w:val="0"/>
        <w:jc w:val="both"/>
      </w:pPr>
    </w:p>
    <w:p w:rsidR="000E3E76" w:rsidRDefault="000E3E76" w:rsidP="000A2834">
      <w:pPr>
        <w:pStyle w:val="ListParagraph"/>
        <w:autoSpaceDE w:val="0"/>
        <w:autoSpaceDN w:val="0"/>
        <w:adjustRightInd w:val="0"/>
        <w:spacing w:line="360" w:lineRule="auto"/>
        <w:ind w:left="1080"/>
        <w:jc w:val="both"/>
      </w:pPr>
      <w:r w:rsidRPr="00E51914">
        <w:rPr>
          <w:u w:val="single"/>
        </w:rPr>
        <w:t>Market Analysis</w:t>
      </w:r>
      <w:r>
        <w:t xml:space="preserve"> –</w:t>
      </w:r>
      <w:r w:rsidR="00E51914">
        <w:t xml:space="preserve"> </w:t>
      </w:r>
      <w:r w:rsidR="007E4C8A">
        <w:t xml:space="preserve">Market analysis determines the effect </w:t>
      </w:r>
      <w:r>
        <w:t xml:space="preserve">of the marketplace </w:t>
      </w:r>
      <w:r w:rsidR="007E4C8A">
        <w:t>on customer implementation of energy efficiency including</w:t>
      </w:r>
      <w:r w:rsidR="00DF6F4D">
        <w:t xml:space="preserve"> </w:t>
      </w:r>
      <w:r w:rsidR="007E4C8A">
        <w:t>customer costs.</w:t>
      </w:r>
      <w:r>
        <w:t xml:space="preserve"> This </w:t>
      </w:r>
      <w:r w:rsidR="00DF6F4D">
        <w:t xml:space="preserve">analysis </w:t>
      </w:r>
      <w:r w:rsidR="000A2834">
        <w:t>is under development and will be included in the Company’s EM&amp;V collaborative with interested parties as previously discussed.</w:t>
      </w:r>
    </w:p>
    <w:p w:rsidR="000E3E76" w:rsidRDefault="000E3E76" w:rsidP="000E3E76">
      <w:pPr>
        <w:autoSpaceDE w:val="0"/>
        <w:autoSpaceDN w:val="0"/>
        <w:adjustRightInd w:val="0"/>
        <w:jc w:val="both"/>
      </w:pPr>
    </w:p>
    <w:p w:rsidR="000E3E76" w:rsidRDefault="000E3E76" w:rsidP="004C21A5">
      <w:pPr>
        <w:pStyle w:val="ListParagraph"/>
        <w:autoSpaceDE w:val="0"/>
        <w:autoSpaceDN w:val="0"/>
        <w:adjustRightInd w:val="0"/>
        <w:spacing w:line="360" w:lineRule="auto"/>
        <w:ind w:left="1080"/>
        <w:jc w:val="both"/>
      </w:pPr>
      <w:r w:rsidRPr="00E51914">
        <w:rPr>
          <w:u w:val="single"/>
        </w:rPr>
        <w:lastRenderedPageBreak/>
        <w:t>Cost Test Analysis</w:t>
      </w:r>
      <w:r>
        <w:t xml:space="preserve"> – </w:t>
      </w:r>
      <w:r w:rsidR="004C21A5">
        <w:t>Cost test analysis combine</w:t>
      </w:r>
      <w:r w:rsidR="00E04DBD">
        <w:t>s</w:t>
      </w:r>
      <w:r w:rsidR="004C21A5">
        <w:t xml:space="preserve"> several industry terms relative to the evaluation of energy efficiency cost-effectiveness including</w:t>
      </w:r>
      <w:r w:rsidR="00E04DBD">
        <w:t xml:space="preserve"> among others</w:t>
      </w:r>
      <w:r w:rsidR="005421B3">
        <w:t>,</w:t>
      </w:r>
      <w:r>
        <w:t xml:space="preserve"> Net to Gross analysis, </w:t>
      </w:r>
      <w:r w:rsidR="00E51914">
        <w:t>Total Resource Cost (</w:t>
      </w:r>
      <w:r>
        <w:t>TRC</w:t>
      </w:r>
      <w:r w:rsidR="00E51914">
        <w:t>)</w:t>
      </w:r>
      <w:r>
        <w:t xml:space="preserve"> analysis, Free Rider</w:t>
      </w:r>
      <w:r w:rsidR="004C21A5">
        <w:t>s or Free Drivers</w:t>
      </w:r>
      <w:r>
        <w:t xml:space="preserve">.  </w:t>
      </w:r>
    </w:p>
    <w:p w:rsidR="00973A6D" w:rsidRDefault="00973A6D" w:rsidP="005042B0">
      <w:pPr>
        <w:spacing w:line="480" w:lineRule="auto"/>
        <w:jc w:val="both"/>
      </w:pPr>
    </w:p>
    <w:p w:rsidR="0002055F" w:rsidRDefault="00973A6D" w:rsidP="00B8723F">
      <w:pPr>
        <w:spacing w:line="480" w:lineRule="auto"/>
        <w:jc w:val="both"/>
      </w:pPr>
      <w:r>
        <w:t>Revisions to reported annual savings may occur due to the results of these EM&amp;V protocols.  These modifications of savings will be documented with supporting analyses and may yield increases or decreases in f</w:t>
      </w:r>
      <w:r w:rsidR="00E04DBD">
        <w:t>inal</w:t>
      </w:r>
      <w:r>
        <w:t xml:space="preserve"> reported savings.  </w:t>
      </w:r>
    </w:p>
    <w:p w:rsidR="005D750D" w:rsidRDefault="005D750D" w:rsidP="00B8723F">
      <w:pPr>
        <w:spacing w:line="480" w:lineRule="auto"/>
        <w:jc w:val="both"/>
      </w:pPr>
    </w:p>
    <w:p w:rsidR="005D750D" w:rsidRDefault="005D750D" w:rsidP="00B8723F">
      <w:pPr>
        <w:spacing w:line="480" w:lineRule="auto"/>
        <w:jc w:val="both"/>
      </w:pPr>
      <w:r>
        <w:t>Avista is not seeking approval of these proposed EM&amp;V protocols at this time.  The explanation described herein is intended to inform the Commission and interested parties of the expected scrutiny for claimed savings, which is the subject of a recently-initiated Collaborative.  The results of the Collaborative, as discussed above, will be filed with the Commission on or before September 1, 2010.</w:t>
      </w:r>
    </w:p>
    <w:p w:rsidR="00AA3A4D" w:rsidRDefault="00AA3A4D" w:rsidP="00B8723F">
      <w:pPr>
        <w:spacing w:line="480" w:lineRule="auto"/>
        <w:jc w:val="both"/>
      </w:pPr>
    </w:p>
    <w:p w:rsidR="00D76A47" w:rsidRDefault="00D76A47" w:rsidP="005042B0">
      <w:pPr>
        <w:spacing w:line="480" w:lineRule="auto"/>
        <w:jc w:val="center"/>
        <w:rPr>
          <w:b/>
        </w:rPr>
      </w:pPr>
      <w:r w:rsidRPr="00D76A47">
        <w:rPr>
          <w:b/>
        </w:rPr>
        <w:t>V</w:t>
      </w:r>
      <w:r w:rsidR="0078608A">
        <w:rPr>
          <w:b/>
        </w:rPr>
        <w:t>II</w:t>
      </w:r>
      <w:r w:rsidR="00541B85">
        <w:rPr>
          <w:b/>
        </w:rPr>
        <w:t>I</w:t>
      </w:r>
      <w:r w:rsidRPr="00D76A47">
        <w:rPr>
          <w:b/>
        </w:rPr>
        <w:t>.</w:t>
      </w:r>
      <w:r w:rsidRPr="00D76A47">
        <w:rPr>
          <w:b/>
        </w:rPr>
        <w:tab/>
      </w:r>
      <w:r w:rsidR="00C561FA">
        <w:rPr>
          <w:b/>
        </w:rPr>
        <w:t>ONGOING PUBLIC INVOLVEMENT RE</w:t>
      </w:r>
      <w:r w:rsidR="0002055F">
        <w:rPr>
          <w:b/>
        </w:rPr>
        <w:t>GARDING</w:t>
      </w:r>
      <w:r w:rsidRPr="00D76A47">
        <w:rPr>
          <w:b/>
        </w:rPr>
        <w:t xml:space="preserve"> TARGET</w:t>
      </w:r>
      <w:r w:rsidR="00C561FA">
        <w:rPr>
          <w:b/>
        </w:rPr>
        <w:t>S</w:t>
      </w:r>
    </w:p>
    <w:p w:rsidR="00C25984" w:rsidRPr="00D76A47" w:rsidRDefault="00C25984" w:rsidP="005042B0">
      <w:pPr>
        <w:spacing w:line="480" w:lineRule="auto"/>
        <w:jc w:val="center"/>
        <w:rPr>
          <w:b/>
        </w:rPr>
      </w:pPr>
    </w:p>
    <w:p w:rsidR="000A2834" w:rsidRDefault="000A2834" w:rsidP="003C7804">
      <w:pPr>
        <w:spacing w:line="480" w:lineRule="auto"/>
        <w:jc w:val="both"/>
      </w:pPr>
      <w:r>
        <w:t>The status of target achievement and associated updates will be provided to interested parties in several ways over the compliance period, beginning with planning. Several meetings with the Triple E will be held in 2010 specific to evaluation, measurement and verification protocols described in Section VII.</w:t>
      </w:r>
    </w:p>
    <w:p w:rsidR="000A2834" w:rsidRDefault="000A2834" w:rsidP="003C7804">
      <w:pPr>
        <w:spacing w:line="480" w:lineRule="auto"/>
        <w:jc w:val="both"/>
      </w:pPr>
    </w:p>
    <w:p w:rsidR="003C7804" w:rsidRDefault="00D76A47" w:rsidP="003C7804">
      <w:pPr>
        <w:spacing w:line="480" w:lineRule="auto"/>
        <w:jc w:val="both"/>
      </w:pPr>
      <w:r>
        <w:t xml:space="preserve">Avista </w:t>
      </w:r>
      <w:r w:rsidR="00C561FA">
        <w:t>provides an annual DSM Business Plan</w:t>
      </w:r>
      <w:r w:rsidR="004F5F6E">
        <w:t xml:space="preserve">, provided </w:t>
      </w:r>
      <w:r w:rsidR="00FC56DC">
        <w:t>here</w:t>
      </w:r>
      <w:r w:rsidR="00C561FA">
        <w:t>in</w:t>
      </w:r>
      <w:r w:rsidR="00FC56DC">
        <w:t xml:space="preserve"> </w:t>
      </w:r>
      <w:r w:rsidR="004F5F6E">
        <w:t xml:space="preserve">as </w:t>
      </w:r>
      <w:r w:rsidR="000A2834">
        <w:t xml:space="preserve">Attachment </w:t>
      </w:r>
      <w:r w:rsidR="00F94393">
        <w:t>B</w:t>
      </w:r>
      <w:r w:rsidR="00C561FA">
        <w:t>.  T</w:t>
      </w:r>
      <w:r w:rsidR="004F5F6E">
        <w:t xml:space="preserve">his </w:t>
      </w:r>
      <w:r>
        <w:t>pr</w:t>
      </w:r>
      <w:r w:rsidR="004F5F6E">
        <w:t>ocess</w:t>
      </w:r>
      <w:r>
        <w:t xml:space="preserve"> guide</w:t>
      </w:r>
      <w:r w:rsidR="004F5F6E">
        <w:t>s</w:t>
      </w:r>
      <w:r>
        <w:t xml:space="preserve"> the business operations </w:t>
      </w:r>
      <w:r w:rsidR="00C561FA">
        <w:t>for</w:t>
      </w:r>
      <w:r w:rsidR="00FC56DC">
        <w:t xml:space="preserve"> the following year.  The annual plan is</w:t>
      </w:r>
      <w:r w:rsidR="00C561FA">
        <w:t xml:space="preserve"> publicly distributed to the Triple-E Board</w:t>
      </w:r>
      <w:r w:rsidR="00FC56DC">
        <w:t>.  Included in the plan are details</w:t>
      </w:r>
      <w:r w:rsidR="00C561FA">
        <w:t xml:space="preserve"> regarding budget, labor,</w:t>
      </w:r>
      <w:r>
        <w:t xml:space="preserve"> programs, outreach, </w:t>
      </w:r>
      <w:r>
        <w:lastRenderedPageBreak/>
        <w:t>measurement and evaluation and other details necessary to achieving the conservation target.</w:t>
      </w:r>
      <w:r w:rsidR="00062A12">
        <w:t xml:space="preserve"> </w:t>
      </w:r>
      <w:r w:rsidR="003C7804">
        <w:t xml:space="preserve">Additionally, the Triple E meets twice a year, providing for ongoing review of Avista’s DSM activities.  </w:t>
      </w:r>
      <w:r w:rsidR="0002055F">
        <w:t>Currently, the</w:t>
      </w:r>
      <w:r w:rsidR="003C7804">
        <w:t xml:space="preserve"> Company provides m</w:t>
      </w:r>
      <w:r w:rsidR="0002055F">
        <w:t>onthly tariff rider balances,</w:t>
      </w:r>
      <w:r w:rsidR="003C7804">
        <w:t xml:space="preserve"> quarterly reports, and provides periodic newsletters with programmatic and statistical updates.</w:t>
      </w:r>
    </w:p>
    <w:p w:rsidR="003C7804" w:rsidRDefault="003C7804" w:rsidP="005042B0">
      <w:pPr>
        <w:spacing w:line="480" w:lineRule="auto"/>
        <w:jc w:val="both"/>
      </w:pPr>
    </w:p>
    <w:p w:rsidR="00D76A47" w:rsidRDefault="00D76A47" w:rsidP="005042B0">
      <w:pPr>
        <w:spacing w:line="480" w:lineRule="auto"/>
        <w:jc w:val="both"/>
      </w:pPr>
      <w:r>
        <w:t>Avista augment</w:t>
      </w:r>
      <w:r w:rsidR="004F5F6E">
        <w:t>ed</w:t>
      </w:r>
      <w:r>
        <w:t xml:space="preserve"> </w:t>
      </w:r>
      <w:r w:rsidR="00062A12">
        <w:t>its</w:t>
      </w:r>
      <w:r>
        <w:t xml:space="preserve"> </w:t>
      </w:r>
      <w:r w:rsidR="00FC56DC">
        <w:t xml:space="preserve">2010 </w:t>
      </w:r>
      <w:r>
        <w:t>DSM Business Plan with an assessment of distribution efficiency improvements planned or contemplated in the following year</w:t>
      </w:r>
      <w:r w:rsidR="0002055F">
        <w:t>.</w:t>
      </w:r>
    </w:p>
    <w:p w:rsidR="00C561FA" w:rsidRDefault="00C561FA" w:rsidP="005042B0">
      <w:pPr>
        <w:spacing w:line="480" w:lineRule="auto"/>
        <w:jc w:val="both"/>
      </w:pPr>
    </w:p>
    <w:p w:rsidR="00875146" w:rsidRDefault="003C7804" w:rsidP="002A796C">
      <w:pPr>
        <w:spacing w:line="480" w:lineRule="auto"/>
        <w:jc w:val="both"/>
      </w:pPr>
      <w:r>
        <w:t>Issues</w:t>
      </w:r>
      <w:r w:rsidR="00973A6D">
        <w:t xml:space="preserve"> that may be addressed</w:t>
      </w:r>
      <w:r>
        <w:t xml:space="preserve"> for future compliance periods will be solicited from interested parties through the Company’s Triple E Board.  For example</w:t>
      </w:r>
      <w:r w:rsidR="00973A6D">
        <w:t xml:space="preserve">, based on </w:t>
      </w:r>
      <w:r>
        <w:t>experience gained in this process, the segmentation of site-specific market penetration for use in the Company’s next IRP may be further pursued.  Further, while not an issue until 2015, better alignment of the Company’s IRP with the Council’s planning for future power plans would increase the quantification of each.  The Company’s DSM planning, as part of its current IRP, was several months ahead of the Council’s DSM planning for its 6</w:t>
      </w:r>
      <w:r w:rsidRPr="003C7804">
        <w:rPr>
          <w:vertAlign w:val="superscript"/>
        </w:rPr>
        <w:t>th</w:t>
      </w:r>
      <w:r>
        <w:t xml:space="preserve"> Power Plan.  Therefore</w:t>
      </w:r>
      <w:r w:rsidR="0002055F">
        <w:t>,</w:t>
      </w:r>
      <w:r>
        <w:t xml:space="preserve"> there was not much opportunity for the two planning efforts to converge as has occurred in past planning cycles.</w:t>
      </w:r>
    </w:p>
    <w:p w:rsidR="006535E3" w:rsidRDefault="006535E3" w:rsidP="002A796C">
      <w:pPr>
        <w:spacing w:line="480" w:lineRule="auto"/>
        <w:jc w:val="both"/>
      </w:pPr>
    </w:p>
    <w:p w:rsidR="004538CE" w:rsidRDefault="0002055F" w:rsidP="005042B0">
      <w:pPr>
        <w:spacing w:line="480" w:lineRule="auto"/>
        <w:jc w:val="center"/>
        <w:rPr>
          <w:b/>
        </w:rPr>
      </w:pPr>
      <w:r>
        <w:rPr>
          <w:b/>
        </w:rPr>
        <w:t>I</w:t>
      </w:r>
      <w:r w:rsidR="0078608A">
        <w:rPr>
          <w:b/>
        </w:rPr>
        <w:t>X</w:t>
      </w:r>
      <w:r w:rsidR="00CA0631" w:rsidRPr="00CA0631">
        <w:rPr>
          <w:b/>
        </w:rPr>
        <w:t>.</w:t>
      </w:r>
      <w:r w:rsidR="00CA0631" w:rsidRPr="00CA0631">
        <w:rPr>
          <w:b/>
        </w:rPr>
        <w:tab/>
        <w:t>CONCLUSION</w:t>
      </w:r>
    </w:p>
    <w:p w:rsidR="00C25984" w:rsidRPr="00CA0631" w:rsidRDefault="00C25984" w:rsidP="005042B0">
      <w:pPr>
        <w:spacing w:line="480" w:lineRule="auto"/>
        <w:jc w:val="center"/>
        <w:rPr>
          <w:b/>
        </w:rPr>
      </w:pPr>
    </w:p>
    <w:p w:rsidR="0078608A" w:rsidRDefault="0078608A" w:rsidP="00FC56DC">
      <w:pPr>
        <w:spacing w:line="480" w:lineRule="auto"/>
        <w:jc w:val="both"/>
      </w:pPr>
      <w:r w:rsidRPr="00EB69E2">
        <w:t>Avista has chose</w:t>
      </w:r>
      <w:r>
        <w:t>n to use</w:t>
      </w:r>
      <w:r w:rsidR="00455A8F">
        <w:t xml:space="preserve"> the Northwest Power Planning Council’s</w:t>
      </w:r>
      <w:r>
        <w:t xml:space="preserve"> </w:t>
      </w:r>
      <w:r w:rsidR="00455A8F">
        <w:t>O</w:t>
      </w:r>
      <w:r w:rsidRPr="00455A8F">
        <w:t xml:space="preserve">ption #1 </w:t>
      </w:r>
      <w:r>
        <w:t xml:space="preserve">of the </w:t>
      </w:r>
      <w:r w:rsidR="00455A8F">
        <w:t>6</w:t>
      </w:r>
      <w:r w:rsidR="00455A8F" w:rsidRPr="00455A8F">
        <w:rPr>
          <w:vertAlign w:val="superscript"/>
        </w:rPr>
        <w:t>th</w:t>
      </w:r>
      <w:r w:rsidR="00455A8F">
        <w:t xml:space="preserve"> Power P</w:t>
      </w:r>
      <w:r>
        <w:t>lan</w:t>
      </w:r>
      <w:r w:rsidR="00455A8F">
        <w:t xml:space="preserve"> to establish</w:t>
      </w:r>
      <w:r w:rsidRPr="00EB69E2">
        <w:t xml:space="preserve"> the </w:t>
      </w:r>
      <w:r w:rsidR="00455A8F">
        <w:t xml:space="preserve">Company’s </w:t>
      </w:r>
      <w:r w:rsidRPr="00EB69E2">
        <w:t>acquisition target</w:t>
      </w:r>
      <w:r w:rsidR="00455A8F">
        <w:t>, adjusted to include electric-to-natural-gas fuel conversions</w:t>
      </w:r>
      <w:r w:rsidRPr="00EB69E2">
        <w:t>.</w:t>
      </w:r>
      <w:r w:rsidR="00455A8F">
        <w:t xml:space="preserve">  The resulting targets are greater than the Company’s Integrated Resource Plan’s </w:t>
      </w:r>
      <w:r w:rsidR="00455A8F">
        <w:lastRenderedPageBreak/>
        <w:t>energy efficiency targets for the same period.</w:t>
      </w:r>
      <w:r w:rsidR="00107C91">
        <w:t xml:space="preserve"> </w:t>
      </w:r>
      <w:r w:rsidR="00455A8F">
        <w:t>Avista intends</w:t>
      </w:r>
      <w:r w:rsidR="00107C91" w:rsidRPr="00EB69E2">
        <w:t xml:space="preserve"> to </w:t>
      </w:r>
      <w:r w:rsidR="00107C91">
        <w:t xml:space="preserve">acquire </w:t>
      </w:r>
      <w:r w:rsidR="00107C91" w:rsidRPr="00EB69E2">
        <w:t xml:space="preserve">128,603 mWh’s of </w:t>
      </w:r>
      <w:r w:rsidR="00107C91">
        <w:t xml:space="preserve">energy </w:t>
      </w:r>
      <w:r w:rsidR="00107C91" w:rsidRPr="00EB69E2">
        <w:t xml:space="preserve">efficiency </w:t>
      </w:r>
      <w:r w:rsidR="00455A8F">
        <w:t xml:space="preserve">as described in this filing in 2010 and </w:t>
      </w:r>
      <w:r w:rsidR="00107C91" w:rsidRPr="00EB69E2">
        <w:t>2011</w:t>
      </w:r>
      <w:r w:rsidR="00455A8F">
        <w:t>, the first</w:t>
      </w:r>
      <w:r w:rsidR="00107C91" w:rsidRPr="00EB69E2">
        <w:t xml:space="preserve"> I-937 </w:t>
      </w:r>
      <w:r w:rsidR="00455A8F">
        <w:t xml:space="preserve">two-year </w:t>
      </w:r>
      <w:r w:rsidR="00107C91" w:rsidRPr="00EB69E2">
        <w:t>compliance period.</w:t>
      </w:r>
      <w:r w:rsidR="00107C91">
        <w:t xml:space="preserve"> </w:t>
      </w:r>
      <w:r w:rsidR="00107C91" w:rsidRPr="00EB69E2">
        <w:t>Avista’s projection of the acquisition over a ten-year period, assuming that this same option is selected in future complia</w:t>
      </w:r>
      <w:r w:rsidR="00107C91">
        <w:t>nce periods, is 873,302 mWh’s.</w:t>
      </w:r>
      <w:r w:rsidR="00455A8F">
        <w:t xml:space="preserve"> </w:t>
      </w:r>
    </w:p>
    <w:p w:rsidR="000A2834" w:rsidRDefault="000A2834" w:rsidP="00FC56DC">
      <w:pPr>
        <w:spacing w:line="480" w:lineRule="auto"/>
        <w:jc w:val="both"/>
      </w:pPr>
    </w:p>
    <w:p w:rsidR="00E9563A" w:rsidRDefault="00E9563A" w:rsidP="00FC56DC">
      <w:pPr>
        <w:spacing w:line="480" w:lineRule="auto"/>
        <w:jc w:val="both"/>
      </w:pPr>
      <w:r>
        <w:t xml:space="preserve">All distribution efficiency programs which are implemented to replace existing infrastructure will qualify towards meeting the conservation target.  In addition to infrastructure upgrades, smart grid related programs will also qualify towards conservation targets. </w:t>
      </w:r>
    </w:p>
    <w:p w:rsidR="00E9563A" w:rsidRDefault="00E9563A" w:rsidP="00FC56DC">
      <w:pPr>
        <w:spacing w:line="480" w:lineRule="auto"/>
        <w:jc w:val="both"/>
      </w:pPr>
    </w:p>
    <w:p w:rsidR="00FC56DC" w:rsidRDefault="00FC56DC" w:rsidP="00FC56DC">
      <w:pPr>
        <w:spacing w:line="480" w:lineRule="auto"/>
        <w:jc w:val="both"/>
      </w:pPr>
      <w:r w:rsidRPr="00192FBB">
        <w:t>Avista will p</w:t>
      </w:r>
      <w:r w:rsidR="00455A8F">
        <w:t>rovide updates to the Triple-E B</w:t>
      </w:r>
      <w:r w:rsidRPr="00192FBB">
        <w:t xml:space="preserve">oard regarding </w:t>
      </w:r>
      <w:r>
        <w:t>its</w:t>
      </w:r>
      <w:r w:rsidRPr="00192FBB">
        <w:t xml:space="preserve"> progress towards meeting the I-937 conservation goal and any significant issues arising regarding acquisition, measurement or planning that may affect compliance.</w:t>
      </w:r>
      <w:r>
        <w:t xml:space="preserve"> </w:t>
      </w:r>
      <w:r w:rsidRPr="00192FBB">
        <w:t xml:space="preserve">This will include </w:t>
      </w:r>
      <w:r w:rsidR="00ED5770">
        <w:t>as part of the Company’s current DSM</w:t>
      </w:r>
      <w:r w:rsidRPr="00192FBB">
        <w:t xml:space="preserve"> quarterly </w:t>
      </w:r>
      <w:r w:rsidR="00ED5770">
        <w:t xml:space="preserve">report, an </w:t>
      </w:r>
      <w:r w:rsidRPr="00192FBB">
        <w:t>estimate of qualifying DSM and distribution efficiency acquisition within each compliance period in comparison to estimated progress towards the acquisition target.</w:t>
      </w:r>
    </w:p>
    <w:p w:rsidR="00FC56DC" w:rsidRDefault="00FC56DC" w:rsidP="00FC56DC">
      <w:pPr>
        <w:spacing w:line="480" w:lineRule="auto"/>
        <w:jc w:val="both"/>
      </w:pPr>
    </w:p>
    <w:p w:rsidR="002A796C" w:rsidRDefault="002A796C" w:rsidP="00FC56DC">
      <w:pPr>
        <w:spacing w:line="480" w:lineRule="auto"/>
        <w:jc w:val="both"/>
      </w:pPr>
    </w:p>
    <w:p w:rsidR="00835F77" w:rsidRDefault="00835F77" w:rsidP="005042B0">
      <w:pPr>
        <w:spacing w:line="480" w:lineRule="auto"/>
        <w:jc w:val="both"/>
      </w:pPr>
      <w:r>
        <w:t>RESPECTFULLY SUBM</w:t>
      </w:r>
      <w:r w:rsidR="0071546D">
        <w:t xml:space="preserve">ITTED this </w:t>
      </w:r>
      <w:r w:rsidR="00524944">
        <w:t>16</w:t>
      </w:r>
      <w:r w:rsidR="00524944" w:rsidRPr="00723B9D">
        <w:rPr>
          <w:vertAlign w:val="superscript"/>
        </w:rPr>
        <w:t>th</w:t>
      </w:r>
      <w:r w:rsidR="00524944">
        <w:t xml:space="preserve"> </w:t>
      </w:r>
      <w:r w:rsidR="0071546D">
        <w:t xml:space="preserve">day of </w:t>
      </w:r>
      <w:r w:rsidR="00A42E34">
        <w:t>April</w:t>
      </w:r>
      <w:r w:rsidR="0071546D">
        <w:t>, 2010</w:t>
      </w:r>
      <w:r>
        <w:t>.</w:t>
      </w:r>
    </w:p>
    <w:p w:rsidR="00835F77" w:rsidRDefault="00835F77" w:rsidP="005042B0">
      <w:pPr>
        <w:jc w:val="both"/>
      </w:pPr>
    </w:p>
    <w:p w:rsidR="00835F77" w:rsidRDefault="00835F77" w:rsidP="005042B0">
      <w:pPr>
        <w:jc w:val="both"/>
      </w:pPr>
      <w:r>
        <w:tab/>
      </w:r>
      <w:r>
        <w:tab/>
      </w:r>
      <w:r>
        <w:tab/>
      </w:r>
      <w:r>
        <w:tab/>
      </w:r>
      <w:r>
        <w:tab/>
      </w:r>
      <w:r>
        <w:tab/>
        <w:t>AVISTA CORPORATION</w:t>
      </w:r>
    </w:p>
    <w:p w:rsidR="00835F77" w:rsidRDefault="00835F77" w:rsidP="005042B0">
      <w:pPr>
        <w:jc w:val="both"/>
      </w:pPr>
    </w:p>
    <w:p w:rsidR="00835F77" w:rsidRDefault="00835F77" w:rsidP="005042B0">
      <w:pPr>
        <w:jc w:val="both"/>
      </w:pPr>
    </w:p>
    <w:p w:rsidR="00835F77" w:rsidRDefault="00835F77" w:rsidP="005042B0">
      <w:pPr>
        <w:jc w:val="both"/>
      </w:pPr>
      <w:r>
        <w:tab/>
      </w:r>
      <w:r>
        <w:tab/>
      </w:r>
      <w:r>
        <w:tab/>
      </w:r>
      <w:r>
        <w:tab/>
      </w:r>
      <w:r>
        <w:tab/>
      </w:r>
      <w:r>
        <w:tab/>
        <w:t xml:space="preserve">By: </w:t>
      </w:r>
      <w:r>
        <w:rPr>
          <w:u w:val="single"/>
        </w:rPr>
        <w:tab/>
      </w:r>
      <w:r w:rsidR="00FC1137" w:rsidRPr="00FC1137">
        <w:rPr>
          <w:rFonts w:ascii="Times" w:hAnsi="Times"/>
          <w:noProof/>
          <w:u w:val="single"/>
        </w:rPr>
        <w:drawing>
          <wp:inline distT="0" distB="0" distL="0" distR="0">
            <wp:extent cx="1600200" cy="5238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00200" cy="523875"/>
                    </a:xfrm>
                    <a:prstGeom prst="rect">
                      <a:avLst/>
                    </a:prstGeom>
                    <a:noFill/>
                    <a:ln w="9525">
                      <a:noFill/>
                      <a:miter lim="800000"/>
                      <a:headEnd/>
                      <a:tailEnd/>
                    </a:ln>
                  </pic:spPr>
                </pic:pic>
              </a:graphicData>
            </a:graphic>
          </wp:inline>
        </w:drawing>
      </w:r>
      <w:r>
        <w:rPr>
          <w:u w:val="single"/>
        </w:rPr>
        <w:tab/>
      </w:r>
      <w:r>
        <w:rPr>
          <w:u w:val="single"/>
        </w:rPr>
        <w:tab/>
      </w:r>
    </w:p>
    <w:p w:rsidR="00835F77" w:rsidRDefault="00835F77" w:rsidP="005042B0">
      <w:pPr>
        <w:jc w:val="both"/>
      </w:pPr>
      <w:r>
        <w:tab/>
      </w:r>
      <w:r>
        <w:tab/>
      </w:r>
      <w:r>
        <w:tab/>
      </w:r>
      <w:r>
        <w:tab/>
      </w:r>
      <w:r>
        <w:tab/>
      </w:r>
      <w:r>
        <w:tab/>
      </w:r>
      <w:r>
        <w:tab/>
      </w:r>
      <w:r w:rsidR="0071546D">
        <w:t>Kelly O. Norwood</w:t>
      </w:r>
    </w:p>
    <w:p w:rsidR="00835F77" w:rsidRDefault="0071546D" w:rsidP="005042B0">
      <w:pPr>
        <w:jc w:val="both"/>
      </w:pPr>
      <w:r>
        <w:tab/>
      </w:r>
      <w:r>
        <w:tab/>
      </w:r>
      <w:r>
        <w:tab/>
      </w:r>
      <w:r>
        <w:tab/>
      </w:r>
      <w:r>
        <w:tab/>
      </w:r>
      <w:r>
        <w:tab/>
      </w:r>
      <w:r>
        <w:tab/>
        <w:t>Vice President, State and Federal Regulation</w:t>
      </w:r>
    </w:p>
    <w:sectPr w:rsidR="00835F77" w:rsidSect="00B8723F">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114" w:rsidRDefault="000D4114">
      <w:r>
        <w:separator/>
      </w:r>
    </w:p>
  </w:endnote>
  <w:endnote w:type="continuationSeparator" w:id="0">
    <w:p w:rsidR="000D4114" w:rsidRDefault="000D4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44" w:rsidRDefault="004B268B">
    <w:pPr>
      <w:pStyle w:val="Footer"/>
    </w:pPr>
    <w:r>
      <w:rPr>
        <w:sz w:val="20"/>
        <w:szCs w:val="20"/>
      </w:rPr>
      <w:t xml:space="preserve">REVISED </w:t>
    </w:r>
    <w:r w:rsidR="00524944">
      <w:rPr>
        <w:sz w:val="20"/>
        <w:szCs w:val="20"/>
      </w:rPr>
      <w:t xml:space="preserve">COMPLIANCE REPORT OF AVISTA CORPORATION - </w:t>
    </w:r>
    <w:r w:rsidR="00631F4A">
      <w:rPr>
        <w:rStyle w:val="PageNumber"/>
        <w:sz w:val="20"/>
        <w:szCs w:val="20"/>
      </w:rPr>
      <w:fldChar w:fldCharType="begin"/>
    </w:r>
    <w:r w:rsidR="00524944">
      <w:rPr>
        <w:rStyle w:val="PageNumber"/>
        <w:sz w:val="20"/>
        <w:szCs w:val="20"/>
      </w:rPr>
      <w:instrText xml:space="preserve"> PAGE </w:instrText>
    </w:r>
    <w:r w:rsidR="00631F4A">
      <w:rPr>
        <w:rStyle w:val="PageNumber"/>
        <w:sz w:val="20"/>
        <w:szCs w:val="20"/>
      </w:rPr>
      <w:fldChar w:fldCharType="separate"/>
    </w:r>
    <w:r w:rsidR="00FC1137">
      <w:rPr>
        <w:rStyle w:val="PageNumber"/>
        <w:noProof/>
        <w:sz w:val="20"/>
        <w:szCs w:val="20"/>
      </w:rPr>
      <w:t>21</w:t>
    </w:r>
    <w:r w:rsidR="00631F4A">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114" w:rsidRDefault="000D4114">
      <w:r>
        <w:separator/>
      </w:r>
    </w:p>
  </w:footnote>
  <w:footnote w:type="continuationSeparator" w:id="0">
    <w:p w:rsidR="000D4114" w:rsidRDefault="000D4114">
      <w:r>
        <w:continuationSeparator/>
      </w:r>
    </w:p>
  </w:footnote>
  <w:footnote w:id="1">
    <w:p w:rsidR="00524944" w:rsidRPr="00DA1F5F" w:rsidRDefault="00524944">
      <w:pPr>
        <w:pStyle w:val="FootnoteText"/>
        <w:rPr>
          <w:highlight w:val="yellow"/>
        </w:rPr>
      </w:pPr>
      <w:r w:rsidRPr="00DA1F5F">
        <w:rPr>
          <w:rStyle w:val="FootnoteReference"/>
        </w:rPr>
        <w:footnoteRef/>
      </w:r>
      <w:r w:rsidRPr="00DA1F5F">
        <w:t>Triple E is Avista’s non-binding oversight and technical advisory group for energy efficiency.  The Triple E is currently composed of twenty organizations including Commission staffs, customer representatives, and stakeholders with an interest in energy efficiency service delivery.</w:t>
      </w:r>
    </w:p>
  </w:footnote>
  <w:footnote w:id="2">
    <w:p w:rsidR="00524944" w:rsidRDefault="00524944">
      <w:pPr>
        <w:pStyle w:val="FootnoteText"/>
      </w:pPr>
      <w:r w:rsidRPr="00DA1F5F">
        <w:rPr>
          <w:rStyle w:val="FootnoteReference"/>
        </w:rPr>
        <w:footnoteRef/>
      </w:r>
      <w:r w:rsidRPr="00DA1F5F">
        <w:t xml:space="preserve"> Technical Advisory Committee (TAC) includes Commission staffs, customers, academics, government agencies, consultants, utilities and other interested parties.</w:t>
      </w:r>
    </w:p>
  </w:footnote>
  <w:footnote w:id="3">
    <w:p w:rsidR="00524944" w:rsidRPr="00DA1F5F" w:rsidRDefault="00524944" w:rsidP="00196499">
      <w:pPr>
        <w:pStyle w:val="FootnoteText"/>
        <w:jc w:val="both"/>
      </w:pPr>
      <w:r w:rsidRPr="00DA1F5F">
        <w:rPr>
          <w:rStyle w:val="FootnoteReference"/>
        </w:rPr>
        <w:footnoteRef/>
      </w:r>
      <w:r w:rsidRPr="00DA1F5F">
        <w:t xml:space="preserve"> While RCW 19.285 states the most recent Council Power Plan is to be used, Avista understands that the Washington Legislature must initiate legislation to specifically validate the most recent plan’s targets for proper effect of law.  Avista further understands that the proposed 6</w:t>
      </w:r>
      <w:r w:rsidRPr="00DA1F5F">
        <w:rPr>
          <w:vertAlign w:val="superscript"/>
        </w:rPr>
        <w:t>th</w:t>
      </w:r>
      <w:r w:rsidRPr="00DA1F5F">
        <w:t xml:space="preserve"> Power Plan is scheduled for adoption by the Council at its scheduled Feb. 9-11, 2010 meeting.  Avista anticipates that the DSM targets contained in the 6</w:t>
      </w:r>
      <w:r w:rsidRPr="00DA1F5F">
        <w:rPr>
          <w:vertAlign w:val="superscript"/>
        </w:rPr>
        <w:t>th</w:t>
      </w:r>
      <w:r w:rsidRPr="00DA1F5F">
        <w:t xml:space="preserve"> Power Plan will be adopted in the near future and, therefore, uses these targets as if adopted.  Thus, Avista considers that </w:t>
      </w:r>
      <w:r>
        <w:t xml:space="preserve">this </w:t>
      </w:r>
      <w:r w:rsidRPr="00DA1F5F">
        <w:t>will be resolved by the time the Commission addresses the Company’s filing herein.</w:t>
      </w:r>
    </w:p>
  </w:footnote>
  <w:footnote w:id="4">
    <w:p w:rsidR="00524944" w:rsidRDefault="00524944">
      <w:pPr>
        <w:pStyle w:val="FootnoteText"/>
      </w:pPr>
      <w:r>
        <w:rPr>
          <w:rStyle w:val="FootnoteReference"/>
        </w:rPr>
        <w:footnoteRef/>
      </w:r>
      <w:r>
        <w:t xml:space="preserve"> Q</w:t>
      </w:r>
      <w:r w:rsidRPr="00EB69E2">
        <w:t>uantifiable adoption of efficiency measures contained within the scope of the 6</w:t>
      </w:r>
      <w:r w:rsidRPr="00EB69E2">
        <w:rPr>
          <w:vertAlign w:val="superscript"/>
        </w:rPr>
        <w:t>th</w:t>
      </w:r>
      <w:r w:rsidRPr="00EB69E2">
        <w:t xml:space="preserve"> Power Plan beyond utility program intervention</w:t>
      </w:r>
      <w:r>
        <w:t xml:space="preserve"> means </w:t>
      </w:r>
      <w:r w:rsidRPr="000A25E5">
        <w:rPr>
          <w:iCs/>
        </w:rPr>
        <w:t>the documented installation of cost-effective electric-efficiency measures</w:t>
      </w:r>
      <w:r>
        <w:rPr>
          <w:iCs/>
        </w:rPr>
        <w:t>.  Quantification of Avista’s Washington share of NEEA market transformation acquisition will be based upon an attribution methodology currently under development by NEEA staff.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B5F"/>
    <w:multiLevelType w:val="hybridMultilevel"/>
    <w:tmpl w:val="5052D856"/>
    <w:lvl w:ilvl="0" w:tplc="329AA69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46A05"/>
    <w:multiLevelType w:val="hybridMultilevel"/>
    <w:tmpl w:val="D3BA3DBE"/>
    <w:lvl w:ilvl="0" w:tplc="2816519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2A1A90"/>
    <w:multiLevelType w:val="hybridMultilevel"/>
    <w:tmpl w:val="69CC1C24"/>
    <w:lvl w:ilvl="0" w:tplc="37FC4494">
      <w:start w:val="14"/>
      <w:numFmt w:val="decimal"/>
      <w:lvlText w:val="%1"/>
      <w:lvlJc w:val="left"/>
      <w:pPr>
        <w:tabs>
          <w:tab w:val="num" w:pos="1080"/>
        </w:tabs>
        <w:ind w:left="1080" w:hanging="84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1CBC7FAF"/>
    <w:multiLevelType w:val="hybridMultilevel"/>
    <w:tmpl w:val="D4344D6A"/>
    <w:lvl w:ilvl="0" w:tplc="0409000F">
      <w:start w:val="1"/>
      <w:numFmt w:val="decimal"/>
      <w:lvlText w:val="%1."/>
      <w:lvlJc w:val="left"/>
      <w:pPr>
        <w:tabs>
          <w:tab w:val="num" w:pos="1800"/>
        </w:tabs>
        <w:ind w:left="1800" w:hanging="360"/>
      </w:pPr>
    </w:lvl>
    <w:lvl w:ilvl="1" w:tplc="6920804A">
      <w:start w:val="1"/>
      <w:numFmt w:val="upperLetter"/>
      <w:lvlText w:val="(%2)"/>
      <w:lvlJc w:val="left"/>
      <w:pPr>
        <w:tabs>
          <w:tab w:val="num" w:pos="2550"/>
        </w:tabs>
        <w:ind w:left="2550" w:hanging="39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DFE523D"/>
    <w:multiLevelType w:val="hybridMultilevel"/>
    <w:tmpl w:val="7B12CE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5CD5A7E"/>
    <w:multiLevelType w:val="hybridMultilevel"/>
    <w:tmpl w:val="C2D2A066"/>
    <w:lvl w:ilvl="0" w:tplc="67E8BE2A">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533724"/>
    <w:multiLevelType w:val="singleLevel"/>
    <w:tmpl w:val="04090015"/>
    <w:lvl w:ilvl="0">
      <w:start w:val="17"/>
      <w:numFmt w:val="upperLetter"/>
      <w:lvlText w:val="%1."/>
      <w:lvlJc w:val="left"/>
      <w:pPr>
        <w:tabs>
          <w:tab w:val="num" w:pos="360"/>
        </w:tabs>
        <w:ind w:left="360" w:hanging="360"/>
      </w:pPr>
      <w:rPr>
        <w:rFonts w:hint="default"/>
      </w:rPr>
    </w:lvl>
  </w:abstractNum>
  <w:abstractNum w:abstractNumId="7">
    <w:nsid w:val="3C7E7A7F"/>
    <w:multiLevelType w:val="hybridMultilevel"/>
    <w:tmpl w:val="6C9C2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5C73E1"/>
    <w:multiLevelType w:val="hybridMultilevel"/>
    <w:tmpl w:val="8DC0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776E10"/>
    <w:multiLevelType w:val="hybridMultilevel"/>
    <w:tmpl w:val="5184A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286E90"/>
    <w:multiLevelType w:val="hybridMultilevel"/>
    <w:tmpl w:val="A3B4A702"/>
    <w:lvl w:ilvl="0" w:tplc="7102E2D8">
      <w:start w:val="1"/>
      <w:numFmt w:val="decimal"/>
      <w:lvlText w:val="%1"/>
      <w:lvlJc w:val="left"/>
      <w:pPr>
        <w:tabs>
          <w:tab w:val="num" w:pos="0"/>
        </w:tabs>
        <w:ind w:left="0" w:hanging="720"/>
      </w:pPr>
      <w:rPr>
        <w:rFonts w:hint="default"/>
        <w:b w:val="0"/>
        <w:i/>
        <w:sz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9"/>
  </w:num>
  <w:num w:numId="5">
    <w:abstractNumId w:val="11"/>
  </w:num>
  <w:num w:numId="6">
    <w:abstractNumId w:val="7"/>
  </w:num>
  <w:num w:numId="7">
    <w:abstractNumId w:val="4"/>
  </w:num>
  <w:num w:numId="8">
    <w:abstractNumId w:val="6"/>
  </w:num>
  <w:num w:numId="9">
    <w:abstractNumId w:val="3"/>
  </w:num>
  <w:num w:numId="10">
    <w:abstractNumId w:val="2"/>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55918"/>
    <w:rsid w:val="00004F3A"/>
    <w:rsid w:val="0002055F"/>
    <w:rsid w:val="00023F14"/>
    <w:rsid w:val="00033FEB"/>
    <w:rsid w:val="000364CC"/>
    <w:rsid w:val="00040CE2"/>
    <w:rsid w:val="00044C75"/>
    <w:rsid w:val="00056A1D"/>
    <w:rsid w:val="000608CB"/>
    <w:rsid w:val="00062A12"/>
    <w:rsid w:val="00071CD5"/>
    <w:rsid w:val="00082303"/>
    <w:rsid w:val="000A25E5"/>
    <w:rsid w:val="000A2834"/>
    <w:rsid w:val="000A3C09"/>
    <w:rsid w:val="000D4114"/>
    <w:rsid w:val="000E3E76"/>
    <w:rsid w:val="000F506A"/>
    <w:rsid w:val="00107C91"/>
    <w:rsid w:val="00135FA7"/>
    <w:rsid w:val="00147A68"/>
    <w:rsid w:val="00163C1A"/>
    <w:rsid w:val="001775EC"/>
    <w:rsid w:val="0017769A"/>
    <w:rsid w:val="001959A0"/>
    <w:rsid w:val="00196499"/>
    <w:rsid w:val="0019703C"/>
    <w:rsid w:val="001A5EF5"/>
    <w:rsid w:val="001B0816"/>
    <w:rsid w:val="00222201"/>
    <w:rsid w:val="00226668"/>
    <w:rsid w:val="00227717"/>
    <w:rsid w:val="00245EAB"/>
    <w:rsid w:val="0027401B"/>
    <w:rsid w:val="002872E0"/>
    <w:rsid w:val="002A796C"/>
    <w:rsid w:val="00301C34"/>
    <w:rsid w:val="003034DE"/>
    <w:rsid w:val="00315EEF"/>
    <w:rsid w:val="003222B1"/>
    <w:rsid w:val="00325F31"/>
    <w:rsid w:val="0033217C"/>
    <w:rsid w:val="00353FD5"/>
    <w:rsid w:val="00381DA5"/>
    <w:rsid w:val="0038574E"/>
    <w:rsid w:val="0039485C"/>
    <w:rsid w:val="003B4625"/>
    <w:rsid w:val="003C7804"/>
    <w:rsid w:val="003D783F"/>
    <w:rsid w:val="003F7DCF"/>
    <w:rsid w:val="003F7F2B"/>
    <w:rsid w:val="00452ACB"/>
    <w:rsid w:val="00452FAC"/>
    <w:rsid w:val="004538CE"/>
    <w:rsid w:val="00454961"/>
    <w:rsid w:val="00455A8F"/>
    <w:rsid w:val="00473325"/>
    <w:rsid w:val="00474DC7"/>
    <w:rsid w:val="00494206"/>
    <w:rsid w:val="00495D7F"/>
    <w:rsid w:val="004A190C"/>
    <w:rsid w:val="004A28FE"/>
    <w:rsid w:val="004A549E"/>
    <w:rsid w:val="004B1821"/>
    <w:rsid w:val="004B268B"/>
    <w:rsid w:val="004B2A28"/>
    <w:rsid w:val="004B7500"/>
    <w:rsid w:val="004C1649"/>
    <w:rsid w:val="004C21A5"/>
    <w:rsid w:val="004C55D4"/>
    <w:rsid w:val="004D0617"/>
    <w:rsid w:val="004F31B4"/>
    <w:rsid w:val="004F5F6E"/>
    <w:rsid w:val="005042B0"/>
    <w:rsid w:val="00510396"/>
    <w:rsid w:val="00524944"/>
    <w:rsid w:val="00527EF3"/>
    <w:rsid w:val="00541B85"/>
    <w:rsid w:val="005421B3"/>
    <w:rsid w:val="00542B82"/>
    <w:rsid w:val="00574887"/>
    <w:rsid w:val="00580251"/>
    <w:rsid w:val="005870D0"/>
    <w:rsid w:val="00595A44"/>
    <w:rsid w:val="005D0A7A"/>
    <w:rsid w:val="005D750D"/>
    <w:rsid w:val="005E4D80"/>
    <w:rsid w:val="005E7DB5"/>
    <w:rsid w:val="005F1C4D"/>
    <w:rsid w:val="00610028"/>
    <w:rsid w:val="00613ECE"/>
    <w:rsid w:val="00631F4A"/>
    <w:rsid w:val="00632E29"/>
    <w:rsid w:val="006535E3"/>
    <w:rsid w:val="0066788A"/>
    <w:rsid w:val="00671C52"/>
    <w:rsid w:val="00683558"/>
    <w:rsid w:val="0068683A"/>
    <w:rsid w:val="00687D02"/>
    <w:rsid w:val="00694076"/>
    <w:rsid w:val="006C2F70"/>
    <w:rsid w:val="006F1BB3"/>
    <w:rsid w:val="0071546D"/>
    <w:rsid w:val="00723B9D"/>
    <w:rsid w:val="00724BA4"/>
    <w:rsid w:val="00736FAB"/>
    <w:rsid w:val="007376E1"/>
    <w:rsid w:val="0078608A"/>
    <w:rsid w:val="007E4C8A"/>
    <w:rsid w:val="007F0E72"/>
    <w:rsid w:val="00834F48"/>
    <w:rsid w:val="00835F77"/>
    <w:rsid w:val="00853946"/>
    <w:rsid w:val="00867CF6"/>
    <w:rsid w:val="00871A6E"/>
    <w:rsid w:val="00875146"/>
    <w:rsid w:val="008A782C"/>
    <w:rsid w:val="008E5190"/>
    <w:rsid w:val="008E5EC3"/>
    <w:rsid w:val="0091372A"/>
    <w:rsid w:val="00915633"/>
    <w:rsid w:val="009243B9"/>
    <w:rsid w:val="00927837"/>
    <w:rsid w:val="00952CF7"/>
    <w:rsid w:val="00956978"/>
    <w:rsid w:val="00973A6D"/>
    <w:rsid w:val="00973F6B"/>
    <w:rsid w:val="00974E2F"/>
    <w:rsid w:val="009930C1"/>
    <w:rsid w:val="009930FC"/>
    <w:rsid w:val="009A6D9B"/>
    <w:rsid w:val="009D5CFB"/>
    <w:rsid w:val="009E622F"/>
    <w:rsid w:val="009F2BE0"/>
    <w:rsid w:val="009F3660"/>
    <w:rsid w:val="00A05457"/>
    <w:rsid w:val="00A13A16"/>
    <w:rsid w:val="00A168E1"/>
    <w:rsid w:val="00A3129B"/>
    <w:rsid w:val="00A40793"/>
    <w:rsid w:val="00A42E34"/>
    <w:rsid w:val="00A61A3A"/>
    <w:rsid w:val="00A858C1"/>
    <w:rsid w:val="00AA3A4D"/>
    <w:rsid w:val="00AD1076"/>
    <w:rsid w:val="00AE5EE8"/>
    <w:rsid w:val="00B061E4"/>
    <w:rsid w:val="00B229DF"/>
    <w:rsid w:val="00B22B0E"/>
    <w:rsid w:val="00B26887"/>
    <w:rsid w:val="00B55918"/>
    <w:rsid w:val="00B562E1"/>
    <w:rsid w:val="00B6557B"/>
    <w:rsid w:val="00B8723F"/>
    <w:rsid w:val="00B97A2A"/>
    <w:rsid w:val="00BA342F"/>
    <w:rsid w:val="00BA591E"/>
    <w:rsid w:val="00BD06BD"/>
    <w:rsid w:val="00BD07E3"/>
    <w:rsid w:val="00BD290A"/>
    <w:rsid w:val="00BE7F98"/>
    <w:rsid w:val="00C15A4B"/>
    <w:rsid w:val="00C25984"/>
    <w:rsid w:val="00C561FA"/>
    <w:rsid w:val="00C944EF"/>
    <w:rsid w:val="00CA0631"/>
    <w:rsid w:val="00CA417D"/>
    <w:rsid w:val="00CB41B8"/>
    <w:rsid w:val="00CC6403"/>
    <w:rsid w:val="00CC680F"/>
    <w:rsid w:val="00CD06B5"/>
    <w:rsid w:val="00CD5A64"/>
    <w:rsid w:val="00CE26AD"/>
    <w:rsid w:val="00CF0F70"/>
    <w:rsid w:val="00D1205A"/>
    <w:rsid w:val="00D23232"/>
    <w:rsid w:val="00D30FCD"/>
    <w:rsid w:val="00D332AB"/>
    <w:rsid w:val="00D672FF"/>
    <w:rsid w:val="00D75329"/>
    <w:rsid w:val="00D76A47"/>
    <w:rsid w:val="00D94107"/>
    <w:rsid w:val="00D9529A"/>
    <w:rsid w:val="00D96A04"/>
    <w:rsid w:val="00DA1F5F"/>
    <w:rsid w:val="00DF5E0C"/>
    <w:rsid w:val="00DF6F4D"/>
    <w:rsid w:val="00E04DBD"/>
    <w:rsid w:val="00E24287"/>
    <w:rsid w:val="00E4246D"/>
    <w:rsid w:val="00E460E6"/>
    <w:rsid w:val="00E51914"/>
    <w:rsid w:val="00E5223B"/>
    <w:rsid w:val="00E53C51"/>
    <w:rsid w:val="00E672BD"/>
    <w:rsid w:val="00E67C29"/>
    <w:rsid w:val="00E73A78"/>
    <w:rsid w:val="00E9563A"/>
    <w:rsid w:val="00E968BE"/>
    <w:rsid w:val="00EA267A"/>
    <w:rsid w:val="00EC1787"/>
    <w:rsid w:val="00EC5EBE"/>
    <w:rsid w:val="00ED37AB"/>
    <w:rsid w:val="00ED4BF0"/>
    <w:rsid w:val="00ED5770"/>
    <w:rsid w:val="00F01FF6"/>
    <w:rsid w:val="00F17060"/>
    <w:rsid w:val="00F17181"/>
    <w:rsid w:val="00F222D0"/>
    <w:rsid w:val="00F25A26"/>
    <w:rsid w:val="00F61A3A"/>
    <w:rsid w:val="00F67BEF"/>
    <w:rsid w:val="00F74F3C"/>
    <w:rsid w:val="00F83564"/>
    <w:rsid w:val="00F94393"/>
    <w:rsid w:val="00FB3276"/>
    <w:rsid w:val="00FB3EF4"/>
    <w:rsid w:val="00FC0353"/>
    <w:rsid w:val="00FC1137"/>
    <w:rsid w:val="00FC1774"/>
    <w:rsid w:val="00FC2882"/>
    <w:rsid w:val="00FC56DC"/>
    <w:rsid w:val="00FD2893"/>
    <w:rsid w:val="00FE2BDB"/>
    <w:rsid w:val="00FF31D1"/>
    <w:rsid w:val="00FF4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CF6"/>
    <w:rPr>
      <w:sz w:val="24"/>
      <w:szCs w:val="24"/>
    </w:rPr>
  </w:style>
  <w:style w:type="paragraph" w:styleId="Heading1">
    <w:name w:val="heading 1"/>
    <w:basedOn w:val="Normal"/>
    <w:next w:val="Normal"/>
    <w:qFormat/>
    <w:rsid w:val="00867CF6"/>
    <w:pPr>
      <w:keepNext/>
      <w:ind w:left="1440" w:hanging="720"/>
      <w:jc w:val="center"/>
      <w:outlineLvl w:val="0"/>
    </w:pPr>
    <w:rPr>
      <w:b/>
    </w:rPr>
  </w:style>
  <w:style w:type="paragraph" w:styleId="Heading2">
    <w:name w:val="heading 2"/>
    <w:basedOn w:val="Normal"/>
    <w:next w:val="Normal"/>
    <w:qFormat/>
    <w:rsid w:val="00867CF6"/>
    <w:pPr>
      <w:keepNext/>
      <w:spacing w:line="480" w:lineRule="auto"/>
      <w:jc w:val="center"/>
      <w:outlineLvl w:val="1"/>
    </w:pPr>
    <w:rPr>
      <w:b/>
    </w:rPr>
  </w:style>
  <w:style w:type="paragraph" w:styleId="Heading3">
    <w:name w:val="heading 3"/>
    <w:basedOn w:val="Normal"/>
    <w:next w:val="Normal"/>
    <w:qFormat/>
    <w:rsid w:val="00867CF6"/>
    <w:pPr>
      <w:keepNext/>
      <w:ind w:left="360"/>
      <w:jc w:val="center"/>
      <w:outlineLvl w:val="2"/>
    </w:pPr>
    <w:rPr>
      <w:b/>
    </w:rPr>
  </w:style>
  <w:style w:type="paragraph" w:styleId="Heading4">
    <w:name w:val="heading 4"/>
    <w:basedOn w:val="Normal"/>
    <w:next w:val="Normal"/>
    <w:qFormat/>
    <w:rsid w:val="00867CF6"/>
    <w:pPr>
      <w:keepNext/>
      <w:spacing w:before="240" w:after="60"/>
      <w:outlineLvl w:val="3"/>
    </w:pPr>
    <w:rPr>
      <w:b/>
      <w:bCs/>
      <w:sz w:val="28"/>
      <w:szCs w:val="28"/>
    </w:rPr>
  </w:style>
  <w:style w:type="paragraph" w:styleId="Heading5">
    <w:name w:val="heading 5"/>
    <w:basedOn w:val="Normal"/>
    <w:next w:val="Normal"/>
    <w:qFormat/>
    <w:rsid w:val="00867CF6"/>
    <w:pPr>
      <w:keepNext/>
      <w:pBdr>
        <w:right w:val="single" w:sz="4" w:space="0" w:color="000000"/>
      </w:pBdr>
      <w:autoSpaceDE w:val="0"/>
      <w:autoSpaceDN w:val="0"/>
      <w:adjustRightInd w:val="0"/>
      <w:spacing w:before="100" w:after="100"/>
      <w:jc w:val="center"/>
      <w:outlineLvl w:val="4"/>
    </w:pPr>
    <w:rPr>
      <w:b/>
      <w:color w:val="000000"/>
    </w:rPr>
  </w:style>
  <w:style w:type="paragraph" w:styleId="Heading6">
    <w:name w:val="heading 6"/>
    <w:basedOn w:val="Normal"/>
    <w:next w:val="Normal"/>
    <w:qFormat/>
    <w:rsid w:val="00867CF6"/>
    <w:pPr>
      <w:keepNext/>
      <w:spacing w:line="480" w:lineRule="auto"/>
      <w:jc w:val="both"/>
      <w:outlineLvl w:val="5"/>
    </w:pPr>
    <w:rPr>
      <w:b/>
      <w:bCs/>
      <w:color w:val="000000"/>
    </w:rPr>
  </w:style>
  <w:style w:type="paragraph" w:styleId="Heading7">
    <w:name w:val="heading 7"/>
    <w:basedOn w:val="Normal"/>
    <w:next w:val="Normal"/>
    <w:qFormat/>
    <w:rsid w:val="00867CF6"/>
    <w:pPr>
      <w:keepNext/>
      <w:spacing w:line="480" w:lineRule="auto"/>
      <w:ind w:left="2880" w:firstLine="720"/>
      <w:outlineLvl w:val="6"/>
    </w:pPr>
    <w:rPr>
      <w:b/>
      <w:bCs/>
    </w:rPr>
  </w:style>
  <w:style w:type="paragraph" w:styleId="Heading8">
    <w:name w:val="heading 8"/>
    <w:basedOn w:val="Normal"/>
    <w:next w:val="Normal"/>
    <w:qFormat/>
    <w:rsid w:val="00867CF6"/>
    <w:pPr>
      <w:keepNext/>
      <w:spacing w:line="480" w:lineRule="auto"/>
      <w:ind w:left="-720" w:firstLine="720"/>
      <w:jc w:val="both"/>
      <w:outlineLvl w:val="7"/>
    </w:pPr>
    <w:rPr>
      <w:b/>
      <w:bCs/>
    </w:rPr>
  </w:style>
  <w:style w:type="paragraph" w:styleId="Heading9">
    <w:name w:val="heading 9"/>
    <w:basedOn w:val="Normal"/>
    <w:next w:val="Normal"/>
    <w:qFormat/>
    <w:rsid w:val="00867CF6"/>
    <w:pPr>
      <w:keepNext/>
      <w:spacing w:line="480" w:lineRule="auto"/>
      <w:jc w:val="both"/>
      <w:outlineLvl w:val="8"/>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CF6"/>
    <w:pPr>
      <w:tabs>
        <w:tab w:val="center" w:pos="4320"/>
        <w:tab w:val="right" w:pos="8640"/>
      </w:tabs>
    </w:pPr>
  </w:style>
  <w:style w:type="paragraph" w:styleId="Footer">
    <w:name w:val="footer"/>
    <w:basedOn w:val="Normal"/>
    <w:rsid w:val="00867CF6"/>
    <w:pPr>
      <w:tabs>
        <w:tab w:val="center" w:pos="4320"/>
        <w:tab w:val="right" w:pos="8640"/>
      </w:tabs>
    </w:pPr>
  </w:style>
  <w:style w:type="character" w:styleId="PageNumber">
    <w:name w:val="page number"/>
    <w:basedOn w:val="DefaultParagraphFont"/>
    <w:rsid w:val="00867CF6"/>
  </w:style>
  <w:style w:type="paragraph" w:styleId="FootnoteText">
    <w:name w:val="footnote text"/>
    <w:basedOn w:val="Normal"/>
    <w:semiHidden/>
    <w:rsid w:val="00867CF6"/>
    <w:rPr>
      <w:sz w:val="20"/>
      <w:szCs w:val="20"/>
    </w:rPr>
  </w:style>
  <w:style w:type="character" w:styleId="FootnoteReference">
    <w:name w:val="footnote reference"/>
    <w:basedOn w:val="DefaultParagraphFont"/>
    <w:semiHidden/>
    <w:rsid w:val="00867CF6"/>
    <w:rPr>
      <w:vertAlign w:val="superscript"/>
    </w:rPr>
  </w:style>
  <w:style w:type="paragraph" w:styleId="TOC1">
    <w:name w:val="toc 1"/>
    <w:basedOn w:val="Normal"/>
    <w:next w:val="Normal"/>
    <w:autoRedefine/>
    <w:semiHidden/>
    <w:rsid w:val="00867CF6"/>
    <w:pPr>
      <w:tabs>
        <w:tab w:val="right" w:leader="dot" w:pos="9350"/>
      </w:tabs>
      <w:ind w:left="720" w:hanging="720"/>
    </w:pPr>
  </w:style>
  <w:style w:type="paragraph" w:styleId="TOC2">
    <w:name w:val="toc 2"/>
    <w:basedOn w:val="Normal"/>
    <w:next w:val="Normal"/>
    <w:autoRedefine/>
    <w:semiHidden/>
    <w:rsid w:val="00867CF6"/>
    <w:pPr>
      <w:tabs>
        <w:tab w:val="right" w:leader="dot" w:pos="9350"/>
      </w:tabs>
      <w:ind w:left="360" w:hanging="360"/>
    </w:pPr>
  </w:style>
  <w:style w:type="paragraph" w:styleId="TOC3">
    <w:name w:val="toc 3"/>
    <w:basedOn w:val="Normal"/>
    <w:next w:val="Normal"/>
    <w:autoRedefine/>
    <w:semiHidden/>
    <w:rsid w:val="00867CF6"/>
    <w:pPr>
      <w:tabs>
        <w:tab w:val="left" w:pos="960"/>
        <w:tab w:val="right" w:leader="dot" w:pos="9350"/>
      </w:tabs>
      <w:ind w:left="900" w:hanging="420"/>
    </w:pPr>
  </w:style>
  <w:style w:type="paragraph" w:styleId="TOC4">
    <w:name w:val="toc 4"/>
    <w:basedOn w:val="Normal"/>
    <w:next w:val="Normal"/>
    <w:autoRedefine/>
    <w:semiHidden/>
    <w:rsid w:val="00867CF6"/>
    <w:pPr>
      <w:ind w:left="720"/>
    </w:pPr>
  </w:style>
  <w:style w:type="character" w:styleId="Hyperlink">
    <w:name w:val="Hyperlink"/>
    <w:basedOn w:val="DefaultParagraphFont"/>
    <w:rsid w:val="00867CF6"/>
    <w:rPr>
      <w:color w:val="0000FF"/>
      <w:u w:val="single"/>
    </w:rPr>
  </w:style>
  <w:style w:type="paragraph" w:customStyle="1" w:styleId="TestBody">
    <w:name w:val="Test Body"/>
    <w:rsid w:val="00867CF6"/>
    <w:pPr>
      <w:autoSpaceDE w:val="0"/>
      <w:autoSpaceDN w:val="0"/>
      <w:adjustRightInd w:val="0"/>
      <w:jc w:val="both"/>
    </w:pPr>
    <w:rPr>
      <w:rFonts w:ascii="Arial" w:hAnsi="Arial"/>
      <w:sz w:val="24"/>
      <w:szCs w:val="24"/>
    </w:rPr>
  </w:style>
  <w:style w:type="paragraph" w:styleId="BodyTextIndent">
    <w:name w:val="Body Text Indent"/>
    <w:basedOn w:val="Normal"/>
    <w:rsid w:val="00867CF6"/>
    <w:pPr>
      <w:spacing w:line="480" w:lineRule="auto"/>
      <w:ind w:firstLine="720"/>
      <w:jc w:val="both"/>
    </w:pPr>
  </w:style>
  <w:style w:type="paragraph" w:styleId="BodyTextIndent2">
    <w:name w:val="Body Text Indent 2"/>
    <w:basedOn w:val="Normal"/>
    <w:rsid w:val="00867CF6"/>
    <w:pPr>
      <w:spacing w:line="480" w:lineRule="auto"/>
      <w:ind w:right="720" w:firstLine="720"/>
      <w:jc w:val="both"/>
    </w:pPr>
    <w:rPr>
      <w:szCs w:val="20"/>
    </w:rPr>
  </w:style>
  <w:style w:type="paragraph" w:styleId="BodyText">
    <w:name w:val="Body Text"/>
    <w:basedOn w:val="Normal"/>
    <w:rsid w:val="00867CF6"/>
    <w:pPr>
      <w:autoSpaceDE w:val="0"/>
      <w:autoSpaceDN w:val="0"/>
      <w:adjustRightInd w:val="0"/>
      <w:spacing w:line="480" w:lineRule="auto"/>
      <w:ind w:right="-108"/>
      <w:jc w:val="both"/>
    </w:pPr>
    <w:rPr>
      <w:color w:val="000000"/>
    </w:rPr>
  </w:style>
  <w:style w:type="paragraph" w:styleId="BodyTextIndent3">
    <w:name w:val="Body Text Indent 3"/>
    <w:basedOn w:val="Normal"/>
    <w:rsid w:val="00867CF6"/>
    <w:pPr>
      <w:autoSpaceDE w:val="0"/>
      <w:autoSpaceDN w:val="0"/>
      <w:adjustRightInd w:val="0"/>
      <w:spacing w:line="480" w:lineRule="auto"/>
      <w:ind w:right="-108" w:firstLine="720"/>
      <w:jc w:val="both"/>
    </w:pPr>
    <w:rPr>
      <w:color w:val="000000"/>
    </w:rPr>
  </w:style>
  <w:style w:type="paragraph" w:styleId="BlockText">
    <w:name w:val="Block Text"/>
    <w:basedOn w:val="Normal"/>
    <w:rsid w:val="00867CF6"/>
    <w:pPr>
      <w:ind w:left="720" w:right="720"/>
      <w:jc w:val="both"/>
    </w:pPr>
    <w:rPr>
      <w:sz w:val="20"/>
    </w:rPr>
  </w:style>
  <w:style w:type="paragraph" w:styleId="BodyText2">
    <w:name w:val="Body Text 2"/>
    <w:basedOn w:val="Normal"/>
    <w:rsid w:val="00867CF6"/>
    <w:pPr>
      <w:spacing w:line="480" w:lineRule="auto"/>
      <w:jc w:val="both"/>
    </w:pPr>
    <w:rPr>
      <w:szCs w:val="20"/>
    </w:rPr>
  </w:style>
  <w:style w:type="character" w:styleId="FollowedHyperlink">
    <w:name w:val="FollowedHyperlink"/>
    <w:basedOn w:val="DefaultParagraphFont"/>
    <w:rsid w:val="00867CF6"/>
    <w:rPr>
      <w:color w:val="800080"/>
      <w:u w:val="single"/>
    </w:rPr>
  </w:style>
  <w:style w:type="paragraph" w:styleId="ListParagraph">
    <w:name w:val="List Paragraph"/>
    <w:basedOn w:val="Normal"/>
    <w:uiPriority w:val="34"/>
    <w:qFormat/>
    <w:rsid w:val="004538CE"/>
    <w:pPr>
      <w:ind w:left="720"/>
      <w:contextualSpacing/>
    </w:pPr>
  </w:style>
  <w:style w:type="paragraph" w:styleId="BalloonText">
    <w:name w:val="Balloon Text"/>
    <w:basedOn w:val="Normal"/>
    <w:link w:val="BalloonTextChar"/>
    <w:rsid w:val="00542B82"/>
    <w:rPr>
      <w:rFonts w:ascii="Tahoma" w:hAnsi="Tahoma" w:cs="Tahoma"/>
      <w:sz w:val="16"/>
      <w:szCs w:val="16"/>
    </w:rPr>
  </w:style>
  <w:style w:type="character" w:customStyle="1" w:styleId="BalloonTextChar">
    <w:name w:val="Balloon Text Char"/>
    <w:basedOn w:val="DefaultParagraphFont"/>
    <w:link w:val="BalloonText"/>
    <w:rsid w:val="00542B82"/>
    <w:rPr>
      <w:rFonts w:ascii="Tahoma" w:hAnsi="Tahoma" w:cs="Tahoma"/>
      <w:sz w:val="16"/>
      <w:szCs w:val="16"/>
    </w:rPr>
  </w:style>
  <w:style w:type="paragraph" w:styleId="NoSpacing">
    <w:name w:val="No Spacing"/>
    <w:basedOn w:val="Normal"/>
    <w:uiPriority w:val="1"/>
    <w:qFormat/>
    <w:rsid w:val="00301C34"/>
    <w:pPr>
      <w:spacing w:before="100" w:beforeAutospacing="1" w:after="100" w:afterAutospacing="1"/>
    </w:pPr>
    <w:rPr>
      <w:rFonts w:eastAsiaTheme="minorHAnsi"/>
    </w:rPr>
  </w:style>
  <w:style w:type="paragraph" w:styleId="TableofFigures">
    <w:name w:val="table of figures"/>
    <w:basedOn w:val="Normal"/>
    <w:next w:val="Normal"/>
    <w:rsid w:val="00D30FCD"/>
    <w:rPr>
      <w:rFonts w:ascii="Arial" w:hAnsi="Arial"/>
      <w:sz w:val="20"/>
    </w:rPr>
  </w:style>
  <w:style w:type="character" w:styleId="CommentReference">
    <w:name w:val="annotation reference"/>
    <w:basedOn w:val="DefaultParagraphFont"/>
    <w:rsid w:val="00452ACB"/>
    <w:rPr>
      <w:sz w:val="16"/>
      <w:szCs w:val="16"/>
    </w:rPr>
  </w:style>
  <w:style w:type="paragraph" w:styleId="CommentText">
    <w:name w:val="annotation text"/>
    <w:basedOn w:val="Normal"/>
    <w:link w:val="CommentTextChar"/>
    <w:rsid w:val="00452ACB"/>
    <w:rPr>
      <w:sz w:val="20"/>
      <w:szCs w:val="20"/>
    </w:rPr>
  </w:style>
  <w:style w:type="character" w:customStyle="1" w:styleId="CommentTextChar">
    <w:name w:val="Comment Text Char"/>
    <w:basedOn w:val="DefaultParagraphFont"/>
    <w:link w:val="CommentText"/>
    <w:rsid w:val="00452ACB"/>
  </w:style>
  <w:style w:type="paragraph" w:styleId="CommentSubject">
    <w:name w:val="annotation subject"/>
    <w:basedOn w:val="CommentText"/>
    <w:next w:val="CommentText"/>
    <w:link w:val="CommentSubjectChar"/>
    <w:rsid w:val="00452ACB"/>
    <w:rPr>
      <w:b/>
      <w:bCs/>
    </w:rPr>
  </w:style>
  <w:style w:type="character" w:customStyle="1" w:styleId="CommentSubjectChar">
    <w:name w:val="Comment Subject Char"/>
    <w:basedOn w:val="CommentTextChar"/>
    <w:link w:val="CommentSubject"/>
    <w:rsid w:val="00452ACB"/>
    <w:rPr>
      <w:b/>
      <w:bCs/>
    </w:rPr>
  </w:style>
</w:styles>
</file>

<file path=word/webSettings.xml><?xml version="1.0" encoding="utf-8"?>
<w:webSettings xmlns:r="http://schemas.openxmlformats.org/officeDocument/2006/relationships" xmlns:w="http://schemas.openxmlformats.org/wordprocessingml/2006/main">
  <w:divs>
    <w:div w:id="3632038">
      <w:bodyDiv w:val="1"/>
      <w:marLeft w:val="0"/>
      <w:marRight w:val="0"/>
      <w:marTop w:val="0"/>
      <w:marBottom w:val="0"/>
      <w:divBdr>
        <w:top w:val="none" w:sz="0" w:space="0" w:color="auto"/>
        <w:left w:val="none" w:sz="0" w:space="0" w:color="auto"/>
        <w:bottom w:val="none" w:sz="0" w:space="0" w:color="auto"/>
        <w:right w:val="none" w:sz="0" w:space="0" w:color="auto"/>
      </w:divBdr>
    </w:div>
    <w:div w:id="1463377825">
      <w:bodyDiv w:val="1"/>
      <w:marLeft w:val="0"/>
      <w:marRight w:val="0"/>
      <w:marTop w:val="0"/>
      <w:marBottom w:val="0"/>
      <w:divBdr>
        <w:top w:val="none" w:sz="0" w:space="0" w:color="auto"/>
        <w:left w:val="none" w:sz="0" w:space="0" w:color="auto"/>
        <w:bottom w:val="none" w:sz="0" w:space="0" w:color="auto"/>
        <w:right w:val="none" w:sz="0" w:space="0" w:color="auto"/>
      </w:divBdr>
    </w:div>
    <w:div w:id="21377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apps.leg.wa.gov/rcw/default.aspx?cite=19.285.04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2010-04-16T07:00:00+00:00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7AF2B44-8DB3-4235-AFBD-4FB96F996872}"/>
</file>

<file path=customXml/itemProps2.xml><?xml version="1.0" encoding="utf-8"?>
<ds:datastoreItem xmlns:ds="http://schemas.openxmlformats.org/officeDocument/2006/customXml" ds:itemID="{8070EB39-B864-4441-B767-0E34304B1403}"/>
</file>

<file path=customXml/itemProps3.xml><?xml version="1.0" encoding="utf-8"?>
<ds:datastoreItem xmlns:ds="http://schemas.openxmlformats.org/officeDocument/2006/customXml" ds:itemID="{B67AC776-DB24-491C-83AD-D5676C157033}"/>
</file>

<file path=customXml/itemProps4.xml><?xml version="1.0" encoding="utf-8"?>
<ds:datastoreItem xmlns:ds="http://schemas.openxmlformats.org/officeDocument/2006/customXml" ds:itemID="{0E5D6073-3438-4895-8BF5-7C64C661720A}"/>
</file>

<file path=customXml/itemProps5.xml><?xml version="1.0" encoding="utf-8"?>
<ds:datastoreItem xmlns:ds="http://schemas.openxmlformats.org/officeDocument/2006/customXml" ds:itemID="{7C68B58A-72A3-41D8-81CA-4C80CDD409F9}"/>
</file>

<file path=docProps/app.xml><?xml version="1.0" encoding="utf-8"?>
<Properties xmlns="http://schemas.openxmlformats.org/officeDocument/2006/extended-properties" xmlns:vt="http://schemas.openxmlformats.org/officeDocument/2006/docPropsVTypes">
  <Template>Normal.dotm</Template>
  <TotalTime>3</TotalTime>
  <Pages>21</Pages>
  <Words>4922</Words>
  <Characters>28062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POST-HEARING BRIEF OF AVISTA CORP  (00144855.DOC;1)</vt:lpstr>
    </vt:vector>
  </TitlesOfParts>
  <Company>Paine Hamblen</Company>
  <LinksUpToDate>false</LinksUpToDate>
  <CharactersWithSpaces>32919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POST-HEARING BRIEF OF AVISTA CORP  (00144855.DOC;1)</dc:title>
  <dc:subject>POST-HEARING BRIEF OF AVISTA CORP /</dc:subject>
  <dc:creator>rzk7kq</dc:creator>
  <cp:keywords/>
  <dc:description/>
  <cp:lastModifiedBy>Paul W. Kimball</cp:lastModifiedBy>
  <cp:revision>4</cp:revision>
  <cp:lastPrinted>2010-04-16T14:56:00Z</cp:lastPrinted>
  <dcterms:created xsi:type="dcterms:W3CDTF">2010-04-16T14:56:00Z</dcterms:created>
  <dcterms:modified xsi:type="dcterms:W3CDTF">2010-04-16T16:21:00Z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