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CC" w:rsidRPr="00610FD8" w:rsidRDefault="00FB32CC" w:rsidP="00FB32CC">
      <w:pPr>
        <w:jc w:val="center"/>
        <w:rPr>
          <w:b/>
          <w:bCs/>
          <w:szCs w:val="22"/>
        </w:rPr>
      </w:pPr>
      <w:r w:rsidRPr="00610FD8">
        <w:rPr>
          <w:b/>
          <w:bCs/>
          <w:szCs w:val="22"/>
        </w:rPr>
        <w:t xml:space="preserve">BEFORE THE WASHINGTON UTILITIES AND </w:t>
      </w:r>
    </w:p>
    <w:p w:rsidR="00FB32CC" w:rsidRPr="00610FD8" w:rsidRDefault="00FB32CC" w:rsidP="00FB32CC">
      <w:pPr>
        <w:jc w:val="center"/>
        <w:rPr>
          <w:b/>
          <w:bCs/>
          <w:szCs w:val="22"/>
        </w:rPr>
      </w:pPr>
      <w:r w:rsidRPr="00610FD8">
        <w:rPr>
          <w:b/>
          <w:bCs/>
          <w:szCs w:val="22"/>
        </w:rPr>
        <w:t>TRANSPORTATION COMMISSION</w:t>
      </w:r>
    </w:p>
    <w:p w:rsidR="00FB32CC" w:rsidRPr="00610FD8" w:rsidRDefault="00FB32CC" w:rsidP="00FB32CC">
      <w:pPr>
        <w:jc w:val="center"/>
        <w:rPr>
          <w:szCs w:val="22"/>
        </w:rPr>
      </w:pPr>
    </w:p>
    <w:p w:rsidR="00FB32CC" w:rsidRPr="00610FD8" w:rsidRDefault="00FB32CC" w:rsidP="00FB32CC">
      <w:pPr>
        <w:jc w:val="center"/>
        <w:rPr>
          <w:szCs w:val="22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5598"/>
        <w:gridCol w:w="278"/>
        <w:gridCol w:w="4942"/>
      </w:tblGrid>
      <w:tr w:rsidR="00FB32CC" w:rsidRPr="00610FD8" w:rsidTr="00CA69DD">
        <w:tc>
          <w:tcPr>
            <w:tcW w:w="5598" w:type="dxa"/>
          </w:tcPr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FD8">
              <w:rPr>
                <w:sz w:val="22"/>
                <w:szCs w:val="22"/>
              </w:rPr>
              <w:t xml:space="preserve">WASHINGTON UTILITIES AND </w:t>
            </w:r>
          </w:p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FD8">
              <w:rPr>
                <w:sz w:val="22"/>
                <w:szCs w:val="22"/>
              </w:rPr>
              <w:t xml:space="preserve">TRANSPORTATION COMMISSION </w:t>
            </w:r>
          </w:p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FD8">
              <w:rPr>
                <w:sz w:val="22"/>
                <w:szCs w:val="22"/>
              </w:rPr>
              <w:tab/>
            </w:r>
            <w:r w:rsidRPr="00610FD8">
              <w:rPr>
                <w:sz w:val="22"/>
                <w:szCs w:val="22"/>
              </w:rPr>
              <w:tab/>
            </w:r>
            <w:r w:rsidRPr="00610FD8">
              <w:rPr>
                <w:sz w:val="22"/>
                <w:szCs w:val="22"/>
              </w:rPr>
              <w:tab/>
            </w:r>
            <w:r w:rsidRPr="00610FD8">
              <w:rPr>
                <w:sz w:val="22"/>
                <w:szCs w:val="22"/>
              </w:rPr>
              <w:tab/>
            </w:r>
            <w:r w:rsidRPr="00610FD8">
              <w:rPr>
                <w:sz w:val="22"/>
                <w:szCs w:val="22"/>
              </w:rPr>
              <w:tab/>
              <w:t>Complainant</w:t>
            </w:r>
          </w:p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FD8">
              <w:rPr>
                <w:sz w:val="22"/>
                <w:szCs w:val="22"/>
              </w:rPr>
              <w:t>vs.</w:t>
            </w:r>
          </w:p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FD8">
              <w:rPr>
                <w:sz w:val="22"/>
                <w:szCs w:val="22"/>
              </w:rPr>
              <w:t>PUGET SOUND ENERGY, INC.</w:t>
            </w:r>
          </w:p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0FD8">
              <w:rPr>
                <w:sz w:val="22"/>
                <w:szCs w:val="22"/>
              </w:rPr>
              <w:tab/>
            </w:r>
            <w:r w:rsidRPr="00610FD8">
              <w:rPr>
                <w:sz w:val="22"/>
                <w:szCs w:val="22"/>
              </w:rPr>
              <w:tab/>
            </w:r>
            <w:r w:rsidRPr="00610FD8">
              <w:rPr>
                <w:sz w:val="22"/>
                <w:szCs w:val="22"/>
              </w:rPr>
              <w:tab/>
            </w:r>
            <w:r w:rsidRPr="00610FD8">
              <w:rPr>
                <w:sz w:val="22"/>
                <w:szCs w:val="22"/>
              </w:rPr>
              <w:tab/>
            </w:r>
            <w:r w:rsidRPr="00610FD8">
              <w:rPr>
                <w:sz w:val="22"/>
                <w:szCs w:val="22"/>
              </w:rPr>
              <w:tab/>
              <w:t>Respondent</w:t>
            </w:r>
          </w:p>
        </w:tc>
        <w:tc>
          <w:tcPr>
            <w:tcW w:w="278" w:type="dxa"/>
          </w:tcPr>
          <w:p w:rsidR="00FB32CC" w:rsidRPr="00610FD8" w:rsidRDefault="00FB32CC" w:rsidP="00CA69DD">
            <w:pPr>
              <w:jc w:val="center"/>
              <w:rPr>
                <w:sz w:val="22"/>
                <w:szCs w:val="22"/>
              </w:rPr>
            </w:pPr>
            <w:r w:rsidRPr="00610FD8">
              <w:rPr>
                <w:sz w:val="22"/>
                <w:szCs w:val="22"/>
              </w:rPr>
              <w:t>:</w:t>
            </w:r>
            <w:r w:rsidRPr="00610FD8">
              <w:rPr>
                <w:sz w:val="22"/>
                <w:szCs w:val="22"/>
              </w:rPr>
              <w:br/>
              <w:t>:</w:t>
            </w:r>
            <w:r w:rsidRPr="00610FD8">
              <w:rPr>
                <w:sz w:val="22"/>
                <w:szCs w:val="22"/>
              </w:rPr>
              <w:br/>
              <w:t>:</w:t>
            </w:r>
            <w:r w:rsidRPr="00610FD8">
              <w:rPr>
                <w:sz w:val="22"/>
                <w:szCs w:val="22"/>
              </w:rPr>
              <w:br/>
              <w:t>:</w:t>
            </w:r>
            <w:r w:rsidRPr="00610FD8">
              <w:rPr>
                <w:sz w:val="22"/>
                <w:szCs w:val="22"/>
              </w:rPr>
              <w:br/>
              <w:t>:</w:t>
            </w:r>
            <w:r w:rsidRPr="00610FD8">
              <w:rPr>
                <w:sz w:val="22"/>
                <w:szCs w:val="22"/>
              </w:rPr>
              <w:br/>
              <w:t>:</w:t>
            </w:r>
            <w:r w:rsidRPr="00610FD8">
              <w:rPr>
                <w:sz w:val="22"/>
                <w:szCs w:val="22"/>
              </w:rPr>
              <w:br/>
              <w:t>:</w:t>
            </w:r>
            <w:r w:rsidRPr="00610FD8">
              <w:rPr>
                <w:sz w:val="22"/>
                <w:szCs w:val="22"/>
              </w:rPr>
              <w:br/>
              <w:t>:</w:t>
            </w:r>
          </w:p>
          <w:p w:rsidR="00FB32CC" w:rsidRPr="00610FD8" w:rsidRDefault="00FB32CC" w:rsidP="00CA69DD">
            <w:pPr>
              <w:rPr>
                <w:sz w:val="22"/>
                <w:szCs w:val="22"/>
              </w:rPr>
            </w:pPr>
          </w:p>
        </w:tc>
        <w:tc>
          <w:tcPr>
            <w:tcW w:w="4942" w:type="dxa"/>
          </w:tcPr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B32CC" w:rsidRPr="00610FD8" w:rsidRDefault="0063618F" w:rsidP="00610FD8">
            <w:pPr>
              <w:autoSpaceDE w:val="0"/>
              <w:autoSpaceDN w:val="0"/>
              <w:adjustRightInd w:val="0"/>
              <w:ind w:left="424"/>
              <w:rPr>
                <w:sz w:val="22"/>
                <w:szCs w:val="22"/>
              </w:rPr>
            </w:pPr>
            <w:r w:rsidRPr="00610FD8">
              <w:rPr>
                <w:sz w:val="22"/>
                <w:szCs w:val="22"/>
              </w:rPr>
              <w:t>DOCKET NO. UE-161123</w:t>
            </w:r>
          </w:p>
          <w:p w:rsidR="00FB32CC" w:rsidRPr="00610FD8" w:rsidRDefault="00FB32CC" w:rsidP="00CA69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10FD8" w:rsidRPr="00610FD8" w:rsidRDefault="00610FD8" w:rsidP="00610FD8">
            <w:pPr>
              <w:pStyle w:val="BodyText2"/>
              <w:ind w:left="410"/>
              <w:rPr>
                <w:b w:val="0"/>
                <w:bCs w:val="0"/>
                <w:sz w:val="22"/>
                <w:szCs w:val="22"/>
              </w:rPr>
            </w:pPr>
            <w:r w:rsidRPr="00610FD8">
              <w:rPr>
                <w:b w:val="0"/>
                <w:bCs w:val="0"/>
                <w:sz w:val="22"/>
                <w:szCs w:val="22"/>
              </w:rPr>
              <w:t xml:space="preserve">ANSWER IN SUPPORT OF PETITION FOR ADMINISTRATIVE REVIEW OF </w:t>
            </w:r>
            <w:r w:rsidR="002E0300">
              <w:rPr>
                <w:b w:val="0"/>
                <w:bCs w:val="0"/>
                <w:sz w:val="22"/>
                <w:szCs w:val="22"/>
              </w:rPr>
              <w:t xml:space="preserve">NORTHWEST AND </w:t>
            </w:r>
            <w:r w:rsidRPr="00610FD8">
              <w:rPr>
                <w:b w:val="0"/>
                <w:bCs w:val="0"/>
                <w:sz w:val="22"/>
                <w:szCs w:val="22"/>
              </w:rPr>
              <w:t xml:space="preserve">INTERMOUNTAIN POWER </w:t>
            </w:r>
            <w:r w:rsidR="0045050F" w:rsidRPr="00610FD8">
              <w:rPr>
                <w:b w:val="0"/>
                <w:bCs w:val="0"/>
                <w:sz w:val="22"/>
                <w:szCs w:val="22"/>
              </w:rPr>
              <w:t>PRODUCERS</w:t>
            </w:r>
            <w:r w:rsidRPr="00610FD8">
              <w:rPr>
                <w:b w:val="0"/>
                <w:bCs w:val="0"/>
                <w:sz w:val="22"/>
                <w:szCs w:val="22"/>
              </w:rPr>
              <w:t xml:space="preserve"> COALITION</w:t>
            </w:r>
          </w:p>
          <w:p w:rsidR="00FB32CC" w:rsidRPr="00610FD8" w:rsidRDefault="00FB32CC" w:rsidP="00CA69D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B32CC" w:rsidRPr="00610FD8" w:rsidRDefault="00FB32CC" w:rsidP="00FB32CC">
      <w:pPr>
        <w:rPr>
          <w:szCs w:val="22"/>
        </w:rPr>
      </w:pPr>
    </w:p>
    <w:p w:rsidR="00FB32CC" w:rsidRPr="00610FD8" w:rsidRDefault="00FB32CC" w:rsidP="00FB32CC">
      <w:pPr>
        <w:jc w:val="both"/>
        <w:rPr>
          <w:b/>
          <w:bCs/>
          <w:szCs w:val="22"/>
          <w:u w:val="single"/>
        </w:rPr>
      </w:pPr>
    </w:p>
    <w:p w:rsidR="00610FD8" w:rsidRPr="00610FD8" w:rsidRDefault="00610FD8" w:rsidP="00610FD8">
      <w:pPr>
        <w:spacing w:before="120" w:after="120" w:line="480" w:lineRule="auto"/>
        <w:ind w:firstLine="720"/>
        <w:jc w:val="both"/>
        <w:rPr>
          <w:szCs w:val="22"/>
        </w:rPr>
      </w:pPr>
      <w:r w:rsidRPr="00610FD8">
        <w:rPr>
          <w:szCs w:val="22"/>
        </w:rPr>
        <w:t xml:space="preserve">Pursuant to Washington Administrative Code 480-07-810(3), Kroger Co. submits this Answer in Support </w:t>
      </w:r>
      <w:r w:rsidR="0045050F" w:rsidRPr="00610FD8">
        <w:rPr>
          <w:szCs w:val="22"/>
        </w:rPr>
        <w:t>of</w:t>
      </w:r>
      <w:r w:rsidRPr="00610FD8">
        <w:rPr>
          <w:szCs w:val="22"/>
        </w:rPr>
        <w:t xml:space="preserve"> the Petition for Administrative Review of an </w:t>
      </w:r>
      <w:bookmarkStart w:id="0" w:name="_GoBack"/>
      <w:r w:rsidRPr="00610FD8">
        <w:rPr>
          <w:szCs w:val="22"/>
        </w:rPr>
        <w:t>Interlocutory Order Denying Intervention of the Northwest and Intermountain Power Producers Coalition (“NIPP</w:t>
      </w:r>
      <w:bookmarkEnd w:id="0"/>
      <w:r w:rsidRPr="00610FD8">
        <w:rPr>
          <w:szCs w:val="22"/>
        </w:rPr>
        <w:t>C”).</w:t>
      </w:r>
    </w:p>
    <w:p w:rsidR="00610FD8" w:rsidRPr="00610FD8" w:rsidRDefault="00610FD8" w:rsidP="00610FD8">
      <w:pPr>
        <w:spacing w:before="120" w:after="120" w:line="480" w:lineRule="auto"/>
        <w:ind w:firstLine="720"/>
        <w:jc w:val="both"/>
        <w:rPr>
          <w:szCs w:val="22"/>
        </w:rPr>
      </w:pPr>
      <w:r w:rsidRPr="00610FD8">
        <w:rPr>
          <w:szCs w:val="22"/>
        </w:rPr>
        <w:t>Kroger supports NIPPC’s Petition and agrees with N</w:t>
      </w:r>
      <w:r w:rsidR="004B68E1">
        <w:rPr>
          <w:szCs w:val="22"/>
        </w:rPr>
        <w:t>IPPC that the Commission and</w:t>
      </w:r>
      <w:r w:rsidRPr="00610FD8">
        <w:rPr>
          <w:szCs w:val="22"/>
        </w:rPr>
        <w:t xml:space="preserve"> parties will benefit from NIPPC’s participation in the proceeding.  NIPPC’s members are active participants in the Pacific Northwest and Western energy markets and would br</w:t>
      </w:r>
      <w:r w:rsidR="004B68E1">
        <w:rPr>
          <w:szCs w:val="22"/>
        </w:rPr>
        <w:t xml:space="preserve">ing expertise in identifying </w:t>
      </w:r>
      <w:r w:rsidR="004B68E1" w:rsidRPr="00610FD8">
        <w:rPr>
          <w:szCs w:val="22"/>
        </w:rPr>
        <w:t>issues</w:t>
      </w:r>
      <w:r w:rsidRPr="00610FD8">
        <w:rPr>
          <w:szCs w:val="22"/>
        </w:rPr>
        <w:t xml:space="preserve"> faced by power suppliers a</w:t>
      </w:r>
      <w:r w:rsidR="0045050F">
        <w:rPr>
          <w:szCs w:val="22"/>
        </w:rPr>
        <w:t xml:space="preserve">nd retail wheeling customers.  </w:t>
      </w:r>
      <w:r w:rsidR="004B68E1">
        <w:rPr>
          <w:szCs w:val="22"/>
        </w:rPr>
        <w:t xml:space="preserve">Granting the intervention of NIPPC is in the public interest because </w:t>
      </w:r>
      <w:r w:rsidRPr="00610FD8">
        <w:rPr>
          <w:szCs w:val="22"/>
        </w:rPr>
        <w:t>the input of NIPPC could contribute to a more successful</w:t>
      </w:r>
      <w:r w:rsidR="004B68E1">
        <w:rPr>
          <w:szCs w:val="22"/>
        </w:rPr>
        <w:t>ly designed Schedule 451.</w:t>
      </w:r>
    </w:p>
    <w:p w:rsidR="00FB32CC" w:rsidRDefault="00FB32CC" w:rsidP="00610FD8">
      <w:pPr>
        <w:spacing w:line="480" w:lineRule="auto"/>
        <w:ind w:firstLine="720"/>
        <w:jc w:val="both"/>
        <w:rPr>
          <w:szCs w:val="22"/>
        </w:rPr>
      </w:pPr>
      <w:r w:rsidRPr="00610FD8">
        <w:rPr>
          <w:szCs w:val="22"/>
        </w:rPr>
        <w:t xml:space="preserve">DATED this </w:t>
      </w:r>
      <w:r w:rsidR="009A65A3">
        <w:rPr>
          <w:szCs w:val="22"/>
        </w:rPr>
        <w:t>12</w:t>
      </w:r>
      <w:r w:rsidR="009A65A3" w:rsidRPr="009A65A3">
        <w:rPr>
          <w:szCs w:val="22"/>
          <w:vertAlign w:val="superscript"/>
        </w:rPr>
        <w:t>th</w:t>
      </w:r>
      <w:r w:rsidR="009A65A3">
        <w:rPr>
          <w:szCs w:val="22"/>
        </w:rPr>
        <w:t xml:space="preserve"> </w:t>
      </w:r>
      <w:r w:rsidR="0045050F">
        <w:rPr>
          <w:szCs w:val="22"/>
        </w:rPr>
        <w:t xml:space="preserve">day of </w:t>
      </w:r>
      <w:proofErr w:type="gramStart"/>
      <w:r w:rsidR="0045050F">
        <w:rPr>
          <w:szCs w:val="22"/>
        </w:rPr>
        <w:t>December,</w:t>
      </w:r>
      <w:proofErr w:type="gramEnd"/>
      <w:r w:rsidR="0045050F">
        <w:rPr>
          <w:szCs w:val="22"/>
        </w:rPr>
        <w:t xml:space="preserve"> 2016. </w:t>
      </w:r>
    </w:p>
    <w:p w:rsidR="0045050F" w:rsidRPr="00610FD8" w:rsidRDefault="0045050F" w:rsidP="00610FD8">
      <w:pPr>
        <w:spacing w:line="480" w:lineRule="auto"/>
        <w:ind w:firstLine="720"/>
        <w:jc w:val="both"/>
        <w:rPr>
          <w:szCs w:val="22"/>
        </w:rPr>
      </w:pPr>
    </w:p>
    <w:p w:rsidR="00FB32CC" w:rsidRPr="00610FD8" w:rsidRDefault="00FB32CC" w:rsidP="00FB32CC">
      <w:pPr>
        <w:ind w:firstLine="720"/>
        <w:jc w:val="both"/>
        <w:rPr>
          <w:szCs w:val="22"/>
        </w:rPr>
      </w:pPr>
      <w:r w:rsidRPr="00610FD8">
        <w:rPr>
          <w:szCs w:val="22"/>
        </w:rPr>
        <w:tab/>
      </w:r>
      <w:r w:rsidRPr="00610FD8">
        <w:rPr>
          <w:szCs w:val="22"/>
        </w:rPr>
        <w:tab/>
      </w:r>
      <w:r w:rsidRPr="00610FD8">
        <w:rPr>
          <w:szCs w:val="22"/>
        </w:rPr>
        <w:tab/>
      </w:r>
      <w:r w:rsidRPr="00610FD8">
        <w:rPr>
          <w:szCs w:val="22"/>
        </w:rPr>
        <w:tab/>
      </w:r>
      <w:r w:rsidRPr="00610FD8">
        <w:rPr>
          <w:szCs w:val="22"/>
        </w:rPr>
        <w:tab/>
      </w:r>
      <w:r w:rsidRPr="00610FD8">
        <w:rPr>
          <w:szCs w:val="22"/>
        </w:rPr>
        <w:tab/>
        <w:t>Respectfully submitted,</w:t>
      </w:r>
    </w:p>
    <w:p w:rsidR="00FB32CC" w:rsidRPr="00610FD8" w:rsidRDefault="00FB32CC" w:rsidP="00FB32CC">
      <w:pPr>
        <w:ind w:firstLine="720"/>
        <w:jc w:val="both"/>
        <w:rPr>
          <w:szCs w:val="22"/>
        </w:rPr>
      </w:pPr>
    </w:p>
    <w:p w:rsidR="00FB32CC" w:rsidRPr="00610FD8" w:rsidRDefault="00FB32CC" w:rsidP="00FB32CC">
      <w:pPr>
        <w:ind w:firstLine="720"/>
        <w:jc w:val="both"/>
        <w:rPr>
          <w:szCs w:val="22"/>
        </w:rPr>
      </w:pPr>
    </w:p>
    <w:p w:rsidR="00FB32CC" w:rsidRPr="00610FD8" w:rsidRDefault="00FB32CC" w:rsidP="00FB32CC">
      <w:pPr>
        <w:tabs>
          <w:tab w:val="left" w:pos="4320"/>
          <w:tab w:val="left" w:pos="5040"/>
          <w:tab w:val="left" w:pos="7020"/>
        </w:tabs>
        <w:ind w:left="5040"/>
        <w:rPr>
          <w:szCs w:val="22"/>
          <w:u w:val="single"/>
        </w:rPr>
      </w:pPr>
      <w:r w:rsidRPr="00610FD8">
        <w:rPr>
          <w:szCs w:val="22"/>
          <w:u w:val="single"/>
        </w:rPr>
        <w:tab/>
      </w:r>
      <w:r w:rsidRPr="00610FD8">
        <w:rPr>
          <w:szCs w:val="22"/>
          <w:u w:val="single"/>
        </w:rPr>
        <w:tab/>
      </w:r>
      <w:r w:rsidRPr="00610FD8">
        <w:rPr>
          <w:szCs w:val="22"/>
          <w:u w:val="single"/>
        </w:rPr>
        <w:tab/>
      </w:r>
      <w:r w:rsidRPr="00610FD8">
        <w:rPr>
          <w:szCs w:val="22"/>
          <w:u w:val="single"/>
        </w:rPr>
        <w:tab/>
      </w:r>
      <w:r w:rsidRPr="00610FD8">
        <w:rPr>
          <w:szCs w:val="22"/>
          <w:u w:val="single"/>
        </w:rPr>
        <w:tab/>
      </w:r>
    </w:p>
    <w:p w:rsidR="00FB32CC" w:rsidRPr="00610FD8" w:rsidRDefault="00FB32CC" w:rsidP="00FB32CC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610FD8">
        <w:rPr>
          <w:szCs w:val="22"/>
        </w:rPr>
        <w:t>Kurt J. Boehm, Esq.</w:t>
      </w:r>
    </w:p>
    <w:p w:rsidR="00FB32CC" w:rsidRPr="00610FD8" w:rsidRDefault="00FB32CC" w:rsidP="00FB32CC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610FD8">
        <w:rPr>
          <w:szCs w:val="22"/>
        </w:rPr>
        <w:t>Jody Kyler Cohn, Esq.</w:t>
      </w:r>
    </w:p>
    <w:p w:rsidR="00FB32CC" w:rsidRPr="00610FD8" w:rsidRDefault="00FB32CC" w:rsidP="00FB32CC">
      <w:pPr>
        <w:tabs>
          <w:tab w:val="left" w:pos="4320"/>
          <w:tab w:val="left" w:pos="5040"/>
          <w:tab w:val="left" w:pos="7020"/>
        </w:tabs>
        <w:ind w:left="5040"/>
        <w:rPr>
          <w:b/>
          <w:szCs w:val="22"/>
        </w:rPr>
      </w:pPr>
      <w:r w:rsidRPr="00610FD8">
        <w:rPr>
          <w:b/>
          <w:szCs w:val="22"/>
        </w:rPr>
        <w:t>BOEHM, KURTZ &amp; LOWRY</w:t>
      </w:r>
    </w:p>
    <w:p w:rsidR="00FB32CC" w:rsidRPr="00610FD8" w:rsidRDefault="00FB32CC" w:rsidP="00FB32CC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610FD8">
        <w:rPr>
          <w:szCs w:val="22"/>
        </w:rPr>
        <w:t>36 East Seventh Street, Suite 1510</w:t>
      </w:r>
    </w:p>
    <w:p w:rsidR="00FB32CC" w:rsidRPr="00610FD8" w:rsidRDefault="00FB32CC" w:rsidP="00FB32CC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610FD8">
        <w:rPr>
          <w:szCs w:val="22"/>
        </w:rPr>
        <w:t>Cincinnati, Ohio  45202</w:t>
      </w:r>
    </w:p>
    <w:p w:rsidR="00FB32CC" w:rsidRPr="00610FD8" w:rsidRDefault="00FB32CC" w:rsidP="00FB32CC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610FD8">
        <w:rPr>
          <w:szCs w:val="22"/>
        </w:rPr>
        <w:t>Ph: 513-421-2255      Fax: 513-421-2764</w:t>
      </w:r>
    </w:p>
    <w:p w:rsidR="00FB32CC" w:rsidRPr="00610FD8" w:rsidRDefault="00FB32CC" w:rsidP="00FB32CC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610FD8">
        <w:rPr>
          <w:szCs w:val="22"/>
        </w:rPr>
        <w:t xml:space="preserve">E-mail:  </w:t>
      </w:r>
      <w:hyperlink r:id="rId9" w:history="1">
        <w:r w:rsidRPr="00610FD8">
          <w:rPr>
            <w:rStyle w:val="Hyperlink"/>
            <w:szCs w:val="22"/>
          </w:rPr>
          <w:t>kboehm@BKLlawfirm.com</w:t>
        </w:r>
      </w:hyperlink>
      <w:r w:rsidRPr="00610FD8">
        <w:rPr>
          <w:szCs w:val="22"/>
        </w:rPr>
        <w:t xml:space="preserve"> </w:t>
      </w:r>
    </w:p>
    <w:p w:rsidR="00FB32CC" w:rsidRPr="00610FD8" w:rsidRDefault="00E952FE" w:rsidP="00FB32CC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hyperlink r:id="rId10" w:history="1">
        <w:r w:rsidR="00FB32CC" w:rsidRPr="00610FD8">
          <w:rPr>
            <w:rStyle w:val="Hyperlink"/>
            <w:szCs w:val="22"/>
          </w:rPr>
          <w:t>jkylercohn@BKLlawfirm.com</w:t>
        </w:r>
      </w:hyperlink>
      <w:r w:rsidR="00FB32CC" w:rsidRPr="00610FD8">
        <w:rPr>
          <w:szCs w:val="22"/>
        </w:rPr>
        <w:t xml:space="preserve"> </w:t>
      </w:r>
    </w:p>
    <w:p w:rsidR="00FB32CC" w:rsidRPr="00610FD8" w:rsidRDefault="00FB32CC" w:rsidP="00FB32CC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</w:p>
    <w:p w:rsidR="00AA1437" w:rsidRPr="00610FD8" w:rsidRDefault="00FB32CC" w:rsidP="0045050F">
      <w:pPr>
        <w:tabs>
          <w:tab w:val="left" w:pos="4320"/>
          <w:tab w:val="left" w:pos="5040"/>
          <w:tab w:val="left" w:pos="7020"/>
        </w:tabs>
        <w:ind w:left="5040"/>
        <w:rPr>
          <w:szCs w:val="22"/>
        </w:rPr>
      </w:pPr>
      <w:r w:rsidRPr="00610FD8">
        <w:rPr>
          <w:b/>
          <w:szCs w:val="22"/>
        </w:rPr>
        <w:t>COUNSEL FOR THE KROGER CO.</w:t>
      </w:r>
    </w:p>
    <w:sectPr w:rsidR="00AA1437" w:rsidRPr="00610FD8" w:rsidSect="004B6B63">
      <w:footerReference w:type="defaul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F6" w:rsidRDefault="007934F6">
      <w:r>
        <w:separator/>
      </w:r>
    </w:p>
  </w:endnote>
  <w:endnote w:type="continuationSeparator" w:id="0">
    <w:p w:rsidR="007934F6" w:rsidRDefault="0079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621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C51" w:rsidRDefault="00A65248" w:rsidP="00805C51">
        <w:pPr>
          <w:pStyle w:val="Footer"/>
          <w:jc w:val="center"/>
        </w:pPr>
        <w:r>
          <w:fldChar w:fldCharType="begin"/>
        </w:r>
        <w:r w:rsidR="00805C51">
          <w:instrText xml:space="preserve"> PAGE   \* MERGEFORMAT </w:instrText>
        </w:r>
        <w:r>
          <w:fldChar w:fldCharType="separate"/>
        </w:r>
        <w:r w:rsidR="004505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6E" w:rsidRDefault="00A65248">
    <w:pPr>
      <w:pStyle w:val="Footer"/>
      <w:jc w:val="center"/>
      <w:rPr>
        <w:sz w:val="18"/>
      </w:rPr>
    </w:pPr>
    <w:r>
      <w:rPr>
        <w:rStyle w:val="PageNumber"/>
        <w:sz w:val="18"/>
      </w:rPr>
      <w:fldChar w:fldCharType="begin"/>
    </w:r>
    <w:r w:rsidR="00805C51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9A65A3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F6" w:rsidRDefault="007934F6">
      <w:r>
        <w:separator/>
      </w:r>
    </w:p>
  </w:footnote>
  <w:footnote w:type="continuationSeparator" w:id="0">
    <w:p w:rsidR="007934F6" w:rsidRDefault="0079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7E51"/>
    <w:multiLevelType w:val="hybridMultilevel"/>
    <w:tmpl w:val="923A47B6"/>
    <w:lvl w:ilvl="0" w:tplc="A552C492">
      <w:start w:val="1"/>
      <w:numFmt w:val="decimal"/>
      <w:lvlText w:val="%1."/>
      <w:lvlJc w:val="righ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954E73"/>
    <w:multiLevelType w:val="hybridMultilevel"/>
    <w:tmpl w:val="B19AF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2CC"/>
    <w:rsid w:val="000005CD"/>
    <w:rsid w:val="001C73A1"/>
    <w:rsid w:val="002353C4"/>
    <w:rsid w:val="00240D81"/>
    <w:rsid w:val="002E0300"/>
    <w:rsid w:val="003123A6"/>
    <w:rsid w:val="00371B33"/>
    <w:rsid w:val="003D7B64"/>
    <w:rsid w:val="003E2618"/>
    <w:rsid w:val="0045050F"/>
    <w:rsid w:val="004B68E1"/>
    <w:rsid w:val="004C779E"/>
    <w:rsid w:val="00610FD8"/>
    <w:rsid w:val="0063618F"/>
    <w:rsid w:val="006A434E"/>
    <w:rsid w:val="00743BF0"/>
    <w:rsid w:val="007934F6"/>
    <w:rsid w:val="00805C51"/>
    <w:rsid w:val="009A65A3"/>
    <w:rsid w:val="00A6034F"/>
    <w:rsid w:val="00A65248"/>
    <w:rsid w:val="00C452E3"/>
    <w:rsid w:val="00E952FE"/>
    <w:rsid w:val="00FB32CC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C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32C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B32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2CC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FB32CC"/>
  </w:style>
  <w:style w:type="table" w:styleId="TableGrid">
    <w:name w:val="Table Grid"/>
    <w:basedOn w:val="TableNormal"/>
    <w:rsid w:val="00FB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2CC"/>
    <w:pPr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05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C5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51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10FD8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610FD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jkylercohn@BKLlawfir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boehm@BKLlawfir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474F331-7D9B-4A8C-BEC8-06213FB9AE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A5F63-F3A2-48DF-AB14-C6416F6BFB95}"/>
</file>

<file path=customXml/itemProps3.xml><?xml version="1.0" encoding="utf-8"?>
<ds:datastoreItem xmlns:ds="http://schemas.openxmlformats.org/officeDocument/2006/customXml" ds:itemID="{63F825BF-59CD-4010-B8E5-2983E7332197}"/>
</file>

<file path=customXml/itemProps4.xml><?xml version="1.0" encoding="utf-8"?>
<ds:datastoreItem xmlns:ds="http://schemas.openxmlformats.org/officeDocument/2006/customXml" ds:itemID="{01D7D33C-4F47-41CF-9CDF-BC728349A883}"/>
</file>

<file path=customXml/itemProps5.xml><?xml version="1.0" encoding="utf-8"?>
<ds:datastoreItem xmlns:ds="http://schemas.openxmlformats.org/officeDocument/2006/customXml" ds:itemID="{63325875-F9B0-483D-BB71-0E68920C1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KBoehm</dc:creator>
  <cp:lastModifiedBy>Kim Walton</cp:lastModifiedBy>
  <cp:revision>3</cp:revision>
  <cp:lastPrinted>2016-12-12T18:00:00Z</cp:lastPrinted>
  <dcterms:created xsi:type="dcterms:W3CDTF">2016-12-09T20:07:00Z</dcterms:created>
  <dcterms:modified xsi:type="dcterms:W3CDTF">2016-12-12T19:05:00Z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