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kern w:val="16"/>
          <w:sz w:val="24"/>
          <w:szCs w:val="24"/>
          <w:lang w:eastAsia="en-US"/>
        </w:rPr>
        <w:id w:val="1828939580"/>
        <w:docPartObj>
          <w:docPartGallery w:val="Table of Contents"/>
          <w:docPartUnique/>
        </w:docPartObj>
      </w:sdtPr>
      <w:sdtEndPr>
        <w:rPr>
          <w:noProof/>
          <w:szCs w:val="20"/>
        </w:rPr>
      </w:sdtEndPr>
      <w:sdtContent>
        <w:p w:rsidR="00A14E9A" w:rsidRPr="00BB620A" w:rsidRDefault="00A14E9A" w:rsidP="00BF2039">
          <w:pPr>
            <w:pStyle w:val="TOCHeading"/>
            <w:suppressLineNumbers/>
            <w:spacing w:before="0" w:line="480" w:lineRule="auto"/>
            <w:jc w:val="center"/>
            <w:rPr>
              <w:rFonts w:ascii="Times New Roman" w:hAnsi="Times New Roman" w:cs="Times New Roman"/>
              <w:color w:val="auto"/>
              <w:sz w:val="24"/>
              <w:szCs w:val="24"/>
            </w:rPr>
          </w:pPr>
          <w:r w:rsidRPr="00BB620A">
            <w:rPr>
              <w:rFonts w:ascii="Times New Roman" w:hAnsi="Times New Roman" w:cs="Times New Roman"/>
              <w:color w:val="auto"/>
              <w:sz w:val="24"/>
              <w:szCs w:val="24"/>
            </w:rPr>
            <w:t>TABLE OF CONTENTS</w:t>
          </w:r>
        </w:p>
        <w:p w:rsidR="00A14E9A" w:rsidRPr="00BB620A" w:rsidRDefault="00A14E9A" w:rsidP="00BF2039">
          <w:pPr>
            <w:pStyle w:val="TOC1"/>
            <w:suppressLineNumbers/>
            <w:tabs>
              <w:tab w:val="right" w:leader="dot" w:pos="8990"/>
            </w:tabs>
            <w:spacing w:before="0" w:line="360" w:lineRule="auto"/>
            <w:rPr>
              <w:rFonts w:ascii="Times New Roman" w:eastAsiaTheme="minorEastAsia" w:hAnsi="Times New Roman"/>
              <w:b w:val="0"/>
              <w:noProof/>
              <w:kern w:val="0"/>
              <w:lang w:eastAsia="ja-JP"/>
            </w:rPr>
          </w:pPr>
          <w:r w:rsidRPr="00BB620A">
            <w:rPr>
              <w:rFonts w:ascii="Times New Roman" w:hAnsi="Times New Roman"/>
              <w:b w:val="0"/>
            </w:rPr>
            <w:fldChar w:fldCharType="begin"/>
          </w:r>
          <w:r w:rsidRPr="00BB620A">
            <w:rPr>
              <w:rFonts w:ascii="Times New Roman" w:hAnsi="Times New Roman"/>
              <w:b w:val="0"/>
            </w:rPr>
            <w:instrText xml:space="preserve"> TOC \o "1-3" \h \z \u </w:instrText>
          </w:r>
          <w:r w:rsidRPr="00BB620A">
            <w:rPr>
              <w:rFonts w:ascii="Times New Roman" w:hAnsi="Times New Roman"/>
              <w:b w:val="0"/>
            </w:rPr>
            <w:fldChar w:fldCharType="separate"/>
          </w:r>
          <w:r w:rsidRPr="00BB620A">
            <w:rPr>
              <w:rFonts w:ascii="Times New Roman" w:hAnsi="Times New Roman"/>
              <w:b w:val="0"/>
              <w:noProof/>
            </w:rPr>
            <w:t>QUALIFICATIONS</w:t>
          </w:r>
          <w:r w:rsidRPr="00BB620A">
            <w:rPr>
              <w:rFonts w:ascii="Times New Roman" w:hAnsi="Times New Roman"/>
              <w:b w:val="0"/>
              <w:noProof/>
            </w:rPr>
            <w:tab/>
          </w:r>
          <w:r w:rsidRPr="00BB620A">
            <w:rPr>
              <w:rFonts w:ascii="Times New Roman" w:hAnsi="Times New Roman"/>
              <w:b w:val="0"/>
              <w:noProof/>
            </w:rPr>
            <w:fldChar w:fldCharType="begin"/>
          </w:r>
          <w:r w:rsidRPr="00BB620A">
            <w:rPr>
              <w:rFonts w:ascii="Times New Roman" w:hAnsi="Times New Roman"/>
              <w:b w:val="0"/>
              <w:noProof/>
            </w:rPr>
            <w:instrText xml:space="preserve"> PAGEREF _Toc313530437 \h </w:instrText>
          </w:r>
          <w:r w:rsidRPr="00BB620A">
            <w:rPr>
              <w:rFonts w:ascii="Times New Roman" w:hAnsi="Times New Roman"/>
              <w:b w:val="0"/>
              <w:noProof/>
            </w:rPr>
          </w:r>
          <w:r w:rsidRPr="00BB620A">
            <w:rPr>
              <w:rFonts w:ascii="Times New Roman" w:hAnsi="Times New Roman"/>
              <w:b w:val="0"/>
              <w:noProof/>
            </w:rPr>
            <w:fldChar w:fldCharType="separate"/>
          </w:r>
          <w:r w:rsidR="00A7292A">
            <w:rPr>
              <w:rFonts w:ascii="Times New Roman" w:hAnsi="Times New Roman"/>
              <w:b w:val="0"/>
              <w:noProof/>
            </w:rPr>
            <w:t>1</w:t>
          </w:r>
          <w:r w:rsidRPr="00BB620A">
            <w:rPr>
              <w:rFonts w:ascii="Times New Roman" w:hAnsi="Times New Roman"/>
              <w:b w:val="0"/>
              <w:noProof/>
            </w:rPr>
            <w:fldChar w:fldCharType="end"/>
          </w:r>
        </w:p>
        <w:p w:rsidR="00A14E9A" w:rsidRPr="00BB620A" w:rsidRDefault="00A14E9A" w:rsidP="00BF2039">
          <w:pPr>
            <w:pStyle w:val="TOC1"/>
            <w:suppressLineNumbers/>
            <w:tabs>
              <w:tab w:val="right" w:leader="dot" w:pos="8990"/>
            </w:tabs>
            <w:spacing w:before="0" w:line="360" w:lineRule="auto"/>
            <w:rPr>
              <w:rFonts w:ascii="Times New Roman" w:eastAsiaTheme="minorEastAsia" w:hAnsi="Times New Roman"/>
              <w:b w:val="0"/>
              <w:noProof/>
              <w:kern w:val="0"/>
              <w:lang w:eastAsia="ja-JP"/>
            </w:rPr>
          </w:pPr>
          <w:r w:rsidRPr="00BB620A">
            <w:rPr>
              <w:rFonts w:ascii="Times New Roman" w:hAnsi="Times New Roman"/>
              <w:b w:val="0"/>
              <w:noProof/>
            </w:rPr>
            <w:t>SUMMARY OF TESTIMONY</w:t>
          </w:r>
          <w:r w:rsidRPr="00BB620A">
            <w:rPr>
              <w:rFonts w:ascii="Times New Roman" w:hAnsi="Times New Roman"/>
              <w:b w:val="0"/>
              <w:noProof/>
            </w:rPr>
            <w:tab/>
          </w:r>
          <w:r w:rsidRPr="00BB620A">
            <w:rPr>
              <w:rFonts w:ascii="Times New Roman" w:hAnsi="Times New Roman"/>
              <w:b w:val="0"/>
              <w:noProof/>
            </w:rPr>
            <w:fldChar w:fldCharType="begin"/>
          </w:r>
          <w:r w:rsidRPr="00BB620A">
            <w:rPr>
              <w:rFonts w:ascii="Times New Roman" w:hAnsi="Times New Roman"/>
              <w:b w:val="0"/>
              <w:noProof/>
            </w:rPr>
            <w:instrText xml:space="preserve"> PAGEREF _Toc313530438 \h </w:instrText>
          </w:r>
          <w:r w:rsidRPr="00BB620A">
            <w:rPr>
              <w:rFonts w:ascii="Times New Roman" w:hAnsi="Times New Roman"/>
              <w:b w:val="0"/>
              <w:noProof/>
            </w:rPr>
          </w:r>
          <w:r w:rsidRPr="00BB620A">
            <w:rPr>
              <w:rFonts w:ascii="Times New Roman" w:hAnsi="Times New Roman"/>
              <w:b w:val="0"/>
              <w:noProof/>
            </w:rPr>
            <w:fldChar w:fldCharType="separate"/>
          </w:r>
          <w:r w:rsidR="00A7292A">
            <w:rPr>
              <w:rFonts w:ascii="Times New Roman" w:hAnsi="Times New Roman"/>
              <w:b w:val="0"/>
              <w:noProof/>
            </w:rPr>
            <w:t>2</w:t>
          </w:r>
          <w:r w:rsidRPr="00BB620A">
            <w:rPr>
              <w:rFonts w:ascii="Times New Roman" w:hAnsi="Times New Roman"/>
              <w:b w:val="0"/>
              <w:noProof/>
            </w:rPr>
            <w:fldChar w:fldCharType="end"/>
          </w:r>
        </w:p>
        <w:p w:rsidR="00A14E9A" w:rsidRPr="00BB620A" w:rsidRDefault="00A14E9A" w:rsidP="00BF2039">
          <w:pPr>
            <w:pStyle w:val="TOC1"/>
            <w:suppressLineNumbers/>
            <w:tabs>
              <w:tab w:val="right" w:leader="dot" w:pos="8990"/>
            </w:tabs>
            <w:spacing w:before="0" w:line="360" w:lineRule="auto"/>
            <w:rPr>
              <w:rFonts w:ascii="Times New Roman" w:eastAsiaTheme="minorEastAsia" w:hAnsi="Times New Roman"/>
              <w:b w:val="0"/>
              <w:noProof/>
              <w:kern w:val="0"/>
              <w:lang w:eastAsia="ja-JP"/>
            </w:rPr>
          </w:pPr>
          <w:r w:rsidRPr="00BB620A">
            <w:rPr>
              <w:rFonts w:ascii="Times New Roman" w:hAnsi="Times New Roman"/>
              <w:b w:val="0"/>
              <w:noProof/>
            </w:rPr>
            <w:t>UPDATED LONG-TERM COST OF DEBT</w:t>
          </w:r>
          <w:r w:rsidRPr="00BB620A">
            <w:rPr>
              <w:rFonts w:ascii="Times New Roman" w:hAnsi="Times New Roman"/>
              <w:b w:val="0"/>
              <w:noProof/>
            </w:rPr>
            <w:tab/>
          </w:r>
          <w:r w:rsidRPr="00BB620A">
            <w:rPr>
              <w:rFonts w:ascii="Times New Roman" w:hAnsi="Times New Roman"/>
              <w:b w:val="0"/>
              <w:noProof/>
            </w:rPr>
            <w:fldChar w:fldCharType="begin"/>
          </w:r>
          <w:r w:rsidRPr="00BB620A">
            <w:rPr>
              <w:rFonts w:ascii="Times New Roman" w:hAnsi="Times New Roman"/>
              <w:b w:val="0"/>
              <w:noProof/>
            </w:rPr>
            <w:instrText xml:space="preserve"> PAGEREF _Toc313530439 \h </w:instrText>
          </w:r>
          <w:r w:rsidRPr="00BB620A">
            <w:rPr>
              <w:rFonts w:ascii="Times New Roman" w:hAnsi="Times New Roman"/>
              <w:b w:val="0"/>
              <w:noProof/>
            </w:rPr>
          </w:r>
          <w:r w:rsidRPr="00BB620A">
            <w:rPr>
              <w:rFonts w:ascii="Times New Roman" w:hAnsi="Times New Roman"/>
              <w:b w:val="0"/>
              <w:noProof/>
            </w:rPr>
            <w:fldChar w:fldCharType="separate"/>
          </w:r>
          <w:r w:rsidR="00A7292A">
            <w:rPr>
              <w:rFonts w:ascii="Times New Roman" w:hAnsi="Times New Roman"/>
              <w:b w:val="0"/>
              <w:noProof/>
            </w:rPr>
            <w:t>2</w:t>
          </w:r>
          <w:r w:rsidRPr="00BB620A">
            <w:rPr>
              <w:rFonts w:ascii="Times New Roman" w:hAnsi="Times New Roman"/>
              <w:b w:val="0"/>
              <w:noProof/>
            </w:rPr>
            <w:fldChar w:fldCharType="end"/>
          </w:r>
        </w:p>
        <w:p w:rsidR="00A14E9A" w:rsidRPr="00BB620A" w:rsidRDefault="00A14E9A" w:rsidP="00BF2039">
          <w:pPr>
            <w:pStyle w:val="TOC1"/>
            <w:suppressLineNumbers/>
            <w:tabs>
              <w:tab w:val="right" w:leader="dot" w:pos="8990"/>
            </w:tabs>
            <w:spacing w:before="0" w:line="360" w:lineRule="auto"/>
            <w:rPr>
              <w:rFonts w:ascii="Times New Roman" w:eastAsiaTheme="minorEastAsia" w:hAnsi="Times New Roman"/>
              <w:b w:val="0"/>
              <w:noProof/>
              <w:kern w:val="0"/>
              <w:lang w:eastAsia="ja-JP"/>
            </w:rPr>
          </w:pPr>
          <w:r w:rsidRPr="00BB620A">
            <w:rPr>
              <w:rFonts w:ascii="Times New Roman" w:hAnsi="Times New Roman"/>
              <w:b w:val="0"/>
              <w:noProof/>
            </w:rPr>
            <w:t>CAPITAL STRUCTURE</w:t>
          </w:r>
          <w:r w:rsidRPr="00BB620A">
            <w:rPr>
              <w:rFonts w:ascii="Times New Roman" w:hAnsi="Times New Roman"/>
              <w:b w:val="0"/>
              <w:noProof/>
            </w:rPr>
            <w:tab/>
          </w:r>
          <w:r w:rsidRPr="00BB620A">
            <w:rPr>
              <w:rFonts w:ascii="Times New Roman" w:hAnsi="Times New Roman"/>
              <w:b w:val="0"/>
              <w:noProof/>
            </w:rPr>
            <w:fldChar w:fldCharType="begin"/>
          </w:r>
          <w:r w:rsidRPr="00BB620A">
            <w:rPr>
              <w:rFonts w:ascii="Times New Roman" w:hAnsi="Times New Roman"/>
              <w:b w:val="0"/>
              <w:noProof/>
            </w:rPr>
            <w:instrText xml:space="preserve"> PAGEREF _Toc313530440 \h </w:instrText>
          </w:r>
          <w:r w:rsidRPr="00BB620A">
            <w:rPr>
              <w:rFonts w:ascii="Times New Roman" w:hAnsi="Times New Roman"/>
              <w:b w:val="0"/>
              <w:noProof/>
            </w:rPr>
          </w:r>
          <w:r w:rsidRPr="00BB620A">
            <w:rPr>
              <w:rFonts w:ascii="Times New Roman" w:hAnsi="Times New Roman"/>
              <w:b w:val="0"/>
              <w:noProof/>
            </w:rPr>
            <w:fldChar w:fldCharType="separate"/>
          </w:r>
          <w:r w:rsidR="00A7292A">
            <w:rPr>
              <w:rFonts w:ascii="Times New Roman" w:hAnsi="Times New Roman"/>
              <w:b w:val="0"/>
              <w:noProof/>
            </w:rPr>
            <w:t>5</w:t>
          </w:r>
          <w:r w:rsidRPr="00BB620A">
            <w:rPr>
              <w:rFonts w:ascii="Times New Roman" w:hAnsi="Times New Roman"/>
              <w:b w:val="0"/>
              <w:noProof/>
            </w:rPr>
            <w:fldChar w:fldCharType="end"/>
          </w:r>
        </w:p>
        <w:p w:rsidR="00A14E9A" w:rsidRPr="00BB620A" w:rsidRDefault="00A14E9A" w:rsidP="00BF2039">
          <w:pPr>
            <w:pStyle w:val="TOC1"/>
            <w:suppressLineNumbers/>
            <w:tabs>
              <w:tab w:val="right" w:leader="dot" w:pos="8990"/>
            </w:tabs>
            <w:spacing w:before="0" w:line="360" w:lineRule="auto"/>
            <w:rPr>
              <w:rFonts w:ascii="Times New Roman" w:eastAsiaTheme="minorEastAsia" w:hAnsi="Times New Roman"/>
              <w:b w:val="0"/>
              <w:noProof/>
              <w:kern w:val="0"/>
              <w:lang w:eastAsia="ja-JP"/>
            </w:rPr>
          </w:pPr>
          <w:r w:rsidRPr="00BB620A">
            <w:rPr>
              <w:rFonts w:ascii="Times New Roman" w:hAnsi="Times New Roman"/>
              <w:b w:val="0"/>
              <w:noProof/>
            </w:rPr>
            <w:t>CREDIT RATINGS</w:t>
          </w:r>
          <w:r w:rsidRPr="00BB620A">
            <w:rPr>
              <w:rFonts w:ascii="Times New Roman" w:hAnsi="Times New Roman"/>
              <w:b w:val="0"/>
              <w:noProof/>
            </w:rPr>
            <w:tab/>
          </w:r>
          <w:r w:rsidRPr="00BB620A">
            <w:rPr>
              <w:rFonts w:ascii="Times New Roman" w:hAnsi="Times New Roman"/>
              <w:b w:val="0"/>
              <w:noProof/>
            </w:rPr>
            <w:fldChar w:fldCharType="begin"/>
          </w:r>
          <w:r w:rsidRPr="00BB620A">
            <w:rPr>
              <w:rFonts w:ascii="Times New Roman" w:hAnsi="Times New Roman"/>
              <w:b w:val="0"/>
              <w:noProof/>
            </w:rPr>
            <w:instrText xml:space="preserve"> PAGEREF _Toc313530441 \h </w:instrText>
          </w:r>
          <w:r w:rsidRPr="00BB620A">
            <w:rPr>
              <w:rFonts w:ascii="Times New Roman" w:hAnsi="Times New Roman"/>
              <w:b w:val="0"/>
              <w:noProof/>
            </w:rPr>
          </w:r>
          <w:r w:rsidRPr="00BB620A">
            <w:rPr>
              <w:rFonts w:ascii="Times New Roman" w:hAnsi="Times New Roman"/>
              <w:b w:val="0"/>
              <w:noProof/>
            </w:rPr>
            <w:fldChar w:fldCharType="separate"/>
          </w:r>
          <w:r w:rsidR="00A7292A">
            <w:rPr>
              <w:rFonts w:ascii="Times New Roman" w:hAnsi="Times New Roman"/>
              <w:b w:val="0"/>
              <w:noProof/>
            </w:rPr>
            <w:t>6</w:t>
          </w:r>
          <w:r w:rsidRPr="00BB620A">
            <w:rPr>
              <w:rFonts w:ascii="Times New Roman" w:hAnsi="Times New Roman"/>
              <w:b w:val="0"/>
              <w:noProof/>
            </w:rPr>
            <w:fldChar w:fldCharType="end"/>
          </w:r>
        </w:p>
        <w:p w:rsidR="00A14E9A" w:rsidRPr="00A14E9A" w:rsidRDefault="00A14E9A" w:rsidP="00BF2039">
          <w:pPr>
            <w:suppressLineNumbers/>
            <w:spacing w:line="360" w:lineRule="auto"/>
          </w:pPr>
          <w:r w:rsidRPr="00BB620A">
            <w:rPr>
              <w:bCs/>
              <w:noProof/>
              <w:szCs w:val="24"/>
            </w:rPr>
            <w:fldChar w:fldCharType="end"/>
          </w:r>
        </w:p>
      </w:sdtContent>
    </w:sdt>
    <w:p w:rsidR="00A14E9A" w:rsidRDefault="00A14E9A" w:rsidP="00BB620A">
      <w:pPr>
        <w:suppressLineNumbers/>
        <w:spacing w:line="276" w:lineRule="auto"/>
        <w:jc w:val="center"/>
        <w:rPr>
          <w:b/>
          <w:szCs w:val="24"/>
        </w:rPr>
      </w:pPr>
    </w:p>
    <w:p w:rsidR="00A14E9A" w:rsidRDefault="002530A4" w:rsidP="00BF2039">
      <w:pPr>
        <w:suppressLineNumbers/>
        <w:spacing w:line="480" w:lineRule="auto"/>
        <w:jc w:val="center"/>
        <w:rPr>
          <w:b/>
          <w:szCs w:val="24"/>
        </w:rPr>
      </w:pPr>
      <w:r>
        <w:rPr>
          <w:b/>
          <w:szCs w:val="24"/>
        </w:rPr>
        <w:t>ATTACHED EXHIBITS</w:t>
      </w:r>
    </w:p>
    <w:p w:rsidR="00F86594" w:rsidRDefault="00F86594" w:rsidP="00BF2039">
      <w:pPr>
        <w:suppressLineNumbers/>
        <w:spacing w:line="480" w:lineRule="auto"/>
        <w:rPr>
          <w:szCs w:val="24"/>
        </w:rPr>
      </w:pPr>
      <w:r>
        <w:rPr>
          <w:szCs w:val="24"/>
        </w:rPr>
        <w:t>Exhibit No.</w:t>
      </w:r>
      <w:r w:rsidR="00392E95">
        <w:rPr>
          <w:szCs w:val="24"/>
        </w:rPr>
        <w:t xml:space="preserve"> </w:t>
      </w:r>
      <w:r>
        <w:rPr>
          <w:szCs w:val="24"/>
        </w:rPr>
        <w:t>BNW-2—Fitch Ratings (</w:t>
      </w:r>
      <w:r w:rsidR="00B02552">
        <w:rPr>
          <w:szCs w:val="24"/>
        </w:rPr>
        <w:t>November 24, 2015</w:t>
      </w:r>
      <w:r>
        <w:rPr>
          <w:szCs w:val="24"/>
        </w:rPr>
        <w:t>)</w:t>
      </w:r>
    </w:p>
    <w:p w:rsidR="002530A4" w:rsidRDefault="002530A4" w:rsidP="00BF2039">
      <w:pPr>
        <w:suppressLineNumbers/>
        <w:spacing w:line="480" w:lineRule="auto"/>
        <w:rPr>
          <w:szCs w:val="24"/>
        </w:rPr>
      </w:pPr>
      <w:r>
        <w:rPr>
          <w:szCs w:val="24"/>
        </w:rPr>
        <w:t>Exhibit N</w:t>
      </w:r>
      <w:r w:rsidR="00F86594">
        <w:rPr>
          <w:szCs w:val="24"/>
        </w:rPr>
        <w:t>o.</w:t>
      </w:r>
      <w:r w:rsidR="00392E95">
        <w:rPr>
          <w:szCs w:val="24"/>
        </w:rPr>
        <w:t xml:space="preserve"> </w:t>
      </w:r>
      <w:r w:rsidR="00F86594">
        <w:rPr>
          <w:szCs w:val="24"/>
        </w:rPr>
        <w:t>BNW-3</w:t>
      </w:r>
      <w:r>
        <w:rPr>
          <w:szCs w:val="24"/>
        </w:rPr>
        <w:t>—Moody’s Investor Service (</w:t>
      </w:r>
      <w:r w:rsidR="00B02552">
        <w:rPr>
          <w:szCs w:val="24"/>
        </w:rPr>
        <w:t>May 7, 2015</w:t>
      </w:r>
      <w:r>
        <w:rPr>
          <w:szCs w:val="24"/>
        </w:rPr>
        <w:t>)</w:t>
      </w:r>
    </w:p>
    <w:p w:rsidR="00F86594" w:rsidRDefault="00F86594" w:rsidP="00BF2039">
      <w:pPr>
        <w:suppressLineNumbers/>
        <w:spacing w:line="480" w:lineRule="auto"/>
        <w:rPr>
          <w:szCs w:val="24"/>
        </w:rPr>
      </w:pPr>
      <w:r>
        <w:rPr>
          <w:szCs w:val="24"/>
        </w:rPr>
        <w:t>Exhibit No.</w:t>
      </w:r>
      <w:r w:rsidR="00392E95">
        <w:rPr>
          <w:szCs w:val="24"/>
        </w:rPr>
        <w:t xml:space="preserve"> </w:t>
      </w:r>
      <w:r>
        <w:rPr>
          <w:szCs w:val="24"/>
        </w:rPr>
        <w:t>BNW-</w:t>
      </w:r>
      <w:r w:rsidR="00B02552">
        <w:rPr>
          <w:szCs w:val="24"/>
        </w:rPr>
        <w:t>4</w:t>
      </w:r>
      <w:r>
        <w:rPr>
          <w:szCs w:val="24"/>
        </w:rPr>
        <w:t>—Standard &amp; Poor’s Ratings Direct (</w:t>
      </w:r>
      <w:r w:rsidR="00B02552">
        <w:rPr>
          <w:szCs w:val="24"/>
        </w:rPr>
        <w:t>March 12, 2015</w:t>
      </w:r>
      <w:r>
        <w:rPr>
          <w:szCs w:val="24"/>
        </w:rPr>
        <w:t>)</w:t>
      </w:r>
    </w:p>
    <w:p w:rsidR="00F86594" w:rsidRDefault="00F86594" w:rsidP="00BF2039">
      <w:pPr>
        <w:suppressLineNumbers/>
        <w:spacing w:line="480" w:lineRule="auto"/>
        <w:rPr>
          <w:szCs w:val="24"/>
        </w:rPr>
      </w:pPr>
      <w:r>
        <w:rPr>
          <w:szCs w:val="24"/>
        </w:rPr>
        <w:t>Exhibit No.</w:t>
      </w:r>
      <w:r w:rsidR="00392E95">
        <w:rPr>
          <w:szCs w:val="24"/>
        </w:rPr>
        <w:t xml:space="preserve"> </w:t>
      </w:r>
      <w:r>
        <w:rPr>
          <w:szCs w:val="24"/>
        </w:rPr>
        <w:t>BNW-</w:t>
      </w:r>
      <w:r w:rsidR="00B02552">
        <w:rPr>
          <w:szCs w:val="24"/>
        </w:rPr>
        <w:t>5</w:t>
      </w:r>
      <w:r>
        <w:rPr>
          <w:szCs w:val="24"/>
        </w:rPr>
        <w:t>—Cost of Long-Term Debt</w:t>
      </w:r>
    </w:p>
    <w:p w:rsidR="00F86594" w:rsidRDefault="00F86594" w:rsidP="00BF2039">
      <w:pPr>
        <w:suppressLineNumbers/>
        <w:spacing w:line="480" w:lineRule="auto"/>
        <w:ind w:left="2790" w:hanging="2790"/>
        <w:rPr>
          <w:szCs w:val="24"/>
        </w:rPr>
      </w:pPr>
      <w:r>
        <w:rPr>
          <w:szCs w:val="24"/>
        </w:rPr>
        <w:t>Exhibit No.</w:t>
      </w:r>
      <w:r w:rsidR="00392E95">
        <w:rPr>
          <w:szCs w:val="24"/>
        </w:rPr>
        <w:t xml:space="preserve"> </w:t>
      </w:r>
      <w:r>
        <w:rPr>
          <w:szCs w:val="24"/>
        </w:rPr>
        <w:t>BNW-</w:t>
      </w:r>
      <w:r w:rsidR="00B02552">
        <w:rPr>
          <w:szCs w:val="24"/>
        </w:rPr>
        <w:t>6</w:t>
      </w:r>
      <w:r>
        <w:rPr>
          <w:szCs w:val="24"/>
        </w:rPr>
        <w:t>—Variable Rate PCRBs</w:t>
      </w:r>
    </w:p>
    <w:p w:rsidR="008F6FC5" w:rsidRDefault="008F6FC5" w:rsidP="00BB620A">
      <w:pPr>
        <w:suppressLineNumbers/>
        <w:spacing w:line="276" w:lineRule="auto"/>
        <w:rPr>
          <w:b/>
          <w:szCs w:val="24"/>
        </w:rPr>
      </w:pPr>
      <w:r>
        <w:rPr>
          <w:b/>
          <w:szCs w:val="24"/>
        </w:rPr>
        <w:br w:type="page"/>
      </w:r>
    </w:p>
    <w:p w:rsidR="00FB69C7" w:rsidRDefault="00FB69C7" w:rsidP="00BB620A">
      <w:pPr>
        <w:spacing w:line="480" w:lineRule="auto"/>
        <w:ind w:left="720" w:hanging="720"/>
        <w:rPr>
          <w:b/>
          <w:szCs w:val="24"/>
        </w:rPr>
        <w:sectPr w:rsidR="00FB69C7" w:rsidSect="00C6296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800" w:header="720" w:footer="720" w:gutter="0"/>
          <w:lnNumType w:countBy="1"/>
          <w:pgNumType w:fmt="lowerRoman" w:start="1" w:chapSep="period"/>
          <w:cols w:space="720"/>
          <w:docGrid w:linePitch="326"/>
        </w:sectPr>
      </w:pPr>
    </w:p>
    <w:p w:rsidR="003D655E" w:rsidRPr="00C04A68" w:rsidRDefault="003D655E" w:rsidP="00BB620A">
      <w:pPr>
        <w:spacing w:line="480" w:lineRule="auto"/>
        <w:ind w:left="720" w:hanging="720"/>
        <w:rPr>
          <w:b/>
          <w:szCs w:val="24"/>
        </w:rPr>
      </w:pPr>
      <w:r w:rsidRPr="00C04A68">
        <w:rPr>
          <w:b/>
          <w:szCs w:val="24"/>
        </w:rPr>
        <w:lastRenderedPageBreak/>
        <w:t>Q.</w:t>
      </w:r>
      <w:r w:rsidRPr="00C04A68">
        <w:rPr>
          <w:szCs w:val="24"/>
        </w:rPr>
        <w:tab/>
      </w:r>
      <w:r w:rsidRPr="00C04A68">
        <w:rPr>
          <w:b/>
          <w:szCs w:val="24"/>
        </w:rPr>
        <w:t>Please st</w:t>
      </w:r>
      <w:r w:rsidR="00E80EC8">
        <w:rPr>
          <w:b/>
          <w:szCs w:val="24"/>
        </w:rPr>
        <w:t>ate your name, business address</w:t>
      </w:r>
      <w:r w:rsidR="00BE3931">
        <w:rPr>
          <w:b/>
          <w:szCs w:val="24"/>
        </w:rPr>
        <w:t>,</w:t>
      </w:r>
      <w:r w:rsidRPr="00C04A68">
        <w:rPr>
          <w:b/>
          <w:szCs w:val="24"/>
        </w:rPr>
        <w:t xml:space="preserve"> and present position with</w:t>
      </w:r>
      <w:r w:rsidR="00BE3931" w:rsidRPr="00BE3931">
        <w:rPr>
          <w:b/>
          <w:bCs/>
          <w:iCs/>
          <w:color w:val="000000" w:themeColor="text1"/>
        </w:rPr>
        <w:t xml:space="preserve"> PacifiCorp</w:t>
      </w:r>
      <w:r w:rsidR="00FE0E8B">
        <w:rPr>
          <w:b/>
          <w:szCs w:val="24"/>
        </w:rPr>
        <w:t>.</w:t>
      </w:r>
    </w:p>
    <w:p w:rsidR="003D655E" w:rsidRPr="00C04A68" w:rsidRDefault="003D655E" w:rsidP="00BB620A">
      <w:pPr>
        <w:numPr>
          <w:ilvl w:val="0"/>
          <w:numId w:val="1"/>
        </w:numPr>
        <w:spacing w:line="480" w:lineRule="auto"/>
        <w:rPr>
          <w:szCs w:val="24"/>
        </w:rPr>
      </w:pPr>
      <w:r w:rsidRPr="00C04A68">
        <w:rPr>
          <w:szCs w:val="24"/>
        </w:rPr>
        <w:t xml:space="preserve">My name is Bruce N. Williams. </w:t>
      </w:r>
      <w:r w:rsidR="00716A09">
        <w:rPr>
          <w:szCs w:val="24"/>
        </w:rPr>
        <w:t xml:space="preserve"> </w:t>
      </w:r>
      <w:r w:rsidRPr="00C04A68">
        <w:rPr>
          <w:szCs w:val="24"/>
        </w:rPr>
        <w:t xml:space="preserve">My business address is 825 NE Multnomah Street, Suite 1900, Portland, Oregon 97232. </w:t>
      </w:r>
      <w:r w:rsidR="00BE3931">
        <w:rPr>
          <w:szCs w:val="24"/>
        </w:rPr>
        <w:t xml:space="preserve"> </w:t>
      </w:r>
      <w:r w:rsidRPr="00C04A68">
        <w:rPr>
          <w:szCs w:val="24"/>
        </w:rPr>
        <w:t>My present position is Vice President and Treasurer.</w:t>
      </w:r>
      <w:r w:rsidR="00C62969">
        <w:rPr>
          <w:szCs w:val="24"/>
        </w:rPr>
        <w:t xml:space="preserve">  I am testifying for Pacific Power &amp; Light Company (Pacific Power or Company), a division of PacifiCorp. </w:t>
      </w:r>
    </w:p>
    <w:p w:rsidR="003D655E" w:rsidRPr="00C04A68" w:rsidRDefault="00BE3931" w:rsidP="00BB620A">
      <w:pPr>
        <w:pStyle w:val="Heading1"/>
      </w:pPr>
      <w:bookmarkStart w:id="1" w:name="_Toc386540852"/>
      <w:bookmarkStart w:id="2" w:name="_Toc313530437"/>
      <w:r w:rsidRPr="00C04A68">
        <w:t>QUALIFICATIONS</w:t>
      </w:r>
      <w:bookmarkEnd w:id="1"/>
      <w:bookmarkEnd w:id="2"/>
    </w:p>
    <w:p w:rsidR="003D655E" w:rsidRPr="00C04A68" w:rsidRDefault="003D655E" w:rsidP="00BB620A">
      <w:pPr>
        <w:spacing w:line="480" w:lineRule="auto"/>
        <w:ind w:left="720" w:hanging="720"/>
        <w:rPr>
          <w:b/>
          <w:szCs w:val="24"/>
        </w:rPr>
      </w:pPr>
      <w:r w:rsidRPr="00C04A68">
        <w:rPr>
          <w:b/>
          <w:szCs w:val="24"/>
        </w:rPr>
        <w:t>Q.</w:t>
      </w:r>
      <w:r w:rsidRPr="00C04A68">
        <w:rPr>
          <w:b/>
          <w:szCs w:val="24"/>
        </w:rPr>
        <w:tab/>
        <w:t>Please desc</w:t>
      </w:r>
      <w:r w:rsidR="002862D2">
        <w:rPr>
          <w:b/>
          <w:szCs w:val="24"/>
        </w:rPr>
        <w:t>ribe your education and professional</w:t>
      </w:r>
      <w:r w:rsidRPr="00C04A68">
        <w:rPr>
          <w:b/>
          <w:szCs w:val="24"/>
        </w:rPr>
        <w:t xml:space="preserve"> experience.</w:t>
      </w:r>
    </w:p>
    <w:p w:rsidR="003D655E" w:rsidRPr="00C04A68" w:rsidRDefault="003D655E" w:rsidP="00BB620A">
      <w:pPr>
        <w:numPr>
          <w:ilvl w:val="0"/>
          <w:numId w:val="2"/>
        </w:numPr>
        <w:spacing w:line="480" w:lineRule="auto"/>
        <w:rPr>
          <w:szCs w:val="24"/>
        </w:rPr>
      </w:pPr>
      <w:r w:rsidRPr="00C04A68">
        <w:rPr>
          <w:szCs w:val="24"/>
        </w:rPr>
        <w:t xml:space="preserve">I received a Bachelor of Science degree in Business Administration with a concentration in Finance from Oregon State University in 1980. </w:t>
      </w:r>
      <w:r w:rsidR="00BE3931">
        <w:rPr>
          <w:szCs w:val="24"/>
        </w:rPr>
        <w:t xml:space="preserve"> </w:t>
      </w:r>
      <w:r w:rsidRPr="00C04A68">
        <w:rPr>
          <w:szCs w:val="24"/>
        </w:rPr>
        <w:t xml:space="preserve">I also received the Chartered Financial Analyst designation upon passing the examination </w:t>
      </w:r>
      <w:r w:rsidR="00716A09">
        <w:rPr>
          <w:szCs w:val="24"/>
        </w:rPr>
        <w:t>in</w:t>
      </w:r>
      <w:r w:rsidRPr="00C04A68">
        <w:rPr>
          <w:szCs w:val="24"/>
        </w:rPr>
        <w:t xml:space="preserve"> 1986. </w:t>
      </w:r>
      <w:r w:rsidR="00BE3931">
        <w:rPr>
          <w:szCs w:val="24"/>
        </w:rPr>
        <w:t xml:space="preserve"> I </w:t>
      </w:r>
      <w:r w:rsidRPr="00C04A68">
        <w:rPr>
          <w:szCs w:val="24"/>
        </w:rPr>
        <w:t xml:space="preserve">have been employed by the Company for </w:t>
      </w:r>
      <w:r w:rsidR="000D663F">
        <w:rPr>
          <w:szCs w:val="24"/>
        </w:rPr>
        <w:t xml:space="preserve">over </w:t>
      </w:r>
      <w:r w:rsidR="00FB354A">
        <w:rPr>
          <w:szCs w:val="24"/>
        </w:rPr>
        <w:t>30</w:t>
      </w:r>
      <w:r w:rsidRPr="00C04A68">
        <w:rPr>
          <w:szCs w:val="24"/>
        </w:rPr>
        <w:t xml:space="preserve"> years. </w:t>
      </w:r>
      <w:r w:rsidR="00BE3931">
        <w:rPr>
          <w:szCs w:val="24"/>
        </w:rPr>
        <w:t xml:space="preserve"> </w:t>
      </w:r>
      <w:r w:rsidRPr="00C04A68">
        <w:rPr>
          <w:szCs w:val="24"/>
        </w:rPr>
        <w:t xml:space="preserve">My business experience has included financing of </w:t>
      </w:r>
      <w:r w:rsidR="00C62969">
        <w:rPr>
          <w:szCs w:val="24"/>
        </w:rPr>
        <w:t>the Company’s</w:t>
      </w:r>
      <w:r w:rsidRPr="00C04A68">
        <w:rPr>
          <w:szCs w:val="24"/>
        </w:rPr>
        <w:t xml:space="preserve"> electric operations and non-utility activities, responsibility for the investment management of </w:t>
      </w:r>
      <w:r w:rsidR="00C62969">
        <w:rPr>
          <w:szCs w:val="24"/>
        </w:rPr>
        <w:t>the Company’s</w:t>
      </w:r>
      <w:r w:rsidRPr="00C04A68">
        <w:rPr>
          <w:szCs w:val="24"/>
        </w:rPr>
        <w:t xml:space="preserve"> qualified and non-qualified retirement plan assets, investor relations</w:t>
      </w:r>
      <w:r w:rsidR="00FB354A">
        <w:rPr>
          <w:szCs w:val="24"/>
        </w:rPr>
        <w:t xml:space="preserve"> and credit risk management</w:t>
      </w:r>
      <w:r w:rsidRPr="00C04A68">
        <w:rPr>
          <w:szCs w:val="24"/>
        </w:rPr>
        <w:t>.</w:t>
      </w:r>
    </w:p>
    <w:p w:rsidR="003D655E" w:rsidRPr="00C04A68" w:rsidRDefault="003D655E" w:rsidP="00BB620A">
      <w:pPr>
        <w:spacing w:line="480" w:lineRule="auto"/>
        <w:ind w:left="720" w:hanging="720"/>
        <w:rPr>
          <w:b/>
          <w:szCs w:val="24"/>
        </w:rPr>
      </w:pPr>
      <w:r w:rsidRPr="00C04A68">
        <w:rPr>
          <w:b/>
          <w:szCs w:val="24"/>
        </w:rPr>
        <w:t>Q.</w:t>
      </w:r>
      <w:r w:rsidRPr="00C04A68">
        <w:rPr>
          <w:b/>
          <w:szCs w:val="24"/>
        </w:rPr>
        <w:tab/>
        <w:t>Please describe your present duties.</w:t>
      </w:r>
    </w:p>
    <w:p w:rsidR="003D655E" w:rsidRPr="00C04A68" w:rsidRDefault="003D655E" w:rsidP="00BB620A">
      <w:pPr>
        <w:numPr>
          <w:ilvl w:val="0"/>
          <w:numId w:val="3"/>
        </w:numPr>
        <w:spacing w:line="480" w:lineRule="auto"/>
        <w:rPr>
          <w:szCs w:val="24"/>
        </w:rPr>
      </w:pPr>
      <w:r w:rsidRPr="00C04A68">
        <w:rPr>
          <w:szCs w:val="24"/>
        </w:rPr>
        <w:t xml:space="preserve">I am responsible for </w:t>
      </w:r>
      <w:r w:rsidR="00C62969">
        <w:rPr>
          <w:szCs w:val="24"/>
        </w:rPr>
        <w:t>the Company’s</w:t>
      </w:r>
      <w:r w:rsidRPr="00C04A68">
        <w:rPr>
          <w:szCs w:val="24"/>
        </w:rPr>
        <w:t xml:space="preserve"> treasury, pension</w:t>
      </w:r>
      <w:r w:rsidR="00392E95">
        <w:rPr>
          <w:szCs w:val="24"/>
        </w:rPr>
        <w:t>,</w:t>
      </w:r>
      <w:r w:rsidRPr="00C04A68">
        <w:rPr>
          <w:szCs w:val="24"/>
        </w:rPr>
        <w:t xml:space="preserve"> and other investment management activities. </w:t>
      </w:r>
      <w:r w:rsidR="00BE3931">
        <w:rPr>
          <w:szCs w:val="24"/>
        </w:rPr>
        <w:t xml:space="preserve"> </w:t>
      </w:r>
      <w:r w:rsidRPr="00C04A68">
        <w:rPr>
          <w:szCs w:val="24"/>
        </w:rPr>
        <w:t xml:space="preserve">I am also responsible for the preparation of </w:t>
      </w:r>
      <w:r w:rsidR="00C62969">
        <w:rPr>
          <w:szCs w:val="24"/>
        </w:rPr>
        <w:t>the Company’s</w:t>
      </w:r>
      <w:r w:rsidRPr="00C04A68">
        <w:rPr>
          <w:szCs w:val="24"/>
        </w:rPr>
        <w:t xml:space="preserve"> embedded cost of debt and preferred equity and any associated testimony related to capital structure for regulatory filings in all of </w:t>
      </w:r>
      <w:r w:rsidR="00C62969">
        <w:rPr>
          <w:szCs w:val="24"/>
        </w:rPr>
        <w:t xml:space="preserve">the Company’s </w:t>
      </w:r>
      <w:r w:rsidRPr="00C04A68">
        <w:rPr>
          <w:szCs w:val="24"/>
        </w:rPr>
        <w:t>state and federal jurisdictions</w:t>
      </w:r>
      <w:r w:rsidR="00854309">
        <w:rPr>
          <w:szCs w:val="24"/>
        </w:rPr>
        <w:t>, including</w:t>
      </w:r>
      <w:r w:rsidR="00B62B6E">
        <w:rPr>
          <w:szCs w:val="24"/>
        </w:rPr>
        <w:t xml:space="preserve"> </w:t>
      </w:r>
      <w:r w:rsidR="00B62B6E">
        <w:t xml:space="preserve">the </w:t>
      </w:r>
      <w:r w:rsidR="00B62B6E">
        <w:rPr>
          <w:szCs w:val="24"/>
        </w:rPr>
        <w:t>Washington Utilities and Transportation Commission (Commission)</w:t>
      </w:r>
      <w:r w:rsidRPr="00C04A68">
        <w:rPr>
          <w:szCs w:val="24"/>
        </w:rPr>
        <w:t>.</w:t>
      </w:r>
    </w:p>
    <w:p w:rsidR="003D655E" w:rsidRDefault="00BE3931" w:rsidP="00BB620A">
      <w:pPr>
        <w:pStyle w:val="Heading1"/>
      </w:pPr>
      <w:bookmarkStart w:id="3" w:name="_Toc386540853"/>
      <w:bookmarkStart w:id="4" w:name="_Toc313530438"/>
      <w:r w:rsidRPr="00C04A68">
        <w:lastRenderedPageBreak/>
        <w:t>SUMMARY OF TESTIMONY</w:t>
      </w:r>
      <w:bookmarkEnd w:id="3"/>
      <w:bookmarkEnd w:id="4"/>
    </w:p>
    <w:p w:rsidR="0048565D" w:rsidRDefault="0048565D" w:rsidP="00BB620A">
      <w:pPr>
        <w:keepNext/>
        <w:widowControl w:val="0"/>
        <w:spacing w:line="480" w:lineRule="auto"/>
        <w:ind w:left="720" w:hanging="720"/>
        <w:rPr>
          <w:b/>
          <w:szCs w:val="24"/>
        </w:rPr>
      </w:pPr>
      <w:r w:rsidRPr="00C04A68">
        <w:rPr>
          <w:b/>
          <w:szCs w:val="24"/>
        </w:rPr>
        <w:t>Q.</w:t>
      </w:r>
      <w:r w:rsidRPr="00C04A68">
        <w:rPr>
          <w:szCs w:val="24"/>
        </w:rPr>
        <w:tab/>
      </w:r>
      <w:r w:rsidRPr="0048565D">
        <w:rPr>
          <w:b/>
          <w:szCs w:val="24"/>
        </w:rPr>
        <w:t>W</w:t>
      </w:r>
      <w:r>
        <w:rPr>
          <w:b/>
          <w:szCs w:val="24"/>
        </w:rPr>
        <w:t>hy are you providing this supplemental direct testimony?</w:t>
      </w:r>
    </w:p>
    <w:p w:rsidR="0048565D" w:rsidRPr="004F7BC0" w:rsidRDefault="0048565D" w:rsidP="00BB620A">
      <w:pPr>
        <w:spacing w:line="480" w:lineRule="auto"/>
        <w:ind w:left="720" w:hanging="720"/>
        <w:rPr>
          <w:szCs w:val="24"/>
        </w:rPr>
      </w:pPr>
      <w:r>
        <w:t>A.</w:t>
      </w:r>
      <w:r>
        <w:tab/>
      </w:r>
      <w:r w:rsidR="00B62B6E">
        <w:t>At the suggestion of Commission Staff</w:t>
      </w:r>
      <w:r w:rsidR="00B62B6E">
        <w:rPr>
          <w:szCs w:val="24"/>
        </w:rPr>
        <w:t>, t</w:t>
      </w:r>
      <w:r>
        <w:rPr>
          <w:szCs w:val="24"/>
        </w:rPr>
        <w:t>he Company agreed to file supplemental direct testimony to address two discrete issues</w:t>
      </w:r>
      <w:r w:rsidR="00B62B6E">
        <w:rPr>
          <w:szCs w:val="24"/>
        </w:rPr>
        <w:t xml:space="preserve"> relating to the Company’s cost of capital</w:t>
      </w:r>
      <w:r>
        <w:rPr>
          <w:szCs w:val="24"/>
        </w:rPr>
        <w:t xml:space="preserve">.  </w:t>
      </w:r>
      <w:r w:rsidR="00B62B6E">
        <w:rPr>
          <w:szCs w:val="24"/>
        </w:rPr>
        <w:t>This supplemental filing was discussed at the December 22, 2015</w:t>
      </w:r>
      <w:r w:rsidR="00A7292A">
        <w:rPr>
          <w:szCs w:val="24"/>
        </w:rPr>
        <w:t xml:space="preserve"> </w:t>
      </w:r>
      <w:r w:rsidR="00B62B6E">
        <w:rPr>
          <w:szCs w:val="24"/>
        </w:rPr>
        <w:t xml:space="preserve">prehearing conference and is referenced in Order 03 in this docket. </w:t>
      </w:r>
      <w:r>
        <w:rPr>
          <w:szCs w:val="24"/>
        </w:rPr>
        <w:t xml:space="preserve">  </w:t>
      </w:r>
    </w:p>
    <w:p w:rsidR="00E80EC8" w:rsidRDefault="003D655E" w:rsidP="00BB620A">
      <w:pPr>
        <w:keepNext/>
        <w:widowControl w:val="0"/>
        <w:spacing w:line="480" w:lineRule="auto"/>
        <w:ind w:left="720" w:hanging="720"/>
        <w:rPr>
          <w:b/>
          <w:szCs w:val="24"/>
        </w:rPr>
      </w:pPr>
      <w:r w:rsidRPr="00C04A68">
        <w:rPr>
          <w:b/>
          <w:szCs w:val="24"/>
        </w:rPr>
        <w:t>Q.</w:t>
      </w:r>
      <w:r w:rsidRPr="00C04A68">
        <w:rPr>
          <w:szCs w:val="24"/>
        </w:rPr>
        <w:tab/>
      </w:r>
      <w:r w:rsidR="007D7908" w:rsidRPr="007D7908">
        <w:rPr>
          <w:b/>
          <w:szCs w:val="24"/>
        </w:rPr>
        <w:t xml:space="preserve">What </w:t>
      </w:r>
      <w:r w:rsidR="007D7908">
        <w:rPr>
          <w:b/>
          <w:szCs w:val="24"/>
        </w:rPr>
        <w:t>are the two issues?</w:t>
      </w:r>
    </w:p>
    <w:p w:rsidR="003F4377" w:rsidRDefault="00E80EC8" w:rsidP="00BB620A">
      <w:pPr>
        <w:widowControl w:val="0"/>
        <w:spacing w:line="480" w:lineRule="auto"/>
        <w:ind w:left="720" w:hanging="720"/>
        <w:rPr>
          <w:szCs w:val="24"/>
        </w:rPr>
      </w:pPr>
      <w:r w:rsidRPr="00E80EC8">
        <w:rPr>
          <w:szCs w:val="24"/>
        </w:rPr>
        <w:t>A.</w:t>
      </w:r>
      <w:r>
        <w:rPr>
          <w:b/>
          <w:szCs w:val="24"/>
        </w:rPr>
        <w:tab/>
      </w:r>
      <w:r w:rsidR="00D31C0E">
        <w:rPr>
          <w:szCs w:val="24"/>
        </w:rPr>
        <w:t>My testimony updates Pacific Power’s long-term cost of debt</w:t>
      </w:r>
      <w:r w:rsidR="001C4F1D">
        <w:rPr>
          <w:szCs w:val="24"/>
        </w:rPr>
        <w:t xml:space="preserve"> and provides additional information on the Company’s current short-term cost of debt and capital structure.  </w:t>
      </w:r>
      <w:r w:rsidR="002A13F7">
        <w:rPr>
          <w:szCs w:val="24"/>
        </w:rPr>
        <w:t>Additionally</w:t>
      </w:r>
      <w:r w:rsidR="00D31C0E">
        <w:rPr>
          <w:szCs w:val="24"/>
        </w:rPr>
        <w:t xml:space="preserve">, I update and briefly </w:t>
      </w:r>
      <w:r w:rsidR="004B665D">
        <w:rPr>
          <w:szCs w:val="24"/>
        </w:rPr>
        <w:t xml:space="preserve">discuss the Company’s </w:t>
      </w:r>
      <w:r w:rsidR="004B665D" w:rsidRPr="00C04A68">
        <w:rPr>
          <w:szCs w:val="24"/>
        </w:rPr>
        <w:t>current credit ratings</w:t>
      </w:r>
      <w:r w:rsidR="004B665D">
        <w:rPr>
          <w:szCs w:val="24"/>
        </w:rPr>
        <w:t>.</w:t>
      </w:r>
    </w:p>
    <w:p w:rsidR="00E16042" w:rsidRDefault="003D655E" w:rsidP="00BB620A">
      <w:pPr>
        <w:spacing w:line="480" w:lineRule="auto"/>
        <w:ind w:left="720" w:hanging="720"/>
        <w:rPr>
          <w:b/>
          <w:szCs w:val="24"/>
        </w:rPr>
      </w:pPr>
      <w:r w:rsidRPr="00E16042">
        <w:rPr>
          <w:b/>
          <w:szCs w:val="24"/>
        </w:rPr>
        <w:t>Q.</w:t>
      </w:r>
      <w:r w:rsidRPr="00E16042">
        <w:rPr>
          <w:b/>
          <w:szCs w:val="24"/>
        </w:rPr>
        <w:tab/>
      </w:r>
      <w:r w:rsidR="00B62B6E" w:rsidRPr="00E16042">
        <w:rPr>
          <w:b/>
          <w:szCs w:val="24"/>
        </w:rPr>
        <w:t xml:space="preserve">Does the Company </w:t>
      </w:r>
      <w:r w:rsidR="00F32F5E" w:rsidRPr="000F686E">
        <w:rPr>
          <w:b/>
          <w:szCs w:val="24"/>
        </w:rPr>
        <w:t>propos</w:t>
      </w:r>
      <w:r w:rsidR="00B62B6E" w:rsidRPr="000F686E">
        <w:rPr>
          <w:b/>
          <w:szCs w:val="24"/>
        </w:rPr>
        <w:t>e</w:t>
      </w:r>
      <w:r w:rsidR="00F32F5E" w:rsidRPr="00E16042">
        <w:rPr>
          <w:b/>
          <w:szCs w:val="24"/>
        </w:rPr>
        <w:t xml:space="preserve"> to change </w:t>
      </w:r>
      <w:r w:rsidR="00CA2CCB" w:rsidRPr="00E16042">
        <w:rPr>
          <w:b/>
          <w:szCs w:val="24"/>
        </w:rPr>
        <w:t xml:space="preserve">any component of cost of capital in this </w:t>
      </w:r>
      <w:r w:rsidR="00E16042">
        <w:rPr>
          <w:b/>
          <w:szCs w:val="24"/>
        </w:rPr>
        <w:t>c</w:t>
      </w:r>
      <w:r w:rsidR="00CA2CCB" w:rsidRPr="00E16042">
        <w:rPr>
          <w:b/>
          <w:szCs w:val="24"/>
        </w:rPr>
        <w:t>ase</w:t>
      </w:r>
      <w:r w:rsidR="0048565D" w:rsidRPr="00E16042">
        <w:rPr>
          <w:b/>
          <w:szCs w:val="24"/>
        </w:rPr>
        <w:t>?</w:t>
      </w:r>
    </w:p>
    <w:p w:rsidR="00A90138" w:rsidRDefault="00304B61" w:rsidP="00BB620A">
      <w:pPr>
        <w:spacing w:line="480" w:lineRule="auto"/>
        <w:ind w:left="720" w:hanging="720"/>
        <w:rPr>
          <w:b/>
          <w:szCs w:val="24"/>
        </w:rPr>
      </w:pPr>
      <w:r>
        <w:rPr>
          <w:szCs w:val="24"/>
        </w:rPr>
        <w:t>A.</w:t>
      </w:r>
      <w:r>
        <w:rPr>
          <w:szCs w:val="24"/>
        </w:rPr>
        <w:tab/>
      </w:r>
      <w:r w:rsidR="00F32F5E">
        <w:rPr>
          <w:szCs w:val="24"/>
        </w:rPr>
        <w:t xml:space="preserve">No.  </w:t>
      </w:r>
      <w:r w:rsidR="000F686E">
        <w:rPr>
          <w:szCs w:val="24"/>
        </w:rPr>
        <w:t xml:space="preserve">The </w:t>
      </w:r>
      <w:r w:rsidR="000F686E" w:rsidRPr="004F7BC0">
        <w:t>Company’s</w:t>
      </w:r>
      <w:r w:rsidR="000F686E">
        <w:rPr>
          <w:szCs w:val="24"/>
        </w:rPr>
        <w:t xml:space="preserve"> petition does not propose to change any element of its cost of capital.</w:t>
      </w:r>
      <w:r w:rsidR="0048565D">
        <w:rPr>
          <w:szCs w:val="24"/>
        </w:rPr>
        <w:t xml:space="preserve"> </w:t>
      </w:r>
      <w:r w:rsidR="00A90138">
        <w:rPr>
          <w:szCs w:val="24"/>
        </w:rPr>
        <w:t xml:space="preserve"> </w:t>
      </w:r>
      <w:r w:rsidR="007D7908">
        <w:rPr>
          <w:szCs w:val="24"/>
        </w:rPr>
        <w:t xml:space="preserve">The information I provide </w:t>
      </w:r>
      <w:r w:rsidR="0048565D">
        <w:rPr>
          <w:szCs w:val="24"/>
        </w:rPr>
        <w:t xml:space="preserve">demonstrates that the Company’s long-term </w:t>
      </w:r>
      <w:r w:rsidR="007D7908">
        <w:rPr>
          <w:szCs w:val="24"/>
        </w:rPr>
        <w:t xml:space="preserve">cost of </w:t>
      </w:r>
      <w:r w:rsidR="0048565D">
        <w:rPr>
          <w:szCs w:val="24"/>
        </w:rPr>
        <w:t>debt remain</w:t>
      </w:r>
      <w:r w:rsidR="007D7908">
        <w:rPr>
          <w:szCs w:val="24"/>
        </w:rPr>
        <w:t>s</w:t>
      </w:r>
      <w:r w:rsidR="0048565D">
        <w:rPr>
          <w:szCs w:val="24"/>
        </w:rPr>
        <w:t xml:space="preserve"> substant</w:t>
      </w:r>
      <w:r w:rsidR="0048565D" w:rsidRPr="00E16042">
        <w:t>i</w:t>
      </w:r>
      <w:r w:rsidR="0048565D">
        <w:rPr>
          <w:szCs w:val="24"/>
        </w:rPr>
        <w:t xml:space="preserve">ally </w:t>
      </w:r>
      <w:r w:rsidR="0048565D" w:rsidRPr="00E16042">
        <w:rPr>
          <w:bCs/>
          <w:kern w:val="0"/>
          <w:szCs w:val="24"/>
        </w:rPr>
        <w:t>similar</w:t>
      </w:r>
      <w:r w:rsidR="0048565D">
        <w:rPr>
          <w:szCs w:val="24"/>
        </w:rPr>
        <w:t xml:space="preserve"> to the level approved in the Company’s last general rate case</w:t>
      </w:r>
      <w:r w:rsidR="0056382E">
        <w:rPr>
          <w:szCs w:val="24"/>
        </w:rPr>
        <w:t>,</w:t>
      </w:r>
      <w:r w:rsidR="0048565D">
        <w:rPr>
          <w:szCs w:val="24"/>
        </w:rPr>
        <w:t xml:space="preserve"> </w:t>
      </w:r>
      <w:r w:rsidR="0056382E" w:rsidRPr="004024B6">
        <w:rPr>
          <w:rFonts w:eastAsia="SimSun"/>
          <w:kern w:val="0"/>
        </w:rPr>
        <w:t>Docket UE-140762 (2014 Rate Case)</w:t>
      </w:r>
      <w:r w:rsidR="000F686E">
        <w:rPr>
          <w:rFonts w:eastAsia="SimSun"/>
          <w:kern w:val="0"/>
        </w:rPr>
        <w:t>.</w:t>
      </w:r>
      <w:r w:rsidR="0056382E">
        <w:rPr>
          <w:szCs w:val="24"/>
        </w:rPr>
        <w:t xml:space="preserve"> </w:t>
      </w:r>
      <w:r w:rsidR="004F7BC0">
        <w:rPr>
          <w:szCs w:val="24"/>
        </w:rPr>
        <w:t xml:space="preserve"> </w:t>
      </w:r>
      <w:r w:rsidR="000F686E">
        <w:rPr>
          <w:szCs w:val="24"/>
        </w:rPr>
        <w:t xml:space="preserve">While </w:t>
      </w:r>
      <w:r w:rsidR="0056382E">
        <w:rPr>
          <w:szCs w:val="24"/>
        </w:rPr>
        <w:t xml:space="preserve">the </w:t>
      </w:r>
      <w:r w:rsidR="0056382E">
        <w:rPr>
          <w:bCs/>
          <w:kern w:val="0"/>
          <w:szCs w:val="24"/>
        </w:rPr>
        <w:t>Federal Reserve Bank’s decision to begin the normalization of interest rates at their December 16, 2015 meeting</w:t>
      </w:r>
      <w:r w:rsidR="000F686E">
        <w:rPr>
          <w:bCs/>
          <w:kern w:val="0"/>
          <w:szCs w:val="24"/>
        </w:rPr>
        <w:t xml:space="preserve"> </w:t>
      </w:r>
      <w:r w:rsidR="00132D9A">
        <w:rPr>
          <w:bCs/>
          <w:kern w:val="0"/>
          <w:szCs w:val="24"/>
        </w:rPr>
        <w:t>will likely</w:t>
      </w:r>
      <w:r w:rsidR="000F686E">
        <w:rPr>
          <w:bCs/>
          <w:kern w:val="0"/>
          <w:szCs w:val="24"/>
        </w:rPr>
        <w:t xml:space="preserve"> increase the Company’s cost of debt, in the</w:t>
      </w:r>
      <w:r w:rsidR="00132D9A">
        <w:rPr>
          <w:bCs/>
          <w:kern w:val="0"/>
          <w:szCs w:val="24"/>
        </w:rPr>
        <w:t xml:space="preserve"> overall</w:t>
      </w:r>
      <w:r w:rsidR="000F686E">
        <w:rPr>
          <w:bCs/>
          <w:kern w:val="0"/>
          <w:szCs w:val="24"/>
        </w:rPr>
        <w:t xml:space="preserve"> context of the petition, the Company believes it is reasonable to </w:t>
      </w:r>
      <w:r w:rsidR="00132D9A">
        <w:rPr>
          <w:bCs/>
          <w:kern w:val="0"/>
          <w:szCs w:val="24"/>
        </w:rPr>
        <w:t>maintain the Company’s current debt costs and avoid litigation of cost of capital issues</w:t>
      </w:r>
      <w:r w:rsidR="004F7BC0">
        <w:rPr>
          <w:bCs/>
          <w:kern w:val="0"/>
          <w:szCs w:val="24"/>
        </w:rPr>
        <w:t xml:space="preserve">. </w:t>
      </w:r>
      <w:r w:rsidR="0056382E" w:rsidDel="0056382E">
        <w:rPr>
          <w:szCs w:val="24"/>
        </w:rPr>
        <w:t xml:space="preserve"> </w:t>
      </w:r>
    </w:p>
    <w:p w:rsidR="00705DB3" w:rsidRPr="00E94458" w:rsidRDefault="00705DB3" w:rsidP="00BB620A">
      <w:pPr>
        <w:pStyle w:val="Heading1"/>
        <w:rPr>
          <w:kern w:val="0"/>
        </w:rPr>
      </w:pPr>
      <w:bookmarkStart w:id="5" w:name="_Toc313530439"/>
      <w:r>
        <w:t xml:space="preserve">UPDATED </w:t>
      </w:r>
      <w:r w:rsidR="00A14E9A">
        <w:t>LONG-TERM COST OF DEBT</w:t>
      </w:r>
      <w:bookmarkEnd w:id="5"/>
    </w:p>
    <w:p w:rsidR="00DD7933" w:rsidRDefault="00735AC0" w:rsidP="00BB620A">
      <w:pPr>
        <w:widowControl w:val="0"/>
        <w:spacing w:line="480" w:lineRule="auto"/>
        <w:ind w:left="720" w:hanging="720"/>
        <w:rPr>
          <w:b/>
          <w:szCs w:val="24"/>
        </w:rPr>
      </w:pPr>
      <w:r w:rsidRPr="005E17FA">
        <w:rPr>
          <w:b/>
          <w:kern w:val="0"/>
          <w:szCs w:val="24"/>
        </w:rPr>
        <w:t>Q.</w:t>
      </w:r>
      <w:r w:rsidRPr="005E17FA">
        <w:rPr>
          <w:b/>
          <w:kern w:val="0"/>
          <w:szCs w:val="24"/>
        </w:rPr>
        <w:tab/>
      </w:r>
      <w:r w:rsidR="00DD7933" w:rsidRPr="00C04A68">
        <w:rPr>
          <w:b/>
          <w:szCs w:val="24"/>
        </w:rPr>
        <w:t xml:space="preserve">How did you calculate </w:t>
      </w:r>
      <w:r w:rsidR="007D7908">
        <w:rPr>
          <w:b/>
          <w:szCs w:val="24"/>
        </w:rPr>
        <w:t>Pacific Power</w:t>
      </w:r>
      <w:r w:rsidR="00DD7933">
        <w:rPr>
          <w:b/>
          <w:szCs w:val="24"/>
        </w:rPr>
        <w:t>’s</w:t>
      </w:r>
      <w:r w:rsidR="00DD7933" w:rsidRPr="00C04A68">
        <w:rPr>
          <w:b/>
          <w:szCs w:val="24"/>
        </w:rPr>
        <w:t xml:space="preserve"> embedded costs of long-term debt?</w:t>
      </w:r>
    </w:p>
    <w:p w:rsidR="00DD7933" w:rsidRPr="00C04A68" w:rsidRDefault="00DD7933" w:rsidP="00BB620A">
      <w:pPr>
        <w:widowControl w:val="0"/>
        <w:spacing w:line="480" w:lineRule="auto"/>
        <w:ind w:left="720" w:hanging="720"/>
        <w:rPr>
          <w:szCs w:val="24"/>
        </w:rPr>
      </w:pPr>
      <w:r w:rsidRPr="00C04A68">
        <w:rPr>
          <w:szCs w:val="24"/>
        </w:rPr>
        <w:t>A.</w:t>
      </w:r>
      <w:r w:rsidRPr="00C04A68">
        <w:rPr>
          <w:szCs w:val="24"/>
        </w:rPr>
        <w:tab/>
        <w:t>I calculated the embedded cost of</w:t>
      </w:r>
      <w:r w:rsidR="00D92DEA">
        <w:rPr>
          <w:szCs w:val="24"/>
        </w:rPr>
        <w:t xml:space="preserve"> long-term</w:t>
      </w:r>
      <w:r w:rsidRPr="00C04A68">
        <w:rPr>
          <w:szCs w:val="24"/>
        </w:rPr>
        <w:t xml:space="preserve"> debt using the methodology relied upon </w:t>
      </w:r>
      <w:r w:rsidRPr="00C04A68">
        <w:rPr>
          <w:szCs w:val="24"/>
        </w:rPr>
        <w:lastRenderedPageBreak/>
        <w:t xml:space="preserve">in the Company’s previous rate cases in </w:t>
      </w:r>
      <w:r>
        <w:rPr>
          <w:szCs w:val="24"/>
        </w:rPr>
        <w:t>Washington</w:t>
      </w:r>
      <w:r w:rsidRPr="00C04A68">
        <w:rPr>
          <w:szCs w:val="24"/>
        </w:rPr>
        <w:t xml:space="preserve"> and other jurisdictions.</w:t>
      </w:r>
      <w:r w:rsidR="00854309" w:rsidRPr="00854309">
        <w:rPr>
          <w:bCs/>
          <w:kern w:val="0"/>
          <w:szCs w:val="24"/>
        </w:rPr>
        <w:t xml:space="preserve"> </w:t>
      </w:r>
      <w:r w:rsidR="00286EDB">
        <w:rPr>
          <w:bCs/>
          <w:kern w:val="0"/>
          <w:szCs w:val="24"/>
        </w:rPr>
        <w:t xml:space="preserve"> </w:t>
      </w:r>
      <w:r w:rsidR="00854309">
        <w:rPr>
          <w:bCs/>
          <w:kern w:val="0"/>
          <w:szCs w:val="24"/>
        </w:rPr>
        <w:t>I projected the cost of de</w:t>
      </w:r>
      <w:r w:rsidR="00A667EB">
        <w:rPr>
          <w:bCs/>
          <w:kern w:val="0"/>
          <w:szCs w:val="24"/>
        </w:rPr>
        <w:t>bt</w:t>
      </w:r>
      <w:r w:rsidR="00854309">
        <w:rPr>
          <w:bCs/>
          <w:kern w:val="0"/>
          <w:szCs w:val="24"/>
        </w:rPr>
        <w:t xml:space="preserve"> for June 30, 2016, just before the July 1, 2016 </w:t>
      </w:r>
      <w:r w:rsidR="00026E94">
        <w:rPr>
          <w:bCs/>
          <w:kern w:val="0"/>
          <w:szCs w:val="24"/>
        </w:rPr>
        <w:t xml:space="preserve">rate </w:t>
      </w:r>
      <w:r w:rsidR="00854309">
        <w:rPr>
          <w:bCs/>
          <w:kern w:val="0"/>
          <w:szCs w:val="24"/>
        </w:rPr>
        <w:t xml:space="preserve">effective date </w:t>
      </w:r>
      <w:r w:rsidR="00026E94">
        <w:rPr>
          <w:bCs/>
          <w:kern w:val="0"/>
          <w:szCs w:val="24"/>
        </w:rPr>
        <w:t xml:space="preserve">in the schedule the Commission adopted in Order 03.   </w:t>
      </w:r>
      <w:r w:rsidR="00854309">
        <w:rPr>
          <w:bCs/>
          <w:kern w:val="0"/>
          <w:szCs w:val="24"/>
        </w:rPr>
        <w:t xml:space="preserve"> </w:t>
      </w:r>
    </w:p>
    <w:p w:rsidR="00DD7933" w:rsidRPr="00C04A68" w:rsidRDefault="00DD7933" w:rsidP="00A14E9A">
      <w:pPr>
        <w:spacing w:line="480" w:lineRule="auto"/>
        <w:ind w:left="720" w:hanging="720"/>
        <w:rPr>
          <w:b/>
          <w:szCs w:val="24"/>
        </w:rPr>
      </w:pPr>
      <w:r w:rsidRPr="00C04A68">
        <w:rPr>
          <w:b/>
          <w:szCs w:val="24"/>
        </w:rPr>
        <w:t>Q.</w:t>
      </w:r>
      <w:r w:rsidRPr="00C04A68">
        <w:rPr>
          <w:szCs w:val="24"/>
        </w:rPr>
        <w:tab/>
      </w:r>
      <w:r w:rsidRPr="00C04A68">
        <w:rPr>
          <w:b/>
          <w:szCs w:val="24"/>
        </w:rPr>
        <w:t xml:space="preserve">What is </w:t>
      </w:r>
      <w:r w:rsidR="007D7908">
        <w:rPr>
          <w:b/>
          <w:szCs w:val="24"/>
        </w:rPr>
        <w:t>Pacific Power</w:t>
      </w:r>
      <w:r>
        <w:rPr>
          <w:b/>
          <w:szCs w:val="24"/>
        </w:rPr>
        <w:t xml:space="preserve">’s </w:t>
      </w:r>
      <w:r w:rsidRPr="00C04A68">
        <w:rPr>
          <w:b/>
          <w:szCs w:val="24"/>
        </w:rPr>
        <w:t>embedded cost of long-term debt?</w:t>
      </w:r>
    </w:p>
    <w:p w:rsidR="0056382E" w:rsidRDefault="00DD7933" w:rsidP="00BB620A">
      <w:pPr>
        <w:keepNext/>
        <w:spacing w:line="480" w:lineRule="auto"/>
        <w:ind w:left="720" w:hanging="720"/>
        <w:rPr>
          <w:szCs w:val="24"/>
        </w:rPr>
      </w:pPr>
      <w:r w:rsidRPr="00C04A68">
        <w:rPr>
          <w:szCs w:val="24"/>
        </w:rPr>
        <w:t>A.</w:t>
      </w:r>
      <w:r w:rsidRPr="00C04A68">
        <w:rPr>
          <w:szCs w:val="24"/>
        </w:rPr>
        <w:tab/>
        <w:t xml:space="preserve">The cost of long-term debt is </w:t>
      </w:r>
      <w:r w:rsidR="002A661E">
        <w:rPr>
          <w:szCs w:val="24"/>
        </w:rPr>
        <w:t>5.21</w:t>
      </w:r>
      <w:r w:rsidRPr="00C04A68">
        <w:rPr>
          <w:szCs w:val="24"/>
        </w:rPr>
        <w:t xml:space="preserve"> percent </w:t>
      </w:r>
      <w:r>
        <w:rPr>
          <w:szCs w:val="24"/>
        </w:rPr>
        <w:t xml:space="preserve">at </w:t>
      </w:r>
      <w:r w:rsidR="00BE2232">
        <w:rPr>
          <w:szCs w:val="24"/>
        </w:rPr>
        <w:t>June 30, 2016</w:t>
      </w:r>
      <w:r w:rsidR="00A90138">
        <w:rPr>
          <w:szCs w:val="24"/>
        </w:rPr>
        <w:t>,</w:t>
      </w:r>
      <w:r w:rsidRPr="00C04A68">
        <w:rPr>
          <w:szCs w:val="24"/>
        </w:rPr>
        <w:t xml:space="preserve"> as shown in </w:t>
      </w:r>
      <w:r w:rsidR="00C62969">
        <w:rPr>
          <w:szCs w:val="24"/>
        </w:rPr>
        <w:br/>
      </w:r>
      <w:r w:rsidRPr="00C04A68">
        <w:rPr>
          <w:szCs w:val="24"/>
        </w:rPr>
        <w:t xml:space="preserve">Exhibit </w:t>
      </w:r>
      <w:r>
        <w:rPr>
          <w:szCs w:val="24"/>
        </w:rPr>
        <w:t>No.</w:t>
      </w:r>
      <w:r w:rsidR="00392E95">
        <w:rPr>
          <w:szCs w:val="24"/>
        </w:rPr>
        <w:t xml:space="preserve"> </w:t>
      </w:r>
      <w:r w:rsidRPr="00C04A68">
        <w:rPr>
          <w:szCs w:val="24"/>
        </w:rPr>
        <w:t>BNW</w:t>
      </w:r>
      <w:r w:rsidR="000D663F">
        <w:rPr>
          <w:szCs w:val="24"/>
        </w:rPr>
        <w:t>-5</w:t>
      </w:r>
      <w:r w:rsidRPr="00C04A68">
        <w:rPr>
          <w:szCs w:val="24"/>
        </w:rPr>
        <w:t>.</w:t>
      </w:r>
      <w:r w:rsidR="003F2B7D">
        <w:rPr>
          <w:szCs w:val="24"/>
        </w:rPr>
        <w:t xml:space="preserve">  This is slightly higher than the Company’s </w:t>
      </w:r>
      <w:r w:rsidR="00A90138">
        <w:rPr>
          <w:szCs w:val="24"/>
        </w:rPr>
        <w:t xml:space="preserve">current </w:t>
      </w:r>
      <w:r w:rsidR="003F2B7D">
        <w:rPr>
          <w:szCs w:val="24"/>
        </w:rPr>
        <w:t xml:space="preserve">5.19 percent long-term cost of debt approved in the Company’s 2014 </w:t>
      </w:r>
      <w:r w:rsidR="0056382E">
        <w:rPr>
          <w:szCs w:val="24"/>
        </w:rPr>
        <w:t xml:space="preserve">Rate Case.  </w:t>
      </w:r>
    </w:p>
    <w:p w:rsidR="00DD7933" w:rsidRPr="00C04A68" w:rsidRDefault="00DD7933" w:rsidP="00BB620A">
      <w:pPr>
        <w:keepNext/>
        <w:spacing w:line="480" w:lineRule="auto"/>
        <w:ind w:left="720" w:hanging="720"/>
        <w:rPr>
          <w:b/>
          <w:szCs w:val="24"/>
        </w:rPr>
      </w:pPr>
      <w:r w:rsidRPr="00C04A68">
        <w:rPr>
          <w:b/>
          <w:szCs w:val="24"/>
        </w:rPr>
        <w:t>Q.</w:t>
      </w:r>
      <w:r w:rsidRPr="00C04A68">
        <w:rPr>
          <w:szCs w:val="24"/>
        </w:rPr>
        <w:tab/>
      </w:r>
      <w:r w:rsidRPr="00C04A68">
        <w:rPr>
          <w:b/>
          <w:szCs w:val="24"/>
        </w:rPr>
        <w:t>Please explain the cost of long-term debt calculation.</w:t>
      </w:r>
    </w:p>
    <w:p w:rsidR="00DD7933" w:rsidRDefault="00DD7933" w:rsidP="00BB620A">
      <w:pPr>
        <w:spacing w:line="480" w:lineRule="auto"/>
        <w:ind w:left="720" w:hanging="720"/>
        <w:rPr>
          <w:szCs w:val="24"/>
        </w:rPr>
      </w:pPr>
      <w:r w:rsidRPr="00C04A68">
        <w:rPr>
          <w:szCs w:val="24"/>
        </w:rPr>
        <w:t>A.</w:t>
      </w:r>
      <w:r w:rsidRPr="00C04A68">
        <w:rPr>
          <w:szCs w:val="24"/>
        </w:rPr>
        <w:tab/>
        <w:t xml:space="preserve">I calculated the cost of debt by issue, based on each debt series’ interest rate and net proceeds at the issuance date, to produce a bond yield to maturity for each series of debt. </w:t>
      </w:r>
      <w:r>
        <w:rPr>
          <w:szCs w:val="24"/>
        </w:rPr>
        <w:t xml:space="preserve"> </w:t>
      </w:r>
      <w:r w:rsidRPr="00C04A68">
        <w:rPr>
          <w:szCs w:val="24"/>
        </w:rPr>
        <w:t xml:space="preserve">It should be noted that </w:t>
      </w:r>
      <w:r>
        <w:rPr>
          <w:szCs w:val="24"/>
        </w:rPr>
        <w:t>if</w:t>
      </w:r>
      <w:r w:rsidRPr="00C04A68">
        <w:rPr>
          <w:szCs w:val="24"/>
        </w:rPr>
        <w:t xml:space="preserve"> a bond was issued to refinance a higher cost bond, the pre-tax premium and unamortized costs, if any, associated with the refinancing were subtracted from the net proceeds of the bonds that were issued. </w:t>
      </w:r>
      <w:r>
        <w:rPr>
          <w:szCs w:val="24"/>
        </w:rPr>
        <w:t xml:space="preserve"> </w:t>
      </w:r>
      <w:r w:rsidRPr="00C04A68">
        <w:rPr>
          <w:szCs w:val="24"/>
        </w:rPr>
        <w:t>Each bond yield was then multiplied by the principal amount outstanding of each debt issue, resulting in an annualized cost of each debt issue.</w:t>
      </w:r>
      <w:r>
        <w:rPr>
          <w:szCs w:val="24"/>
        </w:rPr>
        <w:t xml:space="preserve">  </w:t>
      </w:r>
      <w:r w:rsidRPr="00C04A68">
        <w:rPr>
          <w:szCs w:val="24"/>
        </w:rPr>
        <w:t xml:space="preserve">Aggregating the annual cost of each debt issue produces the total annualized cost of debt. </w:t>
      </w:r>
      <w:r>
        <w:rPr>
          <w:szCs w:val="24"/>
        </w:rPr>
        <w:t xml:space="preserve"> </w:t>
      </w:r>
      <w:r w:rsidRPr="00C04A68">
        <w:rPr>
          <w:szCs w:val="24"/>
        </w:rPr>
        <w:t xml:space="preserve">Dividing the total annualized cost of debt by the total principal amount of debt outstanding produces the weighted average cost for all debt issues. </w:t>
      </w:r>
      <w:r>
        <w:rPr>
          <w:szCs w:val="24"/>
        </w:rPr>
        <w:t xml:space="preserve"> </w:t>
      </w:r>
      <w:r w:rsidRPr="00C04A68">
        <w:rPr>
          <w:szCs w:val="24"/>
        </w:rPr>
        <w:t>Th</w:t>
      </w:r>
      <w:r w:rsidR="00132D9A">
        <w:rPr>
          <w:szCs w:val="24"/>
        </w:rPr>
        <w:t>is</w:t>
      </w:r>
      <w:r w:rsidRPr="00C04A68">
        <w:rPr>
          <w:szCs w:val="24"/>
        </w:rPr>
        <w:t xml:space="preserve"> result</w:t>
      </w:r>
      <w:r w:rsidR="00132D9A">
        <w:rPr>
          <w:szCs w:val="24"/>
        </w:rPr>
        <w:t>s</w:t>
      </w:r>
      <w:r w:rsidRPr="00C04A68">
        <w:rPr>
          <w:szCs w:val="24"/>
        </w:rPr>
        <w:t xml:space="preserve"> </w:t>
      </w:r>
      <w:r w:rsidR="00132D9A">
        <w:rPr>
          <w:szCs w:val="24"/>
        </w:rPr>
        <w:t>in</w:t>
      </w:r>
      <w:r w:rsidRPr="00C04A68">
        <w:rPr>
          <w:szCs w:val="24"/>
        </w:rPr>
        <w:t xml:space="preserve"> </w:t>
      </w:r>
      <w:r w:rsidR="007D7908">
        <w:rPr>
          <w:szCs w:val="24"/>
        </w:rPr>
        <w:t>Pacific Power</w:t>
      </w:r>
      <w:r w:rsidRPr="00C04A68">
        <w:rPr>
          <w:szCs w:val="24"/>
        </w:rPr>
        <w:t xml:space="preserve">’s </w:t>
      </w:r>
      <w:r w:rsidR="00132D9A">
        <w:rPr>
          <w:szCs w:val="24"/>
        </w:rPr>
        <w:t xml:space="preserve">5.21 percent </w:t>
      </w:r>
      <w:r w:rsidRPr="00C04A68">
        <w:rPr>
          <w:szCs w:val="24"/>
        </w:rPr>
        <w:t>cost of long-term debt</w:t>
      </w:r>
      <w:r w:rsidR="00132D9A">
        <w:rPr>
          <w:szCs w:val="24"/>
        </w:rPr>
        <w:t>.</w:t>
      </w:r>
    </w:p>
    <w:p w:rsidR="00813B54" w:rsidRPr="00C04A68" w:rsidRDefault="00813B54" w:rsidP="00BB620A">
      <w:pPr>
        <w:keepNext/>
        <w:spacing w:line="480" w:lineRule="auto"/>
        <w:ind w:left="720" w:hanging="720"/>
        <w:rPr>
          <w:b/>
          <w:szCs w:val="24"/>
        </w:rPr>
      </w:pPr>
      <w:r>
        <w:rPr>
          <w:b/>
          <w:szCs w:val="24"/>
        </w:rPr>
        <w:t>Q.</w:t>
      </w:r>
      <w:r>
        <w:rPr>
          <w:b/>
          <w:szCs w:val="24"/>
        </w:rPr>
        <w:tab/>
      </w:r>
      <w:r w:rsidRPr="00C04A68">
        <w:rPr>
          <w:b/>
          <w:szCs w:val="24"/>
        </w:rPr>
        <w:t xml:space="preserve">A portion of the securities in </w:t>
      </w:r>
      <w:r w:rsidR="00C62969">
        <w:rPr>
          <w:b/>
          <w:szCs w:val="24"/>
        </w:rPr>
        <w:t>the Company’s</w:t>
      </w:r>
      <w:r w:rsidRPr="00C04A68">
        <w:rPr>
          <w:b/>
          <w:szCs w:val="24"/>
        </w:rPr>
        <w:t xml:space="preserve"> debt portfolio bears variable rates. </w:t>
      </w:r>
      <w:r w:rsidR="00C70824">
        <w:rPr>
          <w:b/>
          <w:szCs w:val="24"/>
        </w:rPr>
        <w:t xml:space="preserve"> </w:t>
      </w:r>
      <w:r w:rsidRPr="00C04A68">
        <w:rPr>
          <w:b/>
          <w:szCs w:val="24"/>
        </w:rPr>
        <w:t>What is the basis for the projected interest rates</w:t>
      </w:r>
      <w:r w:rsidR="00132D9A">
        <w:rPr>
          <w:b/>
          <w:szCs w:val="24"/>
        </w:rPr>
        <w:t xml:space="preserve"> used for these securities</w:t>
      </w:r>
      <w:r w:rsidRPr="00C04A68">
        <w:rPr>
          <w:b/>
          <w:szCs w:val="24"/>
        </w:rPr>
        <w:t>?</w:t>
      </w:r>
    </w:p>
    <w:p w:rsidR="00813B54" w:rsidRDefault="00813B54" w:rsidP="00BB620A">
      <w:pPr>
        <w:spacing w:line="480" w:lineRule="auto"/>
        <w:ind w:left="720" w:hanging="720"/>
        <w:rPr>
          <w:szCs w:val="24"/>
        </w:rPr>
      </w:pPr>
      <w:r w:rsidRPr="00C04A68">
        <w:rPr>
          <w:szCs w:val="24"/>
        </w:rPr>
        <w:t>A.</w:t>
      </w:r>
      <w:r w:rsidRPr="00C04A68">
        <w:rPr>
          <w:szCs w:val="24"/>
        </w:rPr>
        <w:tab/>
      </w:r>
      <w:r w:rsidR="00C62969">
        <w:rPr>
          <w:szCs w:val="24"/>
        </w:rPr>
        <w:t xml:space="preserve">The Company’s </w:t>
      </w:r>
      <w:r w:rsidRPr="00C04A68">
        <w:rPr>
          <w:szCs w:val="24"/>
        </w:rPr>
        <w:t>variable rate long-term debt in this case is in the form of tax-exempt debt.</w:t>
      </w:r>
      <w:r>
        <w:rPr>
          <w:szCs w:val="24"/>
        </w:rPr>
        <w:t xml:space="preserve"> </w:t>
      </w:r>
      <w:r w:rsidRPr="00C04A68">
        <w:rPr>
          <w:szCs w:val="24"/>
        </w:rPr>
        <w:t xml:space="preserve"> Exhibit </w:t>
      </w:r>
      <w:r>
        <w:rPr>
          <w:szCs w:val="24"/>
        </w:rPr>
        <w:t>No.</w:t>
      </w:r>
      <w:r w:rsidR="00392E95">
        <w:rPr>
          <w:szCs w:val="24"/>
        </w:rPr>
        <w:t xml:space="preserve"> </w:t>
      </w:r>
      <w:r w:rsidRPr="00C04A68">
        <w:rPr>
          <w:szCs w:val="24"/>
        </w:rPr>
        <w:t>BNW</w:t>
      </w:r>
      <w:r w:rsidR="000D663F">
        <w:rPr>
          <w:szCs w:val="24"/>
        </w:rPr>
        <w:t>-6</w:t>
      </w:r>
      <w:r w:rsidRPr="00C04A68">
        <w:rPr>
          <w:szCs w:val="24"/>
        </w:rPr>
        <w:t xml:space="preserve"> shows that, on average, these securities have been trading </w:t>
      </w:r>
      <w:r w:rsidRPr="00C04A68">
        <w:rPr>
          <w:szCs w:val="24"/>
        </w:rPr>
        <w:lastRenderedPageBreak/>
        <w:t xml:space="preserve">at approximately </w:t>
      </w:r>
      <w:r w:rsidR="00071CA6">
        <w:rPr>
          <w:szCs w:val="24"/>
        </w:rPr>
        <w:t>86</w:t>
      </w:r>
      <w:r w:rsidRPr="00C04A68">
        <w:rPr>
          <w:szCs w:val="24"/>
        </w:rPr>
        <w:t xml:space="preserve"> percent of the 30-day </w:t>
      </w:r>
      <w:r w:rsidR="00304B61">
        <w:rPr>
          <w:bCs/>
          <w:kern w:val="0"/>
          <w:szCs w:val="24"/>
        </w:rPr>
        <w:t xml:space="preserve">London Interbank Offered Rate (LIBOR) </w:t>
      </w:r>
      <w:r>
        <w:rPr>
          <w:szCs w:val="24"/>
        </w:rPr>
        <w:t>rate</w:t>
      </w:r>
      <w:r w:rsidRPr="00C04A68">
        <w:rPr>
          <w:szCs w:val="24"/>
        </w:rPr>
        <w:t xml:space="preserve"> for the period January 2000 through </w:t>
      </w:r>
      <w:r w:rsidR="00BE2232">
        <w:rPr>
          <w:szCs w:val="24"/>
        </w:rPr>
        <w:t>November</w:t>
      </w:r>
      <w:r w:rsidRPr="00C04A68">
        <w:rPr>
          <w:szCs w:val="24"/>
        </w:rPr>
        <w:t xml:space="preserve"> 201</w:t>
      </w:r>
      <w:r w:rsidR="002A13F7">
        <w:rPr>
          <w:szCs w:val="24"/>
        </w:rPr>
        <w:t>5</w:t>
      </w:r>
      <w:r w:rsidRPr="00C04A68">
        <w:rPr>
          <w:szCs w:val="24"/>
        </w:rPr>
        <w:t xml:space="preserve">. </w:t>
      </w:r>
      <w:r>
        <w:rPr>
          <w:szCs w:val="24"/>
        </w:rPr>
        <w:t xml:space="preserve"> </w:t>
      </w:r>
      <w:r w:rsidRPr="00C04A68">
        <w:rPr>
          <w:szCs w:val="24"/>
        </w:rPr>
        <w:t xml:space="preserve">Therefore, the Company has applied a factor of </w:t>
      </w:r>
      <w:r w:rsidR="00071CA6">
        <w:rPr>
          <w:szCs w:val="24"/>
        </w:rPr>
        <w:t>86</w:t>
      </w:r>
      <w:r>
        <w:rPr>
          <w:szCs w:val="24"/>
        </w:rPr>
        <w:t> </w:t>
      </w:r>
      <w:r w:rsidRPr="00C04A68">
        <w:rPr>
          <w:szCs w:val="24"/>
        </w:rPr>
        <w:t>percent to</w:t>
      </w:r>
      <w:r>
        <w:rPr>
          <w:szCs w:val="24"/>
        </w:rPr>
        <w:t xml:space="preserve"> the forward 30-day LIBOR rate</w:t>
      </w:r>
      <w:r w:rsidR="008B0C67">
        <w:rPr>
          <w:szCs w:val="24"/>
        </w:rPr>
        <w:t xml:space="preserve"> at June 30, 2016</w:t>
      </w:r>
      <w:r w:rsidR="00392E95">
        <w:rPr>
          <w:szCs w:val="24"/>
        </w:rPr>
        <w:t>,</w:t>
      </w:r>
      <w:r>
        <w:rPr>
          <w:szCs w:val="24"/>
        </w:rPr>
        <w:t xml:space="preserve"> </w:t>
      </w:r>
      <w:r w:rsidRPr="00C04A68">
        <w:rPr>
          <w:szCs w:val="24"/>
        </w:rPr>
        <w:t xml:space="preserve">and then added the respective credit enhancement and remarketing fees for each </w:t>
      </w:r>
      <w:r w:rsidR="008B0C67">
        <w:rPr>
          <w:szCs w:val="24"/>
        </w:rPr>
        <w:t>variable</w:t>
      </w:r>
      <w:r w:rsidRPr="00C04A68">
        <w:rPr>
          <w:szCs w:val="24"/>
        </w:rPr>
        <w:t xml:space="preserve"> rate tax-exempt bond. </w:t>
      </w:r>
      <w:r>
        <w:rPr>
          <w:szCs w:val="24"/>
        </w:rPr>
        <w:t xml:space="preserve"> </w:t>
      </w:r>
      <w:r w:rsidRPr="00C04A68">
        <w:rPr>
          <w:szCs w:val="24"/>
        </w:rPr>
        <w:t xml:space="preserve">Credit enhancement and remarketing fees are included in the interest component because these are costs which contribute directly to the interest rate on the securities and are charged to interest expense. </w:t>
      </w:r>
      <w:r>
        <w:rPr>
          <w:szCs w:val="24"/>
        </w:rPr>
        <w:t xml:space="preserve"> </w:t>
      </w:r>
      <w:r w:rsidRPr="00C04A68">
        <w:rPr>
          <w:szCs w:val="24"/>
        </w:rPr>
        <w:t xml:space="preserve">This method is consistent with the Company’s past practices when </w:t>
      </w:r>
      <w:r>
        <w:rPr>
          <w:szCs w:val="24"/>
        </w:rPr>
        <w:t>calculating</w:t>
      </w:r>
      <w:r w:rsidRPr="00C04A68">
        <w:rPr>
          <w:szCs w:val="24"/>
        </w:rPr>
        <w:t xml:space="preserve"> the cost of debt in previous W</w:t>
      </w:r>
      <w:r>
        <w:rPr>
          <w:szCs w:val="24"/>
        </w:rPr>
        <w:t>ashington</w:t>
      </w:r>
      <w:r w:rsidRPr="00C04A68">
        <w:rPr>
          <w:szCs w:val="24"/>
        </w:rPr>
        <w:t xml:space="preserve"> general rate cases and in </w:t>
      </w:r>
      <w:r w:rsidR="00C62969">
        <w:rPr>
          <w:szCs w:val="24"/>
        </w:rPr>
        <w:t>the Company’s</w:t>
      </w:r>
      <w:r w:rsidRPr="00C04A68">
        <w:rPr>
          <w:szCs w:val="24"/>
        </w:rPr>
        <w:t xml:space="preserve"> other jurisdictions</w:t>
      </w:r>
      <w:r>
        <w:rPr>
          <w:szCs w:val="24"/>
        </w:rPr>
        <w:t>.</w:t>
      </w:r>
    </w:p>
    <w:p w:rsidR="00813B54" w:rsidRDefault="00813B54" w:rsidP="00BB620A">
      <w:pPr>
        <w:spacing w:line="480" w:lineRule="auto"/>
        <w:ind w:left="720" w:hanging="720"/>
        <w:rPr>
          <w:b/>
          <w:bCs/>
          <w:kern w:val="0"/>
          <w:szCs w:val="24"/>
        </w:rPr>
      </w:pPr>
      <w:r>
        <w:rPr>
          <w:b/>
          <w:bCs/>
          <w:kern w:val="0"/>
          <w:szCs w:val="24"/>
        </w:rPr>
        <w:t>Q.</w:t>
      </w:r>
      <w:r w:rsidRPr="00813B54">
        <w:rPr>
          <w:b/>
          <w:bCs/>
          <w:kern w:val="0"/>
          <w:szCs w:val="24"/>
        </w:rPr>
        <w:tab/>
        <w:t>Based on your analysis</w:t>
      </w:r>
      <w:r w:rsidR="00132D9A">
        <w:rPr>
          <w:b/>
          <w:bCs/>
          <w:kern w:val="0"/>
          <w:szCs w:val="24"/>
        </w:rPr>
        <w:t>, have there been any material changes in the Company’s</w:t>
      </w:r>
      <w:r w:rsidRPr="00813B54">
        <w:rPr>
          <w:b/>
          <w:bCs/>
          <w:kern w:val="0"/>
          <w:szCs w:val="24"/>
        </w:rPr>
        <w:t xml:space="preserve"> </w:t>
      </w:r>
      <w:r>
        <w:rPr>
          <w:b/>
          <w:bCs/>
          <w:kern w:val="0"/>
          <w:szCs w:val="24"/>
        </w:rPr>
        <w:t>long</w:t>
      </w:r>
      <w:r w:rsidRPr="00813B54">
        <w:rPr>
          <w:b/>
          <w:bCs/>
          <w:kern w:val="0"/>
          <w:szCs w:val="24"/>
        </w:rPr>
        <w:t>-term debt</w:t>
      </w:r>
      <w:r w:rsidR="00132D9A">
        <w:rPr>
          <w:b/>
          <w:bCs/>
          <w:kern w:val="0"/>
          <w:szCs w:val="24"/>
        </w:rPr>
        <w:t xml:space="preserve"> costs since the 2014 Rate Case? </w:t>
      </w:r>
    </w:p>
    <w:p w:rsidR="00FB4817" w:rsidRDefault="00813B54" w:rsidP="00BB620A">
      <w:pPr>
        <w:spacing w:line="480" w:lineRule="auto"/>
        <w:ind w:left="720" w:hanging="720"/>
        <w:rPr>
          <w:bCs/>
          <w:kern w:val="0"/>
          <w:szCs w:val="24"/>
        </w:rPr>
      </w:pPr>
      <w:r w:rsidRPr="00813B54">
        <w:rPr>
          <w:bCs/>
          <w:kern w:val="0"/>
          <w:szCs w:val="24"/>
        </w:rPr>
        <w:t>A.</w:t>
      </w:r>
      <w:r w:rsidRPr="00813B54">
        <w:rPr>
          <w:bCs/>
          <w:kern w:val="0"/>
          <w:szCs w:val="24"/>
        </w:rPr>
        <w:tab/>
      </w:r>
      <w:r w:rsidR="00132D9A">
        <w:rPr>
          <w:bCs/>
          <w:kern w:val="0"/>
          <w:szCs w:val="24"/>
        </w:rPr>
        <w:t>No</w:t>
      </w:r>
      <w:r w:rsidR="004F7BC0">
        <w:rPr>
          <w:bCs/>
          <w:kern w:val="0"/>
          <w:szCs w:val="24"/>
        </w:rPr>
        <w:t>.</w:t>
      </w:r>
      <w:r>
        <w:rPr>
          <w:bCs/>
          <w:kern w:val="0"/>
          <w:szCs w:val="24"/>
        </w:rPr>
        <w:t xml:space="preserve">  The current </w:t>
      </w:r>
      <w:r w:rsidR="00132D9A">
        <w:rPr>
          <w:bCs/>
          <w:kern w:val="0"/>
          <w:szCs w:val="24"/>
        </w:rPr>
        <w:t xml:space="preserve">cost of </w:t>
      </w:r>
      <w:r>
        <w:rPr>
          <w:bCs/>
          <w:kern w:val="0"/>
          <w:szCs w:val="24"/>
        </w:rPr>
        <w:t xml:space="preserve">long-term </w:t>
      </w:r>
      <w:r w:rsidR="00132D9A">
        <w:rPr>
          <w:bCs/>
          <w:kern w:val="0"/>
          <w:szCs w:val="24"/>
        </w:rPr>
        <w:t xml:space="preserve">debt </w:t>
      </w:r>
      <w:r>
        <w:rPr>
          <w:bCs/>
          <w:kern w:val="0"/>
          <w:szCs w:val="24"/>
        </w:rPr>
        <w:t xml:space="preserve">is substantially similar to the currently approved </w:t>
      </w:r>
      <w:r w:rsidR="00132D9A">
        <w:rPr>
          <w:bCs/>
          <w:kern w:val="0"/>
          <w:szCs w:val="24"/>
        </w:rPr>
        <w:t xml:space="preserve">cost of </w:t>
      </w:r>
      <w:r>
        <w:rPr>
          <w:bCs/>
          <w:kern w:val="0"/>
          <w:szCs w:val="24"/>
        </w:rPr>
        <w:t>long-term debt</w:t>
      </w:r>
      <w:r w:rsidR="00132D9A">
        <w:rPr>
          <w:bCs/>
          <w:kern w:val="0"/>
          <w:szCs w:val="24"/>
        </w:rPr>
        <w:t>.</w:t>
      </w:r>
    </w:p>
    <w:p w:rsidR="00854309" w:rsidRDefault="00854309" w:rsidP="00BB620A">
      <w:pPr>
        <w:spacing w:line="480" w:lineRule="auto"/>
        <w:ind w:left="720" w:hanging="720"/>
        <w:rPr>
          <w:b/>
          <w:bCs/>
          <w:kern w:val="0"/>
          <w:szCs w:val="24"/>
        </w:rPr>
      </w:pPr>
      <w:r w:rsidRPr="005E17FA">
        <w:rPr>
          <w:b/>
          <w:kern w:val="0"/>
          <w:szCs w:val="24"/>
        </w:rPr>
        <w:t>Q.</w:t>
      </w:r>
      <w:r w:rsidRPr="005E17FA">
        <w:rPr>
          <w:kern w:val="0"/>
          <w:szCs w:val="24"/>
        </w:rPr>
        <w:tab/>
      </w:r>
      <w:r w:rsidR="00A667EB">
        <w:rPr>
          <w:b/>
          <w:kern w:val="0"/>
          <w:szCs w:val="24"/>
        </w:rPr>
        <w:t>D</w:t>
      </w:r>
      <w:r w:rsidRPr="00242C4E">
        <w:rPr>
          <w:b/>
          <w:kern w:val="0"/>
          <w:szCs w:val="24"/>
        </w:rPr>
        <w:t>id the</w:t>
      </w:r>
      <w:r>
        <w:rPr>
          <w:kern w:val="0"/>
          <w:szCs w:val="24"/>
        </w:rPr>
        <w:t xml:space="preserve"> </w:t>
      </w:r>
      <w:r w:rsidRPr="00FB4677">
        <w:rPr>
          <w:b/>
          <w:kern w:val="0"/>
          <w:szCs w:val="24"/>
        </w:rPr>
        <w:t xml:space="preserve">Company </w:t>
      </w:r>
      <w:r w:rsidR="00A667EB">
        <w:rPr>
          <w:b/>
          <w:kern w:val="0"/>
          <w:szCs w:val="24"/>
        </w:rPr>
        <w:t>also</w:t>
      </w:r>
      <w:r>
        <w:rPr>
          <w:b/>
          <w:kern w:val="0"/>
          <w:szCs w:val="24"/>
        </w:rPr>
        <w:t xml:space="preserve"> </w:t>
      </w:r>
      <w:r w:rsidR="00A667EB">
        <w:rPr>
          <w:b/>
          <w:kern w:val="0"/>
          <w:szCs w:val="24"/>
        </w:rPr>
        <w:t xml:space="preserve">project its </w:t>
      </w:r>
      <w:r>
        <w:rPr>
          <w:b/>
          <w:kern w:val="0"/>
          <w:szCs w:val="24"/>
        </w:rPr>
        <w:t xml:space="preserve">cost of </w:t>
      </w:r>
      <w:r w:rsidRPr="00FB4677">
        <w:rPr>
          <w:b/>
          <w:kern w:val="0"/>
          <w:szCs w:val="24"/>
        </w:rPr>
        <w:t>short-term debt</w:t>
      </w:r>
      <w:r w:rsidRPr="005E17FA">
        <w:rPr>
          <w:b/>
          <w:bCs/>
          <w:kern w:val="0"/>
          <w:szCs w:val="24"/>
        </w:rPr>
        <w:t>?</w:t>
      </w:r>
    </w:p>
    <w:p w:rsidR="00854309" w:rsidRDefault="00854309" w:rsidP="00BB620A">
      <w:pPr>
        <w:spacing w:line="480" w:lineRule="auto"/>
        <w:ind w:left="720" w:hanging="720"/>
        <w:rPr>
          <w:bCs/>
          <w:kern w:val="0"/>
          <w:szCs w:val="24"/>
        </w:rPr>
      </w:pPr>
      <w:r w:rsidRPr="00E94458">
        <w:rPr>
          <w:bCs/>
          <w:kern w:val="0"/>
          <w:szCs w:val="24"/>
        </w:rPr>
        <w:t>A.</w:t>
      </w:r>
      <w:r>
        <w:rPr>
          <w:bCs/>
          <w:kern w:val="0"/>
          <w:szCs w:val="24"/>
        </w:rPr>
        <w:tab/>
      </w:r>
      <w:r w:rsidR="00A667EB">
        <w:rPr>
          <w:bCs/>
          <w:kern w:val="0"/>
          <w:szCs w:val="24"/>
        </w:rPr>
        <w:t>Yes, I prepared this estimate even though the Company</w:t>
      </w:r>
      <w:r w:rsidR="00803F82">
        <w:rPr>
          <w:bCs/>
          <w:kern w:val="0"/>
          <w:szCs w:val="24"/>
        </w:rPr>
        <w:t xml:space="preserve"> continues to maintain </w:t>
      </w:r>
      <w:r w:rsidR="00C03A72">
        <w:rPr>
          <w:bCs/>
          <w:kern w:val="0"/>
          <w:szCs w:val="24"/>
        </w:rPr>
        <w:t>negligible</w:t>
      </w:r>
      <w:r w:rsidR="00B47A90">
        <w:rPr>
          <w:bCs/>
          <w:kern w:val="0"/>
          <w:szCs w:val="24"/>
        </w:rPr>
        <w:t xml:space="preserve"> amounts of</w:t>
      </w:r>
      <w:r w:rsidR="00A667EB">
        <w:rPr>
          <w:bCs/>
          <w:kern w:val="0"/>
          <w:szCs w:val="24"/>
        </w:rPr>
        <w:t xml:space="preserve"> short-term debt</w:t>
      </w:r>
      <w:r w:rsidR="00B47A90">
        <w:rPr>
          <w:bCs/>
          <w:kern w:val="0"/>
          <w:szCs w:val="24"/>
        </w:rPr>
        <w:t xml:space="preserve"> in its capital structure</w:t>
      </w:r>
      <w:r w:rsidR="00A667EB">
        <w:rPr>
          <w:bCs/>
          <w:kern w:val="0"/>
          <w:szCs w:val="24"/>
        </w:rPr>
        <w:t xml:space="preserve">.  </w:t>
      </w:r>
      <w:r>
        <w:rPr>
          <w:bCs/>
          <w:kern w:val="0"/>
          <w:szCs w:val="24"/>
        </w:rPr>
        <w:t>I projected the Company’s cost of short-term debt for June 30, 2016</w:t>
      </w:r>
      <w:r w:rsidR="00B47A90">
        <w:rPr>
          <w:bCs/>
          <w:kern w:val="0"/>
          <w:szCs w:val="24"/>
        </w:rPr>
        <w:t>, just before the July 1, 2016</w:t>
      </w:r>
      <w:r w:rsidR="00C62969">
        <w:rPr>
          <w:bCs/>
          <w:kern w:val="0"/>
          <w:szCs w:val="24"/>
        </w:rPr>
        <w:t>,</w:t>
      </w:r>
      <w:r w:rsidR="00B47A90">
        <w:rPr>
          <w:bCs/>
          <w:kern w:val="0"/>
          <w:szCs w:val="24"/>
        </w:rPr>
        <w:t xml:space="preserve"> rate effective date.</w:t>
      </w:r>
      <w:r w:rsidR="00A667EB">
        <w:rPr>
          <w:bCs/>
          <w:kern w:val="0"/>
          <w:szCs w:val="24"/>
        </w:rPr>
        <w:t xml:space="preserve"> </w:t>
      </w:r>
      <w:r w:rsidR="00B47A90">
        <w:rPr>
          <w:bCs/>
          <w:kern w:val="0"/>
          <w:szCs w:val="24"/>
        </w:rPr>
        <w:t xml:space="preserve"> The cost of short-term debt is 2.15 percent higher than the </w:t>
      </w:r>
      <w:r w:rsidR="00C62969">
        <w:rPr>
          <w:bCs/>
          <w:kern w:val="0"/>
          <w:szCs w:val="24"/>
        </w:rPr>
        <w:br/>
      </w:r>
      <w:r w:rsidR="00B47A90">
        <w:rPr>
          <w:bCs/>
          <w:kern w:val="0"/>
          <w:szCs w:val="24"/>
        </w:rPr>
        <w:t xml:space="preserve">1.73 percent cost the Commission set in the 2014 Rate Case. </w:t>
      </w:r>
      <w:r>
        <w:rPr>
          <w:bCs/>
          <w:kern w:val="0"/>
          <w:szCs w:val="24"/>
        </w:rPr>
        <w:t xml:space="preserve"> Th</w:t>
      </w:r>
      <w:r w:rsidR="00A667EB">
        <w:rPr>
          <w:bCs/>
          <w:kern w:val="0"/>
          <w:szCs w:val="24"/>
        </w:rPr>
        <w:t xml:space="preserve">is projection </w:t>
      </w:r>
      <w:r>
        <w:rPr>
          <w:bCs/>
          <w:kern w:val="0"/>
          <w:szCs w:val="24"/>
        </w:rPr>
        <w:t xml:space="preserve"> is derived from forward LIBOR rates plus the contractual borrowing margin in committed credit agreements at </w:t>
      </w:r>
      <w:r w:rsidR="00C62969">
        <w:rPr>
          <w:bCs/>
          <w:kern w:val="0"/>
          <w:szCs w:val="24"/>
        </w:rPr>
        <w:t>the Company’s</w:t>
      </w:r>
      <w:r>
        <w:rPr>
          <w:bCs/>
          <w:kern w:val="0"/>
          <w:szCs w:val="24"/>
        </w:rPr>
        <w:t xml:space="preserve"> current ratings plus related fees and expenses.  This is the same way I determined </w:t>
      </w:r>
      <w:r w:rsidR="00132D9A">
        <w:rPr>
          <w:bCs/>
          <w:kern w:val="0"/>
          <w:szCs w:val="24"/>
        </w:rPr>
        <w:t xml:space="preserve">the cost of </w:t>
      </w:r>
      <w:r>
        <w:rPr>
          <w:bCs/>
          <w:kern w:val="0"/>
          <w:szCs w:val="24"/>
        </w:rPr>
        <w:t>short-term debt in the Company’s 2014 Rate Case, which was approved by the Commission.</w:t>
      </w:r>
    </w:p>
    <w:p w:rsidR="00854309" w:rsidRDefault="00854309" w:rsidP="00BB620A">
      <w:pPr>
        <w:spacing w:line="480" w:lineRule="auto"/>
        <w:ind w:left="720" w:hanging="720"/>
        <w:rPr>
          <w:b/>
          <w:bCs/>
          <w:kern w:val="0"/>
          <w:szCs w:val="24"/>
        </w:rPr>
      </w:pPr>
      <w:r w:rsidRPr="00813B54">
        <w:rPr>
          <w:b/>
          <w:bCs/>
          <w:kern w:val="0"/>
          <w:szCs w:val="24"/>
        </w:rPr>
        <w:lastRenderedPageBreak/>
        <w:t xml:space="preserve">Q. </w:t>
      </w:r>
      <w:r w:rsidRPr="00813B54">
        <w:rPr>
          <w:b/>
          <w:bCs/>
          <w:kern w:val="0"/>
          <w:szCs w:val="24"/>
        </w:rPr>
        <w:tab/>
        <w:t>Based on your analysis</w:t>
      </w:r>
      <w:r w:rsidR="00F445F1">
        <w:rPr>
          <w:b/>
          <w:bCs/>
          <w:kern w:val="0"/>
          <w:szCs w:val="24"/>
        </w:rPr>
        <w:t>, have there been any material changes in the Company’s</w:t>
      </w:r>
      <w:r w:rsidR="00F445F1" w:rsidRPr="00813B54">
        <w:rPr>
          <w:b/>
          <w:bCs/>
          <w:kern w:val="0"/>
          <w:szCs w:val="24"/>
        </w:rPr>
        <w:t xml:space="preserve"> </w:t>
      </w:r>
      <w:r w:rsidR="00F445F1">
        <w:rPr>
          <w:b/>
          <w:bCs/>
          <w:kern w:val="0"/>
          <w:szCs w:val="24"/>
        </w:rPr>
        <w:t>short</w:t>
      </w:r>
      <w:r w:rsidR="00F445F1" w:rsidRPr="00813B54">
        <w:rPr>
          <w:b/>
          <w:bCs/>
          <w:kern w:val="0"/>
          <w:szCs w:val="24"/>
        </w:rPr>
        <w:t>-term debt</w:t>
      </w:r>
      <w:r w:rsidR="00F445F1">
        <w:rPr>
          <w:b/>
          <w:bCs/>
          <w:kern w:val="0"/>
          <w:szCs w:val="24"/>
        </w:rPr>
        <w:t xml:space="preserve"> costs since the 2014 Rate Case? </w:t>
      </w:r>
    </w:p>
    <w:p w:rsidR="0056382E" w:rsidRDefault="00854309" w:rsidP="00BB620A">
      <w:pPr>
        <w:spacing w:line="480" w:lineRule="auto"/>
        <w:ind w:left="720" w:hanging="720"/>
        <w:rPr>
          <w:bCs/>
          <w:kern w:val="0"/>
          <w:szCs w:val="24"/>
        </w:rPr>
      </w:pPr>
      <w:r w:rsidRPr="00813B54">
        <w:rPr>
          <w:bCs/>
          <w:kern w:val="0"/>
          <w:szCs w:val="24"/>
        </w:rPr>
        <w:t>A.</w:t>
      </w:r>
      <w:r w:rsidRPr="00813B54">
        <w:rPr>
          <w:bCs/>
          <w:kern w:val="0"/>
          <w:szCs w:val="24"/>
        </w:rPr>
        <w:tab/>
      </w:r>
      <w:r>
        <w:rPr>
          <w:bCs/>
          <w:kern w:val="0"/>
          <w:szCs w:val="24"/>
        </w:rPr>
        <w:t xml:space="preserve">Yes. </w:t>
      </w:r>
      <w:r w:rsidR="00A90138">
        <w:rPr>
          <w:bCs/>
          <w:kern w:val="0"/>
          <w:szCs w:val="24"/>
        </w:rPr>
        <w:t xml:space="preserve"> </w:t>
      </w:r>
      <w:r w:rsidR="001C4F1D">
        <w:rPr>
          <w:bCs/>
          <w:kern w:val="0"/>
          <w:szCs w:val="24"/>
        </w:rPr>
        <w:t>T</w:t>
      </w:r>
      <w:r>
        <w:rPr>
          <w:bCs/>
          <w:kern w:val="0"/>
          <w:szCs w:val="24"/>
        </w:rPr>
        <w:t xml:space="preserve">he </w:t>
      </w:r>
      <w:r w:rsidR="00B47A90">
        <w:rPr>
          <w:bCs/>
          <w:kern w:val="0"/>
          <w:szCs w:val="24"/>
        </w:rPr>
        <w:t xml:space="preserve">projected </w:t>
      </w:r>
      <w:r>
        <w:rPr>
          <w:bCs/>
          <w:kern w:val="0"/>
          <w:szCs w:val="24"/>
        </w:rPr>
        <w:t>cost of short-term debt is higher than the currently approved cost</w:t>
      </w:r>
      <w:r w:rsidR="001C4F1D">
        <w:rPr>
          <w:bCs/>
          <w:kern w:val="0"/>
          <w:szCs w:val="24"/>
        </w:rPr>
        <w:t>,</w:t>
      </w:r>
      <w:r>
        <w:rPr>
          <w:bCs/>
          <w:kern w:val="0"/>
          <w:szCs w:val="24"/>
        </w:rPr>
        <w:t xml:space="preserve"> reflecting </w:t>
      </w:r>
      <w:r w:rsidR="00803F82">
        <w:rPr>
          <w:bCs/>
          <w:kern w:val="0"/>
          <w:szCs w:val="24"/>
        </w:rPr>
        <w:t>an</w:t>
      </w:r>
      <w:r>
        <w:rPr>
          <w:bCs/>
          <w:kern w:val="0"/>
          <w:szCs w:val="24"/>
        </w:rPr>
        <w:t xml:space="preserve"> increase in interest rates</w:t>
      </w:r>
      <w:r w:rsidR="001C4F1D">
        <w:rPr>
          <w:bCs/>
          <w:kern w:val="0"/>
          <w:szCs w:val="24"/>
        </w:rPr>
        <w:t>.  T</w:t>
      </w:r>
      <w:r w:rsidR="00B47A90">
        <w:rPr>
          <w:bCs/>
          <w:kern w:val="0"/>
          <w:szCs w:val="24"/>
        </w:rPr>
        <w:t>he small amount of short-term debt in the Company’s capital structure</w:t>
      </w:r>
      <w:r w:rsidR="001C4F1D">
        <w:rPr>
          <w:bCs/>
          <w:kern w:val="0"/>
          <w:szCs w:val="24"/>
        </w:rPr>
        <w:t>, however,</w:t>
      </w:r>
      <w:r w:rsidR="00803F82">
        <w:rPr>
          <w:bCs/>
          <w:kern w:val="0"/>
          <w:szCs w:val="24"/>
        </w:rPr>
        <w:t xml:space="preserve"> </w:t>
      </w:r>
      <w:r w:rsidR="00F445F1">
        <w:rPr>
          <w:bCs/>
          <w:kern w:val="0"/>
          <w:szCs w:val="24"/>
        </w:rPr>
        <w:t xml:space="preserve">means that this change does not </w:t>
      </w:r>
      <w:r w:rsidR="004F7BC0">
        <w:rPr>
          <w:bCs/>
          <w:kern w:val="0"/>
          <w:szCs w:val="24"/>
        </w:rPr>
        <w:t>materially i</w:t>
      </w:r>
      <w:r w:rsidR="00F445F1">
        <w:rPr>
          <w:bCs/>
          <w:kern w:val="0"/>
          <w:szCs w:val="24"/>
        </w:rPr>
        <w:t xml:space="preserve">mpact the Company’s overall cost of capital. </w:t>
      </w:r>
      <w:r w:rsidR="00803F82">
        <w:rPr>
          <w:bCs/>
          <w:kern w:val="0"/>
          <w:szCs w:val="24"/>
        </w:rPr>
        <w:t xml:space="preserve">  </w:t>
      </w:r>
      <w:r>
        <w:rPr>
          <w:bCs/>
          <w:kern w:val="0"/>
          <w:szCs w:val="24"/>
        </w:rPr>
        <w:t xml:space="preserve"> </w:t>
      </w:r>
    </w:p>
    <w:p w:rsidR="00803F82" w:rsidRPr="00803F82" w:rsidRDefault="00803F82" w:rsidP="00BB620A">
      <w:pPr>
        <w:spacing w:line="480" w:lineRule="auto"/>
        <w:ind w:left="720" w:hanging="720"/>
        <w:rPr>
          <w:b/>
          <w:szCs w:val="24"/>
        </w:rPr>
      </w:pPr>
      <w:r w:rsidRPr="00803F82">
        <w:rPr>
          <w:b/>
          <w:szCs w:val="24"/>
        </w:rPr>
        <w:t>Q.</w:t>
      </w:r>
      <w:r w:rsidRPr="00803F82">
        <w:rPr>
          <w:b/>
          <w:szCs w:val="24"/>
        </w:rPr>
        <w:tab/>
        <w:t xml:space="preserve">Please summarize your update to the </w:t>
      </w:r>
      <w:r>
        <w:rPr>
          <w:b/>
          <w:szCs w:val="24"/>
        </w:rPr>
        <w:t xml:space="preserve">Company’s </w:t>
      </w:r>
      <w:r w:rsidRPr="00803F82">
        <w:rPr>
          <w:b/>
          <w:szCs w:val="24"/>
        </w:rPr>
        <w:t xml:space="preserve">cost of debt. </w:t>
      </w:r>
    </w:p>
    <w:p w:rsidR="0056382E" w:rsidRDefault="00803F82" w:rsidP="00BB620A">
      <w:pPr>
        <w:spacing w:line="480" w:lineRule="auto"/>
        <w:ind w:left="720" w:hanging="720"/>
        <w:rPr>
          <w:szCs w:val="24"/>
        </w:rPr>
      </w:pPr>
      <w:r>
        <w:rPr>
          <w:szCs w:val="24"/>
        </w:rPr>
        <w:t>A.</w:t>
      </w:r>
      <w:r>
        <w:rPr>
          <w:szCs w:val="24"/>
        </w:rPr>
        <w:tab/>
      </w:r>
      <w:r w:rsidR="0056382E">
        <w:rPr>
          <w:szCs w:val="24"/>
        </w:rPr>
        <w:t xml:space="preserve">Table 1 compares the cost of short-term and long-term debt approved in the </w:t>
      </w:r>
      <w:r w:rsidR="0056382E" w:rsidRPr="004024B6">
        <w:rPr>
          <w:rFonts w:eastAsia="SimSun"/>
          <w:kern w:val="0"/>
        </w:rPr>
        <w:t xml:space="preserve">Company’s 2014 </w:t>
      </w:r>
      <w:r w:rsidR="00304B61">
        <w:rPr>
          <w:rFonts w:eastAsia="SimSun"/>
          <w:kern w:val="0"/>
        </w:rPr>
        <w:t>R</w:t>
      </w:r>
      <w:r w:rsidR="0056382E" w:rsidRPr="004024B6">
        <w:rPr>
          <w:rFonts w:eastAsia="SimSun"/>
          <w:kern w:val="0"/>
        </w:rPr>
        <w:t xml:space="preserve">ate </w:t>
      </w:r>
      <w:r w:rsidR="00304B61">
        <w:rPr>
          <w:rFonts w:eastAsia="SimSun"/>
          <w:kern w:val="0"/>
        </w:rPr>
        <w:t>C</w:t>
      </w:r>
      <w:r w:rsidR="0056382E" w:rsidRPr="004024B6">
        <w:rPr>
          <w:rFonts w:eastAsia="SimSun"/>
          <w:kern w:val="0"/>
        </w:rPr>
        <w:t xml:space="preserve">ase </w:t>
      </w:r>
      <w:r w:rsidR="0056382E">
        <w:rPr>
          <w:rFonts w:eastAsia="SimSun"/>
          <w:kern w:val="0"/>
        </w:rPr>
        <w:t xml:space="preserve">and </w:t>
      </w:r>
      <w:r w:rsidR="00304B61">
        <w:rPr>
          <w:rFonts w:eastAsia="SimSun"/>
          <w:kern w:val="0"/>
        </w:rPr>
        <w:t>PacifiCorp’s</w:t>
      </w:r>
      <w:r w:rsidR="0056382E">
        <w:rPr>
          <w:rFonts w:eastAsia="SimSun"/>
          <w:kern w:val="0"/>
        </w:rPr>
        <w:t xml:space="preserve"> projected short-term and long-term cost of debt</w:t>
      </w:r>
      <w:r>
        <w:rPr>
          <w:rFonts w:eastAsia="SimSun"/>
          <w:kern w:val="0"/>
        </w:rPr>
        <w:t xml:space="preserve"> as of the July 1, 2016 rate effective date in this case</w:t>
      </w:r>
      <w:r w:rsidR="0056382E" w:rsidRPr="004024B6">
        <w:rPr>
          <w:rFonts w:eastAsia="SimSun"/>
          <w:kern w:val="0"/>
        </w:rPr>
        <w:t>.</w:t>
      </w:r>
      <w:r w:rsidR="0056382E" w:rsidRPr="004024B6">
        <w:rPr>
          <w:rFonts w:eastAsia="SimSun"/>
          <w:kern w:val="0"/>
          <w:vertAlign w:val="superscript"/>
        </w:rPr>
        <w:footnoteReference w:id="1"/>
      </w:r>
      <w:r w:rsidR="0056382E" w:rsidRPr="004024B6">
        <w:rPr>
          <w:rFonts w:eastAsia="SimSun"/>
          <w:kern w:val="0"/>
        </w:rPr>
        <w:t xml:space="preserve">  </w:t>
      </w:r>
    </w:p>
    <w:p w:rsidR="0056382E" w:rsidRDefault="0056382E" w:rsidP="00BB620A">
      <w:pPr>
        <w:suppressLineNumbers/>
        <w:ind w:left="720" w:hanging="720"/>
        <w:jc w:val="center"/>
        <w:rPr>
          <w:b/>
          <w:szCs w:val="24"/>
        </w:rPr>
      </w:pPr>
      <w:r w:rsidRPr="00EE399C">
        <w:rPr>
          <w:b/>
          <w:szCs w:val="24"/>
        </w:rPr>
        <w:t>Table 1</w:t>
      </w:r>
    </w:p>
    <w:p w:rsidR="00392E95" w:rsidRDefault="00392E95" w:rsidP="00BB620A">
      <w:pPr>
        <w:suppressLineNumbers/>
        <w:ind w:left="720" w:hanging="720"/>
        <w:jc w:val="center"/>
        <w:rPr>
          <w:b/>
          <w:szCs w:val="24"/>
        </w:rPr>
      </w:pPr>
    </w:p>
    <w:tbl>
      <w:tblPr>
        <w:tblStyle w:val="TableGrid"/>
        <w:tblW w:w="0" w:type="auto"/>
        <w:jc w:val="center"/>
        <w:tblInd w:w="720" w:type="dxa"/>
        <w:tblLayout w:type="fixed"/>
        <w:tblLook w:val="04A0" w:firstRow="1" w:lastRow="0" w:firstColumn="1" w:lastColumn="0" w:noHBand="0" w:noVBand="1"/>
      </w:tblPr>
      <w:tblGrid>
        <w:gridCol w:w="2808"/>
        <w:gridCol w:w="2107"/>
        <w:gridCol w:w="2035"/>
      </w:tblGrid>
      <w:tr w:rsidR="00392E95" w:rsidTr="00BB620A">
        <w:trPr>
          <w:trHeight w:val="359"/>
          <w:jc w:val="center"/>
        </w:trPr>
        <w:tc>
          <w:tcPr>
            <w:tcW w:w="6950" w:type="dxa"/>
            <w:gridSpan w:val="3"/>
            <w:vAlign w:val="center"/>
          </w:tcPr>
          <w:p w:rsidR="00392E95" w:rsidRPr="00BB620A" w:rsidRDefault="00392E95" w:rsidP="00BB620A">
            <w:pPr>
              <w:suppressLineNumbers/>
              <w:ind w:left="90"/>
              <w:jc w:val="center"/>
              <w:rPr>
                <w:b/>
                <w:szCs w:val="24"/>
              </w:rPr>
            </w:pPr>
            <w:r w:rsidRPr="00BB620A">
              <w:rPr>
                <w:b/>
                <w:szCs w:val="24"/>
              </w:rPr>
              <w:t>COST OF DEBT</w:t>
            </w:r>
          </w:p>
        </w:tc>
      </w:tr>
      <w:tr w:rsidR="00392E95" w:rsidTr="00A14E9A">
        <w:trPr>
          <w:jc w:val="center"/>
        </w:trPr>
        <w:tc>
          <w:tcPr>
            <w:tcW w:w="2808" w:type="dxa"/>
          </w:tcPr>
          <w:p w:rsidR="00E35CCA" w:rsidRDefault="00E35CCA" w:rsidP="00A14E9A">
            <w:pPr>
              <w:suppressLineNumbers/>
              <w:ind w:left="90" w:hanging="90"/>
              <w:jc w:val="center"/>
              <w:rPr>
                <w:b/>
                <w:szCs w:val="24"/>
              </w:rPr>
            </w:pPr>
          </w:p>
        </w:tc>
        <w:tc>
          <w:tcPr>
            <w:tcW w:w="2107" w:type="dxa"/>
          </w:tcPr>
          <w:p w:rsidR="00392E95" w:rsidRDefault="00E35CCA" w:rsidP="00BB620A">
            <w:pPr>
              <w:suppressLineNumbers/>
              <w:ind w:left="90"/>
              <w:jc w:val="center"/>
              <w:rPr>
                <w:szCs w:val="24"/>
              </w:rPr>
            </w:pPr>
            <w:r w:rsidRPr="00C11221">
              <w:rPr>
                <w:szCs w:val="24"/>
              </w:rPr>
              <w:t xml:space="preserve">Approved </w:t>
            </w:r>
          </w:p>
          <w:p w:rsidR="00E35CCA" w:rsidRPr="00C11221" w:rsidRDefault="00E35CCA" w:rsidP="00BB620A">
            <w:pPr>
              <w:suppressLineNumbers/>
              <w:ind w:left="90"/>
              <w:jc w:val="center"/>
              <w:rPr>
                <w:szCs w:val="24"/>
              </w:rPr>
            </w:pPr>
            <w:r w:rsidRPr="00C11221">
              <w:rPr>
                <w:szCs w:val="24"/>
              </w:rPr>
              <w:t>2014 Rate Case</w:t>
            </w:r>
          </w:p>
        </w:tc>
        <w:tc>
          <w:tcPr>
            <w:tcW w:w="2035" w:type="dxa"/>
          </w:tcPr>
          <w:p w:rsidR="00E35CCA" w:rsidRPr="00C11221" w:rsidRDefault="00E35CCA" w:rsidP="00BB620A">
            <w:pPr>
              <w:suppressLineNumbers/>
              <w:ind w:left="90"/>
              <w:jc w:val="center"/>
              <w:rPr>
                <w:szCs w:val="24"/>
              </w:rPr>
            </w:pPr>
            <w:r w:rsidRPr="00C11221">
              <w:rPr>
                <w:szCs w:val="24"/>
              </w:rPr>
              <w:t>Updated for</w:t>
            </w:r>
          </w:p>
          <w:p w:rsidR="00E35CCA" w:rsidRPr="00C11221" w:rsidRDefault="00E35CCA" w:rsidP="00BB620A">
            <w:pPr>
              <w:suppressLineNumbers/>
              <w:ind w:left="90"/>
              <w:jc w:val="center"/>
              <w:rPr>
                <w:szCs w:val="24"/>
              </w:rPr>
            </w:pPr>
            <w:r w:rsidRPr="00C11221">
              <w:rPr>
                <w:szCs w:val="24"/>
              </w:rPr>
              <w:t>July 1, 2016</w:t>
            </w:r>
          </w:p>
        </w:tc>
      </w:tr>
      <w:tr w:rsidR="00392E95" w:rsidTr="00A14E9A">
        <w:trPr>
          <w:jc w:val="center"/>
        </w:trPr>
        <w:tc>
          <w:tcPr>
            <w:tcW w:w="2808" w:type="dxa"/>
          </w:tcPr>
          <w:p w:rsidR="00E35CCA" w:rsidRPr="00C11221" w:rsidRDefault="00E35CCA" w:rsidP="00A14E9A">
            <w:pPr>
              <w:suppressLineNumbers/>
              <w:ind w:left="90"/>
              <w:jc w:val="center"/>
              <w:rPr>
                <w:szCs w:val="24"/>
              </w:rPr>
            </w:pPr>
            <w:r w:rsidRPr="00C11221">
              <w:rPr>
                <w:szCs w:val="24"/>
              </w:rPr>
              <w:t xml:space="preserve">Cost of </w:t>
            </w:r>
            <w:r w:rsidR="00461E05">
              <w:rPr>
                <w:szCs w:val="24"/>
              </w:rPr>
              <w:t>Long</w:t>
            </w:r>
            <w:r w:rsidRPr="00C11221">
              <w:rPr>
                <w:szCs w:val="24"/>
              </w:rPr>
              <w:t>-Term Debt</w:t>
            </w:r>
          </w:p>
        </w:tc>
        <w:tc>
          <w:tcPr>
            <w:tcW w:w="2107" w:type="dxa"/>
          </w:tcPr>
          <w:p w:rsidR="00E35CCA" w:rsidRPr="00C11221" w:rsidRDefault="00461E05" w:rsidP="00BB620A">
            <w:pPr>
              <w:suppressLineNumbers/>
              <w:ind w:left="90"/>
              <w:jc w:val="center"/>
              <w:rPr>
                <w:szCs w:val="24"/>
              </w:rPr>
            </w:pPr>
            <w:r>
              <w:rPr>
                <w:szCs w:val="24"/>
              </w:rPr>
              <w:t>5.19</w:t>
            </w:r>
            <w:r w:rsidR="00E35CCA" w:rsidRPr="00C11221">
              <w:rPr>
                <w:szCs w:val="24"/>
              </w:rPr>
              <w:t>%</w:t>
            </w:r>
          </w:p>
        </w:tc>
        <w:tc>
          <w:tcPr>
            <w:tcW w:w="2035" w:type="dxa"/>
          </w:tcPr>
          <w:p w:rsidR="00E35CCA" w:rsidRPr="00C11221" w:rsidRDefault="00461E05" w:rsidP="00BB620A">
            <w:pPr>
              <w:suppressLineNumbers/>
              <w:ind w:left="90"/>
              <w:jc w:val="center"/>
              <w:rPr>
                <w:szCs w:val="24"/>
              </w:rPr>
            </w:pPr>
            <w:r>
              <w:rPr>
                <w:szCs w:val="24"/>
              </w:rPr>
              <w:t>5</w:t>
            </w:r>
            <w:r w:rsidR="00E35CCA" w:rsidRPr="00C11221">
              <w:rPr>
                <w:szCs w:val="24"/>
              </w:rPr>
              <w:t>.</w:t>
            </w:r>
            <w:r>
              <w:rPr>
                <w:szCs w:val="24"/>
              </w:rPr>
              <w:t>21</w:t>
            </w:r>
            <w:r w:rsidR="00E35CCA" w:rsidRPr="00C11221">
              <w:rPr>
                <w:szCs w:val="24"/>
              </w:rPr>
              <w:t>%</w:t>
            </w:r>
          </w:p>
        </w:tc>
      </w:tr>
      <w:tr w:rsidR="00392E95" w:rsidTr="00A14E9A">
        <w:trPr>
          <w:jc w:val="center"/>
        </w:trPr>
        <w:tc>
          <w:tcPr>
            <w:tcW w:w="2808" w:type="dxa"/>
          </w:tcPr>
          <w:p w:rsidR="00E35CCA" w:rsidRPr="00C11221" w:rsidRDefault="00E35CCA" w:rsidP="00A14E9A">
            <w:pPr>
              <w:suppressLineNumbers/>
              <w:ind w:left="90"/>
              <w:jc w:val="center"/>
              <w:rPr>
                <w:szCs w:val="24"/>
              </w:rPr>
            </w:pPr>
            <w:r w:rsidRPr="00C11221">
              <w:rPr>
                <w:szCs w:val="24"/>
              </w:rPr>
              <w:t xml:space="preserve">Cost of </w:t>
            </w:r>
            <w:r w:rsidR="00461E05">
              <w:rPr>
                <w:szCs w:val="24"/>
              </w:rPr>
              <w:t>Short</w:t>
            </w:r>
            <w:r w:rsidRPr="00C11221">
              <w:rPr>
                <w:szCs w:val="24"/>
              </w:rPr>
              <w:t>-Term Debt</w:t>
            </w:r>
          </w:p>
        </w:tc>
        <w:tc>
          <w:tcPr>
            <w:tcW w:w="2107" w:type="dxa"/>
          </w:tcPr>
          <w:p w:rsidR="00E35CCA" w:rsidRPr="00C11221" w:rsidRDefault="00461E05" w:rsidP="00BB620A">
            <w:pPr>
              <w:suppressLineNumbers/>
              <w:ind w:left="90"/>
              <w:jc w:val="center"/>
              <w:rPr>
                <w:szCs w:val="24"/>
              </w:rPr>
            </w:pPr>
            <w:r>
              <w:rPr>
                <w:szCs w:val="24"/>
              </w:rPr>
              <w:t>1</w:t>
            </w:r>
            <w:r w:rsidR="00E35CCA" w:rsidRPr="00C11221">
              <w:rPr>
                <w:szCs w:val="24"/>
              </w:rPr>
              <w:t>.</w:t>
            </w:r>
            <w:r>
              <w:rPr>
                <w:szCs w:val="24"/>
              </w:rPr>
              <w:t>73</w:t>
            </w:r>
            <w:r w:rsidR="00E35CCA" w:rsidRPr="00C11221">
              <w:rPr>
                <w:szCs w:val="24"/>
              </w:rPr>
              <w:t>%</w:t>
            </w:r>
          </w:p>
        </w:tc>
        <w:tc>
          <w:tcPr>
            <w:tcW w:w="2035" w:type="dxa"/>
          </w:tcPr>
          <w:p w:rsidR="00E35CCA" w:rsidRPr="00C11221" w:rsidRDefault="00461E05" w:rsidP="00BB620A">
            <w:pPr>
              <w:suppressLineNumbers/>
              <w:ind w:left="90"/>
              <w:jc w:val="center"/>
              <w:rPr>
                <w:szCs w:val="24"/>
              </w:rPr>
            </w:pPr>
            <w:r>
              <w:rPr>
                <w:szCs w:val="24"/>
              </w:rPr>
              <w:t>2</w:t>
            </w:r>
            <w:r w:rsidR="00E35CCA" w:rsidRPr="00C11221">
              <w:rPr>
                <w:szCs w:val="24"/>
              </w:rPr>
              <w:t>.</w:t>
            </w:r>
            <w:r>
              <w:rPr>
                <w:szCs w:val="24"/>
              </w:rPr>
              <w:t>15</w:t>
            </w:r>
            <w:r w:rsidR="00E35CCA" w:rsidRPr="00C11221">
              <w:rPr>
                <w:szCs w:val="24"/>
              </w:rPr>
              <w:t>%</w:t>
            </w:r>
          </w:p>
        </w:tc>
      </w:tr>
    </w:tbl>
    <w:p w:rsidR="00E35CCA" w:rsidRDefault="00E35CCA" w:rsidP="00A14E9A">
      <w:pPr>
        <w:suppressLineNumbers/>
        <w:ind w:left="720" w:hanging="720"/>
        <w:jc w:val="center"/>
        <w:rPr>
          <w:b/>
          <w:szCs w:val="24"/>
        </w:rPr>
      </w:pPr>
    </w:p>
    <w:p w:rsidR="00FB4817" w:rsidRPr="00854309" w:rsidRDefault="00FB4817" w:rsidP="00BB620A">
      <w:pPr>
        <w:pStyle w:val="Heading1"/>
      </w:pPr>
      <w:bookmarkStart w:id="6" w:name="_Toc313530440"/>
      <w:r w:rsidRPr="00854309">
        <w:t>CAPITAL STRUCTURE</w:t>
      </w:r>
      <w:bookmarkEnd w:id="6"/>
    </w:p>
    <w:p w:rsidR="00FB4817" w:rsidRPr="00424A4C" w:rsidRDefault="00FB4817" w:rsidP="00A14E9A">
      <w:pPr>
        <w:spacing w:line="480" w:lineRule="auto"/>
        <w:ind w:left="720" w:hanging="720"/>
        <w:rPr>
          <w:b/>
          <w:szCs w:val="24"/>
        </w:rPr>
      </w:pPr>
      <w:r w:rsidRPr="00424A4C">
        <w:rPr>
          <w:b/>
          <w:szCs w:val="24"/>
        </w:rPr>
        <w:t>Q.</w:t>
      </w:r>
      <w:r w:rsidRPr="00424A4C">
        <w:rPr>
          <w:b/>
          <w:szCs w:val="24"/>
        </w:rPr>
        <w:tab/>
        <w:t>What is the Company’s</w:t>
      </w:r>
      <w:r>
        <w:rPr>
          <w:b/>
          <w:szCs w:val="24"/>
        </w:rPr>
        <w:t xml:space="preserve"> </w:t>
      </w:r>
      <w:r w:rsidRPr="00424A4C">
        <w:rPr>
          <w:b/>
          <w:szCs w:val="24"/>
        </w:rPr>
        <w:t>capital structure?</w:t>
      </w:r>
    </w:p>
    <w:p w:rsidR="00FB4817" w:rsidRDefault="00FB4817" w:rsidP="00BB620A">
      <w:pPr>
        <w:spacing w:line="480" w:lineRule="auto"/>
        <w:rPr>
          <w:szCs w:val="24"/>
        </w:rPr>
      </w:pPr>
      <w:r w:rsidRPr="004F7BC0">
        <w:rPr>
          <w:szCs w:val="24"/>
        </w:rPr>
        <w:t>A.</w:t>
      </w:r>
      <w:r>
        <w:rPr>
          <w:b/>
          <w:szCs w:val="24"/>
        </w:rPr>
        <w:tab/>
      </w:r>
      <w:r>
        <w:rPr>
          <w:szCs w:val="24"/>
        </w:rPr>
        <w:t xml:space="preserve">Using an average of the five quarter-ends </w:t>
      </w:r>
      <w:r w:rsidR="00D92DEA">
        <w:rPr>
          <w:szCs w:val="24"/>
        </w:rPr>
        <w:t xml:space="preserve">for </w:t>
      </w:r>
      <w:r>
        <w:rPr>
          <w:szCs w:val="24"/>
        </w:rPr>
        <w:t>the twelve months ending June</w:t>
      </w:r>
      <w:r w:rsidR="00D92DEA">
        <w:rPr>
          <w:szCs w:val="24"/>
        </w:rPr>
        <w:t xml:space="preserve"> </w:t>
      </w:r>
      <w:r w:rsidR="00A96485">
        <w:rPr>
          <w:szCs w:val="24"/>
        </w:rPr>
        <w:t xml:space="preserve">30, </w:t>
      </w:r>
      <w:r>
        <w:rPr>
          <w:szCs w:val="24"/>
        </w:rPr>
        <w:t>2016</w:t>
      </w:r>
      <w:r w:rsidR="00A96485">
        <w:rPr>
          <w:szCs w:val="24"/>
        </w:rPr>
        <w:t xml:space="preserve"> </w:t>
      </w:r>
      <w:r w:rsidR="00A96485">
        <w:rPr>
          <w:szCs w:val="24"/>
        </w:rPr>
        <w:tab/>
      </w:r>
      <w:r>
        <w:rPr>
          <w:szCs w:val="24"/>
        </w:rPr>
        <w:t>produces the following capital structure</w:t>
      </w:r>
      <w:r w:rsidR="00A7292A">
        <w:rPr>
          <w:szCs w:val="24"/>
        </w:rPr>
        <w:t>,</w:t>
      </w:r>
      <w:r w:rsidR="00810C81">
        <w:rPr>
          <w:szCs w:val="24"/>
        </w:rPr>
        <w:t xml:space="preserve"> which is compared to the ordered 2014 Rate </w:t>
      </w:r>
      <w:r w:rsidR="00810C81">
        <w:rPr>
          <w:szCs w:val="24"/>
        </w:rPr>
        <w:tab/>
        <w:t>Case capital structure below</w:t>
      </w:r>
      <w:r>
        <w:rPr>
          <w:szCs w:val="24"/>
        </w:rPr>
        <w:t>:</w:t>
      </w:r>
    </w:p>
    <w:p w:rsidR="00A14E9A" w:rsidRDefault="00A14E9A" w:rsidP="00A14E9A">
      <w:pPr>
        <w:suppressLineNumbers/>
        <w:spacing w:line="480" w:lineRule="auto"/>
        <w:jc w:val="center"/>
        <w:rPr>
          <w:b/>
          <w:szCs w:val="24"/>
        </w:rPr>
      </w:pPr>
      <w:r>
        <w:rPr>
          <w:b/>
          <w:szCs w:val="24"/>
        </w:rPr>
        <w:br w:type="page"/>
      </w:r>
    </w:p>
    <w:p w:rsidR="00EB2AED" w:rsidRPr="00EB2AED" w:rsidRDefault="00EB2AED" w:rsidP="00BB620A">
      <w:pPr>
        <w:suppressLineNumbers/>
        <w:spacing w:line="480" w:lineRule="auto"/>
        <w:jc w:val="center"/>
        <w:rPr>
          <w:b/>
          <w:szCs w:val="24"/>
        </w:rPr>
      </w:pPr>
      <w:r w:rsidRPr="00EB2AED">
        <w:rPr>
          <w:b/>
          <w:szCs w:val="24"/>
        </w:rPr>
        <w:lastRenderedPageBreak/>
        <w:t>Table 2</w:t>
      </w:r>
    </w:p>
    <w:tbl>
      <w:tblPr>
        <w:tblStyle w:val="TableGrid"/>
        <w:tblW w:w="0" w:type="auto"/>
        <w:jc w:val="center"/>
        <w:tblInd w:w="725" w:type="dxa"/>
        <w:tblLayout w:type="fixed"/>
        <w:tblLook w:val="04A0" w:firstRow="1" w:lastRow="0" w:firstColumn="1" w:lastColumn="0" w:noHBand="0" w:noVBand="1"/>
      </w:tblPr>
      <w:tblGrid>
        <w:gridCol w:w="2808"/>
        <w:gridCol w:w="1994"/>
        <w:gridCol w:w="1995"/>
      </w:tblGrid>
      <w:tr w:rsidR="00392E95" w:rsidTr="00BB620A">
        <w:trPr>
          <w:trHeight w:val="395"/>
          <w:jc w:val="center"/>
        </w:trPr>
        <w:tc>
          <w:tcPr>
            <w:tcW w:w="6797" w:type="dxa"/>
            <w:gridSpan w:val="3"/>
            <w:vAlign w:val="center"/>
          </w:tcPr>
          <w:p w:rsidR="00392E95" w:rsidRPr="00BB620A" w:rsidRDefault="00392E95" w:rsidP="00A14E9A">
            <w:pPr>
              <w:suppressLineNumbers/>
              <w:ind w:left="90"/>
              <w:jc w:val="center"/>
              <w:rPr>
                <w:b/>
                <w:szCs w:val="24"/>
              </w:rPr>
            </w:pPr>
            <w:r w:rsidRPr="00BB620A">
              <w:rPr>
                <w:b/>
                <w:szCs w:val="24"/>
              </w:rPr>
              <w:t>CAPITAL STRUCTURE</w:t>
            </w:r>
          </w:p>
        </w:tc>
      </w:tr>
      <w:tr w:rsidR="00EB2AED" w:rsidTr="00BB620A">
        <w:trPr>
          <w:jc w:val="center"/>
        </w:trPr>
        <w:tc>
          <w:tcPr>
            <w:tcW w:w="2808" w:type="dxa"/>
          </w:tcPr>
          <w:p w:rsidR="00EB2AED" w:rsidRDefault="00EB2AED" w:rsidP="00A14E9A">
            <w:pPr>
              <w:suppressLineNumbers/>
              <w:ind w:left="90" w:hanging="90"/>
              <w:jc w:val="center"/>
              <w:rPr>
                <w:b/>
                <w:szCs w:val="24"/>
              </w:rPr>
            </w:pPr>
          </w:p>
        </w:tc>
        <w:tc>
          <w:tcPr>
            <w:tcW w:w="1994" w:type="dxa"/>
          </w:tcPr>
          <w:p w:rsidR="00392E95" w:rsidRDefault="00EB2AED" w:rsidP="00BB620A">
            <w:pPr>
              <w:suppressLineNumbers/>
              <w:ind w:left="90"/>
              <w:jc w:val="center"/>
              <w:rPr>
                <w:szCs w:val="24"/>
              </w:rPr>
            </w:pPr>
            <w:r w:rsidRPr="00C11221">
              <w:rPr>
                <w:szCs w:val="24"/>
              </w:rPr>
              <w:t xml:space="preserve">Approved </w:t>
            </w:r>
          </w:p>
          <w:p w:rsidR="00EB2AED" w:rsidRPr="00C11221" w:rsidRDefault="00EB2AED" w:rsidP="00BB620A">
            <w:pPr>
              <w:suppressLineNumbers/>
              <w:ind w:left="90"/>
              <w:jc w:val="center"/>
              <w:rPr>
                <w:szCs w:val="24"/>
              </w:rPr>
            </w:pPr>
            <w:r w:rsidRPr="00C11221">
              <w:rPr>
                <w:szCs w:val="24"/>
              </w:rPr>
              <w:t>2014 Rate Case</w:t>
            </w:r>
          </w:p>
        </w:tc>
        <w:tc>
          <w:tcPr>
            <w:tcW w:w="1995" w:type="dxa"/>
          </w:tcPr>
          <w:p w:rsidR="00EB2AED" w:rsidRPr="00C11221" w:rsidRDefault="00EB2AED" w:rsidP="00BB620A">
            <w:pPr>
              <w:suppressLineNumbers/>
              <w:ind w:left="90"/>
              <w:jc w:val="center"/>
              <w:rPr>
                <w:szCs w:val="24"/>
              </w:rPr>
            </w:pPr>
            <w:r w:rsidRPr="00C11221">
              <w:rPr>
                <w:szCs w:val="24"/>
              </w:rPr>
              <w:t>Updated for</w:t>
            </w:r>
          </w:p>
          <w:p w:rsidR="00EB2AED" w:rsidRPr="00C11221" w:rsidRDefault="00EB2AED" w:rsidP="00BB620A">
            <w:pPr>
              <w:suppressLineNumbers/>
              <w:ind w:left="90"/>
              <w:jc w:val="center"/>
              <w:rPr>
                <w:szCs w:val="24"/>
              </w:rPr>
            </w:pPr>
            <w:r w:rsidRPr="00C11221">
              <w:rPr>
                <w:szCs w:val="24"/>
              </w:rPr>
              <w:t>July 1, 2016</w:t>
            </w:r>
          </w:p>
        </w:tc>
      </w:tr>
      <w:tr w:rsidR="00EB2AED" w:rsidTr="00BB620A">
        <w:trPr>
          <w:jc w:val="center"/>
        </w:trPr>
        <w:tc>
          <w:tcPr>
            <w:tcW w:w="2808" w:type="dxa"/>
          </w:tcPr>
          <w:p w:rsidR="00EB2AED" w:rsidRPr="00C11221" w:rsidRDefault="00EB2AED" w:rsidP="00A14E9A">
            <w:pPr>
              <w:suppressLineNumbers/>
              <w:ind w:left="90"/>
              <w:jc w:val="center"/>
              <w:rPr>
                <w:szCs w:val="24"/>
              </w:rPr>
            </w:pPr>
            <w:r>
              <w:rPr>
                <w:szCs w:val="24"/>
              </w:rPr>
              <w:t>Short</w:t>
            </w:r>
            <w:r w:rsidRPr="00C11221">
              <w:rPr>
                <w:szCs w:val="24"/>
              </w:rPr>
              <w:t>-Term Debt</w:t>
            </w:r>
          </w:p>
        </w:tc>
        <w:tc>
          <w:tcPr>
            <w:tcW w:w="1994" w:type="dxa"/>
          </w:tcPr>
          <w:p w:rsidR="00EB2AED" w:rsidRPr="00C11221" w:rsidRDefault="00EB2AED" w:rsidP="00BB620A">
            <w:pPr>
              <w:suppressLineNumbers/>
              <w:ind w:left="90"/>
              <w:jc w:val="center"/>
              <w:rPr>
                <w:szCs w:val="24"/>
              </w:rPr>
            </w:pPr>
            <w:r>
              <w:rPr>
                <w:szCs w:val="24"/>
              </w:rPr>
              <w:t>0.19</w:t>
            </w:r>
            <w:r w:rsidRPr="00C11221">
              <w:rPr>
                <w:szCs w:val="24"/>
              </w:rPr>
              <w:t>%</w:t>
            </w:r>
          </w:p>
        </w:tc>
        <w:tc>
          <w:tcPr>
            <w:tcW w:w="1995" w:type="dxa"/>
          </w:tcPr>
          <w:p w:rsidR="00EB2AED" w:rsidRPr="00C11221" w:rsidRDefault="00EB2AED" w:rsidP="00BB620A">
            <w:pPr>
              <w:suppressLineNumbers/>
              <w:ind w:left="90"/>
              <w:jc w:val="center"/>
              <w:rPr>
                <w:szCs w:val="24"/>
              </w:rPr>
            </w:pPr>
            <w:r>
              <w:rPr>
                <w:szCs w:val="24"/>
              </w:rPr>
              <w:t>0.04%</w:t>
            </w:r>
          </w:p>
        </w:tc>
      </w:tr>
      <w:tr w:rsidR="00EB2AED" w:rsidTr="00BB620A">
        <w:trPr>
          <w:jc w:val="center"/>
        </w:trPr>
        <w:tc>
          <w:tcPr>
            <w:tcW w:w="2808" w:type="dxa"/>
          </w:tcPr>
          <w:p w:rsidR="00EB2AED" w:rsidRPr="00C11221" w:rsidRDefault="00EB2AED" w:rsidP="00A14E9A">
            <w:pPr>
              <w:suppressLineNumbers/>
              <w:ind w:left="90"/>
              <w:jc w:val="center"/>
              <w:rPr>
                <w:szCs w:val="24"/>
              </w:rPr>
            </w:pPr>
            <w:r>
              <w:rPr>
                <w:szCs w:val="24"/>
              </w:rPr>
              <w:t>Long-Term Debt</w:t>
            </w:r>
          </w:p>
        </w:tc>
        <w:tc>
          <w:tcPr>
            <w:tcW w:w="1994" w:type="dxa"/>
          </w:tcPr>
          <w:p w:rsidR="00EB2AED" w:rsidRDefault="00EB2AED" w:rsidP="00BB620A">
            <w:pPr>
              <w:suppressLineNumbers/>
              <w:ind w:left="90"/>
              <w:jc w:val="center"/>
              <w:rPr>
                <w:szCs w:val="24"/>
              </w:rPr>
            </w:pPr>
            <w:r>
              <w:rPr>
                <w:szCs w:val="24"/>
              </w:rPr>
              <w:t>50.69%</w:t>
            </w:r>
          </w:p>
        </w:tc>
        <w:tc>
          <w:tcPr>
            <w:tcW w:w="1995" w:type="dxa"/>
          </w:tcPr>
          <w:p w:rsidR="00EB2AED" w:rsidRDefault="00EB2AED" w:rsidP="00BB620A">
            <w:pPr>
              <w:suppressLineNumbers/>
              <w:ind w:left="90"/>
              <w:jc w:val="center"/>
              <w:rPr>
                <w:szCs w:val="24"/>
              </w:rPr>
            </w:pPr>
            <w:r>
              <w:rPr>
                <w:szCs w:val="24"/>
              </w:rPr>
              <w:t>48.91%</w:t>
            </w:r>
          </w:p>
        </w:tc>
      </w:tr>
      <w:tr w:rsidR="00EB2AED" w:rsidTr="00BB620A">
        <w:trPr>
          <w:jc w:val="center"/>
        </w:trPr>
        <w:tc>
          <w:tcPr>
            <w:tcW w:w="2808" w:type="dxa"/>
          </w:tcPr>
          <w:p w:rsidR="00EB2AED" w:rsidRPr="00C11221" w:rsidRDefault="00EB2AED" w:rsidP="00A14E9A">
            <w:pPr>
              <w:suppressLineNumbers/>
              <w:ind w:left="90"/>
              <w:jc w:val="center"/>
              <w:rPr>
                <w:szCs w:val="24"/>
              </w:rPr>
            </w:pPr>
            <w:r>
              <w:rPr>
                <w:szCs w:val="24"/>
              </w:rPr>
              <w:t>Preferred Stock</w:t>
            </w:r>
          </w:p>
        </w:tc>
        <w:tc>
          <w:tcPr>
            <w:tcW w:w="1994" w:type="dxa"/>
          </w:tcPr>
          <w:p w:rsidR="00EB2AED" w:rsidRDefault="00EB2AED" w:rsidP="00BB620A">
            <w:pPr>
              <w:suppressLineNumbers/>
              <w:ind w:left="90"/>
              <w:jc w:val="center"/>
              <w:rPr>
                <w:szCs w:val="24"/>
              </w:rPr>
            </w:pPr>
            <w:r>
              <w:rPr>
                <w:szCs w:val="24"/>
              </w:rPr>
              <w:t>0.02%</w:t>
            </w:r>
          </w:p>
        </w:tc>
        <w:tc>
          <w:tcPr>
            <w:tcW w:w="1995" w:type="dxa"/>
          </w:tcPr>
          <w:p w:rsidR="00EB2AED" w:rsidRDefault="00EB2AED" w:rsidP="00BB620A">
            <w:pPr>
              <w:suppressLineNumbers/>
              <w:ind w:left="90"/>
              <w:jc w:val="center"/>
              <w:rPr>
                <w:szCs w:val="24"/>
              </w:rPr>
            </w:pPr>
            <w:r>
              <w:rPr>
                <w:szCs w:val="24"/>
              </w:rPr>
              <w:t>0.02%</w:t>
            </w:r>
          </w:p>
        </w:tc>
      </w:tr>
      <w:tr w:rsidR="00EB2AED" w:rsidTr="00BB620A">
        <w:trPr>
          <w:jc w:val="center"/>
        </w:trPr>
        <w:tc>
          <w:tcPr>
            <w:tcW w:w="2808" w:type="dxa"/>
          </w:tcPr>
          <w:p w:rsidR="00EB2AED" w:rsidRPr="00C11221" w:rsidRDefault="00EB2AED" w:rsidP="00A14E9A">
            <w:pPr>
              <w:suppressLineNumbers/>
              <w:ind w:left="90"/>
              <w:jc w:val="center"/>
              <w:rPr>
                <w:szCs w:val="24"/>
              </w:rPr>
            </w:pPr>
            <w:r>
              <w:rPr>
                <w:szCs w:val="24"/>
              </w:rPr>
              <w:t>Common Equity</w:t>
            </w:r>
          </w:p>
        </w:tc>
        <w:tc>
          <w:tcPr>
            <w:tcW w:w="1994" w:type="dxa"/>
          </w:tcPr>
          <w:p w:rsidR="00EB2AED" w:rsidRPr="00C11221" w:rsidRDefault="00EB2AED" w:rsidP="00BB620A">
            <w:pPr>
              <w:suppressLineNumbers/>
              <w:ind w:left="90"/>
              <w:jc w:val="center"/>
              <w:rPr>
                <w:szCs w:val="24"/>
              </w:rPr>
            </w:pPr>
            <w:r>
              <w:rPr>
                <w:szCs w:val="24"/>
              </w:rPr>
              <w:t>49.10</w:t>
            </w:r>
            <w:r w:rsidRPr="00C11221">
              <w:rPr>
                <w:szCs w:val="24"/>
              </w:rPr>
              <w:t>%</w:t>
            </w:r>
          </w:p>
        </w:tc>
        <w:tc>
          <w:tcPr>
            <w:tcW w:w="1995" w:type="dxa"/>
          </w:tcPr>
          <w:p w:rsidR="00EB2AED" w:rsidRPr="00C11221" w:rsidRDefault="00EB2AED" w:rsidP="00BB620A">
            <w:pPr>
              <w:suppressLineNumbers/>
              <w:ind w:left="90"/>
              <w:jc w:val="center"/>
              <w:rPr>
                <w:szCs w:val="24"/>
              </w:rPr>
            </w:pPr>
            <w:r>
              <w:rPr>
                <w:szCs w:val="24"/>
              </w:rPr>
              <w:t>51.03</w:t>
            </w:r>
            <w:r w:rsidRPr="00C11221">
              <w:rPr>
                <w:szCs w:val="24"/>
              </w:rPr>
              <w:t>%</w:t>
            </w:r>
          </w:p>
        </w:tc>
      </w:tr>
    </w:tbl>
    <w:p w:rsidR="00EB2AED" w:rsidRDefault="00EB2AED" w:rsidP="00BB620A">
      <w:pPr>
        <w:suppressLineNumbers/>
        <w:ind w:left="720" w:hanging="720"/>
        <w:rPr>
          <w:b/>
          <w:szCs w:val="24"/>
        </w:rPr>
      </w:pPr>
    </w:p>
    <w:p w:rsidR="00FB4817" w:rsidRDefault="00FB4817" w:rsidP="00A14E9A">
      <w:pPr>
        <w:spacing w:line="480" w:lineRule="auto"/>
        <w:ind w:left="720" w:hanging="720"/>
        <w:rPr>
          <w:b/>
          <w:szCs w:val="24"/>
        </w:rPr>
      </w:pPr>
      <w:r>
        <w:rPr>
          <w:b/>
          <w:szCs w:val="24"/>
        </w:rPr>
        <w:t>Q.</w:t>
      </w:r>
      <w:r>
        <w:rPr>
          <w:b/>
          <w:szCs w:val="24"/>
        </w:rPr>
        <w:tab/>
        <w:t xml:space="preserve">Is the Company proposing that the actual capital structure be used for determining </w:t>
      </w:r>
      <w:r w:rsidR="00A7292A">
        <w:rPr>
          <w:b/>
          <w:szCs w:val="24"/>
        </w:rPr>
        <w:t>the revenue requirement</w:t>
      </w:r>
      <w:r>
        <w:rPr>
          <w:b/>
          <w:szCs w:val="24"/>
        </w:rPr>
        <w:t xml:space="preserve"> in this docket?</w:t>
      </w:r>
    </w:p>
    <w:p w:rsidR="00FB4817" w:rsidRPr="00052DCF" w:rsidRDefault="00FB4817" w:rsidP="00BB620A">
      <w:pPr>
        <w:spacing w:line="480" w:lineRule="auto"/>
        <w:ind w:left="720" w:hanging="720"/>
        <w:rPr>
          <w:szCs w:val="24"/>
        </w:rPr>
      </w:pPr>
      <w:r w:rsidRPr="00C11221">
        <w:rPr>
          <w:szCs w:val="24"/>
        </w:rPr>
        <w:t>A.</w:t>
      </w:r>
      <w:r w:rsidRPr="00C11221">
        <w:rPr>
          <w:szCs w:val="24"/>
        </w:rPr>
        <w:tab/>
      </w:r>
      <w:r w:rsidRPr="00424A4C">
        <w:rPr>
          <w:szCs w:val="24"/>
        </w:rPr>
        <w:t>No.  As noted earlier, the Company is not proposing to change any component of cost of capital in this cas</w:t>
      </w:r>
      <w:r w:rsidR="004F7BC0">
        <w:rPr>
          <w:szCs w:val="24"/>
        </w:rPr>
        <w:t>e.</w:t>
      </w:r>
      <w:r w:rsidRPr="00424A4C">
        <w:rPr>
          <w:szCs w:val="24"/>
        </w:rPr>
        <w:t xml:space="preserve">  I am presenting th</w:t>
      </w:r>
      <w:r w:rsidR="001C3536">
        <w:rPr>
          <w:szCs w:val="24"/>
        </w:rPr>
        <w:t>is updated</w:t>
      </w:r>
      <w:r w:rsidRPr="00424A4C">
        <w:rPr>
          <w:szCs w:val="24"/>
        </w:rPr>
        <w:t xml:space="preserve"> capital structure </w:t>
      </w:r>
      <w:r w:rsidR="00803F82">
        <w:rPr>
          <w:szCs w:val="24"/>
        </w:rPr>
        <w:t xml:space="preserve">to respond to Staff’s request for additional evidence on the Company’s </w:t>
      </w:r>
      <w:r w:rsidR="00F445F1">
        <w:rPr>
          <w:szCs w:val="24"/>
        </w:rPr>
        <w:t>updated</w:t>
      </w:r>
      <w:r w:rsidR="00803F82">
        <w:rPr>
          <w:szCs w:val="24"/>
        </w:rPr>
        <w:t xml:space="preserve"> cost of capital. </w:t>
      </w:r>
      <w:r w:rsidR="00A90138">
        <w:rPr>
          <w:szCs w:val="24"/>
        </w:rPr>
        <w:t xml:space="preserve"> </w:t>
      </w:r>
      <w:r w:rsidR="001C4F1D">
        <w:rPr>
          <w:szCs w:val="24"/>
        </w:rPr>
        <w:t>My testimony</w:t>
      </w:r>
      <w:r w:rsidRPr="00424A4C">
        <w:rPr>
          <w:szCs w:val="24"/>
        </w:rPr>
        <w:t xml:space="preserve"> show</w:t>
      </w:r>
      <w:r w:rsidR="001C4F1D">
        <w:rPr>
          <w:szCs w:val="24"/>
        </w:rPr>
        <w:t>s</w:t>
      </w:r>
      <w:r w:rsidRPr="00424A4C">
        <w:rPr>
          <w:szCs w:val="24"/>
        </w:rPr>
        <w:t xml:space="preserve"> that the Company continues to have a common equity level above the hypothetical capital structure </w:t>
      </w:r>
      <w:r w:rsidR="001C4F1D">
        <w:rPr>
          <w:szCs w:val="24"/>
        </w:rPr>
        <w:t xml:space="preserve">approved </w:t>
      </w:r>
      <w:r w:rsidRPr="00424A4C">
        <w:rPr>
          <w:szCs w:val="24"/>
        </w:rPr>
        <w:t xml:space="preserve">in the Company’s 2014 </w:t>
      </w:r>
      <w:r w:rsidR="001C4F1D">
        <w:rPr>
          <w:szCs w:val="24"/>
        </w:rPr>
        <w:t>R</w:t>
      </w:r>
      <w:r w:rsidRPr="00424A4C">
        <w:rPr>
          <w:szCs w:val="24"/>
        </w:rPr>
        <w:t xml:space="preserve">ate </w:t>
      </w:r>
      <w:r w:rsidR="001C4F1D">
        <w:rPr>
          <w:szCs w:val="24"/>
        </w:rPr>
        <w:t>C</w:t>
      </w:r>
      <w:r w:rsidRPr="00424A4C">
        <w:rPr>
          <w:szCs w:val="24"/>
        </w:rPr>
        <w:t>ase.</w:t>
      </w:r>
    </w:p>
    <w:p w:rsidR="003D655E" w:rsidRDefault="00BE3931" w:rsidP="00BB620A">
      <w:pPr>
        <w:pStyle w:val="Heading1"/>
      </w:pPr>
      <w:bookmarkStart w:id="7" w:name="_Toc386540857"/>
      <w:bookmarkStart w:id="8" w:name="_Toc313530441"/>
      <w:r w:rsidRPr="00C04A68">
        <w:t>CREDIT RATINGS</w:t>
      </w:r>
      <w:bookmarkEnd w:id="7"/>
      <w:bookmarkEnd w:id="8"/>
    </w:p>
    <w:p w:rsidR="003D655E" w:rsidRPr="00C04A68" w:rsidRDefault="003D655E" w:rsidP="00BB620A">
      <w:pPr>
        <w:spacing w:line="480" w:lineRule="auto"/>
        <w:ind w:left="720" w:hanging="720"/>
        <w:rPr>
          <w:b/>
          <w:szCs w:val="24"/>
        </w:rPr>
      </w:pPr>
      <w:r w:rsidRPr="00C04A68">
        <w:rPr>
          <w:b/>
          <w:szCs w:val="24"/>
        </w:rPr>
        <w:t>Q.</w:t>
      </w:r>
      <w:r w:rsidRPr="00C04A68">
        <w:rPr>
          <w:szCs w:val="24"/>
        </w:rPr>
        <w:tab/>
      </w:r>
      <w:r w:rsidRPr="00C04A68">
        <w:rPr>
          <w:b/>
          <w:szCs w:val="24"/>
        </w:rPr>
        <w:t xml:space="preserve">What are </w:t>
      </w:r>
      <w:r w:rsidR="000307C0">
        <w:rPr>
          <w:b/>
          <w:szCs w:val="24"/>
        </w:rPr>
        <w:t>PacifiCorp’s</w:t>
      </w:r>
      <w:r w:rsidRPr="00C04A68">
        <w:rPr>
          <w:b/>
          <w:szCs w:val="24"/>
        </w:rPr>
        <w:t xml:space="preserve"> current credit ratings?</w:t>
      </w:r>
    </w:p>
    <w:p w:rsidR="00D92DEA" w:rsidRDefault="003D655E" w:rsidP="00BB620A">
      <w:pPr>
        <w:spacing w:line="480" w:lineRule="auto"/>
        <w:ind w:left="720" w:hanging="720"/>
        <w:rPr>
          <w:szCs w:val="24"/>
        </w:rPr>
      </w:pPr>
      <w:r w:rsidRPr="00C04A68">
        <w:rPr>
          <w:szCs w:val="24"/>
        </w:rPr>
        <w:t>A.</w:t>
      </w:r>
      <w:r w:rsidRPr="00C04A68">
        <w:rPr>
          <w:szCs w:val="24"/>
        </w:rPr>
        <w:tab/>
      </w:r>
      <w:r w:rsidR="000307C0">
        <w:rPr>
          <w:szCs w:val="24"/>
        </w:rPr>
        <w:t>PacifiCorp’s</w:t>
      </w:r>
      <w:r w:rsidRPr="00C04A68">
        <w:rPr>
          <w:szCs w:val="24"/>
        </w:rPr>
        <w:t xml:space="preserve"> current ratings are:</w:t>
      </w:r>
    </w:p>
    <w:p w:rsidR="00DF3088" w:rsidRPr="00DF3088" w:rsidRDefault="00DF3088" w:rsidP="00BB620A">
      <w:pPr>
        <w:suppressLineNumbers/>
        <w:ind w:left="720" w:hanging="720"/>
        <w:jc w:val="center"/>
        <w:rPr>
          <w:b/>
          <w:szCs w:val="24"/>
        </w:rPr>
      </w:pPr>
      <w:r>
        <w:rPr>
          <w:b/>
          <w:szCs w:val="24"/>
        </w:rPr>
        <w:t xml:space="preserve">Table </w:t>
      </w:r>
      <w:r w:rsidR="00D92DEA">
        <w:rPr>
          <w:b/>
          <w:szCs w:val="24"/>
        </w:rPr>
        <w:t>3</w:t>
      </w:r>
      <w:r w:rsidR="00A14E9A">
        <w:rPr>
          <w:b/>
          <w:szCs w:val="24"/>
        </w:rPr>
        <w:br/>
      </w:r>
    </w:p>
    <w:tbl>
      <w:tblPr>
        <w:tblW w:w="7260" w:type="dxa"/>
        <w:jc w:val="center"/>
        <w:tblLayout w:type="fixed"/>
        <w:tblCellMar>
          <w:left w:w="10" w:type="dxa"/>
          <w:right w:w="10" w:type="dxa"/>
        </w:tblCellMar>
        <w:tblLook w:val="0000" w:firstRow="0" w:lastRow="0" w:firstColumn="0" w:lastColumn="0" w:noHBand="0" w:noVBand="0"/>
      </w:tblPr>
      <w:tblGrid>
        <w:gridCol w:w="2880"/>
        <w:gridCol w:w="1460"/>
        <w:gridCol w:w="1460"/>
        <w:gridCol w:w="1460"/>
      </w:tblGrid>
      <w:tr w:rsidR="003D655E" w:rsidRPr="00C04A68" w:rsidTr="00BB620A">
        <w:trPr>
          <w:trHeight w:hRule="exact" w:val="720"/>
          <w:jc w:val="center"/>
        </w:trPr>
        <w:tc>
          <w:tcPr>
            <w:tcW w:w="28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C04A68" w:rsidRDefault="003D655E" w:rsidP="00BB620A">
            <w:pPr>
              <w:keepNext/>
              <w:keepLines/>
              <w:rPr>
                <w:szCs w:val="24"/>
              </w:rPr>
            </w:pPr>
          </w:p>
        </w:tc>
        <w:tc>
          <w:tcPr>
            <w:tcW w:w="1460" w:type="dxa"/>
            <w:tcBorders>
              <w:top w:val="single" w:sz="8" w:space="0" w:color="auto"/>
              <w:left w:val="single" w:sz="8" w:space="0" w:color="auto"/>
              <w:bottom w:val="single" w:sz="8" w:space="0" w:color="auto"/>
              <w:right w:val="single" w:sz="8" w:space="0" w:color="auto"/>
            </w:tcBorders>
            <w:tcMar>
              <w:top w:w="0" w:type="dxa"/>
              <w:left w:w="60" w:type="dxa"/>
              <w:bottom w:w="20" w:type="dxa"/>
              <w:right w:w="60" w:type="dxa"/>
            </w:tcMar>
            <w:vAlign w:val="bottom"/>
          </w:tcPr>
          <w:p w:rsidR="003D655E" w:rsidRPr="00C04A68" w:rsidRDefault="003D655E" w:rsidP="00BB620A">
            <w:pPr>
              <w:keepNext/>
              <w:keepLines/>
              <w:jc w:val="center"/>
              <w:rPr>
                <w:b/>
                <w:szCs w:val="24"/>
              </w:rPr>
            </w:pPr>
            <w:r w:rsidRPr="00C04A68">
              <w:rPr>
                <w:b/>
                <w:color w:val="000000"/>
                <w:szCs w:val="24"/>
              </w:rPr>
              <w:t>Fitch</w:t>
            </w:r>
          </w:p>
        </w:tc>
        <w:tc>
          <w:tcPr>
            <w:tcW w:w="1460" w:type="dxa"/>
            <w:tcBorders>
              <w:top w:val="single" w:sz="8" w:space="0" w:color="auto"/>
              <w:left w:val="single" w:sz="8" w:space="0" w:color="auto"/>
              <w:bottom w:val="single" w:sz="8" w:space="0" w:color="auto"/>
              <w:right w:val="single" w:sz="8" w:space="0" w:color="auto"/>
            </w:tcBorders>
            <w:tcMar>
              <w:top w:w="0" w:type="dxa"/>
              <w:left w:w="60" w:type="dxa"/>
              <w:bottom w:w="20" w:type="dxa"/>
              <w:right w:w="60" w:type="dxa"/>
            </w:tcMar>
            <w:vAlign w:val="bottom"/>
          </w:tcPr>
          <w:p w:rsidR="003D655E" w:rsidRPr="00C04A68" w:rsidRDefault="003D655E" w:rsidP="00BB620A">
            <w:pPr>
              <w:keepNext/>
              <w:keepLines/>
              <w:jc w:val="center"/>
              <w:rPr>
                <w:b/>
                <w:szCs w:val="24"/>
              </w:rPr>
            </w:pPr>
            <w:r w:rsidRPr="00C04A68">
              <w:rPr>
                <w:b/>
                <w:color w:val="000000"/>
                <w:szCs w:val="24"/>
              </w:rPr>
              <w:t>Moody’s</w:t>
            </w:r>
          </w:p>
        </w:tc>
        <w:tc>
          <w:tcPr>
            <w:tcW w:w="1460" w:type="dxa"/>
            <w:tcBorders>
              <w:top w:val="single" w:sz="8" w:space="0" w:color="auto"/>
              <w:left w:val="single" w:sz="8" w:space="0" w:color="auto"/>
              <w:bottom w:val="single" w:sz="8" w:space="0" w:color="auto"/>
              <w:right w:val="single" w:sz="8" w:space="0" w:color="auto"/>
            </w:tcBorders>
            <w:tcMar>
              <w:top w:w="0" w:type="dxa"/>
              <w:left w:w="60" w:type="dxa"/>
              <w:bottom w:w="20" w:type="dxa"/>
              <w:right w:w="60" w:type="dxa"/>
            </w:tcMar>
            <w:vAlign w:val="bottom"/>
          </w:tcPr>
          <w:p w:rsidR="003D655E" w:rsidRPr="00C04A68" w:rsidRDefault="003D655E" w:rsidP="00A14E9A">
            <w:pPr>
              <w:keepNext/>
              <w:keepLines/>
              <w:jc w:val="center"/>
              <w:rPr>
                <w:b/>
                <w:szCs w:val="24"/>
              </w:rPr>
            </w:pPr>
            <w:r w:rsidRPr="00C04A68">
              <w:rPr>
                <w:b/>
                <w:szCs w:val="24"/>
              </w:rPr>
              <w:t>Standard</w:t>
            </w:r>
          </w:p>
          <w:p w:rsidR="003D655E" w:rsidRPr="00C04A68" w:rsidRDefault="003D655E" w:rsidP="00BB620A">
            <w:pPr>
              <w:keepNext/>
              <w:keepLines/>
              <w:jc w:val="center"/>
              <w:rPr>
                <w:b/>
                <w:szCs w:val="24"/>
              </w:rPr>
            </w:pPr>
            <w:r w:rsidRPr="00C04A68">
              <w:rPr>
                <w:b/>
                <w:szCs w:val="24"/>
              </w:rPr>
              <w:t>&amp; Poor’s</w:t>
            </w:r>
          </w:p>
        </w:tc>
      </w:tr>
      <w:tr w:rsidR="003D655E" w:rsidRPr="00C04A68" w:rsidTr="00BB620A">
        <w:trPr>
          <w:trHeight w:hRule="exact" w:val="280"/>
          <w:jc w:val="center"/>
        </w:trPr>
        <w:tc>
          <w:tcPr>
            <w:tcW w:w="28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3D655E" w:rsidP="00BB620A">
            <w:pPr>
              <w:keepNext/>
              <w:keepLines/>
              <w:rPr>
                <w:szCs w:val="24"/>
              </w:rPr>
            </w:pPr>
            <w:r w:rsidRPr="001C4F1D">
              <w:rPr>
                <w:color w:val="000000"/>
                <w:szCs w:val="24"/>
              </w:rPr>
              <w:t>Senior Secured Debt</w:t>
            </w:r>
          </w:p>
        </w:tc>
        <w:tc>
          <w:tcPr>
            <w:tcW w:w="146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FB354A" w:rsidP="00BB620A">
            <w:pPr>
              <w:keepNext/>
              <w:keepLines/>
              <w:jc w:val="center"/>
              <w:rPr>
                <w:szCs w:val="24"/>
              </w:rPr>
            </w:pPr>
            <w:r w:rsidRPr="001C4F1D">
              <w:rPr>
                <w:color w:val="000000"/>
                <w:szCs w:val="24"/>
              </w:rPr>
              <w:t>A+</w:t>
            </w:r>
          </w:p>
        </w:tc>
        <w:tc>
          <w:tcPr>
            <w:tcW w:w="146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FB354A" w:rsidP="00BB620A">
            <w:pPr>
              <w:keepNext/>
              <w:keepLines/>
              <w:jc w:val="center"/>
              <w:rPr>
                <w:szCs w:val="24"/>
              </w:rPr>
            </w:pPr>
            <w:r w:rsidRPr="001C4F1D">
              <w:rPr>
                <w:szCs w:val="24"/>
              </w:rPr>
              <w:t>A1</w:t>
            </w:r>
          </w:p>
        </w:tc>
        <w:tc>
          <w:tcPr>
            <w:tcW w:w="146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FB354A" w:rsidP="00BB620A">
            <w:pPr>
              <w:keepNext/>
              <w:keepLines/>
              <w:jc w:val="center"/>
              <w:rPr>
                <w:szCs w:val="24"/>
              </w:rPr>
            </w:pPr>
            <w:r w:rsidRPr="001C4F1D">
              <w:rPr>
                <w:color w:val="000000"/>
                <w:szCs w:val="24"/>
              </w:rPr>
              <w:t>A</w:t>
            </w:r>
          </w:p>
        </w:tc>
      </w:tr>
      <w:tr w:rsidR="003D655E" w:rsidRPr="00C04A68" w:rsidTr="00BB620A">
        <w:trPr>
          <w:trHeight w:hRule="exact" w:val="280"/>
          <w:jc w:val="center"/>
        </w:trPr>
        <w:tc>
          <w:tcPr>
            <w:tcW w:w="28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3D655E" w:rsidP="00BB620A">
            <w:pPr>
              <w:keepNext/>
              <w:keepLines/>
              <w:rPr>
                <w:szCs w:val="24"/>
              </w:rPr>
            </w:pPr>
            <w:r w:rsidRPr="001C4F1D">
              <w:rPr>
                <w:color w:val="000000"/>
                <w:szCs w:val="24"/>
              </w:rPr>
              <w:t>Senior Unsecured Debt</w:t>
            </w:r>
          </w:p>
        </w:tc>
        <w:tc>
          <w:tcPr>
            <w:tcW w:w="146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FB354A" w:rsidP="00BB620A">
            <w:pPr>
              <w:keepNext/>
              <w:keepLines/>
              <w:jc w:val="center"/>
              <w:rPr>
                <w:szCs w:val="24"/>
              </w:rPr>
            </w:pPr>
            <w:r w:rsidRPr="001C4F1D">
              <w:rPr>
                <w:color w:val="000000"/>
                <w:szCs w:val="24"/>
              </w:rPr>
              <w:t>A</w:t>
            </w:r>
          </w:p>
        </w:tc>
        <w:tc>
          <w:tcPr>
            <w:tcW w:w="146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FB354A" w:rsidP="00BB620A">
            <w:pPr>
              <w:keepNext/>
              <w:keepLines/>
              <w:jc w:val="center"/>
              <w:rPr>
                <w:szCs w:val="24"/>
              </w:rPr>
            </w:pPr>
            <w:r w:rsidRPr="001C4F1D">
              <w:rPr>
                <w:szCs w:val="24"/>
              </w:rPr>
              <w:t>A3</w:t>
            </w:r>
          </w:p>
        </w:tc>
        <w:tc>
          <w:tcPr>
            <w:tcW w:w="146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FB354A" w:rsidP="00BB620A">
            <w:pPr>
              <w:keepNext/>
              <w:keepLines/>
              <w:jc w:val="center"/>
              <w:rPr>
                <w:szCs w:val="24"/>
              </w:rPr>
            </w:pPr>
            <w:r w:rsidRPr="001C4F1D">
              <w:rPr>
                <w:color w:val="000000"/>
                <w:szCs w:val="24"/>
              </w:rPr>
              <w:t>A-</w:t>
            </w:r>
          </w:p>
        </w:tc>
      </w:tr>
      <w:tr w:rsidR="003D655E" w:rsidRPr="00C04A68" w:rsidTr="00BB620A">
        <w:trPr>
          <w:trHeight w:hRule="exact" w:val="280"/>
          <w:jc w:val="center"/>
        </w:trPr>
        <w:tc>
          <w:tcPr>
            <w:tcW w:w="288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3D655E" w:rsidP="00BB620A">
            <w:pPr>
              <w:keepLines/>
              <w:rPr>
                <w:szCs w:val="24"/>
              </w:rPr>
            </w:pPr>
            <w:r w:rsidRPr="001C4F1D">
              <w:rPr>
                <w:color w:val="000000"/>
                <w:szCs w:val="24"/>
              </w:rPr>
              <w:t>Outlook</w:t>
            </w:r>
          </w:p>
        </w:tc>
        <w:tc>
          <w:tcPr>
            <w:tcW w:w="146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FB354A" w:rsidP="00BB620A">
            <w:pPr>
              <w:keepLines/>
              <w:jc w:val="center"/>
              <w:rPr>
                <w:szCs w:val="24"/>
              </w:rPr>
            </w:pPr>
            <w:r w:rsidRPr="001C4F1D">
              <w:rPr>
                <w:color w:val="000000"/>
                <w:szCs w:val="24"/>
              </w:rPr>
              <w:t>Stable</w:t>
            </w:r>
          </w:p>
        </w:tc>
        <w:tc>
          <w:tcPr>
            <w:tcW w:w="146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FB354A" w:rsidP="00BB620A">
            <w:pPr>
              <w:keepLines/>
              <w:jc w:val="center"/>
              <w:rPr>
                <w:szCs w:val="24"/>
              </w:rPr>
            </w:pPr>
            <w:r w:rsidRPr="001C4F1D">
              <w:rPr>
                <w:color w:val="000000"/>
                <w:szCs w:val="24"/>
              </w:rPr>
              <w:t>Stable</w:t>
            </w:r>
          </w:p>
        </w:tc>
        <w:tc>
          <w:tcPr>
            <w:tcW w:w="1460" w:type="dxa"/>
            <w:tcBorders>
              <w:top w:val="single" w:sz="8" w:space="0" w:color="auto"/>
              <w:left w:val="single" w:sz="8" w:space="0" w:color="auto"/>
              <w:bottom w:val="single" w:sz="8" w:space="0" w:color="auto"/>
              <w:right w:val="single" w:sz="8" w:space="0" w:color="auto"/>
            </w:tcBorders>
            <w:tcMar>
              <w:left w:w="60" w:type="dxa"/>
              <w:right w:w="60" w:type="dxa"/>
            </w:tcMar>
            <w:vAlign w:val="bottom"/>
          </w:tcPr>
          <w:p w:rsidR="003D655E" w:rsidRPr="001C4F1D" w:rsidRDefault="00FB354A" w:rsidP="00BB620A">
            <w:pPr>
              <w:keepLines/>
              <w:jc w:val="center"/>
              <w:rPr>
                <w:szCs w:val="24"/>
              </w:rPr>
            </w:pPr>
            <w:r w:rsidRPr="001C4F1D">
              <w:rPr>
                <w:color w:val="000000"/>
                <w:szCs w:val="24"/>
              </w:rPr>
              <w:t>Stable</w:t>
            </w:r>
          </w:p>
        </w:tc>
      </w:tr>
    </w:tbl>
    <w:p w:rsidR="003D655E" w:rsidRPr="00C04A68" w:rsidRDefault="003D655E" w:rsidP="00BB620A">
      <w:pPr>
        <w:widowControl w:val="0"/>
        <w:suppressLineNumbers/>
        <w:jc w:val="center"/>
        <w:rPr>
          <w:szCs w:val="24"/>
        </w:rPr>
      </w:pPr>
    </w:p>
    <w:p w:rsidR="002C38D0" w:rsidRPr="00C04A68" w:rsidRDefault="002C38D0" w:rsidP="00A14E9A">
      <w:pPr>
        <w:spacing w:line="480" w:lineRule="auto"/>
        <w:ind w:left="720" w:hanging="720"/>
        <w:rPr>
          <w:b/>
          <w:szCs w:val="24"/>
        </w:rPr>
      </w:pPr>
      <w:r>
        <w:rPr>
          <w:b/>
          <w:szCs w:val="24"/>
        </w:rPr>
        <w:t>Q.</w:t>
      </w:r>
      <w:r>
        <w:rPr>
          <w:b/>
          <w:szCs w:val="24"/>
        </w:rPr>
        <w:tab/>
      </w:r>
      <w:r w:rsidRPr="00F3556C">
        <w:rPr>
          <w:b/>
          <w:szCs w:val="24"/>
        </w:rPr>
        <w:t>Ha</w:t>
      </w:r>
      <w:r>
        <w:rPr>
          <w:b/>
          <w:szCs w:val="24"/>
        </w:rPr>
        <w:t xml:space="preserve">s any credit agency </w:t>
      </w:r>
      <w:r w:rsidR="00A04B63">
        <w:rPr>
          <w:b/>
          <w:szCs w:val="24"/>
        </w:rPr>
        <w:t>c</w:t>
      </w:r>
      <w:r w:rsidRPr="00C04A68">
        <w:rPr>
          <w:b/>
          <w:szCs w:val="24"/>
        </w:rPr>
        <w:t>hange</w:t>
      </w:r>
      <w:r>
        <w:rPr>
          <w:b/>
          <w:szCs w:val="24"/>
        </w:rPr>
        <w:t>d</w:t>
      </w:r>
      <w:r w:rsidRPr="00C04A68">
        <w:rPr>
          <w:b/>
          <w:szCs w:val="24"/>
        </w:rPr>
        <w:t xml:space="preserve"> </w:t>
      </w:r>
      <w:r>
        <w:rPr>
          <w:b/>
          <w:szCs w:val="24"/>
        </w:rPr>
        <w:t>PacifiCorp’s</w:t>
      </w:r>
      <w:r w:rsidRPr="00C04A68">
        <w:rPr>
          <w:b/>
          <w:szCs w:val="24"/>
        </w:rPr>
        <w:t xml:space="preserve"> credit ratin</w:t>
      </w:r>
      <w:r w:rsidR="00A04B63">
        <w:rPr>
          <w:b/>
          <w:szCs w:val="24"/>
        </w:rPr>
        <w:t>g since the 2014 Rate Case</w:t>
      </w:r>
      <w:r w:rsidRPr="00C04A68">
        <w:rPr>
          <w:b/>
          <w:szCs w:val="24"/>
        </w:rPr>
        <w:t>?</w:t>
      </w:r>
    </w:p>
    <w:p w:rsidR="002C38D0" w:rsidRPr="00C04A68" w:rsidRDefault="002C38D0" w:rsidP="00BB620A">
      <w:pPr>
        <w:widowControl w:val="0"/>
        <w:spacing w:line="480" w:lineRule="auto"/>
        <w:ind w:left="720" w:hanging="720"/>
        <w:rPr>
          <w:b/>
          <w:szCs w:val="24"/>
        </w:rPr>
      </w:pPr>
      <w:r w:rsidRPr="00611E82">
        <w:rPr>
          <w:szCs w:val="24"/>
        </w:rPr>
        <w:t>A.</w:t>
      </w:r>
      <w:r>
        <w:rPr>
          <w:szCs w:val="24"/>
        </w:rPr>
        <w:tab/>
      </w:r>
      <w:r w:rsidRPr="001C4F1D">
        <w:rPr>
          <w:szCs w:val="24"/>
        </w:rPr>
        <w:t>Yes</w:t>
      </w:r>
      <w:r w:rsidR="00B54E16">
        <w:rPr>
          <w:szCs w:val="24"/>
        </w:rPr>
        <w:t xml:space="preserve">.  </w:t>
      </w:r>
      <w:r w:rsidR="001C4F1D">
        <w:rPr>
          <w:szCs w:val="24"/>
        </w:rPr>
        <w:t xml:space="preserve">In </w:t>
      </w:r>
      <w:r w:rsidR="00FB354A">
        <w:rPr>
          <w:szCs w:val="24"/>
        </w:rPr>
        <w:t>November 2015</w:t>
      </w:r>
      <w:r w:rsidR="001C4F1D">
        <w:rPr>
          <w:szCs w:val="24"/>
        </w:rPr>
        <w:t xml:space="preserve">, </w:t>
      </w:r>
      <w:r w:rsidR="00FB354A">
        <w:rPr>
          <w:szCs w:val="24"/>
        </w:rPr>
        <w:t>Fitch</w:t>
      </w:r>
      <w:r w:rsidR="00034AF3">
        <w:rPr>
          <w:szCs w:val="24"/>
        </w:rPr>
        <w:t xml:space="preserve"> </w:t>
      </w:r>
      <w:r w:rsidR="00FB354A">
        <w:rPr>
          <w:szCs w:val="24"/>
        </w:rPr>
        <w:t>Ratings</w:t>
      </w:r>
      <w:r w:rsidR="00034AF3">
        <w:rPr>
          <w:szCs w:val="24"/>
        </w:rPr>
        <w:t xml:space="preserve"> upgraded PacifiCorp’s Issuer Default Rating and securities ratings one notch.</w:t>
      </w:r>
    </w:p>
    <w:p w:rsidR="002C38D0" w:rsidRPr="00C04A68" w:rsidRDefault="002C38D0" w:rsidP="00BB620A">
      <w:pPr>
        <w:spacing w:line="480" w:lineRule="auto"/>
        <w:rPr>
          <w:b/>
          <w:szCs w:val="24"/>
        </w:rPr>
      </w:pPr>
      <w:r>
        <w:rPr>
          <w:b/>
          <w:szCs w:val="24"/>
        </w:rPr>
        <w:lastRenderedPageBreak/>
        <w:t>Q.</w:t>
      </w:r>
      <w:r>
        <w:rPr>
          <w:b/>
          <w:szCs w:val="24"/>
        </w:rPr>
        <w:tab/>
        <w:t xml:space="preserve">Please explain why </w:t>
      </w:r>
      <w:r w:rsidR="001C4F1D">
        <w:rPr>
          <w:b/>
          <w:szCs w:val="24"/>
        </w:rPr>
        <w:t xml:space="preserve">Fitch Ratings </w:t>
      </w:r>
      <w:r>
        <w:rPr>
          <w:b/>
          <w:szCs w:val="24"/>
        </w:rPr>
        <w:t xml:space="preserve">made this </w:t>
      </w:r>
      <w:r w:rsidRPr="00C04A68">
        <w:rPr>
          <w:b/>
          <w:szCs w:val="24"/>
        </w:rPr>
        <w:t>change.</w:t>
      </w:r>
    </w:p>
    <w:p w:rsidR="00EC5A3E" w:rsidRDefault="002C38D0" w:rsidP="00BB620A">
      <w:pPr>
        <w:spacing w:line="480" w:lineRule="auto"/>
        <w:ind w:left="720" w:hanging="720"/>
        <w:rPr>
          <w:szCs w:val="24"/>
        </w:rPr>
      </w:pPr>
      <w:r w:rsidRPr="00611E82">
        <w:rPr>
          <w:szCs w:val="24"/>
        </w:rPr>
        <w:t>A.</w:t>
      </w:r>
      <w:r w:rsidRPr="00C04A68">
        <w:rPr>
          <w:b/>
          <w:szCs w:val="24"/>
        </w:rPr>
        <w:tab/>
      </w:r>
      <w:r w:rsidR="00034AF3" w:rsidRPr="001C4F1D">
        <w:rPr>
          <w:szCs w:val="24"/>
        </w:rPr>
        <w:t>Fitch st</w:t>
      </w:r>
      <w:r w:rsidR="00034AF3">
        <w:rPr>
          <w:szCs w:val="24"/>
        </w:rPr>
        <w:t xml:space="preserve">ated that the ratings reflect </w:t>
      </w:r>
      <w:r w:rsidR="00C62969">
        <w:rPr>
          <w:szCs w:val="24"/>
        </w:rPr>
        <w:t>the Company’s</w:t>
      </w:r>
      <w:r w:rsidR="00034AF3">
        <w:rPr>
          <w:szCs w:val="24"/>
        </w:rPr>
        <w:t xml:space="preserve"> “strong credit metrics, balanced jurisdictional regulatory environment and meaningfully lower estimated 2015-2019 capex compared to historic levels.  [PacifiCorp’s] business risk is relatively low and retail rates below the industry average.</w:t>
      </w:r>
      <w:r w:rsidR="00EC5A3E">
        <w:rPr>
          <w:szCs w:val="24"/>
        </w:rPr>
        <w:t>”</w:t>
      </w:r>
      <w:r w:rsidR="00034AF3">
        <w:rPr>
          <w:rStyle w:val="FootnoteReference"/>
          <w:szCs w:val="24"/>
        </w:rPr>
        <w:footnoteReference w:id="2"/>
      </w:r>
      <w:r w:rsidR="00A04B63">
        <w:rPr>
          <w:szCs w:val="24"/>
        </w:rPr>
        <w:t xml:space="preserve"> </w:t>
      </w:r>
      <w:r w:rsidRPr="00C04A68">
        <w:rPr>
          <w:szCs w:val="24"/>
        </w:rPr>
        <w:t xml:space="preserve"> </w:t>
      </w:r>
    </w:p>
    <w:p w:rsidR="00EC5A3E" w:rsidRPr="00C11221" w:rsidRDefault="00EC5A3E" w:rsidP="00BB620A">
      <w:pPr>
        <w:spacing w:line="480" w:lineRule="auto"/>
        <w:ind w:left="720" w:hanging="720"/>
        <w:rPr>
          <w:b/>
          <w:szCs w:val="24"/>
        </w:rPr>
      </w:pPr>
      <w:r w:rsidRPr="00C11221">
        <w:rPr>
          <w:b/>
          <w:szCs w:val="24"/>
        </w:rPr>
        <w:t>Q.</w:t>
      </w:r>
      <w:r w:rsidRPr="00C11221">
        <w:rPr>
          <w:b/>
          <w:szCs w:val="24"/>
        </w:rPr>
        <w:tab/>
        <w:t>Did Fitch Ratings address recent Wa</w:t>
      </w:r>
      <w:r w:rsidR="00C03A72" w:rsidRPr="00C11221">
        <w:rPr>
          <w:b/>
          <w:szCs w:val="24"/>
        </w:rPr>
        <w:t>shington rate decisions in its credit rating report</w:t>
      </w:r>
      <w:r w:rsidRPr="00C11221">
        <w:rPr>
          <w:b/>
          <w:szCs w:val="24"/>
        </w:rPr>
        <w:t xml:space="preserve">? </w:t>
      </w:r>
    </w:p>
    <w:p w:rsidR="00EC5A3E" w:rsidRDefault="00EC5A3E" w:rsidP="00BB620A">
      <w:pPr>
        <w:spacing w:line="480" w:lineRule="auto"/>
        <w:ind w:left="720" w:hanging="720"/>
        <w:rPr>
          <w:b/>
          <w:szCs w:val="24"/>
        </w:rPr>
      </w:pPr>
      <w:r>
        <w:rPr>
          <w:szCs w:val="24"/>
        </w:rPr>
        <w:t>A.</w:t>
      </w:r>
      <w:r>
        <w:rPr>
          <w:szCs w:val="24"/>
        </w:rPr>
        <w:tab/>
      </w:r>
      <w:r w:rsidR="00C03A72">
        <w:rPr>
          <w:szCs w:val="24"/>
        </w:rPr>
        <w:t>Yes.  The portions of the report addressing Washington are quoted below</w:t>
      </w:r>
      <w:r w:rsidRPr="00EC5A3E">
        <w:rPr>
          <w:szCs w:val="24"/>
        </w:rPr>
        <w:t>:</w:t>
      </w:r>
      <w:r>
        <w:rPr>
          <w:b/>
          <w:szCs w:val="24"/>
        </w:rPr>
        <w:t xml:space="preserve"> </w:t>
      </w:r>
    </w:p>
    <w:p w:rsidR="00A14E9A" w:rsidRDefault="00EC5A3E" w:rsidP="00BB620A">
      <w:pPr>
        <w:ind w:left="1440" w:right="1530" w:hanging="720"/>
        <w:rPr>
          <w:szCs w:val="24"/>
        </w:rPr>
      </w:pPr>
      <w:r>
        <w:rPr>
          <w:b/>
          <w:szCs w:val="24"/>
        </w:rPr>
        <w:tab/>
      </w:r>
      <w:r>
        <w:rPr>
          <w:szCs w:val="24"/>
        </w:rPr>
        <w:t>Regulatory outcomes across [</w:t>
      </w:r>
      <w:r w:rsidRPr="00707CBE">
        <w:rPr>
          <w:szCs w:val="24"/>
        </w:rPr>
        <w:t>PacifiCorp</w:t>
      </w:r>
      <w:r>
        <w:rPr>
          <w:szCs w:val="24"/>
        </w:rPr>
        <w:t>’s] service territory have been and are expected to continue to be balanced with the notable exception of Washington….Washington Utilities and Transportation Commission (WUTC) rulings in [PacifiCorp’s] GRCs issued in March 2015 and December 2013 were notably unfavorable for investors.  The WUTC orders disallowed costs related to purchased power from qualifying facilities located outside the state of Washington and authorized a below-industry-average 9.5% ROE.  In its March 2015 order, the WUTC authorized a rate increase of $9.6 million, 32% of the $30.4 million requested by [PacifiCorp] in the proceeding.  In its December 2013 order, the WUTC approved a $17 million rate increase, approximately 46% of [PacifiCorp’s] requested $37 million rate hike.  [PacifiCorp] has appealed both WUTC orders.  Fitch notes that the WUTC earlier this year approved an all-party stipulation in which the parties agreed to the implementation of a power cost adjustment mechanism, which includes dead bands and sharing of deferred balances between the utility and ratepayers.”</w:t>
      </w:r>
    </w:p>
    <w:p w:rsidR="00EC5A3E" w:rsidRDefault="00EC5A3E" w:rsidP="00BB620A">
      <w:pPr>
        <w:suppressLineNumbers/>
        <w:ind w:left="1440" w:right="1526" w:hanging="720"/>
        <w:rPr>
          <w:szCs w:val="24"/>
        </w:rPr>
      </w:pPr>
    </w:p>
    <w:p w:rsidR="00F445F1" w:rsidRPr="00C04A68" w:rsidRDefault="00F445F1" w:rsidP="00A14E9A">
      <w:pPr>
        <w:spacing w:line="480" w:lineRule="auto"/>
        <w:ind w:left="720" w:hanging="720"/>
        <w:rPr>
          <w:b/>
          <w:szCs w:val="24"/>
        </w:rPr>
      </w:pPr>
      <w:r>
        <w:rPr>
          <w:b/>
          <w:szCs w:val="24"/>
        </w:rPr>
        <w:t>Q.</w:t>
      </w:r>
      <w:r>
        <w:rPr>
          <w:b/>
          <w:szCs w:val="24"/>
        </w:rPr>
        <w:tab/>
        <w:t>Does the Company’s petition address some of the concerns expressed by Fitch Ratings and provide additional support for its current credit ratings</w:t>
      </w:r>
      <w:r w:rsidRPr="00C04A68">
        <w:rPr>
          <w:b/>
          <w:szCs w:val="24"/>
        </w:rPr>
        <w:t>?</w:t>
      </w:r>
    </w:p>
    <w:p w:rsidR="00F445F1" w:rsidRDefault="00F445F1" w:rsidP="00BB620A">
      <w:pPr>
        <w:widowControl w:val="0"/>
        <w:spacing w:line="480" w:lineRule="auto"/>
        <w:ind w:left="720" w:hanging="720"/>
        <w:rPr>
          <w:b/>
          <w:szCs w:val="24"/>
        </w:rPr>
      </w:pPr>
      <w:r w:rsidRPr="00611E82">
        <w:rPr>
          <w:szCs w:val="24"/>
        </w:rPr>
        <w:t>A.</w:t>
      </w:r>
      <w:r>
        <w:rPr>
          <w:szCs w:val="24"/>
        </w:rPr>
        <w:tab/>
        <w:t xml:space="preserve">Yes.  If the Commission approves the Company’s petition, this would improve Pacific Power’s financial integrity and send a positive signal to rating agencies that the </w:t>
      </w:r>
      <w:r>
        <w:rPr>
          <w:szCs w:val="24"/>
        </w:rPr>
        <w:lastRenderedPageBreak/>
        <w:t>regulatory framework in Washington is constructively addressing cost recovery.  This would benefit customers and the Company.</w:t>
      </w:r>
      <w:r>
        <w:rPr>
          <w:b/>
          <w:szCs w:val="24"/>
        </w:rPr>
        <w:t xml:space="preserve"> </w:t>
      </w:r>
    </w:p>
    <w:p w:rsidR="00D44C99" w:rsidRPr="00C04A68" w:rsidRDefault="00D44C99" w:rsidP="00BB620A">
      <w:pPr>
        <w:spacing w:line="480" w:lineRule="auto"/>
        <w:ind w:left="720" w:hanging="720"/>
        <w:rPr>
          <w:b/>
          <w:szCs w:val="24"/>
        </w:rPr>
      </w:pPr>
      <w:r>
        <w:rPr>
          <w:b/>
          <w:szCs w:val="24"/>
        </w:rPr>
        <w:t xml:space="preserve">Q. </w:t>
      </w:r>
      <w:r>
        <w:rPr>
          <w:b/>
          <w:szCs w:val="24"/>
        </w:rPr>
        <w:tab/>
      </w:r>
      <w:r w:rsidR="00F445F1">
        <w:rPr>
          <w:b/>
          <w:szCs w:val="24"/>
        </w:rPr>
        <w:t>Why s</w:t>
      </w:r>
      <w:r w:rsidRPr="00C04A68">
        <w:rPr>
          <w:b/>
          <w:szCs w:val="24"/>
        </w:rPr>
        <w:t>hould this Commission be concerned about credit ratings and the views expressed by rating agencies?</w:t>
      </w:r>
    </w:p>
    <w:p w:rsidR="00D44C99" w:rsidRPr="00C04A68" w:rsidRDefault="00D44C99" w:rsidP="00BB620A">
      <w:pPr>
        <w:spacing w:line="480" w:lineRule="auto"/>
        <w:ind w:left="720" w:hanging="720"/>
        <w:rPr>
          <w:szCs w:val="24"/>
        </w:rPr>
      </w:pPr>
      <w:r w:rsidRPr="00C04A68">
        <w:rPr>
          <w:szCs w:val="24"/>
        </w:rPr>
        <w:t>A.</w:t>
      </w:r>
      <w:r w:rsidRPr="00C04A68">
        <w:rPr>
          <w:szCs w:val="24"/>
        </w:rPr>
        <w:tab/>
        <w:t xml:space="preserve">Credit ratings and the views of rating agencies are important for several reasons. </w:t>
      </w:r>
      <w:r>
        <w:rPr>
          <w:szCs w:val="24"/>
        </w:rPr>
        <w:t xml:space="preserve"> </w:t>
      </w:r>
      <w:r w:rsidRPr="00C04A68">
        <w:rPr>
          <w:szCs w:val="24"/>
        </w:rPr>
        <w:t>First, the credit rating of a utility has a direct impact on the price that a utility pays to attract the capital necessary to support its curre</w:t>
      </w:r>
      <w:r>
        <w:rPr>
          <w:szCs w:val="24"/>
        </w:rPr>
        <w:t xml:space="preserve">nt and future operating needs.  </w:t>
      </w:r>
      <w:r w:rsidRPr="00C04A68">
        <w:rPr>
          <w:szCs w:val="24"/>
        </w:rPr>
        <w:t>Many institutional investors have fiduciary responsibilities to their clients and are typically not permitted to purchase non-investment grade (</w:t>
      </w:r>
      <w:r w:rsidRPr="00C04A68">
        <w:rPr>
          <w:i/>
          <w:szCs w:val="24"/>
        </w:rPr>
        <w:t>i.e.</w:t>
      </w:r>
      <w:r w:rsidRPr="00C04A68">
        <w:rPr>
          <w:szCs w:val="24"/>
        </w:rPr>
        <w:t>, rated below BBB</w:t>
      </w:r>
      <w:r w:rsidRPr="00C04A68">
        <w:rPr>
          <w:rFonts w:ascii="MS Mincho" w:eastAsia="MS Mincho" w:hAnsi="MS Mincho" w:cs="MS Mincho" w:hint="eastAsia"/>
          <w:szCs w:val="24"/>
        </w:rPr>
        <w:t>‑</w:t>
      </w:r>
      <w:r w:rsidRPr="00C04A68">
        <w:rPr>
          <w:szCs w:val="24"/>
        </w:rPr>
        <w:t>) securities or, in some cases, even securities rated below single A.</w:t>
      </w:r>
    </w:p>
    <w:p w:rsidR="00D44C99" w:rsidRPr="00C04A68" w:rsidRDefault="00D44C99" w:rsidP="00BB620A">
      <w:pPr>
        <w:spacing w:line="480" w:lineRule="auto"/>
        <w:ind w:left="720" w:hanging="720"/>
        <w:rPr>
          <w:szCs w:val="24"/>
        </w:rPr>
      </w:pPr>
      <w:r w:rsidRPr="00C04A68">
        <w:rPr>
          <w:szCs w:val="24"/>
        </w:rPr>
        <w:tab/>
      </w:r>
      <w:r w:rsidRPr="00C04A68">
        <w:rPr>
          <w:szCs w:val="24"/>
        </w:rPr>
        <w:tab/>
        <w:t xml:space="preserve">Second, credit ratings are an estimate of the probability of default by the </w:t>
      </w:r>
      <w:r>
        <w:rPr>
          <w:szCs w:val="24"/>
        </w:rPr>
        <w:t xml:space="preserve">issuer on each rated security.  </w:t>
      </w:r>
      <w:r w:rsidRPr="00C04A68">
        <w:rPr>
          <w:szCs w:val="24"/>
        </w:rPr>
        <w:t>Lower ratings equate to higher r</w:t>
      </w:r>
      <w:r>
        <w:rPr>
          <w:szCs w:val="24"/>
        </w:rPr>
        <w:t>isks and higher costs of debt.</w:t>
      </w:r>
    </w:p>
    <w:p w:rsidR="00523BCB" w:rsidRDefault="00D44C99" w:rsidP="00BB620A">
      <w:pPr>
        <w:spacing w:line="480" w:lineRule="auto"/>
        <w:ind w:left="720" w:hanging="720"/>
        <w:rPr>
          <w:szCs w:val="24"/>
        </w:rPr>
      </w:pPr>
      <w:r w:rsidRPr="00C04A68">
        <w:rPr>
          <w:szCs w:val="24"/>
        </w:rPr>
        <w:tab/>
      </w:r>
      <w:r w:rsidRPr="00C04A68">
        <w:rPr>
          <w:szCs w:val="24"/>
        </w:rPr>
        <w:tab/>
        <w:t xml:space="preserve">Further, </w:t>
      </w:r>
      <w:r w:rsidR="008C07E8">
        <w:rPr>
          <w:szCs w:val="24"/>
        </w:rPr>
        <w:t xml:space="preserve">the Company </w:t>
      </w:r>
      <w:r w:rsidRPr="00C04A68">
        <w:rPr>
          <w:szCs w:val="24"/>
        </w:rPr>
        <w:t>has a near constan</w:t>
      </w:r>
      <w:r w:rsidR="00A7292A">
        <w:rPr>
          <w:szCs w:val="24"/>
        </w:rPr>
        <w:t>t need for short-term liquidity</w:t>
      </w:r>
      <w:r w:rsidRPr="00C04A68">
        <w:rPr>
          <w:szCs w:val="24"/>
        </w:rPr>
        <w:t xml:space="preserve"> as well as peri</w:t>
      </w:r>
      <w:r>
        <w:rPr>
          <w:szCs w:val="24"/>
        </w:rPr>
        <w:t xml:space="preserve">odic long-term debt issuances.  </w:t>
      </w:r>
      <w:r w:rsidRPr="00C04A68">
        <w:rPr>
          <w:szCs w:val="24"/>
        </w:rPr>
        <w:t xml:space="preserve">On a daily basis, </w:t>
      </w:r>
      <w:r w:rsidR="008C07E8">
        <w:rPr>
          <w:szCs w:val="24"/>
        </w:rPr>
        <w:t xml:space="preserve">the Company </w:t>
      </w:r>
      <w:r w:rsidRPr="00C04A68">
        <w:rPr>
          <w:szCs w:val="24"/>
        </w:rPr>
        <w:t>pays significant amounts to suppliers to provide necessary goods and services, such as fu</w:t>
      </w:r>
      <w:r>
        <w:rPr>
          <w:szCs w:val="24"/>
        </w:rPr>
        <w:t xml:space="preserve">el, spare parts, and inventory.  </w:t>
      </w:r>
      <w:r w:rsidRPr="00C04A68">
        <w:rPr>
          <w:szCs w:val="24"/>
        </w:rPr>
        <w:t>Being unable to access funds can jeopardize the successful completion of necessary capital infrastructure projects and would increase the chance of outages and service failures over the long term.</w:t>
      </w:r>
    </w:p>
    <w:p w:rsidR="003D655E" w:rsidRPr="00D44C99" w:rsidRDefault="003D655E" w:rsidP="00BB620A">
      <w:pPr>
        <w:keepNext/>
        <w:spacing w:line="480" w:lineRule="auto"/>
        <w:ind w:left="720" w:hanging="720"/>
        <w:rPr>
          <w:b/>
          <w:szCs w:val="24"/>
        </w:rPr>
      </w:pPr>
      <w:r w:rsidRPr="00C04A68">
        <w:rPr>
          <w:b/>
          <w:szCs w:val="24"/>
        </w:rPr>
        <w:t>Q.</w:t>
      </w:r>
      <w:r w:rsidRPr="00C04A68">
        <w:rPr>
          <w:szCs w:val="24"/>
        </w:rPr>
        <w:tab/>
      </w:r>
      <w:r w:rsidR="00D44C99" w:rsidRPr="00D44C99">
        <w:rPr>
          <w:b/>
          <w:szCs w:val="24"/>
        </w:rPr>
        <w:t xml:space="preserve">Do </w:t>
      </w:r>
      <w:r w:rsidR="000307C0" w:rsidRPr="00D44C99">
        <w:rPr>
          <w:b/>
          <w:szCs w:val="24"/>
        </w:rPr>
        <w:t>PacifiCorp’s</w:t>
      </w:r>
      <w:r w:rsidRPr="00D44C99">
        <w:rPr>
          <w:b/>
          <w:szCs w:val="24"/>
        </w:rPr>
        <w:t xml:space="preserve"> current credit ratings benefit customers?</w:t>
      </w:r>
    </w:p>
    <w:p w:rsidR="003D655E" w:rsidRDefault="003D655E" w:rsidP="00BB620A">
      <w:pPr>
        <w:spacing w:line="480" w:lineRule="auto"/>
        <w:ind w:left="720" w:hanging="720"/>
        <w:rPr>
          <w:szCs w:val="24"/>
        </w:rPr>
      </w:pPr>
      <w:r w:rsidRPr="00C04A68">
        <w:rPr>
          <w:szCs w:val="24"/>
        </w:rPr>
        <w:t>A.</w:t>
      </w:r>
      <w:r w:rsidRPr="00C04A68">
        <w:rPr>
          <w:szCs w:val="24"/>
        </w:rPr>
        <w:tab/>
      </w:r>
      <w:r w:rsidR="00F3556C">
        <w:rPr>
          <w:szCs w:val="24"/>
        </w:rPr>
        <w:t xml:space="preserve">Yes.  </w:t>
      </w:r>
      <w:r w:rsidRPr="00C04A68">
        <w:rPr>
          <w:szCs w:val="24"/>
        </w:rPr>
        <w:t xml:space="preserve">The Company is in the </w:t>
      </w:r>
      <w:r w:rsidR="00FB354A">
        <w:rPr>
          <w:szCs w:val="24"/>
        </w:rPr>
        <w:t xml:space="preserve">process of completing significant new plant investments that span multiple years.  These </w:t>
      </w:r>
      <w:r w:rsidR="00482258">
        <w:rPr>
          <w:szCs w:val="24"/>
        </w:rPr>
        <w:t>investments</w:t>
      </w:r>
      <w:r w:rsidR="00FB354A">
        <w:rPr>
          <w:szCs w:val="24"/>
        </w:rPr>
        <w:t xml:space="preserve"> include required pollution control equipment, transmission facilities</w:t>
      </w:r>
      <w:r w:rsidR="00A7292A">
        <w:rPr>
          <w:szCs w:val="24"/>
        </w:rPr>
        <w:t>,</w:t>
      </w:r>
      <w:r w:rsidR="00FB354A">
        <w:rPr>
          <w:szCs w:val="24"/>
        </w:rPr>
        <w:t xml:space="preserve"> and other capital investments to properly maintain </w:t>
      </w:r>
      <w:r w:rsidR="00FB354A">
        <w:rPr>
          <w:szCs w:val="24"/>
        </w:rPr>
        <w:lastRenderedPageBreak/>
        <w:t>the existing infrastructure.  These investments support system reliability, improve power delivery</w:t>
      </w:r>
      <w:r w:rsidR="00A7292A">
        <w:rPr>
          <w:szCs w:val="24"/>
        </w:rPr>
        <w:t>,</w:t>
      </w:r>
      <w:r w:rsidR="00FB354A">
        <w:rPr>
          <w:szCs w:val="24"/>
        </w:rPr>
        <w:t xml:space="preserve"> and help to </w:t>
      </w:r>
      <w:r w:rsidR="00A7292A">
        <w:rPr>
          <w:szCs w:val="24"/>
        </w:rPr>
        <w:t>ensure</w:t>
      </w:r>
      <w:r w:rsidR="00FB354A">
        <w:rPr>
          <w:szCs w:val="24"/>
        </w:rPr>
        <w:t xml:space="preserve"> safe operation for the benefit of customers</w:t>
      </w:r>
      <w:r w:rsidRPr="00C04A68">
        <w:rPr>
          <w:szCs w:val="24"/>
        </w:rPr>
        <w:t xml:space="preserve"> and meet regula</w:t>
      </w:r>
      <w:r w:rsidR="000C2349">
        <w:rPr>
          <w:szCs w:val="24"/>
        </w:rPr>
        <w:t>tory and legislative mandates.</w:t>
      </w:r>
      <w:r w:rsidR="00F80CEA">
        <w:rPr>
          <w:szCs w:val="24"/>
        </w:rPr>
        <w:t xml:space="preserve"> </w:t>
      </w:r>
      <w:r w:rsidR="000C2349">
        <w:rPr>
          <w:szCs w:val="24"/>
        </w:rPr>
        <w:t xml:space="preserve"> </w:t>
      </w:r>
      <w:r w:rsidRPr="00C04A68">
        <w:rPr>
          <w:szCs w:val="24"/>
        </w:rPr>
        <w:t xml:space="preserve">If </w:t>
      </w:r>
      <w:r w:rsidR="008C07E8">
        <w:rPr>
          <w:szCs w:val="24"/>
        </w:rPr>
        <w:t xml:space="preserve">the Company </w:t>
      </w:r>
      <w:r w:rsidRPr="00C04A68">
        <w:rPr>
          <w:szCs w:val="24"/>
        </w:rPr>
        <w:t>does not have consistent access to the capital markets at reasonable costs, these borr</w:t>
      </w:r>
      <w:r w:rsidR="00F70CBB">
        <w:rPr>
          <w:szCs w:val="24"/>
        </w:rPr>
        <w:t>owings and the resulting costs to build</w:t>
      </w:r>
      <w:r w:rsidRPr="00C04A68">
        <w:rPr>
          <w:szCs w:val="24"/>
        </w:rPr>
        <w:t xml:space="preserve"> new </w:t>
      </w:r>
      <w:r w:rsidR="00FB354A">
        <w:rPr>
          <w:szCs w:val="24"/>
        </w:rPr>
        <w:t xml:space="preserve">and maintain existing </w:t>
      </w:r>
      <w:r w:rsidRPr="00C04A68">
        <w:rPr>
          <w:szCs w:val="24"/>
        </w:rPr>
        <w:t>facilities become more expensive</w:t>
      </w:r>
      <w:r w:rsidR="000C2349">
        <w:rPr>
          <w:szCs w:val="24"/>
        </w:rPr>
        <w:t xml:space="preserve"> than they otherwise would be. </w:t>
      </w:r>
      <w:r w:rsidR="00F80CEA">
        <w:rPr>
          <w:szCs w:val="24"/>
        </w:rPr>
        <w:t xml:space="preserve"> </w:t>
      </w:r>
      <w:r w:rsidRPr="00C04A68">
        <w:rPr>
          <w:szCs w:val="24"/>
        </w:rPr>
        <w:t>All of the resulting higher costs are ulti</w:t>
      </w:r>
      <w:r w:rsidR="00A7292A">
        <w:rPr>
          <w:szCs w:val="24"/>
        </w:rPr>
        <w:t xml:space="preserve">mately borne by </w:t>
      </w:r>
      <w:r w:rsidR="000C2349">
        <w:rPr>
          <w:szCs w:val="24"/>
        </w:rPr>
        <w:t xml:space="preserve">customers. </w:t>
      </w:r>
      <w:r w:rsidR="00F80CEA">
        <w:rPr>
          <w:szCs w:val="24"/>
        </w:rPr>
        <w:t xml:space="preserve"> </w:t>
      </w:r>
      <w:r w:rsidRPr="00C04A68">
        <w:rPr>
          <w:szCs w:val="24"/>
        </w:rPr>
        <w:t xml:space="preserve">Maintaining the current credit rating for senior secured debt makes it more likely </w:t>
      </w:r>
      <w:r w:rsidR="00965486">
        <w:rPr>
          <w:szCs w:val="24"/>
        </w:rPr>
        <w:t xml:space="preserve">that </w:t>
      </w:r>
      <w:r w:rsidR="008C07E8">
        <w:rPr>
          <w:szCs w:val="24"/>
        </w:rPr>
        <w:t>the Company</w:t>
      </w:r>
      <w:r w:rsidRPr="00C04A68">
        <w:rPr>
          <w:szCs w:val="24"/>
        </w:rPr>
        <w:t xml:space="preserve"> will have access to the capit</w:t>
      </w:r>
      <w:r w:rsidR="00A7292A">
        <w:rPr>
          <w:szCs w:val="24"/>
        </w:rPr>
        <w:t>al markets at reasonable costs</w:t>
      </w:r>
      <w:r w:rsidRPr="00C04A68">
        <w:rPr>
          <w:szCs w:val="24"/>
        </w:rPr>
        <w:t xml:space="preserve"> even during periods </w:t>
      </w:r>
      <w:r w:rsidR="000C2349">
        <w:rPr>
          <w:szCs w:val="24"/>
        </w:rPr>
        <w:t xml:space="preserve">of financial turmoil. </w:t>
      </w:r>
      <w:r w:rsidR="00F80CEA">
        <w:rPr>
          <w:szCs w:val="24"/>
        </w:rPr>
        <w:t xml:space="preserve"> </w:t>
      </w:r>
      <w:r w:rsidRPr="00C04A68">
        <w:rPr>
          <w:szCs w:val="24"/>
        </w:rPr>
        <w:t>This rating will allow</w:t>
      </w:r>
      <w:r w:rsidR="008C07E8">
        <w:rPr>
          <w:szCs w:val="24"/>
        </w:rPr>
        <w:t xml:space="preserve"> the Company</w:t>
      </w:r>
      <w:r w:rsidRPr="00C04A68">
        <w:rPr>
          <w:szCs w:val="24"/>
        </w:rPr>
        <w:t xml:space="preserve"> continued access to the capital markets, which will enable it to fulfill its capital investments for the benefit of customers.</w:t>
      </w:r>
    </w:p>
    <w:p w:rsidR="00F445F1" w:rsidRDefault="00F445F1" w:rsidP="00BB620A">
      <w:pPr>
        <w:spacing w:line="480" w:lineRule="auto"/>
        <w:ind w:left="720" w:hanging="720"/>
        <w:rPr>
          <w:szCs w:val="24"/>
        </w:rPr>
      </w:pPr>
      <w:r w:rsidRPr="00C04A68">
        <w:rPr>
          <w:b/>
          <w:szCs w:val="24"/>
        </w:rPr>
        <w:t>Q.</w:t>
      </w:r>
      <w:r w:rsidRPr="00C04A68">
        <w:rPr>
          <w:szCs w:val="24"/>
        </w:rPr>
        <w:tab/>
      </w:r>
      <w:r w:rsidRPr="00F3556C">
        <w:rPr>
          <w:b/>
          <w:szCs w:val="24"/>
        </w:rPr>
        <w:t>Are the</w:t>
      </w:r>
      <w:r>
        <w:rPr>
          <w:b/>
          <w:szCs w:val="24"/>
        </w:rPr>
        <w:t xml:space="preserve"> Company’s current credit ratings similar to those in effect when you filed testimony in the Company’s 2014 Rate Case</w:t>
      </w:r>
      <w:r w:rsidRPr="00C04A68">
        <w:rPr>
          <w:b/>
          <w:szCs w:val="24"/>
        </w:rPr>
        <w:t>?</w:t>
      </w:r>
    </w:p>
    <w:p w:rsidR="00F445F1" w:rsidRDefault="00F445F1" w:rsidP="00BB620A">
      <w:pPr>
        <w:spacing w:line="480" w:lineRule="auto"/>
        <w:ind w:left="720" w:hanging="720"/>
        <w:rPr>
          <w:b/>
          <w:szCs w:val="24"/>
        </w:rPr>
      </w:pPr>
      <w:r w:rsidRPr="00C04A68">
        <w:rPr>
          <w:szCs w:val="24"/>
        </w:rPr>
        <w:t>A.</w:t>
      </w:r>
      <w:r>
        <w:rPr>
          <w:szCs w:val="24"/>
        </w:rPr>
        <w:tab/>
        <w:t>Yes.  While Fitch has upgraded the Company by one notch, Moody’s and Standard &amp; Poor’s have not changed their credit ratings.  These credit rating are substantially similar to the 2014 Rate Case credit ratings.  I have attached the most recent credit rating reports as exhibits to my supplemental direct testimony.</w:t>
      </w:r>
    </w:p>
    <w:p w:rsidR="003D655E" w:rsidRPr="00C04A68" w:rsidRDefault="003D655E" w:rsidP="00BB620A">
      <w:pPr>
        <w:spacing w:line="480" w:lineRule="auto"/>
        <w:ind w:left="720" w:hanging="720"/>
        <w:rPr>
          <w:szCs w:val="24"/>
        </w:rPr>
      </w:pPr>
      <w:r w:rsidRPr="00C04A68">
        <w:rPr>
          <w:b/>
          <w:szCs w:val="24"/>
        </w:rPr>
        <w:t>Q.</w:t>
      </w:r>
      <w:r w:rsidRPr="00C04A68">
        <w:rPr>
          <w:szCs w:val="24"/>
        </w:rPr>
        <w:tab/>
      </w:r>
      <w:r w:rsidRPr="00C04A68">
        <w:rPr>
          <w:b/>
          <w:szCs w:val="24"/>
        </w:rPr>
        <w:t xml:space="preserve">Does this conclude your </w:t>
      </w:r>
      <w:r w:rsidR="00CA2CCB">
        <w:rPr>
          <w:b/>
          <w:szCs w:val="24"/>
        </w:rPr>
        <w:t xml:space="preserve">supplemental </w:t>
      </w:r>
      <w:r w:rsidRPr="00C04A68">
        <w:rPr>
          <w:b/>
          <w:szCs w:val="24"/>
        </w:rPr>
        <w:t>direct testimony?</w:t>
      </w:r>
    </w:p>
    <w:p w:rsidR="00F30D60" w:rsidRPr="00052DCF" w:rsidRDefault="003D655E" w:rsidP="00BB620A">
      <w:pPr>
        <w:spacing w:line="480" w:lineRule="auto"/>
        <w:rPr>
          <w:szCs w:val="24"/>
        </w:rPr>
      </w:pPr>
      <w:r w:rsidRPr="00C04A68">
        <w:rPr>
          <w:szCs w:val="24"/>
        </w:rPr>
        <w:t>A.</w:t>
      </w:r>
      <w:r w:rsidRPr="00C04A68">
        <w:rPr>
          <w:szCs w:val="24"/>
        </w:rPr>
        <w:tab/>
        <w:t>Yes.</w:t>
      </w:r>
    </w:p>
    <w:sectPr w:rsidR="00F30D60" w:rsidRPr="00052DCF" w:rsidSect="00C62969">
      <w:pgSz w:w="12240" w:h="15840" w:code="1"/>
      <w:pgMar w:top="1440" w:right="1440" w:bottom="1440" w:left="1800" w:header="720" w:footer="720" w:gutter="0"/>
      <w:lnNumType w:countBy="1"/>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22F" w:rsidRDefault="009A022F" w:rsidP="00E80EC8">
      <w:r>
        <w:separator/>
      </w:r>
    </w:p>
  </w:endnote>
  <w:endnote w:type="continuationSeparator" w:id="0">
    <w:p w:rsidR="009A022F" w:rsidRDefault="009A022F" w:rsidP="00E8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47" w:rsidRDefault="00F53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1328"/>
      <w:docPartObj>
        <w:docPartGallery w:val="Page Numbers (Bottom of Page)"/>
        <w:docPartUnique/>
      </w:docPartObj>
    </w:sdtPr>
    <w:sdtEndPr>
      <w:rPr>
        <w:noProof/>
      </w:rPr>
    </w:sdtEndPr>
    <w:sdtContent>
      <w:p w:rsidR="00C62969" w:rsidRDefault="00C62969">
        <w:pPr>
          <w:pStyle w:val="Footer"/>
        </w:pPr>
        <w:r>
          <w:t xml:space="preserve">Supplemental </w:t>
        </w:r>
        <w:r w:rsidR="00286EDB">
          <w:t xml:space="preserve">Direct Testimony of Bruce N. Williams </w:t>
        </w:r>
        <w:r>
          <w:tab/>
          <w:t>Exhibit No. BNW-1T</w:t>
        </w:r>
      </w:p>
      <w:p w:rsidR="00392E95" w:rsidRDefault="00C62969" w:rsidP="00C62969">
        <w:pPr>
          <w:pStyle w:val="Footer"/>
        </w:pPr>
        <w:r>
          <w:tab/>
        </w:r>
        <w:r>
          <w:tab/>
          <w:t xml:space="preserve">Page </w:t>
        </w:r>
        <w:r>
          <w:fldChar w:fldCharType="begin"/>
        </w:r>
        <w:r>
          <w:instrText xml:space="preserve"> PAGE   \* MERGEFORMAT </w:instrText>
        </w:r>
        <w:r>
          <w:fldChar w:fldCharType="separate"/>
        </w:r>
        <w:r w:rsidR="00F53C47">
          <w:rPr>
            <w:noProof/>
          </w:rPr>
          <w:t>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47" w:rsidRDefault="00F53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22F" w:rsidRDefault="009A022F" w:rsidP="00E80EC8">
      <w:r>
        <w:separator/>
      </w:r>
    </w:p>
  </w:footnote>
  <w:footnote w:type="continuationSeparator" w:id="0">
    <w:p w:rsidR="009A022F" w:rsidRDefault="009A022F" w:rsidP="00E80EC8">
      <w:r>
        <w:continuationSeparator/>
      </w:r>
    </w:p>
  </w:footnote>
  <w:footnote w:id="1">
    <w:p w:rsidR="00392E95" w:rsidRPr="004539C3" w:rsidRDefault="00392E95" w:rsidP="0056382E">
      <w:pPr>
        <w:pStyle w:val="FootnoteText"/>
      </w:pPr>
      <w:r w:rsidRPr="00A95284">
        <w:rPr>
          <w:rStyle w:val="FootnoteReference"/>
        </w:rPr>
        <w:footnoteRef/>
      </w:r>
      <w:r w:rsidRPr="004539C3">
        <w:rPr>
          <w:i/>
        </w:rPr>
        <w:t xml:space="preserve"> </w:t>
      </w:r>
      <w:r>
        <w:rPr>
          <w:i/>
        </w:rPr>
        <w:t>Wash. Utils. &amp; Transp. Comm’n</w:t>
      </w:r>
      <w:r w:rsidRPr="00A95284">
        <w:rPr>
          <w:i/>
        </w:rPr>
        <w:t xml:space="preserve"> v. Pacific Power &amp; Light Co.</w:t>
      </w:r>
      <w:r w:rsidRPr="00A95284">
        <w:t xml:space="preserve">, Dockets UE-140762 </w:t>
      </w:r>
      <w:r w:rsidRPr="00A95284">
        <w:rPr>
          <w:i/>
        </w:rPr>
        <w:t>et al.</w:t>
      </w:r>
      <w:r w:rsidRPr="00A95284">
        <w:t>, Order 08 at 77</w:t>
      </w:r>
      <w:r>
        <w:t>-78</w:t>
      </w:r>
      <w:r w:rsidRPr="00A95284">
        <w:t>, ¶</w:t>
      </w:r>
      <w:r>
        <w:t xml:space="preserve"> </w:t>
      </w:r>
      <w:r w:rsidRPr="00A95284">
        <w:t>18</w:t>
      </w:r>
      <w:r>
        <w:t>3</w:t>
      </w:r>
      <w:r w:rsidRPr="00A95284">
        <w:t xml:space="preserve"> (Mar. 25, 2015).  </w:t>
      </w:r>
    </w:p>
  </w:footnote>
  <w:footnote w:id="2">
    <w:p w:rsidR="00392E95" w:rsidRDefault="00392E95">
      <w:pPr>
        <w:pStyle w:val="FootnoteText"/>
      </w:pPr>
      <w:r>
        <w:rPr>
          <w:rStyle w:val="FootnoteReference"/>
        </w:rPr>
        <w:footnoteRef/>
      </w:r>
      <w:r>
        <w:t xml:space="preserve"> Fitch Ratings, November 24, 2015.  Attached as Exhibit No.</w:t>
      </w:r>
      <w:r w:rsidR="00A14E9A">
        <w:t xml:space="preserve"> </w:t>
      </w:r>
      <w:r>
        <w:t>BNW-2</w:t>
      </w:r>
      <w:r w:rsidR="00C6296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47" w:rsidRDefault="00F53C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95" w:rsidRDefault="00392E95" w:rsidP="00BE3931">
    <w:pPr>
      <w:spacing w:line="288" w:lineRule="aut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47" w:rsidRDefault="00F53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D47"/>
    <w:multiLevelType w:val="hybridMultilevel"/>
    <w:tmpl w:val="4B3C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43778"/>
    <w:multiLevelType w:val="hybridMultilevel"/>
    <w:tmpl w:val="69EE6FE2"/>
    <w:lvl w:ilvl="0" w:tplc="4C829A98">
      <w:start w:val="1"/>
      <w:numFmt w:val="upperLetter"/>
      <w:lvlText w:val="%1."/>
      <w:lvlJc w:val="left"/>
      <w:pPr>
        <w:tabs>
          <w:tab w:val="num" w:pos="7560"/>
        </w:tabs>
        <w:ind w:hanging="360"/>
      </w:pPr>
      <w:rPr>
        <w:rFonts w:cs="Times New Roman" w:hint="default"/>
      </w:rPr>
    </w:lvl>
    <w:lvl w:ilvl="1" w:tplc="04090019" w:tentative="1">
      <w:start w:val="1"/>
      <w:numFmt w:val="lowerLetter"/>
      <w:lvlText w:val="%2."/>
      <w:lvlJc w:val="left"/>
      <w:pPr>
        <w:tabs>
          <w:tab w:val="num" w:pos="8280"/>
        </w:tabs>
        <w:ind w:left="8280" w:hanging="360"/>
      </w:pPr>
      <w:rPr>
        <w:rFonts w:cs="Times New Roman"/>
      </w:rPr>
    </w:lvl>
    <w:lvl w:ilvl="2" w:tplc="0409001B" w:tentative="1">
      <w:start w:val="1"/>
      <w:numFmt w:val="lowerRoman"/>
      <w:lvlText w:val="%3."/>
      <w:lvlJc w:val="right"/>
      <w:pPr>
        <w:tabs>
          <w:tab w:val="num" w:pos="9000"/>
        </w:tabs>
        <w:ind w:left="9000" w:hanging="180"/>
      </w:pPr>
      <w:rPr>
        <w:rFonts w:cs="Times New Roman"/>
      </w:rPr>
    </w:lvl>
    <w:lvl w:ilvl="3" w:tplc="0409000F" w:tentative="1">
      <w:start w:val="1"/>
      <w:numFmt w:val="decimal"/>
      <w:lvlText w:val="%4."/>
      <w:lvlJc w:val="left"/>
      <w:pPr>
        <w:tabs>
          <w:tab w:val="num" w:pos="9720"/>
        </w:tabs>
        <w:ind w:left="9720" w:hanging="360"/>
      </w:pPr>
      <w:rPr>
        <w:rFonts w:cs="Times New Roman"/>
      </w:rPr>
    </w:lvl>
    <w:lvl w:ilvl="4" w:tplc="04090019" w:tentative="1">
      <w:start w:val="1"/>
      <w:numFmt w:val="lowerLetter"/>
      <w:lvlText w:val="%5."/>
      <w:lvlJc w:val="left"/>
      <w:pPr>
        <w:tabs>
          <w:tab w:val="num" w:pos="10440"/>
        </w:tabs>
        <w:ind w:left="10440" w:hanging="360"/>
      </w:pPr>
      <w:rPr>
        <w:rFonts w:cs="Times New Roman"/>
      </w:rPr>
    </w:lvl>
    <w:lvl w:ilvl="5" w:tplc="0409001B" w:tentative="1">
      <w:start w:val="1"/>
      <w:numFmt w:val="lowerRoman"/>
      <w:lvlText w:val="%6."/>
      <w:lvlJc w:val="right"/>
      <w:pPr>
        <w:tabs>
          <w:tab w:val="num" w:pos="11160"/>
        </w:tabs>
        <w:ind w:left="11160" w:hanging="180"/>
      </w:pPr>
      <w:rPr>
        <w:rFonts w:cs="Times New Roman"/>
      </w:rPr>
    </w:lvl>
    <w:lvl w:ilvl="6" w:tplc="0409000F" w:tentative="1">
      <w:start w:val="1"/>
      <w:numFmt w:val="decimal"/>
      <w:lvlText w:val="%7."/>
      <w:lvlJc w:val="left"/>
      <w:pPr>
        <w:tabs>
          <w:tab w:val="num" w:pos="11880"/>
        </w:tabs>
        <w:ind w:left="11880" w:hanging="360"/>
      </w:pPr>
      <w:rPr>
        <w:rFonts w:cs="Times New Roman"/>
      </w:rPr>
    </w:lvl>
    <w:lvl w:ilvl="7" w:tplc="04090019" w:tentative="1">
      <w:start w:val="1"/>
      <w:numFmt w:val="lowerLetter"/>
      <w:lvlText w:val="%8."/>
      <w:lvlJc w:val="left"/>
      <w:pPr>
        <w:tabs>
          <w:tab w:val="num" w:pos="12600"/>
        </w:tabs>
        <w:ind w:left="12600" w:hanging="360"/>
      </w:pPr>
      <w:rPr>
        <w:rFonts w:cs="Times New Roman"/>
      </w:rPr>
    </w:lvl>
    <w:lvl w:ilvl="8" w:tplc="0409001B" w:tentative="1">
      <w:start w:val="1"/>
      <w:numFmt w:val="lowerRoman"/>
      <w:lvlText w:val="%9."/>
      <w:lvlJc w:val="right"/>
      <w:pPr>
        <w:tabs>
          <w:tab w:val="num" w:pos="13320"/>
        </w:tabs>
        <w:ind w:left="13320" w:hanging="180"/>
      </w:pPr>
      <w:rPr>
        <w:rFonts w:cs="Times New Roman"/>
      </w:rPr>
    </w:lvl>
  </w:abstractNum>
  <w:abstractNum w:abstractNumId="2">
    <w:nsid w:val="22CB729F"/>
    <w:multiLevelType w:val="hybridMultilevel"/>
    <w:tmpl w:val="144E418E"/>
    <w:lvl w:ilvl="0" w:tplc="57C491A0">
      <w:start w:val="1"/>
      <w:numFmt w:val="upperLetter"/>
      <w:lvlText w:val="%1."/>
      <w:lvlJc w:val="left"/>
      <w:pPr>
        <w:ind w:left="720" w:hanging="720"/>
      </w:pPr>
    </w:lvl>
    <w:lvl w:ilvl="1" w:tplc="4DC84328">
      <w:numFmt w:val="decimal"/>
      <w:lvlText w:val=""/>
      <w:lvlJc w:val="left"/>
    </w:lvl>
    <w:lvl w:ilvl="2" w:tplc="E8383F9C">
      <w:numFmt w:val="decimal"/>
      <w:lvlText w:val=""/>
      <w:lvlJc w:val="left"/>
    </w:lvl>
    <w:lvl w:ilvl="3" w:tplc="CFCEC918">
      <w:numFmt w:val="decimal"/>
      <w:lvlText w:val=""/>
      <w:lvlJc w:val="left"/>
    </w:lvl>
    <w:lvl w:ilvl="4" w:tplc="2424C462">
      <w:numFmt w:val="decimal"/>
      <w:lvlText w:val=""/>
      <w:lvlJc w:val="left"/>
    </w:lvl>
    <w:lvl w:ilvl="5" w:tplc="60E49056">
      <w:numFmt w:val="decimal"/>
      <w:lvlText w:val=""/>
      <w:lvlJc w:val="left"/>
    </w:lvl>
    <w:lvl w:ilvl="6" w:tplc="BA722254">
      <w:numFmt w:val="decimal"/>
      <w:lvlText w:val=""/>
      <w:lvlJc w:val="left"/>
    </w:lvl>
    <w:lvl w:ilvl="7" w:tplc="60BA24C4">
      <w:numFmt w:val="decimal"/>
      <w:lvlText w:val=""/>
      <w:lvlJc w:val="left"/>
    </w:lvl>
    <w:lvl w:ilvl="8" w:tplc="D75A1302">
      <w:numFmt w:val="decimal"/>
      <w:lvlText w:val=""/>
      <w:lvlJc w:val="left"/>
    </w:lvl>
  </w:abstractNum>
  <w:abstractNum w:abstractNumId="3">
    <w:nsid w:val="31EA1970"/>
    <w:multiLevelType w:val="hybridMultilevel"/>
    <w:tmpl w:val="2CBEE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B1084"/>
    <w:multiLevelType w:val="hybridMultilevel"/>
    <w:tmpl w:val="B60EEA3A"/>
    <w:lvl w:ilvl="0" w:tplc="65FCE430">
      <w:start w:val="1"/>
      <w:numFmt w:val="upperLetter"/>
      <w:lvlText w:val="%1."/>
      <w:lvlJc w:val="left"/>
      <w:pPr>
        <w:ind w:left="720" w:hanging="720"/>
      </w:pPr>
    </w:lvl>
    <w:lvl w:ilvl="1" w:tplc="83DE60C8">
      <w:numFmt w:val="decimal"/>
      <w:lvlText w:val=""/>
      <w:lvlJc w:val="left"/>
    </w:lvl>
    <w:lvl w:ilvl="2" w:tplc="6A802A24">
      <w:numFmt w:val="decimal"/>
      <w:lvlText w:val=""/>
      <w:lvlJc w:val="left"/>
    </w:lvl>
    <w:lvl w:ilvl="3" w:tplc="1ED053B2">
      <w:numFmt w:val="decimal"/>
      <w:lvlText w:val=""/>
      <w:lvlJc w:val="left"/>
    </w:lvl>
    <w:lvl w:ilvl="4" w:tplc="607E2822">
      <w:numFmt w:val="decimal"/>
      <w:lvlText w:val=""/>
      <w:lvlJc w:val="left"/>
    </w:lvl>
    <w:lvl w:ilvl="5" w:tplc="19D42CD2">
      <w:numFmt w:val="decimal"/>
      <w:lvlText w:val=""/>
      <w:lvlJc w:val="left"/>
    </w:lvl>
    <w:lvl w:ilvl="6" w:tplc="C5E44D04">
      <w:numFmt w:val="decimal"/>
      <w:lvlText w:val=""/>
      <w:lvlJc w:val="left"/>
    </w:lvl>
    <w:lvl w:ilvl="7" w:tplc="237CA3BE">
      <w:numFmt w:val="decimal"/>
      <w:lvlText w:val=""/>
      <w:lvlJc w:val="left"/>
    </w:lvl>
    <w:lvl w:ilvl="8" w:tplc="2912E6B8">
      <w:numFmt w:val="decimal"/>
      <w:lvlText w:val=""/>
      <w:lvlJc w:val="left"/>
    </w:lvl>
  </w:abstractNum>
  <w:abstractNum w:abstractNumId="5">
    <w:nsid w:val="47F00C44"/>
    <w:multiLevelType w:val="hybridMultilevel"/>
    <w:tmpl w:val="9056AE24"/>
    <w:lvl w:ilvl="0" w:tplc="3B20B310">
      <w:start w:val="1"/>
      <w:numFmt w:val="upperLetter"/>
      <w:lvlText w:val="%1."/>
      <w:lvlJc w:val="left"/>
      <w:pPr>
        <w:ind w:left="720" w:hanging="720"/>
      </w:pPr>
    </w:lvl>
    <w:lvl w:ilvl="1" w:tplc="0494FD6C">
      <w:numFmt w:val="decimal"/>
      <w:lvlText w:val=""/>
      <w:lvlJc w:val="left"/>
    </w:lvl>
    <w:lvl w:ilvl="2" w:tplc="AC5A72F2">
      <w:numFmt w:val="decimal"/>
      <w:lvlText w:val=""/>
      <w:lvlJc w:val="left"/>
    </w:lvl>
    <w:lvl w:ilvl="3" w:tplc="50BEFD3E">
      <w:numFmt w:val="decimal"/>
      <w:lvlText w:val=""/>
      <w:lvlJc w:val="left"/>
    </w:lvl>
    <w:lvl w:ilvl="4" w:tplc="E93EA09C">
      <w:numFmt w:val="decimal"/>
      <w:lvlText w:val=""/>
      <w:lvlJc w:val="left"/>
    </w:lvl>
    <w:lvl w:ilvl="5" w:tplc="3094E768">
      <w:numFmt w:val="decimal"/>
      <w:lvlText w:val=""/>
      <w:lvlJc w:val="left"/>
    </w:lvl>
    <w:lvl w:ilvl="6" w:tplc="37C87FFA">
      <w:numFmt w:val="decimal"/>
      <w:lvlText w:val=""/>
      <w:lvlJc w:val="left"/>
    </w:lvl>
    <w:lvl w:ilvl="7" w:tplc="07AE22E2">
      <w:numFmt w:val="decimal"/>
      <w:lvlText w:val=""/>
      <w:lvlJc w:val="left"/>
    </w:lvl>
    <w:lvl w:ilvl="8" w:tplc="AAF05B96">
      <w:numFmt w:val="decimal"/>
      <w:lvlText w:val=""/>
      <w:lvlJc w:val="left"/>
    </w:lvl>
  </w:abstractNum>
  <w:abstractNum w:abstractNumId="6">
    <w:nsid w:val="533267D5"/>
    <w:multiLevelType w:val="hybridMultilevel"/>
    <w:tmpl w:val="4F62F8BE"/>
    <w:lvl w:ilvl="0" w:tplc="58FE6844">
      <w:start w:val="1"/>
      <w:numFmt w:val="upperLetter"/>
      <w:lvlText w:val="%1."/>
      <w:lvlJc w:val="left"/>
      <w:pPr>
        <w:ind w:left="720" w:hanging="720"/>
      </w:pPr>
    </w:lvl>
    <w:lvl w:ilvl="1" w:tplc="5DC4BFB0">
      <w:numFmt w:val="decimal"/>
      <w:lvlText w:val=""/>
      <w:lvlJc w:val="left"/>
    </w:lvl>
    <w:lvl w:ilvl="2" w:tplc="72F6AA9C">
      <w:numFmt w:val="decimal"/>
      <w:lvlText w:val=""/>
      <w:lvlJc w:val="left"/>
    </w:lvl>
    <w:lvl w:ilvl="3" w:tplc="D2B4CB7E">
      <w:numFmt w:val="decimal"/>
      <w:lvlText w:val=""/>
      <w:lvlJc w:val="left"/>
    </w:lvl>
    <w:lvl w:ilvl="4" w:tplc="5FC0DDBC">
      <w:numFmt w:val="decimal"/>
      <w:lvlText w:val=""/>
      <w:lvlJc w:val="left"/>
    </w:lvl>
    <w:lvl w:ilvl="5" w:tplc="17FC77B4">
      <w:numFmt w:val="decimal"/>
      <w:lvlText w:val=""/>
      <w:lvlJc w:val="left"/>
    </w:lvl>
    <w:lvl w:ilvl="6" w:tplc="D15A26A8">
      <w:numFmt w:val="decimal"/>
      <w:lvlText w:val=""/>
      <w:lvlJc w:val="left"/>
    </w:lvl>
    <w:lvl w:ilvl="7" w:tplc="6AA6E058">
      <w:numFmt w:val="decimal"/>
      <w:lvlText w:val=""/>
      <w:lvlJc w:val="left"/>
    </w:lvl>
    <w:lvl w:ilvl="8" w:tplc="40345FB8">
      <w:numFmt w:val="decimal"/>
      <w:lvlText w:val=""/>
      <w:lvlJc w:val="left"/>
    </w:lvl>
  </w:abstractNum>
  <w:abstractNum w:abstractNumId="7">
    <w:nsid w:val="65FD5655"/>
    <w:multiLevelType w:val="hybridMultilevel"/>
    <w:tmpl w:val="91DE574E"/>
    <w:lvl w:ilvl="0" w:tplc="CC0445D2">
      <w:start w:val="1"/>
      <w:numFmt w:val="upperLetter"/>
      <w:lvlText w:val="%1."/>
      <w:lvlJc w:val="left"/>
      <w:pPr>
        <w:ind w:left="720" w:hanging="820"/>
      </w:pPr>
    </w:lvl>
    <w:lvl w:ilvl="1" w:tplc="F77605BE">
      <w:numFmt w:val="decimal"/>
      <w:lvlText w:val=""/>
      <w:lvlJc w:val="left"/>
    </w:lvl>
    <w:lvl w:ilvl="2" w:tplc="882EBD8C">
      <w:numFmt w:val="decimal"/>
      <w:lvlText w:val=""/>
      <w:lvlJc w:val="left"/>
    </w:lvl>
    <w:lvl w:ilvl="3" w:tplc="169842BC">
      <w:numFmt w:val="decimal"/>
      <w:lvlText w:val=""/>
      <w:lvlJc w:val="left"/>
    </w:lvl>
    <w:lvl w:ilvl="4" w:tplc="A3DE0C6C">
      <w:numFmt w:val="decimal"/>
      <w:lvlText w:val=""/>
      <w:lvlJc w:val="left"/>
    </w:lvl>
    <w:lvl w:ilvl="5" w:tplc="D7CE9F9C">
      <w:numFmt w:val="decimal"/>
      <w:lvlText w:val=""/>
      <w:lvlJc w:val="left"/>
    </w:lvl>
    <w:lvl w:ilvl="6" w:tplc="A77E3502">
      <w:numFmt w:val="decimal"/>
      <w:lvlText w:val=""/>
      <w:lvlJc w:val="left"/>
    </w:lvl>
    <w:lvl w:ilvl="7" w:tplc="DE36467A">
      <w:numFmt w:val="decimal"/>
      <w:lvlText w:val=""/>
      <w:lvlJc w:val="left"/>
    </w:lvl>
    <w:lvl w:ilvl="8" w:tplc="0496491A">
      <w:numFmt w:val="decimal"/>
      <w:lvlText w:val=""/>
      <w:lvlJc w:val="left"/>
    </w:lvl>
  </w:abstractNum>
  <w:abstractNum w:abstractNumId="8">
    <w:nsid w:val="699A7F0E"/>
    <w:multiLevelType w:val="hybridMultilevel"/>
    <w:tmpl w:val="0248E67E"/>
    <w:lvl w:ilvl="0" w:tplc="FB766882">
      <w:start w:val="1"/>
      <w:numFmt w:val="upperLetter"/>
      <w:lvlText w:val="%1."/>
      <w:lvlJc w:val="left"/>
      <w:pPr>
        <w:ind w:left="720" w:hanging="720"/>
      </w:pPr>
    </w:lvl>
    <w:lvl w:ilvl="1" w:tplc="CDE683E4">
      <w:numFmt w:val="decimal"/>
      <w:lvlText w:val=""/>
      <w:lvlJc w:val="left"/>
    </w:lvl>
    <w:lvl w:ilvl="2" w:tplc="27323736">
      <w:numFmt w:val="decimal"/>
      <w:lvlText w:val=""/>
      <w:lvlJc w:val="left"/>
    </w:lvl>
    <w:lvl w:ilvl="3" w:tplc="9E141162">
      <w:numFmt w:val="decimal"/>
      <w:lvlText w:val=""/>
      <w:lvlJc w:val="left"/>
    </w:lvl>
    <w:lvl w:ilvl="4" w:tplc="249833DA">
      <w:numFmt w:val="decimal"/>
      <w:lvlText w:val=""/>
      <w:lvlJc w:val="left"/>
    </w:lvl>
    <w:lvl w:ilvl="5" w:tplc="930219FC">
      <w:numFmt w:val="decimal"/>
      <w:lvlText w:val=""/>
      <w:lvlJc w:val="left"/>
    </w:lvl>
    <w:lvl w:ilvl="6" w:tplc="360485E2">
      <w:numFmt w:val="decimal"/>
      <w:lvlText w:val=""/>
      <w:lvlJc w:val="left"/>
    </w:lvl>
    <w:lvl w:ilvl="7" w:tplc="8D7C6A5A">
      <w:numFmt w:val="decimal"/>
      <w:lvlText w:val=""/>
      <w:lvlJc w:val="left"/>
    </w:lvl>
    <w:lvl w:ilvl="8" w:tplc="616E4FF4">
      <w:numFmt w:val="decimal"/>
      <w:lvlText w:val=""/>
      <w:lvlJc w:val="left"/>
    </w:lvl>
  </w:abstractNum>
  <w:abstractNum w:abstractNumId="9">
    <w:nsid w:val="6FAD10A6"/>
    <w:multiLevelType w:val="hybridMultilevel"/>
    <w:tmpl w:val="DBA4C18A"/>
    <w:lvl w:ilvl="0" w:tplc="64C0AB30">
      <w:start w:val="1"/>
      <w:numFmt w:val="upperLetter"/>
      <w:lvlText w:val="%1."/>
      <w:lvlJc w:val="left"/>
      <w:pPr>
        <w:ind w:left="720" w:hanging="720"/>
      </w:pPr>
    </w:lvl>
    <w:lvl w:ilvl="1" w:tplc="C632FDE6">
      <w:numFmt w:val="decimal"/>
      <w:lvlText w:val=""/>
      <w:lvlJc w:val="left"/>
    </w:lvl>
    <w:lvl w:ilvl="2" w:tplc="27C63540">
      <w:numFmt w:val="decimal"/>
      <w:lvlText w:val=""/>
      <w:lvlJc w:val="left"/>
    </w:lvl>
    <w:lvl w:ilvl="3" w:tplc="4F34EBFE">
      <w:numFmt w:val="decimal"/>
      <w:lvlText w:val=""/>
      <w:lvlJc w:val="left"/>
    </w:lvl>
    <w:lvl w:ilvl="4" w:tplc="17C0987A">
      <w:numFmt w:val="decimal"/>
      <w:lvlText w:val=""/>
      <w:lvlJc w:val="left"/>
    </w:lvl>
    <w:lvl w:ilvl="5" w:tplc="FE8A80E8">
      <w:numFmt w:val="decimal"/>
      <w:lvlText w:val=""/>
      <w:lvlJc w:val="left"/>
    </w:lvl>
    <w:lvl w:ilvl="6" w:tplc="D0B44426">
      <w:numFmt w:val="decimal"/>
      <w:lvlText w:val=""/>
      <w:lvlJc w:val="left"/>
    </w:lvl>
    <w:lvl w:ilvl="7" w:tplc="DD9AE828">
      <w:numFmt w:val="decimal"/>
      <w:lvlText w:val=""/>
      <w:lvlJc w:val="left"/>
    </w:lvl>
    <w:lvl w:ilvl="8" w:tplc="E0A24FB4">
      <w:numFmt w:val="decimal"/>
      <w:lvlText w:val=""/>
      <w:lvlJc w:val="left"/>
    </w:lvl>
  </w:abstractNum>
  <w:num w:numId="1">
    <w:abstractNumId w:val="5"/>
  </w:num>
  <w:num w:numId="2">
    <w:abstractNumId w:val="9"/>
  </w:num>
  <w:num w:numId="3">
    <w:abstractNumId w:val="2"/>
  </w:num>
  <w:num w:numId="4">
    <w:abstractNumId w:val="6"/>
  </w:num>
  <w:num w:numId="5">
    <w:abstractNumId w:val="4"/>
  </w:num>
  <w:num w:numId="6">
    <w:abstractNumId w:val="8"/>
  </w:num>
  <w:num w:numId="7">
    <w:abstractNumId w:val="7"/>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5E"/>
    <w:rsid w:val="00013586"/>
    <w:rsid w:val="00014E2D"/>
    <w:rsid w:val="00015B7E"/>
    <w:rsid w:val="000162B0"/>
    <w:rsid w:val="00026C9E"/>
    <w:rsid w:val="00026E94"/>
    <w:rsid w:val="000307C0"/>
    <w:rsid w:val="00034AF3"/>
    <w:rsid w:val="00040D62"/>
    <w:rsid w:val="00044DFF"/>
    <w:rsid w:val="0004637A"/>
    <w:rsid w:val="00052DCF"/>
    <w:rsid w:val="00065CC6"/>
    <w:rsid w:val="000661D8"/>
    <w:rsid w:val="00071CA6"/>
    <w:rsid w:val="00072106"/>
    <w:rsid w:val="00081450"/>
    <w:rsid w:val="00087412"/>
    <w:rsid w:val="00090361"/>
    <w:rsid w:val="0009403B"/>
    <w:rsid w:val="00095F72"/>
    <w:rsid w:val="000C0033"/>
    <w:rsid w:val="000C0939"/>
    <w:rsid w:val="000C2349"/>
    <w:rsid w:val="000C28A3"/>
    <w:rsid w:val="000C6E8A"/>
    <w:rsid w:val="000D6428"/>
    <w:rsid w:val="000D663F"/>
    <w:rsid w:val="000E0593"/>
    <w:rsid w:val="000E0A04"/>
    <w:rsid w:val="000E62A8"/>
    <w:rsid w:val="000F686E"/>
    <w:rsid w:val="00101B15"/>
    <w:rsid w:val="001035AE"/>
    <w:rsid w:val="001039A9"/>
    <w:rsid w:val="001040F8"/>
    <w:rsid w:val="001072D5"/>
    <w:rsid w:val="00132D9A"/>
    <w:rsid w:val="001416FD"/>
    <w:rsid w:val="001463B1"/>
    <w:rsid w:val="001539F4"/>
    <w:rsid w:val="001566B7"/>
    <w:rsid w:val="00156B27"/>
    <w:rsid w:val="00170CBB"/>
    <w:rsid w:val="00187634"/>
    <w:rsid w:val="001924EA"/>
    <w:rsid w:val="001A1FFA"/>
    <w:rsid w:val="001B3CE8"/>
    <w:rsid w:val="001C0923"/>
    <w:rsid w:val="001C3536"/>
    <w:rsid w:val="001C4F1D"/>
    <w:rsid w:val="001E5B0E"/>
    <w:rsid w:val="001F742F"/>
    <w:rsid w:val="00202CB9"/>
    <w:rsid w:val="0022765D"/>
    <w:rsid w:val="00236D0E"/>
    <w:rsid w:val="002371F4"/>
    <w:rsid w:val="00241F82"/>
    <w:rsid w:val="00242C4E"/>
    <w:rsid w:val="00244F1B"/>
    <w:rsid w:val="002530A4"/>
    <w:rsid w:val="0026367E"/>
    <w:rsid w:val="0027144E"/>
    <w:rsid w:val="002777DD"/>
    <w:rsid w:val="00280A53"/>
    <w:rsid w:val="002862D2"/>
    <w:rsid w:val="00286BF2"/>
    <w:rsid w:val="00286EDB"/>
    <w:rsid w:val="002900E6"/>
    <w:rsid w:val="00292F3A"/>
    <w:rsid w:val="00294878"/>
    <w:rsid w:val="002A13F7"/>
    <w:rsid w:val="002A143E"/>
    <w:rsid w:val="002A1B28"/>
    <w:rsid w:val="002A2391"/>
    <w:rsid w:val="002A661E"/>
    <w:rsid w:val="002B076C"/>
    <w:rsid w:val="002B3A90"/>
    <w:rsid w:val="002C38D0"/>
    <w:rsid w:val="002C4F5B"/>
    <w:rsid w:val="002E02FA"/>
    <w:rsid w:val="002E3751"/>
    <w:rsid w:val="002E7D63"/>
    <w:rsid w:val="002E7E4C"/>
    <w:rsid w:val="00302D66"/>
    <w:rsid w:val="00304B61"/>
    <w:rsid w:val="00316661"/>
    <w:rsid w:val="00316F81"/>
    <w:rsid w:val="00320B61"/>
    <w:rsid w:val="00327F73"/>
    <w:rsid w:val="00336AE6"/>
    <w:rsid w:val="003378B4"/>
    <w:rsid w:val="003419C5"/>
    <w:rsid w:val="00351E81"/>
    <w:rsid w:val="00355283"/>
    <w:rsid w:val="00367D03"/>
    <w:rsid w:val="00385C98"/>
    <w:rsid w:val="003874A8"/>
    <w:rsid w:val="00392E95"/>
    <w:rsid w:val="0039563B"/>
    <w:rsid w:val="003A7667"/>
    <w:rsid w:val="003B076F"/>
    <w:rsid w:val="003B106D"/>
    <w:rsid w:val="003B5DB8"/>
    <w:rsid w:val="003D655E"/>
    <w:rsid w:val="003D76BB"/>
    <w:rsid w:val="003F0A87"/>
    <w:rsid w:val="003F2B7D"/>
    <w:rsid w:val="003F36C6"/>
    <w:rsid w:val="003F4377"/>
    <w:rsid w:val="003F4EC0"/>
    <w:rsid w:val="003F5902"/>
    <w:rsid w:val="004024B6"/>
    <w:rsid w:val="00402C58"/>
    <w:rsid w:val="004043B2"/>
    <w:rsid w:val="0040604C"/>
    <w:rsid w:val="0041196F"/>
    <w:rsid w:val="0043313E"/>
    <w:rsid w:val="004379D0"/>
    <w:rsid w:val="0044087C"/>
    <w:rsid w:val="004413E1"/>
    <w:rsid w:val="004451C9"/>
    <w:rsid w:val="004471A2"/>
    <w:rsid w:val="0045372C"/>
    <w:rsid w:val="00461862"/>
    <w:rsid w:val="00461E05"/>
    <w:rsid w:val="004727C0"/>
    <w:rsid w:val="00474509"/>
    <w:rsid w:val="00482258"/>
    <w:rsid w:val="0048565D"/>
    <w:rsid w:val="004915B7"/>
    <w:rsid w:val="004A4A6D"/>
    <w:rsid w:val="004B665D"/>
    <w:rsid w:val="004C62D9"/>
    <w:rsid w:val="004D25DF"/>
    <w:rsid w:val="004D2EBF"/>
    <w:rsid w:val="004E4155"/>
    <w:rsid w:val="004E6305"/>
    <w:rsid w:val="004E6D88"/>
    <w:rsid w:val="004F7BC0"/>
    <w:rsid w:val="00503932"/>
    <w:rsid w:val="00506DBD"/>
    <w:rsid w:val="005116F3"/>
    <w:rsid w:val="00523BCB"/>
    <w:rsid w:val="005253A7"/>
    <w:rsid w:val="00530DBD"/>
    <w:rsid w:val="00530FAD"/>
    <w:rsid w:val="00533646"/>
    <w:rsid w:val="00534BCC"/>
    <w:rsid w:val="0054435C"/>
    <w:rsid w:val="00550458"/>
    <w:rsid w:val="005617D4"/>
    <w:rsid w:val="00562381"/>
    <w:rsid w:val="005629E2"/>
    <w:rsid w:val="0056367B"/>
    <w:rsid w:val="0056382E"/>
    <w:rsid w:val="005A2093"/>
    <w:rsid w:val="005A6662"/>
    <w:rsid w:val="005C21FC"/>
    <w:rsid w:val="005C2B13"/>
    <w:rsid w:val="005C6670"/>
    <w:rsid w:val="005D25ED"/>
    <w:rsid w:val="005E17FA"/>
    <w:rsid w:val="005E2D52"/>
    <w:rsid w:val="005E7C6A"/>
    <w:rsid w:val="005F3560"/>
    <w:rsid w:val="00600EDF"/>
    <w:rsid w:val="00602932"/>
    <w:rsid w:val="00605234"/>
    <w:rsid w:val="00611E82"/>
    <w:rsid w:val="00620C30"/>
    <w:rsid w:val="006241FA"/>
    <w:rsid w:val="00626451"/>
    <w:rsid w:val="00627002"/>
    <w:rsid w:val="00630471"/>
    <w:rsid w:val="0063130E"/>
    <w:rsid w:val="00653D5F"/>
    <w:rsid w:val="006558B1"/>
    <w:rsid w:val="00657106"/>
    <w:rsid w:val="00666A3D"/>
    <w:rsid w:val="00670D93"/>
    <w:rsid w:val="00674810"/>
    <w:rsid w:val="00675121"/>
    <w:rsid w:val="006754F9"/>
    <w:rsid w:val="00681C44"/>
    <w:rsid w:val="006825FC"/>
    <w:rsid w:val="00686C4C"/>
    <w:rsid w:val="00687138"/>
    <w:rsid w:val="0069188F"/>
    <w:rsid w:val="00692FDE"/>
    <w:rsid w:val="00693AAD"/>
    <w:rsid w:val="006A1F3A"/>
    <w:rsid w:val="006B3F38"/>
    <w:rsid w:val="006C1204"/>
    <w:rsid w:val="006C1ACD"/>
    <w:rsid w:val="006C337E"/>
    <w:rsid w:val="006C51D6"/>
    <w:rsid w:val="006D00B1"/>
    <w:rsid w:val="006D4D1B"/>
    <w:rsid w:val="006E3FBF"/>
    <w:rsid w:val="006E45DE"/>
    <w:rsid w:val="006E5CED"/>
    <w:rsid w:val="006F1DEC"/>
    <w:rsid w:val="007007D9"/>
    <w:rsid w:val="0070294E"/>
    <w:rsid w:val="0070314C"/>
    <w:rsid w:val="00705DB3"/>
    <w:rsid w:val="007060C0"/>
    <w:rsid w:val="00707CBE"/>
    <w:rsid w:val="007117DF"/>
    <w:rsid w:val="00712BC3"/>
    <w:rsid w:val="007132D4"/>
    <w:rsid w:val="00715646"/>
    <w:rsid w:val="00716A09"/>
    <w:rsid w:val="00716A14"/>
    <w:rsid w:val="007241D9"/>
    <w:rsid w:val="00727E45"/>
    <w:rsid w:val="00735AC0"/>
    <w:rsid w:val="00741E9D"/>
    <w:rsid w:val="00742E2F"/>
    <w:rsid w:val="00745914"/>
    <w:rsid w:val="00747B35"/>
    <w:rsid w:val="007501D2"/>
    <w:rsid w:val="007529E2"/>
    <w:rsid w:val="007608FB"/>
    <w:rsid w:val="00766F08"/>
    <w:rsid w:val="007703EC"/>
    <w:rsid w:val="00777213"/>
    <w:rsid w:val="007825AB"/>
    <w:rsid w:val="00782DBB"/>
    <w:rsid w:val="0078559D"/>
    <w:rsid w:val="007A1165"/>
    <w:rsid w:val="007A6D61"/>
    <w:rsid w:val="007B3530"/>
    <w:rsid w:val="007B3FBB"/>
    <w:rsid w:val="007B6BA1"/>
    <w:rsid w:val="007D006F"/>
    <w:rsid w:val="007D1503"/>
    <w:rsid w:val="007D7908"/>
    <w:rsid w:val="007E1A3B"/>
    <w:rsid w:val="007E7B3E"/>
    <w:rsid w:val="007F0C64"/>
    <w:rsid w:val="007F279D"/>
    <w:rsid w:val="007F2AC7"/>
    <w:rsid w:val="00801550"/>
    <w:rsid w:val="00801BDF"/>
    <w:rsid w:val="00803F82"/>
    <w:rsid w:val="00810C81"/>
    <w:rsid w:val="00813B54"/>
    <w:rsid w:val="00832DD0"/>
    <w:rsid w:val="00836A20"/>
    <w:rsid w:val="00840457"/>
    <w:rsid w:val="00845E05"/>
    <w:rsid w:val="00854309"/>
    <w:rsid w:val="00857FD7"/>
    <w:rsid w:val="00862809"/>
    <w:rsid w:val="008631B7"/>
    <w:rsid w:val="008802E2"/>
    <w:rsid w:val="00882A93"/>
    <w:rsid w:val="008833DB"/>
    <w:rsid w:val="008859B8"/>
    <w:rsid w:val="00892A63"/>
    <w:rsid w:val="008970C2"/>
    <w:rsid w:val="008A0193"/>
    <w:rsid w:val="008B0C67"/>
    <w:rsid w:val="008B252D"/>
    <w:rsid w:val="008B28E5"/>
    <w:rsid w:val="008B3F35"/>
    <w:rsid w:val="008B4EA7"/>
    <w:rsid w:val="008B6CAE"/>
    <w:rsid w:val="008C07E8"/>
    <w:rsid w:val="008C2801"/>
    <w:rsid w:val="008F6FC5"/>
    <w:rsid w:val="009019B4"/>
    <w:rsid w:val="0090293D"/>
    <w:rsid w:val="00905C52"/>
    <w:rsid w:val="00924289"/>
    <w:rsid w:val="0093118D"/>
    <w:rsid w:val="009349B0"/>
    <w:rsid w:val="00941D5C"/>
    <w:rsid w:val="0094388B"/>
    <w:rsid w:val="00953F61"/>
    <w:rsid w:val="00955131"/>
    <w:rsid w:val="00957CB3"/>
    <w:rsid w:val="00965486"/>
    <w:rsid w:val="00974419"/>
    <w:rsid w:val="00991D23"/>
    <w:rsid w:val="00994DF7"/>
    <w:rsid w:val="009A022F"/>
    <w:rsid w:val="009A123A"/>
    <w:rsid w:val="009A610B"/>
    <w:rsid w:val="009A6E05"/>
    <w:rsid w:val="009B5DD9"/>
    <w:rsid w:val="009C4421"/>
    <w:rsid w:val="009D27F5"/>
    <w:rsid w:val="009E1F64"/>
    <w:rsid w:val="009E3692"/>
    <w:rsid w:val="009E43BC"/>
    <w:rsid w:val="009F31B8"/>
    <w:rsid w:val="00A003EE"/>
    <w:rsid w:val="00A02B1E"/>
    <w:rsid w:val="00A04B63"/>
    <w:rsid w:val="00A139EC"/>
    <w:rsid w:val="00A14E9A"/>
    <w:rsid w:val="00A17440"/>
    <w:rsid w:val="00A274A7"/>
    <w:rsid w:val="00A30E0F"/>
    <w:rsid w:val="00A354DE"/>
    <w:rsid w:val="00A36B7E"/>
    <w:rsid w:val="00A37794"/>
    <w:rsid w:val="00A442C8"/>
    <w:rsid w:val="00A5523E"/>
    <w:rsid w:val="00A56F90"/>
    <w:rsid w:val="00A614E3"/>
    <w:rsid w:val="00A667EB"/>
    <w:rsid w:val="00A7065A"/>
    <w:rsid w:val="00A7292A"/>
    <w:rsid w:val="00A90138"/>
    <w:rsid w:val="00A9550A"/>
    <w:rsid w:val="00A96485"/>
    <w:rsid w:val="00A96CA7"/>
    <w:rsid w:val="00AB2F06"/>
    <w:rsid w:val="00AC55BF"/>
    <w:rsid w:val="00AD332A"/>
    <w:rsid w:val="00AE005B"/>
    <w:rsid w:val="00AE5FCE"/>
    <w:rsid w:val="00AE607D"/>
    <w:rsid w:val="00AE64CC"/>
    <w:rsid w:val="00AF2B10"/>
    <w:rsid w:val="00AF47B9"/>
    <w:rsid w:val="00B02552"/>
    <w:rsid w:val="00B07112"/>
    <w:rsid w:val="00B300D4"/>
    <w:rsid w:val="00B42A80"/>
    <w:rsid w:val="00B46A81"/>
    <w:rsid w:val="00B47A90"/>
    <w:rsid w:val="00B54E16"/>
    <w:rsid w:val="00B550BE"/>
    <w:rsid w:val="00B56064"/>
    <w:rsid w:val="00B562AE"/>
    <w:rsid w:val="00B57E89"/>
    <w:rsid w:val="00B62B6E"/>
    <w:rsid w:val="00B66586"/>
    <w:rsid w:val="00B719F0"/>
    <w:rsid w:val="00B86A59"/>
    <w:rsid w:val="00B95E78"/>
    <w:rsid w:val="00B97677"/>
    <w:rsid w:val="00BA1B64"/>
    <w:rsid w:val="00BA4DBC"/>
    <w:rsid w:val="00BA60D2"/>
    <w:rsid w:val="00BA7B78"/>
    <w:rsid w:val="00BB2E61"/>
    <w:rsid w:val="00BB5AEB"/>
    <w:rsid w:val="00BB620A"/>
    <w:rsid w:val="00BC3352"/>
    <w:rsid w:val="00BD4ED0"/>
    <w:rsid w:val="00BD6434"/>
    <w:rsid w:val="00BE2232"/>
    <w:rsid w:val="00BE3931"/>
    <w:rsid w:val="00BF2039"/>
    <w:rsid w:val="00BF63DF"/>
    <w:rsid w:val="00BF69C1"/>
    <w:rsid w:val="00BF7D7E"/>
    <w:rsid w:val="00C00CE7"/>
    <w:rsid w:val="00C03A72"/>
    <w:rsid w:val="00C05CAB"/>
    <w:rsid w:val="00C11221"/>
    <w:rsid w:val="00C11B15"/>
    <w:rsid w:val="00C12CA9"/>
    <w:rsid w:val="00C204BB"/>
    <w:rsid w:val="00C21740"/>
    <w:rsid w:val="00C300D1"/>
    <w:rsid w:val="00C52C93"/>
    <w:rsid w:val="00C62969"/>
    <w:rsid w:val="00C70824"/>
    <w:rsid w:val="00C70C95"/>
    <w:rsid w:val="00C8104A"/>
    <w:rsid w:val="00C82A7A"/>
    <w:rsid w:val="00C82B48"/>
    <w:rsid w:val="00C862ED"/>
    <w:rsid w:val="00C955C4"/>
    <w:rsid w:val="00CA07A3"/>
    <w:rsid w:val="00CA2CCB"/>
    <w:rsid w:val="00CA4A0D"/>
    <w:rsid w:val="00CD482D"/>
    <w:rsid w:val="00CF3149"/>
    <w:rsid w:val="00CF5AD3"/>
    <w:rsid w:val="00D13361"/>
    <w:rsid w:val="00D17838"/>
    <w:rsid w:val="00D21A35"/>
    <w:rsid w:val="00D23D11"/>
    <w:rsid w:val="00D31C0E"/>
    <w:rsid w:val="00D3310D"/>
    <w:rsid w:val="00D44C99"/>
    <w:rsid w:val="00D5089C"/>
    <w:rsid w:val="00D5129F"/>
    <w:rsid w:val="00D537F1"/>
    <w:rsid w:val="00D53FD6"/>
    <w:rsid w:val="00D654F4"/>
    <w:rsid w:val="00D74AAD"/>
    <w:rsid w:val="00D812CC"/>
    <w:rsid w:val="00D819B7"/>
    <w:rsid w:val="00D92DEA"/>
    <w:rsid w:val="00DA000A"/>
    <w:rsid w:val="00DB1C31"/>
    <w:rsid w:val="00DB63F7"/>
    <w:rsid w:val="00DC16F7"/>
    <w:rsid w:val="00DC5AA0"/>
    <w:rsid w:val="00DC66EA"/>
    <w:rsid w:val="00DD7933"/>
    <w:rsid w:val="00DE0439"/>
    <w:rsid w:val="00DE0C09"/>
    <w:rsid w:val="00DE1C47"/>
    <w:rsid w:val="00DF1FD6"/>
    <w:rsid w:val="00DF3088"/>
    <w:rsid w:val="00E14D81"/>
    <w:rsid w:val="00E15897"/>
    <w:rsid w:val="00E16042"/>
    <w:rsid w:val="00E2704E"/>
    <w:rsid w:val="00E301EC"/>
    <w:rsid w:val="00E30989"/>
    <w:rsid w:val="00E3317E"/>
    <w:rsid w:val="00E35CCA"/>
    <w:rsid w:val="00E375C4"/>
    <w:rsid w:val="00E419CD"/>
    <w:rsid w:val="00E452E3"/>
    <w:rsid w:val="00E52436"/>
    <w:rsid w:val="00E63399"/>
    <w:rsid w:val="00E6571E"/>
    <w:rsid w:val="00E66996"/>
    <w:rsid w:val="00E72384"/>
    <w:rsid w:val="00E80EC8"/>
    <w:rsid w:val="00E843E8"/>
    <w:rsid w:val="00E94458"/>
    <w:rsid w:val="00E94F8D"/>
    <w:rsid w:val="00EB2AED"/>
    <w:rsid w:val="00EC5A3E"/>
    <w:rsid w:val="00EE07C2"/>
    <w:rsid w:val="00EE1737"/>
    <w:rsid w:val="00EE399C"/>
    <w:rsid w:val="00EE6764"/>
    <w:rsid w:val="00EE717D"/>
    <w:rsid w:val="00EF27D9"/>
    <w:rsid w:val="00F0288E"/>
    <w:rsid w:val="00F03A4C"/>
    <w:rsid w:val="00F03D34"/>
    <w:rsid w:val="00F235C7"/>
    <w:rsid w:val="00F24178"/>
    <w:rsid w:val="00F25D84"/>
    <w:rsid w:val="00F27499"/>
    <w:rsid w:val="00F30218"/>
    <w:rsid w:val="00F30D60"/>
    <w:rsid w:val="00F328E8"/>
    <w:rsid w:val="00F32F5E"/>
    <w:rsid w:val="00F3556C"/>
    <w:rsid w:val="00F434BB"/>
    <w:rsid w:val="00F445F1"/>
    <w:rsid w:val="00F47199"/>
    <w:rsid w:val="00F50CC5"/>
    <w:rsid w:val="00F53942"/>
    <w:rsid w:val="00F53C47"/>
    <w:rsid w:val="00F70CBB"/>
    <w:rsid w:val="00F71678"/>
    <w:rsid w:val="00F80CEA"/>
    <w:rsid w:val="00F83A04"/>
    <w:rsid w:val="00F86594"/>
    <w:rsid w:val="00F91032"/>
    <w:rsid w:val="00F91AF3"/>
    <w:rsid w:val="00F930A8"/>
    <w:rsid w:val="00F96C96"/>
    <w:rsid w:val="00FA5496"/>
    <w:rsid w:val="00FB354A"/>
    <w:rsid w:val="00FB4677"/>
    <w:rsid w:val="00FB4817"/>
    <w:rsid w:val="00FB69C7"/>
    <w:rsid w:val="00FC2871"/>
    <w:rsid w:val="00FE0E8B"/>
    <w:rsid w:val="00FE6315"/>
    <w:rsid w:val="00FF2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D2"/>
    <w:pPr>
      <w:spacing w:after="0" w:line="240" w:lineRule="auto"/>
    </w:pPr>
    <w:rPr>
      <w:rFonts w:ascii="Times New Roman" w:eastAsia="Times New Roman" w:hAnsi="Times New Roman" w:cs="Times New Roman"/>
      <w:kern w:val="16"/>
      <w:sz w:val="24"/>
      <w:szCs w:val="20"/>
    </w:rPr>
  </w:style>
  <w:style w:type="paragraph" w:styleId="Heading1">
    <w:name w:val="heading 1"/>
    <w:basedOn w:val="Normal"/>
    <w:next w:val="Normal"/>
    <w:link w:val="Heading1Char"/>
    <w:uiPriority w:val="9"/>
    <w:qFormat/>
    <w:rsid w:val="002862D2"/>
    <w:pPr>
      <w:keepNext/>
      <w:keepLines/>
      <w:spacing w:line="480" w:lineRule="auto"/>
      <w:jc w:val="center"/>
      <w:outlineLvl w:val="0"/>
    </w:pPr>
    <w:rPr>
      <w:rFonts w:ascii="Times New Roman Bold" w:eastAsiaTheme="majorEastAsia" w:hAnsi="Times New Roman Bold"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63399"/>
    <w:rPr>
      <w:rFonts w:ascii="Times New Roman" w:hAnsi="Times New Roman"/>
      <w:sz w:val="24"/>
    </w:rPr>
  </w:style>
  <w:style w:type="paragraph" w:styleId="Header">
    <w:name w:val="header"/>
    <w:basedOn w:val="Normal"/>
    <w:link w:val="HeaderChar"/>
    <w:uiPriority w:val="99"/>
    <w:unhideWhenUsed/>
    <w:rsid w:val="00E80EC8"/>
    <w:pPr>
      <w:tabs>
        <w:tab w:val="center" w:pos="4680"/>
        <w:tab w:val="right" w:pos="9360"/>
      </w:tabs>
    </w:pPr>
  </w:style>
  <w:style w:type="character" w:customStyle="1" w:styleId="HeaderChar">
    <w:name w:val="Header Char"/>
    <w:basedOn w:val="DefaultParagraphFont"/>
    <w:link w:val="Header"/>
    <w:uiPriority w:val="99"/>
    <w:rsid w:val="00E80EC8"/>
    <w:rPr>
      <w:rFonts w:ascii="Times New Roman" w:eastAsia="Times New Roman" w:hAnsi="Times New Roman" w:cs="Times New Roman"/>
      <w:kern w:val="16"/>
      <w:sz w:val="24"/>
      <w:szCs w:val="20"/>
    </w:rPr>
  </w:style>
  <w:style w:type="paragraph" w:styleId="Footer">
    <w:name w:val="footer"/>
    <w:basedOn w:val="Normal"/>
    <w:link w:val="FooterChar"/>
    <w:uiPriority w:val="99"/>
    <w:unhideWhenUsed/>
    <w:rsid w:val="00E80EC8"/>
    <w:pPr>
      <w:tabs>
        <w:tab w:val="center" w:pos="4680"/>
        <w:tab w:val="right" w:pos="9360"/>
      </w:tabs>
    </w:pPr>
  </w:style>
  <w:style w:type="character" w:customStyle="1" w:styleId="FooterChar">
    <w:name w:val="Footer Char"/>
    <w:basedOn w:val="DefaultParagraphFont"/>
    <w:link w:val="Footer"/>
    <w:uiPriority w:val="99"/>
    <w:rsid w:val="00E80EC8"/>
    <w:rPr>
      <w:rFonts w:ascii="Times New Roman" w:eastAsia="Times New Roman" w:hAnsi="Times New Roman" w:cs="Times New Roman"/>
      <w:kern w:val="16"/>
      <w:sz w:val="24"/>
      <w:szCs w:val="20"/>
    </w:rPr>
  </w:style>
  <w:style w:type="paragraph" w:styleId="FootnoteText">
    <w:name w:val="footnote text"/>
    <w:basedOn w:val="Normal"/>
    <w:link w:val="FootnoteTextChar"/>
    <w:uiPriority w:val="99"/>
    <w:semiHidden/>
    <w:unhideWhenUsed/>
    <w:rsid w:val="000C2349"/>
    <w:rPr>
      <w:sz w:val="20"/>
    </w:rPr>
  </w:style>
  <w:style w:type="character" w:customStyle="1" w:styleId="FootnoteTextChar">
    <w:name w:val="Footnote Text Char"/>
    <w:basedOn w:val="DefaultParagraphFont"/>
    <w:link w:val="FootnoteText"/>
    <w:uiPriority w:val="99"/>
    <w:semiHidden/>
    <w:rsid w:val="000C2349"/>
    <w:rPr>
      <w:rFonts w:ascii="Times New Roman" w:eastAsia="Times New Roman" w:hAnsi="Times New Roman" w:cs="Times New Roman"/>
      <w:kern w:val="16"/>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iPriority w:val="4"/>
    <w:unhideWhenUsed/>
    <w:qFormat/>
    <w:rsid w:val="000C2349"/>
    <w:rPr>
      <w:vertAlign w:val="superscript"/>
    </w:rPr>
  </w:style>
  <w:style w:type="paragraph" w:styleId="BalloonText">
    <w:name w:val="Balloon Text"/>
    <w:basedOn w:val="Normal"/>
    <w:link w:val="BalloonTextChar"/>
    <w:uiPriority w:val="99"/>
    <w:semiHidden/>
    <w:unhideWhenUsed/>
    <w:rsid w:val="007F0C64"/>
    <w:rPr>
      <w:rFonts w:ascii="Tahoma" w:hAnsi="Tahoma" w:cs="Tahoma"/>
      <w:sz w:val="16"/>
      <w:szCs w:val="16"/>
    </w:rPr>
  </w:style>
  <w:style w:type="character" w:customStyle="1" w:styleId="BalloonTextChar">
    <w:name w:val="Balloon Text Char"/>
    <w:basedOn w:val="DefaultParagraphFont"/>
    <w:link w:val="BalloonText"/>
    <w:uiPriority w:val="99"/>
    <w:semiHidden/>
    <w:rsid w:val="007F0C64"/>
    <w:rPr>
      <w:rFonts w:ascii="Tahoma" w:eastAsia="Times New Roman" w:hAnsi="Tahoma" w:cs="Tahoma"/>
      <w:kern w:val="16"/>
      <w:sz w:val="16"/>
      <w:szCs w:val="16"/>
    </w:rPr>
  </w:style>
  <w:style w:type="table" w:customStyle="1" w:styleId="TableGrid2">
    <w:name w:val="Table Grid2"/>
    <w:basedOn w:val="TableNormal"/>
    <w:next w:val="TableGrid"/>
    <w:uiPriority w:val="59"/>
    <w:rsid w:val="005E17FA"/>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E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44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02932"/>
    <w:rPr>
      <w:sz w:val="20"/>
    </w:rPr>
  </w:style>
  <w:style w:type="character" w:customStyle="1" w:styleId="EndnoteTextChar">
    <w:name w:val="Endnote Text Char"/>
    <w:basedOn w:val="DefaultParagraphFont"/>
    <w:link w:val="EndnoteText"/>
    <w:uiPriority w:val="99"/>
    <w:semiHidden/>
    <w:rsid w:val="00602932"/>
    <w:rPr>
      <w:rFonts w:ascii="Times New Roman" w:eastAsia="Times New Roman" w:hAnsi="Times New Roman" w:cs="Times New Roman"/>
      <w:kern w:val="16"/>
      <w:sz w:val="20"/>
      <w:szCs w:val="20"/>
    </w:rPr>
  </w:style>
  <w:style w:type="character" w:styleId="EndnoteReference">
    <w:name w:val="endnote reference"/>
    <w:basedOn w:val="DefaultParagraphFont"/>
    <w:uiPriority w:val="99"/>
    <w:semiHidden/>
    <w:unhideWhenUsed/>
    <w:rsid w:val="00602932"/>
    <w:rPr>
      <w:vertAlign w:val="superscript"/>
    </w:rPr>
  </w:style>
  <w:style w:type="character" w:styleId="CommentReference">
    <w:name w:val="annotation reference"/>
    <w:basedOn w:val="DefaultParagraphFont"/>
    <w:uiPriority w:val="99"/>
    <w:semiHidden/>
    <w:unhideWhenUsed/>
    <w:rsid w:val="00170CBB"/>
    <w:rPr>
      <w:sz w:val="16"/>
      <w:szCs w:val="16"/>
    </w:rPr>
  </w:style>
  <w:style w:type="paragraph" w:styleId="CommentText">
    <w:name w:val="annotation text"/>
    <w:basedOn w:val="Normal"/>
    <w:link w:val="CommentTextChar"/>
    <w:uiPriority w:val="99"/>
    <w:semiHidden/>
    <w:unhideWhenUsed/>
    <w:rsid w:val="00170CBB"/>
    <w:rPr>
      <w:sz w:val="20"/>
    </w:rPr>
  </w:style>
  <w:style w:type="character" w:customStyle="1" w:styleId="CommentTextChar">
    <w:name w:val="Comment Text Char"/>
    <w:basedOn w:val="DefaultParagraphFont"/>
    <w:link w:val="CommentText"/>
    <w:uiPriority w:val="99"/>
    <w:semiHidden/>
    <w:rsid w:val="00170CBB"/>
    <w:rPr>
      <w:rFonts w:ascii="Times New Roman" w:eastAsia="Times New Roman" w:hAnsi="Times New Roman" w:cs="Times New Roman"/>
      <w:kern w:val="16"/>
      <w:sz w:val="20"/>
      <w:szCs w:val="20"/>
    </w:rPr>
  </w:style>
  <w:style w:type="paragraph" w:styleId="CommentSubject">
    <w:name w:val="annotation subject"/>
    <w:basedOn w:val="CommentText"/>
    <w:next w:val="CommentText"/>
    <w:link w:val="CommentSubjectChar"/>
    <w:uiPriority w:val="99"/>
    <w:semiHidden/>
    <w:unhideWhenUsed/>
    <w:rsid w:val="00170CBB"/>
    <w:rPr>
      <w:b/>
      <w:bCs/>
    </w:rPr>
  </w:style>
  <w:style w:type="character" w:customStyle="1" w:styleId="CommentSubjectChar">
    <w:name w:val="Comment Subject Char"/>
    <w:basedOn w:val="CommentTextChar"/>
    <w:link w:val="CommentSubject"/>
    <w:uiPriority w:val="99"/>
    <w:semiHidden/>
    <w:rsid w:val="00170CBB"/>
    <w:rPr>
      <w:rFonts w:ascii="Times New Roman" w:eastAsia="Times New Roman" w:hAnsi="Times New Roman" w:cs="Times New Roman"/>
      <w:b/>
      <w:bCs/>
      <w:kern w:val="16"/>
      <w:sz w:val="20"/>
      <w:szCs w:val="20"/>
    </w:rPr>
  </w:style>
  <w:style w:type="paragraph" w:styleId="Revision">
    <w:name w:val="Revision"/>
    <w:hidden/>
    <w:uiPriority w:val="99"/>
    <w:semiHidden/>
    <w:rsid w:val="002A2391"/>
    <w:pPr>
      <w:spacing w:after="0" w:line="240" w:lineRule="auto"/>
    </w:pPr>
    <w:rPr>
      <w:rFonts w:ascii="Times New Roman" w:eastAsia="Times New Roman" w:hAnsi="Times New Roman" w:cs="Times New Roman"/>
      <w:kern w:val="16"/>
      <w:sz w:val="24"/>
      <w:szCs w:val="20"/>
    </w:rPr>
  </w:style>
  <w:style w:type="paragraph" w:styleId="ListParagraph">
    <w:name w:val="List Paragraph"/>
    <w:basedOn w:val="Normal"/>
    <w:uiPriority w:val="34"/>
    <w:qFormat/>
    <w:rsid w:val="00845E05"/>
    <w:pPr>
      <w:ind w:left="720"/>
      <w:contextualSpacing/>
    </w:pPr>
  </w:style>
  <w:style w:type="paragraph" w:styleId="TOCHeading">
    <w:name w:val="TOC Heading"/>
    <w:basedOn w:val="Heading1"/>
    <w:next w:val="Normal"/>
    <w:uiPriority w:val="39"/>
    <w:unhideWhenUsed/>
    <w:qFormat/>
    <w:rsid w:val="00EE07C2"/>
    <w:pPr>
      <w:spacing w:before="480" w:line="276" w:lineRule="auto"/>
      <w:jc w:val="left"/>
      <w:outlineLvl w:val="9"/>
    </w:pPr>
    <w:rPr>
      <w:rFonts w:asciiTheme="majorHAnsi" w:hAnsiTheme="majorHAnsi"/>
      <w:caps w:val="0"/>
      <w:color w:val="365F91" w:themeColor="accent1" w:themeShade="BF"/>
      <w:kern w:val="0"/>
      <w:sz w:val="28"/>
      <w:lang w:eastAsia="ja-JP"/>
    </w:rPr>
  </w:style>
  <w:style w:type="character" w:customStyle="1" w:styleId="Heading1Char">
    <w:name w:val="Heading 1 Char"/>
    <w:basedOn w:val="DefaultParagraphFont"/>
    <w:link w:val="Heading1"/>
    <w:uiPriority w:val="9"/>
    <w:rsid w:val="002862D2"/>
    <w:rPr>
      <w:rFonts w:ascii="Times New Roman Bold" w:eastAsiaTheme="majorEastAsia" w:hAnsi="Times New Roman Bold" w:cstheme="majorBidi"/>
      <w:b/>
      <w:bCs/>
      <w:caps/>
      <w:kern w:val="16"/>
      <w:sz w:val="24"/>
      <w:szCs w:val="28"/>
    </w:rPr>
  </w:style>
  <w:style w:type="paragraph" w:styleId="TOC1">
    <w:name w:val="toc 1"/>
    <w:basedOn w:val="Normal"/>
    <w:next w:val="Normal"/>
    <w:autoRedefine/>
    <w:uiPriority w:val="39"/>
    <w:unhideWhenUsed/>
    <w:rsid w:val="00EE07C2"/>
    <w:pPr>
      <w:spacing w:before="120"/>
    </w:pPr>
    <w:rPr>
      <w:rFonts w:asciiTheme="minorHAnsi" w:hAnsiTheme="minorHAnsi"/>
      <w:b/>
      <w:szCs w:val="24"/>
    </w:rPr>
  </w:style>
  <w:style w:type="character" w:styleId="Hyperlink">
    <w:name w:val="Hyperlink"/>
    <w:basedOn w:val="DefaultParagraphFont"/>
    <w:uiPriority w:val="99"/>
    <w:unhideWhenUsed/>
    <w:rsid w:val="00EE07C2"/>
    <w:rPr>
      <w:color w:val="0000FF" w:themeColor="hyperlink"/>
      <w:u w:val="single"/>
    </w:rPr>
  </w:style>
  <w:style w:type="paragraph" w:styleId="NoSpacing">
    <w:name w:val="No Spacing"/>
    <w:uiPriority w:val="1"/>
    <w:qFormat/>
    <w:rsid w:val="00F30D60"/>
    <w:pPr>
      <w:spacing w:after="0" w:line="240" w:lineRule="auto"/>
    </w:pPr>
    <w:rPr>
      <w:rFonts w:ascii="Times New Roman" w:eastAsia="Times New Roman" w:hAnsi="Times New Roman" w:cs="Times New Roman"/>
      <w:kern w:val="16"/>
      <w:sz w:val="24"/>
      <w:szCs w:val="20"/>
    </w:rPr>
  </w:style>
  <w:style w:type="paragraph" w:styleId="TOC2">
    <w:name w:val="toc 2"/>
    <w:basedOn w:val="Normal"/>
    <w:next w:val="Normal"/>
    <w:autoRedefine/>
    <w:uiPriority w:val="39"/>
    <w:semiHidden/>
    <w:unhideWhenUsed/>
    <w:rsid w:val="00A14E9A"/>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A14E9A"/>
    <w:pPr>
      <w:ind w:left="480"/>
    </w:pPr>
    <w:rPr>
      <w:rFonts w:asciiTheme="minorHAnsi" w:hAnsiTheme="minorHAnsi"/>
      <w:sz w:val="22"/>
      <w:szCs w:val="22"/>
    </w:rPr>
  </w:style>
  <w:style w:type="paragraph" w:styleId="TOC4">
    <w:name w:val="toc 4"/>
    <w:basedOn w:val="Normal"/>
    <w:next w:val="Normal"/>
    <w:autoRedefine/>
    <w:uiPriority w:val="39"/>
    <w:semiHidden/>
    <w:unhideWhenUsed/>
    <w:rsid w:val="00A14E9A"/>
    <w:pPr>
      <w:ind w:left="720"/>
    </w:pPr>
    <w:rPr>
      <w:rFonts w:asciiTheme="minorHAnsi" w:hAnsiTheme="minorHAnsi"/>
      <w:sz w:val="20"/>
    </w:rPr>
  </w:style>
  <w:style w:type="paragraph" w:styleId="TOC5">
    <w:name w:val="toc 5"/>
    <w:basedOn w:val="Normal"/>
    <w:next w:val="Normal"/>
    <w:autoRedefine/>
    <w:uiPriority w:val="39"/>
    <w:semiHidden/>
    <w:unhideWhenUsed/>
    <w:rsid w:val="00A14E9A"/>
    <w:pPr>
      <w:ind w:left="960"/>
    </w:pPr>
    <w:rPr>
      <w:rFonts w:asciiTheme="minorHAnsi" w:hAnsiTheme="minorHAnsi"/>
      <w:sz w:val="20"/>
    </w:rPr>
  </w:style>
  <w:style w:type="paragraph" w:styleId="TOC6">
    <w:name w:val="toc 6"/>
    <w:basedOn w:val="Normal"/>
    <w:next w:val="Normal"/>
    <w:autoRedefine/>
    <w:uiPriority w:val="39"/>
    <w:semiHidden/>
    <w:unhideWhenUsed/>
    <w:rsid w:val="00A14E9A"/>
    <w:pPr>
      <w:ind w:left="1200"/>
    </w:pPr>
    <w:rPr>
      <w:rFonts w:asciiTheme="minorHAnsi" w:hAnsiTheme="minorHAnsi"/>
      <w:sz w:val="20"/>
    </w:rPr>
  </w:style>
  <w:style w:type="paragraph" w:styleId="TOC7">
    <w:name w:val="toc 7"/>
    <w:basedOn w:val="Normal"/>
    <w:next w:val="Normal"/>
    <w:autoRedefine/>
    <w:uiPriority w:val="39"/>
    <w:semiHidden/>
    <w:unhideWhenUsed/>
    <w:rsid w:val="00A14E9A"/>
    <w:pPr>
      <w:ind w:left="1440"/>
    </w:pPr>
    <w:rPr>
      <w:rFonts w:asciiTheme="minorHAnsi" w:hAnsiTheme="minorHAnsi"/>
      <w:sz w:val="20"/>
    </w:rPr>
  </w:style>
  <w:style w:type="paragraph" w:styleId="TOC8">
    <w:name w:val="toc 8"/>
    <w:basedOn w:val="Normal"/>
    <w:next w:val="Normal"/>
    <w:autoRedefine/>
    <w:uiPriority w:val="39"/>
    <w:semiHidden/>
    <w:unhideWhenUsed/>
    <w:rsid w:val="00A14E9A"/>
    <w:pPr>
      <w:ind w:left="1680"/>
    </w:pPr>
    <w:rPr>
      <w:rFonts w:asciiTheme="minorHAnsi" w:hAnsiTheme="minorHAnsi"/>
      <w:sz w:val="20"/>
    </w:rPr>
  </w:style>
  <w:style w:type="paragraph" w:styleId="TOC9">
    <w:name w:val="toc 9"/>
    <w:basedOn w:val="Normal"/>
    <w:next w:val="Normal"/>
    <w:autoRedefine/>
    <w:uiPriority w:val="39"/>
    <w:semiHidden/>
    <w:unhideWhenUsed/>
    <w:rsid w:val="00A14E9A"/>
    <w:pPr>
      <w:ind w:left="1920"/>
    </w:pPr>
    <w:rPr>
      <w:rFonts w:asciiTheme="minorHAnsi" w:hAnsi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D2"/>
    <w:pPr>
      <w:spacing w:after="0" w:line="240" w:lineRule="auto"/>
    </w:pPr>
    <w:rPr>
      <w:rFonts w:ascii="Times New Roman" w:eastAsia="Times New Roman" w:hAnsi="Times New Roman" w:cs="Times New Roman"/>
      <w:kern w:val="16"/>
      <w:sz w:val="24"/>
      <w:szCs w:val="20"/>
    </w:rPr>
  </w:style>
  <w:style w:type="paragraph" w:styleId="Heading1">
    <w:name w:val="heading 1"/>
    <w:basedOn w:val="Normal"/>
    <w:next w:val="Normal"/>
    <w:link w:val="Heading1Char"/>
    <w:uiPriority w:val="9"/>
    <w:qFormat/>
    <w:rsid w:val="002862D2"/>
    <w:pPr>
      <w:keepNext/>
      <w:keepLines/>
      <w:spacing w:line="480" w:lineRule="auto"/>
      <w:jc w:val="center"/>
      <w:outlineLvl w:val="0"/>
    </w:pPr>
    <w:rPr>
      <w:rFonts w:ascii="Times New Roman Bold" w:eastAsiaTheme="majorEastAsia" w:hAnsi="Times New Roman Bold"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63399"/>
    <w:rPr>
      <w:rFonts w:ascii="Times New Roman" w:hAnsi="Times New Roman"/>
      <w:sz w:val="24"/>
    </w:rPr>
  </w:style>
  <w:style w:type="paragraph" w:styleId="Header">
    <w:name w:val="header"/>
    <w:basedOn w:val="Normal"/>
    <w:link w:val="HeaderChar"/>
    <w:uiPriority w:val="99"/>
    <w:unhideWhenUsed/>
    <w:rsid w:val="00E80EC8"/>
    <w:pPr>
      <w:tabs>
        <w:tab w:val="center" w:pos="4680"/>
        <w:tab w:val="right" w:pos="9360"/>
      </w:tabs>
    </w:pPr>
  </w:style>
  <w:style w:type="character" w:customStyle="1" w:styleId="HeaderChar">
    <w:name w:val="Header Char"/>
    <w:basedOn w:val="DefaultParagraphFont"/>
    <w:link w:val="Header"/>
    <w:uiPriority w:val="99"/>
    <w:rsid w:val="00E80EC8"/>
    <w:rPr>
      <w:rFonts w:ascii="Times New Roman" w:eastAsia="Times New Roman" w:hAnsi="Times New Roman" w:cs="Times New Roman"/>
      <w:kern w:val="16"/>
      <w:sz w:val="24"/>
      <w:szCs w:val="20"/>
    </w:rPr>
  </w:style>
  <w:style w:type="paragraph" w:styleId="Footer">
    <w:name w:val="footer"/>
    <w:basedOn w:val="Normal"/>
    <w:link w:val="FooterChar"/>
    <w:uiPriority w:val="99"/>
    <w:unhideWhenUsed/>
    <w:rsid w:val="00E80EC8"/>
    <w:pPr>
      <w:tabs>
        <w:tab w:val="center" w:pos="4680"/>
        <w:tab w:val="right" w:pos="9360"/>
      </w:tabs>
    </w:pPr>
  </w:style>
  <w:style w:type="character" w:customStyle="1" w:styleId="FooterChar">
    <w:name w:val="Footer Char"/>
    <w:basedOn w:val="DefaultParagraphFont"/>
    <w:link w:val="Footer"/>
    <w:uiPriority w:val="99"/>
    <w:rsid w:val="00E80EC8"/>
    <w:rPr>
      <w:rFonts w:ascii="Times New Roman" w:eastAsia="Times New Roman" w:hAnsi="Times New Roman" w:cs="Times New Roman"/>
      <w:kern w:val="16"/>
      <w:sz w:val="24"/>
      <w:szCs w:val="20"/>
    </w:rPr>
  </w:style>
  <w:style w:type="paragraph" w:styleId="FootnoteText">
    <w:name w:val="footnote text"/>
    <w:basedOn w:val="Normal"/>
    <w:link w:val="FootnoteTextChar"/>
    <w:uiPriority w:val="99"/>
    <w:semiHidden/>
    <w:unhideWhenUsed/>
    <w:rsid w:val="000C2349"/>
    <w:rPr>
      <w:sz w:val="20"/>
    </w:rPr>
  </w:style>
  <w:style w:type="character" w:customStyle="1" w:styleId="FootnoteTextChar">
    <w:name w:val="Footnote Text Char"/>
    <w:basedOn w:val="DefaultParagraphFont"/>
    <w:link w:val="FootnoteText"/>
    <w:uiPriority w:val="99"/>
    <w:semiHidden/>
    <w:rsid w:val="000C2349"/>
    <w:rPr>
      <w:rFonts w:ascii="Times New Roman" w:eastAsia="Times New Roman" w:hAnsi="Times New Roman" w:cs="Times New Roman"/>
      <w:kern w:val="16"/>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iPriority w:val="4"/>
    <w:unhideWhenUsed/>
    <w:qFormat/>
    <w:rsid w:val="000C2349"/>
    <w:rPr>
      <w:vertAlign w:val="superscript"/>
    </w:rPr>
  </w:style>
  <w:style w:type="paragraph" w:styleId="BalloonText">
    <w:name w:val="Balloon Text"/>
    <w:basedOn w:val="Normal"/>
    <w:link w:val="BalloonTextChar"/>
    <w:uiPriority w:val="99"/>
    <w:semiHidden/>
    <w:unhideWhenUsed/>
    <w:rsid w:val="007F0C64"/>
    <w:rPr>
      <w:rFonts w:ascii="Tahoma" w:hAnsi="Tahoma" w:cs="Tahoma"/>
      <w:sz w:val="16"/>
      <w:szCs w:val="16"/>
    </w:rPr>
  </w:style>
  <w:style w:type="character" w:customStyle="1" w:styleId="BalloonTextChar">
    <w:name w:val="Balloon Text Char"/>
    <w:basedOn w:val="DefaultParagraphFont"/>
    <w:link w:val="BalloonText"/>
    <w:uiPriority w:val="99"/>
    <w:semiHidden/>
    <w:rsid w:val="007F0C64"/>
    <w:rPr>
      <w:rFonts w:ascii="Tahoma" w:eastAsia="Times New Roman" w:hAnsi="Tahoma" w:cs="Tahoma"/>
      <w:kern w:val="16"/>
      <w:sz w:val="16"/>
      <w:szCs w:val="16"/>
    </w:rPr>
  </w:style>
  <w:style w:type="table" w:customStyle="1" w:styleId="TableGrid2">
    <w:name w:val="Table Grid2"/>
    <w:basedOn w:val="TableNormal"/>
    <w:next w:val="TableGrid"/>
    <w:uiPriority w:val="59"/>
    <w:rsid w:val="005E17FA"/>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E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44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02932"/>
    <w:rPr>
      <w:sz w:val="20"/>
    </w:rPr>
  </w:style>
  <w:style w:type="character" w:customStyle="1" w:styleId="EndnoteTextChar">
    <w:name w:val="Endnote Text Char"/>
    <w:basedOn w:val="DefaultParagraphFont"/>
    <w:link w:val="EndnoteText"/>
    <w:uiPriority w:val="99"/>
    <w:semiHidden/>
    <w:rsid w:val="00602932"/>
    <w:rPr>
      <w:rFonts w:ascii="Times New Roman" w:eastAsia="Times New Roman" w:hAnsi="Times New Roman" w:cs="Times New Roman"/>
      <w:kern w:val="16"/>
      <w:sz w:val="20"/>
      <w:szCs w:val="20"/>
    </w:rPr>
  </w:style>
  <w:style w:type="character" w:styleId="EndnoteReference">
    <w:name w:val="endnote reference"/>
    <w:basedOn w:val="DefaultParagraphFont"/>
    <w:uiPriority w:val="99"/>
    <w:semiHidden/>
    <w:unhideWhenUsed/>
    <w:rsid w:val="00602932"/>
    <w:rPr>
      <w:vertAlign w:val="superscript"/>
    </w:rPr>
  </w:style>
  <w:style w:type="character" w:styleId="CommentReference">
    <w:name w:val="annotation reference"/>
    <w:basedOn w:val="DefaultParagraphFont"/>
    <w:uiPriority w:val="99"/>
    <w:semiHidden/>
    <w:unhideWhenUsed/>
    <w:rsid w:val="00170CBB"/>
    <w:rPr>
      <w:sz w:val="16"/>
      <w:szCs w:val="16"/>
    </w:rPr>
  </w:style>
  <w:style w:type="paragraph" w:styleId="CommentText">
    <w:name w:val="annotation text"/>
    <w:basedOn w:val="Normal"/>
    <w:link w:val="CommentTextChar"/>
    <w:uiPriority w:val="99"/>
    <w:semiHidden/>
    <w:unhideWhenUsed/>
    <w:rsid w:val="00170CBB"/>
    <w:rPr>
      <w:sz w:val="20"/>
    </w:rPr>
  </w:style>
  <w:style w:type="character" w:customStyle="1" w:styleId="CommentTextChar">
    <w:name w:val="Comment Text Char"/>
    <w:basedOn w:val="DefaultParagraphFont"/>
    <w:link w:val="CommentText"/>
    <w:uiPriority w:val="99"/>
    <w:semiHidden/>
    <w:rsid w:val="00170CBB"/>
    <w:rPr>
      <w:rFonts w:ascii="Times New Roman" w:eastAsia="Times New Roman" w:hAnsi="Times New Roman" w:cs="Times New Roman"/>
      <w:kern w:val="16"/>
      <w:sz w:val="20"/>
      <w:szCs w:val="20"/>
    </w:rPr>
  </w:style>
  <w:style w:type="paragraph" w:styleId="CommentSubject">
    <w:name w:val="annotation subject"/>
    <w:basedOn w:val="CommentText"/>
    <w:next w:val="CommentText"/>
    <w:link w:val="CommentSubjectChar"/>
    <w:uiPriority w:val="99"/>
    <w:semiHidden/>
    <w:unhideWhenUsed/>
    <w:rsid w:val="00170CBB"/>
    <w:rPr>
      <w:b/>
      <w:bCs/>
    </w:rPr>
  </w:style>
  <w:style w:type="character" w:customStyle="1" w:styleId="CommentSubjectChar">
    <w:name w:val="Comment Subject Char"/>
    <w:basedOn w:val="CommentTextChar"/>
    <w:link w:val="CommentSubject"/>
    <w:uiPriority w:val="99"/>
    <w:semiHidden/>
    <w:rsid w:val="00170CBB"/>
    <w:rPr>
      <w:rFonts w:ascii="Times New Roman" w:eastAsia="Times New Roman" w:hAnsi="Times New Roman" w:cs="Times New Roman"/>
      <w:b/>
      <w:bCs/>
      <w:kern w:val="16"/>
      <w:sz w:val="20"/>
      <w:szCs w:val="20"/>
    </w:rPr>
  </w:style>
  <w:style w:type="paragraph" w:styleId="Revision">
    <w:name w:val="Revision"/>
    <w:hidden/>
    <w:uiPriority w:val="99"/>
    <w:semiHidden/>
    <w:rsid w:val="002A2391"/>
    <w:pPr>
      <w:spacing w:after="0" w:line="240" w:lineRule="auto"/>
    </w:pPr>
    <w:rPr>
      <w:rFonts w:ascii="Times New Roman" w:eastAsia="Times New Roman" w:hAnsi="Times New Roman" w:cs="Times New Roman"/>
      <w:kern w:val="16"/>
      <w:sz w:val="24"/>
      <w:szCs w:val="20"/>
    </w:rPr>
  </w:style>
  <w:style w:type="paragraph" w:styleId="ListParagraph">
    <w:name w:val="List Paragraph"/>
    <w:basedOn w:val="Normal"/>
    <w:uiPriority w:val="34"/>
    <w:qFormat/>
    <w:rsid w:val="00845E05"/>
    <w:pPr>
      <w:ind w:left="720"/>
      <w:contextualSpacing/>
    </w:pPr>
  </w:style>
  <w:style w:type="paragraph" w:styleId="TOCHeading">
    <w:name w:val="TOC Heading"/>
    <w:basedOn w:val="Heading1"/>
    <w:next w:val="Normal"/>
    <w:uiPriority w:val="39"/>
    <w:unhideWhenUsed/>
    <w:qFormat/>
    <w:rsid w:val="00EE07C2"/>
    <w:pPr>
      <w:spacing w:before="480" w:line="276" w:lineRule="auto"/>
      <w:jc w:val="left"/>
      <w:outlineLvl w:val="9"/>
    </w:pPr>
    <w:rPr>
      <w:rFonts w:asciiTheme="majorHAnsi" w:hAnsiTheme="majorHAnsi"/>
      <w:caps w:val="0"/>
      <w:color w:val="365F91" w:themeColor="accent1" w:themeShade="BF"/>
      <w:kern w:val="0"/>
      <w:sz w:val="28"/>
      <w:lang w:eastAsia="ja-JP"/>
    </w:rPr>
  </w:style>
  <w:style w:type="character" w:customStyle="1" w:styleId="Heading1Char">
    <w:name w:val="Heading 1 Char"/>
    <w:basedOn w:val="DefaultParagraphFont"/>
    <w:link w:val="Heading1"/>
    <w:uiPriority w:val="9"/>
    <w:rsid w:val="002862D2"/>
    <w:rPr>
      <w:rFonts w:ascii="Times New Roman Bold" w:eastAsiaTheme="majorEastAsia" w:hAnsi="Times New Roman Bold" w:cstheme="majorBidi"/>
      <w:b/>
      <w:bCs/>
      <w:caps/>
      <w:kern w:val="16"/>
      <w:sz w:val="24"/>
      <w:szCs w:val="28"/>
    </w:rPr>
  </w:style>
  <w:style w:type="paragraph" w:styleId="TOC1">
    <w:name w:val="toc 1"/>
    <w:basedOn w:val="Normal"/>
    <w:next w:val="Normal"/>
    <w:autoRedefine/>
    <w:uiPriority w:val="39"/>
    <w:unhideWhenUsed/>
    <w:rsid w:val="00EE07C2"/>
    <w:pPr>
      <w:spacing w:before="120"/>
    </w:pPr>
    <w:rPr>
      <w:rFonts w:asciiTheme="minorHAnsi" w:hAnsiTheme="minorHAnsi"/>
      <w:b/>
      <w:szCs w:val="24"/>
    </w:rPr>
  </w:style>
  <w:style w:type="character" w:styleId="Hyperlink">
    <w:name w:val="Hyperlink"/>
    <w:basedOn w:val="DefaultParagraphFont"/>
    <w:uiPriority w:val="99"/>
    <w:unhideWhenUsed/>
    <w:rsid w:val="00EE07C2"/>
    <w:rPr>
      <w:color w:val="0000FF" w:themeColor="hyperlink"/>
      <w:u w:val="single"/>
    </w:rPr>
  </w:style>
  <w:style w:type="paragraph" w:styleId="NoSpacing">
    <w:name w:val="No Spacing"/>
    <w:uiPriority w:val="1"/>
    <w:qFormat/>
    <w:rsid w:val="00F30D60"/>
    <w:pPr>
      <w:spacing w:after="0" w:line="240" w:lineRule="auto"/>
    </w:pPr>
    <w:rPr>
      <w:rFonts w:ascii="Times New Roman" w:eastAsia="Times New Roman" w:hAnsi="Times New Roman" w:cs="Times New Roman"/>
      <w:kern w:val="16"/>
      <w:sz w:val="24"/>
      <w:szCs w:val="20"/>
    </w:rPr>
  </w:style>
  <w:style w:type="paragraph" w:styleId="TOC2">
    <w:name w:val="toc 2"/>
    <w:basedOn w:val="Normal"/>
    <w:next w:val="Normal"/>
    <w:autoRedefine/>
    <w:uiPriority w:val="39"/>
    <w:semiHidden/>
    <w:unhideWhenUsed/>
    <w:rsid w:val="00A14E9A"/>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A14E9A"/>
    <w:pPr>
      <w:ind w:left="480"/>
    </w:pPr>
    <w:rPr>
      <w:rFonts w:asciiTheme="minorHAnsi" w:hAnsiTheme="minorHAnsi"/>
      <w:sz w:val="22"/>
      <w:szCs w:val="22"/>
    </w:rPr>
  </w:style>
  <w:style w:type="paragraph" w:styleId="TOC4">
    <w:name w:val="toc 4"/>
    <w:basedOn w:val="Normal"/>
    <w:next w:val="Normal"/>
    <w:autoRedefine/>
    <w:uiPriority w:val="39"/>
    <w:semiHidden/>
    <w:unhideWhenUsed/>
    <w:rsid w:val="00A14E9A"/>
    <w:pPr>
      <w:ind w:left="720"/>
    </w:pPr>
    <w:rPr>
      <w:rFonts w:asciiTheme="minorHAnsi" w:hAnsiTheme="minorHAnsi"/>
      <w:sz w:val="20"/>
    </w:rPr>
  </w:style>
  <w:style w:type="paragraph" w:styleId="TOC5">
    <w:name w:val="toc 5"/>
    <w:basedOn w:val="Normal"/>
    <w:next w:val="Normal"/>
    <w:autoRedefine/>
    <w:uiPriority w:val="39"/>
    <w:semiHidden/>
    <w:unhideWhenUsed/>
    <w:rsid w:val="00A14E9A"/>
    <w:pPr>
      <w:ind w:left="960"/>
    </w:pPr>
    <w:rPr>
      <w:rFonts w:asciiTheme="minorHAnsi" w:hAnsiTheme="minorHAnsi"/>
      <w:sz w:val="20"/>
    </w:rPr>
  </w:style>
  <w:style w:type="paragraph" w:styleId="TOC6">
    <w:name w:val="toc 6"/>
    <w:basedOn w:val="Normal"/>
    <w:next w:val="Normal"/>
    <w:autoRedefine/>
    <w:uiPriority w:val="39"/>
    <w:semiHidden/>
    <w:unhideWhenUsed/>
    <w:rsid w:val="00A14E9A"/>
    <w:pPr>
      <w:ind w:left="1200"/>
    </w:pPr>
    <w:rPr>
      <w:rFonts w:asciiTheme="minorHAnsi" w:hAnsiTheme="minorHAnsi"/>
      <w:sz w:val="20"/>
    </w:rPr>
  </w:style>
  <w:style w:type="paragraph" w:styleId="TOC7">
    <w:name w:val="toc 7"/>
    <w:basedOn w:val="Normal"/>
    <w:next w:val="Normal"/>
    <w:autoRedefine/>
    <w:uiPriority w:val="39"/>
    <w:semiHidden/>
    <w:unhideWhenUsed/>
    <w:rsid w:val="00A14E9A"/>
    <w:pPr>
      <w:ind w:left="1440"/>
    </w:pPr>
    <w:rPr>
      <w:rFonts w:asciiTheme="minorHAnsi" w:hAnsiTheme="minorHAnsi"/>
      <w:sz w:val="20"/>
    </w:rPr>
  </w:style>
  <w:style w:type="paragraph" w:styleId="TOC8">
    <w:name w:val="toc 8"/>
    <w:basedOn w:val="Normal"/>
    <w:next w:val="Normal"/>
    <w:autoRedefine/>
    <w:uiPriority w:val="39"/>
    <w:semiHidden/>
    <w:unhideWhenUsed/>
    <w:rsid w:val="00A14E9A"/>
    <w:pPr>
      <w:ind w:left="1680"/>
    </w:pPr>
    <w:rPr>
      <w:rFonts w:asciiTheme="minorHAnsi" w:hAnsiTheme="minorHAnsi"/>
      <w:sz w:val="20"/>
    </w:rPr>
  </w:style>
  <w:style w:type="paragraph" w:styleId="TOC9">
    <w:name w:val="toc 9"/>
    <w:basedOn w:val="Normal"/>
    <w:next w:val="Normal"/>
    <w:autoRedefine/>
    <w:uiPriority w:val="39"/>
    <w:semiHidden/>
    <w:unhideWhenUsed/>
    <w:rsid w:val="00A14E9A"/>
    <w:pPr>
      <w:ind w:left="192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1959">
      <w:bodyDiv w:val="1"/>
      <w:marLeft w:val="0"/>
      <w:marRight w:val="0"/>
      <w:marTop w:val="0"/>
      <w:marBottom w:val="0"/>
      <w:divBdr>
        <w:top w:val="none" w:sz="0" w:space="0" w:color="auto"/>
        <w:left w:val="none" w:sz="0" w:space="0" w:color="auto"/>
        <w:bottom w:val="none" w:sz="0" w:space="0" w:color="auto"/>
        <w:right w:val="none" w:sz="0" w:space="0" w:color="auto"/>
      </w:divBdr>
    </w:div>
    <w:div w:id="359627139">
      <w:bodyDiv w:val="1"/>
      <w:marLeft w:val="0"/>
      <w:marRight w:val="0"/>
      <w:marTop w:val="0"/>
      <w:marBottom w:val="0"/>
      <w:divBdr>
        <w:top w:val="none" w:sz="0" w:space="0" w:color="auto"/>
        <w:left w:val="none" w:sz="0" w:space="0" w:color="auto"/>
        <w:bottom w:val="none" w:sz="0" w:space="0" w:color="auto"/>
        <w:right w:val="none" w:sz="0" w:space="0" w:color="auto"/>
      </w:divBdr>
    </w:div>
    <w:div w:id="1105612614">
      <w:bodyDiv w:val="1"/>
      <w:marLeft w:val="0"/>
      <w:marRight w:val="0"/>
      <w:marTop w:val="0"/>
      <w:marBottom w:val="0"/>
      <w:divBdr>
        <w:top w:val="none" w:sz="0" w:space="0" w:color="auto"/>
        <w:left w:val="none" w:sz="0" w:space="0" w:color="auto"/>
        <w:bottom w:val="none" w:sz="0" w:space="0" w:color="auto"/>
        <w:right w:val="none" w:sz="0" w:space="0" w:color="auto"/>
      </w:divBdr>
    </w:div>
    <w:div w:id="1338461451">
      <w:bodyDiv w:val="1"/>
      <w:marLeft w:val="0"/>
      <w:marRight w:val="0"/>
      <w:marTop w:val="0"/>
      <w:marBottom w:val="0"/>
      <w:divBdr>
        <w:top w:val="none" w:sz="0" w:space="0" w:color="auto"/>
        <w:left w:val="none" w:sz="0" w:space="0" w:color="auto"/>
        <w:bottom w:val="none" w:sz="0" w:space="0" w:color="auto"/>
        <w:right w:val="none" w:sz="0" w:space="0" w:color="auto"/>
      </w:divBdr>
    </w:div>
    <w:div w:id="1428770743">
      <w:bodyDiv w:val="1"/>
      <w:marLeft w:val="0"/>
      <w:marRight w:val="0"/>
      <w:marTop w:val="0"/>
      <w:marBottom w:val="0"/>
      <w:divBdr>
        <w:top w:val="none" w:sz="0" w:space="0" w:color="auto"/>
        <w:left w:val="none" w:sz="0" w:space="0" w:color="auto"/>
        <w:bottom w:val="none" w:sz="0" w:space="0" w:color="auto"/>
        <w:right w:val="none" w:sz="0" w:space="0" w:color="auto"/>
      </w:divBdr>
    </w:div>
    <w:div w:id="1547597105">
      <w:bodyDiv w:val="1"/>
      <w:marLeft w:val="0"/>
      <w:marRight w:val="0"/>
      <w:marTop w:val="0"/>
      <w:marBottom w:val="0"/>
      <w:divBdr>
        <w:top w:val="none" w:sz="0" w:space="0" w:color="auto"/>
        <w:left w:val="none" w:sz="0" w:space="0" w:color="auto"/>
        <w:bottom w:val="none" w:sz="0" w:space="0" w:color="auto"/>
        <w:right w:val="none" w:sz="0" w:space="0" w:color="auto"/>
      </w:divBdr>
    </w:div>
    <w:div w:id="1555309916">
      <w:bodyDiv w:val="1"/>
      <w:marLeft w:val="0"/>
      <w:marRight w:val="0"/>
      <w:marTop w:val="0"/>
      <w:marBottom w:val="0"/>
      <w:divBdr>
        <w:top w:val="none" w:sz="0" w:space="0" w:color="auto"/>
        <w:left w:val="none" w:sz="0" w:space="0" w:color="auto"/>
        <w:bottom w:val="none" w:sz="0" w:space="0" w:color="auto"/>
        <w:right w:val="none" w:sz="0" w:space="0" w:color="auto"/>
      </w:divBdr>
    </w:div>
    <w:div w:id="1659534181">
      <w:bodyDiv w:val="1"/>
      <w:marLeft w:val="0"/>
      <w:marRight w:val="0"/>
      <w:marTop w:val="0"/>
      <w:marBottom w:val="0"/>
      <w:divBdr>
        <w:top w:val="none" w:sz="0" w:space="0" w:color="auto"/>
        <w:left w:val="none" w:sz="0" w:space="0" w:color="auto"/>
        <w:bottom w:val="none" w:sz="0" w:space="0" w:color="auto"/>
        <w:right w:val="none" w:sz="0" w:space="0" w:color="auto"/>
      </w:divBdr>
    </w:div>
    <w:div w:id="1800688228">
      <w:bodyDiv w:val="1"/>
      <w:marLeft w:val="0"/>
      <w:marRight w:val="0"/>
      <w:marTop w:val="0"/>
      <w:marBottom w:val="0"/>
      <w:divBdr>
        <w:top w:val="none" w:sz="0" w:space="0" w:color="auto"/>
        <w:left w:val="none" w:sz="0" w:space="0" w:color="auto"/>
        <w:bottom w:val="none" w:sz="0" w:space="0" w:color="auto"/>
        <w:right w:val="none" w:sz="0" w:space="0" w:color="auto"/>
      </w:divBdr>
    </w:div>
    <w:div w:id="204868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C7E0E4B-F57E-4D25-B9F8-E6C0BA96ECD4}"/>
</file>

<file path=customXml/itemProps2.xml><?xml version="1.0" encoding="utf-8"?>
<ds:datastoreItem xmlns:ds="http://schemas.openxmlformats.org/officeDocument/2006/customXml" ds:itemID="{115F18B8-6809-455E-A426-75BB14AA7048}"/>
</file>

<file path=customXml/itemProps3.xml><?xml version="1.0" encoding="utf-8"?>
<ds:datastoreItem xmlns:ds="http://schemas.openxmlformats.org/officeDocument/2006/customXml" ds:itemID="{02008BC4-A42C-465E-8647-C8001AECDC85}"/>
</file>

<file path=customXml/itemProps4.xml><?xml version="1.0" encoding="utf-8"?>
<ds:datastoreItem xmlns:ds="http://schemas.openxmlformats.org/officeDocument/2006/customXml" ds:itemID="{584FA1C8-0E25-48F6-A457-013E216D16CC}"/>
</file>

<file path=docProps/app.xml><?xml version="1.0" encoding="utf-8"?>
<Properties xmlns="http://schemas.openxmlformats.org/officeDocument/2006/extended-properties" xmlns:vt="http://schemas.openxmlformats.org/officeDocument/2006/docPropsVTypes">
  <Template>Normal</Template>
  <TotalTime>0</TotalTime>
  <Pages>10</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2016-01-07T21:35:00Z</dcterms:created>
  <dcterms:modified xsi:type="dcterms:W3CDTF">2016-01-07T21:36:00Z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