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BC3" w:rsidRDefault="00235BC3" w:rsidP="0029526B">
      <w:pPr>
        <w:jc w:val="center"/>
        <w:rPr>
          <w:rFonts w:cs="Times New Roman"/>
          <w:b/>
          <w:szCs w:val="24"/>
        </w:rPr>
      </w:pPr>
    </w:p>
    <w:sdt>
      <w:sdtPr>
        <w:rPr>
          <w:rFonts w:ascii="Times New Roman" w:eastAsiaTheme="minorHAnsi" w:hAnsi="Times New Roman" w:cs="Calibri"/>
          <w:b w:val="0"/>
          <w:bCs w:val="0"/>
          <w:color w:val="auto"/>
          <w:sz w:val="24"/>
          <w:szCs w:val="22"/>
          <w:lang w:eastAsia="en-US"/>
        </w:rPr>
        <w:id w:val="282696327"/>
        <w:docPartObj>
          <w:docPartGallery w:val="Table of Contents"/>
          <w:docPartUnique/>
        </w:docPartObj>
      </w:sdtPr>
      <w:sdtEndPr>
        <w:rPr>
          <w:noProof/>
        </w:rPr>
      </w:sdtEndPr>
      <w:sdtContent>
        <w:p w:rsidR="00241BDB" w:rsidRDefault="00241BDB">
          <w:pPr>
            <w:pStyle w:val="TOCHeading"/>
          </w:pPr>
          <w:r>
            <w:t>Table of Contents</w:t>
          </w:r>
        </w:p>
        <w:p w:rsidR="0089519F" w:rsidRDefault="001B6C23">
          <w:pPr>
            <w:pStyle w:val="TOC1"/>
            <w:tabs>
              <w:tab w:val="left" w:pos="440"/>
              <w:tab w:val="right" w:leader="dot" w:pos="9350"/>
            </w:tabs>
            <w:rPr>
              <w:rFonts w:asciiTheme="minorHAnsi" w:eastAsiaTheme="minorEastAsia" w:hAnsiTheme="minorHAnsi" w:cstheme="minorBidi"/>
              <w:noProof/>
              <w:sz w:val="22"/>
            </w:rPr>
          </w:pPr>
          <w:r>
            <w:fldChar w:fldCharType="begin"/>
          </w:r>
          <w:r w:rsidR="00241BDB">
            <w:instrText xml:space="preserve"> TOC \o "1-3" \h \z \u </w:instrText>
          </w:r>
          <w:r>
            <w:fldChar w:fldCharType="separate"/>
          </w:r>
          <w:hyperlink w:anchor="_Toc311029095" w:history="1">
            <w:r w:rsidR="0089519F" w:rsidRPr="0032319F">
              <w:rPr>
                <w:rStyle w:val="Hyperlink"/>
                <w:noProof/>
              </w:rPr>
              <w:t>I.</w:t>
            </w:r>
            <w:r w:rsidR="0089519F">
              <w:rPr>
                <w:rFonts w:asciiTheme="minorHAnsi" w:eastAsiaTheme="minorEastAsia" w:hAnsiTheme="minorHAnsi" w:cstheme="minorBidi"/>
                <w:noProof/>
                <w:sz w:val="22"/>
              </w:rPr>
              <w:tab/>
            </w:r>
            <w:r w:rsidR="0089519F" w:rsidRPr="0032319F">
              <w:rPr>
                <w:rStyle w:val="Hyperlink"/>
                <w:noProof/>
              </w:rPr>
              <w:t>Background</w:t>
            </w:r>
            <w:r w:rsidR="0089519F">
              <w:rPr>
                <w:noProof/>
                <w:webHidden/>
              </w:rPr>
              <w:tab/>
            </w:r>
            <w:r w:rsidR="0089519F">
              <w:rPr>
                <w:noProof/>
                <w:webHidden/>
              </w:rPr>
              <w:fldChar w:fldCharType="begin"/>
            </w:r>
            <w:r w:rsidR="0089519F">
              <w:rPr>
                <w:noProof/>
                <w:webHidden/>
              </w:rPr>
              <w:instrText xml:space="preserve"> PAGEREF _Toc311029095 \h </w:instrText>
            </w:r>
            <w:r w:rsidR="0089519F">
              <w:rPr>
                <w:noProof/>
                <w:webHidden/>
              </w:rPr>
            </w:r>
            <w:r w:rsidR="0089519F">
              <w:rPr>
                <w:noProof/>
                <w:webHidden/>
              </w:rPr>
              <w:fldChar w:fldCharType="separate"/>
            </w:r>
            <w:r w:rsidR="0089519F">
              <w:rPr>
                <w:noProof/>
                <w:webHidden/>
              </w:rPr>
              <w:t>2</w:t>
            </w:r>
            <w:r w:rsidR="0089519F">
              <w:rPr>
                <w:noProof/>
                <w:webHidden/>
              </w:rPr>
              <w:fldChar w:fldCharType="end"/>
            </w:r>
          </w:hyperlink>
        </w:p>
        <w:p w:rsidR="0089519F" w:rsidRDefault="00F25424">
          <w:pPr>
            <w:pStyle w:val="TOC1"/>
            <w:tabs>
              <w:tab w:val="left" w:pos="660"/>
              <w:tab w:val="right" w:leader="dot" w:pos="9350"/>
            </w:tabs>
            <w:rPr>
              <w:rFonts w:asciiTheme="minorHAnsi" w:eastAsiaTheme="minorEastAsia" w:hAnsiTheme="minorHAnsi" w:cstheme="minorBidi"/>
              <w:noProof/>
              <w:sz w:val="22"/>
            </w:rPr>
          </w:pPr>
          <w:hyperlink w:anchor="_Toc311029096" w:history="1">
            <w:r w:rsidR="0089519F" w:rsidRPr="0032319F">
              <w:rPr>
                <w:rStyle w:val="Hyperlink"/>
                <w:noProof/>
              </w:rPr>
              <w:t>II.</w:t>
            </w:r>
            <w:r w:rsidR="0089519F">
              <w:rPr>
                <w:rFonts w:asciiTheme="minorHAnsi" w:eastAsiaTheme="minorEastAsia" w:hAnsiTheme="minorHAnsi" w:cstheme="minorBidi"/>
                <w:noProof/>
                <w:sz w:val="22"/>
              </w:rPr>
              <w:tab/>
            </w:r>
            <w:r w:rsidR="0089519F" w:rsidRPr="0032319F">
              <w:rPr>
                <w:rStyle w:val="Hyperlink"/>
                <w:noProof/>
              </w:rPr>
              <w:t>Policy Options</w:t>
            </w:r>
            <w:r w:rsidR="0089519F">
              <w:rPr>
                <w:noProof/>
                <w:webHidden/>
              </w:rPr>
              <w:tab/>
            </w:r>
            <w:r w:rsidR="0089519F">
              <w:rPr>
                <w:noProof/>
                <w:webHidden/>
              </w:rPr>
              <w:fldChar w:fldCharType="begin"/>
            </w:r>
            <w:r w:rsidR="0089519F">
              <w:rPr>
                <w:noProof/>
                <w:webHidden/>
              </w:rPr>
              <w:instrText xml:space="preserve"> PAGEREF _Toc311029096 \h </w:instrText>
            </w:r>
            <w:r w:rsidR="0089519F">
              <w:rPr>
                <w:noProof/>
                <w:webHidden/>
              </w:rPr>
            </w:r>
            <w:r w:rsidR="0089519F">
              <w:rPr>
                <w:noProof/>
                <w:webHidden/>
              </w:rPr>
              <w:fldChar w:fldCharType="separate"/>
            </w:r>
            <w:r w:rsidR="0089519F">
              <w:rPr>
                <w:noProof/>
                <w:webHidden/>
              </w:rPr>
              <w:t>2</w:t>
            </w:r>
            <w:r w:rsidR="0089519F">
              <w:rPr>
                <w:noProof/>
                <w:webHidden/>
              </w:rPr>
              <w:fldChar w:fldCharType="end"/>
            </w:r>
          </w:hyperlink>
        </w:p>
        <w:p w:rsidR="0089519F" w:rsidRDefault="00F25424">
          <w:pPr>
            <w:pStyle w:val="TOC1"/>
            <w:tabs>
              <w:tab w:val="left" w:pos="660"/>
              <w:tab w:val="right" w:leader="dot" w:pos="9350"/>
            </w:tabs>
            <w:rPr>
              <w:rFonts w:asciiTheme="minorHAnsi" w:eastAsiaTheme="minorEastAsia" w:hAnsiTheme="minorHAnsi" w:cstheme="minorBidi"/>
              <w:noProof/>
              <w:sz w:val="22"/>
            </w:rPr>
          </w:pPr>
          <w:hyperlink w:anchor="_Toc311029097" w:history="1">
            <w:r w:rsidR="0089519F" w:rsidRPr="0032319F">
              <w:rPr>
                <w:rStyle w:val="Hyperlink"/>
                <w:noProof/>
              </w:rPr>
              <w:t>III.</w:t>
            </w:r>
            <w:r w:rsidR="0089519F">
              <w:rPr>
                <w:rFonts w:asciiTheme="minorHAnsi" w:eastAsiaTheme="minorEastAsia" w:hAnsiTheme="minorHAnsi" w:cstheme="minorBidi"/>
                <w:noProof/>
                <w:sz w:val="22"/>
              </w:rPr>
              <w:tab/>
            </w:r>
            <w:r w:rsidR="0089519F" w:rsidRPr="0032319F">
              <w:rPr>
                <w:rStyle w:val="Hyperlink"/>
                <w:noProof/>
              </w:rPr>
              <w:t>Overview and Format</w:t>
            </w:r>
            <w:r w:rsidR="0089519F">
              <w:rPr>
                <w:noProof/>
                <w:webHidden/>
              </w:rPr>
              <w:tab/>
            </w:r>
            <w:r w:rsidR="0089519F">
              <w:rPr>
                <w:noProof/>
                <w:webHidden/>
              </w:rPr>
              <w:fldChar w:fldCharType="begin"/>
            </w:r>
            <w:r w:rsidR="0089519F">
              <w:rPr>
                <w:noProof/>
                <w:webHidden/>
              </w:rPr>
              <w:instrText xml:space="preserve"> PAGEREF _Toc311029097 \h </w:instrText>
            </w:r>
            <w:r w:rsidR="0089519F">
              <w:rPr>
                <w:noProof/>
                <w:webHidden/>
              </w:rPr>
            </w:r>
            <w:r w:rsidR="0089519F">
              <w:rPr>
                <w:noProof/>
                <w:webHidden/>
              </w:rPr>
              <w:fldChar w:fldCharType="separate"/>
            </w:r>
            <w:r w:rsidR="0089519F">
              <w:rPr>
                <w:noProof/>
                <w:webHidden/>
              </w:rPr>
              <w:t>3</w:t>
            </w:r>
            <w:r w:rsidR="0089519F">
              <w:rPr>
                <w:noProof/>
                <w:webHidden/>
              </w:rPr>
              <w:fldChar w:fldCharType="end"/>
            </w:r>
          </w:hyperlink>
        </w:p>
        <w:p w:rsidR="0089519F" w:rsidRDefault="00F25424">
          <w:pPr>
            <w:pStyle w:val="TOC1"/>
            <w:tabs>
              <w:tab w:val="left" w:pos="660"/>
              <w:tab w:val="right" w:leader="dot" w:pos="9350"/>
            </w:tabs>
            <w:rPr>
              <w:rFonts w:asciiTheme="minorHAnsi" w:eastAsiaTheme="minorEastAsia" w:hAnsiTheme="minorHAnsi" w:cstheme="minorBidi"/>
              <w:noProof/>
              <w:sz w:val="22"/>
            </w:rPr>
          </w:pPr>
          <w:hyperlink w:anchor="_Toc311029098" w:history="1">
            <w:r w:rsidR="0089519F" w:rsidRPr="0032319F">
              <w:rPr>
                <w:rStyle w:val="Hyperlink"/>
                <w:noProof/>
              </w:rPr>
              <w:t>IV.</w:t>
            </w:r>
            <w:r w:rsidR="0089519F">
              <w:rPr>
                <w:rFonts w:asciiTheme="minorHAnsi" w:eastAsiaTheme="minorEastAsia" w:hAnsiTheme="minorHAnsi" w:cstheme="minorBidi"/>
                <w:noProof/>
                <w:sz w:val="22"/>
              </w:rPr>
              <w:tab/>
            </w:r>
            <w:r w:rsidR="0089519F" w:rsidRPr="0032319F">
              <w:rPr>
                <w:rStyle w:val="Hyperlink"/>
                <w:noProof/>
              </w:rPr>
              <w:t>“Full Decoupling” Defined</w:t>
            </w:r>
            <w:r w:rsidR="0089519F">
              <w:rPr>
                <w:noProof/>
                <w:webHidden/>
              </w:rPr>
              <w:tab/>
            </w:r>
            <w:r w:rsidR="0089519F">
              <w:rPr>
                <w:noProof/>
                <w:webHidden/>
              </w:rPr>
              <w:fldChar w:fldCharType="begin"/>
            </w:r>
            <w:r w:rsidR="0089519F">
              <w:rPr>
                <w:noProof/>
                <w:webHidden/>
              </w:rPr>
              <w:instrText xml:space="preserve"> PAGEREF _Toc311029098 \h </w:instrText>
            </w:r>
            <w:r w:rsidR="0089519F">
              <w:rPr>
                <w:noProof/>
                <w:webHidden/>
              </w:rPr>
            </w:r>
            <w:r w:rsidR="0089519F">
              <w:rPr>
                <w:noProof/>
                <w:webHidden/>
              </w:rPr>
              <w:fldChar w:fldCharType="separate"/>
            </w:r>
            <w:r w:rsidR="0089519F">
              <w:rPr>
                <w:noProof/>
                <w:webHidden/>
              </w:rPr>
              <w:t>3</w:t>
            </w:r>
            <w:r w:rsidR="0089519F">
              <w:rPr>
                <w:noProof/>
                <w:webHidden/>
              </w:rPr>
              <w:fldChar w:fldCharType="end"/>
            </w:r>
          </w:hyperlink>
        </w:p>
        <w:p w:rsidR="0089519F" w:rsidRDefault="00F25424">
          <w:pPr>
            <w:pStyle w:val="TOC1"/>
            <w:tabs>
              <w:tab w:val="left" w:pos="660"/>
              <w:tab w:val="right" w:leader="dot" w:pos="9350"/>
            </w:tabs>
            <w:rPr>
              <w:rFonts w:asciiTheme="minorHAnsi" w:eastAsiaTheme="minorEastAsia" w:hAnsiTheme="minorHAnsi" w:cstheme="minorBidi"/>
              <w:noProof/>
              <w:sz w:val="22"/>
            </w:rPr>
          </w:pPr>
          <w:hyperlink w:anchor="_Toc311029099" w:history="1">
            <w:r w:rsidR="0089519F" w:rsidRPr="0032319F">
              <w:rPr>
                <w:rStyle w:val="Hyperlink"/>
                <w:noProof/>
              </w:rPr>
              <w:t>V.</w:t>
            </w:r>
            <w:r w:rsidR="0089519F">
              <w:rPr>
                <w:rFonts w:asciiTheme="minorHAnsi" w:eastAsiaTheme="minorEastAsia" w:hAnsiTheme="minorHAnsi" w:cstheme="minorBidi"/>
                <w:noProof/>
                <w:sz w:val="22"/>
              </w:rPr>
              <w:tab/>
            </w:r>
            <w:r w:rsidR="0089519F" w:rsidRPr="0032319F">
              <w:rPr>
                <w:rStyle w:val="Hyperlink"/>
                <w:noProof/>
              </w:rPr>
              <w:t>Objectives of Decoupling</w:t>
            </w:r>
            <w:r w:rsidR="0089519F">
              <w:rPr>
                <w:noProof/>
                <w:webHidden/>
              </w:rPr>
              <w:tab/>
            </w:r>
            <w:r w:rsidR="0089519F">
              <w:rPr>
                <w:noProof/>
                <w:webHidden/>
              </w:rPr>
              <w:fldChar w:fldCharType="begin"/>
            </w:r>
            <w:r w:rsidR="0089519F">
              <w:rPr>
                <w:noProof/>
                <w:webHidden/>
              </w:rPr>
              <w:instrText xml:space="preserve"> PAGEREF _Toc311029099 \h </w:instrText>
            </w:r>
            <w:r w:rsidR="0089519F">
              <w:rPr>
                <w:noProof/>
                <w:webHidden/>
              </w:rPr>
            </w:r>
            <w:r w:rsidR="0089519F">
              <w:rPr>
                <w:noProof/>
                <w:webHidden/>
              </w:rPr>
              <w:fldChar w:fldCharType="separate"/>
            </w:r>
            <w:r w:rsidR="0089519F">
              <w:rPr>
                <w:noProof/>
                <w:webHidden/>
              </w:rPr>
              <w:t>4</w:t>
            </w:r>
            <w:r w:rsidR="0089519F">
              <w:rPr>
                <w:noProof/>
                <w:webHidden/>
              </w:rPr>
              <w:fldChar w:fldCharType="end"/>
            </w:r>
          </w:hyperlink>
        </w:p>
        <w:p w:rsidR="0089519F" w:rsidRDefault="00F25424">
          <w:pPr>
            <w:pStyle w:val="TOC1"/>
            <w:tabs>
              <w:tab w:val="left" w:pos="660"/>
              <w:tab w:val="right" w:leader="dot" w:pos="9350"/>
            </w:tabs>
            <w:rPr>
              <w:rFonts w:asciiTheme="minorHAnsi" w:eastAsiaTheme="minorEastAsia" w:hAnsiTheme="minorHAnsi" w:cstheme="minorBidi"/>
              <w:noProof/>
              <w:sz w:val="22"/>
            </w:rPr>
          </w:pPr>
          <w:hyperlink w:anchor="_Toc311029100" w:history="1">
            <w:r w:rsidR="0089519F" w:rsidRPr="0032319F">
              <w:rPr>
                <w:rStyle w:val="Hyperlink"/>
                <w:noProof/>
              </w:rPr>
              <w:t>VI.</w:t>
            </w:r>
            <w:r w:rsidR="0089519F">
              <w:rPr>
                <w:rFonts w:asciiTheme="minorHAnsi" w:eastAsiaTheme="minorEastAsia" w:hAnsiTheme="minorHAnsi" w:cstheme="minorBidi"/>
                <w:noProof/>
                <w:sz w:val="22"/>
              </w:rPr>
              <w:tab/>
            </w:r>
            <w:r w:rsidR="0089519F" w:rsidRPr="0032319F">
              <w:rPr>
                <w:rStyle w:val="Hyperlink"/>
                <w:noProof/>
              </w:rPr>
              <w:t>Required Elements of a Full Decoupling Mechanism</w:t>
            </w:r>
            <w:r w:rsidR="0089519F">
              <w:rPr>
                <w:noProof/>
                <w:webHidden/>
              </w:rPr>
              <w:tab/>
            </w:r>
            <w:r w:rsidR="0089519F">
              <w:rPr>
                <w:noProof/>
                <w:webHidden/>
              </w:rPr>
              <w:fldChar w:fldCharType="begin"/>
            </w:r>
            <w:r w:rsidR="0089519F">
              <w:rPr>
                <w:noProof/>
                <w:webHidden/>
              </w:rPr>
              <w:instrText xml:space="preserve"> PAGEREF _Toc311029100 \h </w:instrText>
            </w:r>
            <w:r w:rsidR="0089519F">
              <w:rPr>
                <w:noProof/>
                <w:webHidden/>
              </w:rPr>
            </w:r>
            <w:r w:rsidR="0089519F">
              <w:rPr>
                <w:noProof/>
                <w:webHidden/>
              </w:rPr>
              <w:fldChar w:fldCharType="separate"/>
            </w:r>
            <w:r w:rsidR="0089519F">
              <w:rPr>
                <w:noProof/>
                <w:webHidden/>
              </w:rPr>
              <w:t>5</w:t>
            </w:r>
            <w:r w:rsidR="0089519F">
              <w:rPr>
                <w:noProof/>
                <w:webHidden/>
              </w:rPr>
              <w:fldChar w:fldCharType="end"/>
            </w:r>
          </w:hyperlink>
        </w:p>
        <w:p w:rsidR="0089519F" w:rsidRDefault="00F25424">
          <w:pPr>
            <w:pStyle w:val="TOC1"/>
            <w:tabs>
              <w:tab w:val="left" w:pos="660"/>
              <w:tab w:val="right" w:leader="dot" w:pos="9350"/>
            </w:tabs>
            <w:rPr>
              <w:rFonts w:asciiTheme="minorHAnsi" w:eastAsiaTheme="minorEastAsia" w:hAnsiTheme="minorHAnsi" w:cstheme="minorBidi"/>
              <w:noProof/>
              <w:sz w:val="22"/>
            </w:rPr>
          </w:pPr>
          <w:hyperlink w:anchor="_Toc311029101" w:history="1">
            <w:r w:rsidR="0089519F" w:rsidRPr="0032319F">
              <w:rPr>
                <w:rStyle w:val="Hyperlink"/>
                <w:noProof/>
              </w:rPr>
              <w:t>VII.</w:t>
            </w:r>
            <w:r w:rsidR="0089519F">
              <w:rPr>
                <w:rFonts w:asciiTheme="minorHAnsi" w:eastAsiaTheme="minorEastAsia" w:hAnsiTheme="minorHAnsi" w:cstheme="minorBidi"/>
                <w:noProof/>
                <w:sz w:val="22"/>
              </w:rPr>
              <w:tab/>
            </w:r>
            <w:r w:rsidR="0089519F" w:rsidRPr="0032319F">
              <w:rPr>
                <w:rStyle w:val="Hyperlink"/>
                <w:noProof/>
              </w:rPr>
              <w:t>Description of the Mechanism</w:t>
            </w:r>
            <w:r w:rsidR="0089519F">
              <w:rPr>
                <w:noProof/>
                <w:webHidden/>
              </w:rPr>
              <w:tab/>
            </w:r>
            <w:r w:rsidR="0089519F">
              <w:rPr>
                <w:noProof/>
                <w:webHidden/>
              </w:rPr>
              <w:fldChar w:fldCharType="begin"/>
            </w:r>
            <w:r w:rsidR="0089519F">
              <w:rPr>
                <w:noProof/>
                <w:webHidden/>
              </w:rPr>
              <w:instrText xml:space="preserve"> PAGEREF _Toc311029101 \h </w:instrText>
            </w:r>
            <w:r w:rsidR="0089519F">
              <w:rPr>
                <w:noProof/>
                <w:webHidden/>
              </w:rPr>
            </w:r>
            <w:r w:rsidR="0089519F">
              <w:rPr>
                <w:noProof/>
                <w:webHidden/>
              </w:rPr>
              <w:fldChar w:fldCharType="separate"/>
            </w:r>
            <w:r w:rsidR="0089519F">
              <w:rPr>
                <w:noProof/>
                <w:webHidden/>
              </w:rPr>
              <w:t>6</w:t>
            </w:r>
            <w:r w:rsidR="0089519F">
              <w:rPr>
                <w:noProof/>
                <w:webHidden/>
              </w:rPr>
              <w:fldChar w:fldCharType="end"/>
            </w:r>
          </w:hyperlink>
        </w:p>
        <w:p w:rsidR="0089519F" w:rsidRDefault="00F25424">
          <w:pPr>
            <w:pStyle w:val="TOC1"/>
            <w:tabs>
              <w:tab w:val="left" w:pos="880"/>
              <w:tab w:val="right" w:leader="dot" w:pos="9350"/>
            </w:tabs>
            <w:rPr>
              <w:rFonts w:asciiTheme="minorHAnsi" w:eastAsiaTheme="minorEastAsia" w:hAnsiTheme="minorHAnsi" w:cstheme="minorBidi"/>
              <w:noProof/>
              <w:sz w:val="22"/>
            </w:rPr>
          </w:pPr>
          <w:hyperlink w:anchor="_Toc311029102" w:history="1">
            <w:r w:rsidR="0089519F" w:rsidRPr="0032319F">
              <w:rPr>
                <w:rStyle w:val="Hyperlink"/>
                <w:noProof/>
              </w:rPr>
              <w:t>VIII.</w:t>
            </w:r>
            <w:r w:rsidR="0089519F">
              <w:rPr>
                <w:rFonts w:asciiTheme="minorHAnsi" w:eastAsiaTheme="minorEastAsia" w:hAnsiTheme="minorHAnsi" w:cstheme="minorBidi"/>
                <w:noProof/>
                <w:sz w:val="22"/>
              </w:rPr>
              <w:tab/>
            </w:r>
            <w:r w:rsidR="0089519F" w:rsidRPr="0032319F">
              <w:rPr>
                <w:rStyle w:val="Hyperlink"/>
                <w:noProof/>
              </w:rPr>
              <w:t>How the Mechanism Addresses Each Commission-Required Element</w:t>
            </w:r>
            <w:r w:rsidR="0089519F">
              <w:rPr>
                <w:noProof/>
                <w:webHidden/>
              </w:rPr>
              <w:tab/>
            </w:r>
            <w:r w:rsidR="0089519F">
              <w:rPr>
                <w:noProof/>
                <w:webHidden/>
              </w:rPr>
              <w:fldChar w:fldCharType="begin"/>
            </w:r>
            <w:r w:rsidR="0089519F">
              <w:rPr>
                <w:noProof/>
                <w:webHidden/>
              </w:rPr>
              <w:instrText xml:space="preserve"> PAGEREF _Toc311029102 \h </w:instrText>
            </w:r>
            <w:r w:rsidR="0089519F">
              <w:rPr>
                <w:noProof/>
                <w:webHidden/>
              </w:rPr>
            </w:r>
            <w:r w:rsidR="0089519F">
              <w:rPr>
                <w:noProof/>
                <w:webHidden/>
              </w:rPr>
              <w:fldChar w:fldCharType="separate"/>
            </w:r>
            <w:r w:rsidR="0089519F">
              <w:rPr>
                <w:noProof/>
                <w:webHidden/>
              </w:rPr>
              <w:t>6</w:t>
            </w:r>
            <w:r w:rsidR="0089519F">
              <w:rPr>
                <w:noProof/>
                <w:webHidden/>
              </w:rPr>
              <w:fldChar w:fldCharType="end"/>
            </w:r>
          </w:hyperlink>
        </w:p>
        <w:p w:rsidR="0089519F" w:rsidRDefault="00F25424">
          <w:pPr>
            <w:pStyle w:val="TOC2"/>
            <w:tabs>
              <w:tab w:val="left" w:pos="880"/>
              <w:tab w:val="right" w:leader="dot" w:pos="9350"/>
            </w:tabs>
            <w:rPr>
              <w:rFonts w:asciiTheme="minorHAnsi" w:eastAsiaTheme="minorEastAsia" w:hAnsiTheme="minorHAnsi" w:cstheme="minorBidi"/>
              <w:noProof/>
              <w:sz w:val="22"/>
            </w:rPr>
          </w:pPr>
          <w:hyperlink w:anchor="_Toc311029103" w:history="1">
            <w:r w:rsidR="0089519F" w:rsidRPr="0032319F">
              <w:rPr>
                <w:rStyle w:val="Hyperlink"/>
                <w:noProof/>
              </w:rPr>
              <w:t>A.</w:t>
            </w:r>
            <w:r w:rsidR="0089519F">
              <w:rPr>
                <w:rFonts w:asciiTheme="minorHAnsi" w:eastAsiaTheme="minorEastAsia" w:hAnsiTheme="minorHAnsi" w:cstheme="minorBidi"/>
                <w:noProof/>
                <w:sz w:val="22"/>
              </w:rPr>
              <w:tab/>
            </w:r>
            <w:r w:rsidR="0089519F" w:rsidRPr="0032319F">
              <w:rPr>
                <w:rStyle w:val="Hyperlink"/>
                <w:noProof/>
              </w:rPr>
              <w:t>Eliminating the Utility’s Risk of Revenue Declines</w:t>
            </w:r>
            <w:r w:rsidR="0089519F">
              <w:rPr>
                <w:noProof/>
                <w:webHidden/>
              </w:rPr>
              <w:tab/>
            </w:r>
            <w:r w:rsidR="0089519F">
              <w:rPr>
                <w:noProof/>
                <w:webHidden/>
              </w:rPr>
              <w:fldChar w:fldCharType="begin"/>
            </w:r>
            <w:r w:rsidR="0089519F">
              <w:rPr>
                <w:noProof/>
                <w:webHidden/>
              </w:rPr>
              <w:instrText xml:space="preserve"> PAGEREF _Toc311029103 \h </w:instrText>
            </w:r>
            <w:r w:rsidR="0089519F">
              <w:rPr>
                <w:noProof/>
                <w:webHidden/>
              </w:rPr>
            </w:r>
            <w:r w:rsidR="0089519F">
              <w:rPr>
                <w:noProof/>
                <w:webHidden/>
              </w:rPr>
              <w:fldChar w:fldCharType="separate"/>
            </w:r>
            <w:r w:rsidR="0089519F">
              <w:rPr>
                <w:noProof/>
                <w:webHidden/>
              </w:rPr>
              <w:t>6</w:t>
            </w:r>
            <w:r w:rsidR="0089519F">
              <w:rPr>
                <w:noProof/>
                <w:webHidden/>
              </w:rPr>
              <w:fldChar w:fldCharType="end"/>
            </w:r>
          </w:hyperlink>
        </w:p>
        <w:p w:rsidR="0089519F" w:rsidRDefault="00F25424">
          <w:pPr>
            <w:pStyle w:val="TOC2"/>
            <w:tabs>
              <w:tab w:val="left" w:pos="880"/>
              <w:tab w:val="right" w:leader="dot" w:pos="9350"/>
            </w:tabs>
            <w:rPr>
              <w:rFonts w:asciiTheme="minorHAnsi" w:eastAsiaTheme="minorEastAsia" w:hAnsiTheme="minorHAnsi" w:cstheme="minorBidi"/>
              <w:noProof/>
              <w:sz w:val="22"/>
            </w:rPr>
          </w:pPr>
          <w:hyperlink w:anchor="_Toc311029104" w:history="1">
            <w:r w:rsidR="0089519F" w:rsidRPr="0032319F">
              <w:rPr>
                <w:rStyle w:val="Hyperlink"/>
                <w:noProof/>
              </w:rPr>
              <w:t>B.</w:t>
            </w:r>
            <w:r w:rsidR="0089519F">
              <w:rPr>
                <w:rFonts w:asciiTheme="minorHAnsi" w:eastAsiaTheme="minorEastAsia" w:hAnsiTheme="minorHAnsi" w:cstheme="minorBidi"/>
                <w:noProof/>
                <w:sz w:val="22"/>
              </w:rPr>
              <w:tab/>
            </w:r>
            <w:r w:rsidR="0089519F" w:rsidRPr="0032319F">
              <w:rPr>
                <w:rStyle w:val="Hyperlink"/>
                <w:noProof/>
              </w:rPr>
              <w:t>Annual True-Ups to the Rate Case-Determined Level of Revenues</w:t>
            </w:r>
            <w:r w:rsidR="0089519F">
              <w:rPr>
                <w:noProof/>
                <w:webHidden/>
              </w:rPr>
              <w:tab/>
            </w:r>
            <w:r w:rsidR="0089519F">
              <w:rPr>
                <w:noProof/>
                <w:webHidden/>
              </w:rPr>
              <w:fldChar w:fldCharType="begin"/>
            </w:r>
            <w:r w:rsidR="0089519F">
              <w:rPr>
                <w:noProof/>
                <w:webHidden/>
              </w:rPr>
              <w:instrText xml:space="preserve"> PAGEREF _Toc311029104 \h </w:instrText>
            </w:r>
            <w:r w:rsidR="0089519F">
              <w:rPr>
                <w:noProof/>
                <w:webHidden/>
              </w:rPr>
            </w:r>
            <w:r w:rsidR="0089519F">
              <w:rPr>
                <w:noProof/>
                <w:webHidden/>
              </w:rPr>
              <w:fldChar w:fldCharType="separate"/>
            </w:r>
            <w:r w:rsidR="0089519F">
              <w:rPr>
                <w:noProof/>
                <w:webHidden/>
              </w:rPr>
              <w:t>7</w:t>
            </w:r>
            <w:r w:rsidR="0089519F">
              <w:rPr>
                <w:noProof/>
                <w:webHidden/>
              </w:rPr>
              <w:fldChar w:fldCharType="end"/>
            </w:r>
          </w:hyperlink>
        </w:p>
        <w:p w:rsidR="0089519F" w:rsidRDefault="00F25424">
          <w:pPr>
            <w:pStyle w:val="TOC2"/>
            <w:tabs>
              <w:tab w:val="left" w:pos="880"/>
              <w:tab w:val="right" w:leader="dot" w:pos="9350"/>
            </w:tabs>
            <w:rPr>
              <w:rFonts w:asciiTheme="minorHAnsi" w:eastAsiaTheme="minorEastAsia" w:hAnsiTheme="minorHAnsi" w:cstheme="minorBidi"/>
              <w:noProof/>
              <w:sz w:val="22"/>
            </w:rPr>
          </w:pPr>
          <w:hyperlink w:anchor="_Toc311029107" w:history="1">
            <w:r w:rsidR="0089519F" w:rsidRPr="0032319F">
              <w:rPr>
                <w:rStyle w:val="Hyperlink"/>
                <w:noProof/>
              </w:rPr>
              <w:t>C.</w:t>
            </w:r>
            <w:r w:rsidR="0089519F">
              <w:rPr>
                <w:rFonts w:asciiTheme="minorHAnsi" w:eastAsiaTheme="minorEastAsia" w:hAnsiTheme="minorHAnsi" w:cstheme="minorBidi"/>
                <w:noProof/>
                <w:sz w:val="22"/>
              </w:rPr>
              <w:tab/>
            </w:r>
            <w:r w:rsidR="0089519F" w:rsidRPr="0032319F">
              <w:rPr>
                <w:rStyle w:val="Hyperlink"/>
                <w:noProof/>
              </w:rPr>
              <w:t>Full Decoupling Lasts Until the Mechanism Achieves its Objectives or Until the Next General Rate Case</w:t>
            </w:r>
            <w:r w:rsidR="0089519F">
              <w:rPr>
                <w:noProof/>
                <w:webHidden/>
              </w:rPr>
              <w:tab/>
            </w:r>
            <w:r w:rsidR="0089519F">
              <w:rPr>
                <w:noProof/>
                <w:webHidden/>
              </w:rPr>
              <w:fldChar w:fldCharType="begin"/>
            </w:r>
            <w:r w:rsidR="0089519F">
              <w:rPr>
                <w:noProof/>
                <w:webHidden/>
              </w:rPr>
              <w:instrText xml:space="preserve"> PAGEREF _Toc311029107 \h </w:instrText>
            </w:r>
            <w:r w:rsidR="0089519F">
              <w:rPr>
                <w:noProof/>
                <w:webHidden/>
              </w:rPr>
            </w:r>
            <w:r w:rsidR="0089519F">
              <w:rPr>
                <w:noProof/>
                <w:webHidden/>
              </w:rPr>
              <w:fldChar w:fldCharType="separate"/>
            </w:r>
            <w:r w:rsidR="0089519F">
              <w:rPr>
                <w:noProof/>
                <w:webHidden/>
              </w:rPr>
              <w:t>8</w:t>
            </w:r>
            <w:r w:rsidR="0089519F">
              <w:rPr>
                <w:noProof/>
                <w:webHidden/>
              </w:rPr>
              <w:fldChar w:fldCharType="end"/>
            </w:r>
          </w:hyperlink>
        </w:p>
        <w:p w:rsidR="0089519F" w:rsidRDefault="00F25424">
          <w:pPr>
            <w:pStyle w:val="TOC2"/>
            <w:tabs>
              <w:tab w:val="left" w:pos="880"/>
              <w:tab w:val="right" w:leader="dot" w:pos="9350"/>
            </w:tabs>
            <w:rPr>
              <w:rFonts w:asciiTheme="minorHAnsi" w:eastAsiaTheme="minorEastAsia" w:hAnsiTheme="minorHAnsi" w:cstheme="minorBidi"/>
              <w:noProof/>
              <w:sz w:val="22"/>
            </w:rPr>
          </w:pPr>
          <w:hyperlink w:anchor="_Toc311029108" w:history="1">
            <w:r w:rsidR="0089519F" w:rsidRPr="0032319F">
              <w:rPr>
                <w:rStyle w:val="Hyperlink"/>
                <w:noProof/>
              </w:rPr>
              <w:t>D.</w:t>
            </w:r>
            <w:r w:rsidR="0089519F">
              <w:rPr>
                <w:rFonts w:asciiTheme="minorHAnsi" w:eastAsiaTheme="minorEastAsia" w:hAnsiTheme="minorHAnsi" w:cstheme="minorBidi"/>
                <w:noProof/>
                <w:sz w:val="22"/>
              </w:rPr>
              <w:tab/>
            </w:r>
            <w:r w:rsidR="0089519F" w:rsidRPr="0032319F">
              <w:rPr>
                <w:rStyle w:val="Hyperlink"/>
                <w:noProof/>
              </w:rPr>
              <w:t>Application to Customer Classes</w:t>
            </w:r>
            <w:r w:rsidR="0089519F">
              <w:rPr>
                <w:noProof/>
                <w:webHidden/>
              </w:rPr>
              <w:tab/>
            </w:r>
            <w:r w:rsidR="0089519F">
              <w:rPr>
                <w:noProof/>
                <w:webHidden/>
              </w:rPr>
              <w:fldChar w:fldCharType="begin"/>
            </w:r>
            <w:r w:rsidR="0089519F">
              <w:rPr>
                <w:noProof/>
                <w:webHidden/>
              </w:rPr>
              <w:instrText xml:space="preserve"> PAGEREF _Toc311029108 \h </w:instrText>
            </w:r>
            <w:r w:rsidR="0089519F">
              <w:rPr>
                <w:noProof/>
                <w:webHidden/>
              </w:rPr>
            </w:r>
            <w:r w:rsidR="0089519F">
              <w:rPr>
                <w:noProof/>
                <w:webHidden/>
              </w:rPr>
              <w:fldChar w:fldCharType="separate"/>
            </w:r>
            <w:r w:rsidR="0089519F">
              <w:rPr>
                <w:noProof/>
                <w:webHidden/>
              </w:rPr>
              <w:t>8</w:t>
            </w:r>
            <w:r w:rsidR="0089519F">
              <w:rPr>
                <w:noProof/>
                <w:webHidden/>
              </w:rPr>
              <w:fldChar w:fldCharType="end"/>
            </w:r>
          </w:hyperlink>
        </w:p>
        <w:p w:rsidR="0089519F" w:rsidRDefault="00F25424">
          <w:pPr>
            <w:pStyle w:val="TOC2"/>
            <w:tabs>
              <w:tab w:val="left" w:pos="880"/>
              <w:tab w:val="right" w:leader="dot" w:pos="9350"/>
            </w:tabs>
            <w:rPr>
              <w:rFonts w:asciiTheme="minorHAnsi" w:eastAsiaTheme="minorEastAsia" w:hAnsiTheme="minorHAnsi" w:cstheme="minorBidi"/>
              <w:noProof/>
              <w:sz w:val="22"/>
            </w:rPr>
          </w:pPr>
          <w:hyperlink w:anchor="_Toc311029120" w:history="1">
            <w:r w:rsidR="0089519F" w:rsidRPr="0032319F">
              <w:rPr>
                <w:rStyle w:val="Hyperlink"/>
                <w:noProof/>
              </w:rPr>
              <w:t>E.</w:t>
            </w:r>
            <w:r w:rsidR="0089519F">
              <w:rPr>
                <w:rFonts w:asciiTheme="minorHAnsi" w:eastAsiaTheme="minorEastAsia" w:hAnsiTheme="minorHAnsi" w:cstheme="minorBidi"/>
                <w:noProof/>
                <w:sz w:val="22"/>
              </w:rPr>
              <w:tab/>
            </w:r>
            <w:r w:rsidR="0089519F" w:rsidRPr="0032319F">
              <w:rPr>
                <w:rStyle w:val="Hyperlink"/>
                <w:noProof/>
              </w:rPr>
              <w:t>Impact on the Rate of Return</w:t>
            </w:r>
            <w:r w:rsidR="0089519F">
              <w:rPr>
                <w:noProof/>
                <w:webHidden/>
              </w:rPr>
              <w:tab/>
            </w:r>
            <w:r w:rsidR="0089519F">
              <w:rPr>
                <w:noProof/>
                <w:webHidden/>
              </w:rPr>
              <w:fldChar w:fldCharType="begin"/>
            </w:r>
            <w:r w:rsidR="0089519F">
              <w:rPr>
                <w:noProof/>
                <w:webHidden/>
              </w:rPr>
              <w:instrText xml:space="preserve"> PAGEREF _Toc311029120 \h </w:instrText>
            </w:r>
            <w:r w:rsidR="0089519F">
              <w:rPr>
                <w:noProof/>
                <w:webHidden/>
              </w:rPr>
            </w:r>
            <w:r w:rsidR="0089519F">
              <w:rPr>
                <w:noProof/>
                <w:webHidden/>
              </w:rPr>
              <w:fldChar w:fldCharType="separate"/>
            </w:r>
            <w:r w:rsidR="0089519F">
              <w:rPr>
                <w:noProof/>
                <w:webHidden/>
              </w:rPr>
              <w:t>9</w:t>
            </w:r>
            <w:r w:rsidR="0089519F">
              <w:rPr>
                <w:noProof/>
                <w:webHidden/>
              </w:rPr>
              <w:fldChar w:fldCharType="end"/>
            </w:r>
          </w:hyperlink>
        </w:p>
        <w:p w:rsidR="0089519F" w:rsidRDefault="00F25424">
          <w:pPr>
            <w:pStyle w:val="TOC2"/>
            <w:tabs>
              <w:tab w:val="left" w:pos="660"/>
              <w:tab w:val="right" w:leader="dot" w:pos="9350"/>
            </w:tabs>
            <w:rPr>
              <w:rFonts w:asciiTheme="minorHAnsi" w:eastAsiaTheme="minorEastAsia" w:hAnsiTheme="minorHAnsi" w:cstheme="minorBidi"/>
              <w:noProof/>
              <w:sz w:val="22"/>
            </w:rPr>
          </w:pPr>
          <w:hyperlink w:anchor="_Toc311029121" w:history="1">
            <w:r w:rsidR="0089519F" w:rsidRPr="0032319F">
              <w:rPr>
                <w:rStyle w:val="Hyperlink"/>
                <w:noProof/>
              </w:rPr>
              <w:t>F.</w:t>
            </w:r>
            <w:r w:rsidR="0089519F">
              <w:rPr>
                <w:rFonts w:asciiTheme="minorHAnsi" w:eastAsiaTheme="minorEastAsia" w:hAnsiTheme="minorHAnsi" w:cstheme="minorBidi"/>
                <w:noProof/>
                <w:sz w:val="22"/>
              </w:rPr>
              <w:tab/>
            </w:r>
            <w:r w:rsidR="0089519F" w:rsidRPr="0032319F">
              <w:rPr>
                <w:rStyle w:val="Hyperlink"/>
                <w:noProof/>
              </w:rPr>
              <w:t>Earnings Test</w:t>
            </w:r>
            <w:r w:rsidR="0089519F">
              <w:rPr>
                <w:noProof/>
                <w:webHidden/>
              </w:rPr>
              <w:tab/>
            </w:r>
            <w:r w:rsidR="0089519F">
              <w:rPr>
                <w:noProof/>
                <w:webHidden/>
              </w:rPr>
              <w:fldChar w:fldCharType="begin"/>
            </w:r>
            <w:r w:rsidR="0089519F">
              <w:rPr>
                <w:noProof/>
                <w:webHidden/>
              </w:rPr>
              <w:instrText xml:space="preserve"> PAGEREF _Toc311029121 \h </w:instrText>
            </w:r>
            <w:r w:rsidR="0089519F">
              <w:rPr>
                <w:noProof/>
                <w:webHidden/>
              </w:rPr>
            </w:r>
            <w:r w:rsidR="0089519F">
              <w:rPr>
                <w:noProof/>
                <w:webHidden/>
              </w:rPr>
              <w:fldChar w:fldCharType="separate"/>
            </w:r>
            <w:r w:rsidR="0089519F">
              <w:rPr>
                <w:noProof/>
                <w:webHidden/>
              </w:rPr>
              <w:t>10</w:t>
            </w:r>
            <w:r w:rsidR="0089519F">
              <w:rPr>
                <w:noProof/>
                <w:webHidden/>
              </w:rPr>
              <w:fldChar w:fldCharType="end"/>
            </w:r>
          </w:hyperlink>
        </w:p>
        <w:p w:rsidR="0089519F" w:rsidRDefault="00F25424">
          <w:pPr>
            <w:pStyle w:val="TOC2"/>
            <w:tabs>
              <w:tab w:val="left" w:pos="880"/>
              <w:tab w:val="right" w:leader="dot" w:pos="9350"/>
            </w:tabs>
            <w:rPr>
              <w:rFonts w:asciiTheme="minorHAnsi" w:eastAsiaTheme="minorEastAsia" w:hAnsiTheme="minorHAnsi" w:cstheme="minorBidi"/>
              <w:noProof/>
              <w:sz w:val="22"/>
            </w:rPr>
          </w:pPr>
          <w:hyperlink w:anchor="_Toc311029122" w:history="1">
            <w:r w:rsidR="0089519F" w:rsidRPr="0032319F">
              <w:rPr>
                <w:rStyle w:val="Hyperlink"/>
                <w:noProof/>
              </w:rPr>
              <w:t>G.</w:t>
            </w:r>
            <w:r w:rsidR="0089519F">
              <w:rPr>
                <w:rFonts w:asciiTheme="minorHAnsi" w:eastAsiaTheme="minorEastAsia" w:hAnsiTheme="minorHAnsi" w:cstheme="minorBidi"/>
                <w:noProof/>
                <w:sz w:val="22"/>
              </w:rPr>
              <w:tab/>
            </w:r>
            <w:r w:rsidR="0089519F" w:rsidRPr="0032319F">
              <w:rPr>
                <w:rStyle w:val="Hyperlink"/>
                <w:noProof/>
              </w:rPr>
              <w:t>Address Management’s Potential Disincentive to Reduce Costs, in Light of   Eliminating the Utility’s Risk of Revenue Declines</w:t>
            </w:r>
            <w:r w:rsidR="0089519F">
              <w:rPr>
                <w:noProof/>
                <w:webHidden/>
              </w:rPr>
              <w:tab/>
            </w:r>
            <w:r w:rsidR="0089519F">
              <w:rPr>
                <w:noProof/>
                <w:webHidden/>
              </w:rPr>
              <w:fldChar w:fldCharType="begin"/>
            </w:r>
            <w:r w:rsidR="0089519F">
              <w:rPr>
                <w:noProof/>
                <w:webHidden/>
              </w:rPr>
              <w:instrText xml:space="preserve"> PAGEREF _Toc311029122 \h </w:instrText>
            </w:r>
            <w:r w:rsidR="0089519F">
              <w:rPr>
                <w:noProof/>
                <w:webHidden/>
              </w:rPr>
            </w:r>
            <w:r w:rsidR="0089519F">
              <w:rPr>
                <w:noProof/>
                <w:webHidden/>
              </w:rPr>
              <w:fldChar w:fldCharType="separate"/>
            </w:r>
            <w:r w:rsidR="0089519F">
              <w:rPr>
                <w:noProof/>
                <w:webHidden/>
              </w:rPr>
              <w:t>12</w:t>
            </w:r>
            <w:r w:rsidR="0089519F">
              <w:rPr>
                <w:noProof/>
                <w:webHidden/>
              </w:rPr>
              <w:fldChar w:fldCharType="end"/>
            </w:r>
          </w:hyperlink>
        </w:p>
        <w:p w:rsidR="0089519F" w:rsidRDefault="00F25424">
          <w:pPr>
            <w:pStyle w:val="TOC2"/>
            <w:tabs>
              <w:tab w:val="left" w:pos="880"/>
              <w:tab w:val="right" w:leader="dot" w:pos="9350"/>
            </w:tabs>
            <w:rPr>
              <w:rFonts w:asciiTheme="minorHAnsi" w:eastAsiaTheme="minorEastAsia" w:hAnsiTheme="minorHAnsi" w:cstheme="minorBidi"/>
              <w:noProof/>
              <w:sz w:val="22"/>
            </w:rPr>
          </w:pPr>
          <w:hyperlink w:anchor="_Toc311029123" w:history="1">
            <w:r w:rsidR="0089519F" w:rsidRPr="0032319F">
              <w:rPr>
                <w:rStyle w:val="Hyperlink"/>
                <w:noProof/>
              </w:rPr>
              <w:t>H.</w:t>
            </w:r>
            <w:r w:rsidR="0089519F">
              <w:rPr>
                <w:rFonts w:asciiTheme="minorHAnsi" w:eastAsiaTheme="minorEastAsia" w:hAnsiTheme="minorHAnsi" w:cstheme="minorBidi"/>
                <w:noProof/>
                <w:sz w:val="22"/>
              </w:rPr>
              <w:tab/>
            </w:r>
            <w:r w:rsidR="0089519F" w:rsidRPr="0032319F">
              <w:rPr>
                <w:rStyle w:val="Hyperlink"/>
                <w:noProof/>
              </w:rPr>
              <w:t>Conservation Achievement</w:t>
            </w:r>
            <w:r w:rsidR="0089519F">
              <w:rPr>
                <w:noProof/>
                <w:webHidden/>
              </w:rPr>
              <w:tab/>
            </w:r>
            <w:r w:rsidR="0089519F">
              <w:rPr>
                <w:noProof/>
                <w:webHidden/>
              </w:rPr>
              <w:fldChar w:fldCharType="begin"/>
            </w:r>
            <w:r w:rsidR="0089519F">
              <w:rPr>
                <w:noProof/>
                <w:webHidden/>
              </w:rPr>
              <w:instrText xml:space="preserve"> PAGEREF _Toc311029123 \h </w:instrText>
            </w:r>
            <w:r w:rsidR="0089519F">
              <w:rPr>
                <w:noProof/>
                <w:webHidden/>
              </w:rPr>
            </w:r>
            <w:r w:rsidR="0089519F">
              <w:rPr>
                <w:noProof/>
                <w:webHidden/>
              </w:rPr>
              <w:fldChar w:fldCharType="separate"/>
            </w:r>
            <w:r w:rsidR="0089519F">
              <w:rPr>
                <w:noProof/>
                <w:webHidden/>
              </w:rPr>
              <w:t>13</w:t>
            </w:r>
            <w:r w:rsidR="0089519F">
              <w:rPr>
                <w:noProof/>
                <w:webHidden/>
              </w:rPr>
              <w:fldChar w:fldCharType="end"/>
            </w:r>
          </w:hyperlink>
        </w:p>
        <w:p w:rsidR="0089519F" w:rsidRDefault="00F25424">
          <w:pPr>
            <w:pStyle w:val="TOC2"/>
            <w:tabs>
              <w:tab w:val="left" w:pos="660"/>
              <w:tab w:val="right" w:leader="dot" w:pos="9350"/>
            </w:tabs>
            <w:rPr>
              <w:rFonts w:asciiTheme="minorHAnsi" w:eastAsiaTheme="minorEastAsia" w:hAnsiTheme="minorHAnsi" w:cstheme="minorBidi"/>
              <w:noProof/>
              <w:sz w:val="22"/>
            </w:rPr>
          </w:pPr>
          <w:hyperlink w:anchor="_Toc311029124" w:history="1">
            <w:r w:rsidR="0089519F" w:rsidRPr="0032319F">
              <w:rPr>
                <w:rStyle w:val="Hyperlink"/>
                <w:noProof/>
              </w:rPr>
              <w:t>I.</w:t>
            </w:r>
            <w:r w:rsidR="0089519F">
              <w:rPr>
                <w:rFonts w:asciiTheme="minorHAnsi" w:eastAsiaTheme="minorEastAsia" w:hAnsiTheme="minorHAnsi" w:cstheme="minorBidi"/>
                <w:noProof/>
                <w:sz w:val="22"/>
              </w:rPr>
              <w:tab/>
            </w:r>
            <w:r w:rsidR="0089519F" w:rsidRPr="0032319F">
              <w:rPr>
                <w:rStyle w:val="Hyperlink"/>
                <w:noProof/>
              </w:rPr>
              <w:t>Conservation Test</w:t>
            </w:r>
            <w:r w:rsidR="0089519F">
              <w:rPr>
                <w:noProof/>
                <w:webHidden/>
              </w:rPr>
              <w:tab/>
            </w:r>
            <w:r w:rsidR="0089519F">
              <w:rPr>
                <w:noProof/>
                <w:webHidden/>
              </w:rPr>
              <w:fldChar w:fldCharType="begin"/>
            </w:r>
            <w:r w:rsidR="0089519F">
              <w:rPr>
                <w:noProof/>
                <w:webHidden/>
              </w:rPr>
              <w:instrText xml:space="preserve"> PAGEREF _Toc311029124 \h </w:instrText>
            </w:r>
            <w:r w:rsidR="0089519F">
              <w:rPr>
                <w:noProof/>
                <w:webHidden/>
              </w:rPr>
            </w:r>
            <w:r w:rsidR="0089519F">
              <w:rPr>
                <w:noProof/>
                <w:webHidden/>
              </w:rPr>
              <w:fldChar w:fldCharType="separate"/>
            </w:r>
            <w:r w:rsidR="0089519F">
              <w:rPr>
                <w:noProof/>
                <w:webHidden/>
              </w:rPr>
              <w:t>14</w:t>
            </w:r>
            <w:r w:rsidR="0089519F">
              <w:rPr>
                <w:noProof/>
                <w:webHidden/>
              </w:rPr>
              <w:fldChar w:fldCharType="end"/>
            </w:r>
          </w:hyperlink>
        </w:p>
        <w:p w:rsidR="0089519F" w:rsidRDefault="00F25424">
          <w:pPr>
            <w:pStyle w:val="TOC2"/>
            <w:tabs>
              <w:tab w:val="left" w:pos="660"/>
              <w:tab w:val="right" w:leader="dot" w:pos="9350"/>
            </w:tabs>
            <w:rPr>
              <w:rFonts w:asciiTheme="minorHAnsi" w:eastAsiaTheme="minorEastAsia" w:hAnsiTheme="minorHAnsi" w:cstheme="minorBidi"/>
              <w:noProof/>
              <w:sz w:val="22"/>
            </w:rPr>
          </w:pPr>
          <w:hyperlink w:anchor="_Toc311029125" w:history="1">
            <w:r w:rsidR="0089519F" w:rsidRPr="0032319F">
              <w:rPr>
                <w:rStyle w:val="Hyperlink"/>
                <w:noProof/>
              </w:rPr>
              <w:t>J.</w:t>
            </w:r>
            <w:r w:rsidR="0089519F">
              <w:rPr>
                <w:rFonts w:asciiTheme="minorHAnsi" w:eastAsiaTheme="minorEastAsia" w:hAnsiTheme="minorHAnsi" w:cstheme="minorBidi"/>
                <w:noProof/>
                <w:sz w:val="22"/>
              </w:rPr>
              <w:tab/>
            </w:r>
            <w:r w:rsidR="0089519F" w:rsidRPr="0032319F">
              <w:rPr>
                <w:rStyle w:val="Hyperlink"/>
                <w:noProof/>
              </w:rPr>
              <w:t>Provide Comparable Conservation Benefits to Low Income Customers</w:t>
            </w:r>
            <w:r w:rsidR="0089519F">
              <w:rPr>
                <w:noProof/>
                <w:webHidden/>
              </w:rPr>
              <w:tab/>
            </w:r>
            <w:r w:rsidR="0089519F">
              <w:rPr>
                <w:noProof/>
                <w:webHidden/>
              </w:rPr>
              <w:fldChar w:fldCharType="begin"/>
            </w:r>
            <w:r w:rsidR="0089519F">
              <w:rPr>
                <w:noProof/>
                <w:webHidden/>
              </w:rPr>
              <w:instrText xml:space="preserve"> PAGEREF _Toc311029125 \h </w:instrText>
            </w:r>
            <w:r w:rsidR="0089519F">
              <w:rPr>
                <w:noProof/>
                <w:webHidden/>
              </w:rPr>
            </w:r>
            <w:r w:rsidR="0089519F">
              <w:rPr>
                <w:noProof/>
                <w:webHidden/>
              </w:rPr>
              <w:fldChar w:fldCharType="separate"/>
            </w:r>
            <w:r w:rsidR="0089519F">
              <w:rPr>
                <w:noProof/>
                <w:webHidden/>
              </w:rPr>
              <w:t>14</w:t>
            </w:r>
            <w:r w:rsidR="0089519F">
              <w:rPr>
                <w:noProof/>
                <w:webHidden/>
              </w:rPr>
              <w:fldChar w:fldCharType="end"/>
            </w:r>
          </w:hyperlink>
        </w:p>
        <w:p w:rsidR="0089519F" w:rsidRDefault="00F25424">
          <w:pPr>
            <w:pStyle w:val="TOC2"/>
            <w:tabs>
              <w:tab w:val="left" w:pos="880"/>
              <w:tab w:val="right" w:leader="dot" w:pos="9350"/>
            </w:tabs>
            <w:rPr>
              <w:rFonts w:asciiTheme="minorHAnsi" w:eastAsiaTheme="minorEastAsia" w:hAnsiTheme="minorHAnsi" w:cstheme="minorBidi"/>
              <w:noProof/>
              <w:sz w:val="22"/>
            </w:rPr>
          </w:pPr>
          <w:hyperlink w:anchor="_Toc311029126" w:history="1">
            <w:r w:rsidR="0089519F" w:rsidRPr="0032319F">
              <w:rPr>
                <w:rStyle w:val="Hyperlink"/>
                <w:noProof/>
              </w:rPr>
              <w:t>K.</w:t>
            </w:r>
            <w:r w:rsidR="0089519F">
              <w:rPr>
                <w:rFonts w:asciiTheme="minorHAnsi" w:eastAsiaTheme="minorEastAsia" w:hAnsiTheme="minorHAnsi" w:cstheme="minorBidi"/>
                <w:noProof/>
                <w:sz w:val="22"/>
              </w:rPr>
              <w:tab/>
            </w:r>
            <w:r w:rsidR="0089519F" w:rsidRPr="0032319F">
              <w:rPr>
                <w:rStyle w:val="Hyperlink"/>
                <w:noProof/>
              </w:rPr>
              <w:t>Describe the Incremental Conservation the Utility Intends to Pursue</w:t>
            </w:r>
            <w:r w:rsidR="0089519F">
              <w:rPr>
                <w:noProof/>
                <w:webHidden/>
              </w:rPr>
              <w:tab/>
            </w:r>
            <w:r w:rsidR="0089519F">
              <w:rPr>
                <w:noProof/>
                <w:webHidden/>
              </w:rPr>
              <w:fldChar w:fldCharType="begin"/>
            </w:r>
            <w:r w:rsidR="0089519F">
              <w:rPr>
                <w:noProof/>
                <w:webHidden/>
              </w:rPr>
              <w:instrText xml:space="preserve"> PAGEREF _Toc311029126 \h </w:instrText>
            </w:r>
            <w:r w:rsidR="0089519F">
              <w:rPr>
                <w:noProof/>
                <w:webHidden/>
              </w:rPr>
            </w:r>
            <w:r w:rsidR="0089519F">
              <w:rPr>
                <w:noProof/>
                <w:webHidden/>
              </w:rPr>
              <w:fldChar w:fldCharType="separate"/>
            </w:r>
            <w:r w:rsidR="0089519F">
              <w:rPr>
                <w:noProof/>
                <w:webHidden/>
              </w:rPr>
              <w:t>16</w:t>
            </w:r>
            <w:r w:rsidR="0089519F">
              <w:rPr>
                <w:noProof/>
                <w:webHidden/>
              </w:rPr>
              <w:fldChar w:fldCharType="end"/>
            </w:r>
          </w:hyperlink>
        </w:p>
        <w:p w:rsidR="0089519F" w:rsidRDefault="00F25424">
          <w:pPr>
            <w:pStyle w:val="TOC2"/>
            <w:tabs>
              <w:tab w:val="left" w:pos="880"/>
              <w:tab w:val="right" w:leader="dot" w:pos="9350"/>
            </w:tabs>
            <w:rPr>
              <w:rFonts w:asciiTheme="minorHAnsi" w:eastAsiaTheme="minorEastAsia" w:hAnsiTheme="minorHAnsi" w:cstheme="minorBidi"/>
              <w:noProof/>
              <w:sz w:val="22"/>
            </w:rPr>
          </w:pPr>
          <w:hyperlink w:anchor="_Toc311029137" w:history="1">
            <w:r w:rsidR="0089519F" w:rsidRPr="0032319F">
              <w:rPr>
                <w:rStyle w:val="Hyperlink"/>
                <w:noProof/>
              </w:rPr>
              <w:t>K.</w:t>
            </w:r>
            <w:r w:rsidR="0089519F">
              <w:rPr>
                <w:rFonts w:asciiTheme="minorHAnsi" w:eastAsiaTheme="minorEastAsia" w:hAnsiTheme="minorHAnsi" w:cstheme="minorBidi"/>
                <w:noProof/>
                <w:sz w:val="22"/>
              </w:rPr>
              <w:tab/>
            </w:r>
            <w:r w:rsidR="0089519F" w:rsidRPr="0032319F">
              <w:rPr>
                <w:rStyle w:val="Hyperlink"/>
                <w:noProof/>
              </w:rPr>
              <w:t>Accounting for the Net Benefits of Off-System Sales and Costs Avoided Due to the Utility’s Conservation Efforts</w:t>
            </w:r>
            <w:r w:rsidR="0089519F">
              <w:rPr>
                <w:noProof/>
                <w:webHidden/>
              </w:rPr>
              <w:tab/>
            </w:r>
            <w:r w:rsidR="0089519F">
              <w:rPr>
                <w:noProof/>
                <w:webHidden/>
              </w:rPr>
              <w:fldChar w:fldCharType="begin"/>
            </w:r>
            <w:r w:rsidR="0089519F">
              <w:rPr>
                <w:noProof/>
                <w:webHidden/>
              </w:rPr>
              <w:instrText xml:space="preserve"> PAGEREF _Toc311029137 \h </w:instrText>
            </w:r>
            <w:r w:rsidR="0089519F">
              <w:rPr>
                <w:noProof/>
                <w:webHidden/>
              </w:rPr>
            </w:r>
            <w:r w:rsidR="0089519F">
              <w:rPr>
                <w:noProof/>
                <w:webHidden/>
              </w:rPr>
              <w:fldChar w:fldCharType="separate"/>
            </w:r>
            <w:r w:rsidR="0089519F">
              <w:rPr>
                <w:noProof/>
                <w:webHidden/>
              </w:rPr>
              <w:t>16</w:t>
            </w:r>
            <w:r w:rsidR="0089519F">
              <w:rPr>
                <w:noProof/>
                <w:webHidden/>
              </w:rPr>
              <w:fldChar w:fldCharType="end"/>
            </w:r>
          </w:hyperlink>
        </w:p>
        <w:p w:rsidR="0089519F" w:rsidRDefault="00F25424">
          <w:pPr>
            <w:pStyle w:val="TOC2"/>
            <w:tabs>
              <w:tab w:val="left" w:pos="880"/>
              <w:tab w:val="right" w:leader="dot" w:pos="9350"/>
            </w:tabs>
            <w:rPr>
              <w:rFonts w:asciiTheme="minorHAnsi" w:eastAsiaTheme="minorEastAsia" w:hAnsiTheme="minorHAnsi" w:cstheme="minorBidi"/>
              <w:noProof/>
              <w:sz w:val="22"/>
            </w:rPr>
          </w:pPr>
          <w:hyperlink w:anchor="_Toc311029138" w:history="1">
            <w:r w:rsidR="0089519F" w:rsidRPr="0032319F">
              <w:rPr>
                <w:rStyle w:val="Hyperlink"/>
                <w:noProof/>
              </w:rPr>
              <w:t>L.</w:t>
            </w:r>
            <w:r w:rsidR="0089519F">
              <w:rPr>
                <w:rFonts w:asciiTheme="minorHAnsi" w:eastAsiaTheme="minorEastAsia" w:hAnsiTheme="minorHAnsi" w:cstheme="minorBidi"/>
                <w:noProof/>
                <w:sz w:val="22"/>
              </w:rPr>
              <w:tab/>
            </w:r>
            <w:r w:rsidR="0089519F" w:rsidRPr="0032319F">
              <w:rPr>
                <w:rStyle w:val="Hyperlink"/>
                <w:noProof/>
              </w:rPr>
              <w:t>Reports to the Commission on How the Full Decoupling Mechanism is Working</w:t>
            </w:r>
            <w:r w:rsidR="0089519F">
              <w:rPr>
                <w:noProof/>
                <w:webHidden/>
              </w:rPr>
              <w:tab/>
            </w:r>
            <w:r w:rsidR="0089519F">
              <w:rPr>
                <w:noProof/>
                <w:webHidden/>
              </w:rPr>
              <w:fldChar w:fldCharType="begin"/>
            </w:r>
            <w:r w:rsidR="0089519F">
              <w:rPr>
                <w:noProof/>
                <w:webHidden/>
              </w:rPr>
              <w:instrText xml:space="preserve"> PAGEREF _Toc311029138 \h </w:instrText>
            </w:r>
            <w:r w:rsidR="0089519F">
              <w:rPr>
                <w:noProof/>
                <w:webHidden/>
              </w:rPr>
            </w:r>
            <w:r w:rsidR="0089519F">
              <w:rPr>
                <w:noProof/>
                <w:webHidden/>
              </w:rPr>
              <w:fldChar w:fldCharType="separate"/>
            </w:r>
            <w:r w:rsidR="0089519F">
              <w:rPr>
                <w:noProof/>
                <w:webHidden/>
              </w:rPr>
              <w:t>19</w:t>
            </w:r>
            <w:r w:rsidR="0089519F">
              <w:rPr>
                <w:noProof/>
                <w:webHidden/>
              </w:rPr>
              <w:fldChar w:fldCharType="end"/>
            </w:r>
          </w:hyperlink>
        </w:p>
        <w:p w:rsidR="0089519F" w:rsidRDefault="00F25424">
          <w:pPr>
            <w:pStyle w:val="TOC2"/>
            <w:tabs>
              <w:tab w:val="left" w:pos="880"/>
              <w:tab w:val="right" w:leader="dot" w:pos="9350"/>
            </w:tabs>
            <w:rPr>
              <w:rFonts w:asciiTheme="minorHAnsi" w:eastAsiaTheme="minorEastAsia" w:hAnsiTheme="minorHAnsi" w:cstheme="minorBidi"/>
              <w:noProof/>
              <w:sz w:val="22"/>
            </w:rPr>
          </w:pPr>
          <w:hyperlink w:anchor="_Toc311029139" w:history="1">
            <w:r w:rsidR="0089519F" w:rsidRPr="0032319F">
              <w:rPr>
                <w:rStyle w:val="Hyperlink"/>
                <w:noProof/>
              </w:rPr>
              <w:t>M.</w:t>
            </w:r>
            <w:r w:rsidR="0089519F">
              <w:rPr>
                <w:rFonts w:asciiTheme="minorHAnsi" w:eastAsiaTheme="minorEastAsia" w:hAnsiTheme="minorHAnsi" w:cstheme="minorBidi"/>
                <w:noProof/>
                <w:sz w:val="22"/>
              </w:rPr>
              <w:tab/>
            </w:r>
            <w:r w:rsidR="0089519F" w:rsidRPr="0032319F">
              <w:rPr>
                <w:rStyle w:val="Hyperlink"/>
                <w:noProof/>
              </w:rPr>
              <w:t>Other Factors</w:t>
            </w:r>
            <w:r w:rsidR="0089519F">
              <w:rPr>
                <w:noProof/>
                <w:webHidden/>
              </w:rPr>
              <w:tab/>
            </w:r>
            <w:r w:rsidR="0089519F">
              <w:rPr>
                <w:noProof/>
                <w:webHidden/>
              </w:rPr>
              <w:fldChar w:fldCharType="begin"/>
            </w:r>
            <w:r w:rsidR="0089519F">
              <w:rPr>
                <w:noProof/>
                <w:webHidden/>
              </w:rPr>
              <w:instrText xml:space="preserve"> PAGEREF _Toc311029139 \h </w:instrText>
            </w:r>
            <w:r w:rsidR="0089519F">
              <w:rPr>
                <w:noProof/>
                <w:webHidden/>
              </w:rPr>
            </w:r>
            <w:r w:rsidR="0089519F">
              <w:rPr>
                <w:noProof/>
                <w:webHidden/>
              </w:rPr>
              <w:fldChar w:fldCharType="separate"/>
            </w:r>
            <w:r w:rsidR="0089519F">
              <w:rPr>
                <w:noProof/>
                <w:webHidden/>
              </w:rPr>
              <w:t>20</w:t>
            </w:r>
            <w:r w:rsidR="0089519F">
              <w:rPr>
                <w:noProof/>
                <w:webHidden/>
              </w:rPr>
              <w:fldChar w:fldCharType="end"/>
            </w:r>
          </w:hyperlink>
        </w:p>
        <w:p w:rsidR="00241BDB" w:rsidRDefault="001B6C23">
          <w:r>
            <w:rPr>
              <w:b/>
              <w:bCs/>
              <w:noProof/>
            </w:rPr>
            <w:fldChar w:fldCharType="end"/>
          </w:r>
        </w:p>
      </w:sdtContent>
    </w:sdt>
    <w:p w:rsidR="00241BDB" w:rsidRDefault="00241BDB" w:rsidP="0029526B">
      <w:pPr>
        <w:jc w:val="center"/>
        <w:rPr>
          <w:rFonts w:cs="Times New Roman"/>
          <w:b/>
          <w:szCs w:val="24"/>
        </w:rPr>
      </w:pPr>
      <w:r>
        <w:rPr>
          <w:rFonts w:cs="Times New Roman"/>
          <w:b/>
          <w:szCs w:val="24"/>
        </w:rPr>
        <w:br w:type="page"/>
      </w:r>
    </w:p>
    <w:p w:rsidR="00A831B7" w:rsidRPr="007D5A76" w:rsidRDefault="007D5A76" w:rsidP="0029526B">
      <w:pPr>
        <w:jc w:val="center"/>
        <w:rPr>
          <w:rFonts w:cs="Times New Roman"/>
          <w:b/>
          <w:szCs w:val="24"/>
        </w:rPr>
      </w:pPr>
      <w:r>
        <w:rPr>
          <w:rFonts w:cs="Times New Roman"/>
          <w:b/>
          <w:szCs w:val="24"/>
        </w:rPr>
        <w:t xml:space="preserve">UTC </w:t>
      </w:r>
      <w:r w:rsidR="000B5551" w:rsidRPr="007D5A76">
        <w:rPr>
          <w:rFonts w:cs="Times New Roman"/>
          <w:b/>
          <w:szCs w:val="24"/>
        </w:rPr>
        <w:t>Staff Response to Bench Request</w:t>
      </w:r>
      <w:r w:rsidR="00C23A18">
        <w:rPr>
          <w:rFonts w:cs="Times New Roman"/>
          <w:b/>
          <w:szCs w:val="24"/>
        </w:rPr>
        <w:t xml:space="preserve"> on Full Decoupling</w:t>
      </w:r>
    </w:p>
    <w:p w:rsidR="000B5551" w:rsidRPr="007D5A76" w:rsidRDefault="000B5551" w:rsidP="00A54744">
      <w:pPr>
        <w:pStyle w:val="Heading1"/>
      </w:pPr>
      <w:bookmarkStart w:id="0" w:name="_Toc311029095"/>
      <w:r w:rsidRPr="00A54744">
        <w:t>Background</w:t>
      </w:r>
      <w:bookmarkEnd w:id="0"/>
    </w:p>
    <w:p w:rsidR="004556C3" w:rsidRPr="007D5A76" w:rsidRDefault="000B5551" w:rsidP="0029526B">
      <w:pPr>
        <w:rPr>
          <w:rFonts w:cs="Times New Roman"/>
          <w:szCs w:val="24"/>
        </w:rPr>
      </w:pPr>
      <w:r w:rsidRPr="007D5A76">
        <w:rPr>
          <w:rFonts w:cs="Times New Roman"/>
          <w:szCs w:val="24"/>
        </w:rPr>
        <w:t xml:space="preserve">On </w:t>
      </w:r>
      <w:r w:rsidR="00564046">
        <w:rPr>
          <w:rFonts w:cs="Times New Roman"/>
          <w:szCs w:val="24"/>
        </w:rPr>
        <w:t>October 5</w:t>
      </w:r>
      <w:r w:rsidRPr="007D5A76">
        <w:rPr>
          <w:rFonts w:cs="Times New Roman"/>
          <w:szCs w:val="24"/>
        </w:rPr>
        <w:t xml:space="preserve">, 2011, the Commission issued a Bench Request </w:t>
      </w:r>
      <w:r w:rsidR="00DA4325" w:rsidRPr="007D5A76">
        <w:rPr>
          <w:rFonts w:cs="Times New Roman"/>
          <w:szCs w:val="24"/>
        </w:rPr>
        <w:t xml:space="preserve">requesting its </w:t>
      </w:r>
      <w:r w:rsidRPr="007D5A76">
        <w:rPr>
          <w:rFonts w:cs="Times New Roman"/>
          <w:szCs w:val="24"/>
        </w:rPr>
        <w:t xml:space="preserve">Staff </w:t>
      </w:r>
      <w:r w:rsidR="00DA4325" w:rsidRPr="007D5A76">
        <w:rPr>
          <w:rFonts w:cs="Times New Roman"/>
          <w:szCs w:val="24"/>
        </w:rPr>
        <w:t xml:space="preserve">to </w:t>
      </w:r>
      <w:r w:rsidRPr="007D5A76">
        <w:rPr>
          <w:rFonts w:cs="Times New Roman"/>
          <w:szCs w:val="24"/>
        </w:rPr>
        <w:t xml:space="preserve">“examine full decoupling, as discussed in the Decoupling Policy Statement, as an option for </w:t>
      </w:r>
      <w:r w:rsidR="00564046">
        <w:rPr>
          <w:rFonts w:cs="Times New Roman"/>
          <w:szCs w:val="24"/>
        </w:rPr>
        <w:t>PSE</w:t>
      </w:r>
      <w:r w:rsidRPr="007D5A76">
        <w:rPr>
          <w:rFonts w:cs="Times New Roman"/>
          <w:szCs w:val="24"/>
        </w:rPr>
        <w:t>.”</w:t>
      </w:r>
      <w:r w:rsidRPr="007D5A76">
        <w:rPr>
          <w:rStyle w:val="FootnoteReference"/>
          <w:rFonts w:cs="Times New Roman"/>
          <w:szCs w:val="24"/>
        </w:rPr>
        <w:footnoteReference w:id="2"/>
      </w:r>
      <w:r w:rsidRPr="007D5A76">
        <w:rPr>
          <w:rFonts w:cs="Times New Roman"/>
          <w:szCs w:val="24"/>
        </w:rPr>
        <w:t xml:space="preserve">  The Commission stated that Staf</w:t>
      </w:r>
      <w:r w:rsidR="00ED50A8">
        <w:rPr>
          <w:rFonts w:cs="Times New Roman"/>
          <w:szCs w:val="24"/>
        </w:rPr>
        <w:t xml:space="preserve">f’s response </w:t>
      </w:r>
      <w:r w:rsidRPr="007D5A76">
        <w:rPr>
          <w:rFonts w:cs="Times New Roman"/>
          <w:szCs w:val="24"/>
        </w:rPr>
        <w:t xml:space="preserve">should provide </w:t>
      </w:r>
      <w:r w:rsidR="00ED50A8">
        <w:rPr>
          <w:rFonts w:cs="Times New Roman"/>
          <w:szCs w:val="24"/>
        </w:rPr>
        <w:t>“</w:t>
      </w:r>
      <w:r w:rsidRPr="007D5A76">
        <w:rPr>
          <w:rFonts w:cs="Times New Roman"/>
          <w:szCs w:val="24"/>
        </w:rPr>
        <w:t>a discussion of the critical elements that a full decoupling proposal should contain, consistent with the Decoupling Policy Statement, including consideration of lost sales revenues that are potentially offset by avoided costs and other benefits.”</w:t>
      </w:r>
      <w:r w:rsidRPr="007D5A76">
        <w:rPr>
          <w:rStyle w:val="FootnoteReference"/>
          <w:rFonts w:cs="Times New Roman"/>
          <w:szCs w:val="24"/>
        </w:rPr>
        <w:footnoteReference w:id="3"/>
      </w:r>
    </w:p>
    <w:p w:rsidR="000B5551" w:rsidRDefault="007D5A76" w:rsidP="0029526B">
      <w:pPr>
        <w:rPr>
          <w:rFonts w:cs="Times New Roman"/>
          <w:szCs w:val="24"/>
        </w:rPr>
      </w:pPr>
      <w:r>
        <w:rPr>
          <w:rFonts w:cs="Times New Roman"/>
          <w:szCs w:val="24"/>
        </w:rPr>
        <w:t>T</w:t>
      </w:r>
      <w:r w:rsidR="000B5551" w:rsidRPr="007D5A76">
        <w:rPr>
          <w:rFonts w:cs="Times New Roman"/>
          <w:szCs w:val="24"/>
        </w:rPr>
        <w:t xml:space="preserve">he Commission </w:t>
      </w:r>
      <w:r>
        <w:rPr>
          <w:rFonts w:cs="Times New Roman"/>
          <w:szCs w:val="24"/>
        </w:rPr>
        <w:t xml:space="preserve">also </w:t>
      </w:r>
      <w:r w:rsidR="000B5551" w:rsidRPr="007D5A76">
        <w:rPr>
          <w:rFonts w:cs="Times New Roman"/>
          <w:szCs w:val="24"/>
        </w:rPr>
        <w:t xml:space="preserve">asked Staff to indicate whether the Commission could make a final decision on a decoupling proposal in this case “based on the information [Staff] supplies” in this </w:t>
      </w:r>
      <w:r w:rsidR="00DA4325" w:rsidRPr="007D5A76">
        <w:rPr>
          <w:rFonts w:cs="Times New Roman"/>
          <w:szCs w:val="24"/>
        </w:rPr>
        <w:t>Bench Request</w:t>
      </w:r>
      <w:r w:rsidR="00E16568">
        <w:rPr>
          <w:rFonts w:cs="Times New Roman"/>
          <w:szCs w:val="24"/>
        </w:rPr>
        <w:t xml:space="preserve"> response</w:t>
      </w:r>
      <w:r w:rsidR="000B5551" w:rsidRPr="007D5A76">
        <w:rPr>
          <w:rFonts w:cs="Times New Roman"/>
          <w:szCs w:val="24"/>
        </w:rPr>
        <w:t>.</w:t>
      </w:r>
      <w:r w:rsidR="000B5551" w:rsidRPr="007D5A76">
        <w:rPr>
          <w:rStyle w:val="FootnoteReference"/>
          <w:rFonts w:cs="Times New Roman"/>
          <w:szCs w:val="24"/>
        </w:rPr>
        <w:footnoteReference w:id="4"/>
      </w:r>
      <w:r w:rsidR="004D0B85" w:rsidRPr="007D5A76">
        <w:rPr>
          <w:rFonts w:cs="Times New Roman"/>
          <w:szCs w:val="24"/>
        </w:rPr>
        <w:t xml:space="preserve">  The Commission did not </w:t>
      </w:r>
      <w:r w:rsidR="00DA4325" w:rsidRPr="007D5A76">
        <w:rPr>
          <w:rFonts w:cs="Times New Roman"/>
          <w:szCs w:val="24"/>
        </w:rPr>
        <w:t xml:space="preserve">place any </w:t>
      </w:r>
      <w:r w:rsidR="004D0B85" w:rsidRPr="007D5A76">
        <w:rPr>
          <w:rFonts w:cs="Times New Roman"/>
          <w:szCs w:val="24"/>
        </w:rPr>
        <w:t>require</w:t>
      </w:r>
      <w:r w:rsidR="00DA4325" w:rsidRPr="007D5A76">
        <w:rPr>
          <w:rFonts w:cs="Times New Roman"/>
          <w:szCs w:val="24"/>
        </w:rPr>
        <w:t>ment or limitation on</w:t>
      </w:r>
      <w:r w:rsidR="004D0B85" w:rsidRPr="007D5A76">
        <w:rPr>
          <w:rFonts w:cs="Times New Roman"/>
          <w:szCs w:val="24"/>
        </w:rPr>
        <w:t xml:space="preserve"> Staff advocat</w:t>
      </w:r>
      <w:r w:rsidR="00DA4325" w:rsidRPr="007D5A76">
        <w:rPr>
          <w:rFonts w:cs="Times New Roman"/>
          <w:szCs w:val="24"/>
        </w:rPr>
        <w:t>ing</w:t>
      </w:r>
      <w:r w:rsidR="004D0B85" w:rsidRPr="007D5A76">
        <w:rPr>
          <w:rFonts w:cs="Times New Roman"/>
          <w:szCs w:val="24"/>
        </w:rPr>
        <w:t xml:space="preserve"> any particular position for or against full decoupling.</w:t>
      </w:r>
      <w:r w:rsidR="004D0B85" w:rsidRPr="007D5A76">
        <w:rPr>
          <w:rStyle w:val="FootnoteReference"/>
          <w:rFonts w:cs="Times New Roman"/>
          <w:szCs w:val="24"/>
        </w:rPr>
        <w:footnoteReference w:id="5"/>
      </w:r>
    </w:p>
    <w:p w:rsidR="00002C63" w:rsidRDefault="00002C63" w:rsidP="00AC1AFA">
      <w:pPr>
        <w:pStyle w:val="Heading1"/>
      </w:pPr>
      <w:bookmarkStart w:id="1" w:name="_Toc311029096"/>
      <w:r>
        <w:t>Policy Options</w:t>
      </w:r>
      <w:bookmarkEnd w:id="1"/>
    </w:p>
    <w:p w:rsidR="00002C63" w:rsidRPr="009C276E" w:rsidRDefault="00002C63" w:rsidP="00002C63">
      <w:pPr>
        <w:rPr>
          <w:rFonts w:cs="Times New Roman"/>
          <w:szCs w:val="24"/>
        </w:rPr>
      </w:pPr>
      <w:r>
        <w:rPr>
          <w:rFonts w:cs="Times New Roman"/>
          <w:szCs w:val="24"/>
        </w:rPr>
        <w:t>While the Commission’s Decoupling Policy Statement sets forth the Commission’s policy regarding what constitutes an acceptable full decoupling mechanism, f</w:t>
      </w:r>
      <w:r w:rsidRPr="00067A1C">
        <w:rPr>
          <w:rFonts w:cs="Times New Roman"/>
          <w:szCs w:val="24"/>
        </w:rPr>
        <w:t xml:space="preserve">ull decoupling is not the only policy option </w:t>
      </w:r>
      <w:r>
        <w:rPr>
          <w:rFonts w:cs="Times New Roman"/>
          <w:szCs w:val="24"/>
        </w:rPr>
        <w:t xml:space="preserve">identified by the </w:t>
      </w:r>
      <w:r w:rsidRPr="009C276E">
        <w:rPr>
          <w:rFonts w:cs="Times New Roman"/>
          <w:szCs w:val="24"/>
        </w:rPr>
        <w:t>Commissio</w:t>
      </w:r>
      <w:r w:rsidR="00F20BD4">
        <w:rPr>
          <w:rFonts w:cs="Times New Roman"/>
          <w:szCs w:val="24"/>
        </w:rPr>
        <w:t>n:</w:t>
      </w:r>
    </w:p>
    <w:p w:rsidR="00002C63" w:rsidRPr="00067A1C" w:rsidRDefault="00002C63" w:rsidP="00002C63">
      <w:pPr>
        <w:ind w:left="720"/>
        <w:rPr>
          <w:rFonts w:cs="Times New Roman"/>
          <w:szCs w:val="24"/>
        </w:rPr>
      </w:pPr>
      <w:r w:rsidRPr="0000173B">
        <w:rPr>
          <w:szCs w:val="24"/>
        </w:rPr>
        <w:t>The guidance provided in this policy statement does not imply that the Commission would not consider other mechanisms in the context of a general rate case, including an appropriate attrition adjustment designed to protect the company from lost margin due to any reason.</w:t>
      </w:r>
      <w:r w:rsidRPr="0000173B">
        <w:rPr>
          <w:rStyle w:val="FootnoteReference"/>
          <w:szCs w:val="24"/>
        </w:rPr>
        <w:footnoteReference w:id="6"/>
      </w:r>
    </w:p>
    <w:p w:rsidR="00002C63" w:rsidRDefault="00002C63" w:rsidP="00831B75">
      <w:pPr>
        <w:rPr>
          <w:rFonts w:cs="Times New Roman"/>
          <w:szCs w:val="24"/>
        </w:rPr>
      </w:pPr>
      <w:r>
        <w:rPr>
          <w:rFonts w:cs="Times New Roman"/>
          <w:szCs w:val="24"/>
        </w:rPr>
        <w:t xml:space="preserve">Staff has analyzed the issues and details surrounding full decoupling, particularly the complexities occasioned by a decoupling mechanism that would fully comply with the Commission’s Decoupling Policy Statement, </w:t>
      </w:r>
      <w:r w:rsidR="00701B27">
        <w:rPr>
          <w:rFonts w:cs="Times New Roman"/>
          <w:szCs w:val="24"/>
        </w:rPr>
        <w:t xml:space="preserve">and </w:t>
      </w:r>
      <w:r>
        <w:rPr>
          <w:rFonts w:cs="Times New Roman"/>
          <w:szCs w:val="24"/>
        </w:rPr>
        <w:t xml:space="preserve">Staff recommends </w:t>
      </w:r>
      <w:r w:rsidR="00F20BD4">
        <w:rPr>
          <w:rFonts w:cs="Times New Roman"/>
          <w:szCs w:val="24"/>
        </w:rPr>
        <w:t>in its testimony in Dockets UE-111</w:t>
      </w:r>
      <w:r w:rsidR="00066DC1">
        <w:rPr>
          <w:rFonts w:cs="Times New Roman"/>
          <w:szCs w:val="24"/>
        </w:rPr>
        <w:t>0</w:t>
      </w:r>
      <w:r w:rsidR="00F20BD4">
        <w:rPr>
          <w:rFonts w:cs="Times New Roman"/>
          <w:szCs w:val="24"/>
        </w:rPr>
        <w:t xml:space="preserve">48 and UG-111049 </w:t>
      </w:r>
      <w:r>
        <w:rPr>
          <w:rFonts w:cs="Times New Roman"/>
          <w:szCs w:val="24"/>
        </w:rPr>
        <w:t xml:space="preserve">that a well-defended attrition adjustment would be much simpler, and more direct in addressing </w:t>
      </w:r>
      <w:r w:rsidR="00B532B7">
        <w:rPr>
          <w:rFonts w:cs="Times New Roman"/>
          <w:szCs w:val="24"/>
        </w:rPr>
        <w:t>the objectives of full decoupling.</w:t>
      </w:r>
      <w:r w:rsidR="00B532B7">
        <w:rPr>
          <w:rStyle w:val="FootnoteReference"/>
          <w:rFonts w:cs="Times New Roman"/>
          <w:szCs w:val="24"/>
        </w:rPr>
        <w:footnoteReference w:id="7"/>
      </w:r>
      <w:r w:rsidR="00B532B7">
        <w:rPr>
          <w:rFonts w:cs="Times New Roman"/>
          <w:szCs w:val="24"/>
        </w:rPr>
        <w:t xml:space="preserve">  </w:t>
      </w:r>
      <w:r>
        <w:rPr>
          <w:rFonts w:cs="Times New Roman"/>
          <w:szCs w:val="24"/>
        </w:rPr>
        <w:t xml:space="preserve">While </w:t>
      </w:r>
      <w:r w:rsidR="00073187">
        <w:rPr>
          <w:rFonts w:cs="Times New Roman"/>
          <w:szCs w:val="24"/>
        </w:rPr>
        <w:t xml:space="preserve">this Staff recommendation for attrition analysis </w:t>
      </w:r>
      <w:r>
        <w:rPr>
          <w:rFonts w:cs="Times New Roman"/>
          <w:szCs w:val="24"/>
        </w:rPr>
        <w:t xml:space="preserve">is beyond the literal scope of the Bench Request, Staff believes it appropriate to note this recommendation before responding to the details of </w:t>
      </w:r>
      <w:r w:rsidR="00701B27">
        <w:rPr>
          <w:rFonts w:cs="Times New Roman"/>
          <w:szCs w:val="24"/>
        </w:rPr>
        <w:t xml:space="preserve">the Bench </w:t>
      </w:r>
      <w:r w:rsidR="00073187">
        <w:rPr>
          <w:rFonts w:cs="Times New Roman"/>
          <w:szCs w:val="24"/>
        </w:rPr>
        <w:t>R</w:t>
      </w:r>
      <w:r>
        <w:rPr>
          <w:rFonts w:cs="Times New Roman"/>
          <w:szCs w:val="24"/>
        </w:rPr>
        <w:t xml:space="preserve">equest. </w:t>
      </w:r>
      <w:r w:rsidR="0089519F">
        <w:rPr>
          <w:rFonts w:cs="Times New Roman"/>
          <w:szCs w:val="24"/>
        </w:rPr>
        <w:t xml:space="preserve"> </w:t>
      </w:r>
      <w:r w:rsidR="0089519F" w:rsidRPr="0089519F">
        <w:rPr>
          <w:rFonts w:cs="Times New Roman"/>
          <w:szCs w:val="24"/>
        </w:rPr>
        <w:t>Staff has also provided an analysis of limited decoupling in its response testimony to the Company’s Conservation Savings Adjustment.</w:t>
      </w:r>
    </w:p>
    <w:p w:rsidR="00002C63" w:rsidRDefault="007D5A76" w:rsidP="00AC1AFA">
      <w:pPr>
        <w:pStyle w:val="Heading1"/>
      </w:pPr>
      <w:bookmarkStart w:id="2" w:name="_Toc311029097"/>
      <w:r>
        <w:t>Overview</w:t>
      </w:r>
      <w:r w:rsidR="00BF6DDC">
        <w:t xml:space="preserve"> and Format</w:t>
      </w:r>
      <w:bookmarkEnd w:id="2"/>
    </w:p>
    <w:p w:rsidR="00002C63" w:rsidRPr="00AC1AFA" w:rsidRDefault="00002C63" w:rsidP="00AC1AFA">
      <w:pPr>
        <w:rPr>
          <w:rStyle w:val="Heading1Char"/>
        </w:rPr>
      </w:pPr>
      <w:r w:rsidRPr="00002C63">
        <w:t>Per the Commission’s request, this Response discusses the critical elements</w:t>
      </w:r>
      <w:r w:rsidR="00F20BD4">
        <w:rPr>
          <w:rStyle w:val="FootnoteReference"/>
        </w:rPr>
        <w:footnoteReference w:id="8"/>
      </w:r>
      <w:r w:rsidRPr="00002C63">
        <w:t xml:space="preserve"> a full decoupling proposal should contain, and explains how </w:t>
      </w:r>
      <w:r w:rsidR="00EE5F2F">
        <w:t>a full decoupling mechanism can be</w:t>
      </w:r>
      <w:r w:rsidRPr="00002C63">
        <w:t xml:space="preserve"> consistent with the Decoupling Policy Statement.  In order to provide the Commission a response that is more than an abstract discussion, Staff has prepared a Mechanism with terms </w:t>
      </w:r>
      <w:r w:rsidR="00073187">
        <w:t xml:space="preserve">applicable </w:t>
      </w:r>
      <w:r w:rsidRPr="00002C63">
        <w:t xml:space="preserve">either </w:t>
      </w:r>
      <w:r w:rsidR="00073187">
        <w:t xml:space="preserve">to </w:t>
      </w:r>
      <w:r w:rsidRPr="00002C63">
        <w:t xml:space="preserve">electric or gas operations.  </w:t>
      </w:r>
    </w:p>
    <w:p w:rsidR="00002C63" w:rsidRPr="00AC1AFA" w:rsidRDefault="00002C63" w:rsidP="00AC1AFA">
      <w:pPr>
        <w:rPr>
          <w:rStyle w:val="Heading1Char"/>
        </w:rPr>
      </w:pPr>
      <w:r w:rsidRPr="00002C63">
        <w:t xml:space="preserve">While the Mechanism does not contain all of the details necessary for implementation, it is sufficiently concrete to permit a robust discussion of the key issues, and to identify the areas requiring further examination.  Based on the material in this Response, the Commission likely cannot make a final decision on a decoupling proposal in this case.  However, </w:t>
      </w:r>
      <w:r>
        <w:t xml:space="preserve">if </w:t>
      </w:r>
      <w:r w:rsidRPr="00002C63">
        <w:t>the Commission decide</w:t>
      </w:r>
      <w:r>
        <w:t>s</w:t>
      </w:r>
      <w:r w:rsidRPr="00002C63">
        <w:t xml:space="preserve"> to adopt a decoupling mechanism, </w:t>
      </w:r>
      <w:r>
        <w:t xml:space="preserve">it could </w:t>
      </w:r>
      <w:r w:rsidRPr="00002C63">
        <w:t>give direction to the parties on the key elements of such a mechanism,</w:t>
      </w:r>
      <w:r>
        <w:rPr>
          <w:rStyle w:val="FootnoteReference"/>
        </w:rPr>
        <w:footnoteReference w:id="9"/>
      </w:r>
      <w:r w:rsidRPr="00002C63">
        <w:t xml:space="preserve"> with the parties reporting back in a reasonable period of time after the close of this docket.</w:t>
      </w:r>
    </w:p>
    <w:p w:rsidR="00FB223D" w:rsidRDefault="00BF6DDC" w:rsidP="00831B75">
      <w:pPr>
        <w:rPr>
          <w:rFonts w:cs="Times New Roman"/>
          <w:szCs w:val="24"/>
        </w:rPr>
      </w:pPr>
      <w:r>
        <w:rPr>
          <w:rFonts w:cs="Times New Roman"/>
          <w:szCs w:val="24"/>
        </w:rPr>
        <w:t xml:space="preserve">The format of this Response is to </w:t>
      </w:r>
      <w:r w:rsidR="00E16568">
        <w:rPr>
          <w:rFonts w:cs="Times New Roman"/>
          <w:szCs w:val="24"/>
        </w:rPr>
        <w:t xml:space="preserve">first define “full decoupling” as that term is </w:t>
      </w:r>
      <w:r>
        <w:rPr>
          <w:rFonts w:cs="Times New Roman"/>
          <w:szCs w:val="24"/>
        </w:rPr>
        <w:t>use</w:t>
      </w:r>
      <w:r w:rsidR="00E16568">
        <w:rPr>
          <w:rFonts w:cs="Times New Roman"/>
          <w:szCs w:val="24"/>
        </w:rPr>
        <w:t>d in</w:t>
      </w:r>
      <w:r>
        <w:rPr>
          <w:rFonts w:cs="Times New Roman"/>
          <w:szCs w:val="24"/>
        </w:rPr>
        <w:t xml:space="preserve"> the Decoupling Policy Statement (Section I</w:t>
      </w:r>
      <w:r w:rsidR="001F5ED4">
        <w:rPr>
          <w:rFonts w:cs="Times New Roman"/>
          <w:szCs w:val="24"/>
        </w:rPr>
        <w:t>V</w:t>
      </w:r>
      <w:r>
        <w:rPr>
          <w:rFonts w:cs="Times New Roman"/>
          <w:szCs w:val="24"/>
        </w:rPr>
        <w:t>)</w:t>
      </w:r>
      <w:r w:rsidR="00D2630A">
        <w:rPr>
          <w:rFonts w:cs="Times New Roman"/>
          <w:szCs w:val="24"/>
        </w:rPr>
        <w:t>,</w:t>
      </w:r>
      <w:r>
        <w:rPr>
          <w:rFonts w:cs="Times New Roman"/>
          <w:szCs w:val="24"/>
        </w:rPr>
        <w:t xml:space="preserve"> </w:t>
      </w:r>
      <w:r w:rsidR="00FB223D">
        <w:rPr>
          <w:rFonts w:cs="Times New Roman"/>
          <w:szCs w:val="24"/>
        </w:rPr>
        <w:t xml:space="preserve">then </w:t>
      </w:r>
      <w:r w:rsidR="00D4053E">
        <w:rPr>
          <w:rFonts w:cs="Times New Roman"/>
          <w:szCs w:val="24"/>
        </w:rPr>
        <w:t xml:space="preserve">provide </w:t>
      </w:r>
      <w:r w:rsidR="007D543A">
        <w:rPr>
          <w:rFonts w:cs="Times New Roman"/>
          <w:szCs w:val="24"/>
        </w:rPr>
        <w:t>a</w:t>
      </w:r>
      <w:r w:rsidR="0073019E">
        <w:rPr>
          <w:rFonts w:cs="Times New Roman"/>
          <w:szCs w:val="24"/>
        </w:rPr>
        <w:t xml:space="preserve"> brief identification of the objectives of a</w:t>
      </w:r>
      <w:r w:rsidR="001F5ED4">
        <w:rPr>
          <w:rFonts w:cs="Times New Roman"/>
          <w:szCs w:val="24"/>
        </w:rPr>
        <w:t xml:space="preserve"> Decoupling Mechanism (Section </w:t>
      </w:r>
      <w:r w:rsidR="0073019E">
        <w:rPr>
          <w:rFonts w:cs="Times New Roman"/>
          <w:szCs w:val="24"/>
        </w:rPr>
        <w:t>V), followed by a</w:t>
      </w:r>
      <w:r w:rsidR="007D543A">
        <w:rPr>
          <w:rFonts w:cs="Times New Roman"/>
          <w:szCs w:val="24"/>
        </w:rPr>
        <w:t xml:space="preserve"> </w:t>
      </w:r>
      <w:r w:rsidR="00D2630A">
        <w:rPr>
          <w:rFonts w:cs="Times New Roman"/>
          <w:szCs w:val="24"/>
        </w:rPr>
        <w:t>list of Commission</w:t>
      </w:r>
      <w:r w:rsidR="00DB1534">
        <w:rPr>
          <w:rFonts w:cs="Times New Roman"/>
          <w:szCs w:val="24"/>
        </w:rPr>
        <w:t>-</w:t>
      </w:r>
      <w:r w:rsidR="00D2630A">
        <w:rPr>
          <w:rFonts w:cs="Times New Roman"/>
          <w:szCs w:val="24"/>
        </w:rPr>
        <w:t>require</w:t>
      </w:r>
      <w:r w:rsidR="00DB1534">
        <w:rPr>
          <w:rFonts w:cs="Times New Roman"/>
          <w:szCs w:val="24"/>
        </w:rPr>
        <w:t>d</w:t>
      </w:r>
      <w:r w:rsidR="00D2630A">
        <w:rPr>
          <w:rFonts w:cs="Times New Roman"/>
          <w:szCs w:val="24"/>
        </w:rPr>
        <w:t xml:space="preserve"> </w:t>
      </w:r>
      <w:r w:rsidR="00DB1534">
        <w:rPr>
          <w:rFonts w:cs="Times New Roman"/>
          <w:szCs w:val="24"/>
        </w:rPr>
        <w:t>elements</w:t>
      </w:r>
      <w:r w:rsidR="00D2630A">
        <w:rPr>
          <w:rFonts w:cs="Times New Roman"/>
          <w:szCs w:val="24"/>
        </w:rPr>
        <w:t xml:space="preserve">, plus additional </w:t>
      </w:r>
      <w:r w:rsidR="00DB1534">
        <w:rPr>
          <w:rFonts w:cs="Times New Roman"/>
          <w:szCs w:val="24"/>
        </w:rPr>
        <w:t xml:space="preserve">elements </w:t>
      </w:r>
      <w:r w:rsidR="00417397">
        <w:rPr>
          <w:rFonts w:cs="Times New Roman"/>
          <w:szCs w:val="24"/>
        </w:rPr>
        <w:t xml:space="preserve">the Commission </w:t>
      </w:r>
      <w:r w:rsidR="00EE5F2F">
        <w:rPr>
          <w:rFonts w:cs="Times New Roman"/>
          <w:szCs w:val="24"/>
        </w:rPr>
        <w:t xml:space="preserve">may </w:t>
      </w:r>
      <w:r w:rsidR="00D2630A">
        <w:rPr>
          <w:rFonts w:cs="Times New Roman"/>
          <w:szCs w:val="24"/>
        </w:rPr>
        <w:t>consider (Section V</w:t>
      </w:r>
      <w:r w:rsidR="001F5ED4">
        <w:rPr>
          <w:rFonts w:cs="Times New Roman"/>
          <w:szCs w:val="24"/>
        </w:rPr>
        <w:t>I</w:t>
      </w:r>
      <w:r w:rsidR="00D2630A">
        <w:rPr>
          <w:rFonts w:cs="Times New Roman"/>
          <w:szCs w:val="24"/>
        </w:rPr>
        <w:t xml:space="preserve">).  We then describe the </w:t>
      </w:r>
      <w:r w:rsidR="00F179F4">
        <w:rPr>
          <w:rFonts w:cs="Times New Roman"/>
          <w:szCs w:val="24"/>
        </w:rPr>
        <w:t>M</w:t>
      </w:r>
      <w:r w:rsidR="00D2630A">
        <w:rPr>
          <w:rFonts w:cs="Times New Roman"/>
          <w:szCs w:val="24"/>
        </w:rPr>
        <w:t xml:space="preserve">echanism for electric and gas operations </w:t>
      </w:r>
      <w:r w:rsidR="007D543A">
        <w:rPr>
          <w:rFonts w:cs="Times New Roman"/>
          <w:szCs w:val="24"/>
        </w:rPr>
        <w:t xml:space="preserve">for </w:t>
      </w:r>
      <w:r w:rsidR="000C181F">
        <w:rPr>
          <w:rFonts w:cs="Times New Roman"/>
          <w:szCs w:val="24"/>
        </w:rPr>
        <w:t>the Company</w:t>
      </w:r>
      <w:r w:rsidR="00D2630A">
        <w:rPr>
          <w:rFonts w:cs="Times New Roman"/>
          <w:szCs w:val="24"/>
        </w:rPr>
        <w:t xml:space="preserve"> (Section V</w:t>
      </w:r>
      <w:r w:rsidR="0073019E">
        <w:rPr>
          <w:rFonts w:cs="Times New Roman"/>
          <w:szCs w:val="24"/>
        </w:rPr>
        <w:t>I</w:t>
      </w:r>
      <w:r w:rsidR="001F5ED4">
        <w:rPr>
          <w:rFonts w:cs="Times New Roman"/>
          <w:szCs w:val="24"/>
        </w:rPr>
        <w:t>I</w:t>
      </w:r>
      <w:r w:rsidR="0073019E">
        <w:rPr>
          <w:rFonts w:cs="Times New Roman"/>
          <w:szCs w:val="24"/>
        </w:rPr>
        <w:t xml:space="preserve"> and Appendix </w:t>
      </w:r>
      <w:r w:rsidR="004E70DC">
        <w:rPr>
          <w:rFonts w:cs="Times New Roman"/>
          <w:szCs w:val="24"/>
        </w:rPr>
        <w:t>2</w:t>
      </w:r>
      <w:r w:rsidR="00D2630A">
        <w:rPr>
          <w:rFonts w:cs="Times New Roman"/>
          <w:szCs w:val="24"/>
        </w:rPr>
        <w:t xml:space="preserve">) and explain how </w:t>
      </w:r>
      <w:r w:rsidR="00417397">
        <w:rPr>
          <w:rFonts w:cs="Times New Roman"/>
          <w:szCs w:val="24"/>
        </w:rPr>
        <w:t>it</w:t>
      </w:r>
      <w:r w:rsidR="007D543A">
        <w:rPr>
          <w:rFonts w:cs="Times New Roman"/>
          <w:szCs w:val="24"/>
        </w:rPr>
        <w:t xml:space="preserve"> address</w:t>
      </w:r>
      <w:r w:rsidR="00417397">
        <w:rPr>
          <w:rFonts w:cs="Times New Roman"/>
          <w:szCs w:val="24"/>
        </w:rPr>
        <w:t>es</w:t>
      </w:r>
      <w:r w:rsidR="007D543A">
        <w:rPr>
          <w:rFonts w:cs="Times New Roman"/>
          <w:szCs w:val="24"/>
        </w:rPr>
        <w:t xml:space="preserve"> each </w:t>
      </w:r>
      <w:r w:rsidR="00F179F4">
        <w:rPr>
          <w:rFonts w:cs="Times New Roman"/>
          <w:szCs w:val="24"/>
        </w:rPr>
        <w:t xml:space="preserve">of the required </w:t>
      </w:r>
      <w:r w:rsidR="00DB1534">
        <w:rPr>
          <w:rFonts w:cs="Times New Roman"/>
          <w:szCs w:val="24"/>
        </w:rPr>
        <w:t>element</w:t>
      </w:r>
      <w:r w:rsidR="00F179F4">
        <w:rPr>
          <w:rFonts w:cs="Times New Roman"/>
          <w:szCs w:val="24"/>
        </w:rPr>
        <w:t>s</w:t>
      </w:r>
      <w:r w:rsidR="00DB1534">
        <w:rPr>
          <w:rFonts w:cs="Times New Roman"/>
          <w:szCs w:val="24"/>
        </w:rPr>
        <w:t xml:space="preserve"> </w:t>
      </w:r>
      <w:r w:rsidR="00D2630A">
        <w:rPr>
          <w:rFonts w:cs="Times New Roman"/>
          <w:szCs w:val="24"/>
        </w:rPr>
        <w:t>(Section VI</w:t>
      </w:r>
      <w:r w:rsidR="0073019E">
        <w:rPr>
          <w:rFonts w:cs="Times New Roman"/>
          <w:szCs w:val="24"/>
        </w:rPr>
        <w:t>I</w:t>
      </w:r>
      <w:r w:rsidR="001F5ED4">
        <w:rPr>
          <w:rFonts w:cs="Times New Roman"/>
          <w:szCs w:val="24"/>
        </w:rPr>
        <w:t>I</w:t>
      </w:r>
      <w:r w:rsidR="00D2630A">
        <w:rPr>
          <w:rFonts w:cs="Times New Roman"/>
          <w:szCs w:val="24"/>
        </w:rPr>
        <w:t>).</w:t>
      </w:r>
      <w:r w:rsidR="007D543A">
        <w:rPr>
          <w:rFonts w:cs="Times New Roman"/>
          <w:szCs w:val="24"/>
        </w:rPr>
        <w:t xml:space="preserve"> </w:t>
      </w:r>
      <w:r w:rsidR="00861441">
        <w:rPr>
          <w:rFonts w:cs="Times New Roman"/>
          <w:szCs w:val="24"/>
        </w:rPr>
        <w:t xml:space="preserve"> Appendix </w:t>
      </w:r>
      <w:r w:rsidR="004E70DC">
        <w:rPr>
          <w:rFonts w:cs="Times New Roman"/>
          <w:szCs w:val="24"/>
        </w:rPr>
        <w:t>1</w:t>
      </w:r>
      <w:r w:rsidR="00861441">
        <w:rPr>
          <w:rFonts w:cs="Times New Roman"/>
          <w:szCs w:val="24"/>
        </w:rPr>
        <w:t xml:space="preserve"> shows the financial impact of full decoupling on PSE for both gas and electric, separately.  Workpapers showing the calculations relied on by staff to develop the impacts are also included in the Response.</w:t>
      </w:r>
    </w:p>
    <w:p w:rsidR="007D543A" w:rsidRDefault="007D543A" w:rsidP="00831B75">
      <w:pPr>
        <w:rPr>
          <w:rFonts w:cs="Times New Roman"/>
          <w:szCs w:val="24"/>
        </w:rPr>
      </w:pPr>
      <w:r>
        <w:rPr>
          <w:rFonts w:cs="Times New Roman"/>
          <w:szCs w:val="24"/>
        </w:rPr>
        <w:t xml:space="preserve"> </w:t>
      </w:r>
    </w:p>
    <w:p w:rsidR="00F3050B" w:rsidRPr="007D5A76" w:rsidRDefault="00F3050B" w:rsidP="00AC1AFA">
      <w:pPr>
        <w:pStyle w:val="Heading1"/>
      </w:pPr>
      <w:bookmarkStart w:id="3" w:name="_Toc311029098"/>
      <w:r w:rsidRPr="007D5A76">
        <w:t>“Full Decoupling” Defined</w:t>
      </w:r>
      <w:bookmarkEnd w:id="3"/>
    </w:p>
    <w:p w:rsidR="00F3050B" w:rsidRPr="007D5A76" w:rsidRDefault="00F3050B" w:rsidP="00F3050B">
      <w:pPr>
        <w:rPr>
          <w:rFonts w:cs="Times New Roman"/>
          <w:szCs w:val="24"/>
        </w:rPr>
      </w:pPr>
      <w:r w:rsidRPr="007D5A76">
        <w:rPr>
          <w:rFonts w:cs="Times New Roman"/>
          <w:szCs w:val="24"/>
        </w:rPr>
        <w:t xml:space="preserve">While </w:t>
      </w:r>
      <w:r>
        <w:rPr>
          <w:rFonts w:cs="Times New Roman"/>
          <w:szCs w:val="24"/>
        </w:rPr>
        <w:t xml:space="preserve">neither </w:t>
      </w:r>
      <w:r w:rsidRPr="007D5A76">
        <w:rPr>
          <w:rFonts w:cs="Times New Roman"/>
          <w:szCs w:val="24"/>
        </w:rPr>
        <w:t>the Commission</w:t>
      </w:r>
      <w:r>
        <w:rPr>
          <w:rFonts w:cs="Times New Roman"/>
          <w:szCs w:val="24"/>
        </w:rPr>
        <w:t xml:space="preserve">’s Bench Request nor its Decoupling Policy Statement contain a discrete </w:t>
      </w:r>
      <w:r w:rsidRPr="007D5A76">
        <w:rPr>
          <w:rFonts w:cs="Times New Roman"/>
          <w:szCs w:val="24"/>
        </w:rPr>
        <w:t>defin</w:t>
      </w:r>
      <w:r>
        <w:rPr>
          <w:rFonts w:cs="Times New Roman"/>
          <w:szCs w:val="24"/>
        </w:rPr>
        <w:t xml:space="preserve">ition of </w:t>
      </w:r>
      <w:r w:rsidRPr="007D5A76">
        <w:rPr>
          <w:rFonts w:cs="Times New Roman"/>
          <w:szCs w:val="24"/>
        </w:rPr>
        <w:t>“full decoupling”</w:t>
      </w:r>
      <w:r>
        <w:rPr>
          <w:rFonts w:cs="Times New Roman"/>
          <w:szCs w:val="24"/>
        </w:rPr>
        <w:t>,</w:t>
      </w:r>
      <w:r w:rsidRPr="007D5A76">
        <w:rPr>
          <w:rFonts w:cs="Times New Roman"/>
          <w:szCs w:val="24"/>
        </w:rPr>
        <w:t xml:space="preserve"> the Commission</w:t>
      </w:r>
      <w:r>
        <w:rPr>
          <w:rFonts w:cs="Times New Roman"/>
          <w:szCs w:val="24"/>
        </w:rPr>
        <w:t xml:space="preserve">’s Decoupling Policy Statement </w:t>
      </w:r>
      <w:r w:rsidRPr="007D5A76">
        <w:rPr>
          <w:rFonts w:cs="Times New Roman"/>
          <w:szCs w:val="24"/>
        </w:rPr>
        <w:t>describes full decoupling as “designed to minimize the risk to both the utilities and to ratepayers of volatility in average use per customer by class regardless of cause, including the effects of weather,”</w:t>
      </w:r>
      <w:r w:rsidRPr="007D5A76">
        <w:rPr>
          <w:rStyle w:val="FootnoteReference"/>
          <w:rFonts w:cs="Times New Roman"/>
          <w:szCs w:val="24"/>
        </w:rPr>
        <w:footnoteReference w:id="10"/>
      </w:r>
      <w:r w:rsidRPr="007D5A76">
        <w:rPr>
          <w:rFonts w:cs="Times New Roman"/>
          <w:szCs w:val="24"/>
        </w:rPr>
        <w:t xml:space="preserve"> and states that full decoupling “</w:t>
      </w:r>
      <w:r w:rsidR="00A746F5">
        <w:rPr>
          <w:rFonts w:cs="Times New Roman"/>
          <w:szCs w:val="24"/>
        </w:rPr>
        <w:t xml:space="preserve">reduc[es] </w:t>
      </w:r>
      <w:r w:rsidR="004821EE" w:rsidRPr="004821EE">
        <w:rPr>
          <w:rFonts w:cs="Times New Roman"/>
          <w:szCs w:val="24"/>
        </w:rPr>
        <w:t xml:space="preserve">the risk of volatility of revenue based on customer usage, both up and down, </w:t>
      </w:r>
      <w:r w:rsidR="00A746F5">
        <w:rPr>
          <w:rFonts w:cs="Times New Roman"/>
          <w:szCs w:val="24"/>
        </w:rPr>
        <w:t>…</w:t>
      </w:r>
      <w:r w:rsidR="004821EE" w:rsidRPr="004821EE">
        <w:rPr>
          <w:rFonts w:cs="Times New Roman"/>
          <w:szCs w:val="24"/>
        </w:rPr>
        <w:t xml:space="preserve"> which in turn should benefit customers by reducing a company’s debt and equity costs.</w:t>
      </w:r>
      <w:r w:rsidR="00A746F5">
        <w:rPr>
          <w:rFonts w:cs="Times New Roman"/>
          <w:szCs w:val="24"/>
        </w:rPr>
        <w:t xml:space="preserve"> </w:t>
      </w:r>
      <w:r w:rsidRPr="007D5A76">
        <w:rPr>
          <w:rFonts w:cs="Times New Roman"/>
          <w:szCs w:val="24"/>
        </w:rPr>
        <w:t>”</w:t>
      </w:r>
      <w:r w:rsidRPr="007D5A76">
        <w:rPr>
          <w:rStyle w:val="FootnoteReference"/>
          <w:rFonts w:cs="Times New Roman"/>
          <w:szCs w:val="24"/>
        </w:rPr>
        <w:footnoteReference w:id="11"/>
      </w:r>
    </w:p>
    <w:p w:rsidR="00F3050B" w:rsidRDefault="00417397" w:rsidP="00F3050B">
      <w:pPr>
        <w:rPr>
          <w:rFonts w:cs="Times New Roman"/>
          <w:szCs w:val="24"/>
        </w:rPr>
      </w:pPr>
      <w:r>
        <w:rPr>
          <w:rFonts w:cs="Times New Roman"/>
          <w:szCs w:val="24"/>
        </w:rPr>
        <w:t>T</w:t>
      </w:r>
      <w:r w:rsidR="00F3050B">
        <w:rPr>
          <w:rFonts w:cs="Times New Roman"/>
          <w:szCs w:val="24"/>
        </w:rPr>
        <w:t xml:space="preserve">he Commission </w:t>
      </w:r>
      <w:r>
        <w:rPr>
          <w:rFonts w:cs="Times New Roman"/>
          <w:szCs w:val="24"/>
        </w:rPr>
        <w:t xml:space="preserve">also </w:t>
      </w:r>
      <w:r w:rsidR="00F3050B">
        <w:rPr>
          <w:rFonts w:cs="Times New Roman"/>
          <w:szCs w:val="24"/>
        </w:rPr>
        <w:t>acknowledges “full decoupling” can co-exist with a cost adjustment mechanism such as an energy cost adjustment mechanism,</w:t>
      </w:r>
      <w:r w:rsidR="00F3050B">
        <w:rPr>
          <w:rStyle w:val="FootnoteReference"/>
          <w:rFonts w:cs="Times New Roman"/>
          <w:szCs w:val="24"/>
        </w:rPr>
        <w:footnoteReference w:id="12"/>
      </w:r>
      <w:r w:rsidR="00F3050B">
        <w:rPr>
          <w:rFonts w:cs="Times New Roman"/>
          <w:szCs w:val="24"/>
        </w:rPr>
        <w:t xml:space="preserve"> which Staff construes as allowing an exception to a “pure” full decoupling mechanism.</w:t>
      </w:r>
      <w:r w:rsidR="00F3050B">
        <w:rPr>
          <w:rStyle w:val="FootnoteReference"/>
          <w:rFonts w:cs="Times New Roman"/>
          <w:szCs w:val="24"/>
        </w:rPr>
        <w:footnoteReference w:id="13"/>
      </w:r>
    </w:p>
    <w:p w:rsidR="00F3050B" w:rsidRDefault="00F3050B" w:rsidP="00F3050B">
      <w:pPr>
        <w:rPr>
          <w:rFonts w:cs="Times New Roman"/>
          <w:szCs w:val="24"/>
        </w:rPr>
      </w:pPr>
      <w:r>
        <w:rPr>
          <w:rFonts w:cs="Times New Roman"/>
          <w:szCs w:val="24"/>
        </w:rPr>
        <w:t>Accordingly, in this Response, Staff applies a definition of “full decoupling” that assures the utility recovers a predetermined level of revenues (or revenues per customer) regardless of the customers’ actual usage</w:t>
      </w:r>
      <w:r w:rsidR="00E61D00">
        <w:rPr>
          <w:rFonts w:cs="Times New Roman"/>
          <w:szCs w:val="24"/>
        </w:rPr>
        <w:t>,</w:t>
      </w:r>
      <w:r>
        <w:rPr>
          <w:rFonts w:cs="Times New Roman"/>
          <w:szCs w:val="24"/>
        </w:rPr>
        <w:t xml:space="preserve"> but allows for the existence of an energy cost adjustment tariff, so that the revenues the utility recovers under such a tariff are considered in the design of the decoupling mechanism.</w:t>
      </w:r>
    </w:p>
    <w:p w:rsidR="00F3050B" w:rsidRDefault="00F3050B" w:rsidP="00F3050B">
      <w:pPr>
        <w:rPr>
          <w:rFonts w:cs="Times New Roman"/>
          <w:szCs w:val="24"/>
        </w:rPr>
      </w:pPr>
      <w:r>
        <w:rPr>
          <w:rFonts w:cs="Times New Roman"/>
          <w:szCs w:val="24"/>
        </w:rPr>
        <w:t>In defining decoupling, the Commission stressed that it should be considered in the context of</w:t>
      </w:r>
      <w:r w:rsidR="006364A6">
        <w:rPr>
          <w:rFonts w:cs="Times New Roman"/>
          <w:szCs w:val="24"/>
        </w:rPr>
        <w:t xml:space="preserve"> a general rate case.</w:t>
      </w:r>
      <w:r>
        <w:rPr>
          <w:rFonts w:cs="Times New Roman"/>
          <w:szCs w:val="24"/>
        </w:rPr>
        <w:t xml:space="preserve">  </w:t>
      </w:r>
      <w:r w:rsidR="006364A6">
        <w:rPr>
          <w:rFonts w:cs="Times New Roman"/>
          <w:szCs w:val="24"/>
        </w:rPr>
        <w:t>Certain</w:t>
      </w:r>
      <w:r>
        <w:rPr>
          <w:rFonts w:cs="Times New Roman"/>
          <w:szCs w:val="24"/>
        </w:rPr>
        <w:t xml:space="preserve"> baselines are established during a general rate case </w:t>
      </w:r>
      <w:r w:rsidR="00D4053E">
        <w:rPr>
          <w:rFonts w:cs="Times New Roman"/>
          <w:szCs w:val="24"/>
        </w:rPr>
        <w:t>as</w:t>
      </w:r>
      <w:r w:rsidR="006364A6">
        <w:rPr>
          <w:rFonts w:cs="Times New Roman"/>
          <w:szCs w:val="24"/>
        </w:rPr>
        <w:t xml:space="preserve"> </w:t>
      </w:r>
      <w:r>
        <w:rPr>
          <w:rFonts w:cs="Times New Roman"/>
          <w:szCs w:val="24"/>
        </w:rPr>
        <w:t>are key inputs to the operation of a</w:t>
      </w:r>
      <w:r w:rsidR="006364A6">
        <w:rPr>
          <w:rFonts w:cs="Times New Roman"/>
          <w:szCs w:val="24"/>
        </w:rPr>
        <w:t xml:space="preserve"> decoupling</w:t>
      </w:r>
      <w:r>
        <w:rPr>
          <w:rFonts w:cs="Times New Roman"/>
          <w:szCs w:val="24"/>
        </w:rPr>
        <w:t xml:space="preserve"> mechanism.  In particular</w:t>
      </w:r>
      <w:r w:rsidR="00567B85">
        <w:rPr>
          <w:rFonts w:cs="Times New Roman"/>
          <w:szCs w:val="24"/>
        </w:rPr>
        <w:t xml:space="preserve">, </w:t>
      </w:r>
      <w:r w:rsidR="001542B8">
        <w:rPr>
          <w:rFonts w:cs="Times New Roman"/>
          <w:szCs w:val="24"/>
        </w:rPr>
        <w:t>for revenue-per-customer decoupling</w:t>
      </w:r>
      <w:r>
        <w:rPr>
          <w:rFonts w:cs="Times New Roman"/>
          <w:szCs w:val="24"/>
        </w:rPr>
        <w:t xml:space="preserve">, the establishment of the average use per customer during the test period and the revenue per customer during the test period are crucial values. </w:t>
      </w:r>
      <w:r w:rsidR="00FB223D">
        <w:rPr>
          <w:rFonts w:cs="Times New Roman"/>
          <w:szCs w:val="24"/>
        </w:rPr>
        <w:t xml:space="preserve"> </w:t>
      </w:r>
      <w:r>
        <w:rPr>
          <w:rFonts w:cs="Times New Roman"/>
          <w:szCs w:val="24"/>
        </w:rPr>
        <w:t>Also, the</w:t>
      </w:r>
      <w:r w:rsidR="00567B85">
        <w:rPr>
          <w:rFonts w:cs="Times New Roman"/>
          <w:szCs w:val="24"/>
        </w:rPr>
        <w:t xml:space="preserve"> </w:t>
      </w:r>
      <w:r w:rsidR="001542B8">
        <w:rPr>
          <w:rFonts w:cs="Times New Roman"/>
          <w:szCs w:val="24"/>
        </w:rPr>
        <w:t>capital structure and resulting</w:t>
      </w:r>
      <w:r>
        <w:rPr>
          <w:rFonts w:cs="Times New Roman"/>
          <w:szCs w:val="24"/>
        </w:rPr>
        <w:t xml:space="preserve"> rate of return will be a key value.</w:t>
      </w:r>
    </w:p>
    <w:p w:rsidR="00FB223D" w:rsidRDefault="00FB223D" w:rsidP="00F3050B">
      <w:pPr>
        <w:rPr>
          <w:rFonts w:cs="Times New Roman"/>
          <w:szCs w:val="24"/>
        </w:rPr>
      </w:pPr>
    </w:p>
    <w:p w:rsidR="002C64EE" w:rsidRPr="002C64EE" w:rsidRDefault="002C64EE" w:rsidP="00AC1AFA">
      <w:pPr>
        <w:pStyle w:val="Heading1"/>
      </w:pPr>
      <w:bookmarkStart w:id="4" w:name="_Toc311029099"/>
      <w:r w:rsidRPr="002C64EE">
        <w:t>Objectives of Decoupling</w:t>
      </w:r>
      <w:bookmarkEnd w:id="4"/>
    </w:p>
    <w:p w:rsidR="00D9362F" w:rsidRPr="007D5A76" w:rsidRDefault="00D9362F" w:rsidP="00D9362F">
      <w:pPr>
        <w:rPr>
          <w:rFonts w:cs="Times New Roman"/>
          <w:szCs w:val="24"/>
        </w:rPr>
      </w:pPr>
      <w:r w:rsidRPr="007D5A76">
        <w:rPr>
          <w:rFonts w:cs="Times New Roman"/>
          <w:szCs w:val="24"/>
        </w:rPr>
        <w:t xml:space="preserve">Based on Staff’s </w:t>
      </w:r>
      <w:r>
        <w:rPr>
          <w:rFonts w:cs="Times New Roman"/>
          <w:szCs w:val="24"/>
        </w:rPr>
        <w:t>review of t</w:t>
      </w:r>
      <w:r w:rsidRPr="007D5A76">
        <w:rPr>
          <w:rFonts w:cs="Times New Roman"/>
          <w:szCs w:val="24"/>
        </w:rPr>
        <w:t>he Decoupling Policy Statement</w:t>
      </w:r>
      <w:r>
        <w:rPr>
          <w:rFonts w:cs="Times New Roman"/>
          <w:szCs w:val="24"/>
        </w:rPr>
        <w:t>,</w:t>
      </w:r>
      <w:r w:rsidRPr="007D5A76">
        <w:rPr>
          <w:rFonts w:cs="Times New Roman"/>
          <w:szCs w:val="24"/>
        </w:rPr>
        <w:t xml:space="preserve"> </w:t>
      </w:r>
      <w:r>
        <w:rPr>
          <w:rFonts w:cs="Times New Roman"/>
          <w:szCs w:val="24"/>
        </w:rPr>
        <w:t xml:space="preserve">we have identified the following </w:t>
      </w:r>
      <w:r w:rsidR="00073187">
        <w:rPr>
          <w:rFonts w:cs="Times New Roman"/>
          <w:szCs w:val="24"/>
        </w:rPr>
        <w:t xml:space="preserve">overall </w:t>
      </w:r>
      <w:r>
        <w:rPr>
          <w:rFonts w:cs="Times New Roman"/>
          <w:szCs w:val="24"/>
        </w:rPr>
        <w:t>objectives</w:t>
      </w:r>
      <w:r w:rsidR="00AC1AFA">
        <w:rPr>
          <w:rFonts w:cs="Times New Roman"/>
          <w:szCs w:val="24"/>
        </w:rPr>
        <w:t xml:space="preserve"> a</w:t>
      </w:r>
      <w:r w:rsidR="00F96941">
        <w:rPr>
          <w:rFonts w:cs="Times New Roman"/>
          <w:szCs w:val="24"/>
        </w:rPr>
        <w:t xml:space="preserve"> </w:t>
      </w:r>
      <w:r>
        <w:rPr>
          <w:rFonts w:cs="Times New Roman"/>
          <w:szCs w:val="24"/>
        </w:rPr>
        <w:t>full decoupling mechanism</w:t>
      </w:r>
      <w:r w:rsidR="00F96941">
        <w:rPr>
          <w:rFonts w:cs="Times New Roman"/>
          <w:szCs w:val="24"/>
        </w:rPr>
        <w:t xml:space="preserve"> should </w:t>
      </w:r>
      <w:r w:rsidR="00AC1AFA">
        <w:rPr>
          <w:rFonts w:cs="Times New Roman"/>
          <w:szCs w:val="24"/>
        </w:rPr>
        <w:t>address</w:t>
      </w:r>
      <w:r w:rsidRPr="007D5A76">
        <w:rPr>
          <w:rFonts w:cs="Times New Roman"/>
          <w:szCs w:val="24"/>
        </w:rPr>
        <w:t>:</w:t>
      </w:r>
    </w:p>
    <w:p w:rsidR="00D9362F" w:rsidRDefault="00D9362F" w:rsidP="00D9362F">
      <w:pPr>
        <w:pStyle w:val="ListParagraph"/>
        <w:numPr>
          <w:ilvl w:val="0"/>
          <w:numId w:val="4"/>
        </w:numPr>
      </w:pPr>
      <w:r>
        <w:t>Remove barriers to the utility acquiring all cost-effective conservation.</w:t>
      </w:r>
    </w:p>
    <w:p w:rsidR="00D9362F" w:rsidRDefault="00D9362F" w:rsidP="00D9362F">
      <w:pPr>
        <w:pStyle w:val="ListParagraph"/>
        <w:numPr>
          <w:ilvl w:val="0"/>
          <w:numId w:val="4"/>
        </w:numPr>
      </w:pPr>
      <w:r>
        <w:t>Minimize the risk to both the utility and to ratepayers of volatility in total consumption (or average use per customer) by class regardless of weather or another cause.</w:t>
      </w:r>
    </w:p>
    <w:p w:rsidR="00D9362F" w:rsidRDefault="00D9362F" w:rsidP="00D9362F">
      <w:r>
        <w:t xml:space="preserve">The </w:t>
      </w:r>
      <w:r w:rsidR="00B11B3A">
        <w:t xml:space="preserve">other </w:t>
      </w:r>
      <w:r>
        <w:t>objectives to consider in designing a full decoupling mechanism are to eliminate</w:t>
      </w:r>
      <w:r w:rsidR="002C01AA">
        <w:t xml:space="preserve"> both</w:t>
      </w:r>
      <w:r>
        <w:t xml:space="preserve"> the utility’s risk of declines in usage</w:t>
      </w:r>
      <w:r w:rsidR="002C01AA">
        <w:t xml:space="preserve"> and the utility’s incentive to increase usage,</w:t>
      </w:r>
      <w:r>
        <w:t xml:space="preserve"> thus eliminat</w:t>
      </w:r>
      <w:r w:rsidR="00D4053E">
        <w:t>ing</w:t>
      </w:r>
      <w:r>
        <w:t xml:space="preserve"> the disincentive to acquir</w:t>
      </w:r>
      <w:r w:rsidR="00D4053E">
        <w:t>e</w:t>
      </w:r>
      <w:r>
        <w:t xml:space="preserve"> conservation</w:t>
      </w:r>
      <w:r w:rsidR="002C01AA">
        <w:t>.  At the same time, the full decoupling mechanism should</w:t>
      </w:r>
      <w:r>
        <w:t xml:space="preserve"> assure the utility acquires the appropriate level</w:t>
      </w:r>
      <w:r w:rsidR="00812554">
        <w:t xml:space="preserve"> and type</w:t>
      </w:r>
      <w:r>
        <w:t xml:space="preserve"> of conservation, retain management incentives to reduce costs, assure the utility will meet its conservation acquisition targets, assure rates are reasonable and that service quality will not decline.</w:t>
      </w:r>
    </w:p>
    <w:p w:rsidR="002C64EE" w:rsidRPr="002C64EE" w:rsidRDefault="002C64EE" w:rsidP="002C64EE">
      <w:pPr>
        <w:spacing w:line="240" w:lineRule="auto"/>
        <w:rPr>
          <w:b/>
        </w:rPr>
      </w:pPr>
    </w:p>
    <w:p w:rsidR="00D2630A" w:rsidRPr="00D2630A" w:rsidRDefault="00F3050B" w:rsidP="00B11B3A">
      <w:pPr>
        <w:pStyle w:val="Heading1"/>
      </w:pPr>
      <w:bookmarkStart w:id="5" w:name="_Toc311029100"/>
      <w:r>
        <w:t xml:space="preserve">Required Elements of </w:t>
      </w:r>
      <w:r w:rsidR="00C203AE">
        <w:t xml:space="preserve">a Full Decoupling </w:t>
      </w:r>
      <w:r w:rsidR="00DB1534">
        <w:t>Mechanism</w:t>
      </w:r>
      <w:bookmarkEnd w:id="5"/>
    </w:p>
    <w:p w:rsidR="00F3050B" w:rsidRPr="007D5A76" w:rsidRDefault="00F3050B" w:rsidP="00F3050B">
      <w:pPr>
        <w:rPr>
          <w:rFonts w:cs="Times New Roman"/>
          <w:szCs w:val="24"/>
        </w:rPr>
      </w:pPr>
      <w:r w:rsidRPr="007D5A76">
        <w:rPr>
          <w:rFonts w:cs="Times New Roman"/>
          <w:szCs w:val="24"/>
        </w:rPr>
        <w:t xml:space="preserve">Based on Staff’s </w:t>
      </w:r>
      <w:r>
        <w:rPr>
          <w:rFonts w:cs="Times New Roman"/>
          <w:szCs w:val="24"/>
        </w:rPr>
        <w:t>review</w:t>
      </w:r>
      <w:r w:rsidR="001308F6">
        <w:rPr>
          <w:rFonts w:cs="Times New Roman"/>
          <w:szCs w:val="24"/>
        </w:rPr>
        <w:t xml:space="preserve"> of t</w:t>
      </w:r>
      <w:r w:rsidRPr="007D5A76">
        <w:rPr>
          <w:rFonts w:cs="Times New Roman"/>
          <w:szCs w:val="24"/>
        </w:rPr>
        <w:t>he Decoupling Policy Statement</w:t>
      </w:r>
      <w:r>
        <w:rPr>
          <w:rStyle w:val="FootnoteReference"/>
          <w:rFonts w:cs="Times New Roman"/>
          <w:szCs w:val="24"/>
        </w:rPr>
        <w:footnoteReference w:id="14"/>
      </w:r>
      <w:r w:rsidR="001308F6">
        <w:rPr>
          <w:rFonts w:cs="Times New Roman"/>
          <w:szCs w:val="24"/>
        </w:rPr>
        <w:t>,</w:t>
      </w:r>
      <w:r w:rsidRPr="007D5A76">
        <w:rPr>
          <w:rFonts w:cs="Times New Roman"/>
          <w:szCs w:val="24"/>
        </w:rPr>
        <w:t xml:space="preserve"> </w:t>
      </w:r>
      <w:r>
        <w:rPr>
          <w:rFonts w:cs="Times New Roman"/>
          <w:szCs w:val="24"/>
        </w:rPr>
        <w:t xml:space="preserve">we have identified the following elements </w:t>
      </w:r>
      <w:r w:rsidR="00F96941">
        <w:rPr>
          <w:rFonts w:cs="Times New Roman"/>
          <w:szCs w:val="24"/>
        </w:rPr>
        <w:t xml:space="preserve">that a </w:t>
      </w:r>
      <w:r>
        <w:rPr>
          <w:rFonts w:cs="Times New Roman"/>
          <w:szCs w:val="24"/>
        </w:rPr>
        <w:t>full decoupling mechanism</w:t>
      </w:r>
      <w:r w:rsidR="00F96941">
        <w:rPr>
          <w:rFonts w:cs="Times New Roman"/>
          <w:szCs w:val="24"/>
        </w:rPr>
        <w:t xml:space="preserve"> should include</w:t>
      </w:r>
      <w:r w:rsidRPr="007D5A76">
        <w:rPr>
          <w:rFonts w:cs="Times New Roman"/>
          <w:szCs w:val="24"/>
        </w:rPr>
        <w:t>:</w:t>
      </w:r>
    </w:p>
    <w:p w:rsidR="00F3050B" w:rsidRPr="007D5A76" w:rsidRDefault="00F3050B" w:rsidP="00F3050B">
      <w:pPr>
        <w:pStyle w:val="ListParagraph"/>
        <w:numPr>
          <w:ilvl w:val="0"/>
          <w:numId w:val="4"/>
        </w:numPr>
      </w:pPr>
      <w:r w:rsidRPr="007D5A76">
        <w:t xml:space="preserve">True-up revenues annually to the </w:t>
      </w:r>
      <w:r>
        <w:t>assured</w:t>
      </w:r>
      <w:r w:rsidRPr="007D5A76">
        <w:t xml:space="preserve"> level, subject to an earnings test, and net of the benefits of off-system sales and avoided costs due to </w:t>
      </w:r>
      <w:r>
        <w:t xml:space="preserve">decoupling-related </w:t>
      </w:r>
      <w:r w:rsidRPr="007D5A76">
        <w:t>conservation efforts</w:t>
      </w:r>
      <w:r>
        <w:t>.</w:t>
      </w:r>
      <w:r w:rsidRPr="007D5A76">
        <w:t xml:space="preserve"> </w:t>
      </w:r>
    </w:p>
    <w:p w:rsidR="00C11C06" w:rsidRPr="007D5A76" w:rsidRDefault="00C11C06" w:rsidP="00C11C06">
      <w:pPr>
        <w:pStyle w:val="ListParagraph"/>
        <w:numPr>
          <w:ilvl w:val="0"/>
          <w:numId w:val="4"/>
        </w:numPr>
      </w:pPr>
      <w:r w:rsidRPr="007D5A76">
        <w:t xml:space="preserve">Apply </w:t>
      </w:r>
      <w:r>
        <w:t xml:space="preserve">full decoupling </w:t>
      </w:r>
      <w:r w:rsidRPr="007D5A76">
        <w:t xml:space="preserve">to </w:t>
      </w:r>
      <w:r>
        <w:t xml:space="preserve">each </w:t>
      </w:r>
      <w:r w:rsidRPr="007D5A76">
        <w:t xml:space="preserve">customer class unless it would be </w:t>
      </w:r>
      <w:r>
        <w:t xml:space="preserve">reasonable and </w:t>
      </w:r>
      <w:r w:rsidRPr="007D5A76">
        <w:t xml:space="preserve">lawful to apply full decoupling </w:t>
      </w:r>
      <w:r>
        <w:t xml:space="preserve">only </w:t>
      </w:r>
      <w:r w:rsidRPr="007D5A76">
        <w:t xml:space="preserve">to </w:t>
      </w:r>
      <w:r>
        <w:t>selected customer</w:t>
      </w:r>
      <w:r w:rsidRPr="007D5A76">
        <w:t xml:space="preserve"> classes</w:t>
      </w:r>
      <w:r>
        <w:t>.</w:t>
      </w:r>
    </w:p>
    <w:p w:rsidR="00C11C06" w:rsidRPr="007D5A76" w:rsidRDefault="00C11C06" w:rsidP="00C11C06">
      <w:pPr>
        <w:pStyle w:val="ListParagraph"/>
        <w:numPr>
          <w:ilvl w:val="0"/>
          <w:numId w:val="4"/>
        </w:numPr>
      </w:pPr>
      <w:r>
        <w:t>Address the duration of full decoupling in terms of</w:t>
      </w:r>
      <w:r w:rsidRPr="007D5A76">
        <w:t xml:space="preserve"> achiev</w:t>
      </w:r>
      <w:r>
        <w:t>ing</w:t>
      </w:r>
      <w:r w:rsidRPr="007D5A76">
        <w:t xml:space="preserve"> its objectives or until the next general rate case</w:t>
      </w:r>
      <w:r>
        <w:t>.</w:t>
      </w:r>
    </w:p>
    <w:p w:rsidR="00F3050B" w:rsidRPr="007D5A76" w:rsidRDefault="00F3050B" w:rsidP="00F3050B">
      <w:pPr>
        <w:pStyle w:val="ListParagraph"/>
        <w:numPr>
          <w:ilvl w:val="0"/>
          <w:numId w:val="4"/>
        </w:numPr>
      </w:pPr>
      <w:r w:rsidRPr="007D5A76">
        <w:t xml:space="preserve">Reflect the impact of full decoupling on the </w:t>
      </w:r>
      <w:r w:rsidR="001542B8">
        <w:t xml:space="preserve">capital structure and </w:t>
      </w:r>
      <w:r w:rsidRPr="007D5A76">
        <w:t>rate o</w:t>
      </w:r>
      <w:r>
        <w:t>f</w:t>
      </w:r>
      <w:r w:rsidRPr="007D5A76">
        <w:t xml:space="preserve"> return</w:t>
      </w:r>
      <w:r w:rsidR="001542B8">
        <w:t>.</w:t>
      </w:r>
    </w:p>
    <w:p w:rsidR="00C11C06" w:rsidRPr="007D5A76" w:rsidRDefault="00C11C06" w:rsidP="00C11C06">
      <w:pPr>
        <w:pStyle w:val="ListParagraph"/>
        <w:numPr>
          <w:ilvl w:val="0"/>
          <w:numId w:val="4"/>
        </w:numPr>
      </w:pPr>
      <w:r w:rsidRPr="007D5A76">
        <w:t xml:space="preserve">Address </w:t>
      </w:r>
      <w:r>
        <w:t xml:space="preserve">utility </w:t>
      </w:r>
      <w:r w:rsidRPr="007D5A76">
        <w:t>management</w:t>
      </w:r>
      <w:r>
        <w:t>’s</w:t>
      </w:r>
      <w:r w:rsidRPr="007D5A76">
        <w:t xml:space="preserve"> </w:t>
      </w:r>
      <w:r>
        <w:t>potential dis</w:t>
      </w:r>
      <w:r w:rsidRPr="007D5A76">
        <w:t>incentive to reduce costs, in light of the elimination of risk of revenue declines</w:t>
      </w:r>
      <w:r>
        <w:t>.</w:t>
      </w:r>
    </w:p>
    <w:p w:rsidR="002C01AA" w:rsidRDefault="002C01AA" w:rsidP="002C01AA">
      <w:pPr>
        <w:pStyle w:val="ListParagraph"/>
        <w:numPr>
          <w:ilvl w:val="0"/>
          <w:numId w:val="4"/>
        </w:numPr>
      </w:pPr>
      <w:r w:rsidRPr="002C01AA">
        <w:t xml:space="preserve">Revenue recovery by the company under the mechanism will be conditioned upon a utility’s level of achievement with respect to its conservation target.  </w:t>
      </w:r>
    </w:p>
    <w:p w:rsidR="00F3050B" w:rsidRPr="007D5A76" w:rsidRDefault="00F3050B" w:rsidP="00F3050B">
      <w:pPr>
        <w:pStyle w:val="ListParagraph"/>
        <w:numPr>
          <w:ilvl w:val="0"/>
          <w:numId w:val="4"/>
        </w:numPr>
      </w:pPr>
      <w:r w:rsidRPr="007D5A76">
        <w:t xml:space="preserve">Provide benefits </w:t>
      </w:r>
      <w:r>
        <w:t xml:space="preserve">of conservation </w:t>
      </w:r>
      <w:r w:rsidRPr="007D5A76">
        <w:t xml:space="preserve">to low income customers roughly comparable to other ratepayers, or if not, </w:t>
      </w:r>
      <w:r>
        <w:t xml:space="preserve">provide </w:t>
      </w:r>
      <w:r w:rsidRPr="007D5A76">
        <w:t>a targeted low income program consistent with cost effectiveness standards</w:t>
      </w:r>
      <w:r>
        <w:t>.</w:t>
      </w:r>
    </w:p>
    <w:p w:rsidR="00F3050B" w:rsidRPr="007D5A76" w:rsidRDefault="00F3050B" w:rsidP="00F3050B">
      <w:pPr>
        <w:pStyle w:val="ListParagraph"/>
        <w:numPr>
          <w:ilvl w:val="0"/>
          <w:numId w:val="4"/>
        </w:numPr>
      </w:pPr>
      <w:r w:rsidRPr="007D5A76">
        <w:t>Describe the incremental conservation the utility intends to pursue in conjunction with the mechanism</w:t>
      </w:r>
      <w:r>
        <w:t>.</w:t>
      </w:r>
    </w:p>
    <w:p w:rsidR="00F3050B" w:rsidRPr="007D5A76" w:rsidRDefault="00F3050B" w:rsidP="00F3050B">
      <w:pPr>
        <w:pStyle w:val="ListParagraph"/>
        <w:numPr>
          <w:ilvl w:val="0"/>
          <w:numId w:val="4"/>
        </w:numPr>
      </w:pPr>
      <w:r w:rsidRPr="007D5A76">
        <w:t>Require appropriate</w:t>
      </w:r>
      <w:r>
        <w:t xml:space="preserve"> reporting.</w:t>
      </w:r>
    </w:p>
    <w:p w:rsidR="00BF6DDC" w:rsidRDefault="00E16568" w:rsidP="00831B75">
      <w:pPr>
        <w:rPr>
          <w:rFonts w:cs="Times New Roman"/>
          <w:szCs w:val="24"/>
        </w:rPr>
      </w:pPr>
      <w:r>
        <w:rPr>
          <w:rFonts w:cs="Times New Roman"/>
          <w:szCs w:val="24"/>
        </w:rPr>
        <w:t>Because the Commission’s list of elements is not exclusive,</w:t>
      </w:r>
      <w:r w:rsidR="00F3050B">
        <w:rPr>
          <w:rStyle w:val="FootnoteReference"/>
          <w:rFonts w:cs="Times New Roman"/>
          <w:szCs w:val="24"/>
        </w:rPr>
        <w:footnoteReference w:id="15"/>
      </w:r>
      <w:r>
        <w:rPr>
          <w:rFonts w:cs="Times New Roman"/>
          <w:szCs w:val="24"/>
        </w:rPr>
        <w:t xml:space="preserve"> Staff</w:t>
      </w:r>
      <w:r w:rsidR="00D9362F">
        <w:rPr>
          <w:rFonts w:cs="Times New Roman"/>
          <w:szCs w:val="24"/>
        </w:rPr>
        <w:t xml:space="preserve"> also</w:t>
      </w:r>
      <w:r>
        <w:rPr>
          <w:rFonts w:cs="Times New Roman"/>
          <w:szCs w:val="24"/>
        </w:rPr>
        <w:t xml:space="preserve"> addresses the following items:</w:t>
      </w:r>
    </w:p>
    <w:p w:rsidR="00E16568" w:rsidRDefault="00E16568" w:rsidP="00E16568">
      <w:pPr>
        <w:pStyle w:val="ListParagraph"/>
        <w:numPr>
          <w:ilvl w:val="0"/>
          <w:numId w:val="11"/>
        </w:numPr>
      </w:pPr>
      <w:r>
        <w:t>How to address the incentive for a utility not to restore service promptly</w:t>
      </w:r>
      <w:r w:rsidR="00D90616">
        <w:t>.</w:t>
      </w:r>
    </w:p>
    <w:p w:rsidR="000301D2" w:rsidRDefault="00C06353" w:rsidP="00FB223D">
      <w:pPr>
        <w:pStyle w:val="ListParagraph"/>
        <w:numPr>
          <w:ilvl w:val="0"/>
          <w:numId w:val="11"/>
        </w:numPr>
      </w:pPr>
      <w:r>
        <w:t>Administrative burden on the Commission.</w:t>
      </w:r>
    </w:p>
    <w:p w:rsidR="00536E02" w:rsidRDefault="00536E02" w:rsidP="00536E02"/>
    <w:p w:rsidR="007A5643" w:rsidRDefault="00EA7A91" w:rsidP="00B11B3A">
      <w:pPr>
        <w:pStyle w:val="Heading1"/>
      </w:pPr>
      <w:bookmarkStart w:id="6" w:name="_Toc311029101"/>
      <w:r>
        <w:t xml:space="preserve">Description of </w:t>
      </w:r>
      <w:r w:rsidR="00517374">
        <w:t>the</w:t>
      </w:r>
      <w:r w:rsidR="007A5643">
        <w:t xml:space="preserve"> Mechanism</w:t>
      </w:r>
      <w:bookmarkEnd w:id="6"/>
    </w:p>
    <w:p w:rsidR="00B5517B" w:rsidRDefault="00191A76" w:rsidP="006364A6">
      <w:r>
        <w:t xml:space="preserve">The </w:t>
      </w:r>
      <w:r w:rsidR="00D9362F">
        <w:t>Mechanism</w:t>
      </w:r>
      <w:r>
        <w:t xml:space="preserve"> </w:t>
      </w:r>
      <w:r w:rsidR="0022128F">
        <w:t xml:space="preserve">described in Appendix </w:t>
      </w:r>
      <w:r w:rsidR="004E70DC">
        <w:t xml:space="preserve">2 </w:t>
      </w:r>
      <w:r w:rsidR="0022128F">
        <w:t>responds to the objectives and critical elements identified above</w:t>
      </w:r>
      <w:r w:rsidR="00B5517B">
        <w:t>.</w:t>
      </w:r>
      <w:r w:rsidR="0022128F">
        <w:t xml:space="preserve">  The following table summarizes Appendix </w:t>
      </w:r>
      <w:r w:rsidR="004E70DC">
        <w:t xml:space="preserve">2 </w:t>
      </w:r>
      <w:r w:rsidR="0022128F">
        <w:t>and outlines some additional items</w:t>
      </w:r>
      <w:r w:rsidR="00F96941">
        <w:t xml:space="preserve"> for Commission consideration</w:t>
      </w:r>
      <w:r w:rsidR="0022128F">
        <w:t>.</w:t>
      </w:r>
    </w:p>
    <w:tbl>
      <w:tblPr>
        <w:tblStyle w:val="TableGrid"/>
        <w:tblW w:w="0" w:type="auto"/>
        <w:tblLook w:val="01E0" w:firstRow="1" w:lastRow="1" w:firstColumn="1" w:lastColumn="1" w:noHBand="0" w:noVBand="0"/>
      </w:tblPr>
      <w:tblGrid>
        <w:gridCol w:w="2952"/>
        <w:gridCol w:w="2952"/>
        <w:gridCol w:w="2952"/>
      </w:tblGrid>
      <w:tr w:rsidR="00812554" w:rsidRPr="00B75EC1" w:rsidTr="00067A1C">
        <w:tc>
          <w:tcPr>
            <w:tcW w:w="2952" w:type="dxa"/>
          </w:tcPr>
          <w:p w:rsidR="00812554" w:rsidRPr="00B75EC1" w:rsidRDefault="00812554" w:rsidP="00067A1C">
            <w:pPr>
              <w:rPr>
                <w:b/>
              </w:rPr>
            </w:pPr>
            <w:r w:rsidRPr="00B75EC1">
              <w:rPr>
                <w:b/>
              </w:rPr>
              <w:t>Issue</w:t>
            </w:r>
          </w:p>
        </w:tc>
        <w:tc>
          <w:tcPr>
            <w:tcW w:w="2952" w:type="dxa"/>
          </w:tcPr>
          <w:p w:rsidR="00812554" w:rsidRPr="00B75EC1" w:rsidRDefault="00812554" w:rsidP="00067A1C">
            <w:pPr>
              <w:rPr>
                <w:b/>
              </w:rPr>
            </w:pPr>
            <w:r w:rsidRPr="00B75EC1">
              <w:rPr>
                <w:b/>
              </w:rPr>
              <w:t>Summary</w:t>
            </w:r>
          </w:p>
        </w:tc>
        <w:tc>
          <w:tcPr>
            <w:tcW w:w="2952" w:type="dxa"/>
          </w:tcPr>
          <w:p w:rsidR="00812554" w:rsidRPr="00B75EC1" w:rsidRDefault="00812554" w:rsidP="00067A1C">
            <w:pPr>
              <w:rPr>
                <w:b/>
              </w:rPr>
            </w:pPr>
            <w:r w:rsidRPr="00B75EC1">
              <w:rPr>
                <w:b/>
              </w:rPr>
              <w:t>Notes</w:t>
            </w:r>
          </w:p>
        </w:tc>
      </w:tr>
      <w:tr w:rsidR="00812554" w:rsidTr="00067A1C">
        <w:tc>
          <w:tcPr>
            <w:tcW w:w="2952" w:type="dxa"/>
          </w:tcPr>
          <w:p w:rsidR="00812554" w:rsidRPr="00B75EC1" w:rsidRDefault="00812554" w:rsidP="00067A1C">
            <w:pPr>
              <w:rPr>
                <w:b/>
              </w:rPr>
            </w:pPr>
            <w:r w:rsidRPr="00B75EC1">
              <w:rPr>
                <w:b/>
              </w:rPr>
              <w:t>Type of Decoupling Mechanism</w:t>
            </w:r>
          </w:p>
        </w:tc>
        <w:tc>
          <w:tcPr>
            <w:tcW w:w="2952" w:type="dxa"/>
          </w:tcPr>
          <w:p w:rsidR="00812554" w:rsidRDefault="00812554" w:rsidP="00067A1C">
            <w:r>
              <w:t>Revenue Per Customer</w:t>
            </w:r>
          </w:p>
        </w:tc>
        <w:tc>
          <w:tcPr>
            <w:tcW w:w="2952" w:type="dxa"/>
          </w:tcPr>
          <w:p w:rsidR="00812554" w:rsidRDefault="00812554" w:rsidP="00067A1C"/>
        </w:tc>
      </w:tr>
      <w:tr w:rsidR="00812554" w:rsidTr="00067A1C">
        <w:tc>
          <w:tcPr>
            <w:tcW w:w="2952" w:type="dxa"/>
          </w:tcPr>
          <w:p w:rsidR="00812554" w:rsidRPr="00B75EC1" w:rsidRDefault="00812554" w:rsidP="00067A1C">
            <w:pPr>
              <w:rPr>
                <w:b/>
              </w:rPr>
            </w:pPr>
            <w:r w:rsidRPr="00B75EC1">
              <w:rPr>
                <w:b/>
              </w:rPr>
              <w:t>Frequency of Adjustments</w:t>
            </w:r>
          </w:p>
        </w:tc>
        <w:tc>
          <w:tcPr>
            <w:tcW w:w="2952" w:type="dxa"/>
          </w:tcPr>
          <w:p w:rsidR="00812554" w:rsidRDefault="00812554" w:rsidP="00067A1C">
            <w:r>
              <w:t>Annual</w:t>
            </w:r>
          </w:p>
          <w:p w:rsidR="00812554" w:rsidRDefault="00812554" w:rsidP="00067A1C"/>
        </w:tc>
        <w:tc>
          <w:tcPr>
            <w:tcW w:w="2952" w:type="dxa"/>
          </w:tcPr>
          <w:p w:rsidR="00812554" w:rsidRDefault="00812554" w:rsidP="00067A1C">
            <w:r>
              <w:t>July – June deferral period; November – October recovery period.</w:t>
            </w:r>
          </w:p>
        </w:tc>
      </w:tr>
      <w:tr w:rsidR="00812554" w:rsidTr="00067A1C">
        <w:tc>
          <w:tcPr>
            <w:tcW w:w="2952" w:type="dxa"/>
          </w:tcPr>
          <w:p w:rsidR="00812554" w:rsidRPr="00B75EC1" w:rsidRDefault="00812554" w:rsidP="00067A1C">
            <w:pPr>
              <w:rPr>
                <w:b/>
              </w:rPr>
            </w:pPr>
            <w:r>
              <w:rPr>
                <w:b/>
              </w:rPr>
              <w:t>General Rate Case Frequency</w:t>
            </w:r>
          </w:p>
        </w:tc>
        <w:tc>
          <w:tcPr>
            <w:tcW w:w="2952" w:type="dxa"/>
          </w:tcPr>
          <w:p w:rsidR="00812554" w:rsidRDefault="0022128F" w:rsidP="00067A1C">
            <w:r>
              <w:t>Every four years</w:t>
            </w:r>
          </w:p>
        </w:tc>
        <w:tc>
          <w:tcPr>
            <w:tcW w:w="2952" w:type="dxa"/>
          </w:tcPr>
          <w:p w:rsidR="00812554" w:rsidRDefault="00812554" w:rsidP="00067A1C"/>
        </w:tc>
      </w:tr>
      <w:tr w:rsidR="00812554" w:rsidTr="00067A1C">
        <w:tc>
          <w:tcPr>
            <w:tcW w:w="2952" w:type="dxa"/>
          </w:tcPr>
          <w:p w:rsidR="00812554" w:rsidRPr="00B75EC1" w:rsidRDefault="00812554" w:rsidP="00067A1C">
            <w:pPr>
              <w:rPr>
                <w:b/>
              </w:rPr>
            </w:pPr>
            <w:r w:rsidRPr="00B75EC1">
              <w:rPr>
                <w:b/>
              </w:rPr>
              <w:t>Maximum Rate Adjustment Per Year</w:t>
            </w:r>
          </w:p>
        </w:tc>
        <w:tc>
          <w:tcPr>
            <w:tcW w:w="2952" w:type="dxa"/>
          </w:tcPr>
          <w:p w:rsidR="00812554" w:rsidRDefault="00812554" w:rsidP="00067A1C">
            <w:r>
              <w:t>3%</w:t>
            </w:r>
          </w:p>
        </w:tc>
        <w:tc>
          <w:tcPr>
            <w:tcW w:w="2952" w:type="dxa"/>
          </w:tcPr>
          <w:p w:rsidR="00812554" w:rsidRDefault="00812554" w:rsidP="00067A1C">
            <w:r>
              <w:t>Deferrals in excess of 3% are carried over at a short-term rate of interest.</w:t>
            </w:r>
          </w:p>
        </w:tc>
      </w:tr>
      <w:tr w:rsidR="00812554" w:rsidTr="00067A1C">
        <w:tc>
          <w:tcPr>
            <w:tcW w:w="2952" w:type="dxa"/>
          </w:tcPr>
          <w:p w:rsidR="00812554" w:rsidRPr="00B75EC1" w:rsidRDefault="00812554" w:rsidP="00067A1C">
            <w:pPr>
              <w:rPr>
                <w:b/>
              </w:rPr>
            </w:pPr>
            <w:r w:rsidRPr="00B75EC1">
              <w:rPr>
                <w:b/>
              </w:rPr>
              <w:t>Earnings Test</w:t>
            </w:r>
          </w:p>
        </w:tc>
        <w:tc>
          <w:tcPr>
            <w:tcW w:w="2952" w:type="dxa"/>
          </w:tcPr>
          <w:p w:rsidR="00812554" w:rsidRDefault="00812554" w:rsidP="00812554">
            <w:r>
              <w:t>Deadband is 25 basis points above Overall Rate of Return</w:t>
            </w:r>
          </w:p>
        </w:tc>
        <w:tc>
          <w:tcPr>
            <w:tcW w:w="2952" w:type="dxa"/>
          </w:tcPr>
          <w:p w:rsidR="00812554" w:rsidRDefault="00812554" w:rsidP="00067A1C">
            <w:r>
              <w:t>Earnings over the deadband are returned to customers</w:t>
            </w:r>
          </w:p>
        </w:tc>
      </w:tr>
      <w:tr w:rsidR="00812554" w:rsidTr="00067A1C">
        <w:tc>
          <w:tcPr>
            <w:tcW w:w="2952" w:type="dxa"/>
          </w:tcPr>
          <w:p w:rsidR="00812554" w:rsidRPr="00B75EC1" w:rsidRDefault="00812554" w:rsidP="00067A1C">
            <w:pPr>
              <w:rPr>
                <w:b/>
              </w:rPr>
            </w:pPr>
            <w:r w:rsidRPr="00B75EC1">
              <w:rPr>
                <w:b/>
              </w:rPr>
              <w:t>Conservation Test</w:t>
            </w:r>
          </w:p>
        </w:tc>
        <w:tc>
          <w:tcPr>
            <w:tcW w:w="2952" w:type="dxa"/>
          </w:tcPr>
          <w:p w:rsidR="00812554" w:rsidRDefault="00812554" w:rsidP="00B11B3A">
            <w:r>
              <w:t xml:space="preserve">Company recovers </w:t>
            </w:r>
            <w:r w:rsidR="00B11B3A">
              <w:t xml:space="preserve">up to 120% </w:t>
            </w:r>
            <w:r>
              <w:t xml:space="preserve">of deferral, based on achievement of conservation target </w:t>
            </w:r>
          </w:p>
        </w:tc>
        <w:tc>
          <w:tcPr>
            <w:tcW w:w="2952" w:type="dxa"/>
          </w:tcPr>
          <w:p w:rsidR="00812554" w:rsidRDefault="00F356D2" w:rsidP="00067A1C">
            <w:r>
              <w:t>Third-party evaluation of conservation savings required</w:t>
            </w:r>
          </w:p>
        </w:tc>
      </w:tr>
      <w:tr w:rsidR="00812554" w:rsidTr="00067A1C">
        <w:tc>
          <w:tcPr>
            <w:tcW w:w="2952" w:type="dxa"/>
          </w:tcPr>
          <w:p w:rsidR="00812554" w:rsidRPr="00B75EC1" w:rsidRDefault="00812554" w:rsidP="00067A1C">
            <w:pPr>
              <w:rPr>
                <w:b/>
              </w:rPr>
            </w:pPr>
            <w:r w:rsidRPr="00B75EC1">
              <w:rPr>
                <w:b/>
              </w:rPr>
              <w:t>Duration</w:t>
            </w:r>
          </w:p>
        </w:tc>
        <w:tc>
          <w:tcPr>
            <w:tcW w:w="2952" w:type="dxa"/>
          </w:tcPr>
          <w:p w:rsidR="00812554" w:rsidRDefault="00812554" w:rsidP="00067A1C">
            <w:r>
              <w:t>Until Changed</w:t>
            </w:r>
          </w:p>
        </w:tc>
        <w:tc>
          <w:tcPr>
            <w:tcW w:w="2952" w:type="dxa"/>
          </w:tcPr>
          <w:p w:rsidR="00812554" w:rsidRDefault="00812554" w:rsidP="00067A1C">
            <w:r>
              <w:t>Gives rating agencies assurance this is not a temporary measure</w:t>
            </w:r>
          </w:p>
        </w:tc>
      </w:tr>
      <w:tr w:rsidR="00D831AF" w:rsidTr="00067A1C">
        <w:tc>
          <w:tcPr>
            <w:tcW w:w="2952" w:type="dxa"/>
          </w:tcPr>
          <w:p w:rsidR="00D831AF" w:rsidRPr="00B75EC1" w:rsidRDefault="00D831AF" w:rsidP="00067A1C">
            <w:pPr>
              <w:rPr>
                <w:b/>
              </w:rPr>
            </w:pPr>
            <w:r w:rsidRPr="00B75EC1">
              <w:rPr>
                <w:b/>
              </w:rPr>
              <w:t>Classes excluded</w:t>
            </w:r>
          </w:p>
        </w:tc>
        <w:tc>
          <w:tcPr>
            <w:tcW w:w="2952" w:type="dxa"/>
          </w:tcPr>
          <w:p w:rsidR="00D831AF" w:rsidRDefault="00D831AF" w:rsidP="00067A1C">
            <w:r>
              <w:t>Classes that do not participate in conservation programs</w:t>
            </w:r>
          </w:p>
        </w:tc>
        <w:tc>
          <w:tcPr>
            <w:tcW w:w="2952" w:type="dxa"/>
          </w:tcPr>
          <w:p w:rsidR="00D831AF" w:rsidRDefault="00877E56" w:rsidP="00877E56">
            <w:r>
              <w:t xml:space="preserve">Only Gas </w:t>
            </w:r>
            <w:r w:rsidR="00D831AF">
              <w:t>Transportation</w:t>
            </w:r>
            <w:r>
              <w:t xml:space="preserve"> Excluded</w:t>
            </w:r>
          </w:p>
        </w:tc>
      </w:tr>
      <w:tr w:rsidR="00812554" w:rsidTr="00067A1C">
        <w:tc>
          <w:tcPr>
            <w:tcW w:w="2952" w:type="dxa"/>
          </w:tcPr>
          <w:p w:rsidR="00812554" w:rsidRPr="00B75EC1" w:rsidRDefault="00812554" w:rsidP="00067A1C">
            <w:pPr>
              <w:rPr>
                <w:b/>
              </w:rPr>
            </w:pPr>
            <w:r w:rsidRPr="00B75EC1">
              <w:rPr>
                <w:b/>
              </w:rPr>
              <w:t>K-Factor</w:t>
            </w:r>
          </w:p>
        </w:tc>
        <w:tc>
          <w:tcPr>
            <w:tcW w:w="2952" w:type="dxa"/>
          </w:tcPr>
          <w:p w:rsidR="00812554" w:rsidRDefault="00877E56" w:rsidP="00067A1C">
            <w:r>
              <w:t>Optional</w:t>
            </w:r>
          </w:p>
        </w:tc>
        <w:tc>
          <w:tcPr>
            <w:tcW w:w="2952" w:type="dxa"/>
          </w:tcPr>
          <w:p w:rsidR="00812554" w:rsidRDefault="00D831AF" w:rsidP="00866C5D">
            <w:r>
              <w:t>After 3 years, a</w:t>
            </w:r>
            <w:r w:rsidR="00570463">
              <w:t>n</w:t>
            </w:r>
            <w:r>
              <w:t xml:space="preserve"> annual </w:t>
            </w:r>
            <w:r w:rsidR="00570463">
              <w:t xml:space="preserve">percentage </w:t>
            </w:r>
            <w:r>
              <w:t xml:space="preserve">reduction in </w:t>
            </w:r>
            <w:r w:rsidR="00866C5D">
              <w:t>revenue</w:t>
            </w:r>
            <w:r>
              <w:t xml:space="preserve"> per customer will be incorporated into the Mechanism unless a GRC is filed</w:t>
            </w:r>
          </w:p>
        </w:tc>
      </w:tr>
      <w:tr w:rsidR="00D831AF" w:rsidTr="00067A1C">
        <w:tc>
          <w:tcPr>
            <w:tcW w:w="2952" w:type="dxa"/>
          </w:tcPr>
          <w:p w:rsidR="00D831AF" w:rsidRPr="00B75EC1" w:rsidRDefault="00D831AF" w:rsidP="00067A1C">
            <w:pPr>
              <w:rPr>
                <w:b/>
              </w:rPr>
            </w:pPr>
            <w:r>
              <w:rPr>
                <w:b/>
              </w:rPr>
              <w:t>Adjustment to account for off-system sales</w:t>
            </w:r>
          </w:p>
        </w:tc>
        <w:tc>
          <w:tcPr>
            <w:tcW w:w="2952" w:type="dxa"/>
          </w:tcPr>
          <w:p w:rsidR="00D831AF" w:rsidRDefault="00877E56" w:rsidP="00067A1C">
            <w:r>
              <w:t>Optional</w:t>
            </w:r>
          </w:p>
        </w:tc>
        <w:tc>
          <w:tcPr>
            <w:tcW w:w="2952" w:type="dxa"/>
          </w:tcPr>
          <w:p w:rsidR="00D831AF" w:rsidRDefault="005C667A" w:rsidP="00067A1C">
            <w:r>
              <w:t xml:space="preserve">Adjust </w:t>
            </w:r>
            <w:r w:rsidR="00D831AF">
              <w:t xml:space="preserve">usage by the amount of line-loss and </w:t>
            </w:r>
            <w:r>
              <w:t xml:space="preserve">adjust </w:t>
            </w:r>
            <w:r w:rsidR="00D831AF">
              <w:t xml:space="preserve">deferral by the average market value of the </w:t>
            </w:r>
            <w:r>
              <w:t>consumption deviation</w:t>
            </w:r>
          </w:p>
        </w:tc>
      </w:tr>
      <w:tr w:rsidR="00812554" w:rsidTr="00067A1C">
        <w:tc>
          <w:tcPr>
            <w:tcW w:w="2952" w:type="dxa"/>
          </w:tcPr>
          <w:p w:rsidR="00812554" w:rsidRPr="00B75EC1" w:rsidRDefault="00812554" w:rsidP="00067A1C">
            <w:pPr>
              <w:rPr>
                <w:b/>
              </w:rPr>
            </w:pPr>
            <w:r w:rsidRPr="00B75EC1">
              <w:rPr>
                <w:b/>
              </w:rPr>
              <w:t xml:space="preserve">Low-Income </w:t>
            </w:r>
            <w:r w:rsidR="0022128F">
              <w:rPr>
                <w:b/>
              </w:rPr>
              <w:t xml:space="preserve">Conservation </w:t>
            </w:r>
            <w:r w:rsidRPr="00B75EC1">
              <w:rPr>
                <w:b/>
              </w:rPr>
              <w:t>Provision</w:t>
            </w:r>
          </w:p>
        </w:tc>
        <w:tc>
          <w:tcPr>
            <w:tcW w:w="2952" w:type="dxa"/>
          </w:tcPr>
          <w:p w:rsidR="00812554" w:rsidRDefault="00877E56" w:rsidP="0022128F">
            <w:r>
              <w:t>Optional</w:t>
            </w:r>
          </w:p>
        </w:tc>
        <w:tc>
          <w:tcPr>
            <w:tcW w:w="2952" w:type="dxa"/>
          </w:tcPr>
          <w:p w:rsidR="00812554" w:rsidRDefault="004073BD" w:rsidP="00067A1C">
            <w:r>
              <w:t>Percentage</w:t>
            </w:r>
            <w:r w:rsidR="00D831AF">
              <w:t xml:space="preserve"> of </w:t>
            </w:r>
            <w:r w:rsidR="00D750E6">
              <w:t xml:space="preserve">company gross </w:t>
            </w:r>
            <w:r w:rsidR="00D831AF">
              <w:t>revenues devoted to low-income conservation programs</w:t>
            </w:r>
          </w:p>
        </w:tc>
      </w:tr>
      <w:tr w:rsidR="00812554" w:rsidTr="00067A1C">
        <w:tc>
          <w:tcPr>
            <w:tcW w:w="2952" w:type="dxa"/>
          </w:tcPr>
          <w:p w:rsidR="00812554" w:rsidRPr="00B75EC1" w:rsidRDefault="0022128F" w:rsidP="00067A1C">
            <w:pPr>
              <w:rPr>
                <w:b/>
              </w:rPr>
            </w:pPr>
            <w:r>
              <w:rPr>
                <w:b/>
              </w:rPr>
              <w:t>Service Quality</w:t>
            </w:r>
          </w:p>
        </w:tc>
        <w:tc>
          <w:tcPr>
            <w:tcW w:w="2952" w:type="dxa"/>
          </w:tcPr>
          <w:p w:rsidR="00812554" w:rsidRDefault="00877E56" w:rsidP="0022128F">
            <w:r>
              <w:t>Optional</w:t>
            </w:r>
          </w:p>
        </w:tc>
        <w:tc>
          <w:tcPr>
            <w:tcW w:w="2952" w:type="dxa"/>
          </w:tcPr>
          <w:p w:rsidR="00812554" w:rsidRDefault="00D831AF" w:rsidP="00067A1C">
            <w:r>
              <w:t>Usage adjusted by difference between 10-year average SAIDI and most recent SAIDI</w:t>
            </w:r>
          </w:p>
        </w:tc>
      </w:tr>
    </w:tbl>
    <w:p w:rsidR="007A5643" w:rsidRDefault="007A5643" w:rsidP="006364A6"/>
    <w:p w:rsidR="007A5643" w:rsidRPr="007D5A76" w:rsidRDefault="007A5643" w:rsidP="005F6A1C">
      <w:pPr>
        <w:ind w:left="1080"/>
      </w:pPr>
    </w:p>
    <w:p w:rsidR="00337955" w:rsidRPr="005F6A1C" w:rsidRDefault="00EA7A91" w:rsidP="00B11B3A">
      <w:pPr>
        <w:pStyle w:val="Heading1"/>
      </w:pPr>
      <w:bookmarkStart w:id="7" w:name="_Toc311029102"/>
      <w:r>
        <w:t xml:space="preserve">How the Mechanism </w:t>
      </w:r>
      <w:r w:rsidR="00517374">
        <w:t>Addresses</w:t>
      </w:r>
      <w:r w:rsidR="008B58E5" w:rsidRPr="005F6A1C">
        <w:t xml:space="preserve"> </w:t>
      </w:r>
      <w:r w:rsidR="00C3519C" w:rsidRPr="005F6A1C">
        <w:t xml:space="preserve">Each </w:t>
      </w:r>
      <w:r>
        <w:t xml:space="preserve">Commission-Required </w:t>
      </w:r>
      <w:r w:rsidR="008B58E5" w:rsidRPr="005F6A1C">
        <w:t>Element</w:t>
      </w:r>
      <w:bookmarkEnd w:id="7"/>
    </w:p>
    <w:p w:rsidR="008B58E5" w:rsidRPr="007D5A76" w:rsidRDefault="008B58E5" w:rsidP="008B58E5">
      <w:pPr>
        <w:pStyle w:val="ListParagraph"/>
        <w:ind w:left="1080"/>
        <w:rPr>
          <w:b/>
        </w:rPr>
      </w:pPr>
    </w:p>
    <w:p w:rsidR="00245FCE" w:rsidRPr="00AC1AFA" w:rsidRDefault="00EA7A91" w:rsidP="00B11B3A">
      <w:pPr>
        <w:pStyle w:val="Heading2"/>
      </w:pPr>
      <w:bookmarkStart w:id="8" w:name="_Toc311029103"/>
      <w:r w:rsidRPr="00AC1AFA">
        <w:t>Eliminating the Utility’s Risk of</w:t>
      </w:r>
      <w:r w:rsidRPr="00AC1AFA" w:rsidDel="00EA7A91">
        <w:t xml:space="preserve"> </w:t>
      </w:r>
      <w:r w:rsidRPr="00AC1AFA">
        <w:t>R</w:t>
      </w:r>
      <w:r w:rsidR="009A60D8" w:rsidRPr="00AC1AFA">
        <w:t xml:space="preserve">evenue </w:t>
      </w:r>
      <w:r w:rsidR="00517374" w:rsidRPr="00AC1AFA">
        <w:t>D</w:t>
      </w:r>
      <w:r w:rsidR="009A60D8" w:rsidRPr="00AC1AFA">
        <w:t>eclines</w:t>
      </w:r>
      <w:bookmarkEnd w:id="8"/>
    </w:p>
    <w:p w:rsidR="00E1127E" w:rsidRPr="00E1127E" w:rsidRDefault="00E1127E" w:rsidP="00E1127E">
      <w:r w:rsidRPr="00E1127E">
        <w:t>The Commission specifically describes full decoupling as “eliminat[ing] the risk of recovery of declines in revenue”.</w:t>
      </w:r>
      <w:r w:rsidRPr="007D5A76">
        <w:rPr>
          <w:rStyle w:val="FootnoteReference"/>
          <w:rFonts w:cs="Times New Roman"/>
          <w:szCs w:val="24"/>
        </w:rPr>
        <w:footnoteReference w:id="16"/>
      </w:r>
      <w:r w:rsidRPr="00E1127E">
        <w:t xml:space="preserve">  We therefore assume that an acceptable full decoupling mechanism must assure revenues do not decline, at least on a per customer basis.</w:t>
      </w:r>
    </w:p>
    <w:p w:rsidR="00280946" w:rsidRDefault="00E1127E" w:rsidP="00584A12">
      <w:pPr>
        <w:rPr>
          <w:rFonts w:cs="Times New Roman"/>
          <w:szCs w:val="24"/>
        </w:rPr>
      </w:pPr>
      <w:r>
        <w:rPr>
          <w:rFonts w:cs="Times New Roman"/>
          <w:szCs w:val="24"/>
        </w:rPr>
        <w:t xml:space="preserve">Under the Mechanism, </w:t>
      </w:r>
      <w:r w:rsidR="000C181F">
        <w:rPr>
          <w:rFonts w:cs="Times New Roman"/>
          <w:szCs w:val="24"/>
        </w:rPr>
        <w:t>the Company</w:t>
      </w:r>
      <w:r w:rsidR="00682888">
        <w:rPr>
          <w:rFonts w:cs="Times New Roman"/>
          <w:szCs w:val="24"/>
        </w:rPr>
        <w:t>’s revenues will not decline</w:t>
      </w:r>
      <w:r w:rsidR="00266FFD">
        <w:rPr>
          <w:rFonts w:cs="Times New Roman"/>
          <w:szCs w:val="24"/>
        </w:rPr>
        <w:t xml:space="preserve"> </w:t>
      </w:r>
      <w:r w:rsidR="00682888">
        <w:rPr>
          <w:rFonts w:cs="Times New Roman"/>
          <w:szCs w:val="24"/>
        </w:rPr>
        <w:t xml:space="preserve">because </w:t>
      </w:r>
      <w:r w:rsidR="000C181F">
        <w:rPr>
          <w:rFonts w:cs="Times New Roman"/>
          <w:szCs w:val="24"/>
        </w:rPr>
        <w:t>the Company</w:t>
      </w:r>
      <w:r w:rsidR="00682888">
        <w:rPr>
          <w:rFonts w:cs="Times New Roman"/>
          <w:szCs w:val="24"/>
        </w:rPr>
        <w:t>’s</w:t>
      </w:r>
      <w:r w:rsidR="00567B85">
        <w:rPr>
          <w:rFonts w:cs="Times New Roman"/>
          <w:szCs w:val="24"/>
        </w:rPr>
        <w:t xml:space="preserve"> </w:t>
      </w:r>
      <w:r w:rsidR="0087146E">
        <w:rPr>
          <w:rFonts w:cs="Times New Roman"/>
          <w:szCs w:val="24"/>
        </w:rPr>
        <w:t>allowed</w:t>
      </w:r>
      <w:r w:rsidR="00266FFD">
        <w:rPr>
          <w:rFonts w:cs="Times New Roman"/>
          <w:szCs w:val="24"/>
        </w:rPr>
        <w:t xml:space="preserve"> </w:t>
      </w:r>
      <w:r w:rsidR="00682888">
        <w:rPr>
          <w:rFonts w:cs="Times New Roman"/>
          <w:szCs w:val="24"/>
        </w:rPr>
        <w:t>revenues would be based on</w:t>
      </w:r>
      <w:r w:rsidR="00D9362F">
        <w:rPr>
          <w:rFonts w:cs="Times New Roman"/>
          <w:szCs w:val="24"/>
        </w:rPr>
        <w:t xml:space="preserve"> the</w:t>
      </w:r>
      <w:r w:rsidR="00682888">
        <w:rPr>
          <w:rFonts w:cs="Times New Roman"/>
          <w:szCs w:val="24"/>
        </w:rPr>
        <w:t xml:space="preserve"> </w:t>
      </w:r>
      <w:r w:rsidR="00F233BE">
        <w:rPr>
          <w:rFonts w:cs="Times New Roman"/>
          <w:szCs w:val="24"/>
        </w:rPr>
        <w:t>total volume sales</w:t>
      </w:r>
      <w:r w:rsidR="00584A12">
        <w:rPr>
          <w:rFonts w:cs="Times New Roman"/>
          <w:szCs w:val="24"/>
        </w:rPr>
        <w:t xml:space="preserve"> per </w:t>
      </w:r>
      <w:r w:rsidR="00F233BE">
        <w:rPr>
          <w:rFonts w:cs="Times New Roman"/>
          <w:szCs w:val="24"/>
        </w:rPr>
        <w:t xml:space="preserve">schedule </w:t>
      </w:r>
      <w:r w:rsidR="00682888">
        <w:rPr>
          <w:rFonts w:cs="Times New Roman"/>
          <w:szCs w:val="24"/>
        </w:rPr>
        <w:t xml:space="preserve">figure resulting from </w:t>
      </w:r>
      <w:r w:rsidR="00266FFD">
        <w:rPr>
          <w:rFonts w:cs="Times New Roman"/>
          <w:szCs w:val="24"/>
        </w:rPr>
        <w:t xml:space="preserve">the Company’s </w:t>
      </w:r>
      <w:r w:rsidR="00125FEC">
        <w:rPr>
          <w:rFonts w:cs="Times New Roman"/>
          <w:szCs w:val="24"/>
        </w:rPr>
        <w:t>most recent</w:t>
      </w:r>
      <w:r w:rsidR="00AF3490">
        <w:rPr>
          <w:rFonts w:cs="Times New Roman"/>
          <w:szCs w:val="24"/>
        </w:rPr>
        <w:t xml:space="preserve"> rate case. </w:t>
      </w:r>
      <w:r w:rsidR="00266FFD">
        <w:rPr>
          <w:rFonts w:cs="Times New Roman"/>
          <w:szCs w:val="24"/>
        </w:rPr>
        <w:t xml:space="preserve"> </w:t>
      </w:r>
      <w:r w:rsidR="00CE586F">
        <w:rPr>
          <w:rFonts w:cs="Times New Roman"/>
          <w:szCs w:val="24"/>
        </w:rPr>
        <w:t>A</w:t>
      </w:r>
      <w:r w:rsidR="00266FFD">
        <w:rPr>
          <w:rFonts w:cs="Times New Roman"/>
          <w:szCs w:val="24"/>
        </w:rPr>
        <w:t>s</w:t>
      </w:r>
      <w:r w:rsidR="00682888">
        <w:rPr>
          <w:rFonts w:cs="Times New Roman"/>
          <w:szCs w:val="24"/>
        </w:rPr>
        <w:t xml:space="preserve"> long as</w:t>
      </w:r>
      <w:r w:rsidR="00AF3490">
        <w:rPr>
          <w:rFonts w:cs="Times New Roman"/>
          <w:szCs w:val="24"/>
        </w:rPr>
        <w:t xml:space="preserve"> </w:t>
      </w:r>
      <w:r w:rsidR="00266FFD">
        <w:rPr>
          <w:rFonts w:cs="Times New Roman"/>
          <w:szCs w:val="24"/>
        </w:rPr>
        <w:t xml:space="preserve">the number of </w:t>
      </w:r>
      <w:r w:rsidR="000C181F">
        <w:rPr>
          <w:rFonts w:cs="Times New Roman"/>
          <w:szCs w:val="24"/>
        </w:rPr>
        <w:t>the Company</w:t>
      </w:r>
      <w:r w:rsidR="00682888">
        <w:rPr>
          <w:rFonts w:cs="Times New Roman"/>
          <w:szCs w:val="24"/>
        </w:rPr>
        <w:t xml:space="preserve">’s </w:t>
      </w:r>
      <w:r w:rsidR="00AF3490">
        <w:rPr>
          <w:rFonts w:cs="Times New Roman"/>
          <w:szCs w:val="24"/>
        </w:rPr>
        <w:t>customer</w:t>
      </w:r>
      <w:r w:rsidR="00266FFD">
        <w:rPr>
          <w:rFonts w:cs="Times New Roman"/>
          <w:szCs w:val="24"/>
        </w:rPr>
        <w:t>s</w:t>
      </w:r>
      <w:r w:rsidR="00AF3490">
        <w:rPr>
          <w:rFonts w:cs="Times New Roman"/>
          <w:szCs w:val="24"/>
        </w:rPr>
        <w:t xml:space="preserve"> stay</w:t>
      </w:r>
      <w:r w:rsidR="00266FFD">
        <w:rPr>
          <w:rFonts w:cs="Times New Roman"/>
          <w:szCs w:val="24"/>
        </w:rPr>
        <w:t>s</w:t>
      </w:r>
      <w:r w:rsidR="00AF3490">
        <w:rPr>
          <w:rFonts w:cs="Times New Roman"/>
          <w:szCs w:val="24"/>
        </w:rPr>
        <w:t xml:space="preserve"> the same</w:t>
      </w:r>
      <w:r w:rsidR="000B4848">
        <w:rPr>
          <w:rFonts w:cs="Times New Roman"/>
          <w:szCs w:val="24"/>
        </w:rPr>
        <w:t xml:space="preserve"> or </w:t>
      </w:r>
      <w:r w:rsidR="00CD6A0D">
        <w:rPr>
          <w:rFonts w:cs="Times New Roman"/>
          <w:szCs w:val="24"/>
        </w:rPr>
        <w:t>increases</w:t>
      </w:r>
      <w:r w:rsidR="00AF3490">
        <w:rPr>
          <w:rFonts w:cs="Times New Roman"/>
          <w:szCs w:val="24"/>
        </w:rPr>
        <w:t xml:space="preserve">, </w:t>
      </w:r>
      <w:r w:rsidR="000C181F">
        <w:rPr>
          <w:rFonts w:cs="Times New Roman"/>
          <w:szCs w:val="24"/>
        </w:rPr>
        <w:t>the Company</w:t>
      </w:r>
      <w:r w:rsidR="00266FFD">
        <w:rPr>
          <w:rFonts w:cs="Times New Roman"/>
          <w:szCs w:val="24"/>
        </w:rPr>
        <w:t>’s revenues will not decline</w:t>
      </w:r>
      <w:r w:rsidR="000B4848">
        <w:rPr>
          <w:rFonts w:cs="Times New Roman"/>
          <w:szCs w:val="24"/>
        </w:rPr>
        <w:t xml:space="preserve"> from Commission-approved levels</w:t>
      </w:r>
      <w:r w:rsidR="00266FFD">
        <w:rPr>
          <w:rFonts w:cs="Times New Roman"/>
          <w:szCs w:val="24"/>
        </w:rPr>
        <w:t>.</w:t>
      </w:r>
      <w:r w:rsidR="00CD6A0D" w:rsidDel="00CD6A0D">
        <w:rPr>
          <w:rStyle w:val="FootnoteReference"/>
          <w:rFonts w:cs="Times New Roman"/>
          <w:szCs w:val="24"/>
        </w:rPr>
        <w:t xml:space="preserve"> </w:t>
      </w:r>
    </w:p>
    <w:p w:rsidR="009A0D16" w:rsidRDefault="009A0D16" w:rsidP="00584A12">
      <w:pPr>
        <w:rPr>
          <w:rFonts w:cs="Times New Roman"/>
          <w:szCs w:val="24"/>
        </w:rPr>
      </w:pPr>
    </w:p>
    <w:p w:rsidR="007A5643" w:rsidRPr="00B11B3A" w:rsidRDefault="00EA7A91" w:rsidP="00B11B3A">
      <w:pPr>
        <w:pStyle w:val="Heading2"/>
      </w:pPr>
      <w:bookmarkStart w:id="9" w:name="_Toc311029104"/>
      <w:r w:rsidRPr="00AC1AFA">
        <w:t>Annual True-Ups to the Rate Case-Determined Level of Revenues</w:t>
      </w:r>
      <w:bookmarkEnd w:id="9"/>
    </w:p>
    <w:p w:rsidR="00E839DB" w:rsidRPr="007D5A76" w:rsidRDefault="00E839DB" w:rsidP="00E839DB">
      <w:pPr>
        <w:rPr>
          <w:rFonts w:cs="Times New Roman"/>
          <w:szCs w:val="24"/>
        </w:rPr>
      </w:pPr>
      <w:r>
        <w:rPr>
          <w:rFonts w:cs="Times New Roman"/>
          <w:szCs w:val="24"/>
        </w:rPr>
        <w:t>T</w:t>
      </w:r>
      <w:r w:rsidRPr="007D5A76">
        <w:rPr>
          <w:rFonts w:cs="Times New Roman"/>
          <w:szCs w:val="24"/>
        </w:rPr>
        <w:t xml:space="preserve">he Commission describes the true-up element as </w:t>
      </w:r>
      <w:r>
        <w:rPr>
          <w:rFonts w:cs="Times New Roman"/>
          <w:szCs w:val="24"/>
        </w:rPr>
        <w:t>an annual true-up for variations between revenues collected and Commission-determined revenues</w:t>
      </w:r>
      <w:r w:rsidRPr="007D5A76">
        <w:rPr>
          <w:rFonts w:cs="Times New Roman"/>
          <w:szCs w:val="24"/>
        </w:rPr>
        <w:t>:</w:t>
      </w:r>
    </w:p>
    <w:p w:rsidR="00E839DB" w:rsidRPr="007D5A76" w:rsidRDefault="00E839DB" w:rsidP="00E839DB">
      <w:pPr>
        <w:ind w:left="720"/>
        <w:rPr>
          <w:rFonts w:cs="Times New Roman"/>
          <w:szCs w:val="24"/>
        </w:rPr>
      </w:pPr>
      <w:r w:rsidRPr="007D5A76">
        <w:rPr>
          <w:rFonts w:cs="Times New Roman"/>
          <w:i/>
          <w:szCs w:val="24"/>
        </w:rPr>
        <w:t>True-up Mechanism.</w:t>
      </w:r>
      <w:r w:rsidRPr="007D5A76">
        <w:rPr>
          <w:rFonts w:cs="Times New Roman"/>
          <w:szCs w:val="24"/>
        </w:rPr>
        <w:t xml:space="preserve">  Where, between general rate cases, customer use by class deviates either higher or lower from that determined by the Commission when setting rates, a utility can seek an annual true-up of revenue attributed to each affected class of customer.</w:t>
      </w:r>
      <w:r w:rsidRPr="007D5A76">
        <w:rPr>
          <w:rStyle w:val="FootnoteReference"/>
          <w:rFonts w:cs="Times New Roman"/>
          <w:szCs w:val="24"/>
        </w:rPr>
        <w:footnoteReference w:id="17"/>
      </w:r>
      <w:r w:rsidRPr="007D5A76">
        <w:rPr>
          <w:rFonts w:cs="Times New Roman"/>
          <w:szCs w:val="24"/>
        </w:rPr>
        <w:t xml:space="preserve">  </w:t>
      </w:r>
    </w:p>
    <w:p w:rsidR="00E839DB" w:rsidRPr="007D5A76" w:rsidRDefault="00E839DB" w:rsidP="00E839DB">
      <w:pPr>
        <w:rPr>
          <w:rFonts w:cs="Times New Roman"/>
          <w:szCs w:val="24"/>
        </w:rPr>
      </w:pPr>
      <w:r w:rsidRPr="007D5A76">
        <w:rPr>
          <w:rFonts w:cs="Times New Roman"/>
          <w:szCs w:val="24"/>
        </w:rPr>
        <w:t xml:space="preserve">In the related footnote, the Commission </w:t>
      </w:r>
      <w:r>
        <w:rPr>
          <w:rFonts w:cs="Times New Roman"/>
          <w:szCs w:val="24"/>
        </w:rPr>
        <w:t>identifies the need to address a potential inequity related to revenues from new customers</w:t>
      </w:r>
      <w:r w:rsidRPr="007D5A76">
        <w:rPr>
          <w:rFonts w:cs="Times New Roman"/>
          <w:szCs w:val="24"/>
        </w:rPr>
        <w:t>:</w:t>
      </w:r>
    </w:p>
    <w:p w:rsidR="00E839DB" w:rsidRDefault="00E839DB" w:rsidP="00E839DB">
      <w:pPr>
        <w:ind w:left="720"/>
      </w:pPr>
      <w:r w:rsidRPr="007D5A76">
        <w:t>We recognize that revenue associated with new customers is offset by the costs to serve those customers.  If these revenues and costs are not in reasonable balance, we would consider excluding all or some new customer revenue from the mechanism or some other tool (</w:t>
      </w:r>
      <w:r w:rsidRPr="007D5A76">
        <w:rPr>
          <w:i/>
        </w:rPr>
        <w:t>e.g.,</w:t>
      </w:r>
      <w:r w:rsidRPr="007D5A76">
        <w:t xml:space="preserve"> modifying a utility’s line extension tariffs) to correct any demonstrated inequity.</w:t>
      </w:r>
      <w:r w:rsidRPr="007D5A76">
        <w:rPr>
          <w:rStyle w:val="FootnoteReference"/>
        </w:rPr>
        <w:footnoteReference w:id="18"/>
      </w:r>
    </w:p>
    <w:p w:rsidR="00B03886" w:rsidRDefault="00B03886" w:rsidP="00B03886">
      <w:pPr>
        <w:rPr>
          <w:rFonts w:cs="Times New Roman"/>
          <w:szCs w:val="24"/>
        </w:rPr>
      </w:pPr>
      <w:r>
        <w:rPr>
          <w:rFonts w:cs="Times New Roman"/>
          <w:szCs w:val="24"/>
        </w:rPr>
        <w:t xml:space="preserve">The Mechanism </w:t>
      </w:r>
      <w:r w:rsidR="00F96941">
        <w:rPr>
          <w:rFonts w:cs="Times New Roman"/>
          <w:szCs w:val="24"/>
        </w:rPr>
        <w:t>includes</w:t>
      </w:r>
      <w:r>
        <w:rPr>
          <w:rFonts w:cs="Times New Roman"/>
          <w:szCs w:val="24"/>
        </w:rPr>
        <w:t xml:space="preserve"> annual</w:t>
      </w:r>
      <w:r w:rsidR="00F96941">
        <w:rPr>
          <w:rFonts w:cs="Times New Roman"/>
          <w:szCs w:val="24"/>
        </w:rPr>
        <w:t xml:space="preserve"> true-ups</w:t>
      </w:r>
      <w:r>
        <w:rPr>
          <w:rFonts w:cs="Times New Roman"/>
          <w:szCs w:val="24"/>
        </w:rPr>
        <w:t xml:space="preserve">.  </w:t>
      </w:r>
      <w:r w:rsidR="00CD776C">
        <w:rPr>
          <w:rFonts w:cs="Times New Roman"/>
          <w:szCs w:val="24"/>
        </w:rPr>
        <w:t>U</w:t>
      </w:r>
      <w:r>
        <w:rPr>
          <w:rFonts w:cs="Times New Roman"/>
          <w:szCs w:val="24"/>
        </w:rPr>
        <w:t xml:space="preserve">nder the Mechanism, the Company would begin deferrals each year on July 1, and continue through June 30 of each year.  By September 1 of each year, the Company will file a tariff to implement amortization of the deferral, with effective dates of November 1 through October 31.  </w:t>
      </w:r>
    </w:p>
    <w:p w:rsidR="00A27CA2" w:rsidRDefault="00DC5D4C" w:rsidP="00AD2A2D">
      <w:pPr>
        <w:rPr>
          <w:rFonts w:cs="Times New Roman"/>
          <w:szCs w:val="24"/>
        </w:rPr>
      </w:pPr>
      <w:r>
        <w:rPr>
          <w:rFonts w:cs="Times New Roman"/>
          <w:szCs w:val="24"/>
        </w:rPr>
        <w:t xml:space="preserve">The level of deferred revenue the Company will be allowed to recover or refund is </w:t>
      </w:r>
      <w:r w:rsidR="00FE1F7E">
        <w:rPr>
          <w:rFonts w:cs="Times New Roman"/>
          <w:szCs w:val="24"/>
        </w:rPr>
        <w:t xml:space="preserve">limited </w:t>
      </w:r>
      <w:r>
        <w:rPr>
          <w:rFonts w:cs="Times New Roman"/>
          <w:szCs w:val="24"/>
        </w:rPr>
        <w:t>to</w:t>
      </w:r>
      <w:r w:rsidR="00D8736D">
        <w:rPr>
          <w:rFonts w:cs="Times New Roman"/>
          <w:szCs w:val="24"/>
        </w:rPr>
        <w:t xml:space="preserve"> a soft cap of </w:t>
      </w:r>
      <w:r w:rsidR="00CD776C">
        <w:rPr>
          <w:rFonts w:cs="Times New Roman"/>
          <w:szCs w:val="24"/>
        </w:rPr>
        <w:t>three</w:t>
      </w:r>
      <w:r w:rsidR="00D8736D">
        <w:rPr>
          <w:rFonts w:cs="Times New Roman"/>
          <w:szCs w:val="24"/>
        </w:rPr>
        <w:t xml:space="preserve"> percent on annual rate changes and</w:t>
      </w:r>
      <w:r w:rsidR="00FE1F7E">
        <w:rPr>
          <w:rFonts w:cs="Times New Roman"/>
          <w:szCs w:val="24"/>
        </w:rPr>
        <w:t xml:space="preserve"> subject to</w:t>
      </w:r>
      <w:r>
        <w:rPr>
          <w:rFonts w:cs="Times New Roman"/>
          <w:szCs w:val="24"/>
        </w:rPr>
        <w:t>:</w:t>
      </w:r>
      <w:r w:rsidR="00F96941">
        <w:rPr>
          <w:rFonts w:cs="Times New Roman"/>
          <w:szCs w:val="24"/>
        </w:rPr>
        <w:t xml:space="preserve"> </w:t>
      </w:r>
      <w:r>
        <w:rPr>
          <w:rFonts w:cs="Times New Roman"/>
          <w:szCs w:val="24"/>
        </w:rPr>
        <w:t xml:space="preserve">(a) an Earnings </w:t>
      </w:r>
      <w:r w:rsidR="00D4053E">
        <w:rPr>
          <w:rFonts w:cs="Times New Roman"/>
          <w:szCs w:val="24"/>
        </w:rPr>
        <w:t>T</w:t>
      </w:r>
      <w:r>
        <w:rPr>
          <w:rFonts w:cs="Times New Roman"/>
          <w:szCs w:val="24"/>
        </w:rPr>
        <w:t>est;</w:t>
      </w:r>
      <w:r w:rsidR="009274EC">
        <w:rPr>
          <w:rFonts w:cs="Times New Roman"/>
          <w:szCs w:val="24"/>
        </w:rPr>
        <w:t xml:space="preserve"> and</w:t>
      </w:r>
      <w:r>
        <w:rPr>
          <w:rFonts w:cs="Times New Roman"/>
          <w:szCs w:val="24"/>
        </w:rPr>
        <w:t xml:space="preserve"> (b) a </w:t>
      </w:r>
      <w:r w:rsidR="008F4EEB">
        <w:rPr>
          <w:rFonts w:cs="Times New Roman"/>
          <w:szCs w:val="24"/>
        </w:rPr>
        <w:t>Conservation</w:t>
      </w:r>
      <w:r>
        <w:rPr>
          <w:rFonts w:cs="Times New Roman"/>
          <w:szCs w:val="24"/>
        </w:rPr>
        <w:t xml:space="preserve"> </w:t>
      </w:r>
      <w:r w:rsidR="00D4053E">
        <w:rPr>
          <w:rFonts w:cs="Times New Roman"/>
          <w:szCs w:val="24"/>
        </w:rPr>
        <w:t>T</w:t>
      </w:r>
      <w:r>
        <w:rPr>
          <w:rFonts w:cs="Times New Roman"/>
          <w:szCs w:val="24"/>
        </w:rPr>
        <w:t xml:space="preserve">est.  </w:t>
      </w:r>
      <w:r w:rsidR="00C75245">
        <w:t xml:space="preserve">The Company will </w:t>
      </w:r>
      <w:r w:rsidR="00C75245" w:rsidRPr="00636D00">
        <w:t>calculate</w:t>
      </w:r>
      <w:r w:rsidR="00C75245">
        <w:t xml:space="preserve"> the Earnings Test first, followed by the Conservation Test, both based on the initial calculation of the initial deferral amount. The individual results of the tests</w:t>
      </w:r>
      <w:r w:rsidR="00C75245" w:rsidRPr="00636D00">
        <w:t xml:space="preserve"> </w:t>
      </w:r>
      <w:r w:rsidR="00C75245">
        <w:t xml:space="preserve">will </w:t>
      </w:r>
      <w:r w:rsidR="00C75245" w:rsidRPr="00636D00">
        <w:t xml:space="preserve">be </w:t>
      </w:r>
      <w:r w:rsidR="00C75245">
        <w:t xml:space="preserve">cumulatively added to the deferral </w:t>
      </w:r>
      <w:r w:rsidR="00C75245" w:rsidRPr="00636D00">
        <w:t>amount.</w:t>
      </w:r>
      <w:r w:rsidR="00C75245">
        <w:t xml:space="preserve">  </w:t>
      </w:r>
      <w:r w:rsidR="00A27CA2">
        <w:rPr>
          <w:rFonts w:cs="Times New Roman"/>
          <w:szCs w:val="24"/>
        </w:rPr>
        <w:t>The</w:t>
      </w:r>
      <w:r w:rsidR="00896C37">
        <w:rPr>
          <w:rFonts w:cs="Times New Roman"/>
          <w:szCs w:val="24"/>
        </w:rPr>
        <w:t xml:space="preserve"> Earnings </w:t>
      </w:r>
      <w:r w:rsidR="00D4053E">
        <w:rPr>
          <w:rFonts w:cs="Times New Roman"/>
          <w:szCs w:val="24"/>
        </w:rPr>
        <w:t>T</w:t>
      </w:r>
      <w:r w:rsidR="00896C37">
        <w:rPr>
          <w:rFonts w:cs="Times New Roman"/>
          <w:szCs w:val="24"/>
        </w:rPr>
        <w:t xml:space="preserve">est and the </w:t>
      </w:r>
      <w:r w:rsidR="008F4EEB">
        <w:rPr>
          <w:rFonts w:cs="Times New Roman"/>
          <w:szCs w:val="24"/>
        </w:rPr>
        <w:t>Conservation</w:t>
      </w:r>
      <w:r w:rsidR="00896C37">
        <w:rPr>
          <w:rFonts w:cs="Times New Roman"/>
          <w:szCs w:val="24"/>
        </w:rPr>
        <w:t xml:space="preserve"> </w:t>
      </w:r>
      <w:r w:rsidR="00D4053E">
        <w:rPr>
          <w:rFonts w:cs="Times New Roman"/>
          <w:szCs w:val="24"/>
        </w:rPr>
        <w:t>T</w:t>
      </w:r>
      <w:r w:rsidR="00896C37">
        <w:rPr>
          <w:rFonts w:cs="Times New Roman"/>
          <w:szCs w:val="24"/>
        </w:rPr>
        <w:t>est are discussed below.</w:t>
      </w:r>
      <w:r w:rsidR="00A27CA2">
        <w:rPr>
          <w:rFonts w:cs="Times New Roman"/>
          <w:szCs w:val="24"/>
        </w:rPr>
        <w:t xml:space="preserve"> </w:t>
      </w:r>
    </w:p>
    <w:p w:rsidR="009A0D16" w:rsidRDefault="009A0D16" w:rsidP="00AD2A2D">
      <w:pPr>
        <w:rPr>
          <w:rFonts w:cs="Times New Roman"/>
          <w:szCs w:val="24"/>
        </w:rPr>
      </w:pPr>
    </w:p>
    <w:p w:rsidR="00A34780" w:rsidRPr="00A34780" w:rsidRDefault="00A34780" w:rsidP="00A34780">
      <w:pPr>
        <w:pStyle w:val="ListParagraph"/>
        <w:numPr>
          <w:ilvl w:val="0"/>
          <w:numId w:val="21"/>
        </w:numPr>
        <w:outlineLvl w:val="1"/>
        <w:rPr>
          <w:b/>
          <w:vanish/>
        </w:rPr>
      </w:pPr>
      <w:bookmarkStart w:id="10" w:name="_Toc310946478"/>
      <w:bookmarkStart w:id="11" w:name="_Toc311029105"/>
      <w:bookmarkEnd w:id="10"/>
      <w:bookmarkEnd w:id="11"/>
    </w:p>
    <w:p w:rsidR="00A34780" w:rsidRPr="00A34780" w:rsidRDefault="00A34780" w:rsidP="00A34780">
      <w:pPr>
        <w:pStyle w:val="ListParagraph"/>
        <w:numPr>
          <w:ilvl w:val="0"/>
          <w:numId w:val="21"/>
        </w:numPr>
        <w:outlineLvl w:val="1"/>
        <w:rPr>
          <w:b/>
          <w:vanish/>
        </w:rPr>
      </w:pPr>
      <w:bookmarkStart w:id="12" w:name="_Toc310946479"/>
      <w:bookmarkStart w:id="13" w:name="_Toc311029106"/>
      <w:bookmarkEnd w:id="12"/>
      <w:bookmarkEnd w:id="13"/>
    </w:p>
    <w:p w:rsidR="00A34780" w:rsidRPr="007D5A76" w:rsidRDefault="00A34780" w:rsidP="00A34780">
      <w:pPr>
        <w:pStyle w:val="Heading2"/>
        <w:numPr>
          <w:ilvl w:val="0"/>
          <w:numId w:val="21"/>
        </w:numPr>
      </w:pPr>
      <w:bookmarkStart w:id="14" w:name="_Toc311029107"/>
      <w:r w:rsidRPr="007D5A76">
        <w:t xml:space="preserve">Full Decoupling </w:t>
      </w:r>
      <w:r>
        <w:t xml:space="preserve">Lasts </w:t>
      </w:r>
      <w:r w:rsidRPr="007D5A76">
        <w:t xml:space="preserve">Until the </w:t>
      </w:r>
      <w:r>
        <w:t xml:space="preserve">Mechanism Achieves its Objectives or </w:t>
      </w:r>
      <w:r w:rsidRPr="007D5A76">
        <w:t>Until the Next General Rate Case</w:t>
      </w:r>
      <w:bookmarkEnd w:id="14"/>
    </w:p>
    <w:p w:rsidR="00A34780" w:rsidRPr="007D5A76" w:rsidRDefault="00A34780" w:rsidP="00A34780">
      <w:pPr>
        <w:rPr>
          <w:rFonts w:cs="Times New Roman"/>
          <w:szCs w:val="24"/>
        </w:rPr>
      </w:pPr>
      <w:r w:rsidRPr="007D5A76">
        <w:rPr>
          <w:rFonts w:cs="Times New Roman"/>
          <w:szCs w:val="24"/>
        </w:rPr>
        <w:t>The Commission addresses the duration of a decoupling mechanism as follows:</w:t>
      </w:r>
    </w:p>
    <w:p w:rsidR="00A34780" w:rsidRDefault="00A34780" w:rsidP="00A34780">
      <w:pPr>
        <w:ind w:left="720"/>
        <w:rPr>
          <w:rFonts w:cs="Times New Roman"/>
          <w:szCs w:val="24"/>
        </w:rPr>
      </w:pPr>
      <w:r w:rsidRPr="007D5A76">
        <w:rPr>
          <w:rFonts w:cs="Times New Roman"/>
          <w:i/>
          <w:szCs w:val="24"/>
        </w:rPr>
        <w:t xml:space="preserve">Duration of Program.  </w:t>
      </w:r>
      <w:r w:rsidRPr="007D5A76">
        <w:rPr>
          <w:rFonts w:cs="Times New Roman"/>
          <w:szCs w:val="24"/>
        </w:rPr>
        <w:t>The Commission will generally approve a full decoupling mechanism for the period required to achieve its objectives or until the filing of a utility's next general rate case.  Under either circumstance, the burden is upon the utility to demonstrate the continued need for the mechanism.</w:t>
      </w:r>
      <w:r w:rsidRPr="007D5A76">
        <w:rPr>
          <w:rStyle w:val="FootnoteReference"/>
          <w:rFonts w:cs="Times New Roman"/>
          <w:szCs w:val="24"/>
        </w:rPr>
        <w:footnoteReference w:id="19"/>
      </w:r>
    </w:p>
    <w:p w:rsidR="00A34780" w:rsidRDefault="00A34780" w:rsidP="00A34780">
      <w:pPr>
        <w:rPr>
          <w:rFonts w:cs="Times New Roman"/>
          <w:szCs w:val="24"/>
        </w:rPr>
      </w:pPr>
      <w:r>
        <w:rPr>
          <w:rFonts w:cs="Times New Roman"/>
          <w:szCs w:val="24"/>
        </w:rPr>
        <w:t>Decoupling experts recommend that a mechanism not have a “sunset” date, in order to allow the cost of capital benefits to be fully realized, but also recommend that companies with decoupling mechanism file a GRC every three to five years.</w:t>
      </w:r>
      <w:r>
        <w:rPr>
          <w:rStyle w:val="FootnoteReference"/>
          <w:rFonts w:cs="Times New Roman"/>
          <w:szCs w:val="24"/>
        </w:rPr>
        <w:footnoteReference w:id="20"/>
      </w:r>
      <w:r>
        <w:rPr>
          <w:rFonts w:cs="Times New Roman"/>
          <w:szCs w:val="24"/>
        </w:rPr>
        <w:t xml:space="preserve">  The Mechanism would remain in place until </w:t>
      </w:r>
      <w:r w:rsidRPr="00DE7C14">
        <w:rPr>
          <w:rFonts w:cs="Times New Roman"/>
          <w:szCs w:val="24"/>
        </w:rPr>
        <w:t>modified or cancelled by the Commission</w:t>
      </w:r>
      <w:r>
        <w:rPr>
          <w:rFonts w:cs="Times New Roman"/>
          <w:szCs w:val="24"/>
        </w:rPr>
        <w:t xml:space="preserve">; and the Company must file a general rate case (GRC) within four years of the implementation of the Mechanism.  As a result of each such GRC, the Commission will reset the baseline values identified in Appendix </w:t>
      </w:r>
      <w:r w:rsidR="004E70DC">
        <w:rPr>
          <w:rFonts w:cs="Times New Roman"/>
          <w:szCs w:val="24"/>
        </w:rPr>
        <w:t>2</w:t>
      </w:r>
      <w:r>
        <w:rPr>
          <w:rFonts w:cs="Times New Roman"/>
          <w:szCs w:val="24"/>
        </w:rPr>
        <w:t>.</w:t>
      </w:r>
      <w:r>
        <w:rPr>
          <w:rStyle w:val="FootnoteReference"/>
          <w:rFonts w:cs="Times New Roman"/>
          <w:szCs w:val="24"/>
        </w:rPr>
        <w:footnoteReference w:id="21"/>
      </w:r>
      <w:r>
        <w:rPr>
          <w:rFonts w:cs="Times New Roman"/>
          <w:szCs w:val="24"/>
        </w:rPr>
        <w:t xml:space="preserve">  Any party may propose cancellation or modification of the Mechanism; such proposal should be in the context of a GRC.</w:t>
      </w:r>
    </w:p>
    <w:p w:rsidR="00A34780" w:rsidRDefault="00A34780" w:rsidP="00A34780">
      <w:pPr>
        <w:rPr>
          <w:rFonts w:cs="Times New Roman"/>
          <w:szCs w:val="24"/>
        </w:rPr>
      </w:pPr>
    </w:p>
    <w:p w:rsidR="00A34780" w:rsidRPr="007D5A76" w:rsidRDefault="00A34780" w:rsidP="00A34780">
      <w:pPr>
        <w:pStyle w:val="Heading2"/>
      </w:pPr>
      <w:bookmarkStart w:id="15" w:name="_Toc311029108"/>
      <w:r>
        <w:t xml:space="preserve">Application to </w:t>
      </w:r>
      <w:r w:rsidRPr="007D5A76">
        <w:t>Customer Classes</w:t>
      </w:r>
      <w:bookmarkEnd w:id="15"/>
      <w:r w:rsidRPr="007D5A76">
        <w:t xml:space="preserve"> </w:t>
      </w:r>
    </w:p>
    <w:p w:rsidR="00A34780" w:rsidRPr="007D5A76" w:rsidRDefault="00A34780" w:rsidP="00A34780">
      <w:r w:rsidRPr="007D5A76">
        <w:t>The Commission described this criterion as follows:</w:t>
      </w:r>
    </w:p>
    <w:p w:rsidR="00A34780" w:rsidRPr="007D5A76" w:rsidRDefault="00A34780" w:rsidP="00A34780">
      <w:pPr>
        <w:ind w:left="720"/>
        <w:rPr>
          <w:rFonts w:cs="Times New Roman"/>
          <w:b/>
          <w:szCs w:val="24"/>
        </w:rPr>
      </w:pPr>
      <w:r w:rsidRPr="007D5A76">
        <w:rPr>
          <w:rFonts w:cs="Times New Roman"/>
          <w:i/>
          <w:szCs w:val="24"/>
        </w:rPr>
        <w:t xml:space="preserve">Application to Customer Classes.  </w:t>
      </w:r>
      <w:r w:rsidRPr="007D5A76">
        <w:rPr>
          <w:rFonts w:cs="Times New Roman"/>
          <w:szCs w:val="24"/>
        </w:rPr>
        <w:t>Generally, a full decoupling proposal should cover all customer classes. However, where in the public interest and not unlawfully discriminatory or preferential, the Commission will consider a proposal that would apply to fewer than all customer classes.</w:t>
      </w:r>
      <w:r w:rsidRPr="007D5A76">
        <w:rPr>
          <w:rStyle w:val="FootnoteReference"/>
          <w:rFonts w:cs="Times New Roman"/>
          <w:szCs w:val="24"/>
        </w:rPr>
        <w:footnoteReference w:id="22"/>
      </w:r>
    </w:p>
    <w:p w:rsidR="00A34780" w:rsidRPr="007D5A76" w:rsidRDefault="00A34780" w:rsidP="00A34780">
      <w:pPr>
        <w:rPr>
          <w:rFonts w:cs="Times New Roman"/>
          <w:szCs w:val="24"/>
        </w:rPr>
      </w:pPr>
      <w:r w:rsidRPr="007D5A76">
        <w:rPr>
          <w:rFonts w:cs="Times New Roman"/>
          <w:szCs w:val="24"/>
        </w:rPr>
        <w:t>In the related footnote, the Commission explains its concern using an example of limited decoupling:</w:t>
      </w:r>
    </w:p>
    <w:p w:rsidR="00A34780" w:rsidRDefault="00A34780" w:rsidP="00A34780">
      <w:pPr>
        <w:ind w:left="720"/>
        <w:rPr>
          <w:rFonts w:cs="Times New Roman"/>
          <w:szCs w:val="24"/>
        </w:rPr>
      </w:pPr>
      <w:r w:rsidRPr="007D5A76">
        <w:rPr>
          <w:rFonts w:cs="Times New Roman"/>
          <w:szCs w:val="24"/>
        </w:rPr>
        <w:t>As noted in [a prior footnote], a limited decoupling mechanism may result in cross-subsidies among rate classes.  A reasonable mechanism would balance conservation program achievements by class with the revenue recovery expected from that class under the mechanism.</w:t>
      </w:r>
      <w:r w:rsidRPr="007D5A76">
        <w:rPr>
          <w:rStyle w:val="FootnoteReference"/>
          <w:rFonts w:cs="Times New Roman"/>
          <w:szCs w:val="24"/>
        </w:rPr>
        <w:footnoteReference w:id="23"/>
      </w:r>
    </w:p>
    <w:p w:rsidR="00A34780" w:rsidRDefault="00A34780" w:rsidP="00A34780">
      <w:pPr>
        <w:rPr>
          <w:rFonts w:cs="Times New Roman"/>
          <w:szCs w:val="24"/>
        </w:rPr>
      </w:pPr>
      <w:r>
        <w:rPr>
          <w:rFonts w:cs="Times New Roman"/>
          <w:szCs w:val="24"/>
        </w:rPr>
        <w:t>The Mechanism for electric includes all customers.  The Mechanism for gas includes all customers that participate in conservation programs.</w:t>
      </w:r>
      <w:r>
        <w:rPr>
          <w:rStyle w:val="FootnoteReference"/>
          <w:rFonts w:cs="Times New Roman"/>
          <w:szCs w:val="24"/>
        </w:rPr>
        <w:footnoteReference w:id="24"/>
      </w:r>
      <w:r>
        <w:rPr>
          <w:rFonts w:cs="Times New Roman"/>
          <w:szCs w:val="24"/>
        </w:rPr>
        <w:t xml:space="preserve">  See Appendix </w:t>
      </w:r>
      <w:r w:rsidR="004E70DC">
        <w:rPr>
          <w:rFonts w:cs="Times New Roman"/>
          <w:szCs w:val="24"/>
        </w:rPr>
        <w:t xml:space="preserve">1 </w:t>
      </w:r>
      <w:r>
        <w:rPr>
          <w:rFonts w:cs="Times New Roman"/>
          <w:szCs w:val="24"/>
        </w:rPr>
        <w:t xml:space="preserve">and Workpapers for more details.  </w:t>
      </w:r>
    </w:p>
    <w:p w:rsidR="00A34780" w:rsidRDefault="00A34780" w:rsidP="00A34780">
      <w:pPr>
        <w:rPr>
          <w:rFonts w:cs="Times New Roman"/>
          <w:szCs w:val="24"/>
        </w:rPr>
      </w:pPr>
      <w:r>
        <w:rPr>
          <w:rFonts w:cs="Times New Roman"/>
          <w:szCs w:val="24"/>
        </w:rPr>
        <w:t xml:space="preserve">This issue begs a different question, however, i.e., whether decoupling should be on a class-by-class basis, or on a system basis.  For example, the Puget PRAM was based on a single allowed-revenue-per-customer, regardless of size or class of the customer.  By contrast, many decoupling mechanisms have different RPCs for each class.  </w:t>
      </w:r>
    </w:p>
    <w:p w:rsidR="00A34780" w:rsidRDefault="00A34780" w:rsidP="00A34780">
      <w:pPr>
        <w:rPr>
          <w:rFonts w:cs="Times New Roman"/>
          <w:szCs w:val="24"/>
        </w:rPr>
      </w:pPr>
      <w:r>
        <w:rPr>
          <w:rFonts w:cs="Times New Roman"/>
          <w:szCs w:val="24"/>
        </w:rPr>
        <w:t>The benefit of system-wide decoupling is that customer migration from one class to another has no effect on the utility’s allowed revenue, so there is no incentive for the utility to encourage or require such migration. System-wide decoupling also is simpler, thereby reducing administrative burden.  On the other hand, the advantage of class-by-class decoupling is that lost margins within a single class can be recovered within that class.  In addition to fairness, class-by-class decoupling also may foster customer acceptance for decoupling.</w:t>
      </w:r>
      <w:r w:rsidRPr="00466132">
        <w:rPr>
          <w:rFonts w:cs="Times New Roman"/>
          <w:szCs w:val="24"/>
        </w:rPr>
        <w:t xml:space="preserve"> </w:t>
      </w:r>
      <w:r>
        <w:rPr>
          <w:rFonts w:cs="Times New Roman"/>
          <w:szCs w:val="24"/>
        </w:rPr>
        <w:t xml:space="preserve">The Mechanism falls in-between, including all customers grouped by similar usage characteristics, except the very largest gas customers.  </w:t>
      </w:r>
    </w:p>
    <w:p w:rsidR="00A34780" w:rsidRDefault="00A34780" w:rsidP="00A34780">
      <w:pPr>
        <w:rPr>
          <w:rFonts w:cs="Times New Roman"/>
          <w:szCs w:val="24"/>
        </w:rPr>
      </w:pPr>
    </w:p>
    <w:p w:rsidR="00A34780" w:rsidRPr="00A34780" w:rsidRDefault="00A34780" w:rsidP="00A34780">
      <w:pPr>
        <w:pStyle w:val="ListParagraph"/>
        <w:numPr>
          <w:ilvl w:val="0"/>
          <w:numId w:val="19"/>
        </w:numPr>
        <w:outlineLvl w:val="1"/>
        <w:rPr>
          <w:b/>
          <w:vanish/>
        </w:rPr>
      </w:pPr>
      <w:bookmarkStart w:id="16" w:name="_Toc310946482"/>
      <w:bookmarkStart w:id="17" w:name="_Toc311029109"/>
      <w:bookmarkEnd w:id="16"/>
      <w:bookmarkEnd w:id="17"/>
    </w:p>
    <w:p w:rsidR="00A34780" w:rsidRPr="00A34780" w:rsidRDefault="00A34780" w:rsidP="00A34780">
      <w:pPr>
        <w:pStyle w:val="ListParagraph"/>
        <w:numPr>
          <w:ilvl w:val="0"/>
          <w:numId w:val="19"/>
        </w:numPr>
        <w:outlineLvl w:val="1"/>
        <w:rPr>
          <w:b/>
          <w:vanish/>
        </w:rPr>
      </w:pPr>
      <w:bookmarkStart w:id="18" w:name="_Toc310946483"/>
      <w:bookmarkStart w:id="19" w:name="_Toc311029110"/>
      <w:bookmarkEnd w:id="18"/>
      <w:bookmarkEnd w:id="19"/>
    </w:p>
    <w:p w:rsidR="00A34780" w:rsidRPr="00A34780" w:rsidRDefault="00A34780" w:rsidP="00A34780">
      <w:pPr>
        <w:pStyle w:val="ListParagraph"/>
        <w:numPr>
          <w:ilvl w:val="0"/>
          <w:numId w:val="19"/>
        </w:numPr>
        <w:outlineLvl w:val="1"/>
        <w:rPr>
          <w:b/>
          <w:vanish/>
        </w:rPr>
      </w:pPr>
      <w:bookmarkStart w:id="20" w:name="_Toc310946484"/>
      <w:bookmarkStart w:id="21" w:name="_Toc311029111"/>
      <w:bookmarkEnd w:id="20"/>
      <w:bookmarkEnd w:id="21"/>
    </w:p>
    <w:p w:rsidR="00A34780" w:rsidRPr="00A34780" w:rsidRDefault="00A34780" w:rsidP="00A34780">
      <w:pPr>
        <w:pStyle w:val="ListParagraph"/>
        <w:numPr>
          <w:ilvl w:val="0"/>
          <w:numId w:val="19"/>
        </w:numPr>
        <w:outlineLvl w:val="1"/>
        <w:rPr>
          <w:b/>
          <w:vanish/>
        </w:rPr>
      </w:pPr>
      <w:bookmarkStart w:id="22" w:name="_Toc310946485"/>
      <w:bookmarkStart w:id="23" w:name="_Toc311029112"/>
      <w:bookmarkEnd w:id="22"/>
      <w:bookmarkEnd w:id="23"/>
    </w:p>
    <w:p w:rsidR="00A34780" w:rsidRPr="00A34780" w:rsidRDefault="00A34780" w:rsidP="00A34780">
      <w:pPr>
        <w:pStyle w:val="ListParagraph"/>
        <w:numPr>
          <w:ilvl w:val="0"/>
          <w:numId w:val="19"/>
        </w:numPr>
        <w:outlineLvl w:val="1"/>
        <w:rPr>
          <w:b/>
          <w:vanish/>
        </w:rPr>
      </w:pPr>
      <w:bookmarkStart w:id="24" w:name="_Toc310946486"/>
      <w:bookmarkStart w:id="25" w:name="_Toc311029113"/>
      <w:bookmarkEnd w:id="24"/>
      <w:bookmarkEnd w:id="25"/>
    </w:p>
    <w:p w:rsidR="00A34780" w:rsidRPr="00A34780" w:rsidRDefault="00A34780" w:rsidP="00A34780">
      <w:pPr>
        <w:pStyle w:val="ListParagraph"/>
        <w:numPr>
          <w:ilvl w:val="0"/>
          <w:numId w:val="19"/>
        </w:numPr>
        <w:outlineLvl w:val="1"/>
        <w:rPr>
          <w:b/>
          <w:vanish/>
        </w:rPr>
      </w:pPr>
      <w:bookmarkStart w:id="26" w:name="_Toc310946487"/>
      <w:bookmarkStart w:id="27" w:name="_Toc311029114"/>
      <w:bookmarkEnd w:id="26"/>
      <w:bookmarkEnd w:id="27"/>
    </w:p>
    <w:p w:rsidR="00A34780" w:rsidRPr="00A34780" w:rsidRDefault="00A34780" w:rsidP="00A34780">
      <w:pPr>
        <w:pStyle w:val="ListParagraph"/>
        <w:numPr>
          <w:ilvl w:val="0"/>
          <w:numId w:val="19"/>
        </w:numPr>
        <w:outlineLvl w:val="1"/>
        <w:rPr>
          <w:b/>
          <w:vanish/>
        </w:rPr>
      </w:pPr>
      <w:bookmarkStart w:id="28" w:name="_Toc310946488"/>
      <w:bookmarkStart w:id="29" w:name="_Toc311029115"/>
      <w:bookmarkEnd w:id="28"/>
      <w:bookmarkEnd w:id="29"/>
    </w:p>
    <w:p w:rsidR="00A34780" w:rsidRPr="00A34780" w:rsidRDefault="00A34780" w:rsidP="00A34780">
      <w:pPr>
        <w:pStyle w:val="ListParagraph"/>
        <w:numPr>
          <w:ilvl w:val="0"/>
          <w:numId w:val="20"/>
        </w:numPr>
        <w:outlineLvl w:val="1"/>
        <w:rPr>
          <w:b/>
          <w:vanish/>
        </w:rPr>
      </w:pPr>
      <w:bookmarkStart w:id="30" w:name="_Toc310946489"/>
      <w:bookmarkStart w:id="31" w:name="_Toc311029116"/>
      <w:bookmarkEnd w:id="30"/>
      <w:bookmarkEnd w:id="31"/>
    </w:p>
    <w:p w:rsidR="00A34780" w:rsidRPr="00A34780" w:rsidRDefault="00A34780" w:rsidP="00A34780">
      <w:pPr>
        <w:pStyle w:val="ListParagraph"/>
        <w:numPr>
          <w:ilvl w:val="0"/>
          <w:numId w:val="20"/>
        </w:numPr>
        <w:outlineLvl w:val="1"/>
        <w:rPr>
          <w:b/>
          <w:vanish/>
        </w:rPr>
      </w:pPr>
      <w:bookmarkStart w:id="32" w:name="_Toc310946490"/>
      <w:bookmarkStart w:id="33" w:name="_Toc311029117"/>
      <w:bookmarkEnd w:id="32"/>
      <w:bookmarkEnd w:id="33"/>
    </w:p>
    <w:p w:rsidR="00A34780" w:rsidRPr="00A34780" w:rsidRDefault="00A34780" w:rsidP="00A34780">
      <w:pPr>
        <w:pStyle w:val="ListParagraph"/>
        <w:numPr>
          <w:ilvl w:val="0"/>
          <w:numId w:val="20"/>
        </w:numPr>
        <w:outlineLvl w:val="1"/>
        <w:rPr>
          <w:b/>
          <w:vanish/>
        </w:rPr>
      </w:pPr>
      <w:bookmarkStart w:id="34" w:name="_Toc310946491"/>
      <w:bookmarkStart w:id="35" w:name="_Toc311029118"/>
      <w:bookmarkEnd w:id="34"/>
      <w:bookmarkEnd w:id="35"/>
    </w:p>
    <w:p w:rsidR="00A34780" w:rsidRPr="00A34780" w:rsidRDefault="00A34780" w:rsidP="00A34780">
      <w:pPr>
        <w:pStyle w:val="ListParagraph"/>
        <w:numPr>
          <w:ilvl w:val="0"/>
          <w:numId w:val="20"/>
        </w:numPr>
        <w:outlineLvl w:val="1"/>
        <w:rPr>
          <w:b/>
          <w:vanish/>
        </w:rPr>
      </w:pPr>
      <w:bookmarkStart w:id="36" w:name="_Toc310946492"/>
      <w:bookmarkStart w:id="37" w:name="_Toc311029119"/>
      <w:bookmarkEnd w:id="36"/>
      <w:bookmarkEnd w:id="37"/>
    </w:p>
    <w:p w:rsidR="00A34780" w:rsidRPr="007D5A76" w:rsidRDefault="00A34780" w:rsidP="00A34780">
      <w:pPr>
        <w:pStyle w:val="Heading2"/>
        <w:numPr>
          <w:ilvl w:val="0"/>
          <w:numId w:val="20"/>
        </w:numPr>
      </w:pPr>
      <w:bookmarkStart w:id="38" w:name="_Toc311029120"/>
      <w:r w:rsidRPr="007D5A76">
        <w:t xml:space="preserve">Impact </w:t>
      </w:r>
      <w:r>
        <w:t xml:space="preserve">on </w:t>
      </w:r>
      <w:r w:rsidRPr="007D5A76">
        <w:t>the Rate o</w:t>
      </w:r>
      <w:r>
        <w:t>f</w:t>
      </w:r>
      <w:r w:rsidRPr="007D5A76">
        <w:t xml:space="preserve"> Return</w:t>
      </w:r>
      <w:bookmarkEnd w:id="38"/>
    </w:p>
    <w:p w:rsidR="00A34780" w:rsidRPr="005D678F" w:rsidRDefault="00A34780" w:rsidP="00A34780">
      <w:pPr>
        <w:spacing w:after="0" w:line="288" w:lineRule="auto"/>
        <w:rPr>
          <w:rFonts w:cs="Times New Roman"/>
          <w:szCs w:val="24"/>
        </w:rPr>
      </w:pPr>
      <w:r w:rsidRPr="005D678F">
        <w:rPr>
          <w:rFonts w:cs="Times New Roman"/>
          <w:szCs w:val="24"/>
        </w:rPr>
        <w:t xml:space="preserve">The Commission describes the need to measure the impact on return on equity </w:t>
      </w:r>
      <w:r>
        <w:rPr>
          <w:rFonts w:cs="Times New Roman"/>
          <w:szCs w:val="24"/>
        </w:rPr>
        <w:t xml:space="preserve">(ROE) </w:t>
      </w:r>
      <w:r w:rsidRPr="005D678F">
        <w:rPr>
          <w:rFonts w:cs="Times New Roman"/>
          <w:szCs w:val="24"/>
        </w:rPr>
        <w:t>as follows:</w:t>
      </w:r>
    </w:p>
    <w:p w:rsidR="00A34780" w:rsidRPr="005D678F" w:rsidRDefault="00A34780" w:rsidP="00A34780">
      <w:pPr>
        <w:spacing w:after="0" w:line="288" w:lineRule="auto"/>
        <w:rPr>
          <w:rFonts w:cs="Times New Roman"/>
          <w:szCs w:val="24"/>
        </w:rPr>
      </w:pPr>
    </w:p>
    <w:p w:rsidR="00A34780" w:rsidRPr="005D678F" w:rsidRDefault="00A34780" w:rsidP="00A34780">
      <w:pPr>
        <w:spacing w:after="0" w:line="288" w:lineRule="auto"/>
        <w:ind w:left="720"/>
        <w:rPr>
          <w:rFonts w:cs="Times New Roman"/>
          <w:szCs w:val="24"/>
        </w:rPr>
      </w:pPr>
      <w:r w:rsidRPr="005D678F">
        <w:rPr>
          <w:rFonts w:cs="Times New Roman"/>
          <w:i/>
          <w:szCs w:val="24"/>
        </w:rPr>
        <w:t xml:space="preserve">Impact on Rate of Return. </w:t>
      </w:r>
      <w:r w:rsidRPr="005D678F">
        <w:rPr>
          <w:rFonts w:cs="Times New Roman"/>
          <w:szCs w:val="24"/>
        </w:rPr>
        <w:t xml:space="preserve"> Evidence evaluating the impact of the proposal on risk to investors and ratepayers and its effect on the utility's ROE.</w:t>
      </w:r>
    </w:p>
    <w:p w:rsidR="00A34780" w:rsidRPr="00E15944" w:rsidRDefault="00A34780" w:rsidP="00A34780">
      <w:pPr>
        <w:spacing w:after="0" w:line="288" w:lineRule="auto"/>
        <w:rPr>
          <w:szCs w:val="24"/>
        </w:rPr>
      </w:pPr>
    </w:p>
    <w:p w:rsidR="00A34780" w:rsidRPr="00601FEE" w:rsidRDefault="00A34780" w:rsidP="00A34780">
      <w:pPr>
        <w:spacing w:after="0" w:line="288" w:lineRule="auto"/>
        <w:rPr>
          <w:szCs w:val="24"/>
        </w:rPr>
      </w:pPr>
      <w:r w:rsidRPr="007B38DB">
        <w:rPr>
          <w:szCs w:val="24"/>
        </w:rPr>
        <w:t>The Commission contemplates reduction in debt costs as well as equity costs:</w:t>
      </w:r>
    </w:p>
    <w:p w:rsidR="00A34780" w:rsidRPr="0013522F" w:rsidRDefault="00A34780" w:rsidP="00A34780">
      <w:pPr>
        <w:spacing w:after="0" w:line="288" w:lineRule="auto"/>
      </w:pPr>
    </w:p>
    <w:p w:rsidR="00A34780" w:rsidRPr="005D678F" w:rsidRDefault="00A34780" w:rsidP="00A34780">
      <w:pPr>
        <w:ind w:left="720"/>
        <w:rPr>
          <w:szCs w:val="24"/>
        </w:rPr>
      </w:pPr>
      <w:r w:rsidRPr="00B566D0">
        <w:rPr>
          <w:szCs w:val="24"/>
        </w:rPr>
        <w:t>By reducing the risk of volatility of revenue based on customer usage, both up and down, such a mechanism can serve to reduce risk to the company, and therefore to investors, which in turn should benefit customers by reducing a company</w:t>
      </w:r>
      <w:r w:rsidRPr="0013522F">
        <w:t>’</w:t>
      </w:r>
      <w:r w:rsidRPr="00B566D0">
        <w:rPr>
          <w:szCs w:val="24"/>
        </w:rPr>
        <w:t>s debt and equity costs.  This reduction in costs would flow through to ratepayers in the form of rates that would be lower than they otherwise would be, as the rates would be set to reflect the assumption of more risk by ratepayers.</w:t>
      </w:r>
      <w:r w:rsidRPr="0013522F">
        <w:rPr>
          <w:rStyle w:val="FootnoteReference"/>
        </w:rPr>
        <w:footnoteReference w:id="25"/>
      </w:r>
    </w:p>
    <w:p w:rsidR="00A34780" w:rsidRPr="008A693B" w:rsidRDefault="00A34780" w:rsidP="00A34780">
      <w:pPr>
        <w:rPr>
          <w:rFonts w:cs="Times New Roman"/>
          <w:szCs w:val="24"/>
        </w:rPr>
      </w:pPr>
      <w:r w:rsidRPr="005D678F">
        <w:rPr>
          <w:szCs w:val="24"/>
        </w:rPr>
        <w:t xml:space="preserve">Under current regulation, the Company bears the risk </w:t>
      </w:r>
      <w:r>
        <w:rPr>
          <w:szCs w:val="24"/>
        </w:rPr>
        <w:t xml:space="preserve">of the effect </w:t>
      </w:r>
      <w:r w:rsidRPr="005D678F">
        <w:rPr>
          <w:szCs w:val="24"/>
        </w:rPr>
        <w:t xml:space="preserve">that </w:t>
      </w:r>
      <w:r w:rsidRPr="0013522F">
        <w:t>actual rate year load</w:t>
      </w:r>
      <w:r w:rsidRPr="00536E02">
        <w:t xml:space="preserve">s </w:t>
      </w:r>
      <w:r>
        <w:t xml:space="preserve">have on the Company’s </w:t>
      </w:r>
      <w:r w:rsidRPr="00B566D0">
        <w:rPr>
          <w:szCs w:val="24"/>
        </w:rPr>
        <w:t>ability to earn a fair return.  Full decoupling insulates the Company from that risk.  That</w:t>
      </w:r>
      <w:r w:rsidRPr="005D678F">
        <w:rPr>
          <w:szCs w:val="24"/>
        </w:rPr>
        <w:t xml:space="preserve"> risk reduction should be reflected in the rate </w:t>
      </w:r>
      <w:r>
        <w:t>of return</w:t>
      </w:r>
      <w:r w:rsidRPr="008A693B">
        <w:rPr>
          <w:rFonts w:cs="Times New Roman"/>
          <w:szCs w:val="24"/>
        </w:rPr>
        <w:t>.</w:t>
      </w:r>
      <w:r w:rsidRPr="008A693B">
        <w:rPr>
          <w:rFonts w:cs="Times New Roman"/>
          <w:szCs w:val="24"/>
        </w:rPr>
        <w:tab/>
      </w:r>
    </w:p>
    <w:p w:rsidR="00A34780" w:rsidRDefault="00A34780" w:rsidP="00A34780">
      <w:r>
        <w:t xml:space="preserve">The low end of Staff witness Mr. Elgin’s </w:t>
      </w:r>
      <w:r w:rsidR="007C7EBE">
        <w:t xml:space="preserve">discounted cash flow </w:t>
      </w:r>
      <w:r>
        <w:t>estimate range in this case is 9.00 percent, but that value could be lower under full decoupling.  Moreover, the risk reduction impact could also affect capital structure (e.g., justify a lower equity ratio) as well as the cost of debt.</w:t>
      </w:r>
      <w:r w:rsidR="009879F8">
        <w:rPr>
          <w:rStyle w:val="FootnoteReference"/>
        </w:rPr>
        <w:footnoteReference w:id="26"/>
      </w:r>
      <w:r w:rsidR="009879F8" w:rsidRPr="00090AE4">
        <w:rPr>
          <w:vertAlign w:val="superscript"/>
        </w:rPr>
        <w:t>,</w:t>
      </w:r>
      <w:r w:rsidR="009879F8">
        <w:rPr>
          <w:rStyle w:val="FootnoteReference"/>
        </w:rPr>
        <w:footnoteReference w:id="27"/>
      </w:r>
      <w:r>
        <w:t xml:space="preserve"> </w:t>
      </w:r>
    </w:p>
    <w:p w:rsidR="00A34780" w:rsidRDefault="00A34780" w:rsidP="00A34780"/>
    <w:p w:rsidR="007739CF" w:rsidRPr="00765050" w:rsidRDefault="00765050" w:rsidP="00B11B3A">
      <w:pPr>
        <w:pStyle w:val="Heading2"/>
      </w:pPr>
      <w:bookmarkStart w:id="39" w:name="_Toc311029121"/>
      <w:r>
        <w:t>Earnings Test</w:t>
      </w:r>
      <w:bookmarkEnd w:id="39"/>
    </w:p>
    <w:p w:rsidR="00E839DB" w:rsidRPr="007D5A76" w:rsidRDefault="00E839DB" w:rsidP="00E839DB">
      <w:pPr>
        <w:rPr>
          <w:rFonts w:cs="Times New Roman"/>
          <w:szCs w:val="24"/>
        </w:rPr>
      </w:pPr>
      <w:r>
        <w:rPr>
          <w:rFonts w:cs="Times New Roman"/>
          <w:szCs w:val="24"/>
        </w:rPr>
        <w:t xml:space="preserve">The </w:t>
      </w:r>
      <w:r w:rsidRPr="007D5A76">
        <w:rPr>
          <w:rFonts w:cs="Times New Roman"/>
          <w:szCs w:val="24"/>
        </w:rPr>
        <w:t>Commission includes an earnings test as an essential element</w:t>
      </w:r>
      <w:r>
        <w:rPr>
          <w:rFonts w:cs="Times New Roman"/>
          <w:szCs w:val="24"/>
        </w:rPr>
        <w:t xml:space="preserve"> of full decoupling</w:t>
      </w:r>
      <w:r w:rsidRPr="007D5A76">
        <w:rPr>
          <w:rFonts w:cs="Times New Roman"/>
          <w:szCs w:val="24"/>
        </w:rPr>
        <w:t>:</w:t>
      </w:r>
    </w:p>
    <w:p w:rsidR="00E839DB" w:rsidRPr="007D5A76" w:rsidRDefault="00E839DB" w:rsidP="00E839DB">
      <w:pPr>
        <w:ind w:left="720"/>
        <w:rPr>
          <w:rFonts w:cs="Times New Roman"/>
          <w:szCs w:val="24"/>
        </w:rPr>
      </w:pPr>
      <w:r w:rsidRPr="007D5A76">
        <w:rPr>
          <w:rFonts w:cs="Times New Roman"/>
          <w:i/>
          <w:szCs w:val="24"/>
        </w:rPr>
        <w:t>Earnings test.</w:t>
      </w:r>
      <w:r w:rsidRPr="007D5A76">
        <w:rPr>
          <w:rFonts w:cs="Times New Roman"/>
          <w:szCs w:val="24"/>
        </w:rPr>
        <w:t xml:space="preserve">  A proposed earnings test to be applied at the time of the true-up.</w:t>
      </w:r>
      <w:r w:rsidRPr="007D5A76">
        <w:rPr>
          <w:rStyle w:val="FootnoteReference"/>
          <w:rFonts w:cs="Times New Roman"/>
          <w:szCs w:val="24"/>
        </w:rPr>
        <w:footnoteReference w:id="28"/>
      </w:r>
    </w:p>
    <w:p w:rsidR="00E839DB" w:rsidRDefault="00E839DB" w:rsidP="00E839DB">
      <w:pPr>
        <w:rPr>
          <w:rFonts w:cs="Times New Roman"/>
          <w:szCs w:val="24"/>
        </w:rPr>
      </w:pPr>
      <w:r>
        <w:rPr>
          <w:rFonts w:cs="Times New Roman"/>
          <w:szCs w:val="24"/>
        </w:rPr>
        <w:t>The Commission does not further elucidate on the nature of the earnings test, e.g., the Commission does not explain the consequence if the utility earns in excess of the rate of return the Commission previously found to be appropriate.  Accordingly, Staff considers an earnings “cap” and an earnings “band” to be within the scope of an earnings “test”.</w:t>
      </w:r>
    </w:p>
    <w:p w:rsidR="00E839DB" w:rsidRDefault="00E839DB" w:rsidP="00E839DB">
      <w:pPr>
        <w:rPr>
          <w:rFonts w:cs="Times New Roman"/>
          <w:szCs w:val="24"/>
        </w:rPr>
      </w:pPr>
      <w:r>
        <w:rPr>
          <w:rFonts w:cs="Times New Roman"/>
          <w:szCs w:val="24"/>
        </w:rPr>
        <w:t xml:space="preserve">Footnote 15 from the Cascade Decoupling Mechanism Evaluation filed in Docket UG-060256 on July 11, 2011, evaluated the earnings cap:  </w:t>
      </w:r>
    </w:p>
    <w:p w:rsidR="00E839DB" w:rsidRDefault="00E839DB" w:rsidP="00E839DB">
      <w:pPr>
        <w:ind w:left="720"/>
        <w:rPr>
          <w:rFonts w:cs="Times New Roman"/>
          <w:szCs w:val="24"/>
        </w:rPr>
      </w:pPr>
      <w:r w:rsidRPr="007739CF">
        <w:rPr>
          <w:rFonts w:cs="Times New Roman"/>
          <w:szCs w:val="24"/>
        </w:rPr>
        <w:t>The addition of the earnings cap requirement, beyond the conservation performance criterion, means that the</w:t>
      </w:r>
      <w:r>
        <w:rPr>
          <w:rFonts w:cs="Times New Roman"/>
          <w:szCs w:val="24"/>
        </w:rPr>
        <w:t xml:space="preserve"> </w:t>
      </w:r>
      <w:r w:rsidRPr="007739CF">
        <w:rPr>
          <w:rFonts w:cs="Times New Roman"/>
          <w:szCs w:val="24"/>
        </w:rPr>
        <w:t>Washington decoupling mechanism is an example of a very strict decoupling mechanism having very strong</w:t>
      </w:r>
      <w:r>
        <w:rPr>
          <w:rFonts w:cs="Times New Roman"/>
          <w:szCs w:val="24"/>
        </w:rPr>
        <w:t xml:space="preserve"> </w:t>
      </w:r>
      <w:r w:rsidRPr="007739CF">
        <w:rPr>
          <w:rFonts w:cs="Times New Roman"/>
          <w:szCs w:val="24"/>
        </w:rPr>
        <w:t xml:space="preserve">customer protections. </w:t>
      </w:r>
      <w:r>
        <w:rPr>
          <w:rFonts w:cs="Times New Roman"/>
          <w:szCs w:val="24"/>
        </w:rPr>
        <w:t xml:space="preserve"> </w:t>
      </w:r>
      <w:r w:rsidRPr="007739CF">
        <w:rPr>
          <w:rFonts w:cs="Times New Roman"/>
          <w:szCs w:val="24"/>
        </w:rPr>
        <w:t xml:space="preserve">The objective of the earnings cap is to effectively prevent a “windfall profits” situation. </w:t>
      </w:r>
      <w:r>
        <w:rPr>
          <w:rFonts w:cs="Times New Roman"/>
          <w:szCs w:val="24"/>
        </w:rPr>
        <w:t xml:space="preserve"> </w:t>
      </w:r>
      <w:r w:rsidRPr="007739CF">
        <w:rPr>
          <w:rFonts w:cs="Times New Roman"/>
          <w:szCs w:val="24"/>
        </w:rPr>
        <w:t>It</w:t>
      </w:r>
      <w:r>
        <w:rPr>
          <w:rFonts w:cs="Times New Roman"/>
          <w:szCs w:val="24"/>
        </w:rPr>
        <w:t xml:space="preserve"> </w:t>
      </w:r>
      <w:r w:rsidRPr="007739CF">
        <w:rPr>
          <w:rFonts w:cs="Times New Roman"/>
          <w:szCs w:val="24"/>
        </w:rPr>
        <w:t>does so in this regard by placing a firm bound on increased rate of return, in order to help ensure that the</w:t>
      </w:r>
      <w:r>
        <w:rPr>
          <w:rFonts w:cs="Times New Roman"/>
          <w:szCs w:val="24"/>
        </w:rPr>
        <w:t xml:space="preserve"> </w:t>
      </w:r>
      <w:r w:rsidRPr="007739CF">
        <w:rPr>
          <w:rFonts w:cs="Times New Roman"/>
          <w:szCs w:val="24"/>
        </w:rPr>
        <w:t xml:space="preserve">decoupling mechanism does not facilitate excessive earnings by the utility. </w:t>
      </w:r>
      <w:r>
        <w:rPr>
          <w:rFonts w:cs="Times New Roman"/>
          <w:szCs w:val="24"/>
        </w:rPr>
        <w:t xml:space="preserve"> </w:t>
      </w:r>
      <w:r w:rsidRPr="007739CF">
        <w:rPr>
          <w:rFonts w:cs="Times New Roman"/>
          <w:szCs w:val="24"/>
        </w:rPr>
        <w:t>One unintended result of this earnings</w:t>
      </w:r>
      <w:r>
        <w:rPr>
          <w:rFonts w:cs="Times New Roman"/>
          <w:szCs w:val="24"/>
        </w:rPr>
        <w:t xml:space="preserve"> </w:t>
      </w:r>
      <w:r w:rsidRPr="007739CF">
        <w:rPr>
          <w:rFonts w:cs="Times New Roman"/>
          <w:szCs w:val="24"/>
        </w:rPr>
        <w:t>cap is that it could, in effect, penalize the utility for taking other actions (not relating to sales levels, e.g., cutting</w:t>
      </w:r>
      <w:r>
        <w:rPr>
          <w:rFonts w:cs="Times New Roman"/>
          <w:szCs w:val="24"/>
        </w:rPr>
        <w:t xml:space="preserve"> </w:t>
      </w:r>
      <w:r w:rsidRPr="007739CF">
        <w:rPr>
          <w:rFonts w:cs="Times New Roman"/>
          <w:szCs w:val="24"/>
        </w:rPr>
        <w:t xml:space="preserve">costs) if that provides them with a higher realized rate of return. </w:t>
      </w:r>
      <w:r>
        <w:rPr>
          <w:rFonts w:cs="Times New Roman"/>
          <w:szCs w:val="24"/>
        </w:rPr>
        <w:t xml:space="preserve"> </w:t>
      </w:r>
      <w:r w:rsidRPr="007739CF">
        <w:rPr>
          <w:rFonts w:cs="Times New Roman"/>
          <w:szCs w:val="24"/>
        </w:rPr>
        <w:t>If they do that (in effect, running their company</w:t>
      </w:r>
      <w:r>
        <w:rPr>
          <w:rFonts w:cs="Times New Roman"/>
          <w:szCs w:val="24"/>
        </w:rPr>
        <w:t xml:space="preserve"> </w:t>
      </w:r>
      <w:r w:rsidRPr="007739CF">
        <w:rPr>
          <w:rFonts w:cs="Times New Roman"/>
          <w:szCs w:val="24"/>
        </w:rPr>
        <w:t>more efficiently) they could lose the ability to recover the revenue shortfall from reduced sales, if their resulting</w:t>
      </w:r>
      <w:r>
        <w:rPr>
          <w:rFonts w:cs="Times New Roman"/>
          <w:szCs w:val="24"/>
        </w:rPr>
        <w:t xml:space="preserve"> </w:t>
      </w:r>
      <w:r w:rsidRPr="007739CF">
        <w:rPr>
          <w:rFonts w:cs="Times New Roman"/>
          <w:szCs w:val="24"/>
        </w:rPr>
        <w:t xml:space="preserve">earnings level exceeds the earnings cap. </w:t>
      </w:r>
      <w:r>
        <w:rPr>
          <w:rFonts w:cs="Times New Roman"/>
          <w:szCs w:val="24"/>
        </w:rPr>
        <w:t xml:space="preserve"> </w:t>
      </w:r>
      <w:r w:rsidRPr="007739CF">
        <w:rPr>
          <w:rFonts w:cs="Times New Roman"/>
          <w:szCs w:val="24"/>
        </w:rPr>
        <w:t>Essentially, this is a ‘one</w:t>
      </w:r>
      <w:r w:rsidRPr="007739CF">
        <w:rPr>
          <w:rFonts w:ascii="Cambria Math" w:hAnsi="Cambria Math" w:cs="Times New Roman"/>
          <w:szCs w:val="24"/>
        </w:rPr>
        <w:t>‐</w:t>
      </w:r>
      <w:r w:rsidRPr="007739CF">
        <w:rPr>
          <w:rFonts w:cs="Times New Roman"/>
          <w:szCs w:val="24"/>
        </w:rPr>
        <w:t>directional’ limit that puts extra constraints on</w:t>
      </w:r>
      <w:r>
        <w:rPr>
          <w:rFonts w:cs="Times New Roman"/>
          <w:szCs w:val="24"/>
        </w:rPr>
        <w:t xml:space="preserve"> </w:t>
      </w:r>
      <w:r w:rsidRPr="007739CF">
        <w:rPr>
          <w:rFonts w:cs="Times New Roman"/>
          <w:szCs w:val="24"/>
        </w:rPr>
        <w:t>the company to the benefit of ratepayers.</w:t>
      </w:r>
      <w:r>
        <w:rPr>
          <w:rFonts w:cs="Times New Roman"/>
          <w:szCs w:val="24"/>
        </w:rPr>
        <w:t xml:space="preserve"> </w:t>
      </w:r>
      <w:r w:rsidRPr="007739CF">
        <w:rPr>
          <w:rFonts w:cs="Times New Roman"/>
          <w:szCs w:val="24"/>
        </w:rPr>
        <w:t xml:space="preserve"> (It should be noted that the existence of this earning cap can be seen as</w:t>
      </w:r>
      <w:r>
        <w:rPr>
          <w:rFonts w:cs="Times New Roman"/>
          <w:szCs w:val="24"/>
        </w:rPr>
        <w:t xml:space="preserve"> </w:t>
      </w:r>
      <w:r w:rsidRPr="007739CF">
        <w:rPr>
          <w:rFonts w:cs="Times New Roman"/>
          <w:szCs w:val="24"/>
        </w:rPr>
        <w:t>helping to obviate the need for reducing the utility authorized rate of return, which is sometimes advocated as a</w:t>
      </w:r>
      <w:r>
        <w:rPr>
          <w:rFonts w:cs="Times New Roman"/>
          <w:szCs w:val="24"/>
        </w:rPr>
        <w:t xml:space="preserve"> </w:t>
      </w:r>
      <w:r w:rsidRPr="007739CF">
        <w:rPr>
          <w:rFonts w:cs="Times New Roman"/>
          <w:szCs w:val="24"/>
        </w:rPr>
        <w:t>concession in exchange for decoupling.)</w:t>
      </w:r>
    </w:p>
    <w:p w:rsidR="00E839DB" w:rsidRDefault="00E839DB" w:rsidP="00E839DB">
      <w:pPr>
        <w:rPr>
          <w:rFonts w:cs="Times New Roman"/>
          <w:szCs w:val="24"/>
        </w:rPr>
      </w:pPr>
      <w:r>
        <w:rPr>
          <w:rFonts w:cs="Times New Roman"/>
          <w:szCs w:val="24"/>
        </w:rPr>
        <w:t xml:space="preserve">And from page 25 of the same report: </w:t>
      </w:r>
    </w:p>
    <w:p w:rsidR="003F210F" w:rsidRDefault="00E839DB" w:rsidP="00536E02">
      <w:pPr>
        <w:ind w:left="720"/>
        <w:rPr>
          <w:rFonts w:cs="Times New Roman"/>
          <w:szCs w:val="24"/>
        </w:rPr>
      </w:pPr>
      <w:r w:rsidRPr="007739CF">
        <w:rPr>
          <w:rFonts w:cs="Times New Roman"/>
          <w:szCs w:val="24"/>
        </w:rPr>
        <w:t>Given the current structure of the earnings cap, as an</w:t>
      </w:r>
      <w:r>
        <w:rPr>
          <w:rFonts w:cs="Times New Roman"/>
          <w:szCs w:val="24"/>
        </w:rPr>
        <w:t xml:space="preserve"> </w:t>
      </w:r>
      <w:r w:rsidRPr="007739CF">
        <w:rPr>
          <w:rFonts w:cs="Times New Roman"/>
          <w:szCs w:val="24"/>
        </w:rPr>
        <w:t>unintended side</w:t>
      </w:r>
      <w:r w:rsidRPr="007739CF">
        <w:rPr>
          <w:rFonts w:ascii="Cambria Math" w:hAnsi="Cambria Math" w:cs="Times New Roman"/>
          <w:szCs w:val="24"/>
        </w:rPr>
        <w:t>‐</w:t>
      </w:r>
      <w:r w:rsidRPr="007739CF">
        <w:rPr>
          <w:rFonts w:cs="Times New Roman"/>
          <w:szCs w:val="24"/>
        </w:rPr>
        <w:t>effect, reducing costs could produce no net increase in earnings because the revenue</w:t>
      </w:r>
      <w:r>
        <w:rPr>
          <w:rFonts w:cs="Times New Roman"/>
          <w:szCs w:val="24"/>
        </w:rPr>
        <w:t xml:space="preserve"> </w:t>
      </w:r>
      <w:r w:rsidRPr="007739CF">
        <w:rPr>
          <w:rFonts w:cs="Times New Roman"/>
          <w:szCs w:val="24"/>
        </w:rPr>
        <w:t xml:space="preserve">recovery would be reduced to the earnings cap set in the prior rate case (for the pilot, 8.85%). </w:t>
      </w:r>
      <w:r>
        <w:rPr>
          <w:rFonts w:cs="Times New Roman"/>
          <w:szCs w:val="24"/>
        </w:rPr>
        <w:t xml:space="preserve"> </w:t>
      </w:r>
      <w:r w:rsidRPr="007739CF">
        <w:rPr>
          <w:rFonts w:cs="Times New Roman"/>
          <w:szCs w:val="24"/>
        </w:rPr>
        <w:t>So, in</w:t>
      </w:r>
      <w:r>
        <w:rPr>
          <w:rFonts w:cs="Times New Roman"/>
          <w:szCs w:val="24"/>
        </w:rPr>
        <w:t xml:space="preserve"> </w:t>
      </w:r>
      <w:r w:rsidRPr="007739CF">
        <w:rPr>
          <w:rFonts w:cs="Times New Roman"/>
          <w:szCs w:val="24"/>
        </w:rPr>
        <w:t>such a case, the current structure of the earnings cap might create a disincentive to create higher</w:t>
      </w:r>
      <w:r>
        <w:rPr>
          <w:rFonts w:cs="Times New Roman"/>
          <w:szCs w:val="24"/>
        </w:rPr>
        <w:t xml:space="preserve"> </w:t>
      </w:r>
      <w:r w:rsidRPr="007739CF">
        <w:rPr>
          <w:rFonts w:cs="Times New Roman"/>
          <w:szCs w:val="24"/>
        </w:rPr>
        <w:t xml:space="preserve">earnings through this type of improvement. </w:t>
      </w:r>
      <w:r>
        <w:rPr>
          <w:rFonts w:cs="Times New Roman"/>
          <w:szCs w:val="24"/>
        </w:rPr>
        <w:t xml:space="preserve"> </w:t>
      </w:r>
      <w:r w:rsidRPr="007739CF">
        <w:rPr>
          <w:rFonts w:cs="Times New Roman"/>
          <w:szCs w:val="24"/>
        </w:rPr>
        <w:t>As Cascade Natural Gas appears to have been taking steps</w:t>
      </w:r>
      <w:r>
        <w:rPr>
          <w:rFonts w:cs="Times New Roman"/>
          <w:szCs w:val="24"/>
        </w:rPr>
        <w:t xml:space="preserve"> </w:t>
      </w:r>
      <w:r w:rsidRPr="007739CF">
        <w:rPr>
          <w:rFonts w:cs="Times New Roman"/>
          <w:szCs w:val="24"/>
        </w:rPr>
        <w:t>to contain cost of service this concern may need to be noted in the further development of</w:t>
      </w:r>
      <w:r>
        <w:rPr>
          <w:rFonts w:cs="Times New Roman"/>
          <w:szCs w:val="24"/>
        </w:rPr>
        <w:t xml:space="preserve"> </w:t>
      </w:r>
      <w:r w:rsidRPr="007739CF">
        <w:rPr>
          <w:rFonts w:cs="Times New Roman"/>
          <w:szCs w:val="24"/>
        </w:rPr>
        <w:t xml:space="preserve">specifications for the earnings cap. </w:t>
      </w:r>
      <w:r>
        <w:rPr>
          <w:rFonts w:cs="Times New Roman"/>
          <w:szCs w:val="24"/>
        </w:rPr>
        <w:t xml:space="preserve"> </w:t>
      </w:r>
      <w:r w:rsidRPr="007739CF">
        <w:rPr>
          <w:rFonts w:cs="Times New Roman"/>
          <w:szCs w:val="24"/>
        </w:rPr>
        <w:t>This may be considered a form of “cost risk” (though from cost</w:t>
      </w:r>
      <w:r>
        <w:rPr>
          <w:rFonts w:cs="Times New Roman"/>
          <w:szCs w:val="24"/>
        </w:rPr>
        <w:t xml:space="preserve"> </w:t>
      </w:r>
      <w:r w:rsidRPr="007739CF">
        <w:rPr>
          <w:rFonts w:cs="Times New Roman"/>
          <w:szCs w:val="24"/>
        </w:rPr>
        <w:t>reduction) and cost</w:t>
      </w:r>
      <w:r w:rsidRPr="007739CF">
        <w:rPr>
          <w:rFonts w:ascii="Cambria Math" w:hAnsi="Cambria Math" w:cs="Times New Roman"/>
          <w:szCs w:val="24"/>
        </w:rPr>
        <w:t>‐</w:t>
      </w:r>
      <w:r w:rsidRPr="007739CF">
        <w:rPr>
          <w:rFonts w:cs="Times New Roman"/>
          <w:szCs w:val="24"/>
        </w:rPr>
        <w:t>risk is not addressed by the decoupling mechanism.</w:t>
      </w:r>
    </w:p>
    <w:p w:rsidR="00765050" w:rsidRDefault="00E839DB" w:rsidP="00E84412">
      <w:pPr>
        <w:rPr>
          <w:rFonts w:cs="Times New Roman"/>
          <w:szCs w:val="24"/>
        </w:rPr>
      </w:pPr>
      <w:r>
        <w:rPr>
          <w:rFonts w:cs="Times New Roman"/>
          <w:szCs w:val="24"/>
        </w:rPr>
        <w:t xml:space="preserve">In view of the lack of efficiency incentive in an earnings “cap”, Staff believes an earnings “band” is more appropriate.  </w:t>
      </w:r>
      <w:r w:rsidR="00F96941">
        <w:rPr>
          <w:rFonts w:cs="Times New Roman"/>
          <w:szCs w:val="24"/>
        </w:rPr>
        <w:t>For illustrative purposes, t</w:t>
      </w:r>
      <w:r w:rsidR="00A27CA2">
        <w:rPr>
          <w:rFonts w:cs="Times New Roman"/>
          <w:szCs w:val="24"/>
        </w:rPr>
        <w:t xml:space="preserve">he </w:t>
      </w:r>
      <w:r w:rsidR="00765050">
        <w:rPr>
          <w:rFonts w:cs="Times New Roman"/>
          <w:szCs w:val="24"/>
        </w:rPr>
        <w:t xml:space="preserve">Mechanism contains an </w:t>
      </w:r>
      <w:r w:rsidR="00582617">
        <w:rPr>
          <w:rFonts w:cs="Times New Roman"/>
          <w:szCs w:val="24"/>
        </w:rPr>
        <w:t>E</w:t>
      </w:r>
      <w:r w:rsidR="00AF2268">
        <w:rPr>
          <w:rFonts w:cs="Times New Roman"/>
          <w:szCs w:val="24"/>
        </w:rPr>
        <w:t xml:space="preserve">arnings </w:t>
      </w:r>
      <w:r w:rsidR="00582617">
        <w:rPr>
          <w:rFonts w:cs="Times New Roman"/>
          <w:szCs w:val="24"/>
        </w:rPr>
        <w:t>T</w:t>
      </w:r>
      <w:r w:rsidR="00AF2268">
        <w:rPr>
          <w:rFonts w:cs="Times New Roman"/>
          <w:szCs w:val="24"/>
        </w:rPr>
        <w:t>est</w:t>
      </w:r>
      <w:r w:rsidR="00765050">
        <w:rPr>
          <w:rFonts w:cs="Times New Roman"/>
          <w:szCs w:val="24"/>
        </w:rPr>
        <w:t xml:space="preserve"> based on </w:t>
      </w:r>
      <w:r w:rsidR="00AF2268">
        <w:rPr>
          <w:rFonts w:cs="Times New Roman"/>
          <w:szCs w:val="24"/>
        </w:rPr>
        <w:t>a</w:t>
      </w:r>
      <w:r w:rsidR="00567B85">
        <w:rPr>
          <w:rFonts w:cs="Times New Roman"/>
          <w:szCs w:val="24"/>
        </w:rPr>
        <w:t xml:space="preserve"> </w:t>
      </w:r>
      <w:r w:rsidR="00D8736D">
        <w:rPr>
          <w:rFonts w:cs="Times New Roman"/>
          <w:szCs w:val="24"/>
        </w:rPr>
        <w:t xml:space="preserve">25 </w:t>
      </w:r>
      <w:r w:rsidR="00AF2268">
        <w:rPr>
          <w:rFonts w:cs="Times New Roman"/>
          <w:szCs w:val="24"/>
        </w:rPr>
        <w:t xml:space="preserve">basis point deadband </w:t>
      </w:r>
      <w:r w:rsidR="00C75245">
        <w:rPr>
          <w:rFonts w:cs="Times New Roman"/>
          <w:szCs w:val="24"/>
        </w:rPr>
        <w:t xml:space="preserve">above </w:t>
      </w:r>
      <w:r w:rsidR="00AF2268">
        <w:rPr>
          <w:rFonts w:cs="Times New Roman"/>
          <w:szCs w:val="24"/>
        </w:rPr>
        <w:t xml:space="preserve">the rate of return established </w:t>
      </w:r>
      <w:r w:rsidR="00765050">
        <w:rPr>
          <w:rFonts w:cs="Times New Roman"/>
          <w:szCs w:val="24"/>
        </w:rPr>
        <w:t xml:space="preserve">by the Commission </w:t>
      </w:r>
      <w:r w:rsidR="00AF2268">
        <w:rPr>
          <w:rFonts w:cs="Times New Roman"/>
          <w:szCs w:val="24"/>
        </w:rPr>
        <w:t xml:space="preserve">in </w:t>
      </w:r>
      <w:r w:rsidR="00636FA3">
        <w:rPr>
          <w:rFonts w:cs="Times New Roman"/>
          <w:szCs w:val="24"/>
        </w:rPr>
        <w:t xml:space="preserve">the Company’s </w:t>
      </w:r>
      <w:r w:rsidR="00AF2268">
        <w:rPr>
          <w:rFonts w:cs="Times New Roman"/>
          <w:szCs w:val="24"/>
        </w:rPr>
        <w:t>most recent general rate case</w:t>
      </w:r>
      <w:r w:rsidR="00877E56">
        <w:rPr>
          <w:rFonts w:cs="Times New Roman"/>
          <w:szCs w:val="24"/>
        </w:rPr>
        <w:t xml:space="preserve"> that incorporates the effect of decoupling in establishing the rate of return</w:t>
      </w:r>
      <w:r w:rsidR="00A27CA2">
        <w:rPr>
          <w:rFonts w:cs="Times New Roman"/>
          <w:szCs w:val="24"/>
        </w:rPr>
        <w:t>.</w:t>
      </w:r>
      <w:r w:rsidR="00AC745C">
        <w:rPr>
          <w:rStyle w:val="FootnoteReference"/>
          <w:rFonts w:cs="Times New Roman"/>
          <w:szCs w:val="24"/>
        </w:rPr>
        <w:footnoteReference w:id="29"/>
      </w:r>
      <w:r w:rsidR="00AF2268">
        <w:rPr>
          <w:rFonts w:cs="Times New Roman"/>
          <w:szCs w:val="24"/>
        </w:rPr>
        <w:t xml:space="preserve">  </w:t>
      </w:r>
    </w:p>
    <w:p w:rsidR="00BA1630" w:rsidRDefault="00BA1630" w:rsidP="00BA1630">
      <w:pPr>
        <w:rPr>
          <w:rFonts w:cs="Times New Roman"/>
          <w:szCs w:val="24"/>
        </w:rPr>
      </w:pPr>
      <w:r>
        <w:rPr>
          <w:rFonts w:cs="Times New Roman"/>
          <w:szCs w:val="24"/>
        </w:rPr>
        <w:t xml:space="preserve">As discussed </w:t>
      </w:r>
      <w:r w:rsidR="007C7EBE">
        <w:rPr>
          <w:rFonts w:cs="Times New Roman"/>
          <w:szCs w:val="24"/>
        </w:rPr>
        <w:t>below</w:t>
      </w:r>
      <w:r>
        <w:rPr>
          <w:rFonts w:cs="Times New Roman"/>
          <w:szCs w:val="24"/>
        </w:rPr>
        <w:t xml:space="preserve">, the opportunity to increase earnings through controlling costs is an important part of the current regulatory paradigm.  The </w:t>
      </w:r>
      <w:r w:rsidR="00582617">
        <w:rPr>
          <w:rFonts w:cs="Times New Roman"/>
          <w:szCs w:val="24"/>
        </w:rPr>
        <w:t>E</w:t>
      </w:r>
      <w:r>
        <w:rPr>
          <w:rFonts w:cs="Times New Roman"/>
          <w:szCs w:val="24"/>
        </w:rPr>
        <w:t xml:space="preserve">arnings </w:t>
      </w:r>
      <w:r w:rsidR="00582617">
        <w:rPr>
          <w:rFonts w:cs="Times New Roman"/>
          <w:szCs w:val="24"/>
        </w:rPr>
        <w:t>T</w:t>
      </w:r>
      <w:r>
        <w:rPr>
          <w:rFonts w:cs="Times New Roman"/>
          <w:szCs w:val="24"/>
        </w:rPr>
        <w:t xml:space="preserve">est can help retain or even increase management’s incentive to control costs and should be carefully integrated in the design of a mechanism.  </w:t>
      </w:r>
    </w:p>
    <w:p w:rsidR="00876DBE" w:rsidRDefault="00EE5F2F" w:rsidP="00E84412">
      <w:pPr>
        <w:rPr>
          <w:rFonts w:cs="Times New Roman"/>
          <w:szCs w:val="24"/>
        </w:rPr>
      </w:pPr>
      <w:r>
        <w:rPr>
          <w:rFonts w:cs="Times New Roman"/>
          <w:szCs w:val="24"/>
        </w:rPr>
        <w:t>The</w:t>
      </w:r>
      <w:r w:rsidR="00086934">
        <w:rPr>
          <w:rFonts w:cs="Times New Roman"/>
          <w:szCs w:val="24"/>
        </w:rPr>
        <w:t xml:space="preserve"> Commission</w:t>
      </w:r>
      <w:r>
        <w:rPr>
          <w:rFonts w:cs="Times New Roman"/>
          <w:szCs w:val="24"/>
        </w:rPr>
        <w:t xml:space="preserve"> could</w:t>
      </w:r>
      <w:r w:rsidR="00086934">
        <w:rPr>
          <w:rFonts w:cs="Times New Roman"/>
          <w:szCs w:val="24"/>
        </w:rPr>
        <w:t xml:space="preserve"> use </w:t>
      </w:r>
      <w:r w:rsidR="00765050">
        <w:rPr>
          <w:rFonts w:cs="Times New Roman"/>
          <w:szCs w:val="24"/>
        </w:rPr>
        <w:t xml:space="preserve">the annual “commission-basis” report </w:t>
      </w:r>
      <w:r w:rsidR="00636FA3">
        <w:rPr>
          <w:rFonts w:cs="Times New Roman"/>
          <w:szCs w:val="24"/>
        </w:rPr>
        <w:t xml:space="preserve">the Company </w:t>
      </w:r>
      <w:r w:rsidR="00765050">
        <w:rPr>
          <w:rFonts w:cs="Times New Roman"/>
          <w:szCs w:val="24"/>
        </w:rPr>
        <w:t>files per WAC 480-100-</w:t>
      </w:r>
      <w:r w:rsidR="007C4A90">
        <w:rPr>
          <w:rFonts w:cs="Times New Roman"/>
          <w:szCs w:val="24"/>
        </w:rPr>
        <w:t>257</w:t>
      </w:r>
      <w:r w:rsidR="00765050">
        <w:rPr>
          <w:rFonts w:cs="Times New Roman"/>
          <w:szCs w:val="24"/>
        </w:rPr>
        <w:t xml:space="preserve"> (electric) and WAC 480-</w:t>
      </w:r>
      <w:r w:rsidR="007C4A90">
        <w:rPr>
          <w:rFonts w:cs="Times New Roman"/>
          <w:szCs w:val="24"/>
        </w:rPr>
        <w:t>90</w:t>
      </w:r>
      <w:r w:rsidR="00765050">
        <w:rPr>
          <w:rFonts w:cs="Times New Roman"/>
          <w:szCs w:val="24"/>
        </w:rPr>
        <w:t>-</w:t>
      </w:r>
      <w:r w:rsidR="007C4A90">
        <w:rPr>
          <w:rFonts w:cs="Times New Roman"/>
          <w:szCs w:val="24"/>
        </w:rPr>
        <w:t>257</w:t>
      </w:r>
      <w:r w:rsidR="00765050">
        <w:rPr>
          <w:rFonts w:cs="Times New Roman"/>
          <w:szCs w:val="24"/>
        </w:rPr>
        <w:t xml:space="preserve"> (gas)</w:t>
      </w:r>
      <w:r w:rsidR="00A27CA2">
        <w:rPr>
          <w:rFonts w:cs="Times New Roman"/>
          <w:szCs w:val="24"/>
        </w:rPr>
        <w:t xml:space="preserve">.  </w:t>
      </w:r>
      <w:r w:rsidR="00086934">
        <w:rPr>
          <w:rFonts w:cs="Times New Roman"/>
          <w:szCs w:val="24"/>
        </w:rPr>
        <w:t xml:space="preserve">Currently, the Commission does not audit these reports, and if they are used in a decoupling mechanism, some auditing may be necessary.  Staff </w:t>
      </w:r>
      <w:r w:rsidR="00B42A8C">
        <w:rPr>
          <w:rFonts w:cs="Times New Roman"/>
          <w:szCs w:val="24"/>
        </w:rPr>
        <w:t xml:space="preserve">considers the commission-basis reporting the best alternative for </w:t>
      </w:r>
      <w:r w:rsidR="00876DBE">
        <w:rPr>
          <w:rFonts w:cs="Times New Roman"/>
          <w:szCs w:val="24"/>
        </w:rPr>
        <w:t xml:space="preserve">applying </w:t>
      </w:r>
      <w:r w:rsidR="00B42A8C">
        <w:rPr>
          <w:rFonts w:cs="Times New Roman"/>
          <w:szCs w:val="24"/>
        </w:rPr>
        <w:t xml:space="preserve">an </w:t>
      </w:r>
      <w:r w:rsidR="00582617">
        <w:rPr>
          <w:rFonts w:cs="Times New Roman"/>
          <w:szCs w:val="24"/>
        </w:rPr>
        <w:t>E</w:t>
      </w:r>
      <w:r w:rsidR="00B42A8C">
        <w:rPr>
          <w:rFonts w:cs="Times New Roman"/>
          <w:szCs w:val="24"/>
        </w:rPr>
        <w:t xml:space="preserve">arnings </w:t>
      </w:r>
      <w:r w:rsidR="00582617">
        <w:rPr>
          <w:rFonts w:cs="Times New Roman"/>
          <w:szCs w:val="24"/>
        </w:rPr>
        <w:t>T</w:t>
      </w:r>
      <w:r w:rsidR="00B42A8C">
        <w:rPr>
          <w:rFonts w:cs="Times New Roman"/>
          <w:szCs w:val="24"/>
        </w:rPr>
        <w:t>est</w:t>
      </w:r>
      <w:r w:rsidR="009346E9">
        <w:rPr>
          <w:rFonts w:cs="Times New Roman"/>
          <w:szCs w:val="24"/>
        </w:rPr>
        <w:t xml:space="preserve">; in addition, the Commission-basis report is based on weather-adjusted revenue, therefore using it for the </w:t>
      </w:r>
      <w:r w:rsidR="00582617">
        <w:rPr>
          <w:rFonts w:cs="Times New Roman"/>
          <w:szCs w:val="24"/>
        </w:rPr>
        <w:t>E</w:t>
      </w:r>
      <w:r w:rsidR="009346E9">
        <w:rPr>
          <w:rFonts w:cs="Times New Roman"/>
          <w:szCs w:val="24"/>
        </w:rPr>
        <w:t xml:space="preserve">arnings </w:t>
      </w:r>
      <w:r w:rsidR="00582617">
        <w:rPr>
          <w:rFonts w:cs="Times New Roman"/>
          <w:szCs w:val="24"/>
        </w:rPr>
        <w:t>T</w:t>
      </w:r>
      <w:r w:rsidR="009346E9">
        <w:rPr>
          <w:rFonts w:cs="Times New Roman"/>
          <w:szCs w:val="24"/>
        </w:rPr>
        <w:t>est incorporates weather effects into the Mechanism without double-counting the changes in usage already incorporated into the decoupling deferral.</w:t>
      </w:r>
    </w:p>
    <w:p w:rsidR="00AC745C" w:rsidRDefault="009346E9" w:rsidP="00E84412">
      <w:pPr>
        <w:rPr>
          <w:rFonts w:cs="Times New Roman"/>
          <w:szCs w:val="24"/>
        </w:rPr>
      </w:pPr>
      <w:r>
        <w:rPr>
          <w:rFonts w:cs="Times New Roman"/>
          <w:szCs w:val="24"/>
        </w:rPr>
        <w:t xml:space="preserve">The </w:t>
      </w:r>
      <w:r w:rsidR="00582617">
        <w:rPr>
          <w:rFonts w:cs="Times New Roman"/>
          <w:szCs w:val="24"/>
        </w:rPr>
        <w:t>E</w:t>
      </w:r>
      <w:r>
        <w:rPr>
          <w:rFonts w:cs="Times New Roman"/>
          <w:szCs w:val="24"/>
        </w:rPr>
        <w:t xml:space="preserve">arnings </w:t>
      </w:r>
      <w:r w:rsidR="00582617">
        <w:rPr>
          <w:rFonts w:cs="Times New Roman"/>
          <w:szCs w:val="24"/>
        </w:rPr>
        <w:t>T</w:t>
      </w:r>
      <w:r>
        <w:rPr>
          <w:rFonts w:cs="Times New Roman"/>
          <w:szCs w:val="24"/>
        </w:rPr>
        <w:t xml:space="preserve">est should be calculated as follows: </w:t>
      </w:r>
      <w:r w:rsidR="00A27CA2">
        <w:rPr>
          <w:rFonts w:cs="Times New Roman"/>
          <w:szCs w:val="24"/>
        </w:rPr>
        <w:t xml:space="preserve">If the rate of return </w:t>
      </w:r>
      <w:r w:rsidR="00086934">
        <w:rPr>
          <w:rFonts w:cs="Times New Roman"/>
          <w:szCs w:val="24"/>
        </w:rPr>
        <w:t xml:space="preserve">from the commission-basis report </w:t>
      </w:r>
      <w:r w:rsidR="00A27CA2">
        <w:rPr>
          <w:rFonts w:cs="Times New Roman"/>
          <w:szCs w:val="24"/>
        </w:rPr>
        <w:t xml:space="preserve">is </w:t>
      </w:r>
      <w:r w:rsidR="00C75245">
        <w:rPr>
          <w:rFonts w:cs="Times New Roman"/>
          <w:szCs w:val="24"/>
        </w:rPr>
        <w:t xml:space="preserve">below the top of </w:t>
      </w:r>
      <w:r w:rsidR="00AF2268">
        <w:rPr>
          <w:rFonts w:cs="Times New Roman"/>
          <w:szCs w:val="24"/>
        </w:rPr>
        <w:t xml:space="preserve">the deadband, </w:t>
      </w:r>
      <w:r w:rsidR="00A27CA2">
        <w:rPr>
          <w:rFonts w:cs="Times New Roman"/>
          <w:szCs w:val="24"/>
        </w:rPr>
        <w:t xml:space="preserve">no adjustment </w:t>
      </w:r>
      <w:r w:rsidR="0087146E">
        <w:rPr>
          <w:rFonts w:cs="Times New Roman"/>
          <w:szCs w:val="24"/>
        </w:rPr>
        <w:t>to the deferral amount</w:t>
      </w:r>
      <w:r w:rsidR="00567B85">
        <w:rPr>
          <w:rFonts w:cs="Times New Roman"/>
          <w:szCs w:val="24"/>
        </w:rPr>
        <w:t xml:space="preserve"> </w:t>
      </w:r>
      <w:r w:rsidR="00A27CA2">
        <w:rPr>
          <w:rFonts w:cs="Times New Roman"/>
          <w:szCs w:val="24"/>
        </w:rPr>
        <w:t>is made</w:t>
      </w:r>
      <w:r w:rsidR="00AF2268">
        <w:rPr>
          <w:rFonts w:cs="Times New Roman"/>
          <w:szCs w:val="24"/>
        </w:rPr>
        <w:t xml:space="preserve">.  If the </w:t>
      </w:r>
      <w:r w:rsidR="00A27CA2">
        <w:rPr>
          <w:rFonts w:cs="Times New Roman"/>
          <w:szCs w:val="24"/>
        </w:rPr>
        <w:t xml:space="preserve">rate of return </w:t>
      </w:r>
      <w:r w:rsidR="00AF2268">
        <w:rPr>
          <w:rFonts w:cs="Times New Roman"/>
          <w:szCs w:val="24"/>
        </w:rPr>
        <w:t xml:space="preserve">is </w:t>
      </w:r>
      <w:r w:rsidR="00473BD1">
        <w:rPr>
          <w:rFonts w:cs="Times New Roman"/>
          <w:szCs w:val="24"/>
        </w:rPr>
        <w:t xml:space="preserve">above the </w:t>
      </w:r>
      <w:r w:rsidR="009C703B">
        <w:rPr>
          <w:rFonts w:cs="Times New Roman"/>
          <w:szCs w:val="24"/>
        </w:rPr>
        <w:t>top of the dead</w:t>
      </w:r>
      <w:r w:rsidR="00473BD1">
        <w:rPr>
          <w:rFonts w:cs="Times New Roman"/>
          <w:szCs w:val="24"/>
        </w:rPr>
        <w:t>band</w:t>
      </w:r>
      <w:r w:rsidR="00AF2268">
        <w:rPr>
          <w:rFonts w:cs="Times New Roman"/>
          <w:szCs w:val="24"/>
        </w:rPr>
        <w:t>, an adjustment to de</w:t>
      </w:r>
      <w:r w:rsidR="00AC745C">
        <w:rPr>
          <w:rFonts w:cs="Times New Roman"/>
          <w:szCs w:val="24"/>
        </w:rPr>
        <w:t xml:space="preserve">crease recovery to the top of the deadband is incorporated into the </w:t>
      </w:r>
      <w:r w:rsidR="00372254">
        <w:rPr>
          <w:rFonts w:cs="Times New Roman"/>
          <w:szCs w:val="24"/>
        </w:rPr>
        <w:t>deferral amount</w:t>
      </w:r>
      <w:r w:rsidR="00AC745C">
        <w:rPr>
          <w:rFonts w:cs="Times New Roman"/>
          <w:szCs w:val="24"/>
        </w:rPr>
        <w:t>.</w:t>
      </w:r>
    </w:p>
    <w:p w:rsidR="00BA1630" w:rsidRDefault="00BA1630" w:rsidP="00E84412">
      <w:pPr>
        <w:rPr>
          <w:rFonts w:cs="Times New Roman"/>
          <w:szCs w:val="24"/>
        </w:rPr>
      </w:pPr>
      <w:r>
        <w:rPr>
          <w:rFonts w:cs="Times New Roman"/>
          <w:szCs w:val="24"/>
        </w:rPr>
        <w:t xml:space="preserve">The process for evaluating whether the Company is earning within, above, or below the band should be a meaningful process, yet an efficient process as well.  Staff assumes the Commission did not envision a general rate case-type process, for example.  </w:t>
      </w:r>
    </w:p>
    <w:p w:rsidR="009A0D16" w:rsidRDefault="009A0D16" w:rsidP="00E84412">
      <w:pPr>
        <w:rPr>
          <w:rFonts w:cs="Times New Roman"/>
          <w:szCs w:val="24"/>
        </w:rPr>
      </w:pPr>
    </w:p>
    <w:p w:rsidR="00A92A07" w:rsidRPr="007D5A76" w:rsidRDefault="009A3AF2" w:rsidP="006B7FE1">
      <w:pPr>
        <w:pStyle w:val="Heading2"/>
      </w:pPr>
      <w:bookmarkStart w:id="40" w:name="_Toc311029122"/>
      <w:r w:rsidRPr="007D5A76">
        <w:t xml:space="preserve">Address Management’s </w:t>
      </w:r>
      <w:r>
        <w:t>Potential Disi</w:t>
      </w:r>
      <w:r w:rsidRPr="007D5A76">
        <w:t xml:space="preserve">ncentive to Reduce Costs, in Light of </w:t>
      </w:r>
      <w:r>
        <w:tab/>
      </w:r>
      <w:r>
        <w:tab/>
      </w:r>
      <w:r w:rsidRPr="007D5A76">
        <w:t>Eliminatin</w:t>
      </w:r>
      <w:r>
        <w:t xml:space="preserve">g the Utility’s </w:t>
      </w:r>
      <w:r w:rsidRPr="007D5A76">
        <w:t>Risk of Revenue Declines</w:t>
      </w:r>
      <w:bookmarkEnd w:id="40"/>
    </w:p>
    <w:p w:rsidR="005D678F" w:rsidRPr="007D5A76" w:rsidRDefault="005D678F" w:rsidP="005D678F">
      <w:pPr>
        <w:rPr>
          <w:rFonts w:cs="Times New Roman"/>
          <w:szCs w:val="24"/>
        </w:rPr>
      </w:pPr>
      <w:r w:rsidRPr="007D5A76">
        <w:rPr>
          <w:rFonts w:cs="Times New Roman"/>
          <w:szCs w:val="24"/>
        </w:rPr>
        <w:t xml:space="preserve">The Commission described this factor as follows:  </w:t>
      </w:r>
    </w:p>
    <w:p w:rsidR="005D678F" w:rsidRPr="007D5A76" w:rsidRDefault="005D678F" w:rsidP="005D678F">
      <w:pPr>
        <w:ind w:left="720"/>
        <w:rPr>
          <w:rFonts w:cs="Times New Roman"/>
          <w:szCs w:val="24"/>
        </w:rPr>
      </w:pPr>
      <w:r w:rsidRPr="007D5A76">
        <w:rPr>
          <w:rFonts w:cs="Times New Roman"/>
          <w:szCs w:val="24"/>
        </w:rPr>
        <w:t>with full decoupling comes a concern that, by eliminating the risk of recovery of declines in revenue, combined with an energy cost recovery mechanism that reduces an electric utility’s financial risk due to changes in power costs, the utility could lose some of its incentive to manage the company in a manner that constantly looks to reduce costs … we will require evidence and argument from the parties on this issue in the context of a request for a full decoupling mechanism.</w:t>
      </w:r>
      <w:r w:rsidRPr="007D5A76">
        <w:rPr>
          <w:rStyle w:val="FootnoteReference"/>
          <w:rFonts w:cs="Times New Roman"/>
          <w:szCs w:val="24"/>
        </w:rPr>
        <w:footnoteReference w:id="30"/>
      </w:r>
    </w:p>
    <w:p w:rsidR="005D7D9A" w:rsidRDefault="005D678F" w:rsidP="005D678F">
      <w:pPr>
        <w:rPr>
          <w:rFonts w:cs="Times New Roman"/>
          <w:szCs w:val="24"/>
        </w:rPr>
      </w:pPr>
      <w:r>
        <w:rPr>
          <w:rFonts w:cs="Times New Roman"/>
          <w:szCs w:val="24"/>
        </w:rPr>
        <w:t xml:space="preserve">Full decoupling should eliminate the management incentive to concentrate on increasing sales, because that will not result in more revenue to the utility.  Management should therefore focus on cost reductions, because that will enhance earnings between rate cases.  Those cost reductions mean that when the next rate case occurs, the revenue requirement </w:t>
      </w:r>
      <w:r w:rsidR="005365DB">
        <w:rPr>
          <w:rFonts w:cs="Times New Roman"/>
          <w:szCs w:val="24"/>
        </w:rPr>
        <w:t xml:space="preserve">would grow at a slower rate </w:t>
      </w:r>
      <w:r>
        <w:rPr>
          <w:rFonts w:cs="Times New Roman"/>
          <w:szCs w:val="24"/>
        </w:rPr>
        <w:t xml:space="preserve">than it otherwise would. </w:t>
      </w:r>
      <w:r w:rsidR="0088237C">
        <w:rPr>
          <w:rFonts w:cs="Times New Roman"/>
          <w:szCs w:val="24"/>
        </w:rPr>
        <w:t xml:space="preserve"> </w:t>
      </w:r>
      <w:r w:rsidR="005365DB">
        <w:rPr>
          <w:rFonts w:cs="Times New Roman"/>
          <w:szCs w:val="24"/>
        </w:rPr>
        <w:t>T</w:t>
      </w:r>
      <w:r>
        <w:rPr>
          <w:rFonts w:cs="Times New Roman"/>
          <w:szCs w:val="24"/>
        </w:rPr>
        <w:t xml:space="preserve">he </w:t>
      </w:r>
      <w:r w:rsidR="00582617">
        <w:rPr>
          <w:rFonts w:cs="Times New Roman"/>
          <w:szCs w:val="24"/>
        </w:rPr>
        <w:t>E</w:t>
      </w:r>
      <w:r>
        <w:rPr>
          <w:rFonts w:cs="Times New Roman"/>
          <w:szCs w:val="24"/>
        </w:rPr>
        <w:t xml:space="preserve">arnings </w:t>
      </w:r>
      <w:r w:rsidR="00582617">
        <w:rPr>
          <w:rFonts w:cs="Times New Roman"/>
          <w:szCs w:val="24"/>
        </w:rPr>
        <w:t>T</w:t>
      </w:r>
      <w:r>
        <w:rPr>
          <w:rFonts w:cs="Times New Roman"/>
          <w:szCs w:val="24"/>
        </w:rPr>
        <w:t>est</w:t>
      </w:r>
      <w:r w:rsidR="005365DB">
        <w:rPr>
          <w:rFonts w:cs="Times New Roman"/>
          <w:szCs w:val="24"/>
        </w:rPr>
        <w:t xml:space="preserve"> with the 25 basis point deadband</w:t>
      </w:r>
      <w:r>
        <w:rPr>
          <w:rFonts w:cs="Times New Roman"/>
          <w:szCs w:val="24"/>
        </w:rPr>
        <w:t xml:space="preserve"> </w:t>
      </w:r>
      <w:r w:rsidR="005365DB">
        <w:rPr>
          <w:rFonts w:cs="Times New Roman"/>
          <w:szCs w:val="24"/>
        </w:rPr>
        <w:t>does</w:t>
      </w:r>
      <w:r>
        <w:rPr>
          <w:rFonts w:cs="Times New Roman"/>
          <w:szCs w:val="24"/>
        </w:rPr>
        <w:t xml:space="preserve"> not remove </w:t>
      </w:r>
      <w:r w:rsidR="005365DB">
        <w:rPr>
          <w:rFonts w:cs="Times New Roman"/>
          <w:szCs w:val="24"/>
        </w:rPr>
        <w:t>this</w:t>
      </w:r>
      <w:r>
        <w:rPr>
          <w:rFonts w:cs="Times New Roman"/>
          <w:szCs w:val="24"/>
        </w:rPr>
        <w:t xml:space="preserve"> incentive to reduce costs</w:t>
      </w:r>
      <w:r w:rsidR="005365DB">
        <w:rPr>
          <w:rFonts w:cs="Times New Roman"/>
          <w:szCs w:val="24"/>
        </w:rPr>
        <w:t xml:space="preserve">.  </w:t>
      </w:r>
    </w:p>
    <w:p w:rsidR="005D678F" w:rsidRDefault="005D678F" w:rsidP="00EA1104">
      <w:pPr>
        <w:rPr>
          <w:rFonts w:cs="Times New Roman"/>
          <w:szCs w:val="24"/>
        </w:rPr>
      </w:pPr>
      <w:r>
        <w:rPr>
          <w:rFonts w:cs="Times New Roman"/>
          <w:szCs w:val="24"/>
        </w:rPr>
        <w:t xml:space="preserve">On the other hand, decoupling could lead to extended periods between rate cases, because lost revenues due to sales reductions do not affect the utility’s earnings.  Therefore, the </w:t>
      </w:r>
      <w:r w:rsidR="00372254">
        <w:rPr>
          <w:rFonts w:cs="Times New Roman"/>
          <w:szCs w:val="24"/>
        </w:rPr>
        <w:t>M</w:t>
      </w:r>
      <w:r>
        <w:rPr>
          <w:rFonts w:cs="Times New Roman"/>
          <w:szCs w:val="24"/>
        </w:rPr>
        <w:t xml:space="preserve">echanism requires </w:t>
      </w:r>
      <w:r w:rsidR="000C181F">
        <w:rPr>
          <w:rFonts w:cs="Times New Roman"/>
          <w:szCs w:val="24"/>
        </w:rPr>
        <w:t>the Company</w:t>
      </w:r>
      <w:r>
        <w:rPr>
          <w:rFonts w:cs="Times New Roman"/>
          <w:szCs w:val="24"/>
        </w:rPr>
        <w:t xml:space="preserve"> to file a general rate case </w:t>
      </w:r>
      <w:r w:rsidR="00372254">
        <w:rPr>
          <w:bCs/>
        </w:rPr>
        <w:t xml:space="preserve">within four </w:t>
      </w:r>
      <w:r>
        <w:rPr>
          <w:bCs/>
        </w:rPr>
        <w:t>years</w:t>
      </w:r>
      <w:r w:rsidR="00372254">
        <w:rPr>
          <w:bCs/>
        </w:rPr>
        <w:t xml:space="preserve"> of the implementation of the Mechanism</w:t>
      </w:r>
      <w:r>
        <w:rPr>
          <w:rFonts w:cs="Times New Roman"/>
          <w:szCs w:val="24"/>
        </w:rPr>
        <w:t>.</w:t>
      </w:r>
      <w:r w:rsidR="00A55EB8">
        <w:rPr>
          <w:rFonts w:cs="Times New Roman"/>
          <w:szCs w:val="24"/>
        </w:rPr>
        <w:t xml:space="preserve">  </w:t>
      </w:r>
      <w:r>
        <w:rPr>
          <w:rFonts w:cs="Times New Roman"/>
          <w:szCs w:val="24"/>
        </w:rPr>
        <w:t xml:space="preserve">While it is possible management would become less vigilant over costs under full decoupling, because revenues are assured, the periodic rate case requirement assures continuing Commission scrutiny of </w:t>
      </w:r>
      <w:r w:rsidR="000C181F">
        <w:rPr>
          <w:rFonts w:cs="Times New Roman"/>
          <w:szCs w:val="24"/>
        </w:rPr>
        <w:t>the Company</w:t>
      </w:r>
      <w:r>
        <w:rPr>
          <w:rFonts w:cs="Times New Roman"/>
          <w:szCs w:val="24"/>
        </w:rPr>
        <w:t>’s operations.</w:t>
      </w:r>
      <w:r w:rsidR="00DE7C14">
        <w:rPr>
          <w:rFonts w:cs="Times New Roman"/>
          <w:szCs w:val="24"/>
        </w:rPr>
        <w:t xml:space="preserve">  </w:t>
      </w:r>
      <w:r w:rsidR="00866C5D">
        <w:rPr>
          <w:rFonts w:cs="Times New Roman"/>
          <w:szCs w:val="24"/>
        </w:rPr>
        <w:t>A K-Factor should</w:t>
      </w:r>
      <w:r w:rsidR="00866C5D" w:rsidRPr="00866C5D">
        <w:rPr>
          <w:rFonts w:cs="Times New Roman"/>
          <w:szCs w:val="24"/>
        </w:rPr>
        <w:t xml:space="preserve"> be incorporated into the Mechanism </w:t>
      </w:r>
      <w:r w:rsidR="00866C5D">
        <w:rPr>
          <w:rFonts w:cs="Times New Roman"/>
          <w:szCs w:val="24"/>
        </w:rPr>
        <w:t xml:space="preserve">as </w:t>
      </w:r>
      <w:r w:rsidR="00866C5D" w:rsidRPr="00866C5D">
        <w:rPr>
          <w:rFonts w:cs="Times New Roman"/>
          <w:szCs w:val="24"/>
        </w:rPr>
        <w:t xml:space="preserve">an annual percentage reduction in </w:t>
      </w:r>
      <w:r w:rsidR="00866C5D">
        <w:rPr>
          <w:rFonts w:cs="Times New Roman"/>
          <w:szCs w:val="24"/>
        </w:rPr>
        <w:t>revenue</w:t>
      </w:r>
      <w:r w:rsidR="00866C5D" w:rsidRPr="00866C5D">
        <w:rPr>
          <w:rFonts w:cs="Times New Roman"/>
          <w:szCs w:val="24"/>
        </w:rPr>
        <w:t xml:space="preserve"> per customer </w:t>
      </w:r>
      <w:r w:rsidR="00866C5D">
        <w:rPr>
          <w:rFonts w:cs="Times New Roman"/>
          <w:szCs w:val="24"/>
        </w:rPr>
        <w:t xml:space="preserve">after three years, </w:t>
      </w:r>
      <w:r w:rsidR="00866C5D" w:rsidRPr="00866C5D">
        <w:rPr>
          <w:rFonts w:cs="Times New Roman"/>
          <w:szCs w:val="24"/>
        </w:rPr>
        <w:t>unless a GRC is filed</w:t>
      </w:r>
      <w:r w:rsidR="00DE7C14">
        <w:rPr>
          <w:rFonts w:cs="Times New Roman"/>
          <w:szCs w:val="24"/>
        </w:rPr>
        <w:t xml:space="preserve">.  </w:t>
      </w:r>
    </w:p>
    <w:p w:rsidR="00265471" w:rsidRDefault="0053365F" w:rsidP="00EA1104">
      <w:pPr>
        <w:rPr>
          <w:rFonts w:cs="Times New Roman"/>
          <w:szCs w:val="24"/>
        </w:rPr>
      </w:pPr>
      <w:r>
        <w:rPr>
          <w:rFonts w:cs="Times New Roman"/>
          <w:szCs w:val="24"/>
        </w:rPr>
        <w:t xml:space="preserve">The Mechanism addresses management’s efficiency incentives by </w:t>
      </w:r>
      <w:r w:rsidR="004861FF">
        <w:rPr>
          <w:rFonts w:cs="Times New Roman"/>
          <w:szCs w:val="24"/>
        </w:rPr>
        <w:t>giv</w:t>
      </w:r>
      <w:r w:rsidR="00A27CA2">
        <w:rPr>
          <w:rFonts w:cs="Times New Roman"/>
          <w:szCs w:val="24"/>
        </w:rPr>
        <w:t>ing</w:t>
      </w:r>
      <w:r w:rsidR="004861FF">
        <w:rPr>
          <w:rFonts w:cs="Times New Roman"/>
          <w:szCs w:val="24"/>
        </w:rPr>
        <w:t xml:space="preserve"> the Company </w:t>
      </w:r>
      <w:r w:rsidR="00A27CA2">
        <w:rPr>
          <w:rFonts w:cs="Times New Roman"/>
          <w:szCs w:val="24"/>
        </w:rPr>
        <w:t xml:space="preserve">the benefit of the </w:t>
      </w:r>
      <w:r w:rsidR="004861FF">
        <w:rPr>
          <w:rFonts w:cs="Times New Roman"/>
          <w:szCs w:val="24"/>
        </w:rPr>
        <w:t xml:space="preserve">deadband </w:t>
      </w:r>
      <w:r w:rsidR="00A27CA2">
        <w:rPr>
          <w:rFonts w:cs="Times New Roman"/>
          <w:szCs w:val="24"/>
        </w:rPr>
        <w:t xml:space="preserve">used in </w:t>
      </w:r>
      <w:r w:rsidR="004861FF">
        <w:rPr>
          <w:rFonts w:cs="Times New Roman"/>
          <w:szCs w:val="24"/>
        </w:rPr>
        <w:t xml:space="preserve">the </w:t>
      </w:r>
      <w:r w:rsidR="006228DE">
        <w:rPr>
          <w:rFonts w:cs="Times New Roman"/>
          <w:szCs w:val="24"/>
        </w:rPr>
        <w:t>Earnings Test</w:t>
      </w:r>
      <w:r w:rsidR="004861FF">
        <w:rPr>
          <w:rFonts w:cs="Times New Roman"/>
          <w:szCs w:val="24"/>
        </w:rPr>
        <w:t xml:space="preserve"> </w:t>
      </w:r>
      <w:r w:rsidR="00A27CA2">
        <w:rPr>
          <w:rFonts w:cs="Times New Roman"/>
          <w:szCs w:val="24"/>
        </w:rPr>
        <w:t>(</w:t>
      </w:r>
      <w:r w:rsidR="004861FF">
        <w:rPr>
          <w:rFonts w:cs="Times New Roman"/>
          <w:szCs w:val="24"/>
        </w:rPr>
        <w:t>mention</w:t>
      </w:r>
      <w:r w:rsidR="00E45BAD">
        <w:rPr>
          <w:rFonts w:cs="Times New Roman"/>
          <w:szCs w:val="24"/>
        </w:rPr>
        <w:t>ed</w:t>
      </w:r>
      <w:r w:rsidR="004861FF">
        <w:rPr>
          <w:rFonts w:cs="Times New Roman"/>
          <w:szCs w:val="24"/>
        </w:rPr>
        <w:t xml:space="preserve"> in </w:t>
      </w:r>
      <w:r w:rsidR="003732FD">
        <w:rPr>
          <w:rFonts w:cs="Times New Roman"/>
          <w:szCs w:val="24"/>
        </w:rPr>
        <w:t xml:space="preserve">Section </w:t>
      </w:r>
      <w:r w:rsidR="004861FF">
        <w:rPr>
          <w:rFonts w:cs="Times New Roman"/>
          <w:szCs w:val="24"/>
        </w:rPr>
        <w:t>(</w:t>
      </w:r>
      <w:r w:rsidR="003732FD">
        <w:rPr>
          <w:rFonts w:cs="Times New Roman"/>
          <w:szCs w:val="24"/>
        </w:rPr>
        <w:t>F</w:t>
      </w:r>
      <w:r w:rsidR="004861FF">
        <w:rPr>
          <w:rFonts w:cs="Times New Roman"/>
          <w:szCs w:val="24"/>
        </w:rPr>
        <w:t>) above</w:t>
      </w:r>
      <w:r w:rsidR="00A27CA2">
        <w:rPr>
          <w:rFonts w:cs="Times New Roman"/>
          <w:szCs w:val="24"/>
        </w:rPr>
        <w:t>)</w:t>
      </w:r>
      <w:r w:rsidR="004861FF">
        <w:rPr>
          <w:rFonts w:cs="Times New Roman"/>
          <w:szCs w:val="24"/>
        </w:rPr>
        <w:t xml:space="preserve">.  By allowing </w:t>
      </w:r>
      <w:r w:rsidR="003F7D35">
        <w:rPr>
          <w:rFonts w:cs="Times New Roman"/>
          <w:szCs w:val="24"/>
        </w:rPr>
        <w:t xml:space="preserve">the Company </w:t>
      </w:r>
      <w:r w:rsidR="00A27CA2">
        <w:rPr>
          <w:rFonts w:cs="Times New Roman"/>
          <w:szCs w:val="24"/>
        </w:rPr>
        <w:t xml:space="preserve">to retain profits up to </w:t>
      </w:r>
      <w:r w:rsidR="00FE1F7E">
        <w:rPr>
          <w:rFonts w:cs="Times New Roman"/>
          <w:szCs w:val="24"/>
        </w:rPr>
        <w:t xml:space="preserve">25 </w:t>
      </w:r>
      <w:r w:rsidR="004861FF">
        <w:rPr>
          <w:rFonts w:cs="Times New Roman"/>
          <w:szCs w:val="24"/>
        </w:rPr>
        <w:t>basis points</w:t>
      </w:r>
      <w:r w:rsidR="00070041">
        <w:rPr>
          <w:rFonts w:cs="Times New Roman"/>
          <w:szCs w:val="24"/>
        </w:rPr>
        <w:t xml:space="preserve"> </w:t>
      </w:r>
      <w:r w:rsidR="00A27CA2">
        <w:rPr>
          <w:rFonts w:cs="Times New Roman"/>
          <w:szCs w:val="24"/>
        </w:rPr>
        <w:t xml:space="preserve">higher than </w:t>
      </w:r>
      <w:r w:rsidR="0013706F">
        <w:rPr>
          <w:rFonts w:cs="Times New Roman"/>
          <w:szCs w:val="24"/>
        </w:rPr>
        <w:t xml:space="preserve">the Commission-determined </w:t>
      </w:r>
      <w:r w:rsidR="00A27CA2">
        <w:rPr>
          <w:rFonts w:cs="Times New Roman"/>
          <w:szCs w:val="24"/>
        </w:rPr>
        <w:t>rate of return</w:t>
      </w:r>
      <w:r w:rsidR="00E16317">
        <w:rPr>
          <w:rFonts w:cs="Times New Roman"/>
          <w:szCs w:val="24"/>
        </w:rPr>
        <w:t xml:space="preserve">, </w:t>
      </w:r>
      <w:r w:rsidR="005D7D9A">
        <w:rPr>
          <w:rFonts w:cs="Times New Roman"/>
          <w:szCs w:val="24"/>
        </w:rPr>
        <w:t>shareholders are</w:t>
      </w:r>
      <w:r w:rsidR="00E16317">
        <w:rPr>
          <w:rFonts w:cs="Times New Roman"/>
          <w:szCs w:val="24"/>
        </w:rPr>
        <w:t xml:space="preserve"> rewarded for operation</w:t>
      </w:r>
      <w:r w:rsidR="00EA1104">
        <w:rPr>
          <w:rFonts w:cs="Times New Roman"/>
          <w:szCs w:val="24"/>
        </w:rPr>
        <w:t>al</w:t>
      </w:r>
      <w:r w:rsidR="00E16317">
        <w:rPr>
          <w:rFonts w:cs="Times New Roman"/>
          <w:szCs w:val="24"/>
        </w:rPr>
        <w:t xml:space="preserve"> efficiencies</w:t>
      </w:r>
      <w:r w:rsidR="00EA1104">
        <w:rPr>
          <w:rFonts w:cs="Times New Roman"/>
          <w:szCs w:val="24"/>
        </w:rPr>
        <w:t>.</w:t>
      </w:r>
    </w:p>
    <w:p w:rsidR="009A0D16" w:rsidRPr="00265471" w:rsidRDefault="009A0D16" w:rsidP="00EA1104"/>
    <w:p w:rsidR="00A34780" w:rsidRDefault="007E729B" w:rsidP="00A34780">
      <w:pPr>
        <w:pStyle w:val="Heading2"/>
        <w:numPr>
          <w:ilvl w:val="0"/>
          <w:numId w:val="19"/>
        </w:numPr>
      </w:pPr>
      <w:bookmarkStart w:id="41" w:name="_Toc311029123"/>
      <w:r>
        <w:t xml:space="preserve">Conservation </w:t>
      </w:r>
      <w:r w:rsidR="00A34780">
        <w:t>Achievement</w:t>
      </w:r>
      <w:bookmarkEnd w:id="41"/>
      <w:r w:rsidR="00A34780">
        <w:t xml:space="preserve"> </w:t>
      </w:r>
    </w:p>
    <w:p w:rsidR="00A34780" w:rsidRDefault="001A4BA2" w:rsidP="00A34780">
      <w:pPr>
        <w:rPr>
          <w:rFonts w:cs="Times New Roman"/>
          <w:szCs w:val="24"/>
        </w:rPr>
      </w:pPr>
      <w:r>
        <w:rPr>
          <w:rFonts w:cs="Times New Roman"/>
          <w:szCs w:val="24"/>
        </w:rPr>
        <w:t xml:space="preserve">One key objective of full decoupling is to remove barriers to conservation achievement.  </w:t>
      </w:r>
      <w:r w:rsidR="00A34780">
        <w:rPr>
          <w:rFonts w:cs="Times New Roman"/>
          <w:szCs w:val="24"/>
        </w:rPr>
        <w:t>The Commission conditions revenue recovery under full decoupling with achieving the conservation target:</w:t>
      </w:r>
    </w:p>
    <w:p w:rsidR="00A34780" w:rsidRDefault="00A34780" w:rsidP="00A34780">
      <w:pPr>
        <w:ind w:left="720"/>
        <w:rPr>
          <w:rFonts w:cs="Times New Roman"/>
          <w:szCs w:val="24"/>
        </w:rPr>
      </w:pPr>
      <w:r>
        <w:rPr>
          <w:rFonts w:cs="Times New Roman"/>
          <w:szCs w:val="24"/>
        </w:rPr>
        <w:t>Revenue recovery by the company under the mechanism will be conditioned upon a utility’s level of achievement with respect to its conservation target.</w:t>
      </w:r>
      <w:r>
        <w:rPr>
          <w:rStyle w:val="FootnoteReference"/>
          <w:rFonts w:cs="Times New Roman"/>
          <w:szCs w:val="24"/>
        </w:rPr>
        <w:footnoteReference w:id="31"/>
      </w:r>
    </w:p>
    <w:p w:rsidR="00EB0282" w:rsidRDefault="00EB0282" w:rsidP="00EB0282">
      <w:pPr>
        <w:rPr>
          <w:rFonts w:cs="Times New Roman"/>
          <w:szCs w:val="24"/>
        </w:rPr>
      </w:pPr>
      <w:r>
        <w:rPr>
          <w:rFonts w:cs="Times New Roman"/>
          <w:szCs w:val="24"/>
        </w:rPr>
        <w:t>Later, in its discussion about direct conservation incentives, the Commission explains further about its understanding of the conservation achievement.</w:t>
      </w:r>
    </w:p>
    <w:p w:rsidR="009F55FB" w:rsidRDefault="009F55FB" w:rsidP="009F55FB">
      <w:pPr>
        <w:ind w:left="720"/>
        <w:rPr>
          <w:rFonts w:cs="Times New Roman"/>
          <w:szCs w:val="24"/>
        </w:rPr>
      </w:pPr>
      <w:r w:rsidRPr="009F55FB">
        <w:rPr>
          <w:rFonts w:cs="Times New Roman"/>
          <w:szCs w:val="24"/>
        </w:rPr>
        <w:t>However, the EIA, in RCW 19.285.060(4), provides us with the express authority to provide such incentives: “The commission … may consider providing positive incentives for an investor-owned utility to exceed the targets es</w:t>
      </w:r>
      <w:r>
        <w:rPr>
          <w:rFonts w:cs="Times New Roman"/>
          <w:szCs w:val="24"/>
        </w:rPr>
        <w:t xml:space="preserve">tablished in RCW 19.285.040.”  </w:t>
      </w:r>
      <w:r w:rsidRPr="009F55FB">
        <w:rPr>
          <w:rFonts w:cs="Times New Roman"/>
          <w:szCs w:val="24"/>
        </w:rPr>
        <w:t>We do not read this provision to permit us to provide incentives to acquire conservation that is not cost-effective.  Rather, we read this to suggest that, between the biennial conservation targets designed to determine what cost-effective conservation can be required, the electric utility may be able to acquire additional conservation as technology is improved, federal or other matching funds become available, or for other reasons that were not known at the time of the setting of the target.</w:t>
      </w:r>
      <w:r>
        <w:rPr>
          <w:rStyle w:val="FootnoteReference"/>
          <w:rFonts w:cs="Times New Roman"/>
          <w:szCs w:val="24"/>
        </w:rPr>
        <w:footnoteReference w:id="32"/>
      </w:r>
      <w:r w:rsidRPr="009F55FB">
        <w:rPr>
          <w:rFonts w:cs="Times New Roman"/>
          <w:szCs w:val="24"/>
        </w:rPr>
        <w:t xml:space="preserve">  </w:t>
      </w:r>
    </w:p>
    <w:p w:rsidR="00A34780" w:rsidRDefault="00BC070C" w:rsidP="009F55FB">
      <w:pPr>
        <w:rPr>
          <w:rFonts w:cs="Times New Roman"/>
          <w:szCs w:val="24"/>
        </w:rPr>
      </w:pPr>
      <w:r>
        <w:rPr>
          <w:rFonts w:cs="Times New Roman"/>
          <w:szCs w:val="24"/>
        </w:rPr>
        <w:t>The</w:t>
      </w:r>
      <w:r w:rsidR="00A34780">
        <w:rPr>
          <w:rFonts w:cs="Times New Roman"/>
          <w:szCs w:val="24"/>
        </w:rPr>
        <w:t xml:space="preserve"> requirement</w:t>
      </w:r>
      <w:r>
        <w:rPr>
          <w:rFonts w:cs="Times New Roman"/>
          <w:szCs w:val="24"/>
        </w:rPr>
        <w:t xml:space="preserve"> to condition approval on conservation achievement</w:t>
      </w:r>
      <w:r w:rsidR="00A34780">
        <w:rPr>
          <w:rFonts w:cs="Times New Roman"/>
          <w:szCs w:val="24"/>
        </w:rPr>
        <w:t xml:space="preserve"> makes a great deal of sense in the context of limited decoupling, where the annual application of a decoupling mechanism is likely to result in a surcharge to customers</w:t>
      </w:r>
      <w:r>
        <w:rPr>
          <w:rFonts w:cs="Times New Roman"/>
          <w:szCs w:val="24"/>
        </w:rPr>
        <w:t xml:space="preserve">. </w:t>
      </w:r>
      <w:r w:rsidR="00A34780">
        <w:rPr>
          <w:rFonts w:cs="Times New Roman"/>
          <w:szCs w:val="24"/>
        </w:rPr>
        <w:t xml:space="preserve"> </w:t>
      </w:r>
      <w:r>
        <w:rPr>
          <w:rFonts w:cs="Times New Roman"/>
          <w:szCs w:val="24"/>
        </w:rPr>
        <w:t xml:space="preserve">However, </w:t>
      </w:r>
      <w:r w:rsidR="00A34780">
        <w:rPr>
          <w:rFonts w:cs="Times New Roman"/>
          <w:szCs w:val="24"/>
        </w:rPr>
        <w:t>it was more difficult to apply</w:t>
      </w:r>
      <w:r>
        <w:rPr>
          <w:rFonts w:cs="Times New Roman"/>
          <w:szCs w:val="24"/>
        </w:rPr>
        <w:t xml:space="preserve"> this condition</w:t>
      </w:r>
      <w:r w:rsidR="00A34780">
        <w:rPr>
          <w:rFonts w:cs="Times New Roman"/>
          <w:szCs w:val="24"/>
        </w:rPr>
        <w:t xml:space="preserve"> in the context of full decoupling, where the decoupling mechanism is just as likely to result in a refund to customers as in a surcharge.  </w:t>
      </w:r>
    </w:p>
    <w:p w:rsidR="007640A4" w:rsidRDefault="00A34780" w:rsidP="00A34780">
      <w:pPr>
        <w:rPr>
          <w:rFonts w:cs="Times New Roman"/>
          <w:szCs w:val="24"/>
        </w:rPr>
      </w:pPr>
      <w:r>
        <w:rPr>
          <w:rFonts w:cs="Times New Roman"/>
          <w:szCs w:val="24"/>
        </w:rPr>
        <w:t>The Commission’s linkage of c</w:t>
      </w:r>
      <w:r w:rsidRPr="00EA0A56">
        <w:rPr>
          <w:rFonts w:cs="Times New Roman"/>
          <w:szCs w:val="24"/>
        </w:rPr>
        <w:t>onservation</w:t>
      </w:r>
      <w:r>
        <w:rPr>
          <w:rFonts w:cs="Times New Roman"/>
          <w:szCs w:val="24"/>
        </w:rPr>
        <w:t xml:space="preserve"> achievement to full decoupling is intended to transform the removal of a disincentive to invest in conservation (which is what we typically expect from full decoupling) into an incentive to invest in conservation (which is typically achieved through other tools). Therefore, because full decoupling by itself does not normally provide a specific incentive to invest in conservation, yet the Commission intends that any such mechanism should ensure achievement of conservation targets and achievement of incremental conservation over and above the targets, the Mechanism includes a Conservation Test.  </w:t>
      </w:r>
    </w:p>
    <w:p w:rsidR="007640A4" w:rsidRDefault="007640A4" w:rsidP="00A34780">
      <w:pPr>
        <w:rPr>
          <w:rFonts w:cs="Times New Roman"/>
          <w:szCs w:val="24"/>
        </w:rPr>
      </w:pPr>
    </w:p>
    <w:p w:rsidR="007640A4" w:rsidRDefault="007640A4" w:rsidP="007640A4">
      <w:pPr>
        <w:pStyle w:val="Heading2"/>
      </w:pPr>
      <w:bookmarkStart w:id="42" w:name="_Toc311029124"/>
      <w:r>
        <w:t>Conservation Test</w:t>
      </w:r>
      <w:bookmarkEnd w:id="42"/>
    </w:p>
    <w:p w:rsidR="00A34780" w:rsidRDefault="00A34780" w:rsidP="00A34780">
      <w:pPr>
        <w:rPr>
          <w:rFonts w:cs="Times New Roman"/>
          <w:szCs w:val="24"/>
        </w:rPr>
      </w:pPr>
      <w:r>
        <w:rPr>
          <w:rFonts w:cs="Times New Roman"/>
          <w:szCs w:val="24"/>
        </w:rPr>
        <w:t>The Conservation Test is designed to both</w:t>
      </w:r>
      <w:r w:rsidR="00582617">
        <w:rPr>
          <w:rFonts w:cs="Times New Roman"/>
          <w:szCs w:val="24"/>
        </w:rPr>
        <w:t xml:space="preserve">: </w:t>
      </w:r>
      <w:r>
        <w:rPr>
          <w:rFonts w:cs="Times New Roman"/>
          <w:szCs w:val="24"/>
        </w:rPr>
        <w:t xml:space="preserve"> (1) condition recovery on the Company’s level of conservation achievement by multiplying the deferral amount by the proportion of conservation achieved during the prior year, and (2) encourage the utility to acquire additional conservation beyond the commission-approved target by allowing the company to multiply the deferral amount by up to 120 percent of the conservation achieved during the prior year.  </w:t>
      </w:r>
    </w:p>
    <w:p w:rsidR="00A34780" w:rsidRDefault="00A34780" w:rsidP="00A34780">
      <w:pPr>
        <w:rPr>
          <w:rFonts w:cs="Times New Roman"/>
          <w:szCs w:val="24"/>
        </w:rPr>
      </w:pPr>
      <w:r>
        <w:rPr>
          <w:rFonts w:cs="Times New Roman"/>
          <w:szCs w:val="24"/>
        </w:rPr>
        <w:t xml:space="preserve">While it is true that the Company must achieve certain conservation targets under the EIA for its electric operations, at the risk of substantial monetary penalty, the EIA contains no mechanism to encourage above-target performance, nor does the EIA apply to gas operations.  However, the gas incentive mechanism already in place for PSE provides the Company </w:t>
      </w:r>
      <w:r w:rsidR="007C7EBE">
        <w:rPr>
          <w:rFonts w:cs="Times New Roman"/>
          <w:szCs w:val="24"/>
        </w:rPr>
        <w:t xml:space="preserve">an </w:t>
      </w:r>
      <w:r>
        <w:rPr>
          <w:rFonts w:cs="Times New Roman"/>
          <w:szCs w:val="24"/>
        </w:rPr>
        <w:t>incentive to achieve its gas conservation targets.</w:t>
      </w:r>
      <w:r>
        <w:rPr>
          <w:rStyle w:val="FootnoteReference"/>
          <w:rFonts w:cs="Times New Roman"/>
          <w:szCs w:val="24"/>
        </w:rPr>
        <w:footnoteReference w:id="33"/>
      </w:r>
    </w:p>
    <w:p w:rsidR="00A34780" w:rsidRDefault="00A34780" w:rsidP="00A34780">
      <w:pPr>
        <w:rPr>
          <w:rFonts w:cs="Times New Roman"/>
          <w:szCs w:val="24"/>
        </w:rPr>
      </w:pPr>
      <w:r>
        <w:rPr>
          <w:rFonts w:cs="Times New Roman"/>
          <w:szCs w:val="24"/>
        </w:rPr>
        <w:t>The conservation targets are taken from the Company’s most recent IRP.</w:t>
      </w:r>
      <w:r>
        <w:rPr>
          <w:rStyle w:val="FootnoteReference"/>
          <w:rFonts w:cs="Times New Roman"/>
          <w:szCs w:val="24"/>
        </w:rPr>
        <w:footnoteReference w:id="34"/>
      </w:r>
      <w:r>
        <w:rPr>
          <w:rFonts w:cs="Times New Roman"/>
          <w:szCs w:val="24"/>
        </w:rPr>
        <w:t xml:space="preserve">  These targets will be contained </w:t>
      </w:r>
      <w:r w:rsidRPr="00636D00">
        <w:t>in the decoupling tariff</w:t>
      </w:r>
      <w:r>
        <w:rPr>
          <w:rFonts w:cs="Times New Roman"/>
          <w:szCs w:val="24"/>
        </w:rPr>
        <w:t>.  If a surcharge is expected, the Company will adjust the deferral amount by multiplying the deferral amount by the proportion of savings it achieves in the previous year, up to a 120 percent cap.  I</w:t>
      </w:r>
      <w:r w:rsidRPr="00636D00">
        <w:t xml:space="preserve">f a rebate is expected, the Company will </w:t>
      </w:r>
      <w:r>
        <w:t>adjust</w:t>
      </w:r>
      <w:r w:rsidRPr="00636D00">
        <w:t xml:space="preserve"> the deferral amount</w:t>
      </w:r>
      <w:r>
        <w:t xml:space="preserve"> by</w:t>
      </w:r>
      <w:r w:rsidRPr="00636D00">
        <w:t xml:space="preserve"> </w:t>
      </w:r>
      <w:r>
        <w:t>multiplying the deferral amount</w:t>
      </w:r>
      <w:r w:rsidRPr="00636D00">
        <w:t xml:space="preserve"> by the inverse proportion of savings it achieves in the previous year, up to </w:t>
      </w:r>
      <w:r>
        <w:t xml:space="preserve">a cap of </w:t>
      </w:r>
      <w:r w:rsidRPr="00636D00">
        <w:t>120 percent</w:t>
      </w:r>
      <w:r>
        <w:t>.</w:t>
      </w:r>
    </w:p>
    <w:p w:rsidR="00A34780" w:rsidRDefault="00A34780" w:rsidP="00A34780">
      <w:pPr>
        <w:rPr>
          <w:rFonts w:cs="Times New Roman"/>
          <w:szCs w:val="24"/>
        </w:rPr>
      </w:pPr>
      <w:r>
        <w:rPr>
          <w:rFonts w:cs="Times New Roman"/>
          <w:szCs w:val="24"/>
        </w:rPr>
        <w:t>The Mechanism requires third party verification of achieved conservation, to bring credibility to the process and assure reliable conclusions.</w:t>
      </w:r>
    </w:p>
    <w:p w:rsidR="00A34780" w:rsidRPr="00EA0A56" w:rsidRDefault="00A34780" w:rsidP="00A34780">
      <w:pPr>
        <w:rPr>
          <w:rFonts w:cs="Times New Roman"/>
          <w:szCs w:val="24"/>
        </w:rPr>
      </w:pPr>
    </w:p>
    <w:p w:rsidR="0053365F" w:rsidRPr="007D5A76" w:rsidRDefault="0053365F" w:rsidP="006B7FE1">
      <w:pPr>
        <w:pStyle w:val="Heading2"/>
      </w:pPr>
      <w:bookmarkStart w:id="43" w:name="_Toc311029125"/>
      <w:r w:rsidRPr="007D5A76">
        <w:t>Provid</w:t>
      </w:r>
      <w:r>
        <w:t>e</w:t>
      </w:r>
      <w:r w:rsidRPr="007D5A76">
        <w:t xml:space="preserve"> Comparable </w:t>
      </w:r>
      <w:r w:rsidR="00DE7C14">
        <w:t xml:space="preserve">Conservation </w:t>
      </w:r>
      <w:r w:rsidRPr="007D5A76">
        <w:t>Benefits to Low Income Customers</w:t>
      </w:r>
      <w:bookmarkEnd w:id="43"/>
    </w:p>
    <w:p w:rsidR="005D678F" w:rsidRPr="007D5A76" w:rsidRDefault="005D678F" w:rsidP="005D678F">
      <w:pPr>
        <w:rPr>
          <w:rFonts w:cs="Times New Roman"/>
          <w:i/>
          <w:szCs w:val="24"/>
        </w:rPr>
      </w:pPr>
      <w:r w:rsidRPr="007D5A76">
        <w:rPr>
          <w:rFonts w:cs="Times New Roman"/>
          <w:szCs w:val="24"/>
        </w:rPr>
        <w:t>The Commission described the low income criterion as follows:</w:t>
      </w:r>
    </w:p>
    <w:p w:rsidR="005D678F" w:rsidRDefault="005D678F" w:rsidP="006B7FE1">
      <w:pPr>
        <w:ind w:left="720"/>
        <w:rPr>
          <w:rFonts w:cs="Times New Roman"/>
          <w:szCs w:val="24"/>
        </w:rPr>
      </w:pPr>
      <w:r w:rsidRPr="007D5A76">
        <w:rPr>
          <w:rFonts w:cs="Times New Roman"/>
          <w:i/>
          <w:szCs w:val="24"/>
        </w:rPr>
        <w:t>Low-income.</w:t>
      </w:r>
      <w:r w:rsidRPr="007D5A76">
        <w:rPr>
          <w:rFonts w:cs="Times New Roman"/>
          <w:szCs w:val="24"/>
        </w:rPr>
        <w:t xml:space="preserve">  A utility proposing a full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r w:rsidRPr="007D5A76">
        <w:rPr>
          <w:rStyle w:val="FootnoteReference"/>
          <w:rFonts w:cs="Times New Roman"/>
          <w:szCs w:val="24"/>
        </w:rPr>
        <w:footnoteReference w:id="35"/>
      </w:r>
    </w:p>
    <w:p w:rsidR="00320581" w:rsidRDefault="004E70DC" w:rsidP="004E70DC">
      <w:pPr>
        <w:rPr>
          <w:rFonts w:cs="Times New Roman"/>
          <w:szCs w:val="24"/>
        </w:rPr>
      </w:pPr>
      <w:r w:rsidRPr="004E70DC">
        <w:rPr>
          <w:rFonts w:cs="Times New Roman"/>
          <w:szCs w:val="24"/>
        </w:rPr>
        <w:t>Staff is having difficulty applying the criterion described in the Decoupling Policy Statement</w:t>
      </w:r>
      <w:r w:rsidR="00320581">
        <w:rPr>
          <w:rFonts w:cs="Times New Roman"/>
          <w:szCs w:val="24"/>
        </w:rPr>
        <w:t xml:space="preserve">, because it is not clear whether the Company could comply with this criterion </w:t>
      </w:r>
      <w:r w:rsidRPr="004E70DC">
        <w:rPr>
          <w:rFonts w:cs="Times New Roman"/>
          <w:szCs w:val="24"/>
        </w:rPr>
        <w:t>by showing that the design of the Company’s low</w:t>
      </w:r>
      <w:r w:rsidR="00FC0223">
        <w:rPr>
          <w:rFonts w:cs="Times New Roman"/>
          <w:szCs w:val="24"/>
        </w:rPr>
        <w:t>-</w:t>
      </w:r>
      <w:r w:rsidRPr="004E70DC">
        <w:rPr>
          <w:rFonts w:cs="Times New Roman"/>
          <w:szCs w:val="24"/>
        </w:rPr>
        <w:t>income programs provides an opportunity for “roughly comparable” access to conservation programs for customers across the economic spectrum</w:t>
      </w:r>
      <w:r w:rsidR="00320581">
        <w:rPr>
          <w:rFonts w:cs="Times New Roman"/>
          <w:szCs w:val="24"/>
        </w:rPr>
        <w:t xml:space="preserve">.  </w:t>
      </w:r>
    </w:p>
    <w:p w:rsidR="00D45608" w:rsidRDefault="00320581" w:rsidP="004E70DC">
      <w:pPr>
        <w:rPr>
          <w:rFonts w:cs="Times New Roman"/>
          <w:szCs w:val="24"/>
        </w:rPr>
      </w:pPr>
      <w:r>
        <w:rPr>
          <w:rFonts w:cs="Times New Roman"/>
          <w:szCs w:val="24"/>
        </w:rPr>
        <w:t xml:space="preserve">The criterion also speaks in terms of </w:t>
      </w:r>
      <w:r w:rsidR="004E70DC" w:rsidRPr="004E70DC">
        <w:rPr>
          <w:rFonts w:cs="Times New Roman"/>
          <w:szCs w:val="24"/>
        </w:rPr>
        <w:t xml:space="preserve">actual benefits, which Staff assumes to mean </w:t>
      </w:r>
      <w:r>
        <w:rPr>
          <w:rFonts w:cs="Times New Roman"/>
          <w:szCs w:val="24"/>
        </w:rPr>
        <w:t xml:space="preserve">that </w:t>
      </w:r>
      <w:r w:rsidR="004E70DC" w:rsidRPr="004E70DC">
        <w:rPr>
          <w:rFonts w:cs="Times New Roman"/>
          <w:szCs w:val="24"/>
        </w:rPr>
        <w:t xml:space="preserve">reductions in kWh due to conservation in low-income households </w:t>
      </w:r>
      <w:r>
        <w:rPr>
          <w:rFonts w:cs="Times New Roman"/>
          <w:szCs w:val="24"/>
        </w:rPr>
        <w:t xml:space="preserve">must be </w:t>
      </w:r>
      <w:r w:rsidR="004E70DC" w:rsidRPr="004E70DC">
        <w:rPr>
          <w:rFonts w:cs="Times New Roman"/>
          <w:szCs w:val="24"/>
        </w:rPr>
        <w:t>“comparable to that achieved by other ratepayers”</w:t>
      </w:r>
      <w:r>
        <w:rPr>
          <w:rFonts w:cs="Times New Roman"/>
          <w:szCs w:val="24"/>
        </w:rPr>
        <w:t>.</w:t>
      </w:r>
      <w:r w:rsidR="004E70DC" w:rsidRPr="004E70DC">
        <w:rPr>
          <w:rFonts w:cs="Times New Roman"/>
          <w:szCs w:val="24"/>
        </w:rPr>
        <w:t xml:space="preserve">  Either way, </w:t>
      </w:r>
      <w:r>
        <w:rPr>
          <w:rFonts w:cs="Times New Roman"/>
          <w:szCs w:val="24"/>
        </w:rPr>
        <w:t xml:space="preserve">it is unlikely that </w:t>
      </w:r>
      <w:r w:rsidR="004E70DC" w:rsidRPr="004E70DC">
        <w:rPr>
          <w:rFonts w:cs="Times New Roman"/>
          <w:szCs w:val="24"/>
        </w:rPr>
        <w:t xml:space="preserve">data to conduct </w:t>
      </w:r>
      <w:r>
        <w:rPr>
          <w:rFonts w:cs="Times New Roman"/>
          <w:szCs w:val="24"/>
        </w:rPr>
        <w:t xml:space="preserve">such </w:t>
      </w:r>
      <w:r w:rsidR="004E70DC" w:rsidRPr="004E70DC">
        <w:rPr>
          <w:rFonts w:cs="Times New Roman"/>
          <w:szCs w:val="24"/>
        </w:rPr>
        <w:t>analys</w:t>
      </w:r>
      <w:r w:rsidR="00D45608">
        <w:rPr>
          <w:rFonts w:cs="Times New Roman"/>
          <w:szCs w:val="24"/>
        </w:rPr>
        <w:t>e</w:t>
      </w:r>
      <w:r w:rsidR="004E70DC" w:rsidRPr="004E70DC">
        <w:rPr>
          <w:rFonts w:cs="Times New Roman"/>
          <w:szCs w:val="24"/>
        </w:rPr>
        <w:t>s exist</w:t>
      </w:r>
      <w:r>
        <w:rPr>
          <w:rFonts w:cs="Times New Roman"/>
          <w:szCs w:val="24"/>
        </w:rPr>
        <w:t>s</w:t>
      </w:r>
      <w:r w:rsidR="004E70DC" w:rsidRPr="004E70DC">
        <w:rPr>
          <w:rFonts w:cs="Times New Roman"/>
          <w:szCs w:val="24"/>
        </w:rPr>
        <w:t xml:space="preserve">.  </w:t>
      </w:r>
    </w:p>
    <w:p w:rsidR="00320581" w:rsidRDefault="004E70DC" w:rsidP="004E70DC">
      <w:pPr>
        <w:rPr>
          <w:rFonts w:cs="Times New Roman"/>
          <w:szCs w:val="24"/>
        </w:rPr>
      </w:pPr>
      <w:r w:rsidRPr="004E70DC">
        <w:rPr>
          <w:rFonts w:cs="Times New Roman"/>
          <w:szCs w:val="24"/>
        </w:rPr>
        <w:t xml:space="preserve">Another </w:t>
      </w:r>
      <w:r w:rsidR="00320581">
        <w:rPr>
          <w:rFonts w:cs="Times New Roman"/>
          <w:szCs w:val="24"/>
        </w:rPr>
        <w:t xml:space="preserve">ambiguity involves </w:t>
      </w:r>
      <w:r w:rsidRPr="004E70DC">
        <w:rPr>
          <w:rFonts w:cs="Times New Roman"/>
          <w:szCs w:val="24"/>
        </w:rPr>
        <w:t xml:space="preserve">the breadth of the </w:t>
      </w:r>
      <w:r w:rsidR="00D45608">
        <w:rPr>
          <w:rFonts w:cs="Times New Roman"/>
          <w:szCs w:val="24"/>
        </w:rPr>
        <w:t>criterion</w:t>
      </w:r>
      <w:r w:rsidRPr="004E70DC">
        <w:rPr>
          <w:rFonts w:cs="Times New Roman"/>
          <w:szCs w:val="24"/>
        </w:rPr>
        <w:t xml:space="preserve">.  </w:t>
      </w:r>
      <w:r w:rsidR="00320581">
        <w:rPr>
          <w:rFonts w:cs="Times New Roman"/>
          <w:szCs w:val="24"/>
        </w:rPr>
        <w:t xml:space="preserve">For example, it is not clear whether the </w:t>
      </w:r>
      <w:r w:rsidRPr="004E70DC">
        <w:rPr>
          <w:rFonts w:cs="Times New Roman"/>
          <w:szCs w:val="24"/>
        </w:rPr>
        <w:t xml:space="preserve">comparison </w:t>
      </w:r>
      <w:r w:rsidR="00320581">
        <w:rPr>
          <w:rFonts w:cs="Times New Roman"/>
          <w:szCs w:val="24"/>
        </w:rPr>
        <w:t xml:space="preserve">should </w:t>
      </w:r>
      <w:r w:rsidRPr="004E70DC">
        <w:rPr>
          <w:rFonts w:cs="Times New Roman"/>
          <w:szCs w:val="24"/>
        </w:rPr>
        <w:t xml:space="preserve">be between all low-income </w:t>
      </w:r>
      <w:r w:rsidR="00320581">
        <w:rPr>
          <w:rFonts w:cs="Times New Roman"/>
          <w:szCs w:val="24"/>
        </w:rPr>
        <w:t xml:space="preserve">ratepayers </w:t>
      </w:r>
      <w:r w:rsidRPr="004E70DC">
        <w:rPr>
          <w:rFonts w:cs="Times New Roman"/>
          <w:szCs w:val="24"/>
        </w:rPr>
        <w:t xml:space="preserve">and </w:t>
      </w:r>
      <w:r w:rsidR="00320581">
        <w:rPr>
          <w:rFonts w:cs="Times New Roman"/>
          <w:szCs w:val="24"/>
        </w:rPr>
        <w:t xml:space="preserve">non-low-income </w:t>
      </w:r>
      <w:r w:rsidRPr="004E70DC">
        <w:rPr>
          <w:rFonts w:cs="Times New Roman"/>
          <w:szCs w:val="24"/>
        </w:rPr>
        <w:t>ratepayers,</w:t>
      </w:r>
      <w:r w:rsidR="00FC0223">
        <w:rPr>
          <w:rFonts w:cs="Times New Roman"/>
          <w:szCs w:val="24"/>
        </w:rPr>
        <w:t xml:space="preserve"> between the low-income and non-low-income participants in </w:t>
      </w:r>
      <w:r w:rsidR="00320581">
        <w:rPr>
          <w:rFonts w:cs="Times New Roman"/>
          <w:szCs w:val="24"/>
        </w:rPr>
        <w:t xml:space="preserve">the Company’s </w:t>
      </w:r>
      <w:r w:rsidR="00FC0223">
        <w:rPr>
          <w:rFonts w:cs="Times New Roman"/>
          <w:szCs w:val="24"/>
        </w:rPr>
        <w:t>conservation programs,</w:t>
      </w:r>
      <w:r w:rsidRPr="004E70DC">
        <w:rPr>
          <w:rFonts w:cs="Times New Roman"/>
          <w:szCs w:val="24"/>
        </w:rPr>
        <w:t xml:space="preserve"> </w:t>
      </w:r>
      <w:r w:rsidR="00FC0223">
        <w:rPr>
          <w:rFonts w:cs="Times New Roman"/>
          <w:szCs w:val="24"/>
        </w:rPr>
        <w:t xml:space="preserve">or </w:t>
      </w:r>
      <w:r w:rsidRPr="004E70DC">
        <w:rPr>
          <w:rFonts w:cs="Times New Roman"/>
          <w:szCs w:val="24"/>
        </w:rPr>
        <w:t>between just the participants in low-income assistance programs and the other</w:t>
      </w:r>
      <w:r w:rsidR="00FC0223">
        <w:rPr>
          <w:rFonts w:cs="Times New Roman"/>
          <w:szCs w:val="24"/>
        </w:rPr>
        <w:t xml:space="preserve"> residential</w:t>
      </w:r>
      <w:r w:rsidRPr="004E70DC">
        <w:rPr>
          <w:rFonts w:cs="Times New Roman"/>
          <w:szCs w:val="24"/>
        </w:rPr>
        <w:t xml:space="preserve"> r</w:t>
      </w:r>
      <w:r w:rsidR="00D45608">
        <w:rPr>
          <w:rFonts w:cs="Times New Roman"/>
          <w:szCs w:val="24"/>
        </w:rPr>
        <w:t>atepayers.</w:t>
      </w:r>
      <w:r w:rsidR="00FC0223">
        <w:rPr>
          <w:rFonts w:cs="Times New Roman"/>
          <w:szCs w:val="24"/>
        </w:rPr>
        <w:t xml:space="preserve">  </w:t>
      </w:r>
    </w:p>
    <w:p w:rsidR="004E70DC" w:rsidRPr="004E70DC" w:rsidRDefault="00FC0223" w:rsidP="004E70DC">
      <w:pPr>
        <w:rPr>
          <w:rFonts w:cs="Times New Roman"/>
          <w:szCs w:val="24"/>
        </w:rPr>
      </w:pPr>
      <w:r>
        <w:rPr>
          <w:rFonts w:cs="Times New Roman"/>
          <w:szCs w:val="24"/>
        </w:rPr>
        <w:t xml:space="preserve">The </w:t>
      </w:r>
      <w:r w:rsidR="00320581">
        <w:rPr>
          <w:rFonts w:cs="Times New Roman"/>
          <w:szCs w:val="24"/>
        </w:rPr>
        <w:t xml:space="preserve">core problem is that </w:t>
      </w:r>
      <w:r w:rsidR="004E70DC" w:rsidRPr="004E70DC">
        <w:rPr>
          <w:rFonts w:cs="Times New Roman"/>
          <w:szCs w:val="24"/>
        </w:rPr>
        <w:t>we do</w:t>
      </w:r>
      <w:r w:rsidR="00320581">
        <w:rPr>
          <w:rFonts w:cs="Times New Roman"/>
          <w:szCs w:val="24"/>
        </w:rPr>
        <w:t xml:space="preserve"> not </w:t>
      </w:r>
      <w:r w:rsidR="004E70DC" w:rsidRPr="004E70DC">
        <w:rPr>
          <w:rFonts w:cs="Times New Roman"/>
          <w:szCs w:val="24"/>
        </w:rPr>
        <w:t>know which residential customers are low</w:t>
      </w:r>
      <w:r w:rsidR="00D45608">
        <w:rPr>
          <w:rFonts w:cs="Times New Roman"/>
          <w:szCs w:val="24"/>
        </w:rPr>
        <w:t>-</w:t>
      </w:r>
      <w:r w:rsidR="004E70DC" w:rsidRPr="004E70DC">
        <w:rPr>
          <w:rFonts w:cs="Times New Roman"/>
          <w:szCs w:val="24"/>
        </w:rPr>
        <w:t xml:space="preserve">income customers, and which are not – and the composition of each group is continuously changing.  The utilities do not maintain data on the economic status of their customers, </w:t>
      </w:r>
      <w:r w:rsidR="00320581">
        <w:rPr>
          <w:rFonts w:cs="Times New Roman"/>
          <w:szCs w:val="24"/>
        </w:rPr>
        <w:t xml:space="preserve">and we do not </w:t>
      </w:r>
      <w:r w:rsidR="004E70DC" w:rsidRPr="004E70DC">
        <w:rPr>
          <w:rFonts w:cs="Times New Roman"/>
          <w:szCs w:val="24"/>
        </w:rPr>
        <w:t xml:space="preserve">suggest they should.    </w:t>
      </w:r>
    </w:p>
    <w:p w:rsidR="004E70DC" w:rsidRPr="004E70DC" w:rsidRDefault="00FC0223" w:rsidP="004E70DC">
      <w:pPr>
        <w:rPr>
          <w:rFonts w:cs="Times New Roman"/>
          <w:szCs w:val="24"/>
        </w:rPr>
      </w:pPr>
      <w:r>
        <w:rPr>
          <w:rFonts w:cs="Times New Roman"/>
          <w:szCs w:val="24"/>
        </w:rPr>
        <w:t xml:space="preserve">If the </w:t>
      </w:r>
      <w:r w:rsidR="00320581">
        <w:rPr>
          <w:rFonts w:cs="Times New Roman"/>
          <w:szCs w:val="24"/>
        </w:rPr>
        <w:t xml:space="preserve">Commission’s </w:t>
      </w:r>
      <w:r>
        <w:rPr>
          <w:rFonts w:cs="Times New Roman"/>
          <w:szCs w:val="24"/>
        </w:rPr>
        <w:t xml:space="preserve">goal is to use only the </w:t>
      </w:r>
      <w:r w:rsidR="00320581">
        <w:rPr>
          <w:rFonts w:cs="Times New Roman"/>
          <w:szCs w:val="24"/>
        </w:rPr>
        <w:t xml:space="preserve">program </w:t>
      </w:r>
      <w:r>
        <w:rPr>
          <w:rFonts w:cs="Times New Roman"/>
          <w:szCs w:val="24"/>
        </w:rPr>
        <w:t xml:space="preserve">participant portion of the </w:t>
      </w:r>
      <w:r w:rsidR="00133AA9">
        <w:rPr>
          <w:rFonts w:cs="Times New Roman"/>
          <w:szCs w:val="24"/>
        </w:rPr>
        <w:t>customer base</w:t>
      </w:r>
      <w:r>
        <w:rPr>
          <w:rFonts w:cs="Times New Roman"/>
          <w:szCs w:val="24"/>
        </w:rPr>
        <w:t xml:space="preserve">, </w:t>
      </w:r>
      <w:r w:rsidR="004E70DC" w:rsidRPr="004E70DC">
        <w:rPr>
          <w:rFonts w:cs="Times New Roman"/>
          <w:szCs w:val="24"/>
        </w:rPr>
        <w:t xml:space="preserve">it might be possible </w:t>
      </w:r>
      <w:r>
        <w:rPr>
          <w:rFonts w:cs="Times New Roman"/>
          <w:szCs w:val="24"/>
        </w:rPr>
        <w:t>f</w:t>
      </w:r>
      <w:r w:rsidRPr="004E70DC">
        <w:rPr>
          <w:rFonts w:cs="Times New Roman"/>
          <w:szCs w:val="24"/>
        </w:rPr>
        <w:t xml:space="preserve">or the Company </w:t>
      </w:r>
      <w:r w:rsidR="004E70DC" w:rsidRPr="004E70DC">
        <w:rPr>
          <w:rFonts w:cs="Times New Roman"/>
          <w:szCs w:val="24"/>
        </w:rPr>
        <w:t>to compare use per customer between low-income</w:t>
      </w:r>
      <w:r>
        <w:rPr>
          <w:rFonts w:cs="Times New Roman"/>
          <w:szCs w:val="24"/>
        </w:rPr>
        <w:t xml:space="preserve"> and non-low-income</w:t>
      </w:r>
      <w:r w:rsidR="004E70DC" w:rsidRPr="004E70DC">
        <w:rPr>
          <w:rFonts w:cs="Times New Roman"/>
          <w:szCs w:val="24"/>
        </w:rPr>
        <w:t xml:space="preserve"> </w:t>
      </w:r>
      <w:r>
        <w:rPr>
          <w:rFonts w:cs="Times New Roman"/>
          <w:szCs w:val="24"/>
        </w:rPr>
        <w:t>customers who are a</w:t>
      </w:r>
      <w:r w:rsidR="00CD0737">
        <w:rPr>
          <w:rFonts w:cs="Times New Roman"/>
          <w:szCs w:val="24"/>
        </w:rPr>
        <w:t>lso</w:t>
      </w:r>
      <w:r>
        <w:rPr>
          <w:rFonts w:cs="Times New Roman"/>
          <w:szCs w:val="24"/>
        </w:rPr>
        <w:t xml:space="preserve"> conservation </w:t>
      </w:r>
      <w:r w:rsidR="004E70DC" w:rsidRPr="004E70DC">
        <w:rPr>
          <w:rFonts w:cs="Times New Roman"/>
          <w:szCs w:val="24"/>
        </w:rPr>
        <w:t>program</w:t>
      </w:r>
      <w:r>
        <w:rPr>
          <w:rFonts w:cs="Times New Roman"/>
          <w:szCs w:val="24"/>
        </w:rPr>
        <w:t xml:space="preserve"> </w:t>
      </w:r>
      <w:r w:rsidR="004E70DC" w:rsidRPr="004E70DC">
        <w:rPr>
          <w:rFonts w:cs="Times New Roman"/>
          <w:szCs w:val="24"/>
        </w:rPr>
        <w:t xml:space="preserve">participants. </w:t>
      </w:r>
      <w:r w:rsidR="00CD0737">
        <w:rPr>
          <w:rFonts w:cs="Times New Roman"/>
          <w:szCs w:val="24"/>
        </w:rPr>
        <w:t xml:space="preserve">  The Company could then determine what respective proportion of load had been reduced by using the relative conservation achievement.  This </w:t>
      </w:r>
      <w:r w:rsidR="00320581">
        <w:rPr>
          <w:rFonts w:cs="Times New Roman"/>
          <w:szCs w:val="24"/>
        </w:rPr>
        <w:t xml:space="preserve">might </w:t>
      </w:r>
      <w:r w:rsidR="00CD0737">
        <w:rPr>
          <w:rFonts w:cs="Times New Roman"/>
          <w:szCs w:val="24"/>
        </w:rPr>
        <w:t>be acceptable as a criterion for comparing participant benefits from conservation programs, even though it would not be acceptable for rate design.</w:t>
      </w:r>
      <w:r w:rsidR="00CD0737">
        <w:rPr>
          <w:rStyle w:val="FootnoteReference"/>
          <w:rFonts w:cs="Times New Roman"/>
          <w:szCs w:val="24"/>
        </w:rPr>
        <w:footnoteReference w:id="36"/>
      </w:r>
      <w:r w:rsidR="00CD0737">
        <w:rPr>
          <w:rFonts w:cs="Times New Roman"/>
          <w:szCs w:val="24"/>
        </w:rPr>
        <w:t xml:space="preserve">  </w:t>
      </w:r>
      <w:r w:rsidR="004E70DC" w:rsidRPr="004E70DC">
        <w:rPr>
          <w:rFonts w:cs="Times New Roman"/>
          <w:szCs w:val="24"/>
        </w:rPr>
        <w:t xml:space="preserve">  However, there is a degree of fluidity in the low-income participant pool rendering any calculation of a reduction in kWh suspect.</w:t>
      </w:r>
      <w:r>
        <w:rPr>
          <w:rStyle w:val="FootnoteReference"/>
          <w:rFonts w:cs="Times New Roman"/>
          <w:szCs w:val="24"/>
        </w:rPr>
        <w:footnoteReference w:id="37"/>
      </w:r>
      <w:r w:rsidR="004E70DC" w:rsidRPr="004E70DC">
        <w:rPr>
          <w:rFonts w:cs="Times New Roman"/>
          <w:szCs w:val="24"/>
        </w:rPr>
        <w:t xml:space="preserve">  </w:t>
      </w:r>
    </w:p>
    <w:p w:rsidR="0022582D" w:rsidRPr="007D5A76" w:rsidRDefault="0022582D" w:rsidP="004C3A12">
      <w:pPr>
        <w:rPr>
          <w:rFonts w:cs="Times New Roman"/>
          <w:szCs w:val="24"/>
        </w:rPr>
      </w:pPr>
    </w:p>
    <w:p w:rsidR="0053365F" w:rsidRPr="007D5A76" w:rsidRDefault="0053365F" w:rsidP="00DE371B">
      <w:pPr>
        <w:pStyle w:val="Heading2"/>
      </w:pPr>
      <w:bookmarkStart w:id="44" w:name="_Toc311029126"/>
      <w:r w:rsidRPr="007D5A76">
        <w:t>Describ</w:t>
      </w:r>
      <w:r>
        <w:t>e</w:t>
      </w:r>
      <w:r w:rsidRPr="007D5A76">
        <w:t xml:space="preserve"> the Incremental Conservation </w:t>
      </w:r>
      <w:r>
        <w:t xml:space="preserve">the Utility </w:t>
      </w:r>
      <w:r w:rsidRPr="007D5A76">
        <w:t>Intends to Pursue</w:t>
      </w:r>
      <w:bookmarkEnd w:id="44"/>
      <w:r w:rsidRPr="007D5A76">
        <w:t xml:space="preserve"> </w:t>
      </w:r>
    </w:p>
    <w:p w:rsidR="005D678F" w:rsidRPr="007D5A76" w:rsidRDefault="005D678F" w:rsidP="005D678F">
      <w:pPr>
        <w:rPr>
          <w:rFonts w:cs="Times New Roman"/>
          <w:szCs w:val="24"/>
        </w:rPr>
      </w:pPr>
      <w:r w:rsidRPr="007D5A76">
        <w:rPr>
          <w:rFonts w:cs="Times New Roman"/>
          <w:szCs w:val="24"/>
        </w:rPr>
        <w:t>The Commission describes this criterion as follows:</w:t>
      </w:r>
    </w:p>
    <w:p w:rsidR="005D678F" w:rsidRDefault="005D678F" w:rsidP="00DE371B">
      <w:pPr>
        <w:ind w:left="720"/>
        <w:rPr>
          <w:rFonts w:cs="Times New Roman"/>
          <w:szCs w:val="24"/>
        </w:rPr>
      </w:pPr>
      <w:r w:rsidRPr="007D5A76">
        <w:rPr>
          <w:rFonts w:cs="Times New Roman"/>
          <w:i/>
          <w:szCs w:val="24"/>
        </w:rPr>
        <w:t>Incremental Conservation.</w:t>
      </w:r>
      <w:r w:rsidRPr="007D5A76">
        <w:rPr>
          <w:rFonts w:cs="Times New Roman"/>
          <w:szCs w:val="24"/>
        </w:rPr>
        <w:t xml:space="preserve">  Evidence describing any incremental conservation the company intends to </w:t>
      </w:r>
      <w:r w:rsidRPr="00235BC3">
        <w:rPr>
          <w:rFonts w:cs="Times New Roman"/>
          <w:szCs w:val="24"/>
        </w:rPr>
        <w:t xml:space="preserve">pursue in conjunction </w:t>
      </w:r>
      <w:r w:rsidRPr="007D5A76">
        <w:rPr>
          <w:rFonts w:cs="Times New Roman"/>
          <w:szCs w:val="24"/>
        </w:rPr>
        <w:t>with the mechanism.</w:t>
      </w:r>
      <w:r w:rsidRPr="007D5A76">
        <w:rPr>
          <w:rStyle w:val="FootnoteReference"/>
          <w:rFonts w:cs="Times New Roman"/>
          <w:szCs w:val="24"/>
        </w:rPr>
        <w:footnoteReference w:id="38"/>
      </w:r>
    </w:p>
    <w:p w:rsidR="00560A59" w:rsidRDefault="0053365F" w:rsidP="00560A59">
      <w:pPr>
        <w:rPr>
          <w:rFonts w:cs="Times New Roman"/>
          <w:szCs w:val="24"/>
        </w:rPr>
      </w:pPr>
      <w:r>
        <w:rPr>
          <w:rFonts w:cs="Times New Roman"/>
          <w:szCs w:val="24"/>
        </w:rPr>
        <w:t xml:space="preserve">The Mechanism uses </w:t>
      </w:r>
      <w:r w:rsidR="000C181F">
        <w:rPr>
          <w:rFonts w:cs="Times New Roman"/>
          <w:szCs w:val="24"/>
        </w:rPr>
        <w:t>the Company</w:t>
      </w:r>
      <w:r>
        <w:rPr>
          <w:rFonts w:cs="Times New Roman"/>
          <w:szCs w:val="24"/>
        </w:rPr>
        <w:t xml:space="preserve">’s IRP to identify the conservation </w:t>
      </w:r>
      <w:r w:rsidR="000C181F">
        <w:rPr>
          <w:rFonts w:cs="Times New Roman"/>
          <w:szCs w:val="24"/>
        </w:rPr>
        <w:t>the Company</w:t>
      </w:r>
      <w:r>
        <w:rPr>
          <w:rFonts w:cs="Times New Roman"/>
          <w:szCs w:val="24"/>
        </w:rPr>
        <w:t xml:space="preserve"> intends to pursue.  However, th</w:t>
      </w:r>
      <w:r w:rsidR="00417397">
        <w:rPr>
          <w:rFonts w:cs="Times New Roman"/>
          <w:szCs w:val="24"/>
        </w:rPr>
        <w:t>e IRP</w:t>
      </w:r>
      <w:r>
        <w:rPr>
          <w:rFonts w:cs="Times New Roman"/>
          <w:szCs w:val="24"/>
        </w:rPr>
        <w:t xml:space="preserve"> does not </w:t>
      </w:r>
      <w:r w:rsidR="00F179F4">
        <w:rPr>
          <w:rFonts w:cs="Times New Roman"/>
          <w:szCs w:val="24"/>
        </w:rPr>
        <w:t xml:space="preserve">identify the “incremental” conservation </w:t>
      </w:r>
      <w:r w:rsidR="000C181F">
        <w:rPr>
          <w:rFonts w:cs="Times New Roman"/>
          <w:szCs w:val="24"/>
        </w:rPr>
        <w:t>the Company</w:t>
      </w:r>
      <w:r w:rsidR="00F179F4">
        <w:rPr>
          <w:rFonts w:cs="Times New Roman"/>
          <w:szCs w:val="24"/>
        </w:rPr>
        <w:t xml:space="preserve"> would pursue with full decoupling versus without decoupling.  </w:t>
      </w:r>
    </w:p>
    <w:p w:rsidR="00D750E6" w:rsidRDefault="005B0A60" w:rsidP="005B0A60">
      <w:pPr>
        <w:rPr>
          <w:rFonts w:cs="Times New Roman"/>
          <w:szCs w:val="24"/>
        </w:rPr>
      </w:pPr>
      <w:r>
        <w:rPr>
          <w:rFonts w:cs="Times New Roman"/>
          <w:szCs w:val="24"/>
        </w:rPr>
        <w:t xml:space="preserve">Staff does not have information regarding what additional conservation </w:t>
      </w:r>
      <w:r w:rsidR="000C181F">
        <w:rPr>
          <w:rFonts w:cs="Times New Roman"/>
          <w:szCs w:val="24"/>
        </w:rPr>
        <w:t>the Company</w:t>
      </w:r>
      <w:r>
        <w:rPr>
          <w:rFonts w:cs="Times New Roman"/>
          <w:szCs w:val="24"/>
        </w:rPr>
        <w:t xml:space="preserve"> would achieve with full decoupling compared to the status quo.  </w:t>
      </w:r>
      <w:r w:rsidR="002966C9">
        <w:rPr>
          <w:rFonts w:cs="Times New Roman"/>
          <w:szCs w:val="24"/>
        </w:rPr>
        <w:t>T</w:t>
      </w:r>
      <w:r w:rsidR="000C181F">
        <w:rPr>
          <w:rFonts w:cs="Times New Roman"/>
          <w:szCs w:val="24"/>
        </w:rPr>
        <w:t>he Company</w:t>
      </w:r>
      <w:r>
        <w:rPr>
          <w:rFonts w:cs="Times New Roman"/>
          <w:szCs w:val="24"/>
        </w:rPr>
        <w:t>, like any other electric utility in this state, is statutorily required to “pursue all conservation that is cost-effective, reliable and feasible.”</w:t>
      </w:r>
      <w:r>
        <w:rPr>
          <w:rStyle w:val="FootnoteReference"/>
          <w:rFonts w:cs="Times New Roman"/>
          <w:szCs w:val="24"/>
        </w:rPr>
        <w:footnoteReference w:id="39"/>
      </w:r>
      <w:r>
        <w:rPr>
          <w:rFonts w:cs="Times New Roman"/>
          <w:szCs w:val="24"/>
        </w:rPr>
        <w:t xml:space="preserve">  Because this statutory requirement applies whether or not </w:t>
      </w:r>
      <w:r w:rsidR="000C181F">
        <w:rPr>
          <w:rFonts w:cs="Times New Roman"/>
          <w:szCs w:val="24"/>
        </w:rPr>
        <w:t>the Company</w:t>
      </w:r>
      <w:r>
        <w:rPr>
          <w:rFonts w:cs="Times New Roman"/>
          <w:szCs w:val="24"/>
        </w:rPr>
        <w:t xml:space="preserve"> is decoupled, the only cost-effective “incremental conservation” </w:t>
      </w:r>
      <w:r w:rsidR="000C181F">
        <w:rPr>
          <w:rFonts w:cs="Times New Roman"/>
          <w:szCs w:val="24"/>
        </w:rPr>
        <w:t>the Company</w:t>
      </w:r>
      <w:r>
        <w:rPr>
          <w:rFonts w:cs="Times New Roman"/>
          <w:szCs w:val="24"/>
        </w:rPr>
        <w:t xml:space="preserve"> would acquire due to full decoupling would be</w:t>
      </w:r>
      <w:r w:rsidR="00582617">
        <w:rPr>
          <w:rFonts w:cs="Times New Roman"/>
          <w:szCs w:val="24"/>
        </w:rPr>
        <w:t>:</w:t>
      </w:r>
      <w:r>
        <w:rPr>
          <w:rFonts w:cs="Times New Roman"/>
          <w:szCs w:val="24"/>
        </w:rPr>
        <w:t xml:space="preserve"> </w:t>
      </w:r>
    </w:p>
    <w:p w:rsidR="00D750E6" w:rsidRPr="004A1985" w:rsidRDefault="005B0A60" w:rsidP="00DE371B">
      <w:pPr>
        <w:pStyle w:val="ListParagraph"/>
        <w:numPr>
          <w:ilvl w:val="0"/>
          <w:numId w:val="16"/>
        </w:numPr>
      </w:pPr>
      <w:r>
        <w:t>conservation the Company would acquire earlier in time than the Company otherwise has planned</w:t>
      </w:r>
      <w:r w:rsidR="00D750E6" w:rsidRPr="00F175C9">
        <w:t>, and</w:t>
      </w:r>
    </w:p>
    <w:p w:rsidR="00D750E6" w:rsidRDefault="00D750E6" w:rsidP="00DE371B">
      <w:pPr>
        <w:pStyle w:val="ListParagraph"/>
        <w:numPr>
          <w:ilvl w:val="0"/>
          <w:numId w:val="16"/>
        </w:numPr>
      </w:pPr>
      <w:r>
        <w:t>conservation opportunities that become available after the targets are set, for example, as a result of new energy efficiency technology becoming available</w:t>
      </w:r>
      <w:r w:rsidR="005B0A60" w:rsidRPr="00D750E6">
        <w:t xml:space="preserve">.  </w:t>
      </w:r>
    </w:p>
    <w:p w:rsidR="005B0A60" w:rsidRDefault="00C658AE" w:rsidP="00DE371B">
      <w:pPr>
        <w:rPr>
          <w:rFonts w:cs="Times New Roman"/>
          <w:szCs w:val="24"/>
        </w:rPr>
      </w:pPr>
      <w:r>
        <w:rPr>
          <w:rFonts w:cs="Times New Roman"/>
          <w:szCs w:val="24"/>
        </w:rPr>
        <w:t xml:space="preserve">Again, </w:t>
      </w:r>
      <w:r w:rsidR="005B0A60">
        <w:rPr>
          <w:rFonts w:cs="Times New Roman"/>
          <w:szCs w:val="24"/>
        </w:rPr>
        <w:t>Staff has no estimate of the amount or type of conservation this would involve</w:t>
      </w:r>
      <w:r w:rsidR="002966C9">
        <w:rPr>
          <w:rFonts w:cs="Times New Roman"/>
          <w:szCs w:val="24"/>
        </w:rPr>
        <w:t>, but has designed the Conservation Test to measure and encourage investment of this kind</w:t>
      </w:r>
      <w:r w:rsidR="005B0A60">
        <w:rPr>
          <w:rFonts w:cs="Times New Roman"/>
          <w:szCs w:val="24"/>
        </w:rPr>
        <w:t>.</w:t>
      </w:r>
    </w:p>
    <w:p w:rsidR="009A0D16" w:rsidRDefault="009A0D16" w:rsidP="00DE371B">
      <w:pPr>
        <w:rPr>
          <w:rFonts w:cs="Times New Roman"/>
          <w:szCs w:val="24"/>
        </w:rPr>
      </w:pPr>
    </w:p>
    <w:p w:rsidR="00A34780" w:rsidRPr="00A34780" w:rsidRDefault="00A34780" w:rsidP="00A34780">
      <w:pPr>
        <w:pStyle w:val="ListParagraph"/>
        <w:numPr>
          <w:ilvl w:val="0"/>
          <w:numId w:val="22"/>
        </w:numPr>
        <w:outlineLvl w:val="1"/>
        <w:rPr>
          <w:b/>
          <w:vanish/>
        </w:rPr>
      </w:pPr>
      <w:bookmarkStart w:id="45" w:name="_Toc310946500"/>
      <w:bookmarkStart w:id="46" w:name="_Toc311029127"/>
      <w:bookmarkEnd w:id="45"/>
      <w:bookmarkEnd w:id="46"/>
    </w:p>
    <w:p w:rsidR="00A34780" w:rsidRPr="00A34780" w:rsidRDefault="00A34780" w:rsidP="00A34780">
      <w:pPr>
        <w:pStyle w:val="ListParagraph"/>
        <w:numPr>
          <w:ilvl w:val="0"/>
          <w:numId w:val="22"/>
        </w:numPr>
        <w:outlineLvl w:val="1"/>
        <w:rPr>
          <w:b/>
          <w:vanish/>
        </w:rPr>
      </w:pPr>
      <w:bookmarkStart w:id="47" w:name="_Toc310946501"/>
      <w:bookmarkStart w:id="48" w:name="_Toc311029128"/>
      <w:bookmarkEnd w:id="47"/>
      <w:bookmarkEnd w:id="48"/>
    </w:p>
    <w:p w:rsidR="00A34780" w:rsidRPr="00A34780" w:rsidRDefault="00A34780" w:rsidP="00A34780">
      <w:pPr>
        <w:pStyle w:val="ListParagraph"/>
        <w:numPr>
          <w:ilvl w:val="0"/>
          <w:numId w:val="22"/>
        </w:numPr>
        <w:outlineLvl w:val="1"/>
        <w:rPr>
          <w:b/>
          <w:vanish/>
        </w:rPr>
      </w:pPr>
      <w:bookmarkStart w:id="49" w:name="_Toc310946502"/>
      <w:bookmarkStart w:id="50" w:name="_Toc311029129"/>
      <w:bookmarkEnd w:id="49"/>
      <w:bookmarkEnd w:id="50"/>
    </w:p>
    <w:p w:rsidR="00A34780" w:rsidRPr="00A34780" w:rsidRDefault="00A34780" w:rsidP="00A34780">
      <w:pPr>
        <w:pStyle w:val="ListParagraph"/>
        <w:numPr>
          <w:ilvl w:val="0"/>
          <w:numId w:val="22"/>
        </w:numPr>
        <w:outlineLvl w:val="1"/>
        <w:rPr>
          <w:b/>
          <w:vanish/>
        </w:rPr>
      </w:pPr>
      <w:bookmarkStart w:id="51" w:name="_Toc310946503"/>
      <w:bookmarkStart w:id="52" w:name="_Toc311029130"/>
      <w:bookmarkEnd w:id="51"/>
      <w:bookmarkEnd w:id="52"/>
    </w:p>
    <w:p w:rsidR="00A34780" w:rsidRPr="00A34780" w:rsidRDefault="00A34780" w:rsidP="00A34780">
      <w:pPr>
        <w:pStyle w:val="ListParagraph"/>
        <w:numPr>
          <w:ilvl w:val="0"/>
          <w:numId w:val="22"/>
        </w:numPr>
        <w:outlineLvl w:val="1"/>
        <w:rPr>
          <w:b/>
          <w:vanish/>
        </w:rPr>
      </w:pPr>
      <w:bookmarkStart w:id="53" w:name="_Toc310946504"/>
      <w:bookmarkStart w:id="54" w:name="_Toc311029131"/>
      <w:bookmarkEnd w:id="53"/>
      <w:bookmarkEnd w:id="54"/>
    </w:p>
    <w:p w:rsidR="00A34780" w:rsidRPr="00A34780" w:rsidRDefault="00A34780" w:rsidP="00A34780">
      <w:pPr>
        <w:pStyle w:val="ListParagraph"/>
        <w:numPr>
          <w:ilvl w:val="0"/>
          <w:numId w:val="22"/>
        </w:numPr>
        <w:outlineLvl w:val="1"/>
        <w:rPr>
          <w:b/>
          <w:vanish/>
        </w:rPr>
      </w:pPr>
      <w:bookmarkStart w:id="55" w:name="_Toc310946505"/>
      <w:bookmarkStart w:id="56" w:name="_Toc311029132"/>
      <w:bookmarkEnd w:id="55"/>
      <w:bookmarkEnd w:id="56"/>
    </w:p>
    <w:p w:rsidR="00A34780" w:rsidRPr="00A34780" w:rsidRDefault="00A34780" w:rsidP="00A34780">
      <w:pPr>
        <w:pStyle w:val="ListParagraph"/>
        <w:numPr>
          <w:ilvl w:val="0"/>
          <w:numId w:val="22"/>
        </w:numPr>
        <w:outlineLvl w:val="1"/>
        <w:rPr>
          <w:b/>
          <w:vanish/>
        </w:rPr>
      </w:pPr>
      <w:bookmarkStart w:id="57" w:name="_Toc310946506"/>
      <w:bookmarkStart w:id="58" w:name="_Toc311029133"/>
      <w:bookmarkEnd w:id="57"/>
      <w:bookmarkEnd w:id="58"/>
    </w:p>
    <w:p w:rsidR="00A34780" w:rsidRPr="00A34780" w:rsidRDefault="00A34780" w:rsidP="00A34780">
      <w:pPr>
        <w:pStyle w:val="ListParagraph"/>
        <w:numPr>
          <w:ilvl w:val="0"/>
          <w:numId w:val="22"/>
        </w:numPr>
        <w:outlineLvl w:val="1"/>
        <w:rPr>
          <w:b/>
          <w:vanish/>
        </w:rPr>
      </w:pPr>
      <w:bookmarkStart w:id="59" w:name="_Toc310946507"/>
      <w:bookmarkStart w:id="60" w:name="_Toc311029134"/>
      <w:bookmarkEnd w:id="59"/>
      <w:bookmarkEnd w:id="60"/>
    </w:p>
    <w:p w:rsidR="00A34780" w:rsidRPr="00A34780" w:rsidRDefault="00A34780" w:rsidP="00A34780">
      <w:pPr>
        <w:pStyle w:val="ListParagraph"/>
        <w:numPr>
          <w:ilvl w:val="0"/>
          <w:numId w:val="22"/>
        </w:numPr>
        <w:outlineLvl w:val="1"/>
        <w:rPr>
          <w:b/>
          <w:vanish/>
        </w:rPr>
      </w:pPr>
      <w:bookmarkStart w:id="61" w:name="_Toc310946508"/>
      <w:bookmarkStart w:id="62" w:name="_Toc311029135"/>
      <w:bookmarkEnd w:id="61"/>
      <w:bookmarkEnd w:id="62"/>
    </w:p>
    <w:p w:rsidR="00A34780" w:rsidRPr="00A34780" w:rsidRDefault="00A34780" w:rsidP="00A34780">
      <w:pPr>
        <w:pStyle w:val="ListParagraph"/>
        <w:numPr>
          <w:ilvl w:val="0"/>
          <w:numId w:val="22"/>
        </w:numPr>
        <w:outlineLvl w:val="1"/>
        <w:rPr>
          <w:b/>
          <w:vanish/>
        </w:rPr>
      </w:pPr>
      <w:bookmarkStart w:id="63" w:name="_Toc310946509"/>
      <w:bookmarkStart w:id="64" w:name="_Toc311029136"/>
      <w:bookmarkEnd w:id="63"/>
      <w:bookmarkEnd w:id="64"/>
    </w:p>
    <w:p w:rsidR="00A34780" w:rsidRDefault="00A34780" w:rsidP="00A34780">
      <w:pPr>
        <w:pStyle w:val="Heading2"/>
        <w:numPr>
          <w:ilvl w:val="0"/>
          <w:numId w:val="22"/>
        </w:numPr>
      </w:pPr>
      <w:bookmarkStart w:id="65" w:name="_Toc311029137"/>
      <w:r>
        <w:t xml:space="preserve">Accounting for the Net </w:t>
      </w:r>
      <w:r w:rsidRPr="007D5A76">
        <w:t xml:space="preserve">Benefits of Off-System Sales and </w:t>
      </w:r>
      <w:r>
        <w:t xml:space="preserve">Costs </w:t>
      </w:r>
      <w:r w:rsidRPr="007D5A76">
        <w:t>Avoided Due to the Utility’s Conservation Efforts</w:t>
      </w:r>
      <w:bookmarkEnd w:id="65"/>
    </w:p>
    <w:p w:rsidR="00A34780" w:rsidRPr="007D5A76" w:rsidRDefault="00A34780" w:rsidP="00A34780">
      <w:pPr>
        <w:rPr>
          <w:rFonts w:cs="Times New Roman"/>
          <w:szCs w:val="24"/>
        </w:rPr>
      </w:pPr>
      <w:r>
        <w:rPr>
          <w:rFonts w:cs="Times New Roman"/>
          <w:szCs w:val="24"/>
        </w:rPr>
        <w:t>T</w:t>
      </w:r>
      <w:r w:rsidRPr="007D5A76">
        <w:rPr>
          <w:rFonts w:cs="Times New Roman"/>
          <w:szCs w:val="24"/>
        </w:rPr>
        <w:t>he Commission requires an accounting for certain off-system sales and avoided costs:</w:t>
      </w:r>
    </w:p>
    <w:p w:rsidR="00A34780" w:rsidRPr="007D5A76" w:rsidRDefault="00A34780" w:rsidP="00A34780">
      <w:pPr>
        <w:ind w:left="720"/>
        <w:rPr>
          <w:rFonts w:cs="Times New Roman"/>
          <w:szCs w:val="24"/>
        </w:rPr>
      </w:pPr>
      <w:r w:rsidRPr="007D5A76">
        <w:rPr>
          <w:rFonts w:cs="Times New Roman"/>
          <w:i/>
          <w:szCs w:val="24"/>
        </w:rPr>
        <w:t xml:space="preserve">Accounting for Off-System Sales and Avoided Costs.  </w:t>
      </w:r>
      <w:r w:rsidRPr="007D5A76">
        <w:rPr>
          <w:rFonts w:cs="Times New Roman"/>
          <w:szCs w:val="24"/>
        </w:rPr>
        <w:t>A description of the method the company intends to use to determine the financial benefits associated with off-system sales or avoided costs attributable to the utility's conservation efforts and then to net these benefits against the true-up provided in this mechanism.</w:t>
      </w:r>
      <w:r w:rsidRPr="007D5A76">
        <w:rPr>
          <w:rStyle w:val="FootnoteReference"/>
          <w:rFonts w:cs="Times New Roman"/>
          <w:szCs w:val="24"/>
        </w:rPr>
        <w:footnoteReference w:id="40"/>
      </w:r>
    </w:p>
    <w:p w:rsidR="00A34780" w:rsidRPr="007D5A76" w:rsidRDefault="00A34780" w:rsidP="00A34780">
      <w:pPr>
        <w:rPr>
          <w:rFonts w:cs="Times New Roman"/>
          <w:szCs w:val="24"/>
        </w:rPr>
      </w:pPr>
      <w:r w:rsidRPr="007D5A76">
        <w:rPr>
          <w:rFonts w:cs="Times New Roman"/>
          <w:szCs w:val="24"/>
        </w:rPr>
        <w:t>In the related footnote, the Commission explains:</w:t>
      </w:r>
    </w:p>
    <w:p w:rsidR="00A34780" w:rsidRPr="007D5A76" w:rsidRDefault="00A34780" w:rsidP="00A34780">
      <w:pPr>
        <w:ind w:left="720"/>
        <w:rPr>
          <w:rFonts w:cs="Times New Roman"/>
          <w:szCs w:val="24"/>
        </w:rPr>
      </w:pPr>
      <w:r w:rsidRPr="007D5A76">
        <w:rPr>
          <w:rFonts w:cs="Times New Roman"/>
          <w:szCs w:val="24"/>
        </w:rPr>
        <w:t>In principle, for every megawatt hour saved through the operation of the utility’s conservation program, it has the opportunity to either sell the same in the appropriate market (off-system sales), or avoid having to purchase or produce electricity to meet its load requirements.  The accounting of this form of found revenue differs between electric utilities with power cost adjustment mechanisms and those without. After rates have been set for an electric utility that does not have a power cost adjustment mechanism, the marginal avoided cost of producing or buying electricity, or the marginal revenue (net of marginal cost) from the sale of electricity made surplus by conservation not incorporated into the calculation of the power costs, is a direct benefit to the utility shareholders.  For utilities with a power cost adjustment mechanism, loads are projected in a future test year, with reductions in the load for the expected conservation levels.  Consequently, for the effective rate year following the setting of rates, only conservation above the expected level of conservation would result in an opportunity to reduce power costs or realize additional revenues from incremental sales.  In the years after the projected rate year, the marginal avoided cost of producing or buying electricity, or the marginal revenue (net of marginal cost) from a sale of electricity made surplus by conservation, is a direct benefit.</w:t>
      </w:r>
      <w:r w:rsidRPr="007D5A76">
        <w:rPr>
          <w:rStyle w:val="FootnoteReference"/>
          <w:rFonts w:cs="Times New Roman"/>
          <w:szCs w:val="24"/>
        </w:rPr>
        <w:footnoteReference w:id="41"/>
      </w:r>
    </w:p>
    <w:p w:rsidR="00A34780" w:rsidRDefault="00A34780" w:rsidP="00A34780">
      <w:pPr>
        <w:rPr>
          <w:rFonts w:cs="Times New Roman"/>
          <w:szCs w:val="24"/>
        </w:rPr>
      </w:pPr>
      <w:r w:rsidRPr="007D5A76">
        <w:rPr>
          <w:rFonts w:cs="Times New Roman"/>
          <w:szCs w:val="24"/>
        </w:rPr>
        <w:t>Th</w:t>
      </w:r>
      <w:r>
        <w:rPr>
          <w:rFonts w:cs="Times New Roman"/>
          <w:szCs w:val="24"/>
        </w:rPr>
        <w:t>e Commission reinforced th</w:t>
      </w:r>
      <w:r w:rsidRPr="007D5A76">
        <w:rPr>
          <w:rFonts w:cs="Times New Roman"/>
          <w:szCs w:val="24"/>
        </w:rPr>
        <w:t xml:space="preserve">is </w:t>
      </w:r>
      <w:r>
        <w:rPr>
          <w:rFonts w:cs="Times New Roman"/>
          <w:szCs w:val="24"/>
        </w:rPr>
        <w:t xml:space="preserve">statement </w:t>
      </w:r>
      <w:r w:rsidRPr="007D5A76">
        <w:rPr>
          <w:rFonts w:cs="Times New Roman"/>
          <w:szCs w:val="24"/>
        </w:rPr>
        <w:t>in the part of the Bench Request that requires Staff to “[consider] lost sales revenues that are potentially offset by avoided costs and other benefits.</w:t>
      </w:r>
      <w:r>
        <w:rPr>
          <w:rFonts w:cs="Times New Roman"/>
          <w:szCs w:val="24"/>
        </w:rPr>
        <w:t>”</w:t>
      </w:r>
      <w:r w:rsidRPr="007D5A76">
        <w:rPr>
          <w:rStyle w:val="FootnoteReference"/>
          <w:rFonts w:cs="Times New Roman"/>
          <w:szCs w:val="24"/>
        </w:rPr>
        <w:footnoteReference w:id="42"/>
      </w:r>
    </w:p>
    <w:p w:rsidR="00A34780" w:rsidRPr="001C4BEE" w:rsidRDefault="00A34780" w:rsidP="00A34780">
      <w:pPr>
        <w:rPr>
          <w:rFonts w:cs="Times New Roman"/>
          <w:szCs w:val="24"/>
        </w:rPr>
      </w:pPr>
      <w:r w:rsidRPr="001C4BEE">
        <w:rPr>
          <w:rFonts w:cs="Times New Roman"/>
          <w:szCs w:val="24"/>
        </w:rPr>
        <w:t>There are two separate categories of benefits from utility conservation efforts that should</w:t>
      </w:r>
      <w:r>
        <w:rPr>
          <w:rFonts w:cs="Times New Roman"/>
          <w:szCs w:val="24"/>
        </w:rPr>
        <w:t xml:space="preserve"> </w:t>
      </w:r>
      <w:r w:rsidRPr="001C4BEE">
        <w:rPr>
          <w:rFonts w:cs="Times New Roman"/>
          <w:szCs w:val="24"/>
        </w:rPr>
        <w:t xml:space="preserve">be considered. </w:t>
      </w:r>
      <w:r>
        <w:rPr>
          <w:rFonts w:cs="Times New Roman"/>
          <w:szCs w:val="24"/>
        </w:rPr>
        <w:t xml:space="preserve"> </w:t>
      </w:r>
      <w:r w:rsidRPr="001C4BEE">
        <w:rPr>
          <w:rFonts w:cs="Times New Roman"/>
          <w:szCs w:val="24"/>
        </w:rPr>
        <w:t>The first are power costs: fuel, purchased power, sales for resale, and</w:t>
      </w:r>
      <w:r>
        <w:rPr>
          <w:rFonts w:cs="Times New Roman"/>
          <w:szCs w:val="24"/>
        </w:rPr>
        <w:t xml:space="preserve"> </w:t>
      </w:r>
      <w:r w:rsidRPr="001C4BEE">
        <w:rPr>
          <w:rFonts w:cs="Times New Roman"/>
          <w:szCs w:val="24"/>
        </w:rPr>
        <w:t xml:space="preserve">transmission by others. </w:t>
      </w:r>
      <w:r>
        <w:rPr>
          <w:rFonts w:cs="Times New Roman"/>
          <w:szCs w:val="24"/>
        </w:rPr>
        <w:t xml:space="preserve"> </w:t>
      </w:r>
      <w:r w:rsidRPr="001C4BEE">
        <w:rPr>
          <w:rFonts w:cs="Times New Roman"/>
          <w:szCs w:val="24"/>
        </w:rPr>
        <w:t>The second consists of distribution (and even transmission)</w:t>
      </w:r>
      <w:r>
        <w:rPr>
          <w:rFonts w:cs="Times New Roman"/>
          <w:szCs w:val="24"/>
        </w:rPr>
        <w:t xml:space="preserve"> </w:t>
      </w:r>
      <w:r w:rsidRPr="001C4BEE">
        <w:rPr>
          <w:rFonts w:cs="Times New Roman"/>
          <w:szCs w:val="24"/>
        </w:rPr>
        <w:t>capacity deferrals.</w:t>
      </w:r>
    </w:p>
    <w:p w:rsidR="00A34780" w:rsidRDefault="00A34780" w:rsidP="00A34780">
      <w:pPr>
        <w:rPr>
          <w:rFonts w:cs="Times New Roman"/>
          <w:szCs w:val="24"/>
        </w:rPr>
      </w:pPr>
      <w:r>
        <w:rPr>
          <w:rFonts w:cs="Times New Roman"/>
          <w:szCs w:val="24"/>
        </w:rPr>
        <w:t xml:space="preserve">If a utility has a </w:t>
      </w:r>
      <w:r w:rsidRPr="001C4BEE">
        <w:rPr>
          <w:rFonts w:cs="Times New Roman"/>
          <w:szCs w:val="24"/>
        </w:rPr>
        <w:t>fuel and purchased power adjustment</w:t>
      </w:r>
      <w:r>
        <w:rPr>
          <w:rFonts w:cs="Times New Roman"/>
          <w:szCs w:val="24"/>
        </w:rPr>
        <w:t xml:space="preserve"> mechanism</w:t>
      </w:r>
      <w:r w:rsidRPr="001C4BEE">
        <w:rPr>
          <w:rFonts w:cs="Times New Roman"/>
          <w:szCs w:val="24"/>
        </w:rPr>
        <w:t xml:space="preserve"> that</w:t>
      </w:r>
      <w:r>
        <w:rPr>
          <w:rFonts w:cs="Times New Roman"/>
          <w:szCs w:val="24"/>
        </w:rPr>
        <w:t xml:space="preserve"> </w:t>
      </w:r>
      <w:r w:rsidRPr="001C4BEE">
        <w:rPr>
          <w:rFonts w:cs="Times New Roman"/>
          <w:szCs w:val="24"/>
        </w:rPr>
        <w:t>automatically flow</w:t>
      </w:r>
      <w:r>
        <w:rPr>
          <w:rFonts w:cs="Times New Roman"/>
          <w:szCs w:val="24"/>
        </w:rPr>
        <w:t>s</w:t>
      </w:r>
      <w:r w:rsidRPr="001C4BEE">
        <w:rPr>
          <w:rFonts w:cs="Times New Roman"/>
          <w:szCs w:val="24"/>
        </w:rPr>
        <w:t xml:space="preserve"> through </w:t>
      </w:r>
      <w:r>
        <w:rPr>
          <w:rFonts w:cs="Times New Roman"/>
          <w:szCs w:val="24"/>
        </w:rPr>
        <w:t xml:space="preserve">all </w:t>
      </w:r>
      <w:r w:rsidRPr="001C4BEE">
        <w:rPr>
          <w:rFonts w:cs="Times New Roman"/>
          <w:szCs w:val="24"/>
        </w:rPr>
        <w:t xml:space="preserve">changes in power costs, </w:t>
      </w:r>
      <w:r>
        <w:rPr>
          <w:rFonts w:cs="Times New Roman"/>
          <w:szCs w:val="24"/>
        </w:rPr>
        <w:t xml:space="preserve">the costs and benefits of concern to the Commission would be addressed in the </w:t>
      </w:r>
      <w:r w:rsidRPr="001C4BEE">
        <w:rPr>
          <w:rFonts w:cs="Times New Roman"/>
          <w:szCs w:val="24"/>
        </w:rPr>
        <w:t xml:space="preserve">power cost mechanism </w:t>
      </w:r>
      <w:r>
        <w:rPr>
          <w:rFonts w:cs="Times New Roman"/>
          <w:szCs w:val="24"/>
        </w:rPr>
        <w:t xml:space="preserve">and it would be sufficient to simply allow such a power cost mechanism to operate outside the otherwise “full” </w:t>
      </w:r>
      <w:r w:rsidRPr="001C4BEE">
        <w:rPr>
          <w:rFonts w:cs="Times New Roman"/>
          <w:szCs w:val="24"/>
        </w:rPr>
        <w:t>decoupling</w:t>
      </w:r>
      <w:r>
        <w:rPr>
          <w:rFonts w:cs="Times New Roman"/>
          <w:szCs w:val="24"/>
        </w:rPr>
        <w:t xml:space="preserve"> </w:t>
      </w:r>
      <w:r w:rsidRPr="001C4BEE">
        <w:rPr>
          <w:rFonts w:cs="Times New Roman"/>
          <w:szCs w:val="24"/>
        </w:rPr>
        <w:t>mechanism</w:t>
      </w:r>
      <w:r>
        <w:rPr>
          <w:rFonts w:cs="Times New Roman"/>
          <w:szCs w:val="24"/>
        </w:rPr>
        <w:t>.  As we noted earlier, the Commission’s Decoupling Policy Statement allows for such power cost mechanisms in tandem with full decoupling.</w:t>
      </w:r>
    </w:p>
    <w:p w:rsidR="00A34780" w:rsidRDefault="00A34780" w:rsidP="00A34780">
      <w:pPr>
        <w:rPr>
          <w:rFonts w:cs="Times New Roman"/>
          <w:szCs w:val="24"/>
        </w:rPr>
      </w:pPr>
      <w:r>
        <w:rPr>
          <w:rFonts w:cs="Times New Roman"/>
          <w:szCs w:val="24"/>
        </w:rPr>
        <w:t xml:space="preserve">However, PSE does not </w:t>
      </w:r>
      <w:r w:rsidRPr="001C4BEE">
        <w:rPr>
          <w:rFonts w:cs="Times New Roman"/>
          <w:szCs w:val="24"/>
        </w:rPr>
        <w:t xml:space="preserve">have </w:t>
      </w:r>
      <w:r>
        <w:rPr>
          <w:rFonts w:cs="Times New Roman"/>
          <w:szCs w:val="24"/>
        </w:rPr>
        <w:t xml:space="preserve">a </w:t>
      </w:r>
      <w:r w:rsidRPr="001C4BEE">
        <w:rPr>
          <w:rFonts w:cs="Times New Roman"/>
          <w:szCs w:val="24"/>
        </w:rPr>
        <w:t xml:space="preserve">full pass-through </w:t>
      </w:r>
      <w:r>
        <w:rPr>
          <w:rFonts w:cs="Times New Roman"/>
          <w:szCs w:val="24"/>
        </w:rPr>
        <w:t xml:space="preserve">power cost adjustment </w:t>
      </w:r>
      <w:r w:rsidRPr="001C4BEE">
        <w:rPr>
          <w:rFonts w:cs="Times New Roman"/>
          <w:szCs w:val="24"/>
        </w:rPr>
        <w:t>mechanism</w:t>
      </w:r>
      <w:r>
        <w:rPr>
          <w:rFonts w:cs="Times New Roman"/>
          <w:szCs w:val="24"/>
        </w:rPr>
        <w:t xml:space="preserve"> (PCA)</w:t>
      </w:r>
      <w:r w:rsidRPr="001C4BEE">
        <w:rPr>
          <w:rFonts w:cs="Times New Roman"/>
          <w:szCs w:val="24"/>
        </w:rPr>
        <w:t xml:space="preserve">, </w:t>
      </w:r>
      <w:r>
        <w:rPr>
          <w:rFonts w:cs="Times New Roman"/>
          <w:szCs w:val="24"/>
        </w:rPr>
        <w:t>due to the $</w:t>
      </w:r>
      <w:r w:rsidR="00226EBF">
        <w:rPr>
          <w:rFonts w:cs="Times New Roman"/>
          <w:szCs w:val="24"/>
        </w:rPr>
        <w:t>2</w:t>
      </w:r>
      <w:r>
        <w:rPr>
          <w:rFonts w:cs="Times New Roman"/>
          <w:szCs w:val="24"/>
        </w:rPr>
        <w:t>0 million dead band.</w:t>
      </w:r>
      <w:r w:rsidR="00226EBF">
        <w:rPr>
          <w:rStyle w:val="FootnoteReference"/>
          <w:rFonts w:cs="Times New Roman"/>
          <w:szCs w:val="24"/>
        </w:rPr>
        <w:footnoteReference w:id="43"/>
      </w:r>
      <w:r>
        <w:rPr>
          <w:rFonts w:cs="Times New Roman"/>
          <w:szCs w:val="24"/>
        </w:rPr>
        <w:t xml:space="preserve">  That $</w:t>
      </w:r>
      <w:r w:rsidR="00226EBF">
        <w:rPr>
          <w:rFonts w:cs="Times New Roman"/>
          <w:szCs w:val="24"/>
        </w:rPr>
        <w:t>2</w:t>
      </w:r>
      <w:r>
        <w:rPr>
          <w:rFonts w:cs="Times New Roman"/>
          <w:szCs w:val="24"/>
        </w:rPr>
        <w:t xml:space="preserve">0 million dead band greatly exceeds the amount of power cost savings (and also the amount of benefits through additional wholesale power sales opportunities) likely to be achieved through Company-sponsored energy efficiency programs.  </w:t>
      </w:r>
    </w:p>
    <w:p w:rsidR="00A34780" w:rsidRPr="001C4BEE" w:rsidRDefault="00A34780" w:rsidP="00A34780">
      <w:pPr>
        <w:rPr>
          <w:rFonts w:cs="Times New Roman"/>
          <w:szCs w:val="24"/>
        </w:rPr>
      </w:pPr>
      <w:r>
        <w:rPr>
          <w:rFonts w:cs="Times New Roman"/>
          <w:szCs w:val="24"/>
        </w:rPr>
        <w:t>Because PSE’s PCA does not capture any of the power cost impacts of reduced sales due to efficiency</w:t>
      </w:r>
      <w:r w:rsidRPr="001C4BEE">
        <w:rPr>
          <w:rFonts w:cs="Times New Roman"/>
          <w:szCs w:val="24"/>
        </w:rPr>
        <w:t>, special</w:t>
      </w:r>
      <w:r>
        <w:rPr>
          <w:rFonts w:cs="Times New Roman"/>
          <w:szCs w:val="24"/>
        </w:rPr>
        <w:t xml:space="preserve"> </w:t>
      </w:r>
      <w:r w:rsidRPr="001C4BEE">
        <w:rPr>
          <w:rFonts w:cs="Times New Roman"/>
          <w:szCs w:val="24"/>
        </w:rPr>
        <w:t xml:space="preserve">attention </w:t>
      </w:r>
      <w:r>
        <w:rPr>
          <w:rFonts w:cs="Times New Roman"/>
          <w:szCs w:val="24"/>
        </w:rPr>
        <w:t xml:space="preserve">needs to be paid </w:t>
      </w:r>
      <w:r w:rsidRPr="001C4BEE">
        <w:rPr>
          <w:rFonts w:cs="Times New Roman"/>
          <w:szCs w:val="24"/>
        </w:rPr>
        <w:t xml:space="preserve">to power costs in designing a </w:t>
      </w:r>
      <w:r w:rsidR="00582617">
        <w:rPr>
          <w:rFonts w:cs="Times New Roman"/>
          <w:szCs w:val="24"/>
        </w:rPr>
        <w:t xml:space="preserve">full </w:t>
      </w:r>
      <w:r w:rsidRPr="001C4BEE">
        <w:rPr>
          <w:rFonts w:cs="Times New Roman"/>
          <w:szCs w:val="24"/>
        </w:rPr>
        <w:t>decoupling mechanism.</w:t>
      </w:r>
    </w:p>
    <w:p w:rsidR="00A34780" w:rsidRPr="001C4BEE" w:rsidRDefault="00A34780" w:rsidP="00A34780">
      <w:pPr>
        <w:rPr>
          <w:rFonts w:cs="Times New Roman"/>
          <w:szCs w:val="24"/>
        </w:rPr>
      </w:pPr>
      <w:r w:rsidRPr="001C4BEE">
        <w:rPr>
          <w:rFonts w:cs="Times New Roman"/>
          <w:szCs w:val="24"/>
        </w:rPr>
        <w:t xml:space="preserve">The simplest way to do this in the context of a </w:t>
      </w:r>
      <w:r w:rsidR="00582617">
        <w:rPr>
          <w:rFonts w:cs="Times New Roman"/>
          <w:szCs w:val="24"/>
        </w:rPr>
        <w:t xml:space="preserve">full </w:t>
      </w:r>
      <w:r w:rsidRPr="001C4BEE">
        <w:rPr>
          <w:rFonts w:cs="Times New Roman"/>
          <w:szCs w:val="24"/>
        </w:rPr>
        <w:t>decoupling mechanism would be to</w:t>
      </w:r>
      <w:r>
        <w:rPr>
          <w:rFonts w:cs="Times New Roman"/>
          <w:szCs w:val="24"/>
        </w:rPr>
        <w:t xml:space="preserve"> </w:t>
      </w:r>
      <w:r w:rsidRPr="001C4BEE">
        <w:rPr>
          <w:rFonts w:cs="Times New Roman"/>
          <w:szCs w:val="24"/>
        </w:rPr>
        <w:t xml:space="preserve">subtract </w:t>
      </w:r>
      <w:r>
        <w:rPr>
          <w:rFonts w:cs="Times New Roman"/>
          <w:szCs w:val="24"/>
        </w:rPr>
        <w:t>the</w:t>
      </w:r>
      <w:r w:rsidRPr="001C4BEE">
        <w:rPr>
          <w:rFonts w:cs="Times New Roman"/>
          <w:szCs w:val="24"/>
        </w:rPr>
        <w:t xml:space="preserve"> average power cost avoidance from the decoupling deferral. </w:t>
      </w:r>
      <w:r>
        <w:rPr>
          <w:rFonts w:cs="Times New Roman"/>
          <w:szCs w:val="24"/>
        </w:rPr>
        <w:t xml:space="preserve"> </w:t>
      </w:r>
      <w:r w:rsidRPr="001C4BEE">
        <w:rPr>
          <w:rFonts w:cs="Times New Roman"/>
          <w:szCs w:val="24"/>
        </w:rPr>
        <w:t>Simply stated, if</w:t>
      </w:r>
      <w:r>
        <w:rPr>
          <w:rFonts w:cs="Times New Roman"/>
          <w:szCs w:val="24"/>
        </w:rPr>
        <w:t xml:space="preserve"> </w:t>
      </w:r>
      <w:r w:rsidRPr="001C4BEE">
        <w:rPr>
          <w:rFonts w:cs="Times New Roman"/>
          <w:szCs w:val="24"/>
        </w:rPr>
        <w:t>sales dropped 500,000 kWh, and the average wholesale rate during that period was</w:t>
      </w:r>
      <w:r>
        <w:rPr>
          <w:rFonts w:cs="Times New Roman"/>
          <w:szCs w:val="24"/>
        </w:rPr>
        <w:t xml:space="preserve"> </w:t>
      </w:r>
      <w:r w:rsidRPr="001C4BEE">
        <w:rPr>
          <w:rFonts w:cs="Times New Roman"/>
          <w:szCs w:val="24"/>
        </w:rPr>
        <w:t xml:space="preserve">$.05/kWh, then the deferral amount would be reduced by $25,000. </w:t>
      </w:r>
      <w:r>
        <w:rPr>
          <w:rFonts w:cs="Times New Roman"/>
          <w:szCs w:val="24"/>
        </w:rPr>
        <w:t xml:space="preserve"> </w:t>
      </w:r>
      <w:r w:rsidRPr="001C4BEE">
        <w:rPr>
          <w:rFonts w:cs="Times New Roman"/>
          <w:szCs w:val="24"/>
        </w:rPr>
        <w:t>The “average</w:t>
      </w:r>
      <w:r>
        <w:rPr>
          <w:rFonts w:cs="Times New Roman"/>
          <w:szCs w:val="24"/>
        </w:rPr>
        <w:t xml:space="preserve"> </w:t>
      </w:r>
      <w:r w:rsidRPr="001C4BEE">
        <w:rPr>
          <w:rFonts w:cs="Times New Roman"/>
          <w:szCs w:val="24"/>
        </w:rPr>
        <w:t>wholesale rate” could be taken from actual market averages during the decoupling year,</w:t>
      </w:r>
      <w:r>
        <w:rPr>
          <w:rFonts w:cs="Times New Roman"/>
          <w:szCs w:val="24"/>
        </w:rPr>
        <w:t xml:space="preserve"> </w:t>
      </w:r>
      <w:r w:rsidRPr="001C4BEE">
        <w:rPr>
          <w:rFonts w:cs="Times New Roman"/>
          <w:szCs w:val="24"/>
        </w:rPr>
        <w:t>or</w:t>
      </w:r>
      <w:r>
        <w:rPr>
          <w:rFonts w:cs="Times New Roman"/>
          <w:szCs w:val="24"/>
        </w:rPr>
        <w:t xml:space="preserve"> it could be </w:t>
      </w:r>
      <w:r w:rsidRPr="001C4BEE">
        <w:rPr>
          <w:rFonts w:cs="Times New Roman"/>
          <w:szCs w:val="24"/>
        </w:rPr>
        <w:t>set in advance.</w:t>
      </w:r>
    </w:p>
    <w:p w:rsidR="00A34780" w:rsidRPr="001C4BEE" w:rsidRDefault="00A34780" w:rsidP="00A34780">
      <w:pPr>
        <w:rPr>
          <w:rFonts w:cs="Times New Roman"/>
          <w:szCs w:val="24"/>
        </w:rPr>
      </w:pPr>
      <w:r w:rsidRPr="001C4BEE">
        <w:rPr>
          <w:rFonts w:cs="Times New Roman"/>
          <w:szCs w:val="24"/>
        </w:rPr>
        <w:t xml:space="preserve">The </w:t>
      </w:r>
      <w:r>
        <w:rPr>
          <w:rFonts w:cs="Times New Roman"/>
          <w:szCs w:val="24"/>
        </w:rPr>
        <w:t xml:space="preserve">Company’s </w:t>
      </w:r>
      <w:r w:rsidRPr="001C4BEE">
        <w:rPr>
          <w:rFonts w:cs="Times New Roman"/>
          <w:szCs w:val="24"/>
        </w:rPr>
        <w:t xml:space="preserve">wholesale power costs would </w:t>
      </w:r>
      <w:r>
        <w:rPr>
          <w:rFonts w:cs="Times New Roman"/>
          <w:szCs w:val="24"/>
        </w:rPr>
        <w:t xml:space="preserve">also </w:t>
      </w:r>
      <w:r w:rsidRPr="001C4BEE">
        <w:rPr>
          <w:rFonts w:cs="Times New Roman"/>
          <w:szCs w:val="24"/>
        </w:rPr>
        <w:t>need to be adjusted to reflect the marginal line losses</w:t>
      </w:r>
      <w:r>
        <w:rPr>
          <w:rFonts w:cs="Times New Roman"/>
          <w:szCs w:val="24"/>
        </w:rPr>
        <w:t xml:space="preserve"> </w:t>
      </w:r>
      <w:r w:rsidRPr="001C4BEE">
        <w:rPr>
          <w:rFonts w:cs="Times New Roman"/>
          <w:szCs w:val="24"/>
        </w:rPr>
        <w:t xml:space="preserve">associated with load changes. </w:t>
      </w:r>
      <w:r>
        <w:rPr>
          <w:rFonts w:cs="Times New Roman"/>
          <w:szCs w:val="24"/>
        </w:rPr>
        <w:t xml:space="preserve"> Using the same example, if PSE’s retail electric sales  dropped by </w:t>
      </w:r>
      <w:r w:rsidRPr="001C4BEE">
        <w:rPr>
          <w:rFonts w:cs="Times New Roman"/>
          <w:szCs w:val="24"/>
        </w:rPr>
        <w:t>500,000 kWh at the</w:t>
      </w:r>
      <w:r>
        <w:rPr>
          <w:rFonts w:cs="Times New Roman"/>
          <w:szCs w:val="24"/>
        </w:rPr>
        <w:t xml:space="preserve"> </w:t>
      </w:r>
      <w:r w:rsidRPr="001C4BEE">
        <w:rPr>
          <w:rFonts w:cs="Times New Roman"/>
          <w:szCs w:val="24"/>
        </w:rPr>
        <w:t>distribution level</w:t>
      </w:r>
      <w:r>
        <w:rPr>
          <w:rFonts w:cs="Times New Roman"/>
          <w:szCs w:val="24"/>
        </w:rPr>
        <w:t>, this</w:t>
      </w:r>
      <w:r w:rsidRPr="001C4BEE">
        <w:rPr>
          <w:rFonts w:cs="Times New Roman"/>
          <w:szCs w:val="24"/>
        </w:rPr>
        <w:t xml:space="preserve"> would imply </w:t>
      </w:r>
      <w:r>
        <w:rPr>
          <w:rFonts w:cs="Times New Roman"/>
          <w:szCs w:val="24"/>
        </w:rPr>
        <w:t xml:space="preserve">PSE actually </w:t>
      </w:r>
      <w:r w:rsidRPr="001C4BEE">
        <w:rPr>
          <w:rFonts w:cs="Times New Roman"/>
          <w:szCs w:val="24"/>
        </w:rPr>
        <w:t>avoid</w:t>
      </w:r>
      <w:r>
        <w:rPr>
          <w:rFonts w:cs="Times New Roman"/>
          <w:szCs w:val="24"/>
        </w:rPr>
        <w:t>ed</w:t>
      </w:r>
      <w:r w:rsidRPr="001C4BEE">
        <w:rPr>
          <w:rFonts w:cs="Times New Roman"/>
          <w:szCs w:val="24"/>
        </w:rPr>
        <w:t xml:space="preserve"> more like 550,000 kWh of wholesale power</w:t>
      </w:r>
      <w:r>
        <w:rPr>
          <w:rFonts w:cs="Times New Roman"/>
          <w:szCs w:val="24"/>
        </w:rPr>
        <w:t xml:space="preserve"> </w:t>
      </w:r>
      <w:r w:rsidRPr="001C4BEE">
        <w:rPr>
          <w:rFonts w:cs="Times New Roman"/>
          <w:szCs w:val="24"/>
        </w:rPr>
        <w:t xml:space="preserve">supply (at a marginal </w:t>
      </w:r>
      <w:r>
        <w:rPr>
          <w:rFonts w:cs="Times New Roman"/>
          <w:szCs w:val="24"/>
        </w:rPr>
        <w:t xml:space="preserve">distribution </w:t>
      </w:r>
      <w:r w:rsidRPr="001C4BEE">
        <w:rPr>
          <w:rFonts w:cs="Times New Roman"/>
          <w:szCs w:val="24"/>
        </w:rPr>
        <w:t>line loss level of 10</w:t>
      </w:r>
      <w:r>
        <w:rPr>
          <w:rFonts w:cs="Times New Roman"/>
          <w:szCs w:val="24"/>
        </w:rPr>
        <w:t>%).</w:t>
      </w:r>
    </w:p>
    <w:p w:rsidR="00A34780" w:rsidRDefault="00A34780" w:rsidP="00A34780">
      <w:pPr>
        <w:rPr>
          <w:rFonts w:cs="Times New Roman"/>
          <w:szCs w:val="24"/>
        </w:rPr>
      </w:pPr>
      <w:r w:rsidRPr="001C4BEE">
        <w:rPr>
          <w:rFonts w:cs="Times New Roman"/>
          <w:szCs w:val="24"/>
        </w:rPr>
        <w:t xml:space="preserve">The second category of cost avoidance </w:t>
      </w:r>
      <w:r>
        <w:rPr>
          <w:rFonts w:cs="Times New Roman"/>
          <w:szCs w:val="24"/>
        </w:rPr>
        <w:t xml:space="preserve">due to a decline in retail sales due to conservation </w:t>
      </w:r>
      <w:r w:rsidRPr="001C4BEE">
        <w:rPr>
          <w:rFonts w:cs="Times New Roman"/>
          <w:szCs w:val="24"/>
        </w:rPr>
        <w:t>consists of distribution system capacity deferrals.</w:t>
      </w:r>
      <w:r>
        <w:rPr>
          <w:rFonts w:cs="Times New Roman"/>
          <w:szCs w:val="24"/>
        </w:rPr>
        <w:t xml:space="preserve"> </w:t>
      </w:r>
      <w:r w:rsidRPr="001C4BEE">
        <w:rPr>
          <w:rFonts w:cs="Times New Roman"/>
          <w:szCs w:val="24"/>
        </w:rPr>
        <w:t xml:space="preserve">These are much more complex. </w:t>
      </w:r>
      <w:r>
        <w:rPr>
          <w:rFonts w:cs="Times New Roman"/>
          <w:szCs w:val="24"/>
        </w:rPr>
        <w:t xml:space="preserve"> For example, if</w:t>
      </w:r>
      <w:r w:rsidRPr="001C4BEE">
        <w:rPr>
          <w:rFonts w:cs="Times New Roman"/>
          <w:szCs w:val="24"/>
        </w:rPr>
        <w:t xml:space="preserve"> the utility targets energy efficiency programs to those</w:t>
      </w:r>
      <w:r>
        <w:rPr>
          <w:rFonts w:cs="Times New Roman"/>
          <w:szCs w:val="24"/>
        </w:rPr>
        <w:t xml:space="preserve"> </w:t>
      </w:r>
      <w:r w:rsidRPr="001C4BEE">
        <w:rPr>
          <w:rFonts w:cs="Times New Roman"/>
          <w:szCs w:val="24"/>
        </w:rPr>
        <w:t>distribution circuits that are scheduled for capacity upgrades, it can reduce or avoid the</w:t>
      </w:r>
      <w:r>
        <w:rPr>
          <w:rFonts w:cs="Times New Roman"/>
          <w:szCs w:val="24"/>
        </w:rPr>
        <w:t xml:space="preserve"> </w:t>
      </w:r>
      <w:r w:rsidRPr="001C4BEE">
        <w:rPr>
          <w:rFonts w:cs="Times New Roman"/>
          <w:szCs w:val="24"/>
        </w:rPr>
        <w:t>cost of those upgrades</w:t>
      </w:r>
      <w:r>
        <w:rPr>
          <w:rFonts w:cs="Times New Roman"/>
          <w:szCs w:val="24"/>
        </w:rPr>
        <w:t>.  This enables the utility to serve new customers – and generate new revenues from those customers – without expanding the distribution system capacity</w:t>
      </w:r>
      <w:r w:rsidRPr="001C4BEE">
        <w:rPr>
          <w:rFonts w:cs="Times New Roman"/>
          <w:szCs w:val="24"/>
        </w:rPr>
        <w:t xml:space="preserve">. </w:t>
      </w:r>
      <w:r>
        <w:rPr>
          <w:rFonts w:cs="Times New Roman"/>
          <w:szCs w:val="24"/>
        </w:rPr>
        <w:t xml:space="preserve"> </w:t>
      </w:r>
    </w:p>
    <w:p w:rsidR="00A34780" w:rsidRDefault="00A34780" w:rsidP="00A34780">
      <w:pPr>
        <w:rPr>
          <w:rFonts w:cs="Times New Roman"/>
          <w:szCs w:val="24"/>
        </w:rPr>
      </w:pPr>
      <w:r>
        <w:rPr>
          <w:rFonts w:cs="Times New Roman"/>
          <w:szCs w:val="24"/>
        </w:rPr>
        <w:t>The Company</w:t>
      </w:r>
      <w:r w:rsidRPr="001C4BEE">
        <w:rPr>
          <w:rFonts w:cs="Times New Roman"/>
          <w:szCs w:val="24"/>
        </w:rPr>
        <w:t xml:space="preserve"> has cited the need to</w:t>
      </w:r>
      <w:r>
        <w:rPr>
          <w:rFonts w:cs="Times New Roman"/>
          <w:szCs w:val="24"/>
        </w:rPr>
        <w:t xml:space="preserve"> </w:t>
      </w:r>
      <w:r w:rsidRPr="001C4BEE">
        <w:rPr>
          <w:rFonts w:cs="Times New Roman"/>
          <w:szCs w:val="24"/>
        </w:rPr>
        <w:t>replace distribution circuit components as a major issue in this rate case</w:t>
      </w:r>
      <w:r>
        <w:rPr>
          <w:rFonts w:cs="Times New Roman"/>
          <w:szCs w:val="24"/>
        </w:rPr>
        <w:t>,</w:t>
      </w:r>
      <w:r>
        <w:rPr>
          <w:rStyle w:val="FootnoteReference"/>
          <w:rFonts w:cs="Times New Roman"/>
          <w:szCs w:val="24"/>
        </w:rPr>
        <w:footnoteReference w:id="44"/>
      </w:r>
      <w:r>
        <w:rPr>
          <w:rFonts w:cs="Times New Roman"/>
          <w:szCs w:val="24"/>
        </w:rPr>
        <w:t xml:space="preserve"> and i</w:t>
      </w:r>
      <w:r w:rsidRPr="001C4BEE">
        <w:rPr>
          <w:rFonts w:cs="Times New Roman"/>
          <w:szCs w:val="24"/>
        </w:rPr>
        <w:t>f the capacity of required</w:t>
      </w:r>
      <w:r>
        <w:rPr>
          <w:rFonts w:cs="Times New Roman"/>
          <w:szCs w:val="24"/>
        </w:rPr>
        <w:t xml:space="preserve"> </w:t>
      </w:r>
      <w:r w:rsidRPr="001C4BEE">
        <w:rPr>
          <w:rFonts w:cs="Times New Roman"/>
          <w:szCs w:val="24"/>
        </w:rPr>
        <w:t>transformers and distribution lines can be reduced, cost savings can be achieved.</w:t>
      </w:r>
      <w:r>
        <w:rPr>
          <w:rFonts w:cs="Times New Roman"/>
          <w:szCs w:val="24"/>
        </w:rPr>
        <w:t xml:space="preserve"> </w:t>
      </w:r>
    </w:p>
    <w:p w:rsidR="00A34780" w:rsidRPr="001C4BEE" w:rsidRDefault="00A34780" w:rsidP="00A34780">
      <w:pPr>
        <w:rPr>
          <w:rFonts w:cs="Times New Roman"/>
          <w:szCs w:val="24"/>
        </w:rPr>
      </w:pPr>
      <w:r w:rsidRPr="001C4BEE">
        <w:rPr>
          <w:rFonts w:cs="Times New Roman"/>
          <w:szCs w:val="24"/>
        </w:rPr>
        <w:t>Under conventional regulation, the utility makes investments in distribution upgrades,</w:t>
      </w:r>
      <w:r>
        <w:rPr>
          <w:rFonts w:cs="Times New Roman"/>
          <w:szCs w:val="24"/>
        </w:rPr>
        <w:t xml:space="preserve"> </w:t>
      </w:r>
      <w:r w:rsidRPr="001C4BEE">
        <w:rPr>
          <w:rFonts w:cs="Times New Roman"/>
          <w:szCs w:val="24"/>
        </w:rPr>
        <w:t>and then includes those upgrades in rate base. If (and when) these costs accumulate to</w:t>
      </w:r>
      <w:r>
        <w:rPr>
          <w:rFonts w:cs="Times New Roman"/>
          <w:szCs w:val="24"/>
        </w:rPr>
        <w:t xml:space="preserve"> </w:t>
      </w:r>
      <w:r w:rsidRPr="001C4BEE">
        <w:rPr>
          <w:rFonts w:cs="Times New Roman"/>
          <w:szCs w:val="24"/>
        </w:rPr>
        <w:t>the point that the utility earns less than a fair rate of return, the utility files a rate case.</w:t>
      </w:r>
      <w:r>
        <w:rPr>
          <w:rFonts w:cs="Times New Roman"/>
          <w:szCs w:val="24"/>
        </w:rPr>
        <w:t xml:space="preserve"> </w:t>
      </w:r>
      <w:r w:rsidRPr="001C4BEE">
        <w:rPr>
          <w:rFonts w:cs="Times New Roman"/>
          <w:szCs w:val="24"/>
        </w:rPr>
        <w:t>Decoupling does not “change” this framework, but it may affect it.</w:t>
      </w:r>
    </w:p>
    <w:p w:rsidR="00A34780" w:rsidRPr="001C4BEE" w:rsidRDefault="00A34780" w:rsidP="00A34780">
      <w:pPr>
        <w:rPr>
          <w:rFonts w:cs="Times New Roman"/>
          <w:szCs w:val="24"/>
        </w:rPr>
      </w:pPr>
      <w:r w:rsidRPr="001C4BEE">
        <w:rPr>
          <w:rFonts w:cs="Times New Roman"/>
          <w:szCs w:val="24"/>
        </w:rPr>
        <w:t>With deferral decoupling, as done in California and Hawaii, the annual attrition</w:t>
      </w:r>
      <w:r>
        <w:rPr>
          <w:rFonts w:cs="Times New Roman"/>
          <w:szCs w:val="24"/>
        </w:rPr>
        <w:t xml:space="preserve"> </w:t>
      </w:r>
      <w:r w:rsidRPr="001C4BEE">
        <w:rPr>
          <w:rFonts w:cs="Times New Roman"/>
          <w:szCs w:val="24"/>
        </w:rPr>
        <w:t>calculation takes into account the expenditures the utility has made in the previous year</w:t>
      </w:r>
      <w:r>
        <w:rPr>
          <w:rFonts w:cs="Times New Roman"/>
          <w:szCs w:val="24"/>
        </w:rPr>
        <w:t>, net of accumulated depreciation during that year</w:t>
      </w:r>
      <w:r w:rsidRPr="001C4BEE">
        <w:rPr>
          <w:rFonts w:cs="Times New Roman"/>
          <w:szCs w:val="24"/>
        </w:rPr>
        <w:t>.</w:t>
      </w:r>
      <w:r>
        <w:rPr>
          <w:rFonts w:cs="Times New Roman"/>
          <w:szCs w:val="24"/>
        </w:rPr>
        <w:t xml:space="preserve">  </w:t>
      </w:r>
      <w:r w:rsidRPr="001C4BEE">
        <w:rPr>
          <w:rFonts w:cs="Times New Roman"/>
          <w:szCs w:val="24"/>
        </w:rPr>
        <w:t>This approach would flow through to consumers the distribution capacity savings that</w:t>
      </w:r>
      <w:r>
        <w:rPr>
          <w:rFonts w:cs="Times New Roman"/>
          <w:szCs w:val="24"/>
        </w:rPr>
        <w:t xml:space="preserve"> </w:t>
      </w:r>
      <w:r w:rsidRPr="001C4BEE">
        <w:rPr>
          <w:rFonts w:cs="Times New Roman"/>
          <w:szCs w:val="24"/>
        </w:rPr>
        <w:t>result from deferrals or downsizings due to energy efficiency.</w:t>
      </w:r>
    </w:p>
    <w:p w:rsidR="00A34780" w:rsidRPr="001C4BEE" w:rsidRDefault="00A34780" w:rsidP="00A34780">
      <w:pPr>
        <w:rPr>
          <w:rFonts w:cs="Times New Roman"/>
          <w:szCs w:val="24"/>
        </w:rPr>
      </w:pPr>
      <w:r w:rsidRPr="001C4BEE">
        <w:rPr>
          <w:rFonts w:cs="Times New Roman"/>
          <w:szCs w:val="24"/>
        </w:rPr>
        <w:t xml:space="preserve">Revenue per customer </w:t>
      </w:r>
      <w:r>
        <w:rPr>
          <w:rFonts w:cs="Times New Roman"/>
          <w:szCs w:val="24"/>
        </w:rPr>
        <w:t xml:space="preserve">(RPC) </w:t>
      </w:r>
      <w:r w:rsidRPr="001C4BEE">
        <w:rPr>
          <w:rFonts w:cs="Times New Roman"/>
          <w:szCs w:val="24"/>
        </w:rPr>
        <w:t>decoupling, on the other hand, is done differently.</w:t>
      </w:r>
      <w:r>
        <w:rPr>
          <w:rFonts w:cs="Times New Roman"/>
          <w:szCs w:val="24"/>
        </w:rPr>
        <w:t xml:space="preserve"> </w:t>
      </w:r>
      <w:r w:rsidRPr="001C4BEE">
        <w:rPr>
          <w:rFonts w:cs="Times New Roman"/>
          <w:szCs w:val="24"/>
        </w:rPr>
        <w:t>The allowed</w:t>
      </w:r>
      <w:r>
        <w:rPr>
          <w:rFonts w:cs="Times New Roman"/>
          <w:szCs w:val="24"/>
        </w:rPr>
        <w:t xml:space="preserve"> </w:t>
      </w:r>
      <w:r w:rsidRPr="001C4BEE">
        <w:rPr>
          <w:rFonts w:cs="Times New Roman"/>
          <w:szCs w:val="24"/>
        </w:rPr>
        <w:t xml:space="preserve">revenue is based on some historical average of costs. </w:t>
      </w:r>
      <w:r>
        <w:rPr>
          <w:rFonts w:cs="Times New Roman"/>
          <w:szCs w:val="24"/>
        </w:rPr>
        <w:t xml:space="preserve"> </w:t>
      </w:r>
      <w:r w:rsidRPr="001C4BEE">
        <w:rPr>
          <w:rFonts w:cs="Times New Roman"/>
          <w:szCs w:val="24"/>
        </w:rPr>
        <w:t>If the mechanism is designed</w:t>
      </w:r>
      <w:r>
        <w:rPr>
          <w:rFonts w:cs="Times New Roman"/>
          <w:szCs w:val="24"/>
        </w:rPr>
        <w:t xml:space="preserve"> </w:t>
      </w:r>
      <w:r w:rsidRPr="001C4BEE">
        <w:rPr>
          <w:rFonts w:cs="Times New Roman"/>
          <w:szCs w:val="24"/>
        </w:rPr>
        <w:t>“correctly”</w:t>
      </w:r>
      <w:r>
        <w:rPr>
          <w:rFonts w:cs="Times New Roman"/>
          <w:szCs w:val="24"/>
        </w:rPr>
        <w:t>,</w:t>
      </w:r>
      <w:r w:rsidRPr="001C4BEE">
        <w:rPr>
          <w:rFonts w:cs="Times New Roman"/>
          <w:szCs w:val="24"/>
        </w:rPr>
        <w:t xml:space="preserve"> the allowed RPC equals the cost the utility incurs as the customer count</w:t>
      </w:r>
      <w:r>
        <w:rPr>
          <w:rFonts w:cs="Times New Roman"/>
          <w:szCs w:val="24"/>
        </w:rPr>
        <w:t xml:space="preserve"> </w:t>
      </w:r>
      <w:r w:rsidRPr="001C4BEE">
        <w:rPr>
          <w:rFonts w:cs="Times New Roman"/>
          <w:szCs w:val="24"/>
        </w:rPr>
        <w:t xml:space="preserve">grows. </w:t>
      </w:r>
      <w:r>
        <w:rPr>
          <w:rFonts w:cs="Times New Roman"/>
          <w:szCs w:val="24"/>
        </w:rPr>
        <w:t xml:space="preserve"> Therefore, the mechanism should </w:t>
      </w:r>
      <w:r w:rsidRPr="001C4BEE">
        <w:rPr>
          <w:rFonts w:cs="Times New Roman"/>
          <w:szCs w:val="24"/>
        </w:rPr>
        <w:t xml:space="preserve">include a </w:t>
      </w:r>
      <w:r>
        <w:rPr>
          <w:rFonts w:cs="Times New Roman"/>
          <w:szCs w:val="24"/>
        </w:rPr>
        <w:t>“K</w:t>
      </w:r>
      <w:r w:rsidRPr="001C4BEE">
        <w:rPr>
          <w:rFonts w:cs="Times New Roman"/>
          <w:szCs w:val="24"/>
        </w:rPr>
        <w:t>-factor</w:t>
      </w:r>
      <w:r>
        <w:rPr>
          <w:rFonts w:cs="Times New Roman"/>
          <w:szCs w:val="24"/>
        </w:rPr>
        <w:t>”</w:t>
      </w:r>
      <w:r w:rsidRPr="001C4BEE">
        <w:rPr>
          <w:rFonts w:cs="Times New Roman"/>
          <w:szCs w:val="24"/>
        </w:rPr>
        <w:t>,</w:t>
      </w:r>
      <w:r>
        <w:rPr>
          <w:rFonts w:cs="Times New Roman"/>
          <w:szCs w:val="24"/>
        </w:rPr>
        <w:t xml:space="preserve"> or attrition factor,</w:t>
      </w:r>
      <w:r w:rsidRPr="001C4BEE">
        <w:rPr>
          <w:rFonts w:cs="Times New Roman"/>
          <w:szCs w:val="24"/>
        </w:rPr>
        <w:t xml:space="preserve"> or a percentage adder or</w:t>
      </w:r>
      <w:r>
        <w:rPr>
          <w:rFonts w:cs="Times New Roman"/>
          <w:szCs w:val="24"/>
        </w:rPr>
        <w:t xml:space="preserve"> </w:t>
      </w:r>
      <w:r w:rsidRPr="001C4BEE">
        <w:rPr>
          <w:rFonts w:cs="Times New Roman"/>
          <w:szCs w:val="24"/>
        </w:rPr>
        <w:t>deduction over time</w:t>
      </w:r>
      <w:r>
        <w:rPr>
          <w:rFonts w:cs="Times New Roman"/>
          <w:szCs w:val="24"/>
        </w:rPr>
        <w:t xml:space="preserve"> to accurately account for non-linear relationships between incremental costs and additional customers</w:t>
      </w:r>
      <w:r w:rsidRPr="001C4BEE">
        <w:rPr>
          <w:rFonts w:cs="Times New Roman"/>
          <w:szCs w:val="24"/>
        </w:rPr>
        <w:t xml:space="preserve">. </w:t>
      </w:r>
    </w:p>
    <w:p w:rsidR="00A34780" w:rsidRPr="001C4BEE" w:rsidRDefault="00A34780" w:rsidP="00A34780">
      <w:pPr>
        <w:rPr>
          <w:rFonts w:cs="Times New Roman"/>
          <w:szCs w:val="24"/>
        </w:rPr>
      </w:pPr>
      <w:r>
        <w:rPr>
          <w:rFonts w:cs="Times New Roman"/>
          <w:szCs w:val="24"/>
        </w:rPr>
        <w:t>On the other hand</w:t>
      </w:r>
      <w:r w:rsidRPr="001C4BEE">
        <w:rPr>
          <w:rFonts w:cs="Times New Roman"/>
          <w:szCs w:val="24"/>
        </w:rPr>
        <w:t>, if the utility is able to reduce its distribution expenditures (for any combination</w:t>
      </w:r>
      <w:r>
        <w:rPr>
          <w:rFonts w:cs="Times New Roman"/>
          <w:szCs w:val="24"/>
        </w:rPr>
        <w:t xml:space="preserve"> </w:t>
      </w:r>
      <w:r w:rsidRPr="001C4BEE">
        <w:rPr>
          <w:rFonts w:cs="Times New Roman"/>
          <w:szCs w:val="24"/>
        </w:rPr>
        <w:t>of new and existing customers) through energy efficiency below the historical level</w:t>
      </w:r>
      <w:r>
        <w:rPr>
          <w:rFonts w:cs="Times New Roman"/>
          <w:szCs w:val="24"/>
        </w:rPr>
        <w:t xml:space="preserve"> </w:t>
      </w:r>
      <w:r w:rsidRPr="001C4BEE">
        <w:rPr>
          <w:rFonts w:cs="Times New Roman"/>
          <w:szCs w:val="24"/>
        </w:rPr>
        <w:t>required, then a historically accurate level of revenue per customer may exceed the</w:t>
      </w:r>
      <w:r>
        <w:rPr>
          <w:rFonts w:cs="Times New Roman"/>
          <w:szCs w:val="24"/>
        </w:rPr>
        <w:t xml:space="preserve"> </w:t>
      </w:r>
      <w:r w:rsidRPr="001C4BEE">
        <w:rPr>
          <w:rFonts w:cs="Times New Roman"/>
          <w:szCs w:val="24"/>
        </w:rPr>
        <w:t xml:space="preserve">incremental cost the utility will actually incur. </w:t>
      </w:r>
      <w:r>
        <w:rPr>
          <w:rFonts w:cs="Times New Roman"/>
          <w:szCs w:val="24"/>
        </w:rPr>
        <w:t xml:space="preserve"> </w:t>
      </w:r>
      <w:r w:rsidRPr="001C4BEE">
        <w:rPr>
          <w:rFonts w:cs="Times New Roman"/>
          <w:szCs w:val="24"/>
        </w:rPr>
        <w:t>If this were to happen, the utility would</w:t>
      </w:r>
      <w:r>
        <w:rPr>
          <w:rFonts w:cs="Times New Roman"/>
          <w:szCs w:val="24"/>
        </w:rPr>
        <w:t xml:space="preserve"> </w:t>
      </w:r>
      <w:r w:rsidRPr="001C4BEE">
        <w:rPr>
          <w:rFonts w:cs="Times New Roman"/>
          <w:szCs w:val="24"/>
        </w:rPr>
        <w:t>effectively retain that savings until the next rate case (and, if the savings were large,</w:t>
      </w:r>
      <w:r>
        <w:rPr>
          <w:rFonts w:cs="Times New Roman"/>
          <w:szCs w:val="24"/>
        </w:rPr>
        <w:t xml:space="preserve"> </w:t>
      </w:r>
      <w:r w:rsidRPr="001C4BEE">
        <w:rPr>
          <w:rFonts w:cs="Times New Roman"/>
          <w:szCs w:val="24"/>
        </w:rPr>
        <w:t xml:space="preserve">might be able to forestall a rate case for a long time). </w:t>
      </w:r>
      <w:r>
        <w:rPr>
          <w:rFonts w:cs="Times New Roman"/>
          <w:szCs w:val="24"/>
        </w:rPr>
        <w:t xml:space="preserve"> </w:t>
      </w:r>
      <w:r w:rsidRPr="001C4BEE">
        <w:rPr>
          <w:rFonts w:cs="Times New Roman"/>
          <w:szCs w:val="24"/>
        </w:rPr>
        <w:t xml:space="preserve">While </w:t>
      </w:r>
      <w:r>
        <w:rPr>
          <w:rFonts w:cs="Times New Roman"/>
          <w:szCs w:val="24"/>
        </w:rPr>
        <w:t xml:space="preserve">Staff </w:t>
      </w:r>
      <w:r w:rsidRPr="001C4BEE">
        <w:rPr>
          <w:rFonts w:cs="Times New Roman"/>
          <w:szCs w:val="24"/>
        </w:rPr>
        <w:t>consider</w:t>
      </w:r>
      <w:r>
        <w:rPr>
          <w:rFonts w:cs="Times New Roman"/>
          <w:szCs w:val="24"/>
        </w:rPr>
        <w:t>s</w:t>
      </w:r>
      <w:r w:rsidRPr="001C4BEE">
        <w:rPr>
          <w:rFonts w:cs="Times New Roman"/>
          <w:szCs w:val="24"/>
        </w:rPr>
        <w:t xml:space="preserve"> this unlikely for</w:t>
      </w:r>
      <w:r>
        <w:rPr>
          <w:rFonts w:cs="Times New Roman"/>
          <w:szCs w:val="24"/>
        </w:rPr>
        <w:t xml:space="preserve"> the Company</w:t>
      </w:r>
      <w:r w:rsidRPr="001C4BEE">
        <w:rPr>
          <w:rFonts w:cs="Times New Roman"/>
          <w:szCs w:val="24"/>
        </w:rPr>
        <w:t xml:space="preserve">, where the majority of </w:t>
      </w:r>
      <w:r>
        <w:rPr>
          <w:rFonts w:cs="Times New Roman"/>
          <w:szCs w:val="24"/>
        </w:rPr>
        <w:t xml:space="preserve">the utility’s </w:t>
      </w:r>
      <w:r w:rsidRPr="001C4BEE">
        <w:rPr>
          <w:rFonts w:cs="Times New Roman"/>
          <w:szCs w:val="24"/>
        </w:rPr>
        <w:t>distribution system investment is associated with existing</w:t>
      </w:r>
      <w:r>
        <w:rPr>
          <w:rFonts w:cs="Times New Roman"/>
          <w:szCs w:val="24"/>
        </w:rPr>
        <w:t xml:space="preserve"> </w:t>
      </w:r>
      <w:r w:rsidRPr="001C4BEE">
        <w:rPr>
          <w:rFonts w:cs="Times New Roman"/>
          <w:szCs w:val="24"/>
        </w:rPr>
        <w:t xml:space="preserve">customers, not new customers, </w:t>
      </w:r>
      <w:r>
        <w:rPr>
          <w:rFonts w:cs="Times New Roman"/>
          <w:szCs w:val="24"/>
        </w:rPr>
        <w:t xml:space="preserve">this is </w:t>
      </w:r>
      <w:r w:rsidRPr="001C4BEE">
        <w:rPr>
          <w:rFonts w:cs="Times New Roman"/>
          <w:szCs w:val="24"/>
        </w:rPr>
        <w:t>important to consider in the design of the mechanism.</w:t>
      </w:r>
    </w:p>
    <w:p w:rsidR="00A34780" w:rsidRDefault="00A34780" w:rsidP="00A34780">
      <w:pPr>
        <w:rPr>
          <w:rFonts w:cs="Times New Roman"/>
          <w:szCs w:val="24"/>
        </w:rPr>
      </w:pPr>
      <w:r w:rsidRPr="001C4BEE">
        <w:rPr>
          <w:rFonts w:cs="Times New Roman"/>
          <w:szCs w:val="24"/>
        </w:rPr>
        <w:t xml:space="preserve">Simply stated, the </w:t>
      </w:r>
      <w:r>
        <w:rPr>
          <w:rFonts w:cs="Times New Roman"/>
          <w:szCs w:val="24"/>
        </w:rPr>
        <w:t>K</w:t>
      </w:r>
      <w:r w:rsidRPr="001C4BEE">
        <w:rPr>
          <w:rFonts w:cs="Times New Roman"/>
          <w:szCs w:val="24"/>
        </w:rPr>
        <w:t>-factor must be determined under the assumption that the utility will</w:t>
      </w:r>
      <w:r>
        <w:rPr>
          <w:rFonts w:cs="Times New Roman"/>
          <w:szCs w:val="24"/>
        </w:rPr>
        <w:t xml:space="preserve"> </w:t>
      </w:r>
      <w:r w:rsidRPr="001C4BEE">
        <w:rPr>
          <w:rFonts w:cs="Times New Roman"/>
          <w:szCs w:val="24"/>
        </w:rPr>
        <w:t>target energy efficiency investments to achieve distribution investment savings.</w:t>
      </w:r>
      <w:r>
        <w:rPr>
          <w:rFonts w:cs="Times New Roman"/>
          <w:szCs w:val="24"/>
        </w:rPr>
        <w:t xml:space="preserve">  </w:t>
      </w:r>
      <w:r w:rsidRPr="001C4BEE">
        <w:rPr>
          <w:rFonts w:cs="Times New Roman"/>
          <w:szCs w:val="24"/>
        </w:rPr>
        <w:t xml:space="preserve">Identifying the correct </w:t>
      </w:r>
      <w:r>
        <w:rPr>
          <w:rFonts w:cs="Times New Roman"/>
          <w:szCs w:val="24"/>
        </w:rPr>
        <w:t>K</w:t>
      </w:r>
      <w:r w:rsidRPr="001C4BEE">
        <w:rPr>
          <w:rFonts w:cs="Times New Roman"/>
          <w:szCs w:val="24"/>
        </w:rPr>
        <w:t>-factor require</w:t>
      </w:r>
      <w:r>
        <w:rPr>
          <w:rFonts w:cs="Times New Roman"/>
          <w:szCs w:val="24"/>
        </w:rPr>
        <w:t>s</w:t>
      </w:r>
      <w:r w:rsidRPr="001C4BEE">
        <w:rPr>
          <w:rFonts w:cs="Times New Roman"/>
          <w:szCs w:val="24"/>
        </w:rPr>
        <w:t xml:space="preserve"> extensive understanding of </w:t>
      </w:r>
      <w:r>
        <w:rPr>
          <w:rFonts w:cs="Times New Roman"/>
          <w:szCs w:val="24"/>
        </w:rPr>
        <w:t xml:space="preserve">the Company’s </w:t>
      </w:r>
      <w:r w:rsidRPr="001C4BEE">
        <w:rPr>
          <w:rFonts w:cs="Times New Roman"/>
          <w:szCs w:val="24"/>
        </w:rPr>
        <w:t>distribution construction budget and the causative factors leading to component</w:t>
      </w:r>
      <w:r>
        <w:rPr>
          <w:rFonts w:cs="Times New Roman"/>
          <w:szCs w:val="24"/>
        </w:rPr>
        <w:t xml:space="preserve"> </w:t>
      </w:r>
      <w:r w:rsidRPr="001C4BEE">
        <w:rPr>
          <w:rFonts w:cs="Times New Roman"/>
          <w:szCs w:val="24"/>
        </w:rPr>
        <w:t>replacement.</w:t>
      </w:r>
      <w:r>
        <w:rPr>
          <w:rFonts w:cs="Times New Roman"/>
          <w:szCs w:val="24"/>
        </w:rPr>
        <w:t xml:space="preserve">  This area in particular will require additional work prior to the implementation of decoupling.</w:t>
      </w:r>
    </w:p>
    <w:p w:rsidR="00A34780" w:rsidRDefault="00A34780" w:rsidP="00A34780">
      <w:r>
        <w:rPr>
          <w:rFonts w:cs="Times New Roman"/>
          <w:szCs w:val="24"/>
        </w:rPr>
        <w:t xml:space="preserve">The Mechanism </w:t>
      </w:r>
      <w:r w:rsidR="006C7598">
        <w:rPr>
          <w:rFonts w:cs="Times New Roman"/>
          <w:szCs w:val="24"/>
        </w:rPr>
        <w:t xml:space="preserve">could </w:t>
      </w:r>
      <w:r>
        <w:rPr>
          <w:rFonts w:cs="Times New Roman"/>
          <w:szCs w:val="24"/>
        </w:rPr>
        <w:t xml:space="preserve">account for the </w:t>
      </w:r>
      <w:r w:rsidRPr="0053365F">
        <w:t>net benefits of off-system sales and costs avoided due to the utility’s conservation efforts</w:t>
      </w:r>
      <w:r>
        <w:t xml:space="preserve"> by calculating the allowed revenue per customer on a basis net of power costs (adjusted for marginal line losses).  For example, if average revenue per residential customer were $1,000 per year, average usage were 10,000 k</w:t>
      </w:r>
      <w:r w:rsidR="00D45608">
        <w:t>W</w:t>
      </w:r>
      <w:r>
        <w:t>h per year, marginal line losses were 10%, and average market prices were $.05/kWh, the Mechanism would allow $450 per year in non-power revenues per customer.    ($1,000 – (10,000 x 1.1 x $.05)) = $450.  In computing the deferral amount, any deviation in sales from the allowed level would also be adjusted by the average power cost grossed up for marginal line losses.</w:t>
      </w:r>
    </w:p>
    <w:p w:rsidR="00A34780" w:rsidRPr="007D5A76" w:rsidRDefault="00A34780" w:rsidP="00A34780">
      <w:pPr>
        <w:rPr>
          <w:rFonts w:cs="Times New Roman"/>
          <w:szCs w:val="24"/>
        </w:rPr>
      </w:pPr>
    </w:p>
    <w:p w:rsidR="00DA4325" w:rsidRPr="007D5A76" w:rsidRDefault="00DA4325" w:rsidP="00DE371B">
      <w:pPr>
        <w:pStyle w:val="Heading2"/>
      </w:pPr>
      <w:bookmarkStart w:id="66" w:name="_Toc311029138"/>
      <w:r w:rsidRPr="007D5A76">
        <w:t>Report</w:t>
      </w:r>
      <w:r w:rsidR="00DD5026">
        <w:t>s</w:t>
      </w:r>
      <w:r w:rsidRPr="007D5A76">
        <w:t xml:space="preserve"> to the Commission on How the Full Decoupling Mechanism is Working</w:t>
      </w:r>
      <w:bookmarkEnd w:id="66"/>
    </w:p>
    <w:p w:rsidR="005D678F" w:rsidRPr="007D5A76" w:rsidRDefault="005D678F" w:rsidP="005D678F">
      <w:pPr>
        <w:spacing w:after="0" w:line="288" w:lineRule="auto"/>
        <w:rPr>
          <w:rFonts w:cs="Times New Roman"/>
          <w:szCs w:val="24"/>
        </w:rPr>
      </w:pPr>
      <w:r w:rsidRPr="007D5A76">
        <w:rPr>
          <w:rFonts w:cs="Times New Roman"/>
          <w:szCs w:val="24"/>
        </w:rPr>
        <w:t>On the reporting issue, the Commission states:</w:t>
      </w:r>
    </w:p>
    <w:p w:rsidR="005D678F" w:rsidRPr="007D5A76" w:rsidRDefault="005D678F" w:rsidP="005D678F">
      <w:pPr>
        <w:spacing w:after="0" w:line="288" w:lineRule="auto"/>
        <w:ind w:left="720"/>
        <w:rPr>
          <w:rFonts w:cs="Times New Roman"/>
          <w:szCs w:val="24"/>
        </w:rPr>
      </w:pPr>
    </w:p>
    <w:p w:rsidR="005D678F" w:rsidRDefault="005D678F" w:rsidP="00DE371B">
      <w:pPr>
        <w:spacing w:after="0" w:line="288" w:lineRule="auto"/>
        <w:ind w:left="720"/>
        <w:rPr>
          <w:rFonts w:cs="Times New Roman"/>
          <w:szCs w:val="24"/>
        </w:rPr>
      </w:pPr>
      <w:r w:rsidRPr="007D5A76">
        <w:rPr>
          <w:rFonts w:cs="Times New Roman"/>
          <w:i/>
          <w:szCs w:val="24"/>
        </w:rPr>
        <w:t xml:space="preserve">Reports.  </w:t>
      </w:r>
      <w:r w:rsidRPr="007D5A76">
        <w:rPr>
          <w:rFonts w:cs="Times New Roman"/>
          <w:szCs w:val="24"/>
        </w:rPr>
        <w:t>For companies authorized to implement full decoupling, the Commission may require the utility to file periodic reports so the Commission may evaluate the success and impact of the program.  The reported information must be made available to representatives of customer groups, and other interested parties, so they too can evaluate the program and its impact on the utility and its ratepayers.</w:t>
      </w:r>
      <w:r w:rsidRPr="007D5A76">
        <w:rPr>
          <w:rStyle w:val="FootnoteReference"/>
          <w:rFonts w:cs="Times New Roman"/>
          <w:szCs w:val="24"/>
        </w:rPr>
        <w:footnoteReference w:id="45"/>
      </w:r>
    </w:p>
    <w:p w:rsidR="005D678F" w:rsidRDefault="005D678F" w:rsidP="005D678F">
      <w:pPr>
        <w:spacing w:after="0" w:line="288" w:lineRule="auto"/>
        <w:rPr>
          <w:rFonts w:cs="Times New Roman"/>
          <w:szCs w:val="24"/>
        </w:rPr>
      </w:pPr>
    </w:p>
    <w:p w:rsidR="00DA4325" w:rsidRPr="007D5A76" w:rsidRDefault="00F179F4" w:rsidP="00DA4325">
      <w:pPr>
        <w:spacing w:after="0" w:line="288" w:lineRule="auto"/>
        <w:rPr>
          <w:rFonts w:cs="Times New Roman"/>
          <w:szCs w:val="24"/>
        </w:rPr>
      </w:pPr>
      <w:r>
        <w:rPr>
          <w:rFonts w:cs="Times New Roman"/>
          <w:szCs w:val="24"/>
        </w:rPr>
        <w:t xml:space="preserve">The Mechanism calls for </w:t>
      </w:r>
      <w:r w:rsidR="000C181F">
        <w:rPr>
          <w:rFonts w:cs="Times New Roman"/>
          <w:szCs w:val="24"/>
        </w:rPr>
        <w:t>the Company</w:t>
      </w:r>
      <w:r>
        <w:rPr>
          <w:rFonts w:cs="Times New Roman"/>
          <w:szCs w:val="24"/>
        </w:rPr>
        <w:t xml:space="preserve"> to file </w:t>
      </w:r>
      <w:r w:rsidR="000C181F">
        <w:rPr>
          <w:rFonts w:cs="Times New Roman"/>
          <w:szCs w:val="24"/>
        </w:rPr>
        <w:t>q</w:t>
      </w:r>
      <w:r w:rsidR="008D0156">
        <w:rPr>
          <w:rFonts w:cs="Times New Roman"/>
          <w:szCs w:val="24"/>
        </w:rPr>
        <w:t>uarterly reports on the</w:t>
      </w:r>
      <w:r w:rsidR="0085759B">
        <w:rPr>
          <w:rFonts w:cs="Times New Roman"/>
          <w:szCs w:val="24"/>
        </w:rPr>
        <w:t xml:space="preserve"> rolling 12-month</w:t>
      </w:r>
      <w:r w:rsidR="008D0156">
        <w:rPr>
          <w:rFonts w:cs="Times New Roman"/>
          <w:szCs w:val="24"/>
        </w:rPr>
        <w:t xml:space="preserve"> status of the </w:t>
      </w:r>
      <w:r>
        <w:rPr>
          <w:rFonts w:cs="Times New Roman"/>
          <w:szCs w:val="24"/>
        </w:rPr>
        <w:t xml:space="preserve">full decoupling </w:t>
      </w:r>
      <w:r w:rsidR="008D0156">
        <w:rPr>
          <w:rFonts w:cs="Times New Roman"/>
          <w:szCs w:val="24"/>
        </w:rPr>
        <w:t xml:space="preserve">deferral </w:t>
      </w:r>
      <w:r w:rsidR="008A693B">
        <w:rPr>
          <w:rFonts w:cs="Times New Roman"/>
          <w:szCs w:val="24"/>
        </w:rPr>
        <w:t>accounts</w:t>
      </w:r>
      <w:r w:rsidR="008D0156">
        <w:rPr>
          <w:rFonts w:cs="Times New Roman"/>
          <w:szCs w:val="24"/>
        </w:rPr>
        <w:t xml:space="preserve">. </w:t>
      </w:r>
      <w:r>
        <w:rPr>
          <w:rFonts w:cs="Times New Roman"/>
          <w:szCs w:val="24"/>
        </w:rPr>
        <w:t xml:space="preserve"> </w:t>
      </w:r>
      <w:r w:rsidR="008D0156">
        <w:rPr>
          <w:rFonts w:cs="Times New Roman"/>
          <w:szCs w:val="24"/>
        </w:rPr>
        <w:t xml:space="preserve">These reports </w:t>
      </w:r>
      <w:r w:rsidR="00C203AE">
        <w:rPr>
          <w:rFonts w:cs="Times New Roman"/>
          <w:szCs w:val="24"/>
        </w:rPr>
        <w:t xml:space="preserve">are necessary for the Commission to </w:t>
      </w:r>
      <w:r w:rsidR="008D0156">
        <w:rPr>
          <w:rFonts w:cs="Times New Roman"/>
          <w:szCs w:val="24"/>
        </w:rPr>
        <w:t xml:space="preserve">track the size of the deferral accounts, and make recommendations on frequency of true-ups, which can change if usage varies dramatically.  </w:t>
      </w:r>
    </w:p>
    <w:p w:rsidR="008D0156" w:rsidRDefault="008D0156" w:rsidP="00DA4325">
      <w:pPr>
        <w:spacing w:after="0" w:line="288" w:lineRule="auto"/>
        <w:rPr>
          <w:rFonts w:cs="Times New Roman"/>
          <w:szCs w:val="24"/>
        </w:rPr>
      </w:pPr>
    </w:p>
    <w:p w:rsidR="00DA4325" w:rsidRPr="007D5A76" w:rsidRDefault="00417397" w:rsidP="00DA4325">
      <w:pPr>
        <w:spacing w:after="0" w:line="288" w:lineRule="auto"/>
        <w:rPr>
          <w:rFonts w:cs="Times New Roman"/>
          <w:szCs w:val="24"/>
        </w:rPr>
      </w:pPr>
      <w:r>
        <w:rPr>
          <w:rFonts w:cs="Times New Roman"/>
          <w:szCs w:val="24"/>
        </w:rPr>
        <w:t>Also, b</w:t>
      </w:r>
      <w:r w:rsidR="00F179F4">
        <w:rPr>
          <w:rFonts w:cs="Times New Roman"/>
          <w:szCs w:val="24"/>
        </w:rPr>
        <w:t xml:space="preserve">y June 1 of </w:t>
      </w:r>
      <w:r w:rsidR="002966C9">
        <w:rPr>
          <w:rFonts w:cs="Times New Roman"/>
          <w:szCs w:val="24"/>
        </w:rPr>
        <w:t>each</w:t>
      </w:r>
      <w:r w:rsidR="00F179F4">
        <w:rPr>
          <w:rFonts w:cs="Times New Roman"/>
          <w:szCs w:val="24"/>
        </w:rPr>
        <w:t xml:space="preserve"> year, </w:t>
      </w:r>
      <w:r w:rsidR="000C181F">
        <w:rPr>
          <w:rFonts w:cs="Times New Roman"/>
          <w:szCs w:val="24"/>
        </w:rPr>
        <w:t>the Company</w:t>
      </w:r>
      <w:r w:rsidR="00F179F4">
        <w:rPr>
          <w:rFonts w:cs="Times New Roman"/>
          <w:szCs w:val="24"/>
        </w:rPr>
        <w:t xml:space="preserve"> would file its t</w:t>
      </w:r>
      <w:r w:rsidR="008D0156">
        <w:rPr>
          <w:rFonts w:cs="Times New Roman"/>
          <w:szCs w:val="24"/>
        </w:rPr>
        <w:t xml:space="preserve">hird-party evaluation, measurement, and verification reports on conservation achievement.  These reports are necessary to determining whether or not the Company met its conservation targets, and how the </w:t>
      </w:r>
      <w:r w:rsidR="006228DE">
        <w:rPr>
          <w:rFonts w:cs="Times New Roman"/>
          <w:szCs w:val="24"/>
        </w:rPr>
        <w:t>Conservation Test</w:t>
      </w:r>
      <w:r w:rsidR="008D0156">
        <w:rPr>
          <w:rFonts w:cs="Times New Roman"/>
          <w:szCs w:val="24"/>
        </w:rPr>
        <w:t xml:space="preserve"> should adjust any recovery</w:t>
      </w:r>
      <w:r w:rsidR="00D17FC9">
        <w:rPr>
          <w:rFonts w:cs="Times New Roman"/>
          <w:szCs w:val="24"/>
        </w:rPr>
        <w:t xml:space="preserve"> or rebate</w:t>
      </w:r>
      <w:r w:rsidR="008D0156">
        <w:rPr>
          <w:rFonts w:cs="Times New Roman"/>
          <w:szCs w:val="24"/>
        </w:rPr>
        <w:t>.</w:t>
      </w:r>
    </w:p>
    <w:p w:rsidR="00517374" w:rsidRDefault="00517374" w:rsidP="0038423C">
      <w:pPr>
        <w:rPr>
          <w:rFonts w:eastAsia="Calibri" w:cs="Times New Roman"/>
          <w:b/>
          <w:szCs w:val="24"/>
        </w:rPr>
      </w:pPr>
    </w:p>
    <w:p w:rsidR="005D678F" w:rsidRPr="007A5643" w:rsidRDefault="005D678F" w:rsidP="00DE371B">
      <w:pPr>
        <w:pStyle w:val="Heading2"/>
      </w:pPr>
      <w:bookmarkStart w:id="67" w:name="_Toc311029139"/>
      <w:r w:rsidRPr="007A5643">
        <w:t>Other Factors</w:t>
      </w:r>
      <w:bookmarkEnd w:id="67"/>
    </w:p>
    <w:p w:rsidR="005D678F" w:rsidRPr="007D5A76" w:rsidRDefault="005D678F" w:rsidP="005D678F">
      <w:pPr>
        <w:spacing w:after="0" w:line="288" w:lineRule="auto"/>
        <w:rPr>
          <w:rFonts w:cs="Times New Roman"/>
          <w:b/>
          <w:szCs w:val="24"/>
        </w:rPr>
      </w:pPr>
      <w:r w:rsidRPr="007D5A76">
        <w:rPr>
          <w:rFonts w:cs="Times New Roman"/>
          <w:szCs w:val="24"/>
        </w:rPr>
        <w:t xml:space="preserve">The Commission does not limit the elements or criteria it will consider when evaluating a full decoupling </w:t>
      </w:r>
      <w:r w:rsidR="00EE5F2F">
        <w:rPr>
          <w:rFonts w:cs="Times New Roman"/>
          <w:szCs w:val="24"/>
        </w:rPr>
        <w:t>mechanism</w:t>
      </w:r>
      <w:r w:rsidRPr="007D5A76">
        <w:rPr>
          <w:rFonts w:cs="Times New Roman"/>
          <w:szCs w:val="24"/>
        </w:rPr>
        <w:t>:</w:t>
      </w:r>
    </w:p>
    <w:p w:rsidR="005D678F" w:rsidRPr="007D5A76" w:rsidRDefault="005D678F" w:rsidP="005D678F">
      <w:pPr>
        <w:pStyle w:val="ListParagraph"/>
        <w:spacing w:after="0" w:line="288" w:lineRule="auto"/>
        <w:ind w:left="1800"/>
        <w:rPr>
          <w:b/>
        </w:rPr>
      </w:pPr>
    </w:p>
    <w:p w:rsidR="005D678F" w:rsidRDefault="005D678F" w:rsidP="00DE371B">
      <w:pPr>
        <w:ind w:left="720"/>
        <w:rPr>
          <w:rFonts w:eastAsia="Calibri" w:cs="Times New Roman"/>
          <w:b/>
          <w:szCs w:val="24"/>
        </w:rPr>
      </w:pPr>
      <w:r w:rsidRPr="007D5A76">
        <w:rPr>
          <w:rFonts w:cs="Times New Roman"/>
          <w:i/>
          <w:szCs w:val="24"/>
        </w:rPr>
        <w:t>Other Factors Impacting the Public Interest.</w:t>
      </w:r>
      <w:r w:rsidRPr="007D5A76">
        <w:rPr>
          <w:rFonts w:cs="Times New Roman"/>
          <w:szCs w:val="24"/>
        </w:rPr>
        <w:t xml:space="preserve">  The criteria listed above are not intended to limit the Commission’s authority to review other factors affecting its analysis of full decoupling as a regulatory tool, including whether it remains in the public interest to continue its use by a particular utility.</w:t>
      </w:r>
      <w:r w:rsidRPr="007D5A76">
        <w:rPr>
          <w:rStyle w:val="FootnoteReference"/>
          <w:rFonts w:cs="Times New Roman"/>
          <w:szCs w:val="24"/>
        </w:rPr>
        <w:footnoteReference w:id="46"/>
      </w:r>
    </w:p>
    <w:p w:rsidR="00DA4325" w:rsidRPr="00C90540" w:rsidRDefault="002966C9" w:rsidP="0038423C">
      <w:pPr>
        <w:rPr>
          <w:rFonts w:eastAsia="Calibri" w:cs="Times New Roman"/>
          <w:i/>
          <w:szCs w:val="24"/>
          <w:u w:val="single"/>
        </w:rPr>
      </w:pPr>
      <w:r w:rsidRPr="00C90540">
        <w:rPr>
          <w:rFonts w:eastAsia="Calibri" w:cs="Times New Roman"/>
          <w:i/>
          <w:szCs w:val="24"/>
          <w:u w:val="single"/>
        </w:rPr>
        <w:t>Service Quality</w:t>
      </w:r>
    </w:p>
    <w:p w:rsidR="00C203AE" w:rsidRDefault="00F356D2" w:rsidP="002966C9">
      <w:r>
        <w:t>In order to a</w:t>
      </w:r>
      <w:r w:rsidR="0038423C">
        <w:t>ddress</w:t>
      </w:r>
      <w:r>
        <w:t xml:space="preserve"> the possible</w:t>
      </w:r>
      <w:r w:rsidR="0038423C">
        <w:t xml:space="preserve"> incentive for </w:t>
      </w:r>
      <w:r w:rsidR="00A54319">
        <w:t xml:space="preserve">a </w:t>
      </w:r>
      <w:r w:rsidR="0038423C">
        <w:t>utility not to restore service promptly (</w:t>
      </w:r>
      <w:r w:rsidR="00773A8A">
        <w:t xml:space="preserve">because </w:t>
      </w:r>
      <w:r w:rsidR="0038423C">
        <w:t>getting customers back on line sooner does not affect the revenues the utility collects</w:t>
      </w:r>
      <w:r w:rsidR="00567B85">
        <w:t>)</w:t>
      </w:r>
      <w:r>
        <w:t>,</w:t>
      </w:r>
      <w:bookmarkStart w:id="68" w:name="OLE_LINK1"/>
      <w:bookmarkStart w:id="69" w:name="OLE_LINK2"/>
      <w:r>
        <w:t xml:space="preserve"> </w:t>
      </w:r>
      <w:r w:rsidR="00C203AE">
        <w:t xml:space="preserve">service quality assurance is necessary.  </w:t>
      </w:r>
      <w:r w:rsidR="00A8304C">
        <w:t xml:space="preserve">Under decoupling, usage from the current year will be adjusted back to the baseline usage amount.  If current year usage is lower due to outages, the </w:t>
      </w:r>
      <w:r w:rsidR="0003082E">
        <w:t>C</w:t>
      </w:r>
      <w:r w:rsidR="00A8304C">
        <w:t xml:space="preserve">ompany would recover revenue associated with outage-related usage, thus increasing net operating income unless a System Average Interruption Duration Interval (SAIDI) adjustment is performed.  </w:t>
      </w:r>
    </w:p>
    <w:bookmarkEnd w:id="68"/>
    <w:bookmarkEnd w:id="69"/>
    <w:p w:rsidR="0038423C" w:rsidRDefault="00A8304C" w:rsidP="002966C9">
      <w:r>
        <w:t xml:space="preserve">Under the Mechanism, at the time of each annual deferral filing, the Company should adjust actual sales (up or down) to the level implied by holding SAIDI to the ten-year system average.  This will assure that decoupling-related revenues due to slow system restoration after outages do not inure to the benefit of shareholders.  </w:t>
      </w:r>
      <w:r w:rsidR="00F356D2">
        <w:t xml:space="preserve">In addition, the </w:t>
      </w:r>
      <w:r w:rsidR="00C203AE">
        <w:t xml:space="preserve">Commission should thoroughly review the utility’s </w:t>
      </w:r>
      <w:r w:rsidR="00F356D2">
        <w:t>existing</w:t>
      </w:r>
      <w:r w:rsidR="002966C9">
        <w:t xml:space="preserve"> service quality program whenever decoupling is imposed.</w:t>
      </w:r>
      <w:r w:rsidR="00F356D2">
        <w:t xml:space="preserve">  In the case of PSE, particular attention should be given to meaningful customer service guarantees and the impact of meter failures.</w:t>
      </w:r>
    </w:p>
    <w:p w:rsidR="00F356D2" w:rsidRPr="00226EBF" w:rsidRDefault="00226EBF" w:rsidP="00F356D2">
      <w:pPr>
        <w:rPr>
          <w:rFonts w:eastAsia="Calibri" w:cs="Times New Roman"/>
          <w:i/>
          <w:szCs w:val="24"/>
          <w:u w:val="single"/>
        </w:rPr>
      </w:pPr>
      <w:r w:rsidRPr="00226EBF">
        <w:rPr>
          <w:rFonts w:eastAsia="Calibri" w:cs="Times New Roman"/>
          <w:i/>
          <w:szCs w:val="24"/>
          <w:u w:val="single"/>
        </w:rPr>
        <w:t>Administrative Burden</w:t>
      </w:r>
    </w:p>
    <w:p w:rsidR="0029526B" w:rsidRPr="007D5A76" w:rsidRDefault="00226EBF" w:rsidP="009274EC">
      <w:pPr>
        <w:rPr>
          <w:rFonts w:cs="Times New Roman"/>
          <w:szCs w:val="24"/>
        </w:rPr>
      </w:pPr>
      <w:r>
        <w:rPr>
          <w:rFonts w:cs="Times New Roman"/>
          <w:szCs w:val="24"/>
        </w:rPr>
        <w:t>Lastly, in considering full decoupling, significant increases in the amount of staff time and resources required to review company filings should be expected; unaudited commission-basis reports, decoupling tariff filings of</w:t>
      </w:r>
      <w:r w:rsidRPr="00226EBF">
        <w:rPr>
          <w:rFonts w:cs="Times New Roman"/>
          <w:szCs w:val="24"/>
        </w:rPr>
        <w:t xml:space="preserve"> </w:t>
      </w:r>
      <w:r>
        <w:rPr>
          <w:rFonts w:cs="Times New Roman"/>
          <w:szCs w:val="24"/>
        </w:rPr>
        <w:t>true-up mechanisms, decoupling quarterly reports, conservation potential assessments, conservation programs, conservation evaluation reports, low-income conservation programs, among others.  Careful consideration of the benefits and drawbacks of full decoupling should include a review of the Commission’s administrative burden.</w:t>
      </w:r>
    </w:p>
    <w:sectPr w:rsidR="0029526B" w:rsidRPr="007D5A76" w:rsidSect="007B38D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424" w:rsidRDefault="00F25424" w:rsidP="00E84412">
      <w:pPr>
        <w:spacing w:after="0" w:line="240" w:lineRule="auto"/>
      </w:pPr>
      <w:r>
        <w:separator/>
      </w:r>
    </w:p>
  </w:endnote>
  <w:endnote w:type="continuationSeparator" w:id="0">
    <w:p w:rsidR="00F25424" w:rsidRDefault="00F25424" w:rsidP="00E84412">
      <w:pPr>
        <w:spacing w:after="0" w:line="240" w:lineRule="auto"/>
      </w:pPr>
      <w:r>
        <w:continuationSeparator/>
      </w:r>
    </w:p>
  </w:endnote>
  <w:endnote w:type="continuationNotice" w:id="1">
    <w:p w:rsidR="00F25424" w:rsidRDefault="00F25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424" w:rsidRDefault="00F25424" w:rsidP="00E84412">
      <w:pPr>
        <w:spacing w:after="0" w:line="240" w:lineRule="auto"/>
      </w:pPr>
      <w:r>
        <w:separator/>
      </w:r>
    </w:p>
  </w:footnote>
  <w:footnote w:type="continuationSeparator" w:id="0">
    <w:p w:rsidR="00F25424" w:rsidRDefault="00F25424" w:rsidP="00E84412">
      <w:pPr>
        <w:spacing w:after="0" w:line="240" w:lineRule="auto"/>
      </w:pPr>
      <w:r>
        <w:continuationSeparator/>
      </w:r>
    </w:p>
  </w:footnote>
  <w:footnote w:type="continuationNotice" w:id="1">
    <w:p w:rsidR="00F25424" w:rsidRDefault="00F25424">
      <w:pPr>
        <w:spacing w:after="0" w:line="240" w:lineRule="auto"/>
      </w:pPr>
    </w:p>
  </w:footnote>
  <w:footnote w:id="2">
    <w:p w:rsidR="00746CDC" w:rsidRDefault="00746CDC">
      <w:pPr>
        <w:pStyle w:val="FootnoteText"/>
      </w:pPr>
      <w:r>
        <w:rPr>
          <w:rStyle w:val="FootnoteReference"/>
        </w:rPr>
        <w:footnoteRef/>
      </w:r>
      <w:r>
        <w:t xml:space="preserve"> </w:t>
      </w:r>
      <w:r>
        <w:rPr>
          <w:i/>
        </w:rPr>
        <w:t xml:space="preserve">Utilities and Transp. Comm’n v. Puget Sound Energy, Inc., </w:t>
      </w:r>
      <w:r>
        <w:t xml:space="preserve">Dockets UE-111048 and UG-111049, Notice of Bench Request (Bench Request) (October 5, 2011) at 2.  </w:t>
      </w:r>
      <w:r w:rsidRPr="007D5A76">
        <w:rPr>
          <w:szCs w:val="24"/>
        </w:rPr>
        <w:t xml:space="preserve">The Decoupling Policy Statement to which the Commission refers was issued </w:t>
      </w:r>
      <w:r>
        <w:rPr>
          <w:szCs w:val="24"/>
        </w:rPr>
        <w:t xml:space="preserve">in </w:t>
      </w:r>
      <w:r w:rsidRPr="007D5A76">
        <w:rPr>
          <w:szCs w:val="24"/>
        </w:rPr>
        <w:t>2</w:t>
      </w:r>
      <w:r>
        <w:rPr>
          <w:szCs w:val="24"/>
        </w:rPr>
        <w:t xml:space="preserve">010:  </w:t>
      </w:r>
      <w:r w:rsidRPr="004D0B85">
        <w:rPr>
          <w:i/>
        </w:rPr>
        <w:t>Utilities &amp; Transp. Comm’n</w:t>
      </w:r>
      <w:r w:rsidRPr="004D0B85">
        <w:t>, Docket U-100522, Report and Policy Statement on Regulatory Mechanisms, Including Decoupling, to Encourage Utilities to Meet or Exceed Their Conservation Targets (Decoupling Policy Statement) (November 4, 2010).</w:t>
      </w:r>
    </w:p>
  </w:footnote>
  <w:footnote w:id="3">
    <w:p w:rsidR="00746CDC" w:rsidRDefault="00746CDC">
      <w:pPr>
        <w:pStyle w:val="FootnoteText"/>
      </w:pPr>
      <w:r>
        <w:rPr>
          <w:rStyle w:val="FootnoteReference"/>
        </w:rPr>
        <w:footnoteRef/>
      </w:r>
      <w:r>
        <w:t xml:space="preserve"> Id.</w:t>
      </w:r>
    </w:p>
  </w:footnote>
  <w:footnote w:id="4">
    <w:p w:rsidR="00746CDC" w:rsidRDefault="00746CDC">
      <w:pPr>
        <w:pStyle w:val="FootnoteText"/>
      </w:pPr>
      <w:r>
        <w:rPr>
          <w:rStyle w:val="FootnoteReference"/>
        </w:rPr>
        <w:footnoteRef/>
      </w:r>
      <w:r>
        <w:t xml:space="preserve"> Id.</w:t>
      </w:r>
    </w:p>
  </w:footnote>
  <w:footnote w:id="5">
    <w:p w:rsidR="00746CDC" w:rsidRDefault="00746CDC">
      <w:pPr>
        <w:pStyle w:val="FootnoteText"/>
      </w:pPr>
      <w:r>
        <w:rPr>
          <w:rStyle w:val="FootnoteReference"/>
        </w:rPr>
        <w:footnoteRef/>
      </w:r>
      <w:r>
        <w:t xml:space="preserve"> Id. footnote 4.</w:t>
      </w:r>
    </w:p>
  </w:footnote>
  <w:footnote w:id="6">
    <w:p w:rsidR="00746CDC" w:rsidRDefault="00746CDC" w:rsidP="00002C63">
      <w:pPr>
        <w:pStyle w:val="FootnoteText"/>
      </w:pPr>
      <w:r>
        <w:rPr>
          <w:rStyle w:val="FootnoteReference"/>
        </w:rPr>
        <w:footnoteRef/>
      </w:r>
      <w:r>
        <w:t xml:space="preserve"> Decoupling Policy Statement at 22, ¶ 34.</w:t>
      </w:r>
    </w:p>
  </w:footnote>
  <w:footnote w:id="7">
    <w:p w:rsidR="00746CDC" w:rsidRDefault="00746CDC">
      <w:pPr>
        <w:pStyle w:val="FootnoteText"/>
      </w:pPr>
      <w:r>
        <w:rPr>
          <w:rStyle w:val="FootnoteReference"/>
        </w:rPr>
        <w:footnoteRef/>
      </w:r>
      <w:r>
        <w:t xml:space="preserve"> Exhibit No. __ (KLE-1T) and Exhibit No. __ (DJR-1T).  </w:t>
      </w:r>
    </w:p>
  </w:footnote>
  <w:footnote w:id="8">
    <w:p w:rsidR="00746CDC" w:rsidRDefault="00746CDC">
      <w:pPr>
        <w:pStyle w:val="FootnoteText"/>
      </w:pPr>
      <w:r>
        <w:rPr>
          <w:rStyle w:val="FootnoteReference"/>
        </w:rPr>
        <w:footnoteRef/>
      </w:r>
      <w:r>
        <w:t xml:space="preserve"> The Decoupling Policy Statement does not use the term “critical elements”. Rather, it uses the terms “elements”, “criteria”, and “factors”.  E.g. Decoupling Policy Statement at 17 ¶ 28 (elements); at 18, ¶ 28 (criteria); and at 19, ¶ 28 (factors).  Consequently, we use the term “element” to refer to each of these items.    </w:t>
      </w:r>
    </w:p>
  </w:footnote>
  <w:footnote w:id="9">
    <w:p w:rsidR="00746CDC" w:rsidRDefault="00746CDC" w:rsidP="00002C63">
      <w:pPr>
        <w:pStyle w:val="FootnoteText"/>
      </w:pPr>
      <w:r>
        <w:rPr>
          <w:rStyle w:val="FootnoteReference"/>
        </w:rPr>
        <w:footnoteRef/>
      </w:r>
      <w:r>
        <w:t xml:space="preserve"> In particular, Staff believes the Commission should address the specific adjustment to the rate of return, the criteria for the exclusion of individual classes, the criteria for comparing conservation benefits between low-income and other customers, guidance on identification of incremental conservation, guidance on revisions to the service quality program, guidance on incorporation of a “K-Factor” and guidance on an adjustment to account for off-system sales.</w:t>
      </w:r>
    </w:p>
  </w:footnote>
  <w:footnote w:id="10">
    <w:p w:rsidR="00746CDC" w:rsidRDefault="00746CDC" w:rsidP="00F3050B">
      <w:pPr>
        <w:pStyle w:val="FootnoteText"/>
      </w:pPr>
      <w:r>
        <w:rPr>
          <w:rStyle w:val="FootnoteReference"/>
        </w:rPr>
        <w:footnoteRef/>
      </w:r>
      <w:r>
        <w:t xml:space="preserve"> Decoupling Policy Statement a</w:t>
      </w:r>
      <w:r w:rsidRPr="00503F7C">
        <w:rPr>
          <w:szCs w:val="24"/>
        </w:rPr>
        <w:t>t 8, ¶ 12</w:t>
      </w:r>
      <w:r>
        <w:rPr>
          <w:szCs w:val="24"/>
        </w:rPr>
        <w:t>.</w:t>
      </w:r>
    </w:p>
  </w:footnote>
  <w:footnote w:id="11">
    <w:p w:rsidR="00746CDC" w:rsidRDefault="00746CDC" w:rsidP="00F3050B">
      <w:pPr>
        <w:pStyle w:val="FootnoteText"/>
      </w:pPr>
      <w:r>
        <w:rPr>
          <w:rStyle w:val="FootnoteReference"/>
        </w:rPr>
        <w:footnoteRef/>
      </w:r>
      <w:r>
        <w:t xml:space="preserve"> Id. at </w:t>
      </w:r>
      <w:r w:rsidRPr="00503F7C">
        <w:rPr>
          <w:szCs w:val="24"/>
        </w:rPr>
        <w:t>16, ¶ 2</w:t>
      </w:r>
      <w:r>
        <w:rPr>
          <w:szCs w:val="24"/>
        </w:rPr>
        <w:t>7.</w:t>
      </w:r>
      <w:r w:rsidRPr="00503F7C">
        <w:rPr>
          <w:szCs w:val="24"/>
        </w:rPr>
        <w:tab/>
      </w:r>
    </w:p>
  </w:footnote>
  <w:footnote w:id="12">
    <w:p w:rsidR="00746CDC" w:rsidRDefault="00746CDC" w:rsidP="00F3050B">
      <w:pPr>
        <w:pStyle w:val="FootnoteText"/>
      </w:pPr>
      <w:r>
        <w:rPr>
          <w:rStyle w:val="FootnoteReference"/>
        </w:rPr>
        <w:footnoteRef/>
      </w:r>
      <w:r>
        <w:t xml:space="preserve"> Id., i.e., the Commission’s reference to full decoupling “combined with an energy cost recovery mechanism”.</w:t>
      </w:r>
    </w:p>
  </w:footnote>
  <w:footnote w:id="13">
    <w:p w:rsidR="00746CDC" w:rsidRDefault="00746CDC" w:rsidP="00F3050B">
      <w:pPr>
        <w:pStyle w:val="FootnoteText"/>
      </w:pPr>
      <w:r>
        <w:rPr>
          <w:rStyle w:val="FootnoteReference"/>
        </w:rPr>
        <w:footnoteRef/>
      </w:r>
      <w:r>
        <w:t xml:space="preserve"> Full decoupling would assure a specific revenue level (or specific revenue per customer level) associated with a specific Commission revenue requirement determination that covered all costs, including power costs.  Under full decoupling, the utility would recover that specific revenue level (or revenue per customer level).  The utility then would be subject to power cost variations over time, rather than deferring such variations for later recovery from customers (as the utility does under a power cost adjustment mechanism).  </w:t>
      </w:r>
    </w:p>
  </w:footnote>
  <w:footnote w:id="14">
    <w:p w:rsidR="00746CDC" w:rsidRDefault="00746CDC" w:rsidP="00F3050B">
      <w:pPr>
        <w:pStyle w:val="FootnoteText"/>
      </w:pPr>
      <w:r>
        <w:rPr>
          <w:rStyle w:val="FootnoteReference"/>
        </w:rPr>
        <w:footnoteRef/>
      </w:r>
      <w:r>
        <w:t xml:space="preserve"> This list is based on the items listed or discussed in the Decoupling Policy Statement at pages 17-19, ¶ 28, page 16, ¶ 26, and page 8, ¶ 12.</w:t>
      </w:r>
    </w:p>
  </w:footnote>
  <w:footnote w:id="15">
    <w:p w:rsidR="00746CDC" w:rsidRDefault="00746CDC">
      <w:pPr>
        <w:pStyle w:val="FootnoteText"/>
      </w:pPr>
      <w:r>
        <w:rPr>
          <w:rStyle w:val="FootnoteReference"/>
        </w:rPr>
        <w:footnoteRef/>
      </w:r>
      <w:r>
        <w:t xml:space="preserve"> Decoupling Policy Statement at 19, ¶ 28 refers to “Other Factors Impacting the Public Interest” and notes that the criteria in the Decoupling Policy Statement are “not intended to limit the Commission’s authority to review other factors”.  Moreover, while the Commission discusses the four “elements” in the context of a “utility’s request for a full decoupling mechanism” (id. at 17, ¶ 28), Staff assumes any full decoupling mechanism should address these four elements as well.</w:t>
      </w:r>
    </w:p>
  </w:footnote>
  <w:footnote w:id="16">
    <w:p w:rsidR="00746CDC" w:rsidRDefault="00746CDC" w:rsidP="00E1127E">
      <w:pPr>
        <w:pStyle w:val="FootnoteText"/>
      </w:pPr>
      <w:r>
        <w:rPr>
          <w:rStyle w:val="FootnoteReference"/>
        </w:rPr>
        <w:footnoteRef/>
      </w:r>
      <w:r>
        <w:t xml:space="preserve"> Id. </w:t>
      </w:r>
      <w:r>
        <w:rPr>
          <w:szCs w:val="24"/>
        </w:rPr>
        <w:t>at 16, ¶ 26.</w:t>
      </w:r>
    </w:p>
  </w:footnote>
  <w:footnote w:id="17">
    <w:p w:rsidR="00746CDC" w:rsidRPr="00DA3A1C" w:rsidRDefault="00746CDC" w:rsidP="00E839DB">
      <w:pPr>
        <w:pStyle w:val="FootnoteText"/>
      </w:pPr>
      <w:r w:rsidRPr="00DA3A1C">
        <w:rPr>
          <w:rStyle w:val="FootnoteReference"/>
        </w:rPr>
        <w:footnoteRef/>
      </w:r>
      <w:r w:rsidRPr="00DA3A1C">
        <w:t xml:space="preserve"> </w:t>
      </w:r>
      <w:r>
        <w:t>Id.</w:t>
      </w:r>
      <w:r w:rsidRPr="00DA3A1C">
        <w:t xml:space="preserve"> at 17, </w:t>
      </w:r>
      <w:r>
        <w:t xml:space="preserve">Element 1, </w:t>
      </w:r>
      <w:r w:rsidRPr="00DA3A1C">
        <w:t>¶ 28</w:t>
      </w:r>
      <w:r>
        <w:t>.</w:t>
      </w:r>
    </w:p>
  </w:footnote>
  <w:footnote w:id="18">
    <w:p w:rsidR="00746CDC" w:rsidRDefault="00746CDC" w:rsidP="00E839DB">
      <w:pPr>
        <w:pStyle w:val="FootnoteText"/>
      </w:pPr>
      <w:r>
        <w:rPr>
          <w:rStyle w:val="FootnoteReference"/>
        </w:rPr>
        <w:footnoteRef/>
      </w:r>
      <w:r>
        <w:t xml:space="preserve"> Id. n. 44.</w:t>
      </w:r>
    </w:p>
  </w:footnote>
  <w:footnote w:id="19">
    <w:p w:rsidR="00746CDC" w:rsidRDefault="00746CDC" w:rsidP="00A34780">
      <w:pPr>
        <w:pStyle w:val="FootnoteText"/>
      </w:pPr>
      <w:r>
        <w:rPr>
          <w:rStyle w:val="FootnoteReference"/>
        </w:rPr>
        <w:footnoteRef/>
      </w:r>
      <w:r>
        <w:t xml:space="preserve"> Id.</w:t>
      </w:r>
      <w:r w:rsidRPr="00A92A07">
        <w:t xml:space="preserve"> at </w:t>
      </w:r>
      <w:r>
        <w:t>19</w:t>
      </w:r>
      <w:r w:rsidRPr="00A92A07">
        <w:t xml:space="preserve">, Criterion </w:t>
      </w:r>
      <w:r>
        <w:t>5</w:t>
      </w:r>
      <w:r w:rsidRPr="00A92A07">
        <w:t>, ¶ 28.</w:t>
      </w:r>
      <w:r>
        <w:t xml:space="preserve"> </w:t>
      </w:r>
    </w:p>
  </w:footnote>
  <w:footnote w:id="20">
    <w:p w:rsidR="00746CDC" w:rsidRDefault="00746CDC" w:rsidP="00A34780">
      <w:pPr>
        <w:pStyle w:val="FootnoteText"/>
      </w:pPr>
      <w:r>
        <w:rPr>
          <w:rStyle w:val="FootnoteReference"/>
        </w:rPr>
        <w:footnoteRef/>
      </w:r>
      <w:r>
        <w:t xml:space="preserve"> Regulatory Assistance Project, Revenue Regulation and Decoupling, p.21 and 38. </w:t>
      </w:r>
    </w:p>
  </w:footnote>
  <w:footnote w:id="21">
    <w:p w:rsidR="00746CDC" w:rsidRDefault="00746CDC" w:rsidP="00A34780">
      <w:pPr>
        <w:pStyle w:val="FootnoteText"/>
      </w:pPr>
      <w:r>
        <w:rPr>
          <w:rStyle w:val="FootnoteReference"/>
        </w:rPr>
        <w:footnoteRef/>
      </w:r>
      <w:r>
        <w:t xml:space="preserve"> See Appendix </w:t>
      </w:r>
      <w:r w:rsidR="004E70DC">
        <w:t>2</w:t>
      </w:r>
      <w:r>
        <w:t>, Part 1.</w:t>
      </w:r>
    </w:p>
  </w:footnote>
  <w:footnote w:id="22">
    <w:p w:rsidR="00746CDC" w:rsidRPr="00B566D0" w:rsidRDefault="00746CDC" w:rsidP="00A34780">
      <w:pPr>
        <w:pStyle w:val="FootnoteText"/>
      </w:pPr>
      <w:r w:rsidRPr="00B566D0">
        <w:rPr>
          <w:rStyle w:val="FootnoteReference"/>
        </w:rPr>
        <w:footnoteRef/>
      </w:r>
      <w:r w:rsidRPr="00B566D0">
        <w:t xml:space="preserve"> Decoupling Policy Statement at 18, Criterion 1, ¶ 28.</w:t>
      </w:r>
    </w:p>
  </w:footnote>
  <w:footnote w:id="23">
    <w:p w:rsidR="00746CDC" w:rsidRDefault="00746CDC" w:rsidP="00A34780">
      <w:pPr>
        <w:pStyle w:val="FootnoteText"/>
      </w:pPr>
      <w:r>
        <w:rPr>
          <w:rStyle w:val="FootnoteReference"/>
        </w:rPr>
        <w:footnoteRef/>
      </w:r>
      <w:r>
        <w:t xml:space="preserve"> Id. footnote 46.</w:t>
      </w:r>
    </w:p>
  </w:footnote>
  <w:footnote w:id="24">
    <w:p w:rsidR="00746CDC" w:rsidRDefault="00746CDC" w:rsidP="00A34780">
      <w:pPr>
        <w:pStyle w:val="FootnoteText"/>
      </w:pPr>
      <w:r>
        <w:rPr>
          <w:rStyle w:val="FootnoteReference"/>
        </w:rPr>
        <w:footnoteRef/>
      </w:r>
      <w:r>
        <w:t xml:space="preserve"> To simplify its analysis, Staff relied on PSE’s CSA Rate proposal.  For an explanation of the exclusion of gas transportation customers, see Exhibit No. __ (JAP-1T) at 34:15,16.</w:t>
      </w:r>
    </w:p>
  </w:footnote>
  <w:footnote w:id="25">
    <w:p w:rsidR="00746CDC" w:rsidRPr="00B566D0" w:rsidRDefault="00746CDC" w:rsidP="00A34780">
      <w:pPr>
        <w:pStyle w:val="FootnoteText"/>
      </w:pPr>
      <w:r w:rsidRPr="00B566D0">
        <w:rPr>
          <w:rStyle w:val="FootnoteReference"/>
        </w:rPr>
        <w:footnoteRef/>
      </w:r>
      <w:r w:rsidRPr="00B566D0">
        <w:t xml:space="preserve"> Id. at 16-17, ¶ 27. </w:t>
      </w:r>
    </w:p>
  </w:footnote>
  <w:footnote w:id="26">
    <w:p w:rsidR="00746CDC" w:rsidRDefault="00746CDC">
      <w:pPr>
        <w:pStyle w:val="FootnoteText"/>
      </w:pPr>
      <w:r>
        <w:rPr>
          <w:rStyle w:val="FootnoteReference"/>
        </w:rPr>
        <w:footnoteRef/>
      </w:r>
      <w:r>
        <w:t xml:space="preserve"> For illustrative purposes based on limited experience with the Northwest Natural Gas Company decoupling mechanism in Oregon, about a 3% reduction in the equity capitalization ratio needed to sustain a given bond rating could result if full decoupling is implemented.</w:t>
      </w:r>
    </w:p>
  </w:footnote>
  <w:footnote w:id="27">
    <w:p w:rsidR="00746CDC" w:rsidRPr="00B566D0" w:rsidRDefault="00746CDC" w:rsidP="009879F8">
      <w:pPr>
        <w:autoSpaceDE w:val="0"/>
        <w:autoSpaceDN w:val="0"/>
        <w:adjustRightInd w:val="0"/>
        <w:spacing w:after="0" w:line="240" w:lineRule="auto"/>
        <w:rPr>
          <w:sz w:val="20"/>
          <w:szCs w:val="20"/>
        </w:rPr>
      </w:pPr>
      <w:r w:rsidRPr="00B566D0">
        <w:rPr>
          <w:rStyle w:val="FootnoteReference"/>
          <w:sz w:val="20"/>
          <w:szCs w:val="20"/>
        </w:rPr>
        <w:footnoteRef/>
      </w:r>
      <w:r w:rsidRPr="00B566D0">
        <w:rPr>
          <w:sz w:val="20"/>
          <w:szCs w:val="20"/>
        </w:rPr>
        <w:t xml:space="preserve"> Christensen (2005) evaluation of NWNG mechanism, at page 50, states:  “According to CFO David Anderson the presence of DMN and WARM contributed to NW Natural attaining a score of “1” on S&amp;P’s business risk profile (in which 1 = best risk profile and 10 = worst risk profile). This rating has two effects. First, it allows NW Natural the flexibility to carry a lower share of equity in its capital structure if it chooses.  Second, a favorable business risk profile rating allows NW Natural the flexibility to maintain a lower debt-service coverage ratio if it chooses.</w:t>
      </w:r>
      <w:r>
        <w:rPr>
          <w:sz w:val="20"/>
          <w:szCs w:val="20"/>
        </w:rPr>
        <w:t>”</w:t>
      </w:r>
    </w:p>
  </w:footnote>
  <w:footnote w:id="28">
    <w:p w:rsidR="00746CDC" w:rsidRDefault="00746CDC" w:rsidP="00E839DB">
      <w:pPr>
        <w:pStyle w:val="FootnoteText"/>
      </w:pPr>
      <w:r>
        <w:rPr>
          <w:rStyle w:val="FootnoteReference"/>
        </w:rPr>
        <w:footnoteRef/>
      </w:r>
      <w:r>
        <w:t xml:space="preserve"> Decoupling Policy Statement at 17, Element 3, ¶ 28.</w:t>
      </w:r>
    </w:p>
  </w:footnote>
  <w:footnote w:id="29">
    <w:p w:rsidR="00746CDC" w:rsidRDefault="00746CDC">
      <w:pPr>
        <w:pStyle w:val="FootnoteText"/>
      </w:pPr>
      <w:r>
        <w:rPr>
          <w:rStyle w:val="FootnoteReference"/>
        </w:rPr>
        <w:footnoteRef/>
      </w:r>
      <w:r>
        <w:t xml:space="preserve"> Staff bases the size of the deadband on national findings about the range of adjustments for rate of return, which vary from 25 to 100 basis points.</w:t>
      </w:r>
    </w:p>
  </w:footnote>
  <w:footnote w:id="30">
    <w:p w:rsidR="00746CDC" w:rsidRDefault="00746CDC" w:rsidP="005D678F">
      <w:pPr>
        <w:pStyle w:val="FootnoteText"/>
      </w:pPr>
      <w:r>
        <w:rPr>
          <w:rStyle w:val="FootnoteReference"/>
        </w:rPr>
        <w:footnoteRef/>
      </w:r>
      <w:r>
        <w:t xml:space="preserve"> Decoupling Policy Statement at </w:t>
      </w:r>
      <w:r w:rsidRPr="00503F7C">
        <w:rPr>
          <w:szCs w:val="24"/>
        </w:rPr>
        <w:t>16, ¶ 26</w:t>
      </w:r>
      <w:r>
        <w:rPr>
          <w:szCs w:val="24"/>
        </w:rPr>
        <w:t xml:space="preserve"> (footnotes omitted).</w:t>
      </w:r>
      <w:r w:rsidRPr="00503F7C">
        <w:rPr>
          <w:szCs w:val="24"/>
        </w:rPr>
        <w:tab/>
      </w:r>
    </w:p>
  </w:footnote>
  <w:footnote w:id="31">
    <w:p w:rsidR="00746CDC" w:rsidRDefault="00746CDC" w:rsidP="00A34780">
      <w:pPr>
        <w:pStyle w:val="FootnoteText"/>
      </w:pPr>
      <w:r>
        <w:rPr>
          <w:rStyle w:val="FootnoteReference"/>
        </w:rPr>
        <w:footnoteRef/>
      </w:r>
      <w:r>
        <w:t xml:space="preserve"> Id. at 17, ¶ 28.</w:t>
      </w:r>
    </w:p>
  </w:footnote>
  <w:footnote w:id="32">
    <w:p w:rsidR="00746CDC" w:rsidRDefault="00746CDC">
      <w:pPr>
        <w:pStyle w:val="FootnoteText"/>
      </w:pPr>
      <w:r>
        <w:rPr>
          <w:rStyle w:val="FootnoteReference"/>
        </w:rPr>
        <w:footnoteRef/>
      </w:r>
      <w:r>
        <w:t xml:space="preserve"> Id. at 20, ¶ 31, 32.</w:t>
      </w:r>
    </w:p>
  </w:footnote>
  <w:footnote w:id="33">
    <w:p w:rsidR="00746CDC" w:rsidRPr="00B566D0" w:rsidRDefault="00746CDC" w:rsidP="00A34780">
      <w:pPr>
        <w:pStyle w:val="FootnoteText"/>
      </w:pPr>
      <w:r w:rsidRPr="00B566D0">
        <w:rPr>
          <w:rStyle w:val="FootnoteReference"/>
        </w:rPr>
        <w:footnoteRef/>
      </w:r>
      <w:r w:rsidRPr="00B566D0">
        <w:t xml:space="preserve"> </w:t>
      </w:r>
      <w:r w:rsidRPr="007C7EBE">
        <w:rPr>
          <w:i/>
        </w:rPr>
        <w:t>WUTC v. Puget Sound Energy, Inc,</w:t>
      </w:r>
      <w:r>
        <w:t xml:space="preserve"> UG-011571, Order 05 amending 12</w:t>
      </w:r>
      <w:r w:rsidRPr="0046500D">
        <w:rPr>
          <w:vertAlign w:val="superscript"/>
        </w:rPr>
        <w:t>th</w:t>
      </w:r>
      <w:r>
        <w:t xml:space="preserve"> Supplemental Order, Exhibit F – Settlement Terms for Conservation , (September 28, 2010).   </w:t>
      </w:r>
      <w:r w:rsidRPr="00B566D0">
        <w:t xml:space="preserve">In addition, as described in Section </w:t>
      </w:r>
      <w:r>
        <w:t>K</w:t>
      </w:r>
      <w:r w:rsidRPr="00B566D0">
        <w:t xml:space="preserve"> below, the Commission also expects the Company to identify incremental conservation that will be pursued, and the </w:t>
      </w:r>
      <w:r>
        <w:t>Conservation</w:t>
      </w:r>
      <w:r w:rsidRPr="00B566D0">
        <w:t xml:space="preserve"> Test will document and reward the achievement of incremental conservation.</w:t>
      </w:r>
    </w:p>
  </w:footnote>
  <w:footnote w:id="34">
    <w:p w:rsidR="00746CDC" w:rsidRPr="00B566D0" w:rsidRDefault="00746CDC" w:rsidP="00A34780">
      <w:pPr>
        <w:pStyle w:val="FootnoteText"/>
      </w:pPr>
      <w:r w:rsidRPr="00B566D0">
        <w:rPr>
          <w:rStyle w:val="FootnoteReference"/>
        </w:rPr>
        <w:footnoteRef/>
      </w:r>
      <w:r w:rsidRPr="00B566D0">
        <w:t xml:space="preserve"> In the case of electric targets, they may also be taken from Commission-approved targets under WAC 480-109-010.</w:t>
      </w:r>
    </w:p>
  </w:footnote>
  <w:footnote w:id="35">
    <w:p w:rsidR="00746CDC" w:rsidRDefault="00746CDC" w:rsidP="005D678F">
      <w:pPr>
        <w:pStyle w:val="FootnoteText"/>
      </w:pPr>
      <w:r>
        <w:rPr>
          <w:rStyle w:val="FootnoteReference"/>
        </w:rPr>
        <w:footnoteRef/>
      </w:r>
      <w:r>
        <w:t xml:space="preserve"> </w:t>
      </w:r>
      <w:r w:rsidRPr="00A92A07">
        <w:t xml:space="preserve">Decoupling Policy Statement at </w:t>
      </w:r>
      <w:r>
        <w:t>1</w:t>
      </w:r>
      <w:r w:rsidRPr="00A92A07">
        <w:t xml:space="preserve">8, Criterion </w:t>
      </w:r>
      <w:r>
        <w:t>4</w:t>
      </w:r>
      <w:r w:rsidRPr="00A92A07">
        <w:t>, ¶ 28.</w:t>
      </w:r>
    </w:p>
  </w:footnote>
  <w:footnote w:id="36">
    <w:p w:rsidR="00CD0737" w:rsidRDefault="00CD0737" w:rsidP="00CD0737">
      <w:pPr>
        <w:pStyle w:val="FootnoteText"/>
      </w:pPr>
      <w:r>
        <w:rPr>
          <w:rStyle w:val="FootnoteReference"/>
        </w:rPr>
        <w:footnoteRef/>
      </w:r>
      <w:r>
        <w:t xml:space="preserve"> Exhibit No. __ (DJR-1T).</w:t>
      </w:r>
    </w:p>
  </w:footnote>
  <w:footnote w:id="37">
    <w:p w:rsidR="00FC0223" w:rsidRDefault="00FC0223">
      <w:pPr>
        <w:pStyle w:val="FootnoteText"/>
      </w:pPr>
      <w:r>
        <w:rPr>
          <w:rStyle w:val="FootnoteReference"/>
        </w:rPr>
        <w:footnoteRef/>
      </w:r>
      <w:r>
        <w:t xml:space="preserve"> </w:t>
      </w:r>
      <w:r w:rsidRPr="00FC0223">
        <w:t xml:space="preserve">Only about one-half of the households receiving energy assistance in one year also participate in the following year.  </w:t>
      </w:r>
    </w:p>
  </w:footnote>
  <w:footnote w:id="38">
    <w:p w:rsidR="00746CDC" w:rsidRDefault="00746CDC" w:rsidP="005D678F">
      <w:pPr>
        <w:pStyle w:val="FootnoteText"/>
      </w:pPr>
      <w:r>
        <w:rPr>
          <w:rStyle w:val="FootnoteReference"/>
        </w:rPr>
        <w:footnoteRef/>
      </w:r>
      <w:r>
        <w:t xml:space="preserve"> </w:t>
      </w:r>
      <w:r w:rsidRPr="00A92A07">
        <w:t xml:space="preserve">Decoupling Policy Statement at </w:t>
      </w:r>
      <w:r>
        <w:t>1</w:t>
      </w:r>
      <w:r w:rsidRPr="00A92A07">
        <w:t xml:space="preserve">8, Criterion </w:t>
      </w:r>
      <w:r>
        <w:t>3</w:t>
      </w:r>
      <w:r w:rsidRPr="00A92A07">
        <w:t>, ¶ 28.</w:t>
      </w:r>
    </w:p>
  </w:footnote>
  <w:footnote w:id="39">
    <w:p w:rsidR="00746CDC" w:rsidRDefault="00746CDC" w:rsidP="005B0A60">
      <w:pPr>
        <w:pStyle w:val="FootnoteText"/>
      </w:pPr>
      <w:r>
        <w:rPr>
          <w:rStyle w:val="FootnoteReference"/>
        </w:rPr>
        <w:footnoteRef/>
      </w:r>
      <w:r>
        <w:t xml:space="preserve"> RCW 19.285.040(1).</w:t>
      </w:r>
    </w:p>
  </w:footnote>
  <w:footnote w:id="40">
    <w:p w:rsidR="00746CDC" w:rsidRPr="00B566D0" w:rsidRDefault="00746CDC" w:rsidP="00A34780">
      <w:pPr>
        <w:pStyle w:val="FootnoteText"/>
      </w:pPr>
      <w:r w:rsidRPr="00B566D0">
        <w:rPr>
          <w:rStyle w:val="FootnoteReference"/>
        </w:rPr>
        <w:footnoteRef/>
      </w:r>
      <w:r>
        <w:t xml:space="preserve"> Decoupling Policy Statement</w:t>
      </w:r>
      <w:r w:rsidRPr="00B566D0">
        <w:t xml:space="preserve"> at 17, Element 4, ¶ 28.</w:t>
      </w:r>
    </w:p>
  </w:footnote>
  <w:footnote w:id="41">
    <w:p w:rsidR="00746CDC" w:rsidRDefault="00746CDC" w:rsidP="00A34780">
      <w:pPr>
        <w:pStyle w:val="FootnoteText"/>
      </w:pPr>
      <w:r>
        <w:rPr>
          <w:rStyle w:val="FootnoteReference"/>
        </w:rPr>
        <w:footnoteRef/>
      </w:r>
      <w:r>
        <w:t xml:space="preserve"> Id. n. 45.</w:t>
      </w:r>
    </w:p>
  </w:footnote>
  <w:footnote w:id="42">
    <w:p w:rsidR="00746CDC" w:rsidRDefault="00746CDC" w:rsidP="00A34780">
      <w:pPr>
        <w:pStyle w:val="FootnoteText"/>
      </w:pPr>
      <w:r>
        <w:rPr>
          <w:rStyle w:val="FootnoteReference"/>
        </w:rPr>
        <w:footnoteRef/>
      </w:r>
      <w:r>
        <w:t xml:space="preserve"> Bench Request at 2.</w:t>
      </w:r>
    </w:p>
  </w:footnote>
  <w:footnote w:id="43">
    <w:p w:rsidR="00746CDC" w:rsidRDefault="00746CDC">
      <w:pPr>
        <w:pStyle w:val="FootnoteText"/>
      </w:pPr>
      <w:r>
        <w:rPr>
          <w:rStyle w:val="FootnoteReference"/>
        </w:rPr>
        <w:footnoteRef/>
      </w:r>
      <w:r>
        <w:t xml:space="preserve"> Exhibit No. __ (SA-1CT) at 5.</w:t>
      </w:r>
    </w:p>
  </w:footnote>
  <w:footnote w:id="44">
    <w:p w:rsidR="00746CDC" w:rsidRDefault="00746CDC" w:rsidP="00A34780">
      <w:pPr>
        <w:pStyle w:val="FootnoteText"/>
      </w:pPr>
      <w:r>
        <w:rPr>
          <w:rStyle w:val="FootnoteReference"/>
        </w:rPr>
        <w:footnoteRef/>
      </w:r>
      <w:r>
        <w:t xml:space="preserve"> Exhibit No. __ (SML-1T), 19-33.</w:t>
      </w:r>
    </w:p>
  </w:footnote>
  <w:footnote w:id="45">
    <w:p w:rsidR="00746CDC" w:rsidRDefault="00746CDC" w:rsidP="005D678F">
      <w:pPr>
        <w:pStyle w:val="FootnoteText"/>
      </w:pPr>
      <w:r>
        <w:rPr>
          <w:rStyle w:val="FootnoteReference"/>
        </w:rPr>
        <w:footnoteRef/>
      </w:r>
      <w:r>
        <w:t xml:space="preserve"> </w:t>
      </w:r>
      <w:r w:rsidRPr="00A92A07">
        <w:t xml:space="preserve">Decoupling Policy Statement at </w:t>
      </w:r>
      <w:r>
        <w:t>19</w:t>
      </w:r>
      <w:r w:rsidRPr="00A92A07">
        <w:t xml:space="preserve">, Criterion </w:t>
      </w:r>
      <w:r>
        <w:t>6</w:t>
      </w:r>
      <w:r w:rsidRPr="00A92A07">
        <w:t>, ¶ 28.</w:t>
      </w:r>
    </w:p>
  </w:footnote>
  <w:footnote w:id="46">
    <w:p w:rsidR="00746CDC" w:rsidRDefault="00746CDC" w:rsidP="005D678F">
      <w:pPr>
        <w:pStyle w:val="FootnoteText"/>
      </w:pPr>
      <w:r>
        <w:rPr>
          <w:rStyle w:val="FootnoteReference"/>
        </w:rPr>
        <w:footnoteRef/>
      </w:r>
      <w:r>
        <w:t xml:space="preserve"> Id.</w:t>
      </w:r>
      <w:r w:rsidRPr="00A92A07">
        <w:t xml:space="preserve"> at </w:t>
      </w:r>
      <w:r>
        <w:t>19</w:t>
      </w:r>
      <w:r w:rsidRPr="00A92A07">
        <w:t xml:space="preserve">, Criterion </w:t>
      </w:r>
      <w:r>
        <w:t>7</w:t>
      </w:r>
      <w:r w:rsidRPr="00A92A07">
        <w:t>, ¶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DC" w:rsidRDefault="004E70DC" w:rsidP="004E70DC">
    <w:pPr>
      <w:pStyle w:val="Header"/>
      <w:jc w:val="right"/>
    </w:pPr>
    <w:r>
      <w:t>Dockets UE-111048 and UG-111049</w:t>
    </w:r>
  </w:p>
  <w:p w:rsidR="004E70DC" w:rsidRDefault="004E70DC" w:rsidP="004E70DC">
    <w:pPr>
      <w:pStyle w:val="Header"/>
      <w:jc w:val="right"/>
    </w:pPr>
    <w:r>
      <w:t>Staff Response to Bench Request</w:t>
    </w:r>
  </w:p>
  <w:p w:rsidR="004E70DC" w:rsidRDefault="004E70DC" w:rsidP="004E70DC">
    <w:pPr>
      <w:pStyle w:val="Header"/>
      <w:jc w:val="right"/>
    </w:pPr>
    <w:r>
      <w:t xml:space="preserve">Page </w:t>
    </w:r>
    <w:r>
      <w:fldChar w:fldCharType="begin"/>
    </w:r>
    <w:r>
      <w:instrText xml:space="preserve"> PAGE   \* MERGEFORMAT </w:instrText>
    </w:r>
    <w:r>
      <w:fldChar w:fldCharType="separate"/>
    </w:r>
    <w:r w:rsidR="00B339F7">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4D64"/>
    <w:multiLevelType w:val="hybridMultilevel"/>
    <w:tmpl w:val="17EAB7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EF519B"/>
    <w:multiLevelType w:val="hybridMultilevel"/>
    <w:tmpl w:val="44A61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DD0C1E"/>
    <w:multiLevelType w:val="hybridMultilevel"/>
    <w:tmpl w:val="3538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C2B30"/>
    <w:multiLevelType w:val="hybridMultilevel"/>
    <w:tmpl w:val="C9425D1E"/>
    <w:lvl w:ilvl="0" w:tplc="261415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982F64"/>
    <w:multiLevelType w:val="hybridMultilevel"/>
    <w:tmpl w:val="506CA6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45580"/>
    <w:multiLevelType w:val="hybridMultilevel"/>
    <w:tmpl w:val="2398E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61C5B"/>
    <w:multiLevelType w:val="hybridMultilevel"/>
    <w:tmpl w:val="0E46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7C6A2D"/>
    <w:multiLevelType w:val="hybridMultilevel"/>
    <w:tmpl w:val="FAD0C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AD34DE"/>
    <w:multiLevelType w:val="hybridMultilevel"/>
    <w:tmpl w:val="C8AE758A"/>
    <w:lvl w:ilvl="0" w:tplc="DA06BB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6AD26B4"/>
    <w:multiLevelType w:val="hybridMultilevel"/>
    <w:tmpl w:val="2814EA54"/>
    <w:lvl w:ilvl="0" w:tplc="83388B50">
      <w:start w:val="10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B4B06"/>
    <w:multiLevelType w:val="hybridMultilevel"/>
    <w:tmpl w:val="658AF3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B52DD9"/>
    <w:multiLevelType w:val="hybridMultilevel"/>
    <w:tmpl w:val="3272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1637A"/>
    <w:multiLevelType w:val="hybridMultilevel"/>
    <w:tmpl w:val="F7F2A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D78A3"/>
    <w:multiLevelType w:val="hybridMultilevel"/>
    <w:tmpl w:val="330233B0"/>
    <w:lvl w:ilvl="0" w:tplc="F22E5D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0B5126"/>
    <w:multiLevelType w:val="hybridMultilevel"/>
    <w:tmpl w:val="EC669D86"/>
    <w:lvl w:ilvl="0" w:tplc="1806DCB0">
      <w:start w:val="1"/>
      <w:numFmt w:val="upperLetter"/>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553EAA"/>
    <w:multiLevelType w:val="hybridMultilevel"/>
    <w:tmpl w:val="C09CCC54"/>
    <w:lvl w:ilvl="0" w:tplc="2A92ABCE">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1"/>
  </w:num>
  <w:num w:numId="4">
    <w:abstractNumId w:val="1"/>
  </w:num>
  <w:num w:numId="5">
    <w:abstractNumId w:val="2"/>
  </w:num>
  <w:num w:numId="6">
    <w:abstractNumId w:val="16"/>
  </w:num>
  <w:num w:numId="7">
    <w:abstractNumId w:val="9"/>
  </w:num>
  <w:num w:numId="8">
    <w:abstractNumId w:val="14"/>
  </w:num>
  <w:num w:numId="9">
    <w:abstractNumId w:val="3"/>
  </w:num>
  <w:num w:numId="10">
    <w:abstractNumId w:val="13"/>
  </w:num>
  <w:num w:numId="11">
    <w:abstractNumId w:val="8"/>
  </w:num>
  <w:num w:numId="12">
    <w:abstractNumId w:val="10"/>
  </w:num>
  <w:num w:numId="13">
    <w:abstractNumId w:val="5"/>
  </w:num>
  <w:num w:numId="14">
    <w:abstractNumId w:val="6"/>
  </w:num>
  <w:num w:numId="15">
    <w:abstractNumId w:val="12"/>
  </w:num>
  <w:num w:numId="16">
    <w:abstractNumId w:val="4"/>
  </w:num>
  <w:num w:numId="17">
    <w:abstractNumId w:val="15"/>
  </w:num>
  <w:num w:numId="18">
    <w:abstractNumId w:val="15"/>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6B"/>
    <w:rsid w:val="00002C63"/>
    <w:rsid w:val="00010565"/>
    <w:rsid w:val="0001353E"/>
    <w:rsid w:val="000301D2"/>
    <w:rsid w:val="0003082E"/>
    <w:rsid w:val="000334F7"/>
    <w:rsid w:val="00053F78"/>
    <w:rsid w:val="00057A91"/>
    <w:rsid w:val="00060406"/>
    <w:rsid w:val="00060BFD"/>
    <w:rsid w:val="0006368D"/>
    <w:rsid w:val="000663E5"/>
    <w:rsid w:val="00066DC1"/>
    <w:rsid w:val="00067A1C"/>
    <w:rsid w:val="00070041"/>
    <w:rsid w:val="00073187"/>
    <w:rsid w:val="000775D2"/>
    <w:rsid w:val="00077677"/>
    <w:rsid w:val="00081323"/>
    <w:rsid w:val="0008676B"/>
    <w:rsid w:val="00086934"/>
    <w:rsid w:val="00090AE4"/>
    <w:rsid w:val="00093A1B"/>
    <w:rsid w:val="000A1925"/>
    <w:rsid w:val="000A2AA4"/>
    <w:rsid w:val="000B4848"/>
    <w:rsid w:val="000B5551"/>
    <w:rsid w:val="000C181F"/>
    <w:rsid w:val="000D1250"/>
    <w:rsid w:val="000E5391"/>
    <w:rsid w:val="000F1F3E"/>
    <w:rsid w:val="000F63B5"/>
    <w:rsid w:val="00110B47"/>
    <w:rsid w:val="0011188C"/>
    <w:rsid w:val="00111E56"/>
    <w:rsid w:val="001224D2"/>
    <w:rsid w:val="00125FEC"/>
    <w:rsid w:val="001308F6"/>
    <w:rsid w:val="00133AA9"/>
    <w:rsid w:val="0013522F"/>
    <w:rsid w:val="0013706F"/>
    <w:rsid w:val="00140D2F"/>
    <w:rsid w:val="00142243"/>
    <w:rsid w:val="00147C67"/>
    <w:rsid w:val="001542B8"/>
    <w:rsid w:val="001606ED"/>
    <w:rsid w:val="00191A76"/>
    <w:rsid w:val="001941BB"/>
    <w:rsid w:val="001A4BA2"/>
    <w:rsid w:val="001B6C23"/>
    <w:rsid w:val="001B7657"/>
    <w:rsid w:val="001C076D"/>
    <w:rsid w:val="001C3841"/>
    <w:rsid w:val="001C4BEE"/>
    <w:rsid w:val="001C71FF"/>
    <w:rsid w:val="001E41F0"/>
    <w:rsid w:val="001E5E74"/>
    <w:rsid w:val="001F5ED4"/>
    <w:rsid w:val="0020636F"/>
    <w:rsid w:val="00214973"/>
    <w:rsid w:val="00214FA8"/>
    <w:rsid w:val="0022128F"/>
    <w:rsid w:val="0022582D"/>
    <w:rsid w:val="00226EBF"/>
    <w:rsid w:val="00235BC3"/>
    <w:rsid w:val="00236E1E"/>
    <w:rsid w:val="00241BDB"/>
    <w:rsid w:val="0024263D"/>
    <w:rsid w:val="00243EB4"/>
    <w:rsid w:val="00245FCE"/>
    <w:rsid w:val="002630A5"/>
    <w:rsid w:val="00265471"/>
    <w:rsid w:val="00266FFD"/>
    <w:rsid w:val="00270487"/>
    <w:rsid w:val="00280946"/>
    <w:rsid w:val="002842AC"/>
    <w:rsid w:val="0028768C"/>
    <w:rsid w:val="0029526B"/>
    <w:rsid w:val="002966C9"/>
    <w:rsid w:val="002C01AA"/>
    <w:rsid w:val="002C64EE"/>
    <w:rsid w:val="002C6FCD"/>
    <w:rsid w:val="002D46A2"/>
    <w:rsid w:val="002E2A36"/>
    <w:rsid w:val="002F6EEE"/>
    <w:rsid w:val="00310688"/>
    <w:rsid w:val="00320581"/>
    <w:rsid w:val="00337955"/>
    <w:rsid w:val="00341D0F"/>
    <w:rsid w:val="003546D1"/>
    <w:rsid w:val="00361C2B"/>
    <w:rsid w:val="003669E6"/>
    <w:rsid w:val="00372254"/>
    <w:rsid w:val="003732FD"/>
    <w:rsid w:val="003810FB"/>
    <w:rsid w:val="003831DD"/>
    <w:rsid w:val="0038423C"/>
    <w:rsid w:val="003B6C27"/>
    <w:rsid w:val="003C03CC"/>
    <w:rsid w:val="003D03B8"/>
    <w:rsid w:val="003D5539"/>
    <w:rsid w:val="003E5662"/>
    <w:rsid w:val="003F210F"/>
    <w:rsid w:val="003F7D35"/>
    <w:rsid w:val="004073BD"/>
    <w:rsid w:val="00417397"/>
    <w:rsid w:val="0042511A"/>
    <w:rsid w:val="00440183"/>
    <w:rsid w:val="0045149F"/>
    <w:rsid w:val="004550BC"/>
    <w:rsid w:val="004556C3"/>
    <w:rsid w:val="0046500D"/>
    <w:rsid w:val="00466132"/>
    <w:rsid w:val="00473BD1"/>
    <w:rsid w:val="00474E4F"/>
    <w:rsid w:val="004821EE"/>
    <w:rsid w:val="004861FF"/>
    <w:rsid w:val="004A1985"/>
    <w:rsid w:val="004A5F27"/>
    <w:rsid w:val="004A78AB"/>
    <w:rsid w:val="004C1D5B"/>
    <w:rsid w:val="004C3A12"/>
    <w:rsid w:val="004C7726"/>
    <w:rsid w:val="004D0B85"/>
    <w:rsid w:val="004D3FC3"/>
    <w:rsid w:val="004E70DC"/>
    <w:rsid w:val="004F3815"/>
    <w:rsid w:val="004F3E6C"/>
    <w:rsid w:val="004F6C67"/>
    <w:rsid w:val="00503F7C"/>
    <w:rsid w:val="00512F17"/>
    <w:rsid w:val="0051732E"/>
    <w:rsid w:val="00517374"/>
    <w:rsid w:val="005220CF"/>
    <w:rsid w:val="0053365F"/>
    <w:rsid w:val="005365DB"/>
    <w:rsid w:val="00536E02"/>
    <w:rsid w:val="00560A59"/>
    <w:rsid w:val="00564046"/>
    <w:rsid w:val="00566C0D"/>
    <w:rsid w:val="00567B85"/>
    <w:rsid w:val="00570463"/>
    <w:rsid w:val="00582617"/>
    <w:rsid w:val="00584A12"/>
    <w:rsid w:val="00593546"/>
    <w:rsid w:val="005B0A60"/>
    <w:rsid w:val="005B2AAA"/>
    <w:rsid w:val="005B34AA"/>
    <w:rsid w:val="005B67BA"/>
    <w:rsid w:val="005C667A"/>
    <w:rsid w:val="005D678F"/>
    <w:rsid w:val="005D7D9A"/>
    <w:rsid w:val="005E4659"/>
    <w:rsid w:val="005E7675"/>
    <w:rsid w:val="005F47B9"/>
    <w:rsid w:val="005F6A1C"/>
    <w:rsid w:val="00601FEE"/>
    <w:rsid w:val="006069C2"/>
    <w:rsid w:val="0061507F"/>
    <w:rsid w:val="006228DE"/>
    <w:rsid w:val="0062590D"/>
    <w:rsid w:val="006364A6"/>
    <w:rsid w:val="00636D00"/>
    <w:rsid w:val="00636FA3"/>
    <w:rsid w:val="00654CB3"/>
    <w:rsid w:val="0066405C"/>
    <w:rsid w:val="00667358"/>
    <w:rsid w:val="00672D2F"/>
    <w:rsid w:val="00675973"/>
    <w:rsid w:val="00682888"/>
    <w:rsid w:val="00694146"/>
    <w:rsid w:val="006B7FE1"/>
    <w:rsid w:val="006C7598"/>
    <w:rsid w:val="006D0661"/>
    <w:rsid w:val="006D6EE4"/>
    <w:rsid w:val="006D6F1F"/>
    <w:rsid w:val="006E75D3"/>
    <w:rsid w:val="006F4E77"/>
    <w:rsid w:val="006F65DF"/>
    <w:rsid w:val="00701B27"/>
    <w:rsid w:val="007179C1"/>
    <w:rsid w:val="0073019E"/>
    <w:rsid w:val="00746CDC"/>
    <w:rsid w:val="007640A4"/>
    <w:rsid w:val="00765050"/>
    <w:rsid w:val="0077053C"/>
    <w:rsid w:val="007734F4"/>
    <w:rsid w:val="007739CF"/>
    <w:rsid w:val="00773A8A"/>
    <w:rsid w:val="007A5643"/>
    <w:rsid w:val="007B38DB"/>
    <w:rsid w:val="007B51D4"/>
    <w:rsid w:val="007C4A90"/>
    <w:rsid w:val="007C5779"/>
    <w:rsid w:val="007C7EBE"/>
    <w:rsid w:val="007D1213"/>
    <w:rsid w:val="007D2AE3"/>
    <w:rsid w:val="007D543A"/>
    <w:rsid w:val="007D5A76"/>
    <w:rsid w:val="007E3281"/>
    <w:rsid w:val="007E729B"/>
    <w:rsid w:val="007F592F"/>
    <w:rsid w:val="00807B89"/>
    <w:rsid w:val="00812554"/>
    <w:rsid w:val="00831B75"/>
    <w:rsid w:val="0084692E"/>
    <w:rsid w:val="00851B67"/>
    <w:rsid w:val="0085759B"/>
    <w:rsid w:val="00861441"/>
    <w:rsid w:val="00866C5D"/>
    <w:rsid w:val="0087146E"/>
    <w:rsid w:val="00876DBE"/>
    <w:rsid w:val="00877E56"/>
    <w:rsid w:val="0088237C"/>
    <w:rsid w:val="0089519F"/>
    <w:rsid w:val="00896C37"/>
    <w:rsid w:val="008A693B"/>
    <w:rsid w:val="008B2B19"/>
    <w:rsid w:val="008B3C54"/>
    <w:rsid w:val="008B51BB"/>
    <w:rsid w:val="008B58E5"/>
    <w:rsid w:val="008B7BB4"/>
    <w:rsid w:val="008D0156"/>
    <w:rsid w:val="008D7920"/>
    <w:rsid w:val="008F3AC4"/>
    <w:rsid w:val="008F4EEB"/>
    <w:rsid w:val="0090512D"/>
    <w:rsid w:val="009054A5"/>
    <w:rsid w:val="00915ECA"/>
    <w:rsid w:val="009240C1"/>
    <w:rsid w:val="009274EC"/>
    <w:rsid w:val="009329AF"/>
    <w:rsid w:val="009346E9"/>
    <w:rsid w:val="00945F73"/>
    <w:rsid w:val="00947603"/>
    <w:rsid w:val="00963526"/>
    <w:rsid w:val="00980EFA"/>
    <w:rsid w:val="009879F8"/>
    <w:rsid w:val="009A0D16"/>
    <w:rsid w:val="009A3AF2"/>
    <w:rsid w:val="009A60D8"/>
    <w:rsid w:val="009B043E"/>
    <w:rsid w:val="009B1265"/>
    <w:rsid w:val="009C03D0"/>
    <w:rsid w:val="009C276E"/>
    <w:rsid w:val="009C6D85"/>
    <w:rsid w:val="009C703B"/>
    <w:rsid w:val="009F55FB"/>
    <w:rsid w:val="00A12924"/>
    <w:rsid w:val="00A15C1E"/>
    <w:rsid w:val="00A23E4F"/>
    <w:rsid w:val="00A27CA2"/>
    <w:rsid w:val="00A31A86"/>
    <w:rsid w:val="00A34780"/>
    <w:rsid w:val="00A37A7E"/>
    <w:rsid w:val="00A4337C"/>
    <w:rsid w:val="00A45C82"/>
    <w:rsid w:val="00A54319"/>
    <w:rsid w:val="00A54744"/>
    <w:rsid w:val="00A55EB8"/>
    <w:rsid w:val="00A70661"/>
    <w:rsid w:val="00A70F70"/>
    <w:rsid w:val="00A71E73"/>
    <w:rsid w:val="00A746F5"/>
    <w:rsid w:val="00A8304C"/>
    <w:rsid w:val="00A831B7"/>
    <w:rsid w:val="00A86CCF"/>
    <w:rsid w:val="00A90D0B"/>
    <w:rsid w:val="00A92A07"/>
    <w:rsid w:val="00A93FD4"/>
    <w:rsid w:val="00A969CC"/>
    <w:rsid w:val="00AB6AF5"/>
    <w:rsid w:val="00AC1AFA"/>
    <w:rsid w:val="00AC4E34"/>
    <w:rsid w:val="00AC745C"/>
    <w:rsid w:val="00AD2A2D"/>
    <w:rsid w:val="00AD5F06"/>
    <w:rsid w:val="00AF2268"/>
    <w:rsid w:val="00AF3490"/>
    <w:rsid w:val="00B03886"/>
    <w:rsid w:val="00B11B3A"/>
    <w:rsid w:val="00B13144"/>
    <w:rsid w:val="00B251FF"/>
    <w:rsid w:val="00B27494"/>
    <w:rsid w:val="00B339F7"/>
    <w:rsid w:val="00B341CA"/>
    <w:rsid w:val="00B3455B"/>
    <w:rsid w:val="00B42A8C"/>
    <w:rsid w:val="00B532B7"/>
    <w:rsid w:val="00B5517B"/>
    <w:rsid w:val="00B566D0"/>
    <w:rsid w:val="00B67475"/>
    <w:rsid w:val="00B74B0F"/>
    <w:rsid w:val="00B75052"/>
    <w:rsid w:val="00B86E2C"/>
    <w:rsid w:val="00B959D2"/>
    <w:rsid w:val="00BA1630"/>
    <w:rsid w:val="00BC070C"/>
    <w:rsid w:val="00BD14CE"/>
    <w:rsid w:val="00BF6DDC"/>
    <w:rsid w:val="00C06353"/>
    <w:rsid w:val="00C073CA"/>
    <w:rsid w:val="00C11C06"/>
    <w:rsid w:val="00C203AE"/>
    <w:rsid w:val="00C20868"/>
    <w:rsid w:val="00C23A18"/>
    <w:rsid w:val="00C24829"/>
    <w:rsid w:val="00C24F38"/>
    <w:rsid w:val="00C3060E"/>
    <w:rsid w:val="00C3229C"/>
    <w:rsid w:val="00C3519C"/>
    <w:rsid w:val="00C50D88"/>
    <w:rsid w:val="00C52461"/>
    <w:rsid w:val="00C52FCC"/>
    <w:rsid w:val="00C61F26"/>
    <w:rsid w:val="00C642CA"/>
    <w:rsid w:val="00C648F3"/>
    <w:rsid w:val="00C6508A"/>
    <w:rsid w:val="00C658AE"/>
    <w:rsid w:val="00C65FB1"/>
    <w:rsid w:val="00C67B47"/>
    <w:rsid w:val="00C75245"/>
    <w:rsid w:val="00C86A51"/>
    <w:rsid w:val="00C90540"/>
    <w:rsid w:val="00C95F0A"/>
    <w:rsid w:val="00CA10A5"/>
    <w:rsid w:val="00CA377D"/>
    <w:rsid w:val="00CD0737"/>
    <w:rsid w:val="00CD571D"/>
    <w:rsid w:val="00CD6A0D"/>
    <w:rsid w:val="00CD776C"/>
    <w:rsid w:val="00CE586F"/>
    <w:rsid w:val="00D11168"/>
    <w:rsid w:val="00D17FC9"/>
    <w:rsid w:val="00D2630A"/>
    <w:rsid w:val="00D27B43"/>
    <w:rsid w:val="00D339AC"/>
    <w:rsid w:val="00D35FF4"/>
    <w:rsid w:val="00D4053E"/>
    <w:rsid w:val="00D45608"/>
    <w:rsid w:val="00D52331"/>
    <w:rsid w:val="00D64562"/>
    <w:rsid w:val="00D750E6"/>
    <w:rsid w:val="00D831AF"/>
    <w:rsid w:val="00D8736D"/>
    <w:rsid w:val="00D90616"/>
    <w:rsid w:val="00D9362F"/>
    <w:rsid w:val="00DA3A1C"/>
    <w:rsid w:val="00DA4325"/>
    <w:rsid w:val="00DB1534"/>
    <w:rsid w:val="00DC5D4C"/>
    <w:rsid w:val="00DD1103"/>
    <w:rsid w:val="00DD5026"/>
    <w:rsid w:val="00DD6559"/>
    <w:rsid w:val="00DE371B"/>
    <w:rsid w:val="00DE51B9"/>
    <w:rsid w:val="00DE722A"/>
    <w:rsid w:val="00DE7C14"/>
    <w:rsid w:val="00E01777"/>
    <w:rsid w:val="00E1127E"/>
    <w:rsid w:val="00E12326"/>
    <w:rsid w:val="00E15944"/>
    <w:rsid w:val="00E16317"/>
    <w:rsid w:val="00E16568"/>
    <w:rsid w:val="00E379B2"/>
    <w:rsid w:val="00E43139"/>
    <w:rsid w:val="00E45BAD"/>
    <w:rsid w:val="00E51634"/>
    <w:rsid w:val="00E51ADA"/>
    <w:rsid w:val="00E61D00"/>
    <w:rsid w:val="00E65698"/>
    <w:rsid w:val="00E80E23"/>
    <w:rsid w:val="00E839DB"/>
    <w:rsid w:val="00E84412"/>
    <w:rsid w:val="00E85648"/>
    <w:rsid w:val="00EA0A56"/>
    <w:rsid w:val="00EA1104"/>
    <w:rsid w:val="00EA7A91"/>
    <w:rsid w:val="00EB0282"/>
    <w:rsid w:val="00EC6A4C"/>
    <w:rsid w:val="00ED2D66"/>
    <w:rsid w:val="00ED50A8"/>
    <w:rsid w:val="00EE3E22"/>
    <w:rsid w:val="00EE5F2F"/>
    <w:rsid w:val="00EF6BA3"/>
    <w:rsid w:val="00F026C3"/>
    <w:rsid w:val="00F11F52"/>
    <w:rsid w:val="00F135EA"/>
    <w:rsid w:val="00F175C9"/>
    <w:rsid w:val="00F179F4"/>
    <w:rsid w:val="00F20BD4"/>
    <w:rsid w:val="00F233BE"/>
    <w:rsid w:val="00F25424"/>
    <w:rsid w:val="00F3050B"/>
    <w:rsid w:val="00F356D2"/>
    <w:rsid w:val="00F35704"/>
    <w:rsid w:val="00F4163B"/>
    <w:rsid w:val="00F80B34"/>
    <w:rsid w:val="00F81E4F"/>
    <w:rsid w:val="00F87A1C"/>
    <w:rsid w:val="00F9529B"/>
    <w:rsid w:val="00F96941"/>
    <w:rsid w:val="00FA08EB"/>
    <w:rsid w:val="00FA0997"/>
    <w:rsid w:val="00FB223D"/>
    <w:rsid w:val="00FC0223"/>
    <w:rsid w:val="00FC6B0D"/>
    <w:rsid w:val="00FE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F6E94-17EC-4737-85DF-44426185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8DB"/>
  </w:style>
  <w:style w:type="paragraph" w:styleId="Heading1">
    <w:name w:val="heading 1"/>
    <w:basedOn w:val="ListParagraph"/>
    <w:next w:val="Normal"/>
    <w:link w:val="Heading1Char"/>
    <w:uiPriority w:val="9"/>
    <w:qFormat/>
    <w:rsid w:val="00A54744"/>
    <w:pPr>
      <w:numPr>
        <w:numId w:val="6"/>
      </w:numPr>
      <w:outlineLvl w:val="0"/>
    </w:pPr>
    <w:rPr>
      <w:b/>
    </w:rPr>
  </w:style>
  <w:style w:type="paragraph" w:styleId="Heading2">
    <w:name w:val="heading 2"/>
    <w:basedOn w:val="ListParagraph"/>
    <w:next w:val="Normal"/>
    <w:link w:val="Heading2Char"/>
    <w:uiPriority w:val="9"/>
    <w:unhideWhenUsed/>
    <w:qFormat/>
    <w:rsid w:val="00AC1AFA"/>
    <w:pPr>
      <w:numPr>
        <w:numId w:val="17"/>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E84412"/>
    <w:pPr>
      <w:spacing w:after="0" w:line="240" w:lineRule="auto"/>
    </w:pPr>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E84412"/>
    <w:rPr>
      <w:rFonts w:eastAsia="Times New Roman" w:cs="Times New Roman"/>
      <w:sz w:val="20"/>
      <w:szCs w:val="20"/>
    </w:rPr>
  </w:style>
  <w:style w:type="character" w:styleId="FootnoteReference">
    <w:name w:val="footnote reference"/>
    <w:rsid w:val="00E84412"/>
    <w:rPr>
      <w:vertAlign w:val="superscript"/>
    </w:rPr>
  </w:style>
  <w:style w:type="paragraph" w:styleId="ListParagraph">
    <w:name w:val="List Paragraph"/>
    <w:basedOn w:val="Normal"/>
    <w:qFormat/>
    <w:rsid w:val="0006368D"/>
    <w:pPr>
      <w:ind w:left="720"/>
      <w:contextualSpacing/>
    </w:pPr>
    <w:rPr>
      <w:rFonts w:eastAsia="Calibri" w:cs="Times New Roman"/>
      <w:szCs w:val="24"/>
    </w:rPr>
  </w:style>
  <w:style w:type="paragraph" w:styleId="BalloonText">
    <w:name w:val="Balloon Text"/>
    <w:basedOn w:val="Normal"/>
    <w:link w:val="BalloonTextChar"/>
    <w:semiHidden/>
    <w:unhideWhenUsed/>
    <w:rsid w:val="00135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E75D3"/>
    <w:rPr>
      <w:rFonts w:ascii="Tahoma" w:hAnsi="Tahoma" w:cs="Tahoma"/>
      <w:sz w:val="16"/>
      <w:szCs w:val="16"/>
    </w:rPr>
  </w:style>
  <w:style w:type="character" w:styleId="CommentReference">
    <w:name w:val="annotation reference"/>
    <w:basedOn w:val="DefaultParagraphFont"/>
    <w:semiHidden/>
    <w:unhideWhenUsed/>
    <w:rsid w:val="0013522F"/>
    <w:rPr>
      <w:sz w:val="16"/>
      <w:szCs w:val="16"/>
    </w:rPr>
  </w:style>
  <w:style w:type="paragraph" w:styleId="CommentText">
    <w:name w:val="annotation text"/>
    <w:basedOn w:val="Normal"/>
    <w:link w:val="CommentTextChar"/>
    <w:semiHidden/>
    <w:unhideWhenUsed/>
    <w:rsid w:val="0013522F"/>
    <w:pPr>
      <w:spacing w:line="240" w:lineRule="auto"/>
    </w:pPr>
    <w:rPr>
      <w:sz w:val="20"/>
      <w:szCs w:val="20"/>
    </w:rPr>
  </w:style>
  <w:style w:type="character" w:customStyle="1" w:styleId="CommentTextChar">
    <w:name w:val="Comment Text Char"/>
    <w:basedOn w:val="DefaultParagraphFont"/>
    <w:link w:val="CommentText"/>
    <w:semiHidden/>
    <w:rsid w:val="00ED2D66"/>
    <w:rPr>
      <w:sz w:val="20"/>
      <w:szCs w:val="20"/>
    </w:rPr>
  </w:style>
  <w:style w:type="paragraph" w:styleId="CommentSubject">
    <w:name w:val="annotation subject"/>
    <w:basedOn w:val="CommentText"/>
    <w:next w:val="CommentText"/>
    <w:link w:val="CommentSubjectChar"/>
    <w:semiHidden/>
    <w:unhideWhenUsed/>
    <w:rsid w:val="0013522F"/>
    <w:rPr>
      <w:b/>
      <w:bCs/>
    </w:rPr>
  </w:style>
  <w:style w:type="character" w:customStyle="1" w:styleId="CommentSubjectChar">
    <w:name w:val="Comment Subject Char"/>
    <w:basedOn w:val="CommentTextChar"/>
    <w:link w:val="CommentSubject"/>
    <w:semiHidden/>
    <w:rsid w:val="00ED2D66"/>
    <w:rPr>
      <w:b/>
      <w:bCs/>
      <w:sz w:val="20"/>
      <w:szCs w:val="20"/>
    </w:rPr>
  </w:style>
  <w:style w:type="paragraph" w:styleId="Revision">
    <w:name w:val="Revision"/>
    <w:hidden/>
    <w:semiHidden/>
    <w:rsid w:val="005B67BA"/>
    <w:pPr>
      <w:spacing w:after="0" w:line="240" w:lineRule="auto"/>
    </w:pPr>
  </w:style>
  <w:style w:type="paragraph" w:styleId="Header">
    <w:name w:val="header"/>
    <w:basedOn w:val="Normal"/>
    <w:link w:val="HeaderChar"/>
    <w:uiPriority w:val="99"/>
    <w:unhideWhenUsed/>
    <w:rsid w:val="00135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2F"/>
  </w:style>
  <w:style w:type="paragraph" w:styleId="Footer">
    <w:name w:val="footer"/>
    <w:basedOn w:val="Normal"/>
    <w:link w:val="FooterChar"/>
    <w:uiPriority w:val="99"/>
    <w:unhideWhenUsed/>
    <w:rsid w:val="00135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2F"/>
  </w:style>
  <w:style w:type="table" w:styleId="TableGrid">
    <w:name w:val="Table Grid"/>
    <w:basedOn w:val="TableNormal"/>
    <w:rsid w:val="0081255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4744"/>
    <w:rPr>
      <w:rFonts w:eastAsia="Calibri" w:cs="Times New Roman"/>
      <w:b/>
      <w:szCs w:val="24"/>
    </w:rPr>
  </w:style>
  <w:style w:type="character" w:customStyle="1" w:styleId="Heading2Char">
    <w:name w:val="Heading 2 Char"/>
    <w:basedOn w:val="DefaultParagraphFont"/>
    <w:link w:val="Heading2"/>
    <w:uiPriority w:val="9"/>
    <w:rsid w:val="00AC1AFA"/>
    <w:rPr>
      <w:rFonts w:eastAsia="Calibri" w:cs="Times New Roman"/>
      <w:b/>
      <w:szCs w:val="24"/>
    </w:rPr>
  </w:style>
  <w:style w:type="paragraph" w:styleId="TOCHeading">
    <w:name w:val="TOC Heading"/>
    <w:basedOn w:val="Heading1"/>
    <w:next w:val="Normal"/>
    <w:uiPriority w:val="39"/>
    <w:semiHidden/>
    <w:unhideWhenUsed/>
    <w:qFormat/>
    <w:rsid w:val="00241BDB"/>
    <w:pPr>
      <w:keepNext/>
      <w:keepLines/>
      <w:numPr>
        <w:numId w:val="0"/>
      </w:numPr>
      <w:spacing w:before="480" w:after="0"/>
      <w:contextualSpacing w:val="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241BDB"/>
    <w:pPr>
      <w:spacing w:after="100"/>
    </w:pPr>
  </w:style>
  <w:style w:type="paragraph" w:styleId="TOC2">
    <w:name w:val="toc 2"/>
    <w:basedOn w:val="Normal"/>
    <w:next w:val="Normal"/>
    <w:autoRedefine/>
    <w:uiPriority w:val="39"/>
    <w:unhideWhenUsed/>
    <w:rsid w:val="00241BDB"/>
    <w:pPr>
      <w:spacing w:after="100"/>
      <w:ind w:left="240"/>
    </w:pPr>
  </w:style>
  <w:style w:type="character" w:styleId="Hyperlink">
    <w:name w:val="Hyperlink"/>
    <w:basedOn w:val="DefaultParagraphFont"/>
    <w:uiPriority w:val="99"/>
    <w:unhideWhenUsed/>
    <w:rsid w:val="00241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6.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111048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A96487A-26F4-4C4C-A2BE-49701D614774}">
  <ds:schemaRefs>
    <ds:schemaRef ds:uri="http://schemas.openxmlformats.org/officeDocument/2006/bibliography"/>
  </ds:schemaRefs>
</ds:datastoreItem>
</file>

<file path=customXml/itemProps2.xml><?xml version="1.0" encoding="utf-8"?>
<ds:datastoreItem xmlns:ds="http://schemas.openxmlformats.org/officeDocument/2006/customXml" ds:itemID="{16E051BD-F7F8-4B5A-9568-AEBE8C1FA47D}">
  <ds:schemaRefs>
    <ds:schemaRef ds:uri="http://schemas.openxmlformats.org/officeDocument/2006/bibliography"/>
  </ds:schemaRefs>
</ds:datastoreItem>
</file>

<file path=customXml/itemProps3.xml><?xml version="1.0" encoding="utf-8"?>
<ds:datastoreItem xmlns:ds="http://schemas.openxmlformats.org/officeDocument/2006/customXml" ds:itemID="{03B1AC03-C4C9-44CD-A59A-D8CC960C2932}"/>
</file>

<file path=customXml/itemProps4.xml><?xml version="1.0" encoding="utf-8"?>
<ds:datastoreItem xmlns:ds="http://schemas.openxmlformats.org/officeDocument/2006/customXml" ds:itemID="{E1180D97-1180-4250-827A-A6B3615AFBF8}"/>
</file>

<file path=customXml/itemProps5.xml><?xml version="1.0" encoding="utf-8"?>
<ds:datastoreItem xmlns:ds="http://schemas.openxmlformats.org/officeDocument/2006/customXml" ds:itemID="{F33E778F-E1AE-4C62-BC89-F0CA092AE94A}"/>
</file>

<file path=customXml/itemProps6.xml><?xml version="1.0" encoding="utf-8"?>
<ds:datastoreItem xmlns:ds="http://schemas.openxmlformats.org/officeDocument/2006/customXml" ds:itemID="{59823D5F-534E-44A6-9627-773BC769310F}"/>
</file>

<file path=docProps/app.xml><?xml version="1.0" encoding="utf-8"?>
<Properties xmlns="http://schemas.openxmlformats.org/officeDocument/2006/extended-properties" xmlns:vt="http://schemas.openxmlformats.org/officeDocument/2006/docPropsVTypes">
  <Template>Normal</Template>
  <TotalTime>1</TotalTime>
  <Pages>1</Pages>
  <Words>6862</Words>
  <Characters>39119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chester;Mickelson, Christopher (UTC)</dc:creator>
  <cp:lastModifiedBy>Reynolds, Deborah (UTC)</cp:lastModifiedBy>
  <cp:revision>2</cp:revision>
  <cp:lastPrinted>2011-10-06T17:05:00Z</cp:lastPrinted>
  <dcterms:created xsi:type="dcterms:W3CDTF">2017-10-21T15:01:00Z</dcterms:created>
  <dcterms:modified xsi:type="dcterms:W3CDTF">2017-10-21T15:01:00Z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