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7611A41" w14:textId="3422EE8E" w:rsidR="00636FF8" w:rsidRDefault="00F0072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January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2</w:t>
      </w:r>
      <w:r w:rsidR="0026663D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, 2019</w:t>
      </w:r>
    </w:p>
    <w:p w14:paraId="0FD6037B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6A8F59A2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Mark L. Johnson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0BF1AE16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Revised Commodity Credit,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3B2694BA" w14:textId="5F448067" w:rsidR="00F00724" w:rsidRPr="00F00724" w:rsidRDefault="00F00724" w:rsidP="00636FF8">
      <w:pPr>
        <w:rPr>
          <w:rFonts w:ascii="Open Sans Light" w:hAnsi="Open Sans Light"/>
          <w:b/>
          <w:color w:val="595959" w:themeColor="text1" w:themeTint="A6"/>
          <w:sz w:val="22"/>
          <w:szCs w:val="22"/>
        </w:rPr>
      </w:pPr>
      <w:r w:rsidRPr="00F00724">
        <w:rPr>
          <w:rFonts w:ascii="Open Sans Light" w:hAnsi="Open Sans Light"/>
          <w:b/>
          <w:color w:val="595959" w:themeColor="text1" w:themeTint="A6"/>
          <w:sz w:val="22"/>
          <w:szCs w:val="22"/>
        </w:rPr>
        <w:t>Docket # TG-181020</w:t>
      </w:r>
    </w:p>
    <w:p w14:paraId="5E590664" w14:textId="77777777" w:rsidR="00F00724" w:rsidRDefault="00F0072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4688FF5A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1B02C1A" w14:textId="35218F1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Dear Mr. 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>Johnson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:</w:t>
      </w:r>
    </w:p>
    <w:p w14:paraId="10B908D3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A20EB1E" w14:textId="34770EFB" w:rsidR="00F00724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</w:t>
      </w:r>
      <w:r w:rsidR="00F00724">
        <w:rPr>
          <w:rFonts w:ascii="Open Sans Light" w:hAnsi="Open Sans Light"/>
          <w:color w:val="595959" w:themeColor="text1" w:themeTint="A6"/>
          <w:sz w:val="22"/>
          <w:szCs w:val="22"/>
        </w:rPr>
        <w:t>calculations and tariff pages for previously submitted Docket TG-181020 (</w:t>
      </w:r>
      <w:bookmarkStart w:id="0" w:name="_GoBack"/>
      <w:r w:rsidR="00F00724" w:rsidRPr="00BA105B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bookmarkEnd w:id="0"/>
      <w:r w:rsidR="00F00724"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47653BC9" w14:textId="77777777" w:rsidR="00F00724" w:rsidRDefault="00F0072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11B35953" w:rsidR="00636FF8" w:rsidRDefault="00F0072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="00202ED3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0FC1C78F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ab/>
      </w:r>
    </w:p>
    <w:p w14:paraId="3AF64789" w14:textId="6F4AF436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04CAAB37" w:rsid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0407BF64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>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27006"/>
    <w:rsid w:val="00094AE4"/>
    <w:rsid w:val="000A0C3F"/>
    <w:rsid w:val="000D04EE"/>
    <w:rsid w:val="0018194E"/>
    <w:rsid w:val="00202ED3"/>
    <w:rsid w:val="0026663D"/>
    <w:rsid w:val="002E382B"/>
    <w:rsid w:val="003443BC"/>
    <w:rsid w:val="00355F99"/>
    <w:rsid w:val="00384314"/>
    <w:rsid w:val="0060344C"/>
    <w:rsid w:val="00636FF8"/>
    <w:rsid w:val="006C49EC"/>
    <w:rsid w:val="00736A2C"/>
    <w:rsid w:val="00801179"/>
    <w:rsid w:val="00874871"/>
    <w:rsid w:val="009241F3"/>
    <w:rsid w:val="00B54F35"/>
    <w:rsid w:val="00BA105B"/>
    <w:rsid w:val="00C12EEB"/>
    <w:rsid w:val="00C3416A"/>
    <w:rsid w:val="00CB76A3"/>
    <w:rsid w:val="00DD316B"/>
    <w:rsid w:val="00EE2C77"/>
    <w:rsid w:val="00EE486A"/>
    <w:rsid w:val="00EE7D00"/>
    <w:rsid w:val="00F0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451A032E60B848ADCA5BE86298322A" ma:contentTypeVersion="68" ma:contentTypeDescription="" ma:contentTypeScope="" ma:versionID="e7832b6e5dae32158f0f605071f833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181020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DD2C89F-6BDF-4667-9820-6A6513509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06A2C-4CDD-484C-8A0B-827A88B16376}"/>
</file>

<file path=customXml/itemProps3.xml><?xml version="1.0" encoding="utf-8"?>
<ds:datastoreItem xmlns:ds="http://schemas.openxmlformats.org/officeDocument/2006/customXml" ds:itemID="{D113FA8F-27AB-4D23-8772-81A151D2B385}"/>
</file>

<file path=customXml/itemProps4.xml><?xml version="1.0" encoding="utf-8"?>
<ds:datastoreItem xmlns:ds="http://schemas.openxmlformats.org/officeDocument/2006/customXml" ds:itemID="{BF25DC80-31E6-48DB-BE86-54A94B9FB2BC}"/>
</file>

<file path=customXml/itemProps5.xml><?xml version="1.0" encoding="utf-8"?>
<ds:datastoreItem xmlns:ds="http://schemas.openxmlformats.org/officeDocument/2006/customXml" ds:itemID="{BAC8830A-B292-4E9A-9218-1A4EA49B7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3</cp:revision>
  <dcterms:created xsi:type="dcterms:W3CDTF">2019-01-24T22:59:00Z</dcterms:created>
  <dcterms:modified xsi:type="dcterms:W3CDTF">2019-01-24T23:02:00Z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0x0101006E56B4D1795A2E4DB2F0B01679ED314A000E451A032E60B848ADCA5BE86298322A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