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FA8F7" w14:textId="77777777" w:rsidR="00623ECD" w:rsidRPr="005206AE" w:rsidRDefault="005206AE" w:rsidP="005206AE">
      <w:pPr>
        <w:tabs>
          <w:tab w:val="right" w:pos="9360"/>
        </w:tabs>
        <w:jc w:val="center"/>
        <w:outlineLvl w:val="0"/>
        <w:rPr>
          <w:szCs w:val="26"/>
        </w:rPr>
      </w:pPr>
      <w:bookmarkStart w:id="0" w:name="_GoBack"/>
      <w:bookmarkEnd w:id="0"/>
      <w:r>
        <w:rPr>
          <w:szCs w:val="26"/>
        </w:rPr>
        <w:t>156 FERC ¶ 61,242</w:t>
      </w:r>
    </w:p>
    <w:p w14:paraId="77FFA8F8" w14:textId="77777777" w:rsidR="00623ECD" w:rsidRPr="00BE4D6D" w:rsidRDefault="00623ECD" w:rsidP="001A44F7">
      <w:pPr>
        <w:jc w:val="center"/>
        <w:outlineLvl w:val="0"/>
        <w:rPr>
          <w:szCs w:val="26"/>
        </w:rPr>
      </w:pPr>
      <w:r w:rsidRPr="00BE4D6D">
        <w:rPr>
          <w:szCs w:val="26"/>
        </w:rPr>
        <w:t>UNITED STATES OF AMERICA</w:t>
      </w:r>
    </w:p>
    <w:p w14:paraId="77FFA8F9" w14:textId="77777777" w:rsidR="00623ECD" w:rsidRPr="00BE4D6D" w:rsidRDefault="00623ECD" w:rsidP="001A44F7">
      <w:pPr>
        <w:jc w:val="center"/>
        <w:rPr>
          <w:szCs w:val="26"/>
        </w:rPr>
      </w:pPr>
      <w:r w:rsidRPr="00BE4D6D">
        <w:rPr>
          <w:szCs w:val="26"/>
        </w:rPr>
        <w:t>FEDERAL ENERGY REGULATORY COMMISSION</w:t>
      </w:r>
    </w:p>
    <w:p w14:paraId="77FFA8FA" w14:textId="77777777" w:rsidR="00623ECD" w:rsidRPr="00BE4D6D" w:rsidRDefault="00623ECD" w:rsidP="001A44F7">
      <w:pPr>
        <w:rPr>
          <w:szCs w:val="26"/>
        </w:rPr>
      </w:pPr>
    </w:p>
    <w:p w14:paraId="77FFA8FB" w14:textId="77777777" w:rsidR="00623ECD" w:rsidRPr="005206AE" w:rsidRDefault="005206AE" w:rsidP="005206AE">
      <w:pPr>
        <w:widowControl/>
        <w:rPr>
          <w:szCs w:val="26"/>
        </w:rPr>
      </w:pPr>
      <w:r w:rsidRPr="005206AE">
        <w:rPr>
          <w:szCs w:val="26"/>
        </w:rPr>
        <w:t>Before Commissioners:  Norman C. Bay, Chairman;</w:t>
      </w:r>
    </w:p>
    <w:p w14:paraId="77FFA8FC" w14:textId="77777777" w:rsidR="005206AE" w:rsidRDefault="005206AE" w:rsidP="005206AE">
      <w:pPr>
        <w:widowControl/>
        <w:rPr>
          <w:szCs w:val="26"/>
        </w:rPr>
      </w:pPr>
      <w:r w:rsidRPr="005206AE">
        <w:rPr>
          <w:szCs w:val="26"/>
        </w:rPr>
        <w:t xml:space="preserve">                                        Cheryl A. LaFleur, and Colette D. Honorable.</w:t>
      </w:r>
    </w:p>
    <w:p w14:paraId="77FFA8FD" w14:textId="77777777" w:rsidR="005206AE" w:rsidRPr="00BE4D6D" w:rsidRDefault="005206AE" w:rsidP="005206AE">
      <w:pPr>
        <w:widowControl/>
        <w:rPr>
          <w:szCs w:val="26"/>
        </w:rPr>
      </w:pPr>
    </w:p>
    <w:p w14:paraId="77FFA8FE" w14:textId="77777777" w:rsidR="00623ECD" w:rsidRPr="00BE4D6D" w:rsidRDefault="00623ECD" w:rsidP="001A44F7">
      <w:pPr>
        <w:ind w:left="1440" w:hanging="1440"/>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3"/>
        <w:gridCol w:w="1534"/>
        <w:gridCol w:w="1893"/>
      </w:tblGrid>
      <w:tr w:rsidR="00623ECD" w:rsidRPr="00BE4D6D" w14:paraId="77FFA906" w14:textId="77777777" w:rsidTr="00623ECD">
        <w:tc>
          <w:tcPr>
            <w:tcW w:w="6088" w:type="dxa"/>
            <w:shd w:val="clear" w:color="auto" w:fill="auto"/>
          </w:tcPr>
          <w:p w14:paraId="77FFA8FF" w14:textId="77777777" w:rsidR="00623ECD" w:rsidRPr="009C5A75" w:rsidRDefault="00107651" w:rsidP="001A44F7">
            <w:pPr>
              <w:rPr>
                <w:szCs w:val="26"/>
              </w:rPr>
            </w:pPr>
            <w:r w:rsidRPr="009C5A75">
              <w:rPr>
                <w:szCs w:val="26"/>
              </w:rPr>
              <w:t>Puget Sound Energy, Inc.</w:t>
            </w:r>
            <w:r w:rsidRPr="009C5A75">
              <w:rPr>
                <w:szCs w:val="26"/>
              </w:rPr>
              <w:br/>
              <w:t>Brea Generation LLC</w:t>
            </w:r>
          </w:p>
          <w:p w14:paraId="77FFA900" w14:textId="77777777" w:rsidR="00107651" w:rsidRPr="00BE4D6D" w:rsidRDefault="00107651" w:rsidP="001A44F7">
            <w:pPr>
              <w:rPr>
                <w:szCs w:val="26"/>
              </w:rPr>
            </w:pPr>
            <w:r w:rsidRPr="009C5A75">
              <w:rPr>
                <w:szCs w:val="26"/>
              </w:rPr>
              <w:t>Brea Power II LLC</w:t>
            </w:r>
          </w:p>
        </w:tc>
        <w:tc>
          <w:tcPr>
            <w:tcW w:w="1560" w:type="dxa"/>
            <w:shd w:val="clear" w:color="auto" w:fill="auto"/>
          </w:tcPr>
          <w:p w14:paraId="77FFA901" w14:textId="77777777" w:rsidR="00623ECD" w:rsidRPr="00BE4D6D" w:rsidRDefault="00623ECD" w:rsidP="001A44F7">
            <w:pPr>
              <w:tabs>
                <w:tab w:val="left" w:pos="720"/>
                <w:tab w:val="left" w:pos="1440"/>
                <w:tab w:val="left" w:pos="2880"/>
                <w:tab w:val="left" w:pos="4320"/>
                <w:tab w:val="left" w:pos="5040"/>
                <w:tab w:val="left" w:pos="5760"/>
                <w:tab w:val="left" w:pos="6480"/>
                <w:tab w:val="left" w:pos="7200"/>
              </w:tabs>
              <w:jc w:val="right"/>
              <w:rPr>
                <w:szCs w:val="26"/>
              </w:rPr>
            </w:pPr>
            <w:r w:rsidRPr="00BE4D6D">
              <w:rPr>
                <w:szCs w:val="26"/>
              </w:rPr>
              <w:t>Docket Nos.</w:t>
            </w:r>
          </w:p>
        </w:tc>
        <w:tc>
          <w:tcPr>
            <w:tcW w:w="1928" w:type="dxa"/>
            <w:shd w:val="clear" w:color="auto" w:fill="auto"/>
            <w:tcMar>
              <w:left w:w="144" w:type="dxa"/>
            </w:tcMar>
          </w:tcPr>
          <w:p w14:paraId="77FFA902" w14:textId="77777777" w:rsidR="00623ECD" w:rsidRPr="00BE4D6D" w:rsidRDefault="00105316" w:rsidP="001A44F7">
            <w:pPr>
              <w:tabs>
                <w:tab w:val="left" w:pos="720"/>
                <w:tab w:val="left" w:pos="1440"/>
                <w:tab w:val="left" w:pos="2880"/>
                <w:tab w:val="left" w:pos="4320"/>
                <w:tab w:val="left" w:pos="5040"/>
                <w:tab w:val="left" w:pos="5760"/>
                <w:tab w:val="left" w:pos="6480"/>
                <w:tab w:val="left" w:pos="7200"/>
              </w:tabs>
              <w:rPr>
                <w:szCs w:val="26"/>
              </w:rPr>
            </w:pPr>
            <w:r w:rsidRPr="00BE4D6D">
              <w:rPr>
                <w:szCs w:val="26"/>
              </w:rPr>
              <w:t>ER10-23</w:t>
            </w:r>
            <w:r w:rsidR="00107651" w:rsidRPr="00BE4D6D">
              <w:rPr>
                <w:szCs w:val="26"/>
              </w:rPr>
              <w:t>74</w:t>
            </w:r>
            <w:r w:rsidR="00623ECD" w:rsidRPr="00BE4D6D">
              <w:rPr>
                <w:szCs w:val="26"/>
              </w:rPr>
              <w:t>-0</w:t>
            </w:r>
            <w:r w:rsidRPr="00BE4D6D">
              <w:rPr>
                <w:szCs w:val="26"/>
              </w:rPr>
              <w:t>10</w:t>
            </w:r>
          </w:p>
          <w:p w14:paraId="77FFA903" w14:textId="77777777" w:rsidR="00623ECD" w:rsidRPr="00BE4D6D" w:rsidRDefault="00623ECD" w:rsidP="00105316">
            <w:pPr>
              <w:tabs>
                <w:tab w:val="left" w:pos="720"/>
                <w:tab w:val="left" w:pos="1440"/>
                <w:tab w:val="left" w:pos="2880"/>
                <w:tab w:val="left" w:pos="4320"/>
                <w:tab w:val="left" w:pos="5040"/>
                <w:tab w:val="left" w:pos="5760"/>
                <w:tab w:val="left" w:pos="6480"/>
                <w:tab w:val="left" w:pos="7200"/>
              </w:tabs>
              <w:rPr>
                <w:szCs w:val="26"/>
              </w:rPr>
            </w:pPr>
            <w:r w:rsidRPr="00BE4D6D">
              <w:rPr>
                <w:szCs w:val="26"/>
              </w:rPr>
              <w:t>ER1</w:t>
            </w:r>
            <w:r w:rsidR="00105316" w:rsidRPr="00BE4D6D">
              <w:rPr>
                <w:szCs w:val="26"/>
              </w:rPr>
              <w:t>2</w:t>
            </w:r>
            <w:r w:rsidRPr="00BE4D6D">
              <w:rPr>
                <w:szCs w:val="26"/>
              </w:rPr>
              <w:t>-</w:t>
            </w:r>
            <w:r w:rsidR="00105316" w:rsidRPr="00BE4D6D">
              <w:rPr>
                <w:szCs w:val="26"/>
              </w:rPr>
              <w:t>673</w:t>
            </w:r>
            <w:r w:rsidRPr="00BE4D6D">
              <w:rPr>
                <w:szCs w:val="26"/>
              </w:rPr>
              <w:t>-00</w:t>
            </w:r>
            <w:r w:rsidR="00105316" w:rsidRPr="00BE4D6D">
              <w:rPr>
                <w:szCs w:val="26"/>
              </w:rPr>
              <w:t>8</w:t>
            </w:r>
          </w:p>
          <w:p w14:paraId="77FFA904" w14:textId="77777777" w:rsidR="00105316" w:rsidRPr="00BE4D6D" w:rsidRDefault="00105316" w:rsidP="00105316">
            <w:pPr>
              <w:tabs>
                <w:tab w:val="left" w:pos="720"/>
                <w:tab w:val="left" w:pos="1440"/>
                <w:tab w:val="left" w:pos="2880"/>
                <w:tab w:val="left" w:pos="4320"/>
                <w:tab w:val="left" w:pos="5040"/>
                <w:tab w:val="left" w:pos="5760"/>
                <w:tab w:val="left" w:pos="6480"/>
                <w:tab w:val="left" w:pos="7200"/>
              </w:tabs>
              <w:rPr>
                <w:szCs w:val="26"/>
              </w:rPr>
            </w:pPr>
            <w:r w:rsidRPr="00BE4D6D">
              <w:rPr>
                <w:szCs w:val="26"/>
              </w:rPr>
              <w:t>ER12-672-008</w:t>
            </w:r>
          </w:p>
          <w:p w14:paraId="77FFA905" w14:textId="77777777" w:rsidR="00886E1A" w:rsidRPr="00BE4D6D" w:rsidRDefault="00886E1A" w:rsidP="00105316">
            <w:pPr>
              <w:tabs>
                <w:tab w:val="left" w:pos="720"/>
                <w:tab w:val="left" w:pos="1440"/>
                <w:tab w:val="left" w:pos="2880"/>
                <w:tab w:val="left" w:pos="4320"/>
                <w:tab w:val="left" w:pos="5040"/>
                <w:tab w:val="left" w:pos="5760"/>
                <w:tab w:val="left" w:pos="6480"/>
                <w:tab w:val="left" w:pos="7200"/>
              </w:tabs>
              <w:rPr>
                <w:szCs w:val="26"/>
              </w:rPr>
            </w:pPr>
          </w:p>
        </w:tc>
      </w:tr>
    </w:tbl>
    <w:p w14:paraId="77FFA907" w14:textId="77777777" w:rsidR="00623ECD" w:rsidRPr="00BE4D6D" w:rsidRDefault="00623ECD" w:rsidP="001A44F7">
      <w:pPr>
        <w:rPr>
          <w:szCs w:val="26"/>
        </w:rPr>
      </w:pPr>
    </w:p>
    <w:p w14:paraId="77FFA908" w14:textId="77777777" w:rsidR="00623ECD" w:rsidRDefault="0078609E" w:rsidP="001A44F7">
      <w:pPr>
        <w:jc w:val="center"/>
        <w:rPr>
          <w:szCs w:val="26"/>
        </w:rPr>
      </w:pPr>
      <w:r>
        <w:rPr>
          <w:szCs w:val="26"/>
        </w:rPr>
        <w:t>ORDER ON</w:t>
      </w:r>
      <w:r w:rsidR="004926E2">
        <w:rPr>
          <w:szCs w:val="26"/>
        </w:rPr>
        <w:t xml:space="preserve"> MARKET POWER ANALYSIS AND </w:t>
      </w:r>
      <w:r>
        <w:rPr>
          <w:szCs w:val="26"/>
        </w:rPr>
        <w:t>NOTICE OF CHANGE IN STATUS</w:t>
      </w:r>
    </w:p>
    <w:p w14:paraId="77FFA909" w14:textId="77777777" w:rsidR="005206AE" w:rsidRPr="00BE4D6D" w:rsidRDefault="005206AE" w:rsidP="001A44F7">
      <w:pPr>
        <w:jc w:val="center"/>
        <w:rPr>
          <w:szCs w:val="26"/>
        </w:rPr>
      </w:pPr>
    </w:p>
    <w:p w14:paraId="77FFA90A" w14:textId="77777777" w:rsidR="00623ECD" w:rsidRDefault="005206AE" w:rsidP="005206AE">
      <w:pPr>
        <w:widowControl/>
        <w:jc w:val="center"/>
        <w:rPr>
          <w:szCs w:val="26"/>
        </w:rPr>
      </w:pPr>
      <w:r w:rsidRPr="005206AE">
        <w:rPr>
          <w:szCs w:val="26"/>
        </w:rPr>
        <w:t>(Issued September 30, 2016)</w:t>
      </w:r>
    </w:p>
    <w:p w14:paraId="77FFA90B" w14:textId="77777777" w:rsidR="005206AE" w:rsidRDefault="005206AE" w:rsidP="005206AE">
      <w:pPr>
        <w:widowControl/>
        <w:jc w:val="center"/>
        <w:rPr>
          <w:szCs w:val="26"/>
        </w:rPr>
      </w:pPr>
    </w:p>
    <w:p w14:paraId="77FFA90C" w14:textId="77777777" w:rsidR="00623ECD" w:rsidRPr="00BE4D6D" w:rsidRDefault="00623ECD" w:rsidP="00623ECD">
      <w:pPr>
        <w:pStyle w:val="FERCparanumber"/>
        <w:rPr>
          <w:szCs w:val="26"/>
        </w:rPr>
      </w:pPr>
      <w:r w:rsidRPr="00BE4D6D">
        <w:rPr>
          <w:szCs w:val="26"/>
        </w:rPr>
        <w:t xml:space="preserve">On </w:t>
      </w:r>
      <w:r w:rsidR="0042638A" w:rsidRPr="00BE4D6D">
        <w:rPr>
          <w:szCs w:val="26"/>
        </w:rPr>
        <w:t>March 9</w:t>
      </w:r>
      <w:r w:rsidRPr="00BE4D6D">
        <w:rPr>
          <w:szCs w:val="26"/>
        </w:rPr>
        <w:t>, 2016,</w:t>
      </w:r>
      <w:r w:rsidR="00392A55" w:rsidRPr="00BE4D6D">
        <w:rPr>
          <w:szCs w:val="26"/>
        </w:rPr>
        <w:t xml:space="preserve"> as amended on </w:t>
      </w:r>
      <w:r w:rsidR="0030156F" w:rsidRPr="00BE4D6D">
        <w:rPr>
          <w:szCs w:val="26"/>
        </w:rPr>
        <w:t>July 27, 2016</w:t>
      </w:r>
      <w:r w:rsidR="00392A55" w:rsidRPr="00BE4D6D">
        <w:rPr>
          <w:szCs w:val="26"/>
        </w:rPr>
        <w:t>,</w:t>
      </w:r>
      <w:r w:rsidRPr="00BE4D6D">
        <w:rPr>
          <w:szCs w:val="26"/>
        </w:rPr>
        <w:t xml:space="preserve"> </w:t>
      </w:r>
      <w:r w:rsidR="0042638A" w:rsidRPr="00BE4D6D">
        <w:rPr>
          <w:szCs w:val="26"/>
        </w:rPr>
        <w:t>Puget Sound Energy, Inc.</w:t>
      </w:r>
      <w:r w:rsidR="00A54DAC" w:rsidRPr="00BE4D6D">
        <w:rPr>
          <w:szCs w:val="26"/>
        </w:rPr>
        <w:t xml:space="preserve"> </w:t>
      </w:r>
      <w:r w:rsidR="00886E1A" w:rsidRPr="00BE4D6D">
        <w:rPr>
          <w:szCs w:val="26"/>
        </w:rPr>
        <w:t>(Puget)</w:t>
      </w:r>
      <w:r w:rsidR="0042638A" w:rsidRPr="00BE4D6D">
        <w:rPr>
          <w:szCs w:val="26"/>
        </w:rPr>
        <w:t>, Brea Generation LLC</w:t>
      </w:r>
      <w:r w:rsidR="00A0680E">
        <w:rPr>
          <w:szCs w:val="26"/>
        </w:rPr>
        <w:t xml:space="preserve"> (Brea Generation)</w:t>
      </w:r>
      <w:r w:rsidR="0042638A" w:rsidRPr="00BE4D6D">
        <w:rPr>
          <w:szCs w:val="26"/>
        </w:rPr>
        <w:t>, and Brea Power II LLC</w:t>
      </w:r>
      <w:r w:rsidR="00A0680E">
        <w:rPr>
          <w:szCs w:val="26"/>
        </w:rPr>
        <w:t xml:space="preserve"> (Brea </w:t>
      </w:r>
      <w:r w:rsidR="005206AE">
        <w:rPr>
          <w:szCs w:val="26"/>
        </w:rPr>
        <w:t xml:space="preserve">     </w:t>
      </w:r>
      <w:r w:rsidR="00A0680E">
        <w:rPr>
          <w:szCs w:val="26"/>
        </w:rPr>
        <w:t>Power II)</w:t>
      </w:r>
      <w:r w:rsidR="0042638A" w:rsidRPr="00BE4D6D">
        <w:rPr>
          <w:szCs w:val="26"/>
        </w:rPr>
        <w:t xml:space="preserve"> (</w:t>
      </w:r>
      <w:r w:rsidR="00E15000" w:rsidRPr="00BE4D6D">
        <w:rPr>
          <w:szCs w:val="26"/>
        </w:rPr>
        <w:t xml:space="preserve">collectively, </w:t>
      </w:r>
      <w:r w:rsidR="002C1319">
        <w:rPr>
          <w:szCs w:val="26"/>
        </w:rPr>
        <w:t xml:space="preserve">the </w:t>
      </w:r>
      <w:r w:rsidR="00EA6E44" w:rsidRPr="00BE4D6D">
        <w:rPr>
          <w:szCs w:val="26"/>
        </w:rPr>
        <w:t>Puget Sellers</w:t>
      </w:r>
      <w:r w:rsidR="0042638A" w:rsidRPr="00BE4D6D">
        <w:rPr>
          <w:szCs w:val="26"/>
        </w:rPr>
        <w:t>)</w:t>
      </w:r>
      <w:r w:rsidRPr="00BE4D6D">
        <w:rPr>
          <w:szCs w:val="26"/>
        </w:rPr>
        <w:t xml:space="preserve"> submitted a </w:t>
      </w:r>
      <w:r w:rsidR="0078609E">
        <w:rPr>
          <w:szCs w:val="26"/>
        </w:rPr>
        <w:t xml:space="preserve">notice of change in status informing the Commission that Puget will join the </w:t>
      </w:r>
      <w:r w:rsidRPr="00BE4D6D">
        <w:rPr>
          <w:szCs w:val="26"/>
        </w:rPr>
        <w:t>Energy Imbalance Market (EIM) administered by California Independent System Operator Corp</w:t>
      </w:r>
      <w:r w:rsidR="004A5A87" w:rsidRPr="00BE4D6D">
        <w:rPr>
          <w:szCs w:val="26"/>
        </w:rPr>
        <w:t>o</w:t>
      </w:r>
      <w:r w:rsidRPr="00BE4D6D">
        <w:rPr>
          <w:szCs w:val="26"/>
        </w:rPr>
        <w:t>ration (CAISO)</w:t>
      </w:r>
      <w:r w:rsidR="0078609E">
        <w:rPr>
          <w:szCs w:val="26"/>
        </w:rPr>
        <w:t xml:space="preserve"> on October 1, 2016</w:t>
      </w:r>
      <w:r w:rsidRPr="00BE4D6D">
        <w:rPr>
          <w:szCs w:val="26"/>
        </w:rPr>
        <w:t>.</w:t>
      </w:r>
      <w:r w:rsidR="0042638A" w:rsidRPr="00BE4D6D">
        <w:rPr>
          <w:szCs w:val="26"/>
        </w:rPr>
        <w:t xml:space="preserve">  In this order, we </w:t>
      </w:r>
      <w:r w:rsidR="0030156F" w:rsidRPr="00BE4D6D">
        <w:rPr>
          <w:szCs w:val="26"/>
        </w:rPr>
        <w:t xml:space="preserve">accept this filing and </w:t>
      </w:r>
      <w:r w:rsidR="0042638A" w:rsidRPr="00BE4D6D">
        <w:rPr>
          <w:szCs w:val="26"/>
        </w:rPr>
        <w:t>authorize</w:t>
      </w:r>
      <w:r w:rsidR="0030156F" w:rsidRPr="00BE4D6D">
        <w:rPr>
          <w:szCs w:val="26"/>
        </w:rPr>
        <w:t xml:space="preserve"> </w:t>
      </w:r>
      <w:r w:rsidR="0042638A" w:rsidRPr="00BE4D6D">
        <w:rPr>
          <w:szCs w:val="26"/>
        </w:rPr>
        <w:t>Puget</w:t>
      </w:r>
      <w:r w:rsidR="00886E1A" w:rsidRPr="00BE4D6D">
        <w:rPr>
          <w:szCs w:val="26"/>
        </w:rPr>
        <w:t xml:space="preserve"> </w:t>
      </w:r>
      <w:r w:rsidRPr="00BE4D6D">
        <w:rPr>
          <w:szCs w:val="26"/>
        </w:rPr>
        <w:t>to transact at market-based rates in the EIM</w:t>
      </w:r>
      <w:r w:rsidR="0042638A" w:rsidRPr="00BE4D6D">
        <w:rPr>
          <w:szCs w:val="26"/>
        </w:rPr>
        <w:t>.</w:t>
      </w:r>
      <w:r w:rsidRPr="00BE4D6D">
        <w:rPr>
          <w:szCs w:val="26"/>
        </w:rPr>
        <w:t xml:space="preserve"> </w:t>
      </w:r>
      <w:r w:rsidR="00886E1A" w:rsidRPr="00BE4D6D">
        <w:rPr>
          <w:szCs w:val="26"/>
        </w:rPr>
        <w:t xml:space="preserve"> </w:t>
      </w:r>
    </w:p>
    <w:p w14:paraId="77FFA90D" w14:textId="77777777" w:rsidR="00623ECD" w:rsidRPr="00C83E3A" w:rsidRDefault="00623ECD" w:rsidP="00623ECD">
      <w:pPr>
        <w:pStyle w:val="Heading1"/>
        <w:rPr>
          <w:szCs w:val="26"/>
        </w:rPr>
      </w:pPr>
      <w:r w:rsidRPr="00C83E3A">
        <w:rPr>
          <w:szCs w:val="26"/>
        </w:rPr>
        <w:t>Background</w:t>
      </w:r>
    </w:p>
    <w:p w14:paraId="77FFA90E" w14:textId="77777777" w:rsidR="003F0320" w:rsidRPr="00C83E3A" w:rsidRDefault="003F0320" w:rsidP="00623ECD">
      <w:pPr>
        <w:pStyle w:val="Heading2"/>
      </w:pPr>
      <w:r w:rsidRPr="00C83E3A">
        <w:t xml:space="preserve">Description of </w:t>
      </w:r>
      <w:r w:rsidR="002C1319">
        <w:t xml:space="preserve">the </w:t>
      </w:r>
      <w:r w:rsidRPr="00C83E3A">
        <w:t>Puget Sellers</w:t>
      </w:r>
    </w:p>
    <w:p w14:paraId="77FFA90F" w14:textId="77777777" w:rsidR="003D4135" w:rsidRDefault="00322985" w:rsidP="00BE4D6D">
      <w:pPr>
        <w:pStyle w:val="FERCparanumber"/>
        <w:rPr>
          <w:szCs w:val="26"/>
        </w:rPr>
      </w:pPr>
      <w:r w:rsidRPr="00C83E3A">
        <w:rPr>
          <w:szCs w:val="26"/>
        </w:rPr>
        <w:t xml:space="preserve">Puget is an investor-owned utility located in the Puget Sound region of Washington State that provides retail electric and natural gas services in the Puget balancing authority area. </w:t>
      </w:r>
      <w:r w:rsidR="0078609E" w:rsidRPr="00C83E3A">
        <w:rPr>
          <w:szCs w:val="26"/>
        </w:rPr>
        <w:t xml:space="preserve"> </w:t>
      </w:r>
      <w:r w:rsidR="003C1A2F" w:rsidRPr="00C83E3A">
        <w:rPr>
          <w:szCs w:val="26"/>
        </w:rPr>
        <w:t xml:space="preserve">Puget states </w:t>
      </w:r>
      <w:r w:rsidR="001E67E9" w:rsidRPr="00C83E3A">
        <w:rPr>
          <w:szCs w:val="26"/>
        </w:rPr>
        <w:t xml:space="preserve">that </w:t>
      </w:r>
      <w:r w:rsidR="003C1A2F" w:rsidRPr="00C83E3A">
        <w:rPr>
          <w:szCs w:val="26"/>
        </w:rPr>
        <w:t xml:space="preserve">it plans to start financially binding EIM operations on October 1, 2016.  </w:t>
      </w:r>
      <w:r w:rsidRPr="00C83E3A">
        <w:rPr>
          <w:szCs w:val="26"/>
        </w:rPr>
        <w:t>Puget owns</w:t>
      </w:r>
      <w:r w:rsidR="00B422FF" w:rsidRPr="00C83E3A">
        <w:rPr>
          <w:szCs w:val="26"/>
        </w:rPr>
        <w:t xml:space="preserve"> and plans to register</w:t>
      </w:r>
      <w:r w:rsidRPr="00C83E3A">
        <w:rPr>
          <w:szCs w:val="26"/>
        </w:rPr>
        <w:t xml:space="preserve"> 2,9</w:t>
      </w:r>
      <w:r w:rsidR="00B422FF" w:rsidRPr="00C83E3A">
        <w:rPr>
          <w:szCs w:val="26"/>
        </w:rPr>
        <w:t>59.2</w:t>
      </w:r>
      <w:r w:rsidRPr="00C83E3A">
        <w:rPr>
          <w:szCs w:val="26"/>
        </w:rPr>
        <w:t xml:space="preserve"> megawatts (MW)</w:t>
      </w:r>
      <w:r w:rsidR="00B422FF" w:rsidRPr="00C83E3A">
        <w:rPr>
          <w:szCs w:val="26"/>
        </w:rPr>
        <w:t xml:space="preserve"> </w:t>
      </w:r>
      <w:r w:rsidRPr="00C83E3A">
        <w:rPr>
          <w:szCs w:val="26"/>
        </w:rPr>
        <w:t>of firm EIM resource capacity,</w:t>
      </w:r>
      <w:r w:rsidRPr="00C83E3A">
        <w:rPr>
          <w:rStyle w:val="FootnoteReference"/>
        </w:rPr>
        <w:footnoteReference w:id="2"/>
      </w:r>
      <w:r w:rsidRPr="00C83E3A">
        <w:rPr>
          <w:szCs w:val="26"/>
        </w:rPr>
        <w:t xml:space="preserve"> and has an Open Access Transmission Tariff</w:t>
      </w:r>
      <w:r w:rsidR="001E67E9">
        <w:rPr>
          <w:szCs w:val="26"/>
        </w:rPr>
        <w:t xml:space="preserve"> </w:t>
      </w:r>
    </w:p>
    <w:p w14:paraId="77FFA910" w14:textId="77777777" w:rsidR="003D4135" w:rsidRDefault="003D4135">
      <w:pPr>
        <w:widowControl/>
        <w:autoSpaceDE/>
        <w:autoSpaceDN/>
        <w:adjustRightInd/>
        <w:rPr>
          <w:szCs w:val="26"/>
        </w:rPr>
      </w:pPr>
      <w:r>
        <w:rPr>
          <w:szCs w:val="26"/>
        </w:rPr>
        <w:br w:type="page"/>
      </w:r>
    </w:p>
    <w:p w14:paraId="77FFA911" w14:textId="77777777" w:rsidR="00322985" w:rsidRPr="00CF1F17" w:rsidRDefault="001E67E9" w:rsidP="003D4135">
      <w:pPr>
        <w:pStyle w:val="FERCparanumber"/>
        <w:numPr>
          <w:ilvl w:val="0"/>
          <w:numId w:val="0"/>
        </w:numPr>
        <w:rPr>
          <w:b/>
          <w:szCs w:val="26"/>
        </w:rPr>
      </w:pPr>
      <w:r>
        <w:rPr>
          <w:szCs w:val="26"/>
        </w:rPr>
        <w:lastRenderedPageBreak/>
        <w:t>(OATT)</w:t>
      </w:r>
      <w:r w:rsidR="00322985" w:rsidRPr="00C83E3A">
        <w:rPr>
          <w:szCs w:val="26"/>
        </w:rPr>
        <w:t xml:space="preserve"> on file with the Commission.</w:t>
      </w:r>
      <w:r w:rsidR="00322985" w:rsidRPr="0078609E">
        <w:rPr>
          <w:rStyle w:val="FootnoteReference"/>
        </w:rPr>
        <w:footnoteReference w:id="3"/>
      </w:r>
      <w:r w:rsidR="00322985" w:rsidRPr="00C83E3A">
        <w:rPr>
          <w:szCs w:val="26"/>
        </w:rPr>
        <w:t xml:space="preserve"> </w:t>
      </w:r>
      <w:r w:rsidR="00322985" w:rsidRPr="00C83E3A">
        <w:rPr>
          <w:b/>
          <w:szCs w:val="26"/>
        </w:rPr>
        <w:t xml:space="preserve"> </w:t>
      </w:r>
      <w:r w:rsidR="00322985" w:rsidRPr="00C83E3A">
        <w:rPr>
          <w:szCs w:val="26"/>
        </w:rPr>
        <w:t xml:space="preserve">Brea Generation owns and operates a 5.1 MW landfill gas-to-electricity generating facility located near Brea, California. </w:t>
      </w:r>
      <w:r>
        <w:rPr>
          <w:szCs w:val="26"/>
        </w:rPr>
        <w:t xml:space="preserve"> </w:t>
      </w:r>
      <w:r w:rsidR="00322985" w:rsidRPr="00CF1F17">
        <w:rPr>
          <w:szCs w:val="26"/>
        </w:rPr>
        <w:t>Brea Power II owns and operates a 37.2 MW landfill gas-t</w:t>
      </w:r>
      <w:r>
        <w:rPr>
          <w:szCs w:val="26"/>
        </w:rPr>
        <w:t>o</w:t>
      </w:r>
      <w:r w:rsidR="00322985" w:rsidRPr="00CF1F17">
        <w:rPr>
          <w:szCs w:val="26"/>
        </w:rPr>
        <w:t xml:space="preserve">-electricity generating facility located near Brea, California. </w:t>
      </w:r>
      <w:r w:rsidR="002C1319">
        <w:rPr>
          <w:szCs w:val="26"/>
        </w:rPr>
        <w:t xml:space="preserve"> </w:t>
      </w:r>
      <w:r w:rsidR="00322985" w:rsidRPr="00CF1F17">
        <w:rPr>
          <w:szCs w:val="26"/>
        </w:rPr>
        <w:t>Macquarie Group Limited (Macquarie) indirectly owns a 10 percent or greater equity interest in</w:t>
      </w:r>
      <w:r>
        <w:rPr>
          <w:szCs w:val="26"/>
        </w:rPr>
        <w:t xml:space="preserve"> </w:t>
      </w:r>
      <w:r w:rsidRPr="00B422FF">
        <w:rPr>
          <w:szCs w:val="26"/>
        </w:rPr>
        <w:t>each of</w:t>
      </w:r>
      <w:r w:rsidR="00322985" w:rsidRPr="00CF1F17">
        <w:rPr>
          <w:szCs w:val="26"/>
        </w:rPr>
        <w:t xml:space="preserve"> the Puget Sellers.  </w:t>
      </w:r>
      <w:r w:rsidR="00A0680E" w:rsidRPr="00CF1F17">
        <w:rPr>
          <w:szCs w:val="26"/>
        </w:rPr>
        <w:t xml:space="preserve">Therefore, </w:t>
      </w:r>
      <w:r>
        <w:rPr>
          <w:szCs w:val="26"/>
        </w:rPr>
        <w:t xml:space="preserve">the </w:t>
      </w:r>
      <w:r w:rsidR="00A0680E" w:rsidRPr="00CF1F17">
        <w:rPr>
          <w:szCs w:val="26"/>
        </w:rPr>
        <w:t xml:space="preserve">Puget Sellers represent that Puget, Brea Generation, Brea Power II, and Macquarie </w:t>
      </w:r>
      <w:r w:rsidR="00322985" w:rsidRPr="00CF1F17">
        <w:rPr>
          <w:szCs w:val="26"/>
        </w:rPr>
        <w:t>are all affiliates of one another</w:t>
      </w:r>
      <w:r w:rsidR="00A0680E" w:rsidRPr="00CF1F17">
        <w:rPr>
          <w:szCs w:val="26"/>
        </w:rPr>
        <w:t xml:space="preserve"> under section 35.36(a)(9) of the Commission’s regulations.</w:t>
      </w:r>
    </w:p>
    <w:p w14:paraId="77FFA912" w14:textId="77777777" w:rsidR="00623ECD" w:rsidRPr="00CB30ED" w:rsidRDefault="00623ECD" w:rsidP="00623ECD">
      <w:pPr>
        <w:pStyle w:val="Heading2"/>
      </w:pPr>
      <w:r w:rsidRPr="00CB30ED">
        <w:t>The EIM</w:t>
      </w:r>
    </w:p>
    <w:p w14:paraId="77FFA913" w14:textId="77777777" w:rsidR="00623ECD" w:rsidRPr="00CB30ED" w:rsidRDefault="00623ECD" w:rsidP="00CB30ED">
      <w:pPr>
        <w:pStyle w:val="FERCparanumber"/>
        <w:rPr>
          <w:szCs w:val="26"/>
        </w:rPr>
      </w:pPr>
      <w:r w:rsidRPr="00CB30ED">
        <w:rPr>
          <w:szCs w:val="26"/>
        </w:rPr>
        <w:t>The</w:t>
      </w:r>
      <w:r w:rsidRPr="00CB30ED">
        <w:rPr>
          <w:rFonts w:eastAsia="MS Gothic"/>
        </w:rPr>
        <w:t xml:space="preserve"> EIM enables entities with balancing authority areas outside of CAISO to take part in the real-time economic energy dispatch portion of the CAISO locational marginal price (LMP)-based electricity market alongside participants from within the CAISO </w:t>
      </w:r>
      <w:r w:rsidR="00ED6214">
        <w:rPr>
          <w:rFonts w:eastAsia="MS Gothic"/>
        </w:rPr>
        <w:t>market</w:t>
      </w:r>
      <w:r w:rsidRPr="00CF1F17">
        <w:rPr>
          <w:rFonts w:eastAsia="MS Gothic"/>
        </w:rPr>
        <w:t>.</w:t>
      </w:r>
      <w:r w:rsidRPr="00CF1F17">
        <w:rPr>
          <w:rFonts w:eastAsia="MS Gothic"/>
          <w:b/>
          <w:vertAlign w:val="superscript"/>
        </w:rPr>
        <w:footnoteReference w:id="4"/>
      </w:r>
      <w:r w:rsidRPr="00CF1F17">
        <w:rPr>
          <w:rFonts w:eastAsia="MS Gothic"/>
        </w:rPr>
        <w:t xml:space="preserve">  PacifiCorp’s two balancing authority areas – PacifiCorp-East and PacifiCorp-West – were the initial participants in the EIM, which was later expanded to include Nevada Power Company and Sierra Pacific Power Company (collectively, NV Energy).</w:t>
      </w:r>
      <w:r w:rsidRPr="00CB30ED">
        <w:rPr>
          <w:rFonts w:eastAsia="MS Gothic"/>
        </w:rPr>
        <w:t xml:space="preserve">  </w:t>
      </w:r>
    </w:p>
    <w:p w14:paraId="77FFA914" w14:textId="77777777" w:rsidR="00623ECD" w:rsidRPr="00E15000" w:rsidRDefault="00623ECD" w:rsidP="00623ECD">
      <w:pPr>
        <w:pStyle w:val="FERCparanumber"/>
        <w:rPr>
          <w:szCs w:val="26"/>
        </w:rPr>
      </w:pPr>
      <w:r w:rsidRPr="00CB30ED">
        <w:rPr>
          <w:szCs w:val="26"/>
        </w:rPr>
        <w:t>On November 19, 201</w:t>
      </w:r>
      <w:r w:rsidR="00877A0F">
        <w:rPr>
          <w:szCs w:val="26"/>
        </w:rPr>
        <w:t>5</w:t>
      </w:r>
      <w:r w:rsidRPr="00CB30ED">
        <w:rPr>
          <w:szCs w:val="26"/>
        </w:rPr>
        <w:t xml:space="preserve">, the Commission issued an order allowing NV Energy and PacifiCorp (together, the Berkshire EIM Sellers) to participate in the EIM at market-based rates on the condition that the Berkshire EIM Sellers offer their units that are participating in the EIM at or below each unit’s </w:t>
      </w:r>
      <w:r w:rsidR="00E15000">
        <w:rPr>
          <w:szCs w:val="26"/>
        </w:rPr>
        <w:t>Default Energy Bid (</w:t>
      </w:r>
      <w:r w:rsidRPr="00CB30ED">
        <w:rPr>
          <w:szCs w:val="26"/>
        </w:rPr>
        <w:t>DEB</w:t>
      </w:r>
      <w:r w:rsidR="00E15000">
        <w:rPr>
          <w:szCs w:val="26"/>
        </w:rPr>
        <w:t>)</w:t>
      </w:r>
      <w:r w:rsidRPr="00CB30ED">
        <w:rPr>
          <w:szCs w:val="26"/>
        </w:rPr>
        <w:t>.</w:t>
      </w:r>
      <w:r w:rsidRPr="00CB30ED">
        <w:rPr>
          <w:rStyle w:val="FootnoteReference"/>
        </w:rPr>
        <w:footnoteReference w:id="5"/>
      </w:r>
    </w:p>
    <w:p w14:paraId="77FFA915" w14:textId="77777777" w:rsidR="00B67DE3" w:rsidRDefault="00B67DE3">
      <w:pPr>
        <w:widowControl/>
        <w:autoSpaceDE/>
        <w:autoSpaceDN/>
        <w:adjustRightInd/>
        <w:rPr>
          <w:szCs w:val="26"/>
        </w:rPr>
      </w:pPr>
      <w:r>
        <w:rPr>
          <w:szCs w:val="26"/>
        </w:rPr>
        <w:br w:type="page"/>
      </w:r>
    </w:p>
    <w:p w14:paraId="77FFA916" w14:textId="77777777" w:rsidR="00623ECD" w:rsidRDefault="00623ECD" w:rsidP="00E15000">
      <w:pPr>
        <w:pStyle w:val="FERCparanumber"/>
        <w:rPr>
          <w:szCs w:val="26"/>
        </w:rPr>
      </w:pPr>
      <w:r w:rsidRPr="00CB30ED">
        <w:rPr>
          <w:szCs w:val="26"/>
        </w:rPr>
        <w:lastRenderedPageBreak/>
        <w:t xml:space="preserve">Puget </w:t>
      </w:r>
      <w:r w:rsidR="004A5A87">
        <w:rPr>
          <w:szCs w:val="26"/>
        </w:rPr>
        <w:t xml:space="preserve">and Arizona Public Service Company (APS) </w:t>
      </w:r>
      <w:r w:rsidRPr="00CB30ED">
        <w:rPr>
          <w:szCs w:val="26"/>
        </w:rPr>
        <w:t xml:space="preserve">intend to begin participation in the EIM </w:t>
      </w:r>
      <w:r w:rsidRPr="00CB30ED">
        <w:t>effective October 1</w:t>
      </w:r>
      <w:r w:rsidRPr="00CF1F17">
        <w:t>, 2016.</w:t>
      </w:r>
      <w:r w:rsidR="00382DCB" w:rsidRPr="00CB30ED">
        <w:rPr>
          <w:rStyle w:val="FootnoteReference"/>
        </w:rPr>
        <w:footnoteReference w:id="6"/>
      </w:r>
      <w:r w:rsidRPr="00CF1F17">
        <w:t xml:space="preserve">  At that time, the EIM footprint will consist of six </w:t>
      </w:r>
      <w:r w:rsidR="00A440D3" w:rsidRPr="00CF1F17">
        <w:t>balancing authority areas</w:t>
      </w:r>
      <w:r w:rsidRPr="00CF1F17">
        <w:t xml:space="preserve">: </w:t>
      </w:r>
      <w:r w:rsidR="005206AE">
        <w:t xml:space="preserve"> </w:t>
      </w:r>
      <w:r w:rsidRPr="00CF1F17">
        <w:t>APS, Puget, C</w:t>
      </w:r>
      <w:r w:rsidRPr="00CF1F17">
        <w:rPr>
          <w:szCs w:val="26"/>
        </w:rPr>
        <w:t>AISO</w:t>
      </w:r>
      <w:r w:rsidRPr="00CB30ED">
        <w:rPr>
          <w:szCs w:val="26"/>
        </w:rPr>
        <w:t>, PacifiCorp-East, PacifiCorp-West, and NV Energy</w:t>
      </w:r>
      <w:r w:rsidR="0010186C">
        <w:rPr>
          <w:szCs w:val="26"/>
        </w:rPr>
        <w:t xml:space="preserve"> (6-BAA footprint)</w:t>
      </w:r>
      <w:r w:rsidR="0078609E">
        <w:rPr>
          <w:szCs w:val="26"/>
        </w:rPr>
        <w:t>.</w:t>
      </w:r>
      <w:r w:rsidRPr="00CB30ED">
        <w:rPr>
          <w:szCs w:val="26"/>
        </w:rPr>
        <w:t xml:space="preserve">  </w:t>
      </w:r>
    </w:p>
    <w:p w14:paraId="77FFA917" w14:textId="77777777" w:rsidR="00724448" w:rsidRDefault="00034102" w:rsidP="00724448">
      <w:pPr>
        <w:pStyle w:val="FERCparanumber"/>
        <w:rPr>
          <w:szCs w:val="26"/>
        </w:rPr>
      </w:pPr>
      <w:r>
        <w:rPr>
          <w:szCs w:val="26"/>
        </w:rPr>
        <w:t xml:space="preserve">The </w:t>
      </w:r>
      <w:r w:rsidR="00724448" w:rsidRPr="00C21095">
        <w:rPr>
          <w:szCs w:val="26"/>
        </w:rPr>
        <w:t xml:space="preserve">Puget Sellers represent that the Puget </w:t>
      </w:r>
      <w:r w:rsidR="00A440D3">
        <w:rPr>
          <w:szCs w:val="26"/>
        </w:rPr>
        <w:t>balancing authority area</w:t>
      </w:r>
      <w:r w:rsidR="00724448" w:rsidRPr="00C21095">
        <w:rPr>
          <w:szCs w:val="26"/>
        </w:rPr>
        <w:t xml:space="preserve"> is not directly </w:t>
      </w:r>
      <w:r w:rsidR="00ED6214">
        <w:rPr>
          <w:szCs w:val="26"/>
        </w:rPr>
        <w:t>inter</w:t>
      </w:r>
      <w:r w:rsidR="00724448" w:rsidRPr="00C21095">
        <w:rPr>
          <w:szCs w:val="26"/>
        </w:rPr>
        <w:t xml:space="preserve">connected to any of the other </w:t>
      </w:r>
      <w:r w:rsidR="00382DCB">
        <w:rPr>
          <w:szCs w:val="26"/>
        </w:rPr>
        <w:t xml:space="preserve">five </w:t>
      </w:r>
      <w:r w:rsidR="00672610">
        <w:rPr>
          <w:szCs w:val="26"/>
        </w:rPr>
        <w:t xml:space="preserve">EIM </w:t>
      </w:r>
      <w:r w:rsidR="00A440D3">
        <w:rPr>
          <w:szCs w:val="26"/>
        </w:rPr>
        <w:t>balancing authority areas</w:t>
      </w:r>
      <w:r w:rsidR="00724448" w:rsidRPr="00C21095">
        <w:rPr>
          <w:szCs w:val="26"/>
        </w:rPr>
        <w:t xml:space="preserve">. </w:t>
      </w:r>
      <w:r>
        <w:rPr>
          <w:szCs w:val="26"/>
        </w:rPr>
        <w:t xml:space="preserve"> The </w:t>
      </w:r>
      <w:r w:rsidR="00724448" w:rsidRPr="00C21095">
        <w:rPr>
          <w:szCs w:val="26"/>
        </w:rPr>
        <w:t>Puget Sellers state that</w:t>
      </w:r>
      <w:r w:rsidR="00231612">
        <w:rPr>
          <w:szCs w:val="26"/>
        </w:rPr>
        <w:t xml:space="preserve"> Puget</w:t>
      </w:r>
      <w:r w:rsidR="00724448" w:rsidRPr="00C21095">
        <w:rPr>
          <w:szCs w:val="26"/>
        </w:rPr>
        <w:t xml:space="preserve"> will utilize a 300 MW</w:t>
      </w:r>
      <w:r w:rsidR="00B422FF">
        <w:rPr>
          <w:szCs w:val="26"/>
        </w:rPr>
        <w:t xml:space="preserve"> long-term firm</w:t>
      </w:r>
      <w:r w:rsidR="00724448" w:rsidRPr="00C21095">
        <w:rPr>
          <w:szCs w:val="26"/>
        </w:rPr>
        <w:t xml:space="preserve"> transmission </w:t>
      </w:r>
      <w:r w:rsidR="00ED6214">
        <w:rPr>
          <w:szCs w:val="26"/>
        </w:rPr>
        <w:t>reservation on</w:t>
      </w:r>
      <w:r w:rsidR="00724448" w:rsidRPr="00C21095">
        <w:rPr>
          <w:szCs w:val="26"/>
        </w:rPr>
        <w:t xml:space="preserve"> the Bonneville Power Administration</w:t>
      </w:r>
      <w:r w:rsidR="00B422FF">
        <w:rPr>
          <w:szCs w:val="26"/>
        </w:rPr>
        <w:t xml:space="preserve"> </w:t>
      </w:r>
      <w:r w:rsidR="000065AF">
        <w:rPr>
          <w:szCs w:val="26"/>
        </w:rPr>
        <w:t>(BPA)</w:t>
      </w:r>
      <w:r w:rsidR="00724448" w:rsidRPr="00C21095">
        <w:rPr>
          <w:szCs w:val="26"/>
        </w:rPr>
        <w:t xml:space="preserve"> to connect to the </w:t>
      </w:r>
      <w:r w:rsidR="00724448" w:rsidRPr="00C21095">
        <w:rPr>
          <w:rFonts w:eastAsia="MS Gothic"/>
          <w:szCs w:val="26"/>
        </w:rPr>
        <w:t xml:space="preserve">PacifiCorp-West </w:t>
      </w:r>
      <w:r w:rsidR="00A440D3">
        <w:rPr>
          <w:szCs w:val="26"/>
        </w:rPr>
        <w:t>balancing authority area</w:t>
      </w:r>
      <w:r w:rsidR="00724448" w:rsidRPr="00C21095">
        <w:rPr>
          <w:szCs w:val="26"/>
        </w:rPr>
        <w:t>.</w:t>
      </w:r>
      <w:r w:rsidR="00724448" w:rsidRPr="00C21095">
        <w:rPr>
          <w:rStyle w:val="FootnoteReference"/>
        </w:rPr>
        <w:footnoteReference w:id="7"/>
      </w:r>
      <w:r w:rsidR="00724448" w:rsidRPr="00C21095">
        <w:rPr>
          <w:szCs w:val="26"/>
        </w:rPr>
        <w:t xml:space="preserve">  </w:t>
      </w:r>
    </w:p>
    <w:p w14:paraId="77FFA918" w14:textId="77777777" w:rsidR="00724448" w:rsidRPr="00BE4D6D" w:rsidRDefault="00724448" w:rsidP="0078609E">
      <w:pPr>
        <w:pStyle w:val="Heading1"/>
      </w:pPr>
      <w:r w:rsidRPr="00CB30ED">
        <w:t>The</w:t>
      </w:r>
      <w:r>
        <w:t xml:space="preserve"> Puget Sellers’ Filings</w:t>
      </w:r>
    </w:p>
    <w:p w14:paraId="77FFA919" w14:textId="77777777" w:rsidR="00724448" w:rsidRPr="00C21095" w:rsidRDefault="00724448" w:rsidP="00724448">
      <w:pPr>
        <w:pStyle w:val="FERCparanumber"/>
        <w:rPr>
          <w:szCs w:val="26"/>
        </w:rPr>
      </w:pPr>
      <w:r w:rsidRPr="00C21095">
        <w:rPr>
          <w:szCs w:val="26"/>
        </w:rPr>
        <w:t>The Puget Sellers state that the</w:t>
      </w:r>
      <w:r>
        <w:rPr>
          <w:szCs w:val="26"/>
        </w:rPr>
        <w:t>ir</w:t>
      </w:r>
      <w:r w:rsidRPr="00C21095">
        <w:rPr>
          <w:szCs w:val="26"/>
        </w:rPr>
        <w:t xml:space="preserve"> change in status</w:t>
      </w:r>
      <w:r>
        <w:rPr>
          <w:szCs w:val="26"/>
        </w:rPr>
        <w:t xml:space="preserve"> filing</w:t>
      </w:r>
      <w:r w:rsidRPr="00C21095">
        <w:rPr>
          <w:szCs w:val="26"/>
        </w:rPr>
        <w:t xml:space="preserve"> pertains solely to Puget’s participation in the</w:t>
      </w:r>
      <w:r w:rsidR="001E67E9">
        <w:rPr>
          <w:szCs w:val="26"/>
        </w:rPr>
        <w:t xml:space="preserve"> EIM, which is a</w:t>
      </w:r>
      <w:r w:rsidRPr="00C21095">
        <w:rPr>
          <w:szCs w:val="26"/>
        </w:rPr>
        <w:t xml:space="preserve"> new relevant geographic market</w:t>
      </w:r>
      <w:r w:rsidR="00382DCB">
        <w:rPr>
          <w:szCs w:val="26"/>
        </w:rPr>
        <w:t xml:space="preserve"> for Puget</w:t>
      </w:r>
      <w:r w:rsidR="001E67E9">
        <w:rPr>
          <w:szCs w:val="26"/>
        </w:rPr>
        <w:t>.</w:t>
      </w:r>
      <w:r w:rsidRPr="00C21095">
        <w:rPr>
          <w:szCs w:val="26"/>
        </w:rPr>
        <w:t xml:space="preserve">  The Puget Sellers</w:t>
      </w:r>
      <w:r>
        <w:rPr>
          <w:szCs w:val="26"/>
        </w:rPr>
        <w:t xml:space="preserve"> </w:t>
      </w:r>
      <w:r w:rsidR="00A70C2E">
        <w:rPr>
          <w:szCs w:val="26"/>
        </w:rPr>
        <w:t>state</w:t>
      </w:r>
      <w:r>
        <w:rPr>
          <w:szCs w:val="26"/>
        </w:rPr>
        <w:t xml:space="preserve"> that, unlike other EIM participants, Puget</w:t>
      </w:r>
      <w:r w:rsidRPr="00C21095">
        <w:rPr>
          <w:szCs w:val="26"/>
        </w:rPr>
        <w:t xml:space="preserve"> </w:t>
      </w:r>
      <w:r>
        <w:rPr>
          <w:szCs w:val="26"/>
        </w:rPr>
        <w:t>currently has</w:t>
      </w:r>
      <w:r w:rsidRPr="00C21095">
        <w:rPr>
          <w:szCs w:val="26"/>
        </w:rPr>
        <w:t xml:space="preserve"> market-based rate authority in each of the </w:t>
      </w:r>
      <w:r w:rsidR="00A440D3">
        <w:rPr>
          <w:szCs w:val="26"/>
        </w:rPr>
        <w:t>balancing authority areas</w:t>
      </w:r>
      <w:r w:rsidR="00A440D3" w:rsidRPr="00C21095">
        <w:rPr>
          <w:szCs w:val="26"/>
        </w:rPr>
        <w:t xml:space="preserve"> </w:t>
      </w:r>
      <w:r w:rsidRPr="00C21095">
        <w:rPr>
          <w:szCs w:val="26"/>
        </w:rPr>
        <w:t>that comprise the 6-BAA footprint</w:t>
      </w:r>
      <w:r>
        <w:rPr>
          <w:szCs w:val="26"/>
        </w:rPr>
        <w:t>, adding that</w:t>
      </w:r>
      <w:r w:rsidRPr="00C21095">
        <w:rPr>
          <w:szCs w:val="26"/>
        </w:rPr>
        <w:t xml:space="preserve"> there are no restrictions </w:t>
      </w:r>
      <w:r w:rsidR="001A44F7">
        <w:rPr>
          <w:szCs w:val="26"/>
        </w:rPr>
        <w:t>o</w:t>
      </w:r>
      <w:r w:rsidRPr="00C21095">
        <w:rPr>
          <w:szCs w:val="26"/>
        </w:rPr>
        <w:t xml:space="preserve">n Puget’s market-based rate </w:t>
      </w:r>
      <w:r w:rsidR="001A44F7">
        <w:rPr>
          <w:szCs w:val="26"/>
        </w:rPr>
        <w:t>authority</w:t>
      </w:r>
      <w:r w:rsidRPr="00C21095">
        <w:rPr>
          <w:szCs w:val="26"/>
        </w:rPr>
        <w:t xml:space="preserve"> that would preclude it from selling energy at market based rates anywhere within the EIM footprint.  </w:t>
      </w:r>
    </w:p>
    <w:p w14:paraId="77FFA91A" w14:textId="77777777" w:rsidR="00724448" w:rsidRPr="00C21095" w:rsidRDefault="00724448" w:rsidP="00724448">
      <w:pPr>
        <w:pStyle w:val="FERCparanumber"/>
        <w:rPr>
          <w:color w:val="FF0000"/>
          <w:szCs w:val="26"/>
        </w:rPr>
      </w:pPr>
      <w:r>
        <w:rPr>
          <w:szCs w:val="26"/>
        </w:rPr>
        <w:t>The Puget Sellers submit a market power analysis that examines Puget’s participation in the 6-BAA footprint utilizing the Commission’s tw</w:t>
      </w:r>
      <w:r w:rsidR="00A70C2E">
        <w:rPr>
          <w:szCs w:val="26"/>
        </w:rPr>
        <w:t>o</w:t>
      </w:r>
      <w:r>
        <w:rPr>
          <w:szCs w:val="26"/>
        </w:rPr>
        <w:t xml:space="preserve"> indicative horizontal market power screens (the pivotal supplier screen and the wholesale market share screen), as modified to reflect the particular circumstances of the EIM.  </w:t>
      </w:r>
    </w:p>
    <w:p w14:paraId="77FFA91B" w14:textId="77777777" w:rsidR="004F0104" w:rsidRDefault="004F0104" w:rsidP="004F0104">
      <w:pPr>
        <w:pStyle w:val="FERCparanumber"/>
      </w:pPr>
      <w:r w:rsidRPr="00C21095">
        <w:t xml:space="preserve">The Puget Sellers </w:t>
      </w:r>
      <w:r>
        <w:t xml:space="preserve">present two different versions of the </w:t>
      </w:r>
      <w:r w:rsidRPr="00C21095">
        <w:t>pivotal suppl</w:t>
      </w:r>
      <w:r>
        <w:t>i</w:t>
      </w:r>
      <w:r w:rsidRPr="00C21095">
        <w:t>er and wholesale market share screens</w:t>
      </w:r>
      <w:r>
        <w:t xml:space="preserve"> </w:t>
      </w:r>
      <w:r w:rsidRPr="00C21095">
        <w:t>us</w:t>
      </w:r>
      <w:r w:rsidR="001A44F7">
        <w:t>ing</w:t>
      </w:r>
      <w:r w:rsidRPr="00C21095">
        <w:t xml:space="preserve"> different pools of generation resources.  The first </w:t>
      </w:r>
      <w:r>
        <w:t>version</w:t>
      </w:r>
      <w:r w:rsidRPr="00C21095">
        <w:t xml:space="preserve"> includes only</w:t>
      </w:r>
      <w:r>
        <w:t xml:space="preserve"> those</w:t>
      </w:r>
      <w:r w:rsidRPr="00C21095">
        <w:t xml:space="preserve"> resources designated to participate in the EIM.  The second </w:t>
      </w:r>
      <w:r>
        <w:t>version</w:t>
      </w:r>
      <w:r w:rsidRPr="00C21095">
        <w:t xml:space="preserve"> includes all firm resources available to </w:t>
      </w:r>
      <w:r w:rsidR="00A440D3">
        <w:t>compete in the EIM.</w:t>
      </w:r>
      <w:r w:rsidRPr="00C21095">
        <w:t xml:space="preserve"> </w:t>
      </w:r>
      <w:r>
        <w:t xml:space="preserve"> </w:t>
      </w:r>
      <w:r w:rsidR="00382DCB">
        <w:t>For each version, t</w:t>
      </w:r>
      <w:r>
        <w:t xml:space="preserve">he Puget Sellers include </w:t>
      </w:r>
      <w:r w:rsidRPr="00C21095">
        <w:t xml:space="preserve">three sensitivity studies </w:t>
      </w:r>
      <w:r>
        <w:t>using</w:t>
      </w:r>
      <w:r w:rsidRPr="00C21095">
        <w:t xml:space="preserve"> </w:t>
      </w:r>
      <w:r>
        <w:t xml:space="preserve">varying </w:t>
      </w:r>
      <w:r w:rsidRPr="00C21095">
        <w:t>de-rating</w:t>
      </w:r>
      <w:r>
        <w:t xml:space="preserve"> methodologies for</w:t>
      </w:r>
      <w:r w:rsidRPr="00C21095">
        <w:t xml:space="preserve"> hydroelectric and wind units</w:t>
      </w:r>
      <w:r>
        <w:t xml:space="preserve">.  The Puget Sellers represent </w:t>
      </w:r>
      <w:r w:rsidRPr="00FB1D19">
        <w:t>that Puget</w:t>
      </w:r>
      <w:r w:rsidR="00C633E6">
        <w:t xml:space="preserve"> </w:t>
      </w:r>
      <w:r w:rsidRPr="00FB1D19">
        <w:t>lack</w:t>
      </w:r>
      <w:r w:rsidR="00A440D3">
        <w:t>s</w:t>
      </w:r>
      <w:r w:rsidRPr="00FB1D19">
        <w:t xml:space="preserve"> market </w:t>
      </w:r>
      <w:r w:rsidRPr="00FB1D19">
        <w:lastRenderedPageBreak/>
        <w:t xml:space="preserve">power in the EIM because it passes both the pivotal supplier screen and the market share screen in both versions and all sensitivity analyses for the 6-BAA footprint.  </w:t>
      </w:r>
    </w:p>
    <w:p w14:paraId="77FFA91C" w14:textId="77777777" w:rsidR="00724448" w:rsidRPr="00CD457B" w:rsidRDefault="00724448" w:rsidP="00B67796">
      <w:pPr>
        <w:pStyle w:val="FERCparanumber"/>
        <w:rPr>
          <w:szCs w:val="26"/>
        </w:rPr>
      </w:pPr>
      <w:r w:rsidRPr="00CD457B">
        <w:rPr>
          <w:szCs w:val="26"/>
        </w:rPr>
        <w:t xml:space="preserve">The Puget Sellers also affirm that Puget </w:t>
      </w:r>
      <w:r w:rsidR="000075E9" w:rsidRPr="000264D9">
        <w:rPr>
          <w:szCs w:val="26"/>
        </w:rPr>
        <w:t xml:space="preserve">will </w:t>
      </w:r>
      <w:r w:rsidRPr="000264D9">
        <w:rPr>
          <w:szCs w:val="26"/>
        </w:rPr>
        <w:t>lack vertical market power in the</w:t>
      </w:r>
      <w:r w:rsidR="000075E9" w:rsidRPr="000264D9">
        <w:rPr>
          <w:szCs w:val="26"/>
        </w:rPr>
        <w:t xml:space="preserve"> </w:t>
      </w:r>
      <w:r w:rsidRPr="00CD457B">
        <w:rPr>
          <w:szCs w:val="26"/>
        </w:rPr>
        <w:t>EIM.  Therefore, Puget views its entry into the EIM as a non-material change in status.</w:t>
      </w:r>
      <w:r w:rsidR="00CD457B" w:rsidRPr="00CD457B">
        <w:rPr>
          <w:szCs w:val="26"/>
        </w:rPr>
        <w:t xml:space="preserve">  </w:t>
      </w:r>
      <w:r w:rsidRPr="00CD457B">
        <w:rPr>
          <w:szCs w:val="26"/>
        </w:rPr>
        <w:t xml:space="preserve">The Puget Sellers also state that the application of Commission-approved market monitoring and mitigation to constrained internal paths and interties between the six </w:t>
      </w:r>
      <w:r w:rsidR="00A440D3" w:rsidRPr="00CD457B">
        <w:rPr>
          <w:szCs w:val="26"/>
        </w:rPr>
        <w:t>b</w:t>
      </w:r>
      <w:r w:rsidR="00472E03" w:rsidRPr="00CD457B">
        <w:rPr>
          <w:szCs w:val="26"/>
        </w:rPr>
        <w:t>alancing authority areas</w:t>
      </w:r>
      <w:r w:rsidR="00A440D3" w:rsidRPr="00CD457B">
        <w:rPr>
          <w:szCs w:val="26"/>
        </w:rPr>
        <w:t xml:space="preserve"> </w:t>
      </w:r>
      <w:r w:rsidRPr="00CD457B">
        <w:rPr>
          <w:szCs w:val="26"/>
        </w:rPr>
        <w:t xml:space="preserve">in the EIM will ensure that Puget and other sellers cannot exercise market power when congestion renders supply in a constrained locality within the EIM footprint to be noncompetitive.  </w:t>
      </w:r>
    </w:p>
    <w:p w14:paraId="77FFA91D" w14:textId="77777777" w:rsidR="004F0104" w:rsidRDefault="004F0104" w:rsidP="004F0104">
      <w:pPr>
        <w:pStyle w:val="FERCparanumber"/>
      </w:pPr>
      <w:r w:rsidRPr="00226459">
        <w:t xml:space="preserve">In </w:t>
      </w:r>
      <w:r>
        <w:t xml:space="preserve">their July 27 amendment, the Puget Sellers submit an analysis to demonstrate that the Puget </w:t>
      </w:r>
      <w:r w:rsidR="00A440D3">
        <w:t xml:space="preserve">balancing authority area </w:t>
      </w:r>
      <w:r>
        <w:t xml:space="preserve">is not a </w:t>
      </w:r>
      <w:r w:rsidRPr="006442FA">
        <w:t xml:space="preserve">submarket in the </w:t>
      </w:r>
      <w:r w:rsidR="000075E9">
        <w:t xml:space="preserve">6-BAA </w:t>
      </w:r>
      <w:r w:rsidRPr="006442FA">
        <w:t xml:space="preserve">EIM footprint.  </w:t>
      </w:r>
      <w:r>
        <w:t xml:space="preserve">The Puget Sellers </w:t>
      </w:r>
      <w:r w:rsidR="000075E9">
        <w:t>use</w:t>
      </w:r>
      <w:r>
        <w:t xml:space="preserve"> two different study methodologies</w:t>
      </w:r>
      <w:r>
        <w:rPr>
          <w:rStyle w:val="FootnoteReference"/>
        </w:rPr>
        <w:footnoteReference w:id="8"/>
      </w:r>
      <w:r>
        <w:t xml:space="preserve"> to quantify anticipated demand for imbalance energy </w:t>
      </w:r>
      <w:r w:rsidR="000075E9">
        <w:t xml:space="preserve">in the Puget </w:t>
      </w:r>
      <w:r w:rsidR="00472E03">
        <w:t>b</w:t>
      </w:r>
      <w:r w:rsidR="00A440D3">
        <w:t>alancing authority area</w:t>
      </w:r>
      <w:r w:rsidR="000075E9">
        <w:t xml:space="preserve"> </w:t>
      </w:r>
      <w:r>
        <w:t>by comparing forecasts of hourly load and/or generation to actual metered values.</w:t>
      </w:r>
      <w:r w:rsidRPr="006442FA">
        <w:t xml:space="preserve"> </w:t>
      </w:r>
      <w:r>
        <w:t xml:space="preserve"> The Puget Sellers state that based on the results of the study, the demand for imbalance energy in the Puget</w:t>
      </w:r>
      <w:r w:rsidR="00A440D3">
        <w:t xml:space="preserve"> balancing authority area</w:t>
      </w:r>
      <w:r>
        <w:t xml:space="preserve"> will, in most hours, be significantly less than Puget’s 300 MW firm transmission reservation specifically dedicated to potential EIM transactions. </w:t>
      </w:r>
    </w:p>
    <w:p w14:paraId="77FFA91E" w14:textId="77777777" w:rsidR="004F0104" w:rsidRDefault="004F0104" w:rsidP="004F0104">
      <w:pPr>
        <w:pStyle w:val="FERCparanumber"/>
      </w:pPr>
      <w:r>
        <w:t xml:space="preserve">Specifically, the Puget Sellers state that </w:t>
      </w:r>
      <w:r w:rsidRPr="00FF24AB">
        <w:t xml:space="preserve">based on historical hour-ahead load and variable generation forecasts within </w:t>
      </w:r>
      <w:r>
        <w:t xml:space="preserve">the </w:t>
      </w:r>
      <w:r w:rsidRPr="00FF24AB">
        <w:t>Puget</w:t>
      </w:r>
      <w:r>
        <w:t xml:space="preserve"> </w:t>
      </w:r>
      <w:r w:rsidR="00A440D3">
        <w:t>balancing authority area</w:t>
      </w:r>
      <w:r w:rsidRPr="00FF24AB">
        <w:t xml:space="preserve">, </w:t>
      </w:r>
      <w:r w:rsidRPr="00226459">
        <w:t xml:space="preserve">the demand for in-hour imbalance energy in the Puget </w:t>
      </w:r>
      <w:r w:rsidR="00A440D3">
        <w:t xml:space="preserve">balancing authority area </w:t>
      </w:r>
      <w:r w:rsidRPr="00226459">
        <w:t>average</w:t>
      </w:r>
      <w:r w:rsidR="001A00E7">
        <w:t>d</w:t>
      </w:r>
      <w:r w:rsidRPr="00226459">
        <w:t xml:space="preserve"> 43.2 MW and</w:t>
      </w:r>
      <w:r w:rsidR="001A00E7">
        <w:t xml:space="preserve"> would</w:t>
      </w:r>
      <w:r w:rsidRPr="00226459">
        <w:t xml:space="preserve"> be 108.5 MW or less during 95 percent of all 15-minute </w:t>
      </w:r>
      <w:r>
        <w:t>market</w:t>
      </w:r>
      <w:r w:rsidRPr="00226459">
        <w:t xml:space="preserve"> intervals</w:t>
      </w:r>
      <w:r>
        <w:t>.  Further, they state that the difference between scheduled and actual load in the Puget BAA only exceeded 300 MW in 18</w:t>
      </w:r>
      <w:r w:rsidR="00382DCB">
        <w:t xml:space="preserve"> (0.05 percent)</w:t>
      </w:r>
      <w:r>
        <w:t xml:space="preserve"> of the 35,040 15-minute intervals during the study period.</w:t>
      </w:r>
      <w:r>
        <w:rPr>
          <w:rStyle w:val="FootnoteReference"/>
        </w:rPr>
        <w:footnoteReference w:id="9"/>
      </w:r>
      <w:r>
        <w:t xml:space="preserve"> </w:t>
      </w:r>
      <w:r w:rsidR="00B352A4">
        <w:t xml:space="preserve"> The Puget Sellers also proposed that it would make a subsequent change in status filing in the event it determines a different amount of firm transmission capacity across the BPA transmission system should be committed to utilization for EIM transfers after the first year of market participation.</w:t>
      </w:r>
      <w:r w:rsidR="00B352A4">
        <w:rPr>
          <w:rStyle w:val="FootnoteReference"/>
        </w:rPr>
        <w:footnoteReference w:id="10"/>
      </w:r>
    </w:p>
    <w:p w14:paraId="77FFA91F" w14:textId="77777777" w:rsidR="004F0104" w:rsidRPr="00CF1F17" w:rsidRDefault="004F0104" w:rsidP="004F0104">
      <w:pPr>
        <w:pStyle w:val="FERCparanumber"/>
      </w:pPr>
      <w:r w:rsidRPr="00F15D03">
        <w:lastRenderedPageBreak/>
        <w:t xml:space="preserve">The Puget Sellers add that the relevant paths and flowgates on the PacifiCorp-West, BPA, and Puget </w:t>
      </w:r>
      <w:r w:rsidR="008F0506">
        <w:t xml:space="preserve">transmission </w:t>
      </w:r>
      <w:r w:rsidRPr="00F15D03">
        <w:t xml:space="preserve">systems have experienced little or no congestion, indicating that 300 MW of external non-Puget generation would be able to compete with Puget-owned generation for the limited quantity of imbalance energy demand within the </w:t>
      </w:r>
      <w:r w:rsidRPr="00CF1F17">
        <w:t xml:space="preserve">Puget </w:t>
      </w:r>
      <w:r w:rsidR="00472E03" w:rsidRPr="00CF1F17">
        <w:t>balancing authority area</w:t>
      </w:r>
      <w:r w:rsidRPr="00CF1F17">
        <w:t>.</w:t>
      </w:r>
      <w:r w:rsidR="00F74BEB" w:rsidRPr="00CF1F17">
        <w:rPr>
          <w:rStyle w:val="FootnoteReference"/>
        </w:rPr>
        <w:footnoteReference w:id="11"/>
      </w:r>
      <w:r w:rsidRPr="00CF1F17">
        <w:t xml:space="preserve">  </w:t>
      </w:r>
    </w:p>
    <w:p w14:paraId="77FFA920" w14:textId="77777777" w:rsidR="004F0104" w:rsidRPr="004F0104" w:rsidRDefault="004F0104" w:rsidP="004F0104">
      <w:pPr>
        <w:pStyle w:val="FERCparanumber"/>
      </w:pPr>
      <w:r w:rsidRPr="00CF1F17">
        <w:t>The Puget Sellers explain that although</w:t>
      </w:r>
      <w:r w:rsidR="00FF3850" w:rsidRPr="00CF1F17">
        <w:t xml:space="preserve"> Puget’s</w:t>
      </w:r>
      <w:r w:rsidR="00CF1F17">
        <w:t xml:space="preserve"> </w:t>
      </w:r>
      <w:r w:rsidR="008F0506" w:rsidRPr="00CF1F17">
        <w:t xml:space="preserve">transmission </w:t>
      </w:r>
      <w:r w:rsidRPr="00CF1F17">
        <w:t>system</w:t>
      </w:r>
      <w:r w:rsidR="00CF1F17">
        <w:t xml:space="preserve"> </w:t>
      </w:r>
      <w:r w:rsidRPr="00CF1F17">
        <w:t xml:space="preserve">is not directly interconnected with any of the five other </w:t>
      </w:r>
      <w:r w:rsidR="00472E03" w:rsidRPr="00CF1F17">
        <w:t xml:space="preserve">balancing authority areas </w:t>
      </w:r>
      <w:r w:rsidRPr="00CF1F17">
        <w:t xml:space="preserve">in the EIM, BPA’s transmission system interconnects at 27 different points with the Puget BAA, accommodating approximately 4,800 MW of total transfer capability, and at 80 </w:t>
      </w:r>
      <w:r w:rsidR="00B422FF" w:rsidRPr="00CF1F17">
        <w:t xml:space="preserve">different </w:t>
      </w:r>
      <w:r w:rsidRPr="00CF1F17">
        <w:t xml:space="preserve">points with the PacifiCorp-West </w:t>
      </w:r>
      <w:r w:rsidR="00472E03" w:rsidRPr="00CF1F17">
        <w:t>balancing authority area</w:t>
      </w:r>
      <w:r w:rsidRPr="00CF1F17">
        <w:t xml:space="preserve">, accommodating about </w:t>
      </w:r>
      <w:r w:rsidR="005206AE">
        <w:t xml:space="preserve">      </w:t>
      </w:r>
      <w:r w:rsidRPr="00CF1F17">
        <w:t>4,950 MW of total transfer capability.  The Puget Sellers state that</w:t>
      </w:r>
      <w:r>
        <w:t xml:space="preserve"> they reviewed historical congestion (from December 2013 to November 2014) on the transmission paths that will be used for EIM transfers and identified only one instance where </w:t>
      </w:r>
      <w:r w:rsidRPr="008E0EA8">
        <w:t xml:space="preserve">firm </w:t>
      </w:r>
      <w:r>
        <w:t xml:space="preserve">transmission was curtailed for one hour on a flowgate within </w:t>
      </w:r>
      <w:r w:rsidRPr="00F15D03">
        <w:t>BPA’s</w:t>
      </w:r>
      <w:r>
        <w:t xml:space="preserve"> </w:t>
      </w:r>
      <w:r w:rsidR="008F0506">
        <w:t xml:space="preserve">transmission </w:t>
      </w:r>
      <w:r>
        <w:t>system</w:t>
      </w:r>
      <w:r w:rsidR="00382DCB">
        <w:t xml:space="preserve">, i.e., </w:t>
      </w:r>
      <w:r>
        <w:t>the North of Echo Lake internal flowgate.</w:t>
      </w:r>
    </w:p>
    <w:p w14:paraId="77FFA921" w14:textId="77777777" w:rsidR="005B585D" w:rsidRDefault="006442FA" w:rsidP="0078609E">
      <w:pPr>
        <w:pStyle w:val="FERCparanumber"/>
        <w:rPr>
          <w:szCs w:val="26"/>
        </w:rPr>
      </w:pPr>
      <w:r w:rsidRPr="005B585D">
        <w:rPr>
          <w:szCs w:val="26"/>
        </w:rPr>
        <w:t xml:space="preserve">The </w:t>
      </w:r>
      <w:r w:rsidR="005B585D">
        <w:rPr>
          <w:szCs w:val="26"/>
        </w:rPr>
        <w:t>Puget S</w:t>
      </w:r>
      <w:r w:rsidRPr="005B585D">
        <w:rPr>
          <w:szCs w:val="26"/>
        </w:rPr>
        <w:t>ellers also rely on CAISO’s local m</w:t>
      </w:r>
      <w:r w:rsidR="005B585D">
        <w:rPr>
          <w:szCs w:val="26"/>
        </w:rPr>
        <w:t>arket power mitigation to resolve any concerns in “the unlikely event that a transmission constraint were to result in non-competitive supply offers within the [Puget</w:t>
      </w:r>
      <w:r w:rsidR="00472E03">
        <w:rPr>
          <w:szCs w:val="26"/>
        </w:rPr>
        <w:t xml:space="preserve"> balancing authority area]</w:t>
      </w:r>
      <w:r w:rsidR="005B585D">
        <w:rPr>
          <w:szCs w:val="26"/>
        </w:rPr>
        <w:t>.”</w:t>
      </w:r>
      <w:r w:rsidR="005B585D">
        <w:rPr>
          <w:rStyle w:val="FootnoteReference"/>
        </w:rPr>
        <w:footnoteReference w:id="12"/>
      </w:r>
      <w:r w:rsidR="00340ECA">
        <w:rPr>
          <w:szCs w:val="26"/>
        </w:rPr>
        <w:t xml:space="preserve"> </w:t>
      </w:r>
      <w:r w:rsidR="005B585D">
        <w:rPr>
          <w:szCs w:val="26"/>
        </w:rPr>
        <w:t xml:space="preserve"> They </w:t>
      </w:r>
      <w:r w:rsidR="000065AF">
        <w:rPr>
          <w:szCs w:val="26"/>
        </w:rPr>
        <w:t>state that at the outset of Puget’s October 1, 2016 entry into the market, its interties with PacifiCorp-West across the BPA transmission</w:t>
      </w:r>
      <w:r w:rsidR="00B422FF">
        <w:rPr>
          <w:szCs w:val="26"/>
        </w:rPr>
        <w:t xml:space="preserve"> system</w:t>
      </w:r>
      <w:r w:rsidR="000065AF">
        <w:rPr>
          <w:szCs w:val="26"/>
        </w:rPr>
        <w:t xml:space="preserve"> will be monitored by CAISO</w:t>
      </w:r>
      <w:r w:rsidR="00231612">
        <w:rPr>
          <w:szCs w:val="26"/>
        </w:rPr>
        <w:t>’s</w:t>
      </w:r>
      <w:r w:rsidR="000065AF">
        <w:rPr>
          <w:szCs w:val="26"/>
        </w:rPr>
        <w:t xml:space="preserve"> Department of Market Monitoring as part of every 15-minute market run for price separation indicative of a binding constraint and that mitigation will then occur for any non</w:t>
      </w:r>
      <w:r w:rsidR="00F74BEB">
        <w:rPr>
          <w:szCs w:val="26"/>
        </w:rPr>
        <w:t>-</w:t>
      </w:r>
      <w:r w:rsidR="000065AF">
        <w:rPr>
          <w:szCs w:val="26"/>
        </w:rPr>
        <w:t>competitive supply.  They add that CAISO has proposed to further enhance mitigation by monitoring constraints in every five-minute interval beginning January 30, 2017.</w:t>
      </w:r>
      <w:r w:rsidR="000065AF">
        <w:rPr>
          <w:rStyle w:val="FootnoteReference"/>
        </w:rPr>
        <w:footnoteReference w:id="13"/>
      </w:r>
    </w:p>
    <w:p w14:paraId="77FFA922" w14:textId="77777777" w:rsidR="00CB30ED" w:rsidRDefault="00CB30ED" w:rsidP="007337DC">
      <w:pPr>
        <w:pStyle w:val="Heading1"/>
      </w:pPr>
      <w:r>
        <w:t>Notice of Filings and Responsive Pleadings</w:t>
      </w:r>
    </w:p>
    <w:p w14:paraId="77FFA923" w14:textId="77777777" w:rsidR="00E90048" w:rsidRDefault="00914475" w:rsidP="00392A55">
      <w:pPr>
        <w:pStyle w:val="FERCparanumber"/>
      </w:pPr>
      <w:r>
        <w:t xml:space="preserve">Notice of </w:t>
      </w:r>
      <w:r w:rsidR="00EA6E44">
        <w:t xml:space="preserve">the </w:t>
      </w:r>
      <w:r>
        <w:t>Puget</w:t>
      </w:r>
      <w:r w:rsidR="00EA6E44">
        <w:t xml:space="preserve"> Sellers’</w:t>
      </w:r>
      <w:r w:rsidR="004B1DAC" w:rsidRPr="004B1DAC">
        <w:t xml:space="preserve"> </w:t>
      </w:r>
      <w:r>
        <w:t>March 9</w:t>
      </w:r>
      <w:r w:rsidR="00A54DAC">
        <w:t xml:space="preserve"> </w:t>
      </w:r>
      <w:r w:rsidR="0030156F">
        <w:t>and July 27 filings</w:t>
      </w:r>
      <w:r w:rsidR="004B1DAC">
        <w:t xml:space="preserve"> </w:t>
      </w:r>
      <w:r w:rsidR="004B1DAC" w:rsidRPr="004B1DAC">
        <w:t>w</w:t>
      </w:r>
      <w:r w:rsidR="00F74BEB">
        <w:t>as</w:t>
      </w:r>
      <w:r w:rsidR="004B1DAC" w:rsidRPr="004B1DAC">
        <w:t xml:space="preserve"> published in the </w:t>
      </w:r>
      <w:r w:rsidR="004B1DAC" w:rsidRPr="001940EC">
        <w:rPr>
          <w:i/>
        </w:rPr>
        <w:t>Federal Register</w:t>
      </w:r>
      <w:r w:rsidR="004B1DAC" w:rsidRPr="001940EC">
        <w:t>,</w:t>
      </w:r>
      <w:r w:rsidR="002C697C">
        <w:rPr>
          <w:rStyle w:val="FootnoteReference"/>
        </w:rPr>
        <w:footnoteReference w:id="14"/>
      </w:r>
      <w:r w:rsidR="00BF0F1A" w:rsidRPr="001940EC">
        <w:t xml:space="preserve"> </w:t>
      </w:r>
      <w:r w:rsidR="004B1DAC" w:rsidRPr="004B1DAC">
        <w:t>with interventions and protests due on or before</w:t>
      </w:r>
      <w:r w:rsidR="004B1DAC">
        <w:t xml:space="preserve"> </w:t>
      </w:r>
      <w:r w:rsidR="00EA4503">
        <w:t>August 17, 2016.</w:t>
      </w:r>
      <w:r>
        <w:t xml:space="preserve"> </w:t>
      </w:r>
      <w:r w:rsidR="004F0104">
        <w:t xml:space="preserve"> </w:t>
      </w:r>
      <w:r w:rsidR="000F6E9C">
        <w:t xml:space="preserve">NV Energy, </w:t>
      </w:r>
      <w:r w:rsidR="00D81EC6">
        <w:t>A</w:t>
      </w:r>
      <w:r w:rsidR="000F6E9C">
        <w:t>PS</w:t>
      </w:r>
      <w:r w:rsidR="00D81EC6">
        <w:t xml:space="preserve">, Modesto Irrigation District, and the Cities of Santa Clara, California </w:t>
      </w:r>
      <w:r w:rsidR="00D81EC6">
        <w:lastRenderedPageBreak/>
        <w:t xml:space="preserve">and Redding, California filed timely motions to intervene. </w:t>
      </w:r>
      <w:r w:rsidR="001F6963">
        <w:t xml:space="preserve"> No protests or comments were filed.</w:t>
      </w:r>
      <w:r w:rsidR="00D81EC6">
        <w:t xml:space="preserve"> </w:t>
      </w:r>
    </w:p>
    <w:p w14:paraId="77FFA924" w14:textId="77777777" w:rsidR="007337DC" w:rsidRDefault="007337DC" w:rsidP="007337DC">
      <w:pPr>
        <w:pStyle w:val="Heading1"/>
      </w:pPr>
      <w:r>
        <w:t>Discussion</w:t>
      </w:r>
    </w:p>
    <w:p w14:paraId="77FFA925" w14:textId="77777777" w:rsidR="007337DC" w:rsidRPr="002C697C" w:rsidRDefault="007337DC" w:rsidP="007337DC">
      <w:pPr>
        <w:pStyle w:val="Heading2"/>
      </w:pPr>
      <w:r w:rsidRPr="002C697C">
        <w:t>Procedural Matters</w:t>
      </w:r>
    </w:p>
    <w:p w14:paraId="77FFA926" w14:textId="77777777" w:rsidR="00A83202" w:rsidRPr="00BE4D6D" w:rsidRDefault="00A83202" w:rsidP="00A83202">
      <w:pPr>
        <w:pStyle w:val="FERCparanumber"/>
      </w:pPr>
      <w:r w:rsidRPr="00BE4D6D">
        <w:t xml:space="preserve">Pursuant to Rule 214 of the Commission’s Rules of Practice and Procedure,        18 </w:t>
      </w:r>
      <w:r w:rsidR="00542257">
        <w:t>C.F.R. § 385.214 (2016</w:t>
      </w:r>
      <w:r w:rsidRPr="00BE4D6D">
        <w:t>), the timely, unopposed motions to intervene serve to make the entities that filed them parties to</w:t>
      </w:r>
      <w:r w:rsidR="00D920A6" w:rsidRPr="002C697C">
        <w:t xml:space="preserve"> this proceeding.</w:t>
      </w:r>
    </w:p>
    <w:p w14:paraId="77FFA927" w14:textId="77777777" w:rsidR="009437D1" w:rsidRDefault="009437D1" w:rsidP="00BE4D6D">
      <w:pPr>
        <w:pStyle w:val="Heading2"/>
        <w:rPr>
          <w:szCs w:val="26"/>
        </w:rPr>
      </w:pPr>
      <w:r w:rsidRPr="00606725">
        <w:rPr>
          <w:szCs w:val="26"/>
        </w:rPr>
        <w:t xml:space="preserve">Substantive Matters </w:t>
      </w:r>
    </w:p>
    <w:p w14:paraId="77FFA928" w14:textId="77777777" w:rsidR="00731743" w:rsidRPr="00034BF8" w:rsidRDefault="0082509A" w:rsidP="00034BF8">
      <w:pPr>
        <w:pStyle w:val="FERCparanumber"/>
        <w:rPr>
          <w:szCs w:val="26"/>
        </w:rPr>
      </w:pPr>
      <w:r w:rsidRPr="00606725">
        <w:rPr>
          <w:szCs w:val="26"/>
        </w:rPr>
        <w:t xml:space="preserve">We accept </w:t>
      </w:r>
      <w:r w:rsidRPr="00CF1F17">
        <w:rPr>
          <w:szCs w:val="26"/>
        </w:rPr>
        <w:t>the Puget Sellers’ notice of change in status filing</w:t>
      </w:r>
      <w:r w:rsidR="00606725" w:rsidRPr="00CF1F17">
        <w:rPr>
          <w:szCs w:val="26"/>
        </w:rPr>
        <w:t xml:space="preserve"> and authorize Puget to transact in the EIM at market-based rates based on the March 9, 2016 market power analysis, as supplemented by the analysis in the July 27, 2016 </w:t>
      </w:r>
      <w:r w:rsidR="00744093" w:rsidRPr="00CF1F17">
        <w:rPr>
          <w:szCs w:val="26"/>
        </w:rPr>
        <w:t>amendment</w:t>
      </w:r>
      <w:r w:rsidR="00606725" w:rsidRPr="00CF1F17">
        <w:rPr>
          <w:szCs w:val="26"/>
        </w:rPr>
        <w:t xml:space="preserve">.  </w:t>
      </w:r>
      <w:r w:rsidR="00731743" w:rsidRPr="00CF1F17">
        <w:rPr>
          <w:szCs w:val="26"/>
        </w:rPr>
        <w:t>Based on their representations, we find that</w:t>
      </w:r>
      <w:r w:rsidR="001A00E7" w:rsidRPr="00CF1F17">
        <w:rPr>
          <w:szCs w:val="26"/>
        </w:rPr>
        <w:t xml:space="preserve"> Puget passes</w:t>
      </w:r>
      <w:r w:rsidRPr="00CF1F17">
        <w:rPr>
          <w:szCs w:val="26"/>
        </w:rPr>
        <w:t xml:space="preserve"> both the pivotal supplier and wholesale market share screens</w:t>
      </w:r>
      <w:r w:rsidR="00731743" w:rsidRPr="00CF1F17">
        <w:rPr>
          <w:szCs w:val="26"/>
        </w:rPr>
        <w:t xml:space="preserve"> in the 6-BAA footprint</w:t>
      </w:r>
      <w:r w:rsidRPr="00CF1F17">
        <w:rPr>
          <w:szCs w:val="26"/>
        </w:rPr>
        <w:t xml:space="preserve">, thereby establishing a rebuttable presumption that </w:t>
      </w:r>
      <w:r w:rsidR="001A00E7" w:rsidRPr="00CF1F17">
        <w:rPr>
          <w:szCs w:val="26"/>
        </w:rPr>
        <w:t>it</w:t>
      </w:r>
      <w:r w:rsidRPr="00CF1F17">
        <w:rPr>
          <w:szCs w:val="26"/>
        </w:rPr>
        <w:t xml:space="preserve"> lack</w:t>
      </w:r>
      <w:r w:rsidR="001A00E7" w:rsidRPr="00CF1F17">
        <w:rPr>
          <w:szCs w:val="26"/>
        </w:rPr>
        <w:t>s</w:t>
      </w:r>
      <w:r w:rsidRPr="00CF1F17">
        <w:rPr>
          <w:szCs w:val="26"/>
        </w:rPr>
        <w:t xml:space="preserve"> horizontal market power in th</w:t>
      </w:r>
      <w:r w:rsidR="00382DCB">
        <w:rPr>
          <w:szCs w:val="26"/>
        </w:rPr>
        <w:t>e</w:t>
      </w:r>
      <w:r w:rsidRPr="00CF1F17">
        <w:rPr>
          <w:szCs w:val="26"/>
        </w:rPr>
        <w:t xml:space="preserve"> 6-BAA footprint.  However, </w:t>
      </w:r>
      <w:r w:rsidR="00731743" w:rsidRPr="00CF1F17">
        <w:rPr>
          <w:szCs w:val="26"/>
        </w:rPr>
        <w:t>this</w:t>
      </w:r>
      <w:r w:rsidRPr="00CF1F17">
        <w:rPr>
          <w:szCs w:val="26"/>
        </w:rPr>
        <w:t xml:space="preserve"> analysis alone is insufficient to demonstrate a lack of horizontal market power in the EIM</w:t>
      </w:r>
      <w:r w:rsidR="00034BF8" w:rsidRPr="00CF1F17">
        <w:rPr>
          <w:szCs w:val="26"/>
        </w:rPr>
        <w:t xml:space="preserve">. </w:t>
      </w:r>
      <w:r w:rsidR="00744093" w:rsidRPr="00CF1F17">
        <w:rPr>
          <w:szCs w:val="26"/>
        </w:rPr>
        <w:t xml:space="preserve"> </w:t>
      </w:r>
      <w:r w:rsidR="009A0F25">
        <w:rPr>
          <w:szCs w:val="26"/>
        </w:rPr>
        <w:t xml:space="preserve">As part of the July 27 Amendment, the Puget Sellers provided </w:t>
      </w:r>
      <w:r w:rsidR="00034BF8" w:rsidRPr="00CF1F17">
        <w:rPr>
          <w:szCs w:val="26"/>
        </w:rPr>
        <w:t xml:space="preserve">additional information concerning Puget’s transmission interconnection to the EIM and whether the characteristics of such interconnection create the possibility that the Puget </w:t>
      </w:r>
      <w:r w:rsidR="00472E03" w:rsidRPr="00CF1F17">
        <w:rPr>
          <w:szCs w:val="26"/>
        </w:rPr>
        <w:t>balancing authority area</w:t>
      </w:r>
      <w:r w:rsidR="00034BF8" w:rsidRPr="00CF1F17">
        <w:rPr>
          <w:szCs w:val="26"/>
        </w:rPr>
        <w:t xml:space="preserve"> is a submarket within the broader EIM.  </w:t>
      </w:r>
      <w:r w:rsidR="009A0F25">
        <w:rPr>
          <w:szCs w:val="26"/>
        </w:rPr>
        <w:t>This subsequent</w:t>
      </w:r>
      <w:r w:rsidR="009A0F25" w:rsidRPr="00CF1F17">
        <w:rPr>
          <w:szCs w:val="26"/>
        </w:rPr>
        <w:t xml:space="preserve"> </w:t>
      </w:r>
      <w:r w:rsidR="00034BF8" w:rsidRPr="00CF1F17">
        <w:rPr>
          <w:szCs w:val="26"/>
        </w:rPr>
        <w:t xml:space="preserve">information is required consistent with </w:t>
      </w:r>
      <w:r w:rsidR="00253EF0">
        <w:rPr>
          <w:szCs w:val="26"/>
        </w:rPr>
        <w:t xml:space="preserve">the </w:t>
      </w:r>
      <w:r w:rsidR="00034BF8" w:rsidRPr="00CF1F17">
        <w:rPr>
          <w:szCs w:val="26"/>
        </w:rPr>
        <w:t>Commission</w:t>
      </w:r>
      <w:r w:rsidR="00253EF0">
        <w:rPr>
          <w:szCs w:val="26"/>
        </w:rPr>
        <w:t>’s prior statement</w:t>
      </w:r>
      <w:r w:rsidR="00731743" w:rsidRPr="00CF1F17">
        <w:rPr>
          <w:szCs w:val="26"/>
        </w:rPr>
        <w:t xml:space="preserve"> that </w:t>
      </w:r>
      <w:r w:rsidR="00731743" w:rsidRPr="00CF1F17">
        <w:t>EIM participants must take into account whether the existence of frequently</w:t>
      </w:r>
      <w:r w:rsidR="00731743" w:rsidRPr="005B7438">
        <w:t>-binding transmission constraints create a separate relevant geographic submarket that should be studied.</w:t>
      </w:r>
      <w:r w:rsidR="00731743" w:rsidRPr="005B7438">
        <w:rPr>
          <w:rStyle w:val="FootnoteReference"/>
        </w:rPr>
        <w:footnoteReference w:id="15"/>
      </w:r>
      <w:r w:rsidR="00731743" w:rsidRPr="005B7438">
        <w:t xml:space="preserve"> </w:t>
      </w:r>
      <w:r w:rsidR="00731743">
        <w:t xml:space="preserve"> </w:t>
      </w:r>
    </w:p>
    <w:p w14:paraId="77FFA929" w14:textId="77777777" w:rsidR="002E72F4" w:rsidRPr="002E72F4" w:rsidRDefault="00034BF8" w:rsidP="00420FBB">
      <w:pPr>
        <w:pStyle w:val="FERCparanumber"/>
        <w:rPr>
          <w:color w:val="4F81BD" w:themeColor="accent1"/>
        </w:rPr>
      </w:pPr>
      <w:r>
        <w:rPr>
          <w:szCs w:val="26"/>
        </w:rPr>
        <w:t xml:space="preserve">The </w:t>
      </w:r>
      <w:r w:rsidRPr="00034BF8">
        <w:rPr>
          <w:szCs w:val="26"/>
        </w:rPr>
        <w:t xml:space="preserve">Commission recently provided further </w:t>
      </w:r>
      <w:r w:rsidR="004F0104">
        <w:rPr>
          <w:szCs w:val="26"/>
        </w:rPr>
        <w:t xml:space="preserve">clarification that </w:t>
      </w:r>
      <w:r w:rsidR="00534616">
        <w:rPr>
          <w:szCs w:val="26"/>
        </w:rPr>
        <w:t>“</w:t>
      </w:r>
      <w:r w:rsidRPr="00034BF8">
        <w:rPr>
          <w:szCs w:val="26"/>
        </w:rPr>
        <w:t xml:space="preserve">a potential EIM participant </w:t>
      </w:r>
      <w:r w:rsidR="004F0104" w:rsidRPr="005B7438">
        <w:t>is permitted to demonstrate that there are no</w:t>
      </w:r>
      <w:r w:rsidR="004F0104">
        <w:t xml:space="preserve"> </w:t>
      </w:r>
      <w:r w:rsidR="004F0104" w:rsidRPr="005B7438">
        <w:t xml:space="preserve">frequently binding transmission constraints that would limit imports into its home balancing authority area (or the balancing authority area where its generation is located) such that the home balancing authority area should not be deemed to be an </w:t>
      </w:r>
      <w:r w:rsidR="004F0104" w:rsidRPr="003016EA">
        <w:t>EIM submarket</w:t>
      </w:r>
      <w:r w:rsidR="004F0104">
        <w:t xml:space="preserve"> itself, or to be within an EIM submarket</w:t>
      </w:r>
      <w:r w:rsidR="004F0104" w:rsidRPr="003016EA">
        <w:t>.</w:t>
      </w:r>
      <w:r w:rsidR="004F0104">
        <w:t>”</w:t>
      </w:r>
      <w:r>
        <w:rPr>
          <w:rStyle w:val="FootnoteReference"/>
        </w:rPr>
        <w:footnoteReference w:id="16"/>
      </w:r>
      <w:r>
        <w:rPr>
          <w:color w:val="4F81BD" w:themeColor="accent1"/>
        </w:rPr>
        <w:t xml:space="preserve"> </w:t>
      </w:r>
      <w:r w:rsidR="009E4A13">
        <w:rPr>
          <w:color w:val="4F81BD" w:themeColor="accent1"/>
        </w:rPr>
        <w:t xml:space="preserve"> </w:t>
      </w:r>
      <w:r w:rsidRPr="00034BF8">
        <w:t xml:space="preserve">The Commission further </w:t>
      </w:r>
      <w:r w:rsidR="004F0104">
        <w:t>stated</w:t>
      </w:r>
      <w:r w:rsidRPr="00034BF8">
        <w:t xml:space="preserve"> that</w:t>
      </w:r>
      <w:r w:rsidR="004F0104">
        <w:t xml:space="preserve"> </w:t>
      </w:r>
      <w:r w:rsidR="004F0104" w:rsidRPr="003830BD">
        <w:t xml:space="preserve">“[h]aving made such a demonstration, there would be no need for a seller to submit a separate market power </w:t>
      </w:r>
      <w:r w:rsidR="004F0104" w:rsidRPr="003830BD">
        <w:lastRenderedPageBreak/>
        <w:t>analysis for its h</w:t>
      </w:r>
      <w:r w:rsidR="004F0104">
        <w:t>ome balancing authority area.”</w:t>
      </w:r>
      <w:r w:rsidR="00534616">
        <w:rPr>
          <w:rStyle w:val="FootnoteReference"/>
        </w:rPr>
        <w:footnoteReference w:id="17"/>
      </w:r>
      <w:r w:rsidR="00420FBB">
        <w:rPr>
          <w:szCs w:val="26"/>
        </w:rPr>
        <w:t xml:space="preserve"> </w:t>
      </w:r>
      <w:r w:rsidR="000264D9">
        <w:rPr>
          <w:szCs w:val="26"/>
        </w:rPr>
        <w:t xml:space="preserve"> </w:t>
      </w:r>
      <w:r w:rsidR="00420FBB" w:rsidRPr="00420FBB">
        <w:t>We conclude that the Puget Sellers</w:t>
      </w:r>
      <w:r w:rsidR="000A3FA6">
        <w:t xml:space="preserve"> </w:t>
      </w:r>
      <w:r w:rsidR="00420FBB" w:rsidRPr="00420FBB">
        <w:t>successfully make this demonstration</w:t>
      </w:r>
      <w:r w:rsidR="001A44F7">
        <w:t xml:space="preserve"> in their July 27 filing</w:t>
      </w:r>
      <w:r w:rsidR="00420FBB">
        <w:t xml:space="preserve">.  </w:t>
      </w:r>
    </w:p>
    <w:p w14:paraId="77FFA92A" w14:textId="77777777" w:rsidR="00E15310" w:rsidRPr="004017FA" w:rsidRDefault="004017FA" w:rsidP="004017FA">
      <w:pPr>
        <w:pStyle w:val="FERCparanumber"/>
        <w:rPr>
          <w:color w:val="C0504D" w:themeColor="accent2"/>
        </w:rPr>
      </w:pPr>
      <w:r w:rsidRPr="004017FA">
        <w:rPr>
          <w:color w:val="000000" w:themeColor="text1"/>
        </w:rPr>
        <w:t xml:space="preserve">We are </w:t>
      </w:r>
      <w:r>
        <w:rPr>
          <w:color w:val="000000" w:themeColor="text1"/>
        </w:rPr>
        <w:t>satisfied</w:t>
      </w:r>
      <w:r w:rsidRPr="004017FA">
        <w:rPr>
          <w:color w:val="000000" w:themeColor="text1"/>
        </w:rPr>
        <w:t xml:space="preserve"> </w:t>
      </w:r>
      <w:r w:rsidR="00F74BEB">
        <w:rPr>
          <w:color w:val="000000" w:themeColor="text1"/>
        </w:rPr>
        <w:t>with</w:t>
      </w:r>
      <w:r w:rsidRPr="004017FA">
        <w:rPr>
          <w:color w:val="000000" w:themeColor="text1"/>
        </w:rPr>
        <w:t xml:space="preserve"> Puget’s demonstration from</w:t>
      </w:r>
      <w:r w:rsidR="00E15310" w:rsidRPr="004017FA">
        <w:rPr>
          <w:color w:val="000000" w:themeColor="text1"/>
        </w:rPr>
        <w:t xml:space="preserve"> O</w:t>
      </w:r>
      <w:r w:rsidR="008F0506">
        <w:rPr>
          <w:color w:val="000000" w:themeColor="text1"/>
        </w:rPr>
        <w:t xml:space="preserve">pen </w:t>
      </w:r>
      <w:r w:rsidR="00E15310" w:rsidRPr="004017FA">
        <w:rPr>
          <w:color w:val="000000" w:themeColor="text1"/>
        </w:rPr>
        <w:t>A</w:t>
      </w:r>
      <w:r w:rsidR="008F0506">
        <w:rPr>
          <w:color w:val="000000" w:themeColor="text1"/>
        </w:rPr>
        <w:t xml:space="preserve">ccess </w:t>
      </w:r>
      <w:r w:rsidR="00E15310" w:rsidRPr="004017FA">
        <w:rPr>
          <w:color w:val="000000" w:themeColor="text1"/>
        </w:rPr>
        <w:t>S</w:t>
      </w:r>
      <w:r w:rsidR="008F0506">
        <w:rPr>
          <w:color w:val="000000" w:themeColor="text1"/>
        </w:rPr>
        <w:t xml:space="preserve">ame-Time </w:t>
      </w:r>
      <w:r w:rsidR="00E15310" w:rsidRPr="004017FA">
        <w:rPr>
          <w:color w:val="000000" w:themeColor="text1"/>
        </w:rPr>
        <w:t>I</w:t>
      </w:r>
      <w:r w:rsidR="008F0506">
        <w:rPr>
          <w:color w:val="000000" w:themeColor="text1"/>
        </w:rPr>
        <w:t xml:space="preserve">nformation </w:t>
      </w:r>
      <w:r w:rsidR="00E15310" w:rsidRPr="004017FA">
        <w:rPr>
          <w:color w:val="000000" w:themeColor="text1"/>
        </w:rPr>
        <w:t>S</w:t>
      </w:r>
      <w:r w:rsidR="008F0506">
        <w:rPr>
          <w:color w:val="000000" w:themeColor="text1"/>
        </w:rPr>
        <w:t>ystem</w:t>
      </w:r>
      <w:r w:rsidR="00F74BEB">
        <w:rPr>
          <w:color w:val="000000" w:themeColor="text1"/>
        </w:rPr>
        <w:t xml:space="preserve"> </w:t>
      </w:r>
      <w:r w:rsidR="00E15310" w:rsidRPr="004017FA">
        <w:rPr>
          <w:color w:val="000000" w:themeColor="text1"/>
        </w:rPr>
        <w:t xml:space="preserve">that the transmission reservations on BPA’s </w:t>
      </w:r>
      <w:r w:rsidR="008F0506">
        <w:rPr>
          <w:color w:val="000000" w:themeColor="text1"/>
        </w:rPr>
        <w:t xml:space="preserve">transmission </w:t>
      </w:r>
      <w:r w:rsidR="00E15310" w:rsidRPr="004017FA">
        <w:rPr>
          <w:color w:val="000000" w:themeColor="text1"/>
        </w:rPr>
        <w:t xml:space="preserve">system that Puget will be using for EIM </w:t>
      </w:r>
      <w:r w:rsidR="00F74BEB">
        <w:rPr>
          <w:color w:val="000000" w:themeColor="text1"/>
        </w:rPr>
        <w:t>t</w:t>
      </w:r>
      <w:r w:rsidR="00E15310" w:rsidRPr="004017FA">
        <w:rPr>
          <w:color w:val="000000" w:themeColor="text1"/>
        </w:rPr>
        <w:t xml:space="preserve">ransfers are firm reservations for a year (from October 1, 2016 to October 1, 2017) and total 300 MW.  </w:t>
      </w:r>
      <w:r w:rsidRPr="004017FA">
        <w:rPr>
          <w:color w:val="000000" w:themeColor="text1"/>
        </w:rPr>
        <w:t xml:space="preserve">We are also satisfied with Puget’s analysis of </w:t>
      </w:r>
      <w:r w:rsidR="00E15310" w:rsidRPr="004017FA">
        <w:rPr>
          <w:color w:val="000000" w:themeColor="text1"/>
        </w:rPr>
        <w:t xml:space="preserve">flowgates (internal to BPA) that are impacted by transfers between the PacifiCorp-West and Puget </w:t>
      </w:r>
      <w:r w:rsidR="00472E03">
        <w:rPr>
          <w:color w:val="000000" w:themeColor="text1"/>
        </w:rPr>
        <w:t>balancing authority area</w:t>
      </w:r>
      <w:r w:rsidR="00472E03" w:rsidRPr="004017FA">
        <w:rPr>
          <w:color w:val="000000" w:themeColor="text1"/>
        </w:rPr>
        <w:t>s</w:t>
      </w:r>
      <w:r w:rsidR="00E15310" w:rsidRPr="004017FA">
        <w:rPr>
          <w:color w:val="000000" w:themeColor="text1"/>
        </w:rPr>
        <w:t xml:space="preserve">.  The flowgate the Puget Sellers identified, North of Echo Lake, was congested nine times, and the North of Hanford S&gt;N flowgate was congested twice.  </w:t>
      </w:r>
      <w:r w:rsidRPr="004017FA">
        <w:rPr>
          <w:color w:val="000000" w:themeColor="text1"/>
        </w:rPr>
        <w:t>Although we are unable to determine</w:t>
      </w:r>
      <w:r w:rsidR="00E15310" w:rsidRPr="004017FA">
        <w:rPr>
          <w:color w:val="000000" w:themeColor="text1"/>
        </w:rPr>
        <w:t xml:space="preserve"> whether any firm transmission was curtailed as a result of these congestion events</w:t>
      </w:r>
      <w:r w:rsidRPr="004017FA">
        <w:rPr>
          <w:color w:val="000000" w:themeColor="text1"/>
        </w:rPr>
        <w:t>, we note that e</w:t>
      </w:r>
      <w:r w:rsidR="00E15310" w:rsidRPr="004017FA">
        <w:rPr>
          <w:color w:val="000000" w:themeColor="text1"/>
        </w:rPr>
        <w:t>ven if every congestion event identified in BPA’s curtailment messages resulted in firm transmission curtailments, there would only be approximately 145 total congested hours</w:t>
      </w:r>
      <w:r w:rsidR="00495555">
        <w:rPr>
          <w:color w:val="000000" w:themeColor="text1"/>
        </w:rPr>
        <w:t xml:space="preserve"> </w:t>
      </w:r>
      <w:r w:rsidR="00F74BEB">
        <w:rPr>
          <w:color w:val="000000" w:themeColor="text1"/>
        </w:rPr>
        <w:t>(</w:t>
      </w:r>
      <w:r w:rsidR="00E15310" w:rsidRPr="004017FA">
        <w:rPr>
          <w:color w:val="000000" w:themeColor="text1"/>
        </w:rPr>
        <w:t xml:space="preserve">1.65 percent of the </w:t>
      </w:r>
      <w:r w:rsidR="00F74BEB">
        <w:rPr>
          <w:color w:val="000000" w:themeColor="text1"/>
        </w:rPr>
        <w:t xml:space="preserve">hours in the </w:t>
      </w:r>
      <w:r w:rsidR="00E15310" w:rsidRPr="004017FA">
        <w:rPr>
          <w:color w:val="000000" w:themeColor="text1"/>
        </w:rPr>
        <w:t>study period</w:t>
      </w:r>
      <w:r w:rsidR="00F74BEB">
        <w:rPr>
          <w:color w:val="000000" w:themeColor="text1"/>
        </w:rPr>
        <w:t>)</w:t>
      </w:r>
      <w:r w:rsidR="00E15310" w:rsidRPr="004017FA">
        <w:rPr>
          <w:color w:val="000000" w:themeColor="text1"/>
        </w:rPr>
        <w:t xml:space="preserve">.  </w:t>
      </w:r>
      <w:r w:rsidR="00744093">
        <w:rPr>
          <w:color w:val="000000" w:themeColor="text1"/>
        </w:rPr>
        <w:t>Further,</w:t>
      </w:r>
      <w:r w:rsidR="00540DFB">
        <w:rPr>
          <w:color w:val="000000" w:themeColor="text1"/>
        </w:rPr>
        <w:t xml:space="preserve"> we agree with the Puget Sellers’ </w:t>
      </w:r>
      <w:r w:rsidR="00F74BEB">
        <w:rPr>
          <w:color w:val="000000" w:themeColor="text1"/>
        </w:rPr>
        <w:t xml:space="preserve">statement </w:t>
      </w:r>
      <w:r w:rsidR="00540DFB">
        <w:rPr>
          <w:color w:val="000000" w:themeColor="text1"/>
        </w:rPr>
        <w:t>that</w:t>
      </w:r>
      <w:r w:rsidR="00E15310" w:rsidRPr="004017FA">
        <w:rPr>
          <w:color w:val="000000" w:themeColor="text1"/>
        </w:rPr>
        <w:t xml:space="preserve"> since BPA’s congestion procedures would curtail on a </w:t>
      </w:r>
      <w:r w:rsidR="00E15310" w:rsidRPr="004017FA">
        <w:rPr>
          <w:i/>
          <w:color w:val="000000" w:themeColor="text1"/>
        </w:rPr>
        <w:t>pro rata</w:t>
      </w:r>
      <w:r w:rsidR="00E15310" w:rsidRPr="004017FA">
        <w:rPr>
          <w:color w:val="000000" w:themeColor="text1"/>
        </w:rPr>
        <w:t xml:space="preserve"> basis, the likelihood of curtailment of the full 300 MW of capacity is quite low.</w:t>
      </w:r>
    </w:p>
    <w:p w14:paraId="77FFA92B" w14:textId="77777777" w:rsidR="00E15310" w:rsidRPr="004017FA" w:rsidRDefault="00E15310" w:rsidP="00E15310">
      <w:pPr>
        <w:pStyle w:val="FERCparanumber"/>
        <w:rPr>
          <w:color w:val="000000" w:themeColor="text1"/>
        </w:rPr>
      </w:pPr>
      <w:r w:rsidRPr="00E15310">
        <w:t>In the instant case, where binding constraints occurred during 0.05 percent of all 15</w:t>
      </w:r>
      <w:r w:rsidR="000264D9">
        <w:t>-</w:t>
      </w:r>
      <w:r w:rsidRPr="00E15310">
        <w:t>minute intervals over the 12</w:t>
      </w:r>
      <w:r w:rsidR="00F74BEB">
        <w:t>-</w:t>
      </w:r>
      <w:r w:rsidRPr="00E15310">
        <w:t xml:space="preserve">month study period, </w:t>
      </w:r>
      <w:r w:rsidR="00FB0F43">
        <w:t>we conclude</w:t>
      </w:r>
      <w:r w:rsidRPr="00E15310">
        <w:t xml:space="preserve"> that </w:t>
      </w:r>
      <w:r w:rsidR="00B70FC9">
        <w:t xml:space="preserve">no </w:t>
      </w:r>
      <w:r w:rsidRPr="00E15310">
        <w:t>submarket needs to be studied a</w:t>
      </w:r>
      <w:r w:rsidR="000264D9">
        <w:t>t</w:t>
      </w:r>
      <w:r w:rsidRPr="00E15310">
        <w:t xml:space="preserve"> this time.</w:t>
      </w:r>
      <w:r w:rsidR="00382DCB" w:rsidRPr="00E15310">
        <w:rPr>
          <w:rStyle w:val="FootnoteReference"/>
        </w:rPr>
        <w:footnoteReference w:id="18"/>
      </w:r>
      <w:r w:rsidRPr="00E15310">
        <w:t xml:space="preserve">  </w:t>
      </w:r>
      <w:r w:rsidR="00FB0F43">
        <w:t>We are</w:t>
      </w:r>
      <w:r w:rsidRPr="00E15310">
        <w:t xml:space="preserve"> also satisfied with the Puget Sellers’ representation that the relevant paths and flowgates on the PacifiCorp-West, BPA, and Puget transmission systems have experienced little or no congestion, indicating that </w:t>
      </w:r>
      <w:r w:rsidR="005206AE">
        <w:t xml:space="preserve">    </w:t>
      </w:r>
      <w:r w:rsidRPr="00E15310">
        <w:t xml:space="preserve">300 MW of external, non-Puget EIM generation would likely be able to compete with Puget-owned generation for the </w:t>
      </w:r>
      <w:r w:rsidRPr="004017FA">
        <w:rPr>
          <w:color w:val="000000" w:themeColor="text1"/>
        </w:rPr>
        <w:t xml:space="preserve">limited quantity of imbalance energy demand within the Puget </w:t>
      </w:r>
      <w:r w:rsidR="00472E03">
        <w:rPr>
          <w:color w:val="000000" w:themeColor="text1"/>
        </w:rPr>
        <w:t>balancing authority areas</w:t>
      </w:r>
      <w:r w:rsidRPr="004017FA">
        <w:rPr>
          <w:color w:val="000000" w:themeColor="text1"/>
        </w:rPr>
        <w:t xml:space="preserve">.  </w:t>
      </w:r>
    </w:p>
    <w:p w14:paraId="77FFA92C" w14:textId="77777777" w:rsidR="00E15310" w:rsidRPr="0053237E" w:rsidRDefault="00E15310" w:rsidP="00E15310">
      <w:pPr>
        <w:pStyle w:val="FERCparanumber"/>
        <w:rPr>
          <w:color w:val="C0504D" w:themeColor="accent2"/>
        </w:rPr>
      </w:pPr>
      <w:r w:rsidRPr="00840B4C">
        <w:t xml:space="preserve">Consistent with the Puget Sellers’ proposal, we will direct Puget to make a change in status filing if there is a </w:t>
      </w:r>
      <w:r w:rsidR="00CD15EA">
        <w:t>decrease</w:t>
      </w:r>
      <w:r w:rsidRPr="00840B4C">
        <w:t xml:space="preserve"> in the amount of </w:t>
      </w:r>
      <w:r w:rsidR="00B422FF">
        <w:t xml:space="preserve">Puget’s </w:t>
      </w:r>
      <w:r w:rsidRPr="00840B4C">
        <w:t xml:space="preserve">firm transmission </w:t>
      </w:r>
      <w:r w:rsidR="00B422FF">
        <w:t>reservations on</w:t>
      </w:r>
      <w:r w:rsidRPr="00840B4C">
        <w:t xml:space="preserve"> the BPA transmission system committed </w:t>
      </w:r>
      <w:r w:rsidR="00BA3D29">
        <w:t>f</w:t>
      </w:r>
      <w:r w:rsidRPr="00840B4C">
        <w:t>o</w:t>
      </w:r>
      <w:r w:rsidR="00BA3D29">
        <w:t>r</w:t>
      </w:r>
      <w:r w:rsidRPr="00840B4C">
        <w:t xml:space="preserve"> utilization </w:t>
      </w:r>
      <w:r w:rsidR="00BA3D29">
        <w:t>of</w:t>
      </w:r>
      <w:r w:rsidRPr="00840B4C">
        <w:t xml:space="preserve"> EIM transfers.</w:t>
      </w:r>
      <w:r w:rsidR="00FF5F21" w:rsidRPr="00840B4C">
        <w:rPr>
          <w:rStyle w:val="FootnoteReference"/>
        </w:rPr>
        <w:footnoteReference w:id="19"/>
      </w:r>
      <w:r w:rsidRPr="00840B4C">
        <w:t xml:space="preserve">  </w:t>
      </w:r>
    </w:p>
    <w:p w14:paraId="77FFA92D" w14:textId="77777777" w:rsidR="00DC0BA9" w:rsidRPr="00703709" w:rsidRDefault="00382DCB" w:rsidP="00DC0BA9">
      <w:pPr>
        <w:pStyle w:val="FERCparanumber"/>
      </w:pPr>
      <w:r>
        <w:lastRenderedPageBreak/>
        <w:t>F</w:t>
      </w:r>
      <w:r w:rsidR="00666304">
        <w:t>or the</w:t>
      </w:r>
      <w:r>
        <w:t xml:space="preserve"> reasons</w:t>
      </w:r>
      <w:r w:rsidR="00666304">
        <w:t xml:space="preserve"> stated above</w:t>
      </w:r>
      <w:r w:rsidR="00DC0BA9">
        <w:t xml:space="preserve">, we find that </w:t>
      </w:r>
      <w:r w:rsidR="00DC0BA9" w:rsidRPr="008F0506">
        <w:t>Puget</w:t>
      </w:r>
      <w:r w:rsidR="00DC0BA9">
        <w:t xml:space="preserve"> lacks horizontal market power in the EIM</w:t>
      </w:r>
      <w:r w:rsidR="00DC0BA9" w:rsidRPr="00703709">
        <w:t xml:space="preserve">. </w:t>
      </w:r>
      <w:r w:rsidR="009E4A13">
        <w:t xml:space="preserve"> </w:t>
      </w:r>
      <w:r w:rsidR="00DC0BA9" w:rsidRPr="00703709">
        <w:t xml:space="preserve">We also </w:t>
      </w:r>
      <w:r w:rsidR="00F518C5">
        <w:t>find, based on</w:t>
      </w:r>
      <w:r w:rsidR="00DC0BA9" w:rsidRPr="00703709">
        <w:t xml:space="preserve"> the Puget Sellers’ </w:t>
      </w:r>
      <w:r w:rsidR="00B616A2" w:rsidRPr="00703709">
        <w:t>representations</w:t>
      </w:r>
      <w:r w:rsidR="00F518C5">
        <w:t>,</w:t>
      </w:r>
      <w:r w:rsidR="00B616A2" w:rsidRPr="00703709">
        <w:t xml:space="preserve"> that Puget</w:t>
      </w:r>
      <w:r w:rsidR="00472E03">
        <w:t xml:space="preserve"> </w:t>
      </w:r>
      <w:r w:rsidR="00B616A2" w:rsidRPr="00703709">
        <w:t>lack</w:t>
      </w:r>
      <w:r w:rsidR="00BA3D29">
        <w:t>s</w:t>
      </w:r>
      <w:r w:rsidR="00B616A2" w:rsidRPr="00703709">
        <w:t xml:space="preserve"> vertical market power.  According</w:t>
      </w:r>
      <w:r w:rsidR="00840B4C">
        <w:t>ly</w:t>
      </w:r>
      <w:r w:rsidR="00B616A2" w:rsidRPr="00703709">
        <w:t xml:space="preserve">, we find that Puget’s participation in the EIM </w:t>
      </w:r>
      <w:r w:rsidR="00666304">
        <w:t>will</w:t>
      </w:r>
      <w:r w:rsidR="00666304" w:rsidRPr="00703709">
        <w:t xml:space="preserve"> </w:t>
      </w:r>
      <w:r w:rsidR="00B616A2" w:rsidRPr="00703709">
        <w:t>not alter the facts the Commission relied upon in granting the Puget Sellers market-based rate authority.  We therefore accept this notice of change in status and authorize Puget to transact in the EIM at market-based rates.</w:t>
      </w:r>
    </w:p>
    <w:p w14:paraId="77FFA92E" w14:textId="77777777" w:rsidR="008C2C84" w:rsidRPr="00703709" w:rsidRDefault="008C2C84" w:rsidP="008C2C84">
      <w:pPr>
        <w:outlineLvl w:val="0"/>
      </w:pPr>
      <w:r w:rsidRPr="00703709">
        <w:rPr>
          <w:u w:val="single"/>
        </w:rPr>
        <w:t>The Commission orders</w:t>
      </w:r>
      <w:r w:rsidRPr="00703709">
        <w:t>:</w:t>
      </w:r>
    </w:p>
    <w:p w14:paraId="77FFA92F" w14:textId="77777777" w:rsidR="008C2C84" w:rsidRPr="00703709" w:rsidRDefault="008C2C84" w:rsidP="008C2C84">
      <w:pPr>
        <w:outlineLvl w:val="0"/>
      </w:pPr>
    </w:p>
    <w:p w14:paraId="77FFA930" w14:textId="77777777" w:rsidR="008C2C84" w:rsidRPr="00703709" w:rsidRDefault="00703709" w:rsidP="008C2C84">
      <w:pPr>
        <w:pStyle w:val="ListNumber4"/>
        <w:numPr>
          <w:ilvl w:val="0"/>
          <w:numId w:val="16"/>
        </w:numPr>
        <w:ind w:left="0" w:firstLine="720"/>
      </w:pPr>
      <w:r w:rsidRPr="00703709">
        <w:t xml:space="preserve">The Puget Sellers’ notice of change in status </w:t>
      </w:r>
      <w:r w:rsidR="00534616">
        <w:t xml:space="preserve">is </w:t>
      </w:r>
      <w:r w:rsidRPr="00703709">
        <w:t xml:space="preserve">hereby accepted for filing, as discussed in the body of this order. </w:t>
      </w:r>
      <w:r w:rsidR="008C2C84" w:rsidRPr="00703709">
        <w:t xml:space="preserve"> </w:t>
      </w:r>
    </w:p>
    <w:p w14:paraId="77FFA931" w14:textId="77777777" w:rsidR="00703709" w:rsidRPr="00703709" w:rsidRDefault="00703709" w:rsidP="00703709">
      <w:pPr>
        <w:pStyle w:val="ListParagraph"/>
      </w:pPr>
    </w:p>
    <w:p w14:paraId="77FFA932" w14:textId="77777777" w:rsidR="00A11474" w:rsidRDefault="00703709" w:rsidP="00A11474">
      <w:pPr>
        <w:pStyle w:val="ListNumber4"/>
        <w:numPr>
          <w:ilvl w:val="0"/>
          <w:numId w:val="16"/>
        </w:numPr>
        <w:ind w:left="0" w:firstLine="720"/>
      </w:pPr>
      <w:r w:rsidRPr="00703709">
        <w:t>Puget is hereby authorized to transact in the EIM at market-based rates, as discussed in the body of this order.</w:t>
      </w:r>
      <w:r>
        <w:t xml:space="preserve"> </w:t>
      </w:r>
    </w:p>
    <w:p w14:paraId="77FFA933" w14:textId="77777777" w:rsidR="005A36BF" w:rsidRPr="00A11474" w:rsidRDefault="005A36BF" w:rsidP="005A36BF">
      <w:pPr>
        <w:pStyle w:val="ListNumber4"/>
        <w:numPr>
          <w:ilvl w:val="0"/>
          <w:numId w:val="0"/>
        </w:numPr>
      </w:pPr>
    </w:p>
    <w:p w14:paraId="77FFA934" w14:textId="77777777" w:rsidR="00A11474" w:rsidRPr="00A11474" w:rsidRDefault="00A11474" w:rsidP="00A11474">
      <w:pPr>
        <w:pStyle w:val="ListNumber4"/>
        <w:numPr>
          <w:ilvl w:val="0"/>
          <w:numId w:val="16"/>
        </w:numPr>
        <w:ind w:left="0" w:firstLine="720"/>
      </w:pPr>
      <w:r w:rsidRPr="00A11474">
        <w:t xml:space="preserve">Puget is directed to submit a </w:t>
      </w:r>
      <w:r w:rsidR="00877A0F">
        <w:t>change</w:t>
      </w:r>
      <w:r w:rsidRPr="00A11474">
        <w:t xml:space="preserve"> in status filing if there is a </w:t>
      </w:r>
      <w:r w:rsidR="00877A0F">
        <w:t>decrease</w:t>
      </w:r>
      <w:r w:rsidRPr="00A11474">
        <w:t xml:space="preserve"> in the amount of firm transmission capacity across the BPA transmission system committed to utilization for EIM transfers, as discussed in the body of this order.</w:t>
      </w:r>
    </w:p>
    <w:p w14:paraId="77FFA935" w14:textId="77777777" w:rsidR="008C2C84" w:rsidRPr="00703709" w:rsidRDefault="008C2C84" w:rsidP="008C2C84"/>
    <w:p w14:paraId="77FFA936" w14:textId="77777777" w:rsidR="008C2C84" w:rsidRDefault="008C2C84" w:rsidP="008C2C84">
      <w:r w:rsidRPr="00703709">
        <w:t>By the Commission.</w:t>
      </w:r>
      <w:r w:rsidR="00DC3B28">
        <w:t xml:space="preserve">  Commissioner Clark is not participating.</w:t>
      </w:r>
    </w:p>
    <w:p w14:paraId="77FFA937" w14:textId="77777777" w:rsidR="005206AE" w:rsidRDefault="005206AE" w:rsidP="008C2C84"/>
    <w:p w14:paraId="77FFA938" w14:textId="77777777" w:rsidR="005206AE" w:rsidRDefault="005206AE" w:rsidP="005206AE">
      <w:pPr>
        <w:widowControl/>
      </w:pPr>
      <w:r w:rsidRPr="005206AE">
        <w:t>( S E A L )</w:t>
      </w:r>
    </w:p>
    <w:p w14:paraId="77FFA939" w14:textId="77777777" w:rsidR="008C2C84" w:rsidRDefault="008C2C84" w:rsidP="005206AE">
      <w:pPr>
        <w:widowControl/>
      </w:pPr>
    </w:p>
    <w:p w14:paraId="77FFA93A" w14:textId="77777777" w:rsidR="005206AE" w:rsidRDefault="005206AE" w:rsidP="005206AE">
      <w:pPr>
        <w:widowControl/>
      </w:pPr>
    </w:p>
    <w:p w14:paraId="77FFA93B" w14:textId="77777777" w:rsidR="005206AE" w:rsidRDefault="005206AE" w:rsidP="005206AE">
      <w:pPr>
        <w:widowControl/>
      </w:pPr>
    </w:p>
    <w:p w14:paraId="77FFA93C" w14:textId="77777777" w:rsidR="005206AE" w:rsidRDefault="005206AE" w:rsidP="005206AE">
      <w:pPr>
        <w:widowControl/>
      </w:pPr>
    </w:p>
    <w:p w14:paraId="77FFA93D" w14:textId="77777777" w:rsidR="005206AE" w:rsidRPr="005206AE" w:rsidRDefault="005206AE" w:rsidP="005206AE">
      <w:pPr>
        <w:widowControl/>
        <w:ind w:firstLine="2606"/>
        <w:jc w:val="center"/>
      </w:pPr>
      <w:r w:rsidRPr="005206AE">
        <w:t>Nathaniel J. Davis, Sr.,</w:t>
      </w:r>
    </w:p>
    <w:p w14:paraId="77FFA93E" w14:textId="77777777" w:rsidR="004262B5" w:rsidRPr="005206AE" w:rsidRDefault="005206AE" w:rsidP="005206AE">
      <w:pPr>
        <w:widowControl/>
        <w:ind w:firstLine="2606"/>
        <w:jc w:val="center"/>
      </w:pPr>
      <w:r w:rsidRPr="005206AE">
        <w:t>Deputy Secretary.</w:t>
      </w:r>
    </w:p>
    <w:sectPr w:rsidR="004262B5" w:rsidRPr="005206AE" w:rsidSect="005206AE">
      <w:headerReference w:type="default" r:id="rId11"/>
      <w:pgSz w:w="12240" w:h="15840"/>
      <w:pgMar w:top="1440" w:right="1440" w:bottom="1440" w:left="1440" w:header="720" w:footer="72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FA943" w14:textId="77777777" w:rsidR="006A3814" w:rsidRDefault="006A3814">
      <w:r>
        <w:separator/>
      </w:r>
    </w:p>
  </w:endnote>
  <w:endnote w:type="continuationSeparator" w:id="0">
    <w:p w14:paraId="77FFA944" w14:textId="77777777" w:rsidR="006A3814" w:rsidRDefault="006A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FA93F" w14:textId="77777777" w:rsidR="006A3814" w:rsidRDefault="006A3814">
      <w:r>
        <w:separator/>
      </w:r>
    </w:p>
  </w:footnote>
  <w:footnote w:type="continuationSeparator" w:id="0">
    <w:p w14:paraId="77FFA940" w14:textId="77777777" w:rsidR="006A3814" w:rsidRDefault="006A3814">
      <w:r>
        <w:continuationSeparator/>
      </w:r>
    </w:p>
  </w:footnote>
  <w:footnote w:type="continuationNotice" w:id="1">
    <w:p w14:paraId="77FFA941" w14:textId="77777777" w:rsidR="006A3814" w:rsidRDefault="006A3814" w:rsidP="009E2C52">
      <w:pPr>
        <w:pStyle w:val="Footer"/>
      </w:pPr>
    </w:p>
    <w:p w14:paraId="77FFA942" w14:textId="77777777" w:rsidR="005206AE" w:rsidRPr="009E2C52" w:rsidRDefault="005206AE" w:rsidP="009E2C52">
      <w:pPr>
        <w:pStyle w:val="Footer"/>
      </w:pPr>
      <w:r>
        <w:tab/>
      </w:r>
      <w:r>
        <w:tab/>
        <w:t>(continued…)</w:t>
      </w:r>
    </w:p>
  </w:footnote>
  <w:footnote w:id="2">
    <w:p w14:paraId="77FFA946" w14:textId="77777777" w:rsidR="00322985" w:rsidRDefault="00322985" w:rsidP="00322985">
      <w:pPr>
        <w:pStyle w:val="FootnoteText"/>
      </w:pPr>
      <w:r w:rsidRPr="00C83E3A">
        <w:rPr>
          <w:rStyle w:val="FootnoteReference"/>
        </w:rPr>
        <w:footnoteRef/>
      </w:r>
      <w:r w:rsidRPr="00C83E3A">
        <w:t xml:space="preserve"> </w:t>
      </w:r>
      <w:r w:rsidR="00CF1F17">
        <w:t>This capacity value does not reflect a</w:t>
      </w:r>
      <w:r w:rsidR="00181D94">
        <w:t>ny derating of Puget’s energy-l</w:t>
      </w:r>
      <w:r w:rsidR="00CF1F17">
        <w:t xml:space="preserve">imited (hydroelectric and wind) generating capacity.  </w:t>
      </w:r>
      <w:r w:rsidR="00CF1F17" w:rsidRPr="00C83E3A">
        <w:t>March 9 Filing, Attachment B</w:t>
      </w:r>
      <w:r w:rsidR="00CF1F17">
        <w:t>, p.</w:t>
      </w:r>
      <w:r w:rsidR="00CF1F17" w:rsidRPr="00C83E3A">
        <w:t xml:space="preserve"> 24. </w:t>
      </w:r>
      <w:r w:rsidR="00CF1F17">
        <w:t xml:space="preserve"> </w:t>
      </w:r>
    </w:p>
  </w:footnote>
  <w:footnote w:id="3">
    <w:p w14:paraId="77FFA947" w14:textId="77777777" w:rsidR="00322985" w:rsidRPr="0012603A" w:rsidRDefault="00322985" w:rsidP="00322985">
      <w:pPr>
        <w:pStyle w:val="BodyText"/>
        <w:kinsoku w:val="0"/>
        <w:overflowPunct w:val="0"/>
        <w:spacing w:before="11" w:line="252" w:lineRule="exact"/>
        <w:ind w:right="114" w:firstLine="720"/>
        <w:rPr>
          <w:spacing w:val="-1"/>
          <w:szCs w:val="26"/>
        </w:rPr>
      </w:pPr>
      <w:r w:rsidRPr="00C83E3A">
        <w:rPr>
          <w:rStyle w:val="FootnoteReference"/>
        </w:rPr>
        <w:footnoteRef/>
      </w:r>
      <w:r w:rsidRPr="00C83E3A">
        <w:rPr>
          <w:szCs w:val="26"/>
        </w:rPr>
        <w:t xml:space="preserve"> </w:t>
      </w:r>
      <w:r w:rsidRPr="00C83E3A">
        <w:rPr>
          <w:i/>
          <w:iCs/>
          <w:spacing w:val="-1"/>
          <w:szCs w:val="26"/>
        </w:rPr>
        <w:t>Puget</w:t>
      </w:r>
      <w:r w:rsidRPr="00C83E3A">
        <w:rPr>
          <w:i/>
          <w:iCs/>
          <w:spacing w:val="42"/>
          <w:szCs w:val="26"/>
        </w:rPr>
        <w:t xml:space="preserve"> </w:t>
      </w:r>
      <w:r w:rsidRPr="00C83E3A">
        <w:rPr>
          <w:i/>
          <w:iCs/>
          <w:spacing w:val="-1"/>
          <w:szCs w:val="26"/>
        </w:rPr>
        <w:t>Sound</w:t>
      </w:r>
      <w:r w:rsidRPr="00C83E3A">
        <w:rPr>
          <w:i/>
          <w:iCs/>
          <w:spacing w:val="41"/>
          <w:szCs w:val="26"/>
        </w:rPr>
        <w:t xml:space="preserve"> </w:t>
      </w:r>
      <w:r w:rsidRPr="00C83E3A">
        <w:rPr>
          <w:i/>
          <w:iCs/>
          <w:spacing w:val="-1"/>
          <w:szCs w:val="26"/>
        </w:rPr>
        <w:t>Energy,</w:t>
      </w:r>
      <w:r w:rsidRPr="00C83E3A">
        <w:rPr>
          <w:i/>
          <w:iCs/>
          <w:spacing w:val="38"/>
          <w:szCs w:val="26"/>
        </w:rPr>
        <w:t xml:space="preserve"> </w:t>
      </w:r>
      <w:r w:rsidRPr="00C83E3A">
        <w:rPr>
          <w:i/>
          <w:iCs/>
          <w:spacing w:val="-1"/>
          <w:szCs w:val="26"/>
        </w:rPr>
        <w:t>Inc.</w:t>
      </w:r>
      <w:r w:rsidRPr="00C83E3A">
        <w:rPr>
          <w:spacing w:val="-1"/>
          <w:szCs w:val="26"/>
        </w:rPr>
        <w:t>,</w:t>
      </w:r>
      <w:r w:rsidRPr="00C83E3A">
        <w:rPr>
          <w:spacing w:val="41"/>
          <w:szCs w:val="26"/>
        </w:rPr>
        <w:t xml:space="preserve"> </w:t>
      </w:r>
      <w:r w:rsidRPr="00C83E3A">
        <w:rPr>
          <w:spacing w:val="-1"/>
          <w:szCs w:val="26"/>
        </w:rPr>
        <w:t>Docket</w:t>
      </w:r>
      <w:r w:rsidRPr="00C83E3A">
        <w:rPr>
          <w:spacing w:val="39"/>
          <w:szCs w:val="26"/>
        </w:rPr>
        <w:t xml:space="preserve"> </w:t>
      </w:r>
      <w:r w:rsidRPr="00C83E3A">
        <w:rPr>
          <w:spacing w:val="-1"/>
          <w:szCs w:val="26"/>
        </w:rPr>
        <w:t>No.</w:t>
      </w:r>
      <w:r w:rsidRPr="00C83E3A">
        <w:rPr>
          <w:spacing w:val="41"/>
          <w:szCs w:val="26"/>
        </w:rPr>
        <w:t xml:space="preserve"> </w:t>
      </w:r>
      <w:r w:rsidRPr="00C83E3A">
        <w:rPr>
          <w:spacing w:val="-1"/>
          <w:szCs w:val="26"/>
        </w:rPr>
        <w:t>ER12-409-000,</w:t>
      </w:r>
      <w:r w:rsidRPr="00C83E3A">
        <w:rPr>
          <w:spacing w:val="41"/>
          <w:szCs w:val="26"/>
        </w:rPr>
        <w:t xml:space="preserve"> </w:t>
      </w:r>
      <w:r w:rsidRPr="00C83E3A">
        <w:rPr>
          <w:i/>
          <w:iCs/>
          <w:szCs w:val="26"/>
        </w:rPr>
        <w:t>et</w:t>
      </w:r>
      <w:r w:rsidRPr="00C83E3A">
        <w:rPr>
          <w:i/>
          <w:iCs/>
          <w:spacing w:val="42"/>
          <w:szCs w:val="26"/>
        </w:rPr>
        <w:t xml:space="preserve"> </w:t>
      </w:r>
      <w:r w:rsidRPr="00C83E3A">
        <w:rPr>
          <w:i/>
          <w:iCs/>
          <w:szCs w:val="26"/>
        </w:rPr>
        <w:t>al.</w:t>
      </w:r>
      <w:r w:rsidRPr="00C83E3A">
        <w:rPr>
          <w:i/>
          <w:iCs/>
          <w:spacing w:val="38"/>
          <w:szCs w:val="26"/>
        </w:rPr>
        <w:t xml:space="preserve"> </w:t>
      </w:r>
      <w:r w:rsidRPr="00C83E3A">
        <w:rPr>
          <w:szCs w:val="26"/>
        </w:rPr>
        <w:t>(Jan.</w:t>
      </w:r>
      <w:r w:rsidRPr="00C83E3A">
        <w:rPr>
          <w:spacing w:val="41"/>
          <w:szCs w:val="26"/>
        </w:rPr>
        <w:t xml:space="preserve"> </w:t>
      </w:r>
      <w:r w:rsidRPr="00C83E3A">
        <w:rPr>
          <w:spacing w:val="-2"/>
          <w:szCs w:val="26"/>
        </w:rPr>
        <w:t>6,</w:t>
      </w:r>
      <w:r w:rsidRPr="00C83E3A">
        <w:rPr>
          <w:spacing w:val="41"/>
          <w:szCs w:val="26"/>
        </w:rPr>
        <w:t xml:space="preserve"> </w:t>
      </w:r>
      <w:r w:rsidRPr="00C83E3A">
        <w:rPr>
          <w:spacing w:val="-1"/>
          <w:szCs w:val="26"/>
        </w:rPr>
        <w:t>2012)</w:t>
      </w:r>
      <w:r w:rsidRPr="00C83E3A">
        <w:rPr>
          <w:spacing w:val="53"/>
          <w:szCs w:val="26"/>
        </w:rPr>
        <w:t xml:space="preserve"> </w:t>
      </w:r>
      <w:r w:rsidRPr="00C83E3A">
        <w:rPr>
          <w:spacing w:val="-1"/>
          <w:szCs w:val="26"/>
        </w:rPr>
        <w:t>(accepting</w:t>
      </w:r>
      <w:r w:rsidRPr="00C83E3A">
        <w:rPr>
          <w:spacing w:val="38"/>
          <w:szCs w:val="26"/>
        </w:rPr>
        <w:t xml:space="preserve"> </w:t>
      </w:r>
      <w:r w:rsidRPr="00C83E3A">
        <w:rPr>
          <w:spacing w:val="-1"/>
          <w:szCs w:val="26"/>
        </w:rPr>
        <w:t>for</w:t>
      </w:r>
      <w:r w:rsidRPr="00C83E3A">
        <w:rPr>
          <w:spacing w:val="41"/>
          <w:szCs w:val="26"/>
        </w:rPr>
        <w:t xml:space="preserve"> </w:t>
      </w:r>
      <w:r w:rsidRPr="00C83E3A">
        <w:rPr>
          <w:spacing w:val="-1"/>
          <w:szCs w:val="26"/>
        </w:rPr>
        <w:t>filing</w:t>
      </w:r>
      <w:r w:rsidRPr="00C83E3A">
        <w:rPr>
          <w:spacing w:val="38"/>
          <w:szCs w:val="26"/>
        </w:rPr>
        <w:t xml:space="preserve"> </w:t>
      </w:r>
      <w:r w:rsidRPr="00C83E3A">
        <w:rPr>
          <w:spacing w:val="-1"/>
          <w:szCs w:val="26"/>
        </w:rPr>
        <w:t>Puget’s</w:t>
      </w:r>
      <w:r w:rsidRPr="00C83E3A">
        <w:rPr>
          <w:spacing w:val="41"/>
          <w:szCs w:val="26"/>
        </w:rPr>
        <w:t xml:space="preserve"> </w:t>
      </w:r>
      <w:r w:rsidRPr="00C83E3A">
        <w:rPr>
          <w:spacing w:val="-1"/>
          <w:szCs w:val="26"/>
        </w:rPr>
        <w:t>revised</w:t>
      </w:r>
      <w:r w:rsidRPr="00C83E3A">
        <w:rPr>
          <w:spacing w:val="41"/>
          <w:szCs w:val="26"/>
        </w:rPr>
        <w:t xml:space="preserve"> </w:t>
      </w:r>
      <w:r w:rsidRPr="00C83E3A">
        <w:rPr>
          <w:spacing w:val="-2"/>
          <w:szCs w:val="26"/>
        </w:rPr>
        <w:t>OATT</w:t>
      </w:r>
      <w:r w:rsidRPr="00C83E3A">
        <w:rPr>
          <w:spacing w:val="40"/>
          <w:szCs w:val="26"/>
        </w:rPr>
        <w:t xml:space="preserve"> </w:t>
      </w:r>
      <w:r w:rsidRPr="00C83E3A">
        <w:rPr>
          <w:szCs w:val="26"/>
        </w:rPr>
        <w:t>in</w:t>
      </w:r>
      <w:r w:rsidRPr="00C83E3A">
        <w:rPr>
          <w:spacing w:val="38"/>
          <w:szCs w:val="26"/>
        </w:rPr>
        <w:t xml:space="preserve"> </w:t>
      </w:r>
      <w:r w:rsidRPr="00C83E3A">
        <w:rPr>
          <w:spacing w:val="-1"/>
          <w:szCs w:val="26"/>
        </w:rPr>
        <w:t>compliance</w:t>
      </w:r>
      <w:r w:rsidRPr="00C83E3A">
        <w:rPr>
          <w:spacing w:val="41"/>
          <w:szCs w:val="26"/>
        </w:rPr>
        <w:t xml:space="preserve"> </w:t>
      </w:r>
      <w:r w:rsidRPr="00C83E3A">
        <w:rPr>
          <w:spacing w:val="-1"/>
          <w:szCs w:val="26"/>
        </w:rPr>
        <w:t>with</w:t>
      </w:r>
      <w:r w:rsidRPr="00C83E3A">
        <w:rPr>
          <w:spacing w:val="41"/>
          <w:szCs w:val="26"/>
        </w:rPr>
        <w:t xml:space="preserve"> </w:t>
      </w:r>
      <w:r w:rsidRPr="00C83E3A">
        <w:rPr>
          <w:spacing w:val="-1"/>
          <w:szCs w:val="26"/>
        </w:rPr>
        <w:t>FERC’s</w:t>
      </w:r>
      <w:r w:rsidRPr="00C83E3A">
        <w:rPr>
          <w:spacing w:val="39"/>
          <w:szCs w:val="26"/>
        </w:rPr>
        <w:t xml:space="preserve"> </w:t>
      </w:r>
      <w:r w:rsidRPr="00C83E3A">
        <w:rPr>
          <w:spacing w:val="-1"/>
          <w:szCs w:val="26"/>
        </w:rPr>
        <w:t>eTariff</w:t>
      </w:r>
      <w:r w:rsidRPr="00C83E3A">
        <w:rPr>
          <w:spacing w:val="41"/>
          <w:szCs w:val="26"/>
        </w:rPr>
        <w:t xml:space="preserve"> </w:t>
      </w:r>
      <w:r w:rsidRPr="00C83E3A">
        <w:rPr>
          <w:spacing w:val="-1"/>
          <w:szCs w:val="26"/>
        </w:rPr>
        <w:t xml:space="preserve">requirements); </w:t>
      </w:r>
      <w:r w:rsidRPr="00C83E3A">
        <w:rPr>
          <w:i/>
          <w:iCs/>
          <w:spacing w:val="-1"/>
          <w:szCs w:val="26"/>
        </w:rPr>
        <w:t>Puget</w:t>
      </w:r>
      <w:r w:rsidRPr="00C83E3A">
        <w:rPr>
          <w:i/>
          <w:iCs/>
          <w:spacing w:val="3"/>
          <w:szCs w:val="26"/>
        </w:rPr>
        <w:t xml:space="preserve"> </w:t>
      </w:r>
      <w:r w:rsidRPr="00C83E3A">
        <w:rPr>
          <w:i/>
          <w:iCs/>
          <w:spacing w:val="-1"/>
          <w:szCs w:val="26"/>
        </w:rPr>
        <w:t>Sound</w:t>
      </w:r>
      <w:r w:rsidRPr="00C83E3A">
        <w:rPr>
          <w:i/>
          <w:iCs/>
          <w:spacing w:val="2"/>
          <w:szCs w:val="26"/>
        </w:rPr>
        <w:t xml:space="preserve"> </w:t>
      </w:r>
      <w:r w:rsidRPr="00C83E3A">
        <w:rPr>
          <w:i/>
          <w:iCs/>
          <w:spacing w:val="-1"/>
          <w:szCs w:val="26"/>
        </w:rPr>
        <w:t>Energy,</w:t>
      </w:r>
      <w:r w:rsidRPr="00C83E3A">
        <w:rPr>
          <w:i/>
          <w:iCs/>
          <w:szCs w:val="26"/>
        </w:rPr>
        <w:t xml:space="preserve"> </w:t>
      </w:r>
      <w:r w:rsidRPr="00C83E3A">
        <w:rPr>
          <w:i/>
          <w:iCs/>
          <w:spacing w:val="-1"/>
          <w:szCs w:val="26"/>
        </w:rPr>
        <w:t>Inc.</w:t>
      </w:r>
      <w:r w:rsidRPr="00C83E3A">
        <w:rPr>
          <w:spacing w:val="-1"/>
          <w:szCs w:val="26"/>
        </w:rPr>
        <w:t>,</w:t>
      </w:r>
      <w:r w:rsidRPr="00C83E3A">
        <w:rPr>
          <w:szCs w:val="26"/>
        </w:rPr>
        <w:t xml:space="preserve"> 149</w:t>
      </w:r>
      <w:r w:rsidRPr="00C83E3A">
        <w:rPr>
          <w:spacing w:val="2"/>
          <w:szCs w:val="26"/>
        </w:rPr>
        <w:t xml:space="preserve"> </w:t>
      </w:r>
      <w:r w:rsidRPr="00C83E3A">
        <w:rPr>
          <w:spacing w:val="-1"/>
          <w:szCs w:val="26"/>
        </w:rPr>
        <w:t>FERC</w:t>
      </w:r>
      <w:r w:rsidRPr="00C83E3A">
        <w:rPr>
          <w:spacing w:val="1"/>
          <w:szCs w:val="26"/>
        </w:rPr>
        <w:t xml:space="preserve"> </w:t>
      </w:r>
      <w:r w:rsidRPr="00C83E3A">
        <w:rPr>
          <w:szCs w:val="26"/>
        </w:rPr>
        <w:t>¶</w:t>
      </w:r>
      <w:r w:rsidRPr="00C83E3A">
        <w:rPr>
          <w:spacing w:val="1"/>
          <w:szCs w:val="26"/>
        </w:rPr>
        <w:t xml:space="preserve"> </w:t>
      </w:r>
      <w:r w:rsidRPr="00C83E3A">
        <w:rPr>
          <w:szCs w:val="26"/>
        </w:rPr>
        <w:t>61,105</w:t>
      </w:r>
      <w:r w:rsidRPr="00C83E3A">
        <w:rPr>
          <w:spacing w:val="2"/>
          <w:szCs w:val="26"/>
        </w:rPr>
        <w:t xml:space="preserve"> </w:t>
      </w:r>
      <w:r w:rsidRPr="00C83E3A">
        <w:rPr>
          <w:spacing w:val="-1"/>
          <w:szCs w:val="26"/>
        </w:rPr>
        <w:t>(201</w:t>
      </w:r>
      <w:r w:rsidR="00F061DD">
        <w:rPr>
          <w:spacing w:val="-1"/>
          <w:szCs w:val="26"/>
        </w:rPr>
        <w:t>4</w:t>
      </w:r>
      <w:r w:rsidRPr="00C83E3A">
        <w:rPr>
          <w:spacing w:val="-1"/>
          <w:szCs w:val="26"/>
        </w:rPr>
        <w:t>)</w:t>
      </w:r>
      <w:r w:rsidRPr="00C83E3A">
        <w:rPr>
          <w:spacing w:val="1"/>
          <w:szCs w:val="26"/>
        </w:rPr>
        <w:t xml:space="preserve"> </w:t>
      </w:r>
      <w:r w:rsidRPr="00C83E3A">
        <w:rPr>
          <w:spacing w:val="-1"/>
          <w:szCs w:val="26"/>
        </w:rPr>
        <w:t>(accepting</w:t>
      </w:r>
      <w:r w:rsidRPr="00C83E3A">
        <w:rPr>
          <w:szCs w:val="26"/>
        </w:rPr>
        <w:t xml:space="preserve"> for</w:t>
      </w:r>
      <w:r w:rsidRPr="00C83E3A">
        <w:rPr>
          <w:spacing w:val="1"/>
          <w:szCs w:val="26"/>
        </w:rPr>
        <w:t xml:space="preserve"> </w:t>
      </w:r>
      <w:r w:rsidRPr="00C83E3A">
        <w:rPr>
          <w:spacing w:val="-1"/>
          <w:szCs w:val="26"/>
        </w:rPr>
        <w:t>filing</w:t>
      </w:r>
      <w:r w:rsidRPr="00C83E3A">
        <w:rPr>
          <w:szCs w:val="26"/>
        </w:rPr>
        <w:t xml:space="preserve"> </w:t>
      </w:r>
      <w:r w:rsidRPr="00C83E3A">
        <w:rPr>
          <w:spacing w:val="-1"/>
          <w:szCs w:val="26"/>
        </w:rPr>
        <w:t>Puget’s</w:t>
      </w:r>
      <w:r w:rsidRPr="00C83E3A">
        <w:rPr>
          <w:szCs w:val="26"/>
        </w:rPr>
        <w:t xml:space="preserve"> </w:t>
      </w:r>
      <w:r w:rsidRPr="00C83E3A">
        <w:rPr>
          <w:spacing w:val="-1"/>
          <w:szCs w:val="26"/>
        </w:rPr>
        <w:t xml:space="preserve">revisions </w:t>
      </w:r>
      <w:r w:rsidRPr="00C83E3A">
        <w:rPr>
          <w:szCs w:val="26"/>
        </w:rPr>
        <w:t xml:space="preserve">to </w:t>
      </w:r>
      <w:r w:rsidRPr="00C83E3A">
        <w:rPr>
          <w:spacing w:val="-1"/>
          <w:szCs w:val="26"/>
        </w:rPr>
        <w:t>its</w:t>
      </w:r>
      <w:r w:rsidRPr="00C83E3A">
        <w:rPr>
          <w:szCs w:val="26"/>
        </w:rPr>
        <w:t xml:space="preserve"> </w:t>
      </w:r>
      <w:r w:rsidRPr="00C83E3A">
        <w:rPr>
          <w:spacing w:val="-1"/>
          <w:szCs w:val="26"/>
        </w:rPr>
        <w:t>OATT).</w:t>
      </w:r>
    </w:p>
  </w:footnote>
  <w:footnote w:id="4">
    <w:p w14:paraId="77FFA948" w14:textId="77777777" w:rsidR="00623ECD" w:rsidRDefault="00623ECD" w:rsidP="00623ECD">
      <w:pPr>
        <w:pStyle w:val="FootnoteText"/>
      </w:pPr>
      <w:r>
        <w:rPr>
          <w:rStyle w:val="FootnoteReference"/>
        </w:rPr>
        <w:footnoteRef/>
      </w:r>
      <w:r>
        <w:t xml:space="preserve"> </w:t>
      </w:r>
      <w:r w:rsidRPr="00C2365F">
        <w:rPr>
          <w:i/>
          <w:color w:val="000000"/>
          <w:szCs w:val="26"/>
        </w:rPr>
        <w:t>Cal. Indep. Sys. Operator Corp</w:t>
      </w:r>
      <w:r w:rsidRPr="00C2365F">
        <w:rPr>
          <w:color w:val="000000"/>
          <w:szCs w:val="26"/>
        </w:rPr>
        <w:t>., 147 FERC ¶ 61,231</w:t>
      </w:r>
      <w:r>
        <w:rPr>
          <w:color w:val="000000"/>
          <w:szCs w:val="26"/>
        </w:rPr>
        <w:t xml:space="preserve">, </w:t>
      </w:r>
      <w:r w:rsidRPr="00C2365F">
        <w:rPr>
          <w:i/>
          <w:color w:val="000000"/>
          <w:szCs w:val="26"/>
        </w:rPr>
        <w:t>order on reh’g, clarification and compliance</w:t>
      </w:r>
      <w:r w:rsidRPr="00C2365F">
        <w:rPr>
          <w:color w:val="000000"/>
          <w:szCs w:val="26"/>
        </w:rPr>
        <w:t>, 149 FERC ¶ 61,058 (2014).</w:t>
      </w:r>
      <w:r>
        <w:rPr>
          <w:color w:val="000000"/>
          <w:sz w:val="27"/>
          <w:szCs w:val="27"/>
        </w:rPr>
        <w:t xml:space="preserve"> </w:t>
      </w:r>
    </w:p>
  </w:footnote>
  <w:footnote w:id="5">
    <w:p w14:paraId="77FFA949" w14:textId="77777777" w:rsidR="00623ECD" w:rsidRDefault="00623ECD" w:rsidP="00623ECD">
      <w:pPr>
        <w:pStyle w:val="FootnoteText"/>
      </w:pPr>
      <w:r>
        <w:rPr>
          <w:rStyle w:val="FootnoteReference"/>
        </w:rPr>
        <w:footnoteRef/>
      </w:r>
      <w:r>
        <w:t xml:space="preserve"> </w:t>
      </w:r>
      <w:r w:rsidRPr="00F6283E">
        <w:rPr>
          <w:i/>
          <w:szCs w:val="26"/>
        </w:rPr>
        <w:t>Nevada Power Company,</w:t>
      </w:r>
      <w:r>
        <w:rPr>
          <w:i/>
          <w:szCs w:val="26"/>
        </w:rPr>
        <w:t xml:space="preserve"> </w:t>
      </w:r>
      <w:r>
        <w:rPr>
          <w:szCs w:val="26"/>
        </w:rPr>
        <w:t xml:space="preserve">153 FERC ¶ 61,206 (2015) </w:t>
      </w:r>
      <w:r w:rsidRPr="00F02618">
        <w:rPr>
          <w:szCs w:val="26"/>
        </w:rPr>
        <w:t>(Berkshire EIM MBR Order)</w:t>
      </w:r>
      <w:r>
        <w:rPr>
          <w:szCs w:val="26"/>
        </w:rPr>
        <w:t xml:space="preserve">, </w:t>
      </w:r>
      <w:r>
        <w:rPr>
          <w:i/>
          <w:szCs w:val="26"/>
        </w:rPr>
        <w:t>order on reh’g</w:t>
      </w:r>
      <w:r>
        <w:rPr>
          <w:szCs w:val="26"/>
        </w:rPr>
        <w:t>, 155 FERC ¶ 61,186 (2016)</w:t>
      </w:r>
      <w:r w:rsidRPr="00C17550">
        <w:rPr>
          <w:szCs w:val="26"/>
        </w:rPr>
        <w:t xml:space="preserve"> </w:t>
      </w:r>
      <w:r>
        <w:rPr>
          <w:szCs w:val="26"/>
        </w:rPr>
        <w:t xml:space="preserve">(Berkshire EIM MBR </w:t>
      </w:r>
      <w:r w:rsidRPr="00F02618">
        <w:rPr>
          <w:szCs w:val="26"/>
        </w:rPr>
        <w:t>Rehearing</w:t>
      </w:r>
      <w:r>
        <w:rPr>
          <w:szCs w:val="26"/>
        </w:rPr>
        <w:t xml:space="preserve"> Order).  </w:t>
      </w:r>
      <w:r>
        <w:t>The Commission also conditioned the Berkshire EIM Sellers’ participation on the condition that they facilitate CAISO’s enforcement of all internal constrains in the PacifiCorp and NV Energy balancing authority.  The Berkshire EIM sellers have since informed the Commission that they have turned over all data necessary to enforce constraints.</w:t>
      </w:r>
    </w:p>
  </w:footnote>
  <w:footnote w:id="6">
    <w:p w14:paraId="77FFA94A" w14:textId="77777777" w:rsidR="00382DCB" w:rsidRPr="00A70C2E" w:rsidRDefault="00382DCB" w:rsidP="00382DCB">
      <w:pPr>
        <w:pStyle w:val="FootnoteText"/>
      </w:pPr>
      <w:r>
        <w:rPr>
          <w:rStyle w:val="FootnoteReference"/>
        </w:rPr>
        <w:footnoteRef/>
      </w:r>
      <w:r>
        <w:t xml:space="preserve"> On April 8, 2016, APS submitted a market power analysis filing informing the Commission </w:t>
      </w:r>
      <w:r w:rsidR="002C1319">
        <w:t>that APS</w:t>
      </w:r>
      <w:r>
        <w:t xml:space="preserve"> intends to begin participation in the EIM effective October 1, 2016.  APS does not have market-based rate authorization in its home balancing authority area and submitted revisions to its market-based rate tariff </w:t>
      </w:r>
      <w:r w:rsidRPr="0053237E">
        <w:t>to</w:t>
      </w:r>
      <w:r w:rsidR="0053237E" w:rsidRPr="0053237E">
        <w:t xml:space="preserve"> reflect its participation in the EIM</w:t>
      </w:r>
      <w:r w:rsidRPr="0053237E">
        <w:t>.</w:t>
      </w:r>
      <w:r>
        <w:t xml:space="preserve">  </w:t>
      </w:r>
      <w:r w:rsidR="002C1319">
        <w:t>O</w:t>
      </w:r>
      <w:r>
        <w:t xml:space="preserve">n August 31, 2016, the Commission issued an order </w:t>
      </w:r>
      <w:r>
        <w:rPr>
          <w:szCs w:val="26"/>
        </w:rPr>
        <w:t xml:space="preserve">authorizing APS </w:t>
      </w:r>
      <w:r w:rsidRPr="007C6064">
        <w:t xml:space="preserve">to transact in the </w:t>
      </w:r>
      <w:r>
        <w:rPr>
          <w:szCs w:val="26"/>
        </w:rPr>
        <w:t>EIM at</w:t>
      </w:r>
      <w:r w:rsidRPr="007C6064">
        <w:t xml:space="preserve"> market-based rates on the condition that </w:t>
      </w:r>
      <w:r w:rsidR="002C1319">
        <w:t>APS</w:t>
      </w:r>
      <w:r w:rsidR="00FB7636">
        <w:t xml:space="preserve"> </w:t>
      </w:r>
      <w:r w:rsidRPr="007C6064">
        <w:t>offer its units that are participating in the EIM at or below each unit’s Default Energy Bid</w:t>
      </w:r>
      <w:r>
        <w:t xml:space="preserve">.  </w:t>
      </w:r>
      <w:r>
        <w:rPr>
          <w:i/>
        </w:rPr>
        <w:t>Arizona Public Service Co.</w:t>
      </w:r>
      <w:r>
        <w:t>, 156 FERC ¶</w:t>
      </w:r>
      <w:r w:rsidR="002C1319">
        <w:t xml:space="preserve"> </w:t>
      </w:r>
      <w:r>
        <w:t>61,148 (2016) (APS EIM MBR Order).</w:t>
      </w:r>
    </w:p>
  </w:footnote>
  <w:footnote w:id="7">
    <w:p w14:paraId="77FFA94B" w14:textId="77777777" w:rsidR="00724448" w:rsidRDefault="00724448" w:rsidP="00724448">
      <w:pPr>
        <w:pStyle w:val="FootnoteText"/>
      </w:pPr>
      <w:r>
        <w:rPr>
          <w:rStyle w:val="FootnoteReference"/>
        </w:rPr>
        <w:footnoteRef/>
      </w:r>
      <w:r>
        <w:t xml:space="preserve"> </w:t>
      </w:r>
      <w:r w:rsidR="00A70C2E">
        <w:t xml:space="preserve">March 9 </w:t>
      </w:r>
      <w:r w:rsidR="002C1319">
        <w:t>F</w:t>
      </w:r>
      <w:r w:rsidR="00A70C2E">
        <w:t>iling, Attachment B, p. 9.</w:t>
      </w:r>
    </w:p>
  </w:footnote>
  <w:footnote w:id="8">
    <w:p w14:paraId="77FFA94C" w14:textId="77777777" w:rsidR="004F0104" w:rsidRDefault="004F0104" w:rsidP="004F0104">
      <w:pPr>
        <w:pStyle w:val="FootnoteText"/>
      </w:pPr>
      <w:r>
        <w:rPr>
          <w:rStyle w:val="FootnoteReference"/>
        </w:rPr>
        <w:footnoteRef/>
      </w:r>
      <w:r>
        <w:t xml:space="preserve"> The first study uses data specific to the Puget </w:t>
      </w:r>
      <w:r w:rsidR="00472E03">
        <w:t xml:space="preserve">balancing authority area </w:t>
      </w:r>
      <w:r>
        <w:t>to predict demand for imbalance energy during the study period (December 2013 through November 2014), while the second study</w:t>
      </w:r>
      <w:r w:rsidR="00F74BEB">
        <w:t xml:space="preserve"> </w:t>
      </w:r>
      <w:r w:rsidR="00F74BEB" w:rsidRPr="00CF1F17">
        <w:t>uses</w:t>
      </w:r>
      <w:r w:rsidRPr="00CF1F17">
        <w:t xml:space="preserve"> </w:t>
      </w:r>
      <w:r w:rsidR="00F74BEB" w:rsidRPr="00CF1F17">
        <w:t xml:space="preserve">EIM-wide </w:t>
      </w:r>
      <w:r w:rsidRPr="00CF1F17">
        <w:t>data</w:t>
      </w:r>
      <w:r>
        <w:t xml:space="preserve"> to predict demand for imbalance energy in the Puget </w:t>
      </w:r>
      <w:r w:rsidR="00472E03">
        <w:t>balancing authority area</w:t>
      </w:r>
      <w:r>
        <w:t xml:space="preserve">. </w:t>
      </w:r>
    </w:p>
  </w:footnote>
  <w:footnote w:id="9">
    <w:p w14:paraId="77FFA94D" w14:textId="77777777" w:rsidR="004F0104" w:rsidRDefault="004F0104" w:rsidP="004F0104">
      <w:pPr>
        <w:pStyle w:val="FootnoteText"/>
      </w:pPr>
      <w:r>
        <w:rPr>
          <w:rStyle w:val="FootnoteReference"/>
        </w:rPr>
        <w:footnoteRef/>
      </w:r>
      <w:r>
        <w:t xml:space="preserve"> The Puget Sellers use the hour-ahead load and variable generation forecasts from the December 2013 to November 2014 study period.  </w:t>
      </w:r>
    </w:p>
  </w:footnote>
  <w:footnote w:id="10">
    <w:p w14:paraId="77FFA94E" w14:textId="77777777" w:rsidR="00B352A4" w:rsidRDefault="00B352A4">
      <w:pPr>
        <w:pStyle w:val="FootnoteText"/>
      </w:pPr>
      <w:r>
        <w:rPr>
          <w:rStyle w:val="FootnoteReference"/>
        </w:rPr>
        <w:footnoteRef/>
      </w:r>
      <w:r>
        <w:t xml:space="preserve"> July 27 Amendment at 8.</w:t>
      </w:r>
    </w:p>
  </w:footnote>
  <w:footnote w:id="11">
    <w:p w14:paraId="77FFA94F" w14:textId="77777777" w:rsidR="00F74BEB" w:rsidRDefault="00F74BEB">
      <w:pPr>
        <w:pStyle w:val="FootnoteText"/>
      </w:pPr>
      <w:r>
        <w:rPr>
          <w:rStyle w:val="FootnoteReference"/>
        </w:rPr>
        <w:footnoteRef/>
      </w:r>
      <w:r w:rsidR="001A00E7">
        <w:t xml:space="preserve"> </w:t>
      </w:r>
      <w:r w:rsidR="00B352A4">
        <w:rPr>
          <w:i/>
        </w:rPr>
        <w:t xml:space="preserve">Id. </w:t>
      </w:r>
      <w:r w:rsidR="001A00E7">
        <w:t>at</w:t>
      </w:r>
      <w:r w:rsidR="00FF3850">
        <w:t xml:space="preserve"> 2.</w:t>
      </w:r>
    </w:p>
  </w:footnote>
  <w:footnote w:id="12">
    <w:p w14:paraId="77FFA950" w14:textId="77777777" w:rsidR="005B585D" w:rsidRPr="005B585D" w:rsidRDefault="005B585D">
      <w:pPr>
        <w:pStyle w:val="FootnoteText"/>
      </w:pPr>
      <w:r>
        <w:rPr>
          <w:rStyle w:val="FootnoteReference"/>
        </w:rPr>
        <w:footnoteRef/>
      </w:r>
      <w:r>
        <w:t xml:space="preserve"> </w:t>
      </w:r>
      <w:r w:rsidR="009E4A13">
        <w:rPr>
          <w:i/>
        </w:rPr>
        <w:t>Id</w:t>
      </w:r>
      <w:r w:rsidR="00B352A4">
        <w:rPr>
          <w:i/>
        </w:rPr>
        <w:t>.</w:t>
      </w:r>
      <w:r w:rsidR="00A11474">
        <w:t xml:space="preserve"> at</w:t>
      </w:r>
      <w:r>
        <w:t xml:space="preserve"> 11-12.</w:t>
      </w:r>
    </w:p>
  </w:footnote>
  <w:footnote w:id="13">
    <w:p w14:paraId="77FFA951" w14:textId="77777777" w:rsidR="000065AF" w:rsidRPr="000065AF" w:rsidRDefault="000065AF">
      <w:pPr>
        <w:pStyle w:val="FootnoteText"/>
      </w:pPr>
      <w:r>
        <w:rPr>
          <w:rStyle w:val="FootnoteReference"/>
        </w:rPr>
        <w:footnoteRef/>
      </w:r>
      <w:r>
        <w:t xml:space="preserve"> </w:t>
      </w:r>
      <w:r>
        <w:rPr>
          <w:i/>
        </w:rPr>
        <w:t xml:space="preserve">Id. </w:t>
      </w:r>
      <w:r>
        <w:t>at 11 (citing CAISO Tariff Amendments to Enhance Local Ma</w:t>
      </w:r>
      <w:r w:rsidR="001A00E7">
        <w:t>r</w:t>
      </w:r>
      <w:r>
        <w:t>ket Power Mitigation Procedures, Docket No. ER16-1983-000 (filed June 21, 2016)</w:t>
      </w:r>
      <w:r w:rsidR="009E4A13">
        <w:t>)</w:t>
      </w:r>
      <w:r>
        <w:t>.</w:t>
      </w:r>
    </w:p>
  </w:footnote>
  <w:footnote w:id="14">
    <w:p w14:paraId="77FFA952" w14:textId="77777777" w:rsidR="002C697C" w:rsidRDefault="002C697C">
      <w:pPr>
        <w:pStyle w:val="FootnoteText"/>
      </w:pPr>
      <w:r>
        <w:rPr>
          <w:rStyle w:val="FootnoteReference"/>
        </w:rPr>
        <w:footnoteRef/>
      </w:r>
      <w:r>
        <w:t xml:space="preserve"> </w:t>
      </w:r>
      <w:r w:rsidRPr="001940EC">
        <w:t>81 Fed. Reg. 14,101 (2016),</w:t>
      </w:r>
      <w:r>
        <w:t xml:space="preserve"> </w:t>
      </w:r>
      <w:r w:rsidR="00EA4503">
        <w:t>81 Fed. Reg. 51,4</w:t>
      </w:r>
      <w:r w:rsidR="009F673C">
        <w:t>37</w:t>
      </w:r>
      <w:r w:rsidR="00EA4503">
        <w:t xml:space="preserve"> (2016).</w:t>
      </w:r>
    </w:p>
  </w:footnote>
  <w:footnote w:id="15">
    <w:p w14:paraId="77FFA953" w14:textId="77777777" w:rsidR="00731743" w:rsidRDefault="00731743" w:rsidP="00731743">
      <w:pPr>
        <w:pStyle w:val="FootnoteText"/>
      </w:pPr>
      <w:r>
        <w:rPr>
          <w:rStyle w:val="FootnoteReference"/>
        </w:rPr>
        <w:footnoteRef/>
      </w:r>
      <w:r>
        <w:t xml:space="preserve"> </w:t>
      </w:r>
      <w:r>
        <w:rPr>
          <w:i/>
        </w:rPr>
        <w:t>Nevada Power Company</w:t>
      </w:r>
      <w:r>
        <w:t>, 151 FERC ¶ 61,131, at P 201 and n.384 (2015).</w:t>
      </w:r>
    </w:p>
  </w:footnote>
  <w:footnote w:id="16">
    <w:p w14:paraId="77FFA954" w14:textId="77777777" w:rsidR="00034BF8" w:rsidRDefault="00034BF8">
      <w:pPr>
        <w:pStyle w:val="FootnoteText"/>
      </w:pPr>
      <w:r>
        <w:rPr>
          <w:rStyle w:val="FootnoteReference"/>
        </w:rPr>
        <w:footnoteRef/>
      </w:r>
      <w:r>
        <w:t xml:space="preserve"> </w:t>
      </w:r>
      <w:r w:rsidR="004F0104">
        <w:t>APS EIM MBR Order, 156 FERC ¶</w:t>
      </w:r>
      <w:r w:rsidR="005206AE">
        <w:t xml:space="preserve"> </w:t>
      </w:r>
      <w:r w:rsidR="004F0104">
        <w:t>61,148 at</w:t>
      </w:r>
      <w:r w:rsidR="00534616">
        <w:t xml:space="preserve"> P 28.</w:t>
      </w:r>
    </w:p>
  </w:footnote>
  <w:footnote w:id="17">
    <w:p w14:paraId="77FFA955" w14:textId="77777777" w:rsidR="00534616" w:rsidRPr="00534616" w:rsidRDefault="00534616">
      <w:pPr>
        <w:pStyle w:val="FootnoteText"/>
        <w:rPr>
          <w:i/>
        </w:rPr>
      </w:pPr>
      <w:r>
        <w:rPr>
          <w:rStyle w:val="FootnoteReference"/>
        </w:rPr>
        <w:footnoteRef/>
      </w:r>
      <w:r>
        <w:t xml:space="preserve"> </w:t>
      </w:r>
      <w:r>
        <w:rPr>
          <w:i/>
        </w:rPr>
        <w:t>Id.</w:t>
      </w:r>
    </w:p>
  </w:footnote>
  <w:footnote w:id="18">
    <w:p w14:paraId="77FFA956" w14:textId="77777777" w:rsidR="00382DCB" w:rsidRPr="00C825E0" w:rsidRDefault="00382DCB" w:rsidP="00382DCB">
      <w:pPr>
        <w:pStyle w:val="FootnoteText"/>
      </w:pPr>
      <w:r>
        <w:rPr>
          <w:rStyle w:val="FootnoteReference"/>
        </w:rPr>
        <w:footnoteRef/>
      </w:r>
      <w:r>
        <w:t xml:space="preserve"> </w:t>
      </w:r>
      <w:r>
        <w:rPr>
          <w:i/>
        </w:rPr>
        <w:t>See, e.g., PPL Corp.</w:t>
      </w:r>
      <w:r>
        <w:t>, 149 FERC ¶ 61,260, at PP 102-103 (2014) (finding</w:t>
      </w:r>
      <w:r w:rsidRPr="00E15310">
        <w:t xml:space="preserve"> that binding constraints in 2.2 percent of all study hours during an 18</w:t>
      </w:r>
      <w:r>
        <w:t>-</w:t>
      </w:r>
      <w:r w:rsidRPr="00E15310">
        <w:t xml:space="preserve">month study period </w:t>
      </w:r>
      <w:r>
        <w:t>wa</w:t>
      </w:r>
      <w:r w:rsidRPr="00E15310">
        <w:t>s insufficient evidence to support the existence of a submarket</w:t>
      </w:r>
      <w:r>
        <w:t xml:space="preserve">).  </w:t>
      </w:r>
    </w:p>
  </w:footnote>
  <w:footnote w:id="19">
    <w:p w14:paraId="77FFA957" w14:textId="77777777" w:rsidR="00FF5F21" w:rsidRDefault="00FF5F21">
      <w:pPr>
        <w:pStyle w:val="FootnoteText"/>
      </w:pPr>
      <w:r>
        <w:rPr>
          <w:rStyle w:val="FootnoteReference"/>
        </w:rPr>
        <w:footnoteRef/>
      </w:r>
      <w:r>
        <w:t xml:space="preserve"> </w:t>
      </w:r>
      <w:r>
        <w:rPr>
          <w:i/>
        </w:rPr>
        <w:t xml:space="preserve">See </w:t>
      </w:r>
      <w:r>
        <w:t>July 27 Amendment at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FA945" w14:textId="77777777" w:rsidR="00F82C2A" w:rsidRDefault="00623ECD" w:rsidP="00105316">
    <w:pPr>
      <w:tabs>
        <w:tab w:val="left" w:pos="720"/>
        <w:tab w:val="left" w:pos="1440"/>
        <w:tab w:val="left" w:pos="2880"/>
        <w:tab w:val="left" w:pos="4320"/>
        <w:tab w:val="left" w:pos="5040"/>
        <w:tab w:val="left" w:pos="5760"/>
        <w:tab w:val="left" w:pos="6480"/>
        <w:tab w:val="left" w:pos="7200"/>
      </w:tabs>
    </w:pPr>
    <w:r>
      <w:t>Docket No</w:t>
    </w:r>
    <w:r w:rsidR="00105316">
      <w:t xml:space="preserve">. ER10-2374-010, </w:t>
    </w:r>
    <w:r w:rsidR="00105316" w:rsidRPr="00105316">
      <w:rPr>
        <w:i/>
      </w:rPr>
      <w:t>et al</w:t>
    </w:r>
    <w:r w:rsidR="00105316">
      <w:t>.</w:t>
    </w:r>
    <w:r w:rsidR="00717AF5">
      <w:tab/>
    </w:r>
    <w:r w:rsidR="00717AF5">
      <w:tab/>
    </w:r>
    <w:r w:rsidR="00717AF5">
      <w:tab/>
    </w:r>
    <w:r w:rsidR="00717AF5">
      <w:tab/>
    </w:r>
    <w:r w:rsidR="00717AF5">
      <w:tab/>
    </w:r>
    <w:r w:rsidR="00717AF5">
      <w:tab/>
    </w:r>
    <w:r>
      <w:tab/>
    </w:r>
    <w:r>
      <w:fldChar w:fldCharType="begin"/>
    </w:r>
    <w:r>
      <w:instrText xml:space="preserve"> PAGE  \* MERGEFORMAT </w:instrText>
    </w:r>
    <w:r>
      <w:fldChar w:fldCharType="separate"/>
    </w:r>
    <w:r w:rsidR="00E00CA0">
      <w:rPr>
        <w:noProof/>
      </w:rPr>
      <w:t>- 2 -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3EB6DC8"/>
    <w:multiLevelType w:val="hybridMultilevel"/>
    <w:tmpl w:val="2FFC2146"/>
    <w:lvl w:ilvl="0" w:tplc="CAB4D642">
      <w:start w:val="1"/>
      <w:numFmt w:val="upperLetter"/>
      <w:lvlText w:val="(%1)"/>
      <w:lvlJc w:val="left"/>
      <w:pPr>
        <w:ind w:left="1710" w:hanging="360"/>
      </w:pPr>
      <w:rPr>
        <w:rFonts w:hint="default"/>
        <w:b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1DDA5B1F"/>
    <w:multiLevelType w:val="multilevel"/>
    <w:tmpl w:val="38EE6D08"/>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3" w15:restartNumberingAfterBreak="0">
    <w:nsid w:val="38EA37F2"/>
    <w:multiLevelType w:val="hybridMultilevel"/>
    <w:tmpl w:val="F1C0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F6E95"/>
    <w:multiLevelType w:val="hybridMultilevel"/>
    <w:tmpl w:val="35B6F7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E4E4DD3"/>
    <w:multiLevelType w:val="hybridMultilevel"/>
    <w:tmpl w:val="3736821E"/>
    <w:lvl w:ilvl="0" w:tplc="2AC65468">
      <w:start w:val="1"/>
      <w:numFmt w:val="decimal"/>
      <w:pStyle w:val="FERCparanumber"/>
      <w:lvlText w:val="%1."/>
      <w:lvlJc w:val="left"/>
      <w:pPr>
        <w:tabs>
          <w:tab w:val="num" w:pos="720"/>
        </w:tabs>
        <w:ind w:left="0" w:firstLine="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5"/>
  </w:num>
  <w:num w:numId="16">
    <w:abstractNumId w:val="11"/>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CD"/>
    <w:rsid w:val="00003B3F"/>
    <w:rsid w:val="0000527B"/>
    <w:rsid w:val="000060FC"/>
    <w:rsid w:val="000065AF"/>
    <w:rsid w:val="00006E79"/>
    <w:rsid w:val="00007013"/>
    <w:rsid w:val="000075E9"/>
    <w:rsid w:val="0001111E"/>
    <w:rsid w:val="00015BA4"/>
    <w:rsid w:val="00015EB6"/>
    <w:rsid w:val="000163D3"/>
    <w:rsid w:val="00017BC9"/>
    <w:rsid w:val="00020047"/>
    <w:rsid w:val="00020927"/>
    <w:rsid w:val="0002233B"/>
    <w:rsid w:val="000264D9"/>
    <w:rsid w:val="000306AF"/>
    <w:rsid w:val="00033A3C"/>
    <w:rsid w:val="00034102"/>
    <w:rsid w:val="00034BF8"/>
    <w:rsid w:val="000354F3"/>
    <w:rsid w:val="00036021"/>
    <w:rsid w:val="00042BCC"/>
    <w:rsid w:val="00044028"/>
    <w:rsid w:val="00044589"/>
    <w:rsid w:val="0005260D"/>
    <w:rsid w:val="0005406C"/>
    <w:rsid w:val="00055B09"/>
    <w:rsid w:val="00060AEC"/>
    <w:rsid w:val="00061F05"/>
    <w:rsid w:val="000630E3"/>
    <w:rsid w:val="00063363"/>
    <w:rsid w:val="00064D88"/>
    <w:rsid w:val="0006768F"/>
    <w:rsid w:val="000802B1"/>
    <w:rsid w:val="00094059"/>
    <w:rsid w:val="000964CE"/>
    <w:rsid w:val="000973D0"/>
    <w:rsid w:val="000A3FA6"/>
    <w:rsid w:val="000A500F"/>
    <w:rsid w:val="000B32DC"/>
    <w:rsid w:val="000B3933"/>
    <w:rsid w:val="000B5FB2"/>
    <w:rsid w:val="000C3615"/>
    <w:rsid w:val="000D376F"/>
    <w:rsid w:val="000D477E"/>
    <w:rsid w:val="000D6533"/>
    <w:rsid w:val="000D709F"/>
    <w:rsid w:val="000E019F"/>
    <w:rsid w:val="000E0D77"/>
    <w:rsid w:val="000E314D"/>
    <w:rsid w:val="000E5DA1"/>
    <w:rsid w:val="000E6E42"/>
    <w:rsid w:val="000E733C"/>
    <w:rsid w:val="000F1A65"/>
    <w:rsid w:val="000F40DE"/>
    <w:rsid w:val="000F6E9C"/>
    <w:rsid w:val="00100616"/>
    <w:rsid w:val="00101744"/>
    <w:rsid w:val="0010186C"/>
    <w:rsid w:val="00105316"/>
    <w:rsid w:val="00106601"/>
    <w:rsid w:val="00107651"/>
    <w:rsid w:val="00107D5A"/>
    <w:rsid w:val="0011005F"/>
    <w:rsid w:val="001128A5"/>
    <w:rsid w:val="0011549F"/>
    <w:rsid w:val="0011560A"/>
    <w:rsid w:val="00120778"/>
    <w:rsid w:val="00122EF4"/>
    <w:rsid w:val="0012603A"/>
    <w:rsid w:val="001278B8"/>
    <w:rsid w:val="00127B80"/>
    <w:rsid w:val="00130484"/>
    <w:rsid w:val="0013289A"/>
    <w:rsid w:val="00135393"/>
    <w:rsid w:val="0014077F"/>
    <w:rsid w:val="00141967"/>
    <w:rsid w:val="00144766"/>
    <w:rsid w:val="001450B0"/>
    <w:rsid w:val="00145ACD"/>
    <w:rsid w:val="00145BF3"/>
    <w:rsid w:val="001460E5"/>
    <w:rsid w:val="00146A35"/>
    <w:rsid w:val="00146DBF"/>
    <w:rsid w:val="00147246"/>
    <w:rsid w:val="0014762C"/>
    <w:rsid w:val="001541A7"/>
    <w:rsid w:val="0015507A"/>
    <w:rsid w:val="00155DB7"/>
    <w:rsid w:val="001619AF"/>
    <w:rsid w:val="00162576"/>
    <w:rsid w:val="0016329F"/>
    <w:rsid w:val="0016612F"/>
    <w:rsid w:val="001701EA"/>
    <w:rsid w:val="001722E3"/>
    <w:rsid w:val="00173678"/>
    <w:rsid w:val="00176FE3"/>
    <w:rsid w:val="00177390"/>
    <w:rsid w:val="001779D4"/>
    <w:rsid w:val="00181D94"/>
    <w:rsid w:val="00182AB0"/>
    <w:rsid w:val="00183FD6"/>
    <w:rsid w:val="001853F5"/>
    <w:rsid w:val="0018707A"/>
    <w:rsid w:val="001940EC"/>
    <w:rsid w:val="00196908"/>
    <w:rsid w:val="0019719C"/>
    <w:rsid w:val="001A00E7"/>
    <w:rsid w:val="001A12DE"/>
    <w:rsid w:val="001A3237"/>
    <w:rsid w:val="001A44F7"/>
    <w:rsid w:val="001A4C5E"/>
    <w:rsid w:val="001A509E"/>
    <w:rsid w:val="001A5D72"/>
    <w:rsid w:val="001A68C8"/>
    <w:rsid w:val="001B06B5"/>
    <w:rsid w:val="001B35AF"/>
    <w:rsid w:val="001B4D9E"/>
    <w:rsid w:val="001C0120"/>
    <w:rsid w:val="001C04AA"/>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5461"/>
    <w:rsid w:val="001E67E9"/>
    <w:rsid w:val="001E6E07"/>
    <w:rsid w:val="001F2EEF"/>
    <w:rsid w:val="001F3934"/>
    <w:rsid w:val="001F6963"/>
    <w:rsid w:val="001F7FC3"/>
    <w:rsid w:val="00200B82"/>
    <w:rsid w:val="00201B09"/>
    <w:rsid w:val="00202422"/>
    <w:rsid w:val="00202AFF"/>
    <w:rsid w:val="00204512"/>
    <w:rsid w:val="00206D7D"/>
    <w:rsid w:val="002106AD"/>
    <w:rsid w:val="00214C9E"/>
    <w:rsid w:val="00215AC5"/>
    <w:rsid w:val="00215DA9"/>
    <w:rsid w:val="002246EF"/>
    <w:rsid w:val="002249CA"/>
    <w:rsid w:val="00231612"/>
    <w:rsid w:val="0023489A"/>
    <w:rsid w:val="002375ED"/>
    <w:rsid w:val="00240066"/>
    <w:rsid w:val="002426C3"/>
    <w:rsid w:val="00243A8E"/>
    <w:rsid w:val="00244F11"/>
    <w:rsid w:val="002512F8"/>
    <w:rsid w:val="00252420"/>
    <w:rsid w:val="00252506"/>
    <w:rsid w:val="00253EF0"/>
    <w:rsid w:val="0025400C"/>
    <w:rsid w:val="002553AC"/>
    <w:rsid w:val="00255663"/>
    <w:rsid w:val="0025783E"/>
    <w:rsid w:val="0026424F"/>
    <w:rsid w:val="00264564"/>
    <w:rsid w:val="00266808"/>
    <w:rsid w:val="002747B3"/>
    <w:rsid w:val="002756B8"/>
    <w:rsid w:val="0027734D"/>
    <w:rsid w:val="00277D1A"/>
    <w:rsid w:val="00280451"/>
    <w:rsid w:val="0028132C"/>
    <w:rsid w:val="00281B3C"/>
    <w:rsid w:val="00282B1D"/>
    <w:rsid w:val="00282D15"/>
    <w:rsid w:val="002852E3"/>
    <w:rsid w:val="002867EA"/>
    <w:rsid w:val="0028697E"/>
    <w:rsid w:val="002875D8"/>
    <w:rsid w:val="00291716"/>
    <w:rsid w:val="002959F3"/>
    <w:rsid w:val="002A5520"/>
    <w:rsid w:val="002B0506"/>
    <w:rsid w:val="002B0C7A"/>
    <w:rsid w:val="002B4F76"/>
    <w:rsid w:val="002B6530"/>
    <w:rsid w:val="002B7D27"/>
    <w:rsid w:val="002C1319"/>
    <w:rsid w:val="002C1C5D"/>
    <w:rsid w:val="002C3700"/>
    <w:rsid w:val="002C4EF3"/>
    <w:rsid w:val="002C566E"/>
    <w:rsid w:val="002C5D19"/>
    <w:rsid w:val="002C697C"/>
    <w:rsid w:val="002D1319"/>
    <w:rsid w:val="002D1796"/>
    <w:rsid w:val="002D52AE"/>
    <w:rsid w:val="002D7D08"/>
    <w:rsid w:val="002E1E26"/>
    <w:rsid w:val="002E4290"/>
    <w:rsid w:val="002E6453"/>
    <w:rsid w:val="002E6BBE"/>
    <w:rsid w:val="002E6C23"/>
    <w:rsid w:val="002E72F4"/>
    <w:rsid w:val="002E7495"/>
    <w:rsid w:val="002E770C"/>
    <w:rsid w:val="002E7C77"/>
    <w:rsid w:val="002F2C6F"/>
    <w:rsid w:val="002F59AF"/>
    <w:rsid w:val="00301152"/>
    <w:rsid w:val="0030156F"/>
    <w:rsid w:val="003023C7"/>
    <w:rsid w:val="00302619"/>
    <w:rsid w:val="00303ECA"/>
    <w:rsid w:val="0030424D"/>
    <w:rsid w:val="0030693A"/>
    <w:rsid w:val="00306E0F"/>
    <w:rsid w:val="00311B1B"/>
    <w:rsid w:val="0031611A"/>
    <w:rsid w:val="00320784"/>
    <w:rsid w:val="00322985"/>
    <w:rsid w:val="003303B3"/>
    <w:rsid w:val="0033292D"/>
    <w:rsid w:val="003350BC"/>
    <w:rsid w:val="0033571D"/>
    <w:rsid w:val="00340ECA"/>
    <w:rsid w:val="0034397E"/>
    <w:rsid w:val="00350924"/>
    <w:rsid w:val="00352C04"/>
    <w:rsid w:val="0035446A"/>
    <w:rsid w:val="00354CA4"/>
    <w:rsid w:val="00356443"/>
    <w:rsid w:val="0035688A"/>
    <w:rsid w:val="00356DE0"/>
    <w:rsid w:val="003616F2"/>
    <w:rsid w:val="003618AE"/>
    <w:rsid w:val="00363588"/>
    <w:rsid w:val="00363CDD"/>
    <w:rsid w:val="003720E6"/>
    <w:rsid w:val="0037237A"/>
    <w:rsid w:val="003734FE"/>
    <w:rsid w:val="00380088"/>
    <w:rsid w:val="00381F65"/>
    <w:rsid w:val="00382564"/>
    <w:rsid w:val="00382DCB"/>
    <w:rsid w:val="00385471"/>
    <w:rsid w:val="00385528"/>
    <w:rsid w:val="00386BAB"/>
    <w:rsid w:val="00387B47"/>
    <w:rsid w:val="00387FB2"/>
    <w:rsid w:val="00392A55"/>
    <w:rsid w:val="00393CCB"/>
    <w:rsid w:val="003954B8"/>
    <w:rsid w:val="00395734"/>
    <w:rsid w:val="00395D3E"/>
    <w:rsid w:val="00395E13"/>
    <w:rsid w:val="003A16CB"/>
    <w:rsid w:val="003A1859"/>
    <w:rsid w:val="003A1A81"/>
    <w:rsid w:val="003A21F0"/>
    <w:rsid w:val="003A3A1A"/>
    <w:rsid w:val="003A7663"/>
    <w:rsid w:val="003B0BF6"/>
    <w:rsid w:val="003B624D"/>
    <w:rsid w:val="003B62EB"/>
    <w:rsid w:val="003B708B"/>
    <w:rsid w:val="003C1A2F"/>
    <w:rsid w:val="003C31A8"/>
    <w:rsid w:val="003D3C82"/>
    <w:rsid w:val="003D3EF2"/>
    <w:rsid w:val="003D4135"/>
    <w:rsid w:val="003E36DD"/>
    <w:rsid w:val="003E5C8D"/>
    <w:rsid w:val="003F011D"/>
    <w:rsid w:val="003F0247"/>
    <w:rsid w:val="003F0320"/>
    <w:rsid w:val="003F54F3"/>
    <w:rsid w:val="003F590E"/>
    <w:rsid w:val="003F6EDE"/>
    <w:rsid w:val="004017FA"/>
    <w:rsid w:val="0040233E"/>
    <w:rsid w:val="00410457"/>
    <w:rsid w:val="00420FBB"/>
    <w:rsid w:val="004210A2"/>
    <w:rsid w:val="00423354"/>
    <w:rsid w:val="004262B5"/>
    <w:rsid w:val="0042638A"/>
    <w:rsid w:val="00426D49"/>
    <w:rsid w:val="0043382D"/>
    <w:rsid w:val="0043427F"/>
    <w:rsid w:val="00435317"/>
    <w:rsid w:val="00435F5E"/>
    <w:rsid w:val="00443B68"/>
    <w:rsid w:val="004441D5"/>
    <w:rsid w:val="00444FC9"/>
    <w:rsid w:val="004456FB"/>
    <w:rsid w:val="004457FF"/>
    <w:rsid w:val="00447165"/>
    <w:rsid w:val="00447D06"/>
    <w:rsid w:val="004504FE"/>
    <w:rsid w:val="00450972"/>
    <w:rsid w:val="00453AA9"/>
    <w:rsid w:val="0045406D"/>
    <w:rsid w:val="004561CC"/>
    <w:rsid w:val="00456DF6"/>
    <w:rsid w:val="00461B52"/>
    <w:rsid w:val="0046225D"/>
    <w:rsid w:val="00463A19"/>
    <w:rsid w:val="004675D3"/>
    <w:rsid w:val="004729B0"/>
    <w:rsid w:val="00472AED"/>
    <w:rsid w:val="00472C0E"/>
    <w:rsid w:val="00472E03"/>
    <w:rsid w:val="00476E2C"/>
    <w:rsid w:val="00481C81"/>
    <w:rsid w:val="004834FD"/>
    <w:rsid w:val="004914EF"/>
    <w:rsid w:val="00491E5F"/>
    <w:rsid w:val="004926E2"/>
    <w:rsid w:val="00493467"/>
    <w:rsid w:val="0049353F"/>
    <w:rsid w:val="004943A1"/>
    <w:rsid w:val="00494BF5"/>
    <w:rsid w:val="00495555"/>
    <w:rsid w:val="00495B6D"/>
    <w:rsid w:val="00495D49"/>
    <w:rsid w:val="00497893"/>
    <w:rsid w:val="004A0C80"/>
    <w:rsid w:val="004A2E84"/>
    <w:rsid w:val="004A5A87"/>
    <w:rsid w:val="004B1DAC"/>
    <w:rsid w:val="004B4F19"/>
    <w:rsid w:val="004B5B9D"/>
    <w:rsid w:val="004B7964"/>
    <w:rsid w:val="004C5DA2"/>
    <w:rsid w:val="004D0548"/>
    <w:rsid w:val="004D543A"/>
    <w:rsid w:val="004D723B"/>
    <w:rsid w:val="004E021C"/>
    <w:rsid w:val="004E0FFD"/>
    <w:rsid w:val="004E1EEC"/>
    <w:rsid w:val="004E50F6"/>
    <w:rsid w:val="004F0104"/>
    <w:rsid w:val="004F0FB4"/>
    <w:rsid w:val="004F3359"/>
    <w:rsid w:val="00500594"/>
    <w:rsid w:val="005014D1"/>
    <w:rsid w:val="00502A03"/>
    <w:rsid w:val="00510866"/>
    <w:rsid w:val="005120DC"/>
    <w:rsid w:val="00512F51"/>
    <w:rsid w:val="0051665A"/>
    <w:rsid w:val="005206AE"/>
    <w:rsid w:val="00523274"/>
    <w:rsid w:val="0052383E"/>
    <w:rsid w:val="00530096"/>
    <w:rsid w:val="00531C65"/>
    <w:rsid w:val="0053237E"/>
    <w:rsid w:val="005334B1"/>
    <w:rsid w:val="0053381C"/>
    <w:rsid w:val="00534616"/>
    <w:rsid w:val="00537319"/>
    <w:rsid w:val="0053745E"/>
    <w:rsid w:val="00540649"/>
    <w:rsid w:val="00540DFB"/>
    <w:rsid w:val="00542257"/>
    <w:rsid w:val="00542F37"/>
    <w:rsid w:val="00546996"/>
    <w:rsid w:val="0055424A"/>
    <w:rsid w:val="00554A45"/>
    <w:rsid w:val="00555578"/>
    <w:rsid w:val="00556EBF"/>
    <w:rsid w:val="0056269C"/>
    <w:rsid w:val="00563982"/>
    <w:rsid w:val="005662D9"/>
    <w:rsid w:val="00567458"/>
    <w:rsid w:val="00570E0E"/>
    <w:rsid w:val="00572737"/>
    <w:rsid w:val="0057509C"/>
    <w:rsid w:val="00576F39"/>
    <w:rsid w:val="00576F77"/>
    <w:rsid w:val="00577AED"/>
    <w:rsid w:val="005829E1"/>
    <w:rsid w:val="00585DED"/>
    <w:rsid w:val="00587397"/>
    <w:rsid w:val="00597BE5"/>
    <w:rsid w:val="005A0791"/>
    <w:rsid w:val="005A1771"/>
    <w:rsid w:val="005A2D11"/>
    <w:rsid w:val="005A3527"/>
    <w:rsid w:val="005A36BF"/>
    <w:rsid w:val="005A4BB1"/>
    <w:rsid w:val="005A4BF5"/>
    <w:rsid w:val="005A77EE"/>
    <w:rsid w:val="005B19E1"/>
    <w:rsid w:val="005B585D"/>
    <w:rsid w:val="005B7E3F"/>
    <w:rsid w:val="005C403F"/>
    <w:rsid w:val="005C4D56"/>
    <w:rsid w:val="005C5EC8"/>
    <w:rsid w:val="005C6149"/>
    <w:rsid w:val="005C708C"/>
    <w:rsid w:val="005C7358"/>
    <w:rsid w:val="005D36C6"/>
    <w:rsid w:val="005D4A4F"/>
    <w:rsid w:val="005E0B8C"/>
    <w:rsid w:val="005E1AA5"/>
    <w:rsid w:val="005E699F"/>
    <w:rsid w:val="005E77AD"/>
    <w:rsid w:val="005F037C"/>
    <w:rsid w:val="005F25F1"/>
    <w:rsid w:val="005F29EC"/>
    <w:rsid w:val="005F6418"/>
    <w:rsid w:val="005F7955"/>
    <w:rsid w:val="00604D5F"/>
    <w:rsid w:val="00604FE9"/>
    <w:rsid w:val="00605E2F"/>
    <w:rsid w:val="00606725"/>
    <w:rsid w:val="0060755E"/>
    <w:rsid w:val="00610202"/>
    <w:rsid w:val="0061075E"/>
    <w:rsid w:val="00614B9A"/>
    <w:rsid w:val="00617427"/>
    <w:rsid w:val="00623ECD"/>
    <w:rsid w:val="006244EC"/>
    <w:rsid w:val="006330EA"/>
    <w:rsid w:val="00636C6F"/>
    <w:rsid w:val="00640844"/>
    <w:rsid w:val="00641534"/>
    <w:rsid w:val="006442FA"/>
    <w:rsid w:val="0065552F"/>
    <w:rsid w:val="00656F9C"/>
    <w:rsid w:val="006575F9"/>
    <w:rsid w:val="00657E1B"/>
    <w:rsid w:val="006630B7"/>
    <w:rsid w:val="0066511C"/>
    <w:rsid w:val="00666304"/>
    <w:rsid w:val="00666626"/>
    <w:rsid w:val="006667AE"/>
    <w:rsid w:val="00667AA4"/>
    <w:rsid w:val="00667E04"/>
    <w:rsid w:val="00672610"/>
    <w:rsid w:val="00676722"/>
    <w:rsid w:val="00676EFA"/>
    <w:rsid w:val="00677583"/>
    <w:rsid w:val="00680B5A"/>
    <w:rsid w:val="00681C76"/>
    <w:rsid w:val="0068394F"/>
    <w:rsid w:val="00686DC3"/>
    <w:rsid w:val="006925A1"/>
    <w:rsid w:val="00692769"/>
    <w:rsid w:val="00693007"/>
    <w:rsid w:val="006960C2"/>
    <w:rsid w:val="006A0444"/>
    <w:rsid w:val="006A3814"/>
    <w:rsid w:val="006A57D4"/>
    <w:rsid w:val="006A67B1"/>
    <w:rsid w:val="006B19A6"/>
    <w:rsid w:val="006C1639"/>
    <w:rsid w:val="006C3221"/>
    <w:rsid w:val="006C34EF"/>
    <w:rsid w:val="006D2933"/>
    <w:rsid w:val="006E031B"/>
    <w:rsid w:val="006E1532"/>
    <w:rsid w:val="006E1C49"/>
    <w:rsid w:val="006E28A5"/>
    <w:rsid w:val="006E5AF2"/>
    <w:rsid w:val="006F18D5"/>
    <w:rsid w:val="006F3629"/>
    <w:rsid w:val="006F3994"/>
    <w:rsid w:val="006F62EE"/>
    <w:rsid w:val="006F6583"/>
    <w:rsid w:val="00701F57"/>
    <w:rsid w:val="00703709"/>
    <w:rsid w:val="00705464"/>
    <w:rsid w:val="00706F67"/>
    <w:rsid w:val="0070707C"/>
    <w:rsid w:val="00707F34"/>
    <w:rsid w:val="00712AF9"/>
    <w:rsid w:val="00717AF5"/>
    <w:rsid w:val="007211B3"/>
    <w:rsid w:val="007232DD"/>
    <w:rsid w:val="00723333"/>
    <w:rsid w:val="00723A08"/>
    <w:rsid w:val="00724448"/>
    <w:rsid w:val="007251C1"/>
    <w:rsid w:val="00726AB4"/>
    <w:rsid w:val="00730373"/>
    <w:rsid w:val="00730748"/>
    <w:rsid w:val="00731743"/>
    <w:rsid w:val="00731A9B"/>
    <w:rsid w:val="00731E77"/>
    <w:rsid w:val="007337DC"/>
    <w:rsid w:val="00734A04"/>
    <w:rsid w:val="007359B3"/>
    <w:rsid w:val="00742F7F"/>
    <w:rsid w:val="00744093"/>
    <w:rsid w:val="00744876"/>
    <w:rsid w:val="00745DCF"/>
    <w:rsid w:val="00750123"/>
    <w:rsid w:val="00751675"/>
    <w:rsid w:val="00752303"/>
    <w:rsid w:val="00755061"/>
    <w:rsid w:val="007571B8"/>
    <w:rsid w:val="007605A6"/>
    <w:rsid w:val="007612C7"/>
    <w:rsid w:val="00761496"/>
    <w:rsid w:val="00762D7A"/>
    <w:rsid w:val="00763AB9"/>
    <w:rsid w:val="00765527"/>
    <w:rsid w:val="00765D80"/>
    <w:rsid w:val="00766734"/>
    <w:rsid w:val="00766EED"/>
    <w:rsid w:val="007672A3"/>
    <w:rsid w:val="00767DDD"/>
    <w:rsid w:val="00775174"/>
    <w:rsid w:val="00777A8A"/>
    <w:rsid w:val="00780B6B"/>
    <w:rsid w:val="00782D21"/>
    <w:rsid w:val="00783DE2"/>
    <w:rsid w:val="00784577"/>
    <w:rsid w:val="0078609E"/>
    <w:rsid w:val="00786992"/>
    <w:rsid w:val="007902D3"/>
    <w:rsid w:val="007974D5"/>
    <w:rsid w:val="00797B72"/>
    <w:rsid w:val="007A1342"/>
    <w:rsid w:val="007A1743"/>
    <w:rsid w:val="007A684A"/>
    <w:rsid w:val="007B06D8"/>
    <w:rsid w:val="007B1D95"/>
    <w:rsid w:val="007B224A"/>
    <w:rsid w:val="007B3D9E"/>
    <w:rsid w:val="007B684F"/>
    <w:rsid w:val="007B7761"/>
    <w:rsid w:val="007C07A4"/>
    <w:rsid w:val="007C63EC"/>
    <w:rsid w:val="007C6B5C"/>
    <w:rsid w:val="007C7542"/>
    <w:rsid w:val="007D0129"/>
    <w:rsid w:val="007D17D7"/>
    <w:rsid w:val="007D2C31"/>
    <w:rsid w:val="007D4408"/>
    <w:rsid w:val="007D44C6"/>
    <w:rsid w:val="007D5651"/>
    <w:rsid w:val="007D5813"/>
    <w:rsid w:val="007D7692"/>
    <w:rsid w:val="007E096F"/>
    <w:rsid w:val="007E1F86"/>
    <w:rsid w:val="007E26D4"/>
    <w:rsid w:val="007E4499"/>
    <w:rsid w:val="007E5582"/>
    <w:rsid w:val="007E6EC4"/>
    <w:rsid w:val="007E784B"/>
    <w:rsid w:val="007F026A"/>
    <w:rsid w:val="007F5B13"/>
    <w:rsid w:val="00800DA5"/>
    <w:rsid w:val="0080177E"/>
    <w:rsid w:val="008033C9"/>
    <w:rsid w:val="0080457E"/>
    <w:rsid w:val="00814337"/>
    <w:rsid w:val="008161C6"/>
    <w:rsid w:val="008179D7"/>
    <w:rsid w:val="008213AD"/>
    <w:rsid w:val="008218E9"/>
    <w:rsid w:val="00823B3F"/>
    <w:rsid w:val="0082506E"/>
    <w:rsid w:val="0082509A"/>
    <w:rsid w:val="0082741E"/>
    <w:rsid w:val="00827F8F"/>
    <w:rsid w:val="00832487"/>
    <w:rsid w:val="0083383A"/>
    <w:rsid w:val="00834CCC"/>
    <w:rsid w:val="00840B4C"/>
    <w:rsid w:val="008414A3"/>
    <w:rsid w:val="00841F97"/>
    <w:rsid w:val="008437B4"/>
    <w:rsid w:val="00844606"/>
    <w:rsid w:val="00847E8B"/>
    <w:rsid w:val="00852557"/>
    <w:rsid w:val="00854EED"/>
    <w:rsid w:val="00857315"/>
    <w:rsid w:val="00861ED1"/>
    <w:rsid w:val="00862A00"/>
    <w:rsid w:val="00864064"/>
    <w:rsid w:val="008716BA"/>
    <w:rsid w:val="00872517"/>
    <w:rsid w:val="0087529D"/>
    <w:rsid w:val="00875738"/>
    <w:rsid w:val="00876A75"/>
    <w:rsid w:val="008776B4"/>
    <w:rsid w:val="00877A0F"/>
    <w:rsid w:val="008803E8"/>
    <w:rsid w:val="008823F6"/>
    <w:rsid w:val="00882F9A"/>
    <w:rsid w:val="008852CB"/>
    <w:rsid w:val="00885696"/>
    <w:rsid w:val="0088645D"/>
    <w:rsid w:val="008869A8"/>
    <w:rsid w:val="00886E1A"/>
    <w:rsid w:val="00893545"/>
    <w:rsid w:val="00895DEE"/>
    <w:rsid w:val="00896950"/>
    <w:rsid w:val="008A0BB5"/>
    <w:rsid w:val="008A2329"/>
    <w:rsid w:val="008A2BA0"/>
    <w:rsid w:val="008A3608"/>
    <w:rsid w:val="008A6D34"/>
    <w:rsid w:val="008A6F07"/>
    <w:rsid w:val="008A7EBF"/>
    <w:rsid w:val="008C127E"/>
    <w:rsid w:val="008C2C84"/>
    <w:rsid w:val="008C54A6"/>
    <w:rsid w:val="008D5CB3"/>
    <w:rsid w:val="008D6DF8"/>
    <w:rsid w:val="008D6E09"/>
    <w:rsid w:val="008E2090"/>
    <w:rsid w:val="008E2C91"/>
    <w:rsid w:val="008E5D57"/>
    <w:rsid w:val="008F0280"/>
    <w:rsid w:val="008F0506"/>
    <w:rsid w:val="008F3326"/>
    <w:rsid w:val="008F35CE"/>
    <w:rsid w:val="008F7061"/>
    <w:rsid w:val="00901B84"/>
    <w:rsid w:val="009052C9"/>
    <w:rsid w:val="00906095"/>
    <w:rsid w:val="00907891"/>
    <w:rsid w:val="00907FF6"/>
    <w:rsid w:val="00911681"/>
    <w:rsid w:val="0091237B"/>
    <w:rsid w:val="00914475"/>
    <w:rsid w:val="00916F9D"/>
    <w:rsid w:val="0092158A"/>
    <w:rsid w:val="00921B31"/>
    <w:rsid w:val="009234C9"/>
    <w:rsid w:val="00926267"/>
    <w:rsid w:val="009322F4"/>
    <w:rsid w:val="009354C2"/>
    <w:rsid w:val="00935592"/>
    <w:rsid w:val="00937667"/>
    <w:rsid w:val="00941AD7"/>
    <w:rsid w:val="009437D1"/>
    <w:rsid w:val="00944A60"/>
    <w:rsid w:val="009450DA"/>
    <w:rsid w:val="009453BC"/>
    <w:rsid w:val="009503C6"/>
    <w:rsid w:val="009543BF"/>
    <w:rsid w:val="009545B4"/>
    <w:rsid w:val="00955701"/>
    <w:rsid w:val="009558F3"/>
    <w:rsid w:val="00961780"/>
    <w:rsid w:val="00962E38"/>
    <w:rsid w:val="00970D3E"/>
    <w:rsid w:val="00972AAC"/>
    <w:rsid w:val="00974075"/>
    <w:rsid w:val="0097498F"/>
    <w:rsid w:val="009766EB"/>
    <w:rsid w:val="009770AA"/>
    <w:rsid w:val="00977FFC"/>
    <w:rsid w:val="00985739"/>
    <w:rsid w:val="00994B07"/>
    <w:rsid w:val="009963AE"/>
    <w:rsid w:val="00996EF5"/>
    <w:rsid w:val="00997F5D"/>
    <w:rsid w:val="009A0F25"/>
    <w:rsid w:val="009A1C9E"/>
    <w:rsid w:val="009A2444"/>
    <w:rsid w:val="009A2AE8"/>
    <w:rsid w:val="009A37C2"/>
    <w:rsid w:val="009A6EC5"/>
    <w:rsid w:val="009A7C54"/>
    <w:rsid w:val="009B0464"/>
    <w:rsid w:val="009B0E7F"/>
    <w:rsid w:val="009B1183"/>
    <w:rsid w:val="009B7AE7"/>
    <w:rsid w:val="009B7D12"/>
    <w:rsid w:val="009C0236"/>
    <w:rsid w:val="009C1EC8"/>
    <w:rsid w:val="009C34B8"/>
    <w:rsid w:val="009C52B0"/>
    <w:rsid w:val="009C5A75"/>
    <w:rsid w:val="009E008B"/>
    <w:rsid w:val="009E0976"/>
    <w:rsid w:val="009E2C52"/>
    <w:rsid w:val="009E3279"/>
    <w:rsid w:val="009E4A13"/>
    <w:rsid w:val="009E74EC"/>
    <w:rsid w:val="009F3051"/>
    <w:rsid w:val="009F64CC"/>
    <w:rsid w:val="009F673C"/>
    <w:rsid w:val="009F6F90"/>
    <w:rsid w:val="009F7845"/>
    <w:rsid w:val="00A050F9"/>
    <w:rsid w:val="00A05180"/>
    <w:rsid w:val="00A0680E"/>
    <w:rsid w:val="00A1021A"/>
    <w:rsid w:val="00A11474"/>
    <w:rsid w:val="00A152AE"/>
    <w:rsid w:val="00A236C8"/>
    <w:rsid w:val="00A2517A"/>
    <w:rsid w:val="00A25B3B"/>
    <w:rsid w:val="00A27804"/>
    <w:rsid w:val="00A30B24"/>
    <w:rsid w:val="00A30BCA"/>
    <w:rsid w:val="00A30DA2"/>
    <w:rsid w:val="00A30DAD"/>
    <w:rsid w:val="00A31D97"/>
    <w:rsid w:val="00A32891"/>
    <w:rsid w:val="00A33A09"/>
    <w:rsid w:val="00A34988"/>
    <w:rsid w:val="00A40C40"/>
    <w:rsid w:val="00A440D3"/>
    <w:rsid w:val="00A45077"/>
    <w:rsid w:val="00A509AD"/>
    <w:rsid w:val="00A51AA5"/>
    <w:rsid w:val="00A54DAC"/>
    <w:rsid w:val="00A54FE6"/>
    <w:rsid w:val="00A5652D"/>
    <w:rsid w:val="00A60B91"/>
    <w:rsid w:val="00A64EF9"/>
    <w:rsid w:val="00A6766F"/>
    <w:rsid w:val="00A67E7C"/>
    <w:rsid w:val="00A70C2E"/>
    <w:rsid w:val="00A717E0"/>
    <w:rsid w:val="00A722CB"/>
    <w:rsid w:val="00A7447E"/>
    <w:rsid w:val="00A75A54"/>
    <w:rsid w:val="00A779A0"/>
    <w:rsid w:val="00A83202"/>
    <w:rsid w:val="00A85234"/>
    <w:rsid w:val="00A878C3"/>
    <w:rsid w:val="00A94540"/>
    <w:rsid w:val="00A94C8B"/>
    <w:rsid w:val="00A96723"/>
    <w:rsid w:val="00AA3A20"/>
    <w:rsid w:val="00AA7390"/>
    <w:rsid w:val="00AB16BD"/>
    <w:rsid w:val="00AB196F"/>
    <w:rsid w:val="00AB1A40"/>
    <w:rsid w:val="00AB2BD5"/>
    <w:rsid w:val="00AB4491"/>
    <w:rsid w:val="00AB53F7"/>
    <w:rsid w:val="00AB60D7"/>
    <w:rsid w:val="00AC060A"/>
    <w:rsid w:val="00AC1654"/>
    <w:rsid w:val="00AC4D29"/>
    <w:rsid w:val="00AD291A"/>
    <w:rsid w:val="00AD2FFD"/>
    <w:rsid w:val="00AD5047"/>
    <w:rsid w:val="00AD75AA"/>
    <w:rsid w:val="00AD793C"/>
    <w:rsid w:val="00AE12C7"/>
    <w:rsid w:val="00AE217F"/>
    <w:rsid w:val="00AE2AF2"/>
    <w:rsid w:val="00AE457D"/>
    <w:rsid w:val="00AE51BD"/>
    <w:rsid w:val="00AE55C0"/>
    <w:rsid w:val="00AE617C"/>
    <w:rsid w:val="00AE7F24"/>
    <w:rsid w:val="00AF0A6E"/>
    <w:rsid w:val="00AF1D9D"/>
    <w:rsid w:val="00AF3D5C"/>
    <w:rsid w:val="00AF59E1"/>
    <w:rsid w:val="00AF6DFA"/>
    <w:rsid w:val="00B00791"/>
    <w:rsid w:val="00B04AF1"/>
    <w:rsid w:val="00B06834"/>
    <w:rsid w:val="00B070B7"/>
    <w:rsid w:val="00B072C8"/>
    <w:rsid w:val="00B1065D"/>
    <w:rsid w:val="00B118F2"/>
    <w:rsid w:val="00B13E21"/>
    <w:rsid w:val="00B155E6"/>
    <w:rsid w:val="00B16BCF"/>
    <w:rsid w:val="00B22A30"/>
    <w:rsid w:val="00B2403C"/>
    <w:rsid w:val="00B2426B"/>
    <w:rsid w:val="00B2426C"/>
    <w:rsid w:val="00B27C35"/>
    <w:rsid w:val="00B30196"/>
    <w:rsid w:val="00B352A4"/>
    <w:rsid w:val="00B3544A"/>
    <w:rsid w:val="00B422FF"/>
    <w:rsid w:val="00B44677"/>
    <w:rsid w:val="00B44954"/>
    <w:rsid w:val="00B46D7E"/>
    <w:rsid w:val="00B47977"/>
    <w:rsid w:val="00B560F6"/>
    <w:rsid w:val="00B616A2"/>
    <w:rsid w:val="00B61DED"/>
    <w:rsid w:val="00B634C9"/>
    <w:rsid w:val="00B63C36"/>
    <w:rsid w:val="00B65B55"/>
    <w:rsid w:val="00B67DE3"/>
    <w:rsid w:val="00B70C77"/>
    <w:rsid w:val="00B70FC9"/>
    <w:rsid w:val="00B763F1"/>
    <w:rsid w:val="00B76E3E"/>
    <w:rsid w:val="00B77873"/>
    <w:rsid w:val="00B802A1"/>
    <w:rsid w:val="00B8043A"/>
    <w:rsid w:val="00B84CED"/>
    <w:rsid w:val="00B86965"/>
    <w:rsid w:val="00B86AA8"/>
    <w:rsid w:val="00B923EE"/>
    <w:rsid w:val="00B92935"/>
    <w:rsid w:val="00B94EA8"/>
    <w:rsid w:val="00B95043"/>
    <w:rsid w:val="00BA0F4B"/>
    <w:rsid w:val="00BA0FE6"/>
    <w:rsid w:val="00BA1434"/>
    <w:rsid w:val="00BA23E3"/>
    <w:rsid w:val="00BA3D29"/>
    <w:rsid w:val="00BA4324"/>
    <w:rsid w:val="00BA6703"/>
    <w:rsid w:val="00BA6E17"/>
    <w:rsid w:val="00BB0BA5"/>
    <w:rsid w:val="00BB272B"/>
    <w:rsid w:val="00BB5AB5"/>
    <w:rsid w:val="00BB7AC9"/>
    <w:rsid w:val="00BC02B9"/>
    <w:rsid w:val="00BD2B87"/>
    <w:rsid w:val="00BD33D5"/>
    <w:rsid w:val="00BD38C9"/>
    <w:rsid w:val="00BD6329"/>
    <w:rsid w:val="00BD64F5"/>
    <w:rsid w:val="00BD6604"/>
    <w:rsid w:val="00BD7383"/>
    <w:rsid w:val="00BE0FDE"/>
    <w:rsid w:val="00BE140B"/>
    <w:rsid w:val="00BE4D6D"/>
    <w:rsid w:val="00BE5080"/>
    <w:rsid w:val="00BF0F1A"/>
    <w:rsid w:val="00BF2DF8"/>
    <w:rsid w:val="00BF4F90"/>
    <w:rsid w:val="00BF719A"/>
    <w:rsid w:val="00C0003C"/>
    <w:rsid w:val="00C014F6"/>
    <w:rsid w:val="00C01DA2"/>
    <w:rsid w:val="00C03015"/>
    <w:rsid w:val="00C04438"/>
    <w:rsid w:val="00C04BFE"/>
    <w:rsid w:val="00C06C1B"/>
    <w:rsid w:val="00C07E8D"/>
    <w:rsid w:val="00C114C1"/>
    <w:rsid w:val="00C11B80"/>
    <w:rsid w:val="00C16CFA"/>
    <w:rsid w:val="00C20D04"/>
    <w:rsid w:val="00C21D9F"/>
    <w:rsid w:val="00C22E39"/>
    <w:rsid w:val="00C23226"/>
    <w:rsid w:val="00C2391F"/>
    <w:rsid w:val="00C315B9"/>
    <w:rsid w:val="00C31BFE"/>
    <w:rsid w:val="00C325B1"/>
    <w:rsid w:val="00C32BF6"/>
    <w:rsid w:val="00C34176"/>
    <w:rsid w:val="00C35CF5"/>
    <w:rsid w:val="00C360CF"/>
    <w:rsid w:val="00C367F9"/>
    <w:rsid w:val="00C4261F"/>
    <w:rsid w:val="00C45720"/>
    <w:rsid w:val="00C5256F"/>
    <w:rsid w:val="00C54098"/>
    <w:rsid w:val="00C574CB"/>
    <w:rsid w:val="00C608E1"/>
    <w:rsid w:val="00C63241"/>
    <w:rsid w:val="00C633E6"/>
    <w:rsid w:val="00C658BA"/>
    <w:rsid w:val="00C66527"/>
    <w:rsid w:val="00C66B86"/>
    <w:rsid w:val="00C673F9"/>
    <w:rsid w:val="00C67E23"/>
    <w:rsid w:val="00C716DB"/>
    <w:rsid w:val="00C72A7C"/>
    <w:rsid w:val="00C7399D"/>
    <w:rsid w:val="00C7403C"/>
    <w:rsid w:val="00C7695A"/>
    <w:rsid w:val="00C7728C"/>
    <w:rsid w:val="00C802C1"/>
    <w:rsid w:val="00C822C2"/>
    <w:rsid w:val="00C83E3A"/>
    <w:rsid w:val="00C84FDA"/>
    <w:rsid w:val="00C86407"/>
    <w:rsid w:val="00C9149E"/>
    <w:rsid w:val="00C948F4"/>
    <w:rsid w:val="00C95242"/>
    <w:rsid w:val="00C966FA"/>
    <w:rsid w:val="00C96AD2"/>
    <w:rsid w:val="00CA199C"/>
    <w:rsid w:val="00CA4DFC"/>
    <w:rsid w:val="00CB1209"/>
    <w:rsid w:val="00CB30ED"/>
    <w:rsid w:val="00CB3BBD"/>
    <w:rsid w:val="00CB7B52"/>
    <w:rsid w:val="00CC2BB7"/>
    <w:rsid w:val="00CD15EA"/>
    <w:rsid w:val="00CD24EE"/>
    <w:rsid w:val="00CD2859"/>
    <w:rsid w:val="00CD457B"/>
    <w:rsid w:val="00CD5047"/>
    <w:rsid w:val="00CE0BFD"/>
    <w:rsid w:val="00CE4DE3"/>
    <w:rsid w:val="00CE5A75"/>
    <w:rsid w:val="00CF15D4"/>
    <w:rsid w:val="00CF1F17"/>
    <w:rsid w:val="00CF59F1"/>
    <w:rsid w:val="00CF5B8D"/>
    <w:rsid w:val="00D00F19"/>
    <w:rsid w:val="00D00F99"/>
    <w:rsid w:val="00D026CF"/>
    <w:rsid w:val="00D030A0"/>
    <w:rsid w:val="00D1062D"/>
    <w:rsid w:val="00D13958"/>
    <w:rsid w:val="00D15898"/>
    <w:rsid w:val="00D16769"/>
    <w:rsid w:val="00D1697D"/>
    <w:rsid w:val="00D169AE"/>
    <w:rsid w:val="00D17C3F"/>
    <w:rsid w:val="00D22B76"/>
    <w:rsid w:val="00D2376A"/>
    <w:rsid w:val="00D24990"/>
    <w:rsid w:val="00D258EC"/>
    <w:rsid w:val="00D25FF9"/>
    <w:rsid w:val="00D27403"/>
    <w:rsid w:val="00D305C0"/>
    <w:rsid w:val="00D3301D"/>
    <w:rsid w:val="00D35EEF"/>
    <w:rsid w:val="00D35FEF"/>
    <w:rsid w:val="00D3723A"/>
    <w:rsid w:val="00D405E9"/>
    <w:rsid w:val="00D43BC8"/>
    <w:rsid w:val="00D440AB"/>
    <w:rsid w:val="00D463C2"/>
    <w:rsid w:val="00D5082E"/>
    <w:rsid w:val="00D54904"/>
    <w:rsid w:val="00D54FA2"/>
    <w:rsid w:val="00D55555"/>
    <w:rsid w:val="00D55B21"/>
    <w:rsid w:val="00D566A9"/>
    <w:rsid w:val="00D56886"/>
    <w:rsid w:val="00D615FF"/>
    <w:rsid w:val="00D67F2F"/>
    <w:rsid w:val="00D73C44"/>
    <w:rsid w:val="00D807B7"/>
    <w:rsid w:val="00D811FB"/>
    <w:rsid w:val="00D8140E"/>
    <w:rsid w:val="00D81EC6"/>
    <w:rsid w:val="00D83AF9"/>
    <w:rsid w:val="00D85C63"/>
    <w:rsid w:val="00D906A2"/>
    <w:rsid w:val="00D920A6"/>
    <w:rsid w:val="00D93E04"/>
    <w:rsid w:val="00DA0D86"/>
    <w:rsid w:val="00DA12E3"/>
    <w:rsid w:val="00DA2267"/>
    <w:rsid w:val="00DA455A"/>
    <w:rsid w:val="00DA7990"/>
    <w:rsid w:val="00DB292C"/>
    <w:rsid w:val="00DB3338"/>
    <w:rsid w:val="00DB674A"/>
    <w:rsid w:val="00DB7789"/>
    <w:rsid w:val="00DC034C"/>
    <w:rsid w:val="00DC0BA9"/>
    <w:rsid w:val="00DC1EE7"/>
    <w:rsid w:val="00DC2CE0"/>
    <w:rsid w:val="00DC2ED9"/>
    <w:rsid w:val="00DC30CC"/>
    <w:rsid w:val="00DC3B28"/>
    <w:rsid w:val="00DC3F09"/>
    <w:rsid w:val="00DC49B5"/>
    <w:rsid w:val="00DD2C64"/>
    <w:rsid w:val="00DD5B6C"/>
    <w:rsid w:val="00DD6F64"/>
    <w:rsid w:val="00DD7707"/>
    <w:rsid w:val="00DE0986"/>
    <w:rsid w:val="00DE3E2B"/>
    <w:rsid w:val="00DE4B34"/>
    <w:rsid w:val="00DE635F"/>
    <w:rsid w:val="00DF0B39"/>
    <w:rsid w:val="00DF0CB9"/>
    <w:rsid w:val="00DF27A5"/>
    <w:rsid w:val="00DF5DDB"/>
    <w:rsid w:val="00DF5F91"/>
    <w:rsid w:val="00E00111"/>
    <w:rsid w:val="00E00CA0"/>
    <w:rsid w:val="00E04992"/>
    <w:rsid w:val="00E04CFE"/>
    <w:rsid w:val="00E14A60"/>
    <w:rsid w:val="00E14F22"/>
    <w:rsid w:val="00E15000"/>
    <w:rsid w:val="00E15310"/>
    <w:rsid w:val="00E16A64"/>
    <w:rsid w:val="00E20B75"/>
    <w:rsid w:val="00E20FBE"/>
    <w:rsid w:val="00E24691"/>
    <w:rsid w:val="00E358A2"/>
    <w:rsid w:val="00E408C4"/>
    <w:rsid w:val="00E44066"/>
    <w:rsid w:val="00E524EF"/>
    <w:rsid w:val="00E54A4F"/>
    <w:rsid w:val="00E7242E"/>
    <w:rsid w:val="00E75A6B"/>
    <w:rsid w:val="00E7774A"/>
    <w:rsid w:val="00E83304"/>
    <w:rsid w:val="00E83E2E"/>
    <w:rsid w:val="00E87CDF"/>
    <w:rsid w:val="00E90048"/>
    <w:rsid w:val="00E9151D"/>
    <w:rsid w:val="00E9182F"/>
    <w:rsid w:val="00E92139"/>
    <w:rsid w:val="00E93235"/>
    <w:rsid w:val="00E93B37"/>
    <w:rsid w:val="00E97212"/>
    <w:rsid w:val="00E976C5"/>
    <w:rsid w:val="00E9773F"/>
    <w:rsid w:val="00EA16E2"/>
    <w:rsid w:val="00EA2A52"/>
    <w:rsid w:val="00EA3583"/>
    <w:rsid w:val="00EA3B0E"/>
    <w:rsid w:val="00EA4503"/>
    <w:rsid w:val="00EA6359"/>
    <w:rsid w:val="00EA6E44"/>
    <w:rsid w:val="00EB1B62"/>
    <w:rsid w:val="00EB1D78"/>
    <w:rsid w:val="00EB2E2E"/>
    <w:rsid w:val="00EB6D73"/>
    <w:rsid w:val="00EC0650"/>
    <w:rsid w:val="00EC39CD"/>
    <w:rsid w:val="00EC6E3A"/>
    <w:rsid w:val="00ED6214"/>
    <w:rsid w:val="00ED7C7F"/>
    <w:rsid w:val="00EE1A9E"/>
    <w:rsid w:val="00EE375B"/>
    <w:rsid w:val="00EE4898"/>
    <w:rsid w:val="00EE57DA"/>
    <w:rsid w:val="00EE6EE7"/>
    <w:rsid w:val="00EF07EC"/>
    <w:rsid w:val="00EF38D3"/>
    <w:rsid w:val="00EF79E4"/>
    <w:rsid w:val="00F00411"/>
    <w:rsid w:val="00F01675"/>
    <w:rsid w:val="00F061DD"/>
    <w:rsid w:val="00F117A6"/>
    <w:rsid w:val="00F11FC1"/>
    <w:rsid w:val="00F12F8F"/>
    <w:rsid w:val="00F13C63"/>
    <w:rsid w:val="00F158AD"/>
    <w:rsid w:val="00F20575"/>
    <w:rsid w:val="00F20C03"/>
    <w:rsid w:val="00F213A1"/>
    <w:rsid w:val="00F23BB5"/>
    <w:rsid w:val="00F2787D"/>
    <w:rsid w:val="00F30BE7"/>
    <w:rsid w:val="00F31058"/>
    <w:rsid w:val="00F32664"/>
    <w:rsid w:val="00F331BD"/>
    <w:rsid w:val="00F33561"/>
    <w:rsid w:val="00F3701F"/>
    <w:rsid w:val="00F37057"/>
    <w:rsid w:val="00F3723D"/>
    <w:rsid w:val="00F37FCB"/>
    <w:rsid w:val="00F41D1B"/>
    <w:rsid w:val="00F476DC"/>
    <w:rsid w:val="00F50502"/>
    <w:rsid w:val="00F518C5"/>
    <w:rsid w:val="00F5585D"/>
    <w:rsid w:val="00F5769D"/>
    <w:rsid w:val="00F57DE2"/>
    <w:rsid w:val="00F60EBC"/>
    <w:rsid w:val="00F610F0"/>
    <w:rsid w:val="00F702D6"/>
    <w:rsid w:val="00F730B3"/>
    <w:rsid w:val="00F74BEB"/>
    <w:rsid w:val="00F81044"/>
    <w:rsid w:val="00F816D2"/>
    <w:rsid w:val="00F82C2A"/>
    <w:rsid w:val="00F840E4"/>
    <w:rsid w:val="00F854B1"/>
    <w:rsid w:val="00F8682C"/>
    <w:rsid w:val="00F9087D"/>
    <w:rsid w:val="00F910F7"/>
    <w:rsid w:val="00F95625"/>
    <w:rsid w:val="00F96041"/>
    <w:rsid w:val="00F9624D"/>
    <w:rsid w:val="00F97367"/>
    <w:rsid w:val="00FA3139"/>
    <w:rsid w:val="00FA69A4"/>
    <w:rsid w:val="00FA7419"/>
    <w:rsid w:val="00FB0F43"/>
    <w:rsid w:val="00FB47F9"/>
    <w:rsid w:val="00FB561E"/>
    <w:rsid w:val="00FB7636"/>
    <w:rsid w:val="00FB781F"/>
    <w:rsid w:val="00FB7CBD"/>
    <w:rsid w:val="00FD169E"/>
    <w:rsid w:val="00FD6DC4"/>
    <w:rsid w:val="00FE29C5"/>
    <w:rsid w:val="00FE2EBA"/>
    <w:rsid w:val="00FE6E2A"/>
    <w:rsid w:val="00FF24AB"/>
    <w:rsid w:val="00FF294E"/>
    <w:rsid w:val="00FF3034"/>
    <w:rsid w:val="00FF3850"/>
    <w:rsid w:val="00FF447F"/>
    <w:rsid w:val="00FF5F21"/>
    <w:rsid w:val="00FF6249"/>
    <w:rsid w:val="00FF6CD1"/>
    <w:rsid w:val="00FF74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7FF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uiPriority w:val="99"/>
    <w:qFormat/>
    <w:rsid w:val="00623ECD"/>
    <w:pPr>
      <w:keepNext/>
      <w:keepLines/>
      <w:widowControl/>
      <w:numPr>
        <w:numId w:val="12"/>
      </w:numPr>
      <w:spacing w:after="260"/>
      <w:outlineLvl w:val="0"/>
    </w:pPr>
    <w:rPr>
      <w:b/>
      <w:bCs/>
      <w:kern w:val="32"/>
      <w:szCs w:val="32"/>
      <w:u w:val="single"/>
    </w:rPr>
  </w:style>
  <w:style w:type="paragraph" w:styleId="Heading2">
    <w:name w:val="heading 2"/>
    <w:basedOn w:val="Normal"/>
    <w:next w:val="FERCparanumber"/>
    <w:uiPriority w:val="99"/>
    <w:qFormat/>
    <w:rsid w:val="00623ECD"/>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FERCparanumber"/>
    <w:uiPriority w:val="99"/>
    <w:qFormat/>
    <w:rsid w:val="00623ECD"/>
    <w:pPr>
      <w:keepNext/>
      <w:keepLines/>
      <w:widowControl/>
      <w:numPr>
        <w:ilvl w:val="2"/>
        <w:numId w:val="12"/>
      </w:numPr>
      <w:spacing w:after="260"/>
      <w:outlineLvl w:val="2"/>
    </w:pPr>
    <w:rPr>
      <w:b/>
      <w:bCs/>
      <w:kern w:val="32"/>
      <w:szCs w:val="26"/>
      <w:u w:val="single"/>
    </w:rPr>
  </w:style>
  <w:style w:type="paragraph" w:styleId="Heading4">
    <w:name w:val="heading 4"/>
    <w:basedOn w:val="Normal"/>
    <w:next w:val="FERCparanumber"/>
    <w:uiPriority w:val="99"/>
    <w:qFormat/>
    <w:rsid w:val="00623ECD"/>
    <w:pPr>
      <w:keepNext/>
      <w:keepLines/>
      <w:widowControl/>
      <w:numPr>
        <w:ilvl w:val="3"/>
        <w:numId w:val="12"/>
      </w:numPr>
      <w:spacing w:after="260"/>
      <w:outlineLvl w:val="3"/>
    </w:pPr>
    <w:rPr>
      <w:b/>
      <w:bCs/>
      <w:kern w:val="32"/>
      <w:szCs w:val="28"/>
      <w:u w:val="single"/>
    </w:rPr>
  </w:style>
  <w:style w:type="paragraph" w:styleId="Heading5">
    <w:name w:val="heading 5"/>
    <w:basedOn w:val="Normal"/>
    <w:next w:val="FERCparanumber"/>
    <w:qFormat/>
    <w:rsid w:val="00623ECD"/>
    <w:pPr>
      <w:keepNext/>
      <w:keepLines/>
      <w:widowControl/>
      <w:numPr>
        <w:ilvl w:val="4"/>
        <w:numId w:val="12"/>
      </w:numPr>
      <w:spacing w:after="260"/>
      <w:outlineLvl w:val="4"/>
    </w:pPr>
    <w:rPr>
      <w:b/>
      <w:bCs/>
      <w:iCs/>
      <w:kern w:val="32"/>
      <w:szCs w:val="26"/>
      <w:u w:val="single"/>
    </w:rPr>
  </w:style>
  <w:style w:type="paragraph" w:styleId="Heading6">
    <w:name w:val="heading 6"/>
    <w:basedOn w:val="Normal"/>
    <w:next w:val="FERCparanumber"/>
    <w:qFormat/>
    <w:rsid w:val="00623ECD"/>
    <w:pPr>
      <w:keepNext/>
      <w:keepLines/>
      <w:widowControl/>
      <w:numPr>
        <w:ilvl w:val="5"/>
        <w:numId w:val="12"/>
      </w:numPr>
      <w:spacing w:after="260"/>
      <w:outlineLvl w:val="5"/>
    </w:pPr>
    <w:rPr>
      <w:b/>
      <w:bCs/>
      <w:kern w:val="32"/>
      <w:szCs w:val="22"/>
      <w:u w:val="single"/>
    </w:rPr>
  </w:style>
  <w:style w:type="paragraph" w:styleId="Heading7">
    <w:name w:val="heading 7"/>
    <w:basedOn w:val="Normal"/>
    <w:next w:val="FERCparanumber"/>
    <w:uiPriority w:val="99"/>
    <w:qFormat/>
    <w:rsid w:val="00623ECD"/>
    <w:pPr>
      <w:keepNext/>
      <w:keepLines/>
      <w:widowControl/>
      <w:numPr>
        <w:ilvl w:val="6"/>
        <w:numId w:val="12"/>
      </w:numPr>
      <w:spacing w:after="260"/>
      <w:outlineLvl w:val="6"/>
    </w:pPr>
    <w:rPr>
      <w:b/>
      <w:kern w:val="32"/>
      <w:u w:val="single"/>
    </w:rPr>
  </w:style>
  <w:style w:type="paragraph" w:styleId="Heading8">
    <w:name w:val="heading 8"/>
    <w:basedOn w:val="Normal"/>
    <w:next w:val="FERCparanumber"/>
    <w:uiPriority w:val="99"/>
    <w:qFormat/>
    <w:rsid w:val="00623ECD"/>
    <w:pPr>
      <w:keepNext/>
      <w:keepLines/>
      <w:widowControl/>
      <w:numPr>
        <w:ilvl w:val="7"/>
        <w:numId w:val="12"/>
      </w:numPr>
      <w:spacing w:after="260"/>
      <w:outlineLvl w:val="7"/>
    </w:pPr>
    <w:rPr>
      <w:b/>
      <w:iCs/>
      <w:kern w:val="32"/>
      <w:u w:val="single"/>
    </w:rPr>
  </w:style>
  <w:style w:type="paragraph" w:styleId="Heading9">
    <w:name w:val="heading 9"/>
    <w:basedOn w:val="Normal"/>
    <w:next w:val="FERCparanumber"/>
    <w:uiPriority w:val="99"/>
    <w:qFormat/>
    <w:rsid w:val="00623ECD"/>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qFormat/>
    <w:rsid w:val="00301152"/>
    <w:pPr>
      <w:spacing w:after="260"/>
      <w:ind w:firstLine="720"/>
    </w:pPr>
    <w:rPr>
      <w:szCs w:val="20"/>
    </w:rPr>
  </w:style>
  <w:style w:type="character" w:customStyle="1" w:styleId="12">
    <w:name w:val="12"/>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uiPriority w:val="1"/>
    <w:qFormat/>
    <w:rsid w:val="00301152"/>
    <w:pPr>
      <w:spacing w:after="120"/>
    </w:pPr>
  </w:style>
  <w:style w:type="character" w:customStyle="1" w:styleId="BodyTextChar">
    <w:name w:val="Body Text Char"/>
    <w:basedOn w:val="DefaultParagraphFont"/>
    <w:link w:val="BodyText"/>
    <w:uiPriority w:val="99"/>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1A509E"/>
    <w:pPr>
      <w:widowControl/>
      <w:numPr>
        <w:numId w:val="1"/>
      </w:numPr>
      <w:spacing w:after="240"/>
    </w:pPr>
  </w:style>
  <w:style w:type="character" w:customStyle="1" w:styleId="11">
    <w:name w:val="11"/>
    <w:basedOn w:val="DefaultParagraphFont"/>
    <w:rsid w:val="001A509E"/>
    <w:rPr>
      <w:b/>
      <w:bCs/>
      <w:kern w:val="32"/>
      <w:sz w:val="26"/>
      <w:szCs w:val="32"/>
      <w:u w:val="single"/>
      <w:lang w:bidi="ar-SA"/>
    </w:rPr>
  </w:style>
  <w:style w:type="character" w:customStyle="1" w:styleId="10">
    <w:name w:val="10"/>
    <w:basedOn w:val="DefaultParagraphFont"/>
    <w:rsid w:val="001A509E"/>
    <w:rPr>
      <w:b/>
      <w:bCs/>
      <w:iCs/>
      <w:kern w:val="32"/>
      <w:sz w:val="26"/>
      <w:szCs w:val="28"/>
      <w:u w:val="single"/>
      <w:lang w:bidi="ar-SA"/>
    </w:rPr>
  </w:style>
  <w:style w:type="character" w:customStyle="1" w:styleId="9">
    <w:name w:val="9"/>
    <w:basedOn w:val="DefaultParagraphFont"/>
    <w:rsid w:val="001A509E"/>
    <w:rPr>
      <w:b/>
      <w:bCs/>
      <w:kern w:val="32"/>
      <w:sz w:val="26"/>
      <w:szCs w:val="26"/>
      <w:u w:val="single"/>
      <w:lang w:bidi="ar-SA"/>
    </w:rPr>
  </w:style>
  <w:style w:type="character" w:customStyle="1" w:styleId="8">
    <w:name w:val="8"/>
    <w:basedOn w:val="DefaultParagraphFont"/>
    <w:rsid w:val="001A509E"/>
    <w:rPr>
      <w:b/>
      <w:bCs/>
      <w:kern w:val="32"/>
      <w:sz w:val="26"/>
      <w:szCs w:val="28"/>
      <w:u w:val="single"/>
      <w:lang w:bidi="ar-SA"/>
    </w:rPr>
  </w:style>
  <w:style w:type="character" w:customStyle="1" w:styleId="7">
    <w:name w:val="7"/>
    <w:basedOn w:val="DefaultParagraphFont"/>
    <w:rsid w:val="001A509E"/>
    <w:rPr>
      <w:b/>
      <w:bCs/>
      <w:iCs/>
      <w:kern w:val="32"/>
      <w:sz w:val="26"/>
      <w:szCs w:val="26"/>
      <w:u w:val="single"/>
      <w:lang w:bidi="ar-SA"/>
    </w:rPr>
  </w:style>
  <w:style w:type="character" w:customStyle="1" w:styleId="6">
    <w:name w:val="6"/>
    <w:basedOn w:val="DefaultParagraphFont"/>
    <w:rsid w:val="001A509E"/>
    <w:rPr>
      <w:b/>
      <w:bCs/>
      <w:kern w:val="32"/>
      <w:sz w:val="26"/>
      <w:szCs w:val="22"/>
      <w:u w:val="single"/>
      <w:lang w:bidi="ar-SA"/>
    </w:rPr>
  </w:style>
  <w:style w:type="character" w:customStyle="1" w:styleId="5">
    <w:name w:val="5"/>
    <w:basedOn w:val="DefaultParagraphFont"/>
    <w:rsid w:val="001A509E"/>
    <w:rPr>
      <w:b/>
      <w:kern w:val="32"/>
      <w:sz w:val="26"/>
      <w:szCs w:val="24"/>
      <w:u w:val="single"/>
      <w:lang w:bidi="ar-SA"/>
    </w:rPr>
  </w:style>
  <w:style w:type="character" w:customStyle="1" w:styleId="4">
    <w:name w:val="4"/>
    <w:basedOn w:val="DefaultParagraphFont"/>
    <w:rsid w:val="001A509E"/>
    <w:rPr>
      <w:b/>
      <w:iCs/>
      <w:kern w:val="32"/>
      <w:sz w:val="26"/>
      <w:szCs w:val="24"/>
      <w:u w:val="single"/>
      <w:lang w:bidi="ar-SA"/>
    </w:rPr>
  </w:style>
  <w:style w:type="character" w:customStyle="1" w:styleId="3">
    <w:name w:val="3"/>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2">
    <w:name w:val="2"/>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1">
    <w:name w:val="1"/>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uiPriority w:val="99"/>
    <w:rsid w:val="00623ECD"/>
    <w:rPr>
      <w:b/>
      <w:bCs/>
      <w:kern w:val="32"/>
      <w:sz w:val="26"/>
      <w:szCs w:val="32"/>
      <w:u w:val="single"/>
      <w:lang w:bidi="ar-SA"/>
    </w:rPr>
  </w:style>
  <w:style w:type="character" w:customStyle="1" w:styleId="FooterChar">
    <w:name w:val="Footer Char"/>
    <w:basedOn w:val="DefaultParagraphFont"/>
    <w:link w:val="Footer"/>
    <w:rsid w:val="00D55555"/>
    <w:rPr>
      <w:sz w:val="26"/>
      <w:szCs w:val="24"/>
      <w:lang w:bidi="ar-SA"/>
    </w:rPr>
  </w:style>
  <w:style w:type="character" w:customStyle="1" w:styleId="FERCparanumberChar">
    <w:name w:val="FERC paranumber Char"/>
    <w:link w:val="FERCparanumber"/>
    <w:rsid w:val="004B1DAC"/>
    <w:rPr>
      <w:sz w:val="26"/>
      <w:szCs w:val="24"/>
      <w:lang w:bidi="ar-SA"/>
    </w:rPr>
  </w:style>
  <w:style w:type="character" w:styleId="CommentReference">
    <w:name w:val="annotation reference"/>
    <w:basedOn w:val="DefaultParagraphFont"/>
    <w:uiPriority w:val="99"/>
    <w:semiHidden/>
    <w:unhideWhenUsed/>
    <w:rsid w:val="00382D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02200">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A5034E4368AB458EB9A7FEEF2CDABF" ma:contentTypeVersion="119" ma:contentTypeDescription="" ma:contentTypeScope="" ma:versionID="08233f5fc00f8706ab727a61e29c0d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Special Presentation</CaseType>
    <IndustryCode xmlns="dc463f71-b30c-4ab2-9473-d307f9d35888">140</IndustryCode>
    <CaseStatus xmlns="dc463f71-b30c-4ab2-9473-d307f9d35888">Closed</CaseStatus>
    <OpenedDate xmlns="dc463f71-b30c-4ab2-9473-d307f9d35888">2015-07-13T07:00:00+00:00</OpenedDate>
    <Date1 xmlns="dc463f71-b30c-4ab2-9473-d307f9d35888">2016-10-04T07:00:00+00:00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151425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F7F711-E516-4BC0-9222-BE122100D9CC}"/>
</file>

<file path=customXml/itemProps2.xml><?xml version="1.0" encoding="utf-8"?>
<ds:datastoreItem xmlns:ds="http://schemas.openxmlformats.org/officeDocument/2006/customXml" ds:itemID="{E7EB94D3-41E2-4D38-BB20-9BECCECFF6F4}">
  <ds:schemaRefs>
    <ds:schemaRef ds:uri="http://schemas.microsoft.com/sharepoint/v3/contenttype/forms"/>
  </ds:schemaRefs>
</ds:datastoreItem>
</file>

<file path=customXml/itemProps3.xml><?xml version="1.0" encoding="utf-8"?>
<ds:datastoreItem xmlns:ds="http://schemas.openxmlformats.org/officeDocument/2006/customXml" ds:itemID="{09E6BE2D-D60C-4E25-998D-B71B6B42149C}">
  <ds:schemaRef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6a7bd91e-004b-490a-8704-e368d63d59a0"/>
    <ds:schemaRef ds:uri="http://purl.org/dc/elements/1.1/"/>
  </ds:schemaRefs>
</ds:datastoreItem>
</file>

<file path=customXml/itemProps4.xml><?xml version="1.0" encoding="utf-8"?>
<ds:datastoreItem xmlns:ds="http://schemas.openxmlformats.org/officeDocument/2006/customXml" ds:itemID="{63863992-5F14-452B-9DAF-7993DD621BD3}">
  <ds:schemaRefs>
    <ds:schemaRef ds:uri="http://schemas.openxmlformats.org/officeDocument/2006/bibliography"/>
  </ds:schemaRefs>
</ds:datastoreItem>
</file>

<file path=customXml/itemProps5.xml><?xml version="1.0" encoding="utf-8"?>
<ds:datastoreItem xmlns:ds="http://schemas.openxmlformats.org/officeDocument/2006/customXml" ds:itemID="{A51F415A-22C1-4692-84B2-E63B694FFCE1}"/>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2016-10-05T15:38:00Z</dcterms:created>
  <dcterms:modified xsi:type="dcterms:W3CDTF">2016-10-05T15:38:00Z</dcterms:modified>
  <dc:identifier/>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0x0101006E56B4D1795A2E4DB2F0B01679ED314A0016A5034E4368AB458EB9A7FEEF2CDABF</vt:lpwstr>
  </property>
  <property fmtid="{D5CDD505-2E9C-101B-9397-08002B2CF9AE}" pid="3" name="_docset_NoMedatataSyncRequired">
    <vt:lpwstr>False</vt:lpwstr>
  </property>
</Properties>
</file>