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3E" w:rsidRPr="00D87B2F" w:rsidRDefault="006E663E" w:rsidP="00E61CF5">
      <w:pPr>
        <w:pStyle w:val="NoSpacing"/>
      </w:pPr>
    </w:p>
    <w:p w:rsidR="006E663E" w:rsidRPr="00D87B2F" w:rsidRDefault="006E663E" w:rsidP="00E61CF5">
      <w:pPr>
        <w:pStyle w:val="NoSpacing"/>
      </w:pPr>
    </w:p>
    <w:p w:rsidR="006E663E" w:rsidRPr="00D87B2F" w:rsidRDefault="006E663E" w:rsidP="00E61CF5">
      <w:pPr>
        <w:pStyle w:val="NoSpacing"/>
      </w:pPr>
    </w:p>
    <w:p w:rsidR="006E663E" w:rsidRPr="00D87B2F" w:rsidRDefault="006E663E" w:rsidP="00E61CF5">
      <w:pPr>
        <w:pStyle w:val="NoSpacing"/>
      </w:pPr>
    </w:p>
    <w:p w:rsidR="006E663E" w:rsidRPr="00D87B2F" w:rsidRDefault="006E663E" w:rsidP="00E61CF5">
      <w:pPr>
        <w:pStyle w:val="NoSpacing"/>
      </w:pPr>
    </w:p>
    <w:p w:rsidR="006E663E" w:rsidRPr="0089136A" w:rsidRDefault="006E663E" w:rsidP="0089136A">
      <w:pPr>
        <w:pStyle w:val="NoSpacing"/>
        <w:jc w:val="center"/>
        <w:rPr>
          <w:b/>
        </w:rPr>
      </w:pPr>
      <w:r w:rsidRPr="0089136A">
        <w:rPr>
          <w:b/>
        </w:rPr>
        <w:t>BEFORE THE WASHINGTON UTILITIES AND TRANSPORTATION COMMISSION</w:t>
      </w:r>
    </w:p>
    <w:p w:rsidR="006E663E" w:rsidRPr="00D87B2F" w:rsidRDefault="006E663E" w:rsidP="00E61CF5">
      <w:pPr>
        <w:pStyle w:val="NoSpacing"/>
      </w:pPr>
    </w:p>
    <w:p w:rsidR="006E663E" w:rsidRPr="00D87B2F" w:rsidRDefault="006E663E" w:rsidP="00E61CF5">
      <w:pPr>
        <w:pStyle w:val="NoSpacing"/>
      </w:pPr>
    </w:p>
    <w:tbl>
      <w:tblPr>
        <w:tblW w:w="0" w:type="auto"/>
        <w:tblInd w:w="198" w:type="dxa"/>
        <w:tblLayout w:type="fixed"/>
        <w:tblLook w:val="00BF"/>
      </w:tblPr>
      <w:tblGrid>
        <w:gridCol w:w="4860"/>
        <w:gridCol w:w="4174"/>
      </w:tblGrid>
      <w:tr w:rsidR="00033D8B" w:rsidRPr="00D87B2F" w:rsidTr="0089136A">
        <w:tc>
          <w:tcPr>
            <w:tcW w:w="4860" w:type="dxa"/>
            <w:tcBorders>
              <w:bottom w:val="single" w:sz="4" w:space="0" w:color="auto"/>
              <w:right w:val="single" w:sz="4" w:space="0" w:color="auto"/>
            </w:tcBorders>
          </w:tcPr>
          <w:p w:rsidR="00033D8B" w:rsidRPr="00D87B2F" w:rsidRDefault="00E61CF5" w:rsidP="00E61CF5">
            <w:pPr>
              <w:pStyle w:val="NoSpacing"/>
            </w:pPr>
            <w:r>
              <w:t>IN THE MATTER OF</w:t>
            </w:r>
            <w:r w:rsidR="00033D8B" w:rsidRPr="00D87B2F">
              <w:t>:</w:t>
            </w:r>
          </w:p>
          <w:p w:rsidR="00033D8B" w:rsidRPr="00D87B2F" w:rsidRDefault="00E61CF5" w:rsidP="00E61CF5">
            <w:pPr>
              <w:pStyle w:val="NoSpacing"/>
            </w:pPr>
            <w:r>
              <w:t>RULEMAKING TO CONSIDER ADOPTION OF RULES TO IMPLEMENT RCW CH. 80.54, RELATING TO ATTACHMENTS TO TRANSMISSION FACILITIES</w:t>
            </w:r>
          </w:p>
          <w:p w:rsidR="00033D8B" w:rsidRPr="00D87B2F" w:rsidRDefault="00033D8B" w:rsidP="00E61CF5">
            <w:pPr>
              <w:pStyle w:val="NoSpacing"/>
            </w:pPr>
          </w:p>
        </w:tc>
        <w:tc>
          <w:tcPr>
            <w:tcW w:w="4174" w:type="dxa"/>
          </w:tcPr>
          <w:p w:rsidR="00033D8B" w:rsidRPr="00D87B2F" w:rsidRDefault="00033D8B" w:rsidP="0089136A">
            <w:pPr>
              <w:pStyle w:val="NoSpacing"/>
              <w:ind w:left="162"/>
            </w:pPr>
          </w:p>
          <w:p w:rsidR="00033D8B" w:rsidRPr="00D87B2F" w:rsidRDefault="00033D8B" w:rsidP="0089136A">
            <w:pPr>
              <w:pStyle w:val="NoSpacing"/>
              <w:ind w:left="162"/>
            </w:pPr>
            <w:r w:rsidRPr="00D87B2F">
              <w:t>DOCKET NO. UT-140621</w:t>
            </w:r>
          </w:p>
          <w:p w:rsidR="00033D8B" w:rsidRPr="00D87B2F" w:rsidRDefault="00033D8B" w:rsidP="0089136A">
            <w:pPr>
              <w:pStyle w:val="NoSpacing"/>
              <w:ind w:left="162"/>
            </w:pPr>
          </w:p>
          <w:p w:rsidR="00033D8B" w:rsidRPr="00D87B2F" w:rsidRDefault="00033D8B" w:rsidP="0089136A">
            <w:pPr>
              <w:pStyle w:val="NoSpacing"/>
              <w:ind w:left="162"/>
            </w:pPr>
            <w:r>
              <w:t xml:space="preserve">INITIAL COMMENTS OF CENTURYLINK </w:t>
            </w:r>
          </w:p>
        </w:tc>
      </w:tr>
    </w:tbl>
    <w:p w:rsidR="00D87B2F" w:rsidRDefault="00E61CF5" w:rsidP="00E61CF5">
      <w:pPr>
        <w:pStyle w:val="NoSpacing"/>
        <w:spacing w:before="240" w:line="480" w:lineRule="exact"/>
        <w:ind w:left="720" w:hanging="720"/>
      </w:pPr>
      <w:r>
        <w:rPr>
          <w:i/>
        </w:rPr>
        <w:t>1</w:t>
      </w:r>
      <w:r>
        <w:tab/>
      </w:r>
      <w:r w:rsidR="00D87B2F">
        <w:t>CenturyLink hereby files its initial comments in this docket in which the Commission has opened a r</w:t>
      </w:r>
      <w:r w:rsidR="00D87B2F" w:rsidRPr="00D87B2F">
        <w:t xml:space="preserve">ulemaking to </w:t>
      </w:r>
      <w:r w:rsidR="00D87B2F">
        <w:t>c</w:t>
      </w:r>
      <w:r w:rsidR="00D87B2F" w:rsidRPr="00D87B2F">
        <w:t xml:space="preserve">onsider </w:t>
      </w:r>
      <w:r w:rsidR="00D87B2F">
        <w:t>the a</w:t>
      </w:r>
      <w:r w:rsidR="00D87B2F" w:rsidRPr="00D87B2F">
        <w:t xml:space="preserve">doption of </w:t>
      </w:r>
      <w:r w:rsidR="00D87B2F">
        <w:t>r</w:t>
      </w:r>
      <w:r w:rsidR="00D87B2F" w:rsidRPr="00D87B2F">
        <w:t xml:space="preserve">ules to </w:t>
      </w:r>
      <w:r w:rsidR="00D87B2F">
        <w:t>implement Chapter</w:t>
      </w:r>
      <w:r w:rsidR="00D87B2F" w:rsidRPr="00D87B2F">
        <w:t xml:space="preserve"> 80.54</w:t>
      </w:r>
      <w:r w:rsidR="00857467" w:rsidRPr="00857467">
        <w:t xml:space="preserve"> </w:t>
      </w:r>
      <w:r w:rsidR="00857467">
        <w:t>RCW</w:t>
      </w:r>
      <w:r w:rsidR="00D87B2F" w:rsidRPr="00D87B2F">
        <w:t xml:space="preserve">, </w:t>
      </w:r>
      <w:r w:rsidR="00D87B2F">
        <w:t>r</w:t>
      </w:r>
      <w:r w:rsidR="00D87B2F" w:rsidRPr="00D87B2F">
        <w:t xml:space="preserve">elating to </w:t>
      </w:r>
      <w:r w:rsidR="00D87B2F">
        <w:t>a</w:t>
      </w:r>
      <w:r w:rsidR="00D87B2F" w:rsidRPr="00D87B2F">
        <w:t xml:space="preserve">ttachments to </w:t>
      </w:r>
      <w:r w:rsidR="00D87B2F">
        <w:t>t</w:t>
      </w:r>
      <w:r w:rsidR="00D87B2F" w:rsidRPr="00D87B2F">
        <w:t xml:space="preserve">ransmission </w:t>
      </w:r>
      <w:r w:rsidR="00D87B2F">
        <w:t>f</w:t>
      </w:r>
      <w:r w:rsidR="00D87B2F" w:rsidRPr="00D87B2F">
        <w:t>acilities</w:t>
      </w:r>
      <w:r w:rsidR="00D87B2F">
        <w:t>.</w:t>
      </w:r>
      <w:r w:rsidR="00214C22">
        <w:rPr>
          <w:rStyle w:val="FootnoteReference"/>
        </w:rPr>
        <w:footnoteReference w:id="1"/>
      </w:r>
    </w:p>
    <w:p w:rsidR="00065397" w:rsidRDefault="00065397" w:rsidP="00E61CF5">
      <w:pPr>
        <w:pStyle w:val="NoSpacing"/>
        <w:spacing w:before="240" w:line="480" w:lineRule="exact"/>
        <w:ind w:left="720" w:hanging="720"/>
        <w:jc w:val="center"/>
        <w:rPr>
          <w:b/>
        </w:rPr>
      </w:pPr>
      <w:r w:rsidRPr="00E61CF5">
        <w:rPr>
          <w:b/>
        </w:rPr>
        <w:t>BACKGROUND</w:t>
      </w:r>
    </w:p>
    <w:p w:rsidR="00D87B2F" w:rsidRDefault="00E61CF5" w:rsidP="00E61CF5">
      <w:pPr>
        <w:pStyle w:val="NoSpacing"/>
        <w:spacing w:before="240" w:line="480" w:lineRule="exact"/>
        <w:ind w:left="720" w:hanging="720"/>
      </w:pPr>
      <w:r>
        <w:rPr>
          <w:i/>
        </w:rPr>
        <w:t>2</w:t>
      </w:r>
      <w:r>
        <w:rPr>
          <w:i/>
        </w:rPr>
        <w:tab/>
      </w:r>
      <w:r w:rsidR="00D87B2F" w:rsidRPr="00D87B2F">
        <w:t xml:space="preserve">On April 22, 2014, the Washington Utilities and Transportation Commission (Commission) filed with the Code Reviser a </w:t>
      </w:r>
      <w:proofErr w:type="spellStart"/>
      <w:r w:rsidR="00D87B2F" w:rsidRPr="00D87B2F">
        <w:t>Preproposal</w:t>
      </w:r>
      <w:proofErr w:type="spellEnd"/>
      <w:r w:rsidR="00D87B2F" w:rsidRPr="00D87B2F">
        <w:t xml:space="preserve"> Statement of Inquiry (CR-101) to consider adoption of rules to implement </w:t>
      </w:r>
      <w:r w:rsidR="00857467">
        <w:t>Chapter</w:t>
      </w:r>
      <w:r w:rsidR="00D87B2F" w:rsidRPr="00D87B2F">
        <w:t xml:space="preserve"> 80.54</w:t>
      </w:r>
      <w:r w:rsidR="00857467" w:rsidRPr="00857467">
        <w:t xml:space="preserve"> </w:t>
      </w:r>
      <w:r w:rsidR="00857467" w:rsidRPr="00D87B2F">
        <w:t>RCW</w:t>
      </w:r>
      <w:r w:rsidR="00D87B2F" w:rsidRPr="00D87B2F">
        <w:t xml:space="preserve">, relating to attachments to transmission facilities.  </w:t>
      </w:r>
    </w:p>
    <w:p w:rsidR="00065397" w:rsidRDefault="00E61CF5" w:rsidP="00E61CF5">
      <w:pPr>
        <w:pStyle w:val="NoSpacing"/>
        <w:spacing w:before="240" w:line="480" w:lineRule="exact"/>
        <w:ind w:left="720" w:hanging="720"/>
      </w:pPr>
      <w:r>
        <w:rPr>
          <w:i/>
        </w:rPr>
        <w:t>3</w:t>
      </w:r>
      <w:r>
        <w:rPr>
          <w:i/>
        </w:rPr>
        <w:tab/>
      </w:r>
      <w:r w:rsidR="00D87B2F" w:rsidRPr="00D87B2F">
        <w:t>Federal law requires the Federal Communications Commission (FCC) to regulate</w:t>
      </w:r>
      <w:r w:rsidR="002D7949">
        <w:t xml:space="preserve"> certain</w:t>
      </w:r>
      <w:r w:rsidR="00D87B2F" w:rsidRPr="00D87B2F">
        <w:t xml:space="preserve"> </w:t>
      </w:r>
      <w:r w:rsidR="002D7949">
        <w:t xml:space="preserve">communications </w:t>
      </w:r>
      <w:r w:rsidR="00D87B2F" w:rsidRPr="00D87B2F">
        <w:t xml:space="preserve">attachments </w:t>
      </w:r>
      <w:r w:rsidR="002D7949">
        <w:t xml:space="preserve">made </w:t>
      </w:r>
      <w:r w:rsidR="00D87B2F" w:rsidRPr="00D87B2F">
        <w:t>to utility poles</w:t>
      </w:r>
      <w:r w:rsidR="002D7949">
        <w:t>,</w:t>
      </w:r>
      <w:r w:rsidR="00D87B2F" w:rsidRPr="00D87B2F">
        <w:t xml:space="preserve"> unless a state certifies that it regulates </w:t>
      </w:r>
      <w:r w:rsidR="00D87B2F" w:rsidRPr="00D87B2F">
        <w:lastRenderedPageBreak/>
        <w:t>such attachments.</w:t>
      </w:r>
      <w:r w:rsidR="00D87B2F" w:rsidRPr="00D87B2F">
        <w:rPr>
          <w:rStyle w:val="FootnoteReference"/>
        </w:rPr>
        <w:footnoteReference w:id="2"/>
      </w:r>
      <w:r w:rsidR="00D87B2F" w:rsidRPr="00D87B2F">
        <w:t xml:space="preserve"> </w:t>
      </w:r>
      <w:r w:rsidR="00D87B2F">
        <w:t xml:space="preserve"> </w:t>
      </w:r>
      <w:r w:rsidR="00D87B2F" w:rsidRPr="00D87B2F">
        <w:t xml:space="preserve">The Washington legislature elected to assert jurisdiction over attachments to transmission facilities by enacting RCW </w:t>
      </w:r>
      <w:proofErr w:type="spellStart"/>
      <w:r w:rsidR="00D87B2F" w:rsidRPr="00D87B2F">
        <w:t>ch</w:t>
      </w:r>
      <w:proofErr w:type="spellEnd"/>
      <w:r w:rsidR="00D87B2F" w:rsidRPr="00D87B2F">
        <w:t xml:space="preserve">. 80.54. </w:t>
      </w:r>
      <w:r w:rsidR="00D87B2F">
        <w:t xml:space="preserve"> </w:t>
      </w:r>
      <w:r w:rsidR="00D87B2F" w:rsidRPr="00D87B2F">
        <w:t>The statute authorizes the Commission “to regulate in the public interest the rates, terms, and conditions for attachments by licensees or utilities,”</w:t>
      </w:r>
      <w:r w:rsidR="00D87B2F" w:rsidRPr="00D87B2F">
        <w:rPr>
          <w:rStyle w:val="FootnoteReference"/>
        </w:rPr>
        <w:footnoteReference w:id="3"/>
      </w:r>
      <w:r w:rsidR="00D87B2F" w:rsidRPr="00D87B2F">
        <w:t xml:space="preserve"> and requires the Commission to adopt implementing rules, regulations, and procedures.</w:t>
      </w:r>
      <w:r w:rsidR="00D87B2F" w:rsidRPr="00D87B2F">
        <w:rPr>
          <w:rStyle w:val="FootnoteReference"/>
        </w:rPr>
        <w:footnoteReference w:id="4"/>
      </w:r>
    </w:p>
    <w:p w:rsidR="00D87B2F" w:rsidRDefault="00E61CF5" w:rsidP="00E61CF5">
      <w:pPr>
        <w:pStyle w:val="NoSpacing"/>
        <w:spacing w:before="240" w:line="480" w:lineRule="exact"/>
        <w:ind w:left="720" w:hanging="720"/>
      </w:pPr>
      <w:r>
        <w:rPr>
          <w:i/>
        </w:rPr>
        <w:t>4</w:t>
      </w:r>
      <w:r>
        <w:rPr>
          <w:i/>
        </w:rPr>
        <w:tab/>
      </w:r>
      <w:r w:rsidR="00065397" w:rsidRPr="00D87B2F">
        <w:t>PCIA</w:t>
      </w:r>
      <w:r w:rsidR="002D7949" w:rsidRPr="00065397">
        <w:t xml:space="preserve"> – The Wireless Infrastructure Association</w:t>
      </w:r>
      <w:r w:rsidR="00065397" w:rsidRPr="00D87B2F">
        <w:t xml:space="preserve"> </w:t>
      </w:r>
      <w:r w:rsidR="002D7949">
        <w:t xml:space="preserve">(PCIA) </w:t>
      </w:r>
      <w:r w:rsidR="00065397">
        <w:t xml:space="preserve">filed a petition for rulemaking on </w:t>
      </w:r>
      <w:r w:rsidR="00C17553">
        <w:t>January 6, 2014</w:t>
      </w:r>
      <w:r w:rsidR="00065397">
        <w:t>.  I</w:t>
      </w:r>
      <w:r w:rsidR="00065397" w:rsidRPr="00D87B2F">
        <w:t>n its rulemaking petition</w:t>
      </w:r>
      <w:r w:rsidR="00065397">
        <w:t xml:space="preserve"> PCIA</w:t>
      </w:r>
      <w:r w:rsidR="00065397" w:rsidRPr="00D87B2F">
        <w:t xml:space="preserve"> proposed that the Commission adopt the most recent set of FCC rules regulating pole attachments</w:t>
      </w:r>
      <w:r w:rsidR="002D7949">
        <w:t xml:space="preserve"> as they apply to wireless attachments</w:t>
      </w:r>
      <w:r w:rsidR="00065397" w:rsidRPr="00D87B2F">
        <w:t xml:space="preserve"> (47 C.F.R. § 1.1401 through 1.1424).  </w:t>
      </w:r>
      <w:r w:rsidR="00D87B2F" w:rsidRPr="00065397">
        <w:t>On February 25, 2014, the Commission entered Order 01 in Docket UT-140024, denying the petition of PCIA</w:t>
      </w:r>
      <w:r w:rsidR="002D7949">
        <w:t xml:space="preserve">, but separately concluded </w:t>
      </w:r>
      <w:r w:rsidR="00C17553">
        <w:t>that it w</w:t>
      </w:r>
      <w:r w:rsidR="00D87B2F" w:rsidRPr="00065397">
        <w:t>ould initiate its own, more compre</w:t>
      </w:r>
      <w:r w:rsidR="00065397" w:rsidRPr="00065397">
        <w:t xml:space="preserve">hensive rulemaking proceeding. </w:t>
      </w:r>
    </w:p>
    <w:p w:rsidR="00E8206A" w:rsidRDefault="00E61CF5" w:rsidP="00E61CF5">
      <w:pPr>
        <w:pStyle w:val="NoSpacing"/>
        <w:spacing w:before="240" w:line="480" w:lineRule="exact"/>
        <w:ind w:left="720" w:hanging="720"/>
      </w:pPr>
      <w:r>
        <w:rPr>
          <w:i/>
        </w:rPr>
        <w:t>5</w:t>
      </w:r>
      <w:r>
        <w:tab/>
      </w:r>
      <w:r w:rsidR="00E8206A">
        <w:t xml:space="preserve">In addition to rules that exist at the FCC, several states have adopted their own sets of rules.  The Public Utility Commission of Utah has adopted rules.  </w:t>
      </w:r>
      <w:r w:rsidR="00C00700">
        <w:t xml:space="preserve">Utah Code Ann. § 54-4-13; Utah Admin. </w:t>
      </w:r>
      <w:proofErr w:type="gramStart"/>
      <w:r w:rsidR="00C00700">
        <w:t>Code R746-345.</w:t>
      </w:r>
      <w:proofErr w:type="gramEnd"/>
      <w:r w:rsidR="00E8206A">
        <w:t xml:space="preserve">  T</w:t>
      </w:r>
      <w:r w:rsidR="00E8206A" w:rsidRPr="00D87B2F">
        <w:t xml:space="preserve">he Public Utility Commission of Oregon (OPUC) has adopted rules governing pole and conduit attachments (OAR 860-028-0000 through 03100).  The Commission </w:t>
      </w:r>
      <w:r w:rsidR="00D72015">
        <w:t>has stated</w:t>
      </w:r>
      <w:r w:rsidR="00E8206A">
        <w:t xml:space="preserve"> that it </w:t>
      </w:r>
      <w:r w:rsidR="00E8206A" w:rsidRPr="00D87B2F">
        <w:t>proposes to use the FCC and OPUC rules as the starting point for developing its own rules to govern attachments to transmission facilities in Washington</w:t>
      </w:r>
      <w:r w:rsidR="00D618F7">
        <w:t>.</w:t>
      </w:r>
    </w:p>
    <w:p w:rsidR="00065397" w:rsidRDefault="00065397" w:rsidP="00E61CF5">
      <w:pPr>
        <w:pStyle w:val="NoSpacing"/>
        <w:spacing w:before="240" w:line="480" w:lineRule="exact"/>
        <w:ind w:left="720" w:hanging="720"/>
        <w:jc w:val="center"/>
        <w:rPr>
          <w:b/>
        </w:rPr>
      </w:pPr>
      <w:r w:rsidRPr="00E61CF5">
        <w:rPr>
          <w:b/>
        </w:rPr>
        <w:t>HISTORY OF POLE ATTACHMENT RULES IN WASHINGTON</w:t>
      </w:r>
    </w:p>
    <w:p w:rsidR="00065397" w:rsidRDefault="00E61CF5" w:rsidP="00E61CF5">
      <w:pPr>
        <w:pStyle w:val="NoSpacing"/>
        <w:spacing w:before="240" w:line="480" w:lineRule="exact"/>
        <w:ind w:left="720" w:hanging="720"/>
      </w:pPr>
      <w:r>
        <w:rPr>
          <w:i/>
        </w:rPr>
        <w:t>6</w:t>
      </w:r>
      <w:r>
        <w:rPr>
          <w:i/>
        </w:rPr>
        <w:tab/>
      </w:r>
      <w:r w:rsidR="00065397">
        <w:t xml:space="preserve">The Commission </w:t>
      </w:r>
      <w:r w:rsidR="006A4644">
        <w:t>first considered pole attachment rules in D</w:t>
      </w:r>
      <w:r w:rsidR="00065397">
        <w:t>ocket</w:t>
      </w:r>
      <w:r w:rsidR="00A1034E">
        <w:t xml:space="preserve"> No UT-970723, a petition by TCI Cablevision of Washington filed in 1997.  Though the Commission had </w:t>
      </w:r>
      <w:r w:rsidR="00A1034E">
        <w:lastRenderedPageBreak/>
        <w:t xml:space="preserve">determined to move forward and consider adoption of rules at that time, TCI (which by then had been acquired by AT&amp;T) later filed to defer activity in that docket, pending activity at the FCC.  The Commission granted the request and closed the docket on November 10, 1999, advising parties that another petition could be filed when they believed that the issues could productively be addressed at the state level. </w:t>
      </w:r>
    </w:p>
    <w:p w:rsidR="00065397" w:rsidRDefault="00E61CF5" w:rsidP="00E61CF5">
      <w:pPr>
        <w:pStyle w:val="NoSpacing"/>
        <w:spacing w:before="240" w:line="480" w:lineRule="exact"/>
        <w:ind w:left="720" w:hanging="720"/>
      </w:pPr>
      <w:r>
        <w:rPr>
          <w:i/>
        </w:rPr>
        <w:t>7</w:t>
      </w:r>
      <w:r>
        <w:rPr>
          <w:i/>
        </w:rPr>
        <w:tab/>
      </w:r>
      <w:r w:rsidR="00A1034E">
        <w:t>Research and recollection indicate that no petition was filed until the PCIA petition in January of this year, though the Commission did address pole attachment rates in some of the early arbitrations under the Telecom Act, and in the subsequent generic cost proceedings.</w:t>
      </w:r>
    </w:p>
    <w:p w:rsidR="00065397" w:rsidRPr="00E61CF5" w:rsidRDefault="00065397" w:rsidP="00E61CF5">
      <w:pPr>
        <w:pStyle w:val="NoSpacing"/>
        <w:spacing w:before="240" w:line="480" w:lineRule="exact"/>
        <w:ind w:left="720" w:hanging="720"/>
        <w:jc w:val="center"/>
        <w:rPr>
          <w:b/>
        </w:rPr>
      </w:pPr>
      <w:r w:rsidRPr="00E61CF5">
        <w:rPr>
          <w:b/>
        </w:rPr>
        <w:t>COMMENTS ON THE NEED FOR RULES</w:t>
      </w:r>
    </w:p>
    <w:p w:rsidR="0032136C" w:rsidRDefault="00E61CF5" w:rsidP="00E61CF5">
      <w:pPr>
        <w:pStyle w:val="NoSpacing"/>
        <w:spacing w:before="240" w:line="480" w:lineRule="exact"/>
        <w:ind w:left="720" w:hanging="720"/>
      </w:pPr>
      <w:r>
        <w:rPr>
          <w:i/>
        </w:rPr>
        <w:t>8</w:t>
      </w:r>
      <w:r>
        <w:tab/>
      </w:r>
      <w:r w:rsidR="00E8206A">
        <w:t>CenturyLink</w:t>
      </w:r>
      <w:r w:rsidR="001B41A9">
        <w:t xml:space="preserve"> does not believe it is necessary to adopt rules</w:t>
      </w:r>
      <w:r w:rsidR="00C00700">
        <w:t xml:space="preserve"> beyond the</w:t>
      </w:r>
      <w:r w:rsidR="0032136C">
        <w:t xml:space="preserve"> provisions</w:t>
      </w:r>
      <w:r w:rsidR="00C00700">
        <w:t xml:space="preserve"> that are set forth in the RCW</w:t>
      </w:r>
      <w:r w:rsidR="001B41A9">
        <w:t xml:space="preserve">.  </w:t>
      </w:r>
      <w:r w:rsidR="00C00700">
        <w:t>The existing statute, RCW 80.54</w:t>
      </w:r>
      <w:r w:rsidR="00795275">
        <w:t>,</w:t>
      </w:r>
      <w:r w:rsidR="00C00700">
        <w:t xml:space="preserve"> provides a sufficient set of ground rules for pole attachments in the state.  </w:t>
      </w:r>
      <w:r w:rsidR="001B41A9">
        <w:t>The relationships of po</w:t>
      </w:r>
      <w:r w:rsidR="00463015">
        <w:t xml:space="preserve">le owners and pole </w:t>
      </w:r>
      <w:proofErr w:type="spellStart"/>
      <w:r w:rsidR="00463015">
        <w:t>attachers</w:t>
      </w:r>
      <w:proofErr w:type="spellEnd"/>
      <w:r w:rsidR="00463015">
        <w:t xml:space="preserve"> have</w:t>
      </w:r>
      <w:r w:rsidR="001B41A9">
        <w:t xml:space="preserve"> been successfully governed up to this point by private agreements</w:t>
      </w:r>
      <w:r w:rsidR="00C00700">
        <w:t xml:space="preserve"> </w:t>
      </w:r>
      <w:r w:rsidR="00795275">
        <w:t>in accordance with</w:t>
      </w:r>
      <w:r w:rsidR="00C00700">
        <w:t xml:space="preserve"> existing state law</w:t>
      </w:r>
      <w:r w:rsidR="001B41A9">
        <w:t xml:space="preserve">, or by the terms and conditions of negotiated or arbitrated interconnection agreements </w:t>
      </w:r>
      <w:r w:rsidR="00C00700">
        <w:t xml:space="preserve">governed </w:t>
      </w:r>
      <w:r w:rsidR="001B41A9">
        <w:t xml:space="preserve">pursuant to the terms of the </w:t>
      </w:r>
      <w:r w:rsidR="00C17553">
        <w:t>f</w:t>
      </w:r>
      <w:r w:rsidR="00C00700">
        <w:t xml:space="preserve">ederal </w:t>
      </w:r>
      <w:r w:rsidR="001B41A9">
        <w:t xml:space="preserve">Telecommunications Act of 1996.  </w:t>
      </w:r>
    </w:p>
    <w:p w:rsidR="00E8206A" w:rsidRDefault="00E61CF5" w:rsidP="00E61CF5">
      <w:pPr>
        <w:pStyle w:val="NoSpacing"/>
        <w:spacing w:before="240" w:line="480" w:lineRule="exact"/>
        <w:ind w:left="720" w:hanging="720"/>
      </w:pPr>
      <w:r>
        <w:rPr>
          <w:i/>
        </w:rPr>
        <w:t>9</w:t>
      </w:r>
      <w:r>
        <w:tab/>
      </w:r>
      <w:r w:rsidR="00795275">
        <w:t>Evidence</w:t>
      </w:r>
      <w:r w:rsidR="001B41A9">
        <w:t xml:space="preserve"> that rules are not necessary is apparent from the simple fact that parties have been successful in reaching agreements without </w:t>
      </w:r>
      <w:r w:rsidR="00795275">
        <w:t xml:space="preserve">more comprehensive </w:t>
      </w:r>
      <w:r w:rsidR="001B41A9">
        <w:t xml:space="preserve">rules, and that parties have not brought disputes to the Commission for resolution.  In short, if there are no disputes requiring resolution, </w:t>
      </w:r>
      <w:r w:rsidR="00795275">
        <w:t xml:space="preserve">the Commission should question whether </w:t>
      </w:r>
      <w:r w:rsidR="00C00700">
        <w:t xml:space="preserve">additional </w:t>
      </w:r>
      <w:r w:rsidR="001B41A9">
        <w:t xml:space="preserve">rules </w:t>
      </w:r>
      <w:r w:rsidR="00795275">
        <w:t xml:space="preserve">are </w:t>
      </w:r>
      <w:r w:rsidR="001B41A9">
        <w:t>necessary</w:t>
      </w:r>
      <w:r w:rsidR="00795275">
        <w:t>, or if they would only serve to complicate what appears largely to be a working process in the State.</w:t>
      </w:r>
    </w:p>
    <w:p w:rsidR="001B41A9" w:rsidRDefault="00E61CF5" w:rsidP="00E61CF5">
      <w:pPr>
        <w:pStyle w:val="NoSpacing"/>
        <w:spacing w:before="240" w:line="480" w:lineRule="exact"/>
        <w:ind w:left="720" w:hanging="720"/>
      </w:pPr>
      <w:r>
        <w:rPr>
          <w:i/>
        </w:rPr>
        <w:lastRenderedPageBreak/>
        <w:t>10</w:t>
      </w:r>
      <w:r>
        <w:tab/>
      </w:r>
      <w:r w:rsidR="001B41A9">
        <w:t xml:space="preserve">As noted above, the most recent </w:t>
      </w:r>
      <w:r w:rsidR="00D618F7">
        <w:t>docket considering this issue</w:t>
      </w:r>
      <w:r w:rsidR="00A1034E">
        <w:t xml:space="preserve"> was opened 17 years ago and</w:t>
      </w:r>
      <w:r w:rsidR="00D618F7">
        <w:t xml:space="preserve"> closed 15 years ago.  Parties have successfully navigated pole attachment issues without the need for a set of rules during that time.  Nevertheless, CenturyLink recognizes that some parties in this docket will advocate for the adoption of rules, and that the Commission </w:t>
      </w:r>
      <w:r w:rsidR="00C17553">
        <w:t xml:space="preserve">itself </w:t>
      </w:r>
      <w:r w:rsidR="00D618F7">
        <w:t>may wish to adopt rules.  If the Commission does consider adopting rules, CenturyLink has the following comments.</w:t>
      </w:r>
    </w:p>
    <w:p w:rsidR="00065397" w:rsidRPr="00E61CF5" w:rsidRDefault="00D618F7" w:rsidP="00E61CF5">
      <w:pPr>
        <w:pStyle w:val="NoSpacing"/>
        <w:spacing w:before="240" w:line="480" w:lineRule="exact"/>
        <w:ind w:left="720" w:hanging="720"/>
        <w:jc w:val="center"/>
        <w:rPr>
          <w:b/>
        </w:rPr>
      </w:pPr>
      <w:r w:rsidRPr="00E61CF5">
        <w:rPr>
          <w:b/>
        </w:rPr>
        <w:t>THE RULES SHOULD NOT SUPPLANT PRIVATE AGREEMENTS</w:t>
      </w:r>
    </w:p>
    <w:p w:rsidR="00D618F7" w:rsidRDefault="00E61CF5" w:rsidP="00E61CF5">
      <w:pPr>
        <w:pStyle w:val="NoSpacing"/>
        <w:spacing w:before="240" w:line="480" w:lineRule="exact"/>
        <w:ind w:left="720" w:hanging="720"/>
      </w:pPr>
      <w:r>
        <w:rPr>
          <w:i/>
        </w:rPr>
        <w:t>11</w:t>
      </w:r>
      <w:r>
        <w:rPr>
          <w:i/>
        </w:rPr>
        <w:tab/>
      </w:r>
      <w:r w:rsidR="00D618F7">
        <w:t>If the Commission does adopt rules</w:t>
      </w:r>
      <w:r w:rsidR="00C00700">
        <w:t xml:space="preserve"> governing the regulation of rates, terms and conditions of attachment</w:t>
      </w:r>
      <w:r w:rsidR="00D618F7">
        <w:t xml:space="preserve">, CenturyLink recommends that those rules should clearly state that they apply only in situations in which parties are unable to </w:t>
      </w:r>
      <w:r w:rsidR="00795275">
        <w:t xml:space="preserve">reach </w:t>
      </w:r>
      <w:r w:rsidR="00D618F7">
        <w:t>private</w:t>
      </w:r>
      <w:r w:rsidR="00C00700">
        <w:t>, voluntarily-negotiated</w:t>
      </w:r>
      <w:r w:rsidR="00D618F7">
        <w:t xml:space="preserve"> agreements.  As noted above, CenturyLink’s history with pole attachments is that the relationships are governed by privately negotiated agreements, (or, in many cases, agreements that are arbitrated by the Commission under the Telecom</w:t>
      </w:r>
      <w:r w:rsidR="00C17553">
        <w:t>munications</w:t>
      </w:r>
      <w:r w:rsidR="00D618F7">
        <w:t xml:space="preserve"> Act of 1996, but which generally contain agreed-upon terms and conditions for pole attachments).  The Commission’s rules should preserve the ability of parties to negotiate suitable</w:t>
      </w:r>
      <w:r w:rsidR="00C00700">
        <w:t>, voluntary</w:t>
      </w:r>
      <w:r w:rsidR="00D618F7">
        <w:t xml:space="preserve"> arrangements, and should not </w:t>
      </w:r>
      <w:r w:rsidR="00C00700">
        <w:t xml:space="preserve">arbitrarily </w:t>
      </w:r>
      <w:r w:rsidR="00D618F7">
        <w:t xml:space="preserve">favor one party over another, which would clearly create an incentive for parties to refuse to negotiate and default to the rules.  </w:t>
      </w:r>
    </w:p>
    <w:p w:rsidR="00D618F7" w:rsidRDefault="00E61CF5" w:rsidP="00E61CF5">
      <w:pPr>
        <w:pStyle w:val="NoSpacing"/>
        <w:spacing w:before="240" w:line="480" w:lineRule="exact"/>
        <w:ind w:left="720" w:hanging="720"/>
      </w:pPr>
      <w:r>
        <w:rPr>
          <w:i/>
        </w:rPr>
        <w:t>12</w:t>
      </w:r>
      <w:r>
        <w:tab/>
      </w:r>
      <w:r w:rsidR="00D618F7">
        <w:t>Existing agreements should be preserved for the duration of the agreements, and if willing parties negotiate terms and conditions different from the presumptions contained in the rules, those agreements should be respected and not affected by the rules.</w:t>
      </w:r>
    </w:p>
    <w:p w:rsidR="00D618F7" w:rsidRDefault="00D618F7" w:rsidP="00E61CF5">
      <w:pPr>
        <w:pStyle w:val="NoSpacing"/>
        <w:spacing w:before="240" w:line="480" w:lineRule="exact"/>
        <w:ind w:left="720" w:hanging="720"/>
        <w:jc w:val="center"/>
        <w:rPr>
          <w:b/>
        </w:rPr>
      </w:pPr>
      <w:r w:rsidRPr="00E61CF5">
        <w:rPr>
          <w:b/>
        </w:rPr>
        <w:t>THE RULES, IF ADOPTED, SHOULD MIRROR THE FCC RULES</w:t>
      </w:r>
    </w:p>
    <w:p w:rsidR="006A4644" w:rsidRDefault="00E61CF5" w:rsidP="00E61CF5">
      <w:pPr>
        <w:pStyle w:val="NoSpacing"/>
        <w:spacing w:before="240" w:line="480" w:lineRule="exact"/>
        <w:ind w:left="720" w:hanging="720"/>
      </w:pPr>
      <w:r>
        <w:rPr>
          <w:i/>
        </w:rPr>
        <w:t>13</w:t>
      </w:r>
      <w:r>
        <w:rPr>
          <w:i/>
        </w:rPr>
        <w:tab/>
      </w:r>
      <w:r w:rsidR="00D618F7">
        <w:t xml:space="preserve">One factor that is important for all parties </w:t>
      </w:r>
      <w:r w:rsidR="0034394B">
        <w:t xml:space="preserve">is that there be a degree of regulatory certainty, consistency, and predictability under any new rules.  If the Commission does decide to </w:t>
      </w:r>
      <w:r w:rsidR="0034394B">
        <w:lastRenderedPageBreak/>
        <w:t xml:space="preserve">adopt rules, CenturyLink believes that adopting the FCC rules would be the best course of action to ensure consistency of regulation across multiple jurisdictions, as well as to provide some certainty </w:t>
      </w:r>
      <w:r w:rsidR="006A4644">
        <w:t xml:space="preserve">and predictability </w:t>
      </w:r>
      <w:r w:rsidR="0034394B">
        <w:t xml:space="preserve">as to </w:t>
      </w:r>
      <w:r w:rsidR="006A4644">
        <w:t xml:space="preserve">results if disputes arise.  </w:t>
      </w:r>
    </w:p>
    <w:p w:rsidR="00D618F7" w:rsidRDefault="00E61CF5" w:rsidP="00E61CF5">
      <w:pPr>
        <w:pStyle w:val="NoSpacing"/>
        <w:spacing w:before="240" w:line="480" w:lineRule="exact"/>
        <w:ind w:left="720" w:hanging="720"/>
      </w:pPr>
      <w:r>
        <w:rPr>
          <w:i/>
        </w:rPr>
        <w:t>14</w:t>
      </w:r>
      <w:r>
        <w:tab/>
      </w:r>
      <w:r w:rsidR="006A4644">
        <w:t xml:space="preserve">The FCC has a long history of interpreting and applying its rules, which could provide valuable guidance to the Commission and parties under new Washington rules.  In addition, it is easier for companies that operate in multiple jurisdictions, such as CenturyLink, to be governed by a consistent set of rules rather than a patchwork of different regulations on the same topic.  </w:t>
      </w:r>
    </w:p>
    <w:p w:rsidR="00D618F7" w:rsidRDefault="00E61CF5" w:rsidP="00E61CF5">
      <w:pPr>
        <w:pStyle w:val="NoSpacing"/>
        <w:spacing w:before="240" w:line="480" w:lineRule="exact"/>
        <w:ind w:left="720" w:hanging="720"/>
      </w:pPr>
      <w:r>
        <w:rPr>
          <w:i/>
        </w:rPr>
        <w:t>15</w:t>
      </w:r>
      <w:r>
        <w:tab/>
      </w:r>
      <w:r w:rsidR="003E2AFA">
        <w:t xml:space="preserve">The FCC’s Rules, found at 47 C.F.R. §1.1401 </w:t>
      </w:r>
      <w:r w:rsidR="003E2AFA" w:rsidRPr="003E2AFA">
        <w:rPr>
          <w:i/>
        </w:rPr>
        <w:t>et seq.</w:t>
      </w:r>
      <w:r w:rsidR="003E2AFA">
        <w:t xml:space="preserve">, are far more comprehensive regarding pole attachment issues than any of the various states that have regulated in this area.  Further, the FCC’s rules are supported by an extensive series of orders and case law, which collectively has reached the vast majority of major and minor issues in the area of pole attachments for decades.  Pole owners and attaching entities alike are very familiar with the FCC’s rules and know how to comport themselves accordingly.  Accordingly, the Commission should consider the entire body of FCC jurisprudence as </w:t>
      </w:r>
      <w:r w:rsidR="003E2AFA" w:rsidRPr="003E2AFA">
        <w:rPr>
          <w:i/>
        </w:rPr>
        <w:t>persuasive authority</w:t>
      </w:r>
      <w:r w:rsidR="003E2AFA">
        <w:t xml:space="preserve"> both in any written rules it decides to implement and in its adjudication of disputes </w:t>
      </w:r>
      <w:proofErr w:type="spellStart"/>
      <w:r w:rsidR="003E2AFA">
        <w:t>thereunder</w:t>
      </w:r>
      <w:proofErr w:type="spellEnd"/>
      <w:r w:rsidR="003E2AFA">
        <w:t xml:space="preserve">. </w:t>
      </w:r>
    </w:p>
    <w:p w:rsidR="00D618F7" w:rsidRPr="00E61CF5" w:rsidRDefault="00D618F7" w:rsidP="00E61CF5">
      <w:pPr>
        <w:pStyle w:val="NoSpacing"/>
        <w:spacing w:before="240" w:line="480" w:lineRule="exact"/>
        <w:ind w:left="720" w:hanging="720"/>
        <w:jc w:val="center"/>
        <w:rPr>
          <w:b/>
        </w:rPr>
      </w:pPr>
      <w:r w:rsidRPr="00E61CF5">
        <w:rPr>
          <w:b/>
        </w:rPr>
        <w:t>THE RULES SHOULD CONTAIN TIMELINES FOR RESOLUTION OF DISPUTES</w:t>
      </w:r>
    </w:p>
    <w:p w:rsidR="005E4B04" w:rsidRDefault="00E61CF5" w:rsidP="00E61CF5">
      <w:pPr>
        <w:pStyle w:val="NoSpacing"/>
        <w:spacing w:before="240" w:line="480" w:lineRule="exact"/>
        <w:ind w:left="720" w:hanging="720"/>
      </w:pPr>
      <w:r>
        <w:rPr>
          <w:i/>
        </w:rPr>
        <w:t>16</w:t>
      </w:r>
      <w:r>
        <w:tab/>
      </w:r>
      <w:r w:rsidR="00A1034E">
        <w:t xml:space="preserve">Finally, if the Commission does adopt rules, CenturyLink believes that it would be beneficial to all parties if the Commission would adopt an expedited dispute resolution process.  </w:t>
      </w:r>
      <w:r w:rsidR="005E4B04">
        <w:t xml:space="preserve">The Commission is well-positioned to ensure that disputes are heard and resolved quickly, and could set up a timeline for resolution of issues that ensured due process, while also promising that the dispute would not drag on.   </w:t>
      </w:r>
    </w:p>
    <w:p w:rsidR="005E4B04" w:rsidRDefault="00E61CF5" w:rsidP="00E61CF5">
      <w:pPr>
        <w:pStyle w:val="NoSpacing"/>
        <w:spacing w:before="240" w:line="480" w:lineRule="exact"/>
        <w:ind w:left="720" w:hanging="720"/>
      </w:pPr>
      <w:r>
        <w:rPr>
          <w:i/>
        </w:rPr>
        <w:lastRenderedPageBreak/>
        <w:t>17</w:t>
      </w:r>
      <w:r>
        <w:tab/>
      </w:r>
      <w:r w:rsidR="005E4B04">
        <w:t xml:space="preserve">WAC 480-07-650, which governs petitions for enforcement of interconnection agreements, could serve as a model for the process of resolving pole attachment disputes.  It contains all the necessary requirements for filing a petition and answer, conducting a proceeding, and provides for an expedited decision on the issues (within 90 days).  Of course the parties could agree to a longer schedule as well, but establishing this framework would add certainty to the process, with parties getting the assurance that issues would not remain unresolved for too long. </w:t>
      </w:r>
    </w:p>
    <w:p w:rsidR="005E4B04" w:rsidRPr="00E61CF5" w:rsidRDefault="005E4B04" w:rsidP="00E61CF5">
      <w:pPr>
        <w:pStyle w:val="NoSpacing"/>
        <w:spacing w:before="240" w:line="480" w:lineRule="exact"/>
        <w:ind w:left="720" w:hanging="720"/>
        <w:jc w:val="center"/>
        <w:rPr>
          <w:b/>
        </w:rPr>
      </w:pPr>
      <w:r w:rsidRPr="00E61CF5">
        <w:rPr>
          <w:b/>
        </w:rPr>
        <w:t>CONCLUSION</w:t>
      </w:r>
    </w:p>
    <w:p w:rsidR="005E4B04" w:rsidRDefault="00E61CF5" w:rsidP="00E61CF5">
      <w:pPr>
        <w:pStyle w:val="NoSpacing"/>
        <w:spacing w:before="240" w:line="480" w:lineRule="exact"/>
        <w:ind w:left="720" w:hanging="720"/>
      </w:pPr>
      <w:r>
        <w:rPr>
          <w:i/>
        </w:rPr>
        <w:t>18</w:t>
      </w:r>
      <w:r>
        <w:rPr>
          <w:i/>
        </w:rPr>
        <w:tab/>
      </w:r>
      <w:r w:rsidR="005E4B04">
        <w:t>CenturyLink looks forward to participating in the upcoming workshop, and may have additional comments at that time</w:t>
      </w:r>
      <w:r w:rsidR="00795275">
        <w:t>.</w:t>
      </w:r>
    </w:p>
    <w:p w:rsidR="00E82945" w:rsidRDefault="00E82945" w:rsidP="00E61CF5">
      <w:pPr>
        <w:pStyle w:val="NoSpacing"/>
        <w:spacing w:before="240" w:line="480" w:lineRule="exact"/>
      </w:pPr>
      <w:proofErr w:type="gramStart"/>
      <w:r w:rsidRPr="00D87B2F">
        <w:t xml:space="preserve">Submitted this </w:t>
      </w:r>
      <w:r w:rsidR="00D87B2F">
        <w:t>______</w:t>
      </w:r>
      <w:r w:rsidRPr="00D87B2F">
        <w:t xml:space="preserve"> day of </w:t>
      </w:r>
      <w:r w:rsidR="00D87B2F">
        <w:t>May</w:t>
      </w:r>
      <w:r w:rsidRPr="00D87B2F">
        <w:t>, 201</w:t>
      </w:r>
      <w:r w:rsidR="00D87B2F">
        <w:t>4.</w:t>
      </w:r>
      <w:proofErr w:type="gramEnd"/>
    </w:p>
    <w:p w:rsidR="00E61CF5" w:rsidRDefault="00E61CF5" w:rsidP="00E61CF5">
      <w:pPr>
        <w:pStyle w:val="NoSpacing"/>
      </w:pPr>
    </w:p>
    <w:p w:rsidR="00C17553" w:rsidRPr="0089136A" w:rsidRDefault="00C17553" w:rsidP="00C17553">
      <w:pPr>
        <w:pStyle w:val="NoSpacing"/>
        <w:tabs>
          <w:tab w:val="right" w:pos="9720"/>
        </w:tabs>
        <w:ind w:left="5040"/>
        <w:rPr>
          <w:smallCaps/>
        </w:rPr>
      </w:pPr>
      <w:r w:rsidRPr="0089136A">
        <w:rPr>
          <w:smallCaps/>
        </w:rPr>
        <w:t>C</w:t>
      </w:r>
      <w:r>
        <w:rPr>
          <w:smallCaps/>
        </w:rPr>
        <w:t>enturyLink</w:t>
      </w:r>
    </w:p>
    <w:p w:rsidR="00C17553" w:rsidRDefault="00C17553" w:rsidP="0089136A">
      <w:pPr>
        <w:pStyle w:val="NoSpacing"/>
        <w:tabs>
          <w:tab w:val="right" w:pos="9720"/>
        </w:tabs>
        <w:ind w:left="5040"/>
      </w:pPr>
    </w:p>
    <w:p w:rsidR="00C17553" w:rsidRDefault="00C17553" w:rsidP="0089136A">
      <w:pPr>
        <w:pStyle w:val="NoSpacing"/>
        <w:tabs>
          <w:tab w:val="right" w:pos="9720"/>
        </w:tabs>
        <w:ind w:left="5040"/>
      </w:pPr>
    </w:p>
    <w:p w:rsidR="00C17553" w:rsidRPr="00C17553" w:rsidRDefault="00C17553" w:rsidP="0089136A">
      <w:pPr>
        <w:pStyle w:val="NoSpacing"/>
        <w:tabs>
          <w:tab w:val="right" w:pos="9720"/>
        </w:tabs>
        <w:ind w:left="5040"/>
      </w:pPr>
    </w:p>
    <w:p w:rsidR="00D87B2F" w:rsidRPr="0089136A" w:rsidRDefault="0089136A" w:rsidP="0089136A">
      <w:pPr>
        <w:pStyle w:val="NoSpacing"/>
        <w:tabs>
          <w:tab w:val="right" w:pos="9720"/>
        </w:tabs>
        <w:ind w:left="5040"/>
        <w:rPr>
          <w:u w:val="single"/>
        </w:rPr>
      </w:pPr>
      <w:r>
        <w:rPr>
          <w:u w:val="single"/>
        </w:rPr>
        <w:tab/>
      </w:r>
    </w:p>
    <w:p w:rsidR="005E4B04" w:rsidRDefault="005E4B04" w:rsidP="0089136A">
      <w:pPr>
        <w:pStyle w:val="NoSpacing"/>
        <w:tabs>
          <w:tab w:val="right" w:pos="9720"/>
        </w:tabs>
        <w:ind w:left="5040"/>
      </w:pPr>
      <w:r>
        <w:t>Lisa A. Anderl, WSBA #13236</w:t>
      </w:r>
    </w:p>
    <w:p w:rsidR="005E4B04" w:rsidRDefault="005E4B04" w:rsidP="0089136A">
      <w:pPr>
        <w:pStyle w:val="NoSpacing"/>
        <w:tabs>
          <w:tab w:val="right" w:pos="9720"/>
        </w:tabs>
        <w:ind w:left="5040"/>
      </w:pPr>
      <w:r>
        <w:t>Senior Associate General Counsel</w:t>
      </w:r>
    </w:p>
    <w:p w:rsidR="008464C0" w:rsidRDefault="008464C0" w:rsidP="0089136A">
      <w:pPr>
        <w:pStyle w:val="NoSpacing"/>
        <w:tabs>
          <w:tab w:val="right" w:pos="9720"/>
        </w:tabs>
        <w:ind w:left="5040"/>
      </w:pPr>
      <w:r>
        <w:t>1600 – 7</w:t>
      </w:r>
      <w:r w:rsidRPr="008464C0">
        <w:rPr>
          <w:vertAlign w:val="superscript"/>
        </w:rPr>
        <w:t>TH</w:t>
      </w:r>
      <w:r>
        <w:t xml:space="preserve"> Ave. Room 1506</w:t>
      </w:r>
    </w:p>
    <w:p w:rsidR="008464C0" w:rsidRDefault="008464C0" w:rsidP="0089136A">
      <w:pPr>
        <w:pStyle w:val="NoSpacing"/>
        <w:tabs>
          <w:tab w:val="right" w:pos="9720"/>
        </w:tabs>
        <w:ind w:left="5040"/>
      </w:pPr>
      <w:r>
        <w:t>Seattle, W</w:t>
      </w:r>
      <w:r w:rsidR="00E61CF5">
        <w:t>ashington</w:t>
      </w:r>
      <w:r>
        <w:t xml:space="preserve">  98191</w:t>
      </w:r>
    </w:p>
    <w:p w:rsidR="008464C0" w:rsidRDefault="003A0725" w:rsidP="0089136A">
      <w:pPr>
        <w:pStyle w:val="NoSpacing"/>
        <w:tabs>
          <w:tab w:val="right" w:pos="9720"/>
        </w:tabs>
        <w:ind w:left="5040"/>
      </w:pPr>
      <w:hyperlink r:id="rId8" w:history="1">
        <w:r w:rsidR="008464C0" w:rsidRPr="00F5600B">
          <w:rPr>
            <w:rStyle w:val="Hyperlink"/>
          </w:rPr>
          <w:t>Lisa.anderl@centurylink.com</w:t>
        </w:r>
      </w:hyperlink>
    </w:p>
    <w:p w:rsidR="0089136A" w:rsidRPr="00D87B2F" w:rsidRDefault="008464C0" w:rsidP="00C17553">
      <w:pPr>
        <w:pStyle w:val="NoSpacing"/>
        <w:tabs>
          <w:tab w:val="right" w:pos="9720"/>
        </w:tabs>
        <w:ind w:left="5040"/>
      </w:pPr>
      <w:r>
        <w:t>206-345-1574</w:t>
      </w:r>
    </w:p>
    <w:sectPr w:rsidR="0089136A" w:rsidRPr="00D87B2F" w:rsidSect="0089136A">
      <w:footerReference w:type="even" r:id="rId9"/>
      <w:footerReference w:type="default" r:id="rId10"/>
      <w:pgSz w:w="12240" w:h="15840"/>
      <w:pgMar w:top="1440" w:right="1440" w:bottom="1440" w:left="1440" w:header="720" w:footer="720" w:gutter="0"/>
      <w:paperSrc w:first="1"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F7" w:rsidRDefault="004C18F7">
      <w:r>
        <w:separator/>
      </w:r>
    </w:p>
  </w:endnote>
  <w:endnote w:type="continuationSeparator" w:id="0">
    <w:p w:rsidR="004C18F7" w:rsidRDefault="004C1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F5" w:rsidRDefault="003A0725">
    <w:pPr>
      <w:pStyle w:val="Footer"/>
      <w:framePr w:wrap="around" w:vAnchor="text" w:hAnchor="margin" w:xAlign="center" w:y="1"/>
      <w:rPr>
        <w:rStyle w:val="PageNumber"/>
      </w:rPr>
    </w:pPr>
    <w:r>
      <w:rPr>
        <w:rStyle w:val="PageNumber"/>
      </w:rPr>
      <w:fldChar w:fldCharType="begin"/>
    </w:r>
    <w:r w:rsidR="00E61CF5">
      <w:rPr>
        <w:rStyle w:val="PageNumber"/>
      </w:rPr>
      <w:instrText xml:space="preserve">PAGE  </w:instrText>
    </w:r>
    <w:r>
      <w:rPr>
        <w:rStyle w:val="PageNumber"/>
      </w:rPr>
      <w:fldChar w:fldCharType="end"/>
    </w:r>
  </w:p>
  <w:p w:rsidR="00E61CF5" w:rsidRDefault="00E61C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6A" w:rsidRDefault="0089136A" w:rsidP="0089136A">
    <w:pPr>
      <w:pStyle w:val="Footer"/>
      <w:tabs>
        <w:tab w:val="clear" w:pos="8640"/>
        <w:tab w:val="right" w:pos="9450"/>
      </w:tabs>
      <w:spacing w:line="200" w:lineRule="exact"/>
      <w:ind w:right="360"/>
      <w:jc w:val="left"/>
      <w:rPr>
        <w:sz w:val="20"/>
      </w:rPr>
    </w:pPr>
    <w:r w:rsidRPr="0089136A">
      <w:rPr>
        <w:smallCaps/>
        <w:sz w:val="22"/>
        <w:szCs w:val="22"/>
      </w:rPr>
      <w:t>Initial Comments of CenturyLink</w:t>
    </w:r>
    <w:r>
      <w:rPr>
        <w:sz w:val="20"/>
      </w:rPr>
      <w:t xml:space="preserve"> -</w:t>
    </w:r>
    <w:r>
      <w:rPr>
        <w:sz w:val="20"/>
      </w:rPr>
      <w:tab/>
    </w:r>
    <w:r>
      <w:rPr>
        <w:sz w:val="20"/>
      </w:rPr>
      <w:tab/>
      <w:t>P</w:t>
    </w:r>
    <w:r w:rsidR="00E61CF5">
      <w:rPr>
        <w:sz w:val="20"/>
      </w:rPr>
      <w:t xml:space="preserve">age </w:t>
    </w:r>
    <w:r w:rsidR="003A0725">
      <w:rPr>
        <w:rStyle w:val="PageNumber"/>
        <w:sz w:val="20"/>
      </w:rPr>
      <w:fldChar w:fldCharType="begin"/>
    </w:r>
    <w:r w:rsidR="00E61CF5">
      <w:rPr>
        <w:rStyle w:val="PageNumber"/>
        <w:sz w:val="20"/>
      </w:rPr>
      <w:instrText xml:space="preserve"> PAGE </w:instrText>
    </w:r>
    <w:r w:rsidR="003A0725">
      <w:rPr>
        <w:rStyle w:val="PageNumber"/>
        <w:sz w:val="20"/>
      </w:rPr>
      <w:fldChar w:fldCharType="separate"/>
    </w:r>
    <w:r w:rsidR="00C17553">
      <w:rPr>
        <w:rStyle w:val="PageNumber"/>
        <w:noProof/>
        <w:sz w:val="20"/>
      </w:rPr>
      <w:t>1</w:t>
    </w:r>
    <w:r w:rsidR="003A0725">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F7" w:rsidRDefault="004C18F7">
      <w:r>
        <w:separator/>
      </w:r>
    </w:p>
  </w:footnote>
  <w:footnote w:type="continuationSeparator" w:id="0">
    <w:p w:rsidR="004C18F7" w:rsidRDefault="004C18F7">
      <w:r>
        <w:continuationSeparator/>
      </w:r>
    </w:p>
  </w:footnote>
  <w:footnote w:id="1">
    <w:p w:rsidR="00E61CF5" w:rsidRDefault="00E61CF5">
      <w:pPr>
        <w:pStyle w:val="FootnoteText"/>
      </w:pPr>
      <w:r>
        <w:rPr>
          <w:rStyle w:val="FootnoteReference"/>
        </w:rPr>
        <w:footnoteRef/>
      </w:r>
      <w:r>
        <w:t xml:space="preserve"> </w:t>
      </w:r>
      <w:r w:rsidR="00484A10">
        <w:t xml:space="preserve"> </w:t>
      </w:r>
      <w:r>
        <w:t xml:space="preserve">Within the electric industry, there is a distinct difference between “transmission” and “distribution” facilities, with the former being much larger, and the latter being the everyday power or telephone pole.  See, for example </w:t>
      </w:r>
      <w:hyperlink r:id="rId1" w:history="1">
        <w:r w:rsidRPr="00E61836">
          <w:rPr>
            <w:rStyle w:val="Hyperlink"/>
          </w:rPr>
          <w:t>https://www.dom.com/about/electric-transmission/comparison-of-transmission-and-distribution-lines.jsp</w:t>
        </w:r>
      </w:hyperlink>
      <w:r>
        <w:t>.  CenturyLink is aware that the title of Chapter 80.54 RCW is “Attachments to Transmission Facilities”, but assumes and would like to clarify that “transmission” as used in this context actually addresses attachments to distribution facilities, and that the term “transmission” is being used in the more commonly understood way to mean facilities that support lines that carry electric power or telephone service, as opposed to the more technical definition which would limit the discussion to the large, high voltage facilities that transmit power between the generating facility and a substation.</w:t>
      </w:r>
    </w:p>
    <w:p w:rsidR="00E61CF5" w:rsidRDefault="00E61CF5">
      <w:pPr>
        <w:pStyle w:val="FootnoteText"/>
      </w:pPr>
    </w:p>
  </w:footnote>
  <w:footnote w:id="2">
    <w:p w:rsidR="00E61CF5" w:rsidRPr="00AB46B6" w:rsidRDefault="00E61CF5" w:rsidP="00D87B2F">
      <w:pPr>
        <w:pStyle w:val="FootnoteText"/>
        <w:rPr>
          <w:sz w:val="22"/>
          <w:szCs w:val="22"/>
        </w:rPr>
      </w:pPr>
      <w:r>
        <w:rPr>
          <w:rStyle w:val="FootnoteReference"/>
        </w:rPr>
        <w:footnoteRef/>
      </w:r>
      <w:r w:rsidR="00484A10">
        <w:t xml:space="preserve"> </w:t>
      </w:r>
      <w:r>
        <w:t xml:space="preserve"> </w:t>
      </w:r>
      <w:proofErr w:type="gramStart"/>
      <w:r>
        <w:rPr>
          <w:sz w:val="22"/>
          <w:szCs w:val="22"/>
        </w:rPr>
        <w:t xml:space="preserve">47 U.S.C. </w:t>
      </w:r>
      <w:r w:rsidR="003A0725" w:rsidRPr="003A0725">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0.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stylePaneFormatFilter w:val=&quot;0004&quot;/&gt;&lt;w:defaultTabStop w:val=&quot;72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767C7C&quot;/&gt;&lt;wsp:rsid wsp:val=&quot;00061130&quot;/&gt;&lt;wsp:rsid wsp:val=&quot;00065397&quot;/&gt;&lt;wsp:rsid wsp:val=&quot;00145B95&quot;/&gt;&lt;wsp:rsid wsp:val=&quot;001844E0&quot;/&gt;&lt;wsp:rsid wsp:val=&quot;00186782&quot;/&gt;&lt;wsp:rsid wsp:val=&quot;00303A1B&quot;/&gt;&lt;wsp:rsid wsp:val=&quot;003339F9&quot;/&gt;&lt;wsp:rsid wsp:val=&quot;003927B8&quot;/&gt;&lt;wsp:rsid wsp:val=&quot;00441CAC&quot;/&gt;&lt;wsp:rsid wsp:val=&quot;005113CB&quot;/&gt;&lt;wsp:rsid wsp:val=&quot;00523D65&quot;/&gt;&lt;wsp:rsid wsp:val=&quot;005B71B8&quot;/&gt;&lt;wsp:rsid wsp:val=&quot;006750AF&quot;/&gt;&lt;wsp:rsid wsp:val=&quot;006E663E&quot;/&gt;&lt;wsp:rsid wsp:val=&quot;00767C7C&quot;/&gt;&lt;wsp:rsid wsp:val=&quot;00775BD0&quot;/&gt;&lt;wsp:rsid wsp:val=&quot;00892893&quot;/&gt;&lt;wsp:rsid wsp:val=&quot;008D3B4C&quot;/&gt;&lt;wsp:rsid wsp:val=&quot;00986990&quot;/&gt;&lt;wsp:rsid wsp:val=&quot;00A25F98&quot;/&gt;&lt;wsp:rsid wsp:val=&quot;00A26DCC&quot;/&gt;&lt;wsp:rsid wsp:val=&quot;00A923C9&quot;/&gt;&lt;wsp:rsid wsp:val=&quot;00BD319F&quot;/&gt;&lt;wsp:rsid wsp:val=&quot;00C83153&quot;/&gt;&lt;wsp:rsid wsp:val=&quot;00D05D2D&quot;/&gt;&lt;wsp:rsid wsp:val=&quot;00D72015&quot;/&gt;&lt;wsp:rsid wsp:val=&quot;00D73FAF&quot;/&gt;&lt;wsp:rsid wsp:val=&quot;00D81454&quot;/&gt;&lt;wsp:rsid wsp:val=&quot;00D84BD2&quot;/&gt;&lt;wsp:rsid wsp:val=&quot;00D87B2F&quot;/&gt;&lt;wsp:rsid wsp:val=&quot;00DB30CA&quot;/&gt;&lt;wsp:rsid wsp:val=&quot;00E12EDE&quot;/&gt;&lt;wsp:rsid wsp:val=&quot;00E8206A&quot;/&gt;&lt;wsp:rsid wsp:val=&quot;00E82945&quot;/&gt;&lt;wsp:rsid wsp:val=&quot;00E92E6C&quot;/&gt;&lt;wsp:rsid wsp:val=&quot;00FE50EE&quot;/&gt;&lt;/wsp:rsids&gt;&lt;/w:docPr&gt;&lt;w:body&gt;&lt;w:p wsp:rsidR=&quot;00000000&quot; wsp:rsidRDefault=&quot;005113CB&quot;&gt;&lt;m:oMathPara&gt;&lt;m:oMath&gt;&lt;m:r&gt;&lt;w:rPr&gt;&lt;w:rFonts w:ascii=&quot;Cambria Math&quot; w:h-ansi=&quot;Cambria Math&quot;/&gt;&lt;wx:font wx:val=&quot;Cambria Math&quot;/&gt;&lt;w:i/&gt;&lt;w:sz w:val=&quot;22&quot;/&gt;&lt;w:sz-cs w:val=&quot;22&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 o:title="" chromakey="white"/>
          </v:shape>
        </w:pict>
      </w:r>
      <w:r>
        <w:rPr>
          <w:sz w:val="22"/>
          <w:szCs w:val="22"/>
        </w:rPr>
        <w:t xml:space="preserve"> 224(c).</w:t>
      </w:r>
      <w:proofErr w:type="gramEnd"/>
    </w:p>
  </w:footnote>
  <w:footnote w:id="3">
    <w:p w:rsidR="00E61CF5" w:rsidRPr="005F6029" w:rsidRDefault="00E61CF5" w:rsidP="00D87B2F">
      <w:pPr>
        <w:pStyle w:val="FootnoteText"/>
        <w:rPr>
          <w:sz w:val="22"/>
          <w:szCs w:val="22"/>
        </w:rPr>
      </w:pPr>
      <w:r>
        <w:rPr>
          <w:rStyle w:val="FootnoteReference"/>
        </w:rPr>
        <w:footnoteRef/>
      </w:r>
      <w:r>
        <w:t xml:space="preserve"> </w:t>
      </w:r>
      <w:r w:rsidR="00484A10">
        <w:t xml:space="preserve"> </w:t>
      </w:r>
      <w:proofErr w:type="gramStart"/>
      <w:r>
        <w:rPr>
          <w:sz w:val="22"/>
          <w:szCs w:val="22"/>
        </w:rPr>
        <w:t>RCW 80.54.020.</w:t>
      </w:r>
      <w:proofErr w:type="gramEnd"/>
    </w:p>
  </w:footnote>
  <w:footnote w:id="4">
    <w:p w:rsidR="00E61CF5" w:rsidRPr="005F6029" w:rsidRDefault="00E61CF5" w:rsidP="00D87B2F">
      <w:pPr>
        <w:pStyle w:val="FootnoteText"/>
        <w:rPr>
          <w:sz w:val="22"/>
          <w:szCs w:val="22"/>
        </w:rPr>
      </w:pPr>
      <w:r>
        <w:rPr>
          <w:rStyle w:val="FootnoteReference"/>
        </w:rPr>
        <w:footnoteRef/>
      </w:r>
      <w:r>
        <w:t xml:space="preserve"> </w:t>
      </w:r>
      <w:r w:rsidR="00484A10">
        <w:t xml:space="preserve"> </w:t>
      </w:r>
      <w:proofErr w:type="gramStart"/>
      <w:r>
        <w:rPr>
          <w:sz w:val="22"/>
          <w:szCs w:val="22"/>
        </w:rPr>
        <w:t>RCW 80.54.060.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667B7A"/>
    <w:lvl w:ilvl="0">
      <w:start w:val="1"/>
      <w:numFmt w:val="decimal"/>
      <w:lvlText w:val="%1."/>
      <w:lvlJc w:val="left"/>
      <w:pPr>
        <w:tabs>
          <w:tab w:val="num" w:pos="1800"/>
        </w:tabs>
        <w:ind w:left="1800" w:hanging="360"/>
      </w:pPr>
    </w:lvl>
  </w:abstractNum>
  <w:abstractNum w:abstractNumId="1">
    <w:nsid w:val="FFFFFF7D"/>
    <w:multiLevelType w:val="singleLevel"/>
    <w:tmpl w:val="90DCE652"/>
    <w:lvl w:ilvl="0">
      <w:start w:val="1"/>
      <w:numFmt w:val="decimal"/>
      <w:lvlText w:val="%1."/>
      <w:lvlJc w:val="left"/>
      <w:pPr>
        <w:tabs>
          <w:tab w:val="num" w:pos="1440"/>
        </w:tabs>
        <w:ind w:left="1440" w:hanging="360"/>
      </w:pPr>
    </w:lvl>
  </w:abstractNum>
  <w:abstractNum w:abstractNumId="2">
    <w:nsid w:val="FFFFFF7E"/>
    <w:multiLevelType w:val="singleLevel"/>
    <w:tmpl w:val="1152D096"/>
    <w:lvl w:ilvl="0">
      <w:start w:val="1"/>
      <w:numFmt w:val="decimal"/>
      <w:lvlText w:val="%1."/>
      <w:lvlJc w:val="left"/>
      <w:pPr>
        <w:tabs>
          <w:tab w:val="num" w:pos="1080"/>
        </w:tabs>
        <w:ind w:left="1080" w:hanging="360"/>
      </w:pPr>
    </w:lvl>
  </w:abstractNum>
  <w:abstractNum w:abstractNumId="3">
    <w:nsid w:val="FFFFFF7F"/>
    <w:multiLevelType w:val="singleLevel"/>
    <w:tmpl w:val="8D080716"/>
    <w:lvl w:ilvl="0">
      <w:start w:val="1"/>
      <w:numFmt w:val="decimal"/>
      <w:lvlText w:val="%1."/>
      <w:lvlJc w:val="left"/>
      <w:pPr>
        <w:tabs>
          <w:tab w:val="num" w:pos="720"/>
        </w:tabs>
        <w:ind w:left="720" w:hanging="360"/>
      </w:pPr>
    </w:lvl>
  </w:abstractNum>
  <w:abstractNum w:abstractNumId="4">
    <w:nsid w:val="FFFFFF80"/>
    <w:multiLevelType w:val="singleLevel"/>
    <w:tmpl w:val="F8F0B4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0A1C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841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F8CC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C03910"/>
    <w:lvl w:ilvl="0">
      <w:start w:val="1"/>
      <w:numFmt w:val="decimal"/>
      <w:lvlText w:val="%1."/>
      <w:lvlJc w:val="left"/>
      <w:pPr>
        <w:tabs>
          <w:tab w:val="num" w:pos="360"/>
        </w:tabs>
        <w:ind w:left="360" w:hanging="360"/>
      </w:pPr>
    </w:lvl>
  </w:abstractNum>
  <w:abstractNum w:abstractNumId="9">
    <w:nsid w:val="FFFFFF89"/>
    <w:multiLevelType w:val="singleLevel"/>
    <w:tmpl w:val="4C90A020"/>
    <w:lvl w:ilvl="0">
      <w:start w:val="1"/>
      <w:numFmt w:val="bullet"/>
      <w:lvlText w:val=""/>
      <w:lvlJc w:val="left"/>
      <w:pPr>
        <w:tabs>
          <w:tab w:val="num" w:pos="360"/>
        </w:tabs>
        <w:ind w:left="360" w:hanging="360"/>
      </w:pPr>
      <w:rPr>
        <w:rFonts w:ascii="Symbol" w:hAnsi="Symbol" w:hint="default"/>
      </w:rPr>
    </w:lvl>
  </w:abstractNum>
  <w:abstractNum w:abstractNumId="10">
    <w:nsid w:val="06CB5236"/>
    <w:multiLevelType w:val="singleLevel"/>
    <w:tmpl w:val="B38EC570"/>
    <w:lvl w:ilvl="0">
      <w:start w:val="1"/>
      <w:numFmt w:val="decimal"/>
      <w:pStyle w:val="StyleParaNum11pt1CharCharCharCharCharChar"/>
      <w:lvlText w:val="%1."/>
      <w:lvlJc w:val="left"/>
      <w:pPr>
        <w:tabs>
          <w:tab w:val="num" w:pos="720"/>
        </w:tabs>
        <w:ind w:left="0" w:firstLine="360"/>
      </w:pPr>
      <w:rPr>
        <w:rFonts w:ascii="Times New Roman" w:hAnsi="Times New Roman" w:hint="default"/>
        <w:b w:val="0"/>
        <w:i w:val="0"/>
        <w:sz w:val="22"/>
        <w:szCs w:val="22"/>
      </w:rPr>
    </w:lvl>
  </w:abstractNum>
  <w:abstractNum w:abstractNumId="11">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2">
    <w:nsid w:val="3D7D3337"/>
    <w:multiLevelType w:val="hybridMultilevel"/>
    <w:tmpl w:val="F7C85E8C"/>
    <w:lvl w:ilvl="0" w:tplc="04090001">
      <w:start w:val="1"/>
      <w:numFmt w:val="bullet"/>
      <w:lvlText w:val=""/>
      <w:lvlJc w:val="left"/>
      <w:pPr>
        <w:tabs>
          <w:tab w:val="num" w:pos="1080"/>
        </w:tabs>
        <w:ind w:left="1080" w:hanging="360"/>
      </w:pPr>
      <w:rPr>
        <w:rFonts w:ascii="Symbol" w:hAnsi="Symbol" w:hint="default"/>
        <w:b w:val="0"/>
        <w:i/>
        <w:color w:val="auto"/>
        <w:sz w:val="22"/>
        <w:szCs w:val="22"/>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BA52DD4"/>
    <w:multiLevelType w:val="multilevel"/>
    <w:tmpl w:val="CB40129C"/>
    <w:lvl w:ilvl="0">
      <w:start w:val="1"/>
      <w:numFmt w:val="decimal"/>
      <w:pStyle w:val="ParagraphDiscus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D81CFF"/>
    <w:multiLevelType w:val="hybridMultilevel"/>
    <w:tmpl w:val="EF30AFD4"/>
    <w:lvl w:ilvl="0" w:tplc="EDC41564">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E959A2"/>
    <w:multiLevelType w:val="hybridMultilevel"/>
    <w:tmpl w:val="CF3819BA"/>
    <w:lvl w:ilvl="0" w:tplc="EDC41564">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i/>
        <w:color w:val="auto"/>
        <w:sz w:val="22"/>
        <w:szCs w:val="22"/>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4"/>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74"/>
  <w:removePersonalInformation/>
  <w:removeDateAndTime/>
  <w:proofState w:spelling="clean" w:grammar="clean"/>
  <w:stylePaneFormatFilter w:val="0004"/>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67C7C"/>
    <w:rsid w:val="00017B50"/>
    <w:rsid w:val="00033D8B"/>
    <w:rsid w:val="00061130"/>
    <w:rsid w:val="00065397"/>
    <w:rsid w:val="00145B95"/>
    <w:rsid w:val="001844E0"/>
    <w:rsid w:val="00186782"/>
    <w:rsid w:val="001B41A9"/>
    <w:rsid w:val="00214C22"/>
    <w:rsid w:val="002D7949"/>
    <w:rsid w:val="00303A1B"/>
    <w:rsid w:val="0032136C"/>
    <w:rsid w:val="003339F9"/>
    <w:rsid w:val="00333FE4"/>
    <w:rsid w:val="0034394B"/>
    <w:rsid w:val="003927B8"/>
    <w:rsid w:val="003A0725"/>
    <w:rsid w:val="003E2AFA"/>
    <w:rsid w:val="00423822"/>
    <w:rsid w:val="00441CAC"/>
    <w:rsid w:val="00463015"/>
    <w:rsid w:val="00484A10"/>
    <w:rsid w:val="004C18F7"/>
    <w:rsid w:val="00523D65"/>
    <w:rsid w:val="005B71B8"/>
    <w:rsid w:val="005C1721"/>
    <w:rsid w:val="005E4B04"/>
    <w:rsid w:val="00626D2E"/>
    <w:rsid w:val="00650706"/>
    <w:rsid w:val="006750AF"/>
    <w:rsid w:val="006A4644"/>
    <w:rsid w:val="006C7792"/>
    <w:rsid w:val="006E663E"/>
    <w:rsid w:val="00767C7C"/>
    <w:rsid w:val="00775BD0"/>
    <w:rsid w:val="00795275"/>
    <w:rsid w:val="007F4EA8"/>
    <w:rsid w:val="00823FBD"/>
    <w:rsid w:val="008464C0"/>
    <w:rsid w:val="00857467"/>
    <w:rsid w:val="0089136A"/>
    <w:rsid w:val="00892893"/>
    <w:rsid w:val="008D3B4C"/>
    <w:rsid w:val="009246B3"/>
    <w:rsid w:val="00986990"/>
    <w:rsid w:val="00A1034E"/>
    <w:rsid w:val="00A25F98"/>
    <w:rsid w:val="00A26DCC"/>
    <w:rsid w:val="00A923C9"/>
    <w:rsid w:val="00BD319F"/>
    <w:rsid w:val="00C00700"/>
    <w:rsid w:val="00C1724D"/>
    <w:rsid w:val="00C17553"/>
    <w:rsid w:val="00C83153"/>
    <w:rsid w:val="00CF793D"/>
    <w:rsid w:val="00D05D2D"/>
    <w:rsid w:val="00D52040"/>
    <w:rsid w:val="00D538A8"/>
    <w:rsid w:val="00D618F7"/>
    <w:rsid w:val="00D72015"/>
    <w:rsid w:val="00D73FAF"/>
    <w:rsid w:val="00D81454"/>
    <w:rsid w:val="00D84BD2"/>
    <w:rsid w:val="00D87B2F"/>
    <w:rsid w:val="00DB30CA"/>
    <w:rsid w:val="00E12EDE"/>
    <w:rsid w:val="00E61CF5"/>
    <w:rsid w:val="00E749CC"/>
    <w:rsid w:val="00E8206A"/>
    <w:rsid w:val="00E82945"/>
    <w:rsid w:val="00E92E6C"/>
    <w:rsid w:val="00FE5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725"/>
    <w:pPr>
      <w:overflowPunct w:val="0"/>
      <w:autoSpaceDE w:val="0"/>
      <w:autoSpaceDN w:val="0"/>
      <w:adjustRightInd w:val="0"/>
      <w:spacing w:line="360" w:lineRule="auto"/>
      <w:jc w:val="both"/>
      <w:textAlignment w:val="baseline"/>
    </w:pPr>
    <w:rPr>
      <w:sz w:val="24"/>
    </w:rPr>
  </w:style>
  <w:style w:type="paragraph" w:styleId="Heading1">
    <w:name w:val="heading 1"/>
    <w:basedOn w:val="Normal"/>
    <w:next w:val="Normal"/>
    <w:qFormat/>
    <w:rsid w:val="003A0725"/>
    <w:pPr>
      <w:keepNext/>
      <w:numPr>
        <w:numId w:val="3"/>
      </w:numPr>
      <w:spacing w:before="240" w:line="240" w:lineRule="exact"/>
      <w:jc w:val="center"/>
      <w:outlineLvl w:val="0"/>
    </w:pPr>
    <w:rPr>
      <w:rFonts w:ascii="Times New Roman Bold" w:hAnsi="Times New Roman Bold" w:cs="Arial"/>
      <w:b/>
      <w:bCs/>
      <w:kern w:val="32"/>
      <w:szCs w:val="24"/>
    </w:rPr>
  </w:style>
  <w:style w:type="paragraph" w:styleId="Heading2">
    <w:name w:val="heading 2"/>
    <w:basedOn w:val="Normal"/>
    <w:next w:val="Normal"/>
    <w:qFormat/>
    <w:rsid w:val="003A0725"/>
    <w:pPr>
      <w:keepNext/>
      <w:numPr>
        <w:ilvl w:val="1"/>
        <w:numId w:val="3"/>
      </w:numPr>
      <w:spacing w:before="480" w:line="240" w:lineRule="exact"/>
      <w:ind w:left="1440"/>
      <w:jc w:val="left"/>
      <w:outlineLvl w:val="1"/>
    </w:pPr>
    <w:rPr>
      <w:rFonts w:ascii="Times New Roman Bold" w:hAnsi="Times New Roman Bold" w:cs="Arial"/>
      <w:b/>
      <w:bCs/>
      <w:iCs/>
      <w:szCs w:val="24"/>
      <w:u w:val="single"/>
    </w:rPr>
  </w:style>
  <w:style w:type="paragraph" w:styleId="Heading3">
    <w:name w:val="heading 3"/>
    <w:basedOn w:val="Normal"/>
    <w:next w:val="Normal"/>
    <w:qFormat/>
    <w:rsid w:val="003A0725"/>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r"/>
    <w:basedOn w:val="Normal"/>
    <w:link w:val="FootnoteTextChar1"/>
    <w:uiPriority w:val="99"/>
    <w:semiHidden/>
    <w:rsid w:val="003A0725"/>
    <w:pPr>
      <w:tabs>
        <w:tab w:val="left" w:pos="360"/>
      </w:tabs>
      <w:spacing w:after="120" w:line="220" w:lineRule="exact"/>
      <w:jc w:val="left"/>
    </w:pPr>
    <w:rPr>
      <w:sz w:val="20"/>
    </w:rPr>
  </w:style>
  <w:style w:type="character" w:styleId="FootnoteReference">
    <w:name w:val="footnote reference"/>
    <w:aliases w:val="fr,o,Style 3,Footnote 1r"/>
    <w:basedOn w:val="DefaultParagraphFont"/>
    <w:uiPriority w:val="99"/>
    <w:semiHidden/>
    <w:rsid w:val="003A0725"/>
    <w:rPr>
      <w:vertAlign w:val="superscript"/>
    </w:rPr>
  </w:style>
  <w:style w:type="paragraph" w:customStyle="1" w:styleId="ParaNum">
    <w:name w:val="ParaNum"/>
    <w:basedOn w:val="Normal"/>
    <w:link w:val="ParaNumChar"/>
    <w:autoRedefine/>
    <w:rsid w:val="003A0725"/>
    <w:pPr>
      <w:tabs>
        <w:tab w:val="left" w:pos="1080"/>
      </w:tabs>
      <w:overflowPunct/>
      <w:autoSpaceDE/>
      <w:autoSpaceDN/>
      <w:adjustRightInd/>
      <w:spacing w:after="240" w:line="240" w:lineRule="auto"/>
      <w:jc w:val="left"/>
      <w:textAlignment w:val="auto"/>
    </w:pPr>
    <w:rPr>
      <w:sz w:val="22"/>
      <w:szCs w:val="22"/>
    </w:rPr>
  </w:style>
  <w:style w:type="character" w:customStyle="1" w:styleId="ParaNumChar">
    <w:name w:val="ParaNum Char"/>
    <w:basedOn w:val="DefaultParagraphFont"/>
    <w:link w:val="ParaNum"/>
    <w:rsid w:val="003A0725"/>
    <w:rPr>
      <w:sz w:val="22"/>
      <w:szCs w:val="22"/>
      <w:lang w:val="en-US" w:eastAsia="en-US" w:bidi="ar-SA"/>
    </w:rPr>
  </w:style>
  <w:style w:type="paragraph" w:customStyle="1" w:styleId="StyleParaNum11pt1CharCharCharCharCharChar">
    <w:name w:val="Style ParaNum + 11 pt1 Char Char Char Char Char Char"/>
    <w:basedOn w:val="ParaNum"/>
    <w:link w:val="StyleParaNum11pt1CharCharCharCharCharCharChar"/>
    <w:rsid w:val="003A0725"/>
    <w:pPr>
      <w:numPr>
        <w:numId w:val="1"/>
      </w:numPr>
      <w:tabs>
        <w:tab w:val="clear" w:pos="720"/>
        <w:tab w:val="num" w:pos="360"/>
      </w:tabs>
      <w:ind w:firstLine="0"/>
    </w:pPr>
  </w:style>
  <w:style w:type="character" w:customStyle="1" w:styleId="StyleParaNum11pt1CharCharCharCharCharCharChar">
    <w:name w:val="Style ParaNum + 11 pt1 Char Char Char Char Char Char Char"/>
    <w:basedOn w:val="ParaNumChar"/>
    <w:link w:val="StyleParaNum11pt1CharCharCharCharCharChar"/>
    <w:rsid w:val="003A0725"/>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3A0725"/>
    <w:rPr>
      <w:lang w:val="en-US" w:eastAsia="en-US" w:bidi="ar-SA"/>
    </w:rPr>
  </w:style>
  <w:style w:type="character" w:customStyle="1" w:styleId="ALTSFOOTNOTEChar1">
    <w:name w:val="ALTS FOOTNOTE Char1"/>
    <w:aliases w:val="fn Char1,Footnote Text 2 Char,Footnote text Char,FOOTNOTE Char,ft Char,ALTS FOOTNOTE Char Char,fn Char Char,Footnote Text Char1 Char Char,Footnote Text Char Char Char Char,ALTS FOOTNOTE Char Char Char Char"/>
    <w:basedOn w:val="DefaultParagraphFont"/>
    <w:rsid w:val="003A0725"/>
    <w:rPr>
      <w:lang w:val="en-US" w:eastAsia="en-US" w:bidi="ar-SA"/>
    </w:rPr>
  </w:style>
  <w:style w:type="paragraph" w:customStyle="1" w:styleId="StyleLeftLinespacingsingle">
    <w:name w:val="Style Left Line spacing:  single"/>
    <w:basedOn w:val="Normal"/>
    <w:rsid w:val="003A0725"/>
    <w:pPr>
      <w:spacing w:line="480" w:lineRule="auto"/>
      <w:jc w:val="left"/>
    </w:pPr>
  </w:style>
  <w:style w:type="paragraph" w:customStyle="1" w:styleId="StyleStyleLeftLinespacingsingleLeft05">
    <w:name w:val="Style Style Left Line spacing:  single + Left:  0.5&quot;"/>
    <w:basedOn w:val="StyleLeftLinespacingsingle"/>
    <w:rsid w:val="003A0725"/>
    <w:pPr>
      <w:ind w:left="720"/>
    </w:pPr>
  </w:style>
  <w:style w:type="character" w:customStyle="1" w:styleId="StyleTimesNewRomanPSMT">
    <w:name w:val="Style TimesNewRomanPSMT"/>
    <w:basedOn w:val="DefaultParagraphFont"/>
    <w:rsid w:val="003A0725"/>
    <w:rPr>
      <w:rFonts w:ascii="TimesNewRomanPSMT" w:hAnsi="TimesNewRomanPSMT"/>
      <w:sz w:val="24"/>
    </w:rPr>
  </w:style>
  <w:style w:type="paragraph" w:customStyle="1" w:styleId="StyleLinespacingsingle">
    <w:name w:val="Style Line spacing:  single"/>
    <w:basedOn w:val="Normal"/>
    <w:rsid w:val="003A0725"/>
    <w:pPr>
      <w:spacing w:line="480" w:lineRule="auto"/>
    </w:pPr>
  </w:style>
  <w:style w:type="paragraph" w:styleId="Footer">
    <w:name w:val="footer"/>
    <w:basedOn w:val="Normal"/>
    <w:rsid w:val="003A0725"/>
    <w:pPr>
      <w:tabs>
        <w:tab w:val="center" w:pos="4320"/>
        <w:tab w:val="right" w:pos="8640"/>
      </w:tabs>
    </w:pPr>
  </w:style>
  <w:style w:type="character" w:styleId="PageNumber">
    <w:name w:val="page number"/>
    <w:basedOn w:val="DefaultParagraphFont"/>
    <w:rsid w:val="003A0725"/>
  </w:style>
  <w:style w:type="paragraph" w:styleId="BalloonText">
    <w:name w:val="Balloon Text"/>
    <w:basedOn w:val="Normal"/>
    <w:semiHidden/>
    <w:rsid w:val="003A0725"/>
    <w:rPr>
      <w:rFonts w:ascii="Tahoma" w:hAnsi="Tahoma" w:cs="Tahoma"/>
      <w:sz w:val="16"/>
      <w:szCs w:val="16"/>
    </w:rPr>
  </w:style>
  <w:style w:type="paragraph" w:customStyle="1" w:styleId="CourtName">
    <w:name w:val="CourtName"/>
    <w:basedOn w:val="Normal"/>
    <w:rsid w:val="003A0725"/>
    <w:pPr>
      <w:spacing w:line="240" w:lineRule="exact"/>
      <w:jc w:val="center"/>
    </w:pPr>
  </w:style>
  <w:style w:type="table" w:styleId="TableGrid">
    <w:name w:val="Table Grid"/>
    <w:basedOn w:val="TableNormal"/>
    <w:rsid w:val="003A0725"/>
    <w:pPr>
      <w:overflowPunct w:val="0"/>
      <w:autoSpaceDE w:val="0"/>
      <w:autoSpaceDN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odyCharCharCharChar">
    <w:name w:val="AutoNum Body Char Char Char Char"/>
    <w:basedOn w:val="Normal"/>
    <w:link w:val="AutoNumBodyCharCharCharCharChar"/>
    <w:autoRedefine/>
    <w:rsid w:val="00E61CF5"/>
    <w:pPr>
      <w:widowControl w:val="0"/>
      <w:overflowPunct/>
      <w:autoSpaceDE/>
      <w:autoSpaceDN/>
      <w:adjustRightInd/>
      <w:spacing w:before="240" w:line="480" w:lineRule="exact"/>
      <w:ind w:left="720" w:hanging="720"/>
      <w:jc w:val="left"/>
      <w:textAlignment w:val="auto"/>
    </w:pPr>
    <w:rPr>
      <w:szCs w:val="24"/>
    </w:rPr>
  </w:style>
  <w:style w:type="character" w:customStyle="1" w:styleId="AutoNumBodyCharCharCharCharChar">
    <w:name w:val="AutoNum Body Char Char Char Char Char"/>
    <w:basedOn w:val="DefaultParagraphFont"/>
    <w:link w:val="AutoNumBodyCharCharCharChar"/>
    <w:rsid w:val="00E61CF5"/>
    <w:rPr>
      <w:sz w:val="24"/>
      <w:szCs w:val="24"/>
    </w:rPr>
  </w:style>
  <w:style w:type="paragraph" w:customStyle="1" w:styleId="righthalf">
    <w:name w:val="right half"/>
    <w:basedOn w:val="Normal"/>
    <w:rsid w:val="003A0725"/>
    <w:pPr>
      <w:keepLines/>
      <w:tabs>
        <w:tab w:val="right" w:pos="8640"/>
      </w:tabs>
      <w:overflowPunct/>
      <w:autoSpaceDE/>
      <w:autoSpaceDN/>
      <w:adjustRightInd/>
      <w:spacing w:line="240" w:lineRule="exact"/>
      <w:ind w:left="4320"/>
      <w:jc w:val="left"/>
      <w:textAlignment w:val="auto"/>
    </w:pPr>
  </w:style>
  <w:style w:type="paragraph" w:styleId="Header">
    <w:name w:val="header"/>
    <w:basedOn w:val="Normal"/>
    <w:rsid w:val="003A0725"/>
    <w:pPr>
      <w:tabs>
        <w:tab w:val="center" w:pos="4320"/>
        <w:tab w:val="right" w:pos="8640"/>
      </w:tabs>
    </w:pPr>
  </w:style>
  <w:style w:type="paragraph" w:styleId="BlockText">
    <w:name w:val="Block Text"/>
    <w:basedOn w:val="Normal"/>
    <w:rsid w:val="003A0725"/>
    <w:pPr>
      <w:spacing w:before="240" w:line="240" w:lineRule="exact"/>
      <w:ind w:left="1440" w:right="1440"/>
      <w:jc w:val="left"/>
    </w:pPr>
    <w:rPr>
      <w:szCs w:val="24"/>
    </w:rPr>
  </w:style>
  <w:style w:type="paragraph" w:customStyle="1" w:styleId="StyleHeading4NotBold">
    <w:name w:val="Style Heading 4 + Not Bold"/>
    <w:basedOn w:val="Normal"/>
    <w:rsid w:val="003A0725"/>
    <w:pPr>
      <w:numPr>
        <w:ilvl w:val="3"/>
        <w:numId w:val="3"/>
      </w:numPr>
    </w:pPr>
  </w:style>
  <w:style w:type="paragraph" w:styleId="BodyTextIndent">
    <w:name w:val="Body Text Indent"/>
    <w:basedOn w:val="Normal"/>
    <w:rsid w:val="003A0725"/>
    <w:pPr>
      <w:spacing w:line="480" w:lineRule="exact"/>
      <w:ind w:left="720"/>
    </w:pPr>
  </w:style>
  <w:style w:type="character" w:styleId="Hyperlink">
    <w:name w:val="Hyperlink"/>
    <w:basedOn w:val="DefaultParagraphFont"/>
    <w:rsid w:val="003A0725"/>
    <w:rPr>
      <w:color w:val="0000FF"/>
      <w:u w:val="single"/>
    </w:rPr>
  </w:style>
  <w:style w:type="paragraph" w:styleId="Title">
    <w:name w:val="Title"/>
    <w:basedOn w:val="Normal"/>
    <w:qFormat/>
    <w:rsid w:val="003A0725"/>
    <w:pPr>
      <w:tabs>
        <w:tab w:val="left" w:pos="-720"/>
      </w:tabs>
      <w:overflowPunct/>
      <w:autoSpaceDE/>
      <w:autoSpaceDN/>
      <w:adjustRightInd/>
      <w:spacing w:line="240" w:lineRule="auto"/>
      <w:jc w:val="center"/>
      <w:textAlignment w:val="auto"/>
    </w:pPr>
    <w:rPr>
      <w:rFonts w:ascii="Arial" w:hAnsi="Arial"/>
      <w:b/>
      <w:sz w:val="22"/>
    </w:rPr>
  </w:style>
  <w:style w:type="paragraph" w:styleId="BodyText2">
    <w:name w:val="Body Text 2"/>
    <w:basedOn w:val="Normal"/>
    <w:rsid w:val="003A0725"/>
    <w:pPr>
      <w:spacing w:after="120" w:line="480" w:lineRule="auto"/>
    </w:pPr>
  </w:style>
  <w:style w:type="paragraph" w:customStyle="1" w:styleId="normalblock">
    <w:name w:val="normalblock"/>
    <w:basedOn w:val="Normal"/>
    <w:rsid w:val="003A0725"/>
    <w:pPr>
      <w:overflowPunct/>
      <w:autoSpaceDE/>
      <w:autoSpaceDN/>
      <w:adjustRightInd/>
      <w:spacing w:line="480" w:lineRule="atLeast"/>
      <w:jc w:val="left"/>
      <w:textAlignment w:val="auto"/>
    </w:pPr>
    <w:rPr>
      <w:szCs w:val="24"/>
    </w:rPr>
  </w:style>
  <w:style w:type="paragraph" w:customStyle="1" w:styleId="plain">
    <w:name w:val="plain"/>
    <w:basedOn w:val="Normal"/>
    <w:rsid w:val="003A0725"/>
    <w:pPr>
      <w:overflowPunct/>
      <w:autoSpaceDE/>
      <w:autoSpaceDN/>
      <w:adjustRightInd/>
      <w:spacing w:line="240" w:lineRule="atLeast"/>
      <w:jc w:val="left"/>
      <w:textAlignment w:val="auto"/>
    </w:pPr>
  </w:style>
  <w:style w:type="character" w:styleId="Emphasis">
    <w:name w:val="Emphasis"/>
    <w:basedOn w:val="DefaultParagraphFont"/>
    <w:qFormat/>
    <w:rsid w:val="003A0725"/>
    <w:rPr>
      <w:i/>
      <w:iCs/>
    </w:rPr>
  </w:style>
  <w:style w:type="paragraph" w:customStyle="1" w:styleId="Default">
    <w:name w:val="Default"/>
    <w:rsid w:val="003A0725"/>
    <w:pPr>
      <w:autoSpaceDE w:val="0"/>
      <w:autoSpaceDN w:val="0"/>
      <w:adjustRightInd w:val="0"/>
    </w:pPr>
    <w:rPr>
      <w:color w:val="000000"/>
      <w:sz w:val="24"/>
      <w:szCs w:val="24"/>
    </w:rPr>
  </w:style>
  <w:style w:type="paragraph" w:customStyle="1" w:styleId="ParagraphDiscussion">
    <w:name w:val="ParagraphDiscussion"/>
    <w:rsid w:val="00767C7C"/>
    <w:pPr>
      <w:numPr>
        <w:numId w:val="31"/>
      </w:numPr>
      <w:tabs>
        <w:tab w:val="left" w:pos="720"/>
      </w:tabs>
      <w:spacing w:before="60" w:line="480" w:lineRule="auto"/>
      <w:ind w:firstLine="720"/>
      <w:jc w:val="both"/>
    </w:pPr>
    <w:rPr>
      <w:kern w:val="2"/>
      <w:sz w:val="24"/>
    </w:rPr>
  </w:style>
  <w:style w:type="paragraph" w:styleId="BodyTextIndent2">
    <w:name w:val="Body Text Indent 2"/>
    <w:basedOn w:val="Normal"/>
    <w:link w:val="BodyTextIndent2Char"/>
    <w:rsid w:val="00D87B2F"/>
    <w:pPr>
      <w:spacing w:after="120" w:line="480" w:lineRule="auto"/>
      <w:ind w:left="360"/>
    </w:pPr>
  </w:style>
  <w:style w:type="character" w:customStyle="1" w:styleId="BodyTextIndent2Char">
    <w:name w:val="Body Text Indent 2 Char"/>
    <w:basedOn w:val="DefaultParagraphFont"/>
    <w:link w:val="BodyTextIndent2"/>
    <w:rsid w:val="00D87B2F"/>
    <w:rPr>
      <w:sz w:val="24"/>
    </w:rPr>
  </w:style>
  <w:style w:type="paragraph" w:styleId="NoSpacing">
    <w:name w:val="No Spacing"/>
    <w:uiPriority w:val="1"/>
    <w:qFormat/>
    <w:rsid w:val="00D87B2F"/>
    <w:rPr>
      <w:rFonts w:eastAsia="Calibri"/>
      <w:sz w:val="24"/>
      <w:szCs w:val="22"/>
    </w:rPr>
  </w:style>
  <w:style w:type="character" w:styleId="FollowedHyperlink">
    <w:name w:val="FollowedHyperlink"/>
    <w:basedOn w:val="DefaultParagraphFont"/>
    <w:rsid w:val="00214C22"/>
    <w:rPr>
      <w:color w:val="800080"/>
      <w:u w:val="single"/>
    </w:rPr>
  </w:style>
</w:styles>
</file>

<file path=word/webSettings.xml><?xml version="1.0" encoding="utf-8"?>
<w:webSettings xmlns:r="http://schemas.openxmlformats.org/officeDocument/2006/relationships" xmlns:w="http://schemas.openxmlformats.org/wordprocessingml/2006/main">
  <w:divs>
    <w:div w:id="442771949">
      <w:bodyDiv w:val="1"/>
      <w:marLeft w:val="0"/>
      <w:marRight w:val="0"/>
      <w:marTop w:val="0"/>
      <w:marBottom w:val="0"/>
      <w:divBdr>
        <w:top w:val="none" w:sz="0" w:space="0" w:color="auto"/>
        <w:left w:val="none" w:sz="0" w:space="0" w:color="auto"/>
        <w:bottom w:val="none" w:sz="0" w:space="0" w:color="auto"/>
        <w:right w:val="none" w:sz="0" w:space="0" w:color="auto"/>
      </w:divBdr>
      <w:divsChild>
        <w:div w:id="1189297053">
          <w:marLeft w:val="0"/>
          <w:marRight w:val="0"/>
          <w:marTop w:val="0"/>
          <w:marBottom w:val="0"/>
          <w:divBdr>
            <w:top w:val="none" w:sz="0" w:space="0" w:color="auto"/>
            <w:left w:val="none" w:sz="0" w:space="0" w:color="auto"/>
            <w:bottom w:val="none" w:sz="0" w:space="0" w:color="auto"/>
            <w:right w:val="none" w:sz="0" w:space="0" w:color="auto"/>
          </w:divBdr>
          <w:divsChild>
            <w:div w:id="60693121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420370507">
      <w:bodyDiv w:val="1"/>
      <w:marLeft w:val="0"/>
      <w:marRight w:val="0"/>
      <w:marTop w:val="0"/>
      <w:marBottom w:val="0"/>
      <w:divBdr>
        <w:top w:val="none" w:sz="0" w:space="0" w:color="auto"/>
        <w:left w:val="none" w:sz="0" w:space="0" w:color="auto"/>
        <w:bottom w:val="none" w:sz="0" w:space="0" w:color="auto"/>
        <w:right w:val="none" w:sz="0" w:space="0" w:color="auto"/>
      </w:divBdr>
      <w:divsChild>
        <w:div w:id="155149621">
          <w:marLeft w:val="150"/>
          <w:marRight w:val="0"/>
          <w:marTop w:val="0"/>
          <w:marBottom w:val="0"/>
          <w:divBdr>
            <w:top w:val="none" w:sz="0" w:space="0" w:color="auto"/>
            <w:left w:val="none" w:sz="0" w:space="0" w:color="auto"/>
            <w:bottom w:val="none" w:sz="0" w:space="0" w:color="auto"/>
            <w:right w:val="none" w:sz="0" w:space="0" w:color="auto"/>
          </w:divBdr>
          <w:divsChild>
            <w:div w:id="739523488">
              <w:marLeft w:val="0"/>
              <w:marRight w:val="0"/>
              <w:marTop w:val="0"/>
              <w:marBottom w:val="0"/>
              <w:divBdr>
                <w:top w:val="none" w:sz="0" w:space="0" w:color="auto"/>
                <w:left w:val="none" w:sz="0" w:space="0" w:color="auto"/>
                <w:bottom w:val="none" w:sz="0" w:space="0" w:color="auto"/>
                <w:right w:val="none" w:sz="0" w:space="0" w:color="auto"/>
              </w:divBdr>
            </w:div>
            <w:div w:id="861940715">
              <w:marLeft w:val="0"/>
              <w:marRight w:val="0"/>
              <w:marTop w:val="0"/>
              <w:marBottom w:val="0"/>
              <w:divBdr>
                <w:top w:val="none" w:sz="0" w:space="0" w:color="auto"/>
                <w:left w:val="none" w:sz="0" w:space="0" w:color="auto"/>
                <w:bottom w:val="none" w:sz="0" w:space="0" w:color="auto"/>
                <w:right w:val="none" w:sz="0" w:space="0" w:color="auto"/>
              </w:divBdr>
            </w:div>
            <w:div w:id="1613124453">
              <w:marLeft w:val="0"/>
              <w:marRight w:val="0"/>
              <w:marTop w:val="0"/>
              <w:marBottom w:val="0"/>
              <w:divBdr>
                <w:top w:val="none" w:sz="0" w:space="0" w:color="auto"/>
                <w:left w:val="none" w:sz="0" w:space="0" w:color="auto"/>
                <w:bottom w:val="none" w:sz="0" w:space="0" w:color="auto"/>
                <w:right w:val="none" w:sz="0" w:space="0" w:color="auto"/>
              </w:divBdr>
            </w:div>
            <w:div w:id="1918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2753">
      <w:bodyDiv w:val="1"/>
      <w:marLeft w:val="0"/>
      <w:marRight w:val="0"/>
      <w:marTop w:val="0"/>
      <w:marBottom w:val="0"/>
      <w:divBdr>
        <w:top w:val="none" w:sz="0" w:space="0" w:color="auto"/>
        <w:left w:val="none" w:sz="0" w:space="0" w:color="auto"/>
        <w:bottom w:val="none" w:sz="0" w:space="0" w:color="auto"/>
        <w:right w:val="none" w:sz="0" w:space="0" w:color="auto"/>
      </w:divBdr>
      <w:divsChild>
        <w:div w:id="1957104613">
          <w:marLeft w:val="0"/>
          <w:marRight w:val="0"/>
          <w:marTop w:val="0"/>
          <w:marBottom w:val="0"/>
          <w:divBdr>
            <w:top w:val="none" w:sz="0" w:space="0" w:color="auto"/>
            <w:left w:val="none" w:sz="0" w:space="0" w:color="auto"/>
            <w:bottom w:val="none" w:sz="0" w:space="0" w:color="auto"/>
            <w:right w:val="none" w:sz="0" w:space="0" w:color="auto"/>
          </w:divBdr>
          <w:divsChild>
            <w:div w:id="2079211387">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21453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dom.com/about/electric-transmission/comparison-of-transmission-and-distribution-lin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CD9DDC-1D5D-49D7-AA14-48B2B8CC9668}"/>
</file>

<file path=customXml/itemProps2.xml><?xml version="1.0" encoding="utf-8"?>
<ds:datastoreItem xmlns:ds="http://schemas.openxmlformats.org/officeDocument/2006/customXml" ds:itemID="{8F6EFA31-CCF3-413B-B0DB-D5D2AD43D497}"/>
</file>

<file path=customXml/itemProps3.xml><?xml version="1.0" encoding="utf-8"?>
<ds:datastoreItem xmlns:ds="http://schemas.openxmlformats.org/officeDocument/2006/customXml" ds:itemID="{C984C63A-0B4E-44E7-B8C1-BEEDA6D03115}"/>
</file>

<file path=customXml/itemProps4.xml><?xml version="1.0" encoding="utf-8"?>
<ds:datastoreItem xmlns:ds="http://schemas.openxmlformats.org/officeDocument/2006/customXml" ds:itemID="{75C7A2DA-0812-41AA-8AC3-D1010E9E3623}"/>
</file>

<file path=customXml/itemProps5.xml><?xml version="1.0" encoding="utf-8"?>
<ds:datastoreItem xmlns:ds="http://schemas.openxmlformats.org/officeDocument/2006/customXml" ds:itemID="{0A1C15A8-11E0-4B48-90F5-F092ED1762FC}"/>
</file>

<file path=docProps/app.xml><?xml version="1.0" encoding="utf-8"?>
<Properties xmlns="http://schemas.openxmlformats.org/officeDocument/2006/extended-properties" xmlns:vt="http://schemas.openxmlformats.org/officeDocument/2006/docPropsVTypes">
  <Template>Normal.dotm</Template>
  <TotalTime>0</TotalTime>
  <Pages>6</Pages>
  <Words>1354</Words>
  <Characters>7720</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LinksUpToDate>false</LinksUpToDate>
  <CharactersWithSpaces>9056</CharactersWithSpaces>
  <SharedDoc>false</SharedDoc>
  <HLinks>
    <vt:vector size="12" baseType="variant">
      <vt:variant>
        <vt:i4>3735637</vt:i4>
      </vt:variant>
      <vt:variant>
        <vt:i4>0</vt:i4>
      </vt:variant>
      <vt:variant>
        <vt:i4>0</vt:i4>
      </vt:variant>
      <vt:variant>
        <vt:i4>5</vt:i4>
      </vt:variant>
      <vt:variant>
        <vt:lpwstr>mailto:Lisa.anderl@centurylink.com</vt:lpwstr>
      </vt:variant>
      <vt:variant>
        <vt:lpwstr/>
      </vt:variant>
      <vt:variant>
        <vt:i4>65610</vt:i4>
      </vt:variant>
      <vt:variant>
        <vt:i4>0</vt:i4>
      </vt:variant>
      <vt:variant>
        <vt:i4>0</vt:i4>
      </vt:variant>
      <vt:variant>
        <vt:i4>5</vt:i4>
      </vt:variant>
      <vt:variant>
        <vt:lpwstr>https://www.dom.com/about/electric-transmission/comparison-of-transmission-and-distribution-lines.jsp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
  <cp:lastModifiedBy/>
  <cp:revision>1</cp:revision>
  <cp:lastPrinted>2008-04-10T16:35:00Z</cp:lastPrinted>
  <dcterms:created xsi:type="dcterms:W3CDTF">2014-06-02T16:23:00Z</dcterms:created>
  <dcterms:modified xsi:type="dcterms:W3CDTF">2014-06-02T16:23:00Z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