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69D7D"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000FCF">
        <w:t>18</w:t>
      </w:r>
      <w:r w:rsidR="008A4054" w:rsidRPr="005440CF">
        <w:t>, 201</w:t>
      </w:r>
      <w:r w:rsidR="00000FCF">
        <w:t>3</w:t>
      </w:r>
    </w:p>
    <w:p w14:paraId="70269D7E" w14:textId="5D52C720" w:rsidR="00657DEE" w:rsidRPr="005440CF" w:rsidRDefault="00657DEE" w:rsidP="00FF75F4">
      <w:r w:rsidRPr="005440CF">
        <w:t>Item Number</w:t>
      </w:r>
      <w:r w:rsidR="009778BF">
        <w:t>:</w:t>
      </w:r>
      <w:r w:rsidR="009778BF">
        <w:tab/>
      </w:r>
      <w:r w:rsidR="009778BF">
        <w:tab/>
      </w:r>
      <w:r w:rsidR="00351AC2">
        <w:t>D2</w:t>
      </w:r>
    </w:p>
    <w:p w14:paraId="70269D7F" w14:textId="77777777" w:rsidR="00657DEE" w:rsidRPr="005440CF" w:rsidRDefault="00657DEE" w:rsidP="00FF75F4"/>
    <w:p w14:paraId="70269D80" w14:textId="2339796C" w:rsidR="00657DEE" w:rsidRPr="00204A52" w:rsidRDefault="00657DEE" w:rsidP="002C648F">
      <w:pPr>
        <w:rPr>
          <w:b/>
        </w:rPr>
      </w:pPr>
      <w:r w:rsidRPr="00204A52">
        <w:rPr>
          <w:b/>
        </w:rPr>
        <w:t>Docket</w:t>
      </w:r>
      <w:r w:rsidR="002C648F">
        <w:rPr>
          <w:b/>
        </w:rPr>
        <w:t>:</w:t>
      </w:r>
      <w:r w:rsidR="002C648F">
        <w:rPr>
          <w:b/>
        </w:rPr>
        <w:tab/>
      </w:r>
      <w:r w:rsidR="002C648F">
        <w:rPr>
          <w:b/>
        </w:rPr>
        <w:tab/>
      </w:r>
      <w:r w:rsidR="003B26AE">
        <w:rPr>
          <w:b/>
        </w:rPr>
        <w:t>UE-1</w:t>
      </w:r>
      <w:r w:rsidR="009778BF">
        <w:rPr>
          <w:b/>
        </w:rPr>
        <w:t>32045</w:t>
      </w:r>
    </w:p>
    <w:p w14:paraId="70269D81" w14:textId="77777777" w:rsidR="00040CE3" w:rsidRDefault="00040CE3" w:rsidP="00FF75F4"/>
    <w:p w14:paraId="70269D82" w14:textId="77777777" w:rsidR="00657DEE" w:rsidRPr="005440CF" w:rsidRDefault="00657DEE" w:rsidP="00FF75F4">
      <w:r w:rsidRPr="005440CF">
        <w:t>Company:</w:t>
      </w:r>
      <w:r w:rsidRPr="005440CF">
        <w:tab/>
      </w:r>
      <w:r w:rsidRPr="005440CF">
        <w:tab/>
      </w:r>
      <w:r w:rsidR="009778BF">
        <w:rPr>
          <w:b/>
        </w:rPr>
        <w:t>Avista Corporation</w:t>
      </w:r>
    </w:p>
    <w:p w14:paraId="70269D83" w14:textId="77777777" w:rsidR="00657DEE" w:rsidRPr="005440CF" w:rsidRDefault="00657DEE" w:rsidP="00FF75F4"/>
    <w:p w14:paraId="70269D84" w14:textId="77777777" w:rsidR="003329DB" w:rsidRDefault="00657DEE" w:rsidP="00FF75F4">
      <w:r w:rsidRPr="005440CF">
        <w:t>Staff:</w:t>
      </w:r>
      <w:r w:rsidRPr="005440CF">
        <w:tab/>
      </w:r>
      <w:r w:rsidRPr="005440CF">
        <w:tab/>
      </w:r>
      <w:r w:rsidRPr="005440CF">
        <w:tab/>
      </w:r>
      <w:r w:rsidR="009778BF">
        <w:t>Chris McGuire</w:t>
      </w:r>
      <w:r w:rsidR="00000FCF">
        <w:t>, Regulatory Analyst</w:t>
      </w:r>
    </w:p>
    <w:p w14:paraId="70269D85" w14:textId="77777777" w:rsidR="00653825" w:rsidRDefault="00653825" w:rsidP="00FF75F4">
      <w:r>
        <w:tab/>
      </w:r>
      <w:r>
        <w:tab/>
      </w:r>
      <w:r>
        <w:tab/>
        <w:t>Brad Cebulko, Regulatory Analyst</w:t>
      </w:r>
    </w:p>
    <w:p w14:paraId="70269D86" w14:textId="77777777" w:rsidR="001923BA" w:rsidRPr="005440CF" w:rsidRDefault="003B26AE" w:rsidP="00FF75F4">
      <w:r>
        <w:tab/>
      </w:r>
      <w:r>
        <w:tab/>
      </w:r>
      <w:r>
        <w:tab/>
      </w:r>
      <w:r w:rsidR="00D75C47">
        <w:tab/>
      </w:r>
      <w:r w:rsidR="00D75C47">
        <w:tab/>
      </w:r>
    </w:p>
    <w:p w14:paraId="70269D87" w14:textId="77777777" w:rsidR="009363BA" w:rsidRPr="00CD74CC" w:rsidRDefault="00BF3D13" w:rsidP="00204A52">
      <w:pPr>
        <w:pStyle w:val="Heading1"/>
        <w:rPr>
          <w:u w:val="single"/>
        </w:rPr>
      </w:pPr>
      <w:r w:rsidRPr="00CD74CC">
        <w:rPr>
          <w:u w:val="single"/>
        </w:rPr>
        <w:t>Recommendation</w:t>
      </w:r>
    </w:p>
    <w:p w14:paraId="70269D88" w14:textId="0AD63A33" w:rsidR="00AF72F4" w:rsidRDefault="00AF72F4" w:rsidP="00AF72F4">
      <w:r>
        <w:t>Issue an order approving Avista Corporation’s</w:t>
      </w:r>
      <w:r w:rsidR="004E1264">
        <w:t xml:space="preserve"> (Avista or company)</w:t>
      </w:r>
      <w:r>
        <w:t xml:space="preserve"> </w:t>
      </w:r>
      <w:r w:rsidR="00D035A4">
        <w:t>10</w:t>
      </w:r>
      <w:r>
        <w:t xml:space="preserve">-year conservation potential of 404,736 megawatt-hours and a </w:t>
      </w:r>
      <w:r w:rsidRPr="00DE7055">
        <w:t>revised</w:t>
      </w:r>
      <w:r>
        <w:t xml:space="preserve"> biennial conservation target of 65,131 megawatt-hours, subject to the conditions in Attachment A</w:t>
      </w:r>
      <w:r w:rsidR="009A6C05">
        <w:t>. In addition, by Jan</w:t>
      </w:r>
      <w:r w:rsidR="004E1264">
        <w:t>uary</w:t>
      </w:r>
      <w:r w:rsidR="009A6C05">
        <w:t xml:space="preserve"> 31, 2014, Avista must submit</w:t>
      </w:r>
      <w:r w:rsidR="00362E09">
        <w:t xml:space="preserve"> </w:t>
      </w:r>
      <w:r>
        <w:t>a revised business plan</w:t>
      </w:r>
      <w:r w:rsidR="009A6C05">
        <w:t xml:space="preserve"> </w:t>
      </w:r>
      <w:r>
        <w:t>that describes the company’s plan to implement conservation programs and</w:t>
      </w:r>
      <w:r w:rsidR="002B2EE9">
        <w:t xml:space="preserve"> demonstrates that the</w:t>
      </w:r>
      <w:r>
        <w:t xml:space="preserve"> business plan has been developed to meet or exceed the biennial target.</w:t>
      </w:r>
    </w:p>
    <w:p w14:paraId="70269D89" w14:textId="77777777" w:rsidR="000F05C4" w:rsidRPr="00CD74CC" w:rsidRDefault="00CA5322" w:rsidP="005A60BD">
      <w:pPr>
        <w:pStyle w:val="Heading1"/>
        <w:rPr>
          <w:u w:val="single"/>
        </w:rPr>
      </w:pPr>
      <w:r>
        <w:rPr>
          <w:u w:val="single"/>
        </w:rPr>
        <w:t>Background</w:t>
      </w:r>
    </w:p>
    <w:p w14:paraId="70269D8A" w14:textId="68698FD1" w:rsidR="003D0522" w:rsidRPr="003D0522" w:rsidRDefault="00C40BED" w:rsidP="000F05C4">
      <w:r w:rsidRPr="004B4ED5">
        <w:t xml:space="preserve">On </w:t>
      </w:r>
      <w:r w:rsidR="003D0522" w:rsidRPr="004B4ED5">
        <w:t>Nov</w:t>
      </w:r>
      <w:r w:rsidR="004E1264">
        <w:t>ember</w:t>
      </w:r>
      <w:r w:rsidR="003D0522" w:rsidRPr="004B4ED5">
        <w:t xml:space="preserve"> </w:t>
      </w:r>
      <w:r w:rsidR="004B4ED5" w:rsidRPr="004B4ED5">
        <w:t>1, 2013</w:t>
      </w:r>
      <w:r w:rsidR="009778BF">
        <w:t xml:space="preserve">, Avista filed its </w:t>
      </w:r>
      <w:r w:rsidRPr="004B4ED5">
        <w:t>201</w:t>
      </w:r>
      <w:r w:rsidR="004B4ED5" w:rsidRPr="004B4ED5">
        <w:t>4</w:t>
      </w:r>
      <w:r w:rsidRPr="004B4ED5">
        <w:t>-201</w:t>
      </w:r>
      <w:r w:rsidR="004B4ED5" w:rsidRPr="004B4ED5">
        <w:t>5</w:t>
      </w:r>
      <w:r w:rsidR="009778BF">
        <w:t xml:space="preserve"> Biennial Conservation Plan</w:t>
      </w:r>
      <w:r w:rsidR="00CB3FE8" w:rsidRPr="004B4ED5">
        <w:t xml:space="preserve"> (BCP)</w:t>
      </w:r>
      <w:r w:rsidR="00CD74CC">
        <w:t xml:space="preserve"> with the Washington Utilities and Transportation Commission (commission)</w:t>
      </w:r>
      <w:r w:rsidR="009778BF">
        <w:t xml:space="preserve"> under Docket UE-132045</w:t>
      </w:r>
      <w:r w:rsidR="00D035A4">
        <w:t xml:space="preserve">. </w:t>
      </w:r>
      <w:r w:rsidR="009778BF">
        <w:t>The BCP</w:t>
      </w:r>
      <w:r w:rsidR="00CD74CC">
        <w:t xml:space="preserve"> </w:t>
      </w:r>
      <w:r w:rsidRPr="004B4ED5">
        <w:t>identifie</w:t>
      </w:r>
      <w:r w:rsidR="00CD74CC">
        <w:t>s</w:t>
      </w:r>
      <w:r w:rsidRPr="00CD74CC">
        <w:t xml:space="preserve"> a 201</w:t>
      </w:r>
      <w:r w:rsidR="004B4ED5" w:rsidRPr="00CD74CC">
        <w:t>4</w:t>
      </w:r>
      <w:r w:rsidRPr="00CD74CC">
        <w:t>-202</w:t>
      </w:r>
      <w:r w:rsidR="004B4ED5" w:rsidRPr="00CD74CC">
        <w:t>3</w:t>
      </w:r>
      <w:r w:rsidRPr="00CD74CC">
        <w:t xml:space="preserve"> achievable conservation potential</w:t>
      </w:r>
      <w:r w:rsidR="00CD74CC">
        <w:t xml:space="preserve"> of </w:t>
      </w:r>
      <w:r w:rsidR="002C1C8E">
        <w:t>404,736</w:t>
      </w:r>
      <w:r w:rsidR="00CD74CC" w:rsidRPr="00CD74CC">
        <w:t xml:space="preserve"> megawatt-hours (MWh)</w:t>
      </w:r>
      <w:r w:rsidRPr="00CD74CC">
        <w:t xml:space="preserve">, </w:t>
      </w:r>
      <w:r w:rsidR="00CD74CC">
        <w:t xml:space="preserve">a </w:t>
      </w:r>
      <w:r w:rsidRPr="00CD74CC">
        <w:t>201</w:t>
      </w:r>
      <w:r w:rsidR="00CD74CC">
        <w:t>4</w:t>
      </w:r>
      <w:r w:rsidRPr="00CD74CC">
        <w:t>-201</w:t>
      </w:r>
      <w:r w:rsidR="00CD74CC">
        <w:t>5</w:t>
      </w:r>
      <w:r w:rsidRPr="00CD74CC">
        <w:t xml:space="preserve"> biennial conservation </w:t>
      </w:r>
      <w:r w:rsidR="00341972">
        <w:t>target</w:t>
      </w:r>
      <w:r w:rsidR="00CD74CC">
        <w:t xml:space="preserve"> of </w:t>
      </w:r>
      <w:r w:rsidR="007676A1">
        <w:t>58,231</w:t>
      </w:r>
      <w:r w:rsidR="00CD74CC" w:rsidRPr="00CD74CC">
        <w:t xml:space="preserve"> MWh</w:t>
      </w:r>
      <w:r w:rsidRPr="00CD74CC">
        <w:t xml:space="preserve">, and business plan to implement conservation programs </w:t>
      </w:r>
      <w:r w:rsidR="00E80D03">
        <w:t>to achieve that target.</w:t>
      </w:r>
      <w:r w:rsidR="00464ECA">
        <w:t xml:space="preserve"> S</w:t>
      </w:r>
      <w:r w:rsidR="003D0522">
        <w:t xml:space="preserve">taff filed </w:t>
      </w:r>
      <w:r w:rsidR="00D035A4">
        <w:t xml:space="preserve">responsive </w:t>
      </w:r>
      <w:r w:rsidR="003D0522">
        <w:t>comments on the BCP on Dec</w:t>
      </w:r>
      <w:r w:rsidR="004E1264">
        <w:t>ember</w:t>
      </w:r>
      <w:r w:rsidR="003D0522">
        <w:t xml:space="preserve"> 3, 2013.</w:t>
      </w:r>
    </w:p>
    <w:p w14:paraId="70269D8B" w14:textId="77777777" w:rsidR="00604FFF" w:rsidRPr="00515633" w:rsidRDefault="00604FFF" w:rsidP="00604FFF">
      <w:pPr>
        <w:rPr>
          <w:highlight w:val="yellow"/>
        </w:rPr>
      </w:pPr>
    </w:p>
    <w:p w14:paraId="70269D8C" w14:textId="77777777" w:rsidR="00604FFF" w:rsidRPr="001363A7" w:rsidRDefault="004F63D1" w:rsidP="00604FFF">
      <w:r>
        <w:t xml:space="preserve">Avista serves approximately 237,000 electric customers in Adams, Asotin, Ferry, Franklin, Grant, Lincoln, Spokane, Stevens, and Whitman counties, and approximately 149,000 natural gas customers in Adams, Asotin, Ferry, Franklin, Grant, Klickitat, Lincoln, Skamania, Spokane, Stevens, and Whitman counties. </w:t>
      </w:r>
    </w:p>
    <w:p w14:paraId="70269D8D" w14:textId="77777777" w:rsidR="00604FFF" w:rsidRPr="00515633" w:rsidRDefault="00604FFF" w:rsidP="00520CC1">
      <w:pPr>
        <w:rPr>
          <w:highlight w:val="yellow"/>
        </w:rPr>
      </w:pPr>
    </w:p>
    <w:p w14:paraId="70269D8E" w14:textId="77777777" w:rsidR="000B6FA5" w:rsidRPr="00CA5322" w:rsidRDefault="001363A7" w:rsidP="00520CC1">
      <w:pPr>
        <w:rPr>
          <w:b/>
        </w:rPr>
      </w:pPr>
      <w:r w:rsidRPr="00CA5322">
        <w:rPr>
          <w:b/>
        </w:rPr>
        <w:t xml:space="preserve">Biennial Conservation Target </w:t>
      </w:r>
      <w:r w:rsidR="00BE498D">
        <w:rPr>
          <w:b/>
        </w:rPr>
        <w:t>and Portfolio Savings</w:t>
      </w:r>
    </w:p>
    <w:p w14:paraId="70269D8F" w14:textId="77777777" w:rsidR="0044594A" w:rsidRPr="00CA5322" w:rsidRDefault="0044594A" w:rsidP="0044594A"/>
    <w:p w14:paraId="70269D90" w14:textId="34BF3206" w:rsidR="008734EF" w:rsidRDefault="00CA5322" w:rsidP="0044594A">
      <w:r>
        <w:t xml:space="preserve">As described </w:t>
      </w:r>
      <w:r w:rsidR="00E3788D">
        <w:t>in staff c</w:t>
      </w:r>
      <w:r w:rsidR="0092599F">
        <w:t xml:space="preserve">omments, </w:t>
      </w:r>
      <w:r w:rsidR="007676A1">
        <w:t>Avista</w:t>
      </w:r>
      <w:r w:rsidR="00341972">
        <w:t xml:space="preserve"> identified a 2014-2023 achie</w:t>
      </w:r>
      <w:r w:rsidR="007676A1">
        <w:t xml:space="preserve">vable conservation potential of 404,736 MWh and a 2014-2015 two-year achieveable conservation potential of </w:t>
      </w:r>
      <w:r w:rsidR="00E76CF3">
        <w:t xml:space="preserve"> 67,137 MWh</w:t>
      </w:r>
      <w:r w:rsidR="00D035A4">
        <w:t xml:space="preserve">. </w:t>
      </w:r>
      <w:r w:rsidR="00E76CF3">
        <w:t>To derive the target, shown in Table 1 below, Avista adjusts the two-year potential</w:t>
      </w:r>
      <w:r w:rsidR="001B6C26">
        <w:t xml:space="preserve"> </w:t>
      </w:r>
      <w:r w:rsidR="00E76CF3">
        <w:t>in two ways. First, Avista subtracts</w:t>
      </w:r>
      <w:r w:rsidR="00433A8C">
        <w:t xml:space="preserve"> the savings associated with the Northwest Energy Efficiency</w:t>
      </w:r>
      <w:r w:rsidR="00E76CF3">
        <w:t xml:space="preserve"> Alliance (NEEA)</w:t>
      </w:r>
      <w:r w:rsidR="00433A8C">
        <w:t xml:space="preserve">, in a manner consistent with the joint proposal filed on </w:t>
      </w:r>
      <w:r w:rsidR="00D035A4">
        <w:t>Oct</w:t>
      </w:r>
      <w:r w:rsidR="004E1264">
        <w:t>ober</w:t>
      </w:r>
      <w:r w:rsidR="00D035A4">
        <w:t xml:space="preserve"> </w:t>
      </w:r>
      <w:r w:rsidR="00E76CF3">
        <w:t>31, 2012</w:t>
      </w:r>
      <w:r w:rsidR="00F35E1D">
        <w:t>,</w:t>
      </w:r>
      <w:r w:rsidR="00E76CF3">
        <w:t xml:space="preserve"> in Docket UE-100176</w:t>
      </w:r>
      <w:r w:rsidR="00D035A4">
        <w:t xml:space="preserve">. </w:t>
      </w:r>
      <w:r w:rsidR="008734EF">
        <w:t>Avista then adds</w:t>
      </w:r>
      <w:r w:rsidR="00BE498D">
        <w:t xml:space="preserve"> the savings it expects to achieve from its </w:t>
      </w:r>
      <w:r w:rsidR="008734EF">
        <w:t xml:space="preserve">generation and distribution efficiency opportunities. </w:t>
      </w:r>
      <w:r w:rsidR="00544B2C">
        <w:t>The effect of these adjustment</w:t>
      </w:r>
      <w:r w:rsidR="003D0522">
        <w:t>s</w:t>
      </w:r>
      <w:r w:rsidR="00544B2C">
        <w:t xml:space="preserve"> is shown in Table 1, below.</w:t>
      </w:r>
    </w:p>
    <w:p w14:paraId="70269D91" w14:textId="77777777" w:rsidR="00433A8C" w:rsidRDefault="00433A8C" w:rsidP="0044594A"/>
    <w:p w14:paraId="22CFEC48" w14:textId="77777777" w:rsidR="009A6C05" w:rsidRDefault="009A6C05" w:rsidP="00BE498D">
      <w:pPr>
        <w:spacing w:line="264" w:lineRule="auto"/>
        <w:ind w:right="720"/>
        <w:rPr>
          <w:b/>
        </w:rPr>
      </w:pPr>
    </w:p>
    <w:p w14:paraId="281043E0" w14:textId="77777777" w:rsidR="004E1264" w:rsidRDefault="004E1264" w:rsidP="00BE498D">
      <w:pPr>
        <w:spacing w:line="264" w:lineRule="auto"/>
        <w:ind w:right="720"/>
        <w:rPr>
          <w:b/>
        </w:rPr>
      </w:pPr>
    </w:p>
    <w:p w14:paraId="1308A6F1" w14:textId="4DF938BA" w:rsidR="004E1264" w:rsidRDefault="004E1264">
      <w:pPr>
        <w:rPr>
          <w:b/>
        </w:rPr>
      </w:pPr>
      <w:r>
        <w:rPr>
          <w:b/>
        </w:rPr>
        <w:br w:type="page"/>
      </w:r>
    </w:p>
    <w:p w14:paraId="6D0214DB" w14:textId="03E6F4DF" w:rsidR="004E1264" w:rsidRDefault="004E1264" w:rsidP="00BE498D">
      <w:pPr>
        <w:spacing w:line="264" w:lineRule="auto"/>
        <w:ind w:right="720"/>
        <w:rPr>
          <w:b/>
        </w:rPr>
      </w:pPr>
    </w:p>
    <w:p w14:paraId="70269D92" w14:textId="77777777" w:rsidR="00341972" w:rsidRPr="00084184" w:rsidRDefault="00341972" w:rsidP="00632A34">
      <w:pPr>
        <w:spacing w:after="240" w:line="264" w:lineRule="auto"/>
        <w:ind w:right="720"/>
        <w:rPr>
          <w:b/>
        </w:rPr>
      </w:pPr>
      <w:r w:rsidRPr="00084184">
        <w:rPr>
          <w:b/>
        </w:rPr>
        <w:t xml:space="preserve">Table </w:t>
      </w:r>
      <w:r>
        <w:rPr>
          <w:b/>
        </w:rPr>
        <w:t>1</w:t>
      </w:r>
      <w:r w:rsidRPr="00084184">
        <w:rPr>
          <w:b/>
        </w:rPr>
        <w:t xml:space="preserve">. Development of </w:t>
      </w:r>
      <w:r w:rsidR="008734EF">
        <w:rPr>
          <w:b/>
        </w:rPr>
        <w:t>Avista</w:t>
      </w:r>
      <w:r w:rsidRPr="00084184">
        <w:rPr>
          <w:b/>
        </w:rPr>
        <w:t>’s 2014-2015 Biennial Conservation Target</w:t>
      </w:r>
      <w:r w:rsidR="00BE498D">
        <w:rPr>
          <w:b/>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341972" w:rsidRPr="009355D6" w14:paraId="70269D95" w14:textId="77777777" w:rsidTr="00632A34">
        <w:trPr>
          <w:trHeight w:val="379"/>
        </w:trPr>
        <w:tc>
          <w:tcPr>
            <w:tcW w:w="5203" w:type="dxa"/>
            <w:tcMar>
              <w:top w:w="0" w:type="dxa"/>
              <w:left w:w="108" w:type="dxa"/>
              <w:bottom w:w="0" w:type="dxa"/>
              <w:right w:w="108" w:type="dxa"/>
            </w:tcMar>
            <w:vAlign w:val="bottom"/>
            <w:hideMark/>
          </w:tcPr>
          <w:p w14:paraId="70269D9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2181" w:type="dxa"/>
            <w:tcMar>
              <w:top w:w="0" w:type="dxa"/>
              <w:left w:w="108" w:type="dxa"/>
              <w:bottom w:w="0" w:type="dxa"/>
              <w:right w:w="108" w:type="dxa"/>
            </w:tcMar>
            <w:hideMark/>
          </w:tcPr>
          <w:p w14:paraId="70269D9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70269D98" w14:textId="77777777" w:rsidTr="00632A34">
        <w:trPr>
          <w:trHeight w:val="269"/>
        </w:trPr>
        <w:tc>
          <w:tcPr>
            <w:tcW w:w="5203" w:type="dxa"/>
            <w:tcMar>
              <w:top w:w="0" w:type="dxa"/>
              <w:left w:w="108" w:type="dxa"/>
              <w:bottom w:w="0" w:type="dxa"/>
              <w:right w:w="108" w:type="dxa"/>
            </w:tcMar>
            <w:hideMark/>
          </w:tcPr>
          <w:p w14:paraId="70269D96" w14:textId="77777777" w:rsidR="00341972" w:rsidRPr="009355D6" w:rsidRDefault="00341972" w:rsidP="00341972">
            <w:pPr>
              <w:spacing w:line="264" w:lineRule="auto"/>
              <w:ind w:right="720"/>
            </w:pPr>
            <w:r>
              <w:t xml:space="preserve">End-Use </w:t>
            </w:r>
            <w:r w:rsidRPr="009355D6">
              <w:t>Efficiency</w:t>
            </w:r>
            <w:r>
              <w:t xml:space="preserve"> Measures</w:t>
            </w:r>
            <w:r w:rsidRPr="009355D6">
              <w:t xml:space="preserve"> (CPA)</w:t>
            </w:r>
          </w:p>
        </w:tc>
        <w:tc>
          <w:tcPr>
            <w:tcW w:w="2181" w:type="dxa"/>
            <w:tcMar>
              <w:top w:w="0" w:type="dxa"/>
              <w:left w:w="108" w:type="dxa"/>
              <w:bottom w:w="0" w:type="dxa"/>
              <w:right w:w="108" w:type="dxa"/>
            </w:tcMar>
            <w:hideMark/>
          </w:tcPr>
          <w:p w14:paraId="70269D97" w14:textId="77777777" w:rsidR="00341972" w:rsidRPr="009355D6" w:rsidRDefault="008734EF" w:rsidP="00341972">
            <w:pPr>
              <w:spacing w:line="264" w:lineRule="auto"/>
              <w:ind w:right="720"/>
              <w:jc w:val="right"/>
            </w:pPr>
            <w:r>
              <w:t>67,137</w:t>
            </w:r>
          </w:p>
        </w:tc>
      </w:tr>
      <w:tr w:rsidR="00341972" w:rsidRPr="009355D6" w14:paraId="70269D9B" w14:textId="77777777" w:rsidTr="00632A34">
        <w:trPr>
          <w:trHeight w:val="314"/>
        </w:trPr>
        <w:tc>
          <w:tcPr>
            <w:tcW w:w="5203" w:type="dxa"/>
            <w:tcMar>
              <w:top w:w="0" w:type="dxa"/>
              <w:left w:w="108" w:type="dxa"/>
              <w:bottom w:w="0" w:type="dxa"/>
              <w:right w:w="108" w:type="dxa"/>
            </w:tcMar>
            <w:hideMark/>
          </w:tcPr>
          <w:p w14:paraId="70269D99" w14:textId="77777777" w:rsidR="00341972" w:rsidRPr="009355D6" w:rsidRDefault="00341972" w:rsidP="00341972">
            <w:pPr>
              <w:spacing w:line="264" w:lineRule="auto"/>
              <w:ind w:right="720"/>
            </w:pPr>
            <w:r w:rsidRPr="009355D6">
              <w:t>Less NEEA</w:t>
            </w:r>
          </w:p>
        </w:tc>
        <w:tc>
          <w:tcPr>
            <w:tcW w:w="2181" w:type="dxa"/>
            <w:tcMar>
              <w:top w:w="0" w:type="dxa"/>
              <w:left w:w="108" w:type="dxa"/>
              <w:bottom w:w="0" w:type="dxa"/>
              <w:right w:w="108" w:type="dxa"/>
            </w:tcMar>
            <w:hideMark/>
          </w:tcPr>
          <w:p w14:paraId="70269D9A" w14:textId="77777777" w:rsidR="00341972" w:rsidRPr="009355D6" w:rsidRDefault="00341972" w:rsidP="00341972">
            <w:pPr>
              <w:spacing w:line="264" w:lineRule="auto"/>
              <w:ind w:right="720"/>
              <w:jc w:val="right"/>
            </w:pPr>
            <w:r w:rsidRPr="009355D6">
              <w:t>(</w:t>
            </w:r>
            <w:r w:rsidR="008734EF">
              <w:t>11,130</w:t>
            </w:r>
            <w:r w:rsidRPr="009355D6">
              <w:t>)</w:t>
            </w:r>
          </w:p>
        </w:tc>
      </w:tr>
      <w:tr w:rsidR="00341972" w:rsidRPr="00125C1B" w14:paraId="70269D9E" w14:textId="77777777" w:rsidTr="00632A34">
        <w:trPr>
          <w:trHeight w:val="269"/>
        </w:trPr>
        <w:tc>
          <w:tcPr>
            <w:tcW w:w="5203" w:type="dxa"/>
            <w:tcMar>
              <w:top w:w="0" w:type="dxa"/>
              <w:left w:w="108" w:type="dxa"/>
              <w:bottom w:w="0" w:type="dxa"/>
              <w:right w:w="108" w:type="dxa"/>
            </w:tcMar>
            <w:hideMark/>
          </w:tcPr>
          <w:p w14:paraId="70269D9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2181" w:type="dxa"/>
            <w:tcMar>
              <w:top w:w="0" w:type="dxa"/>
              <w:left w:w="108" w:type="dxa"/>
              <w:bottom w:w="0" w:type="dxa"/>
              <w:right w:w="108" w:type="dxa"/>
            </w:tcMar>
            <w:hideMark/>
          </w:tcPr>
          <w:p w14:paraId="70269D9D" w14:textId="77777777" w:rsidR="00341972" w:rsidRPr="00125C1B" w:rsidRDefault="008734EF" w:rsidP="00341972">
            <w:pPr>
              <w:spacing w:line="264" w:lineRule="auto"/>
              <w:ind w:right="720"/>
              <w:jc w:val="right"/>
            </w:pPr>
            <w:r>
              <w:t>56,007</w:t>
            </w:r>
          </w:p>
        </w:tc>
      </w:tr>
      <w:tr w:rsidR="00582F7E" w:rsidRPr="009355D6" w14:paraId="70269DA1" w14:textId="77777777" w:rsidTr="00632A34">
        <w:trPr>
          <w:trHeight w:val="305"/>
        </w:trPr>
        <w:tc>
          <w:tcPr>
            <w:tcW w:w="5203" w:type="dxa"/>
            <w:tcMar>
              <w:top w:w="0" w:type="dxa"/>
              <w:left w:w="108" w:type="dxa"/>
              <w:bottom w:w="0" w:type="dxa"/>
              <w:right w:w="108" w:type="dxa"/>
            </w:tcMar>
          </w:tcPr>
          <w:p w14:paraId="70269D9F" w14:textId="77777777" w:rsidR="00582F7E" w:rsidRPr="00125C1B" w:rsidRDefault="00582F7E" w:rsidP="00341972">
            <w:pPr>
              <w:spacing w:line="264" w:lineRule="auto"/>
              <w:ind w:right="720"/>
            </w:pPr>
            <w:r>
              <w:t>Plus Distribution Efficiency</w:t>
            </w:r>
          </w:p>
        </w:tc>
        <w:tc>
          <w:tcPr>
            <w:tcW w:w="2181" w:type="dxa"/>
            <w:tcMar>
              <w:top w:w="0" w:type="dxa"/>
              <w:left w:w="108" w:type="dxa"/>
              <w:bottom w:w="0" w:type="dxa"/>
              <w:right w:w="108" w:type="dxa"/>
            </w:tcMar>
          </w:tcPr>
          <w:p w14:paraId="70269DA0" w14:textId="77777777" w:rsidR="00582F7E" w:rsidRDefault="003B64CF" w:rsidP="00341972">
            <w:pPr>
              <w:spacing w:line="264" w:lineRule="auto"/>
              <w:ind w:right="720"/>
              <w:jc w:val="right"/>
            </w:pPr>
            <w:r>
              <w:t>2,061</w:t>
            </w:r>
          </w:p>
        </w:tc>
      </w:tr>
      <w:tr w:rsidR="00341972" w:rsidRPr="009355D6" w14:paraId="70269DA4" w14:textId="77777777" w:rsidTr="00632A34">
        <w:trPr>
          <w:trHeight w:val="305"/>
        </w:trPr>
        <w:tc>
          <w:tcPr>
            <w:tcW w:w="5203" w:type="dxa"/>
            <w:tcMar>
              <w:top w:w="0" w:type="dxa"/>
              <w:left w:w="108" w:type="dxa"/>
              <w:bottom w:w="0" w:type="dxa"/>
              <w:right w:w="108" w:type="dxa"/>
            </w:tcMar>
            <w:hideMark/>
          </w:tcPr>
          <w:p w14:paraId="70269DA2" w14:textId="77777777" w:rsidR="00341972" w:rsidRPr="00125C1B" w:rsidRDefault="00341972" w:rsidP="00341972">
            <w:pPr>
              <w:spacing w:line="264" w:lineRule="auto"/>
              <w:ind w:right="720"/>
            </w:pPr>
            <w:r w:rsidRPr="00125C1B">
              <w:t xml:space="preserve">Plus </w:t>
            </w:r>
            <w:r w:rsidR="003B64CF">
              <w:t>Generation Efficiency</w:t>
            </w:r>
          </w:p>
        </w:tc>
        <w:tc>
          <w:tcPr>
            <w:tcW w:w="2181" w:type="dxa"/>
            <w:tcMar>
              <w:top w:w="0" w:type="dxa"/>
              <w:left w:w="108" w:type="dxa"/>
              <w:bottom w:w="0" w:type="dxa"/>
              <w:right w:w="108" w:type="dxa"/>
            </w:tcMar>
            <w:hideMark/>
          </w:tcPr>
          <w:p w14:paraId="70269DA3" w14:textId="77777777" w:rsidR="00341972" w:rsidRPr="009355D6" w:rsidRDefault="003B64CF" w:rsidP="00341972">
            <w:pPr>
              <w:spacing w:line="264" w:lineRule="auto"/>
              <w:ind w:right="720"/>
              <w:jc w:val="right"/>
            </w:pPr>
            <w:r>
              <w:t>163</w:t>
            </w:r>
          </w:p>
        </w:tc>
      </w:tr>
      <w:tr w:rsidR="00341972" w:rsidRPr="009355D6" w14:paraId="70269DA7" w14:textId="77777777" w:rsidTr="00632A34">
        <w:trPr>
          <w:trHeight w:val="99"/>
        </w:trPr>
        <w:tc>
          <w:tcPr>
            <w:tcW w:w="5203" w:type="dxa"/>
            <w:tcMar>
              <w:top w:w="0" w:type="dxa"/>
              <w:left w:w="108" w:type="dxa"/>
              <w:bottom w:w="0" w:type="dxa"/>
              <w:right w:w="108" w:type="dxa"/>
            </w:tcMar>
            <w:hideMark/>
          </w:tcPr>
          <w:p w14:paraId="70269DA5" w14:textId="77777777" w:rsidR="00341972" w:rsidRPr="009355D6" w:rsidRDefault="00341972" w:rsidP="00341972">
            <w:pPr>
              <w:spacing w:line="264" w:lineRule="auto"/>
              <w:ind w:right="720"/>
              <w:rPr>
                <w:b/>
                <w:bCs/>
              </w:rPr>
            </w:pPr>
            <w:r>
              <w:rPr>
                <w:b/>
                <w:bCs/>
              </w:rPr>
              <w:t>2014-20</w:t>
            </w:r>
            <w:r w:rsidRPr="009355D6">
              <w:rPr>
                <w:b/>
                <w:bCs/>
              </w:rPr>
              <w:t xml:space="preserve">15 </w:t>
            </w:r>
            <w:r>
              <w:rPr>
                <w:b/>
                <w:bCs/>
              </w:rPr>
              <w:t>Biennial Conservation</w:t>
            </w:r>
            <w:r w:rsidRPr="009355D6">
              <w:rPr>
                <w:b/>
                <w:bCs/>
              </w:rPr>
              <w:t xml:space="preserve"> Target</w:t>
            </w:r>
          </w:p>
        </w:tc>
        <w:tc>
          <w:tcPr>
            <w:tcW w:w="2181" w:type="dxa"/>
            <w:tcMar>
              <w:top w:w="0" w:type="dxa"/>
              <w:left w:w="108" w:type="dxa"/>
              <w:bottom w:w="0" w:type="dxa"/>
              <w:right w:w="108" w:type="dxa"/>
            </w:tcMar>
            <w:hideMark/>
          </w:tcPr>
          <w:p w14:paraId="70269DA6" w14:textId="77777777" w:rsidR="00BE498D" w:rsidRPr="009355D6" w:rsidRDefault="007626EA" w:rsidP="00BE498D">
            <w:pPr>
              <w:spacing w:line="264" w:lineRule="auto"/>
              <w:ind w:right="720"/>
              <w:jc w:val="right"/>
              <w:rPr>
                <w:b/>
                <w:bCs/>
              </w:rPr>
            </w:pPr>
            <w:r>
              <w:rPr>
                <w:b/>
                <w:bCs/>
              </w:rPr>
              <w:t>58,231</w:t>
            </w:r>
          </w:p>
        </w:tc>
      </w:tr>
      <w:tr w:rsidR="00F35BED" w:rsidRPr="00F35BED" w14:paraId="70269DAA" w14:textId="77777777" w:rsidTr="00632A34">
        <w:trPr>
          <w:trHeight w:val="99"/>
        </w:trPr>
        <w:tc>
          <w:tcPr>
            <w:tcW w:w="5203" w:type="dxa"/>
            <w:tcMar>
              <w:top w:w="0" w:type="dxa"/>
              <w:left w:w="108" w:type="dxa"/>
              <w:bottom w:w="0" w:type="dxa"/>
              <w:right w:w="108" w:type="dxa"/>
            </w:tcMar>
          </w:tcPr>
          <w:p w14:paraId="70269DA8" w14:textId="77777777" w:rsidR="00F35BED" w:rsidRPr="00F35BED" w:rsidRDefault="00F35BED" w:rsidP="00341972">
            <w:pPr>
              <w:spacing w:line="264" w:lineRule="auto"/>
              <w:ind w:right="720"/>
              <w:rPr>
                <w:bCs/>
              </w:rPr>
            </w:pPr>
            <w:r>
              <w:rPr>
                <w:bCs/>
              </w:rPr>
              <w:t>Plus Opower Home Energy Reports</w:t>
            </w:r>
          </w:p>
        </w:tc>
        <w:tc>
          <w:tcPr>
            <w:tcW w:w="2181" w:type="dxa"/>
            <w:tcMar>
              <w:top w:w="0" w:type="dxa"/>
              <w:left w:w="108" w:type="dxa"/>
              <w:bottom w:w="0" w:type="dxa"/>
              <w:right w:w="108" w:type="dxa"/>
            </w:tcMar>
          </w:tcPr>
          <w:p w14:paraId="70269DA9" w14:textId="77777777" w:rsidR="00F35BED" w:rsidRPr="00F35BED" w:rsidRDefault="00F35BED" w:rsidP="00BE498D">
            <w:pPr>
              <w:spacing w:line="264" w:lineRule="auto"/>
              <w:ind w:right="720"/>
              <w:jc w:val="right"/>
              <w:rPr>
                <w:bCs/>
              </w:rPr>
            </w:pPr>
            <w:r>
              <w:rPr>
                <w:bCs/>
              </w:rPr>
              <w:t>6,900</w:t>
            </w:r>
          </w:p>
        </w:tc>
      </w:tr>
      <w:tr w:rsidR="00E601ED" w:rsidRPr="009355D6" w14:paraId="70269DAD" w14:textId="77777777" w:rsidTr="00632A34">
        <w:trPr>
          <w:trHeight w:val="99"/>
        </w:trPr>
        <w:tc>
          <w:tcPr>
            <w:tcW w:w="5203" w:type="dxa"/>
            <w:tcMar>
              <w:top w:w="0" w:type="dxa"/>
              <w:left w:w="108" w:type="dxa"/>
              <w:bottom w:w="0" w:type="dxa"/>
              <w:right w:w="108" w:type="dxa"/>
            </w:tcMar>
          </w:tcPr>
          <w:p w14:paraId="70269DAB" w14:textId="77777777" w:rsidR="00E601ED" w:rsidRDefault="00E601ED" w:rsidP="00E601ED">
            <w:pPr>
              <w:spacing w:line="264" w:lineRule="auto"/>
              <w:ind w:right="720"/>
              <w:rPr>
                <w:b/>
                <w:bCs/>
              </w:rPr>
            </w:pPr>
            <w:r>
              <w:rPr>
                <w:b/>
                <w:bCs/>
              </w:rPr>
              <w:t>Staff recommended target</w:t>
            </w:r>
          </w:p>
        </w:tc>
        <w:tc>
          <w:tcPr>
            <w:tcW w:w="2181" w:type="dxa"/>
            <w:tcMar>
              <w:top w:w="0" w:type="dxa"/>
              <w:left w:w="108" w:type="dxa"/>
              <w:bottom w:w="0" w:type="dxa"/>
              <w:right w:w="108" w:type="dxa"/>
            </w:tcMar>
          </w:tcPr>
          <w:p w14:paraId="70269DAC" w14:textId="77777777" w:rsidR="00E601ED" w:rsidRDefault="00E601ED" w:rsidP="00BE498D">
            <w:pPr>
              <w:spacing w:line="264" w:lineRule="auto"/>
              <w:ind w:right="720"/>
              <w:jc w:val="right"/>
              <w:rPr>
                <w:b/>
                <w:bCs/>
              </w:rPr>
            </w:pPr>
            <w:r>
              <w:rPr>
                <w:b/>
                <w:bCs/>
              </w:rPr>
              <w:t>65,131</w:t>
            </w:r>
          </w:p>
        </w:tc>
      </w:tr>
    </w:tbl>
    <w:p w14:paraId="70269DAE" w14:textId="77777777" w:rsidR="00DB6F04" w:rsidRPr="00CA5322" w:rsidRDefault="00DB6F04" w:rsidP="0044594A"/>
    <w:p w14:paraId="70269DAF" w14:textId="7B41272A" w:rsidR="00433A8C" w:rsidRDefault="00E601ED" w:rsidP="0044594A">
      <w:r>
        <w:t>Staff explains its recommended target below, which includes</w:t>
      </w:r>
      <w:r w:rsidR="00544B2C">
        <w:t xml:space="preserve"> savings from</w:t>
      </w:r>
      <w:r w:rsidR="00305252">
        <w:t xml:space="preserve"> Opower’s Home Energy Reports program.</w:t>
      </w:r>
      <w:r w:rsidR="00305252">
        <w:rPr>
          <w:rStyle w:val="FootnoteReference"/>
        </w:rPr>
        <w:footnoteReference w:id="1"/>
      </w:r>
      <w:r w:rsidR="00305252">
        <w:t xml:space="preserve"> </w:t>
      </w:r>
      <w:r w:rsidR="00544B2C">
        <w:t xml:space="preserve"> </w:t>
      </w:r>
    </w:p>
    <w:p w14:paraId="70269DB0" w14:textId="77777777" w:rsidR="00544B2C" w:rsidRPr="00CA5322" w:rsidRDefault="00544B2C" w:rsidP="0044594A"/>
    <w:p w14:paraId="70269DB1" w14:textId="77777777" w:rsidR="00DB6F04" w:rsidRPr="00BE498D" w:rsidRDefault="00BE498D" w:rsidP="0044594A">
      <w:pPr>
        <w:rPr>
          <w:b/>
        </w:rPr>
      </w:pPr>
      <w:r>
        <w:rPr>
          <w:b/>
        </w:rPr>
        <w:t>Biennial Budget and Cost-Effectiveness</w:t>
      </w:r>
    </w:p>
    <w:p w14:paraId="70269DB2" w14:textId="77777777" w:rsidR="00BE498D" w:rsidRDefault="00BE498D" w:rsidP="0044594A"/>
    <w:p w14:paraId="70269DB3" w14:textId="4461BC5A" w:rsidR="007626EA" w:rsidRDefault="00433A8C" w:rsidP="0044594A">
      <w:r>
        <w:t xml:space="preserve">The </w:t>
      </w:r>
      <w:r w:rsidR="007626EA">
        <w:t xml:space="preserve">2014 DSM Business Plan, provided as Appendix A to the </w:t>
      </w:r>
      <w:r>
        <w:t>BCP</w:t>
      </w:r>
      <w:r w:rsidR="007626EA">
        <w:t>,</w:t>
      </w:r>
      <w:r>
        <w:t xml:space="preserve"> provi</w:t>
      </w:r>
      <w:r w:rsidR="007626EA">
        <w:t>des budget details regarding Avista</w:t>
      </w:r>
      <w:r>
        <w:t>’s plan for achieving the savings identified in its biennial conservation target and total portfolio</w:t>
      </w:r>
      <w:r w:rsidR="00D035A4">
        <w:t xml:space="preserve">. </w:t>
      </w:r>
      <w:r w:rsidR="00544B2C">
        <w:t>Although the DSM Business Plan focuses predominantly on 2014 acquisition, Avista provided additional detail</w:t>
      </w:r>
      <w:r w:rsidR="009A061F">
        <w:t>s</w:t>
      </w:r>
      <w:r w:rsidR="00544B2C">
        <w:t xml:space="preserve"> on projected biennial </w:t>
      </w:r>
      <w:r w:rsidR="009A061F">
        <w:t xml:space="preserve">savings and expenditures through informal information requests. </w:t>
      </w:r>
      <w:r>
        <w:t>A summary of these details is provided in Table 2 below</w:t>
      </w:r>
      <w:r w:rsidR="00D035A4">
        <w:t xml:space="preserve">. </w:t>
      </w:r>
    </w:p>
    <w:p w14:paraId="77C8E868" w14:textId="77777777" w:rsidR="00092AC6" w:rsidRPr="00CA5322" w:rsidRDefault="00092AC6" w:rsidP="00092AC6"/>
    <w:p w14:paraId="7188E493" w14:textId="50B9B986" w:rsidR="00092AC6" w:rsidRPr="00FF511B" w:rsidRDefault="00092AC6" w:rsidP="00632A34">
      <w:pPr>
        <w:tabs>
          <w:tab w:val="left" w:pos="990"/>
        </w:tabs>
        <w:spacing w:after="240" w:line="264" w:lineRule="auto"/>
        <w:ind w:left="990" w:right="720" w:hanging="990"/>
        <w:rPr>
          <w:b/>
        </w:rPr>
      </w:pPr>
      <w:r>
        <w:rPr>
          <w:b/>
        </w:rPr>
        <w:t>Table 2.</w:t>
      </w:r>
      <w:r w:rsidR="004E1264">
        <w:rPr>
          <w:b/>
        </w:rPr>
        <w:tab/>
      </w:r>
      <w:r w:rsidRPr="00FF511B">
        <w:rPr>
          <w:b/>
        </w:rPr>
        <w:t xml:space="preserve">Comparison of Savings and Budgets from </w:t>
      </w:r>
      <w:r>
        <w:rPr>
          <w:b/>
        </w:rPr>
        <w:t xml:space="preserve">Avista’s </w:t>
      </w:r>
      <w:r w:rsidRPr="00FF511B">
        <w:rPr>
          <w:b/>
        </w:rPr>
        <w:t>2012-2013 and 2014-2015 BCPs.</w:t>
      </w:r>
    </w:p>
    <w:tbl>
      <w:tblPr>
        <w:tblStyle w:val="TableGrid"/>
        <w:tblW w:w="0" w:type="auto"/>
        <w:tblInd w:w="216" w:type="dxa"/>
        <w:tblLook w:val="04A0" w:firstRow="1" w:lastRow="0" w:firstColumn="1" w:lastColumn="0" w:noHBand="0" w:noVBand="1"/>
      </w:tblPr>
      <w:tblGrid>
        <w:gridCol w:w="2510"/>
        <w:gridCol w:w="1735"/>
        <w:gridCol w:w="1687"/>
        <w:gridCol w:w="1735"/>
        <w:gridCol w:w="1693"/>
      </w:tblGrid>
      <w:tr w:rsidR="00092AC6" w:rsidRPr="009355D6" w14:paraId="10E8EDB8" w14:textId="77777777" w:rsidTr="00632A34">
        <w:tc>
          <w:tcPr>
            <w:tcW w:w="2536" w:type="dxa"/>
            <w:vAlign w:val="bottom"/>
          </w:tcPr>
          <w:p w14:paraId="2BB5D2EA" w14:textId="77777777" w:rsidR="00092AC6" w:rsidRPr="009355D6" w:rsidRDefault="00092AC6" w:rsidP="00092AC6">
            <w:pPr>
              <w:rPr>
                <w:b/>
              </w:rPr>
            </w:pPr>
            <w:r w:rsidRPr="009355D6">
              <w:rPr>
                <w:b/>
              </w:rPr>
              <w:t>Program</w:t>
            </w:r>
          </w:p>
        </w:tc>
        <w:tc>
          <w:tcPr>
            <w:tcW w:w="1798" w:type="dxa"/>
            <w:vAlign w:val="bottom"/>
          </w:tcPr>
          <w:p w14:paraId="79692A0E" w14:textId="77777777" w:rsidR="00092AC6" w:rsidRPr="009355D6" w:rsidRDefault="00092AC6" w:rsidP="00092AC6">
            <w:pPr>
              <w:jc w:val="center"/>
              <w:rPr>
                <w:b/>
              </w:rPr>
            </w:pPr>
            <w:r>
              <w:rPr>
                <w:b/>
              </w:rPr>
              <w:t>2014-20</w:t>
            </w:r>
            <w:r w:rsidRPr="009355D6">
              <w:rPr>
                <w:b/>
              </w:rPr>
              <w:t>15</w:t>
            </w:r>
          </w:p>
          <w:p w14:paraId="527F4D20" w14:textId="77777777" w:rsidR="00092AC6" w:rsidRPr="009355D6" w:rsidRDefault="00092AC6" w:rsidP="00092AC6">
            <w:pPr>
              <w:jc w:val="center"/>
              <w:rPr>
                <w:b/>
              </w:rPr>
            </w:pPr>
            <w:r w:rsidRPr="009355D6">
              <w:rPr>
                <w:b/>
              </w:rPr>
              <w:t>Projected Savings</w:t>
            </w:r>
            <w:r>
              <w:rPr>
                <w:b/>
              </w:rPr>
              <w:t xml:space="preserve"> (MWh)</w:t>
            </w:r>
          </w:p>
        </w:tc>
        <w:tc>
          <w:tcPr>
            <w:tcW w:w="1719" w:type="dxa"/>
            <w:vAlign w:val="bottom"/>
          </w:tcPr>
          <w:p w14:paraId="78BEB025" w14:textId="77777777" w:rsidR="00092AC6" w:rsidRPr="009355D6" w:rsidRDefault="00092AC6" w:rsidP="00092AC6">
            <w:pPr>
              <w:jc w:val="center"/>
              <w:rPr>
                <w:b/>
              </w:rPr>
            </w:pPr>
            <w:r>
              <w:rPr>
                <w:b/>
              </w:rPr>
              <w:t>2014-20</w:t>
            </w:r>
            <w:r w:rsidRPr="009355D6">
              <w:rPr>
                <w:b/>
              </w:rPr>
              <w:t>15 Budget</w:t>
            </w:r>
          </w:p>
        </w:tc>
        <w:tc>
          <w:tcPr>
            <w:tcW w:w="1798" w:type="dxa"/>
            <w:vAlign w:val="bottom"/>
          </w:tcPr>
          <w:p w14:paraId="46786E62" w14:textId="77777777" w:rsidR="00092AC6" w:rsidRPr="009355D6" w:rsidRDefault="00092AC6" w:rsidP="00092AC6">
            <w:pPr>
              <w:jc w:val="center"/>
              <w:rPr>
                <w:b/>
              </w:rPr>
            </w:pPr>
            <w:r>
              <w:rPr>
                <w:b/>
              </w:rPr>
              <w:t>2012-20</w:t>
            </w:r>
            <w:r w:rsidRPr="009355D6">
              <w:rPr>
                <w:b/>
              </w:rPr>
              <w:t>13</w:t>
            </w:r>
          </w:p>
          <w:p w14:paraId="152F71A8" w14:textId="77777777" w:rsidR="00092AC6" w:rsidRPr="009355D6" w:rsidRDefault="00092AC6" w:rsidP="00092AC6">
            <w:pPr>
              <w:jc w:val="center"/>
              <w:rPr>
                <w:b/>
              </w:rPr>
            </w:pPr>
            <w:r w:rsidRPr="009355D6">
              <w:rPr>
                <w:b/>
              </w:rPr>
              <w:t>Projected Savings</w:t>
            </w:r>
            <w:r>
              <w:rPr>
                <w:b/>
              </w:rPr>
              <w:t xml:space="preserve"> (MWh)</w:t>
            </w:r>
          </w:p>
        </w:tc>
        <w:tc>
          <w:tcPr>
            <w:tcW w:w="1725" w:type="dxa"/>
            <w:vAlign w:val="bottom"/>
          </w:tcPr>
          <w:p w14:paraId="5827FB84" w14:textId="77777777" w:rsidR="00092AC6" w:rsidRPr="009355D6" w:rsidRDefault="00092AC6" w:rsidP="00092AC6">
            <w:pPr>
              <w:jc w:val="center"/>
              <w:rPr>
                <w:b/>
              </w:rPr>
            </w:pPr>
            <w:r>
              <w:rPr>
                <w:b/>
              </w:rPr>
              <w:t>2012-20</w:t>
            </w:r>
            <w:r w:rsidRPr="009355D6">
              <w:rPr>
                <w:b/>
              </w:rPr>
              <w:t>13 Budget</w:t>
            </w:r>
          </w:p>
        </w:tc>
      </w:tr>
      <w:tr w:rsidR="00092AC6" w:rsidRPr="009355D6" w14:paraId="4EF517B1" w14:textId="77777777" w:rsidTr="00632A34">
        <w:tc>
          <w:tcPr>
            <w:tcW w:w="2536" w:type="dxa"/>
          </w:tcPr>
          <w:p w14:paraId="52F45B7F" w14:textId="77777777" w:rsidR="00092AC6" w:rsidRPr="009355D6" w:rsidRDefault="00092AC6" w:rsidP="00092AC6">
            <w:r w:rsidRPr="009355D6">
              <w:t>Residential</w:t>
            </w:r>
            <w:r>
              <w:t xml:space="preserve"> prescriptive</w:t>
            </w:r>
          </w:p>
        </w:tc>
        <w:tc>
          <w:tcPr>
            <w:tcW w:w="1798" w:type="dxa"/>
            <w:vAlign w:val="bottom"/>
          </w:tcPr>
          <w:p w14:paraId="0367050F" w14:textId="77777777" w:rsidR="00092AC6" w:rsidRPr="009355D6" w:rsidRDefault="00092AC6" w:rsidP="00092AC6">
            <w:pPr>
              <w:jc w:val="right"/>
            </w:pPr>
            <w:r>
              <w:t>16,389</w:t>
            </w:r>
          </w:p>
        </w:tc>
        <w:tc>
          <w:tcPr>
            <w:tcW w:w="1719" w:type="dxa"/>
            <w:vAlign w:val="bottom"/>
          </w:tcPr>
          <w:p w14:paraId="2239D5D6" w14:textId="77777777" w:rsidR="00092AC6" w:rsidRPr="009355D6" w:rsidRDefault="00092AC6" w:rsidP="00092AC6">
            <w:pPr>
              <w:jc w:val="right"/>
            </w:pPr>
            <w:r>
              <w:t>$2,522,000</w:t>
            </w:r>
          </w:p>
        </w:tc>
        <w:tc>
          <w:tcPr>
            <w:tcW w:w="1798" w:type="dxa"/>
            <w:vAlign w:val="bottom"/>
          </w:tcPr>
          <w:p w14:paraId="1FCD2DDD" w14:textId="53CC7A56" w:rsidR="00092AC6" w:rsidRPr="009355D6" w:rsidRDefault="00EE513C" w:rsidP="00092AC6">
            <w:pPr>
              <w:jc w:val="right"/>
            </w:pPr>
            <w:r>
              <w:t>28,247</w:t>
            </w:r>
          </w:p>
        </w:tc>
        <w:tc>
          <w:tcPr>
            <w:tcW w:w="1725" w:type="dxa"/>
            <w:vAlign w:val="bottom"/>
          </w:tcPr>
          <w:p w14:paraId="1D6536D4" w14:textId="15FCEC7A" w:rsidR="00092AC6" w:rsidRPr="009355D6" w:rsidRDefault="00C718D9" w:rsidP="00092AC6">
            <w:pPr>
              <w:jc w:val="right"/>
            </w:pPr>
            <w:r>
              <w:t>$2,783,000</w:t>
            </w:r>
          </w:p>
        </w:tc>
      </w:tr>
      <w:tr w:rsidR="00092AC6" w:rsidRPr="009355D6" w14:paraId="4CCAA88F" w14:textId="77777777" w:rsidTr="00632A34">
        <w:tc>
          <w:tcPr>
            <w:tcW w:w="2536" w:type="dxa"/>
          </w:tcPr>
          <w:p w14:paraId="2B9AAF61" w14:textId="77777777" w:rsidR="00092AC6" w:rsidRPr="006E1007" w:rsidRDefault="00092AC6" w:rsidP="00092AC6">
            <w:r w:rsidRPr="006E1007">
              <w:t>Home Energy Reports</w:t>
            </w:r>
          </w:p>
        </w:tc>
        <w:tc>
          <w:tcPr>
            <w:tcW w:w="1798" w:type="dxa"/>
            <w:vAlign w:val="bottom"/>
          </w:tcPr>
          <w:p w14:paraId="6846DA0D" w14:textId="77777777" w:rsidR="00092AC6" w:rsidRPr="008F686C" w:rsidRDefault="00092AC6" w:rsidP="00092AC6">
            <w:pPr>
              <w:jc w:val="right"/>
            </w:pPr>
            <w:r>
              <w:t>6,900</w:t>
            </w:r>
          </w:p>
        </w:tc>
        <w:tc>
          <w:tcPr>
            <w:tcW w:w="1719" w:type="dxa"/>
            <w:vAlign w:val="bottom"/>
          </w:tcPr>
          <w:p w14:paraId="01281F4F" w14:textId="77777777" w:rsidR="00092AC6" w:rsidRPr="006E1007" w:rsidRDefault="00092AC6" w:rsidP="00092AC6">
            <w:pPr>
              <w:jc w:val="right"/>
            </w:pPr>
            <w:r>
              <w:t>$843,000</w:t>
            </w:r>
          </w:p>
        </w:tc>
        <w:tc>
          <w:tcPr>
            <w:tcW w:w="1798" w:type="dxa"/>
            <w:vAlign w:val="bottom"/>
          </w:tcPr>
          <w:p w14:paraId="7B45D377" w14:textId="667E1346" w:rsidR="00092AC6" w:rsidRPr="00EE513C" w:rsidRDefault="00EE513C" w:rsidP="00092AC6">
            <w:pPr>
              <w:jc w:val="right"/>
            </w:pPr>
            <w:r>
              <w:t>5,189</w:t>
            </w:r>
          </w:p>
        </w:tc>
        <w:tc>
          <w:tcPr>
            <w:tcW w:w="1725" w:type="dxa"/>
            <w:vAlign w:val="bottom"/>
          </w:tcPr>
          <w:p w14:paraId="40CE7E28" w14:textId="4A6385EF" w:rsidR="00092AC6" w:rsidRPr="00C718D9" w:rsidRDefault="00C718D9" w:rsidP="00092AC6">
            <w:pPr>
              <w:jc w:val="right"/>
            </w:pPr>
            <w:r>
              <w:t>$361,000</w:t>
            </w:r>
          </w:p>
        </w:tc>
      </w:tr>
      <w:tr w:rsidR="00092AC6" w:rsidRPr="009355D6" w14:paraId="2AAAC488" w14:textId="77777777" w:rsidTr="00632A34">
        <w:tc>
          <w:tcPr>
            <w:tcW w:w="2536" w:type="dxa"/>
          </w:tcPr>
          <w:p w14:paraId="15B16299" w14:textId="77777777" w:rsidR="00092AC6" w:rsidRPr="006E1007" w:rsidRDefault="00092AC6" w:rsidP="00092AC6">
            <w:r w:rsidRPr="006E1007">
              <w:t>Low Income</w:t>
            </w:r>
          </w:p>
        </w:tc>
        <w:tc>
          <w:tcPr>
            <w:tcW w:w="1798" w:type="dxa"/>
            <w:vAlign w:val="bottom"/>
          </w:tcPr>
          <w:p w14:paraId="51204998" w14:textId="77777777" w:rsidR="00092AC6" w:rsidRPr="008F686C" w:rsidRDefault="00092AC6" w:rsidP="00092AC6">
            <w:pPr>
              <w:jc w:val="right"/>
            </w:pPr>
            <w:r>
              <w:t>1,599</w:t>
            </w:r>
          </w:p>
        </w:tc>
        <w:tc>
          <w:tcPr>
            <w:tcW w:w="1719" w:type="dxa"/>
            <w:vAlign w:val="bottom"/>
          </w:tcPr>
          <w:p w14:paraId="5EB42708" w14:textId="77777777" w:rsidR="00092AC6" w:rsidRPr="006E1007" w:rsidRDefault="00092AC6" w:rsidP="00092AC6">
            <w:pPr>
              <w:jc w:val="right"/>
            </w:pPr>
            <w:r>
              <w:t>$1,618,000</w:t>
            </w:r>
          </w:p>
        </w:tc>
        <w:tc>
          <w:tcPr>
            <w:tcW w:w="1798" w:type="dxa"/>
            <w:vAlign w:val="bottom"/>
          </w:tcPr>
          <w:p w14:paraId="404A3D71" w14:textId="0DB66310" w:rsidR="00092AC6" w:rsidRPr="00EE513C" w:rsidRDefault="00EE513C" w:rsidP="00092AC6">
            <w:pPr>
              <w:jc w:val="right"/>
            </w:pPr>
            <w:r>
              <w:t>3,502</w:t>
            </w:r>
          </w:p>
        </w:tc>
        <w:tc>
          <w:tcPr>
            <w:tcW w:w="1725" w:type="dxa"/>
            <w:vAlign w:val="bottom"/>
          </w:tcPr>
          <w:p w14:paraId="7B23E23A" w14:textId="5A0C4CB6" w:rsidR="00092AC6" w:rsidRPr="00C718D9" w:rsidRDefault="00C718D9" w:rsidP="00092AC6">
            <w:pPr>
              <w:jc w:val="right"/>
            </w:pPr>
            <w:r>
              <w:t>$3,360,000</w:t>
            </w:r>
          </w:p>
        </w:tc>
      </w:tr>
      <w:tr w:rsidR="00092AC6" w:rsidRPr="009355D6" w14:paraId="0222772A" w14:textId="77777777" w:rsidTr="00632A34">
        <w:tc>
          <w:tcPr>
            <w:tcW w:w="2536" w:type="dxa"/>
          </w:tcPr>
          <w:p w14:paraId="744259D0" w14:textId="77777777" w:rsidR="00092AC6" w:rsidRPr="009355D6" w:rsidRDefault="00092AC6" w:rsidP="00092AC6">
            <w:r w:rsidRPr="009355D6">
              <w:t>Non-Residential</w:t>
            </w:r>
          </w:p>
        </w:tc>
        <w:tc>
          <w:tcPr>
            <w:tcW w:w="1798" w:type="dxa"/>
            <w:vAlign w:val="bottom"/>
          </w:tcPr>
          <w:p w14:paraId="307C7A8C" w14:textId="77777777" w:rsidR="00092AC6" w:rsidRPr="009355D6" w:rsidRDefault="00092AC6" w:rsidP="00092AC6">
            <w:pPr>
              <w:jc w:val="right"/>
            </w:pPr>
            <w:r>
              <w:t>8,186</w:t>
            </w:r>
          </w:p>
        </w:tc>
        <w:tc>
          <w:tcPr>
            <w:tcW w:w="1719" w:type="dxa"/>
            <w:vAlign w:val="bottom"/>
          </w:tcPr>
          <w:p w14:paraId="32761B9C" w14:textId="77777777" w:rsidR="00092AC6" w:rsidRPr="009355D6" w:rsidRDefault="00092AC6" w:rsidP="00092AC6">
            <w:pPr>
              <w:jc w:val="right"/>
            </w:pPr>
            <w:r>
              <w:t>$1,156,000</w:t>
            </w:r>
          </w:p>
        </w:tc>
        <w:tc>
          <w:tcPr>
            <w:tcW w:w="1798" w:type="dxa"/>
            <w:vAlign w:val="bottom"/>
          </w:tcPr>
          <w:p w14:paraId="780E05D6" w14:textId="29030F3E" w:rsidR="00092AC6" w:rsidRPr="009355D6" w:rsidRDefault="00EE513C" w:rsidP="00092AC6">
            <w:pPr>
              <w:jc w:val="right"/>
            </w:pPr>
            <w:r>
              <w:t>35,581</w:t>
            </w:r>
          </w:p>
        </w:tc>
        <w:tc>
          <w:tcPr>
            <w:tcW w:w="1725" w:type="dxa"/>
            <w:vAlign w:val="bottom"/>
          </w:tcPr>
          <w:p w14:paraId="4D02DE99" w14:textId="3D8D623F" w:rsidR="00092AC6" w:rsidRPr="009355D6" w:rsidRDefault="00C718D9" w:rsidP="00092AC6">
            <w:pPr>
              <w:jc w:val="right"/>
            </w:pPr>
            <w:r>
              <w:t>$3,291,000</w:t>
            </w:r>
          </w:p>
        </w:tc>
      </w:tr>
      <w:tr w:rsidR="00092AC6" w:rsidRPr="009355D6" w14:paraId="38413A1F" w14:textId="77777777" w:rsidTr="00632A34">
        <w:tc>
          <w:tcPr>
            <w:tcW w:w="2536" w:type="dxa"/>
          </w:tcPr>
          <w:p w14:paraId="7F424917" w14:textId="77777777" w:rsidR="00092AC6" w:rsidRPr="009355D6" w:rsidRDefault="00092AC6" w:rsidP="00092AC6">
            <w:r>
              <w:t>Site-specific incentives</w:t>
            </w:r>
          </w:p>
        </w:tc>
        <w:tc>
          <w:tcPr>
            <w:tcW w:w="1798" w:type="dxa"/>
            <w:vAlign w:val="bottom"/>
          </w:tcPr>
          <w:p w14:paraId="2CFAF876" w14:textId="77777777" w:rsidR="00092AC6" w:rsidRPr="009355D6" w:rsidRDefault="00092AC6" w:rsidP="00092AC6">
            <w:pPr>
              <w:jc w:val="right"/>
            </w:pPr>
            <w:r>
              <w:t>31,047</w:t>
            </w:r>
          </w:p>
        </w:tc>
        <w:tc>
          <w:tcPr>
            <w:tcW w:w="1719" w:type="dxa"/>
            <w:vAlign w:val="bottom"/>
          </w:tcPr>
          <w:p w14:paraId="331A9013" w14:textId="77777777" w:rsidR="00092AC6" w:rsidRPr="009355D6" w:rsidRDefault="00092AC6" w:rsidP="00092AC6">
            <w:pPr>
              <w:jc w:val="right"/>
            </w:pPr>
            <w:r>
              <w:t>$3,714,000</w:t>
            </w:r>
          </w:p>
        </w:tc>
        <w:tc>
          <w:tcPr>
            <w:tcW w:w="1798" w:type="dxa"/>
            <w:vAlign w:val="bottom"/>
          </w:tcPr>
          <w:p w14:paraId="1D15EE23" w14:textId="756C7A5D" w:rsidR="00092AC6" w:rsidRPr="009355D6" w:rsidRDefault="00EE513C" w:rsidP="00092AC6">
            <w:pPr>
              <w:jc w:val="right"/>
            </w:pPr>
            <w:r>
              <w:t>43,179</w:t>
            </w:r>
          </w:p>
        </w:tc>
        <w:tc>
          <w:tcPr>
            <w:tcW w:w="1725" w:type="dxa"/>
            <w:vAlign w:val="bottom"/>
          </w:tcPr>
          <w:p w14:paraId="6D5D8842" w14:textId="314E85B6" w:rsidR="00092AC6" w:rsidRPr="009355D6" w:rsidRDefault="00C718D9" w:rsidP="00092AC6">
            <w:pPr>
              <w:jc w:val="right"/>
            </w:pPr>
            <w:r>
              <w:t>$4,919,000</w:t>
            </w:r>
          </w:p>
        </w:tc>
      </w:tr>
      <w:tr w:rsidR="00092AC6" w:rsidRPr="009355D6" w14:paraId="26427954" w14:textId="77777777" w:rsidTr="00632A34">
        <w:tc>
          <w:tcPr>
            <w:tcW w:w="2536" w:type="dxa"/>
          </w:tcPr>
          <w:p w14:paraId="395F91B3" w14:textId="77777777" w:rsidR="00092AC6" w:rsidRPr="009355D6" w:rsidRDefault="00092AC6" w:rsidP="00092AC6">
            <w:r>
              <w:t>Cascade SEM</w:t>
            </w:r>
          </w:p>
        </w:tc>
        <w:tc>
          <w:tcPr>
            <w:tcW w:w="1798" w:type="dxa"/>
            <w:vAlign w:val="bottom"/>
          </w:tcPr>
          <w:p w14:paraId="22656316" w14:textId="77777777" w:rsidR="00092AC6" w:rsidRPr="009355D6" w:rsidRDefault="00092AC6" w:rsidP="00092AC6">
            <w:pPr>
              <w:jc w:val="right"/>
            </w:pPr>
            <w:r>
              <w:t>1,098</w:t>
            </w:r>
          </w:p>
        </w:tc>
        <w:tc>
          <w:tcPr>
            <w:tcW w:w="1719" w:type="dxa"/>
            <w:vAlign w:val="bottom"/>
          </w:tcPr>
          <w:p w14:paraId="2696FB6A" w14:textId="77777777" w:rsidR="00092AC6" w:rsidRPr="009355D6" w:rsidRDefault="00092AC6" w:rsidP="00092AC6">
            <w:pPr>
              <w:jc w:val="right"/>
            </w:pPr>
            <w:r>
              <w:t>$252,000</w:t>
            </w:r>
          </w:p>
        </w:tc>
        <w:tc>
          <w:tcPr>
            <w:tcW w:w="1798" w:type="dxa"/>
            <w:vAlign w:val="bottom"/>
          </w:tcPr>
          <w:p w14:paraId="0937E2BC" w14:textId="5D9F2E81" w:rsidR="00092AC6" w:rsidRPr="009355D6" w:rsidRDefault="00EE513C" w:rsidP="00092AC6">
            <w:pPr>
              <w:jc w:val="right"/>
            </w:pPr>
            <w:r>
              <w:t>-</w:t>
            </w:r>
          </w:p>
        </w:tc>
        <w:tc>
          <w:tcPr>
            <w:tcW w:w="1725" w:type="dxa"/>
            <w:vAlign w:val="bottom"/>
          </w:tcPr>
          <w:p w14:paraId="4001F5E0" w14:textId="4B85E97C" w:rsidR="00092AC6" w:rsidRPr="009355D6" w:rsidRDefault="00C718D9" w:rsidP="00092AC6">
            <w:pPr>
              <w:jc w:val="right"/>
            </w:pPr>
            <w:r>
              <w:t>-</w:t>
            </w:r>
          </w:p>
        </w:tc>
      </w:tr>
      <w:tr w:rsidR="00092AC6" w:rsidRPr="009355D6" w14:paraId="0FFEB01D" w14:textId="77777777" w:rsidTr="00632A34">
        <w:tc>
          <w:tcPr>
            <w:tcW w:w="2536" w:type="dxa"/>
          </w:tcPr>
          <w:p w14:paraId="5F355505" w14:textId="77777777" w:rsidR="00092AC6" w:rsidRPr="009355D6" w:rsidRDefault="00092AC6" w:rsidP="00092AC6">
            <w:r>
              <w:lastRenderedPageBreak/>
              <w:t>NEEA</w:t>
            </w:r>
          </w:p>
        </w:tc>
        <w:tc>
          <w:tcPr>
            <w:tcW w:w="1798" w:type="dxa"/>
            <w:vAlign w:val="bottom"/>
          </w:tcPr>
          <w:p w14:paraId="1C0B81ED" w14:textId="77777777" w:rsidR="00092AC6" w:rsidRPr="009355D6" w:rsidRDefault="00092AC6" w:rsidP="00092AC6">
            <w:pPr>
              <w:jc w:val="right"/>
            </w:pPr>
            <w:r>
              <w:t>11,130</w:t>
            </w:r>
            <w:r>
              <w:rPr>
                <w:rStyle w:val="FootnoteReference"/>
              </w:rPr>
              <w:footnoteReference w:id="2"/>
            </w:r>
          </w:p>
        </w:tc>
        <w:tc>
          <w:tcPr>
            <w:tcW w:w="1719" w:type="dxa"/>
            <w:vAlign w:val="bottom"/>
          </w:tcPr>
          <w:p w14:paraId="0084242A" w14:textId="77777777" w:rsidR="00092AC6" w:rsidRPr="009355D6" w:rsidRDefault="00092AC6" w:rsidP="00092AC6">
            <w:pPr>
              <w:jc w:val="right"/>
            </w:pPr>
            <w:r>
              <w:t>$2,911,000</w:t>
            </w:r>
          </w:p>
        </w:tc>
        <w:tc>
          <w:tcPr>
            <w:tcW w:w="1798" w:type="dxa"/>
            <w:vAlign w:val="bottom"/>
          </w:tcPr>
          <w:p w14:paraId="686C022C" w14:textId="291E71BF" w:rsidR="00092AC6" w:rsidRPr="009355D6" w:rsidRDefault="00C718D9" w:rsidP="00092AC6">
            <w:pPr>
              <w:jc w:val="right"/>
            </w:pPr>
            <w:r>
              <w:t>19,622</w:t>
            </w:r>
            <w:r w:rsidR="00C514E5">
              <w:rPr>
                <w:rStyle w:val="FootnoteReference"/>
              </w:rPr>
              <w:footnoteReference w:id="3"/>
            </w:r>
          </w:p>
        </w:tc>
        <w:tc>
          <w:tcPr>
            <w:tcW w:w="1725" w:type="dxa"/>
            <w:vAlign w:val="bottom"/>
          </w:tcPr>
          <w:p w14:paraId="129C448E" w14:textId="309D16E8" w:rsidR="00092AC6" w:rsidRPr="009355D6" w:rsidRDefault="00C718D9" w:rsidP="00092AC6">
            <w:pPr>
              <w:jc w:val="right"/>
            </w:pPr>
            <w:r>
              <w:t>$3,028,000</w:t>
            </w:r>
          </w:p>
        </w:tc>
      </w:tr>
      <w:tr w:rsidR="00092AC6" w:rsidRPr="009355D6" w14:paraId="1861A2F9" w14:textId="77777777" w:rsidTr="00632A34">
        <w:tc>
          <w:tcPr>
            <w:tcW w:w="2536" w:type="dxa"/>
          </w:tcPr>
          <w:p w14:paraId="38B708AD" w14:textId="77777777" w:rsidR="00092AC6" w:rsidRPr="00810777" w:rsidRDefault="00092AC6" w:rsidP="00092AC6">
            <w:r>
              <w:t>A</w:t>
            </w:r>
            <w:r w:rsidRPr="00810777">
              <w:t>dmin</w:t>
            </w:r>
            <w:r>
              <w:t>istration/Other</w:t>
            </w:r>
          </w:p>
        </w:tc>
        <w:tc>
          <w:tcPr>
            <w:tcW w:w="1798" w:type="dxa"/>
            <w:vAlign w:val="bottom"/>
          </w:tcPr>
          <w:p w14:paraId="60D49AE7" w14:textId="77777777" w:rsidR="00092AC6" w:rsidRPr="009355D6" w:rsidRDefault="00092AC6" w:rsidP="00092AC6">
            <w:pPr>
              <w:jc w:val="right"/>
            </w:pPr>
            <w:r>
              <w:t>-</w:t>
            </w:r>
          </w:p>
        </w:tc>
        <w:tc>
          <w:tcPr>
            <w:tcW w:w="1719" w:type="dxa"/>
            <w:vAlign w:val="bottom"/>
          </w:tcPr>
          <w:p w14:paraId="574789C0" w14:textId="77777777" w:rsidR="00092AC6" w:rsidRPr="009355D6" w:rsidRDefault="00092AC6" w:rsidP="00092AC6">
            <w:pPr>
              <w:jc w:val="right"/>
            </w:pPr>
            <w:r>
              <w:t>$8,522,000</w:t>
            </w:r>
          </w:p>
        </w:tc>
        <w:tc>
          <w:tcPr>
            <w:tcW w:w="1798" w:type="dxa"/>
            <w:vAlign w:val="bottom"/>
          </w:tcPr>
          <w:p w14:paraId="6E7C71EC" w14:textId="48BCD163" w:rsidR="00092AC6" w:rsidRPr="009355D6" w:rsidRDefault="00C718D9" w:rsidP="00092AC6">
            <w:pPr>
              <w:jc w:val="right"/>
            </w:pPr>
            <w:r>
              <w:t>-</w:t>
            </w:r>
          </w:p>
        </w:tc>
        <w:tc>
          <w:tcPr>
            <w:tcW w:w="1725" w:type="dxa"/>
            <w:vAlign w:val="bottom"/>
          </w:tcPr>
          <w:p w14:paraId="372B6F82" w14:textId="0EB99DEE" w:rsidR="00092AC6" w:rsidRPr="009355D6" w:rsidRDefault="00C718D9" w:rsidP="00092AC6">
            <w:pPr>
              <w:jc w:val="right"/>
            </w:pPr>
            <w:r>
              <w:t>$9,399,000</w:t>
            </w:r>
          </w:p>
        </w:tc>
      </w:tr>
      <w:tr w:rsidR="00092AC6" w:rsidRPr="00810777" w14:paraId="17FAA3EE" w14:textId="77777777" w:rsidTr="00632A34">
        <w:tc>
          <w:tcPr>
            <w:tcW w:w="2536" w:type="dxa"/>
          </w:tcPr>
          <w:p w14:paraId="74B5EEA4" w14:textId="77777777" w:rsidR="00092AC6" w:rsidRPr="00810777" w:rsidRDefault="00092AC6" w:rsidP="00092AC6">
            <w:pPr>
              <w:rPr>
                <w:b/>
              </w:rPr>
            </w:pPr>
            <w:r w:rsidRPr="00810777">
              <w:rPr>
                <w:b/>
              </w:rPr>
              <w:t>Total</w:t>
            </w:r>
          </w:p>
        </w:tc>
        <w:tc>
          <w:tcPr>
            <w:tcW w:w="1798" w:type="dxa"/>
            <w:vAlign w:val="bottom"/>
          </w:tcPr>
          <w:p w14:paraId="0290EEA9" w14:textId="77777777" w:rsidR="00092AC6" w:rsidRPr="00810777" w:rsidRDefault="00092AC6" w:rsidP="00092AC6">
            <w:pPr>
              <w:jc w:val="right"/>
              <w:rPr>
                <w:b/>
              </w:rPr>
            </w:pPr>
            <w:r>
              <w:rPr>
                <w:b/>
              </w:rPr>
              <w:t>73,350</w:t>
            </w:r>
          </w:p>
        </w:tc>
        <w:tc>
          <w:tcPr>
            <w:tcW w:w="1719" w:type="dxa"/>
            <w:vAlign w:val="bottom"/>
          </w:tcPr>
          <w:p w14:paraId="0D207E39" w14:textId="77777777" w:rsidR="00092AC6" w:rsidRPr="00810777" w:rsidRDefault="00092AC6" w:rsidP="00092AC6">
            <w:pPr>
              <w:jc w:val="right"/>
              <w:rPr>
                <w:b/>
              </w:rPr>
            </w:pPr>
            <w:r>
              <w:rPr>
                <w:b/>
              </w:rPr>
              <w:t>$21,537,000</w:t>
            </w:r>
          </w:p>
        </w:tc>
        <w:tc>
          <w:tcPr>
            <w:tcW w:w="1798" w:type="dxa"/>
            <w:vAlign w:val="bottom"/>
          </w:tcPr>
          <w:p w14:paraId="3297065C" w14:textId="5539E54C" w:rsidR="00092AC6" w:rsidRPr="00810777" w:rsidRDefault="00C514E5" w:rsidP="00092AC6">
            <w:pPr>
              <w:jc w:val="right"/>
              <w:rPr>
                <w:b/>
              </w:rPr>
            </w:pPr>
            <w:r>
              <w:rPr>
                <w:b/>
              </w:rPr>
              <w:t>135,319</w:t>
            </w:r>
          </w:p>
        </w:tc>
        <w:tc>
          <w:tcPr>
            <w:tcW w:w="1725" w:type="dxa"/>
            <w:vAlign w:val="bottom"/>
          </w:tcPr>
          <w:p w14:paraId="66DBC3FD" w14:textId="1584851F" w:rsidR="00092AC6" w:rsidRPr="00810777" w:rsidRDefault="00C718D9" w:rsidP="00092AC6">
            <w:pPr>
              <w:jc w:val="right"/>
              <w:rPr>
                <w:b/>
              </w:rPr>
            </w:pPr>
            <w:r>
              <w:rPr>
                <w:b/>
              </w:rPr>
              <w:t>$27,140,000</w:t>
            </w:r>
          </w:p>
        </w:tc>
      </w:tr>
      <w:tr w:rsidR="00092AC6" w:rsidRPr="00810777" w14:paraId="40196D3E" w14:textId="77777777" w:rsidTr="00632A34">
        <w:trPr>
          <w:gridAfter w:val="3"/>
          <w:wAfter w:w="5242" w:type="dxa"/>
        </w:trPr>
        <w:tc>
          <w:tcPr>
            <w:tcW w:w="2536" w:type="dxa"/>
          </w:tcPr>
          <w:p w14:paraId="056FA98C" w14:textId="77777777" w:rsidR="00092AC6" w:rsidRPr="00F35BED" w:rsidRDefault="00092AC6" w:rsidP="00092AC6">
            <w:r>
              <w:t>Less NEEA</w:t>
            </w:r>
          </w:p>
        </w:tc>
        <w:tc>
          <w:tcPr>
            <w:tcW w:w="1798" w:type="dxa"/>
            <w:vAlign w:val="bottom"/>
          </w:tcPr>
          <w:p w14:paraId="27C8094C" w14:textId="77777777" w:rsidR="00092AC6" w:rsidRPr="00F35BED" w:rsidRDefault="00092AC6" w:rsidP="00092AC6">
            <w:pPr>
              <w:jc w:val="right"/>
            </w:pPr>
            <w:r w:rsidRPr="00F35BED">
              <w:t>(11,130)</w:t>
            </w:r>
          </w:p>
        </w:tc>
      </w:tr>
      <w:tr w:rsidR="00092AC6" w:rsidRPr="00810777" w14:paraId="4802F677" w14:textId="77777777" w:rsidTr="00632A34">
        <w:trPr>
          <w:gridAfter w:val="3"/>
          <w:wAfter w:w="5242" w:type="dxa"/>
        </w:trPr>
        <w:tc>
          <w:tcPr>
            <w:tcW w:w="2536" w:type="dxa"/>
          </w:tcPr>
          <w:p w14:paraId="2A80CC0D" w14:textId="77777777" w:rsidR="00092AC6" w:rsidRPr="00F35BED" w:rsidRDefault="00092AC6" w:rsidP="00092AC6">
            <w:r>
              <w:t>Less Fuel Efficiency</w:t>
            </w:r>
          </w:p>
        </w:tc>
        <w:tc>
          <w:tcPr>
            <w:tcW w:w="1798" w:type="dxa"/>
            <w:vAlign w:val="bottom"/>
          </w:tcPr>
          <w:p w14:paraId="2A20D11C" w14:textId="77777777" w:rsidR="00092AC6" w:rsidRPr="00F35BED" w:rsidRDefault="00092AC6" w:rsidP="00092AC6">
            <w:pPr>
              <w:jc w:val="right"/>
            </w:pPr>
            <w:r>
              <w:t>(2,382)</w:t>
            </w:r>
          </w:p>
        </w:tc>
      </w:tr>
      <w:tr w:rsidR="00092AC6" w:rsidRPr="00810777" w14:paraId="021CC9C5" w14:textId="77777777" w:rsidTr="00632A34">
        <w:trPr>
          <w:gridAfter w:val="3"/>
          <w:wAfter w:w="5242" w:type="dxa"/>
        </w:trPr>
        <w:tc>
          <w:tcPr>
            <w:tcW w:w="2536" w:type="dxa"/>
          </w:tcPr>
          <w:p w14:paraId="34B5FE29" w14:textId="77777777" w:rsidR="00092AC6" w:rsidRPr="00810777" w:rsidRDefault="00092AC6" w:rsidP="00092AC6">
            <w:pPr>
              <w:rPr>
                <w:b/>
              </w:rPr>
            </w:pPr>
            <w:r>
              <w:rPr>
                <w:b/>
              </w:rPr>
              <w:t>Total (eligible toward target)</w:t>
            </w:r>
          </w:p>
        </w:tc>
        <w:tc>
          <w:tcPr>
            <w:tcW w:w="1798" w:type="dxa"/>
            <w:vAlign w:val="bottom"/>
          </w:tcPr>
          <w:p w14:paraId="44E436F2" w14:textId="77777777" w:rsidR="00092AC6" w:rsidRDefault="00092AC6" w:rsidP="00092AC6">
            <w:pPr>
              <w:jc w:val="right"/>
              <w:rPr>
                <w:b/>
              </w:rPr>
            </w:pPr>
            <w:r>
              <w:rPr>
                <w:b/>
              </w:rPr>
              <w:t>59,838</w:t>
            </w:r>
          </w:p>
        </w:tc>
      </w:tr>
    </w:tbl>
    <w:p w14:paraId="2575349A" w14:textId="77777777" w:rsidR="00092AC6" w:rsidRPr="00DE003F" w:rsidRDefault="00092AC6" w:rsidP="00092AC6">
      <w:pPr>
        <w:rPr>
          <w:sz w:val="20"/>
          <w:szCs w:val="20"/>
        </w:rPr>
      </w:pPr>
    </w:p>
    <w:p w14:paraId="70269DB7" w14:textId="11101026" w:rsidR="00BE498D" w:rsidRDefault="009A061F" w:rsidP="0044594A">
      <w:r>
        <w:t>Avista’s</w:t>
      </w:r>
      <w:r w:rsidR="00433A8C">
        <w:t xml:space="preserve"> 2014-2015 budget is </w:t>
      </w:r>
      <w:r>
        <w:t>$21</w:t>
      </w:r>
      <w:r w:rsidR="003D0522">
        <w:t>.5 million</w:t>
      </w:r>
      <w:r w:rsidR="00433A8C">
        <w:t xml:space="preserve">, which is </w:t>
      </w:r>
      <w:r w:rsidR="00433A8C" w:rsidRPr="00FF7B7C">
        <w:t>a</w:t>
      </w:r>
      <w:r w:rsidRPr="00FF7B7C">
        <w:t xml:space="preserve">pproximately </w:t>
      </w:r>
      <w:r w:rsidR="00F20616" w:rsidRPr="00FF7B7C">
        <w:t>21</w:t>
      </w:r>
      <w:r w:rsidR="00433A8C" w:rsidRPr="00FF7B7C">
        <w:t xml:space="preserve"> percent lower than the budget for the 2012-2013 b</w:t>
      </w:r>
      <w:r w:rsidRPr="00FF7B7C">
        <w:t>iennium</w:t>
      </w:r>
      <w:r w:rsidR="00D035A4" w:rsidRPr="00FF7B7C">
        <w:t xml:space="preserve">. </w:t>
      </w:r>
      <w:r w:rsidRPr="00FF7B7C">
        <w:t>For comparison, Avista</w:t>
      </w:r>
      <w:r w:rsidR="00343083" w:rsidRPr="00FF7B7C">
        <w:t>’s expected total portfo</w:t>
      </w:r>
      <w:r w:rsidR="00F35E1D" w:rsidRPr="00FF7B7C">
        <w:t>lio savings for 2014-2015 are</w:t>
      </w:r>
      <w:r w:rsidRPr="00FF7B7C">
        <w:t xml:space="preserve"> </w:t>
      </w:r>
      <w:r w:rsidR="00FF7B7C" w:rsidRPr="00FF7B7C">
        <w:t>33</w:t>
      </w:r>
      <w:r w:rsidR="00433A8C" w:rsidRPr="00FF7B7C">
        <w:t xml:space="preserve"> percent </w:t>
      </w:r>
      <w:r w:rsidR="00343083" w:rsidRPr="00FF7B7C">
        <w:t>lower than the 2012-2013 biennium</w:t>
      </w:r>
      <w:r w:rsidR="00D035A4" w:rsidRPr="00FF7B7C">
        <w:t xml:space="preserve">. </w:t>
      </w:r>
      <w:r w:rsidR="00343083" w:rsidRPr="00FF7B7C">
        <w:t>The decline in savings is due to factors including increased saturation levels, lower avoided costs and updated</w:t>
      </w:r>
      <w:r w:rsidR="00343083" w:rsidRPr="00F35BED">
        <w:t xml:space="preserve"> unit energy savings (UES) values for certain measures</w:t>
      </w:r>
      <w:r w:rsidR="00D035A4">
        <w:t xml:space="preserve">. </w:t>
      </w:r>
      <w:r>
        <w:t>Avista</w:t>
      </w:r>
      <w:r w:rsidR="00343083">
        <w:t xml:space="preserve">’s portfolio achieves a Total </w:t>
      </w:r>
      <w:r>
        <w:t>Resource Cost (TRC) ratio of 1.1</w:t>
      </w:r>
      <w:r w:rsidR="00343083">
        <w:t xml:space="preserve"> and a Util</w:t>
      </w:r>
      <w:r>
        <w:t>ity Cost Test (UCT) ratio of 2.3</w:t>
      </w:r>
      <w:r w:rsidR="00343083">
        <w:t>, indica</w:t>
      </w:r>
      <w:r w:rsidR="00F35E1D">
        <w:t>ting that the portfolio remains</w:t>
      </w:r>
      <w:r w:rsidR="00343083">
        <w:t xml:space="preserve"> cost-effective</w:t>
      </w:r>
      <w:r w:rsidR="00D035A4">
        <w:t>.</w:t>
      </w:r>
      <w:r w:rsidR="008F0D8F">
        <w:rPr>
          <w:rStyle w:val="FootnoteReference"/>
        </w:rPr>
        <w:footnoteReference w:id="4"/>
      </w:r>
      <w:r w:rsidR="00D035A4">
        <w:t xml:space="preserve"> </w:t>
      </w:r>
    </w:p>
    <w:p w14:paraId="0B219D3B" w14:textId="77777777" w:rsidR="00EE513C" w:rsidRDefault="00EE513C" w:rsidP="00520CC1"/>
    <w:p w14:paraId="70269E02" w14:textId="3CC5D2EC" w:rsidR="00D433BF" w:rsidRPr="00953FF7" w:rsidRDefault="00953FF7" w:rsidP="00520CC1">
      <w:r>
        <w:t xml:space="preserve">The total </w:t>
      </w:r>
      <w:r w:rsidR="009A061F">
        <w:t>2014-2015 projected savings of 73,350</w:t>
      </w:r>
      <w:r>
        <w:t xml:space="preserve"> does not necessarily reflect the expected savings acquisition that is eligible to be applied toward the biennial target. For e</w:t>
      </w:r>
      <w:r w:rsidR="00F35E1D">
        <w:t>xample, as</w:t>
      </w:r>
      <w:r w:rsidR="006B3D57">
        <w:t xml:space="preserve"> described in more detail below</w:t>
      </w:r>
      <w:r w:rsidR="00F35E1D">
        <w:t>, NEEA savings</w:t>
      </w:r>
      <w:r>
        <w:t xml:space="preserve"> are removed from both the target and the savings eligible to be applied toward the target. </w:t>
      </w:r>
      <w:r w:rsidR="008F686C">
        <w:t xml:space="preserve">After adjusting projected savings to reflect only those savings eligible to be applied toward the biennial target, Avista’s eligible savings estimate for the biennium is 59,838 </w:t>
      </w:r>
      <w:r w:rsidR="006B3D57">
        <w:t>MWh</w:t>
      </w:r>
      <w:r w:rsidR="00AA1EE3">
        <w:t>.</w:t>
      </w:r>
      <w:r w:rsidR="00D433BF">
        <w:t xml:space="preserve"> This savings projection falls short of Avista’s biennial target of </w:t>
      </w:r>
      <w:r w:rsidR="00E3788D">
        <w:t>65,131 MWh, as proposed by s</w:t>
      </w:r>
      <w:r w:rsidR="00D433BF">
        <w:t>taff</w:t>
      </w:r>
      <w:r w:rsidR="00B6522B">
        <w:t xml:space="preserve"> and shown on Table 1</w:t>
      </w:r>
      <w:r w:rsidR="00D433BF">
        <w:t xml:space="preserve">. Therefore, if the </w:t>
      </w:r>
      <w:r w:rsidR="00FF0C52">
        <w:t>c</w:t>
      </w:r>
      <w:r w:rsidR="00E3788D">
        <w:t>ommission approves s</w:t>
      </w:r>
      <w:r w:rsidR="00D433BF">
        <w:t>taff’</w:t>
      </w:r>
      <w:r w:rsidR="00E3788D">
        <w:t>s proposed target, s</w:t>
      </w:r>
      <w:r w:rsidR="00D433BF">
        <w:t xml:space="preserve">taff recommends that the </w:t>
      </w:r>
      <w:r w:rsidR="00FF0C52">
        <w:t>c</w:t>
      </w:r>
      <w:r w:rsidR="00D433BF">
        <w:t>ommission also require Avista to submit a revised Business Plan that has been developed to meet or exceed the biennial target.</w:t>
      </w:r>
    </w:p>
    <w:p w14:paraId="70269E03" w14:textId="77777777" w:rsidR="002C179B" w:rsidRPr="0092599F" w:rsidRDefault="002C179B" w:rsidP="002C179B">
      <w:pPr>
        <w:rPr>
          <w:b/>
        </w:rPr>
      </w:pPr>
    </w:p>
    <w:p w14:paraId="70269E04" w14:textId="77777777" w:rsidR="002C179B" w:rsidRPr="0092599F" w:rsidRDefault="001363A7" w:rsidP="002C179B">
      <w:pPr>
        <w:rPr>
          <w:b/>
        </w:rPr>
      </w:pPr>
      <w:r w:rsidRPr="0092599F">
        <w:rPr>
          <w:b/>
        </w:rPr>
        <w:t>NEEA</w:t>
      </w:r>
    </w:p>
    <w:p w14:paraId="70269E05" w14:textId="77777777" w:rsidR="001363A7" w:rsidRDefault="001363A7" w:rsidP="002C179B">
      <w:pPr>
        <w:rPr>
          <w:b/>
        </w:rPr>
      </w:pPr>
    </w:p>
    <w:p w14:paraId="70269E06" w14:textId="3478E061" w:rsidR="009E5B50" w:rsidRDefault="008A5C93" w:rsidP="002C179B">
      <w:r>
        <w:t>As discussed in the staff comments filed Dec</w:t>
      </w:r>
      <w:r w:rsidR="004E1264">
        <w:t>ember</w:t>
      </w:r>
      <w:r>
        <w:t xml:space="preserve"> 3, 2013, </w:t>
      </w:r>
      <w:r w:rsidR="00E3788D">
        <w:t>s</w:t>
      </w:r>
      <w:r w:rsidR="00F35E1D">
        <w:t xml:space="preserve">taff supports the company’s </w:t>
      </w:r>
      <w:r w:rsidR="009E5B50">
        <w:t xml:space="preserve">general approach for </w:t>
      </w:r>
      <w:r w:rsidR="00F35E1D">
        <w:t xml:space="preserve">the treatment of NEEA savings for </w:t>
      </w:r>
      <w:r w:rsidR="009E5B50">
        <w:t>the purposes of this biennium. Staff supports Avista’s implementation of the joint proposal and accepts that 11,130 MWh of NEEA savings is the appropriate level of savings to be removed from the company’s biennial target. Avista will not count NEEA savings toward its biennial target but will continue to pursue regional savings acquisition</w:t>
      </w:r>
      <w:r w:rsidR="00BF302E">
        <w:t xml:space="preserve"> pursuant to Condition 6(h) described in Attachment A of this memo. </w:t>
      </w:r>
    </w:p>
    <w:p w14:paraId="70269E07" w14:textId="0C39749D" w:rsidR="00FF0C52" w:rsidRDefault="00FF0C52">
      <w:r>
        <w:br w:type="page"/>
      </w:r>
    </w:p>
    <w:p w14:paraId="70269E08" w14:textId="77777777" w:rsidR="00F35E1D" w:rsidRDefault="00F35E1D" w:rsidP="002C179B">
      <w:pPr>
        <w:rPr>
          <w:b/>
        </w:rPr>
      </w:pPr>
      <w:r>
        <w:rPr>
          <w:b/>
        </w:rPr>
        <w:lastRenderedPageBreak/>
        <w:t>Home Energy Reports</w:t>
      </w:r>
      <w:r w:rsidR="006B3D57">
        <w:rPr>
          <w:b/>
        </w:rPr>
        <w:t xml:space="preserve"> (HER)</w:t>
      </w:r>
    </w:p>
    <w:p w14:paraId="70269E09" w14:textId="77777777" w:rsidR="00F35E1D" w:rsidRDefault="00F35E1D" w:rsidP="002C179B">
      <w:pPr>
        <w:rPr>
          <w:b/>
        </w:rPr>
      </w:pPr>
    </w:p>
    <w:p w14:paraId="70269E0A" w14:textId="6933545B" w:rsidR="00950EF4" w:rsidRDefault="00950EF4" w:rsidP="002C179B">
      <w:r>
        <w:t xml:space="preserve">In its CPA Avista estimated the savings potential for the HER program over the first two years of the biennium (2014-2015) to be zero and, as a result, Avista’s target includes zero </w:t>
      </w:r>
      <w:r w:rsidR="00E3788D">
        <w:t>MWh</w:t>
      </w:r>
      <w:r>
        <w:t xml:space="preserve"> of HER savings potential. However, subsequent to the development of the CPA</w:t>
      </w:r>
      <w:r w:rsidR="00B6522B">
        <w:t>,</w:t>
      </w:r>
      <w:r>
        <w:t xml:space="preserve"> Avista worked with Opower on program design and renegotiated costs such that Opower can </w:t>
      </w:r>
      <w:r w:rsidR="00B6522B">
        <w:t xml:space="preserve">now </w:t>
      </w:r>
      <w:r>
        <w:t xml:space="preserve">offer a program to a subset of Avista’s customers in a cost-effective manner, and Avista </w:t>
      </w:r>
      <w:r w:rsidR="00C514E5">
        <w:t>proposes</w:t>
      </w:r>
      <w:r>
        <w:t xml:space="preserve"> to claim those savings against the biennial target. Thus, Avista </w:t>
      </w:r>
      <w:r w:rsidR="00C514E5">
        <w:t>would</w:t>
      </w:r>
      <w:r>
        <w:t xml:space="preserve"> apply HER savings against a biennial target that does not contain economically achievable behavioral savings. </w:t>
      </w:r>
    </w:p>
    <w:p w14:paraId="70269E0B" w14:textId="77777777" w:rsidR="004F43C6" w:rsidRDefault="004F43C6" w:rsidP="002C179B"/>
    <w:p w14:paraId="70269E0C" w14:textId="2A399AFB" w:rsidR="004F43C6" w:rsidRDefault="004F43C6" w:rsidP="00296D1E">
      <w:r>
        <w:t>Staff believes that the lack of economic potential in 2014-2015 for the HER program i</w:t>
      </w:r>
      <w:r w:rsidR="00296D1E">
        <w:t>s due primarily to a difficulty in modeling behavior programs within</w:t>
      </w:r>
      <w:r>
        <w:t xml:space="preserve"> the CPA. </w:t>
      </w:r>
      <w:r w:rsidR="00296D1E">
        <w:t>In Avista’s CPA, expected behavioral savings were modeled as</w:t>
      </w:r>
      <w:r>
        <w:t xml:space="preserve"> </w:t>
      </w:r>
      <w:r w:rsidR="00C514E5">
        <w:t>average-</w:t>
      </w:r>
      <w:r>
        <w:t xml:space="preserve">expected savings across all customers, whereas in reality the HER program is offered to a subset of higher-use customers with an above-average savings potential. </w:t>
      </w:r>
      <w:r w:rsidR="005B5BBD">
        <w:t>In other words, the</w:t>
      </w:r>
      <w:r w:rsidR="00F20616">
        <w:t>re is no standard</w:t>
      </w:r>
      <w:r w:rsidR="005B5BBD">
        <w:t xml:space="preserve"> UES </w:t>
      </w:r>
      <w:r w:rsidR="00F20616">
        <w:t>that can be used evaluate be</w:t>
      </w:r>
      <w:r w:rsidR="0047317D">
        <w:t>havioral programs within a CPA.</w:t>
      </w:r>
      <w:r w:rsidR="00296D1E">
        <w:t xml:space="preserve"> </w:t>
      </w:r>
      <w:r w:rsidR="001C535A">
        <w:t>D</w:t>
      </w:r>
      <w:r w:rsidR="00296D1E">
        <w:t xml:space="preserve">ue to this modeling difficulty, behavior programs should not be modeled within the CPA. Rather, expected behavioral savings should be treated as an add-on to the target after the two-year potential is derived from the CPA. </w:t>
      </w:r>
      <w:r w:rsidR="001C535A">
        <w:t>T</w:t>
      </w:r>
      <w:r w:rsidR="00296D1E">
        <w:t xml:space="preserve">his issue is unique to behavioral programs, and the treatment of behavioral savings in relation to the CPA </w:t>
      </w:r>
      <w:r w:rsidR="005B5BBD">
        <w:t xml:space="preserve">and the target-setting process </w:t>
      </w:r>
      <w:r w:rsidR="00296D1E">
        <w:t>should not be precedential for other types of</w:t>
      </w:r>
      <w:r w:rsidR="005B5BBD">
        <w:t xml:space="preserve"> measures. </w:t>
      </w:r>
    </w:p>
    <w:p w14:paraId="70269E0D" w14:textId="77777777" w:rsidR="00950EF4" w:rsidRDefault="00950EF4" w:rsidP="002C179B"/>
    <w:p w14:paraId="70269E0F" w14:textId="4267E5F3" w:rsidR="00AA1EE3" w:rsidRDefault="00AA1EE3" w:rsidP="002C179B">
      <w:r>
        <w:t>Staff believes that Avista’s current projected biennial savings from its HER program is a reasonable proxy for the amount t</w:t>
      </w:r>
      <w:r w:rsidR="00E3788D">
        <w:t>hat</w:t>
      </w:r>
      <w:r>
        <w:t xml:space="preserve"> would have been included in the two-year potential if a finer</w:t>
      </w:r>
      <w:r w:rsidR="00E3788D">
        <w:t xml:space="preserve"> granularity of HER savings had been</w:t>
      </w:r>
      <w:r>
        <w:t xml:space="preserve"> defined within the CPA</w:t>
      </w:r>
      <w:r w:rsidR="00E3788D">
        <w:t xml:space="preserve"> model</w:t>
      </w:r>
      <w:r w:rsidR="00464ECA">
        <w:t>. Therefore, s</w:t>
      </w:r>
      <w:r>
        <w:t xml:space="preserve">taff recommends that the </w:t>
      </w:r>
      <w:r w:rsidR="00073D8F">
        <w:t>c</w:t>
      </w:r>
      <w:r>
        <w:t>ommission approve a target of 65,131 megawatt-hours</w:t>
      </w:r>
      <w:r w:rsidR="0047317D">
        <w:t xml:space="preserve"> which includes 6,900 MWh of projected HER savings for the 2014-2015 biennium</w:t>
      </w:r>
      <w:r>
        <w:t>.</w:t>
      </w:r>
    </w:p>
    <w:p w14:paraId="1E99B55B" w14:textId="77777777" w:rsidR="0047317D" w:rsidRDefault="0047317D" w:rsidP="002C179B"/>
    <w:p w14:paraId="09CF2840" w14:textId="6B47C31A" w:rsidR="0047317D" w:rsidRDefault="0047317D" w:rsidP="002C179B">
      <w:r>
        <w:rPr>
          <w:b/>
        </w:rPr>
        <w:t>Locked UES values</w:t>
      </w:r>
    </w:p>
    <w:p w14:paraId="3B14A635" w14:textId="77777777" w:rsidR="0047317D" w:rsidRDefault="0047317D" w:rsidP="002C179B"/>
    <w:p w14:paraId="223914C0" w14:textId="31A2BAC5" w:rsidR="0047317D" w:rsidRDefault="0047317D" w:rsidP="002C179B">
      <w:r>
        <w:t>As described in staff’s comments, staff supports Avista’s proposal to use “locked” UES values for reporting progress toward the biennial target. These locked UES values are for reporting purposes only; Avista must still manage its programs with the best available information which may require incorporating updated UES values i</w:t>
      </w:r>
      <w:r w:rsidR="00D52EA2">
        <w:t>nto</w:t>
      </w:r>
      <w:r w:rsidR="00D71373">
        <w:t xml:space="preserve"> it</w:t>
      </w:r>
      <w:r w:rsidR="00D52EA2">
        <w:t>s</w:t>
      </w:r>
      <w:r w:rsidR="00D71373">
        <w:t xml:space="preserve"> ongoing program management</w:t>
      </w:r>
      <w:r>
        <w:t xml:space="preserve">. </w:t>
      </w:r>
    </w:p>
    <w:p w14:paraId="56D89ABD" w14:textId="77777777" w:rsidR="0047317D" w:rsidRDefault="0047317D" w:rsidP="002C179B"/>
    <w:p w14:paraId="70269E11" w14:textId="11AF8DF6" w:rsidR="00FF0C52" w:rsidRDefault="0047317D">
      <w:r>
        <w:t>In response to requests from staff and Public Counsel, Avista filed</w:t>
      </w:r>
      <w:r w:rsidR="00D71373">
        <w:t xml:space="preserve"> a UES compendium into Docket UE-132045 on Dec</w:t>
      </w:r>
      <w:r w:rsidR="00831844">
        <w:t>ember</w:t>
      </w:r>
      <w:r w:rsidR="00D71373">
        <w:t xml:space="preserve"> 10, 2013. This compendium lists the UES values Avista is proposing to lock, and provides information on the source of each UES value. </w:t>
      </w:r>
      <w:r w:rsidR="00D52EA2">
        <w:t>Staff was not able to review this document prior to writing this memo but anticipates that it will be able to do so prior to the Dec</w:t>
      </w:r>
      <w:r w:rsidR="00831844">
        <w:t>ember</w:t>
      </w:r>
      <w:r w:rsidR="00D52EA2">
        <w:t xml:space="preserve"> 18, 2013, Open Meeting. Staff expects it w</w:t>
      </w:r>
      <w:r w:rsidR="00464ECA">
        <w:t>ill be able to move forward with its</w:t>
      </w:r>
      <w:r w:rsidR="00D52EA2">
        <w:t xml:space="preserve"> recommendation at that time. </w:t>
      </w:r>
    </w:p>
    <w:p w14:paraId="73A42C45" w14:textId="7C435716" w:rsidR="00831844" w:rsidRDefault="00831844">
      <w:pPr>
        <w:rPr>
          <w:b/>
        </w:rPr>
      </w:pPr>
      <w:r>
        <w:rPr>
          <w:b/>
        </w:rPr>
        <w:br w:type="page"/>
      </w:r>
    </w:p>
    <w:p w14:paraId="3E70E94B" w14:textId="77777777" w:rsidR="00831844" w:rsidRDefault="00831844">
      <w:pPr>
        <w:rPr>
          <w:b/>
        </w:rPr>
      </w:pPr>
    </w:p>
    <w:p w14:paraId="70269E12" w14:textId="77777777" w:rsidR="00BE498D" w:rsidRDefault="00BE498D" w:rsidP="002C179B">
      <w:pPr>
        <w:rPr>
          <w:b/>
        </w:rPr>
      </w:pPr>
      <w:r>
        <w:rPr>
          <w:b/>
        </w:rPr>
        <w:t>Conditions List</w:t>
      </w:r>
    </w:p>
    <w:p w14:paraId="70269E13" w14:textId="77777777" w:rsidR="00BE498D" w:rsidRDefault="00BE498D" w:rsidP="002C179B">
      <w:pPr>
        <w:rPr>
          <w:b/>
        </w:rPr>
      </w:pPr>
    </w:p>
    <w:p w14:paraId="70269E14" w14:textId="2118833B" w:rsidR="006A687B" w:rsidRDefault="006A687B" w:rsidP="002C179B">
      <w:r>
        <w:t>As in previous biennia</w:t>
      </w:r>
      <w:r w:rsidR="000F4CBA">
        <w:t xml:space="preserve">, Staff worked with Avista, </w:t>
      </w:r>
      <w:r w:rsidR="00DD46AC">
        <w:t xml:space="preserve">as well as </w:t>
      </w:r>
      <w:r w:rsidR="000F4CBA">
        <w:t>Public Cousel,</w:t>
      </w:r>
      <w:r>
        <w:t xml:space="preserve"> to dev</w:t>
      </w:r>
      <w:r w:rsidR="000F4CBA">
        <w:t>elop a set of conditions for Avista</w:t>
      </w:r>
      <w:r>
        <w:t>’s conservation progr</w:t>
      </w:r>
      <w:r w:rsidR="006C6F08">
        <w:t>ams in the 2014-2015 biennium</w:t>
      </w:r>
      <w:r w:rsidR="00D035A4">
        <w:t xml:space="preserve">. </w:t>
      </w:r>
      <w:r w:rsidR="006C6F08">
        <w:t>The resulting conditions l</w:t>
      </w:r>
      <w:r w:rsidR="000F4CBA">
        <w:t>ist is included in Attachment A</w:t>
      </w:r>
      <w:r w:rsidR="006C6F08">
        <w:t>.</w:t>
      </w:r>
    </w:p>
    <w:p w14:paraId="70269E15" w14:textId="77777777" w:rsidR="001363A7" w:rsidRDefault="001363A7" w:rsidP="00204A52">
      <w:pPr>
        <w:pStyle w:val="Heading1"/>
      </w:pPr>
      <w:r w:rsidRPr="0092599F">
        <w:t>Stakeholder Comments</w:t>
      </w:r>
    </w:p>
    <w:p w14:paraId="70269E16" w14:textId="1C5A1C62" w:rsidR="00F35BED" w:rsidRPr="00F35BED" w:rsidRDefault="00D2383D" w:rsidP="00F35BED">
      <w:r>
        <w:t>In its comments filed in Docket UE-132045 on</w:t>
      </w:r>
      <w:r w:rsidR="00F35BED">
        <w:t xml:space="preserve"> Dec</w:t>
      </w:r>
      <w:r w:rsidR="00831844">
        <w:t>.ember</w:t>
      </w:r>
      <w:r w:rsidR="00F35BED">
        <w:t xml:space="preserve"> 3, 2013, </w:t>
      </w:r>
      <w:r>
        <w:t xml:space="preserve">Public Counsel </w:t>
      </w:r>
      <w:r w:rsidR="00A349BC">
        <w:t>identified</w:t>
      </w:r>
      <w:r>
        <w:t xml:space="preserve"> t</w:t>
      </w:r>
      <w:r w:rsidR="00A349BC">
        <w:t>wo primary concerns</w:t>
      </w:r>
      <w:r>
        <w:t>. First, Public Counsel</w:t>
      </w:r>
      <w:r w:rsidR="00F35BED">
        <w:t xml:space="preserve"> </w:t>
      </w:r>
      <w:r>
        <w:t xml:space="preserve">noted its concern with the lack of specificity around the UES values Avista was proposing to “lock” for the biennium. Like staff, Public Counsel believed it could provide a recommendation regarding the biennial target once Avista provided a list of locked UES </w:t>
      </w:r>
      <w:r w:rsidR="0047317D">
        <w:t xml:space="preserve">values </w:t>
      </w:r>
      <w:r>
        <w:t>and the sources of those UES</w:t>
      </w:r>
      <w:r w:rsidR="0047317D">
        <w:t xml:space="preserve"> values</w:t>
      </w:r>
      <w:r>
        <w:t>. Second</w:t>
      </w:r>
      <w:r w:rsidR="00A349BC">
        <w:t xml:space="preserve">, Public Counsel states its belief that Avista’s intent to claim savings for the Opower program toward the biennial target is not consistent with the development of the target. Staff shares both of Public Counsel’s concerns and has developed its recommendations herein to address those concerns. </w:t>
      </w:r>
    </w:p>
    <w:p w14:paraId="70269E17" w14:textId="77777777" w:rsidR="00D60E7F" w:rsidRPr="00CD74CC" w:rsidRDefault="0028215A" w:rsidP="00204A52">
      <w:pPr>
        <w:pStyle w:val="Heading1"/>
        <w:rPr>
          <w:u w:val="single"/>
        </w:rPr>
      </w:pPr>
      <w:r w:rsidRPr="00CD74CC">
        <w:rPr>
          <w:u w:val="single"/>
        </w:rPr>
        <w:t>Conclusion</w:t>
      </w:r>
    </w:p>
    <w:p w14:paraId="70269E18" w14:textId="183A123C" w:rsidR="003840D3" w:rsidRDefault="004B4ED5" w:rsidP="003840D3">
      <w:r>
        <w:t xml:space="preserve">Issue an order approving </w:t>
      </w:r>
      <w:r w:rsidR="000F4CBA">
        <w:t>Avista Corporation’s</w:t>
      </w:r>
      <w:r>
        <w:t xml:space="preserve"> ten-year conservation potential </w:t>
      </w:r>
      <w:r w:rsidR="003840D3">
        <w:t xml:space="preserve">of 404,736 megawatt-hours </w:t>
      </w:r>
      <w:r>
        <w:t xml:space="preserve">and </w:t>
      </w:r>
      <w:r w:rsidR="003840D3">
        <w:t xml:space="preserve">a revised </w:t>
      </w:r>
      <w:r>
        <w:t>biennial conservation target</w:t>
      </w:r>
      <w:r w:rsidR="003840D3">
        <w:t xml:space="preserve"> of 65,131 megawatt-hours</w:t>
      </w:r>
      <w:r>
        <w:t>, subject to</w:t>
      </w:r>
      <w:r w:rsidR="00433A8C">
        <w:t xml:space="preserve"> the</w:t>
      </w:r>
      <w:r>
        <w:t xml:space="preserve"> conditions</w:t>
      </w:r>
      <w:r w:rsidR="00433A8C">
        <w:t xml:space="preserve"> in Attachment A</w:t>
      </w:r>
      <w:r>
        <w:t xml:space="preserve">, </w:t>
      </w:r>
      <w:r w:rsidR="003840D3">
        <w:t xml:space="preserve">and subject to the submission of </w:t>
      </w:r>
      <w:r w:rsidR="009B1C60">
        <w:t>a revised business plan, by Jan</w:t>
      </w:r>
      <w:r w:rsidR="00073D8F">
        <w:t xml:space="preserve">uary </w:t>
      </w:r>
      <w:r w:rsidR="009B1C60">
        <w:t>31</w:t>
      </w:r>
      <w:r w:rsidR="003840D3">
        <w:t>, 2014, that describes the company’s revised plan to implement conservation programs and demonstrates that t</w:t>
      </w:r>
      <w:r w:rsidR="002B2EE9">
        <w:t xml:space="preserve">he </w:t>
      </w:r>
      <w:r w:rsidR="003840D3">
        <w:t>busines</w:t>
      </w:r>
      <w:r w:rsidR="00362E09">
        <w:t>s plan has been developed</w:t>
      </w:r>
      <w:r w:rsidR="003840D3">
        <w:t xml:space="preserve"> to meet or exceed the biennial target.</w:t>
      </w:r>
    </w:p>
    <w:p w14:paraId="135B4B30" w14:textId="77777777" w:rsidR="00D67FD5" w:rsidRDefault="00D67FD5" w:rsidP="003840D3"/>
    <w:p w14:paraId="3060330D" w14:textId="2CFA0F84" w:rsidR="00D67FD5" w:rsidRDefault="00D67FD5" w:rsidP="003840D3">
      <w:r>
        <w:t xml:space="preserve">Attachment </w:t>
      </w:r>
    </w:p>
    <w:p w14:paraId="70269E1A" w14:textId="77777777" w:rsidR="00C75312" w:rsidRPr="005440CF" w:rsidRDefault="00C75312" w:rsidP="004B4ED5">
      <w:pPr>
        <w:rPr>
          <w:color w:val="1F497D"/>
        </w:rPr>
      </w:pPr>
    </w:p>
    <w:sectPr w:rsidR="00C75312" w:rsidRPr="005440CF" w:rsidSect="00BA4E08">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69E1D" w14:textId="77777777" w:rsidR="004E1264" w:rsidRDefault="004E1264" w:rsidP="00FF75F4">
      <w:r>
        <w:separator/>
      </w:r>
    </w:p>
  </w:endnote>
  <w:endnote w:type="continuationSeparator" w:id="0">
    <w:p w14:paraId="70269E1E" w14:textId="77777777" w:rsidR="004E1264" w:rsidRDefault="004E1264"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69E1B" w14:textId="77777777" w:rsidR="004E1264" w:rsidRDefault="004E1264" w:rsidP="00FF75F4">
      <w:r>
        <w:separator/>
      </w:r>
    </w:p>
  </w:footnote>
  <w:footnote w:type="continuationSeparator" w:id="0">
    <w:p w14:paraId="70269E1C" w14:textId="77777777" w:rsidR="004E1264" w:rsidRDefault="004E1264" w:rsidP="00FF75F4">
      <w:r>
        <w:continuationSeparator/>
      </w:r>
    </w:p>
  </w:footnote>
  <w:footnote w:id="1">
    <w:p w14:paraId="00949970" w14:textId="37921BCC" w:rsidR="004E1264" w:rsidRDefault="004E1264">
      <w:pPr>
        <w:pStyle w:val="FootnoteText"/>
      </w:pPr>
      <w:r>
        <w:rPr>
          <w:rStyle w:val="FootnoteReference"/>
        </w:rPr>
        <w:footnoteRef/>
      </w:r>
      <w:r>
        <w:t xml:space="preserve"> The Home Energy Reports program is a residential behavioral program built on mailing peer comparison reports. Avista launched this program in June of 2013. </w:t>
      </w:r>
    </w:p>
  </w:footnote>
  <w:footnote w:id="2">
    <w:p w14:paraId="34E40890" w14:textId="77777777" w:rsidR="004E1264" w:rsidRDefault="004E1264" w:rsidP="00092AC6">
      <w:pPr>
        <w:pStyle w:val="FootnoteText"/>
      </w:pPr>
      <w:r>
        <w:rPr>
          <w:rStyle w:val="FootnoteReference"/>
        </w:rPr>
        <w:footnoteRef/>
      </w:r>
      <w:r>
        <w:t xml:space="preserve"> This is the projected NEEA savings identifiable to the CPA. NEEA’s total projected savings for the biennium for Avista’s service territory is 28,971 MWh. </w:t>
      </w:r>
    </w:p>
  </w:footnote>
  <w:footnote w:id="3">
    <w:p w14:paraId="0FFE7DC3" w14:textId="6421C3D2" w:rsidR="004E1264" w:rsidRDefault="004E1264">
      <w:pPr>
        <w:pStyle w:val="FootnoteText"/>
      </w:pPr>
      <w:r>
        <w:rPr>
          <w:rStyle w:val="FootnoteReference"/>
        </w:rPr>
        <w:footnoteRef/>
      </w:r>
      <w:r>
        <w:t xml:space="preserve"> This is the projected NEEA savings prior to the proposal to identify and remove CPA-specific NEEA savings. Therefore, the 2012-2013 projected NEEA savings is not directly comparable to the 2014-2015 projected NEEA savings identified in this table.</w:t>
      </w:r>
    </w:p>
  </w:footnote>
  <w:footnote w:id="4">
    <w:p w14:paraId="481D448F" w14:textId="3DA5706F" w:rsidR="004E1264" w:rsidRDefault="004E1264">
      <w:pPr>
        <w:pStyle w:val="FootnoteText"/>
      </w:pPr>
      <w:r>
        <w:rPr>
          <w:rStyle w:val="FootnoteReference"/>
        </w:rPr>
        <w:footnoteRef/>
      </w:r>
      <w:r>
        <w:t xml:space="preserve"> UE-132045, Avista 2014 DSM Business Plan, page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69E1F" w14:textId="3937238B" w:rsidR="004E1264" w:rsidRPr="00777586" w:rsidRDefault="004E1264" w:rsidP="002C648F">
    <w:pPr>
      <w:pStyle w:val="Header"/>
      <w:rPr>
        <w:sz w:val="20"/>
        <w:szCs w:val="20"/>
      </w:rPr>
    </w:pPr>
    <w:r w:rsidRPr="00777586">
      <w:rPr>
        <w:sz w:val="20"/>
        <w:szCs w:val="20"/>
      </w:rPr>
      <w:t>D</w:t>
    </w:r>
    <w:r>
      <w:rPr>
        <w:sz w:val="20"/>
        <w:szCs w:val="20"/>
      </w:rPr>
      <w:t xml:space="preserve">OCKET </w:t>
    </w:r>
    <w:r w:rsidRPr="00F22F14">
      <w:rPr>
        <w:sz w:val="20"/>
        <w:szCs w:val="20"/>
      </w:rPr>
      <w:t>UE-</w:t>
    </w:r>
    <w:r w:rsidR="00D67FD5">
      <w:rPr>
        <w:sz w:val="20"/>
        <w:szCs w:val="20"/>
      </w:rPr>
      <w:t>132045</w:t>
    </w:r>
  </w:p>
  <w:p w14:paraId="70269E20" w14:textId="77777777" w:rsidR="004E1264" w:rsidRPr="00777586" w:rsidRDefault="004E1264" w:rsidP="002C648F">
    <w:pPr>
      <w:pStyle w:val="Header"/>
      <w:rPr>
        <w:sz w:val="20"/>
        <w:szCs w:val="20"/>
      </w:rPr>
    </w:pPr>
    <w:r>
      <w:rPr>
        <w:sz w:val="20"/>
        <w:szCs w:val="20"/>
      </w:rPr>
      <w:t>December 18, 2013</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BB07B9">
      <w:rPr>
        <w:rStyle w:val="PageNumber"/>
        <w:noProof/>
        <w:sz w:val="20"/>
        <w:szCs w:val="20"/>
      </w:rPr>
      <w:t>5</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0FCF"/>
    <w:rsid w:val="00001805"/>
    <w:rsid w:val="000031D1"/>
    <w:rsid w:val="0000603F"/>
    <w:rsid w:val="000126E3"/>
    <w:rsid w:val="00013E26"/>
    <w:rsid w:val="00024AD3"/>
    <w:rsid w:val="00025FA6"/>
    <w:rsid w:val="00030742"/>
    <w:rsid w:val="00040CE3"/>
    <w:rsid w:val="00041921"/>
    <w:rsid w:val="00042271"/>
    <w:rsid w:val="000427DB"/>
    <w:rsid w:val="00043283"/>
    <w:rsid w:val="00046219"/>
    <w:rsid w:val="00047427"/>
    <w:rsid w:val="00054659"/>
    <w:rsid w:val="00057091"/>
    <w:rsid w:val="00057A1C"/>
    <w:rsid w:val="0007323E"/>
    <w:rsid w:val="00073D8F"/>
    <w:rsid w:val="00082655"/>
    <w:rsid w:val="00086F2E"/>
    <w:rsid w:val="00091AC2"/>
    <w:rsid w:val="00092AC6"/>
    <w:rsid w:val="00092E6A"/>
    <w:rsid w:val="00093F47"/>
    <w:rsid w:val="0009761D"/>
    <w:rsid w:val="000977E9"/>
    <w:rsid w:val="000A1774"/>
    <w:rsid w:val="000A302B"/>
    <w:rsid w:val="000A36EF"/>
    <w:rsid w:val="000A4CAF"/>
    <w:rsid w:val="000A4EDF"/>
    <w:rsid w:val="000A6695"/>
    <w:rsid w:val="000A7F7C"/>
    <w:rsid w:val="000B4E69"/>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41CD"/>
    <w:rsid w:val="000F4CBA"/>
    <w:rsid w:val="00100426"/>
    <w:rsid w:val="00100726"/>
    <w:rsid w:val="0010117B"/>
    <w:rsid w:val="00104E99"/>
    <w:rsid w:val="00106E5E"/>
    <w:rsid w:val="0011135E"/>
    <w:rsid w:val="00115F20"/>
    <w:rsid w:val="001162AB"/>
    <w:rsid w:val="00123CC4"/>
    <w:rsid w:val="00124A6F"/>
    <w:rsid w:val="001261D0"/>
    <w:rsid w:val="001302B0"/>
    <w:rsid w:val="0013087A"/>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16C0"/>
    <w:rsid w:val="001923BA"/>
    <w:rsid w:val="00192AD1"/>
    <w:rsid w:val="00194217"/>
    <w:rsid w:val="00194C72"/>
    <w:rsid w:val="001B4AC2"/>
    <w:rsid w:val="001B6C26"/>
    <w:rsid w:val="001C41E2"/>
    <w:rsid w:val="001C424C"/>
    <w:rsid w:val="001C535A"/>
    <w:rsid w:val="001C5930"/>
    <w:rsid w:val="001C78C3"/>
    <w:rsid w:val="001D0D50"/>
    <w:rsid w:val="001E3ACD"/>
    <w:rsid w:val="001F4BAA"/>
    <w:rsid w:val="001F5226"/>
    <w:rsid w:val="001F668E"/>
    <w:rsid w:val="00204A52"/>
    <w:rsid w:val="0020635F"/>
    <w:rsid w:val="00220A9A"/>
    <w:rsid w:val="002215D4"/>
    <w:rsid w:val="002245E8"/>
    <w:rsid w:val="00225BAA"/>
    <w:rsid w:val="0022715D"/>
    <w:rsid w:val="00227F90"/>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6D1E"/>
    <w:rsid w:val="002970C4"/>
    <w:rsid w:val="002A17DE"/>
    <w:rsid w:val="002A36C0"/>
    <w:rsid w:val="002A3F3D"/>
    <w:rsid w:val="002A67A9"/>
    <w:rsid w:val="002A7D14"/>
    <w:rsid w:val="002B2EE9"/>
    <w:rsid w:val="002B6C2B"/>
    <w:rsid w:val="002C0730"/>
    <w:rsid w:val="002C179B"/>
    <w:rsid w:val="002C1C8E"/>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05252"/>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51AC2"/>
    <w:rsid w:val="003607EF"/>
    <w:rsid w:val="003614F9"/>
    <w:rsid w:val="00362080"/>
    <w:rsid w:val="00362E09"/>
    <w:rsid w:val="00364EF9"/>
    <w:rsid w:val="00367F1C"/>
    <w:rsid w:val="003702DA"/>
    <w:rsid w:val="0037080B"/>
    <w:rsid w:val="00372101"/>
    <w:rsid w:val="003776C2"/>
    <w:rsid w:val="003840D3"/>
    <w:rsid w:val="00385F85"/>
    <w:rsid w:val="0038660C"/>
    <w:rsid w:val="003904AE"/>
    <w:rsid w:val="00391AB8"/>
    <w:rsid w:val="003927A9"/>
    <w:rsid w:val="00394387"/>
    <w:rsid w:val="003A683D"/>
    <w:rsid w:val="003B1607"/>
    <w:rsid w:val="003B2045"/>
    <w:rsid w:val="003B26AE"/>
    <w:rsid w:val="003B64CF"/>
    <w:rsid w:val="003B741B"/>
    <w:rsid w:val="003C5768"/>
    <w:rsid w:val="003C7708"/>
    <w:rsid w:val="003D0522"/>
    <w:rsid w:val="003D21C9"/>
    <w:rsid w:val="003D3A3A"/>
    <w:rsid w:val="003D4240"/>
    <w:rsid w:val="003D5FE5"/>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798A"/>
    <w:rsid w:val="004600EE"/>
    <w:rsid w:val="00464CC7"/>
    <w:rsid w:val="00464ECA"/>
    <w:rsid w:val="00465007"/>
    <w:rsid w:val="00465904"/>
    <w:rsid w:val="00471B11"/>
    <w:rsid w:val="0047317D"/>
    <w:rsid w:val="00473E34"/>
    <w:rsid w:val="00481B2A"/>
    <w:rsid w:val="00482FF7"/>
    <w:rsid w:val="00483226"/>
    <w:rsid w:val="00491392"/>
    <w:rsid w:val="00491D88"/>
    <w:rsid w:val="00493923"/>
    <w:rsid w:val="00493DC1"/>
    <w:rsid w:val="00494B89"/>
    <w:rsid w:val="004A037C"/>
    <w:rsid w:val="004A2726"/>
    <w:rsid w:val="004A3142"/>
    <w:rsid w:val="004B2C53"/>
    <w:rsid w:val="004B4DA1"/>
    <w:rsid w:val="004B4ED5"/>
    <w:rsid w:val="004C207B"/>
    <w:rsid w:val="004C2614"/>
    <w:rsid w:val="004C3E8A"/>
    <w:rsid w:val="004C3F6A"/>
    <w:rsid w:val="004C579D"/>
    <w:rsid w:val="004D2FEB"/>
    <w:rsid w:val="004D4B4E"/>
    <w:rsid w:val="004E1264"/>
    <w:rsid w:val="004E443D"/>
    <w:rsid w:val="004F3666"/>
    <w:rsid w:val="004F36CA"/>
    <w:rsid w:val="004F43C6"/>
    <w:rsid w:val="004F5242"/>
    <w:rsid w:val="004F63D1"/>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426DF"/>
    <w:rsid w:val="005440CF"/>
    <w:rsid w:val="00544B2C"/>
    <w:rsid w:val="0055621D"/>
    <w:rsid w:val="0056341A"/>
    <w:rsid w:val="00566C61"/>
    <w:rsid w:val="005720E6"/>
    <w:rsid w:val="00582C07"/>
    <w:rsid w:val="00582F7E"/>
    <w:rsid w:val="0058597F"/>
    <w:rsid w:val="0059285C"/>
    <w:rsid w:val="00593784"/>
    <w:rsid w:val="005A0A09"/>
    <w:rsid w:val="005A496B"/>
    <w:rsid w:val="005A4A28"/>
    <w:rsid w:val="005A60BD"/>
    <w:rsid w:val="005A7B7E"/>
    <w:rsid w:val="005B5BBD"/>
    <w:rsid w:val="005B75F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4FC0"/>
    <w:rsid w:val="00625424"/>
    <w:rsid w:val="00630E56"/>
    <w:rsid w:val="00632A34"/>
    <w:rsid w:val="00632EAB"/>
    <w:rsid w:val="006348A7"/>
    <w:rsid w:val="00645F4C"/>
    <w:rsid w:val="00651161"/>
    <w:rsid w:val="0065149E"/>
    <w:rsid w:val="0065373E"/>
    <w:rsid w:val="00653825"/>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87B"/>
    <w:rsid w:val="006A6A1D"/>
    <w:rsid w:val="006B2981"/>
    <w:rsid w:val="006B3D57"/>
    <w:rsid w:val="006B44A2"/>
    <w:rsid w:val="006B5368"/>
    <w:rsid w:val="006C19C3"/>
    <w:rsid w:val="006C1A2B"/>
    <w:rsid w:val="006C3A10"/>
    <w:rsid w:val="006C6F08"/>
    <w:rsid w:val="006C7367"/>
    <w:rsid w:val="006D2279"/>
    <w:rsid w:val="006D4BCC"/>
    <w:rsid w:val="006E0ACD"/>
    <w:rsid w:val="006E1007"/>
    <w:rsid w:val="006E2FCC"/>
    <w:rsid w:val="006E356D"/>
    <w:rsid w:val="006E4394"/>
    <w:rsid w:val="006E79D6"/>
    <w:rsid w:val="006F1159"/>
    <w:rsid w:val="006F7BF2"/>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26EA"/>
    <w:rsid w:val="00764E50"/>
    <w:rsid w:val="0076670E"/>
    <w:rsid w:val="007676A1"/>
    <w:rsid w:val="00767FFB"/>
    <w:rsid w:val="007711F0"/>
    <w:rsid w:val="00774C1D"/>
    <w:rsid w:val="0077537C"/>
    <w:rsid w:val="00776B7B"/>
    <w:rsid w:val="00777EFE"/>
    <w:rsid w:val="0078584E"/>
    <w:rsid w:val="00787019"/>
    <w:rsid w:val="00790F7E"/>
    <w:rsid w:val="00792708"/>
    <w:rsid w:val="00795DB7"/>
    <w:rsid w:val="00796228"/>
    <w:rsid w:val="00797A54"/>
    <w:rsid w:val="007A0D01"/>
    <w:rsid w:val="007A2B2C"/>
    <w:rsid w:val="007A3FFE"/>
    <w:rsid w:val="007A6C79"/>
    <w:rsid w:val="007A76D8"/>
    <w:rsid w:val="007B0D24"/>
    <w:rsid w:val="007B711E"/>
    <w:rsid w:val="007B7BB4"/>
    <w:rsid w:val="007C66EB"/>
    <w:rsid w:val="007C6D20"/>
    <w:rsid w:val="007C7855"/>
    <w:rsid w:val="007D0C27"/>
    <w:rsid w:val="007D1FCB"/>
    <w:rsid w:val="007D3D1A"/>
    <w:rsid w:val="007D409B"/>
    <w:rsid w:val="007D4283"/>
    <w:rsid w:val="007D50DE"/>
    <w:rsid w:val="007D674F"/>
    <w:rsid w:val="007D6A75"/>
    <w:rsid w:val="007E0EB5"/>
    <w:rsid w:val="007E55FF"/>
    <w:rsid w:val="007E5710"/>
    <w:rsid w:val="007E66AA"/>
    <w:rsid w:val="007E6868"/>
    <w:rsid w:val="007F0A61"/>
    <w:rsid w:val="007F5144"/>
    <w:rsid w:val="00800F62"/>
    <w:rsid w:val="00803182"/>
    <w:rsid w:val="00803942"/>
    <w:rsid w:val="008152F2"/>
    <w:rsid w:val="0081564A"/>
    <w:rsid w:val="00820643"/>
    <w:rsid w:val="00820A0A"/>
    <w:rsid w:val="00820CA8"/>
    <w:rsid w:val="008256DC"/>
    <w:rsid w:val="00831844"/>
    <w:rsid w:val="00832824"/>
    <w:rsid w:val="00832C63"/>
    <w:rsid w:val="00837009"/>
    <w:rsid w:val="00842F1A"/>
    <w:rsid w:val="00845AFC"/>
    <w:rsid w:val="00845BDF"/>
    <w:rsid w:val="00846CE4"/>
    <w:rsid w:val="00857EC5"/>
    <w:rsid w:val="00862939"/>
    <w:rsid w:val="00862FFC"/>
    <w:rsid w:val="0086422D"/>
    <w:rsid w:val="008734EF"/>
    <w:rsid w:val="008745FE"/>
    <w:rsid w:val="00876F19"/>
    <w:rsid w:val="008771C3"/>
    <w:rsid w:val="00880D77"/>
    <w:rsid w:val="008900C9"/>
    <w:rsid w:val="008A2CAB"/>
    <w:rsid w:val="008A4054"/>
    <w:rsid w:val="008A4EE5"/>
    <w:rsid w:val="008A5C93"/>
    <w:rsid w:val="008A7A4D"/>
    <w:rsid w:val="008B5111"/>
    <w:rsid w:val="008C08ED"/>
    <w:rsid w:val="008D2D64"/>
    <w:rsid w:val="008E026D"/>
    <w:rsid w:val="008E16BC"/>
    <w:rsid w:val="008E25F1"/>
    <w:rsid w:val="008E2A0E"/>
    <w:rsid w:val="008E517E"/>
    <w:rsid w:val="008E6257"/>
    <w:rsid w:val="008E75AD"/>
    <w:rsid w:val="008E7DAB"/>
    <w:rsid w:val="008F0B1C"/>
    <w:rsid w:val="008F0D8F"/>
    <w:rsid w:val="008F1CEC"/>
    <w:rsid w:val="008F50EB"/>
    <w:rsid w:val="008F651A"/>
    <w:rsid w:val="008F686C"/>
    <w:rsid w:val="009003B9"/>
    <w:rsid w:val="009041C3"/>
    <w:rsid w:val="00904645"/>
    <w:rsid w:val="00907168"/>
    <w:rsid w:val="00907789"/>
    <w:rsid w:val="0091069F"/>
    <w:rsid w:val="00915206"/>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702DA"/>
    <w:rsid w:val="009712CC"/>
    <w:rsid w:val="009742A7"/>
    <w:rsid w:val="009778BF"/>
    <w:rsid w:val="00980023"/>
    <w:rsid w:val="00980095"/>
    <w:rsid w:val="009828A2"/>
    <w:rsid w:val="0098532A"/>
    <w:rsid w:val="00985D0D"/>
    <w:rsid w:val="00992B48"/>
    <w:rsid w:val="00993829"/>
    <w:rsid w:val="00993D47"/>
    <w:rsid w:val="0099446A"/>
    <w:rsid w:val="009A061F"/>
    <w:rsid w:val="009A6C05"/>
    <w:rsid w:val="009A6FAA"/>
    <w:rsid w:val="009B1C60"/>
    <w:rsid w:val="009B3C1D"/>
    <w:rsid w:val="009C216D"/>
    <w:rsid w:val="009C3A9C"/>
    <w:rsid w:val="009C4479"/>
    <w:rsid w:val="009C4F77"/>
    <w:rsid w:val="009D3809"/>
    <w:rsid w:val="009D4411"/>
    <w:rsid w:val="009D5E9C"/>
    <w:rsid w:val="009D6358"/>
    <w:rsid w:val="009E5B50"/>
    <w:rsid w:val="009E6921"/>
    <w:rsid w:val="009F6AF0"/>
    <w:rsid w:val="009F7605"/>
    <w:rsid w:val="00A0516E"/>
    <w:rsid w:val="00A22344"/>
    <w:rsid w:val="00A32572"/>
    <w:rsid w:val="00A33C8A"/>
    <w:rsid w:val="00A349BC"/>
    <w:rsid w:val="00A413E1"/>
    <w:rsid w:val="00A50F3F"/>
    <w:rsid w:val="00A523C6"/>
    <w:rsid w:val="00A55508"/>
    <w:rsid w:val="00A56593"/>
    <w:rsid w:val="00A633F2"/>
    <w:rsid w:val="00A72A8F"/>
    <w:rsid w:val="00A734AE"/>
    <w:rsid w:val="00A90CDF"/>
    <w:rsid w:val="00A92875"/>
    <w:rsid w:val="00A92BA7"/>
    <w:rsid w:val="00A93116"/>
    <w:rsid w:val="00A94652"/>
    <w:rsid w:val="00A97758"/>
    <w:rsid w:val="00A97894"/>
    <w:rsid w:val="00A97A07"/>
    <w:rsid w:val="00AA1EE3"/>
    <w:rsid w:val="00AA20F7"/>
    <w:rsid w:val="00AA2EF9"/>
    <w:rsid w:val="00AA482F"/>
    <w:rsid w:val="00AA510D"/>
    <w:rsid w:val="00AB0136"/>
    <w:rsid w:val="00AB157C"/>
    <w:rsid w:val="00AB4B14"/>
    <w:rsid w:val="00AC0212"/>
    <w:rsid w:val="00AC4BD9"/>
    <w:rsid w:val="00AC6872"/>
    <w:rsid w:val="00AC6B2D"/>
    <w:rsid w:val="00AC7A6F"/>
    <w:rsid w:val="00AD4D61"/>
    <w:rsid w:val="00AD4E0E"/>
    <w:rsid w:val="00AE1F3A"/>
    <w:rsid w:val="00AE28EC"/>
    <w:rsid w:val="00AE2E47"/>
    <w:rsid w:val="00AE343A"/>
    <w:rsid w:val="00AE70A7"/>
    <w:rsid w:val="00AF3694"/>
    <w:rsid w:val="00AF628C"/>
    <w:rsid w:val="00AF717D"/>
    <w:rsid w:val="00AF72F4"/>
    <w:rsid w:val="00B01ACF"/>
    <w:rsid w:val="00B0370F"/>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6522B"/>
    <w:rsid w:val="00B7396F"/>
    <w:rsid w:val="00B74277"/>
    <w:rsid w:val="00B83011"/>
    <w:rsid w:val="00B838ED"/>
    <w:rsid w:val="00B85C3E"/>
    <w:rsid w:val="00B938AD"/>
    <w:rsid w:val="00B93F9E"/>
    <w:rsid w:val="00B97781"/>
    <w:rsid w:val="00BA26E8"/>
    <w:rsid w:val="00BA441B"/>
    <w:rsid w:val="00BA4E08"/>
    <w:rsid w:val="00BA6F57"/>
    <w:rsid w:val="00BB07B9"/>
    <w:rsid w:val="00BB173D"/>
    <w:rsid w:val="00BB1C75"/>
    <w:rsid w:val="00BB3490"/>
    <w:rsid w:val="00BB5E73"/>
    <w:rsid w:val="00BB5ED3"/>
    <w:rsid w:val="00BB6C46"/>
    <w:rsid w:val="00BB6D0A"/>
    <w:rsid w:val="00BC2095"/>
    <w:rsid w:val="00BC59BE"/>
    <w:rsid w:val="00BC7C16"/>
    <w:rsid w:val="00BD0618"/>
    <w:rsid w:val="00BD6CA0"/>
    <w:rsid w:val="00BE498D"/>
    <w:rsid w:val="00BF302E"/>
    <w:rsid w:val="00BF3466"/>
    <w:rsid w:val="00BF3D13"/>
    <w:rsid w:val="00BF5E4A"/>
    <w:rsid w:val="00BF7B1B"/>
    <w:rsid w:val="00C00012"/>
    <w:rsid w:val="00C026E9"/>
    <w:rsid w:val="00C12B6F"/>
    <w:rsid w:val="00C14375"/>
    <w:rsid w:val="00C30885"/>
    <w:rsid w:val="00C40BED"/>
    <w:rsid w:val="00C514E5"/>
    <w:rsid w:val="00C516C4"/>
    <w:rsid w:val="00C531D9"/>
    <w:rsid w:val="00C5784F"/>
    <w:rsid w:val="00C67384"/>
    <w:rsid w:val="00C718D9"/>
    <w:rsid w:val="00C741DA"/>
    <w:rsid w:val="00C74B68"/>
    <w:rsid w:val="00C75312"/>
    <w:rsid w:val="00C75742"/>
    <w:rsid w:val="00C8153C"/>
    <w:rsid w:val="00C843D3"/>
    <w:rsid w:val="00C85FA1"/>
    <w:rsid w:val="00C91FF7"/>
    <w:rsid w:val="00CA08E2"/>
    <w:rsid w:val="00CA45F4"/>
    <w:rsid w:val="00CA5322"/>
    <w:rsid w:val="00CA65F5"/>
    <w:rsid w:val="00CB3FE8"/>
    <w:rsid w:val="00CB403A"/>
    <w:rsid w:val="00CB42AA"/>
    <w:rsid w:val="00CB655F"/>
    <w:rsid w:val="00CC094F"/>
    <w:rsid w:val="00CC2E05"/>
    <w:rsid w:val="00CC6D50"/>
    <w:rsid w:val="00CD0746"/>
    <w:rsid w:val="00CD1FE9"/>
    <w:rsid w:val="00CD74CC"/>
    <w:rsid w:val="00CE2BB3"/>
    <w:rsid w:val="00CE3F94"/>
    <w:rsid w:val="00CE51EA"/>
    <w:rsid w:val="00CF4588"/>
    <w:rsid w:val="00CF5C63"/>
    <w:rsid w:val="00D010ED"/>
    <w:rsid w:val="00D01507"/>
    <w:rsid w:val="00D0152D"/>
    <w:rsid w:val="00D01A79"/>
    <w:rsid w:val="00D035A4"/>
    <w:rsid w:val="00D0379E"/>
    <w:rsid w:val="00D06B3E"/>
    <w:rsid w:val="00D14912"/>
    <w:rsid w:val="00D2383D"/>
    <w:rsid w:val="00D23AE1"/>
    <w:rsid w:val="00D24828"/>
    <w:rsid w:val="00D25276"/>
    <w:rsid w:val="00D37E51"/>
    <w:rsid w:val="00D40AEC"/>
    <w:rsid w:val="00D433BF"/>
    <w:rsid w:val="00D5111E"/>
    <w:rsid w:val="00D52EA2"/>
    <w:rsid w:val="00D60E7F"/>
    <w:rsid w:val="00D61F01"/>
    <w:rsid w:val="00D66B54"/>
    <w:rsid w:val="00D67FD5"/>
    <w:rsid w:val="00D7134F"/>
    <w:rsid w:val="00D71373"/>
    <w:rsid w:val="00D718C4"/>
    <w:rsid w:val="00D75620"/>
    <w:rsid w:val="00D75C47"/>
    <w:rsid w:val="00D81519"/>
    <w:rsid w:val="00D83AEA"/>
    <w:rsid w:val="00D87D4B"/>
    <w:rsid w:val="00D90789"/>
    <w:rsid w:val="00D910DE"/>
    <w:rsid w:val="00D9474E"/>
    <w:rsid w:val="00D94960"/>
    <w:rsid w:val="00DB48BB"/>
    <w:rsid w:val="00DB6F04"/>
    <w:rsid w:val="00DC2128"/>
    <w:rsid w:val="00DC60B0"/>
    <w:rsid w:val="00DD46AC"/>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7064"/>
    <w:rsid w:val="00E203D1"/>
    <w:rsid w:val="00E239BC"/>
    <w:rsid w:val="00E23FC8"/>
    <w:rsid w:val="00E24DA3"/>
    <w:rsid w:val="00E24F6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7401F"/>
    <w:rsid w:val="00E76CF3"/>
    <w:rsid w:val="00E80B4D"/>
    <w:rsid w:val="00E80D03"/>
    <w:rsid w:val="00E80D82"/>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2BC8"/>
    <w:rsid w:val="00ED5305"/>
    <w:rsid w:val="00EE1AEE"/>
    <w:rsid w:val="00EE513C"/>
    <w:rsid w:val="00EF20DB"/>
    <w:rsid w:val="00F075E4"/>
    <w:rsid w:val="00F1128F"/>
    <w:rsid w:val="00F13A37"/>
    <w:rsid w:val="00F14C6E"/>
    <w:rsid w:val="00F17292"/>
    <w:rsid w:val="00F20616"/>
    <w:rsid w:val="00F22536"/>
    <w:rsid w:val="00F22F14"/>
    <w:rsid w:val="00F3080F"/>
    <w:rsid w:val="00F31A95"/>
    <w:rsid w:val="00F35BED"/>
    <w:rsid w:val="00F35E1D"/>
    <w:rsid w:val="00F361C8"/>
    <w:rsid w:val="00F36888"/>
    <w:rsid w:val="00F4213F"/>
    <w:rsid w:val="00F42228"/>
    <w:rsid w:val="00F45647"/>
    <w:rsid w:val="00F47B23"/>
    <w:rsid w:val="00F5398C"/>
    <w:rsid w:val="00F54F54"/>
    <w:rsid w:val="00F62B90"/>
    <w:rsid w:val="00F66820"/>
    <w:rsid w:val="00F67F4A"/>
    <w:rsid w:val="00F7673B"/>
    <w:rsid w:val="00F8031B"/>
    <w:rsid w:val="00F857AF"/>
    <w:rsid w:val="00F94663"/>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D7C5D"/>
    <w:rsid w:val="00FF0115"/>
    <w:rsid w:val="00FF0C52"/>
    <w:rsid w:val="00FF16E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0CB6-2DC3-48D8-9E21-06079FC4CEEC}"/>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9FE43D56-086D-4E2F-BBD0-4C0173105840}"/>
</file>

<file path=customXml/itemProps5.xml><?xml version="1.0" encoding="utf-8"?>
<ds:datastoreItem xmlns:ds="http://schemas.openxmlformats.org/officeDocument/2006/customXml" ds:itemID="{FC42430E-B850-4053-8C42-DE36131501A3}"/>
</file>

<file path=customXml/itemProps6.xml><?xml version="1.0" encoding="utf-8"?>
<ds:datastoreItem xmlns:ds="http://schemas.openxmlformats.org/officeDocument/2006/customXml" ds:itemID="{5FC2BD70-875E-435B-B2FF-F242A209071D}"/>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UE-132045 Memo</vt:lpstr>
    </vt:vector>
  </TitlesOfParts>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UE-132045 Memo</dc:title>
  <dc:creator/>
  <cp:lastModifiedBy/>
  <cp:revision>1</cp:revision>
  <dcterms:created xsi:type="dcterms:W3CDTF">2013-12-12T22:11:00Z</dcterms:created>
  <dcterms:modified xsi:type="dcterms:W3CDTF">2013-12-12T22:11:00Z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