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640B6" w14:textId="77777777" w:rsidR="004D5CCF" w:rsidRPr="009F6C41" w:rsidRDefault="004D5CCF">
      <w:pPr>
        <w:pStyle w:val="Title"/>
        <w:rPr>
          <w:rFonts w:ascii="Times New Roman" w:hAnsi="Times New Roman"/>
        </w:rPr>
      </w:pPr>
      <w:r w:rsidRPr="009F6C41">
        <w:rPr>
          <w:rFonts w:ascii="Times New Roman" w:hAnsi="Times New Roman"/>
        </w:rPr>
        <w:t>BEFORE THE WASHINGTON</w:t>
      </w:r>
    </w:p>
    <w:p w14:paraId="48D640B7" w14:textId="77777777" w:rsidR="004D5CCF" w:rsidRPr="009F6C41" w:rsidRDefault="004D5CCF">
      <w:pPr>
        <w:jc w:val="center"/>
        <w:rPr>
          <w:b/>
        </w:rPr>
      </w:pPr>
      <w:r w:rsidRPr="009F6C41">
        <w:rPr>
          <w:b/>
        </w:rPr>
        <w:t>UTILITIES AND TRANSPORTATION COMMISSION</w:t>
      </w:r>
    </w:p>
    <w:p w14:paraId="48D640B8" w14:textId="77777777" w:rsidR="004D5CCF" w:rsidRPr="009F6C41" w:rsidRDefault="004D5CCF">
      <w:pPr>
        <w:jc w:val="center"/>
      </w:pPr>
    </w:p>
    <w:p w14:paraId="48D640B9" w14:textId="77777777" w:rsidR="00925004" w:rsidRPr="009F6C41" w:rsidRDefault="00925004">
      <w:pPr>
        <w:jc w:val="cente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925004" w:rsidRPr="009F6C41" w14:paraId="48D640C4" w14:textId="77777777" w:rsidTr="00BC3E35">
        <w:tc>
          <w:tcPr>
            <w:tcW w:w="4590" w:type="dxa"/>
            <w:tcBorders>
              <w:top w:val="single" w:sz="6" w:space="0" w:color="FFFFFF"/>
              <w:left w:val="single" w:sz="6" w:space="0" w:color="FFFFFF"/>
              <w:bottom w:val="single" w:sz="7" w:space="0" w:color="000000"/>
              <w:right w:val="single" w:sz="6" w:space="0" w:color="FFFFFF"/>
            </w:tcBorders>
          </w:tcPr>
          <w:p w14:paraId="48D640BA" w14:textId="77777777" w:rsidR="00925004" w:rsidRPr="009F6C41" w:rsidRDefault="00925004" w:rsidP="00925004">
            <w:pPr>
              <w:widowControl w:val="0"/>
              <w:autoSpaceDE w:val="0"/>
              <w:autoSpaceDN w:val="0"/>
              <w:adjustRightInd w:val="0"/>
            </w:pPr>
            <w:r w:rsidRPr="009F6C41">
              <w:t>In the Matter of</w:t>
            </w:r>
          </w:p>
          <w:p w14:paraId="48D640BB" w14:textId="77777777" w:rsidR="00925004" w:rsidRPr="009F6C41" w:rsidRDefault="00925004" w:rsidP="00925004">
            <w:pPr>
              <w:widowControl w:val="0"/>
              <w:autoSpaceDE w:val="0"/>
              <w:autoSpaceDN w:val="0"/>
              <w:adjustRightInd w:val="0"/>
            </w:pPr>
            <w:r w:rsidRPr="009F6C41">
              <w:t>AVISTA CORPORATION’S</w:t>
            </w:r>
          </w:p>
          <w:p w14:paraId="48D640BC" w14:textId="77777777" w:rsidR="00925004" w:rsidRPr="009F6C41" w:rsidRDefault="00925004" w:rsidP="00925004">
            <w:pPr>
              <w:widowControl w:val="0"/>
              <w:autoSpaceDE w:val="0"/>
              <w:autoSpaceDN w:val="0"/>
              <w:adjustRightInd w:val="0"/>
            </w:pPr>
          </w:p>
          <w:p w14:paraId="48D640BD" w14:textId="424707B9" w:rsidR="00925004" w:rsidRPr="009F6C41" w:rsidRDefault="00925004" w:rsidP="00925004">
            <w:pPr>
              <w:widowControl w:val="0"/>
              <w:autoSpaceDE w:val="0"/>
              <w:autoSpaceDN w:val="0"/>
              <w:adjustRightInd w:val="0"/>
              <w:spacing w:after="19"/>
            </w:pPr>
            <w:r w:rsidRPr="009F6C41">
              <w:t>2012-2021 Ten-Year Achievable Conservation Potential and 2012-2013 Biennial Conservation Target Under RCW 19.285.040 and WAC 480</w:t>
            </w:r>
            <w:r w:rsidR="0002432A">
              <w:t>-</w:t>
            </w:r>
            <w:r w:rsidRPr="009F6C41">
              <w:t>109</w:t>
            </w:r>
            <w:r w:rsidR="0002432A">
              <w:t>-</w:t>
            </w:r>
            <w:r w:rsidRPr="009F6C41">
              <w:t>010</w:t>
            </w:r>
          </w:p>
          <w:p w14:paraId="48D640BE" w14:textId="77777777" w:rsidR="00925004" w:rsidRPr="009F6C41" w:rsidRDefault="00925004" w:rsidP="00925004">
            <w:pPr>
              <w:widowControl w:val="0"/>
              <w:autoSpaceDE w:val="0"/>
              <w:autoSpaceDN w:val="0"/>
              <w:adjustRightInd w:val="0"/>
              <w:spacing w:after="19"/>
            </w:pPr>
          </w:p>
        </w:tc>
        <w:tc>
          <w:tcPr>
            <w:tcW w:w="4590" w:type="dxa"/>
            <w:tcBorders>
              <w:top w:val="single" w:sz="6" w:space="0" w:color="FFFFFF"/>
              <w:left w:val="single" w:sz="7" w:space="0" w:color="000000"/>
              <w:bottom w:val="single" w:sz="6" w:space="0" w:color="FFFFFF"/>
              <w:right w:val="single" w:sz="6" w:space="0" w:color="FFFFFF"/>
            </w:tcBorders>
          </w:tcPr>
          <w:p w14:paraId="48D640BF" w14:textId="77777777" w:rsidR="00925004" w:rsidRPr="009F6C41" w:rsidRDefault="00925004" w:rsidP="00925004">
            <w:pPr>
              <w:widowControl w:val="0"/>
              <w:autoSpaceDE w:val="0"/>
              <w:autoSpaceDN w:val="0"/>
              <w:adjustRightInd w:val="0"/>
              <w:ind w:firstLine="416"/>
            </w:pPr>
            <w:r w:rsidRPr="009F6C41">
              <w:t>DOCKET UE-111882</w:t>
            </w:r>
          </w:p>
          <w:p w14:paraId="48D640C0" w14:textId="77777777" w:rsidR="00925004" w:rsidRPr="009F6C41" w:rsidRDefault="00925004" w:rsidP="00925004">
            <w:pPr>
              <w:widowControl w:val="0"/>
              <w:autoSpaceDE w:val="0"/>
              <w:autoSpaceDN w:val="0"/>
              <w:adjustRightInd w:val="0"/>
            </w:pPr>
          </w:p>
          <w:p w14:paraId="48D640C1" w14:textId="77777777" w:rsidR="00925004" w:rsidRPr="009F6C41" w:rsidRDefault="00925004" w:rsidP="00925004">
            <w:pPr>
              <w:widowControl w:val="0"/>
              <w:autoSpaceDE w:val="0"/>
              <w:autoSpaceDN w:val="0"/>
              <w:adjustRightInd w:val="0"/>
              <w:ind w:firstLine="418"/>
            </w:pPr>
            <w:r w:rsidRPr="009F6C41">
              <w:t>ORDER 01</w:t>
            </w:r>
          </w:p>
          <w:p w14:paraId="48D640C2" w14:textId="77777777" w:rsidR="00925004" w:rsidRPr="009F6C41" w:rsidRDefault="00925004" w:rsidP="00925004">
            <w:pPr>
              <w:widowControl w:val="0"/>
              <w:autoSpaceDE w:val="0"/>
              <w:autoSpaceDN w:val="0"/>
              <w:adjustRightInd w:val="0"/>
              <w:ind w:firstLine="418"/>
            </w:pPr>
          </w:p>
          <w:p w14:paraId="48D640C3" w14:textId="22A682D1" w:rsidR="00925004" w:rsidRPr="009F6C41" w:rsidRDefault="00925004" w:rsidP="00925004">
            <w:pPr>
              <w:widowControl w:val="0"/>
              <w:autoSpaceDE w:val="0"/>
              <w:autoSpaceDN w:val="0"/>
              <w:adjustRightInd w:val="0"/>
              <w:ind w:left="418"/>
            </w:pPr>
            <w:r w:rsidRPr="009F6C41">
              <w:t>ORDER APPROVING AVISTA’S 2012-2021 TEN-YEAR ACHIEVABLE CONSERVATION POTENTIAL AND 2012-2013 BIENNIAL CONSERVATION TARGET</w:t>
            </w:r>
            <w:r w:rsidR="00294FE7">
              <w:t>,</w:t>
            </w:r>
            <w:r w:rsidRPr="009F6C41">
              <w:t xml:space="preserve"> SUBJECT TO CONDITIONS </w:t>
            </w:r>
          </w:p>
        </w:tc>
      </w:tr>
    </w:tbl>
    <w:p w14:paraId="48D640C5" w14:textId="77777777" w:rsidR="00925004" w:rsidRPr="009F6C41" w:rsidRDefault="00925004">
      <w:pPr>
        <w:jc w:val="center"/>
      </w:pPr>
    </w:p>
    <w:p w14:paraId="48D640C6" w14:textId="77777777" w:rsidR="00925004" w:rsidRPr="009F6C41" w:rsidRDefault="00925004">
      <w:pPr>
        <w:jc w:val="center"/>
      </w:pPr>
    </w:p>
    <w:p w14:paraId="48D640C7" w14:textId="77777777" w:rsidR="004D5CCF" w:rsidRPr="009F6C41" w:rsidRDefault="004D5CCF">
      <w:pPr>
        <w:jc w:val="center"/>
        <w:rPr>
          <w:b/>
        </w:rPr>
      </w:pPr>
      <w:r w:rsidRPr="009F6C41">
        <w:rPr>
          <w:b/>
        </w:rPr>
        <w:t>BACKGROUND</w:t>
      </w:r>
    </w:p>
    <w:p w14:paraId="48D640C8" w14:textId="77777777" w:rsidR="004D5CCF" w:rsidRPr="009F6C41" w:rsidRDefault="004D5CCF">
      <w:pPr>
        <w:spacing w:line="288" w:lineRule="auto"/>
        <w:jc w:val="center"/>
        <w:rPr>
          <w:b/>
        </w:rPr>
      </w:pPr>
    </w:p>
    <w:p w14:paraId="48D640C9" w14:textId="1FD936F2" w:rsidR="005834D7" w:rsidRPr="009F6C41" w:rsidRDefault="00197F22" w:rsidP="00BC3E35">
      <w:pPr>
        <w:numPr>
          <w:ilvl w:val="0"/>
          <w:numId w:val="1"/>
        </w:numPr>
        <w:spacing w:line="288" w:lineRule="auto"/>
      </w:pPr>
      <w:r w:rsidRPr="009F6C41">
        <w:t>Washington voters approved Initiative 937</w:t>
      </w:r>
      <w:r w:rsidR="005834D7" w:rsidRPr="009F6C41">
        <w:t>, the Energy Independence Act</w:t>
      </w:r>
      <w:r w:rsidR="00B51D35" w:rsidRPr="009F6C41">
        <w:t xml:space="preserve"> (EIA)</w:t>
      </w:r>
      <w:r w:rsidR="005834D7" w:rsidRPr="009F6C41">
        <w:t>,</w:t>
      </w:r>
      <w:r w:rsidRPr="009F6C41">
        <w:t xml:space="preserve"> in the 2006 general election.  Now codified in Chapter 19.285 of the Revised Code of Washington, it requires electric utilities with 25,000 or more customers to set and meet energy conservation targets</w:t>
      </w:r>
      <w:r w:rsidR="007130F5" w:rsidRPr="009F6C41">
        <w:t>, among other things</w:t>
      </w:r>
      <w:r w:rsidRPr="009F6C41">
        <w:t>.</w:t>
      </w:r>
    </w:p>
    <w:p w14:paraId="48D640CA" w14:textId="77777777" w:rsidR="005834D7" w:rsidRPr="009F6C41" w:rsidRDefault="005834D7" w:rsidP="005834D7">
      <w:pPr>
        <w:spacing w:line="288" w:lineRule="auto"/>
        <w:ind w:left="-720"/>
      </w:pPr>
    </w:p>
    <w:p w14:paraId="48D640CB" w14:textId="77777777" w:rsidR="005834D7" w:rsidRPr="009F6C41" w:rsidRDefault="005834D7" w:rsidP="00AC449C">
      <w:pPr>
        <w:numPr>
          <w:ilvl w:val="0"/>
          <w:numId w:val="1"/>
        </w:numPr>
        <w:spacing w:line="288" w:lineRule="auto"/>
      </w:pPr>
      <w:r w:rsidRPr="009F6C41">
        <w:t>Under RCW 19.285.040(1)(a) and (b), utilities are required to do the following:</w:t>
      </w:r>
    </w:p>
    <w:p w14:paraId="48D640CC" w14:textId="77777777" w:rsidR="005834D7" w:rsidRPr="009F6C41" w:rsidRDefault="005834D7" w:rsidP="00AC449C">
      <w:pPr>
        <w:spacing w:line="288" w:lineRule="auto"/>
        <w:ind w:left="-720"/>
      </w:pPr>
    </w:p>
    <w:p w14:paraId="48D640CD" w14:textId="77777777" w:rsidR="005834D7" w:rsidRPr="009F6C41" w:rsidRDefault="005834D7" w:rsidP="00AC449C">
      <w:pPr>
        <w:spacing w:line="288" w:lineRule="auto"/>
        <w:ind w:left="720" w:right="720" w:hanging="720"/>
      </w:pPr>
      <w:r w:rsidRPr="009F6C41">
        <w:t>(1)</w:t>
      </w:r>
      <w:r w:rsidRPr="009F6C41">
        <w:tab/>
        <w:t>Each qualifying utility shall pursue all available conservation that is cost-effective, reliable, and feasible.</w:t>
      </w:r>
    </w:p>
    <w:p w14:paraId="48D640CE" w14:textId="77777777" w:rsidR="005834D7" w:rsidRPr="009F6C41" w:rsidRDefault="005834D7" w:rsidP="00AC449C">
      <w:pPr>
        <w:spacing w:line="288" w:lineRule="auto"/>
        <w:ind w:left="720" w:right="720"/>
      </w:pPr>
    </w:p>
    <w:p w14:paraId="48D640CF" w14:textId="77777777" w:rsidR="005834D7" w:rsidRPr="009F6C41" w:rsidRDefault="005834D7" w:rsidP="00BC3E35">
      <w:pPr>
        <w:spacing w:line="288" w:lineRule="auto"/>
        <w:ind w:left="1440" w:right="720" w:hanging="720"/>
      </w:pPr>
      <w:r w:rsidRPr="009F6C41">
        <w:t>(a)</w:t>
      </w:r>
      <w:r w:rsidRPr="009F6C41">
        <w:tab/>
        <w:t>By January 1, 2010, using methodologies consistent with those used by the Pacific Northwest electric power and conservation planning council in its most recently published regional power plan, each qualifying utility shall identify its achievable cost-effective conservation potential through 2019.  At least every two years thereafter, the qualifying utility shall review and update this assessment for the subsequent ten-year period.</w:t>
      </w:r>
    </w:p>
    <w:p w14:paraId="48D640D0" w14:textId="77777777" w:rsidR="005834D7" w:rsidRPr="009F6C41" w:rsidRDefault="005834D7" w:rsidP="00AC449C">
      <w:pPr>
        <w:spacing w:line="288" w:lineRule="auto"/>
        <w:ind w:left="720" w:right="720"/>
      </w:pPr>
    </w:p>
    <w:p w14:paraId="48D640D1" w14:textId="77777777" w:rsidR="005834D7" w:rsidRPr="009F6C41" w:rsidRDefault="005834D7" w:rsidP="00AC449C">
      <w:pPr>
        <w:spacing w:line="288" w:lineRule="auto"/>
        <w:ind w:left="1440" w:right="720" w:hanging="720"/>
      </w:pPr>
      <w:r w:rsidRPr="009F6C41">
        <w:t>(b)</w:t>
      </w:r>
      <w:r w:rsidRPr="009F6C41">
        <w:tab/>
        <w:t xml:space="preserve">Beginning January 2010, each qualifying utility shall establish and make publicly available a biennial acquisition target for cost-effective conservation consistent with its identification of achievable opportunities in (a) of this subsection, and meet that </w:t>
      </w:r>
      <w:r w:rsidRPr="009F6C41">
        <w:lastRenderedPageBreak/>
        <w:t>target during the subsequent two-year period.  At a minimum, each biennial target must be no lower than the qualifying utility’s pro-rata share for that two-year period of its cost-effective conservation potential for the subsequent ten-year period.</w:t>
      </w:r>
    </w:p>
    <w:p w14:paraId="48D640D2" w14:textId="77777777" w:rsidR="005834D7" w:rsidRPr="009F6C41" w:rsidRDefault="005834D7" w:rsidP="00AC449C">
      <w:pPr>
        <w:spacing w:line="288" w:lineRule="auto"/>
      </w:pPr>
    </w:p>
    <w:p w14:paraId="48D640D3" w14:textId="66AC495F" w:rsidR="00BC3E35" w:rsidRPr="009F6C41" w:rsidRDefault="00BC3E35" w:rsidP="00BC3E35">
      <w:pPr>
        <w:numPr>
          <w:ilvl w:val="0"/>
          <w:numId w:val="1"/>
        </w:numPr>
        <w:spacing w:line="288" w:lineRule="auto"/>
      </w:pPr>
      <w:r w:rsidRPr="009F6C41">
        <w:t>Under RCW 19.295.040(1</w:t>
      </w:r>
      <w:proofErr w:type="gramStart"/>
      <w:r w:rsidRPr="009F6C41">
        <w:t>)(</w:t>
      </w:r>
      <w:proofErr w:type="gramEnd"/>
      <w:r w:rsidRPr="009F6C41">
        <w:t xml:space="preserve">e), the Washington Utilities </w:t>
      </w:r>
      <w:r w:rsidR="00264B74" w:rsidRPr="009F6C41">
        <w:t>and Transportation Commission (Commission</w:t>
      </w:r>
      <w:r w:rsidRPr="009F6C41">
        <w:t>) has authority to “rely on its standard practice for review and approval of investor-owned utility conservation targets.”  A rule adopted by the Commission, WAC 480</w:t>
      </w:r>
      <w:r w:rsidR="0002432A">
        <w:t>-</w:t>
      </w:r>
      <w:r w:rsidRPr="009F6C41">
        <w:t>109</w:t>
      </w:r>
      <w:r w:rsidR="0002432A">
        <w:t>-</w:t>
      </w:r>
      <w:r w:rsidRPr="009F6C41">
        <w:t>010, guides investor-owned utilities’ compliance with RCW 19.285.040(1).  WAC 480</w:t>
      </w:r>
      <w:r w:rsidR="0002432A">
        <w:t>-</w:t>
      </w:r>
      <w:r w:rsidRPr="009F6C41">
        <w:t>109</w:t>
      </w:r>
      <w:r w:rsidR="0002432A">
        <w:t>-</w:t>
      </w:r>
      <w:r w:rsidRPr="009F6C41">
        <w:t>010(1) requires each utility, by January 1, 2010, and every two years thereafter, to project its cumulative ten-year conservation potential.  WAC 480</w:t>
      </w:r>
      <w:r w:rsidR="0002432A">
        <w:t>-</w:t>
      </w:r>
      <w:r w:rsidRPr="009F6C41">
        <w:t>109</w:t>
      </w:r>
      <w:r w:rsidR="0002432A">
        <w:t>-</w:t>
      </w:r>
      <w:r w:rsidRPr="009F6C41">
        <w:t>010(3) requires each utility, beginning January 2010, and every two years thereafter, to establish a biennial conservation target.  WAC 480</w:t>
      </w:r>
      <w:r w:rsidR="0002432A">
        <w:t>-</w:t>
      </w:r>
      <w:r w:rsidRPr="009F6C41">
        <w:t>109</w:t>
      </w:r>
      <w:r w:rsidR="0002432A">
        <w:t>-</w:t>
      </w:r>
      <w:r w:rsidRPr="009F6C41">
        <w:t xml:space="preserve">010(3) directs that, “On or before January 31, 2010, and every two years thereafter, each utility must file with the </w:t>
      </w:r>
      <w:r w:rsidR="00264B74" w:rsidRPr="009F6C41">
        <w:t>C</w:t>
      </w:r>
      <w:r w:rsidRPr="009F6C41">
        <w:t>ommission a report identifying its ten-year achievable conservation potential and its biennial conservation target.”  WAC 480</w:t>
      </w:r>
      <w:r w:rsidR="0002432A">
        <w:t>-</w:t>
      </w:r>
      <w:r w:rsidRPr="009F6C41">
        <w:t>109</w:t>
      </w:r>
      <w:r w:rsidR="0002432A">
        <w:t>-</w:t>
      </w:r>
      <w:r w:rsidRPr="009F6C41">
        <w:t xml:space="preserve">010(4) describes the process for review by the </w:t>
      </w:r>
      <w:r w:rsidR="00264B74" w:rsidRPr="009F6C41">
        <w:t>C</w:t>
      </w:r>
      <w:r w:rsidRPr="009F6C41">
        <w:t>ommission.  Under WAC 480</w:t>
      </w:r>
      <w:r w:rsidR="0002432A">
        <w:t>-</w:t>
      </w:r>
      <w:r w:rsidRPr="009F6C41">
        <w:t>109</w:t>
      </w:r>
      <w:r w:rsidR="0002432A">
        <w:t>-</w:t>
      </w:r>
      <w:r w:rsidRPr="009F6C41">
        <w:t xml:space="preserve">010(4)(c), upon conclusion of that review, “the </w:t>
      </w:r>
      <w:r w:rsidR="00264B74" w:rsidRPr="009F6C41">
        <w:t>C</w:t>
      </w:r>
      <w:r w:rsidRPr="009F6C41">
        <w:t xml:space="preserve">ommission will determine whether to approve, approve with conditions, or reject the utility’s ten-year achievable conservation potential and biennial conservation target.” </w:t>
      </w:r>
    </w:p>
    <w:p w14:paraId="48D640D4" w14:textId="77777777" w:rsidR="00BC3E35" w:rsidRPr="009F6C41" w:rsidRDefault="00BC3E35" w:rsidP="00BC3E35">
      <w:pPr>
        <w:spacing w:line="288" w:lineRule="auto"/>
      </w:pPr>
    </w:p>
    <w:p w14:paraId="48D640D5" w14:textId="71EC5370" w:rsidR="001C5B96" w:rsidRPr="009F6C41" w:rsidRDefault="001207A7" w:rsidP="000855F9">
      <w:pPr>
        <w:numPr>
          <w:ilvl w:val="0"/>
          <w:numId w:val="1"/>
        </w:numPr>
        <w:spacing w:line="288" w:lineRule="auto"/>
      </w:pPr>
      <w:r w:rsidRPr="009F6C41">
        <w:t>During</w:t>
      </w:r>
      <w:r w:rsidR="0065625D" w:rsidRPr="009F6C41">
        <w:t xml:space="preserve"> </w:t>
      </w:r>
      <w:r w:rsidR="00BC3E35" w:rsidRPr="009F6C41">
        <w:t xml:space="preserve">December </w:t>
      </w:r>
      <w:r w:rsidRPr="009F6C41">
        <w:t>of</w:t>
      </w:r>
      <w:r w:rsidR="0065625D" w:rsidRPr="009F6C41">
        <w:t xml:space="preserve"> 2009, </w:t>
      </w:r>
      <w:proofErr w:type="spellStart"/>
      <w:r w:rsidR="0065625D" w:rsidRPr="009F6C41">
        <w:t>Avista</w:t>
      </w:r>
      <w:proofErr w:type="spellEnd"/>
      <w:r w:rsidR="0065625D" w:rsidRPr="009F6C41">
        <w:t xml:space="preserve"> </w:t>
      </w:r>
      <w:r w:rsidR="00EE7965" w:rsidRPr="009F6C41">
        <w:t>Corporation (</w:t>
      </w:r>
      <w:proofErr w:type="spellStart"/>
      <w:r w:rsidR="00EE7965" w:rsidRPr="009F6C41">
        <w:t>Avista</w:t>
      </w:r>
      <w:proofErr w:type="spellEnd"/>
      <w:r w:rsidR="00264B74" w:rsidRPr="009F6C41">
        <w:t xml:space="preserve"> </w:t>
      </w:r>
      <w:r w:rsidR="00EE7965" w:rsidRPr="009F6C41">
        <w:t xml:space="preserve">or Company) </w:t>
      </w:r>
      <w:r w:rsidR="0065625D" w:rsidRPr="009F6C41">
        <w:t xml:space="preserve">filed </w:t>
      </w:r>
      <w:r w:rsidR="00EE7965" w:rsidRPr="009F6C41">
        <w:t xml:space="preserve">with the Commission </w:t>
      </w:r>
      <w:r w:rsidR="0065625D" w:rsidRPr="009F6C41">
        <w:t>a Projected “Cumulative Ten-Year Electric Potential” in Docket UE-091983</w:t>
      </w:r>
      <w:r w:rsidR="00BC3E35" w:rsidRPr="009F6C41">
        <w:t xml:space="preserve">.  In January 2010, </w:t>
      </w:r>
      <w:proofErr w:type="spellStart"/>
      <w:r w:rsidR="00BC3E35" w:rsidRPr="009F6C41">
        <w:t>Avista</w:t>
      </w:r>
      <w:proofErr w:type="spellEnd"/>
      <w:r w:rsidR="00BC3E35" w:rsidRPr="009F6C41">
        <w:t xml:space="preserve"> filed a</w:t>
      </w:r>
      <w:r w:rsidRPr="009F6C41">
        <w:t xml:space="preserve"> </w:t>
      </w:r>
      <w:r w:rsidR="0065625D" w:rsidRPr="009F6C41">
        <w:t>report in Docket UE-</w:t>
      </w:r>
      <w:r w:rsidR="000855F9" w:rsidRPr="009F6C41">
        <w:t>100176</w:t>
      </w:r>
      <w:r w:rsidR="0065625D" w:rsidRPr="009F6C41">
        <w:t xml:space="preserve"> to establish a biennial conservation target.  </w:t>
      </w:r>
      <w:r w:rsidR="006940E6" w:rsidRPr="009F6C41">
        <w:t xml:space="preserve">On May 13, 2010, </w:t>
      </w:r>
      <w:r w:rsidR="00BC3E35" w:rsidRPr="009F6C41">
        <w:t>in Docket UE</w:t>
      </w:r>
      <w:r w:rsidR="005E1848">
        <w:t>-</w:t>
      </w:r>
      <w:r w:rsidR="00BC3E35" w:rsidRPr="009F6C41">
        <w:t>1</w:t>
      </w:r>
      <w:r w:rsidR="000855F9" w:rsidRPr="009F6C41">
        <w:t>0</w:t>
      </w:r>
      <w:r w:rsidR="00BC3E35" w:rsidRPr="009F6C41">
        <w:t xml:space="preserve">0176, </w:t>
      </w:r>
      <w:r w:rsidR="006940E6" w:rsidRPr="009F6C41">
        <w:t>the</w:t>
      </w:r>
      <w:r w:rsidR="00087234" w:rsidRPr="009F6C41">
        <w:t xml:space="preserve"> Commission issued Order </w:t>
      </w:r>
      <w:r w:rsidR="005E1848">
        <w:t>0</w:t>
      </w:r>
      <w:r w:rsidR="00087234" w:rsidRPr="009F6C41">
        <w:t xml:space="preserve">1 approving </w:t>
      </w:r>
      <w:proofErr w:type="spellStart"/>
      <w:r w:rsidR="00087234" w:rsidRPr="009F6C41">
        <w:t>Avista’s</w:t>
      </w:r>
      <w:proofErr w:type="spellEnd"/>
      <w:r w:rsidR="00087234" w:rsidRPr="009F6C41">
        <w:t xml:space="preserve"> 2010-2019 ten-year achievable conservation potential and </w:t>
      </w:r>
      <w:r w:rsidR="006940E6" w:rsidRPr="009F6C41">
        <w:t xml:space="preserve">2010-2011 </w:t>
      </w:r>
      <w:r w:rsidR="00087234" w:rsidRPr="009F6C41">
        <w:t>biennial conservation target subject to conditions.</w:t>
      </w:r>
      <w:r w:rsidR="006940E6" w:rsidRPr="009F6C41">
        <w:t xml:space="preserve">  </w:t>
      </w:r>
      <w:r w:rsidR="000855F9" w:rsidRPr="009F6C41">
        <w:t>Pursuant to RCW 19.285.070 and WAC 480</w:t>
      </w:r>
      <w:r w:rsidR="0002432A">
        <w:t>-</w:t>
      </w:r>
      <w:r w:rsidR="000855F9" w:rsidRPr="009F6C41">
        <w:t>109</w:t>
      </w:r>
      <w:r w:rsidR="0002432A">
        <w:t>-</w:t>
      </w:r>
      <w:r w:rsidR="000855F9" w:rsidRPr="009F6C41">
        <w:t xml:space="preserve">040, </w:t>
      </w:r>
      <w:proofErr w:type="spellStart"/>
      <w:r w:rsidR="006940E6" w:rsidRPr="009F6C41">
        <w:t>Avista</w:t>
      </w:r>
      <w:proofErr w:type="spellEnd"/>
      <w:r w:rsidR="006940E6" w:rsidRPr="009F6C41">
        <w:t xml:space="preserve"> will report to the Commission on its progress towards meeting its target on or before June 1, 2012.</w:t>
      </w:r>
    </w:p>
    <w:p w14:paraId="48D640D6" w14:textId="77777777" w:rsidR="000855F9" w:rsidRPr="009F6C41" w:rsidRDefault="000855F9" w:rsidP="000855F9">
      <w:pPr>
        <w:pStyle w:val="ListParagraph"/>
        <w:spacing w:line="288" w:lineRule="auto"/>
        <w:ind w:left="0"/>
      </w:pPr>
    </w:p>
    <w:p w14:paraId="48D640DB" w14:textId="29B45392" w:rsidR="00101A3D" w:rsidRPr="009F6C41" w:rsidRDefault="005E1848" w:rsidP="00B03947">
      <w:pPr>
        <w:numPr>
          <w:ilvl w:val="0"/>
          <w:numId w:val="1"/>
        </w:numPr>
        <w:spacing w:line="288" w:lineRule="auto"/>
      </w:pPr>
      <w:r>
        <w:t xml:space="preserve">In </w:t>
      </w:r>
      <w:r w:rsidR="003E09CF">
        <w:t>D</w:t>
      </w:r>
      <w:r>
        <w:t>ocket</w:t>
      </w:r>
      <w:r w:rsidR="003E09CF">
        <w:t xml:space="preserve"> UE</w:t>
      </w:r>
      <w:r w:rsidR="003E09CF">
        <w:noBreakHyphen/>
        <w:t>100176 Order 01</w:t>
      </w:r>
      <w:r>
        <w:t>, the</w:t>
      </w:r>
      <w:r w:rsidR="000855F9" w:rsidRPr="009F6C41">
        <w:t xml:space="preserve"> Commission ordered</w:t>
      </w:r>
      <w:r>
        <w:t xml:space="preserve"> </w:t>
      </w:r>
      <w:proofErr w:type="spellStart"/>
      <w:r>
        <w:t>Avista</w:t>
      </w:r>
      <w:proofErr w:type="spellEnd"/>
      <w:r>
        <w:t xml:space="preserve"> to file its next b</w:t>
      </w:r>
      <w:r w:rsidR="00101A3D" w:rsidRPr="009F6C41">
        <w:t xml:space="preserve">iennial </w:t>
      </w:r>
      <w:r>
        <w:t>c</w:t>
      </w:r>
      <w:r w:rsidR="00101A3D" w:rsidRPr="009F6C41">
        <w:t xml:space="preserve">onservation </w:t>
      </w:r>
      <w:r>
        <w:t>p</w:t>
      </w:r>
      <w:r w:rsidR="00101A3D" w:rsidRPr="009F6C41">
        <w:t>lan</w:t>
      </w:r>
      <w:r>
        <w:t xml:space="preserve"> (BCP),</w:t>
      </w:r>
      <w:r w:rsidR="00101A3D" w:rsidRPr="009F6C41">
        <w:t xml:space="preserve"> including revised program details and program tariffs, together with identification of 2012-2021 achievable conservation potential, by November 1, 2011.</w:t>
      </w:r>
    </w:p>
    <w:p w14:paraId="48D640DC" w14:textId="77777777" w:rsidR="001C5B96" w:rsidRDefault="001C5B96" w:rsidP="006B644B">
      <w:pPr>
        <w:spacing w:line="288" w:lineRule="auto"/>
      </w:pPr>
    </w:p>
    <w:p w14:paraId="37B89050" w14:textId="77777777" w:rsidR="00D64A3A" w:rsidRPr="009F6C41" w:rsidRDefault="00D64A3A" w:rsidP="006B644B">
      <w:pPr>
        <w:spacing w:line="288" w:lineRule="auto"/>
      </w:pPr>
    </w:p>
    <w:p w14:paraId="48D640DD" w14:textId="1E571B23" w:rsidR="002B6C43" w:rsidRPr="009F6C41" w:rsidRDefault="00782260" w:rsidP="007B6156">
      <w:pPr>
        <w:numPr>
          <w:ilvl w:val="0"/>
          <w:numId w:val="1"/>
        </w:numPr>
        <w:spacing w:line="288" w:lineRule="auto"/>
      </w:pPr>
      <w:r w:rsidRPr="009F6C41">
        <w:lastRenderedPageBreak/>
        <w:t xml:space="preserve">On November 1, 2011, </w:t>
      </w:r>
      <w:proofErr w:type="spellStart"/>
      <w:r w:rsidRPr="009F6C41">
        <w:t>Avista</w:t>
      </w:r>
      <w:proofErr w:type="spellEnd"/>
      <w:r w:rsidR="005E1848">
        <w:t xml:space="preserve"> timely</w:t>
      </w:r>
      <w:r w:rsidRPr="009F6C41">
        <w:t xml:space="preserve"> filed its BCP with the Commission</w:t>
      </w:r>
      <w:r w:rsidR="00EE7965" w:rsidRPr="009F6C41">
        <w:t xml:space="preserve"> in </w:t>
      </w:r>
      <w:r w:rsidR="005E1848">
        <w:t>Docket UE-111882</w:t>
      </w:r>
      <w:r w:rsidRPr="009F6C41">
        <w:t xml:space="preserve">.  As part of the BCP, </w:t>
      </w:r>
      <w:proofErr w:type="spellStart"/>
      <w:r w:rsidRPr="009F6C41">
        <w:t>Avista</w:t>
      </w:r>
      <w:proofErr w:type="spellEnd"/>
      <w:r w:rsidRPr="009F6C41">
        <w:t xml:space="preserve"> identified a range for its </w:t>
      </w:r>
      <w:r w:rsidR="001207A7" w:rsidRPr="009F6C41">
        <w:t xml:space="preserve">2012-2013 </w:t>
      </w:r>
      <w:r w:rsidRPr="009F6C41">
        <w:t>biennial conservation target pursuant to WAC 480</w:t>
      </w:r>
      <w:r w:rsidR="002F0A1C" w:rsidRPr="009F6C41">
        <w:t>-</w:t>
      </w:r>
      <w:r w:rsidRPr="009F6C41">
        <w:t>109</w:t>
      </w:r>
      <w:r w:rsidR="002F0A1C" w:rsidRPr="009F6C41">
        <w:t>-</w:t>
      </w:r>
      <w:r w:rsidRPr="009F6C41">
        <w:t>010(2</w:t>
      </w:r>
      <w:proofErr w:type="gramStart"/>
      <w:r w:rsidRPr="009F6C41">
        <w:t>)(</w:t>
      </w:r>
      <w:proofErr w:type="gramEnd"/>
      <w:r w:rsidRPr="009F6C41">
        <w:t xml:space="preserve">c).  </w:t>
      </w:r>
      <w:r w:rsidR="006B644B" w:rsidRPr="009F6C41">
        <w:t>As required by WAC 480</w:t>
      </w:r>
      <w:r w:rsidR="002F0A1C" w:rsidRPr="009F6C41">
        <w:t>-</w:t>
      </w:r>
      <w:r w:rsidR="006B644B" w:rsidRPr="009F6C41">
        <w:t>109</w:t>
      </w:r>
      <w:r w:rsidR="002F0A1C" w:rsidRPr="009F6C41">
        <w:t>-</w:t>
      </w:r>
      <w:r w:rsidR="006B644B" w:rsidRPr="009F6C41">
        <w:t xml:space="preserve">010(3)(b), </w:t>
      </w:r>
      <w:proofErr w:type="spellStart"/>
      <w:r w:rsidR="006B644B" w:rsidRPr="009F6C41">
        <w:t>Avista</w:t>
      </w:r>
      <w:proofErr w:type="spellEnd"/>
      <w:r w:rsidR="006B644B" w:rsidRPr="009F6C41">
        <w:t xml:space="preserve"> stated that it had used its 2011 electric Integrated Resource Plan as the basis for its 2012-2013 biennial acquisition target range.</w:t>
      </w:r>
      <w:r w:rsidR="00897D08" w:rsidRPr="009F6C41">
        <w:rPr>
          <w:rStyle w:val="FootnoteReference"/>
        </w:rPr>
        <w:footnoteReference w:id="1"/>
      </w:r>
    </w:p>
    <w:p w14:paraId="48D640DE" w14:textId="77777777" w:rsidR="001207A7" w:rsidRPr="009F6C41" w:rsidRDefault="001207A7" w:rsidP="001207A7">
      <w:pPr>
        <w:spacing w:line="288" w:lineRule="auto"/>
      </w:pPr>
    </w:p>
    <w:p w14:paraId="48D640DF" w14:textId="77777777" w:rsidR="00EE3936" w:rsidRPr="009F6C41" w:rsidRDefault="007B299B">
      <w:pPr>
        <w:numPr>
          <w:ilvl w:val="0"/>
          <w:numId w:val="1"/>
        </w:numPr>
        <w:spacing w:line="288" w:lineRule="auto"/>
      </w:pPr>
      <w:r w:rsidRPr="009F6C41">
        <w:t xml:space="preserve">On </w:t>
      </w:r>
      <w:r w:rsidR="00782260" w:rsidRPr="009F6C41">
        <w:t>November 4</w:t>
      </w:r>
      <w:r w:rsidRPr="009F6C41">
        <w:t>, 201</w:t>
      </w:r>
      <w:r w:rsidR="00782260" w:rsidRPr="009F6C41">
        <w:t>1</w:t>
      </w:r>
      <w:r w:rsidRPr="009F6C41">
        <w:t>, t</w:t>
      </w:r>
      <w:r w:rsidR="004D5CCF" w:rsidRPr="009F6C41">
        <w:t xml:space="preserve">he Commission issued a </w:t>
      </w:r>
      <w:r w:rsidR="007B6156" w:rsidRPr="009F6C41">
        <w:t>N</w:t>
      </w:r>
      <w:r w:rsidRPr="009F6C41">
        <w:t xml:space="preserve">otice </w:t>
      </w:r>
      <w:r w:rsidR="001E2D12" w:rsidRPr="009F6C41">
        <w:t xml:space="preserve">of </w:t>
      </w:r>
      <w:r w:rsidR="007B6156" w:rsidRPr="009F6C41">
        <w:t>O</w:t>
      </w:r>
      <w:r w:rsidR="001E2D12" w:rsidRPr="009F6C41">
        <w:t>pportunity t</w:t>
      </w:r>
      <w:r w:rsidR="007E6717" w:rsidRPr="009F6C41">
        <w:t xml:space="preserve">o </w:t>
      </w:r>
      <w:r w:rsidR="007B6156" w:rsidRPr="009F6C41">
        <w:t>C</w:t>
      </w:r>
      <w:r w:rsidRPr="009F6C41">
        <w:t xml:space="preserve">omment </w:t>
      </w:r>
      <w:r w:rsidR="001E2D12" w:rsidRPr="009F6C41">
        <w:t>o</w:t>
      </w:r>
      <w:r w:rsidRPr="009F6C41">
        <w:t xml:space="preserve">n </w:t>
      </w:r>
      <w:proofErr w:type="spellStart"/>
      <w:r w:rsidRPr="009F6C41">
        <w:t>Avista</w:t>
      </w:r>
      <w:r w:rsidR="007E6717" w:rsidRPr="009F6C41">
        <w:t>’s</w:t>
      </w:r>
      <w:proofErr w:type="spellEnd"/>
      <w:r w:rsidRPr="009F6C41">
        <w:t xml:space="preserve"> </w:t>
      </w:r>
      <w:r w:rsidR="00A44B21" w:rsidRPr="009F6C41">
        <w:t xml:space="preserve">BCP </w:t>
      </w:r>
      <w:r w:rsidRPr="009F6C41">
        <w:t xml:space="preserve">by </w:t>
      </w:r>
      <w:r w:rsidR="008D6C46" w:rsidRPr="009F6C41">
        <w:t xml:space="preserve">December </w:t>
      </w:r>
      <w:r w:rsidR="00782260" w:rsidRPr="009F6C41">
        <w:t>7</w:t>
      </w:r>
      <w:r w:rsidRPr="009F6C41">
        <w:t xml:space="preserve">, </w:t>
      </w:r>
      <w:r w:rsidR="008D6C46" w:rsidRPr="009F6C41">
        <w:t>2011</w:t>
      </w:r>
      <w:r w:rsidRPr="009F6C41">
        <w:t xml:space="preserve">, and </w:t>
      </w:r>
      <w:r w:rsidR="007E6717" w:rsidRPr="009F6C41">
        <w:t xml:space="preserve">a </w:t>
      </w:r>
      <w:r w:rsidR="007B6156" w:rsidRPr="009F6C41">
        <w:t xml:space="preserve">notice that </w:t>
      </w:r>
      <w:proofErr w:type="spellStart"/>
      <w:r w:rsidR="007B6156" w:rsidRPr="009F6C41">
        <w:t>Avista’s</w:t>
      </w:r>
      <w:proofErr w:type="spellEnd"/>
      <w:r w:rsidR="007B6156" w:rsidRPr="009F6C41">
        <w:t xml:space="preserve"> </w:t>
      </w:r>
      <w:r w:rsidR="00A44B21" w:rsidRPr="009F6C41">
        <w:t xml:space="preserve">BCP </w:t>
      </w:r>
      <w:r w:rsidR="007B6156" w:rsidRPr="009F6C41">
        <w:t>would be considered at the Commission’s O</w:t>
      </w:r>
      <w:r w:rsidRPr="009F6C41">
        <w:t xml:space="preserve">pen </w:t>
      </w:r>
      <w:r w:rsidR="007B6156" w:rsidRPr="009F6C41">
        <w:t>M</w:t>
      </w:r>
      <w:r w:rsidRPr="009F6C41">
        <w:t xml:space="preserve">eeting on </w:t>
      </w:r>
      <w:r w:rsidR="00782260" w:rsidRPr="009F6C41">
        <w:t>December 15</w:t>
      </w:r>
      <w:r w:rsidRPr="009F6C41">
        <w:t xml:space="preserve">, </w:t>
      </w:r>
      <w:r w:rsidR="00782260" w:rsidRPr="009F6C41">
        <w:t>2011</w:t>
      </w:r>
      <w:r w:rsidRPr="009F6C41">
        <w:t xml:space="preserve">.  </w:t>
      </w:r>
      <w:r w:rsidR="004D5CCF" w:rsidRPr="009F6C41">
        <w:t xml:space="preserve">During the comment period, the Commission received </w:t>
      </w:r>
      <w:r w:rsidR="00CF0505" w:rsidRPr="009F6C41">
        <w:t xml:space="preserve">written comments from </w:t>
      </w:r>
      <w:r w:rsidR="0056229A" w:rsidRPr="009F6C41">
        <w:t xml:space="preserve">Public Counsel </w:t>
      </w:r>
      <w:r w:rsidRPr="009F6C41">
        <w:t xml:space="preserve">and </w:t>
      </w:r>
      <w:r w:rsidR="003D148C" w:rsidRPr="009F6C41">
        <w:t xml:space="preserve">Commission </w:t>
      </w:r>
      <w:r w:rsidRPr="009F6C41">
        <w:t>Staff.  The C</w:t>
      </w:r>
      <w:r w:rsidR="00CF0505" w:rsidRPr="009F6C41">
        <w:t>ommission heard</w:t>
      </w:r>
      <w:r w:rsidRPr="009F6C41">
        <w:t xml:space="preserve"> additional</w:t>
      </w:r>
      <w:r w:rsidR="00CF0505" w:rsidRPr="009F6C41">
        <w:t xml:space="preserve"> oral comments at the </w:t>
      </w:r>
      <w:r w:rsidR="008D6C46" w:rsidRPr="009F6C41">
        <w:t xml:space="preserve">December </w:t>
      </w:r>
      <w:r w:rsidR="00CF0505" w:rsidRPr="009F6C41">
        <w:t>1</w:t>
      </w:r>
      <w:r w:rsidR="008D6C46" w:rsidRPr="009F6C41">
        <w:t>5</w:t>
      </w:r>
      <w:r w:rsidR="00CF0505" w:rsidRPr="009F6C41">
        <w:t>, 201</w:t>
      </w:r>
      <w:r w:rsidR="008D6C46" w:rsidRPr="009F6C41">
        <w:t>1</w:t>
      </w:r>
      <w:r w:rsidR="00CF0505" w:rsidRPr="009F6C41">
        <w:t xml:space="preserve">, </w:t>
      </w:r>
      <w:r w:rsidRPr="009F6C41">
        <w:t>O</w:t>
      </w:r>
      <w:r w:rsidR="00CF0505" w:rsidRPr="009F6C41">
        <w:t xml:space="preserve">pen </w:t>
      </w:r>
      <w:r w:rsidRPr="009F6C41">
        <w:t>M</w:t>
      </w:r>
      <w:r w:rsidR="00CF0505" w:rsidRPr="009F6C41">
        <w:t xml:space="preserve">eeting from </w:t>
      </w:r>
      <w:r w:rsidR="0056229A" w:rsidRPr="009F6C41">
        <w:t xml:space="preserve">Public Counsel, </w:t>
      </w:r>
      <w:r w:rsidR="00CF0505" w:rsidRPr="009F6C41">
        <w:t xml:space="preserve">the Northwest Energy Coalition, the Company, and </w:t>
      </w:r>
      <w:r w:rsidR="003D148C" w:rsidRPr="009F6C41">
        <w:t xml:space="preserve">Commission </w:t>
      </w:r>
      <w:r w:rsidR="00CF0505" w:rsidRPr="009F6C41">
        <w:t>Staff.</w:t>
      </w:r>
      <w:r w:rsidR="004D5CCF" w:rsidRPr="009F6C41">
        <w:t xml:space="preserve">  </w:t>
      </w:r>
    </w:p>
    <w:p w14:paraId="48D640E0" w14:textId="77777777" w:rsidR="00EE3936" w:rsidRPr="009F6C41" w:rsidRDefault="00EE3936" w:rsidP="00EE3936">
      <w:pPr>
        <w:pStyle w:val="ListParagraph"/>
        <w:spacing w:line="288" w:lineRule="auto"/>
        <w:ind w:left="0"/>
      </w:pPr>
    </w:p>
    <w:p w14:paraId="48D640E1" w14:textId="73D42230" w:rsidR="004D5CCF" w:rsidRPr="009F6C41" w:rsidRDefault="002B15A6" w:rsidP="007B6156">
      <w:pPr>
        <w:numPr>
          <w:ilvl w:val="0"/>
          <w:numId w:val="1"/>
        </w:numPr>
        <w:spacing w:line="288" w:lineRule="auto"/>
      </w:pPr>
      <w:r w:rsidRPr="009F6C41">
        <w:t>At the conclusion of the December 15, 2011</w:t>
      </w:r>
      <w:r w:rsidR="004A5BD7">
        <w:t>,</w:t>
      </w:r>
      <w:r w:rsidRPr="009F6C41">
        <w:t xml:space="preserve"> Open Meeting, the </w:t>
      </w:r>
      <w:r w:rsidR="00EE3936" w:rsidRPr="009F6C41">
        <w:t xml:space="preserve">Commission encouraged Staff to develop a draft order for the Commission’s consideration at a later Open Meeting.  The Commission considered the draft order and conditions at its </w:t>
      </w:r>
      <w:r w:rsidR="00646015" w:rsidRPr="009F6C41">
        <w:t>February 10, 2012</w:t>
      </w:r>
      <w:r w:rsidR="004A5BD7">
        <w:t>,</w:t>
      </w:r>
      <w:r w:rsidR="00EE3936" w:rsidRPr="009F6C41">
        <w:t xml:space="preserve"> Open Meeting. </w:t>
      </w:r>
    </w:p>
    <w:p w14:paraId="48D640E2" w14:textId="77777777" w:rsidR="00456196" w:rsidRPr="009F6C41" w:rsidRDefault="00456196" w:rsidP="00456196">
      <w:pPr>
        <w:spacing w:line="288" w:lineRule="auto"/>
      </w:pPr>
    </w:p>
    <w:p w14:paraId="48D640E3" w14:textId="77777777" w:rsidR="000417CB" w:rsidRPr="009F6C41" w:rsidRDefault="0012651D" w:rsidP="0012651D">
      <w:pPr>
        <w:spacing w:line="288" w:lineRule="auto"/>
        <w:jc w:val="center"/>
        <w:rPr>
          <w:b/>
          <w:caps/>
        </w:rPr>
      </w:pPr>
      <w:r w:rsidRPr="009F6C41">
        <w:rPr>
          <w:b/>
          <w:caps/>
        </w:rPr>
        <w:t xml:space="preserve">SUMMARY </w:t>
      </w:r>
      <w:r w:rsidR="000417CB" w:rsidRPr="009F6C41">
        <w:rPr>
          <w:b/>
          <w:caps/>
        </w:rPr>
        <w:t>AND DISCUSSION</w:t>
      </w:r>
    </w:p>
    <w:p w14:paraId="48D640E4" w14:textId="77777777" w:rsidR="00DA4C05" w:rsidRPr="009F6C41" w:rsidRDefault="0012651D" w:rsidP="0012651D">
      <w:pPr>
        <w:spacing w:line="288" w:lineRule="auto"/>
        <w:jc w:val="center"/>
        <w:rPr>
          <w:b/>
        </w:rPr>
      </w:pPr>
      <w:r w:rsidRPr="009F6C41">
        <w:rPr>
          <w:b/>
          <w:caps/>
        </w:rPr>
        <w:t>OF COMMENTS F</w:t>
      </w:r>
      <w:r w:rsidR="000417CB" w:rsidRPr="009F6C41">
        <w:rPr>
          <w:b/>
          <w:caps/>
        </w:rPr>
        <w:t>ROM</w:t>
      </w:r>
      <w:r w:rsidRPr="009F6C41">
        <w:rPr>
          <w:b/>
          <w:caps/>
        </w:rPr>
        <w:t xml:space="preserve"> INTERESTED PERSONS</w:t>
      </w:r>
    </w:p>
    <w:p w14:paraId="48D640E5" w14:textId="77777777" w:rsidR="00DA4C05" w:rsidRPr="009F6C41" w:rsidRDefault="00DA4C05" w:rsidP="00DA4C05">
      <w:pPr>
        <w:spacing w:line="288" w:lineRule="auto"/>
      </w:pPr>
    </w:p>
    <w:p w14:paraId="48D640E6" w14:textId="77777777" w:rsidR="000F1899" w:rsidRPr="009F6C41" w:rsidRDefault="00801183" w:rsidP="0012651D">
      <w:pPr>
        <w:rPr>
          <w:b/>
        </w:rPr>
      </w:pPr>
      <w:bookmarkStart w:id="0" w:name="OLE_LINK1"/>
      <w:bookmarkStart w:id="1" w:name="OLE_LINK2"/>
      <w:r w:rsidRPr="009F6C41">
        <w:rPr>
          <w:b/>
        </w:rPr>
        <w:t xml:space="preserve">Commission </w:t>
      </w:r>
      <w:r w:rsidR="000F1899" w:rsidRPr="009F6C41">
        <w:rPr>
          <w:b/>
        </w:rPr>
        <w:t>Staff</w:t>
      </w:r>
    </w:p>
    <w:p w14:paraId="48D640E7" w14:textId="77777777" w:rsidR="00E41448" w:rsidRPr="009F6C41" w:rsidRDefault="00E41448" w:rsidP="000F1899">
      <w:pPr>
        <w:rPr>
          <w:u w:val="single"/>
        </w:rPr>
      </w:pPr>
    </w:p>
    <w:p w14:paraId="48D640E8" w14:textId="665C1EEC" w:rsidR="000F66F5" w:rsidRPr="009F6C41" w:rsidRDefault="006B57E1" w:rsidP="000F66F5">
      <w:pPr>
        <w:numPr>
          <w:ilvl w:val="0"/>
          <w:numId w:val="1"/>
        </w:numPr>
        <w:spacing w:line="288" w:lineRule="auto"/>
      </w:pPr>
      <w:r w:rsidRPr="009F6C41">
        <w:t xml:space="preserve">Staff </w:t>
      </w:r>
      <w:r w:rsidR="004B78E4" w:rsidRPr="009F6C41">
        <w:t>provided oral and written comments that summarized its review of</w:t>
      </w:r>
      <w:r w:rsidR="000F66F5" w:rsidRPr="009F6C41">
        <w:t xml:space="preserve"> </w:t>
      </w:r>
      <w:r w:rsidRPr="009F6C41">
        <w:t>the ten-year conservation potential and biennial conservation target</w:t>
      </w:r>
      <w:r w:rsidR="004B78E4" w:rsidRPr="009F6C41">
        <w:t xml:space="preserve">. </w:t>
      </w:r>
      <w:r w:rsidRPr="009F6C41">
        <w:t xml:space="preserve"> </w:t>
      </w:r>
      <w:r w:rsidR="000F66F5" w:rsidRPr="009F6C41">
        <w:t xml:space="preserve">Based on its review, </w:t>
      </w:r>
      <w:r w:rsidRPr="009F6C41">
        <w:t>Staff recommend</w:t>
      </w:r>
      <w:r w:rsidR="00DA4401" w:rsidRPr="009F6C41">
        <w:t>ed</w:t>
      </w:r>
      <w:r w:rsidRPr="009F6C41">
        <w:t xml:space="preserve"> that the Commission approve </w:t>
      </w:r>
      <w:r w:rsidR="000F66F5" w:rsidRPr="009F6C41">
        <w:t xml:space="preserve">the </w:t>
      </w:r>
      <w:r w:rsidRPr="009F6C41">
        <w:t>ten-year and biennial conservation targets</w:t>
      </w:r>
      <w:r w:rsidR="00BA4773">
        <w:t>,</w:t>
      </w:r>
      <w:r w:rsidRPr="009F6C41">
        <w:t xml:space="preserve"> subject to conditions</w:t>
      </w:r>
      <w:r w:rsidR="00217276">
        <w:t xml:space="preserve"> and shown in the following table</w:t>
      </w:r>
      <w:r w:rsidRPr="009F6C41">
        <w:t xml:space="preserve">.  </w:t>
      </w:r>
    </w:p>
    <w:p w14:paraId="48D640E9" w14:textId="77777777" w:rsidR="000F66F5" w:rsidRDefault="000F66F5" w:rsidP="006B57E1">
      <w:pPr>
        <w:spacing w:line="288" w:lineRule="auto"/>
      </w:pPr>
    </w:p>
    <w:p w14:paraId="7CAE33E0" w14:textId="77777777" w:rsidR="00217276" w:rsidRDefault="00217276" w:rsidP="006B57E1">
      <w:pPr>
        <w:spacing w:line="288" w:lineRule="auto"/>
      </w:pPr>
    </w:p>
    <w:p w14:paraId="420901A6" w14:textId="77777777" w:rsidR="00217276" w:rsidRDefault="00217276" w:rsidP="006B57E1">
      <w:pPr>
        <w:spacing w:line="288" w:lineRule="auto"/>
      </w:pPr>
    </w:p>
    <w:p w14:paraId="6E911F15" w14:textId="77777777" w:rsidR="00217276" w:rsidRDefault="00217276" w:rsidP="006B57E1">
      <w:pPr>
        <w:spacing w:line="288" w:lineRule="auto"/>
      </w:pPr>
    </w:p>
    <w:p w14:paraId="50626A67" w14:textId="77777777" w:rsidR="00217276" w:rsidRDefault="00217276" w:rsidP="006B57E1">
      <w:pPr>
        <w:spacing w:line="288" w:lineRule="auto"/>
      </w:pPr>
    </w:p>
    <w:tbl>
      <w:tblPr>
        <w:tblW w:w="0" w:type="auto"/>
        <w:jc w:val="center"/>
        <w:tblInd w:w="-1201" w:type="dxa"/>
        <w:tblCellMar>
          <w:left w:w="0" w:type="dxa"/>
          <w:right w:w="0" w:type="dxa"/>
        </w:tblCellMar>
        <w:tblLook w:val="04A0" w:firstRow="1" w:lastRow="0" w:firstColumn="1" w:lastColumn="0" w:noHBand="0" w:noVBand="1"/>
      </w:tblPr>
      <w:tblGrid>
        <w:gridCol w:w="2901"/>
        <w:gridCol w:w="1399"/>
        <w:gridCol w:w="1440"/>
        <w:gridCol w:w="1370"/>
        <w:gridCol w:w="1489"/>
      </w:tblGrid>
      <w:tr w:rsidR="000F66F5" w:rsidRPr="009F6C41" w14:paraId="48D640ED" w14:textId="77777777" w:rsidTr="00BC3E35">
        <w:trPr>
          <w:trHeight w:val="300"/>
          <w:jc w:val="center"/>
        </w:trPr>
        <w:tc>
          <w:tcPr>
            <w:tcW w:w="29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8D640EA" w14:textId="77777777" w:rsidR="000F66F5" w:rsidRPr="009F6C41" w:rsidRDefault="000F66F5" w:rsidP="00BC3E35">
            <w:pPr>
              <w:spacing w:line="264" w:lineRule="auto"/>
            </w:pPr>
          </w:p>
        </w:tc>
        <w:tc>
          <w:tcPr>
            <w:tcW w:w="283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D640EB" w14:textId="77777777" w:rsidR="000F66F5" w:rsidRPr="009F6C41" w:rsidRDefault="00A44B21" w:rsidP="00BC3E35">
            <w:pPr>
              <w:spacing w:line="264" w:lineRule="auto"/>
              <w:jc w:val="center"/>
              <w:rPr>
                <w:rFonts w:eastAsia="Calibri"/>
                <w:b/>
              </w:rPr>
            </w:pPr>
            <w:r w:rsidRPr="009F6C41">
              <w:rPr>
                <w:b/>
              </w:rPr>
              <w:t xml:space="preserve">2012-2013 </w:t>
            </w:r>
            <w:r w:rsidR="000F66F5" w:rsidRPr="009F6C41">
              <w:rPr>
                <w:b/>
              </w:rPr>
              <w:t>Biennial Targets</w:t>
            </w:r>
            <w:r w:rsidR="000F66F5" w:rsidRPr="009F6C41">
              <w:rPr>
                <w:rStyle w:val="FootnoteReference"/>
                <w:b/>
              </w:rPr>
              <w:footnoteReference w:id="2"/>
            </w:r>
          </w:p>
        </w:tc>
        <w:tc>
          <w:tcPr>
            <w:tcW w:w="285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D640EC" w14:textId="77777777" w:rsidR="000F66F5" w:rsidRPr="009F6C41" w:rsidRDefault="00A44B21" w:rsidP="00BC3E35">
            <w:pPr>
              <w:spacing w:line="264" w:lineRule="auto"/>
              <w:jc w:val="center"/>
              <w:rPr>
                <w:rFonts w:eastAsia="Calibri"/>
                <w:b/>
              </w:rPr>
            </w:pPr>
            <w:r w:rsidRPr="009F6C41">
              <w:rPr>
                <w:b/>
              </w:rPr>
              <w:t xml:space="preserve">2012-2021 </w:t>
            </w:r>
            <w:r w:rsidR="000F66F5" w:rsidRPr="009F6C41">
              <w:rPr>
                <w:b/>
              </w:rPr>
              <w:t>Ten-Year Potential</w:t>
            </w:r>
          </w:p>
        </w:tc>
      </w:tr>
      <w:tr w:rsidR="000F66F5" w:rsidRPr="009F6C41" w14:paraId="48D640F3" w14:textId="77777777" w:rsidTr="00BC3E35">
        <w:trPr>
          <w:trHeight w:val="600"/>
          <w:jc w:val="center"/>
        </w:trPr>
        <w:tc>
          <w:tcPr>
            <w:tcW w:w="29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640EE" w14:textId="77777777" w:rsidR="000F66F5" w:rsidRPr="009F6C41" w:rsidRDefault="000F66F5" w:rsidP="00BC3E35">
            <w:pPr>
              <w:spacing w:line="264" w:lineRule="auto"/>
              <w:rPr>
                <w:rFonts w:eastAsia="Calibri"/>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14:paraId="48D640EF" w14:textId="77777777" w:rsidR="000F66F5" w:rsidRPr="009F6C41" w:rsidRDefault="000F66F5" w:rsidP="00BC3E35">
            <w:pPr>
              <w:spacing w:line="264" w:lineRule="auto"/>
              <w:rPr>
                <w:rFonts w:eastAsia="Calibri"/>
              </w:rPr>
            </w:pPr>
            <w:r w:rsidRPr="009F6C41">
              <w:t>Low range (</w:t>
            </w:r>
            <w:proofErr w:type="spellStart"/>
            <w:r w:rsidRPr="009F6C41">
              <w:t>MWh</w:t>
            </w:r>
            <w:proofErr w:type="spellEnd"/>
            <w:r w:rsidRPr="009F6C41">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8D640F0" w14:textId="77777777" w:rsidR="000F66F5" w:rsidRPr="009F6C41" w:rsidRDefault="000F66F5" w:rsidP="00BC3E35">
            <w:pPr>
              <w:spacing w:line="264" w:lineRule="auto"/>
              <w:rPr>
                <w:rFonts w:eastAsia="Calibri"/>
              </w:rPr>
            </w:pPr>
            <w:r w:rsidRPr="009F6C41">
              <w:t>High range (</w:t>
            </w:r>
            <w:proofErr w:type="spellStart"/>
            <w:r w:rsidRPr="009F6C41">
              <w:t>MWh</w:t>
            </w:r>
            <w:proofErr w:type="spellEnd"/>
            <w:r w:rsidRPr="009F6C41">
              <w:t>)</w:t>
            </w:r>
          </w:p>
        </w:tc>
        <w:tc>
          <w:tcPr>
            <w:tcW w:w="1370" w:type="dxa"/>
            <w:tcBorders>
              <w:top w:val="nil"/>
              <w:left w:val="nil"/>
              <w:bottom w:val="single" w:sz="8" w:space="0" w:color="auto"/>
              <w:right w:val="single" w:sz="8" w:space="0" w:color="auto"/>
            </w:tcBorders>
            <w:tcMar>
              <w:top w:w="0" w:type="dxa"/>
              <w:left w:w="108" w:type="dxa"/>
              <w:bottom w:w="0" w:type="dxa"/>
              <w:right w:w="108" w:type="dxa"/>
            </w:tcMar>
            <w:hideMark/>
          </w:tcPr>
          <w:p w14:paraId="48D640F1" w14:textId="77777777" w:rsidR="000F66F5" w:rsidRPr="009F6C41" w:rsidRDefault="000F66F5" w:rsidP="00BC3E35">
            <w:pPr>
              <w:spacing w:line="264" w:lineRule="auto"/>
              <w:rPr>
                <w:rFonts w:eastAsia="Calibri"/>
              </w:rPr>
            </w:pPr>
            <w:r w:rsidRPr="009F6C41">
              <w:t>Low range (</w:t>
            </w:r>
            <w:proofErr w:type="spellStart"/>
            <w:r w:rsidRPr="009F6C41">
              <w:t>MWh</w:t>
            </w:r>
            <w:proofErr w:type="spellEnd"/>
            <w:r w:rsidRPr="009F6C41">
              <w:t>)</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14:paraId="48D640F2" w14:textId="77777777" w:rsidR="000F66F5" w:rsidRPr="009F6C41" w:rsidRDefault="000F66F5" w:rsidP="00BC3E35">
            <w:pPr>
              <w:spacing w:line="264" w:lineRule="auto"/>
              <w:rPr>
                <w:rFonts w:eastAsia="Calibri"/>
              </w:rPr>
            </w:pPr>
            <w:r w:rsidRPr="009F6C41">
              <w:t>High range (</w:t>
            </w:r>
            <w:proofErr w:type="spellStart"/>
            <w:r w:rsidRPr="009F6C41">
              <w:t>MWh</w:t>
            </w:r>
            <w:proofErr w:type="spellEnd"/>
            <w:r w:rsidRPr="009F6C41">
              <w:t>)</w:t>
            </w:r>
          </w:p>
        </w:tc>
      </w:tr>
      <w:tr w:rsidR="000F66F5" w:rsidRPr="009F6C41" w14:paraId="48D640F9" w14:textId="77777777" w:rsidTr="00BC3E35">
        <w:trPr>
          <w:trHeight w:val="300"/>
          <w:jc w:val="center"/>
        </w:trPr>
        <w:tc>
          <w:tcPr>
            <w:tcW w:w="29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640F4" w14:textId="77777777" w:rsidR="000F66F5" w:rsidRPr="009F6C41" w:rsidRDefault="000F66F5" w:rsidP="00BC3E35">
            <w:pPr>
              <w:spacing w:line="264" w:lineRule="auto"/>
              <w:rPr>
                <w:rFonts w:eastAsia="Calibri"/>
                <w:b/>
              </w:rPr>
            </w:pPr>
            <w:r w:rsidRPr="009F6C41">
              <w:rPr>
                <w:b/>
              </w:rPr>
              <w:t>End-use efficiency</w:t>
            </w:r>
          </w:p>
        </w:tc>
        <w:tc>
          <w:tcPr>
            <w:tcW w:w="139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5" w14:textId="77777777" w:rsidR="000F66F5" w:rsidRPr="009F6C41" w:rsidRDefault="000F66F5" w:rsidP="00BC3E35">
            <w:pPr>
              <w:spacing w:line="264" w:lineRule="auto"/>
              <w:rPr>
                <w:rFonts w:eastAsia="Calibri"/>
              </w:rPr>
            </w:pPr>
            <w:r w:rsidRPr="009F6C41">
              <w:t>76,202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6" w14:textId="77777777" w:rsidR="000F66F5" w:rsidRPr="009F6C41" w:rsidRDefault="000F66F5" w:rsidP="00BC3E35">
            <w:pPr>
              <w:spacing w:line="264" w:lineRule="auto"/>
              <w:rPr>
                <w:rFonts w:eastAsia="Calibri"/>
              </w:rPr>
            </w:pPr>
            <w:r w:rsidRPr="009F6C41">
              <w:t>137,410</w:t>
            </w:r>
          </w:p>
        </w:tc>
        <w:tc>
          <w:tcPr>
            <w:tcW w:w="137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7" w14:textId="77777777" w:rsidR="000F66F5" w:rsidRPr="009F6C41" w:rsidRDefault="000F66F5" w:rsidP="00BC3E35">
            <w:pPr>
              <w:spacing w:line="264" w:lineRule="auto"/>
              <w:rPr>
                <w:rFonts w:eastAsia="Calibri"/>
              </w:rPr>
            </w:pPr>
            <w:r w:rsidRPr="009F6C41">
              <w:t>529,114</w:t>
            </w:r>
            <w:r w:rsidRPr="009F6C41">
              <w:rPr>
                <w:rStyle w:val="FootnoteReference"/>
              </w:rPr>
              <w:footnoteReference w:id="3"/>
            </w:r>
          </w:p>
        </w:tc>
        <w:tc>
          <w:tcPr>
            <w:tcW w:w="148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8" w14:textId="77777777" w:rsidR="000F66F5" w:rsidRPr="009F6C41" w:rsidRDefault="000F66F5" w:rsidP="00BC3E35">
            <w:pPr>
              <w:spacing w:line="264" w:lineRule="auto"/>
              <w:rPr>
                <w:rFonts w:eastAsia="Calibri"/>
              </w:rPr>
            </w:pPr>
            <w:r w:rsidRPr="009F6C41">
              <w:t>1,079,345</w:t>
            </w:r>
            <w:r w:rsidRPr="009F6C41">
              <w:rPr>
                <w:rStyle w:val="FootnoteReference"/>
              </w:rPr>
              <w:footnoteReference w:id="4"/>
            </w:r>
          </w:p>
        </w:tc>
      </w:tr>
      <w:tr w:rsidR="000F66F5" w:rsidRPr="009F6C41" w14:paraId="48D640FF" w14:textId="77777777" w:rsidTr="00BC3E35">
        <w:trPr>
          <w:trHeight w:val="300"/>
          <w:jc w:val="center"/>
        </w:trPr>
        <w:tc>
          <w:tcPr>
            <w:tcW w:w="29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640FA" w14:textId="77777777" w:rsidR="000F66F5" w:rsidRPr="009F6C41" w:rsidRDefault="000F66F5" w:rsidP="00BC3E35">
            <w:pPr>
              <w:spacing w:line="264" w:lineRule="auto"/>
              <w:rPr>
                <w:rFonts w:eastAsia="Calibri"/>
                <w:b/>
              </w:rPr>
            </w:pPr>
            <w:r w:rsidRPr="009F6C41">
              <w:rPr>
                <w:b/>
              </w:rPr>
              <w:t>Distribution efficiency</w:t>
            </w:r>
          </w:p>
        </w:tc>
        <w:tc>
          <w:tcPr>
            <w:tcW w:w="139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B" w14:textId="77777777" w:rsidR="000F66F5" w:rsidRPr="009F6C41" w:rsidRDefault="000F66F5" w:rsidP="00BC3E35">
            <w:pPr>
              <w:spacing w:line="264" w:lineRule="auto"/>
              <w:rPr>
                <w:rFonts w:eastAsia="Calibri"/>
              </w:rPr>
            </w:pPr>
            <w:r w:rsidRPr="009F6C41">
              <w:t>32,387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C" w14:textId="77777777" w:rsidR="000F66F5" w:rsidRPr="009F6C41" w:rsidRDefault="000F66F5" w:rsidP="00BC3E35">
            <w:pPr>
              <w:spacing w:line="264" w:lineRule="auto"/>
              <w:rPr>
                <w:rFonts w:eastAsia="Calibri"/>
              </w:rPr>
            </w:pPr>
            <w:r w:rsidRPr="009F6C41">
              <w:t>60,147</w:t>
            </w:r>
          </w:p>
        </w:tc>
        <w:tc>
          <w:tcPr>
            <w:tcW w:w="137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D" w14:textId="77777777" w:rsidR="000F66F5" w:rsidRPr="009F6C41" w:rsidRDefault="000F66F5" w:rsidP="00BC3E35">
            <w:pPr>
              <w:spacing w:line="264" w:lineRule="auto"/>
              <w:rPr>
                <w:rFonts w:eastAsia="Calibri"/>
              </w:rPr>
            </w:pPr>
            <w:r w:rsidRPr="009F6C41">
              <w:t>71,539</w:t>
            </w:r>
            <w:r w:rsidRPr="009F6C41">
              <w:rPr>
                <w:rStyle w:val="FootnoteReference"/>
              </w:rPr>
              <w:footnoteReference w:id="5"/>
            </w:r>
          </w:p>
        </w:tc>
        <w:tc>
          <w:tcPr>
            <w:tcW w:w="148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0FE" w14:textId="77777777" w:rsidR="000F66F5" w:rsidRPr="009F6C41" w:rsidRDefault="000F66F5" w:rsidP="00BC3E35">
            <w:pPr>
              <w:spacing w:line="264" w:lineRule="auto"/>
              <w:rPr>
                <w:rFonts w:eastAsia="Calibri"/>
              </w:rPr>
            </w:pPr>
            <w:r w:rsidRPr="009F6C41">
              <w:t>102,199</w:t>
            </w:r>
            <w:r w:rsidRPr="009F6C41">
              <w:rPr>
                <w:rStyle w:val="FootnoteReference"/>
              </w:rPr>
              <w:footnoteReference w:id="6"/>
            </w:r>
          </w:p>
        </w:tc>
      </w:tr>
      <w:tr w:rsidR="000F66F5" w:rsidRPr="009F6C41" w14:paraId="48D64105" w14:textId="77777777" w:rsidTr="00BC3E35">
        <w:trPr>
          <w:trHeight w:val="300"/>
          <w:jc w:val="center"/>
        </w:trPr>
        <w:tc>
          <w:tcPr>
            <w:tcW w:w="290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64100" w14:textId="77777777" w:rsidR="000F66F5" w:rsidRPr="009F6C41" w:rsidRDefault="000F66F5" w:rsidP="00BC3E35">
            <w:pPr>
              <w:spacing w:line="264" w:lineRule="auto"/>
              <w:rPr>
                <w:rFonts w:eastAsia="Calibri"/>
                <w:b/>
              </w:rPr>
            </w:pPr>
            <w:r w:rsidRPr="009F6C41">
              <w:rPr>
                <w:b/>
              </w:rPr>
              <w:t>Aggregate BCP Target</w:t>
            </w:r>
          </w:p>
        </w:tc>
        <w:tc>
          <w:tcPr>
            <w:tcW w:w="139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101" w14:textId="77777777" w:rsidR="000F66F5" w:rsidRPr="009F6C41" w:rsidRDefault="000F66F5" w:rsidP="00BC3E35">
            <w:pPr>
              <w:spacing w:line="264" w:lineRule="auto"/>
              <w:rPr>
                <w:rFonts w:eastAsia="Calibri"/>
              </w:rPr>
            </w:pPr>
            <w:r w:rsidRPr="009F6C41">
              <w:t>108,589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102" w14:textId="77777777" w:rsidR="000F66F5" w:rsidRPr="009F6C41" w:rsidRDefault="000F66F5" w:rsidP="00BC3E35">
            <w:pPr>
              <w:spacing w:line="264" w:lineRule="auto"/>
              <w:rPr>
                <w:rFonts w:eastAsia="Calibri"/>
              </w:rPr>
            </w:pPr>
            <w:r w:rsidRPr="009F6C41">
              <w:t>197,557</w:t>
            </w:r>
          </w:p>
        </w:tc>
        <w:tc>
          <w:tcPr>
            <w:tcW w:w="137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103" w14:textId="77777777" w:rsidR="000F66F5" w:rsidRPr="009F6C41" w:rsidRDefault="000F66F5" w:rsidP="00BC3E35">
            <w:pPr>
              <w:spacing w:line="264" w:lineRule="auto"/>
              <w:rPr>
                <w:rFonts w:eastAsia="Calibri"/>
              </w:rPr>
            </w:pPr>
            <w:r w:rsidRPr="009F6C41">
              <w:t>600,653</w:t>
            </w:r>
          </w:p>
        </w:tc>
        <w:tc>
          <w:tcPr>
            <w:tcW w:w="1489" w:type="dxa"/>
            <w:tcBorders>
              <w:top w:val="nil"/>
              <w:left w:val="nil"/>
              <w:bottom w:val="single" w:sz="8" w:space="0" w:color="auto"/>
              <w:right w:val="single" w:sz="8" w:space="0" w:color="auto"/>
            </w:tcBorders>
            <w:noWrap/>
            <w:tcMar>
              <w:top w:w="0" w:type="dxa"/>
              <w:left w:w="108" w:type="dxa"/>
              <w:bottom w:w="0" w:type="dxa"/>
              <w:right w:w="108" w:type="dxa"/>
            </w:tcMar>
            <w:hideMark/>
          </w:tcPr>
          <w:p w14:paraId="48D64104" w14:textId="77777777" w:rsidR="000F66F5" w:rsidRPr="009F6C41" w:rsidRDefault="000F66F5" w:rsidP="00BC3E35">
            <w:pPr>
              <w:spacing w:line="264" w:lineRule="auto"/>
              <w:rPr>
                <w:rFonts w:eastAsia="Calibri"/>
              </w:rPr>
            </w:pPr>
            <w:r w:rsidRPr="009F6C41">
              <w:t>1,181,544</w:t>
            </w:r>
          </w:p>
        </w:tc>
      </w:tr>
    </w:tbl>
    <w:p w14:paraId="48D64106" w14:textId="77777777" w:rsidR="000F66F5" w:rsidRDefault="000F66F5" w:rsidP="006B57E1">
      <w:pPr>
        <w:spacing w:line="288" w:lineRule="auto"/>
      </w:pPr>
    </w:p>
    <w:p w14:paraId="59A54FE8" w14:textId="77777777" w:rsidR="00FF4814" w:rsidRPr="009F6C41" w:rsidRDefault="00FF4814" w:rsidP="006B57E1">
      <w:pPr>
        <w:spacing w:line="288" w:lineRule="auto"/>
      </w:pPr>
    </w:p>
    <w:p w14:paraId="48D64107" w14:textId="68E5327E" w:rsidR="00622C6F" w:rsidRPr="009F6C41" w:rsidRDefault="00DA4401" w:rsidP="000F66F5">
      <w:pPr>
        <w:numPr>
          <w:ilvl w:val="0"/>
          <w:numId w:val="1"/>
        </w:numPr>
        <w:spacing w:line="288" w:lineRule="auto"/>
      </w:pPr>
      <w:r w:rsidRPr="009F6C41">
        <w:t xml:space="preserve">Initially, Staff recommended the adoption of new conditions based on comments offered by </w:t>
      </w:r>
      <w:proofErr w:type="spellStart"/>
      <w:r w:rsidRPr="009F6C41">
        <w:t>Avista</w:t>
      </w:r>
      <w:proofErr w:type="spellEnd"/>
      <w:r w:rsidRPr="009F6C41">
        <w:t xml:space="preserve"> in its BCP filing.  However, after receiving the comments of other parties, Staff supported the continued use of condi</w:t>
      </w:r>
      <w:r w:rsidR="00A5702F" w:rsidRPr="009F6C41">
        <w:t>tions f</w:t>
      </w:r>
      <w:r w:rsidR="00A44B21" w:rsidRPr="009F6C41">
        <w:t xml:space="preserve">rom Order </w:t>
      </w:r>
      <w:r w:rsidR="001C3302">
        <w:t>0</w:t>
      </w:r>
      <w:r w:rsidR="00A44B21" w:rsidRPr="009F6C41">
        <w:t>1 of UE</w:t>
      </w:r>
      <w:r w:rsidR="002F0A1C" w:rsidRPr="009F6C41">
        <w:t>-</w:t>
      </w:r>
      <w:r w:rsidR="00A5702F" w:rsidRPr="009F6C41">
        <w:t>100176 with minor modifications and a new condition addressing the evaluation</w:t>
      </w:r>
      <w:r w:rsidR="001C3302">
        <w:t>,</w:t>
      </w:r>
      <w:r w:rsidR="00A5702F" w:rsidRPr="009F6C41">
        <w:t xml:space="preserve"> measurement and verification (EM&amp;V) of distribution efficiency measures.</w:t>
      </w:r>
      <w:r w:rsidR="001C3302">
        <w:rPr>
          <w:rStyle w:val="FootnoteReference"/>
        </w:rPr>
        <w:footnoteReference w:id="7"/>
      </w:r>
    </w:p>
    <w:p w14:paraId="48D64108" w14:textId="77777777" w:rsidR="006B57E1" w:rsidRPr="009F6C41" w:rsidRDefault="006B57E1" w:rsidP="005F08C6">
      <w:pPr>
        <w:spacing w:line="288" w:lineRule="auto"/>
      </w:pPr>
    </w:p>
    <w:bookmarkEnd w:id="0"/>
    <w:bookmarkEnd w:id="1"/>
    <w:p w14:paraId="48D64109" w14:textId="77777777" w:rsidR="009F6200" w:rsidRPr="009F6C41" w:rsidRDefault="008D1E7B" w:rsidP="00F83159">
      <w:pPr>
        <w:spacing w:line="288" w:lineRule="auto"/>
        <w:rPr>
          <w:b/>
        </w:rPr>
      </w:pPr>
      <w:r w:rsidRPr="009F6C41">
        <w:rPr>
          <w:b/>
        </w:rPr>
        <w:t>Public Counsel</w:t>
      </w:r>
    </w:p>
    <w:p w14:paraId="48D6410A" w14:textId="77777777" w:rsidR="00E41448" w:rsidRPr="009F6C41" w:rsidRDefault="00E41448" w:rsidP="009F6200">
      <w:pPr>
        <w:spacing w:line="288" w:lineRule="auto"/>
      </w:pPr>
    </w:p>
    <w:p w14:paraId="48D6410B" w14:textId="4B94FCDC" w:rsidR="00DA4401" w:rsidRPr="009F6C41" w:rsidRDefault="00DA4401" w:rsidP="00A44B21">
      <w:pPr>
        <w:pStyle w:val="ListParagraph"/>
        <w:numPr>
          <w:ilvl w:val="0"/>
          <w:numId w:val="1"/>
        </w:numPr>
        <w:spacing w:line="288" w:lineRule="auto"/>
      </w:pPr>
      <w:r w:rsidRPr="009F6C41">
        <w:t xml:space="preserve">Public Counsel </w:t>
      </w:r>
      <w:r w:rsidR="004B78E4" w:rsidRPr="009F6C41">
        <w:t xml:space="preserve">provided oral and </w:t>
      </w:r>
      <w:r w:rsidR="000F66F5" w:rsidRPr="009F6C41">
        <w:t xml:space="preserve">written comments </w:t>
      </w:r>
      <w:r w:rsidRPr="009F6C41">
        <w:t>agree</w:t>
      </w:r>
      <w:r w:rsidR="000F66F5" w:rsidRPr="009F6C41">
        <w:t>ing</w:t>
      </w:r>
      <w:r w:rsidRPr="009F6C41">
        <w:t xml:space="preserve"> with </w:t>
      </w:r>
      <w:proofErr w:type="spellStart"/>
      <w:r w:rsidRPr="009F6C41">
        <w:t>Avista</w:t>
      </w:r>
      <w:r w:rsidR="00885D99">
        <w:t>’</w:t>
      </w:r>
      <w:r w:rsidRPr="009F6C41">
        <w:t>s</w:t>
      </w:r>
      <w:proofErr w:type="spellEnd"/>
      <w:r w:rsidRPr="009F6C41">
        <w:t xml:space="preserve"> proposed conservation target of 108,589 to 197,557 </w:t>
      </w:r>
      <w:proofErr w:type="spellStart"/>
      <w:r w:rsidRPr="009F6C41">
        <w:t>MWh</w:t>
      </w:r>
      <w:proofErr w:type="spellEnd"/>
      <w:r w:rsidRPr="009F6C41">
        <w:t xml:space="preserve"> for the 2012-2013 </w:t>
      </w:r>
      <w:proofErr w:type="gramStart"/>
      <w:r w:rsidRPr="009F6C41">
        <w:t>biennium</w:t>
      </w:r>
      <w:proofErr w:type="gramEnd"/>
      <w:r w:rsidRPr="009F6C41">
        <w:t>, subject to conditions</w:t>
      </w:r>
      <w:r w:rsidR="000F66F5" w:rsidRPr="009F6C41">
        <w:t xml:space="preserve"> but advised against approval of the target until all comments could be received and processed.</w:t>
      </w:r>
    </w:p>
    <w:p w14:paraId="48D6410C" w14:textId="77777777" w:rsidR="00DA4401" w:rsidRPr="009F6C41" w:rsidRDefault="00DA4401" w:rsidP="00DA4401">
      <w:pPr>
        <w:spacing w:line="288" w:lineRule="auto"/>
      </w:pPr>
    </w:p>
    <w:p w14:paraId="48D6410D" w14:textId="3E86E521" w:rsidR="00DA4401" w:rsidRPr="009F6C41" w:rsidRDefault="00DA4401" w:rsidP="000F66F5">
      <w:pPr>
        <w:numPr>
          <w:ilvl w:val="0"/>
          <w:numId w:val="1"/>
        </w:numPr>
        <w:spacing w:line="288" w:lineRule="auto"/>
      </w:pPr>
      <w:r w:rsidRPr="009F6C41">
        <w:t xml:space="preserve">With respect to the conditions, Public Counsel recommends the Commission retain the </w:t>
      </w:r>
      <w:r w:rsidR="00A44B21" w:rsidRPr="009F6C41">
        <w:t>conditions adopted in Docket UE</w:t>
      </w:r>
      <w:r w:rsidR="002F0A1C" w:rsidRPr="009F6C41">
        <w:t>-</w:t>
      </w:r>
      <w:r w:rsidRPr="009F6C41">
        <w:t xml:space="preserve">100176.  </w:t>
      </w:r>
      <w:r w:rsidR="000F66F5" w:rsidRPr="009F6C41">
        <w:t>In particular, Public Counsel identified four recommendations with respect to the conditions</w:t>
      </w:r>
      <w:r w:rsidRPr="009F6C41">
        <w:t>:</w:t>
      </w:r>
    </w:p>
    <w:p w14:paraId="48D6410F" w14:textId="6FB0F9C2" w:rsidR="00DA4401" w:rsidRPr="009F6C41" w:rsidRDefault="00DA4401" w:rsidP="000F66F5">
      <w:pPr>
        <w:pStyle w:val="ListParagraph"/>
        <w:numPr>
          <w:ilvl w:val="0"/>
          <w:numId w:val="7"/>
        </w:numPr>
        <w:spacing w:line="288" w:lineRule="auto"/>
      </w:pPr>
      <w:r w:rsidRPr="009F6C41">
        <w:t xml:space="preserve">Clarify that savings estimates for prescriptive programs shall be based upon </w:t>
      </w:r>
      <w:r w:rsidR="002F0A1C" w:rsidRPr="009F6C41">
        <w:t>Regional Technical Forum (</w:t>
      </w:r>
      <w:r w:rsidRPr="009F6C41">
        <w:t>RTF</w:t>
      </w:r>
      <w:r w:rsidR="000A0219" w:rsidRPr="009F6C41">
        <w:t>)</w:t>
      </w:r>
      <w:r w:rsidRPr="009F6C41">
        <w:t xml:space="preserve"> estimates, rigorous third-party impact </w:t>
      </w:r>
      <w:r w:rsidRPr="009F6C41">
        <w:lastRenderedPageBreak/>
        <w:t>evaluations, and/or other reliable and relevant source data that has verified savings levels;</w:t>
      </w:r>
    </w:p>
    <w:p w14:paraId="48D64110" w14:textId="557CF711" w:rsidR="00DA4401" w:rsidRPr="009F6C41" w:rsidRDefault="00DA4401" w:rsidP="000F66F5">
      <w:pPr>
        <w:pStyle w:val="ListParagraph"/>
        <w:numPr>
          <w:ilvl w:val="0"/>
          <w:numId w:val="7"/>
        </w:numPr>
        <w:spacing w:line="288" w:lineRule="auto"/>
      </w:pPr>
      <w:r w:rsidRPr="009F6C41">
        <w:t xml:space="preserve">Retain the requirement that </w:t>
      </w:r>
      <w:proofErr w:type="spellStart"/>
      <w:r w:rsidRPr="009F6C41">
        <w:t>Avista’s</w:t>
      </w:r>
      <w:proofErr w:type="spellEnd"/>
      <w:r w:rsidRPr="009F6C41">
        <w:t xml:space="preserve"> next conservation potential shall be based upon a Conservation Potential Assessment (CPA) of its Washington service territory,</w:t>
      </w:r>
    </w:p>
    <w:p w14:paraId="48D64111" w14:textId="77777777" w:rsidR="00DA4401" w:rsidRPr="009F6C41" w:rsidRDefault="00DA4401" w:rsidP="000F66F5">
      <w:pPr>
        <w:pStyle w:val="ListParagraph"/>
        <w:numPr>
          <w:ilvl w:val="0"/>
          <w:numId w:val="7"/>
        </w:numPr>
        <w:spacing w:line="288" w:lineRule="auto"/>
      </w:pPr>
      <w:r w:rsidRPr="009F6C41">
        <w:t>Clarify that distribution savings will be verified by an independent third</w:t>
      </w:r>
      <w:r w:rsidR="00A44B21" w:rsidRPr="009F6C41">
        <w:t xml:space="preserve"> </w:t>
      </w:r>
      <w:r w:rsidRPr="009F6C41">
        <w:t xml:space="preserve">party, and </w:t>
      </w:r>
    </w:p>
    <w:p w14:paraId="48D64112" w14:textId="77777777" w:rsidR="00622C6F" w:rsidRPr="009F6C41" w:rsidRDefault="00DA4401" w:rsidP="000F66F5">
      <w:pPr>
        <w:pStyle w:val="ListParagraph"/>
        <w:numPr>
          <w:ilvl w:val="0"/>
          <w:numId w:val="7"/>
        </w:numPr>
        <w:spacing w:line="288" w:lineRule="auto"/>
        <w:rPr>
          <w:b/>
        </w:rPr>
      </w:pPr>
      <w:r w:rsidRPr="009F6C41">
        <w:t>Retain the condition that the Commission is not obligated to accept savings identified in the BCP for purposes of compliance with the EIA.</w:t>
      </w:r>
      <w:r w:rsidR="007D5A19" w:rsidRPr="009F6C41">
        <w:t xml:space="preserve">  </w:t>
      </w:r>
    </w:p>
    <w:p w14:paraId="48D64113" w14:textId="77777777" w:rsidR="008D6C46" w:rsidRPr="009F6C41" w:rsidRDefault="008D6C46" w:rsidP="009F6A61">
      <w:pPr>
        <w:spacing w:line="288" w:lineRule="auto"/>
      </w:pPr>
    </w:p>
    <w:p w14:paraId="48D64114" w14:textId="77777777" w:rsidR="009F6200" w:rsidRPr="009F6C41" w:rsidRDefault="009F6200" w:rsidP="009F6A61">
      <w:pPr>
        <w:spacing w:line="288" w:lineRule="auto"/>
        <w:rPr>
          <w:b/>
        </w:rPr>
      </w:pPr>
      <w:r w:rsidRPr="009F6C41">
        <w:rPr>
          <w:b/>
        </w:rPr>
        <w:t>Northwest Energy Coalition</w:t>
      </w:r>
    </w:p>
    <w:p w14:paraId="48D64115" w14:textId="77777777" w:rsidR="00E41448" w:rsidRPr="009F6C41" w:rsidRDefault="00E41448" w:rsidP="009F6200">
      <w:pPr>
        <w:spacing w:line="288" w:lineRule="auto"/>
      </w:pPr>
    </w:p>
    <w:p w14:paraId="48D64116" w14:textId="33992BF2" w:rsidR="00E41448" w:rsidRPr="009F6C41" w:rsidRDefault="00D94429" w:rsidP="00A44B21">
      <w:pPr>
        <w:pStyle w:val="ListParagraph"/>
        <w:numPr>
          <w:ilvl w:val="0"/>
          <w:numId w:val="1"/>
        </w:numPr>
        <w:spacing w:line="288" w:lineRule="auto"/>
      </w:pPr>
      <w:r w:rsidRPr="009F6C41">
        <w:t xml:space="preserve">In </w:t>
      </w:r>
      <w:r w:rsidR="00A07AD6" w:rsidRPr="009F6C41">
        <w:t>oral comments</w:t>
      </w:r>
      <w:r w:rsidRPr="009F6C41">
        <w:t>,</w:t>
      </w:r>
      <w:r w:rsidR="00A07AD6" w:rsidRPr="009F6C41">
        <w:t xml:space="preserve"> the Northwest Energy Coalition expressed concern about the use of a range for determining a conservation potential and a target.</w:t>
      </w:r>
      <w:r w:rsidR="00A44B21" w:rsidRPr="009F6C41">
        <w:rPr>
          <w:rStyle w:val="FootnoteReference"/>
        </w:rPr>
        <w:footnoteReference w:id="8"/>
      </w:r>
      <w:r w:rsidR="00A07AD6" w:rsidRPr="009F6C41">
        <w:t xml:space="preserve">  The organization also regarded the low range as conservative.  However, it did not oppose </w:t>
      </w:r>
      <w:proofErr w:type="spellStart"/>
      <w:r w:rsidR="00A07AD6" w:rsidRPr="009F6C41">
        <w:t>Avista’s</w:t>
      </w:r>
      <w:proofErr w:type="spellEnd"/>
      <w:r w:rsidR="00A07AD6" w:rsidRPr="009F6C41">
        <w:t xml:space="preserve"> </w:t>
      </w:r>
      <w:r w:rsidR="00671C8D" w:rsidRPr="009F6C41">
        <w:t>ten</w:t>
      </w:r>
      <w:r w:rsidR="00A07AD6" w:rsidRPr="009F6C41">
        <w:t>-year potential and biennial target.  It also supported the continued use o</w:t>
      </w:r>
      <w:r w:rsidR="00A44B21" w:rsidRPr="009F6C41">
        <w:t xml:space="preserve">f conditions from Order </w:t>
      </w:r>
      <w:r w:rsidR="001C3302">
        <w:t>0</w:t>
      </w:r>
      <w:r w:rsidR="00A44B21" w:rsidRPr="009F6C41">
        <w:t>1 of UE</w:t>
      </w:r>
      <w:r w:rsidR="002F0A1C" w:rsidRPr="009F6C41">
        <w:t>-</w:t>
      </w:r>
      <w:r w:rsidR="00A07AD6" w:rsidRPr="009F6C41">
        <w:t>100176, as modified by the recommendations of Public Counsel and Commission Staff.</w:t>
      </w:r>
    </w:p>
    <w:p w14:paraId="48D64117" w14:textId="77777777" w:rsidR="005A1ECB" w:rsidRPr="009F6C41" w:rsidRDefault="005A1ECB">
      <w:pPr>
        <w:spacing w:line="288" w:lineRule="auto"/>
        <w:ind w:left="-360" w:firstLine="360"/>
        <w:jc w:val="center"/>
        <w:rPr>
          <w:b/>
        </w:rPr>
      </w:pPr>
    </w:p>
    <w:p w14:paraId="48D64118" w14:textId="77777777" w:rsidR="004D5CCF" w:rsidRPr="009F6C41" w:rsidRDefault="004D5CCF">
      <w:pPr>
        <w:spacing w:line="288" w:lineRule="auto"/>
        <w:ind w:left="-360" w:firstLine="360"/>
        <w:jc w:val="center"/>
        <w:rPr>
          <w:b/>
        </w:rPr>
      </w:pPr>
      <w:r w:rsidRPr="009F6C41">
        <w:rPr>
          <w:b/>
        </w:rPr>
        <w:t>FINDINGS AND CONCLUSIONS</w:t>
      </w:r>
    </w:p>
    <w:p w14:paraId="48D64119" w14:textId="77777777" w:rsidR="004D5CCF" w:rsidRPr="009F6C41" w:rsidRDefault="004D5CCF">
      <w:pPr>
        <w:spacing w:line="288" w:lineRule="auto"/>
        <w:ind w:left="-360" w:firstLine="360"/>
        <w:jc w:val="center"/>
      </w:pPr>
    </w:p>
    <w:p w14:paraId="48D6411A" w14:textId="2B2678A5" w:rsidR="004D5CCF" w:rsidRPr="009F6C41" w:rsidRDefault="004D5CCF" w:rsidP="00AA5DE6">
      <w:pPr>
        <w:numPr>
          <w:ilvl w:val="0"/>
          <w:numId w:val="1"/>
        </w:numPr>
        <w:spacing w:line="288" w:lineRule="auto"/>
        <w:ind w:left="720" w:hanging="1440"/>
        <w:rPr>
          <w:b/>
        </w:rPr>
      </w:pPr>
      <w:r w:rsidRPr="009F6C41">
        <w:t>(1)</w:t>
      </w:r>
      <w:r w:rsidRPr="009F6C41">
        <w:tab/>
        <w:t xml:space="preserve">The Washington Utilities and Transportation Commission is an agency of the </w:t>
      </w:r>
      <w:r w:rsidR="002F0A1C" w:rsidRPr="009F6C41">
        <w:t>S</w:t>
      </w:r>
      <w:r w:rsidRPr="009F6C41">
        <w:t xml:space="preserve">tate of Washington vested by statute with the authority to regulate the rates, rules, regulations, practices, accounts, </w:t>
      </w:r>
      <w:proofErr w:type="gramStart"/>
      <w:r w:rsidRPr="009F6C41">
        <w:t>securities</w:t>
      </w:r>
      <w:proofErr w:type="gramEnd"/>
      <w:r w:rsidRPr="009F6C41">
        <w:t>, transfers of property and affiliated interests of public service companies, including electric</w:t>
      </w:r>
      <w:r w:rsidRPr="009F6C41">
        <w:rPr>
          <w:b/>
        </w:rPr>
        <w:t xml:space="preserve"> </w:t>
      </w:r>
      <w:r w:rsidRPr="009F6C41">
        <w:t xml:space="preserve">companies.  </w:t>
      </w:r>
      <w:hyperlink r:id="rId13" w:history="1">
        <w:r w:rsidRPr="00B03947">
          <w:rPr>
            <w:rStyle w:val="Hyperlink"/>
            <w:i/>
            <w:color w:val="auto"/>
          </w:rPr>
          <w:t>RCW 80.01.040</w:t>
        </w:r>
      </w:hyperlink>
      <w:r w:rsidRPr="00B03947">
        <w:rPr>
          <w:i/>
        </w:rPr>
        <w:t xml:space="preserve">, </w:t>
      </w:r>
      <w:hyperlink r:id="rId14" w:history="1">
        <w:r w:rsidRPr="00B03947">
          <w:rPr>
            <w:rStyle w:val="Hyperlink"/>
            <w:i/>
            <w:color w:val="auto"/>
          </w:rPr>
          <w:t>RCW 80.04</w:t>
        </w:r>
      </w:hyperlink>
      <w:r w:rsidRPr="00B03947">
        <w:rPr>
          <w:i/>
        </w:rPr>
        <w:t xml:space="preserve">, </w:t>
      </w:r>
      <w:hyperlink r:id="rId15" w:history="1">
        <w:r w:rsidRPr="00B03947">
          <w:rPr>
            <w:rStyle w:val="Hyperlink"/>
            <w:i/>
            <w:color w:val="auto"/>
          </w:rPr>
          <w:t>RCW 80.08</w:t>
        </w:r>
      </w:hyperlink>
      <w:hyperlink r:id="rId16" w:history="1">
        <w:r w:rsidRPr="00B03947">
          <w:rPr>
            <w:rStyle w:val="Hyperlink"/>
            <w:i/>
            <w:color w:val="auto"/>
          </w:rPr>
          <w:t>, RCW 80.12</w:t>
        </w:r>
      </w:hyperlink>
      <w:r w:rsidRPr="00B03947">
        <w:rPr>
          <w:i/>
        </w:rPr>
        <w:t xml:space="preserve">, </w:t>
      </w:r>
      <w:hyperlink r:id="rId17" w:history="1">
        <w:r w:rsidRPr="00B03947">
          <w:rPr>
            <w:rStyle w:val="Hyperlink"/>
            <w:i/>
            <w:color w:val="auto"/>
          </w:rPr>
          <w:t>RCW 80.16</w:t>
        </w:r>
      </w:hyperlink>
      <w:r w:rsidR="007F304E" w:rsidRPr="00B03947">
        <w:rPr>
          <w:i/>
        </w:rPr>
        <w:t>,</w:t>
      </w:r>
      <w:r w:rsidRPr="00B03947">
        <w:rPr>
          <w:i/>
        </w:rPr>
        <w:t xml:space="preserve"> RCW 80.28.</w:t>
      </w:r>
    </w:p>
    <w:p w14:paraId="48D6411B" w14:textId="77777777" w:rsidR="004D5CCF" w:rsidRPr="009F6C41" w:rsidRDefault="004D5CCF">
      <w:pPr>
        <w:spacing w:line="288" w:lineRule="auto"/>
        <w:ind w:left="-360"/>
        <w:rPr>
          <w:b/>
        </w:rPr>
      </w:pPr>
    </w:p>
    <w:p w14:paraId="48D6411C" w14:textId="41FC8CA6" w:rsidR="00075543" w:rsidRPr="009F6C41" w:rsidRDefault="00462E51">
      <w:pPr>
        <w:numPr>
          <w:ilvl w:val="0"/>
          <w:numId w:val="1"/>
        </w:numPr>
        <w:spacing w:line="288" w:lineRule="auto"/>
        <w:ind w:left="720" w:hanging="1440"/>
        <w:rPr>
          <w:b/>
        </w:rPr>
      </w:pPr>
      <w:r w:rsidRPr="009F6C41">
        <w:t>(</w:t>
      </w:r>
      <w:r w:rsidR="00EE7965" w:rsidRPr="009F6C41">
        <w:t>2</w:t>
      </w:r>
      <w:r w:rsidRPr="009F6C41">
        <w:t>)</w:t>
      </w:r>
      <w:r w:rsidRPr="009F6C41">
        <w:tab/>
      </w:r>
      <w:r w:rsidR="00075543" w:rsidRPr="009F6C41">
        <w:t xml:space="preserve">The Washington Utilities and Transportation Commission </w:t>
      </w:r>
      <w:proofErr w:type="gramStart"/>
      <w:r w:rsidR="00075543" w:rsidRPr="009F6C41">
        <w:t>has</w:t>
      </w:r>
      <w:proofErr w:type="gramEnd"/>
      <w:r w:rsidR="00075543" w:rsidRPr="009F6C41">
        <w:t xml:space="preserve"> authority to determine investor-owned utilities’ compliance with RCW 19.285</w:t>
      </w:r>
      <w:r w:rsidR="00AA5DE6" w:rsidRPr="009F6C41">
        <w:t>.040(1)</w:t>
      </w:r>
      <w:r w:rsidR="00075543" w:rsidRPr="009F6C41">
        <w:t xml:space="preserve"> </w:t>
      </w:r>
      <w:r w:rsidR="001C3302">
        <w:t>and</w:t>
      </w:r>
      <w:r w:rsidR="00075543" w:rsidRPr="009F6C41">
        <w:t xml:space="preserve"> </w:t>
      </w:r>
      <w:r w:rsidR="00FF4814">
        <w:t xml:space="preserve">   </w:t>
      </w:r>
      <w:r w:rsidR="00075543" w:rsidRPr="009F6C41">
        <w:t>RCW 19.285.060(6).  The Commission has authority to review and decide whether to approve investor-owned utility conservation targets.  The Commission may rely on its standard practice in exercising that authority.  RCW 19.285.040(1</w:t>
      </w:r>
      <w:proofErr w:type="gramStart"/>
      <w:r w:rsidR="00075543" w:rsidRPr="009F6C41">
        <w:t>)(</w:t>
      </w:r>
      <w:proofErr w:type="gramEnd"/>
      <w:r w:rsidR="00075543" w:rsidRPr="009F6C41">
        <w:t>e).</w:t>
      </w:r>
      <w:r w:rsidRPr="009F6C41">
        <w:t xml:space="preserve">  The Commission has adopted WAC 480</w:t>
      </w:r>
      <w:r w:rsidR="0002432A">
        <w:t>-</w:t>
      </w:r>
      <w:r w:rsidRPr="009F6C41">
        <w:t>109</w:t>
      </w:r>
      <w:r w:rsidR="0002432A">
        <w:t>-</w:t>
      </w:r>
      <w:r w:rsidRPr="009F6C41">
        <w:t>010 to implement RCW 19.285.040(1).</w:t>
      </w:r>
    </w:p>
    <w:p w14:paraId="48D6411E" w14:textId="77777777" w:rsidR="001B7212" w:rsidRPr="009F6C41" w:rsidRDefault="00FE3106">
      <w:pPr>
        <w:numPr>
          <w:ilvl w:val="0"/>
          <w:numId w:val="1"/>
        </w:numPr>
        <w:spacing w:line="288" w:lineRule="auto"/>
        <w:ind w:left="720" w:hanging="1440"/>
        <w:rPr>
          <w:b/>
        </w:rPr>
      </w:pPr>
      <w:r w:rsidRPr="009F6C41">
        <w:lastRenderedPageBreak/>
        <w:t>(</w:t>
      </w:r>
      <w:r w:rsidR="00EE7965" w:rsidRPr="009F6C41">
        <w:t>3</w:t>
      </w:r>
      <w:r w:rsidRPr="009F6C41">
        <w:t>)</w:t>
      </w:r>
      <w:r w:rsidRPr="009F6C41">
        <w:tab/>
      </w:r>
      <w:proofErr w:type="spellStart"/>
      <w:r w:rsidR="00A322F2" w:rsidRPr="009F6C41">
        <w:t>Avista</w:t>
      </w:r>
      <w:proofErr w:type="spellEnd"/>
      <w:r w:rsidR="004D5CCF" w:rsidRPr="009F6C41">
        <w:t xml:space="preserve"> is an</w:t>
      </w:r>
      <w:r w:rsidR="004D5CCF" w:rsidRPr="009F6C41">
        <w:rPr>
          <w:b/>
        </w:rPr>
        <w:t xml:space="preserve"> </w:t>
      </w:r>
      <w:r w:rsidR="004D5CCF" w:rsidRPr="009F6C41">
        <w:t>electric company and a public service company subject to Commission jurisdiction.</w:t>
      </w:r>
      <w:r w:rsidRPr="009F6C41">
        <w:t xml:space="preserve">  </w:t>
      </w:r>
      <w:proofErr w:type="spellStart"/>
      <w:r w:rsidRPr="009F6C41">
        <w:t>Avista</w:t>
      </w:r>
      <w:proofErr w:type="spellEnd"/>
      <w:r w:rsidRPr="009F6C41">
        <w:t xml:space="preserve"> is a qualifying investor-owned electric utility under RCW 19.285.030.</w:t>
      </w:r>
    </w:p>
    <w:p w14:paraId="48D6411F" w14:textId="77777777" w:rsidR="001B7212" w:rsidRPr="009F6C41" w:rsidRDefault="001B7212" w:rsidP="001B7212">
      <w:pPr>
        <w:spacing w:line="288" w:lineRule="auto"/>
        <w:rPr>
          <w:b/>
        </w:rPr>
      </w:pPr>
    </w:p>
    <w:p w14:paraId="48D64120" w14:textId="10AC9420" w:rsidR="004D5CCF" w:rsidRPr="009F6C41" w:rsidRDefault="001B7212">
      <w:pPr>
        <w:numPr>
          <w:ilvl w:val="0"/>
          <w:numId w:val="1"/>
        </w:numPr>
        <w:spacing w:line="288" w:lineRule="auto"/>
        <w:ind w:left="720" w:hanging="1440"/>
        <w:rPr>
          <w:b/>
        </w:rPr>
      </w:pPr>
      <w:r w:rsidRPr="009F6C41">
        <w:t>(</w:t>
      </w:r>
      <w:r w:rsidR="00EE7965" w:rsidRPr="009F6C41">
        <w:t>4</w:t>
      </w:r>
      <w:r w:rsidRPr="009F6C41">
        <w:t>)</w:t>
      </w:r>
      <w:r w:rsidRPr="009F6C41">
        <w:tab/>
      </w:r>
      <w:r w:rsidR="00EE3936" w:rsidRPr="009F6C41">
        <w:t>In accordance with Order 01 in Docket UE</w:t>
      </w:r>
      <w:r w:rsidR="001C3302">
        <w:t>-</w:t>
      </w:r>
      <w:r w:rsidR="00EE3936" w:rsidRPr="009F6C41">
        <w:t xml:space="preserve">100176, </w:t>
      </w:r>
      <w:proofErr w:type="spellStart"/>
      <w:r w:rsidR="00462E51" w:rsidRPr="009F6C41">
        <w:t>Avista</w:t>
      </w:r>
      <w:proofErr w:type="spellEnd"/>
      <w:r w:rsidR="00462E51" w:rsidRPr="009F6C41">
        <w:t xml:space="preserve"> </w:t>
      </w:r>
      <w:r w:rsidR="006E459C" w:rsidRPr="009F6C41">
        <w:t xml:space="preserve">timely identified its </w:t>
      </w:r>
      <w:r w:rsidR="00EE3936" w:rsidRPr="009F6C41">
        <w:t xml:space="preserve">2012-2021 </w:t>
      </w:r>
      <w:r w:rsidR="006E459C" w:rsidRPr="009F6C41">
        <w:t xml:space="preserve">ten-year achievable conservation potential and </w:t>
      </w:r>
      <w:r w:rsidR="00EE3936" w:rsidRPr="009F6C41">
        <w:t xml:space="preserve">2012-2013 </w:t>
      </w:r>
      <w:r w:rsidR="006E459C" w:rsidRPr="009F6C41">
        <w:t xml:space="preserve">biennial conservation target, and </w:t>
      </w:r>
      <w:r w:rsidR="00F90891" w:rsidRPr="009F6C41">
        <w:t xml:space="preserve">timely </w:t>
      </w:r>
      <w:r w:rsidR="00462E51" w:rsidRPr="009F6C41">
        <w:t xml:space="preserve">submitted a </w:t>
      </w:r>
      <w:r w:rsidR="00507FC7" w:rsidRPr="009F6C41">
        <w:t xml:space="preserve">report, entitled “2012-2013 </w:t>
      </w:r>
      <w:r w:rsidR="00462E51" w:rsidRPr="009F6C41">
        <w:t xml:space="preserve">Biennial Conservation </w:t>
      </w:r>
      <w:r w:rsidR="00507FC7" w:rsidRPr="009F6C41">
        <w:t xml:space="preserve">Plan of </w:t>
      </w:r>
      <w:proofErr w:type="spellStart"/>
      <w:r w:rsidR="00507FC7" w:rsidRPr="009F6C41">
        <w:t>Avista</w:t>
      </w:r>
      <w:proofErr w:type="spellEnd"/>
      <w:r w:rsidR="00507FC7" w:rsidRPr="009F6C41">
        <w:t xml:space="preserve"> Corporation,” </w:t>
      </w:r>
      <w:r w:rsidR="00462E51" w:rsidRPr="009F6C41">
        <w:t>to the Commission under WAC 480</w:t>
      </w:r>
      <w:r w:rsidR="0002432A">
        <w:t>-</w:t>
      </w:r>
      <w:r w:rsidR="00462E51" w:rsidRPr="009F6C41">
        <w:t>109</w:t>
      </w:r>
      <w:r w:rsidR="0002432A">
        <w:t>-</w:t>
      </w:r>
      <w:r w:rsidR="00462E51" w:rsidRPr="009F6C41">
        <w:t>010.</w:t>
      </w:r>
      <w:r w:rsidR="00507FC7" w:rsidRPr="009F6C41">
        <w:t xml:space="preserve">  </w:t>
      </w:r>
      <w:proofErr w:type="spellStart"/>
      <w:r w:rsidR="00507FC7" w:rsidRPr="009F6C41">
        <w:t>Avista</w:t>
      </w:r>
      <w:proofErr w:type="spellEnd"/>
      <w:r w:rsidR="00507FC7" w:rsidRPr="009F6C41">
        <w:t xml:space="preserve"> used its 2011 electric Integrated Resource Plan as the basis for its 2012-2013 biennial acquisition target range.</w:t>
      </w:r>
    </w:p>
    <w:p w14:paraId="48D64121" w14:textId="77777777" w:rsidR="00E476A1" w:rsidRPr="009F6C41" w:rsidRDefault="00E476A1" w:rsidP="006B7187">
      <w:pPr>
        <w:spacing w:line="288" w:lineRule="auto"/>
        <w:rPr>
          <w:b/>
        </w:rPr>
      </w:pPr>
    </w:p>
    <w:p w14:paraId="48D64122" w14:textId="7F203A72" w:rsidR="00A47E22" w:rsidRPr="009F6C41" w:rsidRDefault="00A47E22" w:rsidP="00A47E22">
      <w:pPr>
        <w:numPr>
          <w:ilvl w:val="0"/>
          <w:numId w:val="1"/>
        </w:numPr>
        <w:spacing w:line="288" w:lineRule="auto"/>
        <w:ind w:left="720" w:hanging="1440"/>
      </w:pPr>
      <w:r w:rsidRPr="009F6C41">
        <w:t>(5)</w:t>
      </w:r>
      <w:r w:rsidRPr="009F6C41">
        <w:tab/>
      </w:r>
      <w:proofErr w:type="spellStart"/>
      <w:r w:rsidRPr="009F6C41">
        <w:t>Avista</w:t>
      </w:r>
      <w:proofErr w:type="spellEnd"/>
      <w:r w:rsidRPr="009F6C41">
        <w:t xml:space="preserve"> has satisfied the Staff and public participation requirements of WAC 480</w:t>
      </w:r>
      <w:r w:rsidR="002F0A1C" w:rsidRPr="009F6C41">
        <w:t>-</w:t>
      </w:r>
      <w:r w:rsidRPr="009F6C41">
        <w:t>109</w:t>
      </w:r>
      <w:r w:rsidR="002F0A1C" w:rsidRPr="009F6C41">
        <w:t>-</w:t>
      </w:r>
      <w:r w:rsidRPr="009F6C41">
        <w:t>010(3) and Order 01 in Docket UE</w:t>
      </w:r>
      <w:r w:rsidR="002F0A1C" w:rsidRPr="009F6C41">
        <w:t>-</w:t>
      </w:r>
      <w:r w:rsidRPr="009F6C41">
        <w:t>100176 in developing its 2012-2021 ten-year conservation potential and 2012-2013 biennial conservation target.</w:t>
      </w:r>
    </w:p>
    <w:p w14:paraId="48D64123" w14:textId="77777777" w:rsidR="00A47E22" w:rsidRPr="009F6C41" w:rsidRDefault="00A47E22" w:rsidP="00A47E22">
      <w:pPr>
        <w:spacing w:line="288" w:lineRule="auto"/>
      </w:pPr>
    </w:p>
    <w:p w14:paraId="48D64124" w14:textId="755D95E0" w:rsidR="004D5CCF" w:rsidRPr="009F6C41" w:rsidRDefault="004D5CCF" w:rsidP="00A47E22">
      <w:pPr>
        <w:numPr>
          <w:ilvl w:val="0"/>
          <w:numId w:val="1"/>
        </w:numPr>
        <w:spacing w:line="288" w:lineRule="auto"/>
        <w:ind w:left="720" w:hanging="1440"/>
      </w:pPr>
      <w:r w:rsidRPr="009F6C41">
        <w:t>(</w:t>
      </w:r>
      <w:r w:rsidR="00A47E22" w:rsidRPr="009F6C41">
        <w:t>6</w:t>
      </w:r>
      <w:r w:rsidRPr="009F6C41">
        <w:t>)</w:t>
      </w:r>
      <w:r w:rsidRPr="009F6C41">
        <w:tab/>
        <w:t xml:space="preserve">After reviewing </w:t>
      </w:r>
      <w:proofErr w:type="spellStart"/>
      <w:r w:rsidR="00A322F2" w:rsidRPr="009F6C41">
        <w:t>Avista</w:t>
      </w:r>
      <w:r w:rsidRPr="009F6C41">
        <w:t>’s</w:t>
      </w:r>
      <w:proofErr w:type="spellEnd"/>
      <w:r w:rsidRPr="009F6C41">
        <w:t xml:space="preserve"> </w:t>
      </w:r>
      <w:r w:rsidR="00AD4E55" w:rsidRPr="009F6C41">
        <w:t xml:space="preserve">2012-2013 </w:t>
      </w:r>
      <w:r w:rsidR="007F304E" w:rsidRPr="009F6C41">
        <w:t xml:space="preserve">Biennial Conservation </w:t>
      </w:r>
      <w:r w:rsidR="00AD4E55" w:rsidRPr="009F6C41">
        <w:t xml:space="preserve">Plan </w:t>
      </w:r>
      <w:r w:rsidRPr="009F6C41">
        <w:t xml:space="preserve">filed on </w:t>
      </w:r>
      <w:r w:rsidR="00AA1FF5" w:rsidRPr="009F6C41">
        <w:t>November 1, 2011</w:t>
      </w:r>
      <w:r w:rsidRPr="009F6C41">
        <w:t>, and giving due consideration to all relevant matters and for good cause shown, the Commission finds it is in the public interest to approve</w:t>
      </w:r>
      <w:r w:rsidR="007F304E" w:rsidRPr="009F6C41">
        <w:t xml:space="preserve"> with conditions</w:t>
      </w:r>
      <w:r w:rsidRPr="009F6C41">
        <w:t xml:space="preserve"> </w:t>
      </w:r>
      <w:proofErr w:type="spellStart"/>
      <w:r w:rsidR="00A322F2" w:rsidRPr="009F6C41">
        <w:t>Avista</w:t>
      </w:r>
      <w:r w:rsidRPr="009F6C41">
        <w:t>’s</w:t>
      </w:r>
      <w:proofErr w:type="spellEnd"/>
      <w:r w:rsidRPr="009F6C41">
        <w:t xml:space="preserve"> </w:t>
      </w:r>
      <w:r w:rsidR="007F304E" w:rsidRPr="009F6C41">
        <w:t xml:space="preserve">Ten-Year </w:t>
      </w:r>
      <w:r w:rsidR="003E0ACD" w:rsidRPr="009F6C41">
        <w:t xml:space="preserve">Achievable </w:t>
      </w:r>
      <w:r w:rsidR="007F304E" w:rsidRPr="009F6C41">
        <w:t>Conservation Potential and Biennial Conservation Target</w:t>
      </w:r>
      <w:r w:rsidR="00A8543A" w:rsidRPr="009F6C41">
        <w:t xml:space="preserve"> identified in the Company’s </w:t>
      </w:r>
      <w:r w:rsidR="00AD4E55" w:rsidRPr="009F6C41">
        <w:t>Biennial Conservation Plan</w:t>
      </w:r>
      <w:r w:rsidRPr="009F6C41">
        <w:t xml:space="preserve">, as authorized by </w:t>
      </w:r>
      <w:r w:rsidR="00A8543A" w:rsidRPr="009F6C41">
        <w:t>RCW 19.285.040(1</w:t>
      </w:r>
      <w:proofErr w:type="gramStart"/>
      <w:r w:rsidR="00A8543A" w:rsidRPr="009F6C41">
        <w:t>)(</w:t>
      </w:r>
      <w:proofErr w:type="gramEnd"/>
      <w:r w:rsidR="00A8543A" w:rsidRPr="009F6C41">
        <w:t xml:space="preserve">e) and </w:t>
      </w:r>
      <w:r w:rsidRPr="009F6C41">
        <w:t>WAC</w:t>
      </w:r>
      <w:r w:rsidR="001C3302">
        <w:t xml:space="preserve"> </w:t>
      </w:r>
      <w:r w:rsidR="004A0E4B" w:rsidRPr="009F6C41">
        <w:t>480</w:t>
      </w:r>
      <w:r w:rsidR="0002432A">
        <w:t>-</w:t>
      </w:r>
      <w:r w:rsidR="004A0E4B" w:rsidRPr="009F6C41">
        <w:t>109</w:t>
      </w:r>
      <w:r w:rsidR="0002432A">
        <w:t>-</w:t>
      </w:r>
      <w:r w:rsidR="00A8543A" w:rsidRPr="009F6C41">
        <w:t>010(4)</w:t>
      </w:r>
      <w:r w:rsidRPr="009F6C41">
        <w:t xml:space="preserve">. </w:t>
      </w:r>
    </w:p>
    <w:p w14:paraId="48D64125" w14:textId="77777777" w:rsidR="00AD4E55" w:rsidRPr="009F6C41" w:rsidRDefault="00AD4E55" w:rsidP="00AD4E55">
      <w:pPr>
        <w:pStyle w:val="ListParagraph"/>
        <w:ind w:left="0"/>
      </w:pPr>
    </w:p>
    <w:p w14:paraId="48D64126" w14:textId="6C89BC95" w:rsidR="00AD4E55" w:rsidRPr="009F6C41" w:rsidRDefault="00AD4E55" w:rsidP="00A47E22">
      <w:pPr>
        <w:numPr>
          <w:ilvl w:val="0"/>
          <w:numId w:val="1"/>
        </w:numPr>
        <w:spacing w:line="288" w:lineRule="auto"/>
        <w:ind w:left="720" w:hanging="1440"/>
      </w:pPr>
      <w:r w:rsidRPr="009F6C41">
        <w:t>(7)</w:t>
      </w:r>
      <w:r w:rsidRPr="009F6C41">
        <w:tab/>
      </w:r>
      <w:r w:rsidR="00A47E22" w:rsidRPr="009F6C41">
        <w:t xml:space="preserve">The 2012-2021 ten-year achievable conservation potential that </w:t>
      </w:r>
      <w:proofErr w:type="spellStart"/>
      <w:r w:rsidR="00A47E22" w:rsidRPr="009F6C41">
        <w:t>Avista</w:t>
      </w:r>
      <w:proofErr w:type="spellEnd"/>
      <w:r w:rsidR="00A47E22" w:rsidRPr="009F6C41">
        <w:t xml:space="preserve"> identified is consistent with RCW 19.285.040(1) and WAC 480</w:t>
      </w:r>
      <w:r w:rsidR="002F0A1C" w:rsidRPr="009F6C41">
        <w:t>-</w:t>
      </w:r>
      <w:r w:rsidR="00A47E22" w:rsidRPr="009F6C41">
        <w:t>109</w:t>
      </w:r>
      <w:r w:rsidR="002F0A1C" w:rsidRPr="009F6C41">
        <w:t>-</w:t>
      </w:r>
      <w:r w:rsidR="00A47E22" w:rsidRPr="009F6C41">
        <w:t xml:space="preserve">010(1).  The 2012-2013 biennial conservation </w:t>
      </w:r>
      <w:proofErr w:type="gramStart"/>
      <w:r w:rsidR="00A47E22" w:rsidRPr="009F6C41">
        <w:t>target</w:t>
      </w:r>
      <w:proofErr w:type="gramEnd"/>
      <w:r w:rsidR="00A47E22" w:rsidRPr="009F6C41">
        <w:t xml:space="preserve"> that </w:t>
      </w:r>
      <w:proofErr w:type="spellStart"/>
      <w:r w:rsidR="00A47E22" w:rsidRPr="009F6C41">
        <w:t>Avista</w:t>
      </w:r>
      <w:proofErr w:type="spellEnd"/>
      <w:r w:rsidR="00A47E22" w:rsidRPr="009F6C41">
        <w:t xml:space="preserve"> established is consistent with RCW 19.285.040(1) and WAC 480</w:t>
      </w:r>
      <w:r w:rsidR="002F0A1C" w:rsidRPr="009F6C41">
        <w:t>-</w:t>
      </w:r>
      <w:r w:rsidR="00A47E22" w:rsidRPr="009F6C41">
        <w:t>109</w:t>
      </w:r>
      <w:r w:rsidR="002F0A1C" w:rsidRPr="009F6C41">
        <w:t>-</w:t>
      </w:r>
      <w:r w:rsidR="00A47E22" w:rsidRPr="009F6C41">
        <w:t xml:space="preserve">010(2).  </w:t>
      </w:r>
      <w:proofErr w:type="spellStart"/>
      <w:r w:rsidRPr="009F6C41">
        <w:t>Avista</w:t>
      </w:r>
      <w:r w:rsidR="00A47E22" w:rsidRPr="009F6C41">
        <w:t>’s</w:t>
      </w:r>
      <w:proofErr w:type="spellEnd"/>
      <w:r w:rsidR="00A47E22" w:rsidRPr="009F6C41">
        <w:t xml:space="preserve"> 2012-2021 ten-year achievable conservation potential of 600,653 to 1,181,544 megawatt-hours, and </w:t>
      </w:r>
      <w:proofErr w:type="spellStart"/>
      <w:r w:rsidR="00A47E22" w:rsidRPr="009F6C41">
        <w:t>Avista’s</w:t>
      </w:r>
      <w:proofErr w:type="spellEnd"/>
      <w:r w:rsidR="00A47E22" w:rsidRPr="009F6C41">
        <w:t xml:space="preserve"> 2012-2013 biennial conservation target of 108,589 to 197,557 megawatt-hours, are appropriate</w:t>
      </w:r>
      <w:r w:rsidR="00B647EC">
        <w:t>,</w:t>
      </w:r>
      <w:r w:rsidR="00A47E22" w:rsidRPr="009F6C41">
        <w:t xml:space="preserve"> subject to the Conditions described in this Order</w:t>
      </w:r>
      <w:r w:rsidRPr="009F6C41">
        <w:t>.</w:t>
      </w:r>
    </w:p>
    <w:p w14:paraId="48D64127" w14:textId="77777777" w:rsidR="00AD4E55" w:rsidRPr="009F6C41" w:rsidRDefault="00AD4E55" w:rsidP="00AD4E55">
      <w:pPr>
        <w:spacing w:line="288" w:lineRule="auto"/>
      </w:pPr>
    </w:p>
    <w:p w14:paraId="48D64128" w14:textId="3A8F7AB1" w:rsidR="00B51CDD" w:rsidRPr="009F6C41" w:rsidRDefault="00686930" w:rsidP="00B1140A">
      <w:pPr>
        <w:numPr>
          <w:ilvl w:val="0"/>
          <w:numId w:val="1"/>
        </w:numPr>
        <w:spacing w:line="288" w:lineRule="auto"/>
        <w:ind w:left="720" w:hanging="1440"/>
      </w:pPr>
      <w:r w:rsidRPr="009F6C41">
        <w:t>(8)</w:t>
      </w:r>
      <w:r w:rsidR="00462E51" w:rsidRPr="009F6C41">
        <w:tab/>
      </w:r>
      <w:r w:rsidR="005F03E6" w:rsidRPr="009F6C41">
        <w:t xml:space="preserve">On August 8, 2011, the Commission issued Order </w:t>
      </w:r>
      <w:r w:rsidR="001C3302">
        <w:t>0</w:t>
      </w:r>
      <w:r w:rsidR="005F03E6" w:rsidRPr="009F6C41">
        <w:t xml:space="preserve">5 in Dockets UE-110876 and UG-110877 granting a joint motion for clarification on forum for resolution of </w:t>
      </w:r>
      <w:r w:rsidR="009E0A34" w:rsidRPr="009F6C41">
        <w:t>Demand Side Management (DSM)</w:t>
      </w:r>
      <w:r w:rsidR="005F03E6" w:rsidRPr="009F6C41">
        <w:t xml:space="preserve"> prudence.</w:t>
      </w:r>
      <w:r w:rsidR="00F7530C" w:rsidRPr="009F6C41">
        <w:t xml:space="preserve">  Nothing in this order modifies</w:t>
      </w:r>
      <w:r w:rsidR="001972D3" w:rsidRPr="009F6C41">
        <w:t xml:space="preserve"> Order </w:t>
      </w:r>
      <w:r w:rsidR="001C3302">
        <w:t>0</w:t>
      </w:r>
      <w:r w:rsidR="001972D3" w:rsidRPr="009F6C41">
        <w:t xml:space="preserve">5 in Dockets UE-110876 and UG-110877. </w:t>
      </w:r>
      <w:r w:rsidR="00F7530C" w:rsidRPr="009F6C41">
        <w:t xml:space="preserve"> </w:t>
      </w:r>
    </w:p>
    <w:p w14:paraId="48D64129" w14:textId="77777777" w:rsidR="00686930" w:rsidRPr="009F6C41" w:rsidRDefault="00686930" w:rsidP="00B1140A">
      <w:pPr>
        <w:pStyle w:val="ListParagraph"/>
      </w:pPr>
    </w:p>
    <w:p w14:paraId="48D6412A" w14:textId="52382D7B" w:rsidR="00462E51" w:rsidRPr="009F6C41" w:rsidRDefault="00B51CDD" w:rsidP="00AD4E55">
      <w:pPr>
        <w:numPr>
          <w:ilvl w:val="0"/>
          <w:numId w:val="1"/>
        </w:numPr>
        <w:spacing w:line="288" w:lineRule="auto"/>
        <w:ind w:left="720" w:hanging="1440"/>
        <w:rPr>
          <w:b/>
        </w:rPr>
      </w:pPr>
      <w:r w:rsidRPr="009F6C41">
        <w:lastRenderedPageBreak/>
        <w:t>(</w:t>
      </w:r>
      <w:r w:rsidR="00686930" w:rsidRPr="009F6C41">
        <w:t>9</w:t>
      </w:r>
      <w:r w:rsidRPr="009F6C41">
        <w:t>)</w:t>
      </w:r>
      <w:r w:rsidRPr="009F6C41">
        <w:tab/>
      </w:r>
      <w:r w:rsidR="00462E51" w:rsidRPr="009F6C41">
        <w:t xml:space="preserve">This matter </w:t>
      </w:r>
      <w:r w:rsidR="00B647EC">
        <w:t xml:space="preserve">originally </w:t>
      </w:r>
      <w:r w:rsidR="00462E51" w:rsidRPr="009F6C41">
        <w:t xml:space="preserve">came before the Commission at its regularly-scheduled meeting on </w:t>
      </w:r>
      <w:r w:rsidR="00AA1FF5" w:rsidRPr="009F6C41">
        <w:t>December 15, 2012.</w:t>
      </w:r>
      <w:r w:rsidR="00462E51" w:rsidRPr="009F6C41">
        <w:t xml:space="preserve">  </w:t>
      </w:r>
      <w:r w:rsidR="00B647EC">
        <w:t xml:space="preserve">The Commission revisited this matter </w:t>
      </w:r>
      <w:r w:rsidR="00462E51" w:rsidRPr="009F6C41">
        <w:t xml:space="preserve">at its regularly-scheduled meeting on </w:t>
      </w:r>
      <w:r w:rsidR="00646015" w:rsidRPr="009F6C41">
        <w:t>February 10, 2012</w:t>
      </w:r>
      <w:r w:rsidR="00462E51" w:rsidRPr="009F6C41">
        <w:t>.</w:t>
      </w:r>
    </w:p>
    <w:p w14:paraId="48D6412B" w14:textId="77777777" w:rsidR="004D5CCF" w:rsidRPr="009F6C41" w:rsidRDefault="004D5CCF">
      <w:pPr>
        <w:spacing w:line="288" w:lineRule="auto"/>
        <w:ind w:left="-720"/>
        <w:rPr>
          <w:b/>
        </w:rPr>
      </w:pPr>
    </w:p>
    <w:p w14:paraId="48D6412C" w14:textId="77777777" w:rsidR="004D5CCF" w:rsidRPr="009F6C41" w:rsidRDefault="004D5CCF">
      <w:pPr>
        <w:spacing w:line="288" w:lineRule="auto"/>
        <w:jc w:val="center"/>
        <w:rPr>
          <w:b/>
        </w:rPr>
      </w:pPr>
      <w:r w:rsidRPr="009F6C41">
        <w:rPr>
          <w:b/>
        </w:rPr>
        <w:t>ORDER</w:t>
      </w:r>
    </w:p>
    <w:p w14:paraId="48D6412D" w14:textId="77777777" w:rsidR="004D5CCF" w:rsidRPr="009F6C41" w:rsidRDefault="004D5CCF">
      <w:pPr>
        <w:spacing w:line="288" w:lineRule="auto"/>
        <w:jc w:val="center"/>
        <w:rPr>
          <w:b/>
        </w:rPr>
      </w:pPr>
    </w:p>
    <w:p w14:paraId="48D6412E" w14:textId="77777777" w:rsidR="004D5CCF" w:rsidRPr="009F6C41" w:rsidRDefault="004D5CCF">
      <w:pPr>
        <w:spacing w:line="288" w:lineRule="auto"/>
        <w:rPr>
          <w:b/>
        </w:rPr>
      </w:pPr>
      <w:r w:rsidRPr="009F6C41">
        <w:rPr>
          <w:b/>
        </w:rPr>
        <w:t>THE COMMISSION ORDERS:</w:t>
      </w:r>
    </w:p>
    <w:p w14:paraId="48D6412F" w14:textId="77777777" w:rsidR="004D5CCF" w:rsidRPr="009F6C41" w:rsidRDefault="004D5CCF">
      <w:pPr>
        <w:spacing w:line="288" w:lineRule="auto"/>
        <w:jc w:val="center"/>
        <w:rPr>
          <w:b/>
        </w:rPr>
      </w:pPr>
    </w:p>
    <w:p w14:paraId="48D64130" w14:textId="77777777" w:rsidR="00DF3E44" w:rsidRPr="009F6C41" w:rsidRDefault="004D5CCF" w:rsidP="00A47E22">
      <w:pPr>
        <w:numPr>
          <w:ilvl w:val="0"/>
          <w:numId w:val="1"/>
        </w:numPr>
        <w:spacing w:line="288" w:lineRule="auto"/>
        <w:ind w:left="720" w:hanging="1440"/>
        <w:rPr>
          <w:b/>
        </w:rPr>
      </w:pPr>
      <w:r w:rsidRPr="009F6C41">
        <w:t>(1)</w:t>
      </w:r>
      <w:r w:rsidRPr="009F6C41">
        <w:tab/>
      </w:r>
      <w:proofErr w:type="spellStart"/>
      <w:r w:rsidR="00A70623" w:rsidRPr="009F6C41">
        <w:t>Avista</w:t>
      </w:r>
      <w:proofErr w:type="spellEnd"/>
      <w:r w:rsidR="00A70623" w:rsidRPr="009F6C41">
        <w:t xml:space="preserve"> Corporation’s</w:t>
      </w:r>
      <w:r w:rsidRPr="009F6C41">
        <w:t xml:space="preserve"> </w:t>
      </w:r>
      <w:r w:rsidR="00B51D35" w:rsidRPr="009F6C41">
        <w:t xml:space="preserve">2012-2021 </w:t>
      </w:r>
      <w:r w:rsidR="007F304E" w:rsidRPr="009F6C41">
        <w:t xml:space="preserve">Ten-Year </w:t>
      </w:r>
      <w:r w:rsidR="003E0ACD" w:rsidRPr="009F6C41">
        <w:t xml:space="preserve">Achievable </w:t>
      </w:r>
      <w:r w:rsidR="007F304E" w:rsidRPr="009F6C41">
        <w:t xml:space="preserve">Conservation Potential </w:t>
      </w:r>
      <w:r w:rsidR="00B51D35" w:rsidRPr="009F6C41">
        <w:t xml:space="preserve">range of 600,653 </w:t>
      </w:r>
      <w:r w:rsidR="00A47E22" w:rsidRPr="009F6C41">
        <w:t xml:space="preserve">to </w:t>
      </w:r>
      <w:r w:rsidR="00B51D35" w:rsidRPr="009F6C41">
        <w:t xml:space="preserve">1,181,544 </w:t>
      </w:r>
      <w:r w:rsidR="00A47E22" w:rsidRPr="009F6C41">
        <w:t>megawatt-hours</w:t>
      </w:r>
      <w:r w:rsidR="00B51D35" w:rsidRPr="009F6C41">
        <w:t xml:space="preserve"> </w:t>
      </w:r>
      <w:r w:rsidR="007F304E" w:rsidRPr="009F6C41">
        <w:t xml:space="preserve">and </w:t>
      </w:r>
      <w:r w:rsidR="00B51D35" w:rsidRPr="009F6C41">
        <w:t xml:space="preserve">2012-2013 </w:t>
      </w:r>
      <w:r w:rsidR="007F304E" w:rsidRPr="009F6C41">
        <w:t>Biennial Conservation Target</w:t>
      </w:r>
      <w:r w:rsidR="00B51D35" w:rsidRPr="009F6C41">
        <w:t xml:space="preserve"> range of 108,589 </w:t>
      </w:r>
      <w:r w:rsidR="00A47E22" w:rsidRPr="009F6C41">
        <w:t xml:space="preserve">to </w:t>
      </w:r>
      <w:r w:rsidR="00B51D35" w:rsidRPr="009F6C41">
        <w:t>197,557</w:t>
      </w:r>
      <w:r w:rsidRPr="009F6C41">
        <w:t xml:space="preserve"> </w:t>
      </w:r>
      <w:r w:rsidR="00A47E22" w:rsidRPr="009F6C41">
        <w:t xml:space="preserve">megawatt-hours </w:t>
      </w:r>
      <w:r w:rsidRPr="009F6C41">
        <w:t>are approved</w:t>
      </w:r>
      <w:r w:rsidR="00633936" w:rsidRPr="009F6C41">
        <w:t xml:space="preserve"> with conditions</w:t>
      </w:r>
      <w:r w:rsidRPr="009F6C41">
        <w:t xml:space="preserve"> pursuant to </w:t>
      </w:r>
      <w:r w:rsidR="00A8543A" w:rsidRPr="009F6C41">
        <w:t xml:space="preserve">RCW 19.285.040(1)(e) and </w:t>
      </w:r>
      <w:r w:rsidRPr="009F6C41">
        <w:t>WAC 480-10</w:t>
      </w:r>
      <w:r w:rsidR="007F304E" w:rsidRPr="009F6C41">
        <w:t>9</w:t>
      </w:r>
      <w:r w:rsidRPr="009F6C41">
        <w:t>-01</w:t>
      </w:r>
      <w:r w:rsidR="007F304E" w:rsidRPr="009F6C41">
        <w:t>0</w:t>
      </w:r>
      <w:r w:rsidRPr="009F6C41">
        <w:t>(</w:t>
      </w:r>
      <w:r w:rsidR="007F304E" w:rsidRPr="009F6C41">
        <w:t>4</w:t>
      </w:r>
      <w:r w:rsidRPr="009F6C41">
        <w:t>)(</w:t>
      </w:r>
      <w:r w:rsidR="007F304E" w:rsidRPr="009F6C41">
        <w:t>c</w:t>
      </w:r>
      <w:r w:rsidRPr="009F6C41">
        <w:t xml:space="preserve">). </w:t>
      </w:r>
      <w:r w:rsidR="00CA02CA" w:rsidRPr="009F6C41">
        <w:t xml:space="preserve"> This approval is subject to the Conditions described in Paragraphs (2) through (11) below.</w:t>
      </w:r>
    </w:p>
    <w:p w14:paraId="48D64131" w14:textId="77777777" w:rsidR="004D5CCF" w:rsidRPr="009F6C41" w:rsidRDefault="004D5CCF" w:rsidP="006B7187">
      <w:pPr>
        <w:spacing w:line="288" w:lineRule="auto"/>
        <w:ind w:left="720"/>
      </w:pPr>
    </w:p>
    <w:p w14:paraId="48D64132" w14:textId="352C7974" w:rsidR="00AA5DE6" w:rsidRPr="009F6C41" w:rsidRDefault="007F304E">
      <w:pPr>
        <w:numPr>
          <w:ilvl w:val="0"/>
          <w:numId w:val="1"/>
        </w:numPr>
        <w:spacing w:line="288" w:lineRule="auto"/>
        <w:ind w:left="720" w:hanging="1440"/>
      </w:pPr>
      <w:r w:rsidRPr="009F6C41">
        <w:t>(</w:t>
      </w:r>
      <w:r w:rsidR="006B7187" w:rsidRPr="009F6C41">
        <w:t>2</w:t>
      </w:r>
      <w:r w:rsidRPr="009F6C41">
        <w:t>)</w:t>
      </w:r>
      <w:r w:rsidR="004D5CCF" w:rsidRPr="009F6C41">
        <w:tab/>
      </w:r>
      <w:r w:rsidR="00FC546E" w:rsidRPr="009F6C41">
        <w:rPr>
          <w:b/>
        </w:rPr>
        <w:t>Company Retains Responsibility.</w:t>
      </w:r>
      <w:r w:rsidR="00FC546E" w:rsidRPr="009F6C41">
        <w:t xml:space="preserve">  Nothing in this Order relieve</w:t>
      </w:r>
      <w:r w:rsidR="00CA02CA" w:rsidRPr="009F6C41">
        <w:t>s</w:t>
      </w:r>
      <w:r w:rsidR="00FC546E" w:rsidRPr="009F6C41">
        <w:t xml:space="preserve"> </w:t>
      </w:r>
      <w:proofErr w:type="spellStart"/>
      <w:r w:rsidR="00FC546E" w:rsidRPr="009F6C41">
        <w:t>Avista</w:t>
      </w:r>
      <w:proofErr w:type="spellEnd"/>
      <w:r w:rsidR="009E0A34" w:rsidRPr="009F6C41">
        <w:t xml:space="preserve"> Corporation</w:t>
      </w:r>
      <w:r w:rsidR="00FC546E" w:rsidRPr="009F6C41">
        <w:t xml:space="preserve"> of </w:t>
      </w:r>
      <w:r w:rsidR="007D73B5">
        <w:t>its</w:t>
      </w:r>
      <w:r w:rsidR="00FC546E" w:rsidRPr="009F6C41">
        <w:t xml:space="preserve"> sole responsibility </w:t>
      </w:r>
      <w:r w:rsidR="007D73B5">
        <w:t>to comply</w:t>
      </w:r>
      <w:r w:rsidR="00FC546E" w:rsidRPr="009F6C41">
        <w:t xml:space="preserve"> with RCW 19.285, which requires </w:t>
      </w:r>
      <w:proofErr w:type="spellStart"/>
      <w:r w:rsidR="00FC546E" w:rsidRPr="009F6C41">
        <w:t>Avista</w:t>
      </w:r>
      <w:proofErr w:type="spellEnd"/>
      <w:r w:rsidR="00FC546E" w:rsidRPr="009F6C41">
        <w:t xml:space="preserve"> </w:t>
      </w:r>
      <w:r w:rsidR="009E0A34" w:rsidRPr="009F6C41">
        <w:t xml:space="preserve">Corporation </w:t>
      </w:r>
      <w:r w:rsidR="00FC546E" w:rsidRPr="009F6C41">
        <w:t xml:space="preserve">to use methodologies consistent with those used by the Pacific Northwest Electric Power and Conservation Planning Council </w:t>
      </w:r>
      <w:r w:rsidR="009E0A34" w:rsidRPr="009F6C41">
        <w:t>(Council</w:t>
      </w:r>
      <w:r w:rsidR="00CA02CA" w:rsidRPr="009F6C41">
        <w:t>)</w:t>
      </w:r>
      <w:r w:rsidR="00FC546E" w:rsidRPr="009F6C41">
        <w:t xml:space="preserve">.  </w:t>
      </w:r>
      <w:r w:rsidR="00CA02CA" w:rsidRPr="009F6C41">
        <w:t>Specifically, t</w:t>
      </w:r>
      <w:r w:rsidR="00FC546E" w:rsidRPr="009F6C41">
        <w:t xml:space="preserve">he </w:t>
      </w:r>
      <w:r w:rsidR="00CA02CA" w:rsidRPr="009F6C41">
        <w:t>C</w:t>
      </w:r>
      <w:r w:rsidR="00FC546E" w:rsidRPr="009F6C41">
        <w:t xml:space="preserve">onditions </w:t>
      </w:r>
      <w:r w:rsidR="005104A3" w:rsidRPr="009F6C41">
        <w:t xml:space="preserve">regarding </w:t>
      </w:r>
      <w:r w:rsidR="00CA02CA" w:rsidRPr="009F6C41">
        <w:t xml:space="preserve">the need for </w:t>
      </w:r>
      <w:r w:rsidR="00FC546E" w:rsidRPr="009F6C41">
        <w:t>a high degree of transparency, and communicat</w:t>
      </w:r>
      <w:r w:rsidR="005104A3" w:rsidRPr="009F6C41">
        <w:t>ion</w:t>
      </w:r>
      <w:r w:rsidR="00FC546E" w:rsidRPr="009F6C41">
        <w:t xml:space="preserve"> and consult</w:t>
      </w:r>
      <w:r w:rsidR="005104A3" w:rsidRPr="009F6C41">
        <w:t>ation</w:t>
      </w:r>
      <w:r w:rsidR="00FC546E" w:rsidRPr="009F6C41">
        <w:t xml:space="preserve"> with external stakeholders, diminish neither </w:t>
      </w:r>
      <w:proofErr w:type="spellStart"/>
      <w:r w:rsidR="00CA02CA" w:rsidRPr="009F6C41">
        <w:t>Avista</w:t>
      </w:r>
      <w:proofErr w:type="spellEnd"/>
      <w:r w:rsidR="009E0A34" w:rsidRPr="009F6C41">
        <w:t xml:space="preserve"> Corporation</w:t>
      </w:r>
      <w:r w:rsidR="00FC546E" w:rsidRPr="009F6C41">
        <w:t xml:space="preserve">’s operational authority nor its ultimate responsibility for meeting the biennial conservation target approved herein. </w:t>
      </w:r>
    </w:p>
    <w:p w14:paraId="48D64133" w14:textId="77777777" w:rsidR="007F5C0A" w:rsidRPr="009F6C41" w:rsidRDefault="007F5C0A" w:rsidP="007F5C0A">
      <w:pPr>
        <w:spacing w:line="288" w:lineRule="auto"/>
      </w:pPr>
    </w:p>
    <w:p w14:paraId="48D64134" w14:textId="77777777" w:rsidR="0082241A" w:rsidRDefault="007F5C0A">
      <w:pPr>
        <w:numPr>
          <w:ilvl w:val="0"/>
          <w:numId w:val="1"/>
        </w:numPr>
        <w:spacing w:line="288" w:lineRule="auto"/>
        <w:ind w:left="720" w:hanging="1440"/>
      </w:pPr>
      <w:r w:rsidRPr="009F6C41">
        <w:t>(</w:t>
      </w:r>
      <w:r w:rsidR="00341456" w:rsidRPr="009F6C41">
        <w:t>3</w:t>
      </w:r>
      <w:r w:rsidRPr="009F6C41">
        <w:t>)</w:t>
      </w:r>
      <w:r w:rsidRPr="009F6C41">
        <w:tab/>
      </w:r>
      <w:r w:rsidRPr="009F6C41">
        <w:rPr>
          <w:b/>
        </w:rPr>
        <w:t>Advisory Group</w:t>
      </w:r>
      <w:r w:rsidRPr="009F6C41">
        <w:t>.</w:t>
      </w:r>
    </w:p>
    <w:p w14:paraId="23DB426B" w14:textId="77777777" w:rsidR="00D64A3A" w:rsidRPr="009F6C41" w:rsidRDefault="00D64A3A" w:rsidP="00D64A3A">
      <w:pPr>
        <w:spacing w:line="288" w:lineRule="auto"/>
      </w:pPr>
    </w:p>
    <w:p w14:paraId="48D64135" w14:textId="794D8EF6" w:rsidR="007F5C0A" w:rsidRPr="009F6C41" w:rsidRDefault="0082241A" w:rsidP="0082241A">
      <w:pPr>
        <w:spacing w:line="288" w:lineRule="auto"/>
        <w:ind w:left="1440" w:hanging="720"/>
      </w:pPr>
      <w:r w:rsidRPr="009F6C41">
        <w:t>(a)</w:t>
      </w:r>
      <w:r w:rsidRPr="009F6C41">
        <w:tab/>
      </w:r>
      <w:proofErr w:type="spellStart"/>
      <w:r w:rsidR="007F5C0A" w:rsidRPr="009F6C41">
        <w:t>Avista</w:t>
      </w:r>
      <w:proofErr w:type="spellEnd"/>
      <w:r w:rsidR="007F5C0A" w:rsidRPr="009F6C41">
        <w:t xml:space="preserve"> </w:t>
      </w:r>
      <w:r w:rsidR="009E0A34" w:rsidRPr="009F6C41">
        <w:t xml:space="preserve">Corporation </w:t>
      </w:r>
      <w:r w:rsidR="00050651" w:rsidRPr="009F6C41">
        <w:t>must</w:t>
      </w:r>
      <w:r w:rsidR="007F5C0A" w:rsidRPr="009F6C41">
        <w:t xml:space="preserve"> maintain and use an external conservation </w:t>
      </w:r>
      <w:r w:rsidR="00744CC8" w:rsidRPr="009F6C41">
        <w:t>A</w:t>
      </w:r>
      <w:r w:rsidR="007F5C0A" w:rsidRPr="009F6C41">
        <w:t xml:space="preserve">dvisory </w:t>
      </w:r>
      <w:r w:rsidR="00744CC8" w:rsidRPr="009F6C41">
        <w:t>G</w:t>
      </w:r>
      <w:r w:rsidR="007F5C0A" w:rsidRPr="009F6C41">
        <w:t xml:space="preserve">roup of stakeholders to advise </w:t>
      </w:r>
      <w:proofErr w:type="spellStart"/>
      <w:r w:rsidR="009E0A34" w:rsidRPr="009F6C41">
        <w:t>Avista</w:t>
      </w:r>
      <w:proofErr w:type="spellEnd"/>
      <w:r w:rsidR="009E0A34" w:rsidRPr="009F6C41">
        <w:t xml:space="preserve"> Corporation</w:t>
      </w:r>
      <w:r w:rsidR="007F5C0A" w:rsidRPr="009F6C41">
        <w:t xml:space="preserve"> on the topics described in </w:t>
      </w:r>
      <w:r w:rsidR="00AE6A7C" w:rsidRPr="009F6C41">
        <w:t>subparagraphs</w:t>
      </w:r>
      <w:r w:rsidR="007F5C0A" w:rsidRPr="009F6C41">
        <w:t xml:space="preserve"> (</w:t>
      </w:r>
      <w:proofErr w:type="spellStart"/>
      <w:r w:rsidRPr="009F6C41">
        <w:t>i</w:t>
      </w:r>
      <w:proofErr w:type="spellEnd"/>
      <w:r w:rsidR="00C04929" w:rsidRPr="009F6C41">
        <w:t>) through (</w:t>
      </w:r>
      <w:r w:rsidR="001972D3" w:rsidRPr="009F6C41">
        <w:t>i</w:t>
      </w:r>
      <w:r w:rsidRPr="009F6C41">
        <w:t>x</w:t>
      </w:r>
      <w:r w:rsidR="007F5C0A" w:rsidRPr="009F6C41">
        <w:t xml:space="preserve">) below.  To meet this condition, </w:t>
      </w:r>
      <w:proofErr w:type="spellStart"/>
      <w:r w:rsidR="007F5C0A" w:rsidRPr="009F6C41">
        <w:t>Avista</w:t>
      </w:r>
      <w:proofErr w:type="spellEnd"/>
      <w:r w:rsidR="007F5C0A" w:rsidRPr="009F6C41">
        <w:t xml:space="preserve"> </w:t>
      </w:r>
      <w:r w:rsidR="009E0A34" w:rsidRPr="009F6C41">
        <w:t xml:space="preserve">Corporation </w:t>
      </w:r>
      <w:r w:rsidR="007F5C0A" w:rsidRPr="009F6C41">
        <w:t xml:space="preserve">may continue to use </w:t>
      </w:r>
      <w:r w:rsidR="00AA47FE" w:rsidRPr="009F6C41">
        <w:t>its</w:t>
      </w:r>
      <w:r w:rsidR="007F5C0A" w:rsidRPr="009F6C41">
        <w:t xml:space="preserve"> External Energy Efficiency Board </w:t>
      </w:r>
      <w:r w:rsidR="00744CC8" w:rsidRPr="009F6C41">
        <w:t>created</w:t>
      </w:r>
      <w:r w:rsidR="00AA47FE" w:rsidRPr="009F6C41">
        <w:t xml:space="preserve"> </w:t>
      </w:r>
      <w:r w:rsidR="009E0A34" w:rsidRPr="009F6C41">
        <w:t>under Docket UE-</w:t>
      </w:r>
      <w:r w:rsidR="007F5C0A" w:rsidRPr="009F6C41">
        <w:t>981126</w:t>
      </w:r>
      <w:r w:rsidR="00AA47FE" w:rsidRPr="009F6C41">
        <w:t xml:space="preserve">, and its Integrated Resource Planning Technical Advisory </w:t>
      </w:r>
      <w:r w:rsidR="009E0A34" w:rsidRPr="009F6C41">
        <w:t>Committee created under WAC 480-100-</w:t>
      </w:r>
      <w:r w:rsidR="00AA47FE" w:rsidRPr="009F6C41">
        <w:t>238</w:t>
      </w:r>
      <w:r w:rsidR="007F5C0A" w:rsidRPr="009F6C41">
        <w:t>.</w:t>
      </w:r>
      <w:r w:rsidR="00AE6A7C" w:rsidRPr="009F6C41">
        <w:t xml:space="preserve">  The Advisory Group shall advise on the following:</w:t>
      </w:r>
    </w:p>
    <w:p w14:paraId="48D64136" w14:textId="2F7272E5" w:rsidR="004D5CCF" w:rsidRPr="009F6C41" w:rsidRDefault="0082241A" w:rsidP="0082241A">
      <w:pPr>
        <w:spacing w:line="288" w:lineRule="auto"/>
        <w:ind w:left="2160" w:hanging="720"/>
      </w:pPr>
      <w:r w:rsidRPr="009F6C41">
        <w:t>(</w:t>
      </w:r>
      <w:proofErr w:type="spellStart"/>
      <w:r w:rsidRPr="009F6C41">
        <w:t>i</w:t>
      </w:r>
      <w:proofErr w:type="spellEnd"/>
      <w:r w:rsidR="00AA47FE" w:rsidRPr="009F6C41">
        <w:t>)</w:t>
      </w:r>
      <w:r w:rsidR="00AA47FE" w:rsidRPr="009F6C41">
        <w:tab/>
      </w:r>
      <w:r w:rsidR="00485D28" w:rsidRPr="009F6C41">
        <w:t xml:space="preserve">Development and modification of protocols to evaluate, measure, and verify </w:t>
      </w:r>
      <w:r w:rsidR="009B40A7" w:rsidRPr="009F6C41">
        <w:t>energy savings</w:t>
      </w:r>
      <w:r w:rsidR="00485D28" w:rsidRPr="009F6C41">
        <w:t xml:space="preserve"> in </w:t>
      </w:r>
      <w:proofErr w:type="spellStart"/>
      <w:r w:rsidR="00485D28" w:rsidRPr="009F6C41">
        <w:t>Avista</w:t>
      </w:r>
      <w:proofErr w:type="spellEnd"/>
      <w:r w:rsidR="009E0A34" w:rsidRPr="009F6C41">
        <w:t xml:space="preserve"> Corporation</w:t>
      </w:r>
      <w:r w:rsidR="00485D28" w:rsidRPr="009F6C41">
        <w:t>’s programs</w:t>
      </w:r>
      <w:r w:rsidR="009B40A7" w:rsidRPr="009F6C41">
        <w:t>.</w:t>
      </w:r>
    </w:p>
    <w:p w14:paraId="48D64137" w14:textId="37C2B0C4" w:rsidR="009B40A7" w:rsidRPr="009F6C41" w:rsidRDefault="0082241A" w:rsidP="0082241A">
      <w:pPr>
        <w:spacing w:line="288" w:lineRule="auto"/>
        <w:ind w:left="2160" w:hanging="720"/>
      </w:pPr>
      <w:r w:rsidRPr="009F6C41">
        <w:lastRenderedPageBreak/>
        <w:t>(ii</w:t>
      </w:r>
      <w:r w:rsidR="009B40A7" w:rsidRPr="009F6C41">
        <w:t>)</w:t>
      </w:r>
      <w:r w:rsidR="009B40A7" w:rsidRPr="009F6C41">
        <w:tab/>
      </w:r>
      <w:r w:rsidRPr="009F6C41">
        <w:t>Development of c</w:t>
      </w:r>
      <w:r w:rsidR="009B40A7" w:rsidRPr="009F6C41">
        <w:t>onservation potential assessments under RCW 19.285.040(1</w:t>
      </w:r>
      <w:proofErr w:type="gramStart"/>
      <w:r w:rsidR="009B40A7" w:rsidRPr="009F6C41">
        <w:t>)(</w:t>
      </w:r>
      <w:proofErr w:type="gramEnd"/>
      <w:r w:rsidR="009B40A7" w:rsidRPr="009F6C41">
        <w:t>a) and WAC 480</w:t>
      </w:r>
      <w:r w:rsidR="0002432A">
        <w:t>-</w:t>
      </w:r>
      <w:r w:rsidR="009B40A7" w:rsidRPr="009F6C41">
        <w:t>109</w:t>
      </w:r>
      <w:r w:rsidR="0002432A">
        <w:t>-</w:t>
      </w:r>
      <w:r w:rsidR="009B40A7" w:rsidRPr="009F6C41">
        <w:t>010(1).</w:t>
      </w:r>
    </w:p>
    <w:p w14:paraId="48D64138" w14:textId="54AE9AE0" w:rsidR="009B40A7" w:rsidRPr="009F6C41" w:rsidRDefault="0082241A" w:rsidP="0082241A">
      <w:pPr>
        <w:spacing w:line="288" w:lineRule="auto"/>
        <w:ind w:left="2160" w:hanging="720"/>
      </w:pPr>
      <w:r w:rsidRPr="009F6C41">
        <w:t>(iii</w:t>
      </w:r>
      <w:r w:rsidR="009B40A7" w:rsidRPr="009F6C41">
        <w:t>)</w:t>
      </w:r>
      <w:r w:rsidR="009B40A7" w:rsidRPr="009F6C41">
        <w:tab/>
        <w:t xml:space="preserve">Guidance </w:t>
      </w:r>
      <w:r w:rsidR="00341456" w:rsidRPr="009F6C41">
        <w:t xml:space="preserve">to </w:t>
      </w:r>
      <w:proofErr w:type="spellStart"/>
      <w:r w:rsidR="00341456" w:rsidRPr="009F6C41">
        <w:t>Avista</w:t>
      </w:r>
      <w:proofErr w:type="spellEnd"/>
      <w:r w:rsidR="009E0A34" w:rsidRPr="009F6C41">
        <w:t xml:space="preserve"> Corporation</w:t>
      </w:r>
      <w:r w:rsidR="00341456" w:rsidRPr="009F6C41">
        <w:t xml:space="preserve"> regarding</w:t>
      </w:r>
      <w:r w:rsidR="009B40A7" w:rsidRPr="009F6C41">
        <w:t xml:space="preserve"> methodology inputs and calculations for updating cost-effectiveness.</w:t>
      </w:r>
    </w:p>
    <w:p w14:paraId="48D64139" w14:textId="77777777" w:rsidR="009B40A7" w:rsidRPr="009F6C41" w:rsidRDefault="0082241A" w:rsidP="0082241A">
      <w:pPr>
        <w:spacing w:line="288" w:lineRule="auto"/>
        <w:ind w:left="2160" w:hanging="720"/>
      </w:pPr>
      <w:proofErr w:type="gramStart"/>
      <w:r w:rsidRPr="009F6C41">
        <w:t>(iv</w:t>
      </w:r>
      <w:r w:rsidR="009B40A7" w:rsidRPr="009F6C41">
        <w:t>)</w:t>
      </w:r>
      <w:r w:rsidR="009B40A7" w:rsidRPr="009F6C41">
        <w:tab/>
        <w:t>Review</w:t>
      </w:r>
      <w:proofErr w:type="gramEnd"/>
      <w:r w:rsidR="009B40A7" w:rsidRPr="009F6C41">
        <w:t xml:space="preserve"> of data sources and values used to update supply curves.</w:t>
      </w:r>
    </w:p>
    <w:p w14:paraId="48D6413A" w14:textId="77777777" w:rsidR="003171BE" w:rsidRPr="009F6C41" w:rsidRDefault="0082241A" w:rsidP="0082241A">
      <w:pPr>
        <w:spacing w:line="288" w:lineRule="auto"/>
        <w:ind w:left="2160" w:hanging="720"/>
      </w:pPr>
      <w:r w:rsidRPr="009F6C41">
        <w:t>(v</w:t>
      </w:r>
      <w:r w:rsidR="003171BE" w:rsidRPr="009F6C41">
        <w:t>)</w:t>
      </w:r>
      <w:r w:rsidR="003171BE" w:rsidRPr="009F6C41">
        <w:tab/>
        <w:t>Consideration of the need for tariff modifications or mid-course program corrections.</w:t>
      </w:r>
    </w:p>
    <w:p w14:paraId="48D6413B" w14:textId="77777777" w:rsidR="003171BE" w:rsidRPr="009F6C41" w:rsidRDefault="0082241A" w:rsidP="0082241A">
      <w:pPr>
        <w:spacing w:line="288" w:lineRule="auto"/>
        <w:ind w:left="2160" w:hanging="720"/>
      </w:pPr>
      <w:proofErr w:type="gramStart"/>
      <w:r w:rsidRPr="009F6C41">
        <w:t>(vi</w:t>
      </w:r>
      <w:r w:rsidR="003171BE" w:rsidRPr="009F6C41">
        <w:t>)</w:t>
      </w:r>
      <w:r w:rsidR="003171BE" w:rsidRPr="009F6C41">
        <w:tab/>
        <w:t>Review</w:t>
      </w:r>
      <w:proofErr w:type="gramEnd"/>
      <w:r w:rsidR="003171BE" w:rsidRPr="009F6C41">
        <w:t xml:space="preserve"> appropriate level of and planning for:</w:t>
      </w:r>
    </w:p>
    <w:p w14:paraId="48D6413C" w14:textId="77777777" w:rsidR="003171BE" w:rsidRPr="009F6C41" w:rsidRDefault="003171BE" w:rsidP="0082241A">
      <w:pPr>
        <w:spacing w:line="288" w:lineRule="auto"/>
        <w:ind w:left="2880" w:hanging="720"/>
      </w:pPr>
      <w:r w:rsidRPr="009F6C41">
        <w:t>(</w:t>
      </w:r>
      <w:r w:rsidR="00341456" w:rsidRPr="009F6C41">
        <w:t>1</w:t>
      </w:r>
      <w:r w:rsidRPr="009F6C41">
        <w:t>)</w:t>
      </w:r>
      <w:r w:rsidRPr="009F6C41">
        <w:tab/>
        <w:t>Marketing conservation programs.</w:t>
      </w:r>
    </w:p>
    <w:p w14:paraId="48D6413D" w14:textId="77777777" w:rsidR="003171BE" w:rsidRPr="009F6C41" w:rsidRDefault="003171BE" w:rsidP="0082241A">
      <w:pPr>
        <w:spacing w:line="288" w:lineRule="auto"/>
        <w:ind w:left="2880" w:hanging="720"/>
      </w:pPr>
      <w:r w:rsidRPr="009F6C41">
        <w:t>(</w:t>
      </w:r>
      <w:r w:rsidR="00341456" w:rsidRPr="009F6C41">
        <w:t>2</w:t>
      </w:r>
      <w:r w:rsidRPr="009F6C41">
        <w:t>)</w:t>
      </w:r>
      <w:r w:rsidRPr="009F6C41">
        <w:tab/>
        <w:t>Incentives to customers for measures and services.</w:t>
      </w:r>
    </w:p>
    <w:p w14:paraId="48D6413E" w14:textId="77777777" w:rsidR="003171BE" w:rsidRPr="009F6C41" w:rsidRDefault="003171BE" w:rsidP="0082241A">
      <w:pPr>
        <w:spacing w:line="288" w:lineRule="auto"/>
        <w:ind w:left="2160" w:hanging="720"/>
      </w:pPr>
      <w:r w:rsidRPr="009F6C41">
        <w:t>(</w:t>
      </w:r>
      <w:r w:rsidR="0082241A" w:rsidRPr="009F6C41">
        <w:t>vii</w:t>
      </w:r>
      <w:r w:rsidRPr="009F6C41">
        <w:t>)</w:t>
      </w:r>
      <w:r w:rsidRPr="009F6C41">
        <w:tab/>
        <w:t>Consideration of issues related to conservation programs for customers with limited income.</w:t>
      </w:r>
    </w:p>
    <w:p w14:paraId="48D6413F" w14:textId="77777777" w:rsidR="003171BE" w:rsidRPr="009F6C41" w:rsidRDefault="003171BE" w:rsidP="0082241A">
      <w:pPr>
        <w:spacing w:line="288" w:lineRule="auto"/>
        <w:ind w:left="2160" w:hanging="720"/>
      </w:pPr>
      <w:r w:rsidRPr="009F6C41">
        <w:t>(</w:t>
      </w:r>
      <w:r w:rsidR="0082241A" w:rsidRPr="009F6C41">
        <w:t>viii</w:t>
      </w:r>
      <w:r w:rsidRPr="009F6C41">
        <w:t>)</w:t>
      </w:r>
      <w:r w:rsidRPr="009F6C41">
        <w:tab/>
        <w:t>Compar</w:t>
      </w:r>
      <w:r w:rsidR="0082241A" w:rsidRPr="009F6C41">
        <w:t xml:space="preserve">ing </w:t>
      </w:r>
      <w:r w:rsidRPr="009F6C41">
        <w:t xml:space="preserve">program achievement </w:t>
      </w:r>
      <w:r w:rsidR="00341456" w:rsidRPr="009F6C41">
        <w:t xml:space="preserve">results </w:t>
      </w:r>
      <w:r w:rsidR="0082241A" w:rsidRPr="009F6C41">
        <w:t>with annual and biennial targets.</w:t>
      </w:r>
    </w:p>
    <w:p w14:paraId="48D64140" w14:textId="77777777" w:rsidR="0082241A" w:rsidRPr="009F6C41" w:rsidRDefault="0082241A" w:rsidP="0082241A">
      <w:pPr>
        <w:spacing w:line="288" w:lineRule="auto"/>
        <w:ind w:left="2160" w:hanging="720"/>
      </w:pPr>
      <w:r w:rsidRPr="009F6C41">
        <w:t>(ix)</w:t>
      </w:r>
      <w:r w:rsidRPr="009F6C41">
        <w:tab/>
        <w:t>Review of conservation program budgets and actual expenditures compared to budgets.</w:t>
      </w:r>
    </w:p>
    <w:p w14:paraId="48D64141" w14:textId="49785B7E" w:rsidR="009B40A7" w:rsidRPr="009F6C41" w:rsidRDefault="0082241A" w:rsidP="00AA47FE">
      <w:pPr>
        <w:spacing w:line="288" w:lineRule="auto"/>
        <w:ind w:left="1440" w:hanging="720"/>
      </w:pPr>
      <w:r w:rsidRPr="009F6C41">
        <w:t>(b)</w:t>
      </w:r>
      <w:r w:rsidRPr="009F6C41">
        <w:tab/>
      </w:r>
      <w:r w:rsidR="00AE6A7C" w:rsidRPr="009F6C41">
        <w:t xml:space="preserve">The Advisory Group should meet </w:t>
      </w:r>
      <w:r w:rsidRPr="009F6C41">
        <w:t xml:space="preserve">quarterly at a minimum.  </w:t>
      </w:r>
      <w:proofErr w:type="spellStart"/>
      <w:r w:rsidRPr="009F6C41">
        <w:t>Avista</w:t>
      </w:r>
      <w:proofErr w:type="spellEnd"/>
      <w:r w:rsidRPr="009F6C41">
        <w:t xml:space="preserve"> </w:t>
      </w:r>
      <w:r w:rsidR="009E0A34" w:rsidRPr="009F6C41">
        <w:t xml:space="preserve">Corporation </w:t>
      </w:r>
      <w:r w:rsidR="00A805E6" w:rsidRPr="009F6C41">
        <w:t>must</w:t>
      </w:r>
      <w:r w:rsidRPr="009F6C41">
        <w:t xml:space="preserve"> </w:t>
      </w:r>
      <w:r w:rsidR="00341456" w:rsidRPr="009F6C41">
        <w:t xml:space="preserve">permit any member to request an additional meeting of the Advisory Group with </w:t>
      </w:r>
      <w:r w:rsidRPr="009F6C41">
        <w:t>reasonable notice.</w:t>
      </w:r>
    </w:p>
    <w:p w14:paraId="48D64142" w14:textId="77777777" w:rsidR="00AA47FE" w:rsidRPr="009F6C41" w:rsidRDefault="00AA47FE">
      <w:pPr>
        <w:spacing w:line="288" w:lineRule="auto"/>
      </w:pPr>
    </w:p>
    <w:p w14:paraId="48D64143" w14:textId="77777777" w:rsidR="00BD2258" w:rsidRDefault="00341456" w:rsidP="00BD2258">
      <w:pPr>
        <w:numPr>
          <w:ilvl w:val="0"/>
          <w:numId w:val="1"/>
        </w:numPr>
        <w:spacing w:line="288" w:lineRule="auto"/>
        <w:ind w:left="720" w:hanging="1440"/>
      </w:pPr>
      <w:r w:rsidRPr="009F6C41">
        <w:t>(4</w:t>
      </w:r>
      <w:r w:rsidR="00BD2258" w:rsidRPr="009F6C41">
        <w:t>)</w:t>
      </w:r>
      <w:r w:rsidR="00BD2258" w:rsidRPr="009F6C41">
        <w:tab/>
      </w:r>
      <w:r w:rsidR="00BD2258" w:rsidRPr="009F6C41">
        <w:rPr>
          <w:b/>
        </w:rPr>
        <w:t>Annual Budgets and Energy Savings</w:t>
      </w:r>
      <w:r w:rsidR="00BD2258" w:rsidRPr="009F6C41">
        <w:t>.</w:t>
      </w:r>
    </w:p>
    <w:p w14:paraId="001F05CE" w14:textId="77777777" w:rsidR="00D64A3A" w:rsidRPr="009F6C41" w:rsidRDefault="00D64A3A" w:rsidP="00D64A3A">
      <w:pPr>
        <w:spacing w:line="288" w:lineRule="auto"/>
        <w:ind w:left="720"/>
      </w:pPr>
    </w:p>
    <w:p w14:paraId="48D64144" w14:textId="7CFB52BF" w:rsidR="009044BD" w:rsidRPr="009F6C41" w:rsidRDefault="00BD2258" w:rsidP="00BD2258">
      <w:pPr>
        <w:spacing w:line="288" w:lineRule="auto"/>
        <w:ind w:left="1440" w:hanging="720"/>
      </w:pPr>
      <w:r w:rsidRPr="009F6C41">
        <w:t>(a)</w:t>
      </w:r>
      <w:r w:rsidR="00BC5A26" w:rsidRPr="009F6C41">
        <w:tab/>
      </w:r>
      <w:proofErr w:type="spellStart"/>
      <w:r w:rsidR="00BC5A26" w:rsidRPr="009F6C41">
        <w:t>Avista</w:t>
      </w:r>
      <w:proofErr w:type="spellEnd"/>
      <w:r w:rsidR="00BC5A26" w:rsidRPr="009F6C41">
        <w:t xml:space="preserve"> </w:t>
      </w:r>
      <w:r w:rsidR="009E0A34" w:rsidRPr="009F6C41">
        <w:t xml:space="preserve">Corporation </w:t>
      </w:r>
      <w:r w:rsidR="00A805E6" w:rsidRPr="009F6C41">
        <w:t>must</w:t>
      </w:r>
      <w:r w:rsidR="00BC5A26" w:rsidRPr="009F6C41">
        <w:t xml:space="preserve"> submit annual budgets to the Advisory Group and to the Commission no later than November 1 of each year.  The submissions </w:t>
      </w:r>
      <w:r w:rsidR="00A805E6" w:rsidRPr="009F6C41">
        <w:t>must</w:t>
      </w:r>
      <w:r w:rsidR="00BC5A26" w:rsidRPr="009F6C41">
        <w:t xml:space="preserve"> include reasonable program detail that shows planned expenses and the resulting </w:t>
      </w:r>
      <w:r w:rsidR="00525C9D" w:rsidRPr="009F6C41">
        <w:t xml:space="preserve">projected </w:t>
      </w:r>
      <w:r w:rsidR="00BC5A26" w:rsidRPr="009F6C41">
        <w:t xml:space="preserve">energy savings.  In odd-numbered years, the annual budget may be submitted as part of the </w:t>
      </w:r>
      <w:r w:rsidR="009044BD" w:rsidRPr="009F6C41">
        <w:t>B</w:t>
      </w:r>
      <w:r w:rsidR="00BC5A26" w:rsidRPr="009F6C41">
        <w:t xml:space="preserve">iennial </w:t>
      </w:r>
      <w:r w:rsidR="009044BD" w:rsidRPr="009F6C41">
        <w:t>C</w:t>
      </w:r>
      <w:r w:rsidR="00BC5A26" w:rsidRPr="009F6C41">
        <w:t xml:space="preserve">onservation </w:t>
      </w:r>
      <w:r w:rsidR="004B58D6" w:rsidRPr="009F6C41">
        <w:t xml:space="preserve">Plan </w:t>
      </w:r>
      <w:r w:rsidR="00BC5A26" w:rsidRPr="009F6C41">
        <w:t xml:space="preserve">required </w:t>
      </w:r>
      <w:r w:rsidR="00045D06" w:rsidRPr="009F6C41">
        <w:t xml:space="preserve">under </w:t>
      </w:r>
      <w:r w:rsidR="000A2705" w:rsidRPr="009F6C41">
        <w:t xml:space="preserve">Paragraph </w:t>
      </w:r>
      <w:r w:rsidR="00A31193" w:rsidRPr="009F6C41">
        <w:t>8</w:t>
      </w:r>
      <w:r w:rsidR="009044BD" w:rsidRPr="009F6C41">
        <w:t>(</w:t>
      </w:r>
      <w:r w:rsidR="001972D3" w:rsidRPr="009F6C41">
        <w:t>e</w:t>
      </w:r>
      <w:r w:rsidR="009044BD" w:rsidRPr="009F6C41">
        <w:t>)</w:t>
      </w:r>
      <w:r w:rsidR="000A2705" w:rsidRPr="009F6C41">
        <w:t xml:space="preserve"> below</w:t>
      </w:r>
      <w:r w:rsidR="00BC5A26" w:rsidRPr="009F6C41">
        <w:t xml:space="preserve">.  In even-numbered years, the annual budget may be submitted as part of the </w:t>
      </w:r>
      <w:r w:rsidR="002C29F0" w:rsidRPr="009F6C41">
        <w:t>DSM Business Plan</w:t>
      </w:r>
      <w:r w:rsidR="00A31193" w:rsidRPr="009F6C41">
        <w:t xml:space="preserve"> required under Paragraph 8</w:t>
      </w:r>
      <w:r w:rsidR="009044BD" w:rsidRPr="009F6C41">
        <w:t>(</w:t>
      </w:r>
      <w:r w:rsidR="00353676">
        <w:t>b</w:t>
      </w:r>
      <w:r w:rsidR="009044BD" w:rsidRPr="009F6C41">
        <w:t>) below</w:t>
      </w:r>
      <w:r w:rsidR="000A2705" w:rsidRPr="009F6C41">
        <w:t>.</w:t>
      </w:r>
    </w:p>
    <w:p w14:paraId="48D64145" w14:textId="122A26AB" w:rsidR="009044BD" w:rsidRPr="009F6C41" w:rsidRDefault="009044BD" w:rsidP="00BD2258">
      <w:pPr>
        <w:spacing w:line="288" w:lineRule="auto"/>
        <w:ind w:left="1440" w:hanging="720"/>
      </w:pPr>
      <w:r w:rsidRPr="009F6C41">
        <w:t>(b)</w:t>
      </w:r>
      <w:r w:rsidRPr="009F6C41">
        <w:tab/>
      </w:r>
      <w:proofErr w:type="spellStart"/>
      <w:r w:rsidRPr="009F6C41">
        <w:t>Avista</w:t>
      </w:r>
      <w:proofErr w:type="spellEnd"/>
      <w:r w:rsidRPr="009F6C41">
        <w:t xml:space="preserve"> </w:t>
      </w:r>
      <w:r w:rsidR="000531AA" w:rsidRPr="009F6C41">
        <w:t xml:space="preserve">Corporation </w:t>
      </w:r>
      <w:r w:rsidR="00A805E6" w:rsidRPr="009F6C41">
        <w:t>must</w:t>
      </w:r>
      <w:r w:rsidRPr="009F6C41">
        <w:t xml:space="preserve"> provide its proposed budget in a </w:t>
      </w:r>
      <w:r w:rsidR="00A31193" w:rsidRPr="009F6C41">
        <w:t xml:space="preserve">detailed </w:t>
      </w:r>
      <w:r w:rsidRPr="009F6C41">
        <w:t>format with a summary page indicating the proposed budget and savings levels for each electric conservation program, and subsequent supporting spreadsheets providing further detail for each program and line item shown in the summary sheet.</w:t>
      </w:r>
    </w:p>
    <w:p w14:paraId="48D64146" w14:textId="77777777" w:rsidR="009044BD" w:rsidRPr="009F6C41" w:rsidRDefault="009044BD" w:rsidP="009044BD">
      <w:pPr>
        <w:spacing w:line="288" w:lineRule="auto"/>
        <w:ind w:left="720" w:hanging="720"/>
      </w:pPr>
    </w:p>
    <w:p w14:paraId="48D64147" w14:textId="66CE4B9B" w:rsidR="009044BD" w:rsidRPr="009F6C41" w:rsidRDefault="009044BD" w:rsidP="009044BD">
      <w:pPr>
        <w:numPr>
          <w:ilvl w:val="0"/>
          <w:numId w:val="1"/>
        </w:numPr>
        <w:spacing w:line="288" w:lineRule="auto"/>
        <w:ind w:left="720" w:hanging="1440"/>
      </w:pPr>
      <w:r w:rsidRPr="009F6C41">
        <w:lastRenderedPageBreak/>
        <w:t>(</w:t>
      </w:r>
      <w:r w:rsidR="00E932F4" w:rsidRPr="009F6C41">
        <w:t>5</w:t>
      </w:r>
      <w:r w:rsidRPr="009F6C41">
        <w:t>)</w:t>
      </w:r>
      <w:r w:rsidRPr="009F6C41">
        <w:tab/>
      </w:r>
      <w:r w:rsidRPr="009F6C41">
        <w:rPr>
          <w:b/>
        </w:rPr>
        <w:t>Program Details</w:t>
      </w:r>
      <w:r w:rsidRPr="009F6C41">
        <w:t xml:space="preserve">.  </w:t>
      </w:r>
      <w:proofErr w:type="spellStart"/>
      <w:r w:rsidRPr="009F6C41">
        <w:t>Avista</w:t>
      </w:r>
      <w:proofErr w:type="spellEnd"/>
      <w:r w:rsidRPr="009F6C41">
        <w:t xml:space="preserve"> </w:t>
      </w:r>
      <w:r w:rsidR="000531AA" w:rsidRPr="009F6C41">
        <w:t xml:space="preserve">Corporation </w:t>
      </w:r>
      <w:r w:rsidR="00F94F65" w:rsidRPr="009F6C41">
        <w:t>must</w:t>
      </w:r>
      <w:r w:rsidRPr="009F6C41">
        <w:t xml:space="preserve"> maintain its conservation tariffs, with program descriptions, on file with the Commission.  Program details about specific measures, incentives, and eligibility requirements </w:t>
      </w:r>
      <w:r w:rsidR="00F94F65" w:rsidRPr="009F6C41">
        <w:t>must</w:t>
      </w:r>
      <w:r w:rsidRPr="009F6C41">
        <w:t xml:space="preserve"> be filed as tariff attachments or as revisions to </w:t>
      </w:r>
      <w:proofErr w:type="spellStart"/>
      <w:r w:rsidR="000531AA" w:rsidRPr="009F6C41">
        <w:t>Avista</w:t>
      </w:r>
      <w:proofErr w:type="spellEnd"/>
      <w:r w:rsidR="000531AA" w:rsidRPr="009F6C41">
        <w:t xml:space="preserve"> Corporation</w:t>
      </w:r>
      <w:r w:rsidRPr="009F6C41">
        <w:t xml:space="preserve">’s </w:t>
      </w:r>
      <w:r w:rsidR="002C29F0" w:rsidRPr="009F6C41">
        <w:t>DSM Business Plan</w:t>
      </w:r>
      <w:r w:rsidRPr="009F6C41">
        <w:t xml:space="preserve">.  </w:t>
      </w:r>
      <w:proofErr w:type="spellStart"/>
      <w:r w:rsidRPr="009F6C41">
        <w:t>Avista</w:t>
      </w:r>
      <w:proofErr w:type="spellEnd"/>
      <w:r w:rsidRPr="009F6C41">
        <w:t xml:space="preserve"> </w:t>
      </w:r>
      <w:r w:rsidR="000531AA" w:rsidRPr="009F6C41">
        <w:t xml:space="preserve">Corporation </w:t>
      </w:r>
      <w:r w:rsidRPr="009F6C41">
        <w:t xml:space="preserve">may propose other methods for managing its program details in the </w:t>
      </w:r>
      <w:r w:rsidR="0017385F" w:rsidRPr="009F6C41">
        <w:t>B</w:t>
      </w:r>
      <w:r w:rsidRPr="009F6C41">
        <w:t xml:space="preserve">iennial </w:t>
      </w:r>
      <w:r w:rsidR="0017385F" w:rsidRPr="009F6C41">
        <w:t>C</w:t>
      </w:r>
      <w:r w:rsidRPr="009F6C41">
        <w:t xml:space="preserve">onservation </w:t>
      </w:r>
      <w:r w:rsidR="0017385F" w:rsidRPr="009F6C41">
        <w:t>P</w:t>
      </w:r>
      <w:r w:rsidRPr="009F6C41">
        <w:t xml:space="preserve">lan required under </w:t>
      </w:r>
      <w:r w:rsidR="0017385F" w:rsidRPr="009F6C41">
        <w:t xml:space="preserve">Paragraph </w:t>
      </w:r>
      <w:r w:rsidR="00E932F4" w:rsidRPr="009F6C41">
        <w:t>8</w:t>
      </w:r>
      <w:r w:rsidR="0017385F" w:rsidRPr="009F6C41">
        <w:t>(</w:t>
      </w:r>
      <w:r w:rsidR="001972D3" w:rsidRPr="009F6C41">
        <w:t>e</w:t>
      </w:r>
      <w:r w:rsidR="0017385F" w:rsidRPr="009F6C41">
        <w:t xml:space="preserve">) below, after consultation with the Advisory Group as provided in Paragraph </w:t>
      </w:r>
      <w:r w:rsidR="00E932F4" w:rsidRPr="009F6C41">
        <w:t>9</w:t>
      </w:r>
      <w:r w:rsidR="0017385F" w:rsidRPr="009F6C41">
        <w:t>(b) below.</w:t>
      </w:r>
    </w:p>
    <w:p w14:paraId="48D64148" w14:textId="77777777" w:rsidR="0017385F" w:rsidRPr="009F6C41" w:rsidRDefault="0017385F" w:rsidP="0017385F">
      <w:pPr>
        <w:spacing w:line="288" w:lineRule="auto"/>
      </w:pPr>
    </w:p>
    <w:p w14:paraId="48D64149" w14:textId="77777777" w:rsidR="0017385F" w:rsidRPr="00D64A3A" w:rsidRDefault="0017385F" w:rsidP="009044BD">
      <w:pPr>
        <w:numPr>
          <w:ilvl w:val="0"/>
          <w:numId w:val="1"/>
        </w:numPr>
        <w:spacing w:line="288" w:lineRule="auto"/>
        <w:ind w:left="720" w:hanging="1440"/>
      </w:pPr>
      <w:r w:rsidRPr="009F6C41">
        <w:t>(</w:t>
      </w:r>
      <w:r w:rsidR="00E932F4" w:rsidRPr="009F6C41">
        <w:t>6</w:t>
      </w:r>
      <w:r w:rsidRPr="009F6C41">
        <w:t>)</w:t>
      </w:r>
      <w:r w:rsidRPr="009F6C41">
        <w:tab/>
      </w:r>
      <w:r w:rsidRPr="009F6C41">
        <w:rPr>
          <w:b/>
        </w:rPr>
        <w:t>Approved Strategies for Selecting and Evaluating Energy Conservation Savings.</w:t>
      </w:r>
    </w:p>
    <w:p w14:paraId="2D0655D5" w14:textId="77777777" w:rsidR="00D64A3A" w:rsidRDefault="00D64A3A" w:rsidP="00D64A3A">
      <w:pPr>
        <w:pStyle w:val="ListParagraph"/>
      </w:pPr>
    </w:p>
    <w:p w14:paraId="48D6414A" w14:textId="36BD102E" w:rsidR="0017385F" w:rsidRPr="009F6C41" w:rsidRDefault="0017385F" w:rsidP="0017385F">
      <w:pPr>
        <w:spacing w:line="288" w:lineRule="auto"/>
        <w:ind w:left="1440" w:hanging="720"/>
      </w:pPr>
      <w:r w:rsidRPr="009F6C41">
        <w:t>(a)</w:t>
      </w:r>
      <w:r w:rsidRPr="009F6C41">
        <w:tab/>
      </w:r>
      <w:proofErr w:type="spellStart"/>
      <w:r w:rsidR="00141AE8" w:rsidRPr="009F6C41">
        <w:t>Avista</w:t>
      </w:r>
      <w:proofErr w:type="spellEnd"/>
      <w:r w:rsidR="00141AE8" w:rsidRPr="009F6C41">
        <w:t xml:space="preserve"> </w:t>
      </w:r>
      <w:r w:rsidR="000531AA" w:rsidRPr="009F6C41">
        <w:t xml:space="preserve">Corporation </w:t>
      </w:r>
      <w:r w:rsidR="00141AE8" w:rsidRPr="009F6C41">
        <w:t xml:space="preserve">has identified a number of potential conservation measures as qualifying measures in its </w:t>
      </w:r>
      <w:r w:rsidR="00EE7965" w:rsidRPr="009F6C41">
        <w:t xml:space="preserve">BCP </w:t>
      </w:r>
      <w:r w:rsidR="00141AE8" w:rsidRPr="009F6C41">
        <w:t xml:space="preserve">filed on </w:t>
      </w:r>
      <w:r w:rsidR="00EE7965" w:rsidRPr="009F6C41">
        <w:t xml:space="preserve">November 1, </w:t>
      </w:r>
      <w:r w:rsidR="00141AE8" w:rsidRPr="009F6C41">
        <w:t>201</w:t>
      </w:r>
      <w:r w:rsidR="00EE7965" w:rsidRPr="009F6C41">
        <w:t>1</w:t>
      </w:r>
      <w:r w:rsidR="00E869E2" w:rsidRPr="009F6C41">
        <w:t>,</w:t>
      </w:r>
      <w:r w:rsidR="00141AE8" w:rsidRPr="009F6C41">
        <w:t xml:space="preserve"> in this </w:t>
      </w:r>
      <w:r w:rsidR="006A0E3B" w:rsidRPr="009F6C41">
        <w:t>D</w:t>
      </w:r>
      <w:r w:rsidR="00141AE8" w:rsidRPr="009F6C41">
        <w:t>ocket.  T</w:t>
      </w:r>
      <w:r w:rsidRPr="009F6C41">
        <w:t xml:space="preserve">he Commission is not obligated to accept savings </w:t>
      </w:r>
      <w:r w:rsidR="00141AE8" w:rsidRPr="009F6C41">
        <w:t xml:space="preserve">identified in the Revised Report </w:t>
      </w:r>
      <w:r w:rsidRPr="009F6C41">
        <w:t xml:space="preserve">for purposes of compliance with </w:t>
      </w:r>
      <w:r w:rsidR="00141AE8" w:rsidRPr="009F6C41">
        <w:t>RCW</w:t>
      </w:r>
      <w:r w:rsidR="00DC783A" w:rsidRPr="009F6C41">
        <w:t xml:space="preserve"> 19.285.  </w:t>
      </w:r>
      <w:proofErr w:type="spellStart"/>
      <w:r w:rsidR="00141AE8" w:rsidRPr="009F6C41">
        <w:t>Avista</w:t>
      </w:r>
      <w:proofErr w:type="spellEnd"/>
      <w:r w:rsidR="00141AE8" w:rsidRPr="009F6C41">
        <w:t xml:space="preserve"> </w:t>
      </w:r>
      <w:r w:rsidR="000531AA" w:rsidRPr="009F6C41">
        <w:t xml:space="preserve">Corporation </w:t>
      </w:r>
      <w:r w:rsidR="00DC783A" w:rsidRPr="009F6C41">
        <w:t>must demonstrate the prudence and cost-effectiveness of its conservation programs to the Commission</w:t>
      </w:r>
      <w:r w:rsidR="002B6FF5" w:rsidRPr="009F6C41">
        <w:t xml:space="preserve"> after the savings are achieved</w:t>
      </w:r>
      <w:r w:rsidR="00DC783A" w:rsidRPr="009F6C41">
        <w:t>.</w:t>
      </w:r>
      <w:r w:rsidR="002B6FF5" w:rsidRPr="009F6C41">
        <w:t xml:space="preserve">  </w:t>
      </w:r>
      <w:r w:rsidR="002B6FF5" w:rsidRPr="009F6C41">
        <w:rPr>
          <w:i/>
        </w:rPr>
        <w:t>See</w:t>
      </w:r>
      <w:r w:rsidR="002B6FF5" w:rsidRPr="009F6C41">
        <w:t xml:space="preserve"> RCW 19.285.040(1</w:t>
      </w:r>
      <w:proofErr w:type="gramStart"/>
      <w:r w:rsidR="002B6FF5" w:rsidRPr="009F6C41">
        <w:t>)(</w:t>
      </w:r>
      <w:proofErr w:type="gramEnd"/>
      <w:r w:rsidR="002B6FF5" w:rsidRPr="009F6C41">
        <w:t>d)</w:t>
      </w:r>
      <w:r w:rsidR="008C0B3E" w:rsidRPr="009F6C41">
        <w:t xml:space="preserve">; </w:t>
      </w:r>
      <w:r w:rsidR="008C0B3E" w:rsidRPr="009F6C41">
        <w:rPr>
          <w:i/>
        </w:rPr>
        <w:t xml:space="preserve">Wash. </w:t>
      </w:r>
      <w:proofErr w:type="spellStart"/>
      <w:r w:rsidR="008C0B3E" w:rsidRPr="009F6C41">
        <w:rPr>
          <w:i/>
        </w:rPr>
        <w:t>Utils</w:t>
      </w:r>
      <w:proofErr w:type="spellEnd"/>
      <w:r w:rsidR="008C0B3E" w:rsidRPr="009F6C41">
        <w:rPr>
          <w:i/>
        </w:rPr>
        <w:t xml:space="preserve">. &amp; Transp. </w:t>
      </w:r>
      <w:proofErr w:type="spellStart"/>
      <w:r w:rsidR="008C0B3E" w:rsidRPr="009F6C41">
        <w:rPr>
          <w:i/>
        </w:rPr>
        <w:t>Comm’n</w:t>
      </w:r>
      <w:proofErr w:type="spellEnd"/>
      <w:r w:rsidR="008C0B3E" w:rsidRPr="009F6C41">
        <w:rPr>
          <w:i/>
        </w:rPr>
        <w:t xml:space="preserve"> v. </w:t>
      </w:r>
      <w:proofErr w:type="spellStart"/>
      <w:r w:rsidR="008C0B3E" w:rsidRPr="009F6C41">
        <w:rPr>
          <w:i/>
        </w:rPr>
        <w:t>Avista</w:t>
      </w:r>
      <w:proofErr w:type="spellEnd"/>
      <w:r w:rsidR="008C0B3E" w:rsidRPr="009F6C41">
        <w:rPr>
          <w:i/>
        </w:rPr>
        <w:t xml:space="preserve"> Corp.</w:t>
      </w:r>
      <w:r w:rsidR="008C0B3E" w:rsidRPr="009F6C41">
        <w:t>, Dockets UE</w:t>
      </w:r>
      <w:r w:rsidR="000531AA" w:rsidRPr="009F6C41">
        <w:t>-</w:t>
      </w:r>
      <w:r w:rsidR="008C0B3E" w:rsidRPr="009F6C41">
        <w:t>110876/UG</w:t>
      </w:r>
      <w:r w:rsidR="000531AA" w:rsidRPr="009F6C41">
        <w:t>-</w:t>
      </w:r>
      <w:r w:rsidR="008C0B3E" w:rsidRPr="009F6C41">
        <w:t xml:space="preserve">110877, Order 05 Granting Joint Motion for Clarification on Forum for Resolution of DSM Prudence </w:t>
      </w:r>
      <w:r w:rsidR="00F61806">
        <w:t xml:space="preserve"> </w:t>
      </w:r>
      <w:r w:rsidR="008C0B3E" w:rsidRPr="009F6C41">
        <w:t>(Aug. 18, 2011)</w:t>
      </w:r>
      <w:r w:rsidR="002B6FF5" w:rsidRPr="009F6C41">
        <w:rPr>
          <w:i/>
        </w:rPr>
        <w:t>.</w:t>
      </w:r>
    </w:p>
    <w:p w14:paraId="48D6414B" w14:textId="4D01C46B" w:rsidR="00DC783A" w:rsidRPr="009F6C41" w:rsidRDefault="00DC783A" w:rsidP="0017385F">
      <w:pPr>
        <w:spacing w:line="288" w:lineRule="auto"/>
        <w:ind w:left="1440" w:hanging="720"/>
      </w:pPr>
      <w:r w:rsidRPr="009F6C41">
        <w:t>(b)</w:t>
      </w:r>
      <w:r w:rsidRPr="009F6C41">
        <w:tab/>
      </w:r>
      <w:r w:rsidR="00525C9D" w:rsidRPr="009F6C41">
        <w:t>Except as provided in subparagraph (6</w:t>
      </w:r>
      <w:proofErr w:type="gramStart"/>
      <w:r w:rsidR="00525C9D" w:rsidRPr="009F6C41">
        <w:t>)(</w:t>
      </w:r>
      <w:proofErr w:type="gramEnd"/>
      <w:r w:rsidR="00525C9D" w:rsidRPr="009F6C41">
        <w:t xml:space="preserve">c), </w:t>
      </w:r>
      <w:proofErr w:type="spellStart"/>
      <w:r w:rsidRPr="009F6C41">
        <w:t>Avista</w:t>
      </w:r>
      <w:proofErr w:type="spellEnd"/>
      <w:r w:rsidRPr="009F6C41">
        <w:t xml:space="preserve"> </w:t>
      </w:r>
      <w:r w:rsidR="000531AA" w:rsidRPr="009F6C41">
        <w:t xml:space="preserve">Corporation </w:t>
      </w:r>
      <w:r w:rsidR="002F4AAE" w:rsidRPr="009F6C41">
        <w:t>must</w:t>
      </w:r>
      <w:r w:rsidRPr="009F6C41">
        <w:t xml:space="preserve"> use the Council</w:t>
      </w:r>
      <w:r w:rsidR="000531AA" w:rsidRPr="009F6C41">
        <w:t>’s Regional Technical Forum’s (RTF’s</w:t>
      </w:r>
      <w:r w:rsidRPr="009F6C41">
        <w:t xml:space="preserve">) </w:t>
      </w:r>
      <w:r w:rsidR="002B6FF5" w:rsidRPr="009F6C41">
        <w:t>“</w:t>
      </w:r>
      <w:r w:rsidRPr="009F6C41">
        <w:t>deemed</w:t>
      </w:r>
      <w:r w:rsidR="002B6FF5" w:rsidRPr="009F6C41">
        <w:t>”</w:t>
      </w:r>
      <w:r w:rsidRPr="009F6C41">
        <w:t xml:space="preserve"> savings for electricity measures.  As of the date of this </w:t>
      </w:r>
      <w:r w:rsidR="00530080" w:rsidRPr="009F6C41">
        <w:t>O</w:t>
      </w:r>
      <w:r w:rsidRPr="009F6C41">
        <w:t xml:space="preserve">rder, the RTF maintains a </w:t>
      </w:r>
      <w:r w:rsidR="00FE4DAB" w:rsidRPr="009F6C41">
        <w:t>W</w:t>
      </w:r>
      <w:r w:rsidRPr="009F6C41">
        <w:t xml:space="preserve">eb site at </w:t>
      </w:r>
      <w:hyperlink r:id="rId18" w:history="1">
        <w:r w:rsidRPr="009F6C41">
          <w:rPr>
            <w:rStyle w:val="Hyperlink"/>
          </w:rPr>
          <w:t>http://www.nwcouncil.org/energy/rtf/</w:t>
        </w:r>
      </w:hyperlink>
      <w:r w:rsidRPr="009F6C41">
        <w:t xml:space="preserve">. </w:t>
      </w:r>
    </w:p>
    <w:p w14:paraId="3EC4B03A" w14:textId="77777777" w:rsidR="000531AA" w:rsidRPr="009F6C41" w:rsidRDefault="00C90834" w:rsidP="0017385F">
      <w:pPr>
        <w:spacing w:line="288" w:lineRule="auto"/>
        <w:ind w:left="1440" w:hanging="720"/>
      </w:pPr>
      <w:r w:rsidRPr="009F6C41">
        <w:t>(c)</w:t>
      </w:r>
      <w:r w:rsidRPr="009F6C41">
        <w:tab/>
      </w:r>
      <w:r w:rsidR="00402CA5" w:rsidRPr="009F6C41">
        <w:t xml:space="preserve">If </w:t>
      </w:r>
      <w:proofErr w:type="spellStart"/>
      <w:r w:rsidR="00402CA5" w:rsidRPr="009F6C41">
        <w:t>Avista</w:t>
      </w:r>
      <w:proofErr w:type="spellEnd"/>
      <w:r w:rsidR="00402CA5" w:rsidRPr="009F6C41">
        <w:t xml:space="preserve"> </w:t>
      </w:r>
      <w:r w:rsidR="000531AA" w:rsidRPr="009F6C41">
        <w:t xml:space="preserve">Corporation </w:t>
      </w:r>
      <w:r w:rsidR="00402CA5" w:rsidRPr="009F6C41">
        <w:t>uses savings estimates that differ from those established by the RTF, such estimates must be based on generally accepted impact evaluation data and/or other reliable and relevant source data that has verified savings levels, and be presented to the Advisory Group for comment.</w:t>
      </w:r>
    </w:p>
    <w:p w14:paraId="48D6414C" w14:textId="5C0144C8" w:rsidR="006A0E3B" w:rsidRPr="009F6C41" w:rsidRDefault="006A0E3B" w:rsidP="0017385F">
      <w:pPr>
        <w:spacing w:line="288" w:lineRule="auto"/>
        <w:ind w:left="1440" w:hanging="720"/>
      </w:pPr>
      <w:r w:rsidRPr="009F6C41">
        <w:t>(d)</w:t>
      </w:r>
      <w:r w:rsidRPr="009F6C41">
        <w:tab/>
        <w:t xml:space="preserve">When </w:t>
      </w:r>
      <w:proofErr w:type="spellStart"/>
      <w:r w:rsidRPr="009F6C41">
        <w:t>Avista</w:t>
      </w:r>
      <w:proofErr w:type="spellEnd"/>
      <w:r w:rsidRPr="009F6C41">
        <w:t xml:space="preserve"> </w:t>
      </w:r>
      <w:r w:rsidR="00D64A3A">
        <w:t xml:space="preserve">Corporation </w:t>
      </w:r>
      <w:r w:rsidRPr="009F6C41">
        <w:t xml:space="preserve">proposes a new </w:t>
      </w:r>
      <w:proofErr w:type="gramStart"/>
      <w:r w:rsidRPr="009F6C41">
        <w:t>program,</w:t>
      </w:r>
      <w:proofErr w:type="gramEnd"/>
      <w:r w:rsidRPr="009F6C41">
        <w:t xml:space="preserve"> it </w:t>
      </w:r>
      <w:r w:rsidR="004B5482" w:rsidRPr="009F6C41">
        <w:t>must</w:t>
      </w:r>
      <w:r w:rsidRPr="009F6C41">
        <w:t xml:space="preserve"> present it to the Advisory Group for comment with program details fully defined.  After consultation with the Advisory Group</w:t>
      </w:r>
      <w:r w:rsidR="002C5E03" w:rsidRPr="009F6C41">
        <w:t xml:space="preserve"> in accordance with Paragraph 3 above</w:t>
      </w:r>
      <w:r w:rsidRPr="009F6C41">
        <w:t xml:space="preserve">, </w:t>
      </w:r>
      <w:proofErr w:type="spellStart"/>
      <w:r w:rsidRPr="009F6C41">
        <w:t>Avista</w:t>
      </w:r>
      <w:proofErr w:type="spellEnd"/>
      <w:r w:rsidRPr="009F6C41">
        <w:t xml:space="preserve"> </w:t>
      </w:r>
      <w:r w:rsidR="000531AA" w:rsidRPr="009F6C41">
        <w:t xml:space="preserve">Corporation </w:t>
      </w:r>
      <w:r w:rsidR="004B5482" w:rsidRPr="009F6C41">
        <w:t>must</w:t>
      </w:r>
      <w:r w:rsidRPr="009F6C41">
        <w:t xml:space="preserve"> file a revision to its </w:t>
      </w:r>
      <w:r w:rsidR="002C29F0" w:rsidRPr="009F6C41">
        <w:t>DSM Business Plan</w:t>
      </w:r>
      <w:r w:rsidRPr="009F6C41">
        <w:t xml:space="preserve"> in this Docket.</w:t>
      </w:r>
      <w:r w:rsidR="00777177" w:rsidRPr="009F6C41">
        <w:t xml:space="preserve">  The revision </w:t>
      </w:r>
      <w:r w:rsidR="00CE78FE" w:rsidRPr="009F6C41">
        <w:t>may</w:t>
      </w:r>
      <w:r w:rsidR="00777177" w:rsidRPr="009F6C41">
        <w:t xml:space="preserve"> be acknowledged by placement on the Commission’s No Action Open Meeting agenda.</w:t>
      </w:r>
    </w:p>
    <w:p w14:paraId="48D6414D" w14:textId="20EC50C0" w:rsidR="00485D28" w:rsidRPr="009F6C41" w:rsidRDefault="00485D28" w:rsidP="0017385F">
      <w:pPr>
        <w:spacing w:line="288" w:lineRule="auto"/>
        <w:ind w:left="1440" w:hanging="720"/>
      </w:pPr>
      <w:r w:rsidRPr="009F6C41">
        <w:lastRenderedPageBreak/>
        <w:t>(</w:t>
      </w:r>
      <w:r w:rsidR="00777177" w:rsidRPr="009F6C41">
        <w:t>e</w:t>
      </w:r>
      <w:r w:rsidRPr="009F6C41">
        <w:t>)</w:t>
      </w:r>
      <w:r w:rsidRPr="009F6C41">
        <w:tab/>
      </w:r>
      <w:proofErr w:type="spellStart"/>
      <w:r w:rsidRPr="009F6C41">
        <w:t>Avista</w:t>
      </w:r>
      <w:proofErr w:type="spellEnd"/>
      <w:r w:rsidRPr="009F6C41">
        <w:t xml:space="preserve"> </w:t>
      </w:r>
      <w:r w:rsidR="000531AA" w:rsidRPr="009F6C41">
        <w:t xml:space="preserve">Corporation </w:t>
      </w:r>
      <w:r w:rsidR="00AF0255" w:rsidRPr="009F6C41">
        <w:t>must</w:t>
      </w:r>
      <w:r w:rsidRPr="009F6C41">
        <w:t xml:space="preserve"> provide opportunities for the Advisory Group to review and assist with the development of evaluation, measurement and verification protocols for conservation programs.  See Paragraph </w:t>
      </w:r>
      <w:r w:rsidR="00777177" w:rsidRPr="009F6C41">
        <w:t>3</w:t>
      </w:r>
      <w:r w:rsidR="00705BA6" w:rsidRPr="009F6C41">
        <w:t>(a</w:t>
      </w:r>
      <w:proofErr w:type="gramStart"/>
      <w:r w:rsidR="00705BA6" w:rsidRPr="009F6C41">
        <w:t>)(</w:t>
      </w:r>
      <w:proofErr w:type="spellStart"/>
      <w:proofErr w:type="gramEnd"/>
      <w:r w:rsidR="00705BA6" w:rsidRPr="009F6C41">
        <w:t>i</w:t>
      </w:r>
      <w:proofErr w:type="spellEnd"/>
      <w:r w:rsidR="00705BA6" w:rsidRPr="009F6C41">
        <w:t>) above.</w:t>
      </w:r>
    </w:p>
    <w:p w14:paraId="48D6414E" w14:textId="748FF392" w:rsidR="00705BA6" w:rsidRPr="009F6C41" w:rsidRDefault="00705BA6" w:rsidP="0017385F">
      <w:pPr>
        <w:spacing w:line="288" w:lineRule="auto"/>
        <w:ind w:left="1440" w:hanging="720"/>
      </w:pPr>
      <w:r w:rsidRPr="009F6C41">
        <w:t>(</w:t>
      </w:r>
      <w:r w:rsidR="00D70CA8" w:rsidRPr="009F6C41">
        <w:t>f</w:t>
      </w:r>
      <w:r w:rsidRPr="009F6C41">
        <w:t>)</w:t>
      </w:r>
      <w:r w:rsidRPr="009F6C41">
        <w:tab/>
      </w:r>
      <w:proofErr w:type="spellStart"/>
      <w:r w:rsidRPr="009F6C41">
        <w:t>Avista</w:t>
      </w:r>
      <w:proofErr w:type="spellEnd"/>
      <w:r w:rsidRPr="009F6C41">
        <w:t xml:space="preserve"> </w:t>
      </w:r>
      <w:r w:rsidR="000531AA" w:rsidRPr="009F6C41">
        <w:t xml:space="preserve">Corporation </w:t>
      </w:r>
      <w:r w:rsidR="00AF0255" w:rsidRPr="009F6C41">
        <w:t>must</w:t>
      </w:r>
      <w:r w:rsidRPr="009F6C41">
        <w:t xml:space="preserve"> spend </w:t>
      </w:r>
      <w:r w:rsidR="006714B0" w:rsidRPr="009F6C41">
        <w:t>a reasonable amount</w:t>
      </w:r>
      <w:r w:rsidRPr="009F6C41">
        <w:t xml:space="preserve"> of its conservation budget on evaluation, measurement, and verification (EM&amp;V), including a reasonable proportion on independent, third-party EM&amp;V.  </w:t>
      </w:r>
      <w:proofErr w:type="spellStart"/>
      <w:r w:rsidRPr="009F6C41">
        <w:t>Avista</w:t>
      </w:r>
      <w:proofErr w:type="spellEnd"/>
      <w:r w:rsidRPr="009F6C41">
        <w:t xml:space="preserve"> </w:t>
      </w:r>
      <w:r w:rsidR="000531AA" w:rsidRPr="009F6C41">
        <w:t xml:space="preserve">Corporation </w:t>
      </w:r>
      <w:r w:rsidR="00AF0255" w:rsidRPr="009F6C41">
        <w:t>must</w:t>
      </w:r>
      <w:r w:rsidRPr="009F6C41">
        <w:t xml:space="preserve"> perform EM&amp;V annually on a multi-year schedule of selected programs such that, over the EM&amp;V cycle, all major programs are covered.  The EM&amp;V function includes impact, process, market and cost test analyses.  The results </w:t>
      </w:r>
      <w:r w:rsidR="00F8017F" w:rsidRPr="009F6C41">
        <w:t>must</w:t>
      </w:r>
      <w:r w:rsidRPr="009F6C41">
        <w:t xml:space="preserve"> verify </w:t>
      </w:r>
      <w:r w:rsidR="00D70CA8" w:rsidRPr="009F6C41">
        <w:t xml:space="preserve">the level at which </w:t>
      </w:r>
      <w:r w:rsidRPr="009F6C41">
        <w:t xml:space="preserve">claimed energy savings have occurred, evaluate the existing internal review processes, and suggest improvements </w:t>
      </w:r>
      <w:r w:rsidR="002E6C86" w:rsidRPr="009F6C41">
        <w:t xml:space="preserve">to the program and ongoing EM&amp;V processes.  An annual independent, third-party EM&amp;V report involving analysis of both program impacts and process impacts </w:t>
      </w:r>
      <w:r w:rsidR="00F8017F" w:rsidRPr="009F6C41">
        <w:t>must</w:t>
      </w:r>
      <w:r w:rsidR="002E6C86" w:rsidRPr="009F6C41">
        <w:t xml:space="preserve"> be part of the </w:t>
      </w:r>
      <w:r w:rsidR="000B5BB6" w:rsidRPr="009F6C41">
        <w:t>r</w:t>
      </w:r>
      <w:r w:rsidR="002E6C86" w:rsidRPr="009F6C41">
        <w:t>eport</w:t>
      </w:r>
      <w:r w:rsidR="000B5BB6" w:rsidRPr="009F6C41">
        <w:t>s</w:t>
      </w:r>
      <w:r w:rsidR="002E6C86" w:rsidRPr="009F6C41">
        <w:t xml:space="preserve"> on </w:t>
      </w:r>
      <w:r w:rsidR="000B5BB6" w:rsidRPr="009F6C41">
        <w:t>c</w:t>
      </w:r>
      <w:r w:rsidR="002E6C86" w:rsidRPr="009F6C41">
        <w:t xml:space="preserve">onservation </w:t>
      </w:r>
      <w:r w:rsidR="000B5BB6" w:rsidRPr="009F6C41">
        <w:t>a</w:t>
      </w:r>
      <w:r w:rsidR="002E6C86" w:rsidRPr="009F6C41">
        <w:t>cquisition described in Paragraph</w:t>
      </w:r>
      <w:r w:rsidR="002C29F0" w:rsidRPr="009F6C41">
        <w:t>s</w:t>
      </w:r>
      <w:r w:rsidR="002E6C86" w:rsidRPr="009F6C41">
        <w:t xml:space="preserve"> </w:t>
      </w:r>
      <w:r w:rsidR="00D70CA8" w:rsidRPr="009F6C41">
        <w:t>8</w:t>
      </w:r>
      <w:r w:rsidR="002C29F0" w:rsidRPr="009F6C41">
        <w:t>(</w:t>
      </w:r>
      <w:r w:rsidR="0002432A">
        <w:t>c</w:t>
      </w:r>
      <w:r w:rsidR="002C29F0" w:rsidRPr="009F6C41">
        <w:t xml:space="preserve">) and </w:t>
      </w:r>
      <w:r w:rsidR="002E6C86" w:rsidRPr="009F6C41">
        <w:t>(</w:t>
      </w:r>
      <w:r w:rsidR="0002432A">
        <w:t>f</w:t>
      </w:r>
      <w:r w:rsidR="002E6C86" w:rsidRPr="009F6C41">
        <w:t>) below.</w:t>
      </w:r>
      <w:r w:rsidR="00D70CA8" w:rsidRPr="009F6C41">
        <w:t xml:space="preserve">  </w:t>
      </w:r>
    </w:p>
    <w:p w14:paraId="48D6414F" w14:textId="1A44FF67" w:rsidR="0086242D" w:rsidRPr="009F6C41" w:rsidRDefault="0086242D" w:rsidP="0017385F">
      <w:pPr>
        <w:spacing w:line="288" w:lineRule="auto"/>
        <w:ind w:left="1440" w:hanging="720"/>
      </w:pPr>
      <w:r w:rsidRPr="009F6C41">
        <w:t>(g)</w:t>
      </w:r>
      <w:r w:rsidRPr="009F6C41">
        <w:tab/>
      </w:r>
      <w:r w:rsidR="00854CFA" w:rsidRPr="009F6C41">
        <w:t xml:space="preserve">For savings claimed from </w:t>
      </w:r>
      <w:r w:rsidR="00B563DB" w:rsidRPr="009F6C41">
        <w:t xml:space="preserve">distribution </w:t>
      </w:r>
      <w:r w:rsidR="00854CFA" w:rsidRPr="009F6C41">
        <w:t xml:space="preserve">efficiency, </w:t>
      </w:r>
      <w:proofErr w:type="spellStart"/>
      <w:r w:rsidR="00854CFA" w:rsidRPr="009F6C41">
        <w:t>Avista</w:t>
      </w:r>
      <w:proofErr w:type="spellEnd"/>
      <w:r w:rsidR="00854CFA" w:rsidRPr="009F6C41">
        <w:t xml:space="preserve"> </w:t>
      </w:r>
      <w:r w:rsidR="000531AA" w:rsidRPr="009F6C41">
        <w:t xml:space="preserve">Corporation </w:t>
      </w:r>
      <w:r w:rsidR="00854CFA" w:rsidRPr="009F6C41">
        <w:t xml:space="preserve">must provide third-party verified values calculated using </w:t>
      </w:r>
      <w:r w:rsidR="00842853" w:rsidRPr="009F6C41">
        <w:t xml:space="preserve">applicable parts of </w:t>
      </w:r>
      <w:r w:rsidR="00B81CCC" w:rsidRPr="009F6C41">
        <w:t xml:space="preserve">the RTF’s Automated CVR Protocol No. 1, Voltage Optimization Protocol, or any other protocol </w:t>
      </w:r>
      <w:r w:rsidR="00424B6B" w:rsidRPr="009F6C41">
        <w:t>recognized by the RTF following the date of this order</w:t>
      </w:r>
      <w:r w:rsidR="00854CFA" w:rsidRPr="009F6C41">
        <w:t xml:space="preserve">.  This requirement </w:t>
      </w:r>
      <w:r w:rsidR="00A714DC" w:rsidRPr="009F6C41">
        <w:t>does</w:t>
      </w:r>
      <w:r w:rsidR="00854CFA" w:rsidRPr="009F6C41">
        <w:t xml:space="preserve"> not prevent </w:t>
      </w:r>
      <w:proofErr w:type="spellStart"/>
      <w:r w:rsidR="00854CFA" w:rsidRPr="009F6C41">
        <w:t>Avista</w:t>
      </w:r>
      <w:proofErr w:type="spellEnd"/>
      <w:r w:rsidR="00854CFA" w:rsidRPr="009F6C41">
        <w:t xml:space="preserve"> </w:t>
      </w:r>
      <w:r w:rsidR="000531AA" w:rsidRPr="009F6C41">
        <w:t xml:space="preserve">Corporation </w:t>
      </w:r>
      <w:r w:rsidR="00854CFA" w:rsidRPr="009F6C41">
        <w:t xml:space="preserve">from developing an </w:t>
      </w:r>
      <w:r w:rsidR="00B33AB5" w:rsidRPr="009F6C41">
        <w:t xml:space="preserve">additional </w:t>
      </w:r>
      <w:r w:rsidR="00854CFA" w:rsidRPr="009F6C41">
        <w:t xml:space="preserve">EM&amp;V methodology </w:t>
      </w:r>
      <w:r w:rsidR="00B33AB5" w:rsidRPr="009F6C41">
        <w:t xml:space="preserve">for distribution efficiency </w:t>
      </w:r>
      <w:r w:rsidR="00854CFA" w:rsidRPr="009F6C41">
        <w:t xml:space="preserve">and advocating </w:t>
      </w:r>
      <w:r w:rsidR="00B81CCC" w:rsidRPr="009F6C41">
        <w:t xml:space="preserve">at </w:t>
      </w:r>
      <w:r w:rsidR="00DB26A5" w:rsidRPr="009F6C41">
        <w:t xml:space="preserve">a </w:t>
      </w:r>
      <w:r w:rsidR="00B81CCC" w:rsidRPr="009F6C41">
        <w:t xml:space="preserve">future Commission proceeding for the recognition of third-party verified savings calculated using that </w:t>
      </w:r>
      <w:r w:rsidR="00B33AB5" w:rsidRPr="009F6C41">
        <w:t xml:space="preserve">additional </w:t>
      </w:r>
      <w:r w:rsidR="00B81CCC" w:rsidRPr="009F6C41">
        <w:t>methodology.</w:t>
      </w:r>
      <w:r w:rsidR="00854CFA" w:rsidRPr="009F6C41">
        <w:t xml:space="preserve"> </w:t>
      </w:r>
    </w:p>
    <w:p w14:paraId="48D64150" w14:textId="77777777" w:rsidR="00D70CA8" w:rsidRPr="009F6C41" w:rsidRDefault="00D70CA8" w:rsidP="00D70CA8">
      <w:pPr>
        <w:spacing w:line="288" w:lineRule="auto"/>
      </w:pPr>
    </w:p>
    <w:p w14:paraId="48D64151" w14:textId="77777777" w:rsidR="0017385F" w:rsidRPr="00D64A3A" w:rsidRDefault="00D70CA8" w:rsidP="009044BD">
      <w:pPr>
        <w:numPr>
          <w:ilvl w:val="0"/>
          <w:numId w:val="1"/>
        </w:numPr>
        <w:spacing w:line="288" w:lineRule="auto"/>
        <w:ind w:left="720" w:hanging="1440"/>
      </w:pPr>
      <w:r w:rsidRPr="009F6C41">
        <w:t>(7)</w:t>
      </w:r>
      <w:r w:rsidRPr="009F6C41">
        <w:tab/>
      </w:r>
      <w:r w:rsidRPr="009F6C41">
        <w:rPr>
          <w:b/>
        </w:rPr>
        <w:t>Program Design Principles</w:t>
      </w:r>
    </w:p>
    <w:p w14:paraId="6717859F" w14:textId="77777777" w:rsidR="00D64A3A" w:rsidRPr="009F6C41" w:rsidRDefault="00D64A3A" w:rsidP="00D64A3A">
      <w:pPr>
        <w:spacing w:line="288" w:lineRule="auto"/>
        <w:ind w:left="720"/>
      </w:pPr>
    </w:p>
    <w:p w14:paraId="48D64152" w14:textId="4655AE88" w:rsidR="00D70CA8" w:rsidRPr="009F6C41" w:rsidRDefault="00D70CA8" w:rsidP="00D70CA8">
      <w:pPr>
        <w:spacing w:line="288" w:lineRule="auto"/>
        <w:ind w:left="1440" w:hanging="720"/>
      </w:pPr>
      <w:r w:rsidRPr="009F6C41">
        <w:t>(a)</w:t>
      </w:r>
      <w:r w:rsidRPr="009F6C41">
        <w:tab/>
        <w:t xml:space="preserve">All Sectors Included — </w:t>
      </w:r>
      <w:proofErr w:type="spellStart"/>
      <w:r w:rsidRPr="009F6C41">
        <w:t>Avista</w:t>
      </w:r>
      <w:proofErr w:type="spellEnd"/>
      <w:r w:rsidRPr="009F6C41">
        <w:t xml:space="preserve"> </w:t>
      </w:r>
      <w:r w:rsidR="000531AA" w:rsidRPr="009F6C41">
        <w:t xml:space="preserve">Corporation </w:t>
      </w:r>
      <w:r w:rsidR="00B047D9" w:rsidRPr="009F6C41">
        <w:t>must</w:t>
      </w:r>
      <w:r w:rsidRPr="009F6C41">
        <w:t xml:space="preserve"> offer a mix of tariff-based programs that ensure it is serving each customer sector, including programs targeted to the limited-income subset of residential customers.  Modifications to the programs </w:t>
      </w:r>
      <w:r w:rsidR="00B047D9" w:rsidRPr="009F6C41">
        <w:t>must</w:t>
      </w:r>
      <w:r w:rsidRPr="009F6C41">
        <w:t xml:space="preserve"> be filed with the Commission as revisions to tariffs or as revisions to </w:t>
      </w:r>
      <w:proofErr w:type="spellStart"/>
      <w:r w:rsidRPr="009F6C41">
        <w:t>Avista</w:t>
      </w:r>
      <w:proofErr w:type="spellEnd"/>
      <w:r w:rsidR="009F6C41" w:rsidRPr="009F6C41">
        <w:t xml:space="preserve"> Corporation</w:t>
      </w:r>
      <w:r w:rsidRPr="009F6C41">
        <w:t xml:space="preserve">’s </w:t>
      </w:r>
      <w:r w:rsidR="002C29F0" w:rsidRPr="009F6C41">
        <w:t>DSM Business Plan</w:t>
      </w:r>
      <w:r w:rsidRPr="009F6C41">
        <w:t>, as appropriate.</w:t>
      </w:r>
    </w:p>
    <w:p w14:paraId="48D64153" w14:textId="3041DF99" w:rsidR="00530F7B" w:rsidRPr="009F6C41" w:rsidRDefault="00530F7B" w:rsidP="00D70CA8">
      <w:pPr>
        <w:spacing w:line="288" w:lineRule="auto"/>
        <w:ind w:left="1440" w:hanging="720"/>
      </w:pPr>
      <w:r w:rsidRPr="009F6C41">
        <w:t>(b)</w:t>
      </w:r>
      <w:r w:rsidRPr="009F6C41">
        <w:tab/>
        <w:t xml:space="preserve">Outreach on Programs — </w:t>
      </w:r>
      <w:proofErr w:type="spellStart"/>
      <w:r w:rsidRPr="009F6C41">
        <w:t>Avista</w:t>
      </w:r>
      <w:proofErr w:type="spellEnd"/>
      <w:r w:rsidRPr="009F6C41">
        <w:t xml:space="preserve"> </w:t>
      </w:r>
      <w:r w:rsidR="009F6C41" w:rsidRPr="009F6C41">
        <w:t xml:space="preserve">Corporation </w:t>
      </w:r>
      <w:r w:rsidR="00B047D9" w:rsidRPr="009F6C41">
        <w:t>must</w:t>
      </w:r>
      <w:r w:rsidRPr="009F6C41">
        <w:t xml:space="preserve"> establish a strategy and proposed implementation budget for informing participants about program </w:t>
      </w:r>
      <w:r w:rsidRPr="009F6C41">
        <w:lastRenderedPageBreak/>
        <w:t xml:space="preserve">opportunities in the relevant market channels for each of its energy efficiency programs.  </w:t>
      </w:r>
      <w:proofErr w:type="spellStart"/>
      <w:r w:rsidRPr="009F6C41">
        <w:t>Avista</w:t>
      </w:r>
      <w:proofErr w:type="spellEnd"/>
      <w:r w:rsidRPr="009F6C41">
        <w:t xml:space="preserve"> </w:t>
      </w:r>
      <w:r w:rsidR="009F6C41" w:rsidRPr="009F6C41">
        <w:t xml:space="preserve">Corporation </w:t>
      </w:r>
      <w:r w:rsidR="0033026E" w:rsidRPr="009F6C41">
        <w:t>must</w:t>
      </w:r>
      <w:r w:rsidRPr="009F6C41">
        <w:t xml:space="preserve"> share these strategies and budgets with the Advisory Group for review and comments, and provide updates at Advisory Group meetings.</w:t>
      </w:r>
    </w:p>
    <w:p w14:paraId="48D64154" w14:textId="6A2BAFE5" w:rsidR="00530F7B" w:rsidRPr="009F6C41" w:rsidRDefault="00530F7B" w:rsidP="00D70CA8">
      <w:pPr>
        <w:spacing w:line="288" w:lineRule="auto"/>
        <w:ind w:left="1440" w:hanging="720"/>
      </w:pPr>
      <w:r w:rsidRPr="009F6C41">
        <w:t>(c)</w:t>
      </w:r>
      <w:r w:rsidRPr="009F6C41">
        <w:tab/>
        <w:t xml:space="preserve">Incentives and Conservation Program Implementation — </w:t>
      </w:r>
      <w:proofErr w:type="spellStart"/>
      <w:r w:rsidRPr="009F6C41">
        <w:t>Avista</w:t>
      </w:r>
      <w:proofErr w:type="spellEnd"/>
      <w:r w:rsidRPr="009F6C41">
        <w:t xml:space="preserve"> </w:t>
      </w:r>
      <w:r w:rsidR="009F6C41" w:rsidRPr="009F6C41">
        <w:t xml:space="preserve">Corporation </w:t>
      </w:r>
      <w:r w:rsidR="0033026E" w:rsidRPr="009F6C41">
        <w:t>must</w:t>
      </w:r>
      <w:r w:rsidRPr="009F6C41">
        <w:t xml:space="preserve"> offer a cost-effective portfolio of programs in order to achieve all available conservation that is cost-effective, reliable, and feasible.  Programs and incentives may be directed to consumers, retailers, </w:t>
      </w:r>
      <w:r w:rsidR="002C29F0" w:rsidRPr="009F6C41">
        <w:t>or trade allies</w:t>
      </w:r>
      <w:r w:rsidRPr="009F6C41">
        <w:t xml:space="preserve">, as appropriate for measures that save energy.  Incentive levels and other methods of encouraging energy conservation need to be periodically examined to </w:t>
      </w:r>
      <w:r w:rsidR="002C29F0" w:rsidRPr="009F6C41">
        <w:t xml:space="preserve">ensure </w:t>
      </w:r>
      <w:r w:rsidRPr="009F6C41">
        <w:t xml:space="preserve">that they are neither too high nor too low.  Incentive levels </w:t>
      </w:r>
      <w:r w:rsidR="00FD7EC7" w:rsidRPr="009F6C41">
        <w:t xml:space="preserve">and implementation methods </w:t>
      </w:r>
      <w:r w:rsidRPr="009F6C41">
        <w:t>should not unnecessarily limit the acquisition of all achievable energy conservation.</w:t>
      </w:r>
    </w:p>
    <w:p w14:paraId="48D64155" w14:textId="08DA12A8" w:rsidR="00530F7B" w:rsidRPr="009F6C41" w:rsidRDefault="00530F7B" w:rsidP="00D70CA8">
      <w:pPr>
        <w:spacing w:line="288" w:lineRule="auto"/>
        <w:ind w:left="1440" w:hanging="720"/>
      </w:pPr>
      <w:r w:rsidRPr="009F6C41">
        <w:t>(d)</w:t>
      </w:r>
      <w:r w:rsidRPr="009F6C41">
        <w:tab/>
      </w:r>
      <w:r w:rsidR="00E170EF" w:rsidRPr="009F6C41">
        <w:t xml:space="preserve">Conservation Efforts </w:t>
      </w:r>
      <w:r w:rsidR="0030177C" w:rsidRPr="009F6C41">
        <w:t>w</w:t>
      </w:r>
      <w:r w:rsidR="00E170EF" w:rsidRPr="009F6C41">
        <w:t xml:space="preserve">ithout Approved EM&amp;V Protocol — </w:t>
      </w:r>
      <w:proofErr w:type="spellStart"/>
      <w:r w:rsidR="00E170EF" w:rsidRPr="009F6C41">
        <w:t>Avista</w:t>
      </w:r>
      <w:proofErr w:type="spellEnd"/>
      <w:r w:rsidR="00E170EF" w:rsidRPr="009F6C41">
        <w:t xml:space="preserve"> </w:t>
      </w:r>
      <w:r w:rsidR="009F6C41" w:rsidRPr="009F6C41">
        <w:t xml:space="preserve">Corporation </w:t>
      </w:r>
      <w:r w:rsidR="00E170EF" w:rsidRPr="009F6C41">
        <w:t xml:space="preserve">may spend up to ten (10) percent of its conservation budget on programs whose savings impact has not yet been measured, as long as the overall portfolio of conservation passes the Total Resource Cost (TRC) test as modified by the Council.  These programs may include educational, behavior change, and pilot projects.  </w:t>
      </w:r>
      <w:proofErr w:type="spellStart"/>
      <w:r w:rsidR="009F6C41" w:rsidRPr="009F6C41">
        <w:t>Avista</w:t>
      </w:r>
      <w:proofErr w:type="spellEnd"/>
      <w:r w:rsidR="009F6C41" w:rsidRPr="009F6C41">
        <w:t xml:space="preserve"> Corporation </w:t>
      </w:r>
      <w:r w:rsidR="002C29F0" w:rsidRPr="009F6C41">
        <w:t xml:space="preserve">may ask the Commission to modify </w:t>
      </w:r>
      <w:r w:rsidR="00E170EF" w:rsidRPr="009F6C41">
        <w:t>this spending limit following full Advisory Group consultation.</w:t>
      </w:r>
      <w:r w:rsidR="00530080" w:rsidRPr="009F6C41">
        <w:t xml:space="preserve">  As of the date of this Order, an outline of the major elements of the Council’s methodology for determining achievable conservation potential, including the Total Resource Cost test, is available on the Council’s </w:t>
      </w:r>
      <w:r w:rsidR="00FE4DAB" w:rsidRPr="009F6C41">
        <w:t>W</w:t>
      </w:r>
      <w:r w:rsidR="00530080" w:rsidRPr="009F6C41">
        <w:t xml:space="preserve">eb site at </w:t>
      </w:r>
      <w:hyperlink r:id="rId19" w:history="1">
        <w:r w:rsidR="00530080" w:rsidRPr="009F6C41">
          <w:rPr>
            <w:rStyle w:val="Hyperlink"/>
          </w:rPr>
          <w:t>http://www.nwcouncil.org/energy/powerplan/6/supplycurves/I937/CouncilMethodology_outline%20_2_.pdf</w:t>
        </w:r>
      </w:hyperlink>
      <w:r w:rsidR="00530080" w:rsidRPr="009F6C41">
        <w:t>.</w:t>
      </w:r>
    </w:p>
    <w:p w14:paraId="48D64156" w14:textId="77777777" w:rsidR="004C322F" w:rsidRPr="009F6C41" w:rsidRDefault="004C322F" w:rsidP="004C322F">
      <w:pPr>
        <w:spacing w:line="288" w:lineRule="auto"/>
      </w:pPr>
    </w:p>
    <w:p w14:paraId="48D64157" w14:textId="77777777" w:rsidR="00D70CA8" w:rsidRPr="009F6C41" w:rsidRDefault="0030177C" w:rsidP="009044BD">
      <w:pPr>
        <w:numPr>
          <w:ilvl w:val="0"/>
          <w:numId w:val="1"/>
        </w:numPr>
        <w:spacing w:line="288" w:lineRule="auto"/>
        <w:ind w:left="720" w:hanging="1440"/>
      </w:pPr>
      <w:r w:rsidRPr="009F6C41">
        <w:t>(8)</w:t>
      </w:r>
      <w:r w:rsidRPr="009F6C41">
        <w:tab/>
      </w:r>
      <w:r w:rsidRPr="009F6C41">
        <w:rPr>
          <w:b/>
        </w:rPr>
        <w:t>Required Reports and Filings</w:t>
      </w:r>
    </w:p>
    <w:p w14:paraId="48D64158" w14:textId="77777777" w:rsidR="00EF4629" w:rsidRPr="009F6C41" w:rsidRDefault="00EF4629" w:rsidP="00514262">
      <w:pPr>
        <w:spacing w:line="288" w:lineRule="auto"/>
      </w:pPr>
    </w:p>
    <w:p w14:paraId="48D64159" w14:textId="310A5EAB" w:rsidR="00EF4629" w:rsidRPr="009F6C41" w:rsidRDefault="00AE6A7C" w:rsidP="00514262">
      <w:pPr>
        <w:spacing w:line="288" w:lineRule="auto"/>
        <w:ind w:left="720"/>
      </w:pPr>
      <w:proofErr w:type="spellStart"/>
      <w:r w:rsidRPr="009F6C41">
        <w:t>Avista</w:t>
      </w:r>
      <w:proofErr w:type="spellEnd"/>
      <w:r w:rsidR="009F6C41" w:rsidRPr="009F6C41">
        <w:t xml:space="preserve"> Corporation</w:t>
      </w:r>
      <w:r w:rsidRPr="009F6C41">
        <w:t xml:space="preserve"> must file the following:</w:t>
      </w:r>
    </w:p>
    <w:p w14:paraId="48D6415A" w14:textId="77777777" w:rsidR="00087833" w:rsidRPr="009F6C41" w:rsidRDefault="00087833" w:rsidP="00087833">
      <w:pPr>
        <w:spacing w:line="288" w:lineRule="auto"/>
        <w:ind w:left="1440" w:hanging="720"/>
      </w:pPr>
    </w:p>
    <w:p w14:paraId="48D6415B" w14:textId="77777777" w:rsidR="00087833" w:rsidRPr="009F6C41" w:rsidRDefault="00087833" w:rsidP="00087833">
      <w:pPr>
        <w:spacing w:line="288" w:lineRule="auto"/>
        <w:ind w:left="1440" w:hanging="720"/>
      </w:pPr>
      <w:r w:rsidRPr="009F6C41">
        <w:t>(a)</w:t>
      </w:r>
      <w:r w:rsidRPr="009F6C41">
        <w:tab/>
        <w:t>A cost recovery tariff by June 1, 2012, with requested effective date of August 1, 2012.</w:t>
      </w:r>
    </w:p>
    <w:p w14:paraId="48D6415C" w14:textId="77777777" w:rsidR="004C322F" w:rsidRPr="009F6C41" w:rsidRDefault="004C322F" w:rsidP="004C322F">
      <w:pPr>
        <w:spacing w:line="288" w:lineRule="auto"/>
        <w:ind w:left="1440" w:hanging="720"/>
      </w:pPr>
      <w:r w:rsidRPr="009F6C41">
        <w:t>(</w:t>
      </w:r>
      <w:r w:rsidR="00087833" w:rsidRPr="009F6C41">
        <w:t>b</w:t>
      </w:r>
      <w:r w:rsidRPr="009F6C41">
        <w:t>)</w:t>
      </w:r>
      <w:r w:rsidRPr="009F6C41">
        <w:tab/>
      </w:r>
      <w:r w:rsidR="00AA1FF5" w:rsidRPr="009F6C41">
        <w:t xml:space="preserve">2013 </w:t>
      </w:r>
      <w:r w:rsidR="002C29F0" w:rsidRPr="009F6C41">
        <w:t>DSM Business Plan</w:t>
      </w:r>
      <w:r w:rsidRPr="009F6C41">
        <w:t xml:space="preserve">, containing any changes to program details and an annual budget by November 1, </w:t>
      </w:r>
      <w:r w:rsidR="00AA1FF5" w:rsidRPr="009F6C41">
        <w:t>2012</w:t>
      </w:r>
      <w:r w:rsidRPr="009F6C41">
        <w:t>.</w:t>
      </w:r>
    </w:p>
    <w:p w14:paraId="48D6415D" w14:textId="77777777" w:rsidR="004C322F" w:rsidRPr="009F6C41" w:rsidRDefault="004C322F" w:rsidP="004C322F">
      <w:pPr>
        <w:spacing w:line="288" w:lineRule="auto"/>
        <w:ind w:left="1440" w:hanging="720"/>
      </w:pPr>
      <w:r w:rsidRPr="009F6C41">
        <w:lastRenderedPageBreak/>
        <w:t>(</w:t>
      </w:r>
      <w:r w:rsidR="00087833" w:rsidRPr="009F6C41">
        <w:t>c</w:t>
      </w:r>
      <w:r w:rsidRPr="009F6C41">
        <w:t>)</w:t>
      </w:r>
      <w:r w:rsidRPr="009F6C41">
        <w:tab/>
      </w:r>
      <w:r w:rsidR="00AA1FF5" w:rsidRPr="009F6C41">
        <w:t xml:space="preserve">2012 </w:t>
      </w:r>
      <w:r w:rsidR="004005AB" w:rsidRPr="009F6C41">
        <w:t xml:space="preserve">Annual Report on Conservation Acquisition, including an evaluation of cost effectiveness and comparing budgets to actual, by </w:t>
      </w:r>
      <w:r w:rsidR="00AA1FF5" w:rsidRPr="009F6C41">
        <w:t xml:space="preserve">June </w:t>
      </w:r>
      <w:r w:rsidR="004005AB" w:rsidRPr="009F6C41">
        <w:t xml:space="preserve">1, </w:t>
      </w:r>
      <w:r w:rsidR="00AA1FF5" w:rsidRPr="009F6C41">
        <w:t>2013</w:t>
      </w:r>
      <w:r w:rsidR="004005AB" w:rsidRPr="009F6C41">
        <w:t>.</w:t>
      </w:r>
    </w:p>
    <w:p w14:paraId="48D6415E" w14:textId="77777777" w:rsidR="004005AB" w:rsidRPr="009F6C41" w:rsidRDefault="004005AB" w:rsidP="004C322F">
      <w:pPr>
        <w:spacing w:line="288" w:lineRule="auto"/>
        <w:ind w:left="1440" w:hanging="720"/>
      </w:pPr>
      <w:r w:rsidRPr="009F6C41">
        <w:t>(</w:t>
      </w:r>
      <w:r w:rsidR="00087833" w:rsidRPr="009F6C41">
        <w:t>d</w:t>
      </w:r>
      <w:r w:rsidRPr="009F6C41">
        <w:t>)</w:t>
      </w:r>
      <w:r w:rsidRPr="009F6C41">
        <w:tab/>
      </w:r>
      <w:r w:rsidR="006714B0" w:rsidRPr="009F6C41">
        <w:t>A</w:t>
      </w:r>
      <w:r w:rsidRPr="009F6C41">
        <w:t xml:space="preserve"> cost recovery tariff by </w:t>
      </w:r>
      <w:r w:rsidR="00AA1FF5" w:rsidRPr="009F6C41">
        <w:t xml:space="preserve">June </w:t>
      </w:r>
      <w:r w:rsidRPr="009F6C41">
        <w:t xml:space="preserve">1, </w:t>
      </w:r>
      <w:r w:rsidR="00AA1FF5" w:rsidRPr="009F6C41">
        <w:t>2013</w:t>
      </w:r>
      <w:r w:rsidRPr="009F6C41">
        <w:t xml:space="preserve">, with requested effective date of </w:t>
      </w:r>
      <w:r w:rsidR="00AA1FF5" w:rsidRPr="009F6C41">
        <w:t xml:space="preserve">August </w:t>
      </w:r>
      <w:r w:rsidRPr="009F6C41">
        <w:t xml:space="preserve">1, </w:t>
      </w:r>
      <w:r w:rsidR="00AA1FF5" w:rsidRPr="009F6C41">
        <w:t>2013</w:t>
      </w:r>
      <w:r w:rsidRPr="009F6C41">
        <w:t>.</w:t>
      </w:r>
    </w:p>
    <w:p w14:paraId="48D6415F" w14:textId="54AF30A1" w:rsidR="00E555F8" w:rsidRPr="009F6C41" w:rsidRDefault="004005AB" w:rsidP="004C322F">
      <w:pPr>
        <w:spacing w:line="288" w:lineRule="auto"/>
        <w:ind w:left="1440" w:hanging="720"/>
      </w:pPr>
      <w:r w:rsidRPr="009F6C41">
        <w:t>(</w:t>
      </w:r>
      <w:r w:rsidR="00087833" w:rsidRPr="009F6C41">
        <w:t>e</w:t>
      </w:r>
      <w:r w:rsidRPr="009F6C41">
        <w:t>)</w:t>
      </w:r>
      <w:r w:rsidRPr="009F6C41">
        <w:tab/>
      </w:r>
      <w:r w:rsidR="00E555F8" w:rsidRPr="009F6C41">
        <w:t xml:space="preserve">Biennial Conservation Plan including revised program details and program tariffs, together with identification of </w:t>
      </w:r>
      <w:r w:rsidR="00087833" w:rsidRPr="009F6C41">
        <w:t xml:space="preserve">2014-2023 </w:t>
      </w:r>
      <w:r w:rsidR="00E555F8" w:rsidRPr="009F6C41">
        <w:t xml:space="preserve">achievable conservation potential, by November 1, </w:t>
      </w:r>
      <w:r w:rsidR="00AA1FF5" w:rsidRPr="009F6C41">
        <w:t>2013</w:t>
      </w:r>
      <w:r w:rsidR="00E555F8" w:rsidRPr="009F6C41">
        <w:t xml:space="preserve">, requesting effective date of January 1, </w:t>
      </w:r>
      <w:r w:rsidR="00AA1FF5" w:rsidRPr="009F6C41">
        <w:t>2014</w:t>
      </w:r>
      <w:r w:rsidR="00E555F8" w:rsidRPr="009F6C41">
        <w:t>.  This filing will sat</w:t>
      </w:r>
      <w:r w:rsidR="009F6C41" w:rsidRPr="009F6C41">
        <w:t>isfy the requirement in WAC 480-109-</w:t>
      </w:r>
      <w:r w:rsidR="00E555F8" w:rsidRPr="009F6C41">
        <w:t xml:space="preserve">010 to file </w:t>
      </w:r>
      <w:r w:rsidR="00671C8D" w:rsidRPr="009F6C41">
        <w:t>ten</w:t>
      </w:r>
      <w:r w:rsidR="00E555F8" w:rsidRPr="009F6C41">
        <w:t>-year Achievable Conservation Potential and Biennial Conservation Target on or before January 31.</w:t>
      </w:r>
    </w:p>
    <w:p w14:paraId="48D64160" w14:textId="224CA0BC" w:rsidR="00CB3808" w:rsidRPr="009F6C41" w:rsidRDefault="00A10CFD" w:rsidP="00CB3808">
      <w:pPr>
        <w:spacing w:line="288" w:lineRule="auto"/>
        <w:ind w:left="1440" w:hanging="720"/>
      </w:pPr>
      <w:r w:rsidRPr="009F6C41">
        <w:t>(</w:t>
      </w:r>
      <w:proofErr w:type="gramStart"/>
      <w:r w:rsidR="00087833" w:rsidRPr="009F6C41">
        <w:t>f</w:t>
      </w:r>
      <w:proofErr w:type="gramEnd"/>
      <w:r w:rsidRPr="009F6C41">
        <w:t>)</w:t>
      </w:r>
      <w:r w:rsidRPr="009F6C41">
        <w:tab/>
      </w:r>
      <w:r w:rsidR="00AE6A7C" w:rsidRPr="009F6C41">
        <w:t>T</w:t>
      </w:r>
      <w:r w:rsidRPr="009F6C41">
        <w:t xml:space="preserve">wo-year report on conservation program achievement by June 1, </w:t>
      </w:r>
      <w:r w:rsidR="006714B0" w:rsidRPr="009F6C41">
        <w:t>2014</w:t>
      </w:r>
      <w:r w:rsidRPr="009F6C41">
        <w:t xml:space="preserve">.  </w:t>
      </w:r>
      <w:r w:rsidR="00D206BA" w:rsidRPr="009F6C41">
        <w:t xml:space="preserve">This filing is the one required in </w:t>
      </w:r>
      <w:r w:rsidR="009F6C41" w:rsidRPr="009F6C41">
        <w:t>WAC 480-</w:t>
      </w:r>
      <w:r w:rsidRPr="009F6C41">
        <w:t>109</w:t>
      </w:r>
      <w:r w:rsidR="009F6C41" w:rsidRPr="009F6C41">
        <w:t>-</w:t>
      </w:r>
      <w:r w:rsidRPr="009F6C41">
        <w:t>040(1)</w:t>
      </w:r>
      <w:r w:rsidR="0001628F" w:rsidRPr="009F6C41">
        <w:t xml:space="preserve"> and RCW 19.285.070</w:t>
      </w:r>
      <w:r w:rsidR="00D206BA" w:rsidRPr="009F6C41">
        <w:t>, which require that the report also be filed with the Washington Department of Commerce</w:t>
      </w:r>
      <w:r w:rsidRPr="009F6C41">
        <w:t>.</w:t>
      </w:r>
      <w:r w:rsidR="00CB3808" w:rsidRPr="009F6C41">
        <w:t xml:space="preserve"> </w:t>
      </w:r>
    </w:p>
    <w:p w14:paraId="48D64161" w14:textId="77777777" w:rsidR="00CB3808" w:rsidRPr="009F6C41" w:rsidRDefault="00CB3808" w:rsidP="007A5D81">
      <w:pPr>
        <w:spacing w:line="288" w:lineRule="auto"/>
        <w:ind w:left="1440" w:hanging="720"/>
      </w:pPr>
    </w:p>
    <w:p w14:paraId="48D64163" w14:textId="77777777" w:rsidR="003C0B57" w:rsidRPr="00D64A3A" w:rsidRDefault="003E0A13" w:rsidP="003E0A13">
      <w:pPr>
        <w:numPr>
          <w:ilvl w:val="0"/>
          <w:numId w:val="1"/>
        </w:numPr>
        <w:spacing w:line="288" w:lineRule="auto"/>
        <w:ind w:left="720" w:hanging="1440"/>
      </w:pPr>
      <w:r w:rsidRPr="009F6C41">
        <w:t>(</w:t>
      </w:r>
      <w:r w:rsidR="003C0B57" w:rsidRPr="009F6C41">
        <w:t>9</w:t>
      </w:r>
      <w:r w:rsidRPr="009F6C41">
        <w:t>)</w:t>
      </w:r>
      <w:r w:rsidR="003C0B57" w:rsidRPr="009F6C41">
        <w:tab/>
      </w:r>
      <w:r w:rsidR="003C0B57" w:rsidRPr="009F6C41">
        <w:rPr>
          <w:b/>
        </w:rPr>
        <w:t xml:space="preserve">Required Public Involvement in Preparation for </w:t>
      </w:r>
      <w:r w:rsidR="00863D6D" w:rsidRPr="009F6C41">
        <w:rPr>
          <w:b/>
        </w:rPr>
        <w:t xml:space="preserve">the </w:t>
      </w:r>
      <w:r w:rsidR="006714B0" w:rsidRPr="009F6C41">
        <w:rPr>
          <w:b/>
        </w:rPr>
        <w:t>2014</w:t>
      </w:r>
      <w:r w:rsidR="003C0B57" w:rsidRPr="009F6C41">
        <w:rPr>
          <w:b/>
        </w:rPr>
        <w:t>-</w:t>
      </w:r>
      <w:r w:rsidR="006714B0" w:rsidRPr="009F6C41">
        <w:rPr>
          <w:b/>
        </w:rPr>
        <w:t xml:space="preserve">2015 </w:t>
      </w:r>
      <w:r w:rsidR="003C0B57" w:rsidRPr="009F6C41">
        <w:rPr>
          <w:b/>
        </w:rPr>
        <w:t>Biennium</w:t>
      </w:r>
    </w:p>
    <w:p w14:paraId="0C6E1C47" w14:textId="77777777" w:rsidR="00D64A3A" w:rsidRPr="009F6C41" w:rsidRDefault="00D64A3A" w:rsidP="00D64A3A">
      <w:pPr>
        <w:spacing w:line="288" w:lineRule="auto"/>
        <w:ind w:left="720"/>
      </w:pPr>
    </w:p>
    <w:p w14:paraId="48D64164" w14:textId="2A39F782" w:rsidR="003C0B57" w:rsidRPr="009F6C41" w:rsidRDefault="003C0B57" w:rsidP="003C0B57">
      <w:pPr>
        <w:spacing w:line="288" w:lineRule="auto"/>
        <w:ind w:left="1440" w:hanging="720"/>
      </w:pPr>
      <w:r w:rsidRPr="009F6C41">
        <w:t>(a)</w:t>
      </w:r>
      <w:r w:rsidRPr="009F6C41">
        <w:tab/>
      </w:r>
      <w:r w:rsidR="007A5D81" w:rsidRPr="009F6C41">
        <w:t xml:space="preserve">By July 1, </w:t>
      </w:r>
      <w:r w:rsidR="006714B0" w:rsidRPr="009F6C41">
        <w:t>2013</w:t>
      </w:r>
      <w:r w:rsidR="007A5D81" w:rsidRPr="009F6C41">
        <w:t xml:space="preserve">, </w:t>
      </w:r>
      <w:proofErr w:type="spellStart"/>
      <w:r w:rsidR="005944EC" w:rsidRPr="009F6C41">
        <w:t>Avista</w:t>
      </w:r>
      <w:proofErr w:type="spellEnd"/>
      <w:r w:rsidR="005944EC" w:rsidRPr="009F6C41">
        <w:t xml:space="preserve"> </w:t>
      </w:r>
      <w:r w:rsidR="009F6C41" w:rsidRPr="009F6C41">
        <w:t xml:space="preserve">Corporation </w:t>
      </w:r>
      <w:r w:rsidR="005944EC" w:rsidRPr="009F6C41">
        <w:t xml:space="preserve">must </w:t>
      </w:r>
      <w:r w:rsidR="007A5D81" w:rsidRPr="009F6C41">
        <w:t xml:space="preserve">consult with the Advisory Group to facilitate completion of a </w:t>
      </w:r>
      <w:r w:rsidR="00671C8D" w:rsidRPr="009F6C41">
        <w:t>ten</w:t>
      </w:r>
      <w:r w:rsidR="007A5D81" w:rsidRPr="009F6C41">
        <w:t xml:space="preserve">-year conservation potential analysis by November 1, </w:t>
      </w:r>
      <w:r w:rsidR="006714B0" w:rsidRPr="009F6C41">
        <w:t>2013</w:t>
      </w:r>
      <w:r w:rsidR="007A5D81" w:rsidRPr="009F6C41">
        <w:t xml:space="preserve">.  </w:t>
      </w:r>
      <w:r w:rsidR="007A5D81" w:rsidRPr="009F6C41">
        <w:rPr>
          <w:i/>
        </w:rPr>
        <w:t>See</w:t>
      </w:r>
      <w:r w:rsidR="007A5D81" w:rsidRPr="009F6C41">
        <w:t xml:space="preserve"> RCW 19.285.040(1</w:t>
      </w:r>
      <w:proofErr w:type="gramStart"/>
      <w:r w:rsidR="007A5D81" w:rsidRPr="009F6C41">
        <w:t>)(</w:t>
      </w:r>
      <w:proofErr w:type="gramEnd"/>
      <w:r w:rsidR="007A5D81" w:rsidRPr="009F6C41">
        <w:t>a); WAC 480</w:t>
      </w:r>
      <w:r w:rsidR="0002432A">
        <w:t>-</w:t>
      </w:r>
      <w:r w:rsidR="007A5D81" w:rsidRPr="009F6C41">
        <w:t>109</w:t>
      </w:r>
      <w:r w:rsidR="0002432A">
        <w:t>-</w:t>
      </w:r>
      <w:r w:rsidR="007A5D81" w:rsidRPr="009F6C41">
        <w:t xml:space="preserve">010(1).  This must be based on a current conservation potential assessment study of </w:t>
      </w:r>
      <w:proofErr w:type="spellStart"/>
      <w:r w:rsidR="007A5D81" w:rsidRPr="009F6C41">
        <w:t>Avista</w:t>
      </w:r>
      <w:proofErr w:type="spellEnd"/>
      <w:r w:rsidR="009F6C41" w:rsidRPr="009F6C41">
        <w:t xml:space="preserve"> Corporation</w:t>
      </w:r>
      <w:r w:rsidR="007A5D81" w:rsidRPr="009F6C41">
        <w:t xml:space="preserve">’s service area within Washington State.  This may be conducted within the context of </w:t>
      </w:r>
      <w:proofErr w:type="spellStart"/>
      <w:r w:rsidR="007A5D81" w:rsidRPr="009F6C41">
        <w:t>Avista</w:t>
      </w:r>
      <w:proofErr w:type="spellEnd"/>
      <w:r w:rsidR="009F6C41" w:rsidRPr="009F6C41">
        <w:t xml:space="preserve"> Corporation</w:t>
      </w:r>
      <w:r w:rsidR="007A5D81" w:rsidRPr="009F6C41">
        <w:t xml:space="preserve">’s integrated resource plan.  If </w:t>
      </w:r>
      <w:proofErr w:type="spellStart"/>
      <w:r w:rsidR="007A5D81" w:rsidRPr="009F6C41">
        <w:t>Avista</w:t>
      </w:r>
      <w:proofErr w:type="spellEnd"/>
      <w:r w:rsidR="007A5D81" w:rsidRPr="009F6C41">
        <w:t xml:space="preserve"> </w:t>
      </w:r>
      <w:r w:rsidR="009F6C41" w:rsidRPr="009F6C41">
        <w:t xml:space="preserve">Corporation </w:t>
      </w:r>
      <w:r w:rsidR="007A5D81" w:rsidRPr="009F6C41">
        <w:t xml:space="preserve">chooses to use the supply curves that make up the </w:t>
      </w:r>
      <w:r w:rsidR="00422953" w:rsidRPr="009F6C41">
        <w:t xml:space="preserve">conservation potential in the </w:t>
      </w:r>
      <w:r w:rsidR="007A5D81" w:rsidRPr="009F6C41">
        <w:t>Council</w:t>
      </w:r>
      <w:r w:rsidR="00422953" w:rsidRPr="009F6C41">
        <w:t>’s Northwest</w:t>
      </w:r>
      <w:r w:rsidR="007A5D81" w:rsidRPr="009F6C41">
        <w:t xml:space="preserve"> Power Plan, the supply curves must be updated for </w:t>
      </w:r>
      <w:r w:rsidR="00422953" w:rsidRPr="009F6C41">
        <w:t>n</w:t>
      </w:r>
      <w:r w:rsidR="007A5D81" w:rsidRPr="009F6C41">
        <w:t>ew assumptions and measures.</w:t>
      </w:r>
    </w:p>
    <w:p w14:paraId="48D64165" w14:textId="7D9342BB" w:rsidR="00683AA4" w:rsidRPr="009F6C41" w:rsidRDefault="00683AA4" w:rsidP="003C0B57">
      <w:pPr>
        <w:spacing w:line="288" w:lineRule="auto"/>
        <w:ind w:left="1440" w:hanging="720"/>
      </w:pPr>
      <w:r w:rsidRPr="009F6C41">
        <w:t>(b)</w:t>
      </w:r>
      <w:r w:rsidRPr="009F6C41">
        <w:tab/>
      </w:r>
      <w:proofErr w:type="spellStart"/>
      <w:r w:rsidR="005944EC" w:rsidRPr="009F6C41">
        <w:t>Avista</w:t>
      </w:r>
      <w:proofErr w:type="spellEnd"/>
      <w:r w:rsidR="005944EC" w:rsidRPr="009F6C41">
        <w:t xml:space="preserve"> </w:t>
      </w:r>
      <w:r w:rsidR="009F6C41" w:rsidRPr="009F6C41">
        <w:t xml:space="preserve">Corporation </w:t>
      </w:r>
      <w:r w:rsidR="005944EC" w:rsidRPr="009F6C41">
        <w:t>must c</w:t>
      </w:r>
      <w:r w:rsidRPr="009F6C41">
        <w:t>onsult with the Advisory Group between July</w:t>
      </w:r>
      <w:r w:rsidR="00247FC2" w:rsidRPr="009F6C41">
        <w:t xml:space="preserve"> 1, </w:t>
      </w:r>
      <w:r w:rsidR="006714B0" w:rsidRPr="009F6C41">
        <w:t>2013</w:t>
      </w:r>
      <w:r w:rsidR="00247FC2" w:rsidRPr="009F6C41">
        <w:t>,</w:t>
      </w:r>
      <w:r w:rsidRPr="009F6C41">
        <w:t xml:space="preserve"> and October</w:t>
      </w:r>
      <w:r w:rsidR="00247FC2" w:rsidRPr="009F6C41">
        <w:t xml:space="preserve"> 31,</w:t>
      </w:r>
      <w:r w:rsidRPr="009F6C41">
        <w:t xml:space="preserve"> </w:t>
      </w:r>
      <w:r w:rsidR="006714B0" w:rsidRPr="009F6C41">
        <w:t>2013</w:t>
      </w:r>
      <w:r w:rsidR="00247FC2" w:rsidRPr="009F6C41">
        <w:t>,</w:t>
      </w:r>
      <w:r w:rsidRPr="009F6C41">
        <w:t xml:space="preserve"> to identify achievable conservation potential for </w:t>
      </w:r>
      <w:r w:rsidR="006714B0" w:rsidRPr="009F6C41">
        <w:t>2014</w:t>
      </w:r>
      <w:r w:rsidRPr="009F6C41">
        <w:t>-</w:t>
      </w:r>
      <w:r w:rsidR="006714B0" w:rsidRPr="009F6C41">
        <w:t xml:space="preserve">2023 </w:t>
      </w:r>
      <w:r w:rsidRPr="009F6C41">
        <w:t xml:space="preserve">and set annual and biennial targets for the </w:t>
      </w:r>
      <w:r w:rsidR="006714B0" w:rsidRPr="009F6C41">
        <w:t>2014</w:t>
      </w:r>
      <w:r w:rsidRPr="009F6C41">
        <w:t>-</w:t>
      </w:r>
      <w:r w:rsidR="006714B0" w:rsidRPr="009F6C41">
        <w:t xml:space="preserve">2015 </w:t>
      </w:r>
      <w:proofErr w:type="gramStart"/>
      <w:r w:rsidRPr="009F6C41">
        <w:t>biennium</w:t>
      </w:r>
      <w:proofErr w:type="gramEnd"/>
      <w:r w:rsidRPr="009F6C41">
        <w:t xml:space="preserve">, including necessary revisions to program details.  </w:t>
      </w:r>
      <w:r w:rsidRPr="009F6C41">
        <w:rPr>
          <w:i/>
        </w:rPr>
        <w:t>See</w:t>
      </w:r>
      <w:r w:rsidRPr="009F6C41">
        <w:t xml:space="preserve"> RCW 19.285.040(1</w:t>
      </w:r>
      <w:proofErr w:type="gramStart"/>
      <w:r w:rsidRPr="009F6C41">
        <w:t>)(</w:t>
      </w:r>
      <w:proofErr w:type="gramEnd"/>
      <w:r w:rsidRPr="009F6C41">
        <w:t>b); WAC 480</w:t>
      </w:r>
      <w:r w:rsidR="00D87C01">
        <w:t>-</w:t>
      </w:r>
      <w:r w:rsidRPr="009F6C41">
        <w:t>109</w:t>
      </w:r>
      <w:r w:rsidR="00D87C01">
        <w:t>-</w:t>
      </w:r>
      <w:r w:rsidRPr="009F6C41">
        <w:t>010(2) and (3).</w:t>
      </w:r>
    </w:p>
    <w:p w14:paraId="48D64166" w14:textId="4D243F1F" w:rsidR="007C33D1" w:rsidRPr="009F6C41" w:rsidRDefault="007C33D1" w:rsidP="003C0B57">
      <w:pPr>
        <w:spacing w:line="288" w:lineRule="auto"/>
        <w:ind w:left="1440" w:hanging="720"/>
      </w:pPr>
      <w:r w:rsidRPr="009F6C41">
        <w:t>(c)</w:t>
      </w:r>
      <w:r w:rsidRPr="009F6C41">
        <w:tab/>
      </w:r>
      <w:r w:rsidR="00783C1C" w:rsidRPr="009F6C41">
        <w:t xml:space="preserve">During the consultation described in subparagraph 9(b) above, </w:t>
      </w:r>
      <w:proofErr w:type="spellStart"/>
      <w:r w:rsidR="005944EC" w:rsidRPr="009F6C41">
        <w:t>Avista</w:t>
      </w:r>
      <w:proofErr w:type="spellEnd"/>
      <w:r w:rsidR="005944EC" w:rsidRPr="009F6C41">
        <w:t xml:space="preserve"> </w:t>
      </w:r>
      <w:r w:rsidR="009F6C41" w:rsidRPr="009F6C41">
        <w:t xml:space="preserve">Corporation </w:t>
      </w:r>
      <w:r w:rsidR="005944EC" w:rsidRPr="009F6C41">
        <w:t>must r</w:t>
      </w:r>
      <w:r w:rsidRPr="009F6C41">
        <w:t>eview with the Advisory Group</w:t>
      </w:r>
      <w:r w:rsidR="00783C1C" w:rsidRPr="009F6C41">
        <w:t xml:space="preserve"> </w:t>
      </w:r>
      <w:r w:rsidRPr="009F6C41">
        <w:t xml:space="preserve">whether standard-efficiency fuel conversion savings should be included in the </w:t>
      </w:r>
      <w:r w:rsidR="006714B0" w:rsidRPr="009F6C41">
        <w:t>2014</w:t>
      </w:r>
      <w:r w:rsidRPr="009F6C41">
        <w:t>-</w:t>
      </w:r>
      <w:r w:rsidR="006714B0" w:rsidRPr="009F6C41">
        <w:t xml:space="preserve">2015 </w:t>
      </w:r>
      <w:r w:rsidRPr="009F6C41">
        <w:t>Biennial Conservation Target.</w:t>
      </w:r>
    </w:p>
    <w:p w14:paraId="48D64168" w14:textId="77777777" w:rsidR="004C322F" w:rsidRPr="00D64A3A" w:rsidRDefault="003C0B57" w:rsidP="003E0A13">
      <w:pPr>
        <w:numPr>
          <w:ilvl w:val="0"/>
          <w:numId w:val="1"/>
        </w:numPr>
        <w:spacing w:line="288" w:lineRule="auto"/>
        <w:ind w:left="720" w:hanging="1440"/>
      </w:pPr>
      <w:r w:rsidRPr="009F6C41">
        <w:lastRenderedPageBreak/>
        <w:t>(10)</w:t>
      </w:r>
      <w:r w:rsidR="003E0A13" w:rsidRPr="009F6C41">
        <w:tab/>
      </w:r>
      <w:r w:rsidR="003E0A13" w:rsidRPr="009F6C41">
        <w:rPr>
          <w:b/>
        </w:rPr>
        <w:t>Cost Effectiveness Test is the Total Resource Cost Test</w:t>
      </w:r>
    </w:p>
    <w:p w14:paraId="773F7867" w14:textId="77777777" w:rsidR="00D64A3A" w:rsidRPr="009F6C41" w:rsidRDefault="00D64A3A" w:rsidP="00D64A3A">
      <w:pPr>
        <w:spacing w:line="288" w:lineRule="auto"/>
        <w:ind w:left="720"/>
      </w:pPr>
    </w:p>
    <w:p w14:paraId="48D64169" w14:textId="5C9D83DE" w:rsidR="00303595" w:rsidRPr="009F6C41" w:rsidRDefault="00303595" w:rsidP="00303595">
      <w:pPr>
        <w:spacing w:line="288" w:lineRule="auto"/>
        <w:ind w:left="1440" w:hanging="720"/>
      </w:pPr>
      <w:r w:rsidRPr="009F6C41">
        <w:t>(a)</w:t>
      </w:r>
      <w:r w:rsidRPr="009F6C41">
        <w:tab/>
        <w:t xml:space="preserve">The primary cost effectiveness test </w:t>
      </w:r>
      <w:r w:rsidR="000A0219" w:rsidRPr="009F6C41">
        <w:t>is</w:t>
      </w:r>
      <w:r w:rsidRPr="009F6C41">
        <w:t xml:space="preserve"> the Total Resource Cost (TRC) test as modified by the Council.  The Council-modified calculation of TRC includes quantifiable non-energy benefits</w:t>
      </w:r>
      <w:r w:rsidR="004E261C" w:rsidRPr="009F6C41">
        <w:t>, a risk adder,</w:t>
      </w:r>
      <w:r w:rsidRPr="009F6C41">
        <w:t xml:space="preserve"> and a 10 percent conservation benefit adder that increases the avoided costs by 10 percent.  The Council does not include a net-to-gross adjustment.  </w:t>
      </w:r>
      <w:r w:rsidR="00644F00" w:rsidRPr="009F6C41">
        <w:t>As of the date of this O</w:t>
      </w:r>
      <w:r w:rsidRPr="009F6C41">
        <w:t>rder, an outline of the major elements of the Council’s methodology for determining achievable conservation potential</w:t>
      </w:r>
      <w:r w:rsidR="002F7EF7" w:rsidRPr="009F6C41">
        <w:t>, including the Total Resource Cost test,</w:t>
      </w:r>
      <w:r w:rsidRPr="009F6C41">
        <w:t xml:space="preserve"> is </w:t>
      </w:r>
      <w:hyperlink r:id="rId20" w:history="1">
        <w:r w:rsidR="002C29F0" w:rsidRPr="009F6C41">
          <w:rPr>
            <w:rStyle w:val="Hyperlink"/>
          </w:rPr>
          <w:t>referenced</w:t>
        </w:r>
      </w:hyperlink>
      <w:r w:rsidR="002C29F0" w:rsidRPr="009F6C41">
        <w:t xml:space="preserve"> in paragraph (7)(d)</w:t>
      </w:r>
      <w:r w:rsidR="00644F00" w:rsidRPr="009F6C41">
        <w:t>.</w:t>
      </w:r>
    </w:p>
    <w:p w14:paraId="48D6416A" w14:textId="21D8CB25" w:rsidR="009C32EC" w:rsidRPr="009F6C41" w:rsidRDefault="009C32EC" w:rsidP="00303595">
      <w:pPr>
        <w:spacing w:line="288" w:lineRule="auto"/>
        <w:ind w:left="1440" w:hanging="720"/>
      </w:pPr>
      <w:r w:rsidRPr="009F6C41">
        <w:t>(b)</w:t>
      </w:r>
      <w:r w:rsidRPr="009F6C41">
        <w:tab/>
        <w:t xml:space="preserve">In addition to the Council-modified TRC, </w:t>
      </w:r>
      <w:proofErr w:type="spellStart"/>
      <w:r w:rsidRPr="009F6C41">
        <w:t>Avista</w:t>
      </w:r>
      <w:proofErr w:type="spellEnd"/>
      <w:r w:rsidRPr="009F6C41">
        <w:t xml:space="preserve"> </w:t>
      </w:r>
      <w:r w:rsidR="009F6C41" w:rsidRPr="009F6C41">
        <w:t xml:space="preserve">Corporation </w:t>
      </w:r>
      <w:r w:rsidR="00C72813" w:rsidRPr="009F6C41">
        <w:t>must</w:t>
      </w:r>
      <w:r w:rsidRPr="009F6C41">
        <w:t xml:space="preserve"> provide calculations of the Program Administrator Cost test (also called the Utility Cost test), Ratepayer Impact Measure test, and Participant Cost test described in the National Action Plan for Energy Efficiency’s study “Understanding Cost-effectiveness of Energy Efficiency Programs.”</w:t>
      </w:r>
      <w:r w:rsidR="001664A6" w:rsidRPr="009F6C41">
        <w:t xml:space="preserve">  As of the date of this O</w:t>
      </w:r>
      <w:r w:rsidR="008E7D93" w:rsidRPr="009F6C41">
        <w:t xml:space="preserve">rder, the study is available on the </w:t>
      </w:r>
      <w:r w:rsidR="00FE4DAB" w:rsidRPr="009F6C41">
        <w:t>W</w:t>
      </w:r>
      <w:r w:rsidR="00530080" w:rsidRPr="009F6C41">
        <w:t xml:space="preserve">eb site of the </w:t>
      </w:r>
      <w:r w:rsidR="008E7D93" w:rsidRPr="009F6C41">
        <w:t>United States Environmental Protection Agency at</w:t>
      </w:r>
      <w:r w:rsidR="00514262" w:rsidRPr="009F6C41">
        <w:t xml:space="preserve"> </w:t>
      </w:r>
      <w:hyperlink r:id="rId21" w:history="1">
        <w:r w:rsidR="00FA79AC" w:rsidRPr="009F6C41">
          <w:rPr>
            <w:rStyle w:val="Hyperlink"/>
          </w:rPr>
          <w:t>http://www.epa.gov/cleanenergy/documents/suca/cost-effectiveness.pdf</w:t>
        </w:r>
      </w:hyperlink>
      <w:r w:rsidR="008E7D93" w:rsidRPr="009F6C41">
        <w:t xml:space="preserve">. </w:t>
      </w:r>
    </w:p>
    <w:p w14:paraId="48D6416B" w14:textId="14F61FB6" w:rsidR="001664A6" w:rsidRPr="009F6C41" w:rsidRDefault="001664A6" w:rsidP="00303595">
      <w:pPr>
        <w:spacing w:line="288" w:lineRule="auto"/>
        <w:ind w:left="1440" w:hanging="720"/>
      </w:pPr>
      <w:r w:rsidRPr="009F6C41">
        <w:t>(c)</w:t>
      </w:r>
      <w:r w:rsidRPr="009F6C41">
        <w:tab/>
        <w:t xml:space="preserve">Overall conservation cost-effectiveness </w:t>
      </w:r>
      <w:r w:rsidR="005C303E" w:rsidRPr="009F6C41">
        <w:t>must</w:t>
      </w:r>
      <w:r w:rsidRPr="009F6C41">
        <w:t xml:space="preserve"> be evaluated at the portfolio level.  Costs included in the portfolio level analysis include conservation-related administrative costs.  </w:t>
      </w:r>
      <w:proofErr w:type="spellStart"/>
      <w:r w:rsidRPr="009F6C41">
        <w:t>Avista</w:t>
      </w:r>
      <w:proofErr w:type="spellEnd"/>
      <w:r w:rsidRPr="009F6C41">
        <w:t xml:space="preserve"> </w:t>
      </w:r>
      <w:r w:rsidR="009F6C41" w:rsidRPr="009F6C41">
        <w:t xml:space="preserve">Corporation </w:t>
      </w:r>
      <w:r w:rsidR="005C303E" w:rsidRPr="009F6C41">
        <w:t>must</w:t>
      </w:r>
      <w:r w:rsidRPr="009F6C41">
        <w:t xml:space="preserve"> continue to evaluate measure and program level cost tests.</w:t>
      </w:r>
    </w:p>
    <w:p w14:paraId="48D6416C" w14:textId="77777777" w:rsidR="00986164" w:rsidRPr="009F6C41" w:rsidRDefault="00986164" w:rsidP="00986164">
      <w:pPr>
        <w:spacing w:line="288" w:lineRule="auto"/>
      </w:pPr>
    </w:p>
    <w:p w14:paraId="48D6416D" w14:textId="77777777" w:rsidR="003E0A13" w:rsidRPr="00D64A3A" w:rsidRDefault="00E33F1B" w:rsidP="00E33F1B">
      <w:pPr>
        <w:numPr>
          <w:ilvl w:val="0"/>
          <w:numId w:val="1"/>
        </w:numPr>
        <w:spacing w:line="288" w:lineRule="auto"/>
        <w:ind w:left="720" w:hanging="1440"/>
      </w:pPr>
      <w:r w:rsidRPr="009F6C41">
        <w:t>(11)</w:t>
      </w:r>
      <w:r w:rsidRPr="009F6C41">
        <w:tab/>
      </w:r>
      <w:r w:rsidRPr="009F6C41">
        <w:rPr>
          <w:b/>
        </w:rPr>
        <w:t>Recovery Through an Electric Tariff Rider</w:t>
      </w:r>
    </w:p>
    <w:p w14:paraId="58FAF27D" w14:textId="77777777" w:rsidR="00D64A3A" w:rsidRPr="009F6C41" w:rsidRDefault="00D64A3A" w:rsidP="00D64A3A">
      <w:pPr>
        <w:spacing w:line="288" w:lineRule="auto"/>
        <w:ind w:left="720"/>
      </w:pPr>
    </w:p>
    <w:p w14:paraId="48D6416E" w14:textId="4D7ACC59" w:rsidR="00986164" w:rsidRPr="009F6C41" w:rsidRDefault="00986164" w:rsidP="00986164">
      <w:pPr>
        <w:spacing w:line="288" w:lineRule="auto"/>
        <w:ind w:left="1440" w:hanging="720"/>
      </w:pPr>
      <w:r w:rsidRPr="009F6C41">
        <w:t>(a)</w:t>
      </w:r>
      <w:r w:rsidRPr="009F6C41">
        <w:tab/>
        <w:t xml:space="preserve">Annual Filing — </w:t>
      </w:r>
      <w:proofErr w:type="spellStart"/>
      <w:r w:rsidRPr="009F6C41">
        <w:t>Avista</w:t>
      </w:r>
      <w:r w:rsidR="009C1147" w:rsidRPr="009F6C41">
        <w:t>’s</w:t>
      </w:r>
      <w:proofErr w:type="spellEnd"/>
      <w:r w:rsidRPr="009F6C41">
        <w:t xml:space="preserve"> annual tariff rider </w:t>
      </w:r>
      <w:r w:rsidR="009C1147" w:rsidRPr="009F6C41">
        <w:t xml:space="preserve">filing, required under </w:t>
      </w:r>
      <w:r w:rsidR="00353676">
        <w:t>P</w:t>
      </w:r>
      <w:r w:rsidR="009C1147" w:rsidRPr="009F6C41">
        <w:t>aragraph</w:t>
      </w:r>
      <w:r w:rsidR="00353676">
        <w:t>s</w:t>
      </w:r>
      <w:r w:rsidR="009C1147" w:rsidRPr="009F6C41">
        <w:t xml:space="preserve"> (8</w:t>
      </w:r>
      <w:proofErr w:type="gramStart"/>
      <w:r w:rsidR="009C1147" w:rsidRPr="009F6C41">
        <w:t>)(</w:t>
      </w:r>
      <w:proofErr w:type="gramEnd"/>
      <w:r w:rsidR="00353676">
        <w:t>a</w:t>
      </w:r>
      <w:r w:rsidR="009C1147" w:rsidRPr="009F6C41">
        <w:t>)</w:t>
      </w:r>
      <w:r w:rsidR="00353676">
        <w:t xml:space="preserve"> and (d)</w:t>
      </w:r>
      <w:r w:rsidR="009C1147" w:rsidRPr="009F6C41">
        <w:t>,</w:t>
      </w:r>
      <w:r w:rsidRPr="009F6C41">
        <w:t xml:space="preserve"> </w:t>
      </w:r>
      <w:r w:rsidR="009C1147" w:rsidRPr="009F6C41">
        <w:t xml:space="preserve">will </w:t>
      </w:r>
      <w:r w:rsidRPr="009F6C41">
        <w:t xml:space="preserve">recover the future year’s budgeted expenses and any significant variances between budgeted and actual income and expenditures during the previous </w:t>
      </w:r>
      <w:r w:rsidR="009C1147" w:rsidRPr="009F6C41">
        <w:t>period</w:t>
      </w:r>
      <w:r w:rsidRPr="009F6C41">
        <w:t>.</w:t>
      </w:r>
    </w:p>
    <w:p w14:paraId="48D6416F" w14:textId="77777777" w:rsidR="00986164" w:rsidRPr="009F6C41" w:rsidRDefault="00986164" w:rsidP="00986164">
      <w:pPr>
        <w:spacing w:line="288" w:lineRule="auto"/>
        <w:ind w:left="1440" w:hanging="720"/>
      </w:pPr>
      <w:r w:rsidRPr="009F6C41">
        <w:t>(b)</w:t>
      </w:r>
      <w:r w:rsidRPr="009F6C41">
        <w:tab/>
        <w:t xml:space="preserve">Scope of Expenditures — Funds collected through the rider </w:t>
      </w:r>
      <w:r w:rsidR="00D91B03" w:rsidRPr="009F6C41">
        <w:t>must</w:t>
      </w:r>
      <w:r w:rsidRPr="009F6C41">
        <w:t xml:space="preserve"> be used on approved conservation programs and their administrative costs.</w:t>
      </w:r>
    </w:p>
    <w:p w14:paraId="48D64170" w14:textId="77777777" w:rsidR="007E5E02" w:rsidRPr="009F6C41" w:rsidRDefault="007E5E02" w:rsidP="00986164">
      <w:pPr>
        <w:spacing w:line="288" w:lineRule="auto"/>
        <w:ind w:left="1440" w:hanging="720"/>
      </w:pPr>
      <w:r w:rsidRPr="009F6C41">
        <w:t>(c)</w:t>
      </w:r>
      <w:r w:rsidRPr="009F6C41">
        <w:tab/>
        <w:t xml:space="preserve">Recovery for Each Customer Class — </w:t>
      </w:r>
      <w:r w:rsidR="00783C1C" w:rsidRPr="009F6C41">
        <w:t xml:space="preserve">Rate </w:t>
      </w:r>
      <w:r w:rsidRPr="009F6C41">
        <w:t xml:space="preserve">spread and rate design </w:t>
      </w:r>
      <w:r w:rsidR="00D91B03" w:rsidRPr="009F6C41">
        <w:t>must</w:t>
      </w:r>
      <w:r w:rsidRPr="009F6C41">
        <w:t xml:space="preserve"> match </w:t>
      </w:r>
      <w:proofErr w:type="spellStart"/>
      <w:r w:rsidRPr="009F6C41">
        <w:t>Avista’s</w:t>
      </w:r>
      <w:proofErr w:type="spellEnd"/>
      <w:r w:rsidRPr="009F6C41">
        <w:t xml:space="preserve"> underlying base volumetric rates.</w:t>
      </w:r>
    </w:p>
    <w:p w14:paraId="48D64171" w14:textId="77777777" w:rsidR="00622C6F" w:rsidRDefault="00622C6F">
      <w:pPr>
        <w:spacing w:line="288" w:lineRule="auto"/>
      </w:pPr>
    </w:p>
    <w:p w14:paraId="79B04BE9" w14:textId="77777777" w:rsidR="00FF4814" w:rsidRPr="009F6C41" w:rsidRDefault="00FF4814">
      <w:pPr>
        <w:spacing w:line="288" w:lineRule="auto"/>
      </w:pPr>
    </w:p>
    <w:p w14:paraId="1843029B" w14:textId="77777777" w:rsidR="00A738B8" w:rsidRDefault="00A738B8">
      <w:pPr>
        <w:spacing w:line="288" w:lineRule="auto"/>
      </w:pPr>
    </w:p>
    <w:p w14:paraId="48D64172" w14:textId="77777777" w:rsidR="004D5CCF" w:rsidRPr="009F6C41" w:rsidRDefault="004D5CCF">
      <w:pPr>
        <w:spacing w:line="288" w:lineRule="auto"/>
        <w:rPr>
          <w:b/>
        </w:rPr>
      </w:pPr>
      <w:proofErr w:type="gramStart"/>
      <w:r w:rsidRPr="009F6C41">
        <w:lastRenderedPageBreak/>
        <w:t>DATED at Olympia,</w:t>
      </w:r>
      <w:r w:rsidR="0076520B" w:rsidRPr="009F6C41">
        <w:t xml:space="preserve"> </w:t>
      </w:r>
      <w:r w:rsidRPr="009F6C41">
        <w:t xml:space="preserve">Washington, and effective </w:t>
      </w:r>
      <w:r w:rsidR="00646015" w:rsidRPr="009F6C41">
        <w:t>February 10, 2012</w:t>
      </w:r>
      <w:r w:rsidRPr="009F6C41">
        <w:t>.</w:t>
      </w:r>
      <w:proofErr w:type="gramEnd"/>
    </w:p>
    <w:p w14:paraId="48D64173" w14:textId="77777777" w:rsidR="004D5CCF" w:rsidRPr="009F6C41" w:rsidRDefault="004D5CCF">
      <w:pPr>
        <w:spacing w:line="288" w:lineRule="auto"/>
        <w:rPr>
          <w:b/>
        </w:rPr>
      </w:pPr>
    </w:p>
    <w:p w14:paraId="48D64174" w14:textId="77777777" w:rsidR="004D5CCF" w:rsidRPr="009F6C41" w:rsidRDefault="004D5CCF">
      <w:pPr>
        <w:spacing w:line="288" w:lineRule="auto"/>
        <w:jc w:val="center"/>
      </w:pPr>
      <w:r w:rsidRPr="009F6C41">
        <w:t>WASHINGTON UTILITIES AND TRANSPORTATION COMMISSION</w:t>
      </w:r>
    </w:p>
    <w:p w14:paraId="48D64175" w14:textId="77777777" w:rsidR="004D5CCF" w:rsidRPr="009F6C41" w:rsidRDefault="004D5CCF">
      <w:pPr>
        <w:spacing w:line="288" w:lineRule="auto"/>
        <w:jc w:val="center"/>
      </w:pPr>
    </w:p>
    <w:p w14:paraId="48D64176" w14:textId="77777777" w:rsidR="001A0B77" w:rsidRDefault="001A0B77" w:rsidP="001A0B77">
      <w:pPr>
        <w:spacing w:line="288" w:lineRule="auto"/>
      </w:pPr>
    </w:p>
    <w:p w14:paraId="0E22777A" w14:textId="77777777" w:rsidR="00F61806" w:rsidRPr="009F6C41" w:rsidRDefault="00F61806" w:rsidP="001A0B77">
      <w:pPr>
        <w:spacing w:line="288" w:lineRule="auto"/>
      </w:pPr>
    </w:p>
    <w:p w14:paraId="48D64177" w14:textId="77777777" w:rsidR="001A0B77" w:rsidRPr="009F6C41" w:rsidRDefault="001A0B77" w:rsidP="001A0B77">
      <w:pPr>
        <w:spacing w:line="288" w:lineRule="auto"/>
      </w:pPr>
      <w:r w:rsidRPr="009F6C41">
        <w:tab/>
      </w:r>
      <w:r w:rsidRPr="009F6C41">
        <w:tab/>
      </w:r>
      <w:r w:rsidRPr="009F6C41">
        <w:tab/>
      </w:r>
      <w:r w:rsidRPr="009F6C41">
        <w:tab/>
      </w:r>
      <w:r w:rsidRPr="009F6C41">
        <w:tab/>
      </w:r>
      <w:r w:rsidRPr="009F6C41">
        <w:tab/>
        <w:t>JEFFREY D. GOLTZ, Chairman</w:t>
      </w:r>
    </w:p>
    <w:p w14:paraId="48D64178" w14:textId="77777777" w:rsidR="001A0B77" w:rsidRPr="009F6C41" w:rsidRDefault="001A0B77" w:rsidP="001A0B77">
      <w:pPr>
        <w:spacing w:line="288" w:lineRule="auto"/>
      </w:pPr>
    </w:p>
    <w:p w14:paraId="48D64179" w14:textId="77777777" w:rsidR="001A0B77" w:rsidRPr="009F6C41" w:rsidRDefault="001A0B77" w:rsidP="001A0B77">
      <w:pPr>
        <w:spacing w:line="288" w:lineRule="auto"/>
      </w:pPr>
    </w:p>
    <w:p w14:paraId="48D6417A" w14:textId="77777777" w:rsidR="001A0B77" w:rsidRPr="009F6C41" w:rsidRDefault="001A0B77" w:rsidP="001A0B77">
      <w:pPr>
        <w:spacing w:line="288" w:lineRule="auto"/>
      </w:pPr>
    </w:p>
    <w:p w14:paraId="48D6417F" w14:textId="6C3B5E7F" w:rsidR="004D5CCF" w:rsidRPr="00BC3E35" w:rsidRDefault="001A0B77" w:rsidP="00802DD5">
      <w:pPr>
        <w:spacing w:line="288" w:lineRule="auto"/>
        <w:rPr>
          <w:sz w:val="25"/>
          <w:szCs w:val="25"/>
        </w:rPr>
      </w:pPr>
      <w:r w:rsidRPr="009F6C41">
        <w:tab/>
      </w:r>
      <w:r w:rsidRPr="009F6C41">
        <w:tab/>
      </w:r>
      <w:r w:rsidRPr="009F6C41">
        <w:tab/>
      </w:r>
      <w:r w:rsidRPr="009F6C41">
        <w:tab/>
      </w:r>
      <w:r w:rsidRPr="009F6C41">
        <w:tab/>
      </w:r>
      <w:r w:rsidRPr="009F6C41">
        <w:tab/>
      </w:r>
      <w:bookmarkStart w:id="2" w:name="_GoBack"/>
      <w:bookmarkEnd w:id="2"/>
      <w:r w:rsidRPr="00BC3E35">
        <w:rPr>
          <w:sz w:val="25"/>
          <w:szCs w:val="25"/>
        </w:rPr>
        <w:t>PHILIP B. JONES, Commissioner</w:t>
      </w:r>
    </w:p>
    <w:sectPr w:rsidR="004D5CCF" w:rsidRPr="00BC3E35" w:rsidSect="00374140">
      <w:headerReference w:type="default" r:id="rId22"/>
      <w:headerReference w:type="first" r:id="rId2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4182" w14:textId="77777777" w:rsidR="00353676" w:rsidRDefault="00353676">
      <w:r>
        <w:separator/>
      </w:r>
    </w:p>
  </w:endnote>
  <w:endnote w:type="continuationSeparator" w:id="0">
    <w:p w14:paraId="48D64183" w14:textId="77777777" w:rsidR="00353676" w:rsidRDefault="003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4180" w14:textId="77777777" w:rsidR="00353676" w:rsidRDefault="00353676">
      <w:r>
        <w:separator/>
      </w:r>
    </w:p>
  </w:footnote>
  <w:footnote w:type="continuationSeparator" w:id="0">
    <w:p w14:paraId="48D64181" w14:textId="77777777" w:rsidR="00353676" w:rsidRDefault="00353676">
      <w:r>
        <w:continuationSeparator/>
      </w:r>
    </w:p>
  </w:footnote>
  <w:footnote w:id="1">
    <w:p w14:paraId="48D6418A" w14:textId="224B9CDA" w:rsidR="00353676" w:rsidRDefault="00353676" w:rsidP="00A44B21">
      <w:pPr>
        <w:pStyle w:val="FootnoteText"/>
        <w:spacing w:after="120"/>
      </w:pPr>
      <w:r>
        <w:rPr>
          <w:rStyle w:val="FootnoteReference"/>
        </w:rPr>
        <w:footnoteRef/>
      </w:r>
      <w:r>
        <w:t xml:space="preserve">  WAC 480-100-238 requires electric utilities regulated by the Commission to file an integrated resource plan every two years.  </w:t>
      </w:r>
      <w:r w:rsidRPr="00897D08">
        <w:rPr>
          <w:i/>
        </w:rPr>
        <w:t>See</w:t>
      </w:r>
      <w:r>
        <w:t xml:space="preserve"> RCW Chapter 19.280.  </w:t>
      </w:r>
      <w:proofErr w:type="spellStart"/>
      <w:r>
        <w:t>Avista</w:t>
      </w:r>
      <w:proofErr w:type="spellEnd"/>
      <w:r>
        <w:t xml:space="preserve"> presented its 2011 electric Integrated Resource Plan to the Commission in Docket UE-101482.</w:t>
      </w:r>
    </w:p>
  </w:footnote>
  <w:footnote w:id="2">
    <w:p w14:paraId="48D6418B" w14:textId="77777777" w:rsidR="00353676" w:rsidRDefault="00353676" w:rsidP="00A44B21">
      <w:pPr>
        <w:pStyle w:val="FootnoteText"/>
        <w:spacing w:after="120"/>
      </w:pPr>
      <w:r>
        <w:rPr>
          <w:rStyle w:val="FootnoteReference"/>
        </w:rPr>
        <w:footnoteRef/>
      </w:r>
      <w:r>
        <w:t xml:space="preserve">  BCP page 30.</w:t>
      </w:r>
    </w:p>
  </w:footnote>
  <w:footnote w:id="3">
    <w:p w14:paraId="48D6418C" w14:textId="77777777" w:rsidR="00353676" w:rsidRDefault="00353676" w:rsidP="00A44B21">
      <w:pPr>
        <w:pStyle w:val="FootnoteText"/>
        <w:spacing w:after="120"/>
      </w:pPr>
      <w:r>
        <w:rPr>
          <w:rStyle w:val="FootnoteReference"/>
        </w:rPr>
        <w:footnoteRef/>
      </w:r>
      <w:r>
        <w:t xml:space="preserve">  BCP page 12.</w:t>
      </w:r>
    </w:p>
  </w:footnote>
  <w:footnote w:id="4">
    <w:p w14:paraId="48D6418D" w14:textId="77777777" w:rsidR="00353676" w:rsidRDefault="00353676" w:rsidP="00A44B21">
      <w:pPr>
        <w:pStyle w:val="FootnoteText"/>
        <w:spacing w:after="120"/>
      </w:pPr>
      <w:r>
        <w:rPr>
          <w:rStyle w:val="FootnoteReference"/>
        </w:rPr>
        <w:footnoteRef/>
      </w:r>
      <w:r>
        <w:t xml:space="preserve">  Id.</w:t>
      </w:r>
    </w:p>
  </w:footnote>
  <w:footnote w:id="5">
    <w:p w14:paraId="48D6418E" w14:textId="77777777" w:rsidR="00353676" w:rsidRDefault="00353676" w:rsidP="00A44B21">
      <w:pPr>
        <w:pStyle w:val="FootnoteText"/>
        <w:spacing w:after="120"/>
      </w:pPr>
      <w:r>
        <w:rPr>
          <w:rStyle w:val="FootnoteReference"/>
        </w:rPr>
        <w:footnoteRef/>
      </w:r>
      <w:r>
        <w:t xml:space="preserve">  </w:t>
      </w:r>
      <w:proofErr w:type="gramStart"/>
      <w:r>
        <w:t>Based on 30 percent reduction from the High Range Estimate.</w:t>
      </w:r>
      <w:proofErr w:type="gramEnd"/>
      <w:r>
        <w:t xml:space="preserve">  See BCP page 35.</w:t>
      </w:r>
    </w:p>
  </w:footnote>
  <w:footnote w:id="6">
    <w:p w14:paraId="48D6418F" w14:textId="77777777" w:rsidR="00353676" w:rsidRDefault="00353676" w:rsidP="00A44B21">
      <w:pPr>
        <w:pStyle w:val="FootnoteText"/>
        <w:spacing w:after="120"/>
      </w:pPr>
      <w:r>
        <w:rPr>
          <w:rStyle w:val="FootnoteReference"/>
        </w:rPr>
        <w:footnoteRef/>
      </w:r>
      <w:r>
        <w:t xml:space="preserve">  </w:t>
      </w:r>
      <w:proofErr w:type="spellStart"/>
      <w:r w:rsidRPr="0002276A">
        <w:t>Avista</w:t>
      </w:r>
      <w:proofErr w:type="spellEnd"/>
      <w:r w:rsidRPr="0002276A">
        <w:t xml:space="preserve"> identified 6.1 </w:t>
      </w:r>
      <w:proofErr w:type="spellStart"/>
      <w:r w:rsidRPr="0002276A">
        <w:t>aMW</w:t>
      </w:r>
      <w:proofErr w:type="spellEnd"/>
      <w:r w:rsidRPr="0002276A">
        <w:t xml:space="preserve"> (53,436 </w:t>
      </w:r>
      <w:proofErr w:type="spellStart"/>
      <w:r w:rsidRPr="0002276A">
        <w:t>MWh</w:t>
      </w:r>
      <w:proofErr w:type="spellEnd"/>
      <w:r w:rsidRPr="0002276A">
        <w:t>) of potential savings from feeder efficiencie</w:t>
      </w:r>
      <w:r>
        <w:t xml:space="preserve">s, 42,000 </w:t>
      </w:r>
      <w:proofErr w:type="spellStart"/>
      <w:r>
        <w:t>MWh</w:t>
      </w:r>
      <w:proofErr w:type="spellEnd"/>
      <w:r>
        <w:t xml:space="preserve"> from the Spokane a</w:t>
      </w:r>
      <w:r w:rsidRPr="0002276A">
        <w:t xml:space="preserve">rea </w:t>
      </w:r>
      <w:r>
        <w:t>Smart Grid Investment Grant (</w:t>
      </w:r>
      <w:r w:rsidRPr="0002276A">
        <w:t>SGIG</w:t>
      </w:r>
      <w:r>
        <w:t>) savings</w:t>
      </w:r>
      <w:r w:rsidRPr="0002276A">
        <w:t xml:space="preserve">, and 6,763 </w:t>
      </w:r>
      <w:proofErr w:type="spellStart"/>
      <w:r w:rsidRPr="0002276A">
        <w:t>MWh</w:t>
      </w:r>
      <w:proofErr w:type="spellEnd"/>
      <w:r w:rsidRPr="0002276A">
        <w:t xml:space="preserve"> from the Pullman </w:t>
      </w:r>
      <w:r>
        <w:t xml:space="preserve">Smart Grid Demonstration Project </w:t>
      </w:r>
      <w:r w:rsidRPr="0002276A">
        <w:t xml:space="preserve">(SGDP) </w:t>
      </w:r>
      <w:r>
        <w:t xml:space="preserve">savings </w:t>
      </w:r>
      <w:r w:rsidRPr="0002276A">
        <w:t xml:space="preserve">over </w:t>
      </w:r>
      <w:r>
        <w:t xml:space="preserve">the </w:t>
      </w:r>
      <w:r w:rsidRPr="0002276A">
        <w:t>20 year IRP planning horizon.</w:t>
      </w:r>
      <w:r>
        <w:t xml:space="preserve">  See BCP page 34-35.</w:t>
      </w:r>
    </w:p>
  </w:footnote>
  <w:footnote w:id="7">
    <w:p w14:paraId="3BCEE7DC" w14:textId="23F2C5C0" w:rsidR="00353676" w:rsidRDefault="00353676">
      <w:pPr>
        <w:pStyle w:val="FootnoteText"/>
      </w:pPr>
      <w:r>
        <w:rPr>
          <w:rStyle w:val="FootnoteReference"/>
        </w:rPr>
        <w:footnoteRef/>
      </w:r>
      <w:r>
        <w:t xml:space="preserve"> Staff Open Meeting Memo, February 10, 2012.</w:t>
      </w:r>
    </w:p>
  </w:footnote>
  <w:footnote w:id="8">
    <w:p w14:paraId="48D64190" w14:textId="063C1F9A" w:rsidR="00353676" w:rsidRDefault="00353676">
      <w:pPr>
        <w:pStyle w:val="FootnoteText"/>
      </w:pPr>
      <w:r>
        <w:rPr>
          <w:rStyle w:val="FootnoteReference"/>
        </w:rPr>
        <w:footnoteRef/>
      </w:r>
      <w:r>
        <w:t xml:space="preserve">  For a fuller discussion of this issue, see </w:t>
      </w:r>
      <w:r w:rsidRPr="00EE3936">
        <w:rPr>
          <w:i/>
        </w:rPr>
        <w:t>In re Adopting Rules to Implement the Energy Independence Act</w:t>
      </w:r>
      <w:r>
        <w:t>, Docket UE-061895, General Order R</w:t>
      </w:r>
      <w:r>
        <w:noBreakHyphen/>
        <w:t xml:space="preserve">546 ¶¶ 17, 26, 28 (Wash. </w:t>
      </w:r>
      <w:proofErr w:type="spellStart"/>
      <w:r>
        <w:t>Utils</w:t>
      </w:r>
      <w:proofErr w:type="spellEnd"/>
      <w:r>
        <w:t xml:space="preserve">. &amp; Transp. </w:t>
      </w:r>
      <w:proofErr w:type="spellStart"/>
      <w:r>
        <w:t>Comm’n</w:t>
      </w:r>
      <w:proofErr w:type="spellEnd"/>
      <w:r>
        <w:t>, Nov. 30,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4184" w14:textId="77777777" w:rsidR="00353676" w:rsidRDefault="00353676">
    <w:pPr>
      <w:pStyle w:val="Header"/>
      <w:rPr>
        <w:rStyle w:val="PageNumber"/>
        <w:b/>
        <w:sz w:val="20"/>
      </w:rPr>
    </w:pPr>
    <w:r>
      <w:rPr>
        <w:b/>
        <w:sz w:val="20"/>
      </w:rPr>
      <w:t>DOCKET UE-111882</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567E9D">
      <w:rPr>
        <w:rStyle w:val="PageNumber"/>
        <w:b/>
        <w:noProof/>
        <w:sz w:val="20"/>
      </w:rPr>
      <w:t>14</w:t>
    </w:r>
    <w:r>
      <w:rPr>
        <w:rStyle w:val="PageNumber"/>
        <w:b/>
        <w:sz w:val="20"/>
      </w:rPr>
      <w:fldChar w:fldCharType="end"/>
    </w:r>
  </w:p>
  <w:p w14:paraId="48D64185" w14:textId="77777777" w:rsidR="00353676" w:rsidRDefault="00353676">
    <w:pPr>
      <w:pStyle w:val="Header"/>
      <w:rPr>
        <w:rStyle w:val="PageNumber"/>
        <w:b/>
        <w:sz w:val="20"/>
      </w:rPr>
    </w:pPr>
    <w:r>
      <w:rPr>
        <w:rStyle w:val="PageNumber"/>
        <w:b/>
        <w:sz w:val="20"/>
      </w:rPr>
      <w:t>ORDER 01</w:t>
    </w:r>
  </w:p>
  <w:p w14:paraId="48D64186" w14:textId="77777777" w:rsidR="00353676" w:rsidRDefault="00353676">
    <w:pPr>
      <w:pStyle w:val="Header"/>
      <w:rPr>
        <w:rStyle w:val="PageNumber"/>
        <w:b/>
        <w:sz w:val="20"/>
      </w:rPr>
    </w:pPr>
  </w:p>
  <w:p w14:paraId="48D64187" w14:textId="77777777" w:rsidR="00353676" w:rsidRDefault="00353676">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4188" w14:textId="77777777" w:rsidR="00353676" w:rsidRDefault="00353676">
    <w:pPr>
      <w:pStyle w:val="Header"/>
      <w:rPr>
        <w:rStyle w:val="PageNumber"/>
        <w:b/>
        <w:sz w:val="20"/>
      </w:rPr>
    </w:pPr>
  </w:p>
  <w:p w14:paraId="48D64189" w14:textId="77777777" w:rsidR="00353676" w:rsidRDefault="00353676">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B140A7"/>
    <w:multiLevelType w:val="hybridMultilevel"/>
    <w:tmpl w:val="19460A46"/>
    <w:lvl w:ilvl="0" w:tplc="A4D874A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8100E2"/>
    <w:multiLevelType w:val="hybridMultilevel"/>
    <w:tmpl w:val="8DE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175A3"/>
    <w:multiLevelType w:val="hybridMultilevel"/>
    <w:tmpl w:val="668430F8"/>
    <w:lvl w:ilvl="0" w:tplc="91A6F1A6">
      <w:start w:val="1"/>
      <w:numFmt w:val="decimal"/>
      <w:lvlText w:val="%1"/>
      <w:lvlJc w:val="left"/>
      <w:pPr>
        <w:ind w:left="72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02B7E"/>
    <w:multiLevelType w:val="hybridMultilevel"/>
    <w:tmpl w:val="929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2C52B4C2"/>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10">
    <w:nsid w:val="685F59D9"/>
    <w:multiLevelType w:val="hybridMultilevel"/>
    <w:tmpl w:val="BE2AE5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4"/>
  </w:num>
  <w:num w:numId="9">
    <w:abstractNumId w:val="5"/>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1"/>
    <w:rsid w:val="00002EA3"/>
    <w:rsid w:val="0000323F"/>
    <w:rsid w:val="00011728"/>
    <w:rsid w:val="000130D0"/>
    <w:rsid w:val="000152EC"/>
    <w:rsid w:val="0001628F"/>
    <w:rsid w:val="00017C6E"/>
    <w:rsid w:val="000203F8"/>
    <w:rsid w:val="0002432A"/>
    <w:rsid w:val="00032546"/>
    <w:rsid w:val="00034D5C"/>
    <w:rsid w:val="00036B91"/>
    <w:rsid w:val="000417CB"/>
    <w:rsid w:val="00042225"/>
    <w:rsid w:val="00043FE9"/>
    <w:rsid w:val="00044845"/>
    <w:rsid w:val="00045D06"/>
    <w:rsid w:val="00050651"/>
    <w:rsid w:val="000531AA"/>
    <w:rsid w:val="00061347"/>
    <w:rsid w:val="00063F58"/>
    <w:rsid w:val="000739BE"/>
    <w:rsid w:val="00075543"/>
    <w:rsid w:val="000818C9"/>
    <w:rsid w:val="000854D8"/>
    <w:rsid w:val="00085568"/>
    <w:rsid w:val="000855F9"/>
    <w:rsid w:val="00087234"/>
    <w:rsid w:val="00087833"/>
    <w:rsid w:val="000903C0"/>
    <w:rsid w:val="00093D2B"/>
    <w:rsid w:val="0009433E"/>
    <w:rsid w:val="000946EF"/>
    <w:rsid w:val="000955BA"/>
    <w:rsid w:val="000A0219"/>
    <w:rsid w:val="000A2705"/>
    <w:rsid w:val="000B04AC"/>
    <w:rsid w:val="000B28C3"/>
    <w:rsid w:val="000B44B3"/>
    <w:rsid w:val="000B5BB6"/>
    <w:rsid w:val="000B6BAF"/>
    <w:rsid w:val="000D2304"/>
    <w:rsid w:val="000D37D9"/>
    <w:rsid w:val="000E02AC"/>
    <w:rsid w:val="000E0574"/>
    <w:rsid w:val="000E46AF"/>
    <w:rsid w:val="000F1899"/>
    <w:rsid w:val="000F1DD5"/>
    <w:rsid w:val="000F46B0"/>
    <w:rsid w:val="000F66F5"/>
    <w:rsid w:val="00100D76"/>
    <w:rsid w:val="00101A3D"/>
    <w:rsid w:val="00101D97"/>
    <w:rsid w:val="001074EB"/>
    <w:rsid w:val="00110F71"/>
    <w:rsid w:val="00116436"/>
    <w:rsid w:val="00116640"/>
    <w:rsid w:val="001207A7"/>
    <w:rsid w:val="00120C10"/>
    <w:rsid w:val="00123A47"/>
    <w:rsid w:val="0012651D"/>
    <w:rsid w:val="00131012"/>
    <w:rsid w:val="00141AE8"/>
    <w:rsid w:val="001422E9"/>
    <w:rsid w:val="00145DDC"/>
    <w:rsid w:val="00147459"/>
    <w:rsid w:val="00153287"/>
    <w:rsid w:val="001535A5"/>
    <w:rsid w:val="001550B4"/>
    <w:rsid w:val="001553DF"/>
    <w:rsid w:val="001664A6"/>
    <w:rsid w:val="001724D6"/>
    <w:rsid w:val="0017385F"/>
    <w:rsid w:val="001751BF"/>
    <w:rsid w:val="001904DE"/>
    <w:rsid w:val="001972D3"/>
    <w:rsid w:val="00197F22"/>
    <w:rsid w:val="001A0B77"/>
    <w:rsid w:val="001A1233"/>
    <w:rsid w:val="001A5759"/>
    <w:rsid w:val="001B1490"/>
    <w:rsid w:val="001B2F86"/>
    <w:rsid w:val="001B7212"/>
    <w:rsid w:val="001C2064"/>
    <w:rsid w:val="001C2348"/>
    <w:rsid w:val="001C3302"/>
    <w:rsid w:val="001C5B96"/>
    <w:rsid w:val="001D44F6"/>
    <w:rsid w:val="001E2D12"/>
    <w:rsid w:val="001E4BB0"/>
    <w:rsid w:val="001E6C96"/>
    <w:rsid w:val="001F1086"/>
    <w:rsid w:val="001F56CB"/>
    <w:rsid w:val="0020136C"/>
    <w:rsid w:val="00215CF3"/>
    <w:rsid w:val="00217276"/>
    <w:rsid w:val="00226F4B"/>
    <w:rsid w:val="00235563"/>
    <w:rsid w:val="002413DD"/>
    <w:rsid w:val="00244ABF"/>
    <w:rsid w:val="00247C2A"/>
    <w:rsid w:val="00247FC2"/>
    <w:rsid w:val="002538FE"/>
    <w:rsid w:val="00254FD9"/>
    <w:rsid w:val="00262779"/>
    <w:rsid w:val="00263B05"/>
    <w:rsid w:val="00264B74"/>
    <w:rsid w:val="0026711A"/>
    <w:rsid w:val="0027486B"/>
    <w:rsid w:val="00281926"/>
    <w:rsid w:val="00284BF8"/>
    <w:rsid w:val="00294FE7"/>
    <w:rsid w:val="002A7911"/>
    <w:rsid w:val="002B15A6"/>
    <w:rsid w:val="002B6C43"/>
    <w:rsid w:val="002B6FF5"/>
    <w:rsid w:val="002C29F0"/>
    <w:rsid w:val="002C5E03"/>
    <w:rsid w:val="002D30F6"/>
    <w:rsid w:val="002E6C86"/>
    <w:rsid w:val="002F0A1C"/>
    <w:rsid w:val="002F3626"/>
    <w:rsid w:val="002F4AAE"/>
    <w:rsid w:val="002F5613"/>
    <w:rsid w:val="002F6FE3"/>
    <w:rsid w:val="002F73D9"/>
    <w:rsid w:val="002F7EF7"/>
    <w:rsid w:val="0030177C"/>
    <w:rsid w:val="0030267D"/>
    <w:rsid w:val="00303595"/>
    <w:rsid w:val="00311AEC"/>
    <w:rsid w:val="00311FD1"/>
    <w:rsid w:val="003171BE"/>
    <w:rsid w:val="00317376"/>
    <w:rsid w:val="00326039"/>
    <w:rsid w:val="003267A1"/>
    <w:rsid w:val="0033026E"/>
    <w:rsid w:val="00334BD1"/>
    <w:rsid w:val="00335D8A"/>
    <w:rsid w:val="00341456"/>
    <w:rsid w:val="00353676"/>
    <w:rsid w:val="00360D75"/>
    <w:rsid w:val="0036238A"/>
    <w:rsid w:val="00363347"/>
    <w:rsid w:val="0036457D"/>
    <w:rsid w:val="00370FE3"/>
    <w:rsid w:val="00374140"/>
    <w:rsid w:val="00375ED7"/>
    <w:rsid w:val="003929DE"/>
    <w:rsid w:val="00393C89"/>
    <w:rsid w:val="003A4AFF"/>
    <w:rsid w:val="003B0547"/>
    <w:rsid w:val="003B0E49"/>
    <w:rsid w:val="003B3718"/>
    <w:rsid w:val="003B41AE"/>
    <w:rsid w:val="003C0B57"/>
    <w:rsid w:val="003C3662"/>
    <w:rsid w:val="003D148C"/>
    <w:rsid w:val="003D5447"/>
    <w:rsid w:val="003D622B"/>
    <w:rsid w:val="003E09CF"/>
    <w:rsid w:val="003E0A13"/>
    <w:rsid w:val="003E0ACD"/>
    <w:rsid w:val="003F08BA"/>
    <w:rsid w:val="003F3DB2"/>
    <w:rsid w:val="003F5068"/>
    <w:rsid w:val="004005AB"/>
    <w:rsid w:val="00402549"/>
    <w:rsid w:val="00402CA5"/>
    <w:rsid w:val="00406615"/>
    <w:rsid w:val="004127D9"/>
    <w:rsid w:val="00416544"/>
    <w:rsid w:val="00422953"/>
    <w:rsid w:val="00424B6B"/>
    <w:rsid w:val="00425AD9"/>
    <w:rsid w:val="00433002"/>
    <w:rsid w:val="004368C3"/>
    <w:rsid w:val="00444F73"/>
    <w:rsid w:val="00451561"/>
    <w:rsid w:val="00453CD1"/>
    <w:rsid w:val="00456196"/>
    <w:rsid w:val="00462E51"/>
    <w:rsid w:val="004677C9"/>
    <w:rsid w:val="00485D28"/>
    <w:rsid w:val="004A0E4B"/>
    <w:rsid w:val="004A1E31"/>
    <w:rsid w:val="004A5BD7"/>
    <w:rsid w:val="004B31AE"/>
    <w:rsid w:val="004B5482"/>
    <w:rsid w:val="004B58D6"/>
    <w:rsid w:val="004B78E4"/>
    <w:rsid w:val="004B7C9D"/>
    <w:rsid w:val="004C1710"/>
    <w:rsid w:val="004C322F"/>
    <w:rsid w:val="004C3CC9"/>
    <w:rsid w:val="004D322F"/>
    <w:rsid w:val="004D38B8"/>
    <w:rsid w:val="004D5CCF"/>
    <w:rsid w:val="004E261C"/>
    <w:rsid w:val="004E316D"/>
    <w:rsid w:val="004E5B15"/>
    <w:rsid w:val="004E7150"/>
    <w:rsid w:val="00507FC7"/>
    <w:rsid w:val="005104A3"/>
    <w:rsid w:val="00510975"/>
    <w:rsid w:val="005119FE"/>
    <w:rsid w:val="00514262"/>
    <w:rsid w:val="00520BE7"/>
    <w:rsid w:val="00523605"/>
    <w:rsid w:val="005237B8"/>
    <w:rsid w:val="00525C9D"/>
    <w:rsid w:val="00530080"/>
    <w:rsid w:val="00530F7B"/>
    <w:rsid w:val="005376C2"/>
    <w:rsid w:val="005446CF"/>
    <w:rsid w:val="005466B2"/>
    <w:rsid w:val="0054770D"/>
    <w:rsid w:val="00553629"/>
    <w:rsid w:val="0056229A"/>
    <w:rsid w:val="0056391F"/>
    <w:rsid w:val="00567E9D"/>
    <w:rsid w:val="00570B6E"/>
    <w:rsid w:val="005751B7"/>
    <w:rsid w:val="005801E1"/>
    <w:rsid w:val="005834D7"/>
    <w:rsid w:val="0059349E"/>
    <w:rsid w:val="005944EC"/>
    <w:rsid w:val="00597F7E"/>
    <w:rsid w:val="005A1A97"/>
    <w:rsid w:val="005A1ECB"/>
    <w:rsid w:val="005A329C"/>
    <w:rsid w:val="005B667C"/>
    <w:rsid w:val="005B6F0E"/>
    <w:rsid w:val="005C0834"/>
    <w:rsid w:val="005C08FF"/>
    <w:rsid w:val="005C2E78"/>
    <w:rsid w:val="005C303E"/>
    <w:rsid w:val="005C54E9"/>
    <w:rsid w:val="005D7029"/>
    <w:rsid w:val="005E1848"/>
    <w:rsid w:val="005E1B3F"/>
    <w:rsid w:val="005E1DF5"/>
    <w:rsid w:val="005E1ED8"/>
    <w:rsid w:val="005F03E6"/>
    <w:rsid w:val="005F08C6"/>
    <w:rsid w:val="005F274D"/>
    <w:rsid w:val="00606C3E"/>
    <w:rsid w:val="00615044"/>
    <w:rsid w:val="006212E5"/>
    <w:rsid w:val="006226C2"/>
    <w:rsid w:val="00622C6F"/>
    <w:rsid w:val="00623F57"/>
    <w:rsid w:val="00623F72"/>
    <w:rsid w:val="00630445"/>
    <w:rsid w:val="00631F45"/>
    <w:rsid w:val="00633936"/>
    <w:rsid w:val="00634020"/>
    <w:rsid w:val="00641AF9"/>
    <w:rsid w:val="00641FD2"/>
    <w:rsid w:val="00644F00"/>
    <w:rsid w:val="00646015"/>
    <w:rsid w:val="0065625D"/>
    <w:rsid w:val="00666329"/>
    <w:rsid w:val="006670A6"/>
    <w:rsid w:val="0067072A"/>
    <w:rsid w:val="006707B2"/>
    <w:rsid w:val="006714B0"/>
    <w:rsid w:val="00671C8D"/>
    <w:rsid w:val="006801ED"/>
    <w:rsid w:val="00683AA4"/>
    <w:rsid w:val="006853ED"/>
    <w:rsid w:val="00686769"/>
    <w:rsid w:val="00686930"/>
    <w:rsid w:val="006940E6"/>
    <w:rsid w:val="006979C4"/>
    <w:rsid w:val="006A0E3B"/>
    <w:rsid w:val="006A130E"/>
    <w:rsid w:val="006A17D1"/>
    <w:rsid w:val="006A1A5A"/>
    <w:rsid w:val="006B1824"/>
    <w:rsid w:val="006B50B3"/>
    <w:rsid w:val="006B57E1"/>
    <w:rsid w:val="006B644B"/>
    <w:rsid w:val="006B7187"/>
    <w:rsid w:val="006C7A95"/>
    <w:rsid w:val="006D24D1"/>
    <w:rsid w:val="006D3CF5"/>
    <w:rsid w:val="006D4EE1"/>
    <w:rsid w:val="006D7726"/>
    <w:rsid w:val="006E1F4C"/>
    <w:rsid w:val="006E3673"/>
    <w:rsid w:val="006E459C"/>
    <w:rsid w:val="006E5BDF"/>
    <w:rsid w:val="006F29D5"/>
    <w:rsid w:val="00705BA6"/>
    <w:rsid w:val="007117FD"/>
    <w:rsid w:val="00712B63"/>
    <w:rsid w:val="007130F5"/>
    <w:rsid w:val="0072767A"/>
    <w:rsid w:val="00731A8F"/>
    <w:rsid w:val="00737BFD"/>
    <w:rsid w:val="007439A2"/>
    <w:rsid w:val="00744CC8"/>
    <w:rsid w:val="00761F16"/>
    <w:rsid w:val="0076321A"/>
    <w:rsid w:val="0076520B"/>
    <w:rsid w:val="00774BF4"/>
    <w:rsid w:val="00774F4B"/>
    <w:rsid w:val="00777177"/>
    <w:rsid w:val="00782260"/>
    <w:rsid w:val="00783C1C"/>
    <w:rsid w:val="007954CC"/>
    <w:rsid w:val="007967F3"/>
    <w:rsid w:val="007A5C77"/>
    <w:rsid w:val="007A5D81"/>
    <w:rsid w:val="007A6CFB"/>
    <w:rsid w:val="007A6EC1"/>
    <w:rsid w:val="007B01CF"/>
    <w:rsid w:val="007B08A0"/>
    <w:rsid w:val="007B299B"/>
    <w:rsid w:val="007B5B20"/>
    <w:rsid w:val="007B6156"/>
    <w:rsid w:val="007B7C06"/>
    <w:rsid w:val="007C33D1"/>
    <w:rsid w:val="007D0544"/>
    <w:rsid w:val="007D5A19"/>
    <w:rsid w:val="007D5C98"/>
    <w:rsid w:val="007D73B5"/>
    <w:rsid w:val="007E114D"/>
    <w:rsid w:val="007E11F5"/>
    <w:rsid w:val="007E5E02"/>
    <w:rsid w:val="007E6717"/>
    <w:rsid w:val="007F304E"/>
    <w:rsid w:val="007F5C0A"/>
    <w:rsid w:val="00801183"/>
    <w:rsid w:val="00802DD5"/>
    <w:rsid w:val="00817737"/>
    <w:rsid w:val="0082241A"/>
    <w:rsid w:val="00842853"/>
    <w:rsid w:val="0085059C"/>
    <w:rsid w:val="00851520"/>
    <w:rsid w:val="00854CFA"/>
    <w:rsid w:val="0086242D"/>
    <w:rsid w:val="00863D6D"/>
    <w:rsid w:val="00864B05"/>
    <w:rsid w:val="00870349"/>
    <w:rsid w:val="0087392B"/>
    <w:rsid w:val="0088105F"/>
    <w:rsid w:val="00883B0C"/>
    <w:rsid w:val="00885D99"/>
    <w:rsid w:val="00891E95"/>
    <w:rsid w:val="00894D97"/>
    <w:rsid w:val="00897D08"/>
    <w:rsid w:val="008A2A51"/>
    <w:rsid w:val="008B54D1"/>
    <w:rsid w:val="008C0B3E"/>
    <w:rsid w:val="008D1E7B"/>
    <w:rsid w:val="008D6C46"/>
    <w:rsid w:val="008D6D36"/>
    <w:rsid w:val="008D7345"/>
    <w:rsid w:val="008E7D93"/>
    <w:rsid w:val="008F12FC"/>
    <w:rsid w:val="008F5535"/>
    <w:rsid w:val="0090103C"/>
    <w:rsid w:val="009017A9"/>
    <w:rsid w:val="009044BD"/>
    <w:rsid w:val="00904A25"/>
    <w:rsid w:val="00917CE9"/>
    <w:rsid w:val="009233D8"/>
    <w:rsid w:val="00924EB9"/>
    <w:rsid w:val="00925004"/>
    <w:rsid w:val="00926650"/>
    <w:rsid w:val="00934939"/>
    <w:rsid w:val="00941EE0"/>
    <w:rsid w:val="00943113"/>
    <w:rsid w:val="00955A42"/>
    <w:rsid w:val="00957652"/>
    <w:rsid w:val="009617D6"/>
    <w:rsid w:val="0097491D"/>
    <w:rsid w:val="00980D5C"/>
    <w:rsid w:val="00984519"/>
    <w:rsid w:val="009847E9"/>
    <w:rsid w:val="00986150"/>
    <w:rsid w:val="00986164"/>
    <w:rsid w:val="0099325E"/>
    <w:rsid w:val="009A0C21"/>
    <w:rsid w:val="009A0EF4"/>
    <w:rsid w:val="009A6D26"/>
    <w:rsid w:val="009A6F42"/>
    <w:rsid w:val="009B252C"/>
    <w:rsid w:val="009B40A7"/>
    <w:rsid w:val="009B466D"/>
    <w:rsid w:val="009C1147"/>
    <w:rsid w:val="009C32EC"/>
    <w:rsid w:val="009C52F9"/>
    <w:rsid w:val="009D00F7"/>
    <w:rsid w:val="009D2FB7"/>
    <w:rsid w:val="009D30D4"/>
    <w:rsid w:val="009D3DA6"/>
    <w:rsid w:val="009D7034"/>
    <w:rsid w:val="009E0A34"/>
    <w:rsid w:val="009F24E4"/>
    <w:rsid w:val="009F6200"/>
    <w:rsid w:val="009F6A61"/>
    <w:rsid w:val="009F6C41"/>
    <w:rsid w:val="00A07AD6"/>
    <w:rsid w:val="00A10CFD"/>
    <w:rsid w:val="00A112D8"/>
    <w:rsid w:val="00A1502B"/>
    <w:rsid w:val="00A165F4"/>
    <w:rsid w:val="00A17F76"/>
    <w:rsid w:val="00A31193"/>
    <w:rsid w:val="00A322F2"/>
    <w:rsid w:val="00A41718"/>
    <w:rsid w:val="00A42751"/>
    <w:rsid w:val="00A43408"/>
    <w:rsid w:val="00A44B21"/>
    <w:rsid w:val="00A47E22"/>
    <w:rsid w:val="00A56FFA"/>
    <w:rsid w:val="00A5702F"/>
    <w:rsid w:val="00A66A60"/>
    <w:rsid w:val="00A70623"/>
    <w:rsid w:val="00A712C1"/>
    <w:rsid w:val="00A714DC"/>
    <w:rsid w:val="00A738B8"/>
    <w:rsid w:val="00A74965"/>
    <w:rsid w:val="00A805E6"/>
    <w:rsid w:val="00A80911"/>
    <w:rsid w:val="00A84B5E"/>
    <w:rsid w:val="00A8543A"/>
    <w:rsid w:val="00A85A4A"/>
    <w:rsid w:val="00A9395B"/>
    <w:rsid w:val="00AA1FF5"/>
    <w:rsid w:val="00AA33CD"/>
    <w:rsid w:val="00AA47FE"/>
    <w:rsid w:val="00AA5DE6"/>
    <w:rsid w:val="00AB6F67"/>
    <w:rsid w:val="00AC42C9"/>
    <w:rsid w:val="00AC449C"/>
    <w:rsid w:val="00AD19EC"/>
    <w:rsid w:val="00AD4E55"/>
    <w:rsid w:val="00AD5A40"/>
    <w:rsid w:val="00AE4ABB"/>
    <w:rsid w:val="00AE56D3"/>
    <w:rsid w:val="00AE5D98"/>
    <w:rsid w:val="00AE6A7C"/>
    <w:rsid w:val="00AE6C65"/>
    <w:rsid w:val="00AE74F9"/>
    <w:rsid w:val="00AF00F2"/>
    <w:rsid w:val="00AF0255"/>
    <w:rsid w:val="00AF0B80"/>
    <w:rsid w:val="00AF5E40"/>
    <w:rsid w:val="00B02F06"/>
    <w:rsid w:val="00B03947"/>
    <w:rsid w:val="00B047D9"/>
    <w:rsid w:val="00B064B9"/>
    <w:rsid w:val="00B06776"/>
    <w:rsid w:val="00B1140A"/>
    <w:rsid w:val="00B1493D"/>
    <w:rsid w:val="00B22AA7"/>
    <w:rsid w:val="00B30218"/>
    <w:rsid w:val="00B327E6"/>
    <w:rsid w:val="00B33AB5"/>
    <w:rsid w:val="00B51CDD"/>
    <w:rsid w:val="00B51D35"/>
    <w:rsid w:val="00B54AF8"/>
    <w:rsid w:val="00B563DB"/>
    <w:rsid w:val="00B647EC"/>
    <w:rsid w:val="00B730ED"/>
    <w:rsid w:val="00B761EB"/>
    <w:rsid w:val="00B81CCC"/>
    <w:rsid w:val="00B82360"/>
    <w:rsid w:val="00B85C33"/>
    <w:rsid w:val="00B92E6D"/>
    <w:rsid w:val="00BA1DC8"/>
    <w:rsid w:val="00BA1EA1"/>
    <w:rsid w:val="00BA4773"/>
    <w:rsid w:val="00BB2FFF"/>
    <w:rsid w:val="00BB329F"/>
    <w:rsid w:val="00BB3FFD"/>
    <w:rsid w:val="00BC3E35"/>
    <w:rsid w:val="00BC490B"/>
    <w:rsid w:val="00BC5A26"/>
    <w:rsid w:val="00BD2258"/>
    <w:rsid w:val="00BD7AE9"/>
    <w:rsid w:val="00BE16A5"/>
    <w:rsid w:val="00C034D3"/>
    <w:rsid w:val="00C0358E"/>
    <w:rsid w:val="00C04929"/>
    <w:rsid w:val="00C115FF"/>
    <w:rsid w:val="00C1458B"/>
    <w:rsid w:val="00C15B35"/>
    <w:rsid w:val="00C24491"/>
    <w:rsid w:val="00C324FE"/>
    <w:rsid w:val="00C33100"/>
    <w:rsid w:val="00C3794A"/>
    <w:rsid w:val="00C46F07"/>
    <w:rsid w:val="00C53553"/>
    <w:rsid w:val="00C66D12"/>
    <w:rsid w:val="00C72813"/>
    <w:rsid w:val="00C7502D"/>
    <w:rsid w:val="00C776E7"/>
    <w:rsid w:val="00C90834"/>
    <w:rsid w:val="00CA02CA"/>
    <w:rsid w:val="00CA04DF"/>
    <w:rsid w:val="00CA4512"/>
    <w:rsid w:val="00CB2B86"/>
    <w:rsid w:val="00CB3808"/>
    <w:rsid w:val="00CB5EA3"/>
    <w:rsid w:val="00CB6085"/>
    <w:rsid w:val="00CD23D8"/>
    <w:rsid w:val="00CE2CD9"/>
    <w:rsid w:val="00CE78FE"/>
    <w:rsid w:val="00CF0505"/>
    <w:rsid w:val="00CF5803"/>
    <w:rsid w:val="00D00ED3"/>
    <w:rsid w:val="00D05263"/>
    <w:rsid w:val="00D12F59"/>
    <w:rsid w:val="00D17F12"/>
    <w:rsid w:val="00D206BA"/>
    <w:rsid w:val="00D207E5"/>
    <w:rsid w:val="00D20E0C"/>
    <w:rsid w:val="00D31041"/>
    <w:rsid w:val="00D61402"/>
    <w:rsid w:val="00D64A3A"/>
    <w:rsid w:val="00D70CA8"/>
    <w:rsid w:val="00D80089"/>
    <w:rsid w:val="00D87C01"/>
    <w:rsid w:val="00D90DDD"/>
    <w:rsid w:val="00D91B03"/>
    <w:rsid w:val="00D928DE"/>
    <w:rsid w:val="00D94429"/>
    <w:rsid w:val="00DA054A"/>
    <w:rsid w:val="00DA18C1"/>
    <w:rsid w:val="00DA4401"/>
    <w:rsid w:val="00DA4C05"/>
    <w:rsid w:val="00DB1290"/>
    <w:rsid w:val="00DB26A5"/>
    <w:rsid w:val="00DC00C1"/>
    <w:rsid w:val="00DC1124"/>
    <w:rsid w:val="00DC4502"/>
    <w:rsid w:val="00DC783A"/>
    <w:rsid w:val="00DD2A8C"/>
    <w:rsid w:val="00DD6883"/>
    <w:rsid w:val="00DF300C"/>
    <w:rsid w:val="00DF397F"/>
    <w:rsid w:val="00DF3E44"/>
    <w:rsid w:val="00E00D0A"/>
    <w:rsid w:val="00E11579"/>
    <w:rsid w:val="00E170EF"/>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EFA"/>
    <w:rsid w:val="00E932F4"/>
    <w:rsid w:val="00EA45D7"/>
    <w:rsid w:val="00EB7148"/>
    <w:rsid w:val="00EC0A47"/>
    <w:rsid w:val="00EC579A"/>
    <w:rsid w:val="00ED3E2D"/>
    <w:rsid w:val="00ED7BC5"/>
    <w:rsid w:val="00ED7FCC"/>
    <w:rsid w:val="00EE3936"/>
    <w:rsid w:val="00EE71A5"/>
    <w:rsid w:val="00EE7965"/>
    <w:rsid w:val="00EF1835"/>
    <w:rsid w:val="00EF4629"/>
    <w:rsid w:val="00F00BDB"/>
    <w:rsid w:val="00F013E3"/>
    <w:rsid w:val="00F01A85"/>
    <w:rsid w:val="00F04513"/>
    <w:rsid w:val="00F16205"/>
    <w:rsid w:val="00F274CB"/>
    <w:rsid w:val="00F32CBA"/>
    <w:rsid w:val="00F4184B"/>
    <w:rsid w:val="00F43CD5"/>
    <w:rsid w:val="00F50BAD"/>
    <w:rsid w:val="00F51B2D"/>
    <w:rsid w:val="00F61806"/>
    <w:rsid w:val="00F67866"/>
    <w:rsid w:val="00F67DCA"/>
    <w:rsid w:val="00F7530C"/>
    <w:rsid w:val="00F8017F"/>
    <w:rsid w:val="00F83159"/>
    <w:rsid w:val="00F83A0A"/>
    <w:rsid w:val="00F90891"/>
    <w:rsid w:val="00F93E7F"/>
    <w:rsid w:val="00F946AA"/>
    <w:rsid w:val="00F94F65"/>
    <w:rsid w:val="00FA4979"/>
    <w:rsid w:val="00FA79AC"/>
    <w:rsid w:val="00FB1403"/>
    <w:rsid w:val="00FB3ECF"/>
    <w:rsid w:val="00FC546E"/>
    <w:rsid w:val="00FD3705"/>
    <w:rsid w:val="00FD7EC7"/>
    <w:rsid w:val="00FE2D51"/>
    <w:rsid w:val="00FE3106"/>
    <w:rsid w:val="00FE4171"/>
    <w:rsid w:val="00FE4DAB"/>
    <w:rsid w:val="00FE744E"/>
    <w:rsid w:val="00FE74BB"/>
    <w:rsid w:val="00FF3588"/>
    <w:rsid w:val="00FF3CD5"/>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6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ps.leg.wa.gov/RCW/default.aspx?cite=80.01.040" TargetMode="External"/><Relationship Id="rId18" Type="http://schemas.openxmlformats.org/officeDocument/2006/relationships/hyperlink" Target="http://www.nwcouncil.org/energy/rtf/" TargetMode="External"/><Relationship Id="rId3" Type="http://schemas.openxmlformats.org/officeDocument/2006/relationships/customXml" Target="../customXml/item3.xml"/><Relationship Id="rId21" Type="http://schemas.openxmlformats.org/officeDocument/2006/relationships/hyperlink" Target="http://www.epa.gov/cleanenergy/documents/suca/cost-effectiveness.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apps.leg.wa.gov/RCW/default.aspx?cite=80.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RCW/default.aspx?cite=80.12" TargetMode="External"/><Relationship Id="rId20" Type="http://schemas.openxmlformats.org/officeDocument/2006/relationships/hyperlink" Target="file:///\\wutcfs2\home\dreynold\open%20meeting\referenc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pps.leg.wa.gov/RCW/default.aspx?cite=80.08"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nwcouncil.org/energy/powerplan/6/supplycurves/I937/CouncilMethodology_outline%20_2_.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ps.leg.wa.gov/RCW/default.aspx?cite=80.0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ove_x0020_Item xmlns="5a4705e4-7b3d-49a2-ae76-8429f03f4162">false</Move_x0020_Item>
    <Document_x0020_Type xmlns="2ddf6161-26e6-4e32-b947-e7c3458c4a9f">Order</Document_x0020_Type>
    <Status xmlns="27199f9f-e9bc-4926-8eae-4fe81cd81bba">Final</Status>
    <Item_x0020_ID xmlns="0b617e09-f354-43bb-8045-552bcdd857a9">13</Item_x0020_ID>
    <Move_x0020_To xmlns="5a4705e4-7b3d-49a2-ae76-8429f03f4162"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6A44E4F24EB04DA7C35A704B1B27D2" ma:contentTypeVersion="28" ma:contentTypeDescription="Create a new document." ma:contentTypeScope="" ma:versionID="d35f545e88cd7db869e29fcaebb0ebc0">
  <xsd:schema xmlns:xsd="http://www.w3.org/2001/XMLSchema" xmlns:p="http://schemas.microsoft.com/office/2006/metadata/properties" xmlns:ns2="2ddf6161-26e6-4e32-b947-e7c3458c4a9f" xmlns:ns3="27199f9f-e9bc-4926-8eae-4fe81cd81bba" xmlns:ns4="5a4705e4-7b3d-49a2-ae76-8429f03f4162" xmlns:ns5="0b617e09-f354-43bb-8045-552bcdd857a9" targetNamespace="http://schemas.microsoft.com/office/2006/metadata/properties" ma:root="true" ma:fieldsID="88b40a750e83ebd0cec1401611bad8a8" ns2:_="" ns3:_="" ns4:_="" ns5:_="">
    <xsd:import namespace="2ddf6161-26e6-4e32-b947-e7c3458c4a9f"/>
    <xsd:import namespace="27199f9f-e9bc-4926-8eae-4fe81cd81bba"/>
    <xsd:import namespace="5a4705e4-7b3d-49a2-ae76-8429f03f4162"/>
    <xsd:import namespace="0b617e09-f354-43bb-8045-552bcdd857a9"/>
    <xsd:element name="properties">
      <xsd:complexType>
        <xsd:sequence>
          <xsd:element name="documentManagement">
            <xsd:complexType>
              <xsd:all>
                <xsd:element ref="ns2:Document_x0020_Type"/>
                <xsd:element ref="ns3:Status" minOccurs="0"/>
                <xsd:element ref="ns4:Move_x0020_Item" minOccurs="0"/>
                <xsd:element ref="ns4:Move_x0020_To" minOccurs="0"/>
                <xsd:element ref="ns5:Item_x0020_ID" minOccurs="0"/>
              </xsd:all>
            </xsd:complexType>
          </xsd:element>
        </xsd:sequence>
      </xsd:complexType>
    </xsd:element>
  </xsd:schema>
  <xsd:schema xmlns:xsd="http://www.w3.org/2001/XMLSchema" xmlns:dms="http://schemas.microsoft.com/office/2006/documentManagement/types" targetNamespace="2ddf6161-26e6-4e32-b947-e7c3458c4a9f" elementFormDefault="qualified">
    <xsd:import namespace="http://schemas.microsoft.com/office/2006/documentManagement/types"/>
    <xsd:element name="Document_x0020_Type" ma:index="8" ma:displayName="Document Type" ma:default="Memo" ma:format="Dropdown" ma:internalName="Document_x0020_Type">
      <xsd:simpleType>
        <xsd:restriction base="dms:Choice">
          <xsd:enumeration value="Memo"/>
          <xsd:enumeration value="Order"/>
          <xsd:enumeration value="Memo Attachment"/>
          <xsd:enumeration value="Order Attachment"/>
        </xsd:restriction>
      </xsd:simpleType>
    </xsd:element>
  </xsd:schema>
  <xsd:schema xmlns:xsd="http://www.w3.org/2001/XMLSchema" xmlns:dms="http://schemas.microsoft.com/office/2006/documentManagement/types" targetNamespace="27199f9f-e9bc-4926-8eae-4fe81cd81bba" elementFormDefault="qualified">
    <xsd:import namespace="http://schemas.microsoft.com/office/2006/documentManagement/types"/>
    <xsd:element name="Status" ma:index="9" nillable="true" ma:displayName="Status" ma:default="Draft" ma:format="Dropdown" ma:internalName="Status">
      <xsd:simpleType>
        <xsd:restriction base="dms:Choice">
          <xsd:enumeration value="Draft"/>
          <xsd:enumeration value="Ready for AD Review"/>
          <xsd:enumeration value="Ready for CET Review"/>
          <xsd:enumeration value="Reviewed"/>
          <xsd:enumeration value="Final"/>
        </xsd:restriction>
      </xsd:simpleType>
    </xsd:element>
  </xsd:schema>
  <xsd:schema xmlns:xsd="http://www.w3.org/2001/XMLSchema" xmlns:dms="http://schemas.microsoft.com/office/2006/documentManagement/types" targetNamespace="5a4705e4-7b3d-49a2-ae76-8429f03f4162" elementFormDefault="qualified">
    <xsd:import namespace="http://schemas.microsoft.com/office/2006/documentManagement/types"/>
    <xsd:element name="Move_x0020_Item" ma:index="10" nillable="true" ma:displayName="Move Item" ma:default="0" ma:hidden="true" ma:internalName="Move_x0020_Item" ma:readOnly="false">
      <xsd:simpleType>
        <xsd:restriction base="dms:Boolean"/>
      </xsd:simpleType>
    </xsd:element>
    <xsd:element name="Move_x0020_To" ma:index="11" nillable="true" ma:displayName="Move To" ma:default="" ma:description="NOTE: Some of the days listed may not have a meeting site established yet. In that event no move will occur." ma:format="Dropdown" ma:hidden="true" ma:internalName="Move_x0020_To" ma:readOnly="false">
      <xsd:simpleType>
        <xsd:restriction base="dms:Choice">
          <xsd:enumeration value="Parking Lot"/>
          <xsd:enumeration value="11/26/2008"/>
          <xsd:enumeration value="12/11/2008"/>
          <xsd:enumeration value="12/23/2008"/>
          <xsd:enumeration value="01/15/2009"/>
        </xsd:restriction>
      </xsd:simpleType>
    </xsd:element>
  </xsd:schema>
  <xsd:schema xmlns:xsd="http://www.w3.org/2001/XMLSchema" xmlns:dms="http://schemas.microsoft.com/office/2006/documentManagement/types" targetNamespace="0b617e09-f354-43bb-8045-552bcdd857a9" elementFormDefault="qualified">
    <xsd:import namespace="http://schemas.microsoft.com/office/2006/documentManagement/types"/>
    <xsd:element name="Item_x0020_ID" ma:index="14" nillable="true" ma:displayName="Item ID" ma:list="{EEF0B11C-8172-4C5B-98B1-55E664E9BCD9}" ma:internalName="Item_x0020_ID"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1446-8C95-4CE6-A7AC-AE893CF47BFB}">
  <ds:schemaRefs>
    <ds:schemaRef ds:uri="0b617e09-f354-43bb-8045-552bcdd857a9"/>
    <ds:schemaRef ds:uri="2ddf6161-26e6-4e32-b947-e7c3458c4a9f"/>
    <ds:schemaRef ds:uri="http://purl.org/dc/elements/1.1/"/>
    <ds:schemaRef ds:uri="http://purl.org/dc/dcmitype/"/>
    <ds:schemaRef ds:uri="http://purl.org/dc/terms/"/>
    <ds:schemaRef ds:uri="27199f9f-e9bc-4926-8eae-4fe81cd81bba"/>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5a4705e4-7b3d-49a2-ae76-8429f03f4162"/>
  </ds:schemaRefs>
</ds:datastoreItem>
</file>

<file path=customXml/itemProps2.xml><?xml version="1.0" encoding="utf-8"?>
<ds:datastoreItem xmlns:ds="http://schemas.openxmlformats.org/officeDocument/2006/customXml" ds:itemID="{8527D584-FFC5-44B9-A2FE-392C019A8E7D}">
  <ds:schemaRefs>
    <ds:schemaRef ds:uri="http://schemas.microsoft.com/office/2006/metadata/longProperties"/>
  </ds:schemaRefs>
</ds:datastoreItem>
</file>

<file path=customXml/itemProps3.xml><?xml version="1.0" encoding="utf-8"?>
<ds:datastoreItem xmlns:ds="http://schemas.openxmlformats.org/officeDocument/2006/customXml" ds:itemID="{591FA082-032D-4822-A83B-3BE736F1BE21}">
  <ds:schemaRefs>
    <ds:schemaRef ds:uri="http://schemas.microsoft.com/sharepoint/v3/contenttype/forms"/>
  </ds:schemaRefs>
</ds:datastoreItem>
</file>

<file path=customXml/itemProps4.xml><?xml version="1.0" encoding="utf-8"?>
<ds:datastoreItem xmlns:ds="http://schemas.openxmlformats.org/officeDocument/2006/customXml" ds:itemID="{6F850F2C-6432-4AC7-810C-6A25E9015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161-26e6-4e32-b947-e7c3458c4a9f"/>
    <ds:schemaRef ds:uri="27199f9f-e9bc-4926-8eae-4fe81cd81bba"/>
    <ds:schemaRef ds:uri="5a4705e4-7b3d-49a2-ae76-8429f03f4162"/>
    <ds:schemaRef ds:uri="0b617e09-f354-43bb-8045-552bcdd857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E464CBF-FF16-4ECF-90CD-2F42F73D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3589</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Avista Proposed Conservation Target Approval Order</vt:lpstr>
    </vt:vector>
  </TitlesOfParts>
  <Company>Washington</Company>
  <LinksUpToDate>false</LinksUpToDate>
  <CharactersWithSpaces>26072</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Proposed Conservation Target Approval Order</dc:title>
  <dc:subject/>
  <dc:creator>Virginia</dc:creator>
  <cp:keywords/>
  <dc:description/>
  <cp:lastModifiedBy> Cathy Kern</cp:lastModifiedBy>
  <cp:revision>2</cp:revision>
  <cp:lastPrinted>2012-02-10T17:33:00Z</cp:lastPrinted>
  <dcterms:created xsi:type="dcterms:W3CDTF">2012-02-10T17:34:00Z</dcterms:created>
  <dcterms:modified xsi:type="dcterms:W3CDTF">2012-02-10T17:34:00Z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Virginia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0x010100A36A44E4F24EB04DA7C35A704B1B27D2</vt:lpwstr>
  </property>
</Properties>
</file>