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50505B"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703E01">
        <w:rPr>
          <w:b/>
          <w:sz w:val="24"/>
        </w:rPr>
        <w:t>Agenda Date:</w:t>
      </w:r>
      <w:r w:rsidRPr="0050505B">
        <w:rPr>
          <w:sz w:val="24"/>
        </w:rPr>
        <w:tab/>
      </w:r>
      <w:r w:rsidRPr="0050505B">
        <w:rPr>
          <w:sz w:val="24"/>
        </w:rPr>
        <w:tab/>
      </w:r>
      <w:r w:rsidR="00390752" w:rsidRPr="0050505B">
        <w:rPr>
          <w:sz w:val="24"/>
        </w:rPr>
        <w:t>September</w:t>
      </w:r>
      <w:r w:rsidR="00C92D5C" w:rsidRPr="0050505B">
        <w:rPr>
          <w:sz w:val="24"/>
        </w:rPr>
        <w:t xml:space="preserve"> </w:t>
      </w:r>
      <w:r w:rsidR="00A3406B" w:rsidRPr="0050505B">
        <w:rPr>
          <w:sz w:val="24"/>
        </w:rPr>
        <w:t>2</w:t>
      </w:r>
      <w:r w:rsidR="00390752" w:rsidRPr="0050505B">
        <w:rPr>
          <w:sz w:val="24"/>
        </w:rPr>
        <w:t>4</w:t>
      </w:r>
      <w:r w:rsidRPr="0050505B">
        <w:rPr>
          <w:sz w:val="24"/>
        </w:rPr>
        <w:t>, 200</w:t>
      </w:r>
      <w:r w:rsidR="00A3406B" w:rsidRPr="0050505B">
        <w:rPr>
          <w:sz w:val="24"/>
        </w:rPr>
        <w:t>9</w:t>
      </w:r>
      <w:r w:rsidRPr="0050505B">
        <w:rPr>
          <w:sz w:val="24"/>
        </w:rPr>
        <w:tab/>
      </w:r>
    </w:p>
    <w:p w:rsidR="008956A7" w:rsidRPr="0050505B"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50505B">
        <w:rPr>
          <w:sz w:val="24"/>
        </w:rPr>
        <w:t>Item Number:</w:t>
      </w:r>
      <w:r w:rsidRPr="0050505B">
        <w:rPr>
          <w:sz w:val="24"/>
        </w:rPr>
        <w:tab/>
      </w:r>
      <w:r w:rsidRPr="0050505B">
        <w:rPr>
          <w:sz w:val="24"/>
        </w:rPr>
        <w:tab/>
      </w:r>
      <w:r w:rsidR="00B12018" w:rsidRPr="0050505B">
        <w:rPr>
          <w:sz w:val="24"/>
        </w:rPr>
        <w:t>A</w:t>
      </w:r>
      <w:r w:rsidR="00703E01">
        <w:rPr>
          <w:sz w:val="24"/>
        </w:rPr>
        <w:t>36</w:t>
      </w:r>
      <w:r w:rsidRPr="0050505B">
        <w:rPr>
          <w:sz w:val="24"/>
        </w:rPr>
        <w:tab/>
      </w:r>
      <w:r w:rsidRPr="0050505B">
        <w:rPr>
          <w:sz w:val="24"/>
        </w:rPr>
        <w:tab/>
      </w:r>
      <w:r w:rsidRPr="0050505B">
        <w:rPr>
          <w:sz w:val="24"/>
        </w:rPr>
        <w:tab/>
      </w:r>
      <w:r w:rsidRPr="0050505B">
        <w:rPr>
          <w:sz w:val="24"/>
        </w:rPr>
        <w:tab/>
      </w:r>
    </w:p>
    <w:p w:rsidR="008956A7" w:rsidRPr="0050505B"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50505B"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0505B">
        <w:rPr>
          <w:b/>
          <w:bCs/>
          <w:sz w:val="24"/>
        </w:rPr>
        <w:t xml:space="preserve">Docket: </w:t>
      </w:r>
      <w:r w:rsidRPr="0050505B">
        <w:rPr>
          <w:b/>
          <w:bCs/>
          <w:sz w:val="24"/>
        </w:rPr>
        <w:tab/>
      </w:r>
      <w:r w:rsidRPr="0050505B">
        <w:rPr>
          <w:b/>
          <w:bCs/>
          <w:sz w:val="24"/>
        </w:rPr>
        <w:tab/>
      </w:r>
      <w:r w:rsidR="00B12018" w:rsidRPr="0050505B">
        <w:rPr>
          <w:b/>
          <w:bCs/>
          <w:sz w:val="24"/>
        </w:rPr>
        <w:t>UW</w:t>
      </w:r>
      <w:r w:rsidRPr="0050505B">
        <w:rPr>
          <w:b/>
          <w:bCs/>
          <w:sz w:val="24"/>
        </w:rPr>
        <w:t>-</w:t>
      </w:r>
      <w:r w:rsidR="00A3406B" w:rsidRPr="0050505B">
        <w:rPr>
          <w:b/>
          <w:bCs/>
          <w:sz w:val="24"/>
        </w:rPr>
        <w:t>090819</w:t>
      </w:r>
    </w:p>
    <w:p w:rsidR="008956A7" w:rsidRPr="0050505B"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0505B">
        <w:rPr>
          <w:sz w:val="24"/>
        </w:rPr>
        <w:t>Company Name:</w:t>
      </w:r>
      <w:r w:rsidRPr="0050505B">
        <w:rPr>
          <w:sz w:val="24"/>
        </w:rPr>
        <w:tab/>
      </w:r>
      <w:r w:rsidR="00C92D5C" w:rsidRPr="0050505B">
        <w:rPr>
          <w:sz w:val="24"/>
        </w:rPr>
        <w:t>Aquarius Utilities, LLC</w:t>
      </w:r>
    </w:p>
    <w:p w:rsidR="008956A7" w:rsidRPr="0050505B"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50505B"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0505B">
        <w:rPr>
          <w:sz w:val="24"/>
          <w:u w:val="single"/>
        </w:rPr>
        <w:t>Staff:</w:t>
      </w:r>
      <w:r w:rsidRPr="0050505B">
        <w:rPr>
          <w:sz w:val="24"/>
        </w:rPr>
        <w:tab/>
      </w:r>
      <w:r w:rsidRPr="0050505B">
        <w:rPr>
          <w:sz w:val="24"/>
        </w:rPr>
        <w:tab/>
      </w:r>
      <w:r w:rsidRPr="0050505B">
        <w:rPr>
          <w:sz w:val="24"/>
        </w:rPr>
        <w:tab/>
      </w:r>
      <w:r w:rsidR="00774E5D" w:rsidRPr="0050505B">
        <w:rPr>
          <w:sz w:val="24"/>
        </w:rPr>
        <w:t>Chris Mickelson</w:t>
      </w:r>
      <w:r w:rsidRPr="0050505B">
        <w:rPr>
          <w:sz w:val="24"/>
        </w:rPr>
        <w:t>, Regulatory Analyst</w:t>
      </w:r>
    </w:p>
    <w:p w:rsidR="008956A7" w:rsidRPr="0050505B"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0505B">
        <w:rPr>
          <w:sz w:val="24"/>
        </w:rPr>
        <w:tab/>
      </w:r>
      <w:r w:rsidRPr="0050505B">
        <w:rPr>
          <w:sz w:val="24"/>
        </w:rPr>
        <w:tab/>
      </w:r>
      <w:r w:rsidRPr="0050505B">
        <w:rPr>
          <w:sz w:val="24"/>
        </w:rPr>
        <w:tab/>
        <w:t xml:space="preserve">Dennis Shutler, </w:t>
      </w:r>
      <w:r w:rsidR="00F061F8" w:rsidRPr="0050505B">
        <w:rPr>
          <w:sz w:val="24"/>
        </w:rPr>
        <w:t xml:space="preserve">Consumer </w:t>
      </w:r>
      <w:r w:rsidR="00A2555A" w:rsidRPr="0050505B">
        <w:rPr>
          <w:sz w:val="24"/>
        </w:rPr>
        <w:t>Protection Staff</w:t>
      </w:r>
    </w:p>
    <w:p w:rsidR="00A56E62" w:rsidRPr="0050505B" w:rsidRDefault="00A56E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50505B"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0505B">
        <w:rPr>
          <w:b/>
          <w:sz w:val="24"/>
          <w:u w:val="single"/>
        </w:rPr>
        <w:t>Recommendation</w:t>
      </w:r>
    </w:p>
    <w:p w:rsidR="00697E4B" w:rsidRPr="0050505B"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390752" w:rsidRPr="0050505B" w:rsidRDefault="00390752" w:rsidP="00390752">
      <w:pPr>
        <w:pStyle w:val="BodyText"/>
        <w:numPr>
          <w:ilvl w:val="0"/>
          <w:numId w:val="5"/>
        </w:numPr>
        <w:rPr>
          <w:rFonts w:ascii="Times New Roman" w:hAnsi="Times New Roman"/>
          <w:color w:val="000000"/>
        </w:rPr>
      </w:pPr>
      <w:r w:rsidRPr="0050505B">
        <w:rPr>
          <w:rFonts w:ascii="Times New Roman" w:hAnsi="Times New Roman"/>
          <w:color w:val="000000"/>
        </w:rPr>
        <w:t>Dismiss the Complaint and Order Suspending the Tariff Revisions filed by Aquarius Utilities, LLC.</w:t>
      </w:r>
    </w:p>
    <w:p w:rsidR="00390752" w:rsidRPr="0050505B" w:rsidRDefault="00390752" w:rsidP="00390752">
      <w:pPr>
        <w:pStyle w:val="BodyText"/>
        <w:rPr>
          <w:rFonts w:ascii="Times New Roman" w:hAnsi="Times New Roman"/>
          <w:color w:val="000000"/>
        </w:rPr>
      </w:pPr>
    </w:p>
    <w:p w:rsidR="00390752" w:rsidRPr="0050505B" w:rsidRDefault="00390752" w:rsidP="00390752">
      <w:pPr>
        <w:pStyle w:val="BodyText"/>
        <w:numPr>
          <w:ilvl w:val="0"/>
          <w:numId w:val="5"/>
        </w:numPr>
        <w:rPr>
          <w:rFonts w:ascii="Times New Roman" w:hAnsi="Times New Roman"/>
          <w:color w:val="000000"/>
        </w:rPr>
      </w:pPr>
      <w:r w:rsidRPr="0050505B">
        <w:rPr>
          <w:rFonts w:ascii="Times New Roman" w:hAnsi="Times New Roman"/>
          <w:color w:val="000000"/>
        </w:rPr>
        <w:t xml:space="preserve">Approve staff recommended revised rates as filed by the company on </w:t>
      </w:r>
      <w:r w:rsidR="004E3533" w:rsidRPr="0050505B">
        <w:rPr>
          <w:rFonts w:ascii="Times New Roman" w:hAnsi="Times New Roman"/>
          <w:color w:val="000000"/>
        </w:rPr>
        <w:t xml:space="preserve">September </w:t>
      </w:r>
      <w:r w:rsidR="00CB0FD2" w:rsidRPr="0050505B">
        <w:rPr>
          <w:rFonts w:ascii="Times New Roman" w:hAnsi="Times New Roman"/>
          <w:color w:val="000000"/>
        </w:rPr>
        <w:t>9</w:t>
      </w:r>
      <w:r w:rsidR="006B5A72" w:rsidRPr="0050505B">
        <w:rPr>
          <w:rFonts w:ascii="Times New Roman" w:hAnsi="Times New Roman"/>
          <w:color w:val="000000"/>
        </w:rPr>
        <w:t>,</w:t>
      </w:r>
      <w:r w:rsidRPr="0050505B">
        <w:rPr>
          <w:rFonts w:ascii="Times New Roman" w:hAnsi="Times New Roman"/>
          <w:color w:val="000000"/>
        </w:rPr>
        <w:t xml:space="preserve"> 2009, to become effective </w:t>
      </w:r>
      <w:r w:rsidR="005E6FC3" w:rsidRPr="0050505B">
        <w:rPr>
          <w:rFonts w:ascii="Times New Roman" w:hAnsi="Times New Roman"/>
          <w:color w:val="000000"/>
        </w:rPr>
        <w:t>October 1</w:t>
      </w:r>
      <w:r w:rsidRPr="0050505B">
        <w:rPr>
          <w:rFonts w:ascii="Times New Roman" w:hAnsi="Times New Roman"/>
          <w:color w:val="000000"/>
        </w:rPr>
        <w:t>3, 200</w:t>
      </w:r>
      <w:r w:rsidR="005E6FC3" w:rsidRPr="0050505B">
        <w:rPr>
          <w:rFonts w:ascii="Times New Roman" w:hAnsi="Times New Roman"/>
          <w:color w:val="000000"/>
        </w:rPr>
        <w:t>9</w:t>
      </w:r>
      <w:r w:rsidRPr="0050505B">
        <w:rPr>
          <w:rFonts w:ascii="Times New Roman" w:hAnsi="Times New Roman"/>
          <w:color w:val="000000"/>
        </w:rPr>
        <w:t>.</w:t>
      </w:r>
    </w:p>
    <w:p w:rsidR="00390752" w:rsidRPr="0050505B" w:rsidRDefault="00390752" w:rsidP="00390752">
      <w:pPr>
        <w:pStyle w:val="BodyText"/>
        <w:rPr>
          <w:rFonts w:ascii="Times New Roman" w:hAnsi="Times New Roman"/>
          <w:color w:val="000000"/>
        </w:rPr>
      </w:pPr>
    </w:p>
    <w:p w:rsidR="00390752" w:rsidRPr="0050505B" w:rsidRDefault="00390752" w:rsidP="00390752">
      <w:pPr>
        <w:pStyle w:val="BodyText"/>
        <w:numPr>
          <w:ilvl w:val="0"/>
          <w:numId w:val="5"/>
        </w:numPr>
        <w:rPr>
          <w:rFonts w:ascii="Times New Roman" w:hAnsi="Times New Roman"/>
          <w:color w:val="000000"/>
        </w:rPr>
      </w:pPr>
      <w:r w:rsidRPr="0050505B">
        <w:rPr>
          <w:rFonts w:ascii="Times New Roman" w:hAnsi="Times New Roman"/>
          <w:color w:val="000000"/>
        </w:rPr>
        <w:t>Grant the company’s request for an exemption from WAC 480-110-425, Customer Notice, to allow the company to notify customers of increases in the next billing cycle.</w:t>
      </w:r>
    </w:p>
    <w:p w:rsidR="007507C3" w:rsidRPr="00B32E3A" w:rsidRDefault="007507C3" w:rsidP="00B32E3A">
      <w:pPr>
        <w:rPr>
          <w:color w:val="000000"/>
        </w:rPr>
      </w:pPr>
    </w:p>
    <w:p w:rsidR="007507C3" w:rsidRPr="0050505B" w:rsidRDefault="007507C3" w:rsidP="00076725">
      <w:pPr>
        <w:widowContro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0505B">
        <w:rPr>
          <w:sz w:val="24"/>
        </w:rPr>
        <w:t>Require the compan</w:t>
      </w:r>
      <w:r w:rsidR="00076725" w:rsidRPr="0050505B">
        <w:rPr>
          <w:sz w:val="24"/>
        </w:rPr>
        <w:t>y</w:t>
      </w:r>
      <w:r w:rsidRPr="0050505B">
        <w:rPr>
          <w:sz w:val="24"/>
        </w:rPr>
        <w:t xml:space="preserve"> to </w:t>
      </w:r>
      <w:r w:rsidR="00076725" w:rsidRPr="0050505B">
        <w:rPr>
          <w:sz w:val="24"/>
        </w:rPr>
        <w:t xml:space="preserve">maintain </w:t>
      </w:r>
      <w:r w:rsidR="00B32E3A">
        <w:rPr>
          <w:sz w:val="24"/>
        </w:rPr>
        <w:t>the</w:t>
      </w:r>
      <w:r w:rsidR="00911139" w:rsidRPr="0050505B">
        <w:rPr>
          <w:sz w:val="24"/>
        </w:rPr>
        <w:t xml:space="preserve"> </w:t>
      </w:r>
      <w:r w:rsidR="00B32E3A" w:rsidRPr="00B32E3A">
        <w:rPr>
          <w:sz w:val="24"/>
        </w:rPr>
        <w:t xml:space="preserve">DWSRF records of both revenues and expenses in a manner that will allow the company to provide </w:t>
      </w:r>
      <w:r w:rsidR="0096526D">
        <w:rPr>
          <w:sz w:val="24"/>
        </w:rPr>
        <w:t xml:space="preserve">in their next rate case </w:t>
      </w:r>
      <w:r w:rsidR="00B32E3A" w:rsidRPr="00B32E3A">
        <w:rPr>
          <w:sz w:val="24"/>
        </w:rPr>
        <w:t>a detailed breakdown, by account, separate from the normal daily operating costs</w:t>
      </w:r>
      <w:r w:rsidR="00911139" w:rsidRPr="0050505B">
        <w:rPr>
          <w:sz w:val="24"/>
        </w:rPr>
        <w:t>.</w:t>
      </w:r>
    </w:p>
    <w:p w:rsidR="00A277CA" w:rsidRPr="0050505B"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5500C" w:rsidRPr="0050505B" w:rsidRDefault="00187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0505B">
        <w:rPr>
          <w:b/>
          <w:bCs/>
          <w:sz w:val="24"/>
          <w:u w:val="single"/>
        </w:rPr>
        <w:t>Background</w:t>
      </w:r>
    </w:p>
    <w:p w:rsidR="0045500C" w:rsidRPr="0050505B"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92D5C" w:rsidRPr="0050505B" w:rsidRDefault="00C92D5C" w:rsidP="00C92D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0505B">
        <w:rPr>
          <w:sz w:val="24"/>
        </w:rPr>
        <w:t xml:space="preserve">On </w:t>
      </w:r>
      <w:r w:rsidR="001C2403" w:rsidRPr="0050505B">
        <w:rPr>
          <w:sz w:val="24"/>
        </w:rPr>
        <w:t>May 26, 2009</w:t>
      </w:r>
      <w:r w:rsidRPr="0050505B">
        <w:rPr>
          <w:sz w:val="24"/>
        </w:rPr>
        <w:t>, Aquarius Utilities, LLC, (Aquarius or company), filed with the Utilities and Transportation Commission (commission) tariff revisions that would generate $</w:t>
      </w:r>
      <w:r w:rsidR="001C2403" w:rsidRPr="0050505B">
        <w:rPr>
          <w:sz w:val="24"/>
        </w:rPr>
        <w:t>50,000</w:t>
      </w:r>
      <w:r w:rsidRPr="0050505B">
        <w:rPr>
          <w:sz w:val="24"/>
        </w:rPr>
        <w:t xml:space="preserve"> (</w:t>
      </w:r>
      <w:r w:rsidR="001C2403" w:rsidRPr="0050505B">
        <w:rPr>
          <w:sz w:val="24"/>
        </w:rPr>
        <w:t>11</w:t>
      </w:r>
      <w:r w:rsidR="00610742" w:rsidRPr="0050505B">
        <w:rPr>
          <w:sz w:val="24"/>
        </w:rPr>
        <w:t>.0</w:t>
      </w:r>
      <w:r w:rsidRPr="0050505B">
        <w:rPr>
          <w:sz w:val="24"/>
        </w:rPr>
        <w:t xml:space="preserve"> percent) in additional </w:t>
      </w:r>
      <w:r w:rsidR="00DF44C4" w:rsidRPr="0050505B">
        <w:rPr>
          <w:sz w:val="24"/>
        </w:rPr>
        <w:t xml:space="preserve">annual </w:t>
      </w:r>
      <w:r w:rsidRPr="0050505B">
        <w:rPr>
          <w:sz w:val="24"/>
        </w:rPr>
        <w:t xml:space="preserve">revenue. The company serves </w:t>
      </w:r>
      <w:r w:rsidR="00AA79AD" w:rsidRPr="0050505B">
        <w:rPr>
          <w:sz w:val="24"/>
        </w:rPr>
        <w:t>879</w:t>
      </w:r>
      <w:r w:rsidRPr="0050505B">
        <w:rPr>
          <w:sz w:val="24"/>
        </w:rPr>
        <w:t xml:space="preserve"> </w:t>
      </w:r>
      <w:r w:rsidR="00BC1317" w:rsidRPr="0050505B">
        <w:rPr>
          <w:sz w:val="24"/>
        </w:rPr>
        <w:t xml:space="preserve">water </w:t>
      </w:r>
      <w:r w:rsidRPr="0050505B">
        <w:rPr>
          <w:sz w:val="24"/>
        </w:rPr>
        <w:t>customers in Clallam, Kitsap and Mason counties</w:t>
      </w:r>
      <w:r w:rsidR="00610742" w:rsidRPr="0050505B">
        <w:rPr>
          <w:sz w:val="24"/>
        </w:rPr>
        <w:t>.</w:t>
      </w:r>
      <w:r w:rsidR="0010335D" w:rsidRPr="0050505B">
        <w:rPr>
          <w:sz w:val="24"/>
        </w:rPr>
        <w:t xml:space="preserve"> </w:t>
      </w:r>
      <w:r w:rsidRPr="0050505B">
        <w:rPr>
          <w:sz w:val="24"/>
        </w:rPr>
        <w:t xml:space="preserve">The proposed rates are prompted by increases in </w:t>
      </w:r>
      <w:r w:rsidR="00370D83" w:rsidRPr="0050505B">
        <w:rPr>
          <w:sz w:val="24"/>
        </w:rPr>
        <w:t>operating</w:t>
      </w:r>
      <w:r w:rsidR="00493A07" w:rsidRPr="0050505B">
        <w:rPr>
          <w:sz w:val="24"/>
        </w:rPr>
        <w:t xml:space="preserve"> and administrative cost</w:t>
      </w:r>
      <w:r w:rsidR="00BE744C">
        <w:rPr>
          <w:sz w:val="24"/>
        </w:rPr>
        <w:t>s</w:t>
      </w:r>
      <w:r w:rsidR="00493A07" w:rsidRPr="0050505B">
        <w:rPr>
          <w:sz w:val="24"/>
        </w:rPr>
        <w:t xml:space="preserve"> </w:t>
      </w:r>
      <w:r w:rsidR="00F4205F" w:rsidRPr="0050505B">
        <w:rPr>
          <w:sz w:val="24"/>
        </w:rPr>
        <w:t>such as payroll</w:t>
      </w:r>
      <w:r w:rsidR="007507C3" w:rsidRPr="0050505B">
        <w:rPr>
          <w:sz w:val="24"/>
        </w:rPr>
        <w:t xml:space="preserve"> and benefits</w:t>
      </w:r>
      <w:r w:rsidR="00F4205F" w:rsidRPr="0050505B">
        <w:rPr>
          <w:sz w:val="24"/>
        </w:rPr>
        <w:t>, insur</w:t>
      </w:r>
      <w:r w:rsidR="00187884" w:rsidRPr="0050505B">
        <w:rPr>
          <w:sz w:val="24"/>
        </w:rPr>
        <w:t>ance and county permitting fees</w:t>
      </w:r>
      <w:r w:rsidR="00370D83" w:rsidRPr="0050505B">
        <w:rPr>
          <w:sz w:val="24"/>
        </w:rPr>
        <w:t xml:space="preserve">. </w:t>
      </w:r>
      <w:r w:rsidR="000827B0" w:rsidRPr="0050505B">
        <w:rPr>
          <w:sz w:val="24"/>
        </w:rPr>
        <w:t xml:space="preserve">The company’s last general rate </w:t>
      </w:r>
      <w:r w:rsidR="00F4205F" w:rsidRPr="0050505B">
        <w:rPr>
          <w:sz w:val="24"/>
        </w:rPr>
        <w:t>increase became effective on August</w:t>
      </w:r>
      <w:r w:rsidR="000827B0" w:rsidRPr="0050505B">
        <w:rPr>
          <w:sz w:val="24"/>
        </w:rPr>
        <w:t xml:space="preserve"> 1</w:t>
      </w:r>
      <w:r w:rsidR="00F4205F" w:rsidRPr="0050505B">
        <w:rPr>
          <w:sz w:val="24"/>
        </w:rPr>
        <w:t>5</w:t>
      </w:r>
      <w:r w:rsidR="000827B0" w:rsidRPr="0050505B">
        <w:rPr>
          <w:sz w:val="24"/>
        </w:rPr>
        <w:t>, 200</w:t>
      </w:r>
      <w:r w:rsidR="00493A07" w:rsidRPr="0050505B">
        <w:rPr>
          <w:sz w:val="24"/>
        </w:rPr>
        <w:t>8</w:t>
      </w:r>
      <w:r w:rsidR="000827B0" w:rsidRPr="0050505B">
        <w:rPr>
          <w:sz w:val="24"/>
        </w:rPr>
        <w:t>.</w:t>
      </w:r>
    </w:p>
    <w:p w:rsidR="00B11626" w:rsidRPr="0050505B" w:rsidRDefault="00B11626" w:rsidP="00C92D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0742" w:rsidRPr="0050505B" w:rsidRDefault="00610742" w:rsidP="006107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0505B">
        <w:rPr>
          <w:sz w:val="24"/>
        </w:rPr>
        <w:t>On June 25, 2009, the commission issued a complaint and order suspending the proposed tariff revisions filed by the company on May 26, 2009.</w:t>
      </w:r>
    </w:p>
    <w:p w:rsidR="00610742" w:rsidRPr="0050505B" w:rsidRDefault="00610742" w:rsidP="006107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0742" w:rsidRPr="0050505B" w:rsidRDefault="00610742" w:rsidP="006107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0505B">
        <w:rPr>
          <w:sz w:val="24"/>
        </w:rPr>
        <w:t>After review and discussion</w:t>
      </w:r>
      <w:r w:rsidR="00187884" w:rsidRPr="0050505B">
        <w:rPr>
          <w:sz w:val="24"/>
        </w:rPr>
        <w:t>s</w:t>
      </w:r>
      <w:r w:rsidRPr="0050505B">
        <w:rPr>
          <w:sz w:val="24"/>
        </w:rPr>
        <w:t>, staff and the company agreed to a revised</w:t>
      </w:r>
      <w:r w:rsidR="00187884" w:rsidRPr="0050505B">
        <w:rPr>
          <w:sz w:val="24"/>
        </w:rPr>
        <w:t xml:space="preserve"> </w:t>
      </w:r>
      <w:r w:rsidRPr="0050505B">
        <w:rPr>
          <w:sz w:val="24"/>
        </w:rPr>
        <w:t>revenue requirement of $21,150 (4.7 percent) in additional annual revenue a</w:t>
      </w:r>
      <w:r w:rsidR="005E6FC3" w:rsidRPr="0050505B">
        <w:rPr>
          <w:sz w:val="24"/>
        </w:rPr>
        <w:t xml:space="preserve">nd revised rates. On September </w:t>
      </w:r>
      <w:r w:rsidR="00CB0FD2" w:rsidRPr="0050505B">
        <w:rPr>
          <w:sz w:val="24"/>
        </w:rPr>
        <w:t>9</w:t>
      </w:r>
      <w:r w:rsidRPr="0050505B">
        <w:rPr>
          <w:sz w:val="24"/>
        </w:rPr>
        <w:t>, 2009, the company filed revised rates at staff recommended levels.</w:t>
      </w:r>
      <w:r w:rsidR="00B72705">
        <w:rPr>
          <w:sz w:val="24"/>
        </w:rPr>
        <w:t xml:space="preserve"> Staff and the company agreed to an October 13, 2009, effective date so as to coincide with the company’s normal billing cycle.</w:t>
      </w:r>
    </w:p>
    <w:p w:rsidR="00B75673" w:rsidRPr="0050505B" w:rsidRDefault="00B75673" w:rsidP="006107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75673" w:rsidRDefault="00B75673" w:rsidP="006107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0505B">
        <w:rPr>
          <w:sz w:val="24"/>
        </w:rPr>
        <w:t>Staff’s revised rate design is significantly different from the company’s original proposal to customers. Staff’s revised rate design adjusts the water usage blocks, increases usage rates in each usage block, removes the fourth usage block, and decreases the rate for the base charge.</w:t>
      </w:r>
    </w:p>
    <w:p w:rsidR="00700895" w:rsidRDefault="00700895" w:rsidP="006107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00895" w:rsidRPr="0050505B" w:rsidRDefault="00700895" w:rsidP="006107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00895">
        <w:rPr>
          <w:sz w:val="24"/>
        </w:rPr>
        <w:t xml:space="preserve">A customer using 566 cubic feet of water per month (the calculated company-wide average water usage) would pay $1.60 (3.7 percent) more per month using the revised rates instead of $4.50 </w:t>
      </w:r>
      <w:r w:rsidRPr="00700895">
        <w:rPr>
          <w:sz w:val="24"/>
        </w:rPr>
        <w:lastRenderedPageBreak/>
        <w:t>(10.4 percent) more using the original rates proposed by the company (see “Average Bill Comparison” table below).</w:t>
      </w:r>
    </w:p>
    <w:p w:rsidR="00187884" w:rsidRPr="0050505B" w:rsidRDefault="00187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187884" w:rsidRPr="0050505B" w:rsidRDefault="00187884" w:rsidP="00187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0505B">
        <w:rPr>
          <w:b/>
          <w:bCs/>
          <w:sz w:val="24"/>
          <w:u w:val="single"/>
        </w:rPr>
        <w:t>Discussion</w:t>
      </w:r>
    </w:p>
    <w:p w:rsidR="00187884" w:rsidRPr="0050505B" w:rsidRDefault="00187884" w:rsidP="006107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0742" w:rsidRPr="0050505B" w:rsidRDefault="00610742" w:rsidP="006107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50505B">
        <w:rPr>
          <w:sz w:val="24"/>
          <w:u w:val="single"/>
        </w:rPr>
        <w:t xml:space="preserve">Affiliated </w:t>
      </w:r>
      <w:r w:rsidR="008F5204" w:rsidRPr="0050505B">
        <w:rPr>
          <w:sz w:val="24"/>
          <w:u w:val="single"/>
        </w:rPr>
        <w:t>Transactions</w:t>
      </w:r>
      <w:r w:rsidRPr="0050505B">
        <w:rPr>
          <w:sz w:val="24"/>
          <w:u w:val="single"/>
        </w:rPr>
        <w:t xml:space="preserve"> – Facilities Lease</w:t>
      </w:r>
    </w:p>
    <w:p w:rsidR="003F7034" w:rsidRPr="0050505B" w:rsidRDefault="003F7034" w:rsidP="006107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0505B">
        <w:rPr>
          <w:sz w:val="24"/>
        </w:rPr>
        <w:t>The company leases a facility</w:t>
      </w:r>
      <w:r w:rsidR="00573D38" w:rsidRPr="0050505B">
        <w:rPr>
          <w:sz w:val="24"/>
        </w:rPr>
        <w:t xml:space="preserve"> in </w:t>
      </w:r>
      <w:r w:rsidR="00A2555A" w:rsidRPr="0050505B">
        <w:rPr>
          <w:sz w:val="24"/>
        </w:rPr>
        <w:t>Poulsbo</w:t>
      </w:r>
      <w:r w:rsidR="00573D38" w:rsidRPr="0050505B">
        <w:rPr>
          <w:sz w:val="24"/>
        </w:rPr>
        <w:t>, Washington,</w:t>
      </w:r>
      <w:r w:rsidRPr="0050505B">
        <w:rPr>
          <w:sz w:val="24"/>
        </w:rPr>
        <w:t xml:space="preserve"> from Mr. Roats, owner of Aquarius </w:t>
      </w:r>
      <w:r w:rsidR="00573D38" w:rsidRPr="0050505B">
        <w:rPr>
          <w:sz w:val="24"/>
        </w:rPr>
        <w:t>Utilities, LLC</w:t>
      </w:r>
      <w:r w:rsidR="00C34BC3" w:rsidRPr="0050505B">
        <w:rPr>
          <w:sz w:val="24"/>
        </w:rPr>
        <w:t xml:space="preserve"> at $2,</w:t>
      </w:r>
      <w:r w:rsidR="009D17A6">
        <w:rPr>
          <w:sz w:val="24"/>
        </w:rPr>
        <w:t>1</w:t>
      </w:r>
      <w:r w:rsidR="00C34BC3" w:rsidRPr="0050505B">
        <w:rPr>
          <w:sz w:val="24"/>
        </w:rPr>
        <w:t>00 per month</w:t>
      </w:r>
      <w:r w:rsidR="00573D38" w:rsidRPr="0050505B">
        <w:rPr>
          <w:sz w:val="24"/>
        </w:rPr>
        <w:t xml:space="preserve">. Affiliated interest transactions have long been subject to particular scrutiny in utility regulation. </w:t>
      </w:r>
      <w:r w:rsidR="000951FB">
        <w:rPr>
          <w:sz w:val="24"/>
        </w:rPr>
        <w:t>T</w:t>
      </w:r>
      <w:r w:rsidR="00573D38" w:rsidRPr="0050505B">
        <w:rPr>
          <w:sz w:val="24"/>
        </w:rPr>
        <w:t xml:space="preserve">he lack of an arms-length </w:t>
      </w:r>
      <w:r w:rsidR="00A2555A" w:rsidRPr="0050505B">
        <w:rPr>
          <w:sz w:val="24"/>
        </w:rPr>
        <w:t>relationship</w:t>
      </w:r>
      <w:r w:rsidR="00573D38" w:rsidRPr="0050505B">
        <w:rPr>
          <w:sz w:val="24"/>
        </w:rPr>
        <w:t xml:space="preserve"> between contracting affiliates, and the resulting temptation to avoid hard bargaining that might be available in a competitive </w:t>
      </w:r>
      <w:r w:rsidR="00911139" w:rsidRPr="0050505B">
        <w:rPr>
          <w:sz w:val="24"/>
        </w:rPr>
        <w:t>market</w:t>
      </w:r>
      <w:r w:rsidR="00985DC7">
        <w:rPr>
          <w:sz w:val="24"/>
        </w:rPr>
        <w:t xml:space="preserve"> </w:t>
      </w:r>
      <w:r w:rsidR="000951FB">
        <w:rPr>
          <w:sz w:val="24"/>
        </w:rPr>
        <w:t>may result in higher expenses to the business that must be paid for by the ratepayers</w:t>
      </w:r>
      <w:r w:rsidR="00573D38" w:rsidRPr="0050505B">
        <w:rPr>
          <w:sz w:val="24"/>
        </w:rPr>
        <w:t>.</w:t>
      </w:r>
    </w:p>
    <w:p w:rsidR="003F7034" w:rsidRPr="0050505B" w:rsidRDefault="003F7034" w:rsidP="006107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73D38" w:rsidRPr="0050505B" w:rsidRDefault="000A0695" w:rsidP="006107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w:t>
      </w:r>
      <w:r w:rsidR="00573D38" w:rsidRPr="0050505B">
        <w:rPr>
          <w:sz w:val="24"/>
        </w:rPr>
        <w:t xml:space="preserve">he commission has consistently used RCW 80.16.030 to protect ratepayers from possible harm from affiliated transactions. The regulated company bears the burden of demonstrating </w:t>
      </w:r>
      <w:r w:rsidR="000951FB">
        <w:rPr>
          <w:sz w:val="24"/>
        </w:rPr>
        <w:t xml:space="preserve">to the commission </w:t>
      </w:r>
      <w:r w:rsidR="00573D38" w:rsidRPr="0050505B">
        <w:rPr>
          <w:sz w:val="24"/>
        </w:rPr>
        <w:t xml:space="preserve">that the payment </w:t>
      </w:r>
      <w:r w:rsidR="000951FB">
        <w:rPr>
          <w:sz w:val="24"/>
        </w:rPr>
        <w:t xml:space="preserve">for services to an affiliated interest </w:t>
      </w:r>
      <w:r w:rsidR="00573D38" w:rsidRPr="0050505B">
        <w:rPr>
          <w:sz w:val="24"/>
        </w:rPr>
        <w:t>is</w:t>
      </w:r>
      <w:r w:rsidR="00F10604">
        <w:rPr>
          <w:sz w:val="24"/>
        </w:rPr>
        <w:t xml:space="preserve"> </w:t>
      </w:r>
      <w:r w:rsidR="00573D38" w:rsidRPr="0050505B">
        <w:rPr>
          <w:sz w:val="24"/>
        </w:rPr>
        <w:t>reasonable</w:t>
      </w:r>
      <w:r w:rsidR="00916C93">
        <w:rPr>
          <w:sz w:val="24"/>
        </w:rPr>
        <w:t xml:space="preserve">. </w:t>
      </w:r>
      <w:r w:rsidR="00573D38" w:rsidRPr="0050505B">
        <w:rPr>
          <w:sz w:val="24"/>
        </w:rPr>
        <w:t xml:space="preserve">The standard for </w:t>
      </w:r>
      <w:r w:rsidR="000951FB">
        <w:rPr>
          <w:sz w:val="24"/>
        </w:rPr>
        <w:t xml:space="preserve">determining </w:t>
      </w:r>
      <w:r w:rsidR="00573D38" w:rsidRPr="0050505B">
        <w:rPr>
          <w:sz w:val="24"/>
        </w:rPr>
        <w:t xml:space="preserve">a reasonable price is the lower of the competitive market price or the </w:t>
      </w:r>
      <w:r w:rsidR="0044516A" w:rsidRPr="0050505B">
        <w:rPr>
          <w:sz w:val="24"/>
        </w:rPr>
        <w:t>affiliate’s</w:t>
      </w:r>
      <w:r w:rsidR="00573D38" w:rsidRPr="0050505B">
        <w:rPr>
          <w:sz w:val="24"/>
        </w:rPr>
        <w:t xml:space="preserve"> costs plus a fair return</w:t>
      </w:r>
      <w:r w:rsidR="009D17A6">
        <w:rPr>
          <w:sz w:val="24"/>
        </w:rPr>
        <w:t>.</w:t>
      </w:r>
      <w:r w:rsidR="00985DC7" w:rsidRPr="009F480B">
        <w:rPr>
          <w:rStyle w:val="FootnoteReference"/>
          <w:sz w:val="24"/>
          <w:vertAlign w:val="superscript"/>
        </w:rPr>
        <w:footnoteReference w:id="1"/>
      </w:r>
      <w:r w:rsidR="00F10604" w:rsidRPr="009F480B">
        <w:rPr>
          <w:sz w:val="24"/>
          <w:vertAlign w:val="superscript"/>
        </w:rPr>
        <w:t xml:space="preserve"> </w:t>
      </w:r>
      <w:r w:rsidR="000951FB">
        <w:rPr>
          <w:sz w:val="24"/>
        </w:rPr>
        <w:t xml:space="preserve"> Absent proof of reasonableness, the </w:t>
      </w:r>
      <w:r w:rsidR="00985DC7">
        <w:rPr>
          <w:sz w:val="24"/>
        </w:rPr>
        <w:t>commission may disallow in whole or in part the payment to the affiliate.</w:t>
      </w:r>
    </w:p>
    <w:p w:rsidR="00573D38" w:rsidRPr="0050505B" w:rsidRDefault="00573D38" w:rsidP="006107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0742" w:rsidRPr="0050505B" w:rsidRDefault="008F5204" w:rsidP="006107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0505B">
        <w:rPr>
          <w:sz w:val="24"/>
        </w:rPr>
        <w:t>Staff adjusted</w:t>
      </w:r>
      <w:r w:rsidR="009D17A6">
        <w:rPr>
          <w:sz w:val="24"/>
        </w:rPr>
        <w:t>,</w:t>
      </w:r>
      <w:r w:rsidR="00455E8A">
        <w:rPr>
          <w:sz w:val="24"/>
        </w:rPr>
        <w:t xml:space="preserve"> to a lower amount,</w:t>
      </w:r>
      <w:r w:rsidRPr="0050505B">
        <w:rPr>
          <w:sz w:val="24"/>
        </w:rPr>
        <w:t xml:space="preserve"> the per-books lease payments paid by the company to Mr. Roats</w:t>
      </w:r>
      <w:r w:rsidR="00455E8A">
        <w:rPr>
          <w:sz w:val="24"/>
        </w:rPr>
        <w:t xml:space="preserve">. This new lease payment </w:t>
      </w:r>
      <w:r w:rsidR="009D17A6">
        <w:rPr>
          <w:sz w:val="24"/>
        </w:rPr>
        <w:t xml:space="preserve">amount </w:t>
      </w:r>
      <w:r w:rsidR="00455E8A">
        <w:rPr>
          <w:sz w:val="24"/>
        </w:rPr>
        <w:t>is based on</w:t>
      </w:r>
      <w:r w:rsidRPr="0050505B">
        <w:rPr>
          <w:sz w:val="24"/>
        </w:rPr>
        <w:t xml:space="preserve"> a </w:t>
      </w:r>
      <w:r w:rsidR="0044516A" w:rsidRPr="0050505B">
        <w:rPr>
          <w:sz w:val="24"/>
        </w:rPr>
        <w:t xml:space="preserve">competitive </w:t>
      </w:r>
      <w:r w:rsidRPr="0050505B">
        <w:rPr>
          <w:sz w:val="24"/>
        </w:rPr>
        <w:t xml:space="preserve">market </w:t>
      </w:r>
      <w:r w:rsidR="0044516A" w:rsidRPr="0050505B">
        <w:rPr>
          <w:sz w:val="24"/>
        </w:rPr>
        <w:t>price</w:t>
      </w:r>
      <w:r w:rsidR="00BE2E40" w:rsidRPr="0050505B">
        <w:rPr>
          <w:sz w:val="24"/>
        </w:rPr>
        <w:t xml:space="preserve"> for like facilities</w:t>
      </w:r>
      <w:r w:rsidR="00C34BC3" w:rsidRPr="0050505B">
        <w:rPr>
          <w:sz w:val="24"/>
        </w:rPr>
        <w:t xml:space="preserve"> within the same </w:t>
      </w:r>
      <w:r w:rsidR="0010335D" w:rsidRPr="0050505B">
        <w:rPr>
          <w:sz w:val="24"/>
        </w:rPr>
        <w:t>area</w:t>
      </w:r>
      <w:r w:rsidR="00455E8A">
        <w:rPr>
          <w:sz w:val="24"/>
        </w:rPr>
        <w:t>. Th</w:t>
      </w:r>
      <w:r w:rsidR="00360430" w:rsidRPr="0050505B">
        <w:rPr>
          <w:sz w:val="24"/>
        </w:rPr>
        <w:t>e company and Mr. Roats</w:t>
      </w:r>
      <w:r w:rsidR="00455E8A">
        <w:rPr>
          <w:sz w:val="24"/>
        </w:rPr>
        <w:t xml:space="preserve"> have agreed to </w:t>
      </w:r>
      <w:r w:rsidR="009D17A6">
        <w:rPr>
          <w:sz w:val="24"/>
        </w:rPr>
        <w:t xml:space="preserve">a </w:t>
      </w:r>
      <w:r w:rsidR="00455E8A">
        <w:rPr>
          <w:sz w:val="24"/>
        </w:rPr>
        <w:t>lease payment</w:t>
      </w:r>
      <w:r w:rsidR="009D17A6">
        <w:rPr>
          <w:sz w:val="24"/>
        </w:rPr>
        <w:t xml:space="preserve"> of $1,325 per month</w:t>
      </w:r>
      <w:r w:rsidR="0044516A" w:rsidRPr="0050505B">
        <w:rPr>
          <w:sz w:val="24"/>
        </w:rPr>
        <w:t>.</w:t>
      </w:r>
    </w:p>
    <w:p w:rsidR="005231EA" w:rsidRPr="0050505B" w:rsidRDefault="005231EA" w:rsidP="006107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231EA" w:rsidRPr="0050505B" w:rsidRDefault="00911139" w:rsidP="005231EA">
      <w:pPr>
        <w:pStyle w:val="BodyText"/>
        <w:rPr>
          <w:rFonts w:ascii="Times New Roman" w:hAnsi="Times New Roman"/>
          <w:color w:val="000000"/>
          <w:u w:val="single"/>
        </w:rPr>
      </w:pPr>
      <w:r w:rsidRPr="0050505B">
        <w:rPr>
          <w:rFonts w:ascii="Times New Roman" w:hAnsi="Times New Roman"/>
          <w:color w:val="000000"/>
          <w:u w:val="single"/>
        </w:rPr>
        <w:t>DWSRF</w:t>
      </w:r>
    </w:p>
    <w:p w:rsidR="00F403EF" w:rsidRDefault="00091DC3" w:rsidP="00F403EF">
      <w:pPr>
        <w:pStyle w:val="BodyText"/>
        <w:spacing w:after="120"/>
        <w:rPr>
          <w:rFonts w:ascii="Times New Roman" w:hAnsi="Times New Roman"/>
          <w:color w:val="000000"/>
        </w:rPr>
      </w:pPr>
      <w:r>
        <w:rPr>
          <w:rFonts w:ascii="Times New Roman" w:hAnsi="Times New Roman"/>
          <w:color w:val="000000"/>
        </w:rPr>
        <w:t>Repayment</w:t>
      </w:r>
      <w:r w:rsidR="00744991">
        <w:rPr>
          <w:rFonts w:ascii="Times New Roman" w:hAnsi="Times New Roman"/>
          <w:color w:val="000000"/>
        </w:rPr>
        <w:t>s</w:t>
      </w:r>
      <w:r>
        <w:rPr>
          <w:rFonts w:ascii="Times New Roman" w:hAnsi="Times New Roman"/>
          <w:color w:val="000000"/>
        </w:rPr>
        <w:t xml:space="preserve"> of the </w:t>
      </w:r>
      <w:r w:rsidR="0046189A" w:rsidRPr="0050505B">
        <w:rPr>
          <w:rFonts w:ascii="Times New Roman" w:hAnsi="Times New Roman"/>
          <w:color w:val="000000"/>
        </w:rPr>
        <w:t xml:space="preserve">company’s </w:t>
      </w:r>
      <w:r w:rsidR="008912E8" w:rsidRPr="0050505B">
        <w:rPr>
          <w:rFonts w:ascii="Times New Roman" w:hAnsi="Times New Roman"/>
          <w:color w:val="000000"/>
        </w:rPr>
        <w:t xml:space="preserve">four </w:t>
      </w:r>
      <w:r w:rsidR="0047652E" w:rsidRPr="0047652E">
        <w:rPr>
          <w:rFonts w:ascii="Times New Roman" w:hAnsi="Times New Roman"/>
          <w:color w:val="000000"/>
        </w:rPr>
        <w:t>Drinking Water State Revolving Fund (DWSRF</w:t>
      </w:r>
      <w:r w:rsidR="00916C93" w:rsidRPr="0047652E">
        <w:rPr>
          <w:rFonts w:ascii="Times New Roman" w:hAnsi="Times New Roman"/>
          <w:color w:val="000000"/>
        </w:rPr>
        <w:t xml:space="preserve">) </w:t>
      </w:r>
      <w:r w:rsidR="00916C93" w:rsidRPr="0050505B">
        <w:rPr>
          <w:rFonts w:ascii="Times New Roman" w:hAnsi="Times New Roman"/>
          <w:color w:val="000000"/>
        </w:rPr>
        <w:t>loans</w:t>
      </w:r>
      <w:r w:rsidR="0046189A" w:rsidRPr="0050505B">
        <w:rPr>
          <w:rFonts w:ascii="Times New Roman" w:hAnsi="Times New Roman"/>
          <w:color w:val="000000"/>
        </w:rPr>
        <w:t xml:space="preserve"> rel</w:t>
      </w:r>
      <w:r w:rsidR="00171364">
        <w:rPr>
          <w:rFonts w:ascii="Times New Roman" w:hAnsi="Times New Roman"/>
          <w:color w:val="000000"/>
        </w:rPr>
        <w:t>y</w:t>
      </w:r>
      <w:r w:rsidR="0046189A" w:rsidRPr="0050505B">
        <w:rPr>
          <w:rFonts w:ascii="Times New Roman" w:hAnsi="Times New Roman"/>
          <w:color w:val="000000"/>
        </w:rPr>
        <w:t xml:space="preserve"> on </w:t>
      </w:r>
      <w:r w:rsidR="00171364">
        <w:rPr>
          <w:rFonts w:ascii="Times New Roman" w:hAnsi="Times New Roman"/>
          <w:color w:val="000000"/>
        </w:rPr>
        <w:t xml:space="preserve">separate </w:t>
      </w:r>
      <w:r w:rsidR="0046189A" w:rsidRPr="0050505B">
        <w:rPr>
          <w:rFonts w:ascii="Times New Roman" w:hAnsi="Times New Roman"/>
          <w:color w:val="000000"/>
        </w:rPr>
        <w:t>revenue sources</w:t>
      </w:r>
      <w:r w:rsidR="00763337">
        <w:rPr>
          <w:rFonts w:ascii="Times New Roman" w:hAnsi="Times New Roman"/>
          <w:color w:val="000000"/>
        </w:rPr>
        <w:t>. The revenue sources are</w:t>
      </w:r>
      <w:r w:rsidR="009F480B">
        <w:rPr>
          <w:rFonts w:ascii="Times New Roman" w:hAnsi="Times New Roman"/>
          <w:color w:val="000000"/>
        </w:rPr>
        <w:t>:</w:t>
      </w:r>
    </w:p>
    <w:p w:rsidR="00F403EF" w:rsidRDefault="00171364" w:rsidP="00F403EF">
      <w:pPr>
        <w:pStyle w:val="BodyText"/>
        <w:numPr>
          <w:ilvl w:val="0"/>
          <w:numId w:val="28"/>
        </w:numPr>
        <w:spacing w:before="120" w:after="120"/>
        <w:rPr>
          <w:rFonts w:ascii="Times New Roman" w:hAnsi="Times New Roman"/>
          <w:color w:val="000000"/>
        </w:rPr>
      </w:pPr>
      <w:r>
        <w:rPr>
          <w:rFonts w:ascii="Times New Roman" w:hAnsi="Times New Roman"/>
          <w:color w:val="000000"/>
        </w:rPr>
        <w:t>M</w:t>
      </w:r>
      <w:r w:rsidR="0046189A" w:rsidRPr="0050505B">
        <w:rPr>
          <w:rFonts w:ascii="Times New Roman" w:hAnsi="Times New Roman"/>
          <w:color w:val="000000"/>
        </w:rPr>
        <w:t>onthly surcharges paid by current and future customers</w:t>
      </w:r>
      <w:r>
        <w:rPr>
          <w:rFonts w:ascii="Times New Roman" w:hAnsi="Times New Roman"/>
          <w:color w:val="000000"/>
        </w:rPr>
        <w:t>;</w:t>
      </w:r>
      <w:r w:rsidR="0046189A" w:rsidRPr="0050505B">
        <w:rPr>
          <w:rFonts w:ascii="Times New Roman" w:hAnsi="Times New Roman"/>
          <w:color w:val="000000"/>
        </w:rPr>
        <w:t xml:space="preserve"> </w:t>
      </w:r>
    </w:p>
    <w:p w:rsidR="00F403EF" w:rsidRDefault="00171364" w:rsidP="00F403EF">
      <w:pPr>
        <w:pStyle w:val="BodyText"/>
        <w:numPr>
          <w:ilvl w:val="0"/>
          <w:numId w:val="28"/>
        </w:numPr>
        <w:spacing w:before="120" w:after="120"/>
        <w:rPr>
          <w:rFonts w:ascii="Times New Roman" w:hAnsi="Times New Roman"/>
          <w:color w:val="000000"/>
        </w:rPr>
      </w:pPr>
      <w:r>
        <w:rPr>
          <w:rFonts w:ascii="Times New Roman" w:hAnsi="Times New Roman"/>
          <w:color w:val="000000"/>
        </w:rPr>
        <w:t>F</w:t>
      </w:r>
      <w:r w:rsidR="0046189A" w:rsidRPr="0050505B">
        <w:rPr>
          <w:rFonts w:ascii="Times New Roman" w:hAnsi="Times New Roman"/>
          <w:color w:val="000000"/>
        </w:rPr>
        <w:t>acilities charges paid by future customers</w:t>
      </w:r>
      <w:r>
        <w:rPr>
          <w:rFonts w:ascii="Times New Roman" w:hAnsi="Times New Roman"/>
          <w:color w:val="000000"/>
        </w:rPr>
        <w:t>;</w:t>
      </w:r>
      <w:r w:rsidR="0046189A" w:rsidRPr="0050505B">
        <w:rPr>
          <w:rFonts w:ascii="Times New Roman" w:hAnsi="Times New Roman"/>
          <w:color w:val="000000"/>
        </w:rPr>
        <w:t xml:space="preserve"> and</w:t>
      </w:r>
    </w:p>
    <w:p w:rsidR="00F403EF" w:rsidRDefault="00171364" w:rsidP="00F403EF">
      <w:pPr>
        <w:pStyle w:val="BodyText"/>
        <w:numPr>
          <w:ilvl w:val="0"/>
          <w:numId w:val="28"/>
        </w:numPr>
        <w:spacing w:before="120" w:after="120"/>
        <w:rPr>
          <w:rFonts w:ascii="Times New Roman" w:hAnsi="Times New Roman"/>
          <w:color w:val="000000"/>
        </w:rPr>
      </w:pPr>
      <w:r>
        <w:rPr>
          <w:rFonts w:ascii="Times New Roman" w:hAnsi="Times New Roman"/>
          <w:color w:val="000000"/>
        </w:rPr>
        <w:t>F</w:t>
      </w:r>
      <w:r w:rsidR="0046189A" w:rsidRPr="0050505B">
        <w:rPr>
          <w:rFonts w:ascii="Times New Roman" w:hAnsi="Times New Roman"/>
          <w:color w:val="000000"/>
        </w:rPr>
        <w:t>uture equity investment by the owner.</w:t>
      </w:r>
      <w:r w:rsidR="008912E8" w:rsidRPr="0050505B">
        <w:rPr>
          <w:rFonts w:ascii="Times New Roman" w:hAnsi="Times New Roman"/>
          <w:color w:val="000000"/>
        </w:rPr>
        <w:t xml:space="preserve"> </w:t>
      </w:r>
    </w:p>
    <w:p w:rsidR="009F480B" w:rsidRPr="00947099" w:rsidRDefault="009F480B" w:rsidP="009470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D5DF8" w:rsidRPr="00947099" w:rsidRDefault="0046189A" w:rsidP="009470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47099">
        <w:rPr>
          <w:sz w:val="24"/>
        </w:rPr>
        <w:t>Staff</w:t>
      </w:r>
      <w:r w:rsidR="00171364" w:rsidRPr="00947099">
        <w:rPr>
          <w:sz w:val="24"/>
        </w:rPr>
        <w:t xml:space="preserve">’s examination </w:t>
      </w:r>
      <w:r w:rsidR="00DD5DF8" w:rsidRPr="00947099">
        <w:rPr>
          <w:sz w:val="24"/>
        </w:rPr>
        <w:t xml:space="preserve">of the company’s supporting financial documents, books and records </w:t>
      </w:r>
      <w:r w:rsidRPr="00947099">
        <w:rPr>
          <w:sz w:val="24"/>
        </w:rPr>
        <w:t>found</w:t>
      </w:r>
      <w:r w:rsidR="00DD5DF8" w:rsidRPr="00947099">
        <w:rPr>
          <w:sz w:val="24"/>
        </w:rPr>
        <w:t xml:space="preserve"> the following </w:t>
      </w:r>
      <w:r w:rsidR="000A0695" w:rsidRPr="00947099">
        <w:rPr>
          <w:sz w:val="24"/>
        </w:rPr>
        <w:t xml:space="preserve">issues </w:t>
      </w:r>
      <w:r w:rsidR="00DD5DF8" w:rsidRPr="00947099">
        <w:rPr>
          <w:sz w:val="24"/>
        </w:rPr>
        <w:t xml:space="preserve">relating to the company’s </w:t>
      </w:r>
      <w:r w:rsidR="008C5A7A" w:rsidRPr="00947099">
        <w:rPr>
          <w:sz w:val="24"/>
        </w:rPr>
        <w:t xml:space="preserve">management </w:t>
      </w:r>
      <w:r w:rsidR="00DD5DF8" w:rsidRPr="00947099">
        <w:rPr>
          <w:sz w:val="24"/>
        </w:rPr>
        <w:t>of DWSRF surcharges and facility charges it collected from customers:</w:t>
      </w:r>
    </w:p>
    <w:p w:rsidR="009F480B" w:rsidRDefault="009F480B" w:rsidP="00911139">
      <w:pPr>
        <w:pStyle w:val="BodyText"/>
        <w:rPr>
          <w:rFonts w:ascii="Times New Roman" w:hAnsi="Times New Roman"/>
          <w:color w:val="000000"/>
        </w:rPr>
      </w:pPr>
    </w:p>
    <w:p w:rsidR="00F403EF" w:rsidRDefault="008C5A7A" w:rsidP="00F403EF">
      <w:pPr>
        <w:pStyle w:val="BodyText"/>
        <w:numPr>
          <w:ilvl w:val="0"/>
          <w:numId w:val="27"/>
        </w:numPr>
        <w:spacing w:after="120"/>
        <w:rPr>
          <w:rFonts w:ascii="Times New Roman" w:hAnsi="Times New Roman"/>
          <w:color w:val="000000"/>
        </w:rPr>
      </w:pPr>
      <w:r>
        <w:rPr>
          <w:rFonts w:ascii="Times New Roman" w:hAnsi="Times New Roman"/>
          <w:color w:val="000000"/>
        </w:rPr>
        <w:t>T</w:t>
      </w:r>
      <w:r w:rsidRPr="0050505B">
        <w:rPr>
          <w:rFonts w:ascii="Times New Roman" w:hAnsi="Times New Roman"/>
          <w:color w:val="000000"/>
        </w:rPr>
        <w:t>he company co-mingled their accounting records, making it very difficult to separate daily operations from DWSRF loan projects</w:t>
      </w:r>
      <w:r w:rsidR="009D251A">
        <w:rPr>
          <w:rFonts w:ascii="Times New Roman" w:hAnsi="Times New Roman"/>
          <w:color w:val="000000"/>
        </w:rPr>
        <w:t>;</w:t>
      </w:r>
    </w:p>
    <w:p w:rsidR="00F403EF" w:rsidRDefault="00A45A11" w:rsidP="00F403EF">
      <w:pPr>
        <w:pStyle w:val="BodyText"/>
        <w:numPr>
          <w:ilvl w:val="0"/>
          <w:numId w:val="27"/>
        </w:numPr>
        <w:spacing w:before="120" w:after="120"/>
        <w:rPr>
          <w:rFonts w:ascii="Times New Roman" w:hAnsi="Times New Roman"/>
          <w:color w:val="000000"/>
        </w:rPr>
      </w:pPr>
      <w:r w:rsidRPr="0050505B">
        <w:rPr>
          <w:rFonts w:ascii="Times New Roman" w:hAnsi="Times New Roman"/>
          <w:color w:val="000000"/>
        </w:rPr>
        <w:t xml:space="preserve">DWSRF </w:t>
      </w:r>
      <w:r w:rsidR="0086473F" w:rsidRPr="0050505B">
        <w:rPr>
          <w:rFonts w:ascii="Times New Roman" w:hAnsi="Times New Roman"/>
          <w:color w:val="000000"/>
        </w:rPr>
        <w:t xml:space="preserve">surcharge </w:t>
      </w:r>
      <w:r w:rsidRPr="0050505B">
        <w:rPr>
          <w:rFonts w:ascii="Times New Roman" w:hAnsi="Times New Roman"/>
          <w:color w:val="000000"/>
        </w:rPr>
        <w:t xml:space="preserve">funds </w:t>
      </w:r>
      <w:r w:rsidR="008C5A7A">
        <w:rPr>
          <w:rFonts w:ascii="Times New Roman" w:hAnsi="Times New Roman"/>
          <w:color w:val="000000"/>
        </w:rPr>
        <w:t xml:space="preserve">were held </w:t>
      </w:r>
      <w:r w:rsidRPr="0050505B">
        <w:rPr>
          <w:rFonts w:ascii="Times New Roman" w:hAnsi="Times New Roman"/>
          <w:color w:val="000000"/>
        </w:rPr>
        <w:t xml:space="preserve">between 30 </w:t>
      </w:r>
      <w:r w:rsidR="004A0611">
        <w:rPr>
          <w:rFonts w:ascii="Times New Roman" w:hAnsi="Times New Roman"/>
          <w:color w:val="000000"/>
        </w:rPr>
        <w:t>and</w:t>
      </w:r>
      <w:r w:rsidRPr="0050505B">
        <w:rPr>
          <w:rFonts w:ascii="Times New Roman" w:hAnsi="Times New Roman"/>
          <w:color w:val="000000"/>
        </w:rPr>
        <w:t xml:space="preserve"> 60 days</w:t>
      </w:r>
      <w:r w:rsidR="0086473F" w:rsidRPr="0050505B">
        <w:rPr>
          <w:rFonts w:ascii="Times New Roman" w:hAnsi="Times New Roman"/>
          <w:color w:val="000000"/>
        </w:rPr>
        <w:t xml:space="preserve"> before </w:t>
      </w:r>
      <w:r w:rsidR="009D251A">
        <w:rPr>
          <w:rFonts w:ascii="Times New Roman" w:hAnsi="Times New Roman"/>
          <w:color w:val="000000"/>
        </w:rPr>
        <w:t>bei</w:t>
      </w:r>
      <w:r w:rsidR="00763337">
        <w:rPr>
          <w:rFonts w:ascii="Times New Roman" w:hAnsi="Times New Roman"/>
          <w:color w:val="000000"/>
        </w:rPr>
        <w:t>n</w:t>
      </w:r>
      <w:r w:rsidR="009D251A">
        <w:rPr>
          <w:rFonts w:ascii="Times New Roman" w:hAnsi="Times New Roman"/>
          <w:color w:val="000000"/>
        </w:rPr>
        <w:t xml:space="preserve">g deposited </w:t>
      </w:r>
      <w:r w:rsidR="0086473F" w:rsidRPr="0050505B">
        <w:rPr>
          <w:rFonts w:ascii="Times New Roman" w:hAnsi="Times New Roman"/>
          <w:color w:val="000000"/>
        </w:rPr>
        <w:t xml:space="preserve">into </w:t>
      </w:r>
      <w:r w:rsidR="00171364">
        <w:rPr>
          <w:rFonts w:ascii="Times New Roman" w:hAnsi="Times New Roman"/>
          <w:color w:val="000000"/>
        </w:rPr>
        <w:t xml:space="preserve">a </w:t>
      </w:r>
      <w:r w:rsidR="00BE2E40" w:rsidRPr="0050505B">
        <w:rPr>
          <w:rFonts w:ascii="Times New Roman" w:hAnsi="Times New Roman"/>
          <w:color w:val="000000"/>
        </w:rPr>
        <w:lastRenderedPageBreak/>
        <w:t>separate</w:t>
      </w:r>
      <w:r w:rsidR="0086473F" w:rsidRPr="0050505B">
        <w:rPr>
          <w:rFonts w:ascii="Times New Roman" w:hAnsi="Times New Roman"/>
          <w:color w:val="000000"/>
        </w:rPr>
        <w:t xml:space="preserve"> DWSRF loan reserve bank account</w:t>
      </w:r>
      <w:r w:rsidR="009D251A">
        <w:rPr>
          <w:rFonts w:ascii="Times New Roman" w:hAnsi="Times New Roman"/>
          <w:color w:val="000000"/>
        </w:rPr>
        <w:t>; and</w:t>
      </w:r>
      <w:r w:rsidR="00815F24" w:rsidRPr="0050505B">
        <w:rPr>
          <w:rFonts w:ascii="Times New Roman" w:hAnsi="Times New Roman"/>
          <w:color w:val="000000"/>
        </w:rPr>
        <w:t xml:space="preserve"> </w:t>
      </w:r>
    </w:p>
    <w:p w:rsidR="00F403EF" w:rsidRDefault="008C5A7A" w:rsidP="00F403EF">
      <w:pPr>
        <w:pStyle w:val="BodyText"/>
        <w:numPr>
          <w:ilvl w:val="0"/>
          <w:numId w:val="27"/>
        </w:numPr>
        <w:spacing w:before="120"/>
        <w:rPr>
          <w:rFonts w:ascii="Times New Roman" w:hAnsi="Times New Roman"/>
          <w:color w:val="000000"/>
        </w:rPr>
      </w:pPr>
      <w:r>
        <w:rPr>
          <w:rFonts w:ascii="Times New Roman" w:hAnsi="Times New Roman"/>
          <w:color w:val="000000"/>
        </w:rPr>
        <w:t>B</w:t>
      </w:r>
      <w:r w:rsidR="00815F24" w:rsidRPr="0050505B">
        <w:rPr>
          <w:rFonts w:ascii="Times New Roman" w:hAnsi="Times New Roman"/>
          <w:color w:val="000000"/>
        </w:rPr>
        <w:t>illing errors</w:t>
      </w:r>
      <w:r>
        <w:rPr>
          <w:rFonts w:ascii="Times New Roman" w:hAnsi="Times New Roman"/>
          <w:color w:val="000000"/>
        </w:rPr>
        <w:t xml:space="preserve"> by the company resulted in </w:t>
      </w:r>
      <w:r w:rsidR="009D251A">
        <w:rPr>
          <w:rFonts w:ascii="Times New Roman" w:hAnsi="Times New Roman"/>
          <w:color w:val="000000"/>
        </w:rPr>
        <w:t>the wrong</w:t>
      </w:r>
      <w:r w:rsidR="00F5281A">
        <w:rPr>
          <w:rFonts w:ascii="Times New Roman" w:hAnsi="Times New Roman"/>
          <w:color w:val="000000"/>
        </w:rPr>
        <w:t xml:space="preserve"> tariff rates</w:t>
      </w:r>
      <w:r w:rsidR="00DA7630">
        <w:rPr>
          <w:rFonts w:ascii="Times New Roman" w:hAnsi="Times New Roman"/>
          <w:color w:val="000000"/>
        </w:rPr>
        <w:t xml:space="preserve"> </w:t>
      </w:r>
      <w:r w:rsidR="00F5281A">
        <w:rPr>
          <w:rFonts w:ascii="Times New Roman" w:hAnsi="Times New Roman"/>
          <w:color w:val="000000"/>
        </w:rPr>
        <w:t xml:space="preserve">and </w:t>
      </w:r>
      <w:r w:rsidR="00171364">
        <w:rPr>
          <w:rFonts w:ascii="Times New Roman" w:hAnsi="Times New Roman"/>
          <w:color w:val="000000"/>
        </w:rPr>
        <w:t xml:space="preserve">DWSRF surcharge </w:t>
      </w:r>
      <w:r w:rsidR="009D251A">
        <w:rPr>
          <w:rFonts w:ascii="Times New Roman" w:hAnsi="Times New Roman"/>
          <w:color w:val="000000"/>
        </w:rPr>
        <w:t xml:space="preserve">amounts </w:t>
      </w:r>
      <w:r w:rsidR="00BE744C">
        <w:rPr>
          <w:rFonts w:ascii="Times New Roman" w:hAnsi="Times New Roman"/>
          <w:color w:val="000000"/>
        </w:rPr>
        <w:t>being</w:t>
      </w:r>
      <w:r w:rsidR="009D251A">
        <w:rPr>
          <w:rFonts w:ascii="Times New Roman" w:hAnsi="Times New Roman"/>
          <w:color w:val="000000"/>
        </w:rPr>
        <w:t xml:space="preserve"> </w:t>
      </w:r>
      <w:r w:rsidR="00171364">
        <w:rPr>
          <w:rFonts w:ascii="Times New Roman" w:hAnsi="Times New Roman"/>
          <w:color w:val="000000"/>
        </w:rPr>
        <w:t xml:space="preserve">collected </w:t>
      </w:r>
      <w:r>
        <w:rPr>
          <w:rFonts w:ascii="Times New Roman" w:hAnsi="Times New Roman"/>
          <w:color w:val="000000"/>
        </w:rPr>
        <w:t>from customers</w:t>
      </w:r>
      <w:r w:rsidR="009D251A">
        <w:rPr>
          <w:rFonts w:ascii="Times New Roman" w:hAnsi="Times New Roman"/>
          <w:color w:val="000000"/>
        </w:rPr>
        <w:t xml:space="preserve">. DWSRF loan repayment fund </w:t>
      </w:r>
      <w:r w:rsidR="00763337">
        <w:rPr>
          <w:rFonts w:ascii="Times New Roman" w:hAnsi="Times New Roman"/>
          <w:color w:val="000000"/>
        </w:rPr>
        <w:t xml:space="preserve">levels </w:t>
      </w:r>
      <w:r w:rsidR="009D251A">
        <w:rPr>
          <w:rFonts w:ascii="Times New Roman" w:hAnsi="Times New Roman"/>
          <w:color w:val="000000"/>
        </w:rPr>
        <w:t xml:space="preserve">are now insufficient to </w:t>
      </w:r>
      <w:r w:rsidR="00911139" w:rsidRPr="0050505B">
        <w:rPr>
          <w:rFonts w:ascii="Times New Roman" w:hAnsi="Times New Roman"/>
          <w:color w:val="000000"/>
        </w:rPr>
        <w:t>service the four DWSRF loans</w:t>
      </w:r>
      <w:r w:rsidR="0046189A" w:rsidRPr="0050505B">
        <w:rPr>
          <w:rFonts w:ascii="Times New Roman" w:hAnsi="Times New Roman"/>
          <w:color w:val="000000"/>
        </w:rPr>
        <w:t xml:space="preserve"> and operate appropriately</w:t>
      </w:r>
      <w:r w:rsidR="00BF36D8">
        <w:rPr>
          <w:rFonts w:ascii="Times New Roman" w:hAnsi="Times New Roman"/>
          <w:color w:val="000000"/>
        </w:rPr>
        <w:t xml:space="preserve"> in the future</w:t>
      </w:r>
      <w:r w:rsidR="00171364">
        <w:rPr>
          <w:rFonts w:ascii="Times New Roman" w:hAnsi="Times New Roman"/>
          <w:color w:val="000000"/>
        </w:rPr>
        <w:t>.</w:t>
      </w:r>
    </w:p>
    <w:p w:rsidR="009962F3" w:rsidRPr="0050505B" w:rsidRDefault="009962F3" w:rsidP="00911139">
      <w:pPr>
        <w:pStyle w:val="BodyText"/>
        <w:rPr>
          <w:rFonts w:ascii="Times New Roman" w:hAnsi="Times New Roman"/>
          <w:color w:val="000000"/>
        </w:rPr>
      </w:pPr>
    </w:p>
    <w:p w:rsidR="00B32E3A" w:rsidRPr="00B32E3A" w:rsidRDefault="00E34AB9" w:rsidP="00B32E3A">
      <w:pPr>
        <w:pStyle w:val="BodyText"/>
        <w:rPr>
          <w:rFonts w:ascii="Times New Roman" w:hAnsi="Times New Roman"/>
          <w:color w:val="000000"/>
        </w:rPr>
      </w:pPr>
      <w:r>
        <w:rPr>
          <w:rFonts w:ascii="Times New Roman" w:hAnsi="Times New Roman"/>
          <w:color w:val="000000"/>
        </w:rPr>
        <w:t>Staff recommends</w:t>
      </w:r>
      <w:r w:rsidR="00B32E3A">
        <w:rPr>
          <w:rFonts w:ascii="Times New Roman" w:hAnsi="Times New Roman"/>
          <w:color w:val="000000"/>
        </w:rPr>
        <w:t xml:space="preserve"> that the company</w:t>
      </w:r>
      <w:r w:rsidR="00B32E3A" w:rsidRPr="00B32E3A">
        <w:rPr>
          <w:rFonts w:ascii="Times New Roman" w:hAnsi="Times New Roman"/>
          <w:color w:val="000000"/>
        </w:rPr>
        <w:t xml:space="preserve"> be subject to maintain DWSRF records of both revenues and expenses in a manner that will allow the company to provide </w:t>
      </w:r>
      <w:r w:rsidR="0096526D">
        <w:rPr>
          <w:rFonts w:ascii="Times New Roman" w:hAnsi="Times New Roman"/>
          <w:color w:val="000000"/>
        </w:rPr>
        <w:t xml:space="preserve">in their next rate case </w:t>
      </w:r>
      <w:r w:rsidR="00B32E3A" w:rsidRPr="00B32E3A">
        <w:rPr>
          <w:rFonts w:ascii="Times New Roman" w:hAnsi="Times New Roman"/>
          <w:color w:val="000000"/>
        </w:rPr>
        <w:t>a detailed breakdown, by account, separate from the normal daily operating costs</w:t>
      </w:r>
      <w:r>
        <w:rPr>
          <w:rFonts w:ascii="Times New Roman" w:hAnsi="Times New Roman"/>
          <w:color w:val="000000"/>
        </w:rPr>
        <w:t xml:space="preserve"> because of the above-mentioned circumstance</w:t>
      </w:r>
      <w:r w:rsidR="00DA7630">
        <w:rPr>
          <w:rFonts w:ascii="Times New Roman" w:hAnsi="Times New Roman"/>
          <w:color w:val="000000"/>
        </w:rPr>
        <w:t>s</w:t>
      </w:r>
      <w:r>
        <w:rPr>
          <w:rFonts w:ascii="Times New Roman" w:hAnsi="Times New Roman"/>
          <w:color w:val="000000"/>
        </w:rPr>
        <w:t>.</w:t>
      </w:r>
    </w:p>
    <w:p w:rsidR="00B32E3A" w:rsidRDefault="00B32E3A" w:rsidP="00911139">
      <w:pPr>
        <w:pStyle w:val="BodyText"/>
        <w:rPr>
          <w:rFonts w:ascii="Times New Roman" w:hAnsi="Times New Roman"/>
          <w:color w:val="000000"/>
        </w:rPr>
      </w:pPr>
    </w:p>
    <w:p w:rsidR="00911139" w:rsidRDefault="0096526D" w:rsidP="00911139">
      <w:pPr>
        <w:pStyle w:val="BodyText"/>
        <w:rPr>
          <w:rFonts w:ascii="Times New Roman" w:hAnsi="Times New Roman"/>
          <w:color w:val="000000"/>
        </w:rPr>
      </w:pPr>
      <w:r>
        <w:rPr>
          <w:rFonts w:ascii="Times New Roman" w:hAnsi="Times New Roman"/>
          <w:color w:val="000000"/>
        </w:rPr>
        <w:t>S</w:t>
      </w:r>
      <w:r w:rsidR="00916C93">
        <w:rPr>
          <w:rFonts w:ascii="Times New Roman" w:hAnsi="Times New Roman"/>
          <w:color w:val="000000"/>
        </w:rPr>
        <w:t>taff</w:t>
      </w:r>
      <w:r w:rsidR="009F07C9">
        <w:rPr>
          <w:rFonts w:ascii="Times New Roman" w:hAnsi="Times New Roman"/>
          <w:color w:val="000000"/>
        </w:rPr>
        <w:t xml:space="preserve"> </w:t>
      </w:r>
      <w:r w:rsidR="00DA7630">
        <w:rPr>
          <w:rFonts w:ascii="Times New Roman" w:hAnsi="Times New Roman"/>
          <w:color w:val="000000"/>
        </w:rPr>
        <w:t xml:space="preserve">proposes </w:t>
      </w:r>
      <w:r>
        <w:rPr>
          <w:rFonts w:ascii="Times New Roman" w:hAnsi="Times New Roman"/>
          <w:color w:val="000000"/>
        </w:rPr>
        <w:t>th</w:t>
      </w:r>
      <w:r w:rsidR="00DA7630">
        <w:rPr>
          <w:rFonts w:ascii="Times New Roman" w:hAnsi="Times New Roman"/>
          <w:color w:val="000000"/>
        </w:rPr>
        <w:t>at th</w:t>
      </w:r>
      <w:r>
        <w:rPr>
          <w:rFonts w:ascii="Times New Roman" w:hAnsi="Times New Roman"/>
          <w:color w:val="000000"/>
        </w:rPr>
        <w:t>e commission</w:t>
      </w:r>
      <w:r w:rsidR="004F34A6">
        <w:rPr>
          <w:rFonts w:ascii="Times New Roman" w:hAnsi="Times New Roman"/>
          <w:color w:val="000000"/>
        </w:rPr>
        <w:t xml:space="preserve"> should</w:t>
      </w:r>
      <w:r>
        <w:rPr>
          <w:rFonts w:ascii="Times New Roman" w:hAnsi="Times New Roman"/>
          <w:color w:val="000000"/>
        </w:rPr>
        <w:t xml:space="preserve"> open an </w:t>
      </w:r>
      <w:r w:rsidR="00E34AB9">
        <w:rPr>
          <w:rFonts w:ascii="Times New Roman" w:hAnsi="Times New Roman"/>
          <w:color w:val="000000"/>
        </w:rPr>
        <w:t>investigat</w:t>
      </w:r>
      <w:r w:rsidR="00277CA7">
        <w:rPr>
          <w:rFonts w:ascii="Times New Roman" w:hAnsi="Times New Roman"/>
          <w:color w:val="000000"/>
        </w:rPr>
        <w:t xml:space="preserve">ion </w:t>
      </w:r>
      <w:r>
        <w:rPr>
          <w:rFonts w:ascii="Times New Roman" w:hAnsi="Times New Roman"/>
          <w:color w:val="000000"/>
        </w:rPr>
        <w:t>into the company’s b</w:t>
      </w:r>
      <w:r w:rsidR="00E34AB9">
        <w:rPr>
          <w:rFonts w:ascii="Times New Roman" w:hAnsi="Times New Roman"/>
          <w:color w:val="000000"/>
        </w:rPr>
        <w:t xml:space="preserve">usiness </w:t>
      </w:r>
      <w:r>
        <w:rPr>
          <w:rFonts w:ascii="Times New Roman" w:hAnsi="Times New Roman"/>
          <w:color w:val="000000"/>
        </w:rPr>
        <w:t>p</w:t>
      </w:r>
      <w:r w:rsidR="00E34AB9">
        <w:rPr>
          <w:rFonts w:ascii="Times New Roman" w:hAnsi="Times New Roman"/>
          <w:color w:val="000000"/>
        </w:rPr>
        <w:t>ractices</w:t>
      </w:r>
      <w:r>
        <w:rPr>
          <w:rFonts w:ascii="Times New Roman" w:hAnsi="Times New Roman"/>
          <w:color w:val="000000"/>
        </w:rPr>
        <w:t xml:space="preserve"> to </w:t>
      </w:r>
      <w:r w:rsidR="00E34AB9">
        <w:rPr>
          <w:rFonts w:ascii="Times New Roman" w:hAnsi="Times New Roman"/>
          <w:color w:val="000000"/>
        </w:rPr>
        <w:t xml:space="preserve">resolve </w:t>
      </w:r>
      <w:r w:rsidR="00DA7630">
        <w:rPr>
          <w:rFonts w:ascii="Times New Roman" w:hAnsi="Times New Roman"/>
          <w:color w:val="000000"/>
        </w:rPr>
        <w:t>tariff vio</w:t>
      </w:r>
      <w:r>
        <w:rPr>
          <w:rFonts w:ascii="Times New Roman" w:hAnsi="Times New Roman"/>
          <w:color w:val="000000"/>
        </w:rPr>
        <w:t>lations</w:t>
      </w:r>
      <w:r w:rsidR="00E34AB9">
        <w:rPr>
          <w:rFonts w:ascii="Times New Roman" w:hAnsi="Times New Roman"/>
          <w:color w:val="000000"/>
        </w:rPr>
        <w:t>.</w:t>
      </w:r>
    </w:p>
    <w:p w:rsidR="0050505B" w:rsidRPr="0050505B" w:rsidRDefault="0050505B" w:rsidP="0050505B">
      <w:pPr>
        <w:pStyle w:val="BodyText"/>
        <w:rPr>
          <w:rFonts w:ascii="Times New Roman" w:hAnsi="Times New Roman"/>
          <w:color w:val="000000"/>
        </w:rPr>
      </w:pPr>
    </w:p>
    <w:p w:rsidR="0050505B" w:rsidRPr="0050505B" w:rsidRDefault="0050505B" w:rsidP="0050505B">
      <w:pPr>
        <w:pStyle w:val="BodyText"/>
        <w:rPr>
          <w:rFonts w:ascii="Times New Roman" w:hAnsi="Times New Roman"/>
          <w:color w:val="000000"/>
          <w:u w:val="single"/>
        </w:rPr>
      </w:pPr>
      <w:r w:rsidRPr="0050505B">
        <w:rPr>
          <w:rFonts w:ascii="Times New Roman" w:hAnsi="Times New Roman"/>
          <w:color w:val="000000"/>
          <w:u w:val="single"/>
        </w:rPr>
        <w:t>Facilities Charge</w:t>
      </w:r>
    </w:p>
    <w:p w:rsidR="0050505B" w:rsidRPr="0050505B" w:rsidRDefault="002309FA" w:rsidP="0050505B">
      <w:pPr>
        <w:pStyle w:val="BodyText"/>
        <w:rPr>
          <w:rFonts w:ascii="Times New Roman" w:hAnsi="Times New Roman"/>
          <w:color w:val="000000"/>
        </w:rPr>
      </w:pPr>
      <w:r w:rsidRPr="002309FA">
        <w:rPr>
          <w:rFonts w:ascii="Times New Roman" w:hAnsi="Times New Roman"/>
          <w:color w:val="000000"/>
        </w:rPr>
        <w:t xml:space="preserve">A facilities charge is a one-time charge assessed to new customers to pay for capital improvements required to serve new customers. </w:t>
      </w:r>
      <w:r w:rsidR="0002366B">
        <w:rPr>
          <w:rFonts w:ascii="Times New Roman" w:hAnsi="Times New Roman"/>
          <w:color w:val="000000"/>
        </w:rPr>
        <w:t>Under Order 01 in Docket UW-081416,</w:t>
      </w:r>
      <w:r w:rsidR="00F10604">
        <w:rPr>
          <w:rFonts w:ascii="Times New Roman" w:hAnsi="Times New Roman"/>
          <w:color w:val="000000"/>
        </w:rPr>
        <w:t xml:space="preserve"> </w:t>
      </w:r>
      <w:r w:rsidRPr="002309FA">
        <w:rPr>
          <w:rFonts w:ascii="Times New Roman" w:hAnsi="Times New Roman"/>
          <w:color w:val="000000"/>
        </w:rPr>
        <w:t xml:space="preserve">the </w:t>
      </w:r>
      <w:r w:rsidR="0002366B">
        <w:rPr>
          <w:rFonts w:ascii="Times New Roman" w:hAnsi="Times New Roman"/>
          <w:color w:val="000000"/>
        </w:rPr>
        <w:t xml:space="preserve">company </w:t>
      </w:r>
      <w:r w:rsidRPr="002309FA">
        <w:rPr>
          <w:rFonts w:ascii="Times New Roman" w:hAnsi="Times New Roman"/>
          <w:color w:val="000000"/>
        </w:rPr>
        <w:t>applie</w:t>
      </w:r>
      <w:r w:rsidR="0002366B">
        <w:rPr>
          <w:rFonts w:ascii="Times New Roman" w:hAnsi="Times New Roman"/>
          <w:color w:val="000000"/>
        </w:rPr>
        <w:t>s facility charge revenues</w:t>
      </w:r>
      <w:r w:rsidRPr="002309FA">
        <w:rPr>
          <w:rFonts w:ascii="Times New Roman" w:hAnsi="Times New Roman"/>
          <w:color w:val="000000"/>
        </w:rPr>
        <w:t xml:space="preserve"> to repay</w:t>
      </w:r>
      <w:r w:rsidR="0002366B">
        <w:rPr>
          <w:rFonts w:ascii="Times New Roman" w:hAnsi="Times New Roman"/>
          <w:color w:val="000000"/>
        </w:rPr>
        <w:t>ment of</w:t>
      </w:r>
      <w:r w:rsidRPr="002309FA">
        <w:rPr>
          <w:rFonts w:ascii="Times New Roman" w:hAnsi="Times New Roman"/>
          <w:color w:val="000000"/>
        </w:rPr>
        <w:t xml:space="preserve"> the DWSRF loans for current capital improvements approved by the Public Works Board (PWB). </w:t>
      </w:r>
      <w:r>
        <w:rPr>
          <w:rFonts w:ascii="Times New Roman" w:hAnsi="Times New Roman"/>
          <w:color w:val="000000"/>
        </w:rPr>
        <w:t>In this docket, t</w:t>
      </w:r>
      <w:r w:rsidR="0050505B" w:rsidRPr="0050505B">
        <w:rPr>
          <w:rFonts w:ascii="Times New Roman" w:hAnsi="Times New Roman"/>
          <w:color w:val="000000"/>
        </w:rPr>
        <w:t xml:space="preserve">he company is seeking to increase its facilities charge from $1,450 to $2,950, which </w:t>
      </w:r>
      <w:r w:rsidR="0002366B">
        <w:rPr>
          <w:rFonts w:ascii="Times New Roman" w:hAnsi="Times New Roman"/>
          <w:color w:val="000000"/>
        </w:rPr>
        <w:t xml:space="preserve">amount </w:t>
      </w:r>
      <w:r w:rsidR="0050505B" w:rsidRPr="0050505B">
        <w:rPr>
          <w:rFonts w:ascii="Times New Roman" w:hAnsi="Times New Roman"/>
          <w:color w:val="000000"/>
        </w:rPr>
        <w:t xml:space="preserve">is in line with </w:t>
      </w:r>
      <w:r w:rsidR="0002366B">
        <w:rPr>
          <w:rFonts w:ascii="Times New Roman" w:hAnsi="Times New Roman"/>
          <w:color w:val="000000"/>
        </w:rPr>
        <w:t xml:space="preserve">the facilities charge of </w:t>
      </w:r>
      <w:r w:rsidR="0050505B" w:rsidRPr="0050505B">
        <w:rPr>
          <w:rFonts w:ascii="Times New Roman" w:hAnsi="Times New Roman"/>
          <w:color w:val="000000"/>
        </w:rPr>
        <w:t xml:space="preserve">other companies the commission regulates </w:t>
      </w:r>
      <w:r w:rsidR="0002366B">
        <w:rPr>
          <w:rFonts w:ascii="Times New Roman" w:hAnsi="Times New Roman"/>
          <w:color w:val="000000"/>
        </w:rPr>
        <w:t>together with</w:t>
      </w:r>
      <w:r w:rsidR="0050505B" w:rsidRPr="0050505B">
        <w:rPr>
          <w:rFonts w:ascii="Times New Roman" w:hAnsi="Times New Roman"/>
          <w:color w:val="000000"/>
        </w:rPr>
        <w:t xml:space="preserve"> </w:t>
      </w:r>
      <w:r>
        <w:rPr>
          <w:rFonts w:ascii="Times New Roman" w:hAnsi="Times New Roman"/>
          <w:color w:val="000000"/>
        </w:rPr>
        <w:t>h</w:t>
      </w:r>
      <w:r w:rsidR="0050505B" w:rsidRPr="0050505B">
        <w:rPr>
          <w:rFonts w:ascii="Times New Roman" w:hAnsi="Times New Roman"/>
          <w:color w:val="000000"/>
        </w:rPr>
        <w:t xml:space="preserve">istorical </w:t>
      </w:r>
      <w:r>
        <w:rPr>
          <w:rFonts w:ascii="Times New Roman" w:hAnsi="Times New Roman"/>
          <w:color w:val="000000"/>
        </w:rPr>
        <w:t>c</w:t>
      </w:r>
      <w:r w:rsidR="0050505B" w:rsidRPr="0050505B">
        <w:rPr>
          <w:rFonts w:ascii="Times New Roman" w:hAnsi="Times New Roman"/>
          <w:color w:val="000000"/>
        </w:rPr>
        <w:t xml:space="preserve">onstruction </w:t>
      </w:r>
      <w:r>
        <w:rPr>
          <w:rFonts w:ascii="Times New Roman" w:hAnsi="Times New Roman"/>
          <w:color w:val="000000"/>
        </w:rPr>
        <w:t>c</w:t>
      </w:r>
      <w:r w:rsidR="0050505B" w:rsidRPr="0050505B">
        <w:rPr>
          <w:rFonts w:ascii="Times New Roman" w:hAnsi="Times New Roman"/>
          <w:color w:val="000000"/>
        </w:rPr>
        <w:t xml:space="preserve">ost </w:t>
      </w:r>
      <w:r>
        <w:rPr>
          <w:rFonts w:ascii="Times New Roman" w:hAnsi="Times New Roman"/>
          <w:color w:val="000000"/>
        </w:rPr>
        <w:t>i</w:t>
      </w:r>
      <w:r w:rsidR="0050505B" w:rsidRPr="0050505B">
        <w:rPr>
          <w:rFonts w:ascii="Times New Roman" w:hAnsi="Times New Roman"/>
          <w:color w:val="000000"/>
        </w:rPr>
        <w:t xml:space="preserve">ndexes. It has been 15 years since the </w:t>
      </w:r>
      <w:r w:rsidR="0002366B">
        <w:rPr>
          <w:rFonts w:ascii="Times New Roman" w:hAnsi="Times New Roman"/>
          <w:color w:val="000000"/>
        </w:rPr>
        <w:t xml:space="preserve">company’s </w:t>
      </w:r>
      <w:r w:rsidR="0050505B" w:rsidRPr="0050505B">
        <w:rPr>
          <w:rFonts w:ascii="Times New Roman" w:hAnsi="Times New Roman"/>
          <w:color w:val="000000"/>
        </w:rPr>
        <w:t>facilities charge has been updated.</w:t>
      </w:r>
    </w:p>
    <w:p w:rsidR="0050505B" w:rsidRPr="0050505B" w:rsidRDefault="0050505B">
      <w:pPr>
        <w:pStyle w:val="BodyText"/>
        <w:rPr>
          <w:rFonts w:ascii="Times New Roman" w:hAnsi="Times New Roman"/>
          <w:color w:val="000000"/>
          <w:u w:val="single"/>
        </w:rPr>
      </w:pPr>
    </w:p>
    <w:p w:rsidR="00390752" w:rsidRPr="0050505B" w:rsidRDefault="00390752" w:rsidP="00390752">
      <w:pPr>
        <w:pStyle w:val="BodyText"/>
        <w:rPr>
          <w:rFonts w:ascii="Times New Roman" w:hAnsi="Times New Roman"/>
          <w:color w:val="000000"/>
          <w:u w:val="single"/>
        </w:rPr>
      </w:pPr>
      <w:r w:rsidRPr="0050505B">
        <w:rPr>
          <w:rFonts w:ascii="Times New Roman" w:hAnsi="Times New Roman"/>
          <w:color w:val="000000"/>
          <w:u w:val="single"/>
        </w:rPr>
        <w:t>Customer Notice Exemption</w:t>
      </w:r>
    </w:p>
    <w:p w:rsidR="00390752" w:rsidRPr="0050505B" w:rsidRDefault="00EB5986" w:rsidP="00390752">
      <w:pPr>
        <w:pStyle w:val="BodyText"/>
        <w:rPr>
          <w:rFonts w:ascii="Times New Roman" w:hAnsi="Times New Roman"/>
          <w:color w:val="000000"/>
        </w:rPr>
      </w:pPr>
      <w:r w:rsidRPr="0050505B">
        <w:rPr>
          <w:rFonts w:ascii="Times New Roman" w:hAnsi="Times New Roman"/>
          <w:color w:val="000000"/>
        </w:rPr>
        <w:t xml:space="preserve">The company requests an exemption from WAC 480-110-425, which requires the company to notify customers thirty days prior to a rate increase taking effect. The company proposes to notify customers in the next billing cycle of the increases that will result from the commission approving staff recommended revised </w:t>
      </w:r>
      <w:r w:rsidR="00916C93" w:rsidRPr="0050505B">
        <w:rPr>
          <w:rFonts w:ascii="Times New Roman" w:hAnsi="Times New Roman"/>
          <w:color w:val="000000"/>
        </w:rPr>
        <w:t>rates, which</w:t>
      </w:r>
      <w:r w:rsidRPr="0050505B">
        <w:rPr>
          <w:rFonts w:ascii="Times New Roman" w:hAnsi="Times New Roman"/>
          <w:color w:val="000000"/>
        </w:rPr>
        <w:t xml:space="preserve"> are different </w:t>
      </w:r>
      <w:r w:rsidR="00916C93" w:rsidRPr="0050505B">
        <w:rPr>
          <w:rFonts w:ascii="Times New Roman" w:hAnsi="Times New Roman"/>
          <w:color w:val="000000"/>
        </w:rPr>
        <w:t>from</w:t>
      </w:r>
      <w:r w:rsidRPr="0050505B">
        <w:rPr>
          <w:rFonts w:ascii="Times New Roman" w:hAnsi="Times New Roman"/>
          <w:color w:val="000000"/>
        </w:rPr>
        <w:t xml:space="preserve"> what the company originally noticed to customers.</w:t>
      </w:r>
    </w:p>
    <w:p w:rsidR="007972C6" w:rsidRDefault="007972C6">
      <w:pPr>
        <w:widowControl/>
        <w:autoSpaceDE/>
        <w:autoSpaceDN/>
        <w:adjustRightInd/>
        <w:rPr>
          <w:b/>
          <w:sz w:val="24"/>
          <w:u w:val="single"/>
        </w:rPr>
      </w:pPr>
    </w:p>
    <w:p w:rsidR="002D3C9C" w:rsidRPr="0050505B" w:rsidRDefault="002D3C9C" w:rsidP="002D3C9C">
      <w:pPr>
        <w:pStyle w:val="BodyText"/>
        <w:widowControl/>
        <w:tabs>
          <w:tab w:val="left" w:pos="0"/>
        </w:tabs>
        <w:rPr>
          <w:rFonts w:ascii="Times New Roman" w:hAnsi="Times New Roman"/>
          <w:b/>
          <w:u w:val="single"/>
        </w:rPr>
      </w:pPr>
      <w:r w:rsidRPr="0050505B">
        <w:rPr>
          <w:rFonts w:ascii="Times New Roman" w:hAnsi="Times New Roman"/>
          <w:b/>
          <w:u w:val="single"/>
        </w:rPr>
        <w:t>Customer Comments</w:t>
      </w:r>
    </w:p>
    <w:p w:rsidR="002D3C9C" w:rsidRPr="0050505B" w:rsidRDefault="002D3C9C" w:rsidP="002D3C9C">
      <w:pPr>
        <w:rPr>
          <w:sz w:val="24"/>
        </w:rPr>
      </w:pPr>
    </w:p>
    <w:p w:rsidR="00E2165C" w:rsidRPr="0050505B" w:rsidRDefault="00C92D5C" w:rsidP="00E2165C">
      <w:pPr>
        <w:pStyle w:val="BodyText"/>
        <w:widowControl/>
        <w:tabs>
          <w:tab w:val="left" w:pos="0"/>
        </w:tabs>
        <w:rPr>
          <w:rFonts w:ascii="Times New Roman" w:hAnsi="Times New Roman"/>
        </w:rPr>
      </w:pPr>
      <w:r w:rsidRPr="0050505B">
        <w:rPr>
          <w:rFonts w:ascii="Times New Roman" w:hAnsi="Times New Roman"/>
        </w:rPr>
        <w:t>On Ma</w:t>
      </w:r>
      <w:r w:rsidR="00F4205F" w:rsidRPr="0050505B">
        <w:rPr>
          <w:rFonts w:ascii="Times New Roman" w:hAnsi="Times New Roman"/>
        </w:rPr>
        <w:t>y</w:t>
      </w:r>
      <w:r w:rsidRPr="0050505B">
        <w:rPr>
          <w:rFonts w:ascii="Times New Roman" w:hAnsi="Times New Roman"/>
        </w:rPr>
        <w:t xml:space="preserve"> 2</w:t>
      </w:r>
      <w:r w:rsidR="00F4205F" w:rsidRPr="0050505B">
        <w:rPr>
          <w:rFonts w:ascii="Times New Roman" w:hAnsi="Times New Roman"/>
        </w:rPr>
        <w:t>2</w:t>
      </w:r>
      <w:r w:rsidRPr="0050505B">
        <w:rPr>
          <w:rFonts w:ascii="Times New Roman" w:hAnsi="Times New Roman"/>
        </w:rPr>
        <w:t>, 200</w:t>
      </w:r>
      <w:r w:rsidR="00F4205F" w:rsidRPr="0050505B">
        <w:rPr>
          <w:rFonts w:ascii="Times New Roman" w:hAnsi="Times New Roman"/>
        </w:rPr>
        <w:t>9</w:t>
      </w:r>
      <w:r w:rsidRPr="0050505B">
        <w:rPr>
          <w:rFonts w:ascii="Times New Roman" w:hAnsi="Times New Roman"/>
        </w:rPr>
        <w:t>, the company notified its customers of the rate increase by mail.</w:t>
      </w:r>
      <w:r w:rsidR="00CB538B" w:rsidRPr="0050505B">
        <w:rPr>
          <w:rFonts w:ascii="Times New Roman" w:hAnsi="Times New Roman"/>
        </w:rPr>
        <w:t xml:space="preserve"> T</w:t>
      </w:r>
      <w:r w:rsidR="00881EA3" w:rsidRPr="0050505B">
        <w:rPr>
          <w:rFonts w:ascii="Times New Roman" w:hAnsi="Times New Roman"/>
        </w:rPr>
        <w:t xml:space="preserve">he commission has received </w:t>
      </w:r>
      <w:r w:rsidR="0069677B">
        <w:rPr>
          <w:rFonts w:ascii="Times New Roman" w:hAnsi="Times New Roman"/>
        </w:rPr>
        <w:t>eleven</w:t>
      </w:r>
      <w:r w:rsidR="00881EA3" w:rsidRPr="0050505B">
        <w:rPr>
          <w:rFonts w:ascii="Times New Roman" w:hAnsi="Times New Roman"/>
        </w:rPr>
        <w:t xml:space="preserve"> customer </w:t>
      </w:r>
      <w:r w:rsidR="00E80966" w:rsidRPr="0050505B">
        <w:rPr>
          <w:rFonts w:ascii="Times New Roman" w:hAnsi="Times New Roman"/>
        </w:rPr>
        <w:t>comments</w:t>
      </w:r>
      <w:r w:rsidR="00881EA3" w:rsidRPr="0050505B">
        <w:rPr>
          <w:rFonts w:ascii="Times New Roman" w:hAnsi="Times New Roman"/>
        </w:rPr>
        <w:t xml:space="preserve"> </w:t>
      </w:r>
      <w:r w:rsidR="004E22DB" w:rsidRPr="0050505B">
        <w:rPr>
          <w:rFonts w:ascii="Times New Roman" w:hAnsi="Times New Roman"/>
        </w:rPr>
        <w:t>on</w:t>
      </w:r>
      <w:r w:rsidR="00B10294" w:rsidRPr="0050505B">
        <w:rPr>
          <w:rFonts w:ascii="Times New Roman" w:hAnsi="Times New Roman"/>
        </w:rPr>
        <w:t xml:space="preserve"> this</w:t>
      </w:r>
      <w:r w:rsidR="00881EA3" w:rsidRPr="0050505B">
        <w:rPr>
          <w:rFonts w:ascii="Times New Roman" w:hAnsi="Times New Roman"/>
        </w:rPr>
        <w:t xml:space="preserve"> filing</w:t>
      </w:r>
      <w:r w:rsidR="00E2165C" w:rsidRPr="0050505B">
        <w:rPr>
          <w:rFonts w:ascii="Times New Roman" w:hAnsi="Times New Roman"/>
        </w:rPr>
        <w:t xml:space="preserve">; </w:t>
      </w:r>
      <w:r w:rsidR="0053524D">
        <w:rPr>
          <w:rFonts w:ascii="Times New Roman" w:hAnsi="Times New Roman"/>
        </w:rPr>
        <w:t>ten</w:t>
      </w:r>
      <w:r w:rsidR="0053524D" w:rsidRPr="0050505B">
        <w:rPr>
          <w:rFonts w:ascii="Times New Roman" w:hAnsi="Times New Roman"/>
        </w:rPr>
        <w:t xml:space="preserve"> </w:t>
      </w:r>
      <w:r w:rsidR="00E2165C" w:rsidRPr="0050505B">
        <w:rPr>
          <w:rFonts w:ascii="Times New Roman" w:hAnsi="Times New Roman"/>
        </w:rPr>
        <w:t>are opposed</w:t>
      </w:r>
      <w:r w:rsidR="0053524D">
        <w:rPr>
          <w:rFonts w:ascii="Times New Roman" w:hAnsi="Times New Roman"/>
        </w:rPr>
        <w:t>, and one supports</w:t>
      </w:r>
      <w:r w:rsidR="00E2165C" w:rsidRPr="0050505B">
        <w:rPr>
          <w:rFonts w:ascii="Times New Roman" w:hAnsi="Times New Roman"/>
        </w:rPr>
        <w:t xml:space="preserve"> the proposed increase. </w:t>
      </w:r>
      <w:r w:rsidR="0088507D" w:rsidRPr="0050505B">
        <w:rPr>
          <w:rFonts w:ascii="Times New Roman" w:hAnsi="Times New Roman"/>
        </w:rPr>
        <w:t>Staff’s open meeting memorandum, dated June 25, 2009, summarized and responded to those customers’ comments.</w:t>
      </w:r>
      <w:r w:rsidR="00F222A6">
        <w:rPr>
          <w:rFonts w:ascii="Times New Roman" w:hAnsi="Times New Roman"/>
        </w:rPr>
        <w:t xml:space="preserve"> No new issues have been brought forth since that open meeting.</w:t>
      </w:r>
    </w:p>
    <w:p w:rsidR="0088507D" w:rsidRPr="0050505B" w:rsidRDefault="0088507D" w:rsidP="00E2165C">
      <w:pPr>
        <w:pStyle w:val="BodyText"/>
        <w:widowControl/>
        <w:tabs>
          <w:tab w:val="left" w:pos="0"/>
        </w:tabs>
        <w:rPr>
          <w:rFonts w:ascii="Times New Roman" w:hAnsi="Times New Roman"/>
        </w:rPr>
      </w:pPr>
    </w:p>
    <w:p w:rsidR="008956A7" w:rsidRPr="0050505B" w:rsidRDefault="008956A7" w:rsidP="005B201F">
      <w:pPr>
        <w:rPr>
          <w:b/>
          <w:sz w:val="24"/>
          <w:u w:val="single"/>
        </w:rPr>
      </w:pPr>
      <w:r w:rsidRPr="0050505B">
        <w:rPr>
          <w:b/>
          <w:sz w:val="24"/>
          <w:u w:val="single"/>
        </w:rPr>
        <w:t>Rate Comparison</w:t>
      </w:r>
    </w:p>
    <w:p w:rsidR="009A174A" w:rsidRPr="0050505B" w:rsidRDefault="009A174A" w:rsidP="008956A7">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3"/>
        <w:gridCol w:w="2536"/>
        <w:gridCol w:w="2877"/>
      </w:tblGrid>
      <w:tr w:rsidR="0088507D" w:rsidRPr="0050505B" w:rsidTr="00EB5986">
        <w:tc>
          <w:tcPr>
            <w:tcW w:w="2174" w:type="pct"/>
          </w:tcPr>
          <w:p w:rsidR="0088507D" w:rsidRPr="0050505B" w:rsidRDefault="0088507D" w:rsidP="00AB12D9">
            <w:pPr>
              <w:jc w:val="center"/>
              <w:rPr>
                <w:b/>
                <w:sz w:val="24"/>
              </w:rPr>
            </w:pPr>
            <w:r w:rsidRPr="0050505B">
              <w:rPr>
                <w:b/>
                <w:sz w:val="24"/>
              </w:rPr>
              <w:t>Ancillary Charges</w:t>
            </w:r>
          </w:p>
        </w:tc>
        <w:tc>
          <w:tcPr>
            <w:tcW w:w="1324" w:type="pct"/>
            <w:vAlign w:val="center"/>
          </w:tcPr>
          <w:p w:rsidR="0088507D" w:rsidRPr="0050505B" w:rsidRDefault="0088507D" w:rsidP="00AB12D9">
            <w:pPr>
              <w:jc w:val="center"/>
              <w:rPr>
                <w:b/>
                <w:sz w:val="24"/>
              </w:rPr>
            </w:pPr>
            <w:r w:rsidRPr="0050505B">
              <w:rPr>
                <w:b/>
                <w:sz w:val="24"/>
              </w:rPr>
              <w:t>Current Rate</w:t>
            </w:r>
          </w:p>
        </w:tc>
        <w:tc>
          <w:tcPr>
            <w:tcW w:w="1502" w:type="pct"/>
          </w:tcPr>
          <w:p w:rsidR="0088507D" w:rsidRPr="0050505B" w:rsidRDefault="0088507D" w:rsidP="00AB12D9">
            <w:pPr>
              <w:jc w:val="center"/>
              <w:rPr>
                <w:b/>
                <w:sz w:val="24"/>
              </w:rPr>
            </w:pPr>
            <w:r w:rsidRPr="0050505B">
              <w:rPr>
                <w:b/>
                <w:sz w:val="24"/>
              </w:rPr>
              <w:t>Proposed Rate</w:t>
            </w:r>
          </w:p>
        </w:tc>
      </w:tr>
      <w:tr w:rsidR="0088507D" w:rsidRPr="0050505B" w:rsidTr="00EB5986">
        <w:tc>
          <w:tcPr>
            <w:tcW w:w="2174" w:type="pct"/>
          </w:tcPr>
          <w:p w:rsidR="0088507D" w:rsidRPr="0050505B" w:rsidRDefault="0088507D" w:rsidP="0088507D">
            <w:pPr>
              <w:rPr>
                <w:sz w:val="24"/>
              </w:rPr>
            </w:pPr>
            <w:r w:rsidRPr="0050505B">
              <w:rPr>
                <w:sz w:val="24"/>
              </w:rPr>
              <w:t>Facilities Charge</w:t>
            </w:r>
          </w:p>
        </w:tc>
        <w:tc>
          <w:tcPr>
            <w:tcW w:w="1324" w:type="pct"/>
          </w:tcPr>
          <w:p w:rsidR="0088507D" w:rsidRPr="0050505B" w:rsidRDefault="0088507D" w:rsidP="00187884">
            <w:pPr>
              <w:jc w:val="center"/>
              <w:rPr>
                <w:sz w:val="24"/>
              </w:rPr>
            </w:pPr>
            <w:r w:rsidRPr="0050505B">
              <w:rPr>
                <w:sz w:val="24"/>
              </w:rPr>
              <w:t>$1,475</w:t>
            </w:r>
          </w:p>
        </w:tc>
        <w:tc>
          <w:tcPr>
            <w:tcW w:w="1502" w:type="pct"/>
          </w:tcPr>
          <w:p w:rsidR="0088507D" w:rsidRPr="0050505B" w:rsidRDefault="0088507D" w:rsidP="00187884">
            <w:pPr>
              <w:jc w:val="center"/>
              <w:rPr>
                <w:sz w:val="24"/>
              </w:rPr>
            </w:pPr>
            <w:r w:rsidRPr="0050505B">
              <w:rPr>
                <w:sz w:val="24"/>
              </w:rPr>
              <w:t>$2,950</w:t>
            </w:r>
          </w:p>
        </w:tc>
      </w:tr>
    </w:tbl>
    <w:p w:rsidR="00C92D5C" w:rsidRPr="0050505B" w:rsidRDefault="00C92D5C" w:rsidP="00C92D5C">
      <w:pPr>
        <w:pStyle w:val="Heading1"/>
        <w:jc w:val="left"/>
      </w:pPr>
    </w:p>
    <w:p w:rsidR="0088507D" w:rsidRPr="0050505B" w:rsidRDefault="0088507D" w:rsidP="0088507D">
      <w:pPr>
        <w:sectPr w:rsidR="0088507D" w:rsidRPr="0050505B" w:rsidSect="003114F0">
          <w:headerReference w:type="default" r:id="rId11"/>
          <w:endnotePr>
            <w:numFmt w:val="decimal"/>
            <w:numRestart w:val="eachSect"/>
          </w:endnotePr>
          <w:pgSz w:w="12240" w:h="15840" w:code="1"/>
          <w:pgMar w:top="1440" w:right="1440" w:bottom="1440" w:left="1440" w:header="720" w:footer="720" w:gutter="0"/>
          <w:cols w:space="720"/>
          <w:noEndnote/>
          <w:titlePg/>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1879"/>
        <w:gridCol w:w="2266"/>
        <w:gridCol w:w="2264"/>
      </w:tblGrid>
      <w:tr w:rsidR="00390752" w:rsidRPr="0050505B" w:rsidTr="00390752">
        <w:tc>
          <w:tcPr>
            <w:tcW w:w="1654" w:type="pct"/>
          </w:tcPr>
          <w:p w:rsidR="00390752" w:rsidRPr="0050505B" w:rsidRDefault="00390752" w:rsidP="003F5CCC">
            <w:pPr>
              <w:pStyle w:val="Heading1"/>
              <w:rPr>
                <w:b/>
              </w:rPr>
            </w:pPr>
            <w:r w:rsidRPr="0050505B">
              <w:rPr>
                <w:b/>
              </w:rPr>
              <w:lastRenderedPageBreak/>
              <w:t>Monthly Rate</w:t>
            </w:r>
          </w:p>
        </w:tc>
        <w:tc>
          <w:tcPr>
            <w:tcW w:w="981" w:type="pct"/>
            <w:vAlign w:val="center"/>
          </w:tcPr>
          <w:p w:rsidR="00390752" w:rsidRPr="0050505B" w:rsidRDefault="00390752" w:rsidP="003F5CCC">
            <w:pPr>
              <w:jc w:val="center"/>
              <w:rPr>
                <w:b/>
                <w:sz w:val="24"/>
              </w:rPr>
            </w:pPr>
            <w:r w:rsidRPr="0050505B">
              <w:rPr>
                <w:b/>
                <w:sz w:val="24"/>
              </w:rPr>
              <w:t>Current Rate</w:t>
            </w:r>
          </w:p>
        </w:tc>
        <w:tc>
          <w:tcPr>
            <w:tcW w:w="1183" w:type="pct"/>
          </w:tcPr>
          <w:p w:rsidR="00390752" w:rsidRPr="0050505B" w:rsidRDefault="00390752" w:rsidP="003F5CCC">
            <w:pPr>
              <w:jc w:val="center"/>
              <w:rPr>
                <w:b/>
                <w:sz w:val="24"/>
              </w:rPr>
            </w:pPr>
            <w:r w:rsidRPr="0050505B">
              <w:rPr>
                <w:b/>
                <w:sz w:val="24"/>
              </w:rPr>
              <w:t>Proposed Rate</w:t>
            </w:r>
          </w:p>
        </w:tc>
        <w:tc>
          <w:tcPr>
            <w:tcW w:w="1182" w:type="pct"/>
          </w:tcPr>
          <w:p w:rsidR="00390752" w:rsidRPr="0050505B" w:rsidRDefault="004E3533" w:rsidP="003F5CCC">
            <w:pPr>
              <w:jc w:val="center"/>
              <w:rPr>
                <w:b/>
                <w:sz w:val="24"/>
              </w:rPr>
            </w:pPr>
            <w:r w:rsidRPr="0050505B">
              <w:rPr>
                <w:b/>
                <w:sz w:val="24"/>
              </w:rPr>
              <w:t>Revised Rate</w:t>
            </w:r>
          </w:p>
        </w:tc>
      </w:tr>
      <w:tr w:rsidR="00390752" w:rsidRPr="0050505B" w:rsidTr="00390752">
        <w:tc>
          <w:tcPr>
            <w:tcW w:w="1654" w:type="pct"/>
          </w:tcPr>
          <w:p w:rsidR="00390752" w:rsidRPr="0050505B" w:rsidRDefault="00390752" w:rsidP="003F5CCC">
            <w:pPr>
              <w:pStyle w:val="Heading1"/>
              <w:jc w:val="left"/>
              <w:rPr>
                <w:vertAlign w:val="superscript"/>
              </w:rPr>
            </w:pPr>
            <w:r w:rsidRPr="0050505B">
              <w:t>Flat Rate (Unmetered)</w:t>
            </w:r>
            <w:r w:rsidRPr="0050505B">
              <w:rPr>
                <w:vertAlign w:val="superscript"/>
              </w:rPr>
              <w:t>1</w:t>
            </w:r>
          </w:p>
        </w:tc>
        <w:tc>
          <w:tcPr>
            <w:tcW w:w="981" w:type="pct"/>
            <w:vAlign w:val="center"/>
          </w:tcPr>
          <w:p w:rsidR="00390752" w:rsidRPr="0050505B" w:rsidRDefault="00390752" w:rsidP="008B1983">
            <w:pPr>
              <w:jc w:val="center"/>
              <w:rPr>
                <w:sz w:val="24"/>
              </w:rPr>
            </w:pPr>
            <w:r w:rsidRPr="0050505B">
              <w:rPr>
                <w:sz w:val="24"/>
              </w:rPr>
              <w:t>$51.55</w:t>
            </w:r>
          </w:p>
        </w:tc>
        <w:tc>
          <w:tcPr>
            <w:tcW w:w="1183" w:type="pct"/>
          </w:tcPr>
          <w:p w:rsidR="00390752" w:rsidRPr="0050505B" w:rsidRDefault="00390752" w:rsidP="008B1983">
            <w:pPr>
              <w:jc w:val="center"/>
              <w:rPr>
                <w:sz w:val="24"/>
              </w:rPr>
            </w:pPr>
            <w:r w:rsidRPr="0050505B">
              <w:rPr>
                <w:sz w:val="24"/>
              </w:rPr>
              <w:t>$56.50</w:t>
            </w:r>
          </w:p>
        </w:tc>
        <w:tc>
          <w:tcPr>
            <w:tcW w:w="1182" w:type="pct"/>
          </w:tcPr>
          <w:p w:rsidR="00390752" w:rsidRPr="0050505B" w:rsidRDefault="004E3533" w:rsidP="008B1983">
            <w:pPr>
              <w:jc w:val="center"/>
              <w:rPr>
                <w:sz w:val="24"/>
              </w:rPr>
            </w:pPr>
            <w:r w:rsidRPr="0050505B">
              <w:rPr>
                <w:sz w:val="24"/>
              </w:rPr>
              <w:t>$46.38</w:t>
            </w:r>
          </w:p>
        </w:tc>
      </w:tr>
      <w:tr w:rsidR="00390752" w:rsidRPr="0050505B" w:rsidTr="00390752">
        <w:tc>
          <w:tcPr>
            <w:tcW w:w="1654" w:type="pct"/>
          </w:tcPr>
          <w:p w:rsidR="00390752" w:rsidRPr="0050505B" w:rsidRDefault="00390752" w:rsidP="003F5CCC">
            <w:pPr>
              <w:pStyle w:val="Heading1"/>
              <w:jc w:val="left"/>
            </w:pPr>
            <w:r w:rsidRPr="0050505B">
              <w:t>Ready-to-Serve (RTS)</w:t>
            </w:r>
            <w:r w:rsidRPr="0050505B">
              <w:rPr>
                <w:sz w:val="20"/>
                <w:vertAlign w:val="superscript"/>
              </w:rPr>
              <w:t xml:space="preserve"> </w:t>
            </w:r>
            <w:r w:rsidRPr="0050505B">
              <w:rPr>
                <w:vertAlign w:val="superscript"/>
              </w:rPr>
              <w:t>1</w:t>
            </w:r>
          </w:p>
        </w:tc>
        <w:tc>
          <w:tcPr>
            <w:tcW w:w="981" w:type="pct"/>
            <w:vAlign w:val="center"/>
          </w:tcPr>
          <w:p w:rsidR="00390752" w:rsidRPr="0050505B" w:rsidRDefault="00390752" w:rsidP="008B1983">
            <w:pPr>
              <w:jc w:val="center"/>
              <w:rPr>
                <w:sz w:val="24"/>
              </w:rPr>
            </w:pPr>
            <w:r w:rsidRPr="0050505B">
              <w:rPr>
                <w:sz w:val="24"/>
              </w:rPr>
              <w:t>$22.50</w:t>
            </w:r>
          </w:p>
        </w:tc>
        <w:tc>
          <w:tcPr>
            <w:tcW w:w="1183" w:type="pct"/>
          </w:tcPr>
          <w:p w:rsidR="00390752" w:rsidRPr="0050505B" w:rsidRDefault="00390752" w:rsidP="008B1983">
            <w:pPr>
              <w:jc w:val="center"/>
              <w:rPr>
                <w:sz w:val="24"/>
              </w:rPr>
            </w:pPr>
            <w:r w:rsidRPr="0050505B">
              <w:rPr>
                <w:sz w:val="24"/>
              </w:rPr>
              <w:t>$27.00</w:t>
            </w:r>
          </w:p>
        </w:tc>
        <w:tc>
          <w:tcPr>
            <w:tcW w:w="1182" w:type="pct"/>
          </w:tcPr>
          <w:p w:rsidR="00390752" w:rsidRPr="0050505B" w:rsidRDefault="004E3533" w:rsidP="008B1983">
            <w:pPr>
              <w:jc w:val="center"/>
              <w:rPr>
                <w:sz w:val="24"/>
              </w:rPr>
            </w:pPr>
            <w:r w:rsidRPr="0050505B">
              <w:rPr>
                <w:sz w:val="24"/>
              </w:rPr>
              <w:t>$15.73</w:t>
            </w:r>
          </w:p>
        </w:tc>
      </w:tr>
      <w:tr w:rsidR="00390752" w:rsidRPr="0050505B" w:rsidTr="00390752">
        <w:tc>
          <w:tcPr>
            <w:tcW w:w="1654" w:type="pct"/>
          </w:tcPr>
          <w:p w:rsidR="00390752" w:rsidRPr="0050505B" w:rsidRDefault="00390752" w:rsidP="003F5CCC">
            <w:pPr>
              <w:pStyle w:val="Heading1"/>
              <w:jc w:val="left"/>
            </w:pPr>
            <w:r w:rsidRPr="0050505B">
              <w:t>Base Rate (¾-inch meter)</w:t>
            </w:r>
            <w:r w:rsidRPr="0050505B">
              <w:rPr>
                <w:sz w:val="20"/>
                <w:vertAlign w:val="superscript"/>
              </w:rPr>
              <w:t xml:space="preserve"> </w:t>
            </w:r>
            <w:r w:rsidRPr="0050505B">
              <w:rPr>
                <w:vertAlign w:val="superscript"/>
              </w:rPr>
              <w:t>1</w:t>
            </w:r>
          </w:p>
        </w:tc>
        <w:tc>
          <w:tcPr>
            <w:tcW w:w="981" w:type="pct"/>
          </w:tcPr>
          <w:p w:rsidR="00390752" w:rsidRPr="0050505B" w:rsidRDefault="00390752" w:rsidP="008B1983">
            <w:pPr>
              <w:jc w:val="center"/>
              <w:rPr>
                <w:sz w:val="24"/>
              </w:rPr>
            </w:pPr>
            <w:r w:rsidRPr="0050505B">
              <w:rPr>
                <w:sz w:val="24"/>
              </w:rPr>
              <w:t>$22.50</w:t>
            </w:r>
          </w:p>
        </w:tc>
        <w:tc>
          <w:tcPr>
            <w:tcW w:w="1183" w:type="pct"/>
          </w:tcPr>
          <w:p w:rsidR="00390752" w:rsidRPr="0050505B" w:rsidRDefault="00390752" w:rsidP="008B1983">
            <w:pPr>
              <w:jc w:val="center"/>
              <w:rPr>
                <w:sz w:val="24"/>
              </w:rPr>
            </w:pPr>
            <w:r w:rsidRPr="0050505B">
              <w:rPr>
                <w:sz w:val="24"/>
              </w:rPr>
              <w:t>$27.00</w:t>
            </w:r>
          </w:p>
        </w:tc>
        <w:tc>
          <w:tcPr>
            <w:tcW w:w="1182" w:type="pct"/>
          </w:tcPr>
          <w:p w:rsidR="00390752" w:rsidRPr="0050505B" w:rsidRDefault="004E3533" w:rsidP="008B1983">
            <w:pPr>
              <w:jc w:val="center"/>
              <w:rPr>
                <w:sz w:val="24"/>
              </w:rPr>
            </w:pPr>
            <w:r w:rsidRPr="0050505B">
              <w:rPr>
                <w:sz w:val="24"/>
              </w:rPr>
              <w:t>$15.73</w:t>
            </w:r>
          </w:p>
        </w:tc>
      </w:tr>
      <w:tr w:rsidR="00390752" w:rsidRPr="0050505B" w:rsidTr="00390752">
        <w:tc>
          <w:tcPr>
            <w:tcW w:w="1654" w:type="pct"/>
          </w:tcPr>
          <w:p w:rsidR="00390752" w:rsidRPr="0050505B" w:rsidRDefault="00390752" w:rsidP="004E3533">
            <w:pPr>
              <w:rPr>
                <w:sz w:val="24"/>
              </w:rPr>
            </w:pPr>
            <w:r w:rsidRPr="0050505B">
              <w:rPr>
                <w:sz w:val="24"/>
              </w:rPr>
              <w:t xml:space="preserve">0 – </w:t>
            </w:r>
            <w:r w:rsidR="004E3533" w:rsidRPr="0050505B">
              <w:rPr>
                <w:sz w:val="24"/>
              </w:rPr>
              <w:t>461</w:t>
            </w:r>
            <w:r w:rsidRPr="0050505B">
              <w:rPr>
                <w:sz w:val="24"/>
              </w:rPr>
              <w:t xml:space="preserve"> Cubic Feet</w:t>
            </w:r>
            <w:r w:rsidRPr="0050505B">
              <w:rPr>
                <w:sz w:val="24"/>
                <w:vertAlign w:val="superscript"/>
              </w:rPr>
              <w:t>1,2</w:t>
            </w:r>
          </w:p>
        </w:tc>
        <w:tc>
          <w:tcPr>
            <w:tcW w:w="981" w:type="pct"/>
          </w:tcPr>
          <w:p w:rsidR="00390752" w:rsidRPr="0050505B" w:rsidRDefault="00390752" w:rsidP="008B1983">
            <w:pPr>
              <w:jc w:val="center"/>
              <w:rPr>
                <w:sz w:val="24"/>
              </w:rPr>
            </w:pPr>
            <w:r w:rsidRPr="0050505B">
              <w:rPr>
                <w:sz w:val="24"/>
              </w:rPr>
              <w:t>$3.55</w:t>
            </w:r>
          </w:p>
        </w:tc>
        <w:tc>
          <w:tcPr>
            <w:tcW w:w="1183" w:type="pct"/>
          </w:tcPr>
          <w:p w:rsidR="00390752" w:rsidRPr="0050505B" w:rsidRDefault="00390752" w:rsidP="008B1983">
            <w:pPr>
              <w:jc w:val="center"/>
              <w:rPr>
                <w:sz w:val="24"/>
              </w:rPr>
            </w:pPr>
            <w:r w:rsidRPr="0050505B">
              <w:rPr>
                <w:sz w:val="24"/>
              </w:rPr>
              <w:t>$3.55</w:t>
            </w:r>
          </w:p>
        </w:tc>
        <w:tc>
          <w:tcPr>
            <w:tcW w:w="1182" w:type="pct"/>
          </w:tcPr>
          <w:p w:rsidR="00390752" w:rsidRPr="0050505B" w:rsidRDefault="004E3533" w:rsidP="008B1983">
            <w:pPr>
              <w:jc w:val="center"/>
              <w:rPr>
                <w:sz w:val="24"/>
              </w:rPr>
            </w:pPr>
            <w:r w:rsidRPr="0050505B">
              <w:rPr>
                <w:sz w:val="24"/>
              </w:rPr>
              <w:t>$4.92</w:t>
            </w:r>
          </w:p>
        </w:tc>
      </w:tr>
      <w:tr w:rsidR="004E3533" w:rsidRPr="0050505B" w:rsidTr="00390752">
        <w:tc>
          <w:tcPr>
            <w:tcW w:w="1654" w:type="pct"/>
          </w:tcPr>
          <w:p w:rsidR="004E3533" w:rsidRPr="0050505B" w:rsidRDefault="004E3533" w:rsidP="004E3533">
            <w:pPr>
              <w:rPr>
                <w:sz w:val="24"/>
              </w:rPr>
            </w:pPr>
            <w:r w:rsidRPr="0050505B">
              <w:rPr>
                <w:sz w:val="24"/>
              </w:rPr>
              <w:t>462 – 500 Cubic Feet</w:t>
            </w:r>
            <w:r w:rsidRPr="0050505B">
              <w:rPr>
                <w:sz w:val="24"/>
                <w:vertAlign w:val="superscript"/>
              </w:rPr>
              <w:t>1,2</w:t>
            </w:r>
          </w:p>
        </w:tc>
        <w:tc>
          <w:tcPr>
            <w:tcW w:w="981" w:type="pct"/>
          </w:tcPr>
          <w:p w:rsidR="004E3533" w:rsidRPr="0050505B" w:rsidRDefault="004E3533" w:rsidP="004E3533">
            <w:pPr>
              <w:jc w:val="center"/>
              <w:rPr>
                <w:sz w:val="24"/>
              </w:rPr>
            </w:pPr>
            <w:r w:rsidRPr="0050505B">
              <w:rPr>
                <w:sz w:val="24"/>
              </w:rPr>
              <w:t>$3.55</w:t>
            </w:r>
          </w:p>
        </w:tc>
        <w:tc>
          <w:tcPr>
            <w:tcW w:w="1183" w:type="pct"/>
          </w:tcPr>
          <w:p w:rsidR="004E3533" w:rsidRPr="0050505B" w:rsidRDefault="004E3533" w:rsidP="004E3533">
            <w:pPr>
              <w:jc w:val="center"/>
              <w:rPr>
                <w:sz w:val="24"/>
              </w:rPr>
            </w:pPr>
            <w:r w:rsidRPr="0050505B">
              <w:rPr>
                <w:sz w:val="24"/>
              </w:rPr>
              <w:t>$3.55</w:t>
            </w:r>
          </w:p>
        </w:tc>
        <w:tc>
          <w:tcPr>
            <w:tcW w:w="1182" w:type="pct"/>
          </w:tcPr>
          <w:p w:rsidR="004E3533" w:rsidRPr="0050505B" w:rsidRDefault="004E3533" w:rsidP="008B1983">
            <w:pPr>
              <w:jc w:val="center"/>
              <w:rPr>
                <w:sz w:val="24"/>
              </w:rPr>
            </w:pPr>
            <w:r w:rsidRPr="0050505B">
              <w:rPr>
                <w:sz w:val="24"/>
              </w:rPr>
              <w:t>$6.13</w:t>
            </w:r>
          </w:p>
        </w:tc>
      </w:tr>
      <w:tr w:rsidR="00390752" w:rsidRPr="0050505B" w:rsidTr="00390752">
        <w:tc>
          <w:tcPr>
            <w:tcW w:w="1654" w:type="pct"/>
          </w:tcPr>
          <w:p w:rsidR="00390752" w:rsidRPr="0050505B" w:rsidRDefault="00390752" w:rsidP="008B1983">
            <w:pPr>
              <w:rPr>
                <w:sz w:val="24"/>
              </w:rPr>
            </w:pPr>
            <w:r w:rsidRPr="0050505B">
              <w:rPr>
                <w:sz w:val="24"/>
              </w:rPr>
              <w:t>501 – 900 Cubic Feet</w:t>
            </w:r>
            <w:r w:rsidRPr="0050505B">
              <w:rPr>
                <w:sz w:val="24"/>
                <w:vertAlign w:val="superscript"/>
              </w:rPr>
              <w:t>1,2</w:t>
            </w:r>
          </w:p>
        </w:tc>
        <w:tc>
          <w:tcPr>
            <w:tcW w:w="981" w:type="pct"/>
          </w:tcPr>
          <w:p w:rsidR="00390752" w:rsidRPr="0050505B" w:rsidRDefault="00390752" w:rsidP="008B1983">
            <w:pPr>
              <w:jc w:val="center"/>
              <w:rPr>
                <w:sz w:val="24"/>
              </w:rPr>
            </w:pPr>
            <w:r w:rsidRPr="0050505B">
              <w:rPr>
                <w:sz w:val="24"/>
              </w:rPr>
              <w:t>$4.55</w:t>
            </w:r>
          </w:p>
        </w:tc>
        <w:tc>
          <w:tcPr>
            <w:tcW w:w="1183" w:type="pct"/>
          </w:tcPr>
          <w:p w:rsidR="00390752" w:rsidRPr="0050505B" w:rsidRDefault="00390752" w:rsidP="008B1983">
            <w:pPr>
              <w:jc w:val="center"/>
              <w:rPr>
                <w:sz w:val="24"/>
              </w:rPr>
            </w:pPr>
            <w:r w:rsidRPr="0050505B">
              <w:rPr>
                <w:sz w:val="24"/>
              </w:rPr>
              <w:t>$4.55</w:t>
            </w:r>
          </w:p>
        </w:tc>
        <w:tc>
          <w:tcPr>
            <w:tcW w:w="1182" w:type="pct"/>
          </w:tcPr>
          <w:p w:rsidR="00390752" w:rsidRPr="0050505B" w:rsidRDefault="004E3533" w:rsidP="008B1983">
            <w:pPr>
              <w:jc w:val="center"/>
              <w:rPr>
                <w:sz w:val="24"/>
              </w:rPr>
            </w:pPr>
            <w:r w:rsidRPr="0050505B">
              <w:rPr>
                <w:sz w:val="24"/>
              </w:rPr>
              <w:t>$6.13</w:t>
            </w:r>
          </w:p>
        </w:tc>
      </w:tr>
      <w:tr w:rsidR="004E3533" w:rsidRPr="0050505B" w:rsidTr="00390752">
        <w:tc>
          <w:tcPr>
            <w:tcW w:w="1654" w:type="pct"/>
          </w:tcPr>
          <w:p w:rsidR="004E3533" w:rsidRPr="0050505B" w:rsidRDefault="004E3533" w:rsidP="004E3533">
            <w:pPr>
              <w:rPr>
                <w:sz w:val="24"/>
              </w:rPr>
            </w:pPr>
            <w:r w:rsidRPr="0050505B">
              <w:rPr>
                <w:sz w:val="24"/>
              </w:rPr>
              <w:t>901 – 1,125 Cubic Feet</w:t>
            </w:r>
            <w:r w:rsidRPr="0050505B">
              <w:rPr>
                <w:sz w:val="24"/>
                <w:vertAlign w:val="superscript"/>
              </w:rPr>
              <w:t>1,2</w:t>
            </w:r>
          </w:p>
        </w:tc>
        <w:tc>
          <w:tcPr>
            <w:tcW w:w="981" w:type="pct"/>
          </w:tcPr>
          <w:p w:rsidR="004E3533" w:rsidRPr="0050505B" w:rsidRDefault="004E3533" w:rsidP="004E3533">
            <w:pPr>
              <w:jc w:val="center"/>
              <w:rPr>
                <w:sz w:val="24"/>
              </w:rPr>
            </w:pPr>
            <w:r w:rsidRPr="0050505B">
              <w:rPr>
                <w:sz w:val="24"/>
              </w:rPr>
              <w:t>$5.55</w:t>
            </w:r>
          </w:p>
        </w:tc>
        <w:tc>
          <w:tcPr>
            <w:tcW w:w="1183" w:type="pct"/>
          </w:tcPr>
          <w:p w:rsidR="004E3533" w:rsidRPr="0050505B" w:rsidRDefault="004E3533" w:rsidP="004E3533">
            <w:pPr>
              <w:jc w:val="center"/>
              <w:rPr>
                <w:sz w:val="24"/>
              </w:rPr>
            </w:pPr>
            <w:r w:rsidRPr="0050505B">
              <w:rPr>
                <w:sz w:val="24"/>
              </w:rPr>
              <w:t>$5.55</w:t>
            </w:r>
          </w:p>
        </w:tc>
        <w:tc>
          <w:tcPr>
            <w:tcW w:w="1182" w:type="pct"/>
          </w:tcPr>
          <w:p w:rsidR="004E3533" w:rsidRPr="0050505B" w:rsidRDefault="004E3533" w:rsidP="008B1983">
            <w:pPr>
              <w:jc w:val="center"/>
              <w:rPr>
                <w:sz w:val="24"/>
              </w:rPr>
            </w:pPr>
            <w:r w:rsidRPr="0050505B">
              <w:rPr>
                <w:sz w:val="24"/>
              </w:rPr>
              <w:t>$6.13</w:t>
            </w:r>
          </w:p>
        </w:tc>
      </w:tr>
      <w:tr w:rsidR="00390752" w:rsidRPr="0050505B" w:rsidTr="00390752">
        <w:tc>
          <w:tcPr>
            <w:tcW w:w="1654" w:type="pct"/>
          </w:tcPr>
          <w:p w:rsidR="00390752" w:rsidRPr="0050505B" w:rsidRDefault="004E3533" w:rsidP="004E3533">
            <w:pPr>
              <w:rPr>
                <w:sz w:val="24"/>
              </w:rPr>
            </w:pPr>
            <w:r w:rsidRPr="0050505B">
              <w:rPr>
                <w:sz w:val="24"/>
              </w:rPr>
              <w:t>1,126</w:t>
            </w:r>
            <w:r w:rsidR="00390752" w:rsidRPr="0050505B">
              <w:rPr>
                <w:sz w:val="24"/>
              </w:rPr>
              <w:t xml:space="preserve"> – 1,600 Cubic Feet</w:t>
            </w:r>
            <w:r w:rsidR="00390752" w:rsidRPr="0050505B">
              <w:rPr>
                <w:sz w:val="24"/>
                <w:vertAlign w:val="superscript"/>
              </w:rPr>
              <w:t>1,2</w:t>
            </w:r>
          </w:p>
        </w:tc>
        <w:tc>
          <w:tcPr>
            <w:tcW w:w="981" w:type="pct"/>
          </w:tcPr>
          <w:p w:rsidR="00390752" w:rsidRPr="0050505B" w:rsidRDefault="00390752" w:rsidP="004F573A">
            <w:pPr>
              <w:jc w:val="center"/>
              <w:rPr>
                <w:sz w:val="24"/>
              </w:rPr>
            </w:pPr>
            <w:r w:rsidRPr="0050505B">
              <w:rPr>
                <w:sz w:val="24"/>
              </w:rPr>
              <w:t>$5.55</w:t>
            </w:r>
          </w:p>
        </w:tc>
        <w:tc>
          <w:tcPr>
            <w:tcW w:w="1183" w:type="pct"/>
          </w:tcPr>
          <w:p w:rsidR="00390752" w:rsidRPr="0050505B" w:rsidRDefault="00390752" w:rsidP="004F573A">
            <w:pPr>
              <w:jc w:val="center"/>
              <w:rPr>
                <w:sz w:val="24"/>
              </w:rPr>
            </w:pPr>
            <w:r w:rsidRPr="0050505B">
              <w:rPr>
                <w:sz w:val="24"/>
              </w:rPr>
              <w:t>$5.55</w:t>
            </w:r>
          </w:p>
        </w:tc>
        <w:tc>
          <w:tcPr>
            <w:tcW w:w="1182" w:type="pct"/>
          </w:tcPr>
          <w:p w:rsidR="00390752" w:rsidRPr="0050505B" w:rsidRDefault="004E3533" w:rsidP="004F573A">
            <w:pPr>
              <w:jc w:val="center"/>
              <w:rPr>
                <w:sz w:val="24"/>
              </w:rPr>
            </w:pPr>
            <w:r w:rsidRPr="0050505B">
              <w:rPr>
                <w:sz w:val="24"/>
              </w:rPr>
              <w:t>$7.50</w:t>
            </w:r>
          </w:p>
        </w:tc>
      </w:tr>
      <w:tr w:rsidR="00390752" w:rsidRPr="0050505B" w:rsidTr="00390752">
        <w:tc>
          <w:tcPr>
            <w:tcW w:w="1654" w:type="pct"/>
          </w:tcPr>
          <w:p w:rsidR="00390752" w:rsidRPr="0050505B" w:rsidRDefault="00390752" w:rsidP="004F573A">
            <w:pPr>
              <w:rPr>
                <w:sz w:val="24"/>
              </w:rPr>
            </w:pPr>
            <w:r w:rsidRPr="0050505B">
              <w:rPr>
                <w:sz w:val="24"/>
              </w:rPr>
              <w:t>Over 1,600 Cubic Feet</w:t>
            </w:r>
            <w:r w:rsidRPr="0050505B">
              <w:rPr>
                <w:sz w:val="24"/>
                <w:vertAlign w:val="superscript"/>
              </w:rPr>
              <w:t>1,2</w:t>
            </w:r>
          </w:p>
        </w:tc>
        <w:tc>
          <w:tcPr>
            <w:tcW w:w="981" w:type="pct"/>
          </w:tcPr>
          <w:p w:rsidR="00390752" w:rsidRPr="0050505B" w:rsidRDefault="00390752" w:rsidP="004F573A">
            <w:pPr>
              <w:jc w:val="center"/>
              <w:rPr>
                <w:sz w:val="24"/>
              </w:rPr>
            </w:pPr>
            <w:r w:rsidRPr="0050505B">
              <w:rPr>
                <w:sz w:val="24"/>
              </w:rPr>
              <w:t>$7.85</w:t>
            </w:r>
          </w:p>
        </w:tc>
        <w:tc>
          <w:tcPr>
            <w:tcW w:w="1183" w:type="pct"/>
          </w:tcPr>
          <w:p w:rsidR="00390752" w:rsidRPr="0050505B" w:rsidRDefault="00390752" w:rsidP="004F573A">
            <w:pPr>
              <w:jc w:val="center"/>
              <w:rPr>
                <w:sz w:val="24"/>
              </w:rPr>
            </w:pPr>
            <w:r w:rsidRPr="0050505B">
              <w:rPr>
                <w:sz w:val="24"/>
              </w:rPr>
              <w:t>$7.85</w:t>
            </w:r>
          </w:p>
        </w:tc>
        <w:tc>
          <w:tcPr>
            <w:tcW w:w="1182" w:type="pct"/>
          </w:tcPr>
          <w:p w:rsidR="00390752" w:rsidRPr="0050505B" w:rsidRDefault="004E3533" w:rsidP="004F573A">
            <w:pPr>
              <w:jc w:val="center"/>
              <w:rPr>
                <w:sz w:val="24"/>
              </w:rPr>
            </w:pPr>
            <w:r w:rsidRPr="0050505B">
              <w:rPr>
                <w:sz w:val="24"/>
              </w:rPr>
              <w:t>$7.50</w:t>
            </w:r>
          </w:p>
        </w:tc>
      </w:tr>
    </w:tbl>
    <w:p w:rsidR="00390752" w:rsidRPr="0050505B" w:rsidRDefault="00390752" w:rsidP="00390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vertAlign w:val="superscript"/>
        </w:rPr>
      </w:pPr>
      <w:r w:rsidRPr="0050505B">
        <w:rPr>
          <w:sz w:val="24"/>
          <w:vertAlign w:val="superscript"/>
        </w:rPr>
        <w:t>1 – Based on ¾-inch meter classification, see company’s tariff for upsize meter classification, usage blocks and rates.</w:t>
      </w:r>
    </w:p>
    <w:p w:rsidR="00390752" w:rsidRPr="0050505B" w:rsidRDefault="00390752" w:rsidP="00390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vertAlign w:val="superscript"/>
        </w:rPr>
      </w:pPr>
      <w:r w:rsidRPr="0050505B">
        <w:rPr>
          <w:sz w:val="24"/>
          <w:vertAlign w:val="superscript"/>
        </w:rPr>
        <w:t>2 – Based on “per 100 cubic feet”.</w:t>
      </w:r>
    </w:p>
    <w:p w:rsidR="00C92D5C" w:rsidRPr="0050505B" w:rsidRDefault="00C92D5C" w:rsidP="00C92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92D5C" w:rsidRPr="0050505B" w:rsidRDefault="00C92D5C" w:rsidP="005B201F">
      <w:pPr>
        <w:rPr>
          <w:b/>
          <w:sz w:val="24"/>
          <w:u w:val="single"/>
        </w:rPr>
      </w:pPr>
      <w:r w:rsidRPr="0050505B">
        <w:rPr>
          <w:b/>
          <w:sz w:val="24"/>
          <w:u w:val="single"/>
        </w:rPr>
        <w:t>Average Bill Comparison</w:t>
      </w:r>
    </w:p>
    <w:p w:rsidR="00C92D5C" w:rsidRPr="0050505B" w:rsidRDefault="00C92D5C" w:rsidP="00C92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6"/>
        <w:gridCol w:w="1955"/>
        <w:gridCol w:w="2204"/>
        <w:gridCol w:w="2201"/>
      </w:tblGrid>
      <w:tr w:rsidR="00390752" w:rsidRPr="0050505B" w:rsidTr="00390752">
        <w:tc>
          <w:tcPr>
            <w:tcW w:w="1679" w:type="pct"/>
          </w:tcPr>
          <w:p w:rsidR="00390752" w:rsidRPr="0050505B" w:rsidRDefault="00390752" w:rsidP="003F5CCC">
            <w:pPr>
              <w:pStyle w:val="Heading1"/>
              <w:rPr>
                <w:b/>
              </w:rPr>
            </w:pPr>
            <w:r w:rsidRPr="0050505B">
              <w:rPr>
                <w:b/>
              </w:rPr>
              <w:t>Average Monthly Usage</w:t>
            </w:r>
          </w:p>
          <w:p w:rsidR="00390752" w:rsidRPr="0050505B" w:rsidRDefault="00390752" w:rsidP="003F5CCC">
            <w:pPr>
              <w:pStyle w:val="Heading1"/>
              <w:rPr>
                <w:b/>
                <w:vertAlign w:val="superscript"/>
              </w:rPr>
            </w:pPr>
            <w:r w:rsidRPr="0050505B">
              <w:rPr>
                <w:b/>
              </w:rPr>
              <w:t>566 cubic feet</w:t>
            </w:r>
            <w:r w:rsidRPr="0050505B">
              <w:rPr>
                <w:vertAlign w:val="superscript"/>
              </w:rPr>
              <w:t>3</w:t>
            </w:r>
          </w:p>
        </w:tc>
        <w:tc>
          <w:tcPr>
            <w:tcW w:w="1021" w:type="pct"/>
            <w:vAlign w:val="center"/>
          </w:tcPr>
          <w:p w:rsidR="00390752" w:rsidRPr="0050505B" w:rsidRDefault="00390752" w:rsidP="003F5CCC">
            <w:pPr>
              <w:jc w:val="center"/>
              <w:rPr>
                <w:b/>
                <w:sz w:val="24"/>
              </w:rPr>
            </w:pPr>
          </w:p>
          <w:p w:rsidR="00390752" w:rsidRPr="0050505B" w:rsidRDefault="00390752" w:rsidP="003F5CCC">
            <w:pPr>
              <w:jc w:val="center"/>
              <w:rPr>
                <w:b/>
                <w:sz w:val="24"/>
              </w:rPr>
            </w:pPr>
            <w:r w:rsidRPr="0050505B">
              <w:rPr>
                <w:b/>
                <w:sz w:val="24"/>
              </w:rPr>
              <w:t>Current Rate</w:t>
            </w:r>
          </w:p>
        </w:tc>
        <w:tc>
          <w:tcPr>
            <w:tcW w:w="1151" w:type="pct"/>
          </w:tcPr>
          <w:p w:rsidR="00390752" w:rsidRPr="0050505B" w:rsidRDefault="00390752" w:rsidP="003F5CCC">
            <w:pPr>
              <w:jc w:val="center"/>
              <w:rPr>
                <w:b/>
                <w:sz w:val="24"/>
              </w:rPr>
            </w:pPr>
          </w:p>
          <w:p w:rsidR="00390752" w:rsidRPr="0050505B" w:rsidRDefault="00390752" w:rsidP="003F5CCC">
            <w:pPr>
              <w:jc w:val="center"/>
              <w:rPr>
                <w:b/>
                <w:sz w:val="24"/>
              </w:rPr>
            </w:pPr>
            <w:r w:rsidRPr="0050505B">
              <w:rPr>
                <w:b/>
                <w:sz w:val="24"/>
              </w:rPr>
              <w:t>Proposed Rate</w:t>
            </w:r>
          </w:p>
        </w:tc>
        <w:tc>
          <w:tcPr>
            <w:tcW w:w="1149" w:type="pct"/>
            <w:vAlign w:val="bottom"/>
          </w:tcPr>
          <w:p w:rsidR="00390752" w:rsidRPr="0050505B" w:rsidRDefault="00390752" w:rsidP="00390752">
            <w:pPr>
              <w:jc w:val="center"/>
              <w:rPr>
                <w:b/>
                <w:sz w:val="24"/>
              </w:rPr>
            </w:pPr>
            <w:r w:rsidRPr="0050505B">
              <w:rPr>
                <w:b/>
                <w:sz w:val="24"/>
              </w:rPr>
              <w:t>Revised Rate</w:t>
            </w:r>
          </w:p>
        </w:tc>
      </w:tr>
      <w:tr w:rsidR="00390752" w:rsidRPr="0050505B" w:rsidTr="00390752">
        <w:tc>
          <w:tcPr>
            <w:tcW w:w="1679" w:type="pct"/>
          </w:tcPr>
          <w:p w:rsidR="00390752" w:rsidRPr="0050505B" w:rsidRDefault="00390752" w:rsidP="003F5CCC">
            <w:pPr>
              <w:pStyle w:val="Heading1"/>
              <w:jc w:val="left"/>
            </w:pPr>
            <w:r w:rsidRPr="0050505B">
              <w:t>Base Rate (¾-inch meter)</w:t>
            </w:r>
          </w:p>
        </w:tc>
        <w:tc>
          <w:tcPr>
            <w:tcW w:w="1021" w:type="pct"/>
          </w:tcPr>
          <w:p w:rsidR="00390752" w:rsidRPr="0050505B" w:rsidRDefault="00390752" w:rsidP="00370D83">
            <w:pPr>
              <w:jc w:val="center"/>
              <w:rPr>
                <w:sz w:val="24"/>
              </w:rPr>
            </w:pPr>
            <w:r w:rsidRPr="0050505B">
              <w:rPr>
                <w:sz w:val="24"/>
              </w:rPr>
              <w:t>$22.50</w:t>
            </w:r>
          </w:p>
        </w:tc>
        <w:tc>
          <w:tcPr>
            <w:tcW w:w="1151" w:type="pct"/>
          </w:tcPr>
          <w:p w:rsidR="00390752" w:rsidRPr="0050505B" w:rsidRDefault="00390752" w:rsidP="00370D83">
            <w:pPr>
              <w:jc w:val="center"/>
              <w:rPr>
                <w:sz w:val="24"/>
              </w:rPr>
            </w:pPr>
            <w:r w:rsidRPr="0050505B">
              <w:rPr>
                <w:sz w:val="24"/>
              </w:rPr>
              <w:t>$27.00</w:t>
            </w:r>
          </w:p>
        </w:tc>
        <w:tc>
          <w:tcPr>
            <w:tcW w:w="1149" w:type="pct"/>
          </w:tcPr>
          <w:p w:rsidR="00390752" w:rsidRPr="0050505B" w:rsidRDefault="00390752" w:rsidP="00365672">
            <w:pPr>
              <w:jc w:val="center"/>
              <w:rPr>
                <w:sz w:val="24"/>
              </w:rPr>
            </w:pPr>
            <w:r w:rsidRPr="0050505B">
              <w:rPr>
                <w:sz w:val="24"/>
              </w:rPr>
              <w:t>$</w:t>
            </w:r>
            <w:r w:rsidR="00365672" w:rsidRPr="0050505B">
              <w:rPr>
                <w:sz w:val="24"/>
              </w:rPr>
              <w:t>15</w:t>
            </w:r>
            <w:r w:rsidRPr="0050505B">
              <w:rPr>
                <w:sz w:val="24"/>
              </w:rPr>
              <w:t>.</w:t>
            </w:r>
            <w:r w:rsidR="00365672" w:rsidRPr="0050505B">
              <w:rPr>
                <w:sz w:val="24"/>
              </w:rPr>
              <w:t>73</w:t>
            </w:r>
          </w:p>
        </w:tc>
      </w:tr>
      <w:tr w:rsidR="00B11626" w:rsidRPr="0050505B" w:rsidTr="00390752">
        <w:tc>
          <w:tcPr>
            <w:tcW w:w="1679" w:type="pct"/>
          </w:tcPr>
          <w:p w:rsidR="00B11626" w:rsidRPr="0050505B" w:rsidRDefault="00B11626" w:rsidP="00B11626">
            <w:pPr>
              <w:rPr>
                <w:sz w:val="24"/>
              </w:rPr>
            </w:pPr>
            <w:r w:rsidRPr="0050505B">
              <w:rPr>
                <w:sz w:val="24"/>
              </w:rPr>
              <w:t>0 – 461 Cubic Feet</w:t>
            </w:r>
          </w:p>
        </w:tc>
        <w:tc>
          <w:tcPr>
            <w:tcW w:w="1021" w:type="pct"/>
          </w:tcPr>
          <w:p w:rsidR="00B11626" w:rsidRPr="0050505B" w:rsidRDefault="00B11626" w:rsidP="00370D83">
            <w:pPr>
              <w:jc w:val="center"/>
              <w:rPr>
                <w:sz w:val="24"/>
              </w:rPr>
            </w:pPr>
            <w:r w:rsidRPr="0050505B">
              <w:rPr>
                <w:sz w:val="24"/>
              </w:rPr>
              <w:t>$16.37</w:t>
            </w:r>
          </w:p>
        </w:tc>
        <w:tc>
          <w:tcPr>
            <w:tcW w:w="1151" w:type="pct"/>
          </w:tcPr>
          <w:p w:rsidR="00B11626" w:rsidRPr="0050505B" w:rsidRDefault="00B11626" w:rsidP="00B11626">
            <w:pPr>
              <w:jc w:val="center"/>
              <w:rPr>
                <w:sz w:val="24"/>
              </w:rPr>
            </w:pPr>
            <w:r w:rsidRPr="0050505B">
              <w:rPr>
                <w:sz w:val="24"/>
              </w:rPr>
              <w:t>$16.37</w:t>
            </w:r>
          </w:p>
        </w:tc>
        <w:tc>
          <w:tcPr>
            <w:tcW w:w="1149" w:type="pct"/>
          </w:tcPr>
          <w:p w:rsidR="00B11626" w:rsidRPr="0050505B" w:rsidRDefault="00B11626" w:rsidP="00390752">
            <w:pPr>
              <w:jc w:val="center"/>
              <w:rPr>
                <w:sz w:val="24"/>
              </w:rPr>
            </w:pPr>
            <w:r w:rsidRPr="0050505B">
              <w:rPr>
                <w:sz w:val="24"/>
              </w:rPr>
              <w:t>$22.68</w:t>
            </w:r>
          </w:p>
        </w:tc>
      </w:tr>
      <w:tr w:rsidR="00B11626" w:rsidRPr="0050505B" w:rsidTr="00390752">
        <w:tc>
          <w:tcPr>
            <w:tcW w:w="1679" w:type="pct"/>
          </w:tcPr>
          <w:p w:rsidR="00B11626" w:rsidRPr="0050505B" w:rsidRDefault="00B11626" w:rsidP="00365672">
            <w:pPr>
              <w:rPr>
                <w:sz w:val="24"/>
              </w:rPr>
            </w:pPr>
            <w:r w:rsidRPr="0050505B">
              <w:rPr>
                <w:sz w:val="24"/>
              </w:rPr>
              <w:t>462 – 500 Cubic Feet</w:t>
            </w:r>
          </w:p>
        </w:tc>
        <w:tc>
          <w:tcPr>
            <w:tcW w:w="1021" w:type="pct"/>
          </w:tcPr>
          <w:p w:rsidR="00B11626" w:rsidRPr="0050505B" w:rsidRDefault="00B11626" w:rsidP="00370D83">
            <w:pPr>
              <w:jc w:val="center"/>
              <w:rPr>
                <w:sz w:val="24"/>
              </w:rPr>
            </w:pPr>
            <w:r w:rsidRPr="0050505B">
              <w:rPr>
                <w:sz w:val="24"/>
              </w:rPr>
              <w:t>$1.38</w:t>
            </w:r>
          </w:p>
        </w:tc>
        <w:tc>
          <w:tcPr>
            <w:tcW w:w="1151" w:type="pct"/>
          </w:tcPr>
          <w:p w:rsidR="00B11626" w:rsidRPr="0050505B" w:rsidRDefault="00B11626" w:rsidP="00B11626">
            <w:pPr>
              <w:jc w:val="center"/>
              <w:rPr>
                <w:sz w:val="24"/>
              </w:rPr>
            </w:pPr>
            <w:r w:rsidRPr="0050505B">
              <w:rPr>
                <w:sz w:val="24"/>
              </w:rPr>
              <w:t>$1.38</w:t>
            </w:r>
          </w:p>
        </w:tc>
        <w:tc>
          <w:tcPr>
            <w:tcW w:w="1149" w:type="pct"/>
          </w:tcPr>
          <w:p w:rsidR="00B11626" w:rsidRPr="0050505B" w:rsidRDefault="00B11626" w:rsidP="00390752">
            <w:pPr>
              <w:jc w:val="center"/>
              <w:rPr>
                <w:sz w:val="24"/>
              </w:rPr>
            </w:pPr>
            <w:r w:rsidRPr="0050505B">
              <w:rPr>
                <w:sz w:val="24"/>
              </w:rPr>
              <w:t>$2.39</w:t>
            </w:r>
          </w:p>
        </w:tc>
      </w:tr>
      <w:tr w:rsidR="00B11626" w:rsidRPr="0050505B" w:rsidTr="00390752">
        <w:tc>
          <w:tcPr>
            <w:tcW w:w="1679" w:type="pct"/>
          </w:tcPr>
          <w:p w:rsidR="00B11626" w:rsidRPr="0050505B" w:rsidRDefault="00B11626" w:rsidP="00365672">
            <w:pPr>
              <w:rPr>
                <w:sz w:val="24"/>
              </w:rPr>
            </w:pPr>
            <w:r w:rsidRPr="0050505B">
              <w:rPr>
                <w:sz w:val="24"/>
              </w:rPr>
              <w:t>501 – 566 Cubic Feet</w:t>
            </w:r>
          </w:p>
        </w:tc>
        <w:tc>
          <w:tcPr>
            <w:tcW w:w="1021" w:type="pct"/>
          </w:tcPr>
          <w:p w:rsidR="00B11626" w:rsidRPr="0050505B" w:rsidRDefault="00B11626" w:rsidP="00370D83">
            <w:pPr>
              <w:jc w:val="center"/>
              <w:rPr>
                <w:sz w:val="24"/>
              </w:rPr>
            </w:pPr>
            <w:r w:rsidRPr="0050505B">
              <w:rPr>
                <w:sz w:val="24"/>
              </w:rPr>
              <w:t>$3.00</w:t>
            </w:r>
          </w:p>
        </w:tc>
        <w:tc>
          <w:tcPr>
            <w:tcW w:w="1151" w:type="pct"/>
          </w:tcPr>
          <w:p w:rsidR="00B11626" w:rsidRPr="0050505B" w:rsidRDefault="00B11626" w:rsidP="00B11626">
            <w:pPr>
              <w:jc w:val="center"/>
              <w:rPr>
                <w:sz w:val="24"/>
              </w:rPr>
            </w:pPr>
            <w:r w:rsidRPr="0050505B">
              <w:rPr>
                <w:sz w:val="24"/>
              </w:rPr>
              <w:t>$3.00</w:t>
            </w:r>
          </w:p>
        </w:tc>
        <w:tc>
          <w:tcPr>
            <w:tcW w:w="1149" w:type="pct"/>
          </w:tcPr>
          <w:p w:rsidR="00B11626" w:rsidRPr="0050505B" w:rsidRDefault="00B11626" w:rsidP="00390752">
            <w:pPr>
              <w:jc w:val="center"/>
              <w:rPr>
                <w:sz w:val="24"/>
              </w:rPr>
            </w:pPr>
            <w:r w:rsidRPr="0050505B">
              <w:rPr>
                <w:sz w:val="24"/>
              </w:rPr>
              <w:t>$4.05</w:t>
            </w:r>
          </w:p>
        </w:tc>
      </w:tr>
      <w:tr w:rsidR="00390752" w:rsidRPr="0050505B" w:rsidTr="00390752">
        <w:tc>
          <w:tcPr>
            <w:tcW w:w="1679" w:type="pct"/>
          </w:tcPr>
          <w:p w:rsidR="00390752" w:rsidRPr="0050505B" w:rsidRDefault="00390752" w:rsidP="003F5CCC">
            <w:pPr>
              <w:rPr>
                <w:sz w:val="24"/>
              </w:rPr>
            </w:pPr>
            <w:r w:rsidRPr="0050505B">
              <w:rPr>
                <w:sz w:val="24"/>
              </w:rPr>
              <w:t>Average Monthly Bill</w:t>
            </w:r>
          </w:p>
        </w:tc>
        <w:tc>
          <w:tcPr>
            <w:tcW w:w="1021" w:type="pct"/>
            <w:tcBorders>
              <w:top w:val="single" w:sz="18" w:space="0" w:color="auto"/>
              <w:bottom w:val="single" w:sz="18" w:space="0" w:color="auto"/>
            </w:tcBorders>
          </w:tcPr>
          <w:p w:rsidR="00390752" w:rsidRPr="0050505B" w:rsidRDefault="00390752" w:rsidP="00B11626">
            <w:pPr>
              <w:jc w:val="center"/>
              <w:rPr>
                <w:sz w:val="24"/>
              </w:rPr>
            </w:pPr>
            <w:r w:rsidRPr="0050505B">
              <w:rPr>
                <w:sz w:val="24"/>
              </w:rPr>
              <w:t>$4</w:t>
            </w:r>
            <w:r w:rsidR="00B11626" w:rsidRPr="0050505B">
              <w:rPr>
                <w:sz w:val="24"/>
              </w:rPr>
              <w:t>3.25</w:t>
            </w:r>
          </w:p>
        </w:tc>
        <w:tc>
          <w:tcPr>
            <w:tcW w:w="1151" w:type="pct"/>
            <w:tcBorders>
              <w:top w:val="single" w:sz="18" w:space="0" w:color="auto"/>
              <w:bottom w:val="single" w:sz="18" w:space="0" w:color="auto"/>
            </w:tcBorders>
          </w:tcPr>
          <w:p w:rsidR="00390752" w:rsidRPr="0050505B" w:rsidRDefault="00390752" w:rsidP="00B11626">
            <w:pPr>
              <w:jc w:val="center"/>
              <w:rPr>
                <w:sz w:val="24"/>
              </w:rPr>
            </w:pPr>
            <w:r w:rsidRPr="0050505B">
              <w:rPr>
                <w:sz w:val="24"/>
              </w:rPr>
              <w:t>$47.</w:t>
            </w:r>
            <w:r w:rsidR="00B11626" w:rsidRPr="0050505B">
              <w:rPr>
                <w:sz w:val="24"/>
              </w:rPr>
              <w:t>75</w:t>
            </w:r>
          </w:p>
        </w:tc>
        <w:tc>
          <w:tcPr>
            <w:tcW w:w="1149" w:type="pct"/>
            <w:tcBorders>
              <w:top w:val="single" w:sz="18" w:space="0" w:color="auto"/>
              <w:bottom w:val="single" w:sz="18" w:space="0" w:color="auto"/>
            </w:tcBorders>
          </w:tcPr>
          <w:p w:rsidR="00390752" w:rsidRPr="0050505B" w:rsidRDefault="00390752" w:rsidP="00B11626">
            <w:pPr>
              <w:jc w:val="center"/>
              <w:rPr>
                <w:sz w:val="24"/>
              </w:rPr>
            </w:pPr>
            <w:r w:rsidRPr="0050505B">
              <w:rPr>
                <w:sz w:val="24"/>
              </w:rPr>
              <w:t>$4</w:t>
            </w:r>
            <w:r w:rsidR="00B11626" w:rsidRPr="0050505B">
              <w:rPr>
                <w:sz w:val="24"/>
              </w:rPr>
              <w:t>4</w:t>
            </w:r>
            <w:r w:rsidRPr="0050505B">
              <w:rPr>
                <w:sz w:val="24"/>
              </w:rPr>
              <w:t>.</w:t>
            </w:r>
            <w:r w:rsidR="00B11626" w:rsidRPr="0050505B">
              <w:rPr>
                <w:sz w:val="24"/>
              </w:rPr>
              <w:t>85</w:t>
            </w:r>
          </w:p>
        </w:tc>
      </w:tr>
      <w:tr w:rsidR="00390752" w:rsidRPr="0050505B" w:rsidTr="00390752">
        <w:tc>
          <w:tcPr>
            <w:tcW w:w="2700" w:type="pct"/>
            <w:gridSpan w:val="2"/>
          </w:tcPr>
          <w:p w:rsidR="00390752" w:rsidRPr="0050505B" w:rsidRDefault="00390752" w:rsidP="00390752">
            <w:pPr>
              <w:rPr>
                <w:sz w:val="24"/>
              </w:rPr>
            </w:pPr>
            <w:r w:rsidRPr="0050505B">
              <w:rPr>
                <w:sz w:val="24"/>
              </w:rPr>
              <w:t>Increase from Current Rate</w:t>
            </w:r>
          </w:p>
        </w:tc>
        <w:tc>
          <w:tcPr>
            <w:tcW w:w="1151" w:type="pct"/>
            <w:tcBorders>
              <w:top w:val="single" w:sz="18" w:space="0" w:color="auto"/>
              <w:bottom w:val="double" w:sz="4" w:space="0" w:color="auto"/>
            </w:tcBorders>
          </w:tcPr>
          <w:p w:rsidR="00390752" w:rsidRPr="0050505B" w:rsidRDefault="00B11626" w:rsidP="00B11626">
            <w:pPr>
              <w:jc w:val="center"/>
              <w:rPr>
                <w:sz w:val="24"/>
              </w:rPr>
            </w:pPr>
            <w:r w:rsidRPr="0050505B">
              <w:rPr>
                <w:sz w:val="24"/>
              </w:rPr>
              <w:t>10.4</w:t>
            </w:r>
            <w:r w:rsidR="00390752" w:rsidRPr="0050505B">
              <w:rPr>
                <w:sz w:val="24"/>
              </w:rPr>
              <w:t>%</w:t>
            </w:r>
          </w:p>
        </w:tc>
        <w:tc>
          <w:tcPr>
            <w:tcW w:w="1149" w:type="pct"/>
            <w:tcBorders>
              <w:top w:val="single" w:sz="18" w:space="0" w:color="auto"/>
              <w:bottom w:val="double" w:sz="4" w:space="0" w:color="auto"/>
            </w:tcBorders>
          </w:tcPr>
          <w:p w:rsidR="00390752" w:rsidRPr="0050505B" w:rsidRDefault="00B11626" w:rsidP="00B11626">
            <w:pPr>
              <w:jc w:val="center"/>
              <w:rPr>
                <w:sz w:val="24"/>
              </w:rPr>
            </w:pPr>
            <w:r w:rsidRPr="0050505B">
              <w:rPr>
                <w:sz w:val="24"/>
              </w:rPr>
              <w:t>3.7</w:t>
            </w:r>
            <w:r w:rsidR="00390752" w:rsidRPr="0050505B">
              <w:rPr>
                <w:sz w:val="24"/>
              </w:rPr>
              <w:t>%</w:t>
            </w:r>
          </w:p>
        </w:tc>
      </w:tr>
    </w:tbl>
    <w:p w:rsidR="00390752" w:rsidRPr="0050505B" w:rsidRDefault="00390752" w:rsidP="00390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vertAlign w:val="superscript"/>
        </w:rPr>
      </w:pPr>
      <w:r w:rsidRPr="0050505B">
        <w:rPr>
          <w:sz w:val="24"/>
          <w:vertAlign w:val="superscript"/>
        </w:rPr>
        <w:t>3 – Based on a company-wide average customer water usage.</w:t>
      </w:r>
    </w:p>
    <w:p w:rsidR="00390752" w:rsidRPr="0050505B" w:rsidRDefault="00390752" w:rsidP="00622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390752" w:rsidRPr="0050505B" w:rsidRDefault="00390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0505B">
        <w:rPr>
          <w:sz w:val="24"/>
        </w:rPr>
        <w:t>Commission staff has completed its review of the company’s supporting financial documents, books and records. Staff’s review shows that the revised expenses are reasonable and required as part of the company’s operations. The customer’s comments do not change staff’s opinion that the company’s financial information support the revised revenue requirement and the revised rates and charges are fair, just, reasonable, and sufficient.</w:t>
      </w:r>
    </w:p>
    <w:p w:rsidR="0088507D" w:rsidRPr="0050505B" w:rsidRDefault="00885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50505B"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0505B">
        <w:rPr>
          <w:b/>
          <w:sz w:val="24"/>
          <w:u w:val="single"/>
        </w:rPr>
        <w:t>Conclusion</w:t>
      </w:r>
    </w:p>
    <w:p w:rsidR="00390752" w:rsidRPr="0050505B" w:rsidRDefault="00390752" w:rsidP="00390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390752" w:rsidRPr="0050505B" w:rsidRDefault="00390752" w:rsidP="00390752">
      <w:pPr>
        <w:pStyle w:val="BodyText"/>
        <w:numPr>
          <w:ilvl w:val="0"/>
          <w:numId w:val="23"/>
        </w:numPr>
        <w:rPr>
          <w:rFonts w:ascii="Times New Roman" w:hAnsi="Times New Roman"/>
          <w:color w:val="000000"/>
        </w:rPr>
      </w:pPr>
      <w:r w:rsidRPr="0050505B">
        <w:rPr>
          <w:rFonts w:ascii="Times New Roman" w:hAnsi="Times New Roman"/>
          <w:color w:val="000000"/>
        </w:rPr>
        <w:t>Dismiss the Complaint and Order Suspending the Tariff Revisions filed by Aquarius Utilities, LLC.</w:t>
      </w:r>
    </w:p>
    <w:p w:rsidR="00390752" w:rsidRPr="0050505B" w:rsidRDefault="00390752" w:rsidP="00390752">
      <w:pPr>
        <w:pStyle w:val="BodyText"/>
        <w:rPr>
          <w:rFonts w:ascii="Times New Roman" w:hAnsi="Times New Roman"/>
          <w:color w:val="000000"/>
        </w:rPr>
      </w:pPr>
    </w:p>
    <w:p w:rsidR="00390752" w:rsidRPr="0050505B" w:rsidRDefault="00187884" w:rsidP="00390752">
      <w:pPr>
        <w:pStyle w:val="BodyText"/>
        <w:numPr>
          <w:ilvl w:val="0"/>
          <w:numId w:val="23"/>
        </w:numPr>
        <w:rPr>
          <w:rFonts w:ascii="Times New Roman" w:hAnsi="Times New Roman"/>
          <w:color w:val="000000"/>
        </w:rPr>
      </w:pPr>
      <w:r w:rsidRPr="0050505B">
        <w:rPr>
          <w:rFonts w:ascii="Times New Roman" w:hAnsi="Times New Roman"/>
          <w:color w:val="000000"/>
        </w:rPr>
        <w:t xml:space="preserve">Approve </w:t>
      </w:r>
      <w:r w:rsidR="00390752" w:rsidRPr="0050505B">
        <w:rPr>
          <w:rFonts w:ascii="Times New Roman" w:hAnsi="Times New Roman"/>
          <w:color w:val="000000"/>
        </w:rPr>
        <w:t xml:space="preserve">staff recommended revised rates as filed by the company on </w:t>
      </w:r>
      <w:r w:rsidR="004E3533" w:rsidRPr="0050505B">
        <w:rPr>
          <w:rFonts w:ascii="Times New Roman" w:hAnsi="Times New Roman"/>
          <w:color w:val="000000"/>
        </w:rPr>
        <w:t>September</w:t>
      </w:r>
      <w:r w:rsidR="00CB0FD2" w:rsidRPr="0050505B">
        <w:rPr>
          <w:rFonts w:ascii="Times New Roman" w:hAnsi="Times New Roman"/>
          <w:color w:val="000000"/>
        </w:rPr>
        <w:t xml:space="preserve"> 9</w:t>
      </w:r>
      <w:r w:rsidR="00390752" w:rsidRPr="0050505B">
        <w:rPr>
          <w:rFonts w:ascii="Times New Roman" w:hAnsi="Times New Roman"/>
          <w:color w:val="000000"/>
        </w:rPr>
        <w:t xml:space="preserve">, 2009, to become effective </w:t>
      </w:r>
      <w:r w:rsidR="005E6FC3" w:rsidRPr="0050505B">
        <w:rPr>
          <w:rFonts w:ascii="Times New Roman" w:hAnsi="Times New Roman"/>
          <w:color w:val="000000"/>
        </w:rPr>
        <w:t>October 1</w:t>
      </w:r>
      <w:r w:rsidR="00390752" w:rsidRPr="0050505B">
        <w:rPr>
          <w:rFonts w:ascii="Times New Roman" w:hAnsi="Times New Roman"/>
          <w:color w:val="000000"/>
        </w:rPr>
        <w:t>3, 200</w:t>
      </w:r>
      <w:r w:rsidR="005E6FC3" w:rsidRPr="0050505B">
        <w:rPr>
          <w:rFonts w:ascii="Times New Roman" w:hAnsi="Times New Roman"/>
          <w:color w:val="000000"/>
        </w:rPr>
        <w:t>9</w:t>
      </w:r>
      <w:r w:rsidR="00390752" w:rsidRPr="0050505B">
        <w:rPr>
          <w:rFonts w:ascii="Times New Roman" w:hAnsi="Times New Roman"/>
          <w:color w:val="000000"/>
        </w:rPr>
        <w:t>.</w:t>
      </w:r>
    </w:p>
    <w:p w:rsidR="00390752" w:rsidRPr="0050505B" w:rsidRDefault="00390752" w:rsidP="00390752">
      <w:pPr>
        <w:pStyle w:val="BodyText"/>
        <w:rPr>
          <w:rFonts w:ascii="Times New Roman" w:hAnsi="Times New Roman"/>
          <w:color w:val="000000"/>
        </w:rPr>
      </w:pPr>
    </w:p>
    <w:p w:rsidR="00390752" w:rsidRPr="0050505B" w:rsidRDefault="00390752" w:rsidP="00390752">
      <w:pPr>
        <w:pStyle w:val="BodyText"/>
        <w:numPr>
          <w:ilvl w:val="0"/>
          <w:numId w:val="23"/>
        </w:numPr>
        <w:rPr>
          <w:rFonts w:ascii="Times New Roman" w:hAnsi="Times New Roman"/>
          <w:color w:val="000000"/>
        </w:rPr>
      </w:pPr>
      <w:r w:rsidRPr="0050505B">
        <w:rPr>
          <w:rFonts w:ascii="Times New Roman" w:hAnsi="Times New Roman"/>
          <w:color w:val="000000"/>
        </w:rPr>
        <w:t>Grant the company’s request for an exemption from WAC 480-110-425, Customer Notice, to allow the company to notify customers of increases in the next billing cycle.</w:t>
      </w:r>
    </w:p>
    <w:p w:rsidR="00076725" w:rsidRPr="0050505B" w:rsidRDefault="00076725" w:rsidP="00076725">
      <w:pPr>
        <w:pStyle w:val="ListParagraph"/>
        <w:rPr>
          <w:rFonts w:ascii="Times New Roman" w:hAnsi="Times New Roman"/>
          <w:color w:val="000000"/>
        </w:rPr>
      </w:pPr>
    </w:p>
    <w:p w:rsidR="00076725" w:rsidRPr="0050505B" w:rsidRDefault="0096526D" w:rsidP="00B32E3A">
      <w:pPr>
        <w:widowControl/>
        <w:numPr>
          <w:ilvl w:val="0"/>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96526D">
        <w:rPr>
          <w:sz w:val="24"/>
        </w:rPr>
        <w:t xml:space="preserve">Require the company to maintain the DWSRF records of both revenues and expenses in a manner that will allow the company to provide </w:t>
      </w:r>
      <w:r>
        <w:rPr>
          <w:sz w:val="24"/>
        </w:rPr>
        <w:t>in</w:t>
      </w:r>
      <w:r w:rsidRPr="0096526D">
        <w:rPr>
          <w:sz w:val="24"/>
        </w:rPr>
        <w:t xml:space="preserve"> their next rate case a detailed breakdown, by account, separate from the normal daily operating costs</w:t>
      </w:r>
      <w:r w:rsidR="00B32E3A" w:rsidRPr="00B32E3A">
        <w:rPr>
          <w:sz w:val="24"/>
        </w:rPr>
        <w:t>.</w:t>
      </w:r>
    </w:p>
    <w:sectPr w:rsidR="00076725" w:rsidRPr="0050505B" w:rsidSect="005C479F">
      <w:footnotePr>
        <w:numRestart w:val="eachPage"/>
      </w:footnotePr>
      <w:endnotePr>
        <w:numFmt w:val="decimal"/>
        <w:numRestart w:val="eachSect"/>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630" w:rsidRDefault="00DA7630">
      <w:r>
        <w:separator/>
      </w:r>
    </w:p>
  </w:endnote>
  <w:endnote w:type="continuationSeparator" w:id="0">
    <w:p w:rsidR="00DA7630" w:rsidRDefault="00DA76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630" w:rsidRDefault="00DA7630">
      <w:r>
        <w:separator/>
      </w:r>
    </w:p>
  </w:footnote>
  <w:footnote w:type="continuationSeparator" w:id="0">
    <w:p w:rsidR="00DA7630" w:rsidRDefault="00DA7630">
      <w:r>
        <w:continuationSeparator/>
      </w:r>
    </w:p>
  </w:footnote>
  <w:footnote w:id="1">
    <w:p w:rsidR="00DA7630" w:rsidRDefault="00DA7630">
      <w:pPr>
        <w:pStyle w:val="FootnoteText"/>
      </w:pPr>
      <w:r w:rsidRPr="009F480B">
        <w:rPr>
          <w:rStyle w:val="FootnoteReference"/>
        </w:rPr>
        <w:footnoteRef/>
      </w:r>
      <w:r w:rsidRPr="009F480B">
        <w:t xml:space="preserve">  Washington Utilities and Transportation Commission v. Washington Natural Gas Co., Docket No. UG-911236, Third Supplement Order (September 1992).</w:t>
      </w:r>
    </w:p>
    <w:p w:rsidR="00DA7630" w:rsidRPr="009F480B" w:rsidRDefault="00DA763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630" w:rsidRPr="00FE0AD1" w:rsidRDefault="00DA7630" w:rsidP="003972A8">
    <w:r w:rsidRPr="00FE0AD1">
      <w:t xml:space="preserve">Docket </w:t>
    </w:r>
    <w:r>
      <w:t>UW</w:t>
    </w:r>
    <w:r w:rsidRPr="00FE0AD1">
      <w:t>-0</w:t>
    </w:r>
    <w:r>
      <w:t>90819</w:t>
    </w:r>
  </w:p>
  <w:p w:rsidR="00DA7630" w:rsidRDefault="00DA7630" w:rsidP="003972A8">
    <w:r>
      <w:t>September 24</w:t>
    </w:r>
    <w:r w:rsidRPr="00FE0AD1">
      <w:t>, 200</w:t>
    </w:r>
    <w:r>
      <w:t>9</w:t>
    </w:r>
  </w:p>
  <w:p w:rsidR="00DA7630" w:rsidRPr="00FE0AD1" w:rsidRDefault="00DA7630" w:rsidP="003972A8">
    <w:r>
      <w:t xml:space="preserve">Page </w:t>
    </w:r>
    <w:fldSimple w:instr=" PAGE   \* MERGEFORMAT ">
      <w:r w:rsidR="005C17B4">
        <w:rPr>
          <w:noProof/>
        </w:rPr>
        <w:t>4</w:t>
      </w:r>
    </w:fldSimple>
  </w:p>
  <w:p w:rsidR="00DA7630" w:rsidRDefault="00DA7630" w:rsidP="003972A8">
    <w:pPr>
      <w:rPr>
        <w:rFonts w:ascii="Palatino Linotype" w:hAnsi="Palatino Linotype"/>
      </w:rPr>
    </w:pPr>
  </w:p>
  <w:p w:rsidR="00DA7630" w:rsidRDefault="00DA7630" w:rsidP="003972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3492"/>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nsid w:val="09D56255"/>
    <w:multiLevelType w:val="hybridMultilevel"/>
    <w:tmpl w:val="A4304CC6"/>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
    <w:nsid w:val="0A0A61E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4E3DC9"/>
    <w:multiLevelType w:val="hybridMultilevel"/>
    <w:tmpl w:val="B09285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775B3A"/>
    <w:multiLevelType w:val="hybridMultilevel"/>
    <w:tmpl w:val="137E20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C01914"/>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1359744D"/>
    <w:multiLevelType w:val="hybridMultilevel"/>
    <w:tmpl w:val="8F8EC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4040F97"/>
    <w:multiLevelType w:val="hybridMultilevel"/>
    <w:tmpl w:val="80D4CD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3B410E"/>
    <w:multiLevelType w:val="hybridMultilevel"/>
    <w:tmpl w:val="08B6B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0564BD"/>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1BE12D44"/>
    <w:multiLevelType w:val="hybridMultilevel"/>
    <w:tmpl w:val="FC82BF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3B2267"/>
    <w:multiLevelType w:val="hybridMultilevel"/>
    <w:tmpl w:val="69F434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0AD6978"/>
    <w:multiLevelType w:val="hybridMultilevel"/>
    <w:tmpl w:val="BE848512"/>
    <w:lvl w:ilvl="0" w:tplc="99608D92">
      <w:start w:val="1"/>
      <w:numFmt w:val="decimal"/>
      <w:lvlText w:val="%1"/>
      <w:lvlJc w:val="left"/>
      <w:pPr>
        <w:tabs>
          <w:tab w:val="num" w:pos="720"/>
        </w:tabs>
        <w:ind w:left="72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0B4B18"/>
    <w:multiLevelType w:val="hybridMultilevel"/>
    <w:tmpl w:val="51E8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0B30E3"/>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nsid w:val="544113DD"/>
    <w:multiLevelType w:val="hybridMultilevel"/>
    <w:tmpl w:val="52B45B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10830DB"/>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4DB6F4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68B3150"/>
    <w:multiLevelType w:val="hybridMultilevel"/>
    <w:tmpl w:val="7D18A1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FF01BA5"/>
    <w:multiLevelType w:val="hybridMultilevel"/>
    <w:tmpl w:val="ECA4E616"/>
    <w:lvl w:ilvl="0" w:tplc="04090017">
      <w:start w:val="1"/>
      <w:numFmt w:val="lowerLetter"/>
      <w:lvlText w:val="%1)"/>
      <w:lvlJc w:val="left"/>
      <w:pPr>
        <w:ind w:left="720" w:hanging="360"/>
      </w:pPr>
      <w:rPr>
        <w:rFonts w:hint="default"/>
      </w:rPr>
    </w:lvl>
    <w:lvl w:ilvl="1" w:tplc="74569F2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8465AC5"/>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A8B0AC2"/>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20"/>
  </w:num>
  <w:num w:numId="2">
    <w:abstractNumId w:val="17"/>
  </w:num>
  <w:num w:numId="3">
    <w:abstractNumId w:val="3"/>
  </w:num>
  <w:num w:numId="4">
    <w:abstractNumId w:val="24"/>
  </w:num>
  <w:num w:numId="5">
    <w:abstractNumId w:val="18"/>
  </w:num>
  <w:num w:numId="6">
    <w:abstractNumId w:val="25"/>
  </w:num>
  <w:num w:numId="7">
    <w:abstractNumId w:val="16"/>
  </w:num>
  <w:num w:numId="8">
    <w:abstractNumId w:val="19"/>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12"/>
  </w:num>
  <w:num w:numId="20">
    <w:abstractNumId w:val="5"/>
  </w:num>
  <w:num w:numId="21">
    <w:abstractNumId w:val="22"/>
  </w:num>
  <w:num w:numId="22">
    <w:abstractNumId w:val="4"/>
  </w:num>
  <w:num w:numId="23">
    <w:abstractNumId w:val="2"/>
  </w:num>
  <w:num w:numId="24">
    <w:abstractNumId w:val="23"/>
  </w:num>
  <w:num w:numId="25">
    <w:abstractNumId w:val="9"/>
  </w:num>
  <w:num w:numId="26">
    <w:abstractNumId w:val="11"/>
  </w:num>
  <w:num w:numId="27">
    <w:abstractNumId w:val="14"/>
  </w:num>
  <w:num w:numId="28">
    <w:abstractNumId w:val="8"/>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01377"/>
  </w:hdrShapeDefaults>
  <w:footnotePr>
    <w:footnote w:id="-1"/>
    <w:footnote w:id="0"/>
  </w:footnotePr>
  <w:endnotePr>
    <w:numFmt w:val="decimal"/>
    <w:numRestart w:val="eachSect"/>
    <w:endnote w:id="-1"/>
    <w:endnote w:id="0"/>
  </w:endnotePr>
  <w:compat/>
  <w:rsids>
    <w:rsidRoot w:val="007155BE"/>
    <w:rsid w:val="0000434F"/>
    <w:rsid w:val="00007CDA"/>
    <w:rsid w:val="000162D8"/>
    <w:rsid w:val="000173B0"/>
    <w:rsid w:val="00021742"/>
    <w:rsid w:val="0002366B"/>
    <w:rsid w:val="00031478"/>
    <w:rsid w:val="0003355F"/>
    <w:rsid w:val="000377B4"/>
    <w:rsid w:val="00037E0B"/>
    <w:rsid w:val="0004008D"/>
    <w:rsid w:val="00041309"/>
    <w:rsid w:val="00043973"/>
    <w:rsid w:val="00046200"/>
    <w:rsid w:val="00047507"/>
    <w:rsid w:val="00055129"/>
    <w:rsid w:val="0005582B"/>
    <w:rsid w:val="00056AA8"/>
    <w:rsid w:val="00065632"/>
    <w:rsid w:val="00067859"/>
    <w:rsid w:val="00072E8D"/>
    <w:rsid w:val="00074C54"/>
    <w:rsid w:val="00075A42"/>
    <w:rsid w:val="00076725"/>
    <w:rsid w:val="00076727"/>
    <w:rsid w:val="000827B0"/>
    <w:rsid w:val="000838FA"/>
    <w:rsid w:val="00084C44"/>
    <w:rsid w:val="0008586F"/>
    <w:rsid w:val="00086219"/>
    <w:rsid w:val="00086B71"/>
    <w:rsid w:val="00091DC3"/>
    <w:rsid w:val="0009317F"/>
    <w:rsid w:val="000951FB"/>
    <w:rsid w:val="000A0695"/>
    <w:rsid w:val="000A2FD7"/>
    <w:rsid w:val="000A3702"/>
    <w:rsid w:val="000B709F"/>
    <w:rsid w:val="000C049B"/>
    <w:rsid w:val="000C09E7"/>
    <w:rsid w:val="000C4017"/>
    <w:rsid w:val="000D23A6"/>
    <w:rsid w:val="000D6EE8"/>
    <w:rsid w:val="000E1243"/>
    <w:rsid w:val="000E5DC6"/>
    <w:rsid w:val="000E76CB"/>
    <w:rsid w:val="000F23B0"/>
    <w:rsid w:val="000F4ACF"/>
    <w:rsid w:val="0010335D"/>
    <w:rsid w:val="001076A0"/>
    <w:rsid w:val="001135C4"/>
    <w:rsid w:val="00114DD1"/>
    <w:rsid w:val="0011781B"/>
    <w:rsid w:val="00117D13"/>
    <w:rsid w:val="00121851"/>
    <w:rsid w:val="00122EA8"/>
    <w:rsid w:val="00126912"/>
    <w:rsid w:val="001324CB"/>
    <w:rsid w:val="00137FE5"/>
    <w:rsid w:val="00144F9A"/>
    <w:rsid w:val="0015140F"/>
    <w:rsid w:val="001543E2"/>
    <w:rsid w:val="00161E2E"/>
    <w:rsid w:val="00164BEE"/>
    <w:rsid w:val="00170536"/>
    <w:rsid w:val="00171364"/>
    <w:rsid w:val="001742F3"/>
    <w:rsid w:val="00175973"/>
    <w:rsid w:val="00180222"/>
    <w:rsid w:val="00186229"/>
    <w:rsid w:val="00187729"/>
    <w:rsid w:val="00187884"/>
    <w:rsid w:val="0019005A"/>
    <w:rsid w:val="00194D3A"/>
    <w:rsid w:val="00196064"/>
    <w:rsid w:val="001A11EB"/>
    <w:rsid w:val="001A53BD"/>
    <w:rsid w:val="001B4800"/>
    <w:rsid w:val="001B6123"/>
    <w:rsid w:val="001B710E"/>
    <w:rsid w:val="001C1460"/>
    <w:rsid w:val="001C2403"/>
    <w:rsid w:val="001C4405"/>
    <w:rsid w:val="001D28F3"/>
    <w:rsid w:val="001D778D"/>
    <w:rsid w:val="001E641B"/>
    <w:rsid w:val="001E72E0"/>
    <w:rsid w:val="001E75E1"/>
    <w:rsid w:val="001F0C45"/>
    <w:rsid w:val="001F467F"/>
    <w:rsid w:val="001F5E58"/>
    <w:rsid w:val="00203487"/>
    <w:rsid w:val="00204E23"/>
    <w:rsid w:val="00205F95"/>
    <w:rsid w:val="0021504E"/>
    <w:rsid w:val="00217CFB"/>
    <w:rsid w:val="00217DCB"/>
    <w:rsid w:val="00225605"/>
    <w:rsid w:val="0022614D"/>
    <w:rsid w:val="002266B1"/>
    <w:rsid w:val="00227FEF"/>
    <w:rsid w:val="002305D7"/>
    <w:rsid w:val="002309FA"/>
    <w:rsid w:val="002348E0"/>
    <w:rsid w:val="002349CB"/>
    <w:rsid w:val="00237AAF"/>
    <w:rsid w:val="0024162C"/>
    <w:rsid w:val="002520CC"/>
    <w:rsid w:val="0026637B"/>
    <w:rsid w:val="00266901"/>
    <w:rsid w:val="00266CBB"/>
    <w:rsid w:val="00267644"/>
    <w:rsid w:val="002744F3"/>
    <w:rsid w:val="0027508C"/>
    <w:rsid w:val="0027629F"/>
    <w:rsid w:val="00277CA7"/>
    <w:rsid w:val="0028656E"/>
    <w:rsid w:val="0029365C"/>
    <w:rsid w:val="002974EA"/>
    <w:rsid w:val="002A1B14"/>
    <w:rsid w:val="002A5D58"/>
    <w:rsid w:val="002A7679"/>
    <w:rsid w:val="002B02AE"/>
    <w:rsid w:val="002B3B6D"/>
    <w:rsid w:val="002B45F3"/>
    <w:rsid w:val="002B6541"/>
    <w:rsid w:val="002B6BB8"/>
    <w:rsid w:val="002C1D40"/>
    <w:rsid w:val="002C32B7"/>
    <w:rsid w:val="002C5140"/>
    <w:rsid w:val="002C5D52"/>
    <w:rsid w:val="002C6821"/>
    <w:rsid w:val="002C7517"/>
    <w:rsid w:val="002D3175"/>
    <w:rsid w:val="002D3C9C"/>
    <w:rsid w:val="002D4F2A"/>
    <w:rsid w:val="002E1061"/>
    <w:rsid w:val="002E3C77"/>
    <w:rsid w:val="002E68BC"/>
    <w:rsid w:val="002F260E"/>
    <w:rsid w:val="00302934"/>
    <w:rsid w:val="00303C2C"/>
    <w:rsid w:val="0030716F"/>
    <w:rsid w:val="003114F0"/>
    <w:rsid w:val="0031289C"/>
    <w:rsid w:val="00313EEB"/>
    <w:rsid w:val="003141B2"/>
    <w:rsid w:val="003146BC"/>
    <w:rsid w:val="00314BBD"/>
    <w:rsid w:val="0031793A"/>
    <w:rsid w:val="00321781"/>
    <w:rsid w:val="00322689"/>
    <w:rsid w:val="00323666"/>
    <w:rsid w:val="00331DA6"/>
    <w:rsid w:val="00332584"/>
    <w:rsid w:val="00340D58"/>
    <w:rsid w:val="003438D6"/>
    <w:rsid w:val="00343ABB"/>
    <w:rsid w:val="00344835"/>
    <w:rsid w:val="00347FA8"/>
    <w:rsid w:val="00350743"/>
    <w:rsid w:val="00360430"/>
    <w:rsid w:val="00361D71"/>
    <w:rsid w:val="00365672"/>
    <w:rsid w:val="00365C95"/>
    <w:rsid w:val="00370CA1"/>
    <w:rsid w:val="00370D83"/>
    <w:rsid w:val="00372419"/>
    <w:rsid w:val="00376C63"/>
    <w:rsid w:val="00382C0C"/>
    <w:rsid w:val="00390752"/>
    <w:rsid w:val="00391233"/>
    <w:rsid w:val="00393E46"/>
    <w:rsid w:val="003972A8"/>
    <w:rsid w:val="003A0501"/>
    <w:rsid w:val="003A1BCF"/>
    <w:rsid w:val="003A2597"/>
    <w:rsid w:val="003B3C66"/>
    <w:rsid w:val="003C0088"/>
    <w:rsid w:val="003C01D6"/>
    <w:rsid w:val="003C134F"/>
    <w:rsid w:val="003C18AE"/>
    <w:rsid w:val="003C2175"/>
    <w:rsid w:val="003C3D11"/>
    <w:rsid w:val="003C67A3"/>
    <w:rsid w:val="003C67BF"/>
    <w:rsid w:val="003C686F"/>
    <w:rsid w:val="003D1063"/>
    <w:rsid w:val="003D7349"/>
    <w:rsid w:val="003E071D"/>
    <w:rsid w:val="003E2C21"/>
    <w:rsid w:val="003E4343"/>
    <w:rsid w:val="003E4D88"/>
    <w:rsid w:val="003E79FB"/>
    <w:rsid w:val="003F10C8"/>
    <w:rsid w:val="003F15B9"/>
    <w:rsid w:val="003F5CCC"/>
    <w:rsid w:val="003F5D7F"/>
    <w:rsid w:val="003F7034"/>
    <w:rsid w:val="00416ADB"/>
    <w:rsid w:val="0041796F"/>
    <w:rsid w:val="00417BAB"/>
    <w:rsid w:val="0042096A"/>
    <w:rsid w:val="0042476D"/>
    <w:rsid w:val="0042699C"/>
    <w:rsid w:val="00430463"/>
    <w:rsid w:val="00431DEE"/>
    <w:rsid w:val="00444293"/>
    <w:rsid w:val="0044516A"/>
    <w:rsid w:val="0045486D"/>
    <w:rsid w:val="0045500C"/>
    <w:rsid w:val="00455E8A"/>
    <w:rsid w:val="00456249"/>
    <w:rsid w:val="0046189A"/>
    <w:rsid w:val="00461D5F"/>
    <w:rsid w:val="00461E12"/>
    <w:rsid w:val="00461E5D"/>
    <w:rsid w:val="004627CC"/>
    <w:rsid w:val="004627D7"/>
    <w:rsid w:val="00463A00"/>
    <w:rsid w:val="00464247"/>
    <w:rsid w:val="004721BB"/>
    <w:rsid w:val="00472CDF"/>
    <w:rsid w:val="00473B62"/>
    <w:rsid w:val="00475ADF"/>
    <w:rsid w:val="0047652E"/>
    <w:rsid w:val="00476E39"/>
    <w:rsid w:val="00480972"/>
    <w:rsid w:val="004827C9"/>
    <w:rsid w:val="004842F7"/>
    <w:rsid w:val="0048528D"/>
    <w:rsid w:val="00493A07"/>
    <w:rsid w:val="004A0611"/>
    <w:rsid w:val="004A76DF"/>
    <w:rsid w:val="004B0362"/>
    <w:rsid w:val="004B2F58"/>
    <w:rsid w:val="004C113F"/>
    <w:rsid w:val="004D28EE"/>
    <w:rsid w:val="004D4B93"/>
    <w:rsid w:val="004E18AD"/>
    <w:rsid w:val="004E22DB"/>
    <w:rsid w:val="004E3533"/>
    <w:rsid w:val="004E5699"/>
    <w:rsid w:val="004F34A6"/>
    <w:rsid w:val="004F4812"/>
    <w:rsid w:val="004F573A"/>
    <w:rsid w:val="00502729"/>
    <w:rsid w:val="0050347B"/>
    <w:rsid w:val="0050505B"/>
    <w:rsid w:val="00505E57"/>
    <w:rsid w:val="005115A6"/>
    <w:rsid w:val="00512BB1"/>
    <w:rsid w:val="00514FA3"/>
    <w:rsid w:val="00517610"/>
    <w:rsid w:val="0052257A"/>
    <w:rsid w:val="005231EA"/>
    <w:rsid w:val="0052421D"/>
    <w:rsid w:val="005252F4"/>
    <w:rsid w:val="00534823"/>
    <w:rsid w:val="0053524D"/>
    <w:rsid w:val="0054044F"/>
    <w:rsid w:val="00550AE6"/>
    <w:rsid w:val="00556B78"/>
    <w:rsid w:val="0055788D"/>
    <w:rsid w:val="005612F3"/>
    <w:rsid w:val="00573D38"/>
    <w:rsid w:val="005770E2"/>
    <w:rsid w:val="00577473"/>
    <w:rsid w:val="00582D06"/>
    <w:rsid w:val="00584D8E"/>
    <w:rsid w:val="00587C83"/>
    <w:rsid w:val="00591778"/>
    <w:rsid w:val="00592034"/>
    <w:rsid w:val="0059365E"/>
    <w:rsid w:val="00593906"/>
    <w:rsid w:val="00597AC3"/>
    <w:rsid w:val="005A144B"/>
    <w:rsid w:val="005A168D"/>
    <w:rsid w:val="005B0646"/>
    <w:rsid w:val="005B201F"/>
    <w:rsid w:val="005B4AE8"/>
    <w:rsid w:val="005B4B55"/>
    <w:rsid w:val="005B58C2"/>
    <w:rsid w:val="005C0529"/>
    <w:rsid w:val="005C17B4"/>
    <w:rsid w:val="005C21E5"/>
    <w:rsid w:val="005C27C6"/>
    <w:rsid w:val="005C479F"/>
    <w:rsid w:val="005C59FC"/>
    <w:rsid w:val="005C629F"/>
    <w:rsid w:val="005E2922"/>
    <w:rsid w:val="005E6FC3"/>
    <w:rsid w:val="005F4E63"/>
    <w:rsid w:val="005F7ACB"/>
    <w:rsid w:val="0060344F"/>
    <w:rsid w:val="00605346"/>
    <w:rsid w:val="00610742"/>
    <w:rsid w:val="00610C4C"/>
    <w:rsid w:val="00615DF6"/>
    <w:rsid w:val="00616EDF"/>
    <w:rsid w:val="00621381"/>
    <w:rsid w:val="00622736"/>
    <w:rsid w:val="0062357E"/>
    <w:rsid w:val="0062491C"/>
    <w:rsid w:val="006278C9"/>
    <w:rsid w:val="00627E4F"/>
    <w:rsid w:val="0063667A"/>
    <w:rsid w:val="00640663"/>
    <w:rsid w:val="00640709"/>
    <w:rsid w:val="0065301B"/>
    <w:rsid w:val="006536CD"/>
    <w:rsid w:val="006540D9"/>
    <w:rsid w:val="0065659A"/>
    <w:rsid w:val="00657956"/>
    <w:rsid w:val="00663672"/>
    <w:rsid w:val="00665BFB"/>
    <w:rsid w:val="00666D66"/>
    <w:rsid w:val="00667335"/>
    <w:rsid w:val="00672032"/>
    <w:rsid w:val="00674221"/>
    <w:rsid w:val="0067490D"/>
    <w:rsid w:val="00674E59"/>
    <w:rsid w:val="0067741B"/>
    <w:rsid w:val="006775D8"/>
    <w:rsid w:val="00677AFF"/>
    <w:rsid w:val="006828B7"/>
    <w:rsid w:val="0068313F"/>
    <w:rsid w:val="00687674"/>
    <w:rsid w:val="00691EBE"/>
    <w:rsid w:val="0069677B"/>
    <w:rsid w:val="00697E4B"/>
    <w:rsid w:val="006A14CA"/>
    <w:rsid w:val="006B1DAC"/>
    <w:rsid w:val="006B42B1"/>
    <w:rsid w:val="006B5A72"/>
    <w:rsid w:val="006B626A"/>
    <w:rsid w:val="006C3077"/>
    <w:rsid w:val="006C46E4"/>
    <w:rsid w:val="006D15B4"/>
    <w:rsid w:val="006D1974"/>
    <w:rsid w:val="006D1C3C"/>
    <w:rsid w:val="006D6627"/>
    <w:rsid w:val="006E03AC"/>
    <w:rsid w:val="006E3010"/>
    <w:rsid w:val="006E4193"/>
    <w:rsid w:val="006F4481"/>
    <w:rsid w:val="006F4A35"/>
    <w:rsid w:val="00700895"/>
    <w:rsid w:val="00703E01"/>
    <w:rsid w:val="00705045"/>
    <w:rsid w:val="00705973"/>
    <w:rsid w:val="00707A58"/>
    <w:rsid w:val="007155BE"/>
    <w:rsid w:val="00717F25"/>
    <w:rsid w:val="007221CB"/>
    <w:rsid w:val="00725C31"/>
    <w:rsid w:val="00731CF5"/>
    <w:rsid w:val="00736665"/>
    <w:rsid w:val="00737B9F"/>
    <w:rsid w:val="007403CD"/>
    <w:rsid w:val="00744991"/>
    <w:rsid w:val="0074693E"/>
    <w:rsid w:val="007507C3"/>
    <w:rsid w:val="00754015"/>
    <w:rsid w:val="00754F16"/>
    <w:rsid w:val="007561F4"/>
    <w:rsid w:val="00763337"/>
    <w:rsid w:val="00764E67"/>
    <w:rsid w:val="00772711"/>
    <w:rsid w:val="0077437B"/>
    <w:rsid w:val="00774E5D"/>
    <w:rsid w:val="007776FE"/>
    <w:rsid w:val="007854E7"/>
    <w:rsid w:val="00792A0E"/>
    <w:rsid w:val="0079685C"/>
    <w:rsid w:val="0079704F"/>
    <w:rsid w:val="007972C6"/>
    <w:rsid w:val="007A2598"/>
    <w:rsid w:val="007A3E61"/>
    <w:rsid w:val="007B0BF1"/>
    <w:rsid w:val="007C0437"/>
    <w:rsid w:val="007C046B"/>
    <w:rsid w:val="007C0E67"/>
    <w:rsid w:val="007C424E"/>
    <w:rsid w:val="007C7312"/>
    <w:rsid w:val="007C7B37"/>
    <w:rsid w:val="007D4591"/>
    <w:rsid w:val="007E5FD2"/>
    <w:rsid w:val="007F0A9C"/>
    <w:rsid w:val="007F14D2"/>
    <w:rsid w:val="007F158A"/>
    <w:rsid w:val="00800185"/>
    <w:rsid w:val="008058FE"/>
    <w:rsid w:val="00807220"/>
    <w:rsid w:val="00811723"/>
    <w:rsid w:val="008146CB"/>
    <w:rsid w:val="00815F24"/>
    <w:rsid w:val="00824180"/>
    <w:rsid w:val="00832AA3"/>
    <w:rsid w:val="00837FD7"/>
    <w:rsid w:val="00841334"/>
    <w:rsid w:val="008415D8"/>
    <w:rsid w:val="00842072"/>
    <w:rsid w:val="00842C15"/>
    <w:rsid w:val="00846CCD"/>
    <w:rsid w:val="008506EB"/>
    <w:rsid w:val="008540E8"/>
    <w:rsid w:val="00863257"/>
    <w:rsid w:val="008635C8"/>
    <w:rsid w:val="0086429A"/>
    <w:rsid w:val="0086473F"/>
    <w:rsid w:val="0087114E"/>
    <w:rsid w:val="00873DC6"/>
    <w:rsid w:val="0087417F"/>
    <w:rsid w:val="00875156"/>
    <w:rsid w:val="00875556"/>
    <w:rsid w:val="0087756D"/>
    <w:rsid w:val="00881EA3"/>
    <w:rsid w:val="00882741"/>
    <w:rsid w:val="0088507D"/>
    <w:rsid w:val="00885577"/>
    <w:rsid w:val="00887599"/>
    <w:rsid w:val="008912E8"/>
    <w:rsid w:val="00894464"/>
    <w:rsid w:val="008956A7"/>
    <w:rsid w:val="008A46CF"/>
    <w:rsid w:val="008A49D4"/>
    <w:rsid w:val="008A5620"/>
    <w:rsid w:val="008A674C"/>
    <w:rsid w:val="008A7209"/>
    <w:rsid w:val="008B1983"/>
    <w:rsid w:val="008B1A43"/>
    <w:rsid w:val="008B44FE"/>
    <w:rsid w:val="008B4825"/>
    <w:rsid w:val="008B514B"/>
    <w:rsid w:val="008B66BD"/>
    <w:rsid w:val="008B71DB"/>
    <w:rsid w:val="008C3604"/>
    <w:rsid w:val="008C5A7A"/>
    <w:rsid w:val="008D0BF5"/>
    <w:rsid w:val="008D19BE"/>
    <w:rsid w:val="008D36A8"/>
    <w:rsid w:val="008E5E4C"/>
    <w:rsid w:val="008E7C63"/>
    <w:rsid w:val="008F5204"/>
    <w:rsid w:val="00901180"/>
    <w:rsid w:val="009056DD"/>
    <w:rsid w:val="00910A43"/>
    <w:rsid w:val="00911139"/>
    <w:rsid w:val="009141AD"/>
    <w:rsid w:val="00916157"/>
    <w:rsid w:val="00916ABB"/>
    <w:rsid w:val="00916C93"/>
    <w:rsid w:val="00916D1D"/>
    <w:rsid w:val="00920B7E"/>
    <w:rsid w:val="00920E97"/>
    <w:rsid w:val="00921BD9"/>
    <w:rsid w:val="00921DA3"/>
    <w:rsid w:val="00935898"/>
    <w:rsid w:val="00941F35"/>
    <w:rsid w:val="00943F87"/>
    <w:rsid w:val="00947099"/>
    <w:rsid w:val="00951684"/>
    <w:rsid w:val="00953FAB"/>
    <w:rsid w:val="009545EE"/>
    <w:rsid w:val="00957836"/>
    <w:rsid w:val="009579C1"/>
    <w:rsid w:val="00961BA1"/>
    <w:rsid w:val="0096526D"/>
    <w:rsid w:val="0096759F"/>
    <w:rsid w:val="00970F01"/>
    <w:rsid w:val="0097434A"/>
    <w:rsid w:val="009745CA"/>
    <w:rsid w:val="00985DC7"/>
    <w:rsid w:val="00994777"/>
    <w:rsid w:val="009962F3"/>
    <w:rsid w:val="009973FE"/>
    <w:rsid w:val="00997C0B"/>
    <w:rsid w:val="009A01AB"/>
    <w:rsid w:val="009A174A"/>
    <w:rsid w:val="009A1BE3"/>
    <w:rsid w:val="009A33FE"/>
    <w:rsid w:val="009A54A9"/>
    <w:rsid w:val="009B1FAD"/>
    <w:rsid w:val="009B355E"/>
    <w:rsid w:val="009C4284"/>
    <w:rsid w:val="009C6E3A"/>
    <w:rsid w:val="009D17A6"/>
    <w:rsid w:val="009D20FA"/>
    <w:rsid w:val="009D251A"/>
    <w:rsid w:val="009D2D66"/>
    <w:rsid w:val="009D4F84"/>
    <w:rsid w:val="009D6AC5"/>
    <w:rsid w:val="009E24B7"/>
    <w:rsid w:val="009F0527"/>
    <w:rsid w:val="009F07C9"/>
    <w:rsid w:val="009F480B"/>
    <w:rsid w:val="00A0489E"/>
    <w:rsid w:val="00A04B94"/>
    <w:rsid w:val="00A11ABC"/>
    <w:rsid w:val="00A1345B"/>
    <w:rsid w:val="00A13F6B"/>
    <w:rsid w:val="00A2555A"/>
    <w:rsid w:val="00A277CA"/>
    <w:rsid w:val="00A31FFB"/>
    <w:rsid w:val="00A33FF0"/>
    <w:rsid w:val="00A3406B"/>
    <w:rsid w:val="00A37E29"/>
    <w:rsid w:val="00A41F11"/>
    <w:rsid w:val="00A438FB"/>
    <w:rsid w:val="00A43AB3"/>
    <w:rsid w:val="00A4498E"/>
    <w:rsid w:val="00A45A11"/>
    <w:rsid w:val="00A56E62"/>
    <w:rsid w:val="00A57B8A"/>
    <w:rsid w:val="00A63644"/>
    <w:rsid w:val="00A64D0C"/>
    <w:rsid w:val="00A673E6"/>
    <w:rsid w:val="00A7317D"/>
    <w:rsid w:val="00A73D8D"/>
    <w:rsid w:val="00A7532A"/>
    <w:rsid w:val="00A7553D"/>
    <w:rsid w:val="00A8224D"/>
    <w:rsid w:val="00A822A5"/>
    <w:rsid w:val="00A84369"/>
    <w:rsid w:val="00A84A6B"/>
    <w:rsid w:val="00A87056"/>
    <w:rsid w:val="00A93260"/>
    <w:rsid w:val="00A94F66"/>
    <w:rsid w:val="00AA2A0A"/>
    <w:rsid w:val="00AA3519"/>
    <w:rsid w:val="00AA4A67"/>
    <w:rsid w:val="00AA4B42"/>
    <w:rsid w:val="00AA4D7D"/>
    <w:rsid w:val="00AA79AD"/>
    <w:rsid w:val="00AB12D9"/>
    <w:rsid w:val="00AB5CC7"/>
    <w:rsid w:val="00AB63ED"/>
    <w:rsid w:val="00AB77FA"/>
    <w:rsid w:val="00AC63C4"/>
    <w:rsid w:val="00AC7C0E"/>
    <w:rsid w:val="00AC7EC8"/>
    <w:rsid w:val="00AD38B9"/>
    <w:rsid w:val="00AD6225"/>
    <w:rsid w:val="00AE619F"/>
    <w:rsid w:val="00AE687D"/>
    <w:rsid w:val="00AE6C13"/>
    <w:rsid w:val="00AF1A52"/>
    <w:rsid w:val="00AF2368"/>
    <w:rsid w:val="00AF5710"/>
    <w:rsid w:val="00AF6A63"/>
    <w:rsid w:val="00B07439"/>
    <w:rsid w:val="00B07AC8"/>
    <w:rsid w:val="00B10294"/>
    <w:rsid w:val="00B11626"/>
    <w:rsid w:val="00B11E23"/>
    <w:rsid w:val="00B12018"/>
    <w:rsid w:val="00B21B46"/>
    <w:rsid w:val="00B22BD7"/>
    <w:rsid w:val="00B31926"/>
    <w:rsid w:val="00B32E3A"/>
    <w:rsid w:val="00B341A9"/>
    <w:rsid w:val="00B34AE0"/>
    <w:rsid w:val="00B35EA6"/>
    <w:rsid w:val="00B360C9"/>
    <w:rsid w:val="00B36F74"/>
    <w:rsid w:val="00B45A53"/>
    <w:rsid w:val="00B506D4"/>
    <w:rsid w:val="00B5670F"/>
    <w:rsid w:val="00B567FD"/>
    <w:rsid w:val="00B6188E"/>
    <w:rsid w:val="00B61EFE"/>
    <w:rsid w:val="00B64ACF"/>
    <w:rsid w:val="00B67A7C"/>
    <w:rsid w:val="00B714A0"/>
    <w:rsid w:val="00B72705"/>
    <w:rsid w:val="00B755EF"/>
    <w:rsid w:val="00B75673"/>
    <w:rsid w:val="00B81809"/>
    <w:rsid w:val="00B838A5"/>
    <w:rsid w:val="00B86275"/>
    <w:rsid w:val="00B87720"/>
    <w:rsid w:val="00B87A8A"/>
    <w:rsid w:val="00B87F9F"/>
    <w:rsid w:val="00B9094F"/>
    <w:rsid w:val="00B94DB6"/>
    <w:rsid w:val="00B94F99"/>
    <w:rsid w:val="00B96882"/>
    <w:rsid w:val="00BA4D46"/>
    <w:rsid w:val="00BB2373"/>
    <w:rsid w:val="00BB3026"/>
    <w:rsid w:val="00BB7AF1"/>
    <w:rsid w:val="00BC1317"/>
    <w:rsid w:val="00BC30A3"/>
    <w:rsid w:val="00BC35A3"/>
    <w:rsid w:val="00BC36FC"/>
    <w:rsid w:val="00BC5CEE"/>
    <w:rsid w:val="00BC7D5B"/>
    <w:rsid w:val="00BD3F63"/>
    <w:rsid w:val="00BD5689"/>
    <w:rsid w:val="00BD6CD6"/>
    <w:rsid w:val="00BE172A"/>
    <w:rsid w:val="00BE196C"/>
    <w:rsid w:val="00BE2E40"/>
    <w:rsid w:val="00BE6A16"/>
    <w:rsid w:val="00BE6A26"/>
    <w:rsid w:val="00BE6EA5"/>
    <w:rsid w:val="00BE744C"/>
    <w:rsid w:val="00BF36D8"/>
    <w:rsid w:val="00C05186"/>
    <w:rsid w:val="00C13D84"/>
    <w:rsid w:val="00C158F7"/>
    <w:rsid w:val="00C15A82"/>
    <w:rsid w:val="00C20E56"/>
    <w:rsid w:val="00C23C07"/>
    <w:rsid w:val="00C24635"/>
    <w:rsid w:val="00C2474C"/>
    <w:rsid w:val="00C25C2C"/>
    <w:rsid w:val="00C3245B"/>
    <w:rsid w:val="00C32505"/>
    <w:rsid w:val="00C33DE3"/>
    <w:rsid w:val="00C34BC3"/>
    <w:rsid w:val="00C36D0B"/>
    <w:rsid w:val="00C37DE9"/>
    <w:rsid w:val="00C40C2A"/>
    <w:rsid w:val="00C4158A"/>
    <w:rsid w:val="00C4597F"/>
    <w:rsid w:val="00C4692D"/>
    <w:rsid w:val="00C47583"/>
    <w:rsid w:val="00C51415"/>
    <w:rsid w:val="00C60CB2"/>
    <w:rsid w:val="00C6362B"/>
    <w:rsid w:val="00C64550"/>
    <w:rsid w:val="00C66765"/>
    <w:rsid w:val="00C729D9"/>
    <w:rsid w:val="00C760EF"/>
    <w:rsid w:val="00C81864"/>
    <w:rsid w:val="00C81BB4"/>
    <w:rsid w:val="00C83F63"/>
    <w:rsid w:val="00C83FE0"/>
    <w:rsid w:val="00C85133"/>
    <w:rsid w:val="00C855C0"/>
    <w:rsid w:val="00C86C73"/>
    <w:rsid w:val="00C9027E"/>
    <w:rsid w:val="00C92D5C"/>
    <w:rsid w:val="00C96F4F"/>
    <w:rsid w:val="00CA0ABC"/>
    <w:rsid w:val="00CA616B"/>
    <w:rsid w:val="00CA7812"/>
    <w:rsid w:val="00CB0FD2"/>
    <w:rsid w:val="00CB2B78"/>
    <w:rsid w:val="00CB538B"/>
    <w:rsid w:val="00CB6C9C"/>
    <w:rsid w:val="00CC4A9A"/>
    <w:rsid w:val="00CC70B2"/>
    <w:rsid w:val="00CC71A3"/>
    <w:rsid w:val="00CD0E70"/>
    <w:rsid w:val="00CD49AF"/>
    <w:rsid w:val="00CD6A67"/>
    <w:rsid w:val="00CD6BE3"/>
    <w:rsid w:val="00CE0E4E"/>
    <w:rsid w:val="00CE2AF5"/>
    <w:rsid w:val="00CE51FF"/>
    <w:rsid w:val="00CE608D"/>
    <w:rsid w:val="00CF0591"/>
    <w:rsid w:val="00CF276E"/>
    <w:rsid w:val="00D03162"/>
    <w:rsid w:val="00D06249"/>
    <w:rsid w:val="00D10AEA"/>
    <w:rsid w:val="00D234F1"/>
    <w:rsid w:val="00D2759D"/>
    <w:rsid w:val="00D30F2A"/>
    <w:rsid w:val="00D324CC"/>
    <w:rsid w:val="00D33E7F"/>
    <w:rsid w:val="00D4532D"/>
    <w:rsid w:val="00D51005"/>
    <w:rsid w:val="00D67373"/>
    <w:rsid w:val="00D6797B"/>
    <w:rsid w:val="00D80445"/>
    <w:rsid w:val="00D80A78"/>
    <w:rsid w:val="00D8355F"/>
    <w:rsid w:val="00D85988"/>
    <w:rsid w:val="00D914B0"/>
    <w:rsid w:val="00D928CE"/>
    <w:rsid w:val="00DA4978"/>
    <w:rsid w:val="00DA7630"/>
    <w:rsid w:val="00DB1034"/>
    <w:rsid w:val="00DB34CE"/>
    <w:rsid w:val="00DB52DE"/>
    <w:rsid w:val="00DB7268"/>
    <w:rsid w:val="00DD195B"/>
    <w:rsid w:val="00DD5104"/>
    <w:rsid w:val="00DD5DF8"/>
    <w:rsid w:val="00DD6D79"/>
    <w:rsid w:val="00DE1D10"/>
    <w:rsid w:val="00DE314E"/>
    <w:rsid w:val="00DE4CB9"/>
    <w:rsid w:val="00DE5CEE"/>
    <w:rsid w:val="00DE60A9"/>
    <w:rsid w:val="00DE7B06"/>
    <w:rsid w:val="00DF102E"/>
    <w:rsid w:val="00DF41B3"/>
    <w:rsid w:val="00DF44C4"/>
    <w:rsid w:val="00DF714E"/>
    <w:rsid w:val="00E01583"/>
    <w:rsid w:val="00E067F7"/>
    <w:rsid w:val="00E10772"/>
    <w:rsid w:val="00E11D77"/>
    <w:rsid w:val="00E2165C"/>
    <w:rsid w:val="00E25CDB"/>
    <w:rsid w:val="00E3062B"/>
    <w:rsid w:val="00E31F70"/>
    <w:rsid w:val="00E336D2"/>
    <w:rsid w:val="00E34AB9"/>
    <w:rsid w:val="00E3633C"/>
    <w:rsid w:val="00E40A57"/>
    <w:rsid w:val="00E41204"/>
    <w:rsid w:val="00E452EA"/>
    <w:rsid w:val="00E45AEB"/>
    <w:rsid w:val="00E54FED"/>
    <w:rsid w:val="00E56D3C"/>
    <w:rsid w:val="00E621C7"/>
    <w:rsid w:val="00E64636"/>
    <w:rsid w:val="00E7074E"/>
    <w:rsid w:val="00E754AB"/>
    <w:rsid w:val="00E80966"/>
    <w:rsid w:val="00E81D12"/>
    <w:rsid w:val="00E8409E"/>
    <w:rsid w:val="00E84EEA"/>
    <w:rsid w:val="00E85A0E"/>
    <w:rsid w:val="00E86208"/>
    <w:rsid w:val="00E97443"/>
    <w:rsid w:val="00EA3447"/>
    <w:rsid w:val="00EB15C7"/>
    <w:rsid w:val="00EB3969"/>
    <w:rsid w:val="00EB5986"/>
    <w:rsid w:val="00EC634E"/>
    <w:rsid w:val="00EC7A81"/>
    <w:rsid w:val="00ED1E17"/>
    <w:rsid w:val="00EE1966"/>
    <w:rsid w:val="00EE1F43"/>
    <w:rsid w:val="00EF068A"/>
    <w:rsid w:val="00EF1C9C"/>
    <w:rsid w:val="00F061F8"/>
    <w:rsid w:val="00F06454"/>
    <w:rsid w:val="00F10604"/>
    <w:rsid w:val="00F11665"/>
    <w:rsid w:val="00F119F2"/>
    <w:rsid w:val="00F20C23"/>
    <w:rsid w:val="00F21617"/>
    <w:rsid w:val="00F220B7"/>
    <w:rsid w:val="00F222A6"/>
    <w:rsid w:val="00F24B00"/>
    <w:rsid w:val="00F341DB"/>
    <w:rsid w:val="00F403EF"/>
    <w:rsid w:val="00F40C03"/>
    <w:rsid w:val="00F4205F"/>
    <w:rsid w:val="00F4215C"/>
    <w:rsid w:val="00F462EE"/>
    <w:rsid w:val="00F5281A"/>
    <w:rsid w:val="00F5484B"/>
    <w:rsid w:val="00F66FE7"/>
    <w:rsid w:val="00F674E0"/>
    <w:rsid w:val="00F70983"/>
    <w:rsid w:val="00F720D5"/>
    <w:rsid w:val="00F746B5"/>
    <w:rsid w:val="00F74CB4"/>
    <w:rsid w:val="00F82446"/>
    <w:rsid w:val="00F839AE"/>
    <w:rsid w:val="00F84713"/>
    <w:rsid w:val="00F879A2"/>
    <w:rsid w:val="00F920BF"/>
    <w:rsid w:val="00FA43F4"/>
    <w:rsid w:val="00FA775F"/>
    <w:rsid w:val="00FB44E3"/>
    <w:rsid w:val="00FC0136"/>
    <w:rsid w:val="00FC17DA"/>
    <w:rsid w:val="00FC2E4A"/>
    <w:rsid w:val="00FC6764"/>
    <w:rsid w:val="00FD0A61"/>
    <w:rsid w:val="00FD218D"/>
    <w:rsid w:val="00FD5761"/>
    <w:rsid w:val="00FE0AD1"/>
    <w:rsid w:val="00FE25BF"/>
    <w:rsid w:val="00FE4C70"/>
    <w:rsid w:val="00FE70D3"/>
    <w:rsid w:val="00FF1309"/>
    <w:rsid w:val="00FF34D6"/>
    <w:rsid w:val="00FF6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FFB"/>
    <w:pPr>
      <w:widowControl w:val="0"/>
      <w:autoSpaceDE w:val="0"/>
      <w:autoSpaceDN w:val="0"/>
      <w:adjustRightInd w:val="0"/>
    </w:pPr>
    <w:rPr>
      <w:szCs w:val="24"/>
    </w:rPr>
  </w:style>
  <w:style w:type="paragraph" w:styleId="Heading1">
    <w:name w:val="heading 1"/>
    <w:basedOn w:val="Normal"/>
    <w:next w:val="Normal"/>
    <w:qFormat/>
    <w:rsid w:val="00A31FFB"/>
    <w:pPr>
      <w:keepNext/>
      <w:jc w:val="center"/>
      <w:outlineLvl w:val="0"/>
    </w:pPr>
    <w:rPr>
      <w:sz w:val="24"/>
    </w:rPr>
  </w:style>
  <w:style w:type="paragraph" w:styleId="Heading2">
    <w:name w:val="heading 2"/>
    <w:basedOn w:val="Normal"/>
    <w:next w:val="Normal"/>
    <w:qFormat/>
    <w:rsid w:val="00A31F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31FFB"/>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31FFB"/>
  </w:style>
  <w:style w:type="paragraph" w:styleId="BodyText">
    <w:name w:val="Body Text"/>
    <w:basedOn w:val="Normal"/>
    <w:rsid w:val="00A31FFB"/>
    <w:rPr>
      <w:rFonts w:ascii="Courier" w:hAnsi="Courier"/>
      <w:sz w:val="24"/>
    </w:rPr>
  </w:style>
  <w:style w:type="paragraph" w:styleId="Header">
    <w:name w:val="header"/>
    <w:basedOn w:val="Normal"/>
    <w:rsid w:val="00A31FFB"/>
    <w:pPr>
      <w:tabs>
        <w:tab w:val="center" w:pos="4320"/>
        <w:tab w:val="right" w:pos="8640"/>
      </w:tabs>
    </w:pPr>
  </w:style>
  <w:style w:type="paragraph" w:styleId="Footer">
    <w:name w:val="footer"/>
    <w:basedOn w:val="Normal"/>
    <w:rsid w:val="00A31FFB"/>
    <w:pPr>
      <w:tabs>
        <w:tab w:val="center" w:pos="4320"/>
        <w:tab w:val="right" w:pos="8640"/>
      </w:tabs>
    </w:pPr>
  </w:style>
  <w:style w:type="character" w:styleId="PageNumber">
    <w:name w:val="page number"/>
    <w:basedOn w:val="DefaultParagraphFont"/>
    <w:rsid w:val="00A31FFB"/>
  </w:style>
  <w:style w:type="paragraph" w:styleId="BodyText2">
    <w:name w:val="Body Text 2"/>
    <w:basedOn w:val="Normal"/>
    <w:rsid w:val="00A31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customStyle="1" w:styleId="EmailStyle26">
    <w:name w:val="EmailStyle261"/>
    <w:aliases w:val="EmailStyle261"/>
    <w:basedOn w:val="DefaultParagraphFont"/>
    <w:semiHidden/>
    <w:personal/>
    <w:personalReply/>
    <w:rsid w:val="003C0088"/>
    <w:rPr>
      <w:rFonts w:ascii="Arial" w:hAnsi="Arial" w:cs="Arial"/>
      <w:color w:val="000080"/>
      <w:sz w:val="20"/>
      <w:szCs w:val="20"/>
    </w:rPr>
  </w:style>
  <w:style w:type="paragraph" w:styleId="ListParagraph">
    <w:name w:val="List Paragraph"/>
    <w:basedOn w:val="Normal"/>
    <w:uiPriority w:val="34"/>
    <w:qFormat/>
    <w:rsid w:val="005C479F"/>
    <w:pPr>
      <w:widowControl/>
      <w:autoSpaceDE/>
      <w:autoSpaceDN/>
      <w:adjustRightInd/>
      <w:ind w:left="720"/>
    </w:pPr>
    <w:rPr>
      <w:rFonts w:ascii="Calibri" w:eastAsia="Calibri" w:hAnsi="Calibri"/>
      <w:sz w:val="22"/>
      <w:szCs w:val="22"/>
    </w:rPr>
  </w:style>
  <w:style w:type="character" w:styleId="Strong">
    <w:name w:val="Strong"/>
    <w:basedOn w:val="DefaultParagraphFont"/>
    <w:uiPriority w:val="22"/>
    <w:qFormat/>
    <w:rsid w:val="005C479F"/>
    <w:rPr>
      <w:b/>
      <w:bCs/>
    </w:rPr>
  </w:style>
  <w:style w:type="character" w:styleId="CommentReference">
    <w:name w:val="annotation reference"/>
    <w:basedOn w:val="DefaultParagraphFont"/>
    <w:rsid w:val="001324CB"/>
    <w:rPr>
      <w:sz w:val="16"/>
      <w:szCs w:val="16"/>
    </w:rPr>
  </w:style>
  <w:style w:type="paragraph" w:styleId="CommentText">
    <w:name w:val="annotation text"/>
    <w:basedOn w:val="Normal"/>
    <w:link w:val="CommentTextChar"/>
    <w:rsid w:val="001324CB"/>
    <w:rPr>
      <w:szCs w:val="20"/>
    </w:rPr>
  </w:style>
  <w:style w:type="character" w:customStyle="1" w:styleId="CommentTextChar">
    <w:name w:val="Comment Text Char"/>
    <w:basedOn w:val="DefaultParagraphFont"/>
    <w:link w:val="CommentText"/>
    <w:rsid w:val="001324CB"/>
  </w:style>
  <w:style w:type="paragraph" w:styleId="CommentSubject">
    <w:name w:val="annotation subject"/>
    <w:basedOn w:val="CommentText"/>
    <w:next w:val="CommentText"/>
    <w:link w:val="CommentSubjectChar"/>
    <w:rsid w:val="001324CB"/>
    <w:rPr>
      <w:b/>
      <w:bCs/>
    </w:rPr>
  </w:style>
  <w:style w:type="character" w:customStyle="1" w:styleId="CommentSubjectChar">
    <w:name w:val="Comment Subject Char"/>
    <w:basedOn w:val="CommentTextChar"/>
    <w:link w:val="CommentSubject"/>
    <w:rsid w:val="001324CB"/>
    <w:rPr>
      <w:b/>
      <w:bCs/>
    </w:rPr>
  </w:style>
  <w:style w:type="character" w:styleId="Hyperlink">
    <w:name w:val="Hyperlink"/>
    <w:basedOn w:val="DefaultParagraphFont"/>
    <w:rsid w:val="001324CB"/>
    <w:rPr>
      <w:color w:val="0000FF"/>
      <w:u w:val="single"/>
    </w:rPr>
  </w:style>
  <w:style w:type="character" w:customStyle="1" w:styleId="Hypertext">
    <w:name w:val="Hypertext"/>
    <w:basedOn w:val="DefaultParagraphFont"/>
    <w:rsid w:val="001324CB"/>
    <w:rPr>
      <w:b/>
      <w:bCs/>
      <w:color w:val="008000"/>
      <w:u w:val="single"/>
    </w:rPr>
  </w:style>
  <w:style w:type="paragraph" w:styleId="Revision">
    <w:name w:val="Revision"/>
    <w:hidden/>
    <w:uiPriority w:val="99"/>
    <w:semiHidden/>
    <w:rsid w:val="000A3702"/>
    <w:rPr>
      <w:szCs w:val="24"/>
    </w:rPr>
  </w:style>
</w:styles>
</file>

<file path=word/webSettings.xml><?xml version="1.0" encoding="utf-8"?>
<w:webSettings xmlns:r="http://schemas.openxmlformats.org/officeDocument/2006/relationships" xmlns:w="http://schemas.openxmlformats.org/wordprocessingml/2006/main">
  <w:divs>
    <w:div w:id="135147364">
      <w:bodyDiv w:val="1"/>
      <w:marLeft w:val="0"/>
      <w:marRight w:val="0"/>
      <w:marTop w:val="0"/>
      <w:marBottom w:val="0"/>
      <w:divBdr>
        <w:top w:val="none" w:sz="0" w:space="0" w:color="auto"/>
        <w:left w:val="none" w:sz="0" w:space="0" w:color="auto"/>
        <w:bottom w:val="none" w:sz="0" w:space="0" w:color="auto"/>
        <w:right w:val="none" w:sz="0" w:space="0" w:color="auto"/>
      </w:divBdr>
    </w:div>
    <w:div w:id="625501116">
      <w:bodyDiv w:val="1"/>
      <w:marLeft w:val="0"/>
      <w:marRight w:val="0"/>
      <w:marTop w:val="0"/>
      <w:marBottom w:val="0"/>
      <w:divBdr>
        <w:top w:val="none" w:sz="0" w:space="0" w:color="auto"/>
        <w:left w:val="none" w:sz="0" w:space="0" w:color="auto"/>
        <w:bottom w:val="none" w:sz="0" w:space="0" w:color="auto"/>
        <w:right w:val="none" w:sz="0" w:space="0" w:color="auto"/>
      </w:divBdr>
    </w:div>
    <w:div w:id="1241720897">
      <w:bodyDiv w:val="1"/>
      <w:marLeft w:val="0"/>
      <w:marRight w:val="0"/>
      <w:marTop w:val="0"/>
      <w:marBottom w:val="0"/>
      <w:divBdr>
        <w:top w:val="none" w:sz="0" w:space="0" w:color="auto"/>
        <w:left w:val="none" w:sz="0" w:space="0" w:color="auto"/>
        <w:bottom w:val="none" w:sz="0" w:space="0" w:color="auto"/>
        <w:right w:val="none" w:sz="0" w:space="0" w:color="auto"/>
      </w:divBdr>
    </w:div>
    <w:div w:id="1732344874">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2009-05-26T07:00:00+00:00</OpenedDate>
    <Date1 xmlns="dc463f71-b30c-4ab2-9473-d307f9d35888">2009-09-24T07:00:00+00:00</Date1>
    <IsDocumentOrder xmlns="dc463f71-b30c-4ab2-9473-d307f9d35888" xsi:nil="true"/>
    <IsHighlyConfidential xmlns="dc463f71-b30c-4ab2-9473-d307f9d35888">false</IsHighlyConfidential>
    <CaseCompanyNames xmlns="dc463f71-b30c-4ab2-9473-d307f9d35888">Aquarius Utilities, LLC.</CaseCompanyNames>
    <DocketNumber xmlns="dc463f71-b30c-4ab2-9473-d307f9d35888">090819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312AFEE73F6444BA9F195F11B702E1" ma:contentTypeVersion="131" ma:contentTypeDescription="" ma:contentTypeScope="" ma:versionID="7a472ccea6227c25f3042274f55a69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3E7BE99-9016-41A3-AEC7-10A57A4F5B72}"/>
</file>

<file path=customXml/itemProps2.xml><?xml version="1.0" encoding="utf-8"?>
<ds:datastoreItem xmlns:ds="http://schemas.openxmlformats.org/officeDocument/2006/customXml" ds:itemID="{A08AE30C-6B71-4BEC-8260-89C9B37869ED}"/>
</file>

<file path=customXml/itemProps3.xml><?xml version="1.0" encoding="utf-8"?>
<ds:datastoreItem xmlns:ds="http://schemas.openxmlformats.org/officeDocument/2006/customXml" ds:itemID="{D4E51FEC-5695-4F45-9072-84A7B9124264}"/>
</file>

<file path=customXml/itemProps4.xml><?xml version="1.0" encoding="utf-8"?>
<ds:datastoreItem xmlns:ds="http://schemas.openxmlformats.org/officeDocument/2006/customXml" ds:itemID="{E402DDD9-9A4C-4DF5-BBD9-51A54578DAB4}"/>
</file>

<file path=customXml/itemProps5.xml><?xml version="1.0" encoding="utf-8"?>
<ds:datastoreItem xmlns:ds="http://schemas.openxmlformats.org/officeDocument/2006/customXml" ds:itemID="{D5C3147E-934F-46DF-A58B-66B0C265E94F}"/>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Links>
    <vt:vector size="6" baseType="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Mickelson</dc:creator>
  <cp:keywords/>
  <dc:description/>
  <cp:lastModifiedBy>Lisa Wyse, Records Manager</cp:lastModifiedBy>
  <cp:revision>2</cp:revision>
  <cp:lastPrinted>2009-09-21T18:43:00Z</cp:lastPrinted>
  <dcterms:created xsi:type="dcterms:W3CDTF">2009-09-21T22:53:00Z</dcterms:created>
  <dcterms:modified xsi:type="dcterms:W3CDTF">2009-09-21T22:53:00Z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0x0101006E56B4D1795A2E4DB2F0B01679ED314A006A312AFEE73F6444BA9F195F11B702E1</vt:lpwstr>
  </property>
  <property fmtid="{D5CDD505-2E9C-101B-9397-08002B2CF9AE}" pid="3" name="_docset_NoMedatataSyncRequired">
    <vt:lpwstr>False</vt:lpwstr>
  </property>
</Properties>
</file>