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3177" w14:textId="5AC75C34" w:rsidR="009E433F" w:rsidRDefault="009D7C08">
      <w:pPr>
        <w:jc w:val="both"/>
        <w:rPr>
          <w:bCs/>
        </w:rPr>
      </w:pPr>
      <w:r>
        <w:rPr>
          <w:bCs/>
        </w:rPr>
        <w:t xml:space="preserve">CWSDH </w:t>
      </w:r>
    </w:p>
    <w:p w14:paraId="3F635CCF" w14:textId="7A429FF1" w:rsidR="009D7C08" w:rsidRDefault="001D0588">
      <w:pPr>
        <w:jc w:val="both"/>
        <w:rPr>
          <w:bCs/>
        </w:rPr>
      </w:pPr>
      <w:r>
        <w:rPr>
          <w:bCs/>
        </w:rPr>
        <w:t>16920 Flume Rd.</w:t>
      </w:r>
    </w:p>
    <w:p w14:paraId="68FEDD14" w14:textId="5D265395" w:rsidR="001D0588" w:rsidRDefault="001D0588">
      <w:pPr>
        <w:jc w:val="both"/>
        <w:rPr>
          <w:bCs/>
        </w:rPr>
      </w:pPr>
      <w:r>
        <w:rPr>
          <w:bCs/>
        </w:rPr>
        <w:t>PO Box 352</w:t>
      </w:r>
    </w:p>
    <w:p w14:paraId="226154D2" w14:textId="423AD053" w:rsidR="001D0588" w:rsidRDefault="001D0588">
      <w:pPr>
        <w:jc w:val="both"/>
        <w:rPr>
          <w:bCs/>
        </w:rPr>
      </w:pPr>
      <w:r>
        <w:rPr>
          <w:bCs/>
        </w:rPr>
        <w:t>Yelm, WA 98597</w:t>
      </w:r>
    </w:p>
    <w:p w14:paraId="0DCB1DF2" w14:textId="77777777" w:rsidR="001440C0" w:rsidRDefault="00F70EC8" w:rsidP="001440C0">
      <w:pPr>
        <w:rPr>
          <w:bCs/>
        </w:rPr>
      </w:pPr>
      <w:r>
        <w:rPr>
          <w:bCs/>
        </w:rPr>
        <w:t>(360) 339-2600</w:t>
      </w:r>
    </w:p>
    <w:p w14:paraId="4E91C0FC" w14:textId="48F75BD9" w:rsidR="001440C0" w:rsidRPr="000B1E9B" w:rsidRDefault="00A24EFD" w:rsidP="001440C0">
      <w:pPr>
        <w:rPr>
          <w:noProof/>
          <w:sz w:val="22"/>
          <w:szCs w:val="22"/>
        </w:rPr>
      </w:pPr>
      <w:hyperlink r:id="rId6" w:history="1">
        <w:r w:rsidR="001440C0" w:rsidRPr="0050539A">
          <w:rPr>
            <w:rStyle w:val="Hyperlink"/>
            <w:noProof/>
            <w:sz w:val="22"/>
            <w:szCs w:val="22"/>
          </w:rPr>
          <w:t>cwsdh.co@gmail.com</w:t>
        </w:r>
      </w:hyperlink>
    </w:p>
    <w:p w14:paraId="6556E2C2" w14:textId="24A3C0CC" w:rsidR="00F70EC8" w:rsidRPr="009D7C08" w:rsidRDefault="00F70EC8">
      <w:pPr>
        <w:jc w:val="both"/>
        <w:rPr>
          <w:bCs/>
        </w:rPr>
      </w:pPr>
    </w:p>
    <w:p w14:paraId="17309FAB" w14:textId="77777777" w:rsidR="008F36AF" w:rsidRDefault="008F36AF" w:rsidP="00FD1138">
      <w:pPr>
        <w:jc w:val="center"/>
        <w:rPr>
          <w:b/>
          <w:bCs/>
          <w:sz w:val="44"/>
          <w:szCs w:val="44"/>
        </w:rPr>
      </w:pPr>
    </w:p>
    <w:p w14:paraId="5B936BA9" w14:textId="0817E173" w:rsidR="009E433F" w:rsidRPr="00FD1138" w:rsidRDefault="009E433F" w:rsidP="00FD1138">
      <w:pPr>
        <w:jc w:val="center"/>
        <w:rPr>
          <w:b/>
          <w:bCs/>
        </w:rPr>
      </w:pPr>
      <w:r>
        <w:rPr>
          <w:b/>
          <w:bCs/>
          <w:sz w:val="44"/>
          <w:szCs w:val="44"/>
        </w:rPr>
        <w:t>IMPORTANT NOTICE</w:t>
      </w:r>
    </w:p>
    <w:p w14:paraId="65814B47" w14:textId="77777777" w:rsidR="008F36AF" w:rsidRDefault="008F36AF">
      <w:pPr>
        <w:jc w:val="both"/>
        <w:rPr>
          <w:sz w:val="22"/>
          <w:szCs w:val="22"/>
        </w:rPr>
      </w:pPr>
    </w:p>
    <w:p w14:paraId="41960C89" w14:textId="1FA0121B" w:rsidR="009E433F" w:rsidRPr="00DA7546" w:rsidRDefault="000B1E9B">
      <w:pPr>
        <w:jc w:val="both"/>
        <w:rPr>
          <w:sz w:val="22"/>
          <w:szCs w:val="22"/>
        </w:rPr>
      </w:pPr>
      <w:r>
        <w:rPr>
          <w:sz w:val="22"/>
          <w:szCs w:val="22"/>
        </w:rPr>
        <w:t>0</w:t>
      </w:r>
      <w:r w:rsidR="00A53AC1">
        <w:rPr>
          <w:sz w:val="22"/>
          <w:szCs w:val="22"/>
        </w:rPr>
        <w:t>3</w:t>
      </w:r>
      <w:r>
        <w:rPr>
          <w:sz w:val="22"/>
          <w:szCs w:val="22"/>
        </w:rPr>
        <w:t>/</w:t>
      </w:r>
      <w:r w:rsidR="00A53AC1">
        <w:rPr>
          <w:sz w:val="22"/>
          <w:szCs w:val="22"/>
        </w:rPr>
        <w:t>1</w:t>
      </w:r>
      <w:r>
        <w:rPr>
          <w:sz w:val="22"/>
          <w:szCs w:val="22"/>
        </w:rPr>
        <w:t>/2019</w:t>
      </w:r>
    </w:p>
    <w:p w14:paraId="346BAAF4" w14:textId="77777777" w:rsidR="00FD1138" w:rsidRPr="00DA7546" w:rsidRDefault="00FD1138">
      <w:pPr>
        <w:jc w:val="both"/>
        <w:rPr>
          <w:sz w:val="22"/>
          <w:szCs w:val="22"/>
        </w:rPr>
      </w:pPr>
    </w:p>
    <w:p w14:paraId="4A4F9995" w14:textId="7341DA9C" w:rsidR="009E433F" w:rsidRDefault="00041A3A">
      <w:pPr>
        <w:jc w:val="both"/>
      </w:pPr>
      <w:r>
        <w:rPr>
          <w:sz w:val="22"/>
          <w:szCs w:val="22"/>
        </w:rPr>
        <w:t>CWSDH LLC (utility for Dungeness Heights Water System)</w:t>
      </w:r>
      <w:r w:rsidR="00FD1138" w:rsidRPr="00DA7546">
        <w:rPr>
          <w:sz w:val="22"/>
          <w:szCs w:val="22"/>
        </w:rPr>
        <w:t xml:space="preserve"> </w:t>
      </w:r>
      <w:r w:rsidR="009E433F" w:rsidRPr="00DA7546">
        <w:rPr>
          <w:sz w:val="22"/>
          <w:szCs w:val="22"/>
        </w:rPr>
        <w:t xml:space="preserve">has asked the Washington Utilities and Transportation Commission to approve an application to increase rates. If approved, the new rates will become effective </w:t>
      </w:r>
      <w:r w:rsidR="00882C91">
        <w:rPr>
          <w:sz w:val="22"/>
          <w:szCs w:val="22"/>
        </w:rPr>
        <w:t>April 1</w:t>
      </w:r>
      <w:r w:rsidR="00882C91" w:rsidRPr="00882C91">
        <w:rPr>
          <w:sz w:val="22"/>
          <w:szCs w:val="22"/>
          <w:vertAlign w:val="superscript"/>
        </w:rPr>
        <w:t>st</w:t>
      </w:r>
      <w:r w:rsidR="00882C91">
        <w:rPr>
          <w:sz w:val="22"/>
          <w:szCs w:val="22"/>
        </w:rPr>
        <w:t>, 2019</w:t>
      </w:r>
      <w:r w:rsidR="009E433F" w:rsidRPr="00DA7546">
        <w:rPr>
          <w:sz w:val="22"/>
          <w:szCs w:val="22"/>
        </w:rPr>
        <w:t xml:space="preserve">. </w:t>
      </w:r>
      <w:r w:rsidR="00BC1739" w:rsidRPr="00386E24">
        <w:t xml:space="preserve">If approved, this increase would generate </w:t>
      </w:r>
      <w:r w:rsidR="00BC1739">
        <w:t>(</w:t>
      </w:r>
      <w:r w:rsidR="00BC1739" w:rsidRPr="00386E24">
        <w:t>approximately</w:t>
      </w:r>
      <w:r w:rsidR="00BC1739">
        <w:t>)</w:t>
      </w:r>
      <w:r w:rsidR="00BC1739" w:rsidRPr="00386E24">
        <w:t xml:space="preserve"> an additional $13,000 in annual revenue</w:t>
      </w:r>
      <w:r w:rsidR="00BC1739">
        <w:t xml:space="preserve"> which translates to about 25% increase in revenue.</w:t>
      </w:r>
    </w:p>
    <w:p w14:paraId="0D5C06AD" w14:textId="77777777" w:rsidR="00BC1739" w:rsidRPr="00DA7546" w:rsidRDefault="00BC1739">
      <w:pPr>
        <w:jc w:val="both"/>
        <w:rPr>
          <w:sz w:val="22"/>
          <w:szCs w:val="22"/>
        </w:rPr>
      </w:pPr>
    </w:p>
    <w:p w14:paraId="6AC3CD28" w14:textId="5CE561B7" w:rsidR="00FD1138" w:rsidRPr="00DA7546" w:rsidRDefault="00FD1138" w:rsidP="00E46A9A">
      <w:pPr>
        <w:rPr>
          <w:sz w:val="22"/>
          <w:szCs w:val="22"/>
        </w:rPr>
      </w:pPr>
      <w:r w:rsidRPr="00DA7546">
        <w:rPr>
          <w:sz w:val="22"/>
          <w:szCs w:val="22"/>
        </w:rPr>
        <w:t xml:space="preserve">The increase is </w:t>
      </w:r>
      <w:r w:rsidR="00E62E9F">
        <w:rPr>
          <w:sz w:val="22"/>
          <w:szCs w:val="22"/>
        </w:rPr>
        <w:t>needed because</w:t>
      </w:r>
      <w:r w:rsidR="00041A3A">
        <w:rPr>
          <w:sz w:val="22"/>
          <w:szCs w:val="22"/>
        </w:rPr>
        <w:t xml:space="preserve"> current rates are too low to </w:t>
      </w:r>
      <w:r w:rsidR="00DD74B0">
        <w:rPr>
          <w:sz w:val="22"/>
          <w:szCs w:val="22"/>
        </w:rPr>
        <w:t>fund</w:t>
      </w:r>
      <w:r w:rsidR="00041A3A">
        <w:rPr>
          <w:sz w:val="22"/>
          <w:szCs w:val="22"/>
        </w:rPr>
        <w:t xml:space="preserve"> continuing costs of </w:t>
      </w:r>
      <w:r w:rsidR="00D14610">
        <w:rPr>
          <w:sz w:val="22"/>
          <w:szCs w:val="22"/>
        </w:rPr>
        <w:t>utility</w:t>
      </w:r>
      <w:r w:rsidR="00041A3A">
        <w:rPr>
          <w:sz w:val="22"/>
          <w:szCs w:val="22"/>
        </w:rPr>
        <w:t xml:space="preserve"> plant</w:t>
      </w:r>
      <w:r w:rsidR="006567BB">
        <w:rPr>
          <w:sz w:val="22"/>
          <w:szCs w:val="22"/>
        </w:rPr>
        <w:t>.</w:t>
      </w:r>
      <w:r w:rsidR="0062428B">
        <w:rPr>
          <w:sz w:val="22"/>
          <w:szCs w:val="22"/>
        </w:rPr>
        <w:t xml:space="preserve"> C</w:t>
      </w:r>
      <w:r w:rsidR="00E62E9F" w:rsidRPr="00DA7546">
        <w:rPr>
          <w:sz w:val="22"/>
          <w:szCs w:val="22"/>
        </w:rPr>
        <w:t>osts</w:t>
      </w:r>
      <w:r w:rsidR="0062428B">
        <w:rPr>
          <w:sz w:val="22"/>
          <w:szCs w:val="22"/>
        </w:rPr>
        <w:t xml:space="preserve"> have increased dramatically in 2019</w:t>
      </w:r>
      <w:r w:rsidR="00CB5548">
        <w:rPr>
          <w:sz w:val="22"/>
          <w:szCs w:val="22"/>
        </w:rPr>
        <w:t>, there are</w:t>
      </w:r>
      <w:r w:rsidR="00E62E9F">
        <w:rPr>
          <w:sz w:val="22"/>
          <w:szCs w:val="22"/>
        </w:rPr>
        <w:t xml:space="preserve"> </w:t>
      </w:r>
      <w:r w:rsidR="00041A3A">
        <w:rPr>
          <w:sz w:val="22"/>
          <w:szCs w:val="22"/>
        </w:rPr>
        <w:t xml:space="preserve">daily costs of </w:t>
      </w:r>
      <w:r w:rsidR="0003210F">
        <w:rPr>
          <w:sz w:val="22"/>
          <w:szCs w:val="22"/>
        </w:rPr>
        <w:t>disinfecting</w:t>
      </w:r>
      <w:r w:rsidR="00854C74">
        <w:rPr>
          <w:sz w:val="22"/>
          <w:szCs w:val="22"/>
        </w:rPr>
        <w:t xml:space="preserve"> and </w:t>
      </w:r>
      <w:r w:rsidR="00041A3A">
        <w:rPr>
          <w:sz w:val="22"/>
          <w:szCs w:val="22"/>
        </w:rPr>
        <w:t xml:space="preserve">testing water mandated by the Dept. of </w:t>
      </w:r>
      <w:r w:rsidR="00E93DAE">
        <w:rPr>
          <w:sz w:val="22"/>
          <w:szCs w:val="22"/>
        </w:rPr>
        <w:t>Health</w:t>
      </w:r>
      <w:r w:rsidRPr="00DA7546">
        <w:rPr>
          <w:sz w:val="22"/>
          <w:szCs w:val="22"/>
        </w:rPr>
        <w:t>.</w:t>
      </w:r>
      <w:r w:rsidR="00B505CD">
        <w:rPr>
          <w:sz w:val="22"/>
          <w:szCs w:val="22"/>
        </w:rPr>
        <w:t xml:space="preserve">, </w:t>
      </w:r>
      <w:r w:rsidR="00504C70">
        <w:rPr>
          <w:sz w:val="22"/>
          <w:szCs w:val="22"/>
        </w:rPr>
        <w:t>anticipated</w:t>
      </w:r>
      <w:r w:rsidR="00B505CD">
        <w:rPr>
          <w:sz w:val="22"/>
          <w:szCs w:val="22"/>
        </w:rPr>
        <w:t xml:space="preserve"> cost</w:t>
      </w:r>
      <w:r w:rsidR="00D9038A">
        <w:rPr>
          <w:sz w:val="22"/>
          <w:szCs w:val="22"/>
        </w:rPr>
        <w:t>s</w:t>
      </w:r>
      <w:r w:rsidR="00B505CD">
        <w:rPr>
          <w:sz w:val="22"/>
          <w:szCs w:val="22"/>
        </w:rPr>
        <w:t xml:space="preserve"> of backflow assembly testing</w:t>
      </w:r>
      <w:r w:rsidR="00EA2336">
        <w:rPr>
          <w:sz w:val="22"/>
          <w:szCs w:val="22"/>
        </w:rPr>
        <w:t xml:space="preserve"> and installation</w:t>
      </w:r>
      <w:r w:rsidR="00B505CD">
        <w:rPr>
          <w:sz w:val="22"/>
          <w:szCs w:val="22"/>
        </w:rPr>
        <w:t xml:space="preserve">, increased costs of insurance, taxes and </w:t>
      </w:r>
      <w:r w:rsidR="00D9038A">
        <w:rPr>
          <w:sz w:val="22"/>
          <w:szCs w:val="22"/>
        </w:rPr>
        <w:t>electricity</w:t>
      </w:r>
      <w:r w:rsidR="00F13426">
        <w:rPr>
          <w:sz w:val="22"/>
          <w:szCs w:val="22"/>
        </w:rPr>
        <w:t xml:space="preserve">. There needs to be funds available </w:t>
      </w:r>
      <w:r w:rsidR="00855827">
        <w:rPr>
          <w:sz w:val="22"/>
          <w:szCs w:val="22"/>
        </w:rPr>
        <w:t>to recover depreciation expense</w:t>
      </w:r>
      <w:r w:rsidR="000B1E9B">
        <w:rPr>
          <w:sz w:val="22"/>
          <w:szCs w:val="22"/>
        </w:rPr>
        <w:t>.</w:t>
      </w:r>
      <w:r w:rsidR="00961F40" w:rsidRPr="00961F40">
        <w:t xml:space="preserve"> </w:t>
      </w:r>
      <w:proofErr w:type="gramStart"/>
      <w:r w:rsidR="00EA2875">
        <w:t>Also</w:t>
      </w:r>
      <w:proofErr w:type="gramEnd"/>
      <w:r w:rsidR="00EA2875">
        <w:t xml:space="preserve"> </w:t>
      </w:r>
      <w:r w:rsidR="00961F40">
        <w:t>to promote water conservation and to protect our drinking water</w:t>
      </w:r>
      <w:r w:rsidR="00EA2875">
        <w:t>.</w:t>
      </w:r>
      <w:r w:rsidR="00E46A9A" w:rsidRPr="00E46A9A">
        <w:rPr>
          <w:lang w:val="en"/>
        </w:rPr>
        <w:t xml:space="preserve"> </w:t>
      </w:r>
      <w:r w:rsidR="00E46A9A" w:rsidRPr="00396421">
        <w:rPr>
          <w:lang w:val="en"/>
        </w:rPr>
        <w:t>The</w:t>
      </w:r>
      <w:r w:rsidR="00E46A9A" w:rsidRPr="00396421">
        <w:rPr>
          <w:spacing w:val="-1"/>
          <w:lang w:val="en"/>
        </w:rPr>
        <w:t xml:space="preserve"> </w:t>
      </w:r>
      <w:r w:rsidR="00E46A9A" w:rsidRPr="00396421">
        <w:rPr>
          <w:lang w:val="en"/>
        </w:rPr>
        <w:t>revenue</w:t>
      </w:r>
      <w:r w:rsidR="00E46A9A" w:rsidRPr="00396421">
        <w:rPr>
          <w:spacing w:val="19"/>
          <w:lang w:val="en"/>
        </w:rPr>
        <w:t xml:space="preserve"> </w:t>
      </w:r>
      <w:r w:rsidR="00E46A9A" w:rsidRPr="00396421">
        <w:rPr>
          <w:lang w:val="en"/>
        </w:rPr>
        <w:t>impact</w:t>
      </w:r>
      <w:r w:rsidR="00E46A9A" w:rsidRPr="00396421">
        <w:rPr>
          <w:spacing w:val="28"/>
          <w:lang w:val="en"/>
        </w:rPr>
        <w:t xml:space="preserve"> </w:t>
      </w:r>
      <w:r w:rsidR="00E46A9A" w:rsidRPr="00396421">
        <w:rPr>
          <w:lang w:val="en"/>
        </w:rPr>
        <w:t>is</w:t>
      </w:r>
      <w:r w:rsidR="00E46A9A" w:rsidRPr="00396421">
        <w:rPr>
          <w:spacing w:val="8"/>
          <w:lang w:val="en"/>
        </w:rPr>
        <w:t xml:space="preserve"> </w:t>
      </w:r>
      <w:r w:rsidR="00E46A9A" w:rsidRPr="00396421">
        <w:rPr>
          <w:lang w:val="en"/>
        </w:rPr>
        <w:t>summarized</w:t>
      </w:r>
      <w:r w:rsidR="00E46A9A" w:rsidRPr="00396421">
        <w:rPr>
          <w:spacing w:val="35"/>
          <w:lang w:val="en"/>
        </w:rPr>
        <w:t xml:space="preserve"> </w:t>
      </w:r>
      <w:r w:rsidR="00E46A9A" w:rsidRPr="00396421">
        <w:rPr>
          <w:lang w:val="en"/>
        </w:rPr>
        <w:t>in the table below:</w:t>
      </w:r>
    </w:p>
    <w:p w14:paraId="74A2642D" w14:textId="77777777" w:rsidR="009E433F" w:rsidRPr="00DA7546" w:rsidRDefault="009E433F">
      <w:pPr>
        <w:jc w:val="both"/>
        <w:rPr>
          <w:sz w:val="22"/>
          <w:szCs w:val="22"/>
        </w:rPr>
      </w:pPr>
    </w:p>
    <w:tbl>
      <w:tblPr>
        <w:tblW w:w="6780" w:type="dxa"/>
        <w:tblLayout w:type="fixed"/>
        <w:tblLook w:val="04A0" w:firstRow="1" w:lastRow="0" w:firstColumn="1" w:lastColumn="0" w:noHBand="0" w:noVBand="1"/>
      </w:tblPr>
      <w:tblGrid>
        <w:gridCol w:w="3419"/>
        <w:gridCol w:w="2238"/>
        <w:gridCol w:w="1123"/>
      </w:tblGrid>
      <w:tr w:rsidR="00483996" w:rsidRPr="00483996" w14:paraId="5AFFA8A0" w14:textId="77777777" w:rsidTr="00483996">
        <w:trPr>
          <w:trHeight w:val="585"/>
        </w:trPr>
        <w:tc>
          <w:tcPr>
            <w:tcW w:w="3419" w:type="dxa"/>
            <w:tcBorders>
              <w:top w:val="single" w:sz="8" w:space="0" w:color="auto"/>
              <w:left w:val="single" w:sz="8" w:space="0" w:color="auto"/>
              <w:bottom w:val="single" w:sz="8" w:space="0" w:color="auto"/>
              <w:right w:val="nil"/>
            </w:tcBorders>
            <w:shd w:val="clear" w:color="auto" w:fill="auto"/>
            <w:vAlign w:val="center"/>
            <w:hideMark/>
          </w:tcPr>
          <w:p w14:paraId="4BC5F45A" w14:textId="4FBAF8E9" w:rsidR="00483996" w:rsidRPr="00483996" w:rsidRDefault="00483996" w:rsidP="00483996">
            <w:pPr>
              <w:widowControl/>
              <w:overflowPunct/>
              <w:adjustRightInd/>
              <w:jc w:val="center"/>
              <w:rPr>
                <w:b/>
                <w:bCs/>
                <w:color w:val="000000"/>
                <w:kern w:val="0"/>
                <w:sz w:val="22"/>
                <w:szCs w:val="22"/>
              </w:rPr>
            </w:pPr>
            <w:r w:rsidRPr="00483996">
              <w:rPr>
                <w:b/>
                <w:bCs/>
                <w:color w:val="000000"/>
                <w:kern w:val="0"/>
                <w:sz w:val="22"/>
                <w:szCs w:val="22"/>
              </w:rPr>
              <w:t>Monthly Rates</w:t>
            </w:r>
            <w:r w:rsidR="008F047F">
              <w:rPr>
                <w:b/>
                <w:bCs/>
                <w:color w:val="000000"/>
                <w:kern w:val="0"/>
                <w:sz w:val="22"/>
                <w:szCs w:val="22"/>
              </w:rPr>
              <w:t xml:space="preserve"> – ¾” meter</w:t>
            </w:r>
          </w:p>
        </w:tc>
        <w:tc>
          <w:tcPr>
            <w:tcW w:w="2238" w:type="dxa"/>
            <w:tcBorders>
              <w:top w:val="single" w:sz="8" w:space="0" w:color="auto"/>
              <w:left w:val="single" w:sz="8" w:space="0" w:color="auto"/>
              <w:bottom w:val="single" w:sz="8" w:space="0" w:color="auto"/>
              <w:right w:val="nil"/>
            </w:tcBorders>
            <w:shd w:val="clear" w:color="auto" w:fill="auto"/>
            <w:vAlign w:val="center"/>
            <w:hideMark/>
          </w:tcPr>
          <w:p w14:paraId="043BF43F" w14:textId="77777777" w:rsidR="00483996" w:rsidRPr="00483996" w:rsidRDefault="00483996" w:rsidP="00483996">
            <w:pPr>
              <w:widowControl/>
              <w:overflowPunct/>
              <w:adjustRightInd/>
              <w:jc w:val="center"/>
              <w:rPr>
                <w:b/>
                <w:bCs/>
                <w:color w:val="000000"/>
                <w:kern w:val="0"/>
                <w:sz w:val="22"/>
                <w:szCs w:val="22"/>
              </w:rPr>
            </w:pPr>
            <w:r w:rsidRPr="00483996">
              <w:rPr>
                <w:b/>
                <w:bCs/>
                <w:color w:val="000000"/>
                <w:kern w:val="0"/>
                <w:sz w:val="22"/>
                <w:szCs w:val="22"/>
              </w:rPr>
              <w:t>Current Rate</w:t>
            </w:r>
          </w:p>
        </w:tc>
        <w:tc>
          <w:tcPr>
            <w:tcW w:w="11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15B64F" w14:textId="77777777" w:rsidR="00483996" w:rsidRPr="00483996" w:rsidRDefault="00483996" w:rsidP="00483996">
            <w:pPr>
              <w:widowControl/>
              <w:overflowPunct/>
              <w:adjustRightInd/>
              <w:jc w:val="center"/>
              <w:rPr>
                <w:b/>
                <w:bCs/>
                <w:color w:val="000000"/>
                <w:kern w:val="0"/>
                <w:sz w:val="22"/>
                <w:szCs w:val="22"/>
              </w:rPr>
            </w:pPr>
            <w:r w:rsidRPr="00483996">
              <w:rPr>
                <w:b/>
                <w:bCs/>
                <w:color w:val="000000"/>
                <w:kern w:val="0"/>
                <w:sz w:val="22"/>
                <w:szCs w:val="22"/>
              </w:rPr>
              <w:t>Proposed Rate</w:t>
            </w:r>
          </w:p>
        </w:tc>
      </w:tr>
      <w:tr w:rsidR="00483996" w:rsidRPr="00483996" w14:paraId="4A458A0B" w14:textId="77777777" w:rsidTr="00483996">
        <w:trPr>
          <w:trHeight w:val="315"/>
        </w:trPr>
        <w:tc>
          <w:tcPr>
            <w:tcW w:w="3419" w:type="dxa"/>
            <w:tcBorders>
              <w:top w:val="nil"/>
              <w:left w:val="single" w:sz="8" w:space="0" w:color="auto"/>
              <w:bottom w:val="single" w:sz="8" w:space="0" w:color="auto"/>
              <w:right w:val="nil"/>
            </w:tcBorders>
            <w:shd w:val="clear" w:color="auto" w:fill="auto"/>
            <w:vAlign w:val="center"/>
            <w:hideMark/>
          </w:tcPr>
          <w:p w14:paraId="439BC2CD" w14:textId="77777777" w:rsidR="00483996" w:rsidRPr="00483996" w:rsidRDefault="00483996" w:rsidP="00483996">
            <w:pPr>
              <w:widowControl/>
              <w:overflowPunct/>
              <w:adjustRightInd/>
              <w:jc w:val="center"/>
              <w:rPr>
                <w:color w:val="000000"/>
                <w:kern w:val="0"/>
                <w:sz w:val="22"/>
                <w:szCs w:val="22"/>
              </w:rPr>
            </w:pPr>
            <w:r w:rsidRPr="00483996">
              <w:rPr>
                <w:color w:val="000000"/>
                <w:kern w:val="0"/>
                <w:sz w:val="22"/>
                <w:szCs w:val="22"/>
              </w:rPr>
              <w:t>Base Rate (zero allowance)</w:t>
            </w:r>
          </w:p>
        </w:tc>
        <w:tc>
          <w:tcPr>
            <w:tcW w:w="2238" w:type="dxa"/>
            <w:tcBorders>
              <w:top w:val="nil"/>
              <w:left w:val="single" w:sz="8" w:space="0" w:color="auto"/>
              <w:bottom w:val="single" w:sz="8" w:space="0" w:color="auto"/>
              <w:right w:val="nil"/>
            </w:tcBorders>
            <w:shd w:val="clear" w:color="auto" w:fill="auto"/>
            <w:vAlign w:val="center"/>
            <w:hideMark/>
          </w:tcPr>
          <w:p w14:paraId="498D03D8" w14:textId="77777777" w:rsidR="00483996" w:rsidRPr="00483996" w:rsidRDefault="00483996" w:rsidP="00483996">
            <w:pPr>
              <w:widowControl/>
              <w:overflowPunct/>
              <w:adjustRightInd/>
              <w:jc w:val="center"/>
              <w:rPr>
                <w:color w:val="000000"/>
                <w:kern w:val="0"/>
                <w:sz w:val="22"/>
                <w:szCs w:val="22"/>
              </w:rPr>
            </w:pPr>
            <w:r w:rsidRPr="00483996">
              <w:rPr>
                <w:color w:val="000000"/>
                <w:kern w:val="0"/>
                <w:sz w:val="22"/>
                <w:szCs w:val="22"/>
              </w:rPr>
              <w:t xml:space="preserve">$20.00 </w:t>
            </w:r>
          </w:p>
        </w:tc>
        <w:tc>
          <w:tcPr>
            <w:tcW w:w="1123" w:type="dxa"/>
            <w:tcBorders>
              <w:top w:val="nil"/>
              <w:left w:val="single" w:sz="8" w:space="0" w:color="auto"/>
              <w:bottom w:val="single" w:sz="8" w:space="0" w:color="auto"/>
              <w:right w:val="single" w:sz="8" w:space="0" w:color="auto"/>
            </w:tcBorders>
            <w:shd w:val="clear" w:color="auto" w:fill="auto"/>
            <w:vAlign w:val="center"/>
            <w:hideMark/>
          </w:tcPr>
          <w:p w14:paraId="41D95959" w14:textId="77777777" w:rsidR="00483996" w:rsidRPr="00483996" w:rsidRDefault="00483996" w:rsidP="00483996">
            <w:pPr>
              <w:widowControl/>
              <w:overflowPunct/>
              <w:adjustRightInd/>
              <w:jc w:val="center"/>
              <w:rPr>
                <w:color w:val="000000"/>
                <w:kern w:val="0"/>
                <w:sz w:val="22"/>
                <w:szCs w:val="22"/>
              </w:rPr>
            </w:pPr>
            <w:r w:rsidRPr="00483996">
              <w:rPr>
                <w:color w:val="000000"/>
                <w:kern w:val="0"/>
                <w:sz w:val="22"/>
                <w:szCs w:val="22"/>
              </w:rPr>
              <w:t xml:space="preserve">$27.50 </w:t>
            </w:r>
          </w:p>
        </w:tc>
      </w:tr>
      <w:tr w:rsidR="00483996" w:rsidRPr="00483996" w14:paraId="46016A9B" w14:textId="77777777" w:rsidTr="00483996">
        <w:trPr>
          <w:trHeight w:val="315"/>
        </w:trPr>
        <w:tc>
          <w:tcPr>
            <w:tcW w:w="3419" w:type="dxa"/>
            <w:tcBorders>
              <w:top w:val="nil"/>
              <w:left w:val="single" w:sz="8" w:space="0" w:color="auto"/>
              <w:bottom w:val="single" w:sz="8" w:space="0" w:color="auto"/>
              <w:right w:val="nil"/>
            </w:tcBorders>
            <w:shd w:val="clear" w:color="auto" w:fill="auto"/>
            <w:vAlign w:val="center"/>
            <w:hideMark/>
          </w:tcPr>
          <w:p w14:paraId="68CD923F" w14:textId="77777777" w:rsidR="00483996" w:rsidRPr="00483996" w:rsidRDefault="00483996" w:rsidP="00483996">
            <w:pPr>
              <w:widowControl/>
              <w:overflowPunct/>
              <w:adjustRightInd/>
              <w:jc w:val="center"/>
              <w:rPr>
                <w:color w:val="000000"/>
                <w:kern w:val="0"/>
                <w:sz w:val="22"/>
                <w:szCs w:val="22"/>
              </w:rPr>
            </w:pPr>
            <w:r w:rsidRPr="00483996">
              <w:rPr>
                <w:color w:val="000000"/>
                <w:kern w:val="0"/>
                <w:sz w:val="22"/>
                <w:szCs w:val="22"/>
              </w:rPr>
              <w:t>0-2000 cubic foot per 100 cubic foot</w:t>
            </w:r>
          </w:p>
        </w:tc>
        <w:tc>
          <w:tcPr>
            <w:tcW w:w="2238" w:type="dxa"/>
            <w:tcBorders>
              <w:top w:val="nil"/>
              <w:left w:val="single" w:sz="8" w:space="0" w:color="auto"/>
              <w:bottom w:val="single" w:sz="8" w:space="0" w:color="auto"/>
              <w:right w:val="nil"/>
            </w:tcBorders>
            <w:shd w:val="clear" w:color="auto" w:fill="auto"/>
            <w:vAlign w:val="center"/>
            <w:hideMark/>
          </w:tcPr>
          <w:p w14:paraId="31707B51" w14:textId="77777777" w:rsidR="00483996" w:rsidRPr="00483996" w:rsidRDefault="00483996" w:rsidP="00483996">
            <w:pPr>
              <w:widowControl/>
              <w:overflowPunct/>
              <w:adjustRightInd/>
              <w:jc w:val="center"/>
              <w:rPr>
                <w:color w:val="000000"/>
                <w:kern w:val="0"/>
                <w:sz w:val="22"/>
                <w:szCs w:val="22"/>
              </w:rPr>
            </w:pPr>
            <w:r w:rsidRPr="00483996">
              <w:rPr>
                <w:color w:val="000000"/>
                <w:kern w:val="0"/>
                <w:sz w:val="22"/>
                <w:szCs w:val="22"/>
              </w:rPr>
              <w:t xml:space="preserve">$1.25 </w:t>
            </w:r>
          </w:p>
        </w:tc>
        <w:tc>
          <w:tcPr>
            <w:tcW w:w="1123" w:type="dxa"/>
            <w:tcBorders>
              <w:top w:val="nil"/>
              <w:left w:val="single" w:sz="8" w:space="0" w:color="auto"/>
              <w:bottom w:val="single" w:sz="8" w:space="0" w:color="auto"/>
              <w:right w:val="single" w:sz="8" w:space="0" w:color="auto"/>
            </w:tcBorders>
            <w:shd w:val="clear" w:color="auto" w:fill="auto"/>
            <w:vAlign w:val="center"/>
            <w:hideMark/>
          </w:tcPr>
          <w:p w14:paraId="433792A4" w14:textId="77777777" w:rsidR="00483996" w:rsidRPr="00483996" w:rsidRDefault="00483996" w:rsidP="00483996">
            <w:pPr>
              <w:widowControl/>
              <w:overflowPunct/>
              <w:adjustRightInd/>
              <w:jc w:val="center"/>
              <w:rPr>
                <w:color w:val="000000"/>
                <w:kern w:val="0"/>
                <w:sz w:val="22"/>
                <w:szCs w:val="22"/>
              </w:rPr>
            </w:pPr>
            <w:r w:rsidRPr="00483996">
              <w:rPr>
                <w:color w:val="000000"/>
                <w:kern w:val="0"/>
                <w:sz w:val="22"/>
                <w:szCs w:val="22"/>
              </w:rPr>
              <w:t xml:space="preserve">$1.25 </w:t>
            </w:r>
          </w:p>
        </w:tc>
      </w:tr>
      <w:tr w:rsidR="00483996" w:rsidRPr="00483996" w14:paraId="1C02FDF5" w14:textId="77777777" w:rsidTr="00483996">
        <w:trPr>
          <w:trHeight w:val="315"/>
        </w:trPr>
        <w:tc>
          <w:tcPr>
            <w:tcW w:w="3419" w:type="dxa"/>
            <w:tcBorders>
              <w:top w:val="nil"/>
              <w:left w:val="single" w:sz="8" w:space="0" w:color="auto"/>
              <w:bottom w:val="single" w:sz="8" w:space="0" w:color="auto"/>
              <w:right w:val="nil"/>
            </w:tcBorders>
            <w:shd w:val="clear" w:color="auto" w:fill="auto"/>
            <w:vAlign w:val="center"/>
            <w:hideMark/>
          </w:tcPr>
          <w:p w14:paraId="3F638BA8" w14:textId="77777777" w:rsidR="00483996" w:rsidRPr="00483996" w:rsidRDefault="00483996" w:rsidP="00483996">
            <w:pPr>
              <w:widowControl/>
              <w:overflowPunct/>
              <w:adjustRightInd/>
              <w:jc w:val="center"/>
              <w:rPr>
                <w:color w:val="000000"/>
                <w:kern w:val="0"/>
                <w:sz w:val="22"/>
                <w:szCs w:val="22"/>
              </w:rPr>
            </w:pPr>
            <w:r w:rsidRPr="00483996">
              <w:rPr>
                <w:color w:val="000000"/>
                <w:kern w:val="0"/>
                <w:sz w:val="22"/>
                <w:szCs w:val="22"/>
              </w:rPr>
              <w:t>2,001-4,000 cubic foot per 100 cubic foot</w:t>
            </w:r>
          </w:p>
        </w:tc>
        <w:tc>
          <w:tcPr>
            <w:tcW w:w="2238" w:type="dxa"/>
            <w:tcBorders>
              <w:top w:val="nil"/>
              <w:left w:val="single" w:sz="8" w:space="0" w:color="auto"/>
              <w:bottom w:val="single" w:sz="8" w:space="0" w:color="auto"/>
              <w:right w:val="nil"/>
            </w:tcBorders>
            <w:shd w:val="clear" w:color="auto" w:fill="auto"/>
            <w:vAlign w:val="center"/>
            <w:hideMark/>
          </w:tcPr>
          <w:p w14:paraId="68F19394" w14:textId="77777777" w:rsidR="00483996" w:rsidRPr="00483996" w:rsidRDefault="00483996" w:rsidP="00483996">
            <w:pPr>
              <w:widowControl/>
              <w:overflowPunct/>
              <w:adjustRightInd/>
              <w:jc w:val="center"/>
              <w:rPr>
                <w:color w:val="000000"/>
                <w:kern w:val="0"/>
                <w:sz w:val="22"/>
                <w:szCs w:val="22"/>
              </w:rPr>
            </w:pPr>
            <w:r w:rsidRPr="00483996">
              <w:rPr>
                <w:color w:val="000000"/>
                <w:kern w:val="0"/>
                <w:sz w:val="22"/>
                <w:szCs w:val="22"/>
              </w:rPr>
              <w:t xml:space="preserve">$1.25 </w:t>
            </w:r>
          </w:p>
        </w:tc>
        <w:tc>
          <w:tcPr>
            <w:tcW w:w="1123" w:type="dxa"/>
            <w:tcBorders>
              <w:top w:val="nil"/>
              <w:left w:val="single" w:sz="8" w:space="0" w:color="auto"/>
              <w:bottom w:val="single" w:sz="8" w:space="0" w:color="auto"/>
              <w:right w:val="single" w:sz="8" w:space="0" w:color="auto"/>
            </w:tcBorders>
            <w:shd w:val="clear" w:color="auto" w:fill="auto"/>
            <w:vAlign w:val="center"/>
            <w:hideMark/>
          </w:tcPr>
          <w:p w14:paraId="16B79605" w14:textId="77777777" w:rsidR="00483996" w:rsidRPr="00483996" w:rsidRDefault="00483996" w:rsidP="00483996">
            <w:pPr>
              <w:widowControl/>
              <w:overflowPunct/>
              <w:adjustRightInd/>
              <w:jc w:val="center"/>
              <w:rPr>
                <w:color w:val="000000"/>
                <w:kern w:val="0"/>
                <w:sz w:val="22"/>
                <w:szCs w:val="22"/>
              </w:rPr>
            </w:pPr>
            <w:r w:rsidRPr="00483996">
              <w:rPr>
                <w:color w:val="000000"/>
                <w:kern w:val="0"/>
                <w:sz w:val="22"/>
                <w:szCs w:val="22"/>
              </w:rPr>
              <w:t xml:space="preserve">$1.35 </w:t>
            </w:r>
          </w:p>
        </w:tc>
      </w:tr>
      <w:tr w:rsidR="00483996" w:rsidRPr="00483996" w14:paraId="64DEA749" w14:textId="77777777" w:rsidTr="006F5AE1">
        <w:trPr>
          <w:trHeight w:val="315"/>
        </w:trPr>
        <w:tc>
          <w:tcPr>
            <w:tcW w:w="3419" w:type="dxa"/>
            <w:tcBorders>
              <w:top w:val="nil"/>
              <w:left w:val="single" w:sz="8" w:space="0" w:color="auto"/>
              <w:bottom w:val="single" w:sz="4" w:space="0" w:color="auto"/>
              <w:right w:val="nil"/>
            </w:tcBorders>
            <w:shd w:val="clear" w:color="auto" w:fill="auto"/>
            <w:vAlign w:val="center"/>
            <w:hideMark/>
          </w:tcPr>
          <w:p w14:paraId="39D56610" w14:textId="77777777" w:rsidR="00483996" w:rsidRPr="00483996" w:rsidRDefault="00483996" w:rsidP="00483996">
            <w:pPr>
              <w:widowControl/>
              <w:overflowPunct/>
              <w:adjustRightInd/>
              <w:jc w:val="center"/>
              <w:rPr>
                <w:color w:val="000000"/>
                <w:kern w:val="0"/>
                <w:sz w:val="22"/>
                <w:szCs w:val="22"/>
              </w:rPr>
            </w:pPr>
            <w:r w:rsidRPr="00483996">
              <w:rPr>
                <w:color w:val="000000"/>
                <w:kern w:val="0"/>
                <w:sz w:val="22"/>
                <w:szCs w:val="22"/>
              </w:rPr>
              <w:t>Over 8,001 cubic foot per 100 cubic foot</w:t>
            </w:r>
          </w:p>
        </w:tc>
        <w:tc>
          <w:tcPr>
            <w:tcW w:w="2238" w:type="dxa"/>
            <w:tcBorders>
              <w:top w:val="nil"/>
              <w:left w:val="single" w:sz="8" w:space="0" w:color="auto"/>
              <w:bottom w:val="single" w:sz="4" w:space="0" w:color="auto"/>
              <w:right w:val="nil"/>
            </w:tcBorders>
            <w:shd w:val="clear" w:color="auto" w:fill="auto"/>
            <w:vAlign w:val="center"/>
            <w:hideMark/>
          </w:tcPr>
          <w:p w14:paraId="4AB94748" w14:textId="77777777" w:rsidR="00483996" w:rsidRPr="00483996" w:rsidRDefault="00483996" w:rsidP="00483996">
            <w:pPr>
              <w:widowControl/>
              <w:overflowPunct/>
              <w:adjustRightInd/>
              <w:jc w:val="center"/>
              <w:rPr>
                <w:color w:val="000000"/>
                <w:kern w:val="0"/>
                <w:sz w:val="22"/>
                <w:szCs w:val="22"/>
              </w:rPr>
            </w:pPr>
            <w:r w:rsidRPr="00483996">
              <w:rPr>
                <w:color w:val="000000"/>
                <w:kern w:val="0"/>
                <w:sz w:val="22"/>
                <w:szCs w:val="22"/>
              </w:rPr>
              <w:t xml:space="preserve">$1.25 </w:t>
            </w:r>
          </w:p>
        </w:tc>
        <w:tc>
          <w:tcPr>
            <w:tcW w:w="1123" w:type="dxa"/>
            <w:tcBorders>
              <w:top w:val="nil"/>
              <w:left w:val="single" w:sz="8" w:space="0" w:color="auto"/>
              <w:bottom w:val="single" w:sz="4" w:space="0" w:color="auto"/>
              <w:right w:val="single" w:sz="8" w:space="0" w:color="auto"/>
            </w:tcBorders>
            <w:shd w:val="clear" w:color="auto" w:fill="auto"/>
            <w:vAlign w:val="center"/>
            <w:hideMark/>
          </w:tcPr>
          <w:p w14:paraId="40F07C55" w14:textId="77777777" w:rsidR="00483996" w:rsidRPr="00483996" w:rsidRDefault="00483996" w:rsidP="00483996">
            <w:pPr>
              <w:widowControl/>
              <w:overflowPunct/>
              <w:adjustRightInd/>
              <w:jc w:val="center"/>
              <w:rPr>
                <w:color w:val="000000"/>
                <w:kern w:val="0"/>
                <w:sz w:val="22"/>
                <w:szCs w:val="22"/>
              </w:rPr>
            </w:pPr>
            <w:r w:rsidRPr="00483996">
              <w:rPr>
                <w:color w:val="000000"/>
                <w:kern w:val="0"/>
                <w:sz w:val="22"/>
                <w:szCs w:val="22"/>
              </w:rPr>
              <w:t xml:space="preserve">$1.55 </w:t>
            </w:r>
          </w:p>
        </w:tc>
      </w:tr>
      <w:tr w:rsidR="006F5AE1" w:rsidRPr="00483996" w14:paraId="14E2806E" w14:textId="77777777" w:rsidTr="006F5AE1">
        <w:trPr>
          <w:trHeight w:val="600"/>
        </w:trPr>
        <w:tc>
          <w:tcPr>
            <w:tcW w:w="6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9D7C5" w14:textId="77777777" w:rsidR="008D4274" w:rsidRDefault="006F5AE1" w:rsidP="00483996">
            <w:pPr>
              <w:rPr>
                <w:color w:val="000000"/>
                <w:kern w:val="0"/>
                <w:sz w:val="22"/>
                <w:szCs w:val="22"/>
              </w:rPr>
            </w:pPr>
            <w:r w:rsidRPr="00483996">
              <w:rPr>
                <w:color w:val="000000"/>
                <w:kern w:val="0"/>
                <w:sz w:val="22"/>
                <w:szCs w:val="22"/>
              </w:rPr>
              <w:t>(2" meter service multiply by factor of 5.33)</w:t>
            </w:r>
          </w:p>
          <w:p w14:paraId="447D4590" w14:textId="2036D22D" w:rsidR="006F5AE1" w:rsidRPr="00483996" w:rsidRDefault="008D4274" w:rsidP="00483996">
            <w:pPr>
              <w:rPr>
                <w:kern w:val="0"/>
                <w:sz w:val="20"/>
                <w:szCs w:val="20"/>
              </w:rPr>
            </w:pPr>
            <w:bookmarkStart w:id="0" w:name="_GoBack"/>
            <w:bookmarkEnd w:id="0"/>
            <w:r>
              <w:t xml:space="preserve"> </w:t>
            </w:r>
            <w:r w:rsidRPr="008D4274">
              <w:rPr>
                <w:color w:val="000000"/>
                <w:kern w:val="0"/>
                <w:sz w:val="22"/>
                <w:szCs w:val="22"/>
              </w:rPr>
              <w:t>One cubic foot of water = 7.48 gallons</w:t>
            </w:r>
          </w:p>
        </w:tc>
      </w:tr>
      <w:tr w:rsidR="00483996" w:rsidRPr="00483996" w14:paraId="377FE684" w14:textId="77777777" w:rsidTr="006F5AE1">
        <w:trPr>
          <w:trHeight w:val="300"/>
        </w:trPr>
        <w:tc>
          <w:tcPr>
            <w:tcW w:w="3419" w:type="dxa"/>
            <w:tcBorders>
              <w:top w:val="single" w:sz="4" w:space="0" w:color="auto"/>
              <w:left w:val="nil"/>
              <w:bottom w:val="nil"/>
              <w:right w:val="nil"/>
            </w:tcBorders>
            <w:shd w:val="clear" w:color="auto" w:fill="auto"/>
            <w:noWrap/>
            <w:vAlign w:val="bottom"/>
            <w:hideMark/>
          </w:tcPr>
          <w:p w14:paraId="2AB8C185" w14:textId="77777777" w:rsidR="00483996" w:rsidRPr="00483996" w:rsidRDefault="00483996" w:rsidP="00483996">
            <w:pPr>
              <w:widowControl/>
              <w:overflowPunct/>
              <w:adjustRightInd/>
              <w:rPr>
                <w:kern w:val="0"/>
                <w:sz w:val="20"/>
                <w:szCs w:val="20"/>
              </w:rPr>
            </w:pPr>
          </w:p>
        </w:tc>
        <w:tc>
          <w:tcPr>
            <w:tcW w:w="2238" w:type="dxa"/>
            <w:tcBorders>
              <w:top w:val="single" w:sz="4" w:space="0" w:color="auto"/>
              <w:left w:val="nil"/>
              <w:bottom w:val="nil"/>
              <w:right w:val="nil"/>
            </w:tcBorders>
            <w:shd w:val="clear" w:color="auto" w:fill="auto"/>
            <w:noWrap/>
            <w:vAlign w:val="bottom"/>
            <w:hideMark/>
          </w:tcPr>
          <w:p w14:paraId="0CE4E5AF" w14:textId="77777777" w:rsidR="00483996" w:rsidRPr="00483996" w:rsidRDefault="00483996" w:rsidP="00483996">
            <w:pPr>
              <w:widowControl/>
              <w:overflowPunct/>
              <w:adjustRightInd/>
              <w:rPr>
                <w:kern w:val="0"/>
                <w:sz w:val="20"/>
                <w:szCs w:val="20"/>
              </w:rPr>
            </w:pPr>
          </w:p>
        </w:tc>
        <w:tc>
          <w:tcPr>
            <w:tcW w:w="1123" w:type="dxa"/>
            <w:tcBorders>
              <w:top w:val="single" w:sz="4" w:space="0" w:color="auto"/>
              <w:left w:val="nil"/>
              <w:bottom w:val="nil"/>
              <w:right w:val="nil"/>
            </w:tcBorders>
            <w:shd w:val="clear" w:color="auto" w:fill="auto"/>
            <w:noWrap/>
            <w:vAlign w:val="bottom"/>
            <w:hideMark/>
          </w:tcPr>
          <w:p w14:paraId="444C204C" w14:textId="77777777" w:rsidR="00483996" w:rsidRPr="00483996" w:rsidRDefault="00483996" w:rsidP="00483996">
            <w:pPr>
              <w:widowControl/>
              <w:overflowPunct/>
              <w:adjustRightInd/>
              <w:rPr>
                <w:kern w:val="0"/>
                <w:sz w:val="20"/>
                <w:szCs w:val="20"/>
              </w:rPr>
            </w:pPr>
          </w:p>
        </w:tc>
      </w:tr>
    </w:tbl>
    <w:p w14:paraId="43472A25" w14:textId="77777777" w:rsidR="00BC5448" w:rsidRDefault="00BC5448">
      <w:pPr>
        <w:jc w:val="both"/>
        <w:rPr>
          <w:sz w:val="22"/>
          <w:szCs w:val="22"/>
        </w:rPr>
      </w:pPr>
    </w:p>
    <w:p w14:paraId="5F9A9BD5" w14:textId="77777777" w:rsidR="00BC5448" w:rsidRDefault="00BC5448">
      <w:pPr>
        <w:jc w:val="both"/>
        <w:rPr>
          <w:sz w:val="22"/>
          <w:szCs w:val="22"/>
        </w:rPr>
      </w:pPr>
    </w:p>
    <w:p w14:paraId="319AD25D" w14:textId="1C28ADA7" w:rsidR="009E433F" w:rsidRPr="00DA7546" w:rsidRDefault="009E433F">
      <w:pPr>
        <w:jc w:val="both"/>
        <w:rPr>
          <w:sz w:val="22"/>
          <w:szCs w:val="22"/>
        </w:rPr>
      </w:pPr>
      <w:r w:rsidRPr="00DA7546">
        <w:rPr>
          <w:sz w:val="22"/>
          <w:szCs w:val="22"/>
        </w:rPr>
        <w:t xml:space="preserve">If you have any questions about the filing and how it will affect you, please call </w:t>
      </w:r>
      <w:r w:rsidR="00B505CD">
        <w:rPr>
          <w:sz w:val="22"/>
          <w:szCs w:val="22"/>
        </w:rPr>
        <w:t>Colin Jackson @360 339 2600</w:t>
      </w:r>
    </w:p>
    <w:p w14:paraId="1B8508E9" w14:textId="77777777" w:rsidR="009E433F" w:rsidRPr="00DA7546" w:rsidRDefault="009E433F">
      <w:pPr>
        <w:jc w:val="both"/>
        <w:rPr>
          <w:sz w:val="22"/>
          <w:szCs w:val="22"/>
        </w:rPr>
      </w:pPr>
    </w:p>
    <w:p w14:paraId="59B3A54A" w14:textId="77777777" w:rsidR="00913ECF" w:rsidRPr="00DA7546" w:rsidRDefault="00913ECF" w:rsidP="00913ECF">
      <w:pPr>
        <w:rPr>
          <w:sz w:val="22"/>
          <w:szCs w:val="22"/>
        </w:rPr>
      </w:pPr>
      <w:r w:rsidRPr="00DA7546">
        <w:rPr>
          <w:sz w:val="22"/>
          <w:szCs w:val="22"/>
        </w:rPr>
        <w:t>The commission has the authority to set final rates that may be lower or higher than the company’s request, depending on the outcome of its investigation. You can submit comments by going to</w:t>
      </w:r>
      <w:r w:rsidRPr="00DA7546">
        <w:rPr>
          <w:color w:val="1F497D"/>
          <w:sz w:val="22"/>
          <w:szCs w:val="22"/>
        </w:rPr>
        <w:t xml:space="preserve"> </w:t>
      </w:r>
      <w:hyperlink r:id="rId7" w:history="1">
        <w:r w:rsidRPr="00DA7546">
          <w:rPr>
            <w:rStyle w:val="Hyperlink"/>
            <w:sz w:val="22"/>
            <w:szCs w:val="22"/>
          </w:rPr>
          <w:t>utc.wa.gov</w:t>
        </w:r>
      </w:hyperlink>
      <w:r w:rsidRPr="00DA7546">
        <w:rPr>
          <w:color w:val="1F497D"/>
          <w:sz w:val="22"/>
          <w:szCs w:val="22"/>
        </w:rPr>
        <w:t xml:space="preserve"> </w:t>
      </w:r>
      <w:r w:rsidRPr="00DA7546">
        <w:rPr>
          <w:sz w:val="22"/>
          <w:szCs w:val="22"/>
        </w:rPr>
        <w:t>and clicking “Submit a Comment,” or by one of the following options:</w:t>
      </w:r>
    </w:p>
    <w:p w14:paraId="5BD8EF22" w14:textId="77777777" w:rsidR="00913ECF" w:rsidRPr="00DA7546" w:rsidRDefault="00913ECF" w:rsidP="00913ECF">
      <w:pPr>
        <w:rPr>
          <w:color w:val="1F497D"/>
          <w:sz w:val="22"/>
          <w:szCs w:val="22"/>
        </w:rPr>
      </w:pPr>
    </w:p>
    <w:p w14:paraId="2C5AD0BB" w14:textId="77777777" w:rsidR="00913ECF" w:rsidRPr="00DA7546" w:rsidRDefault="00913ECF" w:rsidP="00913ECF">
      <w:pPr>
        <w:ind w:left="720"/>
        <w:rPr>
          <w:sz w:val="22"/>
          <w:szCs w:val="22"/>
        </w:rPr>
      </w:pPr>
      <w:r w:rsidRPr="00DA7546">
        <w:rPr>
          <w:sz w:val="22"/>
          <w:szCs w:val="22"/>
        </w:rPr>
        <w:t>Washington Utilities and Transportation Commission</w:t>
      </w:r>
    </w:p>
    <w:p w14:paraId="3306668F" w14:textId="77777777" w:rsidR="00913ECF" w:rsidRPr="00DA7546" w:rsidRDefault="00913ECF" w:rsidP="00913ECF">
      <w:pPr>
        <w:ind w:left="720"/>
        <w:rPr>
          <w:sz w:val="22"/>
          <w:szCs w:val="22"/>
        </w:rPr>
      </w:pPr>
      <w:r w:rsidRPr="00DA7546">
        <w:rPr>
          <w:sz w:val="22"/>
          <w:szCs w:val="22"/>
        </w:rPr>
        <w:t>1300 S. Evergreen Park Drive SW</w:t>
      </w:r>
    </w:p>
    <w:p w14:paraId="17994083" w14:textId="77777777" w:rsidR="00913ECF" w:rsidRPr="00DA7546" w:rsidRDefault="00913ECF" w:rsidP="00913ECF">
      <w:pPr>
        <w:ind w:left="720"/>
        <w:rPr>
          <w:sz w:val="22"/>
          <w:szCs w:val="22"/>
        </w:rPr>
      </w:pPr>
      <w:r w:rsidRPr="00DA7546">
        <w:rPr>
          <w:sz w:val="22"/>
          <w:szCs w:val="22"/>
        </w:rPr>
        <w:t xml:space="preserve">P.O. Box 47250, Olympia, WA  98504-7250  </w:t>
      </w:r>
    </w:p>
    <w:p w14:paraId="6D4C9CC8" w14:textId="77777777" w:rsidR="00913ECF" w:rsidRPr="00DA7546" w:rsidRDefault="00913ECF" w:rsidP="00913ECF">
      <w:pPr>
        <w:ind w:left="720"/>
        <w:rPr>
          <w:color w:val="0000FF"/>
          <w:sz w:val="22"/>
          <w:szCs w:val="22"/>
          <w:u w:val="single"/>
          <w:lang w:val="it-IT"/>
        </w:rPr>
      </w:pPr>
      <w:r w:rsidRPr="00DA7546">
        <w:rPr>
          <w:sz w:val="22"/>
          <w:szCs w:val="22"/>
          <w:lang w:val="it-IT"/>
        </w:rPr>
        <w:t xml:space="preserve">E-mail:  </w:t>
      </w:r>
      <w:hyperlink r:id="rId8" w:history="1">
        <w:r w:rsidRPr="00DA7546">
          <w:rPr>
            <w:rStyle w:val="Hyperlink"/>
            <w:sz w:val="22"/>
            <w:szCs w:val="22"/>
            <w:lang w:val="it-IT"/>
          </w:rPr>
          <w:t>comments@utc.wa.gov</w:t>
        </w:r>
      </w:hyperlink>
    </w:p>
    <w:p w14:paraId="2F279187" w14:textId="77777777" w:rsidR="00913ECF" w:rsidRPr="00DA7546" w:rsidRDefault="00913ECF" w:rsidP="00913ECF">
      <w:pPr>
        <w:ind w:left="720"/>
        <w:rPr>
          <w:sz w:val="22"/>
          <w:szCs w:val="22"/>
        </w:rPr>
      </w:pPr>
      <w:r w:rsidRPr="00DA7546">
        <w:rPr>
          <w:sz w:val="22"/>
          <w:szCs w:val="22"/>
        </w:rPr>
        <w:t>Telephone:  1-888-333-WUTC (9882)</w:t>
      </w:r>
    </w:p>
    <w:p w14:paraId="1C06BF0A" w14:textId="77777777" w:rsidR="00DA7546" w:rsidRPr="00DA7546" w:rsidRDefault="00DA7546" w:rsidP="00913ECF">
      <w:pPr>
        <w:ind w:left="720"/>
        <w:rPr>
          <w:sz w:val="22"/>
          <w:szCs w:val="22"/>
        </w:rPr>
      </w:pPr>
    </w:p>
    <w:p w14:paraId="49DB91B0" w14:textId="77777777" w:rsidR="00DA7546" w:rsidRPr="00DA7546" w:rsidRDefault="00DA7546" w:rsidP="00DA7546">
      <w:pPr>
        <w:rPr>
          <w:sz w:val="22"/>
          <w:szCs w:val="22"/>
        </w:rPr>
      </w:pPr>
      <w:r w:rsidRPr="00DA7546">
        <w:rPr>
          <w:sz w:val="22"/>
          <w:szCs w:val="22"/>
        </w:rPr>
        <w:t>If you know the name of the water system you are on, please include it with your comments.</w:t>
      </w:r>
    </w:p>
    <w:p w14:paraId="0770E97A" w14:textId="77777777" w:rsidR="00913ECF" w:rsidRPr="00DA7546" w:rsidRDefault="00913ECF" w:rsidP="00913ECF">
      <w:pPr>
        <w:ind w:left="720"/>
        <w:rPr>
          <w:color w:val="1F497D"/>
          <w:sz w:val="22"/>
          <w:szCs w:val="22"/>
        </w:rPr>
      </w:pPr>
    </w:p>
    <w:p w14:paraId="11B9AD50" w14:textId="6F62FCC9" w:rsidR="00913ECF" w:rsidRPr="00DA7546" w:rsidRDefault="00913ECF" w:rsidP="00913ECF">
      <w:pPr>
        <w:rPr>
          <w:sz w:val="22"/>
          <w:szCs w:val="22"/>
        </w:rPr>
      </w:pPr>
      <w:r w:rsidRPr="00DA7546">
        <w:rPr>
          <w:sz w:val="22"/>
          <w:szCs w:val="22"/>
        </w:rPr>
        <w:t xml:space="preserve">Commission staff will make a recommendation to the commissioners at an open meeting in Olympia, which is scheduled for 9:30 a.m. on </w:t>
      </w:r>
      <w:r w:rsidR="00DB0176">
        <w:rPr>
          <w:sz w:val="22"/>
          <w:szCs w:val="22"/>
        </w:rPr>
        <w:t xml:space="preserve">March 28, </w:t>
      </w:r>
      <w:r w:rsidR="00E10E8B">
        <w:rPr>
          <w:sz w:val="22"/>
          <w:szCs w:val="22"/>
        </w:rPr>
        <w:t>2019</w:t>
      </w:r>
      <w:r w:rsidR="00E10E8B" w:rsidRPr="00DA7546">
        <w:rPr>
          <w:sz w:val="22"/>
          <w:szCs w:val="22"/>
        </w:rPr>
        <w:t>.</w:t>
      </w:r>
      <w:r w:rsidR="00E10E8B">
        <w:rPr>
          <w:sz w:val="22"/>
          <w:szCs w:val="22"/>
        </w:rPr>
        <w:t xml:space="preserve"> </w:t>
      </w:r>
      <w:r w:rsidRPr="00DA7546">
        <w:rPr>
          <w:sz w:val="22"/>
          <w:szCs w:val="22"/>
        </w:rPr>
        <w:t>You will have an opportunity to comment in person at this meeting. If you are unable to attend the open meeting, you can participate by telephone by calling 360-664-1234 the day before the open meeting f</w:t>
      </w:r>
      <w:r w:rsidR="00DA7546" w:rsidRPr="00DA7546">
        <w:rPr>
          <w:sz w:val="22"/>
          <w:szCs w:val="22"/>
        </w:rPr>
        <w:t>or instructions and to sign in. You should also call this number the day before the open meeting to make sure the item is still on the agenda for this open meeting.</w:t>
      </w:r>
    </w:p>
    <w:p w14:paraId="52B158DE" w14:textId="77777777" w:rsidR="000B1E9B" w:rsidRDefault="000B1E9B" w:rsidP="00913ECF">
      <w:pPr>
        <w:rPr>
          <w:sz w:val="22"/>
          <w:szCs w:val="22"/>
        </w:rPr>
      </w:pPr>
    </w:p>
    <w:p w14:paraId="78AB2459" w14:textId="77777777" w:rsidR="000B1E9B" w:rsidRDefault="000B1E9B" w:rsidP="00913ECF">
      <w:pPr>
        <w:rPr>
          <w:sz w:val="22"/>
          <w:szCs w:val="22"/>
        </w:rPr>
      </w:pPr>
    </w:p>
    <w:p w14:paraId="306D7CCA" w14:textId="77777777" w:rsidR="00913ECF" w:rsidRPr="00DA7546" w:rsidRDefault="00913ECF" w:rsidP="00913ECF">
      <w:pPr>
        <w:rPr>
          <w:sz w:val="22"/>
          <w:szCs w:val="22"/>
        </w:rPr>
      </w:pPr>
      <w:r w:rsidRPr="00DA7546">
        <w:rPr>
          <w:sz w:val="22"/>
          <w:szCs w:val="22"/>
        </w:rPr>
        <w:t xml:space="preserve">The commission is committed to providing reasonable accommodation to participants with disabilities. If you need reasonable accommodation, please contact the commission at (360) 664-1132 or </w:t>
      </w:r>
      <w:hyperlink r:id="rId9" w:history="1">
        <w:r w:rsidRPr="00DA7546">
          <w:rPr>
            <w:rStyle w:val="Hyperlink"/>
            <w:sz w:val="22"/>
            <w:szCs w:val="22"/>
          </w:rPr>
          <w:t>human_resources@utc.wa.gov</w:t>
        </w:r>
      </w:hyperlink>
      <w:r w:rsidRPr="00DA7546">
        <w:rPr>
          <w:sz w:val="22"/>
          <w:szCs w:val="22"/>
        </w:rPr>
        <w:t xml:space="preserve">. </w:t>
      </w:r>
    </w:p>
    <w:p w14:paraId="73591172" w14:textId="77777777" w:rsidR="00913ECF" w:rsidRPr="00DA7546" w:rsidRDefault="00913ECF" w:rsidP="00913ECF">
      <w:pPr>
        <w:rPr>
          <w:sz w:val="22"/>
          <w:szCs w:val="22"/>
        </w:rPr>
      </w:pPr>
    </w:p>
    <w:p w14:paraId="3AFF27DE" w14:textId="77777777" w:rsidR="00913ECF" w:rsidRPr="00DA7546" w:rsidRDefault="00913ECF" w:rsidP="00913ECF">
      <w:pPr>
        <w:rPr>
          <w:sz w:val="22"/>
          <w:szCs w:val="22"/>
        </w:rPr>
      </w:pPr>
      <w:r w:rsidRPr="00DA7546">
        <w:rPr>
          <w:sz w:val="22"/>
          <w:szCs w:val="22"/>
        </w:rPr>
        <w:t>Sincerely,</w:t>
      </w:r>
    </w:p>
    <w:p w14:paraId="6008C0B3" w14:textId="77777777" w:rsidR="00B505CD" w:rsidRDefault="00B505CD" w:rsidP="00B505CD"/>
    <w:p w14:paraId="4F08FBA8" w14:textId="77777777" w:rsidR="001E4662" w:rsidRDefault="00B505CD" w:rsidP="00B505CD">
      <w:pPr>
        <w:rPr>
          <w:noProof/>
          <w:sz w:val="22"/>
          <w:szCs w:val="22"/>
        </w:rPr>
      </w:pPr>
      <w:bookmarkStart w:id="1" w:name="_MailAutoSig"/>
      <w:r w:rsidRPr="000B1E9B">
        <w:rPr>
          <w:noProof/>
          <w:sz w:val="22"/>
          <w:szCs w:val="22"/>
        </w:rPr>
        <w:t>Colin Jackson</w:t>
      </w:r>
      <w:r w:rsidR="00337727">
        <w:rPr>
          <w:noProof/>
          <w:sz w:val="22"/>
          <w:szCs w:val="22"/>
        </w:rPr>
        <w:t xml:space="preserve"> </w:t>
      </w:r>
    </w:p>
    <w:p w14:paraId="4AD56CCB" w14:textId="67FC2449" w:rsidR="00B505CD" w:rsidRPr="000B1E9B" w:rsidRDefault="00337727" w:rsidP="00B505CD">
      <w:pPr>
        <w:rPr>
          <w:noProof/>
          <w:sz w:val="22"/>
          <w:szCs w:val="22"/>
        </w:rPr>
      </w:pPr>
      <w:r>
        <w:rPr>
          <w:noProof/>
          <w:sz w:val="22"/>
          <w:szCs w:val="22"/>
        </w:rPr>
        <w:t>CWSDH</w:t>
      </w:r>
    </w:p>
    <w:bookmarkEnd w:id="1"/>
    <w:p w14:paraId="3B2C1F7A" w14:textId="77777777" w:rsidR="00626351" w:rsidRPr="00626351" w:rsidRDefault="00626351" w:rsidP="00626351">
      <w:pPr>
        <w:widowControl/>
        <w:overflowPunct/>
        <w:autoSpaceDE w:val="0"/>
        <w:autoSpaceDN w:val="0"/>
        <w:spacing w:line="276" w:lineRule="auto"/>
        <w:rPr>
          <w:rFonts w:asciiTheme="minorHAnsi" w:eastAsiaTheme="minorHAnsi" w:hAnsiTheme="minorHAnsi" w:cstheme="minorBidi"/>
          <w:kern w:val="0"/>
          <w:lang w:val="en"/>
        </w:rPr>
      </w:pPr>
      <w:r w:rsidRPr="00626351">
        <w:rPr>
          <w:rFonts w:asciiTheme="minorHAnsi" w:eastAsiaTheme="minorHAnsi" w:hAnsiTheme="minorHAnsi" w:cstheme="minorBidi"/>
          <w:kern w:val="0"/>
          <w:lang w:val="en"/>
        </w:rPr>
        <w:t>Phone: (360) 339-2600</w:t>
      </w:r>
    </w:p>
    <w:p w14:paraId="26C06217" w14:textId="77777777" w:rsidR="00626351" w:rsidRPr="00626351" w:rsidRDefault="00626351" w:rsidP="00626351">
      <w:pPr>
        <w:widowControl/>
        <w:overflowPunct/>
        <w:autoSpaceDE w:val="0"/>
        <w:autoSpaceDN w:val="0"/>
        <w:spacing w:line="276" w:lineRule="auto"/>
        <w:rPr>
          <w:rFonts w:asciiTheme="minorHAnsi" w:eastAsiaTheme="minorHAnsi" w:hAnsiTheme="minorHAnsi" w:cstheme="minorBidi"/>
          <w:kern w:val="0"/>
          <w:lang w:val="en"/>
        </w:rPr>
      </w:pPr>
      <w:r w:rsidRPr="00626351">
        <w:rPr>
          <w:rFonts w:asciiTheme="minorHAnsi" w:eastAsiaTheme="minorHAnsi" w:hAnsiTheme="minorHAnsi" w:cstheme="minorBidi"/>
          <w:kern w:val="0"/>
          <w:lang w:val="en"/>
        </w:rPr>
        <w:t>cwsdh.co@gmail.com</w:t>
      </w:r>
    </w:p>
    <w:p w14:paraId="5F6049D8" w14:textId="77777777" w:rsidR="00B505CD" w:rsidRDefault="00B505CD" w:rsidP="00B505CD">
      <w:pPr>
        <w:rPr>
          <w:rFonts w:asciiTheme="minorHAnsi" w:eastAsiaTheme="minorHAnsi" w:hAnsiTheme="minorHAnsi" w:cstheme="minorBidi"/>
        </w:rPr>
      </w:pPr>
    </w:p>
    <w:p w14:paraId="0BFDD0A5" w14:textId="77777777" w:rsidR="00B505CD" w:rsidRDefault="00B505CD" w:rsidP="00B505CD"/>
    <w:p w14:paraId="69A94763" w14:textId="0C6D815F" w:rsidR="00913ECF" w:rsidRPr="00DA7546" w:rsidRDefault="00913ECF" w:rsidP="00B505CD">
      <w:pPr>
        <w:rPr>
          <w:sz w:val="22"/>
          <w:szCs w:val="22"/>
        </w:rPr>
      </w:pPr>
    </w:p>
    <w:sectPr w:rsidR="00913ECF" w:rsidRPr="00DA7546" w:rsidSect="009E433F">
      <w:headerReference w:type="default" r:id="rId10"/>
      <w:footerReference w:type="default" r:id="rId11"/>
      <w:pgSz w:w="12240" w:h="15840"/>
      <w:pgMar w:top="720" w:right="1440" w:bottom="720" w:left="1440" w:header="128" w:footer="12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A4CF" w14:textId="77777777" w:rsidR="00A24EFD" w:rsidRDefault="00A24EFD" w:rsidP="009E433F">
      <w:r>
        <w:separator/>
      </w:r>
    </w:p>
  </w:endnote>
  <w:endnote w:type="continuationSeparator" w:id="0">
    <w:p w14:paraId="5B27A356" w14:textId="77777777" w:rsidR="00A24EFD" w:rsidRDefault="00A24EFD" w:rsidP="009E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2633" w14:textId="77777777" w:rsidR="009E433F" w:rsidRDefault="009E433F">
    <w:pPr>
      <w:tabs>
        <w:tab w:val="center" w:pos="4680"/>
        <w:tab w:val="right" w:pos="9360"/>
      </w:tabs>
      <w:rPr>
        <w:rFonts w:eastAsiaTheme="minorEastAsia"/>
        <w:kern w:val="0"/>
      </w:rPr>
    </w:pPr>
  </w:p>
  <w:p w14:paraId="4DD671FB" w14:textId="77777777" w:rsidR="009E433F" w:rsidRDefault="009E433F">
    <w:pPr>
      <w:tabs>
        <w:tab w:val="center" w:pos="4680"/>
        <w:tab w:val="right" w:pos="936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EA03" w14:textId="77777777" w:rsidR="00A24EFD" w:rsidRDefault="00A24EFD" w:rsidP="009E433F">
      <w:r>
        <w:separator/>
      </w:r>
    </w:p>
  </w:footnote>
  <w:footnote w:type="continuationSeparator" w:id="0">
    <w:p w14:paraId="17EC56FF" w14:textId="77777777" w:rsidR="00A24EFD" w:rsidRDefault="00A24EFD" w:rsidP="009E4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B1CD" w14:textId="77777777" w:rsidR="009E433F" w:rsidRDefault="009E433F">
    <w:pPr>
      <w:tabs>
        <w:tab w:val="center" w:pos="4680"/>
        <w:tab w:val="right" w:pos="9360"/>
      </w:tabs>
      <w:rPr>
        <w:rFonts w:eastAsiaTheme="minorEastAsia"/>
        <w:kern w:val="0"/>
      </w:rPr>
    </w:pPr>
  </w:p>
  <w:p w14:paraId="24B008AD" w14:textId="77777777" w:rsidR="009E433F" w:rsidRDefault="009E433F">
    <w:pPr>
      <w:tabs>
        <w:tab w:val="center" w:pos="4680"/>
        <w:tab w:val="right" w:pos="936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E433F"/>
    <w:rsid w:val="0003210F"/>
    <w:rsid w:val="00041A3A"/>
    <w:rsid w:val="00043DB9"/>
    <w:rsid w:val="000A7D82"/>
    <w:rsid w:val="000B1E9B"/>
    <w:rsid w:val="00104687"/>
    <w:rsid w:val="00110CA7"/>
    <w:rsid w:val="001440C0"/>
    <w:rsid w:val="001C27A4"/>
    <w:rsid w:val="001D0588"/>
    <w:rsid w:val="001E4662"/>
    <w:rsid w:val="00212F14"/>
    <w:rsid w:val="002446ED"/>
    <w:rsid w:val="0024669B"/>
    <w:rsid w:val="00337727"/>
    <w:rsid w:val="00345DA8"/>
    <w:rsid w:val="003846BF"/>
    <w:rsid w:val="00396067"/>
    <w:rsid w:val="00396465"/>
    <w:rsid w:val="00483996"/>
    <w:rsid w:val="00504C70"/>
    <w:rsid w:val="00513446"/>
    <w:rsid w:val="00591E8A"/>
    <w:rsid w:val="0062428B"/>
    <w:rsid w:val="00626351"/>
    <w:rsid w:val="006567BB"/>
    <w:rsid w:val="006B288F"/>
    <w:rsid w:val="006D60BC"/>
    <w:rsid w:val="006F5AE1"/>
    <w:rsid w:val="0070491D"/>
    <w:rsid w:val="00720E32"/>
    <w:rsid w:val="007F7688"/>
    <w:rsid w:val="00854C74"/>
    <w:rsid w:val="00855827"/>
    <w:rsid w:val="00882C91"/>
    <w:rsid w:val="008D4274"/>
    <w:rsid w:val="008F047F"/>
    <w:rsid w:val="008F36AF"/>
    <w:rsid w:val="00911C13"/>
    <w:rsid w:val="00913ECF"/>
    <w:rsid w:val="00961F40"/>
    <w:rsid w:val="009947CC"/>
    <w:rsid w:val="009D7C08"/>
    <w:rsid w:val="009E433F"/>
    <w:rsid w:val="00A105FB"/>
    <w:rsid w:val="00A11D58"/>
    <w:rsid w:val="00A224E6"/>
    <w:rsid w:val="00A24EFD"/>
    <w:rsid w:val="00A53AC1"/>
    <w:rsid w:val="00A76339"/>
    <w:rsid w:val="00A97D2A"/>
    <w:rsid w:val="00AA1418"/>
    <w:rsid w:val="00AA44CE"/>
    <w:rsid w:val="00B152FB"/>
    <w:rsid w:val="00B505CD"/>
    <w:rsid w:val="00BC1739"/>
    <w:rsid w:val="00BC5448"/>
    <w:rsid w:val="00BD1B4B"/>
    <w:rsid w:val="00BF7E95"/>
    <w:rsid w:val="00CB1307"/>
    <w:rsid w:val="00CB5548"/>
    <w:rsid w:val="00CB6B3B"/>
    <w:rsid w:val="00D136FF"/>
    <w:rsid w:val="00D14610"/>
    <w:rsid w:val="00D9038A"/>
    <w:rsid w:val="00DA7546"/>
    <w:rsid w:val="00DB0176"/>
    <w:rsid w:val="00DD74B0"/>
    <w:rsid w:val="00E10E8B"/>
    <w:rsid w:val="00E46A9A"/>
    <w:rsid w:val="00E62E9F"/>
    <w:rsid w:val="00E82E3C"/>
    <w:rsid w:val="00E9206E"/>
    <w:rsid w:val="00E93DAE"/>
    <w:rsid w:val="00EA2336"/>
    <w:rsid w:val="00EA2875"/>
    <w:rsid w:val="00F052E1"/>
    <w:rsid w:val="00F13426"/>
    <w:rsid w:val="00F70EC8"/>
    <w:rsid w:val="00FA3F99"/>
    <w:rsid w:val="00FD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51CE0"/>
  <w14:defaultImageDpi w14:val="0"/>
  <w15:docId w15:val="{EF81620F-02D7-4D69-B434-17D4C4C4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ECF"/>
    <w:rPr>
      <w:color w:val="0000FF"/>
      <w:u w:val="single"/>
    </w:rPr>
  </w:style>
  <w:style w:type="character" w:styleId="UnresolvedMention">
    <w:name w:val="Unresolved Mention"/>
    <w:basedOn w:val="DefaultParagraphFont"/>
    <w:uiPriority w:val="99"/>
    <w:semiHidden/>
    <w:unhideWhenUsed/>
    <w:rsid w:val="00144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302">
      <w:bodyDiv w:val="1"/>
      <w:marLeft w:val="0"/>
      <w:marRight w:val="0"/>
      <w:marTop w:val="0"/>
      <w:marBottom w:val="0"/>
      <w:divBdr>
        <w:top w:val="none" w:sz="0" w:space="0" w:color="auto"/>
        <w:left w:val="none" w:sz="0" w:space="0" w:color="auto"/>
        <w:bottom w:val="none" w:sz="0" w:space="0" w:color="auto"/>
        <w:right w:val="none" w:sz="0" w:space="0" w:color="auto"/>
      </w:divBdr>
    </w:div>
    <w:div w:id="86510785">
      <w:bodyDiv w:val="1"/>
      <w:marLeft w:val="0"/>
      <w:marRight w:val="0"/>
      <w:marTop w:val="0"/>
      <w:marBottom w:val="0"/>
      <w:divBdr>
        <w:top w:val="none" w:sz="0" w:space="0" w:color="auto"/>
        <w:left w:val="none" w:sz="0" w:space="0" w:color="auto"/>
        <w:bottom w:val="none" w:sz="0" w:space="0" w:color="auto"/>
        <w:right w:val="none" w:sz="0" w:space="0" w:color="auto"/>
      </w:divBdr>
    </w:div>
    <w:div w:id="1560097315">
      <w:bodyDiv w:val="1"/>
      <w:marLeft w:val="0"/>
      <w:marRight w:val="0"/>
      <w:marTop w:val="0"/>
      <w:marBottom w:val="0"/>
      <w:divBdr>
        <w:top w:val="none" w:sz="0" w:space="0" w:color="auto"/>
        <w:left w:val="none" w:sz="0" w:space="0" w:color="auto"/>
        <w:bottom w:val="none" w:sz="0" w:space="0" w:color="auto"/>
        <w:right w:val="none" w:sz="0" w:space="0" w:color="auto"/>
      </w:divBdr>
    </w:div>
    <w:div w:id="1853061157">
      <w:bodyDiv w:val="1"/>
      <w:marLeft w:val="0"/>
      <w:marRight w:val="0"/>
      <w:marTop w:val="0"/>
      <w:marBottom w:val="0"/>
      <w:divBdr>
        <w:top w:val="none" w:sz="0" w:space="0" w:color="auto"/>
        <w:left w:val="none" w:sz="0" w:space="0" w:color="auto"/>
        <w:bottom w:val="none" w:sz="0" w:space="0" w:color="auto"/>
        <w:right w:val="none" w:sz="0" w:space="0" w:color="auto"/>
      </w:divBdr>
    </w:div>
    <w:div w:id="20733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s@utc.w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tc.wa.gov"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cwsdh.co@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uman_resources@utc.wa.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2019-02-01T08:00:00+00:00</OpenedDate>
    <SignificantOrder xmlns="dc463f71-b30c-4ab2-9473-d307f9d35888">false</SignificantOrder>
    <Date1 xmlns="dc463f71-b30c-4ab2-9473-d307f9d35888">2019-02-01T08:00:00+00:00</Date1>
    <IsDocumentOrder xmlns="dc463f71-b30c-4ab2-9473-d307f9d35888">false</IsDocumentOrder>
    <IsHighlyConfidential xmlns="dc463f71-b30c-4ab2-9473-d307f9d35888">false</IsHighlyConfidential>
    <CaseCompanyNames xmlns="dc463f71-b30c-4ab2-9473-d307f9d35888">Community Water Service of Dungeness Heights, LLC</CaseCompanyNames>
    <Nickname xmlns="http://schemas.microsoft.com/sharepoint/v3" xsi:nil="true"/>
    <DocketNumber xmlns="dc463f71-b30c-4ab2-9473-d307f9d35888">190080</DocketNumb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C7CB8769117541A9D25DF5BFBAB175" ma:contentTypeVersion="48" ma:contentTypeDescription="" ma:contentTypeScope="" ma:versionID="f7400d1b3e18065fa03a1846fe6971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EDF0E-87E1-40B6-B8FF-33D64FBCB123}"/>
</file>

<file path=customXml/itemProps2.xml><?xml version="1.0" encoding="utf-8"?>
<ds:datastoreItem xmlns:ds="http://schemas.openxmlformats.org/officeDocument/2006/customXml" ds:itemID="{858DEE17-E67B-44E0-B385-7199282BC6BB}"/>
</file>

<file path=customXml/itemProps3.xml><?xml version="1.0" encoding="utf-8"?>
<ds:datastoreItem xmlns:ds="http://schemas.openxmlformats.org/officeDocument/2006/customXml" ds:itemID="{C66FD7E6-94EA-4EF5-BB1D-1D1684B9656F}"/>
</file>

<file path=customXml/itemProps4.xml><?xml version="1.0" encoding="utf-8"?>
<ds:datastoreItem xmlns:ds="http://schemas.openxmlformats.org/officeDocument/2006/customXml" ds:itemID="{27AB0B9C-549E-4224-9699-49E421978BCA}"/>
</file>

<file path=docProps/app.xml><?xml version="1.0" encoding="utf-8"?>
<Properties xmlns="http://schemas.openxmlformats.org/officeDocument/2006/extended-properties" xmlns:vt="http://schemas.openxmlformats.org/officeDocument/2006/docPropsVTypes">
  <Template>Normal.dotm</Template>
  <TotalTime>94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Cupp, John (UTC)</dc:creator>
  <cp:lastModifiedBy>Colin Jackson</cp:lastModifiedBy>
  <cp:revision>63</cp:revision>
  <dcterms:created xsi:type="dcterms:W3CDTF">2019-01-28T01:41:00Z</dcterms:created>
  <dcterms:modified xsi:type="dcterms:W3CDTF">2019-01-31T01:16:00Z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0x0101006E56B4D1795A2E4DB2F0B01679ED314A00AEC7CB8769117541A9D25DF5BFBAB175</vt:lpwstr>
  </property>
  <property fmtid="{D5CDD505-2E9C-101B-9397-08002B2CF9AE}" pid="3" name="_docset_NoMedatataSyncRequired">
    <vt:lpwstr>False</vt:lpwstr>
  </property>
  <property fmtid="{D5CDD505-2E9C-101B-9397-08002B2CF9AE}" pid="4" name="IsEFSEC">
    <vt:bool>false</vt:bool>
  </property>
</Properties>
</file>