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8B423" w14:textId="77777777" w:rsidR="001D4C96" w:rsidRDefault="00332969">
      <w:pPr>
        <w:rPr>
          <w:sz w:val="24"/>
        </w:rPr>
      </w:pPr>
      <w:bookmarkStart w:id="0" w:name="_GoBack"/>
      <w:bookmarkEnd w:id="0"/>
      <w:r>
        <w:rPr>
          <w:sz w:val="24"/>
        </w:rPr>
        <w:t>June 29, 2017</w:t>
      </w:r>
    </w:p>
    <w:p w14:paraId="5CB8B424" w14:textId="77777777" w:rsidR="001D4C96" w:rsidRDefault="001D4C96">
      <w:pPr>
        <w:rPr>
          <w:sz w:val="24"/>
        </w:rPr>
      </w:pPr>
    </w:p>
    <w:p w14:paraId="5CB8B425" w14:textId="77777777" w:rsidR="001D4C96" w:rsidRDefault="00332969">
      <w:pPr>
        <w:autoSpaceDE w:val="0"/>
        <w:autoSpaceDN w:val="0"/>
        <w:adjustRightInd w:val="0"/>
        <w:spacing w:after="240"/>
        <w:rPr>
          <w:b/>
          <w:bCs/>
          <w:i/>
          <w:iCs/>
          <w:sz w:val="24"/>
        </w:rPr>
      </w:pPr>
      <w:r>
        <w:rPr>
          <w:b/>
          <w:bCs/>
          <w:i/>
          <w:iCs/>
          <w:sz w:val="24"/>
        </w:rPr>
        <w:t>VIA ELECTRONIC FILING</w:t>
      </w:r>
    </w:p>
    <w:p w14:paraId="5CB8B426" w14:textId="77777777" w:rsidR="001D4C96" w:rsidRDefault="00332969">
      <w:pPr>
        <w:ind w:left="720" w:hanging="720"/>
        <w:rPr>
          <w:sz w:val="24"/>
        </w:rPr>
      </w:pPr>
      <w:r>
        <w:rPr>
          <w:sz w:val="24"/>
        </w:rPr>
        <w:t>Steven V. King, Executive Secretary</w:t>
      </w:r>
    </w:p>
    <w:p w14:paraId="5CB8B427" w14:textId="77777777" w:rsidR="001D4C96" w:rsidRDefault="00332969">
      <w:pPr>
        <w:ind w:left="720" w:hanging="720"/>
        <w:rPr>
          <w:sz w:val="24"/>
        </w:rPr>
      </w:pPr>
      <w:r>
        <w:rPr>
          <w:sz w:val="24"/>
        </w:rPr>
        <w:t>Washington Utilities and Transportation Commission</w:t>
      </w:r>
    </w:p>
    <w:p w14:paraId="5CB8B428" w14:textId="77777777" w:rsidR="001D4C96" w:rsidRDefault="00332969">
      <w:pPr>
        <w:ind w:left="720" w:hanging="720"/>
        <w:rPr>
          <w:sz w:val="24"/>
        </w:rPr>
      </w:pPr>
      <w:r>
        <w:rPr>
          <w:sz w:val="24"/>
        </w:rPr>
        <w:t>1300 S. Evergreen Park Drive</w:t>
      </w:r>
    </w:p>
    <w:p w14:paraId="5CB8B429" w14:textId="77777777" w:rsidR="001D4C96" w:rsidRDefault="00332969">
      <w:pPr>
        <w:spacing w:after="240"/>
        <w:ind w:left="720" w:hanging="720"/>
        <w:rPr>
          <w:sz w:val="24"/>
        </w:rPr>
      </w:pPr>
      <w:r>
        <w:rPr>
          <w:sz w:val="24"/>
        </w:rPr>
        <w:t>Olympia, WA 98504-7250</w:t>
      </w:r>
    </w:p>
    <w:p w14:paraId="5CB8B42A" w14:textId="77777777" w:rsidR="001D4C96" w:rsidRDefault="00332969">
      <w:pPr>
        <w:spacing w:after="240"/>
        <w:ind w:left="720" w:hanging="720"/>
        <w:rPr>
          <w:b/>
          <w:sz w:val="24"/>
        </w:rPr>
      </w:pPr>
      <w:r>
        <w:rPr>
          <w:b/>
          <w:sz w:val="24"/>
        </w:rPr>
        <w:t>Re:</w:t>
      </w:r>
      <w:r>
        <w:rPr>
          <w:b/>
          <w:sz w:val="24"/>
        </w:rPr>
        <w:tab/>
        <w:t>Notification Regarding the Planned Transfer of Indirect Control of Securus Technologies, Inc. to SCRS Acquisition Corporation</w:t>
      </w:r>
    </w:p>
    <w:p w14:paraId="5CB8B42B" w14:textId="77777777" w:rsidR="001D4C96" w:rsidRDefault="00332969">
      <w:pPr>
        <w:spacing w:after="240"/>
        <w:rPr>
          <w:sz w:val="24"/>
        </w:rPr>
      </w:pPr>
      <w:r>
        <w:rPr>
          <w:sz w:val="24"/>
        </w:rPr>
        <w:t>Dear Mr. King:</w:t>
      </w:r>
    </w:p>
    <w:p w14:paraId="5CB8B42C" w14:textId="77777777" w:rsidR="001D4C96" w:rsidRDefault="00332969">
      <w:pPr>
        <w:spacing w:after="240"/>
        <w:ind w:firstLine="720"/>
        <w:jc w:val="both"/>
        <w:rPr>
          <w:sz w:val="24"/>
        </w:rPr>
      </w:pPr>
      <w:r>
        <w:rPr>
          <w:sz w:val="24"/>
        </w:rPr>
        <w:t xml:space="preserve">By this letter, Securus Investment Holdings, LLC (“Transferor” or “SIH”), Securus Technologies, Inc. (“STI”) and SCRS Acquisition Corporation (“Transferee” or “SCRS”) (collectively, the “Parties”) notify the Commission of the planned transfer of indirect control of STI to SCRS. </w:t>
      </w:r>
      <w:r w:rsidRPr="00332969">
        <w:rPr>
          <w:sz w:val="24"/>
        </w:rPr>
        <w:t xml:space="preserve">Currently, the Parties expect that the </w:t>
      </w:r>
      <w:r>
        <w:rPr>
          <w:sz w:val="24"/>
        </w:rPr>
        <w:t>t</w:t>
      </w:r>
      <w:r w:rsidRPr="00332969">
        <w:rPr>
          <w:sz w:val="24"/>
        </w:rPr>
        <w:t xml:space="preserve">ransaction will close on or about August 1, 2017.  </w:t>
      </w:r>
      <w:r>
        <w:rPr>
          <w:sz w:val="24"/>
        </w:rPr>
        <w:t>Since Commission action is not required for the transaction described herein, the Parties submit this letter for informational purposes.</w:t>
      </w:r>
    </w:p>
    <w:p w14:paraId="5CB8B42D" w14:textId="77777777" w:rsidR="001D4C96" w:rsidRDefault="00332969">
      <w:pPr>
        <w:spacing w:line="480" w:lineRule="auto"/>
        <w:ind w:firstLine="720"/>
        <w:rPr>
          <w:sz w:val="24"/>
        </w:rPr>
      </w:pPr>
      <w:r>
        <w:rPr>
          <w:sz w:val="24"/>
        </w:rPr>
        <w:t>In support of this informational filing, Parties provide the following:</w:t>
      </w:r>
    </w:p>
    <w:p w14:paraId="5CB8B42E" w14:textId="77777777" w:rsidR="001D4C96" w:rsidRDefault="00332969">
      <w:pPr>
        <w:pStyle w:val="BodyTextIndent"/>
        <w:keepNext/>
        <w:spacing w:after="240" w:line="240" w:lineRule="auto"/>
        <w:ind w:left="0"/>
        <w:jc w:val="center"/>
        <w:outlineLvl w:val="0"/>
        <w:rPr>
          <w:rFonts w:ascii="Times New Roman" w:hAnsi="Times New Roman"/>
          <w:b/>
          <w:sz w:val="24"/>
          <w:szCs w:val="24"/>
          <w:u w:val="single"/>
        </w:rPr>
      </w:pPr>
      <w:r>
        <w:rPr>
          <w:rFonts w:ascii="Times New Roman" w:hAnsi="Times New Roman"/>
          <w:b/>
          <w:sz w:val="24"/>
          <w:szCs w:val="24"/>
          <w:u w:val="single"/>
        </w:rPr>
        <w:t>Description of the Parties</w:t>
      </w:r>
    </w:p>
    <w:p w14:paraId="5CB8B42F" w14:textId="77777777" w:rsidR="001D4C96" w:rsidRDefault="00332969">
      <w:pPr>
        <w:pStyle w:val="BodyTextIndent"/>
        <w:keepNext/>
        <w:numPr>
          <w:ilvl w:val="0"/>
          <w:numId w:val="1"/>
        </w:numPr>
        <w:spacing w:after="240" w:line="240" w:lineRule="auto"/>
        <w:ind w:left="720"/>
        <w:outlineLvl w:val="0"/>
        <w:rPr>
          <w:rFonts w:ascii="Times New Roman" w:hAnsi="Times New Roman"/>
          <w:b/>
          <w:snapToGrid w:val="0"/>
          <w:sz w:val="24"/>
          <w:szCs w:val="24"/>
          <w:u w:val="single"/>
        </w:rPr>
      </w:pPr>
      <w:r>
        <w:rPr>
          <w:rFonts w:ascii="Times New Roman" w:hAnsi="Times New Roman"/>
          <w:b/>
          <w:snapToGrid w:val="0"/>
          <w:sz w:val="24"/>
          <w:szCs w:val="24"/>
          <w:u w:val="single"/>
        </w:rPr>
        <w:t>Securus Technologies, Inc. and Securus Investment Holdings, LLC</w:t>
      </w:r>
    </w:p>
    <w:p w14:paraId="5CB8B430" w14:textId="77777777" w:rsidR="001D4C96" w:rsidRDefault="00332969">
      <w:pPr>
        <w:spacing w:after="240"/>
        <w:ind w:firstLine="720"/>
        <w:jc w:val="both"/>
        <w:rPr>
          <w:sz w:val="24"/>
        </w:rPr>
      </w:pPr>
      <w:r>
        <w:rPr>
          <w:sz w:val="24"/>
        </w:rPr>
        <w:t>STI is a Delaware corporation with its principal place of business at 4000 International Parkway, Carrollton, Texas 75007. STI is a wholly owned, indirect subsidiary of Connect Acquisition Corp. (“Connect”), a Delaware corporation and a wholly owned, direct subsidiary of Transferor. STI provides telecommunications services to a number of confinement and correctional facilities in the District of Columbia and approximately 46 states, including in the State of Washington.</w:t>
      </w:r>
      <w:r>
        <w:rPr>
          <w:rStyle w:val="FootnoteReference"/>
          <w:sz w:val="24"/>
        </w:rPr>
        <w:footnoteReference w:id="1"/>
      </w:r>
      <w:r>
        <w:rPr>
          <w:sz w:val="24"/>
        </w:rPr>
        <w:t xml:space="preserve"> In Washington, STI is authorized to provide telecommunications services as a competitive telecommunications company pursuant to a Certificate of Registration granted in Docket UT-001208.</w:t>
      </w:r>
      <w:r>
        <w:rPr>
          <w:rStyle w:val="FootnoteReference"/>
          <w:sz w:val="24"/>
        </w:rPr>
        <w:footnoteReference w:id="2"/>
      </w:r>
      <w:r>
        <w:rPr>
          <w:sz w:val="24"/>
        </w:rPr>
        <w:t xml:space="preserve"> STI is also authorized by the FCC to provide domestic and international telecommunications services.</w:t>
      </w:r>
    </w:p>
    <w:p w14:paraId="5CB8B431" w14:textId="77777777" w:rsidR="001D4C96" w:rsidRDefault="00332969">
      <w:pPr>
        <w:spacing w:after="240"/>
        <w:ind w:firstLine="720"/>
        <w:jc w:val="both"/>
        <w:rPr>
          <w:sz w:val="24"/>
        </w:rPr>
      </w:pPr>
      <w:r>
        <w:rPr>
          <w:sz w:val="24"/>
        </w:rPr>
        <w:t xml:space="preserve">Transferor, a Delaware limited liability company, is a holding company with no operations of its own. Transferor’s principal address is c/o ABRY Partners, 111 Huntington St., 29th Floor, Boston, Massachusetts 02199. The controlling interests in Transferor are currently held by ABRY </w:t>
      </w:r>
      <w:r>
        <w:rPr>
          <w:sz w:val="24"/>
        </w:rPr>
        <w:lastRenderedPageBreak/>
        <w:t>Partners VII, L.P., an affiliate of ABRY Partners, a Boston-based private equity investment firm focused solely on media, communications, business, and information services investments.</w:t>
      </w:r>
    </w:p>
    <w:p w14:paraId="5CB8B432" w14:textId="77777777" w:rsidR="001D4C96" w:rsidRDefault="00332969">
      <w:pPr>
        <w:spacing w:after="240"/>
        <w:ind w:firstLine="720"/>
        <w:rPr>
          <w:sz w:val="24"/>
        </w:rPr>
      </w:pPr>
      <w:r>
        <w:rPr>
          <w:sz w:val="24"/>
          <w:u w:val="single"/>
        </w:rPr>
        <w:t>Exhibit A</w:t>
      </w:r>
      <w:r>
        <w:rPr>
          <w:sz w:val="24"/>
        </w:rPr>
        <w:t xml:space="preserve"> includes the current corporate ownership structure of STI, SIH and Connect.</w:t>
      </w:r>
    </w:p>
    <w:p w14:paraId="5CB8B433" w14:textId="77777777" w:rsidR="001D4C96" w:rsidRDefault="00332969">
      <w:pPr>
        <w:keepNext/>
        <w:widowControl w:val="0"/>
        <w:numPr>
          <w:ilvl w:val="0"/>
          <w:numId w:val="1"/>
        </w:numPr>
        <w:tabs>
          <w:tab w:val="left" w:pos="720"/>
          <w:tab w:val="left" w:pos="1440"/>
        </w:tabs>
        <w:spacing w:after="240"/>
        <w:outlineLvl w:val="0"/>
        <w:rPr>
          <w:b/>
          <w:snapToGrid w:val="0"/>
          <w:sz w:val="24"/>
          <w:u w:val="single"/>
        </w:rPr>
      </w:pPr>
      <w:r>
        <w:rPr>
          <w:b/>
          <w:bCs/>
          <w:snapToGrid w:val="0"/>
          <w:sz w:val="24"/>
          <w:u w:val="single"/>
        </w:rPr>
        <w:t>SCRS Acquisition Corporation</w:t>
      </w:r>
    </w:p>
    <w:p w14:paraId="5CB8B434" w14:textId="77777777" w:rsidR="001D4C96" w:rsidRDefault="00332969">
      <w:pPr>
        <w:spacing w:after="240"/>
        <w:ind w:firstLine="720"/>
        <w:jc w:val="both"/>
        <w:rPr>
          <w:sz w:val="24"/>
        </w:rPr>
      </w:pPr>
      <w:r>
        <w:rPr>
          <w:sz w:val="24"/>
        </w:rPr>
        <w:t>Transferee is a newly formed Delaware corporation established for the purposes of the Transaction (as defined below). Transferee’s principal address is c/o Platinum Equity, 360 North Crescent Drive, South Building, Beverly Hills, California 90210. Transferee is ultimately wholly owned by SCRS Holding Corporation (“SCRS Parent”), a Delaware corporation. SCRS Parent is a holding company in which certain private equity investment vehicles sponsored by Platinum Equity, LLC (together with its affiliates, “Platinum Equity”) will contribute their equity investments in connection with the Transaction. Platinum Equity Capital Partners IV, L.P. (“PECP IV”), a Delaware limited partnership, will be the majority owner of SCRS Parent.</w:t>
      </w:r>
    </w:p>
    <w:p w14:paraId="5CB8B435" w14:textId="77777777" w:rsidR="001D4C96" w:rsidRDefault="00332969">
      <w:pPr>
        <w:spacing w:after="240"/>
        <w:ind w:firstLine="720"/>
        <w:jc w:val="both"/>
        <w:rPr>
          <w:sz w:val="24"/>
        </w:rPr>
      </w:pPr>
      <w:r>
        <w:rPr>
          <w:sz w:val="24"/>
        </w:rPr>
        <w:t>Founded in 1995 by Tom Gores, Platinum Equity (www.platinumequity.com) is a global investment firm with more than $11 billion of assets under management and a portfolio of approximately 30 operating companies that serve customers around the world. The firm is currently investing from PECP IV, a $6.5 billion global buyout fund. Platinum Equity specializes in mergers, acquisitions and operations, acquiring and operating companies in a broad range of business markets, including manufacturing, distribution, transportation and logistics, equipment rental, metals services, media and entertainment, technology, telecommunications and other industries. Over the past 22 years Platinum Equity has completed more than 185 acquisitions. While Platinum Equity does not have any telecommunication carriers in its current portfolio, Platinum Equity’s prior investments in telecommunications carriers include but are not limited to: Covad, DSLnet and Matrix Telecom. As such, Platinum Equity has demonstrated its qualification and capabilities to own a telecommunications carrier.</w:t>
      </w:r>
    </w:p>
    <w:p w14:paraId="5CB8B436" w14:textId="77777777" w:rsidR="001D4C96" w:rsidRDefault="00332969">
      <w:pPr>
        <w:keepNext/>
        <w:keepLines/>
        <w:spacing w:after="240"/>
        <w:jc w:val="center"/>
        <w:rPr>
          <w:b/>
          <w:bCs/>
          <w:sz w:val="24"/>
          <w:u w:val="single"/>
        </w:rPr>
      </w:pPr>
      <w:r>
        <w:rPr>
          <w:b/>
          <w:bCs/>
          <w:sz w:val="24"/>
          <w:u w:val="single"/>
        </w:rPr>
        <w:t>Designated Contacts</w:t>
      </w:r>
    </w:p>
    <w:p w14:paraId="5CB8B437" w14:textId="77777777" w:rsidR="001D4C96" w:rsidRDefault="00332969">
      <w:pPr>
        <w:pStyle w:val="BodyTextIndent"/>
        <w:keepNext/>
        <w:keepLines/>
        <w:spacing w:line="240" w:lineRule="auto"/>
        <w:ind w:left="0" w:firstLine="720"/>
        <w:jc w:val="both"/>
        <w:rPr>
          <w:rFonts w:ascii="Times New Roman" w:hAnsi="Times New Roman"/>
          <w:sz w:val="24"/>
          <w:szCs w:val="24"/>
        </w:rPr>
      </w:pPr>
      <w:r>
        <w:rPr>
          <w:rFonts w:ascii="Times New Roman" w:hAnsi="Times New Roman"/>
          <w:sz w:val="24"/>
          <w:szCs w:val="24"/>
        </w:rPr>
        <w:t>Questions, correspondence or other communications concerning this informational filing should be directed to:</w:t>
      </w:r>
    </w:p>
    <w:tbl>
      <w:tblPr>
        <w:tblW w:w="0" w:type="auto"/>
        <w:tblLook w:val="07E0" w:firstRow="1" w:lastRow="1" w:firstColumn="1" w:lastColumn="1" w:noHBand="1" w:noVBand="1"/>
      </w:tblPr>
      <w:tblGrid>
        <w:gridCol w:w="4648"/>
        <w:gridCol w:w="4712"/>
      </w:tblGrid>
      <w:tr w:rsidR="001D4C96" w14:paraId="5CB8B449" w14:textId="77777777">
        <w:tc>
          <w:tcPr>
            <w:tcW w:w="4698" w:type="dxa"/>
            <w:shd w:val="clear" w:color="auto" w:fill="auto"/>
          </w:tcPr>
          <w:p w14:paraId="5CB8B438" w14:textId="77777777" w:rsidR="001D4C96" w:rsidRDefault="00332969">
            <w:pPr>
              <w:tabs>
                <w:tab w:val="left" w:pos="720"/>
                <w:tab w:val="left" w:pos="1440"/>
              </w:tabs>
              <w:spacing w:after="120"/>
              <w:ind w:left="720" w:hanging="720"/>
              <w:jc w:val="both"/>
              <w:rPr>
                <w:snapToGrid w:val="0"/>
                <w:sz w:val="24"/>
              </w:rPr>
            </w:pPr>
            <w:r>
              <w:rPr>
                <w:snapToGrid w:val="0"/>
                <w:sz w:val="24"/>
              </w:rPr>
              <w:t>For Transferee:</w:t>
            </w:r>
          </w:p>
          <w:p w14:paraId="5CB8B439" w14:textId="77777777" w:rsidR="001D4C96" w:rsidRDefault="00332969">
            <w:pPr>
              <w:ind w:left="360" w:firstLine="132"/>
              <w:rPr>
                <w:sz w:val="24"/>
              </w:rPr>
            </w:pPr>
            <w:r>
              <w:rPr>
                <w:sz w:val="24"/>
              </w:rPr>
              <w:t>William B. Wilhelm, Jr.</w:t>
            </w:r>
          </w:p>
          <w:p w14:paraId="5CB8B43A" w14:textId="77777777" w:rsidR="001D4C96" w:rsidRDefault="00332969">
            <w:pPr>
              <w:ind w:left="360" w:firstLine="132"/>
              <w:rPr>
                <w:sz w:val="24"/>
              </w:rPr>
            </w:pPr>
            <w:r>
              <w:rPr>
                <w:sz w:val="24"/>
              </w:rPr>
              <w:t>Brett P. Ferenchak</w:t>
            </w:r>
          </w:p>
          <w:p w14:paraId="5CB8B43B" w14:textId="77777777" w:rsidR="001D4C96" w:rsidRDefault="00332969">
            <w:pPr>
              <w:ind w:left="360" w:firstLine="132"/>
              <w:rPr>
                <w:sz w:val="24"/>
              </w:rPr>
            </w:pPr>
            <w:r>
              <w:rPr>
                <w:sz w:val="24"/>
              </w:rPr>
              <w:t>Morgan, Lewis &amp; Bockius LLP</w:t>
            </w:r>
          </w:p>
          <w:p w14:paraId="5CB8B43C" w14:textId="77777777" w:rsidR="001D4C96" w:rsidRDefault="00332969">
            <w:pPr>
              <w:ind w:left="360" w:firstLine="132"/>
              <w:rPr>
                <w:sz w:val="24"/>
              </w:rPr>
            </w:pPr>
            <w:r>
              <w:rPr>
                <w:sz w:val="24"/>
              </w:rPr>
              <w:t>1111 Pennsylvania Avenue, N.W.</w:t>
            </w:r>
          </w:p>
          <w:p w14:paraId="5CB8B43D" w14:textId="77777777" w:rsidR="001D4C96" w:rsidRDefault="00332969">
            <w:pPr>
              <w:ind w:left="360" w:firstLine="132"/>
              <w:rPr>
                <w:sz w:val="24"/>
              </w:rPr>
            </w:pPr>
            <w:r>
              <w:rPr>
                <w:sz w:val="24"/>
              </w:rPr>
              <w:t>Washington, DC 20004-2541</w:t>
            </w:r>
          </w:p>
          <w:p w14:paraId="5CB8B43E" w14:textId="77777777" w:rsidR="001D4C96" w:rsidRDefault="00332969">
            <w:pPr>
              <w:ind w:left="360" w:firstLine="132"/>
              <w:rPr>
                <w:sz w:val="24"/>
              </w:rPr>
            </w:pPr>
            <w:r>
              <w:rPr>
                <w:sz w:val="24"/>
              </w:rPr>
              <w:t>202-739-3000 (tel)</w:t>
            </w:r>
          </w:p>
          <w:p w14:paraId="5CB8B43F" w14:textId="77777777" w:rsidR="001D4C96" w:rsidRDefault="00332969">
            <w:pPr>
              <w:ind w:left="360" w:firstLine="132"/>
              <w:rPr>
                <w:sz w:val="24"/>
              </w:rPr>
            </w:pPr>
            <w:r>
              <w:rPr>
                <w:sz w:val="24"/>
              </w:rPr>
              <w:t>202-739-3001 (fax)</w:t>
            </w:r>
          </w:p>
          <w:p w14:paraId="5CB8B440" w14:textId="77777777" w:rsidR="001D4C96" w:rsidRDefault="00332969">
            <w:pPr>
              <w:ind w:left="360" w:firstLine="132"/>
              <w:rPr>
                <w:sz w:val="24"/>
              </w:rPr>
            </w:pPr>
            <w:r>
              <w:rPr>
                <w:color w:val="0000FF"/>
                <w:sz w:val="24"/>
                <w:u w:val="single"/>
              </w:rPr>
              <w:t>william.wilhelm@morganlewis.com</w:t>
            </w:r>
          </w:p>
          <w:p w14:paraId="5CB8B441" w14:textId="77777777" w:rsidR="001D4C96" w:rsidRDefault="00332969">
            <w:pPr>
              <w:spacing w:after="240"/>
              <w:ind w:left="360" w:firstLine="132"/>
              <w:rPr>
                <w:color w:val="0000FF"/>
                <w:sz w:val="24"/>
                <w:u w:val="single"/>
              </w:rPr>
            </w:pPr>
            <w:r>
              <w:rPr>
                <w:color w:val="0000FF"/>
                <w:sz w:val="24"/>
                <w:u w:val="single"/>
              </w:rPr>
              <w:t>brett.ferenchak@morganlewis.com</w:t>
            </w:r>
            <w:r>
              <w:rPr>
                <w:sz w:val="24"/>
              </w:rPr>
              <w:t xml:space="preserve"> </w:t>
            </w:r>
          </w:p>
        </w:tc>
        <w:tc>
          <w:tcPr>
            <w:tcW w:w="4734" w:type="dxa"/>
            <w:shd w:val="clear" w:color="auto" w:fill="auto"/>
          </w:tcPr>
          <w:p w14:paraId="5CB8B442" w14:textId="77777777" w:rsidR="001D4C96" w:rsidRDefault="00332969">
            <w:pPr>
              <w:spacing w:after="120"/>
              <w:rPr>
                <w:rFonts w:eastAsia="MS Mincho"/>
                <w:bCs/>
                <w:sz w:val="24"/>
                <w:lang w:eastAsia="ja-JP"/>
              </w:rPr>
            </w:pPr>
            <w:r>
              <w:rPr>
                <w:rFonts w:eastAsia="MS Mincho"/>
                <w:bCs/>
                <w:sz w:val="24"/>
                <w:lang w:eastAsia="ja-JP"/>
              </w:rPr>
              <w:t>With copies for Transferee to</w:t>
            </w:r>
          </w:p>
          <w:p w14:paraId="5CB8B443" w14:textId="77777777" w:rsidR="001D4C96" w:rsidRDefault="00332969">
            <w:pPr>
              <w:ind w:left="360"/>
              <w:rPr>
                <w:rFonts w:eastAsia="MS Mincho"/>
                <w:sz w:val="24"/>
                <w:lang w:val="pt-BR" w:eastAsia="ja-JP"/>
              </w:rPr>
            </w:pPr>
            <w:r>
              <w:rPr>
                <w:rFonts w:eastAsia="MS Mincho"/>
                <w:sz w:val="24"/>
                <w:lang w:val="pt-BR" w:eastAsia="ja-JP"/>
              </w:rPr>
              <w:t>Eva M. Kalawski</w:t>
            </w:r>
          </w:p>
          <w:p w14:paraId="5CB8B444" w14:textId="77777777" w:rsidR="001D4C96" w:rsidRDefault="00332969">
            <w:pPr>
              <w:ind w:left="882" w:hanging="522"/>
              <w:rPr>
                <w:rFonts w:eastAsia="MS Mincho"/>
                <w:sz w:val="24"/>
                <w:lang w:val="pt-BR" w:eastAsia="ja-JP"/>
              </w:rPr>
            </w:pPr>
            <w:r>
              <w:rPr>
                <w:rFonts w:eastAsia="MS Mincho"/>
                <w:sz w:val="24"/>
                <w:lang w:val="pt-BR" w:eastAsia="ja-JP"/>
              </w:rPr>
              <w:t>Executive Vice President, General Counsel &amp; Secretary</w:t>
            </w:r>
          </w:p>
          <w:p w14:paraId="5CB8B445" w14:textId="77777777" w:rsidR="001D4C96" w:rsidRDefault="00332969">
            <w:pPr>
              <w:ind w:left="360"/>
              <w:rPr>
                <w:rFonts w:eastAsia="MS Mincho"/>
                <w:sz w:val="24"/>
                <w:lang w:val="pt-BR" w:eastAsia="ja-JP"/>
              </w:rPr>
            </w:pPr>
            <w:r>
              <w:rPr>
                <w:rFonts w:eastAsia="MS Mincho"/>
                <w:sz w:val="24"/>
                <w:lang w:val="pt-BR" w:eastAsia="ja-JP"/>
              </w:rPr>
              <w:t>c/o Platinum Equity</w:t>
            </w:r>
          </w:p>
          <w:p w14:paraId="5CB8B446" w14:textId="77777777" w:rsidR="001D4C96" w:rsidRDefault="00332969">
            <w:pPr>
              <w:ind w:left="360"/>
              <w:rPr>
                <w:rFonts w:eastAsia="MS Mincho"/>
                <w:sz w:val="24"/>
                <w:lang w:val="pt-BR" w:eastAsia="ja-JP"/>
              </w:rPr>
            </w:pPr>
            <w:r>
              <w:rPr>
                <w:rFonts w:eastAsia="MS Mincho"/>
                <w:sz w:val="24"/>
                <w:lang w:val="pt-BR" w:eastAsia="ja-JP"/>
              </w:rPr>
              <w:t>360 North Crescent Drive</w:t>
            </w:r>
            <w:r>
              <w:rPr>
                <w:rFonts w:eastAsia="MS Mincho"/>
                <w:sz w:val="24"/>
                <w:lang w:val="pt-BR" w:eastAsia="ja-JP"/>
              </w:rPr>
              <w:br/>
              <w:t>South Building</w:t>
            </w:r>
          </w:p>
          <w:p w14:paraId="5CB8B447" w14:textId="77777777" w:rsidR="001D4C96" w:rsidRDefault="00332969">
            <w:pPr>
              <w:ind w:left="360"/>
              <w:rPr>
                <w:rFonts w:eastAsia="MS Mincho"/>
                <w:sz w:val="24"/>
                <w:lang w:val="pt-BR" w:eastAsia="ja-JP"/>
              </w:rPr>
            </w:pPr>
            <w:r>
              <w:rPr>
                <w:rFonts w:eastAsia="MS Mincho"/>
                <w:sz w:val="24"/>
                <w:lang w:val="pt-BR" w:eastAsia="ja-JP"/>
              </w:rPr>
              <w:t>Beverly Hills, California  90210</w:t>
            </w:r>
          </w:p>
          <w:p w14:paraId="5CB8B448" w14:textId="77777777" w:rsidR="001D4C96" w:rsidRDefault="003F103C">
            <w:pPr>
              <w:keepNext/>
              <w:ind w:left="342"/>
              <w:rPr>
                <w:snapToGrid w:val="0"/>
                <w:sz w:val="24"/>
                <w:lang w:val="pt-BR"/>
              </w:rPr>
            </w:pPr>
            <w:hyperlink r:id="rId11" w:history="1">
              <w:r w:rsidR="00332969">
                <w:rPr>
                  <w:rStyle w:val="Hyperlink"/>
                  <w:sz w:val="24"/>
                </w:rPr>
                <w:t>ekalawski@platinumequity.com</w:t>
              </w:r>
            </w:hyperlink>
          </w:p>
        </w:tc>
      </w:tr>
      <w:tr w:rsidR="001D4C96" w14:paraId="5CB8B459" w14:textId="77777777">
        <w:trPr>
          <w:cantSplit/>
        </w:trPr>
        <w:tc>
          <w:tcPr>
            <w:tcW w:w="4698" w:type="dxa"/>
            <w:shd w:val="clear" w:color="auto" w:fill="auto"/>
          </w:tcPr>
          <w:p w14:paraId="5CB8B44A" w14:textId="77777777" w:rsidR="001D4C96" w:rsidRDefault="00332969">
            <w:pPr>
              <w:spacing w:after="120"/>
              <w:ind w:left="-14"/>
              <w:rPr>
                <w:snapToGrid w:val="0"/>
                <w:sz w:val="24"/>
                <w:lang w:val="pt-BR"/>
              </w:rPr>
            </w:pPr>
            <w:r>
              <w:rPr>
                <w:snapToGrid w:val="0"/>
                <w:sz w:val="24"/>
                <w:lang w:val="pt-BR"/>
              </w:rPr>
              <w:lastRenderedPageBreak/>
              <w:t>For Transferor and STI:</w:t>
            </w:r>
          </w:p>
          <w:p w14:paraId="5CB8B44B" w14:textId="77777777" w:rsidR="001D4C96" w:rsidRDefault="00332969">
            <w:pPr>
              <w:ind w:left="342"/>
              <w:rPr>
                <w:sz w:val="24"/>
              </w:rPr>
            </w:pPr>
            <w:r>
              <w:rPr>
                <w:sz w:val="24"/>
              </w:rPr>
              <w:t>Paul C. Besozzi</w:t>
            </w:r>
          </w:p>
          <w:p w14:paraId="5CB8B44C" w14:textId="77777777" w:rsidR="001D4C96" w:rsidRDefault="00332969">
            <w:pPr>
              <w:ind w:left="342"/>
              <w:rPr>
                <w:sz w:val="24"/>
              </w:rPr>
            </w:pPr>
            <w:r>
              <w:rPr>
                <w:sz w:val="24"/>
              </w:rPr>
              <w:t>Squire Patton Boggs (US) LLP</w:t>
            </w:r>
          </w:p>
          <w:p w14:paraId="5CB8B44D" w14:textId="77777777" w:rsidR="001D4C96" w:rsidRDefault="00332969">
            <w:pPr>
              <w:ind w:left="342"/>
              <w:rPr>
                <w:sz w:val="24"/>
              </w:rPr>
            </w:pPr>
            <w:r>
              <w:rPr>
                <w:sz w:val="24"/>
              </w:rPr>
              <w:t>2550 M Street, N.W.</w:t>
            </w:r>
          </w:p>
          <w:p w14:paraId="5CB8B44E" w14:textId="77777777" w:rsidR="001D4C96" w:rsidRDefault="00332969">
            <w:pPr>
              <w:ind w:left="342"/>
              <w:rPr>
                <w:sz w:val="24"/>
              </w:rPr>
            </w:pPr>
            <w:r>
              <w:rPr>
                <w:sz w:val="24"/>
              </w:rPr>
              <w:t>Washington, DC 20037</w:t>
            </w:r>
          </w:p>
          <w:p w14:paraId="5CB8B44F" w14:textId="77777777" w:rsidR="001D4C96" w:rsidRDefault="00332969">
            <w:pPr>
              <w:ind w:left="342"/>
              <w:rPr>
                <w:sz w:val="24"/>
              </w:rPr>
            </w:pPr>
            <w:r>
              <w:rPr>
                <w:sz w:val="24"/>
              </w:rPr>
              <w:t>202-457-5292  (tel)</w:t>
            </w:r>
          </w:p>
          <w:p w14:paraId="5CB8B450" w14:textId="77777777" w:rsidR="001D4C96" w:rsidRDefault="00332969">
            <w:pPr>
              <w:ind w:left="342"/>
              <w:rPr>
                <w:sz w:val="24"/>
              </w:rPr>
            </w:pPr>
            <w:r>
              <w:rPr>
                <w:sz w:val="24"/>
              </w:rPr>
              <w:t>202-457-6315 (fax)</w:t>
            </w:r>
          </w:p>
          <w:p w14:paraId="5CB8B451" w14:textId="77777777" w:rsidR="001D4C96" w:rsidRDefault="003F103C">
            <w:pPr>
              <w:keepNext/>
              <w:spacing w:after="240"/>
              <w:ind w:left="360"/>
              <w:rPr>
                <w:snapToGrid w:val="0"/>
                <w:sz w:val="24"/>
                <w:lang w:val="pt-BR"/>
              </w:rPr>
            </w:pPr>
            <w:hyperlink r:id="rId12" w:history="1">
              <w:r w:rsidR="00332969">
                <w:rPr>
                  <w:rStyle w:val="Hyperlink"/>
                  <w:sz w:val="24"/>
                </w:rPr>
                <w:t>paul.besozzi@squirepb.com</w:t>
              </w:r>
            </w:hyperlink>
          </w:p>
        </w:tc>
        <w:tc>
          <w:tcPr>
            <w:tcW w:w="4734" w:type="dxa"/>
            <w:shd w:val="clear" w:color="auto" w:fill="auto"/>
          </w:tcPr>
          <w:p w14:paraId="5CB8B452" w14:textId="77777777" w:rsidR="001D4C96" w:rsidRDefault="00332969">
            <w:pPr>
              <w:widowControl w:val="0"/>
              <w:spacing w:after="120"/>
              <w:rPr>
                <w:rFonts w:eastAsia="MS Mincho"/>
                <w:snapToGrid w:val="0"/>
                <w:sz w:val="24"/>
                <w:lang w:val="pt-BR" w:eastAsia="ja-JP"/>
              </w:rPr>
            </w:pPr>
            <w:r>
              <w:rPr>
                <w:rFonts w:eastAsia="MS Mincho"/>
                <w:snapToGrid w:val="0"/>
                <w:sz w:val="24"/>
                <w:lang w:val="pt-BR" w:eastAsia="ja-JP"/>
              </w:rPr>
              <w:t>and:</w:t>
            </w:r>
          </w:p>
          <w:p w14:paraId="5CB8B453" w14:textId="77777777" w:rsidR="001D4C96" w:rsidRDefault="00332969">
            <w:pPr>
              <w:ind w:left="342"/>
              <w:rPr>
                <w:bCs/>
                <w:sz w:val="24"/>
              </w:rPr>
            </w:pPr>
            <w:r>
              <w:rPr>
                <w:bCs/>
                <w:sz w:val="24"/>
              </w:rPr>
              <w:t>Dennis J. Reinhold</w:t>
            </w:r>
          </w:p>
          <w:p w14:paraId="5CB8B454" w14:textId="77777777" w:rsidR="001D4C96" w:rsidRDefault="00332969">
            <w:pPr>
              <w:ind w:left="342"/>
              <w:rPr>
                <w:bCs/>
                <w:sz w:val="24"/>
              </w:rPr>
            </w:pPr>
            <w:r>
              <w:rPr>
                <w:bCs/>
                <w:sz w:val="24"/>
              </w:rPr>
              <w:t>Vice President, General Counsel &amp; Secretary</w:t>
            </w:r>
          </w:p>
          <w:p w14:paraId="5CB8B455" w14:textId="77777777" w:rsidR="001D4C96" w:rsidRDefault="00332969">
            <w:pPr>
              <w:ind w:left="342"/>
              <w:rPr>
                <w:bCs/>
                <w:sz w:val="24"/>
              </w:rPr>
            </w:pPr>
            <w:r>
              <w:rPr>
                <w:bCs/>
                <w:sz w:val="24"/>
              </w:rPr>
              <w:t>Securus Technologies, Inc.</w:t>
            </w:r>
          </w:p>
          <w:p w14:paraId="5CB8B456" w14:textId="77777777" w:rsidR="001D4C96" w:rsidRDefault="00332969">
            <w:pPr>
              <w:ind w:left="342"/>
              <w:rPr>
                <w:sz w:val="24"/>
                <w:lang w:val="pt-BR"/>
              </w:rPr>
            </w:pPr>
            <w:r>
              <w:rPr>
                <w:sz w:val="24"/>
                <w:lang w:val="pt-BR"/>
              </w:rPr>
              <w:t>4000 International Pkwy.</w:t>
            </w:r>
          </w:p>
          <w:p w14:paraId="5CB8B457" w14:textId="77777777" w:rsidR="001D4C96" w:rsidRDefault="00332969">
            <w:pPr>
              <w:ind w:left="342"/>
              <w:rPr>
                <w:sz w:val="24"/>
              </w:rPr>
            </w:pPr>
            <w:r>
              <w:rPr>
                <w:sz w:val="24"/>
                <w:lang w:val="pt-BR"/>
              </w:rPr>
              <w:t>Carrollton, TX 75007</w:t>
            </w:r>
          </w:p>
          <w:p w14:paraId="5CB8B458" w14:textId="77777777" w:rsidR="001D4C96" w:rsidRDefault="003F103C">
            <w:pPr>
              <w:ind w:left="342"/>
              <w:rPr>
                <w:sz w:val="24"/>
              </w:rPr>
            </w:pPr>
            <w:hyperlink r:id="rId13" w:history="1">
              <w:r w:rsidR="00332969">
                <w:rPr>
                  <w:rStyle w:val="Hyperlink"/>
                  <w:sz w:val="24"/>
                </w:rPr>
                <w:t>dreinhold@securustechnologies.com</w:t>
              </w:r>
            </w:hyperlink>
            <w:r w:rsidR="00332969">
              <w:rPr>
                <w:sz w:val="24"/>
              </w:rPr>
              <w:t xml:space="preserve"> </w:t>
            </w:r>
          </w:p>
        </w:tc>
      </w:tr>
    </w:tbl>
    <w:p w14:paraId="5CB8B45A" w14:textId="77777777" w:rsidR="001D4C96" w:rsidRDefault="00332969">
      <w:pPr>
        <w:pStyle w:val="BodyTextIndent"/>
        <w:keepNext/>
        <w:spacing w:after="240" w:line="240" w:lineRule="auto"/>
        <w:ind w:left="720" w:hanging="720"/>
        <w:jc w:val="center"/>
        <w:outlineLvl w:val="0"/>
        <w:rPr>
          <w:rFonts w:ascii="Times New Roman" w:hAnsi="Times New Roman"/>
          <w:b/>
          <w:sz w:val="24"/>
          <w:szCs w:val="24"/>
          <w:u w:val="single"/>
        </w:rPr>
      </w:pPr>
      <w:r>
        <w:rPr>
          <w:rFonts w:ascii="Times New Roman" w:hAnsi="Times New Roman"/>
          <w:b/>
          <w:sz w:val="24"/>
          <w:szCs w:val="24"/>
          <w:u w:val="single"/>
        </w:rPr>
        <w:t>Description of the Transaction</w:t>
      </w:r>
    </w:p>
    <w:p w14:paraId="5CB8B45B" w14:textId="77777777" w:rsidR="001D4C96" w:rsidRDefault="00332969">
      <w:pPr>
        <w:spacing w:after="240"/>
        <w:ind w:firstLine="720"/>
        <w:jc w:val="both"/>
        <w:rPr>
          <w:sz w:val="24"/>
        </w:rPr>
      </w:pPr>
      <w:r>
        <w:rPr>
          <w:sz w:val="24"/>
        </w:rPr>
        <w:t>Pursuant to that certain Stock Purchase Agreement by and among SIH, Connect and SCRS, dated as of April 29, 2017 (the “Agreement”), SCRS will acquire all the stock of Connect from SIH (the “Transaction”). As a result, Connect will become a wholly owned, direct subsidiary of SCRS; STI will become a wholly owned, indirect subsidiary of SCRS (and its parent companies). PECP IV will be the ultimate majority owner of STI.</w:t>
      </w:r>
    </w:p>
    <w:p w14:paraId="5CB8B45C" w14:textId="77777777" w:rsidR="001D4C96" w:rsidRDefault="00332969">
      <w:pPr>
        <w:spacing w:after="240"/>
        <w:ind w:firstLine="720"/>
        <w:jc w:val="both"/>
        <w:rPr>
          <w:sz w:val="24"/>
        </w:rPr>
      </w:pPr>
      <w:r>
        <w:rPr>
          <w:sz w:val="24"/>
        </w:rPr>
        <w:t xml:space="preserve">For the Commission’s reference, charts depicting the pre- and post-Transaction ownership of STI are provided as </w:t>
      </w:r>
      <w:r>
        <w:rPr>
          <w:sz w:val="24"/>
          <w:u w:val="single"/>
        </w:rPr>
        <w:t>Exhibit A</w:t>
      </w:r>
      <w:r>
        <w:rPr>
          <w:sz w:val="24"/>
        </w:rPr>
        <w:t>.</w:t>
      </w:r>
    </w:p>
    <w:p w14:paraId="5CB8B45D" w14:textId="77777777" w:rsidR="001D4C96" w:rsidRDefault="00332969">
      <w:pPr>
        <w:spacing w:after="240"/>
        <w:ind w:firstLine="720"/>
        <w:jc w:val="both"/>
        <w:rPr>
          <w:sz w:val="24"/>
        </w:rPr>
      </w:pPr>
      <w:r>
        <w:rPr>
          <w:sz w:val="24"/>
        </w:rPr>
        <w:t>Upon completion of the Transaction, STI will continue to be managed and operated by the same officers and personnel, but will be supplemented by the management of Transferee and Platinum Equity. Further, STI will have access to additional financial resources through its relationship with Transferee and Platinum Equity, enabling STI to better meet the needs of its customers and thus better compete in the telecommunications marketplace. The Transaction will be transparent to the customers of STI and will not involve the sale, assignment, lease or transfer of any of STI’s assets or its customer base to any other entity. STI will not merge or combine with any other entity and will remain a separate entity providing the services it has been providing under its current name. There will be no associated changes in the terms or conditions of the services being provided. The only change immediately following closing of the Transaction from a customer’s perspective will be that STI’s ownership will change, with Transferee (and its parent companies) being its indirect owner.</w:t>
      </w:r>
    </w:p>
    <w:p w14:paraId="5CB8B45E" w14:textId="77777777" w:rsidR="001D4C96" w:rsidRDefault="00332969">
      <w:pPr>
        <w:pStyle w:val="BodyTextIndent"/>
        <w:keepNext/>
        <w:spacing w:line="240" w:lineRule="auto"/>
        <w:ind w:left="0"/>
        <w:jc w:val="center"/>
        <w:rPr>
          <w:rFonts w:ascii="Times New Roman" w:hAnsi="Times New Roman"/>
          <w:b/>
          <w:bCs/>
          <w:sz w:val="24"/>
          <w:szCs w:val="24"/>
        </w:rPr>
      </w:pPr>
      <w:r>
        <w:rPr>
          <w:rFonts w:ascii="Times New Roman" w:hAnsi="Times New Roman"/>
          <w:b/>
          <w:bCs/>
          <w:sz w:val="24"/>
          <w:szCs w:val="24"/>
        </w:rPr>
        <w:lastRenderedPageBreak/>
        <w:t>*</w:t>
      </w:r>
      <w:r>
        <w:rPr>
          <w:rFonts w:ascii="Times New Roman" w:hAnsi="Times New Roman"/>
          <w:b/>
          <w:bCs/>
          <w:sz w:val="24"/>
          <w:szCs w:val="24"/>
        </w:rPr>
        <w:tab/>
        <w:t>*</w:t>
      </w:r>
      <w:r>
        <w:rPr>
          <w:rFonts w:ascii="Times New Roman" w:hAnsi="Times New Roman"/>
          <w:b/>
          <w:bCs/>
          <w:sz w:val="24"/>
          <w:szCs w:val="24"/>
        </w:rPr>
        <w:tab/>
        <w:t>*</w:t>
      </w:r>
      <w:r>
        <w:rPr>
          <w:rFonts w:ascii="Times New Roman" w:hAnsi="Times New Roman"/>
          <w:b/>
          <w:bCs/>
          <w:sz w:val="24"/>
          <w:szCs w:val="24"/>
        </w:rPr>
        <w:tab/>
        <w:t>*</w:t>
      </w:r>
    </w:p>
    <w:p w14:paraId="5CB8B45F" w14:textId="77777777" w:rsidR="001D4C96" w:rsidRDefault="00332969">
      <w:pPr>
        <w:pStyle w:val="BodyTextIndent"/>
        <w:keepNext/>
        <w:spacing w:line="240" w:lineRule="auto"/>
        <w:ind w:left="0" w:firstLine="720"/>
        <w:jc w:val="both"/>
        <w:rPr>
          <w:rFonts w:ascii="Times New Roman" w:hAnsi="Times New Roman"/>
          <w:sz w:val="24"/>
          <w:szCs w:val="24"/>
        </w:rPr>
      </w:pPr>
      <w:r>
        <w:rPr>
          <w:rFonts w:ascii="Times New Roman" w:hAnsi="Times New Roman"/>
          <w:sz w:val="24"/>
          <w:szCs w:val="24"/>
        </w:rPr>
        <w:t>We would appreciate acknowledgement of receipt and acceptance of this filing, which is being submitted electronically.  Should you have any questions, please do not hesitate to contact us.</w:t>
      </w:r>
    </w:p>
    <w:p w14:paraId="5CB8B460" w14:textId="77777777" w:rsidR="001D4C96" w:rsidRDefault="00332969">
      <w:pPr>
        <w:pStyle w:val="Footer"/>
        <w:keepNext/>
        <w:tabs>
          <w:tab w:val="clear" w:pos="4320"/>
          <w:tab w:val="clear" w:pos="8640"/>
        </w:tabs>
        <w:spacing w:after="240"/>
        <w:ind w:left="5130"/>
        <w:rPr>
          <w:sz w:val="24"/>
        </w:rPr>
      </w:pPr>
      <w:r>
        <w:rPr>
          <w:sz w:val="24"/>
        </w:rPr>
        <w:t>Respectfully submitted,</w:t>
      </w:r>
    </w:p>
    <w:p w14:paraId="5CB8B461" w14:textId="77777777" w:rsidR="001D4C96" w:rsidRDefault="00332969">
      <w:pPr>
        <w:pStyle w:val="Footer"/>
        <w:keepNext/>
        <w:tabs>
          <w:tab w:val="clear" w:pos="4320"/>
          <w:tab w:val="clear" w:pos="8640"/>
        </w:tabs>
        <w:rPr>
          <w:noProof/>
          <w:sz w:val="24"/>
        </w:rPr>
      </w:pPr>
      <w:r>
        <w:rPr>
          <w:noProof/>
          <w:sz w:val="24"/>
        </w:rPr>
        <w:tab/>
      </w:r>
    </w:p>
    <w:tbl>
      <w:tblPr>
        <w:tblW w:w="0" w:type="auto"/>
        <w:tblLayout w:type="fixed"/>
        <w:tblCellMar>
          <w:left w:w="115" w:type="dxa"/>
          <w:right w:w="115" w:type="dxa"/>
        </w:tblCellMar>
        <w:tblLook w:val="01E0" w:firstRow="1" w:lastRow="1" w:firstColumn="1" w:lastColumn="1" w:noHBand="0" w:noVBand="0"/>
      </w:tblPr>
      <w:tblGrid>
        <w:gridCol w:w="4885"/>
        <w:gridCol w:w="4547"/>
      </w:tblGrid>
      <w:tr w:rsidR="001D4C96" w14:paraId="5CB8B478" w14:textId="77777777">
        <w:trPr>
          <w:cantSplit/>
        </w:trPr>
        <w:tc>
          <w:tcPr>
            <w:tcW w:w="4885" w:type="dxa"/>
            <w:shd w:val="clear" w:color="auto" w:fill="auto"/>
          </w:tcPr>
          <w:p w14:paraId="5CB8B462" w14:textId="77777777" w:rsidR="00C2377F" w:rsidRDefault="00C2377F" w:rsidP="00C2377F">
            <w:pPr>
              <w:rPr>
                <w:sz w:val="24"/>
                <w:u w:val="single"/>
              </w:rPr>
            </w:pPr>
            <w:bookmarkStart w:id="1" w:name="OLE_LINK3"/>
            <w:bookmarkStart w:id="2" w:name="OLE_LINK4"/>
            <w:r>
              <w:rPr>
                <w:sz w:val="24"/>
                <w:u w:val="single"/>
              </w:rPr>
              <w:t xml:space="preserve">/s/ </w:t>
            </w:r>
            <w:r w:rsidRPr="004E4835">
              <w:rPr>
                <w:rFonts w:ascii="Lucida Handwriting" w:hAnsi="Lucida Handwriting"/>
                <w:sz w:val="28"/>
                <w:szCs w:val="28"/>
                <w:u w:val="single"/>
              </w:rPr>
              <w:t>Brett P. Ferenchak</w:t>
            </w:r>
            <w:r>
              <w:rPr>
                <w:sz w:val="24"/>
                <w:u w:val="single"/>
              </w:rPr>
              <w:tab/>
            </w:r>
            <w:r>
              <w:rPr>
                <w:sz w:val="24"/>
                <w:u w:val="single"/>
              </w:rPr>
              <w:tab/>
            </w:r>
          </w:p>
          <w:p w14:paraId="5CB8B463" w14:textId="77777777" w:rsidR="001D4C96" w:rsidRDefault="00332969">
            <w:pPr>
              <w:rPr>
                <w:sz w:val="24"/>
              </w:rPr>
            </w:pPr>
            <w:r>
              <w:rPr>
                <w:sz w:val="24"/>
              </w:rPr>
              <w:t>William B. Wilhelm, Jr.</w:t>
            </w:r>
          </w:p>
          <w:p w14:paraId="5CB8B464" w14:textId="77777777" w:rsidR="001D4C96" w:rsidRDefault="00332969">
            <w:pPr>
              <w:rPr>
                <w:sz w:val="24"/>
              </w:rPr>
            </w:pPr>
            <w:r>
              <w:rPr>
                <w:sz w:val="24"/>
              </w:rPr>
              <w:t>Brett P. Ferenchak</w:t>
            </w:r>
          </w:p>
          <w:p w14:paraId="5CB8B465" w14:textId="77777777" w:rsidR="001D4C96" w:rsidRDefault="00332969">
            <w:pPr>
              <w:rPr>
                <w:sz w:val="24"/>
              </w:rPr>
            </w:pPr>
            <w:r>
              <w:rPr>
                <w:sz w:val="24"/>
              </w:rPr>
              <w:t>Morgan, Lewis &amp; Bockius LLP</w:t>
            </w:r>
          </w:p>
          <w:p w14:paraId="5CB8B466" w14:textId="77777777" w:rsidR="001D4C96" w:rsidRDefault="00332969">
            <w:pPr>
              <w:rPr>
                <w:sz w:val="24"/>
              </w:rPr>
            </w:pPr>
            <w:r>
              <w:rPr>
                <w:sz w:val="24"/>
              </w:rPr>
              <w:t>1111 Pennsylvania Avenue, N.W.</w:t>
            </w:r>
          </w:p>
          <w:p w14:paraId="5CB8B467" w14:textId="77777777" w:rsidR="001D4C96" w:rsidRDefault="00332969">
            <w:pPr>
              <w:rPr>
                <w:sz w:val="24"/>
              </w:rPr>
            </w:pPr>
            <w:r>
              <w:rPr>
                <w:sz w:val="24"/>
              </w:rPr>
              <w:t>Washington, DC 20004-2541</w:t>
            </w:r>
          </w:p>
          <w:p w14:paraId="5CB8B468" w14:textId="77777777" w:rsidR="001D4C96" w:rsidRDefault="00332969">
            <w:pPr>
              <w:rPr>
                <w:sz w:val="24"/>
              </w:rPr>
            </w:pPr>
            <w:r>
              <w:rPr>
                <w:sz w:val="24"/>
              </w:rPr>
              <w:t>202-739-3000 (tel)</w:t>
            </w:r>
          </w:p>
          <w:p w14:paraId="5CB8B469" w14:textId="77777777" w:rsidR="001D4C96" w:rsidRDefault="00332969">
            <w:pPr>
              <w:rPr>
                <w:sz w:val="24"/>
              </w:rPr>
            </w:pPr>
            <w:r>
              <w:rPr>
                <w:sz w:val="24"/>
              </w:rPr>
              <w:t>202-739-3001 (fax)</w:t>
            </w:r>
          </w:p>
          <w:p w14:paraId="5CB8B46A" w14:textId="77777777" w:rsidR="001D4C96" w:rsidRDefault="00332969">
            <w:pPr>
              <w:rPr>
                <w:sz w:val="24"/>
              </w:rPr>
            </w:pPr>
            <w:r>
              <w:rPr>
                <w:color w:val="0000FF"/>
                <w:sz w:val="24"/>
                <w:u w:val="single"/>
              </w:rPr>
              <w:t>william.wilhelm@morganlewis.com</w:t>
            </w:r>
          </w:p>
          <w:p w14:paraId="5CB8B46B" w14:textId="77777777" w:rsidR="001D4C96" w:rsidRDefault="00332969">
            <w:pPr>
              <w:rPr>
                <w:color w:val="0000FF"/>
                <w:sz w:val="24"/>
                <w:u w:val="single"/>
              </w:rPr>
            </w:pPr>
            <w:r>
              <w:rPr>
                <w:color w:val="0000FF"/>
                <w:sz w:val="24"/>
                <w:u w:val="single"/>
              </w:rPr>
              <w:t>brett.ferenchak@morganlewis.com</w:t>
            </w:r>
            <w:r>
              <w:rPr>
                <w:sz w:val="24"/>
              </w:rPr>
              <w:t xml:space="preserve"> </w:t>
            </w:r>
          </w:p>
          <w:p w14:paraId="5CB8B46C" w14:textId="77777777" w:rsidR="001D4C96" w:rsidRDefault="001D4C96">
            <w:pPr>
              <w:pStyle w:val="SignatureBlock"/>
              <w:ind w:left="0"/>
              <w:rPr>
                <w:szCs w:val="24"/>
              </w:rPr>
            </w:pPr>
          </w:p>
          <w:p w14:paraId="5CB8B46D" w14:textId="77777777" w:rsidR="001D4C96" w:rsidRDefault="00332969">
            <w:pPr>
              <w:pStyle w:val="SignatureBlock"/>
              <w:spacing w:after="240"/>
              <w:ind w:left="0"/>
              <w:rPr>
                <w:szCs w:val="24"/>
              </w:rPr>
            </w:pPr>
            <w:r>
              <w:rPr>
                <w:szCs w:val="24"/>
              </w:rPr>
              <w:t>Counsel for Transferee</w:t>
            </w:r>
          </w:p>
        </w:tc>
        <w:tc>
          <w:tcPr>
            <w:tcW w:w="4547" w:type="dxa"/>
            <w:shd w:val="clear" w:color="auto" w:fill="auto"/>
          </w:tcPr>
          <w:p w14:paraId="5CB8B46E" w14:textId="77777777" w:rsidR="00C2377F" w:rsidRDefault="00C2377F" w:rsidP="00C2377F">
            <w:pPr>
              <w:keepNext/>
              <w:ind w:left="155"/>
              <w:rPr>
                <w:snapToGrid w:val="0"/>
                <w:sz w:val="24"/>
                <w:u w:val="single"/>
                <w:lang w:val="pt-BR"/>
              </w:rPr>
            </w:pPr>
            <w:r>
              <w:rPr>
                <w:snapToGrid w:val="0"/>
                <w:sz w:val="24"/>
                <w:u w:val="single"/>
                <w:lang w:val="pt-BR"/>
              </w:rPr>
              <w:t xml:space="preserve">/s/ </w:t>
            </w:r>
            <w:r w:rsidRPr="004E4835">
              <w:rPr>
                <w:rFonts w:ascii="Lucida Handwriting" w:hAnsi="Lucida Handwriting"/>
                <w:snapToGrid w:val="0"/>
                <w:sz w:val="28"/>
                <w:szCs w:val="28"/>
                <w:u w:val="single"/>
                <w:lang w:val="pt-BR"/>
              </w:rPr>
              <w:t>Paul C. Besozzi</w:t>
            </w:r>
            <w:r>
              <w:rPr>
                <w:snapToGrid w:val="0"/>
                <w:sz w:val="24"/>
                <w:u w:val="single"/>
                <w:lang w:val="pt-BR"/>
              </w:rPr>
              <w:tab/>
            </w:r>
            <w:r>
              <w:rPr>
                <w:snapToGrid w:val="0"/>
                <w:sz w:val="24"/>
                <w:u w:val="single"/>
                <w:lang w:val="pt-BR"/>
              </w:rPr>
              <w:tab/>
            </w:r>
          </w:p>
          <w:p w14:paraId="5CB8B46F" w14:textId="77777777" w:rsidR="001D4C96" w:rsidRDefault="00332969">
            <w:pPr>
              <w:ind w:left="155"/>
              <w:rPr>
                <w:sz w:val="24"/>
              </w:rPr>
            </w:pPr>
            <w:r>
              <w:rPr>
                <w:sz w:val="24"/>
              </w:rPr>
              <w:t>Paul C. Besozzi</w:t>
            </w:r>
          </w:p>
          <w:p w14:paraId="5CB8B470" w14:textId="77777777" w:rsidR="001D4C96" w:rsidRDefault="00332969">
            <w:pPr>
              <w:ind w:left="155"/>
              <w:rPr>
                <w:sz w:val="24"/>
              </w:rPr>
            </w:pPr>
            <w:r>
              <w:rPr>
                <w:sz w:val="24"/>
              </w:rPr>
              <w:t>Squire Patton Boggs (US) LLP</w:t>
            </w:r>
          </w:p>
          <w:p w14:paraId="5CB8B471" w14:textId="77777777" w:rsidR="001D4C96" w:rsidRDefault="00332969">
            <w:pPr>
              <w:ind w:left="155"/>
              <w:rPr>
                <w:sz w:val="24"/>
              </w:rPr>
            </w:pPr>
            <w:r>
              <w:rPr>
                <w:sz w:val="24"/>
              </w:rPr>
              <w:t>2550 M Street, N.W.</w:t>
            </w:r>
          </w:p>
          <w:p w14:paraId="5CB8B472" w14:textId="77777777" w:rsidR="001D4C96" w:rsidRDefault="00332969">
            <w:pPr>
              <w:ind w:left="155"/>
              <w:rPr>
                <w:sz w:val="24"/>
              </w:rPr>
            </w:pPr>
            <w:r>
              <w:rPr>
                <w:sz w:val="24"/>
              </w:rPr>
              <w:t>Washington, DC 20037</w:t>
            </w:r>
          </w:p>
          <w:p w14:paraId="5CB8B473" w14:textId="77777777" w:rsidR="001D4C96" w:rsidRDefault="00332969">
            <w:pPr>
              <w:ind w:left="155"/>
              <w:rPr>
                <w:sz w:val="24"/>
              </w:rPr>
            </w:pPr>
            <w:r>
              <w:rPr>
                <w:sz w:val="24"/>
              </w:rPr>
              <w:t>202-457-5292  (tel)</w:t>
            </w:r>
          </w:p>
          <w:p w14:paraId="5CB8B474" w14:textId="77777777" w:rsidR="001D4C96" w:rsidRDefault="00332969">
            <w:pPr>
              <w:ind w:left="155"/>
              <w:rPr>
                <w:sz w:val="24"/>
              </w:rPr>
            </w:pPr>
            <w:r>
              <w:rPr>
                <w:sz w:val="24"/>
              </w:rPr>
              <w:t>202-457-6315 (fax)</w:t>
            </w:r>
          </w:p>
          <w:p w14:paraId="5CB8B475" w14:textId="77777777" w:rsidR="001D4C96" w:rsidRDefault="003F103C">
            <w:pPr>
              <w:ind w:left="155"/>
              <w:rPr>
                <w:sz w:val="24"/>
              </w:rPr>
            </w:pPr>
            <w:hyperlink r:id="rId14" w:history="1">
              <w:r w:rsidR="00332969">
                <w:rPr>
                  <w:rStyle w:val="Hyperlink"/>
                  <w:sz w:val="24"/>
                </w:rPr>
                <w:t>paul.besozzi@squirepb.com</w:t>
              </w:r>
            </w:hyperlink>
          </w:p>
          <w:p w14:paraId="5CB8B476" w14:textId="77777777" w:rsidR="001D4C96" w:rsidRDefault="001D4C96">
            <w:pPr>
              <w:pStyle w:val="SignatureBlock"/>
              <w:ind w:left="123"/>
              <w:rPr>
                <w:szCs w:val="24"/>
              </w:rPr>
            </w:pPr>
          </w:p>
          <w:p w14:paraId="5CB8B477" w14:textId="77777777" w:rsidR="001D4C96" w:rsidRDefault="00332969">
            <w:pPr>
              <w:pStyle w:val="SignatureBlock"/>
              <w:ind w:left="123"/>
              <w:rPr>
                <w:szCs w:val="24"/>
              </w:rPr>
            </w:pPr>
            <w:r>
              <w:rPr>
                <w:szCs w:val="24"/>
              </w:rPr>
              <w:t>Counsel for Transferor and STI</w:t>
            </w:r>
          </w:p>
        </w:tc>
      </w:tr>
      <w:bookmarkEnd w:id="1"/>
      <w:bookmarkEnd w:id="2"/>
    </w:tbl>
    <w:p w14:paraId="5CB8B479" w14:textId="77777777" w:rsidR="001D4C96" w:rsidRDefault="001D4C96">
      <w:pPr>
        <w:rPr>
          <w:sz w:val="24"/>
        </w:rPr>
        <w:sectPr w:rsidR="001D4C96">
          <w:headerReference w:type="default" r:id="rId15"/>
          <w:pgSz w:w="12240" w:h="15840" w:code="1"/>
          <w:pgMar w:top="1440" w:right="1440" w:bottom="1440" w:left="1440" w:header="720" w:footer="720" w:gutter="0"/>
          <w:pgNumType w:start="1"/>
          <w:cols w:space="720"/>
          <w:noEndnote/>
          <w:titlePg/>
        </w:sectPr>
      </w:pPr>
    </w:p>
    <w:p w14:paraId="5CB8B47A" w14:textId="77777777" w:rsidR="001D4C96" w:rsidRDefault="001D4C96">
      <w:pPr>
        <w:rPr>
          <w:sz w:val="24"/>
        </w:rPr>
      </w:pPr>
    </w:p>
    <w:p w14:paraId="5CB8B47B" w14:textId="77777777" w:rsidR="001D4C96" w:rsidRDefault="00332969">
      <w:pPr>
        <w:spacing w:after="240"/>
        <w:jc w:val="center"/>
        <w:rPr>
          <w:b/>
          <w:sz w:val="24"/>
          <w:u w:val="single"/>
        </w:rPr>
      </w:pPr>
      <w:r>
        <w:rPr>
          <w:b/>
          <w:sz w:val="24"/>
          <w:u w:val="single"/>
        </w:rPr>
        <w:t>EXHIBIT A</w:t>
      </w:r>
    </w:p>
    <w:p w14:paraId="5CB8B47C" w14:textId="77777777" w:rsidR="001D4C96" w:rsidRDefault="00332969">
      <w:pPr>
        <w:spacing w:after="240"/>
        <w:jc w:val="center"/>
        <w:rPr>
          <w:b/>
          <w:sz w:val="24"/>
        </w:rPr>
      </w:pPr>
      <w:r>
        <w:rPr>
          <w:b/>
          <w:sz w:val="24"/>
        </w:rPr>
        <w:t>Charts of the Pre- and Post-Transaction Ownership Structures</w:t>
      </w:r>
    </w:p>
    <w:p w14:paraId="5CB8B47D" w14:textId="77777777" w:rsidR="001D4C96" w:rsidRDefault="001D4C96">
      <w:pPr>
        <w:rPr>
          <w:sz w:val="24"/>
        </w:rPr>
        <w:sectPr w:rsidR="001D4C96">
          <w:pgSz w:w="12240" w:h="15840" w:code="1"/>
          <w:pgMar w:top="1440" w:right="1440" w:bottom="1440" w:left="1440" w:header="720" w:footer="720" w:gutter="0"/>
          <w:pgNumType w:start="1"/>
          <w:cols w:space="720"/>
          <w:noEndnote/>
          <w:titlePg/>
        </w:sectPr>
      </w:pPr>
    </w:p>
    <w:p w14:paraId="5CB8B47E" w14:textId="77777777" w:rsidR="001D4C96" w:rsidRDefault="00332969">
      <w:pPr>
        <w:jc w:val="center"/>
        <w:rPr>
          <w:b/>
          <w:sz w:val="24"/>
          <w:u w:val="single"/>
        </w:rPr>
      </w:pPr>
      <w:r>
        <w:rPr>
          <w:b/>
          <w:sz w:val="24"/>
          <w:u w:val="single"/>
        </w:rPr>
        <w:lastRenderedPageBreak/>
        <w:t>VERIFICATIONS</w:t>
      </w:r>
    </w:p>
    <w:sectPr w:rsidR="001D4C96">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8B481" w14:textId="77777777" w:rsidR="001D4C96" w:rsidRDefault="00332969">
      <w:r>
        <w:separator/>
      </w:r>
    </w:p>
  </w:endnote>
  <w:endnote w:type="continuationSeparator" w:id="0">
    <w:p w14:paraId="5CB8B482" w14:textId="77777777" w:rsidR="001D4C96" w:rsidRDefault="0033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8B47F" w14:textId="77777777" w:rsidR="001D4C96" w:rsidRDefault="00332969">
      <w:r>
        <w:separator/>
      </w:r>
    </w:p>
  </w:footnote>
  <w:footnote w:type="continuationSeparator" w:id="0">
    <w:p w14:paraId="5CB8B480" w14:textId="77777777" w:rsidR="001D4C96" w:rsidRDefault="00332969">
      <w:r>
        <w:continuationSeparator/>
      </w:r>
    </w:p>
  </w:footnote>
  <w:footnote w:id="1">
    <w:p w14:paraId="5CB8B485" w14:textId="77777777" w:rsidR="001D4C96" w:rsidRDefault="00332969">
      <w:pPr>
        <w:pStyle w:val="FootnoteText"/>
        <w:tabs>
          <w:tab w:val="clear" w:pos="1080"/>
          <w:tab w:val="left" w:pos="720"/>
        </w:tabs>
        <w:ind w:firstLine="0"/>
        <w:rPr>
          <w:sz w:val="22"/>
          <w:szCs w:val="22"/>
        </w:rPr>
      </w:pPr>
      <w:r>
        <w:rPr>
          <w:rStyle w:val="FootnoteReference"/>
          <w:sz w:val="22"/>
          <w:szCs w:val="22"/>
        </w:rPr>
        <w:footnoteRef/>
      </w:r>
      <w:r>
        <w:rPr>
          <w:sz w:val="22"/>
          <w:szCs w:val="22"/>
        </w:rPr>
        <w:t xml:space="preserve"> </w:t>
      </w:r>
      <w:r>
        <w:rPr>
          <w:sz w:val="22"/>
          <w:szCs w:val="22"/>
        </w:rPr>
        <w:tab/>
        <w:t>In addition, STI, through its operating subsidiaries, provides various additional products, services and technologies to the correctional and law enforcement community.</w:t>
      </w:r>
    </w:p>
  </w:footnote>
  <w:footnote w:id="2">
    <w:p w14:paraId="5CB8B486" w14:textId="77777777" w:rsidR="001D4C96" w:rsidRDefault="00332969">
      <w:pPr>
        <w:pStyle w:val="FootnoteText"/>
        <w:tabs>
          <w:tab w:val="clear" w:pos="1080"/>
        </w:tabs>
        <w:ind w:firstLine="0"/>
        <w:rPr>
          <w:sz w:val="22"/>
          <w:szCs w:val="22"/>
        </w:rPr>
      </w:pPr>
      <w:r>
        <w:rPr>
          <w:rStyle w:val="FootnoteReference"/>
          <w:sz w:val="22"/>
          <w:szCs w:val="22"/>
        </w:rPr>
        <w:footnoteRef/>
      </w:r>
      <w:r>
        <w:rPr>
          <w:sz w:val="22"/>
          <w:szCs w:val="22"/>
        </w:rPr>
        <w:t xml:space="preserve"> </w:t>
      </w:r>
      <w:r>
        <w:rPr>
          <w:sz w:val="22"/>
          <w:szCs w:val="22"/>
        </w:rPr>
        <w:tab/>
        <w:t xml:space="preserve">The Certificate of Registration originally was granted in the name Evercom Systems, Inc., which subsequently changed its name to Securus Technologies, Inc. </w:t>
      </w:r>
      <w:r>
        <w:rPr>
          <w:i/>
          <w:sz w:val="22"/>
          <w:szCs w:val="22"/>
        </w:rPr>
        <w:t>See</w:t>
      </w:r>
      <w:r>
        <w:rPr>
          <w:sz w:val="22"/>
          <w:szCs w:val="22"/>
        </w:rPr>
        <w:t xml:space="preserve"> Docket No. UT-101935.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8B483" w14:textId="77777777" w:rsidR="001D4C96" w:rsidRDefault="00332969">
    <w:pPr>
      <w:pStyle w:val="Header"/>
      <w:rPr>
        <w:sz w:val="24"/>
      </w:rPr>
    </w:pPr>
    <w:r>
      <w:rPr>
        <w:sz w:val="24"/>
      </w:rPr>
      <w:t>Steven V. King, Executive Secretary</w:t>
    </w:r>
    <w:r>
      <w:rPr>
        <w:sz w:val="24"/>
      </w:rPr>
      <w:br/>
      <w:t>June 29, 2017</w:t>
    </w:r>
  </w:p>
  <w:p w14:paraId="5CB8B484" w14:textId="77777777" w:rsidR="001D4C96" w:rsidRDefault="00332969">
    <w:pPr>
      <w:pStyle w:val="Header"/>
      <w:spacing w:after="240"/>
      <w:rPr>
        <w:sz w:val="24"/>
      </w:rPr>
    </w:pPr>
    <w:r>
      <w:rPr>
        <w:sz w:val="24"/>
      </w:rPr>
      <w:t xml:space="preserve">Page </w:t>
    </w:r>
    <w:r>
      <w:rPr>
        <w:sz w:val="24"/>
      </w:rPr>
      <w:fldChar w:fldCharType="begin"/>
    </w:r>
    <w:r>
      <w:rPr>
        <w:sz w:val="24"/>
      </w:rPr>
      <w:instrText xml:space="preserve"> PAGE   \* MERGEFORMAT </w:instrText>
    </w:r>
    <w:r>
      <w:rPr>
        <w:sz w:val="24"/>
      </w:rPr>
      <w:fldChar w:fldCharType="separate"/>
    </w:r>
    <w:r w:rsidR="003F103C">
      <w:rPr>
        <w:noProof/>
        <w:sz w:val="24"/>
      </w:rPr>
      <w:t>2</w:t>
    </w:r>
    <w:r>
      <w:rPr>
        <w:noProof/>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C3C4B5C"/>
    <w:lvl w:ilvl="0">
      <w:start w:val="1"/>
      <w:numFmt w:val="bullet"/>
      <w:pStyle w:val="ListBullet4"/>
      <w:lvlText w:val=""/>
      <w:lvlJc w:val="left"/>
      <w:pPr>
        <w:tabs>
          <w:tab w:val="num" w:pos="1440"/>
        </w:tabs>
        <w:ind w:left="1440" w:hanging="360"/>
      </w:pPr>
      <w:rPr>
        <w:rFonts w:ascii="Symbol" w:hAnsi="Symbol" w:hint="default"/>
        <w:sz w:val="20"/>
      </w:rPr>
    </w:lvl>
  </w:abstractNum>
  <w:abstractNum w:abstractNumId="1" w15:restartNumberingAfterBreak="0">
    <w:nsid w:val="107B7A88"/>
    <w:multiLevelType w:val="hybridMultilevel"/>
    <w:tmpl w:val="E8521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431B08"/>
    <w:multiLevelType w:val="hybridMultilevel"/>
    <w:tmpl w:val="16761422"/>
    <w:lvl w:ilvl="0" w:tplc="E514C1B2">
      <w:start w:val="1"/>
      <w:numFmt w:val="upperLetter"/>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803EA6"/>
    <w:multiLevelType w:val="hybridMultilevel"/>
    <w:tmpl w:val="438CE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NotTrackFormatting/>
  <w:styleLockQFSet/>
  <w:defaultTabStop w:val="720"/>
  <w:autoHyphenation/>
  <w:consecutiveHyphenLimit w:val="2"/>
  <w:hyphenationZone w:val="720"/>
  <w:doNotHyphenateCaps/>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C:\NRPortbl\DB3\MP018975\376763370_9.DOCX"/>
    <w:docVar w:name="zzmp10mSEGsValidated" w:val="1"/>
    <w:docVar w:name="zzmp10NoTrailerPromptID" w:val="DB2.31504326.3"/>
    <w:docVar w:name="zzmp10TP" w:val="2103038"/>
  </w:docVars>
  <w:rsids>
    <w:rsidRoot w:val="001D4C96"/>
    <w:rsid w:val="001D4C96"/>
    <w:rsid w:val="00332969"/>
    <w:rsid w:val="003F103C"/>
    <w:rsid w:val="00C2377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CB8B423"/>
  <w15:docId w15:val="{7F81E54A-EFC6-4270-BA11-401E4189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lang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line="300" w:lineRule="atLeast"/>
      <w:jc w:val="center"/>
      <w:outlineLvl w:val="2"/>
    </w:pPr>
    <w:rPr>
      <w:b/>
      <w:snapToGrid w:val="0"/>
      <w:sz w:val="24"/>
      <w:szCs w:val="20"/>
      <w:u w:val="single"/>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t"/>
    <w:basedOn w:val="Normal"/>
    <w:link w:val="FootnoteTextChar"/>
    <w:uiPriority w:val="99"/>
    <w:pPr>
      <w:tabs>
        <w:tab w:val="left" w:pos="1080"/>
      </w:tabs>
      <w:snapToGrid w:val="0"/>
      <w:spacing w:after="120"/>
      <w:ind w:firstLine="720"/>
      <w:jc w:val="both"/>
    </w:pPr>
    <w:rPr>
      <w:sz w:val="24"/>
      <w:szCs w:val="20"/>
    </w:rPr>
  </w:style>
  <w:style w:type="character" w:styleId="FootnoteReference">
    <w:name w:val="footnote reference"/>
    <w:aliases w:val="Style 12,(NECG) Footnote Reference,Style 13,Appel note de bas de p,Style 124,fr,o,Style 3,FR,Style 17,Footnote Reference/,Style 6"/>
    <w:rPr>
      <w:vertAlign w:val="superscript"/>
    </w:rPr>
  </w:style>
  <w:style w:type="paragraph" w:styleId="BodyTextIndent">
    <w:name w:val="Body Text Indent"/>
    <w:basedOn w:val="Normal"/>
    <w:link w:val="BodyTextIndentChar"/>
    <w:pPr>
      <w:spacing w:after="120" w:line="463" w:lineRule="exact"/>
      <w:ind w:left="360"/>
    </w:pPr>
    <w:rPr>
      <w:rFonts w:ascii="Courier New" w:hAnsi="Courier New"/>
      <w:sz w:val="18"/>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FooterChar">
    <w:name w:val="Footer Char"/>
    <w:link w:val="Footer"/>
    <w:rPr>
      <w:sz w:val="22"/>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customStyle="1" w:styleId="SignatureBlock">
    <w:name w:val="Signature Block"/>
    <w:basedOn w:val="Normal"/>
    <w:pPr>
      <w:keepNext/>
      <w:tabs>
        <w:tab w:val="left" w:pos="5040"/>
      </w:tabs>
      <w:spacing w:line="240" w:lineRule="exact"/>
      <w:ind w:left="4320"/>
    </w:pPr>
    <w:rPr>
      <w:sz w:val="24"/>
      <w:szCs w:val="20"/>
    </w:rPr>
  </w:style>
  <w:style w:type="paragraph" w:customStyle="1" w:styleId="3AutoList1">
    <w:name w:val="3AutoList1"/>
    <w:pPr>
      <w:widowControl w:val="0"/>
      <w:ind w:left="-1440"/>
      <w:jc w:val="both"/>
    </w:pPr>
    <w:rPr>
      <w:rFonts w:ascii="CG Times" w:hAnsi="CG Times"/>
      <w:snapToGrid w:val="0"/>
      <w:sz w:val="24"/>
      <w:lang w:eastAsia="en-US"/>
    </w:rPr>
  </w:style>
  <w:style w:type="character" w:styleId="Hyperlink">
    <w:name w:val="Hyperlink"/>
    <w:rPr>
      <w:color w:val="0000FF"/>
      <w:u w:val="single"/>
    </w:rPr>
  </w:style>
  <w:style w:type="character" w:customStyle="1" w:styleId="apple-style-span">
    <w:name w:val="apple-style-span"/>
    <w:basedOn w:val="DefaultParagraphFont"/>
  </w:style>
  <w:style w:type="paragraph" w:styleId="TOC3">
    <w:name w:val="toc 3"/>
    <w:basedOn w:val="Normal"/>
    <w:next w:val="Normal"/>
    <w:semiHidden/>
    <w:pPr>
      <w:tabs>
        <w:tab w:val="left" w:leader="dot" w:pos="9000"/>
        <w:tab w:val="right" w:pos="9360"/>
      </w:tabs>
      <w:suppressAutoHyphens/>
      <w:overflowPunct w:val="0"/>
      <w:autoSpaceDE w:val="0"/>
      <w:autoSpaceDN w:val="0"/>
      <w:adjustRightInd w:val="0"/>
      <w:ind w:left="2160" w:right="720" w:hanging="720"/>
      <w:textAlignment w:val="baseline"/>
    </w:pPr>
    <w:rPr>
      <w:sz w:val="20"/>
      <w:szCs w:val="20"/>
    </w:rPr>
  </w:style>
  <w:style w:type="paragraph" w:customStyle="1" w:styleId="Char">
    <w:name w:val="Char"/>
    <w:basedOn w:val="Normal"/>
    <w:pPr>
      <w:spacing w:after="160" w:line="240" w:lineRule="exact"/>
      <w:jc w:val="both"/>
    </w:pPr>
    <w:rPr>
      <w:rFonts w:ascii="Verdana" w:hAnsi="Verdana" w:cs="Verdana"/>
      <w:sz w:val="20"/>
      <w:szCs w:val="20"/>
    </w:rPr>
  </w:style>
  <w:style w:type="paragraph" w:customStyle="1" w:styleId="MacPacTrailer">
    <w:name w:val="MacPac Trailer"/>
    <w:pPr>
      <w:widowControl w:val="0"/>
      <w:spacing w:line="200" w:lineRule="exact"/>
    </w:pPr>
    <w:rPr>
      <w:rFonts w:ascii="Tahoma" w:hAnsi="Tahoma"/>
      <w:sz w:val="16"/>
      <w:szCs w:val="22"/>
      <w:lang w:eastAsia="en-US"/>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locked/>
    <w:rPr>
      <w:b/>
      <w:snapToGrid w:val="0"/>
      <w:sz w:val="24"/>
      <w:u w:val="single"/>
      <w:lang w:eastAsia="en-US"/>
    </w:rPr>
  </w:style>
  <w:style w:type="character" w:customStyle="1" w:styleId="HeaderChar">
    <w:name w:val="Header Char"/>
    <w:basedOn w:val="DefaultParagraphFont"/>
    <w:link w:val="Header"/>
    <w:uiPriority w:val="99"/>
    <w:rPr>
      <w:sz w:val="22"/>
      <w:szCs w:val="24"/>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IndentTriple">
    <w:name w:val="Indent Triple"/>
    <w:basedOn w:val="Normal"/>
    <w:next w:val="BodyText"/>
    <w:pPr>
      <w:spacing w:after="240"/>
      <w:ind w:left="2880" w:right="2880"/>
    </w:pPr>
    <w:rPr>
      <w:sz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2"/>
      <w:szCs w:val="24"/>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Pr>
      <w:rFonts w:ascii="Consolas" w:hAnsi="Consolas" w:cs="Consolas"/>
      <w:lang w:eastAsia="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2"/>
      <w:szCs w:val="24"/>
      <w:lang w:eastAsia="en-U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lang w:eastAsia="en-U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szCs w:val="24"/>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fn Char,ft Char"/>
    <w:basedOn w:val="DefaultParagraphFont"/>
    <w:link w:val="FootnoteText"/>
    <w:uiPriority w:val="99"/>
    <w:rPr>
      <w:sz w:val="24"/>
      <w:lang w:eastAsia="en-US"/>
    </w:rPr>
  </w:style>
  <w:style w:type="character" w:customStyle="1" w:styleId="BodyTextIndentChar">
    <w:name w:val="Body Text Indent Char"/>
    <w:basedOn w:val="DefaultParagraphFont"/>
    <w:link w:val="BodyTextIndent"/>
    <w:rPr>
      <w:rFonts w:ascii="Courier New" w:hAnsi="Courier New"/>
      <w:sz w:val="18"/>
      <w:lang w:eastAsia="en-US"/>
    </w:rPr>
  </w:style>
  <w:style w:type="paragraph" w:styleId="ListBullet4">
    <w:name w:val="List Bullet 4"/>
    <w:aliases w:val="b4"/>
    <w:basedOn w:val="Normal"/>
    <w:semiHidden/>
    <w:pPr>
      <w:numPr>
        <w:numId w:val="3"/>
      </w:numPr>
      <w:spacing w:after="240"/>
      <w:jc w:val="both"/>
    </w:pPr>
    <w:rPr>
      <w:sz w:val="24"/>
      <w:szCs w:val="20"/>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styleId="Revision">
    <w:name w:val="Revision"/>
    <w:hidden/>
    <w:uiPriority w:val="99"/>
    <w:semiHidden/>
    <w:rsid w:val="00332969"/>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35841">
      <w:bodyDiv w:val="1"/>
      <w:marLeft w:val="0"/>
      <w:marRight w:val="0"/>
      <w:marTop w:val="0"/>
      <w:marBottom w:val="0"/>
      <w:divBdr>
        <w:top w:val="none" w:sz="0" w:space="0" w:color="auto"/>
        <w:left w:val="none" w:sz="0" w:space="0" w:color="auto"/>
        <w:bottom w:val="none" w:sz="0" w:space="0" w:color="auto"/>
        <w:right w:val="none" w:sz="0" w:space="0" w:color="auto"/>
      </w:divBdr>
    </w:div>
    <w:div w:id="907767337">
      <w:bodyDiv w:val="1"/>
      <w:marLeft w:val="0"/>
      <w:marRight w:val="0"/>
      <w:marTop w:val="0"/>
      <w:marBottom w:val="0"/>
      <w:divBdr>
        <w:top w:val="none" w:sz="0" w:space="0" w:color="auto"/>
        <w:left w:val="none" w:sz="0" w:space="0" w:color="auto"/>
        <w:bottom w:val="none" w:sz="0" w:space="0" w:color="auto"/>
        <w:right w:val="none" w:sz="0" w:space="0" w:color="auto"/>
      </w:divBdr>
    </w:div>
    <w:div w:id="925921164">
      <w:bodyDiv w:val="1"/>
      <w:marLeft w:val="0"/>
      <w:marRight w:val="0"/>
      <w:marTop w:val="0"/>
      <w:marBottom w:val="0"/>
      <w:divBdr>
        <w:top w:val="none" w:sz="0" w:space="0" w:color="auto"/>
        <w:left w:val="none" w:sz="0" w:space="0" w:color="auto"/>
        <w:bottom w:val="none" w:sz="0" w:space="0" w:color="auto"/>
        <w:right w:val="none" w:sz="0" w:space="0" w:color="auto"/>
      </w:divBdr>
    </w:div>
    <w:div w:id="1014841161">
      <w:bodyDiv w:val="1"/>
      <w:marLeft w:val="0"/>
      <w:marRight w:val="0"/>
      <w:marTop w:val="0"/>
      <w:marBottom w:val="0"/>
      <w:divBdr>
        <w:top w:val="none" w:sz="0" w:space="0" w:color="auto"/>
        <w:left w:val="none" w:sz="0" w:space="0" w:color="auto"/>
        <w:bottom w:val="none" w:sz="0" w:space="0" w:color="auto"/>
        <w:right w:val="none" w:sz="0" w:space="0" w:color="auto"/>
      </w:divBdr>
    </w:div>
    <w:div w:id="1213879747">
      <w:bodyDiv w:val="1"/>
      <w:marLeft w:val="0"/>
      <w:marRight w:val="0"/>
      <w:marTop w:val="0"/>
      <w:marBottom w:val="0"/>
      <w:divBdr>
        <w:top w:val="none" w:sz="0" w:space="0" w:color="auto"/>
        <w:left w:val="none" w:sz="0" w:space="0" w:color="auto"/>
        <w:bottom w:val="none" w:sz="0" w:space="0" w:color="auto"/>
        <w:right w:val="none" w:sz="0" w:space="0" w:color="auto"/>
      </w:divBdr>
    </w:div>
    <w:div w:id="1297416283">
      <w:bodyDiv w:val="1"/>
      <w:marLeft w:val="0"/>
      <w:marRight w:val="0"/>
      <w:marTop w:val="0"/>
      <w:marBottom w:val="0"/>
      <w:divBdr>
        <w:top w:val="none" w:sz="0" w:space="0" w:color="auto"/>
        <w:left w:val="none" w:sz="0" w:space="0" w:color="auto"/>
        <w:bottom w:val="none" w:sz="0" w:space="0" w:color="auto"/>
        <w:right w:val="none" w:sz="0" w:space="0" w:color="auto"/>
      </w:divBdr>
    </w:div>
    <w:div w:id="1330715318">
      <w:bodyDiv w:val="1"/>
      <w:marLeft w:val="0"/>
      <w:marRight w:val="0"/>
      <w:marTop w:val="0"/>
      <w:marBottom w:val="0"/>
      <w:divBdr>
        <w:top w:val="none" w:sz="0" w:space="0" w:color="auto"/>
        <w:left w:val="none" w:sz="0" w:space="0" w:color="auto"/>
        <w:bottom w:val="none" w:sz="0" w:space="0" w:color="auto"/>
        <w:right w:val="none" w:sz="0" w:space="0" w:color="auto"/>
      </w:divBdr>
    </w:div>
    <w:div w:id="1474446564">
      <w:bodyDiv w:val="1"/>
      <w:marLeft w:val="0"/>
      <w:marRight w:val="0"/>
      <w:marTop w:val="0"/>
      <w:marBottom w:val="0"/>
      <w:divBdr>
        <w:top w:val="none" w:sz="0" w:space="0" w:color="auto"/>
        <w:left w:val="none" w:sz="0" w:space="0" w:color="auto"/>
        <w:bottom w:val="none" w:sz="0" w:space="0" w:color="auto"/>
        <w:right w:val="none" w:sz="0" w:space="0" w:color="auto"/>
      </w:divBdr>
    </w:div>
    <w:div w:id="1944991308">
      <w:bodyDiv w:val="1"/>
      <w:marLeft w:val="0"/>
      <w:marRight w:val="0"/>
      <w:marTop w:val="0"/>
      <w:marBottom w:val="0"/>
      <w:divBdr>
        <w:top w:val="none" w:sz="0" w:space="0" w:color="auto"/>
        <w:left w:val="none" w:sz="0" w:space="0" w:color="auto"/>
        <w:bottom w:val="none" w:sz="0" w:space="0" w:color="auto"/>
        <w:right w:val="none" w:sz="0" w:space="0" w:color="auto"/>
      </w:divBdr>
    </w:div>
    <w:div w:id="20716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einhold@securustechnologies.com"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besozzi@squirepb.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alawski@platinumequity.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besozzi@squirep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2017-06-29T07:00:00+00:00</OpenedDate>
    <Date1 xmlns="dc463f71-b30c-4ab2-9473-d307f9d35888">2017-06-29T07:00:00+00:00</Date1>
    <IsDocumentOrder xmlns="dc463f71-b30c-4ab2-9473-d307f9d35888" xsi:nil="true"/>
    <IsHighlyConfidential xmlns="dc463f71-b30c-4ab2-9473-d307f9d35888">false</IsHighlyConfidential>
    <CaseCompanyNames xmlns="dc463f71-b30c-4ab2-9473-d307f9d35888">Securus Technologies, Inc.</CaseCompanyNames>
    <Nickname xmlns="http://schemas.microsoft.com/sharepoint/v3" xsi:nil="true"/>
    <DocketNumber xmlns="dc463f71-b30c-4ab2-9473-d307f9d35888">170759</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BA46385B763E4BA3C42C8B3FB0ACBF" ma:contentTypeVersion="104" ma:contentTypeDescription="" ma:contentTypeScope="" ma:versionID="8756660caf5278b3f7410f4c4717d8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0AD7E-F833-4041-8AB9-7B9267CD6909}"/>
</file>

<file path=customXml/itemProps2.xml><?xml version="1.0" encoding="utf-8"?>
<ds:datastoreItem xmlns:ds="http://schemas.openxmlformats.org/officeDocument/2006/customXml" ds:itemID="{393F7F53-4CA3-4E78-88E2-68FAB7C7CCB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a7bd91e-004b-490a-8704-e368d63d59a0"/>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C17A1AA-27CD-4073-9F43-A341C60205E3}">
  <ds:schemaRefs>
    <ds:schemaRef ds:uri="http://schemas.microsoft.com/sharepoint/v3/contenttype/forms"/>
  </ds:schemaRefs>
</ds:datastoreItem>
</file>

<file path=customXml/itemProps4.xml><?xml version="1.0" encoding="utf-8"?>
<ds:datastoreItem xmlns:ds="http://schemas.openxmlformats.org/officeDocument/2006/customXml" ds:itemID="{A1F2E3CD-1A40-453E-BC2E-131D8A60EBA2}">
  <ds:schemaRefs>
    <ds:schemaRef ds:uri="http://schemas.openxmlformats.org/officeDocument/2006/bibliography"/>
  </ds:schemaRefs>
</ds:datastoreItem>
</file>

<file path=customXml/itemProps5.xml><?xml version="1.0" encoding="utf-8"?>
<ds:datastoreItem xmlns:ds="http://schemas.openxmlformats.org/officeDocument/2006/customXml" ds:itemID="{BB1EE211-E843-4DB6-A56C-BFA7422C9C40}"/>
</file>

<file path=docProps/app.xml><?xml version="1.0" encoding="utf-8"?>
<Properties xmlns="http://schemas.openxmlformats.org/officeDocument/2006/extended-properties" xmlns:vt="http://schemas.openxmlformats.org/officeDocument/2006/docPropsVTypes">
  <Template>Normal</Template>
  <TotalTime>0</TotalTime>
  <Pages>6</Pages>
  <Words>1157</Words>
  <Characters>6599</Characters>
  <Application>Microsoft Office Word</Application>
  <DocSecurity>0</DocSecurity>
  <PresentationFormat>14|.DOCX</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Morgan, Lewis &amp; Bockius LLP</Company>
  <LinksUpToDate>false</LinksUpToDate>
  <CharactersWithSpaces>7741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Ferenchak, Brett P.</dc:creator>
  <cp:lastModifiedBy>Huey, Lorilyn (UTC)</cp:lastModifiedBy>
  <cp:revision>2</cp:revision>
  <cp:lastPrinted>2017-06-29T17:38:00Z</cp:lastPrinted>
  <dcterms:created xsi:type="dcterms:W3CDTF">2017-06-29T23:21:00Z</dcterms:created>
  <dcterms:modified xsi:type="dcterms:W3CDTF">2017-06-29T23:21:00Z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0x0101006E56B4D1795A2E4DB2F0B01679ED314A002FBA46385B763E4BA3C42C8B3FB0ACBF</vt:lpwstr>
  </property>
  <property fmtid="{D5CDD505-2E9C-101B-9397-08002B2CF9AE}" pid="3" name="_docset_NoMedatataSyncRequired">
    <vt:lpwstr>False</vt:lpwstr>
  </property>
  <property fmtid="{D5CDD505-2E9C-101B-9397-08002B2CF9AE}" pid="4" name="IsEFSEC">
    <vt:bool>false</vt:bool>
  </property>
</Properties>
</file>