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170498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Zalmer Ashkenazi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Regulatory Contact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Vitcom,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1425 - 37th Street STE 209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Brooklyn, NY 11218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zalmen@vitcom.net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(718) 571-4000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(646)726-9615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4D38C8CA81474C8FFFFD3BB64A7855" ma:contentTypeVersion="104" ma:contentTypeDescription="" ma:contentTypeScope="" ma:versionID="9ba528e17ff33326996172be329580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Vitcom, LLC</CaseCompanyNames>
    <Nickname xmlns="http://schemas.microsoft.com/sharepoint/v3" xsi:nil="true"/>
    <DocketNumber xmlns="dc463f71-b30c-4ab2-9473-d307f9d35888">170498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C5CE7F-0806-4733-9E76-8507374E04AC}"/>
</file>

<file path=customXml/itemProps2.xml><?xml version="1.0" encoding="utf-8"?>
<ds:datastoreItem xmlns:ds="http://schemas.openxmlformats.org/officeDocument/2006/customXml" ds:itemID="{160DB351-F8DC-46DF-A943-DD183410838D}"/>
</file>

<file path=customXml/itemProps3.xml><?xml version="1.0" encoding="utf-8"?>
<ds:datastoreItem xmlns:ds="http://schemas.openxmlformats.org/officeDocument/2006/customXml" ds:itemID="{393C6BA2-D621-4B0D-AAC2-21E144D58B69}"/>
</file>

<file path=customXml/itemProps4.xml><?xml version="1.0" encoding="utf-8"?>
<ds:datastoreItem xmlns:ds="http://schemas.openxmlformats.org/officeDocument/2006/customXml" ds:itemID="{A5D49209-3C75-4046-83D5-8D14DE837AD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0x0101006E56B4D1795A2E4DB2F0B01679ED314A00404D38C8CA81474C8FFFFD3BB64A7855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