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23BC16FB" w14:textId="77777777" w:rsidTr="00F33B4B">
        <w:trPr>
          <w:cantSplit/>
        </w:trPr>
        <w:tc>
          <w:tcPr>
            <w:tcW w:w="3330" w:type="dxa"/>
          </w:tcPr>
          <w:p w14:paraId="23BC16F8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23BC16F9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3BC16FA" w14:textId="77777777" w:rsidR="007B53EF" w:rsidRDefault="00E46982" w:rsidP="001A084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23BC1701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23BC16FC" w14:textId="77777777" w:rsidR="007B53EF" w:rsidRDefault="007B53EF">
            <w:pPr>
              <w:pStyle w:val="Heading4"/>
            </w:pPr>
          </w:p>
          <w:p w14:paraId="23BC16FD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23BC16FE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23BC16FF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1A0842">
              <w:rPr>
                <w:b/>
                <w:bCs/>
              </w:rPr>
              <w:t xml:space="preserve">CMRS </w:t>
            </w:r>
            <w:r>
              <w:rPr>
                <w:b/>
                <w:bCs/>
              </w:rPr>
              <w:t>INTERCONNECTION AGREEMENT BY:</w:t>
            </w:r>
          </w:p>
          <w:p w14:paraId="23BC1700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23BC1703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23BC1702" w14:textId="77777777" w:rsidR="007B53EF" w:rsidRPr="0059246A" w:rsidRDefault="001A0842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 xml:space="preserve">CenturyTel of Cowiche, Inc. d/b/a CenturyLink; CenturyTel of Inter Island, Inc. d/b/a CenturyLink; CenturyTel of Washington, Inc. d/b/a CenturyLink </w:t>
            </w:r>
          </w:p>
        </w:tc>
      </w:tr>
      <w:tr w:rsidR="007B53EF" w14:paraId="23BC1705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23BC1704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23BC1707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23BC1706" w14:textId="77777777" w:rsidR="007B53EF" w:rsidRPr="0059246A" w:rsidRDefault="001A0842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Charge Communication Inc.</w:t>
            </w:r>
          </w:p>
        </w:tc>
      </w:tr>
      <w:tr w:rsidR="007B53EF" w14:paraId="23BC1709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23BC1708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23BC170B" w14:textId="77777777" w:rsidTr="00F33B4B">
        <w:trPr>
          <w:cantSplit/>
        </w:trPr>
        <w:tc>
          <w:tcPr>
            <w:tcW w:w="11070" w:type="dxa"/>
            <w:gridSpan w:val="4"/>
          </w:tcPr>
          <w:p w14:paraId="23BC170A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23BC1714" w14:textId="77777777" w:rsidTr="00F33B4B">
        <w:trPr>
          <w:trHeight w:val="765"/>
        </w:trPr>
        <w:tc>
          <w:tcPr>
            <w:tcW w:w="11070" w:type="dxa"/>
            <w:gridSpan w:val="4"/>
          </w:tcPr>
          <w:p w14:paraId="23BC170C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23BC170D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0E" w14:textId="77777777" w:rsidR="007B53EF" w:rsidRDefault="001A084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Commercial Mobile Radio Services (CMRS) by and between CenturyTel of Cowiche, Inc. d/b/a CenturyLink; CenturyTel of Inter Island, Inc. d/b/a CenturyLink; CenturyTel of Washington, Inc. d/b/a CenturyLink and Charge Communication Inc. for the State of Washington</w:t>
            </w:r>
          </w:p>
          <w:p w14:paraId="23BC170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1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11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1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1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16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23BC1715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23BC171B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3BC1717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23BC1718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23BC1719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3BC171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23BC171F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23BC171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23BC171D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3BC171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23BC1722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3BC1720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23BC172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24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23BC172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23BC1728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23BC1725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3BC172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23BC1727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23BC172C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23BC172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23BC172A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23BC172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23BC1731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23BC172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3BC172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23BC172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3BC173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36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23BC173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23BC173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23BC173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3BC173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23BC173A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23BC173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23BC173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23BC173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23BC173B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952"/>
        <w:gridCol w:w="2628"/>
        <w:gridCol w:w="579"/>
        <w:gridCol w:w="1042"/>
        <w:gridCol w:w="3888"/>
      </w:tblGrid>
      <w:tr w:rsidR="007B53EF" w14:paraId="23BC1744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23BC173C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23BC173D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23BC173E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3BC173F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3BC1740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23BC1741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23BC1742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23BC1743" w14:textId="77777777"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 w14:paraId="23BC1748" w14:textId="77777777">
        <w:trPr>
          <w:cantSplit/>
        </w:trPr>
        <w:tc>
          <w:tcPr>
            <w:tcW w:w="5000" w:type="pct"/>
            <w:gridSpan w:val="5"/>
          </w:tcPr>
          <w:p w14:paraId="23BC174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46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4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52" w14:textId="77777777">
        <w:trPr>
          <w:cantSplit/>
        </w:trPr>
        <w:tc>
          <w:tcPr>
            <w:tcW w:w="5000" w:type="pct"/>
            <w:gridSpan w:val="5"/>
          </w:tcPr>
          <w:p w14:paraId="23BC174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23BC174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4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23BC174C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4D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23BC174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4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23BC1750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5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23BC1754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23BC175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5D" w14:textId="77777777">
        <w:trPr>
          <w:cantSplit/>
        </w:trPr>
        <w:tc>
          <w:tcPr>
            <w:tcW w:w="2516" w:type="pct"/>
            <w:gridSpan w:val="2"/>
          </w:tcPr>
          <w:p w14:paraId="23BC1755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23BC1756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23BC1757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23BC175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23BC175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5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23BC175B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23BC175C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23BC1761" w14:textId="77777777">
        <w:tc>
          <w:tcPr>
            <w:tcW w:w="1331" w:type="pct"/>
          </w:tcPr>
          <w:p w14:paraId="23BC175E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23BC175F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23BC1760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23BC1765" w14:textId="77777777">
        <w:tc>
          <w:tcPr>
            <w:tcW w:w="1331" w:type="pct"/>
          </w:tcPr>
          <w:p w14:paraId="23BC176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23BC176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3BC176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69" w14:textId="77777777">
        <w:tc>
          <w:tcPr>
            <w:tcW w:w="1331" w:type="pct"/>
          </w:tcPr>
          <w:p w14:paraId="23BC176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23BC176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3BC176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6D" w14:textId="77777777">
        <w:tc>
          <w:tcPr>
            <w:tcW w:w="1331" w:type="pct"/>
            <w:tcBorders>
              <w:bottom w:val="nil"/>
            </w:tcBorders>
          </w:tcPr>
          <w:p w14:paraId="23BC176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23BC176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23BC176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23BC1772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23BC176E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23BC176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23BC177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23BC1771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23BC1776" w14:textId="77777777">
        <w:tc>
          <w:tcPr>
            <w:tcW w:w="1331" w:type="pct"/>
            <w:tcBorders>
              <w:top w:val="nil"/>
              <w:bottom w:val="nil"/>
            </w:tcBorders>
          </w:tcPr>
          <w:p w14:paraId="23BC1773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23BC1774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23BC1775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23BC1777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177A" w14:textId="77777777" w:rsidR="00A1044A" w:rsidRDefault="00A1044A">
      <w:r>
        <w:separator/>
      </w:r>
    </w:p>
  </w:endnote>
  <w:endnote w:type="continuationSeparator" w:id="0">
    <w:p w14:paraId="23BC177B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177C" w14:textId="77777777" w:rsidR="007B53EF" w:rsidRDefault="007528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C177D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177E" w14:textId="77777777" w:rsidR="007B53EF" w:rsidRDefault="007528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3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BC177F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1778" w14:textId="77777777" w:rsidR="00A1044A" w:rsidRDefault="00A1044A">
      <w:r>
        <w:separator/>
      </w:r>
    </w:p>
  </w:footnote>
  <w:footnote w:type="continuationSeparator" w:id="0">
    <w:p w14:paraId="23BC1779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1A0842"/>
    <w:rsid w:val="002843FC"/>
    <w:rsid w:val="004848A9"/>
    <w:rsid w:val="0059246A"/>
    <w:rsid w:val="00690DDA"/>
    <w:rsid w:val="0075281F"/>
    <w:rsid w:val="007B53EF"/>
    <w:rsid w:val="009900BA"/>
    <w:rsid w:val="00A1044A"/>
    <w:rsid w:val="00B43B83"/>
    <w:rsid w:val="00B50CD4"/>
    <w:rsid w:val="00D26521"/>
    <w:rsid w:val="00E46982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16F8"/>
  <w15:docId w15:val="{22D7D8C9-5444-4824-81D6-CA557E17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2016-10-20T07:00:00+00:00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</CaseCompanyNames>
    <DocketNumber xmlns="dc463f71-b30c-4ab2-9473-d307f9d35888">161152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C48C4C354BD24290352B1133842F19" ma:contentTypeVersion="104" ma:contentTypeDescription="" ma:contentTypeScope="" ma:versionID="22ebefa6ab185737ddc008570a69f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7F0B66-270A-46FE-B673-7EE4895D5BAD}"/>
</file>

<file path=customXml/itemProps3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3CB31-11F1-414B-AC44-4913BF16B6FB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Daniel, Jessica (UTC)</cp:lastModifiedBy>
  <cp:revision>2</cp:revision>
  <cp:lastPrinted>2016-10-18T20:18:00Z</cp:lastPrinted>
  <dcterms:created xsi:type="dcterms:W3CDTF">2016-10-20T20:50:00Z</dcterms:created>
  <dcterms:modified xsi:type="dcterms:W3CDTF">2016-10-20T20:50:00Z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0x0101006E56B4D1795A2E4DB2F0B01679ED314A00B1C48C4C354BD24290352B1133842F19</vt:lpwstr>
  </property>
  <property fmtid="{D5CDD505-2E9C-101B-9397-08002B2CF9AE}" pid="18" name="_docset_NoMedatataSyncRequired">
    <vt:lpwstr>False</vt:lpwstr>
  </property>
</Properties>
</file>