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C1081" w14:textId="77777777" w:rsidR="008E5B74" w:rsidRPr="008E5B74" w:rsidRDefault="008E5B74" w:rsidP="008E5B74">
      <w:pPr>
        <w:pStyle w:val="Heading1"/>
        <w:jc w:val="center"/>
        <w:rPr>
          <w:rFonts w:cs="Times New Roman"/>
          <w:szCs w:val="48"/>
        </w:rPr>
      </w:pPr>
      <w:bookmarkStart w:id="0" w:name="_GoBack"/>
      <w:bookmarkEnd w:id="0"/>
    </w:p>
    <w:p w14:paraId="50BC1082" w14:textId="77777777" w:rsidR="00CC5891" w:rsidRDefault="00CC5891" w:rsidP="008E5B74">
      <w:pPr>
        <w:pStyle w:val="Heading1"/>
        <w:jc w:val="center"/>
        <w:rPr>
          <w:rFonts w:cs="Times New Roman"/>
          <w:szCs w:val="48"/>
        </w:rPr>
      </w:pPr>
    </w:p>
    <w:p w14:paraId="50BC1083" w14:textId="77777777" w:rsidR="008E5B74" w:rsidRPr="008E5B74" w:rsidRDefault="008E5B74" w:rsidP="008E5B74">
      <w:pPr>
        <w:pStyle w:val="Heading1"/>
        <w:jc w:val="center"/>
        <w:rPr>
          <w:rFonts w:cs="Times New Roman"/>
          <w:szCs w:val="48"/>
        </w:rPr>
      </w:pPr>
      <w:r w:rsidRPr="008E5B74">
        <w:rPr>
          <w:rFonts w:cs="Times New Roman"/>
          <w:szCs w:val="48"/>
        </w:rPr>
        <w:t>Work Plan for Avista’s</w:t>
      </w:r>
    </w:p>
    <w:p w14:paraId="50BC1084" w14:textId="77777777" w:rsidR="008E5B74" w:rsidRPr="008E5B74" w:rsidRDefault="008E5B74" w:rsidP="008E5B74">
      <w:pPr>
        <w:pStyle w:val="Heading1"/>
        <w:jc w:val="center"/>
        <w:rPr>
          <w:rFonts w:cs="Times New Roman"/>
          <w:szCs w:val="48"/>
        </w:rPr>
      </w:pPr>
      <w:r w:rsidRPr="008E5B74">
        <w:rPr>
          <w:rFonts w:cs="Times New Roman"/>
          <w:szCs w:val="48"/>
        </w:rPr>
        <w:t>201</w:t>
      </w:r>
      <w:r w:rsidR="00836FAE">
        <w:rPr>
          <w:rFonts w:cs="Times New Roman"/>
          <w:szCs w:val="48"/>
        </w:rPr>
        <w:t>7</w:t>
      </w:r>
      <w:r w:rsidRPr="008E5B74">
        <w:rPr>
          <w:rFonts w:cs="Times New Roman"/>
          <w:szCs w:val="48"/>
        </w:rPr>
        <w:t xml:space="preserve"> Electric Integrated Resource Plan</w:t>
      </w:r>
    </w:p>
    <w:p w14:paraId="50BC1085" w14:textId="77777777" w:rsidR="008E5B74" w:rsidRPr="008E5B74" w:rsidRDefault="008E5B74" w:rsidP="008E5B74">
      <w:pPr>
        <w:pStyle w:val="Heading1"/>
        <w:jc w:val="center"/>
        <w:rPr>
          <w:rFonts w:cs="Times New Roman"/>
          <w:sz w:val="32"/>
        </w:rPr>
      </w:pPr>
    </w:p>
    <w:p w14:paraId="50BC1086" w14:textId="77777777" w:rsidR="008E5B74" w:rsidRPr="008E5B74" w:rsidRDefault="008E5B74" w:rsidP="008E5B74">
      <w:pPr>
        <w:jc w:val="center"/>
      </w:pPr>
    </w:p>
    <w:p w14:paraId="50BC1087" w14:textId="77777777" w:rsidR="008E5B74" w:rsidRPr="008E5B74" w:rsidRDefault="008E5B74" w:rsidP="008E5B74">
      <w:pPr>
        <w:jc w:val="center"/>
        <w:rPr>
          <w:b/>
          <w:bCs/>
          <w:sz w:val="28"/>
          <w:szCs w:val="28"/>
        </w:rPr>
      </w:pPr>
      <w:r w:rsidRPr="008E5B74">
        <w:rPr>
          <w:b/>
          <w:bCs/>
          <w:sz w:val="28"/>
          <w:szCs w:val="28"/>
        </w:rPr>
        <w:t>For the</w:t>
      </w:r>
    </w:p>
    <w:p w14:paraId="50BC1088" w14:textId="77777777" w:rsidR="008E5B74" w:rsidRPr="008E5B74" w:rsidRDefault="008E5B74" w:rsidP="008E5B74">
      <w:pPr>
        <w:jc w:val="center"/>
        <w:rPr>
          <w:b/>
          <w:bCs/>
          <w:sz w:val="28"/>
          <w:szCs w:val="28"/>
        </w:rPr>
      </w:pPr>
      <w:r w:rsidRPr="008E5B74">
        <w:rPr>
          <w:b/>
          <w:bCs/>
          <w:sz w:val="28"/>
          <w:szCs w:val="28"/>
        </w:rPr>
        <w:t>Washington Utilities and Transportation Commission</w:t>
      </w:r>
    </w:p>
    <w:p w14:paraId="50BC1089" w14:textId="77777777" w:rsidR="008E5B74" w:rsidRPr="008E5B74" w:rsidRDefault="008E5B74" w:rsidP="008E5B74">
      <w:pPr>
        <w:jc w:val="center"/>
        <w:rPr>
          <w:b/>
          <w:bCs/>
          <w:sz w:val="28"/>
          <w:szCs w:val="28"/>
        </w:rPr>
      </w:pPr>
    </w:p>
    <w:p w14:paraId="50BC108A" w14:textId="77777777" w:rsidR="008E5B74" w:rsidRPr="008E5B74" w:rsidRDefault="008E5B74" w:rsidP="008E5B74">
      <w:pPr>
        <w:jc w:val="center"/>
        <w:rPr>
          <w:b/>
          <w:bCs/>
          <w:sz w:val="28"/>
          <w:szCs w:val="28"/>
        </w:rPr>
      </w:pPr>
    </w:p>
    <w:p w14:paraId="50BC108B" w14:textId="77777777" w:rsidR="008E5B74" w:rsidRPr="008E5B74" w:rsidRDefault="008E5B74" w:rsidP="008E5B74">
      <w:pPr>
        <w:jc w:val="center"/>
        <w:rPr>
          <w:b/>
          <w:bCs/>
          <w:sz w:val="28"/>
          <w:szCs w:val="28"/>
        </w:rPr>
      </w:pPr>
    </w:p>
    <w:p w14:paraId="50BC108C" w14:textId="77777777" w:rsidR="008E5B74" w:rsidRPr="008E5B74" w:rsidRDefault="008E5B74" w:rsidP="008E5B74">
      <w:pPr>
        <w:jc w:val="center"/>
        <w:rPr>
          <w:b/>
          <w:bCs/>
          <w:sz w:val="28"/>
          <w:szCs w:val="28"/>
        </w:rPr>
      </w:pPr>
    </w:p>
    <w:p w14:paraId="50BC108D" w14:textId="77777777" w:rsidR="008E5B74" w:rsidRPr="008E5B74" w:rsidRDefault="008E5B74" w:rsidP="008E5B74">
      <w:pPr>
        <w:jc w:val="center"/>
        <w:rPr>
          <w:b/>
          <w:bCs/>
          <w:sz w:val="28"/>
          <w:szCs w:val="28"/>
        </w:rPr>
      </w:pPr>
    </w:p>
    <w:p w14:paraId="50BC108E" w14:textId="77777777" w:rsidR="008E5B74" w:rsidRPr="008E5B74" w:rsidRDefault="008E5B74" w:rsidP="008E5B74">
      <w:pPr>
        <w:jc w:val="center"/>
        <w:rPr>
          <w:b/>
          <w:bCs/>
          <w:sz w:val="28"/>
          <w:szCs w:val="28"/>
        </w:rPr>
      </w:pPr>
    </w:p>
    <w:p w14:paraId="50BC108F" w14:textId="77777777" w:rsidR="008E5B74" w:rsidRPr="008E5B74" w:rsidRDefault="008E5B74" w:rsidP="008E5B74">
      <w:pPr>
        <w:jc w:val="center"/>
        <w:rPr>
          <w:b/>
          <w:bCs/>
          <w:sz w:val="28"/>
          <w:szCs w:val="28"/>
        </w:rPr>
      </w:pPr>
    </w:p>
    <w:p w14:paraId="50BC1090" w14:textId="77777777" w:rsidR="008E5B74" w:rsidRPr="008E5B74" w:rsidRDefault="008E5B74" w:rsidP="008E5B74">
      <w:pPr>
        <w:jc w:val="center"/>
        <w:rPr>
          <w:b/>
          <w:bCs/>
          <w:sz w:val="28"/>
          <w:szCs w:val="28"/>
        </w:rPr>
      </w:pPr>
    </w:p>
    <w:p w14:paraId="50BC1091" w14:textId="77777777" w:rsidR="008E5B74" w:rsidRPr="008E5B74" w:rsidRDefault="008E5B74" w:rsidP="008E5B74">
      <w:pPr>
        <w:jc w:val="center"/>
        <w:rPr>
          <w:b/>
          <w:bCs/>
          <w:sz w:val="28"/>
          <w:szCs w:val="28"/>
        </w:rPr>
      </w:pPr>
    </w:p>
    <w:p w14:paraId="50BC1092" w14:textId="77777777" w:rsidR="008E5B74" w:rsidRPr="008E5B74" w:rsidRDefault="008E5B74" w:rsidP="008E5B74">
      <w:pPr>
        <w:jc w:val="center"/>
        <w:rPr>
          <w:b/>
          <w:bCs/>
          <w:sz w:val="24"/>
          <w:szCs w:val="24"/>
        </w:rPr>
      </w:pPr>
      <w:r w:rsidRPr="008E5B74">
        <w:rPr>
          <w:b/>
          <w:bCs/>
          <w:sz w:val="24"/>
          <w:szCs w:val="24"/>
        </w:rPr>
        <w:t xml:space="preserve">August </w:t>
      </w:r>
      <w:r w:rsidR="00836FAE">
        <w:rPr>
          <w:b/>
          <w:bCs/>
          <w:sz w:val="24"/>
          <w:szCs w:val="24"/>
        </w:rPr>
        <w:t>3</w:t>
      </w:r>
      <w:r w:rsidR="00DD2F3C">
        <w:rPr>
          <w:b/>
          <w:bCs/>
          <w:sz w:val="24"/>
          <w:szCs w:val="24"/>
        </w:rPr>
        <w:t>0</w:t>
      </w:r>
      <w:r w:rsidRPr="008E5B74">
        <w:rPr>
          <w:b/>
          <w:bCs/>
          <w:sz w:val="24"/>
          <w:szCs w:val="24"/>
        </w:rPr>
        <w:t>, 201</w:t>
      </w:r>
      <w:r w:rsidR="00836FAE">
        <w:rPr>
          <w:b/>
          <w:bCs/>
          <w:sz w:val="24"/>
          <w:szCs w:val="24"/>
        </w:rPr>
        <w:t>6</w:t>
      </w:r>
    </w:p>
    <w:p w14:paraId="50BC1093" w14:textId="77777777" w:rsidR="003D0502" w:rsidRPr="008E5B74" w:rsidRDefault="003D0502" w:rsidP="00B3771B">
      <w:pPr>
        <w:pStyle w:val="Heading1"/>
        <w:rPr>
          <w:rFonts w:cs="Times New Roman"/>
        </w:rPr>
      </w:pPr>
    </w:p>
    <w:p w14:paraId="50BC1094" w14:textId="77777777" w:rsidR="008E5B74" w:rsidRPr="008E5B74" w:rsidRDefault="008E5B74" w:rsidP="008E5B74"/>
    <w:p w14:paraId="50BC1095" w14:textId="77777777" w:rsidR="008E5B74" w:rsidRPr="008E5B74" w:rsidRDefault="008E5B74" w:rsidP="008E5B74"/>
    <w:p w14:paraId="50BC1096" w14:textId="77777777" w:rsidR="008E5B74" w:rsidRPr="008E5B74" w:rsidRDefault="008E5B74" w:rsidP="008E5B74"/>
    <w:p w14:paraId="50BC1097" w14:textId="77777777" w:rsidR="008E5B74" w:rsidRPr="008E5B74" w:rsidRDefault="008E5B74" w:rsidP="008E5B74"/>
    <w:p w14:paraId="50BC1098" w14:textId="77777777" w:rsidR="008E5B74" w:rsidRPr="008E5B74" w:rsidRDefault="008E5B74" w:rsidP="008E5B74"/>
    <w:p w14:paraId="50BC1099" w14:textId="77777777" w:rsidR="008E5B74" w:rsidRPr="008E5B74" w:rsidRDefault="008E5B74" w:rsidP="008E5B74"/>
    <w:p w14:paraId="50BC109A" w14:textId="77777777" w:rsidR="008E5B74" w:rsidRPr="008E5B74" w:rsidRDefault="008E5B74" w:rsidP="008E5B74"/>
    <w:p w14:paraId="50BC109B" w14:textId="77777777" w:rsidR="008E5B74" w:rsidRPr="008E5B74" w:rsidRDefault="008E5B74" w:rsidP="008E5B74"/>
    <w:p w14:paraId="50BC109C" w14:textId="77777777" w:rsidR="008E5B74" w:rsidRPr="008E5B74" w:rsidRDefault="008E5B74" w:rsidP="008E5B74"/>
    <w:p w14:paraId="50BC109D" w14:textId="77777777" w:rsidR="008E5B74" w:rsidRPr="008E5B74" w:rsidRDefault="008E5B74" w:rsidP="008E5B74">
      <w:pPr>
        <w:pStyle w:val="Heading1"/>
        <w:jc w:val="center"/>
        <w:rPr>
          <w:rFonts w:cs="Times New Roman"/>
          <w:sz w:val="32"/>
        </w:rPr>
      </w:pPr>
      <w:r w:rsidRPr="008E5B74">
        <w:rPr>
          <w:rFonts w:cs="Times New Roman"/>
          <w:sz w:val="32"/>
        </w:rPr>
        <w:lastRenderedPageBreak/>
        <w:t>201</w:t>
      </w:r>
      <w:r w:rsidR="00836FAE">
        <w:rPr>
          <w:rFonts w:cs="Times New Roman"/>
          <w:sz w:val="32"/>
        </w:rPr>
        <w:t>7</w:t>
      </w:r>
      <w:r w:rsidRPr="008E5B74">
        <w:rPr>
          <w:rFonts w:cs="Times New Roman"/>
          <w:sz w:val="32"/>
        </w:rPr>
        <w:t xml:space="preserve"> Electric Integrated Resource Planning Work Plan</w:t>
      </w:r>
    </w:p>
    <w:p w14:paraId="50BC109E" w14:textId="77777777" w:rsidR="008E5B74" w:rsidRPr="008E5B74" w:rsidRDefault="008E5B74" w:rsidP="008E5B74">
      <w:pPr>
        <w:jc w:val="both"/>
      </w:pPr>
    </w:p>
    <w:p w14:paraId="50BC109F" w14:textId="77777777" w:rsidR="008E5B74" w:rsidRPr="008E5B74" w:rsidRDefault="008E5B74" w:rsidP="008E5B74">
      <w:pPr>
        <w:pStyle w:val="BodyText"/>
        <w:rPr>
          <w:szCs w:val="24"/>
        </w:rPr>
      </w:pPr>
      <w:r w:rsidRPr="008E5B74">
        <w:rPr>
          <w:szCs w:val="24"/>
        </w:rPr>
        <w:t>This Work Plan is submitted in compliance with the Washington Utilities and Transportation Commission’s Integrated Resource Planning (IRP) rules (WAC 480-100-238). It outlines the process Avista will follow to develop its 201</w:t>
      </w:r>
      <w:r w:rsidR="00836FAE">
        <w:rPr>
          <w:szCs w:val="24"/>
        </w:rPr>
        <w:t>7</w:t>
      </w:r>
      <w:r w:rsidRPr="008E5B74">
        <w:rPr>
          <w:szCs w:val="24"/>
        </w:rPr>
        <w:t xml:space="preserve"> IRP for filing with Washington and Idaho Commissions by August 31, 201</w:t>
      </w:r>
      <w:r w:rsidR="00836FAE">
        <w:rPr>
          <w:szCs w:val="24"/>
        </w:rPr>
        <w:t>7</w:t>
      </w:r>
      <w:r w:rsidRPr="008E5B74">
        <w:rPr>
          <w:szCs w:val="24"/>
        </w:rPr>
        <w:t>. Avista uses a public process to solicit technical expertise and feedback throughout the development of the IRP through a series of public Technical Advisory Committee (TAC) meetings. Avista held the first TAC meeting for the 201</w:t>
      </w:r>
      <w:r w:rsidR="0088199B">
        <w:rPr>
          <w:szCs w:val="24"/>
        </w:rPr>
        <w:t>7</w:t>
      </w:r>
      <w:r w:rsidRPr="008E5B74">
        <w:rPr>
          <w:szCs w:val="24"/>
        </w:rPr>
        <w:t xml:space="preserve"> IRP on </w:t>
      </w:r>
      <w:r w:rsidR="00836FAE">
        <w:rPr>
          <w:szCs w:val="24"/>
        </w:rPr>
        <w:t xml:space="preserve">June </w:t>
      </w:r>
      <w:r w:rsidRPr="008E5B74">
        <w:rPr>
          <w:szCs w:val="24"/>
        </w:rPr>
        <w:t>2, 201</w:t>
      </w:r>
      <w:r w:rsidR="00836FAE">
        <w:rPr>
          <w:szCs w:val="24"/>
        </w:rPr>
        <w:t>6</w:t>
      </w:r>
      <w:r w:rsidRPr="008E5B74">
        <w:rPr>
          <w:szCs w:val="24"/>
        </w:rPr>
        <w:t>.</w:t>
      </w:r>
    </w:p>
    <w:p w14:paraId="50BC10A0" w14:textId="77777777" w:rsidR="008E5B74" w:rsidRPr="008E5B74" w:rsidRDefault="008E5B74" w:rsidP="008E5B74">
      <w:pPr>
        <w:jc w:val="both"/>
        <w:rPr>
          <w:sz w:val="24"/>
          <w:szCs w:val="24"/>
        </w:rPr>
      </w:pPr>
    </w:p>
    <w:p w14:paraId="50BC10A1" w14:textId="77777777" w:rsidR="008E5B74" w:rsidRPr="008E5B74" w:rsidRDefault="008E5B74" w:rsidP="008E5B74">
      <w:pPr>
        <w:jc w:val="both"/>
        <w:rPr>
          <w:sz w:val="24"/>
          <w:szCs w:val="24"/>
        </w:rPr>
      </w:pPr>
      <w:r w:rsidRPr="008E5B74">
        <w:rPr>
          <w:sz w:val="24"/>
          <w:szCs w:val="24"/>
        </w:rPr>
        <w:t>The 201</w:t>
      </w:r>
      <w:r w:rsidR="008A56FE">
        <w:rPr>
          <w:sz w:val="24"/>
          <w:szCs w:val="24"/>
        </w:rPr>
        <w:t>7</w:t>
      </w:r>
      <w:r w:rsidRPr="008E5B74">
        <w:rPr>
          <w:sz w:val="24"/>
          <w:szCs w:val="24"/>
        </w:rPr>
        <w:t xml:space="preserve"> IRP process will be similar to those used to produce the previous IRP</w:t>
      </w:r>
      <w:r w:rsidR="00A213B7">
        <w:rPr>
          <w:sz w:val="24"/>
          <w:szCs w:val="24"/>
        </w:rPr>
        <w:t>s</w:t>
      </w:r>
      <w:r w:rsidRPr="008E5B74">
        <w:rPr>
          <w:sz w:val="24"/>
          <w:szCs w:val="24"/>
        </w:rPr>
        <w:t>. Avista will use AURORA</w:t>
      </w:r>
      <w:r w:rsidRPr="008E5B74">
        <w:rPr>
          <w:sz w:val="24"/>
          <w:szCs w:val="24"/>
          <w:vertAlign w:val="superscript"/>
        </w:rPr>
        <w:t>xmp</w:t>
      </w:r>
      <w:r w:rsidRPr="008E5B74">
        <w:rPr>
          <w:sz w:val="24"/>
          <w:szCs w:val="24"/>
        </w:rPr>
        <w:t xml:space="preserve"> for electric market price forecasting, resource valuation and for conducting Monte-Carlo style risk analyses. AURORA</w:t>
      </w:r>
      <w:r w:rsidRPr="008E5B74">
        <w:rPr>
          <w:sz w:val="24"/>
          <w:szCs w:val="24"/>
          <w:vertAlign w:val="superscript"/>
        </w:rPr>
        <w:t>xmp</w:t>
      </w:r>
      <w:r w:rsidRPr="008E5B74">
        <w:rPr>
          <w:sz w:val="24"/>
          <w:szCs w:val="24"/>
        </w:rPr>
        <w:t xml:space="preserve"> modeling results will be used to select the Preferred Resource Strategy (PRS) using Avista’s proprietary PRiSM model. This tool fills future capacity and energy (physical/renewable) deficits using an efficient frontier approach to evaluate quantitative portfolio risk versus portfolio cost while accounting for environmental laws and regulations. Qualitative risk evaluations in</w:t>
      </w:r>
      <w:r w:rsidR="00A213B7">
        <w:rPr>
          <w:sz w:val="24"/>
          <w:szCs w:val="24"/>
        </w:rPr>
        <w:t>volve</w:t>
      </w:r>
      <w:r w:rsidRPr="008E5B74">
        <w:rPr>
          <w:sz w:val="24"/>
          <w:szCs w:val="24"/>
        </w:rPr>
        <w:t xml:space="preserve"> separate analyses. Exhibit 1 shows the </w:t>
      </w:r>
      <w:r w:rsidR="00A213B7">
        <w:rPr>
          <w:sz w:val="24"/>
          <w:szCs w:val="24"/>
        </w:rPr>
        <w:t>IRP</w:t>
      </w:r>
      <w:r w:rsidRPr="008E5B74">
        <w:rPr>
          <w:sz w:val="24"/>
          <w:szCs w:val="24"/>
        </w:rPr>
        <w:t xml:space="preserve"> timeline and the process to identify the PRS is in Exhibit 2.</w:t>
      </w:r>
    </w:p>
    <w:p w14:paraId="50BC10A2" w14:textId="77777777" w:rsidR="008E5B74" w:rsidRPr="008E5B74" w:rsidRDefault="008E5B74" w:rsidP="008E5B74">
      <w:pPr>
        <w:jc w:val="both"/>
        <w:rPr>
          <w:sz w:val="24"/>
          <w:szCs w:val="24"/>
        </w:rPr>
      </w:pPr>
    </w:p>
    <w:p w14:paraId="50BC10A3" w14:textId="77777777" w:rsidR="008E5B74" w:rsidRPr="008E5B74" w:rsidRDefault="008E5B74" w:rsidP="008E5B74">
      <w:pPr>
        <w:jc w:val="both"/>
        <w:rPr>
          <w:sz w:val="24"/>
          <w:szCs w:val="24"/>
        </w:rPr>
      </w:pPr>
      <w:r w:rsidRPr="008E5B74">
        <w:rPr>
          <w:sz w:val="24"/>
          <w:szCs w:val="24"/>
        </w:rPr>
        <w:t>Avista intends to use both detailed site-specific and generic resource assumptions in development of the 201</w:t>
      </w:r>
      <w:r w:rsidR="0084397A">
        <w:rPr>
          <w:sz w:val="24"/>
          <w:szCs w:val="24"/>
        </w:rPr>
        <w:t>7</w:t>
      </w:r>
      <w:r w:rsidRPr="008E5B74">
        <w:rPr>
          <w:sz w:val="24"/>
          <w:szCs w:val="24"/>
        </w:rPr>
        <w:t xml:space="preserve"> IRP. The assumptions combine Avista’s research of similar generating technologies, engineering studies, and the Northwest Power and Conservation Council’s Seventh Power Plan. This IRP will study renewable portfolio standards, environmental costs, sustained peaking requirements and resource adequacy, energy efficiency programs</w:t>
      </w:r>
      <w:r w:rsidR="00A213B7">
        <w:rPr>
          <w:sz w:val="24"/>
          <w:szCs w:val="24"/>
        </w:rPr>
        <w:t>, energy storage</w:t>
      </w:r>
      <w:r w:rsidRPr="008E5B74">
        <w:rPr>
          <w:sz w:val="24"/>
          <w:szCs w:val="24"/>
        </w:rPr>
        <w:t xml:space="preserve"> and demand response. The IRP will develop a strategy that meets or exceeds both the renewable portfolio standards and greenhouse gas emissions regulations.</w:t>
      </w:r>
    </w:p>
    <w:p w14:paraId="50BC10A4" w14:textId="77777777" w:rsidR="008E5B74" w:rsidRPr="008E5B74" w:rsidRDefault="008E5B74" w:rsidP="008E5B74">
      <w:pPr>
        <w:jc w:val="both"/>
        <w:rPr>
          <w:sz w:val="24"/>
          <w:szCs w:val="24"/>
        </w:rPr>
      </w:pPr>
    </w:p>
    <w:p w14:paraId="50BC10A5" w14:textId="77777777" w:rsidR="008E5B74" w:rsidRPr="008E5B74" w:rsidRDefault="008E5B74" w:rsidP="008E5B74">
      <w:pPr>
        <w:pStyle w:val="BodyText"/>
        <w:rPr>
          <w:szCs w:val="24"/>
        </w:rPr>
      </w:pPr>
      <w:r w:rsidRPr="008E5B74">
        <w:rPr>
          <w:szCs w:val="24"/>
        </w:rPr>
        <w:t>Avista intends to test the PRS against a range of scenarios and potential futures. The TAC meetings will help to determine the underlying assumptions used in the scenarios and futures. The IRP process is very technical and data intensive; public comments are welcome but timely input and participation will be necessary for inclusion into the process so the plan can be submitted according to the tentative schedule in this Work Plan.</w:t>
      </w:r>
    </w:p>
    <w:p w14:paraId="50BC10A6" w14:textId="77777777" w:rsidR="008E5B74" w:rsidRPr="008E5B74" w:rsidRDefault="008E5B74" w:rsidP="008E5B74">
      <w:pPr>
        <w:rPr>
          <w:sz w:val="24"/>
          <w:szCs w:val="24"/>
        </w:rPr>
      </w:pPr>
    </w:p>
    <w:p w14:paraId="50BC10A7" w14:textId="77777777" w:rsidR="008E5B74" w:rsidRPr="008E5B74" w:rsidRDefault="008E5B74" w:rsidP="008E5B74">
      <w:pPr>
        <w:pStyle w:val="xl22"/>
        <w:spacing w:before="0" w:beforeAutospacing="0" w:after="0" w:afterAutospacing="0"/>
        <w:ind w:firstLineChars="0" w:firstLine="0"/>
        <w:rPr>
          <w:rFonts w:ascii="Times New Roman" w:eastAsia="Times New Roman" w:hAnsi="Times New Roman" w:cs="Times New Roman"/>
        </w:rPr>
      </w:pPr>
      <w:r w:rsidRPr="008E5B74">
        <w:rPr>
          <w:rFonts w:ascii="Times New Roman" w:eastAsia="Times New Roman" w:hAnsi="Times New Roman" w:cs="Times New Roman"/>
        </w:rPr>
        <w:t>The following topics and meeting times may change depending on the availability of presenters and requests for additional topics from the TAC members. The tentative timeline and agenda items for TAC meetings follows:</w:t>
      </w:r>
    </w:p>
    <w:p w14:paraId="50BC10A8" w14:textId="77777777" w:rsidR="008E5B74" w:rsidRPr="008E5B74" w:rsidRDefault="008E5B74" w:rsidP="008E5B74">
      <w:pPr>
        <w:pStyle w:val="xl22"/>
        <w:spacing w:before="0" w:beforeAutospacing="0" w:after="0" w:afterAutospacing="0"/>
        <w:ind w:firstLineChars="0" w:firstLine="0"/>
        <w:rPr>
          <w:rFonts w:ascii="Times New Roman" w:eastAsia="Times New Roman" w:hAnsi="Times New Roman" w:cs="Times New Roman"/>
        </w:rPr>
      </w:pPr>
    </w:p>
    <w:p w14:paraId="50BC10A9" w14:textId="77777777" w:rsidR="008E5B74" w:rsidRPr="008E5B74" w:rsidRDefault="008E5B74" w:rsidP="008E5B74">
      <w:pPr>
        <w:pStyle w:val="xl22"/>
        <w:numPr>
          <w:ilvl w:val="0"/>
          <w:numId w:val="2"/>
        </w:numPr>
        <w:spacing w:before="0" w:beforeAutospacing="0" w:after="0" w:afterAutospacing="0"/>
        <w:ind w:firstLineChars="0"/>
        <w:rPr>
          <w:rFonts w:ascii="Times New Roman" w:eastAsia="Times New Roman" w:hAnsi="Times New Roman" w:cs="Times New Roman"/>
        </w:rPr>
      </w:pPr>
      <w:r w:rsidRPr="008E5B74">
        <w:rPr>
          <w:rFonts w:ascii="Times New Roman" w:eastAsia="Times New Roman" w:hAnsi="Times New Roman" w:cs="Times New Roman"/>
          <w:b/>
          <w:bCs/>
        </w:rPr>
        <w:t>TAC 1</w:t>
      </w:r>
      <w:r w:rsidR="007B6452">
        <w:rPr>
          <w:rFonts w:ascii="Times New Roman" w:eastAsia="Times New Roman" w:hAnsi="Times New Roman" w:cs="Times New Roman"/>
          <w:b/>
          <w:bCs/>
        </w:rPr>
        <w:t>:</w:t>
      </w:r>
      <w:r w:rsidRPr="008E5B74">
        <w:rPr>
          <w:rFonts w:ascii="Times New Roman" w:eastAsia="Times New Roman" w:hAnsi="Times New Roman" w:cs="Times New Roman"/>
          <w:b/>
          <w:bCs/>
        </w:rPr>
        <w:t xml:space="preserve"> </w:t>
      </w:r>
      <w:r w:rsidR="0002659F">
        <w:rPr>
          <w:rFonts w:ascii="Times New Roman" w:eastAsia="Times New Roman" w:hAnsi="Times New Roman" w:cs="Times New Roman"/>
          <w:b/>
          <w:bCs/>
        </w:rPr>
        <w:t xml:space="preserve">Thursday, </w:t>
      </w:r>
      <w:r w:rsidR="0084397A">
        <w:rPr>
          <w:rFonts w:ascii="Times New Roman" w:eastAsia="Times New Roman" w:hAnsi="Times New Roman" w:cs="Times New Roman"/>
          <w:b/>
          <w:bCs/>
        </w:rPr>
        <w:t>June</w:t>
      </w:r>
      <w:r w:rsidRPr="008E5B74">
        <w:rPr>
          <w:rFonts w:ascii="Times New Roman" w:eastAsia="Times New Roman" w:hAnsi="Times New Roman" w:cs="Times New Roman"/>
          <w:b/>
          <w:bCs/>
        </w:rPr>
        <w:t xml:space="preserve"> 2, 201</w:t>
      </w:r>
      <w:r w:rsidR="0084397A">
        <w:rPr>
          <w:rFonts w:ascii="Times New Roman" w:eastAsia="Times New Roman" w:hAnsi="Times New Roman" w:cs="Times New Roman"/>
          <w:b/>
          <w:bCs/>
        </w:rPr>
        <w:t>6</w:t>
      </w:r>
      <w:r w:rsidRPr="008E5B74">
        <w:rPr>
          <w:rFonts w:ascii="Times New Roman" w:eastAsia="Times New Roman" w:hAnsi="Times New Roman" w:cs="Times New Roman"/>
          <w:b/>
          <w:bCs/>
        </w:rPr>
        <w:t xml:space="preserve">: </w:t>
      </w:r>
      <w:r w:rsidR="0084397A">
        <w:rPr>
          <w:rFonts w:ascii="Times New Roman" w:eastAsia="Times New Roman" w:hAnsi="Times New Roman" w:cs="Times New Roman"/>
          <w:bCs/>
        </w:rPr>
        <w:t>TAC m</w:t>
      </w:r>
      <w:r w:rsidRPr="008E5B74">
        <w:rPr>
          <w:rFonts w:ascii="Times New Roman" w:eastAsia="Times New Roman" w:hAnsi="Times New Roman" w:cs="Times New Roman"/>
          <w:bCs/>
        </w:rPr>
        <w:t>e</w:t>
      </w:r>
      <w:r w:rsidR="0084397A">
        <w:rPr>
          <w:rFonts w:ascii="Times New Roman" w:eastAsia="Times New Roman" w:hAnsi="Times New Roman" w:cs="Times New Roman"/>
          <w:bCs/>
        </w:rPr>
        <w:t>e</w:t>
      </w:r>
      <w:r w:rsidRPr="008E5B74">
        <w:rPr>
          <w:rFonts w:ascii="Times New Roman" w:eastAsia="Times New Roman" w:hAnsi="Times New Roman" w:cs="Times New Roman"/>
          <w:bCs/>
        </w:rPr>
        <w:t>ting Expectations, review of 201</w:t>
      </w:r>
      <w:r w:rsidR="0084397A">
        <w:rPr>
          <w:rFonts w:ascii="Times New Roman" w:eastAsia="Times New Roman" w:hAnsi="Times New Roman" w:cs="Times New Roman"/>
          <w:bCs/>
        </w:rPr>
        <w:t>5</w:t>
      </w:r>
      <w:r w:rsidRPr="008E5B74">
        <w:rPr>
          <w:rFonts w:ascii="Times New Roman" w:eastAsia="Times New Roman" w:hAnsi="Times New Roman" w:cs="Times New Roman"/>
          <w:bCs/>
        </w:rPr>
        <w:t xml:space="preserve"> IRP acknowledgement letters, Energy Independence Act compliance, </w:t>
      </w:r>
      <w:r w:rsidR="0084397A">
        <w:rPr>
          <w:rFonts w:ascii="Times New Roman" w:eastAsia="Times New Roman" w:hAnsi="Times New Roman" w:cs="Times New Roman"/>
          <w:bCs/>
        </w:rPr>
        <w:t>energy efficiency modeling discussion</w:t>
      </w:r>
      <w:r w:rsidRPr="008E5B74">
        <w:rPr>
          <w:rFonts w:ascii="Times New Roman" w:eastAsia="Times New Roman" w:hAnsi="Times New Roman" w:cs="Times New Roman"/>
          <w:bCs/>
        </w:rPr>
        <w:t xml:space="preserve">, </w:t>
      </w:r>
      <w:r w:rsidR="0084397A">
        <w:rPr>
          <w:rFonts w:ascii="Times New Roman" w:eastAsia="Times New Roman" w:hAnsi="Times New Roman" w:cs="Times New Roman"/>
          <w:bCs/>
        </w:rPr>
        <w:t>resource adequacy – preliminary results</w:t>
      </w:r>
      <w:r w:rsidRPr="008E5B74">
        <w:rPr>
          <w:rFonts w:ascii="Times New Roman" w:eastAsia="Times New Roman" w:hAnsi="Times New Roman" w:cs="Times New Roman"/>
          <w:bCs/>
        </w:rPr>
        <w:t xml:space="preserve"> and review the 201</w:t>
      </w:r>
      <w:r w:rsidR="0084397A">
        <w:rPr>
          <w:rFonts w:ascii="Times New Roman" w:eastAsia="Times New Roman" w:hAnsi="Times New Roman" w:cs="Times New Roman"/>
          <w:bCs/>
        </w:rPr>
        <w:t>7</w:t>
      </w:r>
      <w:r w:rsidRPr="008E5B74">
        <w:rPr>
          <w:rFonts w:ascii="Times New Roman" w:eastAsia="Times New Roman" w:hAnsi="Times New Roman" w:cs="Times New Roman"/>
          <w:bCs/>
        </w:rPr>
        <w:t xml:space="preserve"> IRP draft Work Plan.</w:t>
      </w:r>
    </w:p>
    <w:p w14:paraId="50BC10AA" w14:textId="77777777" w:rsidR="008E5B74" w:rsidRPr="008E5B74" w:rsidRDefault="008E5B74" w:rsidP="008E5B74">
      <w:pPr>
        <w:pStyle w:val="xl22"/>
        <w:spacing w:before="0" w:beforeAutospacing="0" w:after="0" w:afterAutospacing="0"/>
        <w:ind w:left="432" w:firstLineChars="0" w:firstLine="0"/>
        <w:rPr>
          <w:rFonts w:ascii="Times New Roman" w:eastAsia="Times New Roman" w:hAnsi="Times New Roman" w:cs="Times New Roman"/>
        </w:rPr>
      </w:pPr>
    </w:p>
    <w:p w14:paraId="50BC10AB" w14:textId="77777777" w:rsidR="008E5B74" w:rsidRPr="009D17FD" w:rsidRDefault="008E5B74" w:rsidP="008E5B74">
      <w:pPr>
        <w:pStyle w:val="xl22"/>
        <w:numPr>
          <w:ilvl w:val="0"/>
          <w:numId w:val="2"/>
        </w:numPr>
        <w:spacing w:before="0" w:beforeAutospacing="0" w:after="0" w:afterAutospacing="0"/>
        <w:ind w:firstLineChars="0"/>
        <w:rPr>
          <w:rFonts w:ascii="Times New Roman" w:eastAsia="Times New Roman" w:hAnsi="Times New Roman" w:cs="Times New Roman"/>
        </w:rPr>
      </w:pPr>
      <w:r w:rsidRPr="008E5B74">
        <w:rPr>
          <w:rFonts w:ascii="Times New Roman" w:eastAsia="Times New Roman" w:hAnsi="Times New Roman" w:cs="Times New Roman"/>
          <w:b/>
          <w:bCs/>
        </w:rPr>
        <w:t>TAC 2</w:t>
      </w:r>
      <w:r w:rsidR="007B6452">
        <w:rPr>
          <w:rFonts w:ascii="Times New Roman" w:eastAsia="Times New Roman" w:hAnsi="Times New Roman" w:cs="Times New Roman"/>
          <w:b/>
          <w:bCs/>
        </w:rPr>
        <w:t>:</w:t>
      </w:r>
      <w:r w:rsidRPr="008E5B74">
        <w:rPr>
          <w:rFonts w:ascii="Times New Roman" w:eastAsia="Times New Roman" w:hAnsi="Times New Roman" w:cs="Times New Roman"/>
          <w:b/>
          <w:bCs/>
        </w:rPr>
        <w:t xml:space="preserve"> </w:t>
      </w:r>
      <w:r w:rsidR="007B6452">
        <w:rPr>
          <w:rFonts w:ascii="Times New Roman" w:eastAsia="Times New Roman" w:hAnsi="Times New Roman" w:cs="Times New Roman"/>
          <w:b/>
          <w:bCs/>
        </w:rPr>
        <w:t xml:space="preserve">Wednesday, </w:t>
      </w:r>
      <w:r w:rsidRPr="008E5B74">
        <w:rPr>
          <w:rFonts w:ascii="Times New Roman" w:eastAsia="Times New Roman" w:hAnsi="Times New Roman" w:cs="Times New Roman"/>
          <w:b/>
          <w:bCs/>
        </w:rPr>
        <w:t xml:space="preserve">September </w:t>
      </w:r>
      <w:r w:rsidR="007B6452">
        <w:rPr>
          <w:rFonts w:ascii="Times New Roman" w:eastAsia="Times New Roman" w:hAnsi="Times New Roman" w:cs="Times New Roman"/>
          <w:b/>
          <w:bCs/>
        </w:rPr>
        <w:t xml:space="preserve">28, </w:t>
      </w:r>
      <w:r w:rsidRPr="008E5B74">
        <w:rPr>
          <w:rFonts w:ascii="Times New Roman" w:eastAsia="Times New Roman" w:hAnsi="Times New Roman" w:cs="Times New Roman"/>
          <w:b/>
          <w:bCs/>
        </w:rPr>
        <w:t>201</w:t>
      </w:r>
      <w:r w:rsidR="0084397A">
        <w:rPr>
          <w:rFonts w:ascii="Times New Roman" w:eastAsia="Times New Roman" w:hAnsi="Times New Roman" w:cs="Times New Roman"/>
          <w:b/>
          <w:bCs/>
        </w:rPr>
        <w:t>6</w:t>
      </w:r>
      <w:r w:rsidRPr="008E5B74">
        <w:rPr>
          <w:rFonts w:ascii="Times New Roman" w:eastAsia="Times New Roman" w:hAnsi="Times New Roman" w:cs="Times New Roman"/>
          <w:b/>
          <w:bCs/>
        </w:rPr>
        <w:t>:</w:t>
      </w:r>
      <w:r w:rsidRPr="008E5B74">
        <w:rPr>
          <w:rFonts w:ascii="Times New Roman" w:eastAsia="Times New Roman" w:hAnsi="Times New Roman" w:cs="Times New Roman"/>
          <w:bCs/>
        </w:rPr>
        <w:t xml:space="preserve"> Review conservation selection methodology, </w:t>
      </w:r>
      <w:r w:rsidRPr="009D17FD">
        <w:rPr>
          <w:rFonts w:ascii="Times New Roman" w:eastAsia="Times New Roman" w:hAnsi="Times New Roman" w:cs="Times New Roman"/>
          <w:bCs/>
        </w:rPr>
        <w:t xml:space="preserve">update on the Company’s demand response study, load and economic forecasts, </w:t>
      </w:r>
      <w:r w:rsidR="009D17FD" w:rsidRPr="009D17FD">
        <w:rPr>
          <w:rFonts w:ascii="Times New Roman" w:eastAsia="Times New Roman" w:hAnsi="Times New Roman" w:cs="Times New Roman"/>
          <w:bCs/>
        </w:rPr>
        <w:t>p</w:t>
      </w:r>
      <w:r w:rsidR="00085826" w:rsidRPr="009D17FD">
        <w:rPr>
          <w:rFonts w:ascii="Times New Roman" w:eastAsia="Times New Roman" w:hAnsi="Times New Roman" w:cs="Times New Roman"/>
          <w:bCs/>
        </w:rPr>
        <w:t xml:space="preserve">lanning margin and </w:t>
      </w:r>
      <w:r w:rsidRPr="009D17FD">
        <w:rPr>
          <w:rFonts w:ascii="Times New Roman" w:eastAsia="Times New Roman" w:hAnsi="Times New Roman" w:cs="Times New Roman"/>
          <w:bCs/>
        </w:rPr>
        <w:t>generation options.</w:t>
      </w:r>
    </w:p>
    <w:p w14:paraId="50BC10AC" w14:textId="77777777" w:rsidR="008E5B74" w:rsidRPr="008E5B74" w:rsidRDefault="008E5B74" w:rsidP="008E5B74">
      <w:pPr>
        <w:pStyle w:val="xl22"/>
        <w:spacing w:before="0" w:beforeAutospacing="0" w:after="0" w:afterAutospacing="0"/>
        <w:ind w:left="432" w:firstLineChars="0" w:firstLine="0"/>
        <w:rPr>
          <w:rFonts w:ascii="Times New Roman" w:eastAsia="Times New Roman" w:hAnsi="Times New Roman" w:cs="Times New Roman"/>
        </w:rPr>
      </w:pPr>
    </w:p>
    <w:p w14:paraId="50BC10AD" w14:textId="77777777" w:rsidR="008E5B74" w:rsidRPr="009D17FD" w:rsidRDefault="008E5B74" w:rsidP="008E5B74">
      <w:pPr>
        <w:pStyle w:val="xl22"/>
        <w:numPr>
          <w:ilvl w:val="0"/>
          <w:numId w:val="2"/>
        </w:numPr>
        <w:spacing w:before="0" w:beforeAutospacing="0" w:after="0" w:afterAutospacing="0"/>
        <w:ind w:firstLineChars="0"/>
        <w:rPr>
          <w:rFonts w:ascii="Times New Roman" w:eastAsia="Times New Roman" w:hAnsi="Times New Roman" w:cs="Times New Roman"/>
        </w:rPr>
      </w:pPr>
      <w:r w:rsidRPr="008E5B74">
        <w:rPr>
          <w:rFonts w:ascii="Times New Roman" w:eastAsia="Times New Roman" w:hAnsi="Times New Roman" w:cs="Times New Roman"/>
          <w:b/>
          <w:bCs/>
        </w:rPr>
        <w:lastRenderedPageBreak/>
        <w:t>TAC 3</w:t>
      </w:r>
      <w:r w:rsidR="007B6452">
        <w:rPr>
          <w:rFonts w:ascii="Times New Roman" w:eastAsia="Times New Roman" w:hAnsi="Times New Roman" w:cs="Times New Roman"/>
          <w:b/>
          <w:bCs/>
        </w:rPr>
        <w:t>:</w:t>
      </w:r>
      <w:r w:rsidRPr="008E5B74">
        <w:rPr>
          <w:rFonts w:ascii="Times New Roman" w:eastAsia="Times New Roman" w:hAnsi="Times New Roman" w:cs="Times New Roman"/>
          <w:b/>
          <w:bCs/>
        </w:rPr>
        <w:t xml:space="preserve"> </w:t>
      </w:r>
      <w:r w:rsidR="0002659F">
        <w:rPr>
          <w:rFonts w:ascii="Times New Roman" w:eastAsia="Times New Roman" w:hAnsi="Times New Roman" w:cs="Times New Roman"/>
          <w:b/>
          <w:bCs/>
        </w:rPr>
        <w:t xml:space="preserve">Tuesday, </w:t>
      </w:r>
      <w:r w:rsidRPr="008E5B74">
        <w:rPr>
          <w:rFonts w:ascii="Times New Roman" w:eastAsia="Times New Roman" w:hAnsi="Times New Roman" w:cs="Times New Roman"/>
          <w:b/>
          <w:bCs/>
        </w:rPr>
        <w:t xml:space="preserve">November </w:t>
      </w:r>
      <w:r w:rsidR="0002659F">
        <w:rPr>
          <w:rFonts w:ascii="Times New Roman" w:eastAsia="Times New Roman" w:hAnsi="Times New Roman" w:cs="Times New Roman"/>
          <w:b/>
          <w:bCs/>
        </w:rPr>
        <w:t xml:space="preserve">8, </w:t>
      </w:r>
      <w:r w:rsidRPr="008E5B74">
        <w:rPr>
          <w:rFonts w:ascii="Times New Roman" w:eastAsia="Times New Roman" w:hAnsi="Times New Roman" w:cs="Times New Roman"/>
          <w:b/>
          <w:bCs/>
        </w:rPr>
        <w:t>201</w:t>
      </w:r>
      <w:r w:rsidR="00B301EF">
        <w:rPr>
          <w:rFonts w:ascii="Times New Roman" w:eastAsia="Times New Roman" w:hAnsi="Times New Roman" w:cs="Times New Roman"/>
          <w:b/>
          <w:bCs/>
        </w:rPr>
        <w:t>6</w:t>
      </w:r>
      <w:r w:rsidRPr="008E5B74">
        <w:rPr>
          <w:rFonts w:ascii="Times New Roman" w:eastAsia="Times New Roman" w:hAnsi="Times New Roman" w:cs="Times New Roman"/>
          <w:b/>
          <w:bCs/>
        </w:rPr>
        <w:t xml:space="preserve">: </w:t>
      </w:r>
      <w:r w:rsidRPr="008E5B74">
        <w:rPr>
          <w:rFonts w:ascii="Times New Roman" w:eastAsia="Times New Roman" w:hAnsi="Times New Roman" w:cs="Times New Roman"/>
          <w:bCs/>
        </w:rPr>
        <w:t xml:space="preserve">Colstrip discussion, cost of carbon, modeling </w:t>
      </w:r>
      <w:r w:rsidRPr="009D17FD">
        <w:rPr>
          <w:rFonts w:ascii="Times New Roman" w:eastAsia="Times New Roman" w:hAnsi="Times New Roman" w:cs="Times New Roman"/>
          <w:bCs/>
        </w:rPr>
        <w:t>overview</w:t>
      </w:r>
      <w:r w:rsidR="00F80D2F" w:rsidRPr="009D17FD">
        <w:rPr>
          <w:rFonts w:ascii="Times New Roman" w:eastAsia="Times New Roman" w:hAnsi="Times New Roman" w:cs="Times New Roman"/>
          <w:bCs/>
        </w:rPr>
        <w:t>, Power Plan Simulator,</w:t>
      </w:r>
      <w:r w:rsidRPr="009D17FD">
        <w:rPr>
          <w:rFonts w:ascii="Times New Roman" w:eastAsia="Times New Roman" w:hAnsi="Times New Roman" w:cs="Times New Roman"/>
          <w:bCs/>
        </w:rPr>
        <w:t xml:space="preserve"> and </w:t>
      </w:r>
      <w:r w:rsidR="00085826" w:rsidRPr="009D17FD">
        <w:rPr>
          <w:rFonts w:ascii="Times New Roman" w:eastAsia="Times New Roman" w:hAnsi="Times New Roman" w:cs="Times New Roman"/>
          <w:bCs/>
        </w:rPr>
        <w:t>Clean Power Plan &amp; Clean Air Rule discussion</w:t>
      </w:r>
      <w:r w:rsidRPr="009D17FD">
        <w:rPr>
          <w:rFonts w:ascii="Times New Roman" w:eastAsia="Times New Roman" w:hAnsi="Times New Roman" w:cs="Times New Roman"/>
          <w:bCs/>
        </w:rPr>
        <w:t>.</w:t>
      </w:r>
    </w:p>
    <w:p w14:paraId="50BC10AE" w14:textId="77777777" w:rsidR="008E5B74" w:rsidRPr="008E5B74" w:rsidRDefault="008E5B74" w:rsidP="008E5B74">
      <w:pPr>
        <w:pStyle w:val="xl22"/>
        <w:spacing w:before="0" w:beforeAutospacing="0" w:after="0" w:afterAutospacing="0"/>
        <w:ind w:left="432" w:firstLineChars="0" w:firstLine="0"/>
        <w:rPr>
          <w:rFonts w:ascii="Times New Roman" w:eastAsia="Times New Roman" w:hAnsi="Times New Roman" w:cs="Times New Roman"/>
        </w:rPr>
      </w:pPr>
    </w:p>
    <w:p w14:paraId="50BC10AF" w14:textId="77777777" w:rsidR="008E5B74" w:rsidRPr="008E5B74" w:rsidRDefault="008E5B74" w:rsidP="008E5B74">
      <w:pPr>
        <w:pStyle w:val="xl22"/>
        <w:numPr>
          <w:ilvl w:val="0"/>
          <w:numId w:val="2"/>
        </w:numPr>
        <w:spacing w:before="0" w:beforeAutospacing="0" w:after="0" w:afterAutospacing="0"/>
        <w:ind w:firstLineChars="0"/>
        <w:rPr>
          <w:rFonts w:ascii="Times New Roman" w:eastAsia="Times New Roman" w:hAnsi="Times New Roman" w:cs="Times New Roman"/>
        </w:rPr>
      </w:pPr>
      <w:r w:rsidRPr="008E5B74">
        <w:rPr>
          <w:rFonts w:ascii="Times New Roman" w:eastAsia="Times New Roman" w:hAnsi="Times New Roman" w:cs="Times New Roman"/>
          <w:b/>
          <w:bCs/>
        </w:rPr>
        <w:t>TAC 4</w:t>
      </w:r>
      <w:r w:rsidR="007B6452">
        <w:rPr>
          <w:rFonts w:ascii="Times New Roman" w:eastAsia="Times New Roman" w:hAnsi="Times New Roman" w:cs="Times New Roman"/>
          <w:b/>
          <w:bCs/>
        </w:rPr>
        <w:t>:</w:t>
      </w:r>
      <w:r w:rsidRPr="008E5B74">
        <w:rPr>
          <w:rFonts w:ascii="Times New Roman" w:eastAsia="Times New Roman" w:hAnsi="Times New Roman" w:cs="Times New Roman"/>
          <w:b/>
          <w:bCs/>
        </w:rPr>
        <w:t xml:space="preserve"> </w:t>
      </w:r>
      <w:r w:rsidR="0002659F">
        <w:rPr>
          <w:rFonts w:ascii="Times New Roman" w:eastAsia="Times New Roman" w:hAnsi="Times New Roman" w:cs="Times New Roman"/>
          <w:b/>
          <w:bCs/>
        </w:rPr>
        <w:t xml:space="preserve">Wednesday, </w:t>
      </w:r>
      <w:r w:rsidRPr="008E5B74">
        <w:rPr>
          <w:rFonts w:ascii="Times New Roman" w:eastAsia="Times New Roman" w:hAnsi="Times New Roman" w:cs="Times New Roman"/>
          <w:b/>
          <w:bCs/>
        </w:rPr>
        <w:t xml:space="preserve">February </w:t>
      </w:r>
      <w:r w:rsidR="0002659F">
        <w:rPr>
          <w:rFonts w:ascii="Times New Roman" w:eastAsia="Times New Roman" w:hAnsi="Times New Roman" w:cs="Times New Roman"/>
          <w:b/>
          <w:bCs/>
        </w:rPr>
        <w:t xml:space="preserve">15, </w:t>
      </w:r>
      <w:r w:rsidRPr="008E5B74">
        <w:rPr>
          <w:rFonts w:ascii="Times New Roman" w:eastAsia="Times New Roman" w:hAnsi="Times New Roman" w:cs="Times New Roman"/>
          <w:b/>
          <w:bCs/>
        </w:rPr>
        <w:t>201</w:t>
      </w:r>
      <w:r w:rsidR="00B301EF">
        <w:rPr>
          <w:rFonts w:ascii="Times New Roman" w:eastAsia="Times New Roman" w:hAnsi="Times New Roman" w:cs="Times New Roman"/>
          <w:b/>
          <w:bCs/>
        </w:rPr>
        <w:t>7</w:t>
      </w:r>
      <w:r w:rsidRPr="008E5B74">
        <w:rPr>
          <w:rFonts w:ascii="Times New Roman" w:eastAsia="Times New Roman" w:hAnsi="Times New Roman" w:cs="Times New Roman"/>
          <w:b/>
          <w:bCs/>
        </w:rPr>
        <w:t>:</w:t>
      </w:r>
      <w:r w:rsidRPr="008E5B74">
        <w:rPr>
          <w:rFonts w:ascii="Times New Roman" w:eastAsia="Times New Roman" w:hAnsi="Times New Roman" w:cs="Times New Roman"/>
        </w:rPr>
        <w:t xml:space="preserve"> Electric and natural gas price forecasts, transmission planning, resource needs assessment, market and portfolio scenario development,</w:t>
      </w:r>
      <w:r w:rsidRPr="008E5B74">
        <w:rPr>
          <w:rFonts w:ascii="Times New Roman" w:eastAsia="Times New Roman" w:hAnsi="Times New Roman" w:cs="Times New Roman"/>
          <w:bCs/>
        </w:rPr>
        <w:t xml:space="preserve"> </w:t>
      </w:r>
    </w:p>
    <w:p w14:paraId="50BC10B0" w14:textId="77777777" w:rsidR="008E5B74" w:rsidRPr="008E5B74" w:rsidRDefault="008E5B74" w:rsidP="008E5B74">
      <w:pPr>
        <w:pStyle w:val="xl22"/>
        <w:spacing w:before="0" w:beforeAutospacing="0" w:after="0" w:afterAutospacing="0"/>
        <w:ind w:left="432" w:firstLineChars="0" w:firstLine="0"/>
        <w:rPr>
          <w:rFonts w:ascii="Times New Roman" w:eastAsia="Times New Roman" w:hAnsi="Times New Roman" w:cs="Times New Roman"/>
        </w:rPr>
      </w:pPr>
    </w:p>
    <w:p w14:paraId="50BC10B1" w14:textId="77777777" w:rsidR="008E5B74" w:rsidRPr="008E5B74" w:rsidRDefault="008E5B74" w:rsidP="008E5B74">
      <w:pPr>
        <w:pStyle w:val="xl22"/>
        <w:numPr>
          <w:ilvl w:val="0"/>
          <w:numId w:val="2"/>
        </w:numPr>
        <w:spacing w:before="0" w:beforeAutospacing="0" w:after="0" w:afterAutospacing="0"/>
        <w:ind w:firstLineChars="0"/>
        <w:rPr>
          <w:rFonts w:ascii="Times New Roman" w:eastAsia="Times New Roman" w:hAnsi="Times New Roman" w:cs="Times New Roman"/>
        </w:rPr>
      </w:pPr>
      <w:r w:rsidRPr="009D17FD">
        <w:rPr>
          <w:rFonts w:ascii="Times New Roman" w:eastAsia="Times New Roman" w:hAnsi="Times New Roman" w:cs="Times New Roman"/>
          <w:b/>
          <w:bCs/>
        </w:rPr>
        <w:t>TAC 5</w:t>
      </w:r>
      <w:r w:rsidR="007B6452" w:rsidRPr="009D17FD">
        <w:rPr>
          <w:rFonts w:ascii="Times New Roman" w:eastAsia="Times New Roman" w:hAnsi="Times New Roman" w:cs="Times New Roman"/>
          <w:b/>
          <w:bCs/>
        </w:rPr>
        <w:t>:</w:t>
      </w:r>
      <w:r w:rsidRPr="009D17FD">
        <w:rPr>
          <w:rFonts w:ascii="Times New Roman" w:eastAsia="Times New Roman" w:hAnsi="Times New Roman" w:cs="Times New Roman"/>
          <w:b/>
          <w:bCs/>
        </w:rPr>
        <w:t xml:space="preserve"> </w:t>
      </w:r>
      <w:r w:rsidR="0002659F" w:rsidRPr="009D17FD">
        <w:rPr>
          <w:rFonts w:ascii="Times New Roman" w:eastAsia="Times New Roman" w:hAnsi="Times New Roman" w:cs="Times New Roman"/>
          <w:b/>
          <w:bCs/>
        </w:rPr>
        <w:t xml:space="preserve">Tuesday, </w:t>
      </w:r>
      <w:r w:rsidRPr="009D17FD">
        <w:rPr>
          <w:rFonts w:ascii="Times New Roman" w:eastAsia="Times New Roman" w:hAnsi="Times New Roman" w:cs="Times New Roman"/>
          <w:b/>
          <w:bCs/>
        </w:rPr>
        <w:t>March</w:t>
      </w:r>
      <w:r w:rsidR="0002659F" w:rsidRPr="009D17FD">
        <w:rPr>
          <w:rFonts w:ascii="Times New Roman" w:eastAsia="Times New Roman" w:hAnsi="Times New Roman" w:cs="Times New Roman"/>
          <w:b/>
          <w:bCs/>
        </w:rPr>
        <w:t xml:space="preserve"> 28,</w:t>
      </w:r>
      <w:r w:rsidRPr="009D17FD">
        <w:rPr>
          <w:rFonts w:ascii="Times New Roman" w:eastAsia="Times New Roman" w:hAnsi="Times New Roman" w:cs="Times New Roman"/>
          <w:b/>
          <w:bCs/>
        </w:rPr>
        <w:t xml:space="preserve"> 201</w:t>
      </w:r>
      <w:r w:rsidR="00B301EF" w:rsidRPr="009D17FD">
        <w:rPr>
          <w:rFonts w:ascii="Times New Roman" w:eastAsia="Times New Roman" w:hAnsi="Times New Roman" w:cs="Times New Roman"/>
          <w:b/>
          <w:bCs/>
        </w:rPr>
        <w:t>7</w:t>
      </w:r>
      <w:r w:rsidRPr="009D17FD">
        <w:rPr>
          <w:rFonts w:ascii="Times New Roman" w:eastAsia="Times New Roman" w:hAnsi="Times New Roman" w:cs="Times New Roman"/>
          <w:b/>
          <w:bCs/>
        </w:rPr>
        <w:t xml:space="preserve">: </w:t>
      </w:r>
      <w:r w:rsidR="00085826" w:rsidRPr="009D17FD">
        <w:rPr>
          <w:rFonts w:ascii="Times New Roman" w:eastAsia="Times New Roman" w:hAnsi="Times New Roman" w:cs="Times New Roman"/>
          <w:bCs/>
        </w:rPr>
        <w:t>Energy storage and ancillary service evaluation,</w:t>
      </w:r>
      <w:r w:rsidR="00085826" w:rsidRPr="008E5B74">
        <w:rPr>
          <w:rFonts w:ascii="Times New Roman" w:eastAsia="Times New Roman" w:hAnsi="Times New Roman" w:cs="Times New Roman"/>
          <w:bCs/>
        </w:rPr>
        <w:t xml:space="preserve"> </w:t>
      </w:r>
      <w:r w:rsidR="00085826">
        <w:rPr>
          <w:rFonts w:ascii="Times New Roman" w:eastAsia="Times New Roman" w:hAnsi="Times New Roman" w:cs="Times New Roman"/>
          <w:bCs/>
        </w:rPr>
        <w:t>c</w:t>
      </w:r>
      <w:r w:rsidRPr="008E5B74">
        <w:rPr>
          <w:rFonts w:ascii="Times New Roman" w:eastAsia="Times New Roman" w:hAnsi="Times New Roman" w:cs="Times New Roman"/>
          <w:bCs/>
        </w:rPr>
        <w:t xml:space="preserve">ompleted conservation potential assessment, draft PRS, review </w:t>
      </w:r>
      <w:r w:rsidRPr="008E5B74">
        <w:rPr>
          <w:rFonts w:ascii="Times New Roman" w:eastAsia="Times New Roman" w:hAnsi="Times New Roman" w:cs="Times New Roman"/>
        </w:rPr>
        <w:t>of scenarios and futures and portfolio analysis</w:t>
      </w:r>
    </w:p>
    <w:p w14:paraId="50BC10B2" w14:textId="77777777" w:rsidR="008E5B74" w:rsidRPr="008E5B74" w:rsidRDefault="008E5B74" w:rsidP="008E5B74">
      <w:pPr>
        <w:pStyle w:val="xl22"/>
        <w:spacing w:before="0" w:beforeAutospacing="0" w:after="0" w:afterAutospacing="0"/>
        <w:ind w:left="432" w:firstLineChars="0" w:firstLine="0"/>
        <w:rPr>
          <w:rFonts w:ascii="Times New Roman" w:eastAsia="Times New Roman" w:hAnsi="Times New Roman" w:cs="Times New Roman"/>
          <w:b/>
          <w:bCs/>
        </w:rPr>
      </w:pPr>
    </w:p>
    <w:p w14:paraId="50BC10B3" w14:textId="77777777" w:rsidR="008E5B74" w:rsidRPr="008E5B74" w:rsidRDefault="008E5B74" w:rsidP="008E5B74">
      <w:pPr>
        <w:pStyle w:val="xl22"/>
        <w:numPr>
          <w:ilvl w:val="0"/>
          <w:numId w:val="2"/>
        </w:numPr>
        <w:spacing w:before="0" w:beforeAutospacing="0" w:after="0" w:afterAutospacing="0"/>
        <w:ind w:firstLineChars="0"/>
        <w:rPr>
          <w:rFonts w:ascii="Times New Roman" w:eastAsia="Times New Roman" w:hAnsi="Times New Roman" w:cs="Times New Roman"/>
          <w:b/>
          <w:bCs/>
        </w:rPr>
      </w:pPr>
      <w:r w:rsidRPr="008E5B74">
        <w:rPr>
          <w:rFonts w:ascii="Times New Roman" w:eastAsia="Times New Roman" w:hAnsi="Times New Roman" w:cs="Times New Roman"/>
          <w:b/>
          <w:bCs/>
        </w:rPr>
        <w:t>TAC 6</w:t>
      </w:r>
      <w:r w:rsidR="007B6452">
        <w:rPr>
          <w:rFonts w:ascii="Times New Roman" w:eastAsia="Times New Roman" w:hAnsi="Times New Roman" w:cs="Times New Roman"/>
          <w:b/>
          <w:bCs/>
        </w:rPr>
        <w:t>:</w:t>
      </w:r>
      <w:r w:rsidRPr="008E5B74">
        <w:rPr>
          <w:rFonts w:ascii="Times New Roman" w:eastAsia="Times New Roman" w:hAnsi="Times New Roman" w:cs="Times New Roman"/>
          <w:b/>
          <w:bCs/>
        </w:rPr>
        <w:t xml:space="preserve"> </w:t>
      </w:r>
      <w:r w:rsidR="007B6452">
        <w:rPr>
          <w:rFonts w:ascii="Times New Roman" w:eastAsia="Times New Roman" w:hAnsi="Times New Roman" w:cs="Times New Roman"/>
          <w:b/>
          <w:bCs/>
        </w:rPr>
        <w:t xml:space="preserve">Tuesday, </w:t>
      </w:r>
      <w:r w:rsidRPr="008E5B74">
        <w:rPr>
          <w:rFonts w:ascii="Times New Roman" w:eastAsia="Times New Roman" w:hAnsi="Times New Roman" w:cs="Times New Roman"/>
          <w:b/>
          <w:bCs/>
        </w:rPr>
        <w:t>June</w:t>
      </w:r>
      <w:r w:rsidR="007B6452">
        <w:rPr>
          <w:rFonts w:ascii="Times New Roman" w:eastAsia="Times New Roman" w:hAnsi="Times New Roman" w:cs="Times New Roman"/>
          <w:b/>
          <w:bCs/>
        </w:rPr>
        <w:t xml:space="preserve"> 20,</w:t>
      </w:r>
      <w:r w:rsidRPr="008E5B74">
        <w:rPr>
          <w:rFonts w:ascii="Times New Roman" w:eastAsia="Times New Roman" w:hAnsi="Times New Roman" w:cs="Times New Roman"/>
          <w:b/>
          <w:bCs/>
        </w:rPr>
        <w:t xml:space="preserve"> 201</w:t>
      </w:r>
      <w:r w:rsidR="00B301EF">
        <w:rPr>
          <w:rFonts w:ascii="Times New Roman" w:eastAsia="Times New Roman" w:hAnsi="Times New Roman" w:cs="Times New Roman"/>
          <w:b/>
          <w:bCs/>
        </w:rPr>
        <w:t>7</w:t>
      </w:r>
      <w:r w:rsidRPr="008E5B74">
        <w:rPr>
          <w:rFonts w:ascii="Times New Roman" w:eastAsia="Times New Roman" w:hAnsi="Times New Roman" w:cs="Times New Roman"/>
          <w:b/>
          <w:bCs/>
        </w:rPr>
        <w:t xml:space="preserve">: </w:t>
      </w:r>
      <w:r w:rsidRPr="008E5B74">
        <w:rPr>
          <w:rFonts w:ascii="Times New Roman" w:eastAsia="Times New Roman" w:hAnsi="Times New Roman" w:cs="Times New Roman"/>
          <w:bCs/>
        </w:rPr>
        <w:t xml:space="preserve">Review </w:t>
      </w:r>
      <w:r w:rsidRPr="008E5B74">
        <w:rPr>
          <w:rFonts w:ascii="Times New Roman" w:eastAsia="Times New Roman" w:hAnsi="Times New Roman" w:cs="Times New Roman"/>
        </w:rPr>
        <w:t>of final PRS and action items.</w:t>
      </w:r>
    </w:p>
    <w:p w14:paraId="50BC10B4" w14:textId="77777777" w:rsidR="008E5B74" w:rsidRPr="008E5B74" w:rsidRDefault="008E5B74" w:rsidP="008E5B74">
      <w:pPr>
        <w:pStyle w:val="xl22"/>
        <w:spacing w:before="0" w:beforeAutospacing="0" w:after="0" w:afterAutospacing="0"/>
        <w:ind w:left="432" w:firstLineChars="0"/>
        <w:rPr>
          <w:rFonts w:ascii="Times New Roman" w:eastAsia="Times New Roman" w:hAnsi="Times New Roman" w:cs="Times New Roman"/>
        </w:rPr>
      </w:pPr>
    </w:p>
    <w:p w14:paraId="50BC10B5" w14:textId="77777777" w:rsidR="00C229A4" w:rsidRDefault="00C229A4" w:rsidP="008E5B74">
      <w:pPr>
        <w:jc w:val="center"/>
        <w:rPr>
          <w:b/>
          <w:i/>
          <w:sz w:val="28"/>
          <w:szCs w:val="24"/>
        </w:rPr>
      </w:pPr>
    </w:p>
    <w:p w14:paraId="50BC10B6" w14:textId="77777777" w:rsidR="008E5B74" w:rsidRPr="008E5B74" w:rsidRDefault="008E5B74" w:rsidP="008E5B74">
      <w:pPr>
        <w:jc w:val="center"/>
        <w:rPr>
          <w:b/>
          <w:i/>
          <w:sz w:val="28"/>
          <w:szCs w:val="24"/>
        </w:rPr>
      </w:pPr>
      <w:r w:rsidRPr="008E5B74">
        <w:rPr>
          <w:b/>
          <w:i/>
          <w:sz w:val="28"/>
          <w:szCs w:val="24"/>
        </w:rPr>
        <w:t>201</w:t>
      </w:r>
      <w:r w:rsidR="0084397A">
        <w:rPr>
          <w:b/>
          <w:i/>
          <w:sz w:val="28"/>
          <w:szCs w:val="24"/>
        </w:rPr>
        <w:t>7</w:t>
      </w:r>
      <w:r w:rsidRPr="008E5B74">
        <w:rPr>
          <w:b/>
          <w:i/>
          <w:sz w:val="28"/>
          <w:szCs w:val="24"/>
        </w:rPr>
        <w:t xml:space="preserve"> Electric IRP Draft Outline</w:t>
      </w:r>
    </w:p>
    <w:p w14:paraId="50BC10B7" w14:textId="77777777" w:rsidR="008E5B74" w:rsidRPr="008E5B74" w:rsidRDefault="008E5B74" w:rsidP="008E5B74">
      <w:pPr>
        <w:rPr>
          <w:sz w:val="24"/>
          <w:szCs w:val="24"/>
        </w:rPr>
      </w:pPr>
    </w:p>
    <w:p w14:paraId="50BC10B8" w14:textId="77777777" w:rsidR="008E5B74" w:rsidRPr="008E5B74" w:rsidRDefault="008E5B74" w:rsidP="008E5B74">
      <w:pPr>
        <w:pStyle w:val="BodyText"/>
        <w:jc w:val="left"/>
        <w:rPr>
          <w:szCs w:val="24"/>
        </w:rPr>
      </w:pPr>
      <w:r w:rsidRPr="008E5B74">
        <w:rPr>
          <w:szCs w:val="24"/>
        </w:rPr>
        <w:t>This section provides a draft outline of the major sections in the 201</w:t>
      </w:r>
      <w:r w:rsidR="0084397A">
        <w:rPr>
          <w:szCs w:val="24"/>
        </w:rPr>
        <w:t>7</w:t>
      </w:r>
      <w:r w:rsidRPr="008E5B74">
        <w:rPr>
          <w:szCs w:val="24"/>
        </w:rPr>
        <w:t xml:space="preserve"> Electric IRP. This outline may change as IRP studies are completed and input from the TAC has been received.</w:t>
      </w:r>
    </w:p>
    <w:p w14:paraId="50BC10B9" w14:textId="77777777" w:rsidR="008E5B74" w:rsidRPr="008E5B74" w:rsidRDefault="008E5B74" w:rsidP="008E5B74">
      <w:pPr>
        <w:pStyle w:val="BodyText"/>
        <w:jc w:val="left"/>
        <w:rPr>
          <w:szCs w:val="24"/>
        </w:rPr>
      </w:pPr>
    </w:p>
    <w:p w14:paraId="50BC10BA" w14:textId="77777777" w:rsidR="008E5B74" w:rsidRPr="008E5B74" w:rsidRDefault="008E5B74" w:rsidP="008E5B74">
      <w:pPr>
        <w:pStyle w:val="BodyText"/>
        <w:numPr>
          <w:ilvl w:val="0"/>
          <w:numId w:val="1"/>
        </w:numPr>
        <w:jc w:val="left"/>
        <w:rPr>
          <w:b/>
          <w:szCs w:val="24"/>
        </w:rPr>
      </w:pPr>
      <w:r w:rsidRPr="008E5B74">
        <w:rPr>
          <w:b/>
          <w:szCs w:val="24"/>
        </w:rPr>
        <w:t>Executive Summary</w:t>
      </w:r>
    </w:p>
    <w:p w14:paraId="50BC10BB" w14:textId="77777777" w:rsidR="008E5B74" w:rsidRPr="008E5B74" w:rsidRDefault="008E5B74" w:rsidP="008E5B74">
      <w:pPr>
        <w:pStyle w:val="BodyText"/>
        <w:numPr>
          <w:ilvl w:val="0"/>
          <w:numId w:val="1"/>
        </w:numPr>
        <w:jc w:val="left"/>
        <w:rPr>
          <w:b/>
          <w:szCs w:val="24"/>
        </w:rPr>
      </w:pPr>
      <w:r w:rsidRPr="008E5B74">
        <w:rPr>
          <w:b/>
          <w:szCs w:val="24"/>
        </w:rPr>
        <w:t>Introduction and Stakeholder Involvement</w:t>
      </w:r>
    </w:p>
    <w:p w14:paraId="50BC10BC" w14:textId="77777777" w:rsidR="008E5B74" w:rsidRPr="008E5B74" w:rsidRDefault="008E5B74" w:rsidP="008E5B74">
      <w:pPr>
        <w:pStyle w:val="BodyText"/>
        <w:numPr>
          <w:ilvl w:val="0"/>
          <w:numId w:val="1"/>
        </w:numPr>
        <w:jc w:val="left"/>
        <w:rPr>
          <w:b/>
          <w:szCs w:val="24"/>
        </w:rPr>
      </w:pPr>
      <w:r w:rsidRPr="008E5B74">
        <w:rPr>
          <w:b/>
          <w:szCs w:val="24"/>
        </w:rPr>
        <w:t>Economic and Load Forecast</w:t>
      </w:r>
    </w:p>
    <w:p w14:paraId="50BC10BD"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Economic Conditions</w:t>
      </w:r>
    </w:p>
    <w:p w14:paraId="50BC10BE"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Avista Energy &amp; Peak Load Forecast</w:t>
      </w:r>
      <w:r w:rsidR="0084397A">
        <w:rPr>
          <w:szCs w:val="24"/>
        </w:rPr>
        <w:t>s</w:t>
      </w:r>
    </w:p>
    <w:p w14:paraId="50BC10BF"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Load Forecast Scenarios</w:t>
      </w:r>
    </w:p>
    <w:p w14:paraId="50BC10C0" w14:textId="77777777" w:rsidR="008E5B74" w:rsidRPr="008E5B74" w:rsidRDefault="008E5B74" w:rsidP="008E5B74">
      <w:pPr>
        <w:pStyle w:val="BodyText"/>
        <w:numPr>
          <w:ilvl w:val="0"/>
          <w:numId w:val="1"/>
        </w:numPr>
        <w:jc w:val="left"/>
        <w:rPr>
          <w:b/>
          <w:szCs w:val="24"/>
        </w:rPr>
      </w:pPr>
      <w:r w:rsidRPr="008E5B74">
        <w:rPr>
          <w:b/>
          <w:szCs w:val="24"/>
        </w:rPr>
        <w:t xml:space="preserve">Existing </w:t>
      </w:r>
      <w:r w:rsidR="0084397A">
        <w:rPr>
          <w:b/>
          <w:szCs w:val="24"/>
        </w:rPr>
        <w:t xml:space="preserve">Supply </w:t>
      </w:r>
      <w:r w:rsidRPr="008E5B74">
        <w:rPr>
          <w:b/>
          <w:szCs w:val="24"/>
        </w:rPr>
        <w:t>Resources</w:t>
      </w:r>
    </w:p>
    <w:p w14:paraId="50BC10C1"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Avista Resources</w:t>
      </w:r>
    </w:p>
    <w:p w14:paraId="50BC10C2"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Contractual Resources and Obligations</w:t>
      </w:r>
    </w:p>
    <w:p w14:paraId="50BC10C3" w14:textId="77777777" w:rsidR="008E5B74" w:rsidRPr="008E5B74" w:rsidRDefault="008E5B74" w:rsidP="008E5B74">
      <w:pPr>
        <w:pStyle w:val="BodyText"/>
        <w:numPr>
          <w:ilvl w:val="0"/>
          <w:numId w:val="1"/>
        </w:numPr>
        <w:jc w:val="left"/>
        <w:rPr>
          <w:b/>
          <w:szCs w:val="24"/>
        </w:rPr>
      </w:pPr>
      <w:r w:rsidRPr="008E5B74">
        <w:rPr>
          <w:b/>
          <w:szCs w:val="24"/>
        </w:rPr>
        <w:t>Energy Efficiency and Demand Response</w:t>
      </w:r>
    </w:p>
    <w:p w14:paraId="50BC10C4"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Conservation Potential Assessment</w:t>
      </w:r>
    </w:p>
    <w:p w14:paraId="50BC10C5"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Demand Response Opportunities</w:t>
      </w:r>
    </w:p>
    <w:p w14:paraId="50BC10C6" w14:textId="77777777" w:rsidR="008E5B74" w:rsidRPr="008E5B74" w:rsidRDefault="008E5B74" w:rsidP="008E5B74">
      <w:pPr>
        <w:pStyle w:val="BodyText"/>
        <w:numPr>
          <w:ilvl w:val="0"/>
          <w:numId w:val="1"/>
        </w:numPr>
        <w:jc w:val="left"/>
        <w:rPr>
          <w:b/>
          <w:szCs w:val="24"/>
        </w:rPr>
      </w:pPr>
      <w:r w:rsidRPr="008E5B74">
        <w:rPr>
          <w:b/>
          <w:szCs w:val="24"/>
        </w:rPr>
        <w:t>Long-Term Position</w:t>
      </w:r>
    </w:p>
    <w:p w14:paraId="50BC10C7"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Reliability Planning and Reserve Margins</w:t>
      </w:r>
    </w:p>
    <w:p w14:paraId="50BC10C8"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 xml:space="preserve">Resource Requirements </w:t>
      </w:r>
    </w:p>
    <w:p w14:paraId="50BC10C9"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 xml:space="preserve">Reserves and Flexibility Assessment </w:t>
      </w:r>
    </w:p>
    <w:p w14:paraId="50BC10CA" w14:textId="77777777" w:rsidR="008E5B74" w:rsidRPr="008E5B74" w:rsidRDefault="008E5B74" w:rsidP="008E5B74">
      <w:pPr>
        <w:pStyle w:val="BodyText"/>
        <w:numPr>
          <w:ilvl w:val="0"/>
          <w:numId w:val="1"/>
        </w:numPr>
        <w:jc w:val="left"/>
        <w:rPr>
          <w:b/>
          <w:szCs w:val="24"/>
        </w:rPr>
      </w:pPr>
      <w:r w:rsidRPr="008E5B74">
        <w:rPr>
          <w:b/>
          <w:szCs w:val="24"/>
        </w:rPr>
        <w:t>Policy Considerations</w:t>
      </w:r>
    </w:p>
    <w:p w14:paraId="50BC10CB"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Environmental Concerns</w:t>
      </w:r>
    </w:p>
    <w:p w14:paraId="50BC10CC"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State and Federal Policies</w:t>
      </w:r>
    </w:p>
    <w:p w14:paraId="50BC10CD" w14:textId="77777777" w:rsidR="008E5B74" w:rsidRPr="008E5B74" w:rsidRDefault="008E5B74" w:rsidP="008E5B74">
      <w:pPr>
        <w:pStyle w:val="BodyText"/>
        <w:numPr>
          <w:ilvl w:val="0"/>
          <w:numId w:val="1"/>
        </w:numPr>
        <w:jc w:val="left"/>
        <w:rPr>
          <w:b/>
          <w:szCs w:val="24"/>
        </w:rPr>
      </w:pPr>
      <w:r w:rsidRPr="008E5B74">
        <w:rPr>
          <w:b/>
          <w:szCs w:val="24"/>
        </w:rPr>
        <w:t>Transmission &amp; Distribution Planning</w:t>
      </w:r>
    </w:p>
    <w:p w14:paraId="50BC10CE"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Avista’s Transmission System</w:t>
      </w:r>
    </w:p>
    <w:p w14:paraId="50BC10CF"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Future Upgrades and Interconnections</w:t>
      </w:r>
    </w:p>
    <w:p w14:paraId="50BC10D0"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Transmission Construction Costs and Integration</w:t>
      </w:r>
    </w:p>
    <w:p w14:paraId="50BC10D1" w14:textId="77777777" w:rsidR="008E5B74" w:rsidRPr="009D17FD" w:rsidRDefault="00085826" w:rsidP="008E5B74">
      <w:pPr>
        <w:pStyle w:val="BodyText"/>
        <w:numPr>
          <w:ilvl w:val="1"/>
          <w:numId w:val="1"/>
        </w:numPr>
        <w:tabs>
          <w:tab w:val="clear" w:pos="1440"/>
        </w:tabs>
        <w:ind w:left="1080"/>
        <w:jc w:val="left"/>
        <w:rPr>
          <w:szCs w:val="24"/>
        </w:rPr>
      </w:pPr>
      <w:r w:rsidRPr="009D17FD">
        <w:rPr>
          <w:szCs w:val="24"/>
        </w:rPr>
        <w:t>Efficiency System Planning</w:t>
      </w:r>
    </w:p>
    <w:p w14:paraId="50BC10D2" w14:textId="77777777" w:rsidR="00B301EF" w:rsidRDefault="00B301EF" w:rsidP="008E5B74">
      <w:pPr>
        <w:pStyle w:val="BodyText"/>
        <w:numPr>
          <w:ilvl w:val="1"/>
          <w:numId w:val="1"/>
        </w:numPr>
        <w:tabs>
          <w:tab w:val="clear" w:pos="1440"/>
        </w:tabs>
        <w:ind w:left="1080"/>
        <w:jc w:val="left"/>
        <w:rPr>
          <w:szCs w:val="24"/>
        </w:rPr>
      </w:pPr>
      <w:r>
        <w:rPr>
          <w:szCs w:val="24"/>
        </w:rPr>
        <w:t>Non-power supply storage benefits</w:t>
      </w:r>
    </w:p>
    <w:p w14:paraId="50BC10D3" w14:textId="77777777" w:rsidR="0002659F" w:rsidRPr="008E5B74" w:rsidRDefault="0002659F" w:rsidP="0002659F">
      <w:pPr>
        <w:pStyle w:val="BodyText"/>
        <w:ind w:left="1080"/>
        <w:jc w:val="left"/>
        <w:rPr>
          <w:szCs w:val="24"/>
        </w:rPr>
      </w:pPr>
    </w:p>
    <w:p w14:paraId="50BC10D4" w14:textId="77777777" w:rsidR="008E5B74" w:rsidRPr="008E5B74" w:rsidRDefault="008E5B74" w:rsidP="008E5B74">
      <w:pPr>
        <w:pStyle w:val="BodyText"/>
        <w:numPr>
          <w:ilvl w:val="0"/>
          <w:numId w:val="1"/>
        </w:numPr>
        <w:jc w:val="left"/>
        <w:rPr>
          <w:b/>
          <w:szCs w:val="24"/>
        </w:rPr>
      </w:pPr>
      <w:r w:rsidRPr="008E5B74">
        <w:rPr>
          <w:b/>
          <w:szCs w:val="24"/>
        </w:rPr>
        <w:lastRenderedPageBreak/>
        <w:t>Generation Resource Options</w:t>
      </w:r>
    </w:p>
    <w:p w14:paraId="50BC10D5"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New Resource Options</w:t>
      </w:r>
    </w:p>
    <w:p w14:paraId="50BC10D6"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Avista Plant Upgrades</w:t>
      </w:r>
    </w:p>
    <w:p w14:paraId="50BC10D7" w14:textId="77777777" w:rsidR="008E5B74" w:rsidRPr="008E5B74" w:rsidRDefault="008E5B74" w:rsidP="008E5B74">
      <w:pPr>
        <w:pStyle w:val="BodyText"/>
        <w:numPr>
          <w:ilvl w:val="0"/>
          <w:numId w:val="1"/>
        </w:numPr>
        <w:jc w:val="left"/>
        <w:rPr>
          <w:b/>
          <w:szCs w:val="24"/>
        </w:rPr>
      </w:pPr>
      <w:r w:rsidRPr="008E5B74">
        <w:rPr>
          <w:b/>
          <w:szCs w:val="24"/>
        </w:rPr>
        <w:t>Market Analysis</w:t>
      </w:r>
    </w:p>
    <w:p w14:paraId="50BC10D8"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Marketplace</w:t>
      </w:r>
    </w:p>
    <w:p w14:paraId="50BC10D9"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Fuel Price Forecasts</w:t>
      </w:r>
    </w:p>
    <w:p w14:paraId="50BC10DA"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Market Price Forecast</w:t>
      </w:r>
    </w:p>
    <w:p w14:paraId="50BC10DB"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Scenario Analysis</w:t>
      </w:r>
    </w:p>
    <w:p w14:paraId="50BC10DC" w14:textId="77777777" w:rsidR="008E5B74" w:rsidRPr="008E5B74" w:rsidRDefault="008E5B74" w:rsidP="008E5B74">
      <w:pPr>
        <w:pStyle w:val="BodyText"/>
        <w:numPr>
          <w:ilvl w:val="0"/>
          <w:numId w:val="1"/>
        </w:numPr>
        <w:jc w:val="left"/>
        <w:rPr>
          <w:b/>
          <w:szCs w:val="24"/>
        </w:rPr>
      </w:pPr>
      <w:r w:rsidRPr="008E5B74">
        <w:rPr>
          <w:b/>
          <w:szCs w:val="24"/>
        </w:rPr>
        <w:t>Preferred Resource Strategy</w:t>
      </w:r>
    </w:p>
    <w:p w14:paraId="50BC10DD"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Resource Selection Process</w:t>
      </w:r>
    </w:p>
    <w:p w14:paraId="50BC10DE"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Preferred Resource Strategy</w:t>
      </w:r>
    </w:p>
    <w:p w14:paraId="50BC10DF"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Efficient Frontier Analysis</w:t>
      </w:r>
    </w:p>
    <w:p w14:paraId="50BC10E0"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Avoided Cost</w:t>
      </w:r>
    </w:p>
    <w:p w14:paraId="50BC10E1" w14:textId="77777777" w:rsidR="008E5B74" w:rsidRPr="008E5B74" w:rsidRDefault="008E5B74" w:rsidP="008E5B74">
      <w:pPr>
        <w:pStyle w:val="BodyText"/>
        <w:numPr>
          <w:ilvl w:val="0"/>
          <w:numId w:val="1"/>
        </w:numPr>
        <w:jc w:val="left"/>
        <w:rPr>
          <w:b/>
          <w:szCs w:val="24"/>
        </w:rPr>
      </w:pPr>
      <w:r w:rsidRPr="008E5B74">
        <w:rPr>
          <w:b/>
          <w:szCs w:val="24"/>
        </w:rPr>
        <w:t xml:space="preserve">Portfolio Scenarios   </w:t>
      </w:r>
    </w:p>
    <w:p w14:paraId="50BC10E2"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Portfolio Scenarios</w:t>
      </w:r>
    </w:p>
    <w:p w14:paraId="50BC10E3"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Tipping Point Analysis</w:t>
      </w:r>
    </w:p>
    <w:p w14:paraId="50BC10E4" w14:textId="77777777" w:rsidR="008E5B74" w:rsidRPr="008E5B74" w:rsidRDefault="008E5B74" w:rsidP="008E5B74">
      <w:pPr>
        <w:pStyle w:val="BodyText"/>
        <w:numPr>
          <w:ilvl w:val="0"/>
          <w:numId w:val="1"/>
        </w:numPr>
        <w:jc w:val="left"/>
        <w:rPr>
          <w:b/>
          <w:szCs w:val="24"/>
        </w:rPr>
      </w:pPr>
      <w:r w:rsidRPr="008E5B74">
        <w:rPr>
          <w:b/>
          <w:szCs w:val="24"/>
        </w:rPr>
        <w:t>Action Plan</w:t>
      </w:r>
    </w:p>
    <w:p w14:paraId="50BC10E5" w14:textId="77777777" w:rsidR="008E5B74" w:rsidRPr="008E5B74" w:rsidRDefault="008E5B74" w:rsidP="008E5B74">
      <w:pPr>
        <w:pStyle w:val="BodyText"/>
        <w:numPr>
          <w:ilvl w:val="1"/>
          <w:numId w:val="1"/>
        </w:numPr>
        <w:tabs>
          <w:tab w:val="clear" w:pos="1440"/>
        </w:tabs>
        <w:ind w:left="1080"/>
        <w:jc w:val="left"/>
        <w:rPr>
          <w:szCs w:val="24"/>
        </w:rPr>
      </w:pPr>
      <w:r w:rsidRPr="008E5B74">
        <w:rPr>
          <w:szCs w:val="24"/>
        </w:rPr>
        <w:t>201</w:t>
      </w:r>
      <w:r w:rsidR="003F0494">
        <w:rPr>
          <w:szCs w:val="24"/>
        </w:rPr>
        <w:t>5</w:t>
      </w:r>
      <w:r w:rsidRPr="008E5B74">
        <w:rPr>
          <w:szCs w:val="24"/>
        </w:rPr>
        <w:t xml:space="preserve"> Action Plan Summary </w:t>
      </w:r>
    </w:p>
    <w:p w14:paraId="50BC10E6" w14:textId="77777777" w:rsidR="008E5B74" w:rsidRPr="008E5B74" w:rsidRDefault="003F0494" w:rsidP="008E5B74">
      <w:pPr>
        <w:pStyle w:val="BodyText"/>
        <w:numPr>
          <w:ilvl w:val="1"/>
          <w:numId w:val="1"/>
        </w:numPr>
        <w:tabs>
          <w:tab w:val="clear" w:pos="1440"/>
        </w:tabs>
        <w:ind w:left="1080"/>
        <w:jc w:val="left"/>
        <w:rPr>
          <w:szCs w:val="24"/>
        </w:rPr>
      </w:pPr>
      <w:r>
        <w:rPr>
          <w:szCs w:val="24"/>
        </w:rPr>
        <w:t>2017</w:t>
      </w:r>
      <w:r w:rsidR="008E5B74" w:rsidRPr="008E5B74">
        <w:rPr>
          <w:szCs w:val="24"/>
        </w:rPr>
        <w:t xml:space="preserve"> Action Plan </w:t>
      </w:r>
    </w:p>
    <w:p w14:paraId="50BC10E7" w14:textId="77777777" w:rsidR="008E5B74" w:rsidRPr="008E5B74" w:rsidRDefault="008E5B74" w:rsidP="008E5B74">
      <w:pPr>
        <w:pStyle w:val="BodyText"/>
        <w:ind w:left="1080"/>
        <w:jc w:val="left"/>
        <w:rPr>
          <w:szCs w:val="24"/>
        </w:rPr>
      </w:pPr>
      <w:r>
        <w:rPr>
          <w:szCs w:val="24"/>
        </w:rPr>
        <w:br w:type="page"/>
      </w:r>
    </w:p>
    <w:tbl>
      <w:tblPr>
        <w:tblStyle w:val="LightShading1"/>
        <w:tblW w:w="0" w:type="auto"/>
        <w:tblLook w:val="04A0" w:firstRow="1" w:lastRow="0" w:firstColumn="1" w:lastColumn="0" w:noHBand="0" w:noVBand="1"/>
      </w:tblPr>
      <w:tblGrid>
        <w:gridCol w:w="6480"/>
        <w:gridCol w:w="2058"/>
      </w:tblGrid>
      <w:tr w:rsidR="008E5B74" w:rsidRPr="008E5B74" w14:paraId="50BC10E9" w14:textId="77777777" w:rsidTr="00AC7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8" w:type="dxa"/>
            <w:gridSpan w:val="2"/>
          </w:tcPr>
          <w:p w14:paraId="50BC10E8" w14:textId="77777777" w:rsidR="008E5B74" w:rsidRPr="008E5B74" w:rsidRDefault="008E5B74" w:rsidP="0088199B">
            <w:pPr>
              <w:jc w:val="center"/>
              <w:rPr>
                <w:sz w:val="24"/>
                <w:szCs w:val="24"/>
              </w:rPr>
            </w:pPr>
            <w:r w:rsidRPr="008E5B74">
              <w:rPr>
                <w:sz w:val="24"/>
                <w:szCs w:val="24"/>
              </w:rPr>
              <w:lastRenderedPageBreak/>
              <w:t>Exhibit 1: 201</w:t>
            </w:r>
            <w:r w:rsidR="0088199B">
              <w:rPr>
                <w:sz w:val="24"/>
                <w:szCs w:val="24"/>
              </w:rPr>
              <w:t>7</w:t>
            </w:r>
            <w:r w:rsidRPr="008E5B74">
              <w:rPr>
                <w:sz w:val="24"/>
                <w:szCs w:val="24"/>
              </w:rPr>
              <w:t xml:space="preserve"> Electric IRP Timeline</w:t>
            </w:r>
          </w:p>
        </w:tc>
      </w:tr>
      <w:tr w:rsidR="008E5B74" w:rsidRPr="008E5B74" w14:paraId="50BC10EC"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0EA" w14:textId="77777777" w:rsidR="008E5B74" w:rsidRPr="008E5B74" w:rsidRDefault="008E5B74" w:rsidP="00AC7A17">
            <w:pPr>
              <w:jc w:val="center"/>
              <w:rPr>
                <w:sz w:val="24"/>
                <w:szCs w:val="24"/>
                <w:u w:val="single"/>
              </w:rPr>
            </w:pPr>
            <w:r w:rsidRPr="008E5B74">
              <w:rPr>
                <w:sz w:val="24"/>
                <w:szCs w:val="24"/>
                <w:u w:val="single"/>
              </w:rPr>
              <w:t>Task</w:t>
            </w:r>
          </w:p>
        </w:tc>
        <w:tc>
          <w:tcPr>
            <w:tcW w:w="2058" w:type="dxa"/>
          </w:tcPr>
          <w:p w14:paraId="50BC10EB" w14:textId="77777777" w:rsidR="008E5B74" w:rsidRPr="008E5B74" w:rsidRDefault="008E5B74" w:rsidP="00AC7A17">
            <w:pPr>
              <w:jc w:val="center"/>
              <w:cnfStyle w:val="000000100000" w:firstRow="0" w:lastRow="0" w:firstColumn="0" w:lastColumn="0" w:oddVBand="0" w:evenVBand="0" w:oddHBand="1" w:evenHBand="0" w:firstRowFirstColumn="0" w:firstRowLastColumn="0" w:lastRowFirstColumn="0" w:lastRowLastColumn="0"/>
              <w:rPr>
                <w:b/>
                <w:sz w:val="24"/>
                <w:szCs w:val="24"/>
                <w:u w:val="single"/>
              </w:rPr>
            </w:pPr>
            <w:r w:rsidRPr="008E5B74">
              <w:rPr>
                <w:b/>
                <w:sz w:val="24"/>
                <w:szCs w:val="24"/>
                <w:u w:val="single"/>
              </w:rPr>
              <w:t>Target Date</w:t>
            </w:r>
          </w:p>
        </w:tc>
      </w:tr>
      <w:tr w:rsidR="008E5B74" w:rsidRPr="008E5B74" w14:paraId="50BC10EF"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0ED" w14:textId="77777777" w:rsidR="008E5B74" w:rsidRPr="008E5B74" w:rsidRDefault="008E5B74" w:rsidP="00AC7A17">
            <w:pPr>
              <w:rPr>
                <w:sz w:val="24"/>
                <w:szCs w:val="24"/>
              </w:rPr>
            </w:pPr>
            <w:r w:rsidRPr="008E5B74">
              <w:rPr>
                <w:sz w:val="24"/>
                <w:szCs w:val="24"/>
              </w:rPr>
              <w:t>Preferred Resource Strategy (PRS)</w:t>
            </w:r>
          </w:p>
        </w:tc>
        <w:tc>
          <w:tcPr>
            <w:tcW w:w="2058" w:type="dxa"/>
          </w:tcPr>
          <w:p w14:paraId="50BC10EE" w14:textId="77777777" w:rsidR="008E5B74" w:rsidRPr="008E5B74" w:rsidRDefault="008E5B74" w:rsidP="00AC7A17">
            <w:pPr>
              <w:jc w:val="right"/>
              <w:cnfStyle w:val="000000000000" w:firstRow="0" w:lastRow="0" w:firstColumn="0" w:lastColumn="0" w:oddVBand="0" w:evenVBand="0" w:oddHBand="0" w:evenHBand="0" w:firstRowFirstColumn="0" w:firstRowLastColumn="0" w:lastRowFirstColumn="0" w:lastRowLastColumn="0"/>
              <w:rPr>
                <w:b/>
                <w:sz w:val="24"/>
                <w:szCs w:val="24"/>
              </w:rPr>
            </w:pPr>
          </w:p>
        </w:tc>
      </w:tr>
      <w:tr w:rsidR="008E5B74" w:rsidRPr="008E5B74" w14:paraId="50BC10F2"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0F0" w14:textId="77777777" w:rsidR="008E5B74" w:rsidRPr="008E5B74" w:rsidRDefault="008E5B74" w:rsidP="00AC7A17">
            <w:pPr>
              <w:ind w:left="180"/>
              <w:rPr>
                <w:b w:val="0"/>
                <w:sz w:val="24"/>
                <w:szCs w:val="24"/>
              </w:rPr>
            </w:pPr>
            <w:r w:rsidRPr="008E5B74">
              <w:rPr>
                <w:b w:val="0"/>
                <w:sz w:val="24"/>
                <w:szCs w:val="24"/>
              </w:rPr>
              <w:t>Finalize energy demand forecast</w:t>
            </w:r>
          </w:p>
        </w:tc>
        <w:tc>
          <w:tcPr>
            <w:tcW w:w="2058" w:type="dxa"/>
          </w:tcPr>
          <w:p w14:paraId="50BC10F1" w14:textId="77777777" w:rsidR="008E5B74" w:rsidRPr="008E5B74" w:rsidRDefault="008E5B74" w:rsidP="0088199B">
            <w:pPr>
              <w:jc w:val="right"/>
              <w:cnfStyle w:val="000000100000" w:firstRow="0" w:lastRow="0" w:firstColumn="0" w:lastColumn="0" w:oddVBand="0" w:evenVBand="0" w:oddHBand="1" w:evenHBand="0" w:firstRowFirstColumn="0" w:firstRowLastColumn="0" w:lastRowFirstColumn="0" w:lastRowLastColumn="0"/>
              <w:rPr>
                <w:sz w:val="24"/>
                <w:szCs w:val="24"/>
              </w:rPr>
            </w:pPr>
            <w:r w:rsidRPr="008E5B74">
              <w:rPr>
                <w:sz w:val="24"/>
                <w:szCs w:val="24"/>
              </w:rPr>
              <w:t>July 201</w:t>
            </w:r>
            <w:r w:rsidR="0088199B">
              <w:rPr>
                <w:sz w:val="24"/>
                <w:szCs w:val="24"/>
              </w:rPr>
              <w:t>6</w:t>
            </w:r>
          </w:p>
        </w:tc>
      </w:tr>
      <w:tr w:rsidR="008E5B74" w:rsidRPr="008E5B74" w14:paraId="50BC10F5"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0F3" w14:textId="77777777" w:rsidR="008E5B74" w:rsidRPr="008E5B74" w:rsidRDefault="008E5B74" w:rsidP="00AC7A17">
            <w:pPr>
              <w:ind w:left="180"/>
              <w:rPr>
                <w:b w:val="0"/>
                <w:sz w:val="24"/>
                <w:szCs w:val="24"/>
              </w:rPr>
            </w:pPr>
            <w:r w:rsidRPr="008E5B74">
              <w:rPr>
                <w:b w:val="0"/>
                <w:sz w:val="24"/>
                <w:szCs w:val="24"/>
              </w:rPr>
              <w:t>Identify Avista’s supply &amp; conservation resource options</w:t>
            </w:r>
          </w:p>
        </w:tc>
        <w:tc>
          <w:tcPr>
            <w:tcW w:w="2058" w:type="dxa"/>
          </w:tcPr>
          <w:p w14:paraId="50BC10F4"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September 2016</w:t>
            </w:r>
          </w:p>
        </w:tc>
      </w:tr>
      <w:tr w:rsidR="008E5B74" w:rsidRPr="008E5B74" w14:paraId="50BC10F8"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0F6" w14:textId="77777777" w:rsidR="008E5B74" w:rsidRPr="008E5B74" w:rsidRDefault="008E5B74" w:rsidP="00AC7A17">
            <w:pPr>
              <w:ind w:left="180"/>
              <w:rPr>
                <w:b w:val="0"/>
                <w:sz w:val="24"/>
                <w:szCs w:val="24"/>
              </w:rPr>
            </w:pPr>
            <w:r w:rsidRPr="008E5B74">
              <w:rPr>
                <w:b w:val="0"/>
                <w:sz w:val="24"/>
                <w:szCs w:val="24"/>
              </w:rPr>
              <w:t>Finalize peak load forecast</w:t>
            </w:r>
          </w:p>
        </w:tc>
        <w:tc>
          <w:tcPr>
            <w:tcW w:w="2058" w:type="dxa"/>
          </w:tcPr>
          <w:p w14:paraId="50BC10F7"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September 2016</w:t>
            </w:r>
          </w:p>
        </w:tc>
      </w:tr>
      <w:tr w:rsidR="008E5B74" w:rsidRPr="008E5B74" w14:paraId="50BC10FB"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0F9" w14:textId="77777777" w:rsidR="008E5B74" w:rsidRPr="008E5B74" w:rsidRDefault="008E5B74" w:rsidP="00AC7A17">
            <w:pPr>
              <w:ind w:left="180"/>
              <w:rPr>
                <w:b w:val="0"/>
                <w:sz w:val="24"/>
                <w:szCs w:val="24"/>
              </w:rPr>
            </w:pPr>
            <w:r w:rsidRPr="008E5B74">
              <w:rPr>
                <w:b w:val="0"/>
                <w:sz w:val="24"/>
                <w:szCs w:val="24"/>
              </w:rPr>
              <w:t>Update AURORA</w:t>
            </w:r>
            <w:r w:rsidRPr="008E5B74">
              <w:rPr>
                <w:b w:val="0"/>
                <w:sz w:val="24"/>
                <w:szCs w:val="24"/>
                <w:vertAlign w:val="superscript"/>
              </w:rPr>
              <w:t>xmp</w:t>
            </w:r>
            <w:r w:rsidRPr="008E5B74">
              <w:rPr>
                <w:b w:val="0"/>
                <w:sz w:val="24"/>
                <w:szCs w:val="24"/>
              </w:rPr>
              <w:t xml:space="preserve"> database for market price forecast</w:t>
            </w:r>
          </w:p>
        </w:tc>
        <w:tc>
          <w:tcPr>
            <w:tcW w:w="2058" w:type="dxa"/>
          </w:tcPr>
          <w:p w14:paraId="50BC10FA"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October 2016</w:t>
            </w:r>
          </w:p>
        </w:tc>
      </w:tr>
      <w:tr w:rsidR="008E5B74" w:rsidRPr="008E5B74" w14:paraId="50BC10FE"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0FC" w14:textId="77777777" w:rsidR="008E5B74" w:rsidRPr="008E5B74" w:rsidRDefault="008E5B74" w:rsidP="00AC7A17">
            <w:pPr>
              <w:ind w:left="180"/>
              <w:jc w:val="both"/>
              <w:rPr>
                <w:b w:val="0"/>
                <w:sz w:val="24"/>
                <w:szCs w:val="24"/>
              </w:rPr>
            </w:pPr>
            <w:r w:rsidRPr="008E5B74">
              <w:rPr>
                <w:b w:val="0"/>
                <w:sz w:val="24"/>
                <w:szCs w:val="24"/>
              </w:rPr>
              <w:t>Energy efficiency load shapes input into AURORA</w:t>
            </w:r>
            <w:r w:rsidRPr="008E5B74">
              <w:rPr>
                <w:b w:val="0"/>
                <w:sz w:val="24"/>
                <w:szCs w:val="24"/>
                <w:vertAlign w:val="superscript"/>
              </w:rPr>
              <w:t>xmp</w:t>
            </w:r>
          </w:p>
        </w:tc>
        <w:tc>
          <w:tcPr>
            <w:tcW w:w="2058" w:type="dxa"/>
          </w:tcPr>
          <w:p w14:paraId="50BC10FD"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October 2016</w:t>
            </w:r>
          </w:p>
        </w:tc>
      </w:tr>
      <w:tr w:rsidR="008E5B74" w:rsidRPr="008E5B74" w14:paraId="50BC1101"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0FF" w14:textId="77777777" w:rsidR="008E5B74" w:rsidRPr="008E5B74" w:rsidRDefault="008E5B74" w:rsidP="00AC7A17">
            <w:pPr>
              <w:ind w:left="180"/>
              <w:rPr>
                <w:sz w:val="24"/>
                <w:szCs w:val="24"/>
              </w:rPr>
            </w:pPr>
            <w:r w:rsidRPr="008E5B74">
              <w:rPr>
                <w:b w:val="0"/>
                <w:sz w:val="24"/>
                <w:szCs w:val="24"/>
              </w:rPr>
              <w:t>Finalize datasets/statistics variables for risk studies</w:t>
            </w:r>
          </w:p>
        </w:tc>
        <w:tc>
          <w:tcPr>
            <w:tcW w:w="2058" w:type="dxa"/>
          </w:tcPr>
          <w:p w14:paraId="50BC1100"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November 2016</w:t>
            </w:r>
          </w:p>
        </w:tc>
      </w:tr>
      <w:tr w:rsidR="008E5B74" w:rsidRPr="008E5B74" w14:paraId="50BC1104"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02" w14:textId="77777777" w:rsidR="008E5B74" w:rsidRPr="008E5B74" w:rsidRDefault="008E5B74" w:rsidP="00AC7A17">
            <w:pPr>
              <w:ind w:left="180"/>
              <w:rPr>
                <w:b w:val="0"/>
                <w:sz w:val="24"/>
                <w:szCs w:val="24"/>
              </w:rPr>
            </w:pPr>
            <w:r w:rsidRPr="008E5B74">
              <w:rPr>
                <w:b w:val="0"/>
                <w:sz w:val="24"/>
                <w:szCs w:val="24"/>
              </w:rPr>
              <w:t>Transmission study due</w:t>
            </w:r>
          </w:p>
        </w:tc>
        <w:tc>
          <w:tcPr>
            <w:tcW w:w="2058" w:type="dxa"/>
          </w:tcPr>
          <w:p w14:paraId="50BC1103"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December 2016</w:t>
            </w:r>
          </w:p>
        </w:tc>
      </w:tr>
      <w:tr w:rsidR="008E5B74" w:rsidRPr="008E5B74" w14:paraId="50BC1107"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05" w14:textId="77777777" w:rsidR="008E5B74" w:rsidRPr="008E5B74" w:rsidRDefault="008E5B74" w:rsidP="00AC7A17">
            <w:pPr>
              <w:ind w:left="180"/>
              <w:rPr>
                <w:b w:val="0"/>
                <w:sz w:val="24"/>
                <w:szCs w:val="24"/>
              </w:rPr>
            </w:pPr>
            <w:r w:rsidRPr="008E5B74">
              <w:rPr>
                <w:b w:val="0"/>
                <w:sz w:val="24"/>
                <w:szCs w:val="24"/>
              </w:rPr>
              <w:t>Finalize distribution feeder forecast</w:t>
            </w:r>
          </w:p>
        </w:tc>
        <w:tc>
          <w:tcPr>
            <w:tcW w:w="2058" w:type="dxa"/>
          </w:tcPr>
          <w:p w14:paraId="50BC1106"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December 2016</w:t>
            </w:r>
          </w:p>
        </w:tc>
      </w:tr>
      <w:tr w:rsidR="008E5B74" w:rsidRPr="008E5B74" w14:paraId="50BC110A"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08" w14:textId="77777777" w:rsidR="008E5B74" w:rsidRPr="008E5B74" w:rsidRDefault="008E5B74" w:rsidP="00AC7A17">
            <w:pPr>
              <w:ind w:left="180"/>
              <w:rPr>
                <w:b w:val="0"/>
                <w:sz w:val="24"/>
                <w:szCs w:val="24"/>
              </w:rPr>
            </w:pPr>
            <w:r w:rsidRPr="008E5B74">
              <w:rPr>
                <w:b w:val="0"/>
                <w:sz w:val="24"/>
                <w:szCs w:val="24"/>
              </w:rPr>
              <w:t>Select natural gas price forecast</w:t>
            </w:r>
          </w:p>
        </w:tc>
        <w:tc>
          <w:tcPr>
            <w:tcW w:w="2058" w:type="dxa"/>
          </w:tcPr>
          <w:p w14:paraId="50BC1109"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December 2016</w:t>
            </w:r>
          </w:p>
        </w:tc>
      </w:tr>
      <w:tr w:rsidR="008E5B74" w:rsidRPr="008E5B74" w14:paraId="50BC110D"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0B" w14:textId="77777777" w:rsidR="008E5B74" w:rsidRPr="008E5B74" w:rsidRDefault="008E5B74" w:rsidP="00AC7A17">
            <w:pPr>
              <w:ind w:left="180"/>
              <w:rPr>
                <w:b w:val="0"/>
                <w:sz w:val="24"/>
                <w:szCs w:val="24"/>
              </w:rPr>
            </w:pPr>
            <w:r w:rsidRPr="008E5B74">
              <w:rPr>
                <w:b w:val="0"/>
                <w:sz w:val="24"/>
                <w:szCs w:val="24"/>
              </w:rPr>
              <w:t>Finalize deterministic base case</w:t>
            </w:r>
          </w:p>
        </w:tc>
        <w:tc>
          <w:tcPr>
            <w:tcW w:w="2058" w:type="dxa"/>
          </w:tcPr>
          <w:p w14:paraId="50BC110C"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January 2017</w:t>
            </w:r>
          </w:p>
        </w:tc>
      </w:tr>
      <w:tr w:rsidR="008E5B74" w:rsidRPr="008E5B74" w14:paraId="50BC1110"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0E" w14:textId="77777777" w:rsidR="008E5B74" w:rsidRPr="008E5B74" w:rsidRDefault="008E5B74" w:rsidP="00AC7A17">
            <w:pPr>
              <w:ind w:left="180"/>
              <w:rPr>
                <w:b w:val="0"/>
                <w:sz w:val="24"/>
                <w:szCs w:val="24"/>
              </w:rPr>
            </w:pPr>
            <w:r w:rsidRPr="008E5B74">
              <w:rPr>
                <w:b w:val="0"/>
                <w:sz w:val="24"/>
                <w:szCs w:val="24"/>
              </w:rPr>
              <w:t>Due date for study requests</w:t>
            </w:r>
          </w:p>
        </w:tc>
        <w:tc>
          <w:tcPr>
            <w:tcW w:w="2058" w:type="dxa"/>
          </w:tcPr>
          <w:p w14:paraId="50BC110F" w14:textId="77777777" w:rsidR="008E5B74" w:rsidRPr="008E5B74" w:rsidRDefault="0088199B" w:rsidP="00F43D0F">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Jan</w:t>
            </w:r>
            <w:r w:rsidR="00F43D0F">
              <w:rPr>
                <w:sz w:val="24"/>
                <w:szCs w:val="24"/>
              </w:rPr>
              <w:t>uary</w:t>
            </w:r>
            <w:r>
              <w:rPr>
                <w:sz w:val="24"/>
                <w:szCs w:val="24"/>
              </w:rPr>
              <w:t xml:space="preserve"> 13, 2017</w:t>
            </w:r>
          </w:p>
        </w:tc>
      </w:tr>
      <w:tr w:rsidR="008E5B74" w:rsidRPr="008E5B74" w14:paraId="50BC1113"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11" w14:textId="77777777" w:rsidR="008E5B74" w:rsidRPr="008E5B74" w:rsidRDefault="008E5B74" w:rsidP="00AC7A17">
            <w:pPr>
              <w:ind w:left="180"/>
              <w:rPr>
                <w:b w:val="0"/>
                <w:sz w:val="24"/>
                <w:szCs w:val="24"/>
              </w:rPr>
            </w:pPr>
            <w:r w:rsidRPr="008E5B74">
              <w:rPr>
                <w:b w:val="0"/>
                <w:sz w:val="24"/>
                <w:szCs w:val="24"/>
              </w:rPr>
              <w:t>Base case stochastic study complete</w:t>
            </w:r>
          </w:p>
        </w:tc>
        <w:tc>
          <w:tcPr>
            <w:tcW w:w="2058" w:type="dxa"/>
          </w:tcPr>
          <w:p w14:paraId="50BC1112" w14:textId="77777777" w:rsidR="008E5B74" w:rsidRPr="008E5B74" w:rsidRDefault="008E5B74" w:rsidP="0088199B">
            <w:pPr>
              <w:jc w:val="right"/>
              <w:cnfStyle w:val="000000000000" w:firstRow="0" w:lastRow="0" w:firstColumn="0" w:lastColumn="0" w:oddVBand="0" w:evenVBand="0" w:oddHBand="0" w:evenHBand="0" w:firstRowFirstColumn="0" w:firstRowLastColumn="0" w:lastRowFirstColumn="0" w:lastRowLastColumn="0"/>
              <w:rPr>
                <w:sz w:val="24"/>
                <w:szCs w:val="24"/>
              </w:rPr>
            </w:pPr>
            <w:r w:rsidRPr="008E5B74">
              <w:rPr>
                <w:sz w:val="24"/>
                <w:szCs w:val="24"/>
              </w:rPr>
              <w:t>January 201</w:t>
            </w:r>
            <w:r w:rsidR="0088199B">
              <w:rPr>
                <w:sz w:val="24"/>
                <w:szCs w:val="24"/>
              </w:rPr>
              <w:t>7</w:t>
            </w:r>
          </w:p>
        </w:tc>
      </w:tr>
      <w:tr w:rsidR="008E5B74" w:rsidRPr="008E5B74" w14:paraId="50BC1116"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14" w14:textId="77777777" w:rsidR="008E5B74" w:rsidRPr="008E5B74" w:rsidRDefault="008E5B74" w:rsidP="00AC7A17">
            <w:pPr>
              <w:ind w:left="180"/>
              <w:rPr>
                <w:b w:val="0"/>
                <w:sz w:val="24"/>
                <w:szCs w:val="24"/>
              </w:rPr>
            </w:pPr>
            <w:r w:rsidRPr="008E5B74">
              <w:rPr>
                <w:b w:val="0"/>
                <w:sz w:val="24"/>
                <w:szCs w:val="24"/>
              </w:rPr>
              <w:t>Develop efficient frontier and PRS</w:t>
            </w:r>
          </w:p>
        </w:tc>
        <w:tc>
          <w:tcPr>
            <w:tcW w:w="2058" w:type="dxa"/>
          </w:tcPr>
          <w:p w14:paraId="50BC1115"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January 2017</w:t>
            </w:r>
          </w:p>
        </w:tc>
      </w:tr>
      <w:tr w:rsidR="008E5B74" w:rsidRPr="008E5B74" w14:paraId="50BC1119"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17" w14:textId="77777777" w:rsidR="008E5B74" w:rsidRPr="008E5B74" w:rsidRDefault="008E5B74" w:rsidP="00AC7A17">
            <w:pPr>
              <w:ind w:left="180"/>
              <w:rPr>
                <w:sz w:val="24"/>
                <w:szCs w:val="24"/>
              </w:rPr>
            </w:pPr>
            <w:r w:rsidRPr="008E5B74">
              <w:rPr>
                <w:b w:val="0"/>
                <w:sz w:val="24"/>
                <w:szCs w:val="24"/>
              </w:rPr>
              <w:t>Finalize PRiSM model</w:t>
            </w:r>
          </w:p>
        </w:tc>
        <w:tc>
          <w:tcPr>
            <w:tcW w:w="2058" w:type="dxa"/>
          </w:tcPr>
          <w:p w14:paraId="50BC1118"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February 2017</w:t>
            </w:r>
          </w:p>
        </w:tc>
      </w:tr>
      <w:tr w:rsidR="008E5B74" w:rsidRPr="008E5B74" w14:paraId="50BC111C"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1A" w14:textId="77777777" w:rsidR="008E5B74" w:rsidRPr="008E5B74" w:rsidRDefault="008E5B74" w:rsidP="00AC7A17">
            <w:pPr>
              <w:ind w:left="180"/>
              <w:rPr>
                <w:b w:val="0"/>
                <w:sz w:val="24"/>
                <w:szCs w:val="24"/>
              </w:rPr>
            </w:pPr>
            <w:r w:rsidRPr="008E5B74">
              <w:rPr>
                <w:b w:val="0"/>
                <w:sz w:val="24"/>
                <w:szCs w:val="24"/>
              </w:rPr>
              <w:t>Simulation of risk studies “futures” complete</w:t>
            </w:r>
          </w:p>
        </w:tc>
        <w:tc>
          <w:tcPr>
            <w:tcW w:w="2058" w:type="dxa"/>
          </w:tcPr>
          <w:p w14:paraId="50BC111B"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February 2017</w:t>
            </w:r>
          </w:p>
        </w:tc>
      </w:tr>
      <w:tr w:rsidR="008E5B74" w:rsidRPr="008E5B74" w14:paraId="50BC111F"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1D" w14:textId="77777777" w:rsidR="008E5B74" w:rsidRPr="008E5B74" w:rsidRDefault="008E5B74" w:rsidP="00AC7A17">
            <w:pPr>
              <w:ind w:left="180"/>
              <w:rPr>
                <w:b w:val="0"/>
                <w:sz w:val="24"/>
                <w:szCs w:val="24"/>
              </w:rPr>
            </w:pPr>
            <w:r w:rsidRPr="008E5B74">
              <w:rPr>
                <w:b w:val="0"/>
                <w:sz w:val="24"/>
                <w:szCs w:val="24"/>
              </w:rPr>
              <w:t>Simulate market scenarios in AURORA</w:t>
            </w:r>
            <w:r w:rsidRPr="008E5B74">
              <w:rPr>
                <w:sz w:val="24"/>
                <w:szCs w:val="24"/>
                <w:vertAlign w:val="superscript"/>
              </w:rPr>
              <w:t>xmp</w:t>
            </w:r>
          </w:p>
        </w:tc>
        <w:tc>
          <w:tcPr>
            <w:tcW w:w="2058" w:type="dxa"/>
          </w:tcPr>
          <w:p w14:paraId="50BC111E"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February 2017</w:t>
            </w:r>
          </w:p>
        </w:tc>
      </w:tr>
      <w:tr w:rsidR="008E5B74" w:rsidRPr="008E5B74" w14:paraId="50BC1122"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20" w14:textId="77777777" w:rsidR="008E5B74" w:rsidRPr="008E5B74" w:rsidRDefault="008E5B74" w:rsidP="00AC7A17">
            <w:pPr>
              <w:ind w:left="180"/>
              <w:rPr>
                <w:b w:val="0"/>
                <w:sz w:val="24"/>
                <w:szCs w:val="24"/>
              </w:rPr>
            </w:pPr>
            <w:r w:rsidRPr="008E5B74">
              <w:rPr>
                <w:b w:val="0"/>
                <w:sz w:val="24"/>
                <w:szCs w:val="24"/>
              </w:rPr>
              <w:t>Evaluate resource strategies against market futures and scenarios</w:t>
            </w:r>
          </w:p>
        </w:tc>
        <w:tc>
          <w:tcPr>
            <w:tcW w:w="2058" w:type="dxa"/>
          </w:tcPr>
          <w:p w14:paraId="50BC1121"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March 2017</w:t>
            </w:r>
          </w:p>
        </w:tc>
      </w:tr>
      <w:tr w:rsidR="008E5B74" w:rsidRPr="008E5B74" w14:paraId="50BC1125"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23" w14:textId="77777777" w:rsidR="008E5B74" w:rsidRPr="008E5B74" w:rsidRDefault="008E5B74" w:rsidP="00AC7A17">
            <w:pPr>
              <w:ind w:left="180"/>
              <w:rPr>
                <w:b w:val="0"/>
                <w:sz w:val="24"/>
                <w:szCs w:val="24"/>
              </w:rPr>
            </w:pPr>
            <w:r w:rsidRPr="008E5B74">
              <w:rPr>
                <w:b w:val="0"/>
                <w:sz w:val="24"/>
                <w:szCs w:val="24"/>
              </w:rPr>
              <w:t>Present preliminary study and PRS to TAC</w:t>
            </w:r>
          </w:p>
        </w:tc>
        <w:tc>
          <w:tcPr>
            <w:tcW w:w="2058" w:type="dxa"/>
          </w:tcPr>
          <w:p w14:paraId="50BC1124"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March 2017</w:t>
            </w:r>
          </w:p>
        </w:tc>
      </w:tr>
      <w:tr w:rsidR="008E5B74" w:rsidRPr="008E5B74" w14:paraId="50BC1128"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26" w14:textId="77777777" w:rsidR="008E5B74" w:rsidRPr="008E5B74" w:rsidRDefault="008E5B74" w:rsidP="00AC7A17">
            <w:pPr>
              <w:ind w:left="180"/>
              <w:rPr>
                <w:b w:val="0"/>
                <w:sz w:val="24"/>
                <w:szCs w:val="24"/>
              </w:rPr>
            </w:pPr>
          </w:p>
        </w:tc>
        <w:tc>
          <w:tcPr>
            <w:tcW w:w="2058" w:type="dxa"/>
          </w:tcPr>
          <w:p w14:paraId="50BC1127" w14:textId="77777777" w:rsidR="008E5B74" w:rsidRPr="008E5B74" w:rsidRDefault="008E5B74"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p>
        </w:tc>
      </w:tr>
      <w:tr w:rsidR="008E5B74" w:rsidRPr="008E5B74" w14:paraId="50BC112B"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29" w14:textId="77777777" w:rsidR="008E5B74" w:rsidRPr="008E5B74" w:rsidRDefault="008E5B74" w:rsidP="00AC7A17">
            <w:pPr>
              <w:rPr>
                <w:sz w:val="24"/>
                <w:szCs w:val="24"/>
              </w:rPr>
            </w:pPr>
            <w:r w:rsidRPr="008E5B74">
              <w:rPr>
                <w:sz w:val="24"/>
                <w:szCs w:val="24"/>
              </w:rPr>
              <w:t>Writing Tasks</w:t>
            </w:r>
          </w:p>
        </w:tc>
        <w:tc>
          <w:tcPr>
            <w:tcW w:w="2058" w:type="dxa"/>
          </w:tcPr>
          <w:p w14:paraId="50BC112A" w14:textId="77777777" w:rsidR="008E5B74" w:rsidRPr="008E5B74" w:rsidRDefault="008E5B74" w:rsidP="00AC7A17">
            <w:pPr>
              <w:jc w:val="right"/>
              <w:cnfStyle w:val="000000000000" w:firstRow="0" w:lastRow="0" w:firstColumn="0" w:lastColumn="0" w:oddVBand="0" w:evenVBand="0" w:oddHBand="0" w:evenHBand="0" w:firstRowFirstColumn="0" w:firstRowLastColumn="0" w:lastRowFirstColumn="0" w:lastRowLastColumn="0"/>
              <w:rPr>
                <w:b/>
                <w:sz w:val="24"/>
                <w:szCs w:val="24"/>
              </w:rPr>
            </w:pPr>
          </w:p>
        </w:tc>
      </w:tr>
      <w:tr w:rsidR="008E5B74" w:rsidRPr="008E5B74" w14:paraId="50BC112E"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2C" w14:textId="77777777" w:rsidR="008E5B74" w:rsidRPr="008E5B74" w:rsidRDefault="008E5B74" w:rsidP="0088199B">
            <w:pPr>
              <w:ind w:left="180"/>
              <w:jc w:val="both"/>
              <w:rPr>
                <w:b w:val="0"/>
                <w:sz w:val="24"/>
                <w:szCs w:val="24"/>
              </w:rPr>
            </w:pPr>
            <w:r w:rsidRPr="008E5B74">
              <w:rPr>
                <w:b w:val="0"/>
                <w:sz w:val="24"/>
                <w:szCs w:val="24"/>
              </w:rPr>
              <w:t>File 201</w:t>
            </w:r>
            <w:r w:rsidR="0088199B">
              <w:rPr>
                <w:b w:val="0"/>
                <w:sz w:val="24"/>
                <w:szCs w:val="24"/>
              </w:rPr>
              <w:t>7</w:t>
            </w:r>
            <w:r w:rsidRPr="008E5B74">
              <w:rPr>
                <w:b w:val="0"/>
                <w:sz w:val="24"/>
                <w:szCs w:val="24"/>
              </w:rPr>
              <w:t xml:space="preserve"> IRP </w:t>
            </w:r>
            <w:r w:rsidR="0088199B">
              <w:rPr>
                <w:b w:val="0"/>
                <w:sz w:val="24"/>
                <w:szCs w:val="24"/>
              </w:rPr>
              <w:t>W</w:t>
            </w:r>
            <w:r w:rsidRPr="008E5B74">
              <w:rPr>
                <w:b w:val="0"/>
                <w:sz w:val="24"/>
                <w:szCs w:val="24"/>
              </w:rPr>
              <w:t xml:space="preserve">ork </w:t>
            </w:r>
            <w:r w:rsidR="0088199B">
              <w:rPr>
                <w:b w:val="0"/>
                <w:sz w:val="24"/>
                <w:szCs w:val="24"/>
              </w:rPr>
              <w:t>P</w:t>
            </w:r>
            <w:r w:rsidRPr="008E5B74">
              <w:rPr>
                <w:b w:val="0"/>
                <w:sz w:val="24"/>
                <w:szCs w:val="24"/>
              </w:rPr>
              <w:t>lan</w:t>
            </w:r>
          </w:p>
        </w:tc>
        <w:tc>
          <w:tcPr>
            <w:tcW w:w="2058" w:type="dxa"/>
          </w:tcPr>
          <w:p w14:paraId="50BC112D"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August </w:t>
            </w:r>
            <w:r w:rsidR="009D17FD">
              <w:rPr>
                <w:sz w:val="24"/>
                <w:szCs w:val="24"/>
              </w:rPr>
              <w:t xml:space="preserve">31, </w:t>
            </w:r>
            <w:r>
              <w:rPr>
                <w:sz w:val="24"/>
                <w:szCs w:val="24"/>
              </w:rPr>
              <w:t>2016</w:t>
            </w:r>
          </w:p>
        </w:tc>
      </w:tr>
      <w:tr w:rsidR="008E5B74" w:rsidRPr="008E5B74" w14:paraId="50BC1131"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2F" w14:textId="77777777" w:rsidR="008E5B74" w:rsidRPr="008E5B74" w:rsidRDefault="008E5B74" w:rsidP="00AC7A17">
            <w:pPr>
              <w:ind w:left="180"/>
              <w:jc w:val="both"/>
              <w:rPr>
                <w:b w:val="0"/>
                <w:sz w:val="24"/>
                <w:szCs w:val="24"/>
              </w:rPr>
            </w:pPr>
            <w:r w:rsidRPr="008E5B74">
              <w:rPr>
                <w:b w:val="0"/>
                <w:sz w:val="24"/>
                <w:szCs w:val="24"/>
              </w:rPr>
              <w:t>Prepare report and appendix outline</w:t>
            </w:r>
          </w:p>
        </w:tc>
        <w:tc>
          <w:tcPr>
            <w:tcW w:w="2058" w:type="dxa"/>
          </w:tcPr>
          <w:p w14:paraId="50BC1130" w14:textId="77777777" w:rsidR="008E5B74" w:rsidRPr="008E5B74" w:rsidRDefault="008E5B74" w:rsidP="0088199B">
            <w:pPr>
              <w:jc w:val="right"/>
              <w:cnfStyle w:val="000000000000" w:firstRow="0" w:lastRow="0" w:firstColumn="0" w:lastColumn="0" w:oddVBand="0" w:evenVBand="0" w:oddHBand="0" w:evenHBand="0" w:firstRowFirstColumn="0" w:firstRowLastColumn="0" w:lastRowFirstColumn="0" w:lastRowLastColumn="0"/>
              <w:rPr>
                <w:sz w:val="24"/>
                <w:szCs w:val="24"/>
              </w:rPr>
            </w:pPr>
            <w:r w:rsidRPr="008E5B74">
              <w:rPr>
                <w:sz w:val="24"/>
                <w:szCs w:val="24"/>
              </w:rPr>
              <w:t>October 201</w:t>
            </w:r>
            <w:r w:rsidR="0088199B">
              <w:rPr>
                <w:sz w:val="24"/>
                <w:szCs w:val="24"/>
              </w:rPr>
              <w:t>6</w:t>
            </w:r>
          </w:p>
        </w:tc>
      </w:tr>
      <w:tr w:rsidR="008E5B74" w:rsidRPr="008E5B74" w14:paraId="50BC1134"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32" w14:textId="77777777" w:rsidR="008E5B74" w:rsidRPr="008E5B74" w:rsidRDefault="008E5B74" w:rsidP="00AC7A17">
            <w:pPr>
              <w:ind w:left="180"/>
              <w:jc w:val="both"/>
              <w:rPr>
                <w:b w:val="0"/>
                <w:sz w:val="24"/>
                <w:szCs w:val="24"/>
              </w:rPr>
            </w:pPr>
            <w:r w:rsidRPr="008E5B74">
              <w:rPr>
                <w:b w:val="0"/>
                <w:sz w:val="24"/>
                <w:szCs w:val="24"/>
              </w:rPr>
              <w:t>Prepare text drafts</w:t>
            </w:r>
          </w:p>
        </w:tc>
        <w:tc>
          <w:tcPr>
            <w:tcW w:w="2058" w:type="dxa"/>
          </w:tcPr>
          <w:p w14:paraId="50BC1133"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April 2017</w:t>
            </w:r>
          </w:p>
        </w:tc>
      </w:tr>
      <w:tr w:rsidR="008E5B74" w:rsidRPr="008E5B74" w14:paraId="50BC1137"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35" w14:textId="77777777" w:rsidR="008E5B74" w:rsidRPr="008E5B74" w:rsidRDefault="008E5B74" w:rsidP="00AC7A17">
            <w:pPr>
              <w:ind w:left="180"/>
              <w:jc w:val="both"/>
              <w:rPr>
                <w:b w:val="0"/>
                <w:sz w:val="24"/>
                <w:szCs w:val="24"/>
              </w:rPr>
            </w:pPr>
            <w:r w:rsidRPr="008E5B74">
              <w:rPr>
                <w:b w:val="0"/>
                <w:sz w:val="24"/>
                <w:szCs w:val="24"/>
              </w:rPr>
              <w:t>Prepare charts and tables</w:t>
            </w:r>
          </w:p>
        </w:tc>
        <w:tc>
          <w:tcPr>
            <w:tcW w:w="2058" w:type="dxa"/>
          </w:tcPr>
          <w:p w14:paraId="50BC1136"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April 2017</w:t>
            </w:r>
          </w:p>
        </w:tc>
      </w:tr>
      <w:tr w:rsidR="008E5B74" w:rsidRPr="008E5B74" w14:paraId="50BC113A"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38" w14:textId="77777777" w:rsidR="008E5B74" w:rsidRPr="008E5B74" w:rsidRDefault="008E5B74" w:rsidP="00AC7A17">
            <w:pPr>
              <w:ind w:left="180"/>
              <w:jc w:val="both"/>
              <w:rPr>
                <w:b w:val="0"/>
                <w:sz w:val="24"/>
                <w:szCs w:val="24"/>
              </w:rPr>
            </w:pPr>
            <w:r w:rsidRPr="008E5B74">
              <w:rPr>
                <w:b w:val="0"/>
                <w:sz w:val="24"/>
                <w:szCs w:val="24"/>
              </w:rPr>
              <w:t>Internal draft released at Avista</w:t>
            </w:r>
          </w:p>
        </w:tc>
        <w:tc>
          <w:tcPr>
            <w:tcW w:w="2058" w:type="dxa"/>
          </w:tcPr>
          <w:p w14:paraId="50BC1139"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May 2017</w:t>
            </w:r>
          </w:p>
        </w:tc>
      </w:tr>
      <w:tr w:rsidR="008E5B74" w:rsidRPr="008E5B74" w14:paraId="50BC113D"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3B" w14:textId="77777777" w:rsidR="008E5B74" w:rsidRPr="008E5B74" w:rsidRDefault="008E5B74" w:rsidP="00AC7A17">
            <w:pPr>
              <w:ind w:left="180"/>
              <w:jc w:val="both"/>
              <w:rPr>
                <w:b w:val="0"/>
                <w:sz w:val="24"/>
                <w:szCs w:val="24"/>
              </w:rPr>
            </w:pPr>
            <w:r w:rsidRPr="008E5B74">
              <w:rPr>
                <w:b w:val="0"/>
                <w:sz w:val="24"/>
                <w:szCs w:val="24"/>
              </w:rPr>
              <w:t>External draft released to the TAC</w:t>
            </w:r>
          </w:p>
        </w:tc>
        <w:tc>
          <w:tcPr>
            <w:tcW w:w="2058" w:type="dxa"/>
          </w:tcPr>
          <w:p w14:paraId="50BC113C"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June 2017</w:t>
            </w:r>
          </w:p>
        </w:tc>
      </w:tr>
      <w:tr w:rsidR="008E5B74" w:rsidRPr="008E5B74" w14:paraId="50BC1140" w14:textId="77777777" w:rsidTr="00AC7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0BC113E" w14:textId="77777777" w:rsidR="008E5B74" w:rsidRPr="008E5B74" w:rsidRDefault="008E5B74" w:rsidP="00AC7A17">
            <w:pPr>
              <w:ind w:left="180"/>
              <w:jc w:val="both"/>
              <w:rPr>
                <w:b w:val="0"/>
                <w:sz w:val="24"/>
                <w:szCs w:val="24"/>
              </w:rPr>
            </w:pPr>
            <w:r w:rsidRPr="008E5B74">
              <w:rPr>
                <w:b w:val="0"/>
                <w:sz w:val="24"/>
                <w:szCs w:val="24"/>
              </w:rPr>
              <w:t>Final editing and printing</w:t>
            </w:r>
          </w:p>
        </w:tc>
        <w:tc>
          <w:tcPr>
            <w:tcW w:w="2058" w:type="dxa"/>
          </w:tcPr>
          <w:p w14:paraId="50BC113F" w14:textId="77777777" w:rsidR="008E5B74" w:rsidRPr="008E5B74" w:rsidRDefault="0088199B" w:rsidP="00AC7A17">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August 2017</w:t>
            </w:r>
          </w:p>
        </w:tc>
      </w:tr>
      <w:tr w:rsidR="008E5B74" w:rsidRPr="008E5B74" w14:paraId="50BC1143" w14:textId="77777777" w:rsidTr="00AC7A17">
        <w:tc>
          <w:tcPr>
            <w:cnfStyle w:val="001000000000" w:firstRow="0" w:lastRow="0" w:firstColumn="1" w:lastColumn="0" w:oddVBand="0" w:evenVBand="0" w:oddHBand="0" w:evenHBand="0" w:firstRowFirstColumn="0" w:firstRowLastColumn="0" w:lastRowFirstColumn="0" w:lastRowLastColumn="0"/>
            <w:tcW w:w="6480" w:type="dxa"/>
          </w:tcPr>
          <w:p w14:paraId="50BC1141" w14:textId="77777777" w:rsidR="008E5B74" w:rsidRPr="008E5B74" w:rsidRDefault="008E5B74" w:rsidP="00AC7A17">
            <w:pPr>
              <w:ind w:left="180"/>
              <w:rPr>
                <w:b w:val="0"/>
                <w:sz w:val="24"/>
                <w:szCs w:val="24"/>
              </w:rPr>
            </w:pPr>
            <w:r w:rsidRPr="008E5B74">
              <w:rPr>
                <w:b w:val="0"/>
                <w:sz w:val="24"/>
                <w:szCs w:val="24"/>
              </w:rPr>
              <w:t xml:space="preserve">Final IRP submission </w:t>
            </w:r>
            <w:r w:rsidR="009D17FD">
              <w:rPr>
                <w:b w:val="0"/>
                <w:sz w:val="24"/>
                <w:szCs w:val="24"/>
              </w:rPr>
              <w:t xml:space="preserve">to Commissions </w:t>
            </w:r>
            <w:r w:rsidRPr="008E5B74">
              <w:rPr>
                <w:b w:val="0"/>
                <w:sz w:val="24"/>
                <w:szCs w:val="24"/>
              </w:rPr>
              <w:t xml:space="preserve">and TAC </w:t>
            </w:r>
          </w:p>
        </w:tc>
        <w:tc>
          <w:tcPr>
            <w:tcW w:w="2058" w:type="dxa"/>
          </w:tcPr>
          <w:p w14:paraId="50BC1142" w14:textId="77777777" w:rsidR="008E5B74" w:rsidRPr="008E5B74" w:rsidRDefault="0088199B" w:rsidP="00AC7A17">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August 31, 2017</w:t>
            </w:r>
          </w:p>
        </w:tc>
      </w:tr>
    </w:tbl>
    <w:p w14:paraId="50BC1144" w14:textId="77777777" w:rsidR="008E5B74" w:rsidRPr="008E5B74" w:rsidRDefault="008E5B74" w:rsidP="008E5B74">
      <w:pPr>
        <w:pStyle w:val="BodyText"/>
        <w:ind w:left="1080"/>
        <w:jc w:val="left"/>
        <w:rPr>
          <w:szCs w:val="24"/>
        </w:rPr>
      </w:pPr>
    </w:p>
    <w:p w14:paraId="50BC1145" w14:textId="77777777" w:rsidR="0088199B" w:rsidRDefault="0088199B" w:rsidP="00C229A4">
      <w:pPr>
        <w:tabs>
          <w:tab w:val="left" w:pos="2880"/>
        </w:tabs>
        <w:rPr>
          <w:sz w:val="24"/>
        </w:rPr>
      </w:pPr>
    </w:p>
    <w:p w14:paraId="50BC1146" w14:textId="77777777" w:rsidR="0088199B" w:rsidRDefault="0088199B" w:rsidP="00C229A4">
      <w:pPr>
        <w:tabs>
          <w:tab w:val="left" w:pos="2880"/>
        </w:tabs>
        <w:rPr>
          <w:sz w:val="24"/>
        </w:rPr>
      </w:pPr>
    </w:p>
    <w:p w14:paraId="50BC1147" w14:textId="77777777" w:rsidR="0088199B" w:rsidRPr="0088199B" w:rsidRDefault="008E5B74" w:rsidP="0088199B">
      <w:pPr>
        <w:pStyle w:val="Heading2"/>
        <w:rPr>
          <w:color w:val="auto"/>
        </w:rPr>
      </w:pPr>
      <w:r>
        <w:br w:type="page"/>
      </w:r>
      <w:r w:rsidR="0088199B" w:rsidRPr="0088199B">
        <w:rPr>
          <w:color w:val="auto"/>
        </w:rPr>
        <w:lastRenderedPageBreak/>
        <w:t>Exhibit 2: 2017 Electric IRP Modeling Process</w:t>
      </w:r>
    </w:p>
    <w:p w14:paraId="50BC1148" w14:textId="77777777" w:rsidR="0088199B" w:rsidRDefault="0088199B" w:rsidP="00C229A4">
      <w:pPr>
        <w:tabs>
          <w:tab w:val="left" w:pos="2880"/>
        </w:tabs>
        <w:rPr>
          <w:sz w:val="24"/>
        </w:rPr>
      </w:pPr>
    </w:p>
    <w:p w14:paraId="50BC1149" w14:textId="77777777" w:rsidR="008E5B74" w:rsidRPr="008E5B74" w:rsidRDefault="0088199B" w:rsidP="00C229A4">
      <w:pPr>
        <w:tabs>
          <w:tab w:val="left" w:pos="2880"/>
        </w:tabs>
        <w:rPr>
          <w:sz w:val="24"/>
        </w:rPr>
      </w:pPr>
      <w:r w:rsidRPr="0088199B">
        <w:rPr>
          <w:noProof/>
          <w:sz w:val="24"/>
        </w:rPr>
        <w:drawing>
          <wp:inline distT="0" distB="0" distL="0" distR="0" wp14:anchorId="50BC114C" wp14:editId="50BC114D">
            <wp:extent cx="5629275" cy="4221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6679" cy="4250009"/>
                    </a:xfrm>
                    <a:prstGeom prst="rect">
                      <a:avLst/>
                    </a:prstGeom>
                  </pic:spPr>
                </pic:pic>
              </a:graphicData>
            </a:graphic>
          </wp:inline>
        </w:drawing>
      </w:r>
    </w:p>
    <w:p w14:paraId="50BC114A" w14:textId="77777777" w:rsidR="008E5B74" w:rsidRPr="008E5B74" w:rsidRDefault="008E5B74" w:rsidP="008E5B74">
      <w:pPr>
        <w:tabs>
          <w:tab w:val="left" w:pos="2880"/>
        </w:tabs>
        <w:ind w:left="-720"/>
        <w:rPr>
          <w:sz w:val="24"/>
        </w:rPr>
      </w:pPr>
    </w:p>
    <w:p w14:paraId="50BC114B" w14:textId="77777777" w:rsidR="0088199B" w:rsidRPr="008E5B74" w:rsidRDefault="0088199B"/>
    <w:sectPr w:rsidR="0088199B" w:rsidRPr="008E5B74" w:rsidSect="003D0502">
      <w:headerReference w:type="default" r:id="rId11"/>
      <w:footerReference w:type="default" r:id="rId12"/>
      <w:headerReference w:type="first" r:id="rId13"/>
      <w:footerReference w:type="first" r:id="rId14"/>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C1150" w14:textId="77777777" w:rsidR="00CF7237" w:rsidRDefault="00CF7237" w:rsidP="00812423">
      <w:r>
        <w:separator/>
      </w:r>
    </w:p>
  </w:endnote>
  <w:endnote w:type="continuationSeparator" w:id="0">
    <w:p w14:paraId="50BC1151" w14:textId="77777777" w:rsidR="00CF7237" w:rsidRDefault="00CF7237" w:rsidP="008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209062"/>
      <w:docPartObj>
        <w:docPartGallery w:val="Page Numbers (Bottom of Page)"/>
        <w:docPartUnique/>
      </w:docPartObj>
    </w:sdtPr>
    <w:sdtEndPr>
      <w:rPr>
        <w:noProof/>
      </w:rPr>
    </w:sdtEndPr>
    <w:sdtContent>
      <w:p w14:paraId="50BC1153" w14:textId="77777777" w:rsidR="00B10B65" w:rsidRDefault="00B10B65">
        <w:pPr>
          <w:pStyle w:val="Footer"/>
          <w:jc w:val="center"/>
        </w:pPr>
        <w:r>
          <w:fldChar w:fldCharType="begin"/>
        </w:r>
        <w:r>
          <w:instrText xml:space="preserve"> PAGE   \* MERGEFORMAT </w:instrText>
        </w:r>
        <w:r>
          <w:fldChar w:fldCharType="separate"/>
        </w:r>
        <w:r w:rsidR="00C42375">
          <w:rPr>
            <w:noProof/>
          </w:rPr>
          <w:t>2</w:t>
        </w:r>
        <w:r>
          <w:rPr>
            <w:noProof/>
          </w:rPr>
          <w:fldChar w:fldCharType="end"/>
        </w:r>
      </w:p>
    </w:sdtContent>
  </w:sdt>
  <w:p w14:paraId="50BC1154" w14:textId="77777777" w:rsidR="003D0502" w:rsidRDefault="003D0502" w:rsidP="003D0502">
    <w:pPr>
      <w:pStyle w:val="Footer"/>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3915"/>
      <w:docPartObj>
        <w:docPartGallery w:val="Page Numbers (Bottom of Page)"/>
        <w:docPartUnique/>
      </w:docPartObj>
    </w:sdtPr>
    <w:sdtEndPr>
      <w:rPr>
        <w:noProof/>
      </w:rPr>
    </w:sdtEndPr>
    <w:sdtContent>
      <w:p w14:paraId="50BC1156" w14:textId="77777777" w:rsidR="00B10B65" w:rsidRDefault="00B10B65">
        <w:pPr>
          <w:pStyle w:val="Footer"/>
          <w:jc w:val="center"/>
        </w:pPr>
        <w:r>
          <w:fldChar w:fldCharType="begin"/>
        </w:r>
        <w:r>
          <w:instrText xml:space="preserve"> PAGE   \* MERGEFORMAT </w:instrText>
        </w:r>
        <w:r>
          <w:fldChar w:fldCharType="separate"/>
        </w:r>
        <w:r w:rsidR="00C42375">
          <w:rPr>
            <w:noProof/>
          </w:rPr>
          <w:t>1</w:t>
        </w:r>
        <w:r>
          <w:rPr>
            <w:noProof/>
          </w:rPr>
          <w:fldChar w:fldCharType="end"/>
        </w:r>
      </w:p>
    </w:sdtContent>
  </w:sdt>
  <w:p w14:paraId="50BC1157" w14:textId="77777777" w:rsidR="007B6452" w:rsidRDefault="007B6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C114E" w14:textId="77777777" w:rsidR="00CF7237" w:rsidRDefault="00CF7237" w:rsidP="00812423">
      <w:r>
        <w:separator/>
      </w:r>
    </w:p>
  </w:footnote>
  <w:footnote w:type="continuationSeparator" w:id="0">
    <w:p w14:paraId="50BC114F" w14:textId="77777777" w:rsidR="00CF7237" w:rsidRDefault="00CF7237" w:rsidP="0081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1152" w14:textId="77777777" w:rsidR="003D0502" w:rsidRDefault="003D0502"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1155" w14:textId="77777777" w:rsidR="003D0502" w:rsidRDefault="003D0502" w:rsidP="003D0502">
    <w:pPr>
      <w:pStyle w:val="Header"/>
      <w:spacing w:after="480"/>
      <w:ind w:left="-1166" w:right="-1166"/>
    </w:pPr>
    <w:r w:rsidRPr="0071027A">
      <w:rPr>
        <w:noProof/>
      </w:rPr>
      <w:drawing>
        <wp:inline distT="0" distB="0" distL="0" distR="0" wp14:anchorId="50BC1158" wp14:editId="50BC1159">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1809"/>
    <w:multiLevelType w:val="hybridMultilevel"/>
    <w:tmpl w:val="85BA9C8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96E98"/>
    <w:multiLevelType w:val="hybridMultilevel"/>
    <w:tmpl w:val="491C30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91"/>
    <w:rsid w:val="0002659F"/>
    <w:rsid w:val="00085826"/>
    <w:rsid w:val="000D6B4D"/>
    <w:rsid w:val="000E3C94"/>
    <w:rsid w:val="000F77AD"/>
    <w:rsid w:val="003D0502"/>
    <w:rsid w:val="003F0494"/>
    <w:rsid w:val="0076517F"/>
    <w:rsid w:val="007B6452"/>
    <w:rsid w:val="00812423"/>
    <w:rsid w:val="00836FAE"/>
    <w:rsid w:val="0084397A"/>
    <w:rsid w:val="0088199B"/>
    <w:rsid w:val="008A56FE"/>
    <w:rsid w:val="008B1F42"/>
    <w:rsid w:val="008E5B74"/>
    <w:rsid w:val="009D17FD"/>
    <w:rsid w:val="00A213B7"/>
    <w:rsid w:val="00B10B65"/>
    <w:rsid w:val="00B301EF"/>
    <w:rsid w:val="00B3771B"/>
    <w:rsid w:val="00BD679A"/>
    <w:rsid w:val="00C229A4"/>
    <w:rsid w:val="00C42375"/>
    <w:rsid w:val="00CC5891"/>
    <w:rsid w:val="00CF7237"/>
    <w:rsid w:val="00DD2F3C"/>
    <w:rsid w:val="00F30B57"/>
    <w:rsid w:val="00F43D0F"/>
    <w:rsid w:val="00F80D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0BC1081"/>
  <w15:docId w15:val="{E2EB419C-C731-4B33-B69C-8DC10F16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74"/>
    <w:rPr>
      <w:rFonts w:ascii="Times New Roman" w:eastAsia="Times New Roman" w:hAnsi="Times New Roman" w:cs="Times New Roman"/>
    </w:rPr>
  </w:style>
  <w:style w:type="paragraph" w:styleId="Heading1">
    <w:name w:val="heading 1"/>
    <w:basedOn w:val="Normal"/>
    <w:next w:val="Normal"/>
    <w:link w:val="Heading1Char"/>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8E5B74"/>
    <w:rPr>
      <w:rFonts w:ascii="Tahoma" w:hAnsi="Tahoma" w:cs="Tahoma"/>
      <w:sz w:val="16"/>
      <w:szCs w:val="16"/>
    </w:rPr>
  </w:style>
  <w:style w:type="character" w:customStyle="1" w:styleId="BalloonTextChar">
    <w:name w:val="Balloon Text Char"/>
    <w:basedOn w:val="DefaultParagraphFont"/>
    <w:link w:val="BalloonText"/>
    <w:uiPriority w:val="99"/>
    <w:semiHidden/>
    <w:rsid w:val="008E5B74"/>
    <w:rPr>
      <w:rFonts w:ascii="Tahoma" w:hAnsi="Tahoma" w:cs="Tahoma"/>
      <w:sz w:val="16"/>
      <w:szCs w:val="16"/>
    </w:rPr>
  </w:style>
  <w:style w:type="paragraph" w:styleId="BodyText">
    <w:name w:val="Body Text"/>
    <w:basedOn w:val="Normal"/>
    <w:link w:val="BodyTextChar"/>
    <w:rsid w:val="008E5B74"/>
    <w:pPr>
      <w:jc w:val="both"/>
    </w:pPr>
    <w:rPr>
      <w:sz w:val="24"/>
    </w:rPr>
  </w:style>
  <w:style w:type="character" w:customStyle="1" w:styleId="BodyTextChar">
    <w:name w:val="Body Text Char"/>
    <w:basedOn w:val="DefaultParagraphFont"/>
    <w:link w:val="BodyText"/>
    <w:rsid w:val="008E5B74"/>
    <w:rPr>
      <w:rFonts w:ascii="Times New Roman" w:eastAsia="Times New Roman" w:hAnsi="Times New Roman" w:cs="Times New Roman"/>
      <w:sz w:val="24"/>
    </w:rPr>
  </w:style>
  <w:style w:type="paragraph" w:customStyle="1" w:styleId="xl22">
    <w:name w:val="xl22"/>
    <w:basedOn w:val="Normal"/>
    <w:rsid w:val="008E5B74"/>
    <w:pPr>
      <w:spacing w:before="100" w:beforeAutospacing="1" w:after="100" w:afterAutospacing="1"/>
      <w:ind w:firstLineChars="100" w:firstLine="100"/>
    </w:pPr>
    <w:rPr>
      <w:rFonts w:ascii="Arial Unicode MS" w:eastAsia="Arial Unicode MS" w:hAnsi="Arial Unicode MS" w:cs="Arial Unicode MS"/>
      <w:sz w:val="24"/>
      <w:szCs w:val="24"/>
    </w:rPr>
  </w:style>
  <w:style w:type="table" w:customStyle="1" w:styleId="LightShading1">
    <w:name w:val="Light Shading1"/>
    <w:basedOn w:val="TableNormal"/>
    <w:uiPriority w:val="60"/>
    <w:rsid w:val="008E5B74"/>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4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2016-08-30T07:00:00+00:00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FFB422DC35C14E8C116F30E7A8D974" ma:contentTypeVersion="104" ma:contentTypeDescription="" ma:contentTypeScope="" ma:versionID="25dacfa75035f362dcce9c6f3fdf05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FB0D03-0D34-42EB-B623-8B5ACD9390CF}">
  <ds:schemaRefs>
    <ds:schemaRef ds:uri="http://purl.org/dc/terms/"/>
    <ds:schemaRef ds:uri="http://schemas.microsoft.com/office/2006/documentManagement/types"/>
    <ds:schemaRef ds:uri="6a7bd91e-004b-490a-8704-e368d63d59a0"/>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0BC3FD9-12B8-45E0-9A8D-0CA53C2A4B70}">
  <ds:schemaRefs>
    <ds:schemaRef ds:uri="http://schemas.microsoft.com/sharepoint/v3/contenttype/forms"/>
  </ds:schemaRefs>
</ds:datastoreItem>
</file>

<file path=customXml/itemProps3.xml><?xml version="1.0" encoding="utf-8"?>
<ds:datastoreItem xmlns:ds="http://schemas.openxmlformats.org/officeDocument/2006/customXml" ds:itemID="{0A053230-A25F-48A3-8F5A-713161EFCAA1}"/>
</file>

<file path=customXml/itemProps4.xml><?xml version="1.0" encoding="utf-8"?>
<ds:datastoreItem xmlns:ds="http://schemas.openxmlformats.org/officeDocument/2006/customXml" ds:itemID="{D524D005-2BA9-4A72-90C3-9F91A1BF6999}"/>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sbb5719</dc:creator>
  <cp:lastModifiedBy>Kredel, Ashley (UTC)</cp:lastModifiedBy>
  <cp:revision>2</cp:revision>
  <dcterms:created xsi:type="dcterms:W3CDTF">2016-08-31T15:55:00Z</dcterms:created>
  <dcterms:modified xsi:type="dcterms:W3CDTF">2016-08-31T15:55:00Z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0x0101006E56B4D1795A2E4DB2F0B01679ED314A004EFFB422DC35C14E8C116F30E7A8D974</vt:lpwstr>
  </property>
  <property fmtid="{D5CDD505-2E9C-101B-9397-08002B2CF9AE}" pid="3" name="_docset_NoMedatataSyncRequired">
    <vt:lpwstr>False</vt:lpwstr>
  </property>
</Properties>
</file>