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9EC2B" w14:textId="77777777" w:rsidR="009273DE" w:rsidRDefault="00D0390D" w:rsidP="009273DE">
      <w:pPr>
        <w:rPr>
          <w:rFonts w:ascii="Times New Roman" w:hAnsi="Times New Roman"/>
          <w:szCs w:val="24"/>
        </w:rPr>
      </w:pPr>
      <w:bookmarkStart w:id="0" w:name="_GoBack"/>
      <w:bookmarkEnd w:id="0"/>
      <w:r>
        <w:rPr>
          <w:noProof/>
        </w:rPr>
        <w:drawing>
          <wp:anchor distT="0" distB="0" distL="114300" distR="114300" simplePos="0" relativeHeight="251657728" behindDoc="1" locked="0" layoutInCell="1" allowOverlap="1" wp14:anchorId="6C1E3533" wp14:editId="5DEBD4F2">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14:paraId="63A617F1" w14:textId="77777777" w:rsidR="009273DE" w:rsidRDefault="009273DE" w:rsidP="009273DE">
      <w:pPr>
        <w:rPr>
          <w:rFonts w:ascii="Times New Roman" w:hAnsi="Times New Roman"/>
          <w:szCs w:val="24"/>
        </w:rPr>
      </w:pPr>
    </w:p>
    <w:p w14:paraId="75F16F16" w14:textId="77777777" w:rsidR="00964072" w:rsidRPr="00C456C2" w:rsidRDefault="00250101" w:rsidP="009273DE">
      <w:pPr>
        <w:rPr>
          <w:rFonts w:ascii="Times New Roman" w:hAnsi="Times New Roman"/>
          <w:szCs w:val="24"/>
        </w:rPr>
      </w:pPr>
      <w:r>
        <w:rPr>
          <w:rFonts w:ascii="Times New Roman" w:hAnsi="Times New Roman"/>
          <w:szCs w:val="24"/>
        </w:rPr>
        <w:t>June 1, 2016</w:t>
      </w:r>
    </w:p>
    <w:p w14:paraId="4A3F8678" w14:textId="77777777" w:rsidR="00964072" w:rsidRPr="00C456C2" w:rsidRDefault="00964072" w:rsidP="000B3DB4">
      <w:pPr>
        <w:jc w:val="both"/>
        <w:rPr>
          <w:rFonts w:ascii="Times New Roman" w:hAnsi="Times New Roman"/>
          <w:szCs w:val="24"/>
        </w:rPr>
      </w:pPr>
    </w:p>
    <w:p w14:paraId="02167D98" w14:textId="77777777" w:rsidR="00964072" w:rsidRPr="00C456C2" w:rsidRDefault="00964072" w:rsidP="000B3DB4">
      <w:pPr>
        <w:jc w:val="both"/>
        <w:rPr>
          <w:rFonts w:ascii="Times New Roman" w:hAnsi="Times New Roman"/>
          <w:b/>
          <w:bCs/>
          <w:i/>
          <w:iCs/>
          <w:szCs w:val="24"/>
        </w:rPr>
      </w:pPr>
      <w:smartTag w:uri="urn:schemas-microsoft-com:office:smarttags" w:element="stockticker">
        <w:r w:rsidRPr="00C456C2">
          <w:rPr>
            <w:rFonts w:ascii="Times New Roman" w:hAnsi="Times New Roman"/>
            <w:b/>
            <w:bCs/>
            <w:i/>
            <w:iCs/>
            <w:szCs w:val="24"/>
          </w:rPr>
          <w:t>VIA</w:t>
        </w:r>
      </w:smartTag>
      <w:r w:rsidRPr="00C456C2">
        <w:rPr>
          <w:rFonts w:ascii="Times New Roman" w:hAnsi="Times New Roman"/>
          <w:b/>
          <w:bCs/>
          <w:i/>
          <w:iCs/>
          <w:szCs w:val="24"/>
        </w:rPr>
        <w:t xml:space="preserve"> ELECTRONIC FILING</w:t>
      </w:r>
    </w:p>
    <w:p w14:paraId="33DCD516" w14:textId="77777777" w:rsidR="00875C27" w:rsidRPr="00C456C2" w:rsidRDefault="00875C27" w:rsidP="000B3DB4">
      <w:pPr>
        <w:jc w:val="both"/>
        <w:rPr>
          <w:rFonts w:ascii="Times New Roman" w:hAnsi="Times New Roman"/>
          <w:b/>
          <w:bCs/>
          <w:i/>
          <w:iCs/>
          <w:szCs w:val="24"/>
        </w:rPr>
      </w:pPr>
      <w:r w:rsidRPr="00C456C2">
        <w:rPr>
          <w:rFonts w:ascii="Times New Roman" w:hAnsi="Times New Roman"/>
          <w:b/>
          <w:bCs/>
          <w:i/>
          <w:iCs/>
          <w:szCs w:val="24"/>
        </w:rPr>
        <w:t>AND OVERNIGHT DELIVERY</w:t>
      </w:r>
    </w:p>
    <w:p w14:paraId="39E76E8F" w14:textId="77777777" w:rsidR="00964072" w:rsidRPr="00C456C2" w:rsidRDefault="00964072" w:rsidP="000B3DB4">
      <w:pPr>
        <w:jc w:val="both"/>
        <w:rPr>
          <w:rFonts w:ascii="Times New Roman" w:hAnsi="Times New Roman"/>
          <w:szCs w:val="24"/>
        </w:rPr>
      </w:pPr>
    </w:p>
    <w:p w14:paraId="7E892BF4" w14:textId="77777777"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Steven V. King</w:t>
      </w:r>
    </w:p>
    <w:p w14:paraId="6F681ED5" w14:textId="77777777"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Executive Director and Secretary</w:t>
      </w:r>
    </w:p>
    <w:p w14:paraId="0873C080" w14:textId="77777777" w:rsidR="00964072" w:rsidRPr="00C456C2" w:rsidRDefault="00964072" w:rsidP="000B3DB4">
      <w:pPr>
        <w:jc w:val="both"/>
        <w:rPr>
          <w:rFonts w:ascii="Times New Roman" w:hAnsi="Times New Roman"/>
          <w:szCs w:val="24"/>
        </w:rPr>
      </w:pPr>
      <w:r w:rsidRPr="00C456C2">
        <w:rPr>
          <w:rFonts w:ascii="Times New Roman" w:hAnsi="Times New Roman"/>
          <w:szCs w:val="24"/>
        </w:rPr>
        <w:t>Washington Utilities and Transportation Commission</w:t>
      </w:r>
    </w:p>
    <w:p w14:paraId="5BACB05C" w14:textId="77777777" w:rsidR="00964072" w:rsidRPr="00C456C2" w:rsidRDefault="00964072" w:rsidP="000B3DB4">
      <w:pPr>
        <w:jc w:val="both"/>
        <w:rPr>
          <w:rFonts w:ascii="Times New Roman" w:hAnsi="Times New Roman"/>
          <w:szCs w:val="24"/>
        </w:rPr>
      </w:pPr>
      <w:r w:rsidRPr="00C456C2">
        <w:rPr>
          <w:rFonts w:ascii="Times New Roman" w:hAnsi="Times New Roman"/>
          <w:szCs w:val="24"/>
        </w:rPr>
        <w:t>1300 S. Evergreen Park Drive SW</w:t>
      </w:r>
    </w:p>
    <w:p w14:paraId="0AF6ACAA" w14:textId="77777777" w:rsidR="00964072" w:rsidRPr="00C456C2" w:rsidRDefault="00964072" w:rsidP="000B3DB4">
      <w:pPr>
        <w:jc w:val="both"/>
        <w:rPr>
          <w:rFonts w:ascii="Times New Roman" w:hAnsi="Times New Roman"/>
          <w:szCs w:val="24"/>
        </w:rPr>
      </w:pPr>
      <w:r w:rsidRPr="00C456C2">
        <w:rPr>
          <w:rFonts w:ascii="Times New Roman" w:hAnsi="Times New Roman"/>
          <w:szCs w:val="24"/>
        </w:rPr>
        <w:t>P.O. Box 47250</w:t>
      </w:r>
    </w:p>
    <w:p w14:paraId="344AB72C" w14:textId="77777777" w:rsidR="00964072" w:rsidRPr="00C456C2" w:rsidRDefault="00964072" w:rsidP="000B3DB4">
      <w:pPr>
        <w:jc w:val="both"/>
        <w:rPr>
          <w:rFonts w:ascii="Times New Roman" w:hAnsi="Times New Roman"/>
          <w:szCs w:val="24"/>
        </w:rPr>
      </w:pPr>
      <w:r w:rsidRPr="00C456C2">
        <w:rPr>
          <w:rFonts w:ascii="Times New Roman" w:hAnsi="Times New Roman"/>
          <w:szCs w:val="24"/>
        </w:rPr>
        <w:t>Olympia, WA  98504-7250</w:t>
      </w:r>
    </w:p>
    <w:p w14:paraId="3161DC6A" w14:textId="77777777" w:rsidR="00FF7F41" w:rsidRPr="00C456C2" w:rsidRDefault="00FF7F41" w:rsidP="007D1902">
      <w:pPr>
        <w:jc w:val="both"/>
        <w:rPr>
          <w:rFonts w:ascii="Times New Roman" w:hAnsi="Times New Roman"/>
          <w:szCs w:val="24"/>
        </w:rPr>
      </w:pPr>
    </w:p>
    <w:p w14:paraId="1251A8A6" w14:textId="77777777" w:rsidR="00DD5BAC" w:rsidRPr="00C456C2" w:rsidRDefault="00964072" w:rsidP="00D2376B">
      <w:pPr>
        <w:ind w:left="720" w:hanging="720"/>
        <w:rPr>
          <w:rFonts w:ascii="Times New Roman" w:hAnsi="Times New Roman"/>
          <w:b/>
          <w:szCs w:val="24"/>
        </w:rPr>
      </w:pPr>
      <w:r w:rsidRPr="007D1902">
        <w:rPr>
          <w:rFonts w:ascii="Times New Roman" w:hAnsi="Times New Roman"/>
          <w:b/>
          <w:szCs w:val="24"/>
        </w:rPr>
        <w:t>RE:</w:t>
      </w:r>
      <w:r w:rsidRPr="00C456C2">
        <w:rPr>
          <w:rFonts w:ascii="Times New Roman" w:hAnsi="Times New Roman"/>
          <w:szCs w:val="24"/>
        </w:rPr>
        <w:tab/>
      </w:r>
      <w:r w:rsidR="00250101">
        <w:rPr>
          <w:rFonts w:ascii="Times New Roman" w:hAnsi="Times New Roman"/>
          <w:b/>
          <w:szCs w:val="24"/>
        </w:rPr>
        <w:t>UE-_______—2015 Power Cost Adjustment Mechanism</w:t>
      </w:r>
    </w:p>
    <w:p w14:paraId="61BFAF7C" w14:textId="77777777" w:rsidR="00FF7F41" w:rsidRDefault="00FF7F41" w:rsidP="00250101">
      <w:pPr>
        <w:jc w:val="both"/>
        <w:rPr>
          <w:rFonts w:ascii="Times New Roman" w:hAnsi="Times New Roman"/>
          <w:b/>
          <w:szCs w:val="24"/>
        </w:rPr>
      </w:pPr>
    </w:p>
    <w:p w14:paraId="11BC1752" w14:textId="0A62E02D" w:rsidR="00250101" w:rsidRPr="00250101" w:rsidRDefault="00250101" w:rsidP="00250101">
      <w:pPr>
        <w:rPr>
          <w:rFonts w:ascii="Times New Roman" w:hAnsi="Times New Roman"/>
          <w:szCs w:val="24"/>
        </w:rPr>
      </w:pPr>
      <w:r w:rsidRPr="00250101">
        <w:rPr>
          <w:rFonts w:ascii="Times New Roman" w:hAnsi="Times New Roman"/>
          <w:szCs w:val="24"/>
        </w:rPr>
        <w:t xml:space="preserve">Pacific Power </w:t>
      </w:r>
      <w:r>
        <w:rPr>
          <w:rFonts w:ascii="Times New Roman" w:hAnsi="Times New Roman"/>
          <w:szCs w:val="24"/>
        </w:rPr>
        <w:t xml:space="preserve">&amp; Light Company </w:t>
      </w:r>
      <w:r w:rsidRPr="00250101">
        <w:rPr>
          <w:rFonts w:ascii="Times New Roman" w:hAnsi="Times New Roman"/>
          <w:szCs w:val="24"/>
        </w:rPr>
        <w:t>(</w:t>
      </w:r>
      <w:r>
        <w:rPr>
          <w:rFonts w:ascii="Times New Roman" w:hAnsi="Times New Roman"/>
          <w:szCs w:val="24"/>
        </w:rPr>
        <w:t>Pacific Power or Company</w:t>
      </w:r>
      <w:r w:rsidRPr="00250101">
        <w:rPr>
          <w:rFonts w:ascii="Times New Roman" w:hAnsi="Times New Roman"/>
          <w:szCs w:val="24"/>
        </w:rPr>
        <w:t>)</w:t>
      </w:r>
      <w:r>
        <w:rPr>
          <w:rFonts w:ascii="Times New Roman" w:hAnsi="Times New Roman"/>
          <w:szCs w:val="24"/>
        </w:rPr>
        <w:t>, a division of PacifiCorp,</w:t>
      </w:r>
      <w:r w:rsidRPr="00250101">
        <w:rPr>
          <w:rFonts w:ascii="Times New Roman" w:hAnsi="Times New Roman"/>
          <w:szCs w:val="24"/>
        </w:rPr>
        <w:t xml:space="preserve"> encloses the original and </w:t>
      </w:r>
      <w:r>
        <w:rPr>
          <w:rFonts w:ascii="Times New Roman" w:hAnsi="Times New Roman"/>
          <w:szCs w:val="24"/>
        </w:rPr>
        <w:t>twelve</w:t>
      </w:r>
      <w:r w:rsidRPr="00250101">
        <w:rPr>
          <w:rFonts w:ascii="Times New Roman" w:hAnsi="Times New Roman"/>
          <w:szCs w:val="24"/>
        </w:rPr>
        <w:t xml:space="preserve"> copies of its 2015 Power Cost Adjustment Mechanism (PCAM) filing.  In </w:t>
      </w:r>
      <w:r w:rsidR="00123F98">
        <w:rPr>
          <w:rFonts w:ascii="Times New Roman" w:hAnsi="Times New Roman"/>
          <w:bCs/>
          <w:szCs w:val="24"/>
        </w:rPr>
        <w:t xml:space="preserve">Order </w:t>
      </w:r>
      <w:r w:rsidRPr="00250101">
        <w:rPr>
          <w:rFonts w:ascii="Times New Roman" w:hAnsi="Times New Roman"/>
          <w:bCs/>
          <w:szCs w:val="24"/>
        </w:rPr>
        <w:t xml:space="preserve">09 of Docket UE-140762, the Washington Utilities and Transportation Commission (Commission) approved a PCAM </w:t>
      </w:r>
      <w:r w:rsidRPr="00250101">
        <w:rPr>
          <w:rFonts w:ascii="Times New Roman" w:hAnsi="Times New Roman"/>
          <w:szCs w:val="24"/>
        </w:rPr>
        <w:t xml:space="preserve">to allow the Company to recover the difference between </w:t>
      </w:r>
      <w:r w:rsidR="00C772C9">
        <w:rPr>
          <w:rFonts w:ascii="Times New Roman" w:hAnsi="Times New Roman"/>
          <w:szCs w:val="24"/>
        </w:rPr>
        <w:t xml:space="preserve">the </w:t>
      </w:r>
      <w:r w:rsidRPr="00250101">
        <w:rPr>
          <w:rFonts w:ascii="Times New Roman" w:hAnsi="Times New Roman"/>
          <w:szCs w:val="24"/>
        </w:rPr>
        <w:t xml:space="preserve">actual net power costs (NPC) incurred to serve Washington customers and the NPC collected through base rates established in a general rate case.  </w:t>
      </w:r>
      <w:r w:rsidRPr="00250101">
        <w:rPr>
          <w:rFonts w:ascii="Times New Roman" w:hAnsi="Times New Roman"/>
          <w:bCs/>
          <w:szCs w:val="24"/>
        </w:rPr>
        <w:t>The amount recovered from or refunded to customers for the period of April 1</w:t>
      </w:r>
      <w:r w:rsidR="004F6997">
        <w:rPr>
          <w:rFonts w:ascii="Times New Roman" w:hAnsi="Times New Roman"/>
          <w:bCs/>
          <w:szCs w:val="24"/>
        </w:rPr>
        <w:t xml:space="preserve"> through</w:t>
      </w:r>
      <w:r w:rsidRPr="00250101">
        <w:rPr>
          <w:rFonts w:ascii="Times New Roman" w:hAnsi="Times New Roman"/>
          <w:bCs/>
          <w:szCs w:val="24"/>
        </w:rPr>
        <w:t xml:space="preserve"> December 31, 2015</w:t>
      </w:r>
      <w:r w:rsidR="00123F98">
        <w:rPr>
          <w:rFonts w:ascii="Times New Roman" w:hAnsi="Times New Roman"/>
          <w:bCs/>
          <w:szCs w:val="24"/>
        </w:rPr>
        <w:t>,</w:t>
      </w:r>
      <w:r w:rsidRPr="00250101">
        <w:rPr>
          <w:rFonts w:ascii="Times New Roman" w:hAnsi="Times New Roman"/>
          <w:bCs/>
          <w:szCs w:val="24"/>
        </w:rPr>
        <w:t xml:space="preserve"> is subject to the following parameters</w:t>
      </w:r>
      <w:r w:rsidR="00F464A6">
        <w:rPr>
          <w:rFonts w:ascii="Times New Roman" w:hAnsi="Times New Roman"/>
          <w:bCs/>
          <w:szCs w:val="24"/>
        </w:rPr>
        <w:t xml:space="preserve"> as adjusted for the nine month period</w:t>
      </w:r>
      <w:r w:rsidRPr="00250101">
        <w:rPr>
          <w:rFonts w:ascii="Times New Roman" w:hAnsi="Times New Roman"/>
          <w:szCs w:val="24"/>
        </w:rPr>
        <w:t>:</w:t>
      </w:r>
      <w:r w:rsidR="00247A75" w:rsidRPr="00250101">
        <w:rPr>
          <w:rStyle w:val="FootnoteReference"/>
          <w:rFonts w:ascii="Times New Roman" w:hAnsi="Times New Roman"/>
          <w:bCs/>
          <w:szCs w:val="24"/>
        </w:rPr>
        <w:footnoteReference w:id="2"/>
      </w:r>
    </w:p>
    <w:p w14:paraId="77D74E25" w14:textId="77777777" w:rsidR="00250101" w:rsidRPr="00250101" w:rsidRDefault="00250101" w:rsidP="00250101">
      <w:pPr>
        <w:rPr>
          <w:rFonts w:ascii="Times New Roman" w:hAnsi="Times New Roman"/>
          <w:szCs w:val="24"/>
        </w:rPr>
      </w:pPr>
    </w:p>
    <w:p w14:paraId="19DDEBD6" w14:textId="77777777" w:rsidR="00250101" w:rsidRPr="00250101" w:rsidRDefault="00250101" w:rsidP="00250101">
      <w:pPr>
        <w:pStyle w:val="ListParagraph"/>
        <w:widowControl w:val="0"/>
        <w:numPr>
          <w:ilvl w:val="0"/>
          <w:numId w:val="11"/>
        </w:numPr>
        <w:adjustRightInd w:val="0"/>
        <w:spacing w:before="0" w:line="240" w:lineRule="auto"/>
        <w:ind w:left="720"/>
        <w:contextualSpacing/>
        <w:jc w:val="left"/>
        <w:textAlignment w:val="baseline"/>
        <w:rPr>
          <w:rFonts w:ascii="Times New Roman" w:hAnsi="Times New Roman"/>
          <w:bCs/>
          <w:sz w:val="24"/>
          <w:szCs w:val="24"/>
        </w:rPr>
      </w:pPr>
      <w:r w:rsidRPr="00250101">
        <w:rPr>
          <w:rFonts w:ascii="Times New Roman" w:hAnsi="Times New Roman"/>
          <w:bCs/>
          <w:sz w:val="24"/>
          <w:szCs w:val="24"/>
        </w:rPr>
        <w:t>Symmetrical Deadband:  Any NPC difference between negative $3 million and positive $3 million will be absorbed by the Company.</w:t>
      </w:r>
    </w:p>
    <w:p w14:paraId="71AD3719" w14:textId="77777777" w:rsidR="00250101" w:rsidRPr="00250101" w:rsidRDefault="00250101" w:rsidP="00250101">
      <w:pPr>
        <w:pStyle w:val="ListParagraph"/>
        <w:widowControl w:val="0"/>
        <w:numPr>
          <w:ilvl w:val="0"/>
          <w:numId w:val="11"/>
        </w:numPr>
        <w:adjustRightInd w:val="0"/>
        <w:spacing w:before="0" w:line="240" w:lineRule="auto"/>
        <w:ind w:left="720"/>
        <w:contextualSpacing/>
        <w:jc w:val="left"/>
        <w:textAlignment w:val="baseline"/>
        <w:rPr>
          <w:rFonts w:ascii="Times New Roman" w:hAnsi="Times New Roman"/>
          <w:bCs/>
          <w:sz w:val="24"/>
          <w:szCs w:val="24"/>
        </w:rPr>
      </w:pPr>
      <w:r w:rsidRPr="00250101">
        <w:rPr>
          <w:rFonts w:ascii="Times New Roman" w:hAnsi="Times New Roman"/>
          <w:bCs/>
          <w:sz w:val="24"/>
          <w:szCs w:val="24"/>
        </w:rPr>
        <w:t xml:space="preserve">Asymmetrical sharing of the NPC difference as follows: </w:t>
      </w:r>
    </w:p>
    <w:p w14:paraId="1D27A96E" w14:textId="77777777" w:rsidR="00250101" w:rsidRPr="00250101" w:rsidRDefault="00250101" w:rsidP="00250101">
      <w:pPr>
        <w:pStyle w:val="ListParagraph"/>
        <w:widowControl w:val="0"/>
        <w:numPr>
          <w:ilvl w:val="1"/>
          <w:numId w:val="11"/>
        </w:numPr>
        <w:adjustRightInd w:val="0"/>
        <w:spacing w:before="0" w:line="240" w:lineRule="auto"/>
        <w:ind w:left="1530"/>
        <w:contextualSpacing/>
        <w:jc w:val="left"/>
        <w:textAlignment w:val="baseline"/>
        <w:rPr>
          <w:rFonts w:ascii="Times New Roman" w:hAnsi="Times New Roman"/>
          <w:bCs/>
          <w:sz w:val="24"/>
          <w:szCs w:val="24"/>
        </w:rPr>
      </w:pPr>
      <w:r w:rsidRPr="00250101">
        <w:rPr>
          <w:rFonts w:ascii="Times New Roman" w:hAnsi="Times New Roman"/>
          <w:bCs/>
          <w:sz w:val="24"/>
          <w:szCs w:val="24"/>
        </w:rPr>
        <w:t xml:space="preserve">Between $3 and $7.5 million; shared 50 percent by customers and 50 percent by the Company </w:t>
      </w:r>
    </w:p>
    <w:p w14:paraId="159B9171" w14:textId="77777777" w:rsidR="00250101" w:rsidRPr="00250101" w:rsidRDefault="00250101" w:rsidP="00250101">
      <w:pPr>
        <w:pStyle w:val="ListParagraph"/>
        <w:widowControl w:val="0"/>
        <w:numPr>
          <w:ilvl w:val="1"/>
          <w:numId w:val="11"/>
        </w:numPr>
        <w:adjustRightInd w:val="0"/>
        <w:spacing w:before="0" w:line="240" w:lineRule="auto"/>
        <w:ind w:left="1530"/>
        <w:contextualSpacing/>
        <w:jc w:val="left"/>
        <w:textAlignment w:val="baseline"/>
        <w:rPr>
          <w:rFonts w:ascii="Times New Roman" w:hAnsi="Times New Roman"/>
          <w:bCs/>
          <w:sz w:val="24"/>
          <w:szCs w:val="24"/>
        </w:rPr>
      </w:pPr>
      <w:r w:rsidRPr="00250101">
        <w:rPr>
          <w:rFonts w:ascii="Times New Roman" w:hAnsi="Times New Roman"/>
          <w:bCs/>
          <w:sz w:val="24"/>
          <w:szCs w:val="24"/>
        </w:rPr>
        <w:t xml:space="preserve">Greater than $7.5 million; shared 90 percent by customers and 10 percent by the Company </w:t>
      </w:r>
    </w:p>
    <w:p w14:paraId="0C276389" w14:textId="77777777" w:rsidR="00250101" w:rsidRPr="00250101" w:rsidRDefault="00250101" w:rsidP="00250101">
      <w:pPr>
        <w:pStyle w:val="ListParagraph"/>
        <w:widowControl w:val="0"/>
        <w:numPr>
          <w:ilvl w:val="1"/>
          <w:numId w:val="11"/>
        </w:numPr>
        <w:adjustRightInd w:val="0"/>
        <w:spacing w:before="0" w:line="240" w:lineRule="auto"/>
        <w:ind w:left="1530"/>
        <w:contextualSpacing/>
        <w:jc w:val="left"/>
        <w:textAlignment w:val="baseline"/>
        <w:rPr>
          <w:rFonts w:ascii="Times New Roman" w:hAnsi="Times New Roman"/>
          <w:bCs/>
          <w:sz w:val="24"/>
          <w:szCs w:val="24"/>
        </w:rPr>
      </w:pPr>
      <w:r w:rsidRPr="00250101">
        <w:rPr>
          <w:rFonts w:ascii="Times New Roman" w:hAnsi="Times New Roman"/>
          <w:bCs/>
          <w:sz w:val="24"/>
          <w:szCs w:val="24"/>
        </w:rPr>
        <w:t xml:space="preserve">Between $-3 and $-7.5 million; shared 75 percent by customers and 25 percent by the Company </w:t>
      </w:r>
    </w:p>
    <w:p w14:paraId="5E223D2F" w14:textId="77777777" w:rsidR="00250101" w:rsidRPr="00250101" w:rsidRDefault="00250101" w:rsidP="00250101">
      <w:pPr>
        <w:pStyle w:val="ListParagraph"/>
        <w:widowControl w:val="0"/>
        <w:numPr>
          <w:ilvl w:val="1"/>
          <w:numId w:val="11"/>
        </w:numPr>
        <w:adjustRightInd w:val="0"/>
        <w:spacing w:before="0" w:line="240" w:lineRule="auto"/>
        <w:ind w:left="1530"/>
        <w:contextualSpacing/>
        <w:jc w:val="left"/>
        <w:textAlignment w:val="baseline"/>
        <w:rPr>
          <w:rFonts w:ascii="Times New Roman" w:hAnsi="Times New Roman"/>
          <w:bCs/>
          <w:sz w:val="24"/>
          <w:szCs w:val="24"/>
        </w:rPr>
      </w:pPr>
      <w:r w:rsidRPr="00250101">
        <w:rPr>
          <w:rFonts w:ascii="Times New Roman" w:hAnsi="Times New Roman"/>
          <w:bCs/>
          <w:sz w:val="24"/>
          <w:szCs w:val="24"/>
        </w:rPr>
        <w:t xml:space="preserve">Less than $7.5 million; shared 90 percent by customers and 10 percent by the Company </w:t>
      </w:r>
    </w:p>
    <w:p w14:paraId="629219AD" w14:textId="77777777" w:rsidR="00250101" w:rsidRPr="00250101" w:rsidRDefault="00250101" w:rsidP="00250101">
      <w:pPr>
        <w:pStyle w:val="ListParagraph"/>
        <w:widowControl w:val="0"/>
        <w:numPr>
          <w:ilvl w:val="0"/>
          <w:numId w:val="11"/>
        </w:numPr>
        <w:adjustRightInd w:val="0"/>
        <w:spacing w:before="0" w:line="240" w:lineRule="auto"/>
        <w:ind w:left="720"/>
        <w:contextualSpacing/>
        <w:jc w:val="left"/>
        <w:textAlignment w:val="baseline"/>
        <w:rPr>
          <w:rFonts w:ascii="Times New Roman" w:hAnsi="Times New Roman"/>
          <w:bCs/>
          <w:sz w:val="24"/>
          <w:szCs w:val="24"/>
        </w:rPr>
      </w:pPr>
      <w:r w:rsidRPr="00250101">
        <w:rPr>
          <w:rFonts w:ascii="Times New Roman" w:hAnsi="Times New Roman"/>
          <w:bCs/>
          <w:sz w:val="24"/>
          <w:szCs w:val="24"/>
        </w:rPr>
        <w:t>Amortization of Deferral:  The amortization of NPC variances are deferred until the balance of the deferral balancing account results in either a surcharge or credit greater than $17 million.</w:t>
      </w:r>
    </w:p>
    <w:p w14:paraId="19EFE761" w14:textId="77777777" w:rsidR="00250101" w:rsidRPr="00250101" w:rsidRDefault="00250101" w:rsidP="00250101">
      <w:pPr>
        <w:rPr>
          <w:rFonts w:ascii="Times New Roman" w:hAnsi="Times New Roman"/>
          <w:szCs w:val="24"/>
        </w:rPr>
      </w:pPr>
    </w:p>
    <w:p w14:paraId="238C2C70" w14:textId="7A9B0B9D" w:rsidR="00250101" w:rsidRPr="00250101" w:rsidRDefault="00250101" w:rsidP="00250101">
      <w:pPr>
        <w:rPr>
          <w:rFonts w:ascii="Times New Roman" w:hAnsi="Times New Roman"/>
          <w:bCs/>
          <w:szCs w:val="24"/>
        </w:rPr>
      </w:pPr>
      <w:r w:rsidRPr="00250101">
        <w:rPr>
          <w:rFonts w:ascii="Times New Roman" w:hAnsi="Times New Roman"/>
          <w:bCs/>
          <w:szCs w:val="24"/>
        </w:rPr>
        <w:t xml:space="preserve">Included as </w:t>
      </w:r>
      <w:r w:rsidR="00693620">
        <w:rPr>
          <w:rFonts w:ascii="Times New Roman" w:hAnsi="Times New Roman"/>
          <w:bCs/>
          <w:szCs w:val="24"/>
        </w:rPr>
        <w:t xml:space="preserve">Confidential </w:t>
      </w:r>
      <w:r w:rsidRPr="00250101">
        <w:rPr>
          <w:rFonts w:ascii="Times New Roman" w:hAnsi="Times New Roman"/>
          <w:bCs/>
          <w:szCs w:val="24"/>
        </w:rPr>
        <w:t>Attachment A is a summary of the calculation of the Company’s</w:t>
      </w:r>
      <w:r w:rsidR="00B44C2F">
        <w:rPr>
          <w:rFonts w:ascii="Times New Roman" w:hAnsi="Times New Roman"/>
          <w:bCs/>
          <w:szCs w:val="24"/>
        </w:rPr>
        <w:t xml:space="preserve"> 2015</w:t>
      </w:r>
      <w:r w:rsidR="00275748">
        <w:rPr>
          <w:rFonts w:ascii="Times New Roman" w:hAnsi="Times New Roman"/>
          <w:bCs/>
          <w:szCs w:val="24"/>
        </w:rPr>
        <w:t xml:space="preserve"> PCAM</w:t>
      </w:r>
      <w:r w:rsidR="00B44C2F">
        <w:rPr>
          <w:rFonts w:ascii="Times New Roman" w:hAnsi="Times New Roman"/>
          <w:bCs/>
          <w:szCs w:val="24"/>
        </w:rPr>
        <w:t>;</w:t>
      </w:r>
      <w:r w:rsidRPr="00250101">
        <w:rPr>
          <w:rFonts w:ascii="Times New Roman" w:hAnsi="Times New Roman"/>
          <w:bCs/>
          <w:szCs w:val="24"/>
        </w:rPr>
        <w:t xml:space="preserve"> additional descriptions of the calculation are provided below.  Detailed workpapers </w:t>
      </w:r>
      <w:r w:rsidRPr="00250101">
        <w:rPr>
          <w:rFonts w:ascii="Times New Roman" w:hAnsi="Times New Roman"/>
          <w:bCs/>
          <w:szCs w:val="24"/>
        </w:rPr>
        <w:lastRenderedPageBreak/>
        <w:t>supporting Attachment A are provided separately on the enclosed CD.</w:t>
      </w:r>
      <w:r w:rsidRPr="00250101">
        <w:rPr>
          <w:rStyle w:val="FootnoteReference"/>
          <w:rFonts w:ascii="Times New Roman" w:hAnsi="Times New Roman"/>
          <w:bCs/>
          <w:szCs w:val="24"/>
        </w:rPr>
        <w:footnoteReference w:id="3"/>
      </w:r>
      <w:r w:rsidRPr="00250101">
        <w:rPr>
          <w:rFonts w:ascii="Times New Roman" w:hAnsi="Times New Roman"/>
          <w:bCs/>
          <w:szCs w:val="24"/>
        </w:rPr>
        <w:t xml:space="preserve">  For the deferral period, Washington adjusted actual NPC and EIM costs were $101.</w:t>
      </w:r>
      <w:r w:rsidR="00C01F07">
        <w:rPr>
          <w:rFonts w:ascii="Times New Roman" w:hAnsi="Times New Roman"/>
          <w:bCs/>
          <w:szCs w:val="24"/>
        </w:rPr>
        <w:t>7</w:t>
      </w:r>
      <w:r w:rsidRPr="00250101">
        <w:rPr>
          <w:rFonts w:ascii="Times New Roman" w:hAnsi="Times New Roman"/>
          <w:bCs/>
          <w:szCs w:val="24"/>
        </w:rPr>
        <w:t xml:space="preserve"> million, approximately $2.</w:t>
      </w:r>
      <w:r w:rsidR="00C01F07">
        <w:rPr>
          <w:rFonts w:ascii="Times New Roman" w:hAnsi="Times New Roman"/>
          <w:bCs/>
          <w:szCs w:val="24"/>
        </w:rPr>
        <w:t>9</w:t>
      </w:r>
      <w:r w:rsidRPr="00250101">
        <w:rPr>
          <w:rFonts w:ascii="Times New Roman" w:hAnsi="Times New Roman"/>
          <w:bCs/>
          <w:szCs w:val="24"/>
        </w:rPr>
        <w:t xml:space="preserve"> million higher than the base NPC collected in rates.  The application of the deadband results in no recovery for the 2015 PCAM. </w:t>
      </w:r>
    </w:p>
    <w:p w14:paraId="53918101" w14:textId="77777777" w:rsidR="00250101" w:rsidRDefault="00250101" w:rsidP="00250101"/>
    <w:p w14:paraId="100EE5AC" w14:textId="77777777" w:rsidR="00250101" w:rsidRPr="00594760" w:rsidRDefault="00250101" w:rsidP="00250101">
      <w:pPr>
        <w:keepNext/>
        <w:rPr>
          <w:rFonts w:ascii="Times New Roman" w:hAnsi="Times New Roman"/>
          <w:b/>
        </w:rPr>
      </w:pPr>
      <w:r w:rsidRPr="00594760">
        <w:rPr>
          <w:rFonts w:ascii="Times New Roman" w:hAnsi="Times New Roman"/>
          <w:b/>
        </w:rPr>
        <w:t>PCAM Calculation</w:t>
      </w:r>
    </w:p>
    <w:p w14:paraId="268DB6F3" w14:textId="77777777" w:rsidR="00250101" w:rsidRPr="00594760" w:rsidRDefault="00250101" w:rsidP="00250101">
      <w:pPr>
        <w:keepNext/>
        <w:rPr>
          <w:rFonts w:ascii="Times New Roman" w:hAnsi="Times New Roman"/>
          <w:b/>
        </w:rPr>
      </w:pPr>
    </w:p>
    <w:p w14:paraId="25B05C59" w14:textId="77777777" w:rsidR="00250101" w:rsidRPr="00594760" w:rsidRDefault="00250101" w:rsidP="00250101">
      <w:pPr>
        <w:rPr>
          <w:rFonts w:ascii="Times New Roman" w:hAnsi="Times New Roman"/>
        </w:rPr>
      </w:pPr>
      <w:r>
        <w:rPr>
          <w:rFonts w:ascii="Times New Roman" w:hAnsi="Times New Roman"/>
        </w:rPr>
        <w:t>The PCAM calculates the NPC variance by subtracting the NPC collected in base rates from the actual Washington-allocated NPC as shown in</w:t>
      </w:r>
      <w:r w:rsidRPr="00594760">
        <w:rPr>
          <w:rFonts w:ascii="Times New Roman" w:hAnsi="Times New Roman"/>
        </w:rPr>
        <w:t xml:space="preserve"> the formula below:</w:t>
      </w:r>
    </w:p>
    <w:p w14:paraId="79D39486" w14:textId="77777777" w:rsidR="00250101" w:rsidRPr="00594760" w:rsidRDefault="00250101" w:rsidP="00250101">
      <w:pPr>
        <w:rPr>
          <w:rFonts w:ascii="Times New Roman" w:hAnsi="Times New Roman"/>
        </w:rPr>
      </w:pPr>
    </w:p>
    <w:p w14:paraId="44F5E2D9" w14:textId="77777777" w:rsidR="00250101" w:rsidRPr="00594760" w:rsidRDefault="00250101" w:rsidP="00250101">
      <w:pPr>
        <w:jc w:val="center"/>
        <w:rPr>
          <w:rFonts w:ascii="Times New Roman" w:hAnsi="Times New Roman"/>
        </w:rPr>
      </w:pPr>
      <w:r>
        <w:rPr>
          <w:rFonts w:ascii="Cambria Math" w:hAnsi="Cambria Math" w:cs="Cambria Math"/>
          <w:sz w:val="25"/>
          <w:szCs w:val="25"/>
        </w:rPr>
        <w:t>𝑁𝑃𝐶</w:t>
      </w:r>
      <w:r>
        <w:rPr>
          <w:sz w:val="25"/>
          <w:szCs w:val="25"/>
        </w:rPr>
        <w:t xml:space="preserve"> </w:t>
      </w:r>
      <w:r>
        <w:rPr>
          <w:rFonts w:ascii="Cambria Math" w:hAnsi="Cambria Math" w:cs="Cambria Math"/>
          <w:sz w:val="25"/>
          <w:szCs w:val="25"/>
        </w:rPr>
        <w:t xml:space="preserve">𝑉𝑎𝑟𝑖𝑎𝑛𝑐𝑒 </w:t>
      </w:r>
      <w:r>
        <w:rPr>
          <w:sz w:val="25"/>
          <w:szCs w:val="25"/>
        </w:rPr>
        <w:t xml:space="preserve">= </w:t>
      </w:r>
      <w:r>
        <w:rPr>
          <w:rFonts w:ascii="Cambria Math" w:hAnsi="Cambria Math" w:cs="Cambria Math"/>
          <w:sz w:val="25"/>
          <w:szCs w:val="25"/>
        </w:rPr>
        <w:t>𝐴𝑐𝑡𝑢𝑎𝑙</w:t>
      </w:r>
      <w:r>
        <w:rPr>
          <w:sz w:val="25"/>
          <w:szCs w:val="25"/>
        </w:rPr>
        <w:t xml:space="preserve"> </w:t>
      </w:r>
      <w:r>
        <w:rPr>
          <w:rFonts w:ascii="Cambria Math" w:hAnsi="Cambria Math" w:cs="Cambria Math"/>
          <w:sz w:val="25"/>
          <w:szCs w:val="25"/>
        </w:rPr>
        <w:t>𝑁𝑃𝐶</w:t>
      </w:r>
      <w:r>
        <w:rPr>
          <w:sz w:val="25"/>
          <w:szCs w:val="25"/>
        </w:rPr>
        <w:t>− (</w:t>
      </w:r>
      <w:r>
        <w:rPr>
          <w:rFonts w:ascii="Cambria Math" w:hAnsi="Cambria Math" w:cs="Cambria Math"/>
          <w:sz w:val="25"/>
          <w:szCs w:val="25"/>
        </w:rPr>
        <w:t>𝐵𝑎𝑠𝑒</w:t>
      </w:r>
      <w:r>
        <w:rPr>
          <w:sz w:val="25"/>
          <w:szCs w:val="25"/>
        </w:rPr>
        <w:t xml:space="preserve"> </w:t>
      </w:r>
      <w:r>
        <w:rPr>
          <w:rFonts w:ascii="Cambria Math" w:hAnsi="Cambria Math" w:cs="Cambria Math"/>
          <w:sz w:val="25"/>
          <w:szCs w:val="25"/>
        </w:rPr>
        <w:t>𝑁𝑃𝐶</w:t>
      </w:r>
      <w:r>
        <w:rPr>
          <w:sz w:val="18"/>
          <w:szCs w:val="18"/>
        </w:rPr>
        <w:t>$/</w:t>
      </w:r>
      <w:r>
        <w:rPr>
          <w:rFonts w:ascii="Cambria Math" w:hAnsi="Cambria Math" w:cs="Cambria Math"/>
          <w:sz w:val="18"/>
          <w:szCs w:val="18"/>
        </w:rPr>
        <w:t>𝑀𝑤ℎ</w:t>
      </w:r>
      <w:r>
        <w:rPr>
          <w:sz w:val="25"/>
          <w:szCs w:val="25"/>
        </w:rPr>
        <w:t>×</w:t>
      </w:r>
      <w:r>
        <w:rPr>
          <w:rFonts w:ascii="Cambria Math" w:hAnsi="Cambria Math" w:cs="Cambria Math"/>
          <w:sz w:val="25"/>
          <w:szCs w:val="25"/>
        </w:rPr>
        <w:t>𝐴𝑐𝑡𝑢𝑎𝑙</w:t>
      </w:r>
      <w:r>
        <w:rPr>
          <w:sz w:val="25"/>
          <w:szCs w:val="25"/>
        </w:rPr>
        <w:t xml:space="preserve"> </w:t>
      </w:r>
      <w:r>
        <w:rPr>
          <w:rFonts w:ascii="Cambria Math" w:hAnsi="Cambria Math" w:cs="Cambria Math"/>
          <w:sz w:val="25"/>
          <w:szCs w:val="25"/>
        </w:rPr>
        <w:t>𝑆𝑎𝑙𝑒𝑠</w:t>
      </w:r>
      <w:r>
        <w:rPr>
          <w:sz w:val="25"/>
          <w:szCs w:val="25"/>
        </w:rPr>
        <w:t xml:space="preserve">) </w:t>
      </w:r>
    </w:p>
    <w:p w14:paraId="012DB3C8" w14:textId="77777777" w:rsidR="00250101" w:rsidRDefault="00250101" w:rsidP="00250101">
      <w:pPr>
        <w:ind w:left="720" w:hanging="720"/>
        <w:rPr>
          <w:rFonts w:ascii="Times New Roman" w:hAnsi="Times New Roman"/>
          <w:bCs/>
        </w:rPr>
      </w:pPr>
      <w:r w:rsidRPr="00594760">
        <w:rPr>
          <w:rFonts w:ascii="Times New Roman" w:hAnsi="Times New Roman"/>
          <w:bCs/>
        </w:rPr>
        <w:tab/>
      </w:r>
    </w:p>
    <w:p w14:paraId="5156B2FB" w14:textId="77777777" w:rsidR="00250101" w:rsidRPr="00250101" w:rsidRDefault="00250101" w:rsidP="00250101">
      <w:pPr>
        <w:ind w:left="720" w:hanging="720"/>
        <w:rPr>
          <w:rFonts w:ascii="Times New Roman" w:hAnsi="Times New Roman"/>
          <w:bCs/>
          <w:szCs w:val="24"/>
        </w:rPr>
      </w:pPr>
      <w:r w:rsidRPr="00250101">
        <w:rPr>
          <w:rFonts w:ascii="Times New Roman" w:hAnsi="Times New Roman"/>
          <w:bCs/>
          <w:szCs w:val="24"/>
        </w:rPr>
        <w:t>Where:</w:t>
      </w:r>
    </w:p>
    <w:p w14:paraId="061D3149" w14:textId="5045D95A" w:rsidR="00250101" w:rsidRPr="00250101" w:rsidRDefault="00250101" w:rsidP="00250101">
      <w:pPr>
        <w:ind w:left="3600" w:hanging="2160"/>
        <w:rPr>
          <w:rFonts w:ascii="Times New Roman" w:hAnsi="Times New Roman"/>
          <w:bCs/>
          <w:szCs w:val="24"/>
        </w:rPr>
      </w:pPr>
      <w:r w:rsidRPr="00250101">
        <w:rPr>
          <w:rFonts w:ascii="Times New Roman" w:hAnsi="Times New Roman"/>
          <w:bCs/>
          <w:szCs w:val="24"/>
        </w:rPr>
        <w:t>Actual NPC</w:t>
      </w:r>
      <w:r w:rsidRPr="00250101">
        <w:rPr>
          <w:rFonts w:ascii="Times New Roman" w:hAnsi="Times New Roman"/>
          <w:bCs/>
          <w:szCs w:val="24"/>
        </w:rPr>
        <w:tab/>
        <w:t>=</w:t>
      </w:r>
      <w:r w:rsidRPr="00250101">
        <w:rPr>
          <w:rFonts w:ascii="Times New Roman" w:hAnsi="Times New Roman"/>
          <w:szCs w:val="24"/>
        </w:rPr>
        <w:t xml:space="preserve"> Actual </w:t>
      </w:r>
      <w:r w:rsidR="00DD09AC">
        <w:rPr>
          <w:rFonts w:ascii="Times New Roman" w:hAnsi="Times New Roman"/>
          <w:szCs w:val="24"/>
        </w:rPr>
        <w:t>west control area</w:t>
      </w:r>
      <w:r w:rsidRPr="00250101">
        <w:rPr>
          <w:rFonts w:ascii="Times New Roman" w:hAnsi="Times New Roman"/>
          <w:szCs w:val="24"/>
        </w:rPr>
        <w:t xml:space="preserve"> NPC costs allocated to Washington using allocation factors calculated with actual jurisdictional load </w:t>
      </w:r>
    </w:p>
    <w:p w14:paraId="28F88441" w14:textId="77777777" w:rsidR="00250101" w:rsidRPr="00250101" w:rsidRDefault="001C1E0A" w:rsidP="00250101">
      <w:pPr>
        <w:ind w:left="3600" w:hanging="2160"/>
        <w:rPr>
          <w:rFonts w:ascii="Times New Roman" w:hAnsi="Times New Roman"/>
          <w:bCs/>
          <w:szCs w:val="24"/>
        </w:rPr>
      </w:pPr>
      <m:oMath>
        <m:sSub>
          <m:sSubPr>
            <m:ctrlPr>
              <w:rPr>
                <w:rFonts w:ascii="Cambria Math" w:hAnsi="Cambria Math"/>
                <w:bCs/>
                <w:i/>
                <w:szCs w:val="24"/>
              </w:rPr>
            </m:ctrlPr>
          </m:sSubPr>
          <m:e>
            <m:r>
              <m:rPr>
                <m:nor/>
              </m:rPr>
              <w:rPr>
                <w:rFonts w:ascii="Times New Roman" w:hAnsi="Times New Roman"/>
                <w:szCs w:val="24"/>
              </w:rPr>
              <m:t>Base NPC</m:t>
            </m:r>
            <m:ctrlPr>
              <w:rPr>
                <w:rFonts w:ascii="Cambria Math" w:hAnsi="Cambria Math"/>
                <w:i/>
                <w:szCs w:val="24"/>
              </w:rPr>
            </m:ctrlPr>
          </m:e>
          <m:sub>
            <m:r>
              <m:rPr>
                <m:nor/>
              </m:rPr>
              <w:rPr>
                <w:rFonts w:ascii="Times New Roman" w:hAnsi="Times New Roman"/>
                <w:szCs w:val="24"/>
              </w:rPr>
              <m:t>$/MWh</m:t>
            </m:r>
          </m:sub>
        </m:sSub>
      </m:oMath>
      <w:r w:rsidR="00250101" w:rsidRPr="00250101">
        <w:rPr>
          <w:rFonts w:ascii="Times New Roman" w:hAnsi="Times New Roman"/>
          <w:bCs/>
          <w:szCs w:val="24"/>
        </w:rPr>
        <w:tab/>
        <w:t>= B</w:t>
      </w:r>
      <w:r w:rsidR="00250101" w:rsidRPr="00250101">
        <w:rPr>
          <w:rFonts w:ascii="Times New Roman" w:hAnsi="Times New Roman"/>
          <w:szCs w:val="24"/>
        </w:rPr>
        <w:t>ase NPC unit cost; calculated by dividing Washington-allocated NPC as established in a rate proceeding by the Washington sales-at-meter used to set rates in the rate proceeding</w:t>
      </w:r>
      <w:r w:rsidR="00250101" w:rsidRPr="00250101">
        <w:rPr>
          <w:rFonts w:ascii="Times New Roman" w:hAnsi="Times New Roman"/>
          <w:bCs/>
          <w:szCs w:val="24"/>
        </w:rPr>
        <w:t xml:space="preserve"> </w:t>
      </w:r>
    </w:p>
    <w:p w14:paraId="60F67712" w14:textId="77777777" w:rsidR="00250101" w:rsidRPr="00250101" w:rsidRDefault="00250101" w:rsidP="00250101">
      <w:pPr>
        <w:ind w:left="720" w:firstLine="720"/>
        <w:rPr>
          <w:rFonts w:ascii="Times New Roman" w:hAnsi="Times New Roman"/>
          <w:szCs w:val="24"/>
        </w:rPr>
      </w:pPr>
      <w:r w:rsidRPr="00250101">
        <w:rPr>
          <w:rFonts w:ascii="Times New Roman" w:hAnsi="Times New Roman"/>
          <w:bCs/>
          <w:szCs w:val="24"/>
        </w:rPr>
        <w:t>Actual Sales</w:t>
      </w:r>
      <w:r w:rsidRPr="00250101">
        <w:rPr>
          <w:rFonts w:ascii="Times New Roman" w:hAnsi="Times New Roman"/>
          <w:bCs/>
          <w:szCs w:val="24"/>
        </w:rPr>
        <w:tab/>
      </w:r>
      <w:r w:rsidRPr="00250101">
        <w:rPr>
          <w:rFonts w:ascii="Times New Roman" w:hAnsi="Times New Roman"/>
          <w:bCs/>
          <w:szCs w:val="24"/>
        </w:rPr>
        <w:tab/>
        <w:t xml:space="preserve">= </w:t>
      </w:r>
      <w:r w:rsidRPr="00250101">
        <w:rPr>
          <w:rFonts w:ascii="Times New Roman" w:hAnsi="Times New Roman"/>
          <w:szCs w:val="24"/>
        </w:rPr>
        <w:t>Actual Washington retail sales at the meter</w:t>
      </w:r>
    </w:p>
    <w:p w14:paraId="6A42D5FD" w14:textId="77777777" w:rsidR="00250101" w:rsidRPr="00250101" w:rsidRDefault="00250101" w:rsidP="00250101">
      <w:pPr>
        <w:rPr>
          <w:rFonts w:ascii="Times New Roman" w:hAnsi="Times New Roman"/>
          <w:szCs w:val="24"/>
        </w:rPr>
      </w:pPr>
    </w:p>
    <w:p w14:paraId="21182CB2" w14:textId="77777777" w:rsidR="00250101" w:rsidRPr="00250101" w:rsidRDefault="00250101" w:rsidP="00250101">
      <w:pPr>
        <w:rPr>
          <w:rFonts w:ascii="Times New Roman" w:hAnsi="Times New Roman"/>
          <w:bCs/>
          <w:szCs w:val="24"/>
        </w:rPr>
      </w:pPr>
      <w:r w:rsidRPr="00250101">
        <w:rPr>
          <w:rFonts w:ascii="Times New Roman" w:hAnsi="Times New Roman"/>
          <w:szCs w:val="24"/>
        </w:rPr>
        <w:t xml:space="preserve">The cumulative NPC variance is first compared against the symmetrical deadband.  Cumulative amounts in excess of the symmetrical deadband are then subject to the sharing bands.  The customer portion of the NPC variance is tracked in the deferral balancing account and monthly balances accrue interest at the current FERC interest rate.  A rate change is triggered when the customer surcharge or credit exceeds $17 million.  </w:t>
      </w:r>
    </w:p>
    <w:p w14:paraId="37775DB7" w14:textId="77777777" w:rsidR="00250101" w:rsidRPr="00250101" w:rsidRDefault="00250101" w:rsidP="00250101">
      <w:pPr>
        <w:rPr>
          <w:rFonts w:ascii="Times New Roman" w:hAnsi="Times New Roman"/>
          <w:bCs/>
          <w:szCs w:val="24"/>
        </w:rPr>
      </w:pPr>
    </w:p>
    <w:p w14:paraId="79530008" w14:textId="43042B28" w:rsidR="00250101" w:rsidRPr="00250101" w:rsidRDefault="00250101" w:rsidP="00250101">
      <w:pPr>
        <w:rPr>
          <w:rFonts w:ascii="Times New Roman" w:hAnsi="Times New Roman"/>
          <w:szCs w:val="24"/>
        </w:rPr>
      </w:pPr>
      <w:r w:rsidRPr="00250101">
        <w:rPr>
          <w:rFonts w:ascii="Times New Roman" w:hAnsi="Times New Roman"/>
          <w:szCs w:val="24"/>
        </w:rPr>
        <w:t xml:space="preserve">Actual </w:t>
      </w:r>
      <w:r w:rsidR="00DD09AC">
        <w:rPr>
          <w:rFonts w:ascii="Times New Roman" w:hAnsi="Times New Roman"/>
          <w:szCs w:val="24"/>
        </w:rPr>
        <w:t>w</w:t>
      </w:r>
      <w:r w:rsidR="001A4074">
        <w:rPr>
          <w:rFonts w:ascii="Times New Roman" w:hAnsi="Times New Roman"/>
          <w:szCs w:val="24"/>
        </w:rPr>
        <w:t xml:space="preserve">est </w:t>
      </w:r>
      <w:r w:rsidR="00DD09AC">
        <w:rPr>
          <w:rFonts w:ascii="Times New Roman" w:hAnsi="Times New Roman"/>
          <w:szCs w:val="24"/>
        </w:rPr>
        <w:t>c</w:t>
      </w:r>
      <w:r w:rsidR="001A4074">
        <w:rPr>
          <w:rFonts w:ascii="Times New Roman" w:hAnsi="Times New Roman"/>
          <w:szCs w:val="24"/>
        </w:rPr>
        <w:t xml:space="preserve">ontrol </w:t>
      </w:r>
      <w:r w:rsidR="00DD09AC">
        <w:rPr>
          <w:rFonts w:ascii="Times New Roman" w:hAnsi="Times New Roman"/>
          <w:szCs w:val="24"/>
        </w:rPr>
        <w:t>a</w:t>
      </w:r>
      <w:r w:rsidR="001A4074">
        <w:rPr>
          <w:rFonts w:ascii="Times New Roman" w:hAnsi="Times New Roman"/>
          <w:szCs w:val="24"/>
        </w:rPr>
        <w:t>rea</w:t>
      </w:r>
      <w:r w:rsidR="001A4074" w:rsidRPr="00250101">
        <w:rPr>
          <w:rFonts w:ascii="Times New Roman" w:hAnsi="Times New Roman"/>
          <w:szCs w:val="24"/>
        </w:rPr>
        <w:t xml:space="preserve"> </w:t>
      </w:r>
      <w:r w:rsidRPr="00250101">
        <w:rPr>
          <w:rFonts w:ascii="Times New Roman" w:hAnsi="Times New Roman"/>
          <w:szCs w:val="24"/>
        </w:rPr>
        <w:t xml:space="preserve">NPC are compiled using amounts booked to FERC accounts 447, 501, 503, 547, 555, and 565. </w:t>
      </w:r>
      <w:r w:rsidR="00247A75">
        <w:rPr>
          <w:rFonts w:ascii="Times New Roman" w:hAnsi="Times New Roman"/>
          <w:szCs w:val="24"/>
        </w:rPr>
        <w:t xml:space="preserve"> </w:t>
      </w:r>
      <w:r w:rsidRPr="00250101">
        <w:rPr>
          <w:rFonts w:ascii="Times New Roman" w:hAnsi="Times New Roman"/>
          <w:szCs w:val="24"/>
        </w:rPr>
        <w:t xml:space="preserve">Booked NPC are adjusted to reflect a balanced </w:t>
      </w:r>
      <w:r w:rsidR="00DD09AC">
        <w:rPr>
          <w:rFonts w:ascii="Times New Roman" w:hAnsi="Times New Roman"/>
          <w:szCs w:val="24"/>
        </w:rPr>
        <w:t>w</w:t>
      </w:r>
      <w:r w:rsidR="001A4074">
        <w:rPr>
          <w:rFonts w:ascii="Times New Roman" w:hAnsi="Times New Roman"/>
          <w:szCs w:val="24"/>
        </w:rPr>
        <w:t xml:space="preserve">est </w:t>
      </w:r>
      <w:r w:rsidR="00DD09AC">
        <w:rPr>
          <w:rFonts w:ascii="Times New Roman" w:hAnsi="Times New Roman"/>
          <w:szCs w:val="24"/>
        </w:rPr>
        <w:t>c</w:t>
      </w:r>
      <w:r w:rsidR="001A4074">
        <w:rPr>
          <w:rFonts w:ascii="Times New Roman" w:hAnsi="Times New Roman"/>
          <w:szCs w:val="24"/>
        </w:rPr>
        <w:t xml:space="preserve">ontrol </w:t>
      </w:r>
      <w:r w:rsidR="00DD09AC">
        <w:rPr>
          <w:rFonts w:ascii="Times New Roman" w:hAnsi="Times New Roman"/>
          <w:szCs w:val="24"/>
        </w:rPr>
        <w:t>a</w:t>
      </w:r>
      <w:r w:rsidR="001A4074">
        <w:rPr>
          <w:rFonts w:ascii="Times New Roman" w:hAnsi="Times New Roman"/>
          <w:szCs w:val="24"/>
        </w:rPr>
        <w:t>rea</w:t>
      </w:r>
      <w:r w:rsidRPr="00250101">
        <w:rPr>
          <w:rFonts w:ascii="Times New Roman" w:hAnsi="Times New Roman"/>
          <w:szCs w:val="24"/>
        </w:rPr>
        <w:t xml:space="preserve"> consistent with the </w:t>
      </w:r>
      <w:r w:rsidR="00DD09AC">
        <w:rPr>
          <w:rFonts w:ascii="Times New Roman" w:hAnsi="Times New Roman"/>
          <w:szCs w:val="24"/>
        </w:rPr>
        <w:t>methodology</w:t>
      </w:r>
      <w:r w:rsidR="00DD09AC" w:rsidRPr="00250101">
        <w:rPr>
          <w:rFonts w:ascii="Times New Roman" w:hAnsi="Times New Roman"/>
          <w:szCs w:val="24"/>
        </w:rPr>
        <w:t xml:space="preserve"> </w:t>
      </w:r>
      <w:r w:rsidRPr="00250101">
        <w:rPr>
          <w:rFonts w:ascii="Times New Roman" w:hAnsi="Times New Roman"/>
          <w:szCs w:val="24"/>
        </w:rPr>
        <w:t xml:space="preserve">used in UE-140762.  Actual NPC </w:t>
      </w:r>
      <w:r w:rsidR="006F4A8B">
        <w:rPr>
          <w:rFonts w:ascii="Times New Roman" w:hAnsi="Times New Roman"/>
          <w:szCs w:val="24"/>
        </w:rPr>
        <w:t>are</w:t>
      </w:r>
      <w:r w:rsidR="006F4A8B" w:rsidRPr="00250101">
        <w:rPr>
          <w:rFonts w:ascii="Times New Roman" w:hAnsi="Times New Roman"/>
          <w:szCs w:val="24"/>
        </w:rPr>
        <w:t xml:space="preserve"> </w:t>
      </w:r>
      <w:r w:rsidRPr="00250101">
        <w:rPr>
          <w:rFonts w:ascii="Times New Roman" w:hAnsi="Times New Roman"/>
          <w:szCs w:val="24"/>
        </w:rPr>
        <w:t>also adjusted to remove accounting entries that relate to operations before implementation of the PCAM on April 1, 201</w:t>
      </w:r>
      <w:r w:rsidR="003C2E6D">
        <w:rPr>
          <w:rFonts w:ascii="Times New Roman" w:hAnsi="Times New Roman"/>
          <w:szCs w:val="24"/>
        </w:rPr>
        <w:t>5</w:t>
      </w:r>
      <w:r w:rsidRPr="00250101">
        <w:rPr>
          <w:rFonts w:ascii="Times New Roman" w:hAnsi="Times New Roman"/>
          <w:szCs w:val="24"/>
        </w:rPr>
        <w:t xml:space="preserve">, and to reflect </w:t>
      </w:r>
      <w:r w:rsidR="0004188A">
        <w:rPr>
          <w:rFonts w:ascii="Times New Roman" w:hAnsi="Times New Roman"/>
          <w:szCs w:val="24"/>
        </w:rPr>
        <w:t xml:space="preserve">previously approved </w:t>
      </w:r>
      <w:r w:rsidRPr="00250101">
        <w:rPr>
          <w:rFonts w:ascii="Times New Roman" w:hAnsi="Times New Roman"/>
          <w:szCs w:val="24"/>
        </w:rPr>
        <w:t xml:space="preserve">ratemaking treatment of several items, including: </w:t>
      </w:r>
    </w:p>
    <w:p w14:paraId="003528D9" w14:textId="77777777" w:rsidR="00250101" w:rsidRPr="00250101" w:rsidRDefault="00250101" w:rsidP="00250101">
      <w:pPr>
        <w:rPr>
          <w:rFonts w:ascii="Times New Roman" w:hAnsi="Times New Roman"/>
          <w:szCs w:val="24"/>
        </w:rPr>
      </w:pPr>
    </w:p>
    <w:p w14:paraId="126CBCB7" w14:textId="77777777" w:rsidR="00250101" w:rsidRPr="00250101" w:rsidRDefault="00250101" w:rsidP="00250101">
      <w:pPr>
        <w:pStyle w:val="ListParagraph"/>
        <w:widowControl w:val="0"/>
        <w:numPr>
          <w:ilvl w:val="0"/>
          <w:numId w:val="12"/>
        </w:numPr>
        <w:adjustRightInd w:val="0"/>
        <w:spacing w:before="0" w:line="240" w:lineRule="auto"/>
        <w:contextualSpacing/>
        <w:textAlignment w:val="baseline"/>
        <w:rPr>
          <w:rFonts w:ascii="Times New Roman" w:hAnsi="Times New Roman"/>
          <w:sz w:val="24"/>
          <w:szCs w:val="24"/>
        </w:rPr>
      </w:pPr>
      <w:r w:rsidRPr="00250101">
        <w:rPr>
          <w:rFonts w:ascii="Times New Roman" w:hAnsi="Times New Roman"/>
          <w:sz w:val="24"/>
          <w:szCs w:val="24"/>
        </w:rPr>
        <w:t xml:space="preserve">Sacramento Municipal Utility District (SMUD) wholesale sales contract revenues; </w:t>
      </w:r>
    </w:p>
    <w:p w14:paraId="70906E94" w14:textId="11F88815" w:rsidR="00250101" w:rsidRPr="00250101" w:rsidRDefault="00250101" w:rsidP="00250101">
      <w:pPr>
        <w:pStyle w:val="ListParagraph"/>
        <w:widowControl w:val="0"/>
        <w:numPr>
          <w:ilvl w:val="0"/>
          <w:numId w:val="12"/>
        </w:numPr>
        <w:adjustRightInd w:val="0"/>
        <w:spacing w:before="0" w:line="240" w:lineRule="auto"/>
        <w:contextualSpacing/>
        <w:textAlignment w:val="baseline"/>
        <w:rPr>
          <w:rFonts w:ascii="Times New Roman" w:hAnsi="Times New Roman"/>
          <w:sz w:val="24"/>
          <w:szCs w:val="24"/>
        </w:rPr>
      </w:pPr>
      <w:r w:rsidRPr="00250101">
        <w:rPr>
          <w:rFonts w:ascii="Times New Roman" w:hAnsi="Times New Roman"/>
          <w:sz w:val="24"/>
          <w:szCs w:val="24"/>
        </w:rPr>
        <w:t>Reductions to coal costs for legal fees related to fines and citations;</w:t>
      </w:r>
      <w:r w:rsidR="00B44C2F">
        <w:rPr>
          <w:rFonts w:ascii="Times New Roman" w:hAnsi="Times New Roman"/>
          <w:sz w:val="24"/>
          <w:szCs w:val="24"/>
        </w:rPr>
        <w:t xml:space="preserve"> and</w:t>
      </w:r>
    </w:p>
    <w:p w14:paraId="417FDAA2" w14:textId="77777777" w:rsidR="00250101" w:rsidRPr="00250101" w:rsidRDefault="00250101" w:rsidP="00250101">
      <w:pPr>
        <w:pStyle w:val="ListParagraph"/>
        <w:widowControl w:val="0"/>
        <w:numPr>
          <w:ilvl w:val="0"/>
          <w:numId w:val="12"/>
        </w:numPr>
        <w:adjustRightInd w:val="0"/>
        <w:spacing w:before="0" w:line="240" w:lineRule="auto"/>
        <w:contextualSpacing/>
        <w:textAlignment w:val="baseline"/>
        <w:rPr>
          <w:rFonts w:ascii="Times New Roman" w:hAnsi="Times New Roman"/>
          <w:sz w:val="24"/>
          <w:szCs w:val="24"/>
        </w:rPr>
      </w:pPr>
      <w:r w:rsidRPr="00250101">
        <w:rPr>
          <w:rFonts w:ascii="Times New Roman" w:hAnsi="Times New Roman"/>
          <w:sz w:val="24"/>
          <w:szCs w:val="24"/>
        </w:rPr>
        <w:t>Revenue from a contract related to the Leaning Juniper wind resource.</w:t>
      </w:r>
    </w:p>
    <w:p w14:paraId="60F33F0F" w14:textId="77777777" w:rsidR="00250101" w:rsidRPr="00250101" w:rsidRDefault="00250101" w:rsidP="00250101">
      <w:pPr>
        <w:rPr>
          <w:rFonts w:ascii="Times New Roman" w:hAnsi="Times New Roman"/>
          <w:szCs w:val="24"/>
        </w:rPr>
      </w:pPr>
    </w:p>
    <w:p w14:paraId="3FF23BF4" w14:textId="0410A5AD" w:rsidR="006520FD" w:rsidRDefault="00250101" w:rsidP="00250101">
      <w:pPr>
        <w:rPr>
          <w:rFonts w:ascii="Times New Roman" w:hAnsi="Times New Roman"/>
          <w:szCs w:val="24"/>
        </w:rPr>
      </w:pPr>
      <w:r w:rsidRPr="00250101">
        <w:rPr>
          <w:rFonts w:ascii="Times New Roman" w:hAnsi="Times New Roman"/>
          <w:szCs w:val="24"/>
        </w:rPr>
        <w:t xml:space="preserve">In this filing, the Company has also included in the PCAM actual </w:t>
      </w:r>
      <w:r w:rsidR="006F4A8B">
        <w:rPr>
          <w:rFonts w:ascii="Times New Roman" w:hAnsi="Times New Roman"/>
          <w:szCs w:val="24"/>
        </w:rPr>
        <w:t>Energy Imbalance Market (</w:t>
      </w:r>
      <w:r w:rsidRPr="00250101">
        <w:rPr>
          <w:rFonts w:ascii="Times New Roman" w:hAnsi="Times New Roman"/>
          <w:szCs w:val="24"/>
        </w:rPr>
        <w:t>EIM</w:t>
      </w:r>
      <w:r w:rsidR="006F4A8B">
        <w:rPr>
          <w:rFonts w:ascii="Times New Roman" w:hAnsi="Times New Roman"/>
          <w:szCs w:val="24"/>
        </w:rPr>
        <w:t>)</w:t>
      </w:r>
      <w:r w:rsidRPr="00250101">
        <w:rPr>
          <w:rFonts w:ascii="Times New Roman" w:hAnsi="Times New Roman"/>
          <w:szCs w:val="24"/>
        </w:rPr>
        <w:t xml:space="preserve"> costs that are not otherwise included in NPC.</w:t>
      </w:r>
      <w:r w:rsidR="00C05060">
        <w:rPr>
          <w:rFonts w:ascii="Times New Roman" w:hAnsi="Times New Roman"/>
          <w:szCs w:val="24"/>
        </w:rPr>
        <w:t xml:space="preserve">  These EIM costs include the return on rate base, ongoing operations and maintenance</w:t>
      </w:r>
      <w:r w:rsidR="0063561C">
        <w:rPr>
          <w:rFonts w:ascii="Times New Roman" w:hAnsi="Times New Roman"/>
          <w:szCs w:val="24"/>
        </w:rPr>
        <w:t xml:space="preserve"> expense</w:t>
      </w:r>
      <w:r w:rsidR="00C05060">
        <w:rPr>
          <w:rFonts w:ascii="Times New Roman" w:hAnsi="Times New Roman"/>
          <w:szCs w:val="24"/>
        </w:rPr>
        <w:t>, and depreciation</w:t>
      </w:r>
      <w:r w:rsidR="0063561C">
        <w:rPr>
          <w:rFonts w:ascii="Times New Roman" w:hAnsi="Times New Roman"/>
          <w:szCs w:val="24"/>
        </w:rPr>
        <w:t xml:space="preserve"> expense</w:t>
      </w:r>
      <w:r w:rsidR="00C05060">
        <w:rPr>
          <w:rFonts w:ascii="Times New Roman" w:hAnsi="Times New Roman"/>
          <w:szCs w:val="24"/>
        </w:rPr>
        <w:t xml:space="preserve">. </w:t>
      </w:r>
      <w:r w:rsidRPr="00250101">
        <w:rPr>
          <w:rFonts w:ascii="Times New Roman" w:hAnsi="Times New Roman"/>
          <w:szCs w:val="24"/>
        </w:rPr>
        <w:t xml:space="preserve"> This treatment </w:t>
      </w:r>
      <w:r w:rsidRPr="00250101">
        <w:rPr>
          <w:rFonts w:ascii="Times New Roman" w:hAnsi="Times New Roman"/>
          <w:szCs w:val="24"/>
        </w:rPr>
        <w:lastRenderedPageBreak/>
        <w:t>was proposed by Boise White Paper and agreed to by the Company in Docket UE-152253 to match recovery of EIM costs and benefits</w:t>
      </w:r>
      <w:r w:rsidR="006520FD">
        <w:rPr>
          <w:rFonts w:ascii="Times New Roman" w:hAnsi="Times New Roman"/>
          <w:szCs w:val="24"/>
        </w:rPr>
        <w:t>.</w:t>
      </w:r>
      <w:r w:rsidR="000F105C">
        <w:rPr>
          <w:rStyle w:val="FootnoteReference"/>
          <w:rFonts w:ascii="Times New Roman" w:hAnsi="Times New Roman"/>
          <w:szCs w:val="24"/>
        </w:rPr>
        <w:footnoteReference w:id="4"/>
      </w:r>
    </w:p>
    <w:p w14:paraId="6EC703DA" w14:textId="0DB0978C" w:rsidR="00250101" w:rsidRPr="00250101" w:rsidRDefault="00250101" w:rsidP="00250101">
      <w:pPr>
        <w:rPr>
          <w:rFonts w:ascii="Times New Roman" w:hAnsi="Times New Roman"/>
          <w:szCs w:val="24"/>
        </w:rPr>
      </w:pPr>
    </w:p>
    <w:p w14:paraId="67510C01" w14:textId="3D8242F8" w:rsidR="00250101" w:rsidRPr="00250101" w:rsidRDefault="00250101" w:rsidP="00250101">
      <w:pPr>
        <w:rPr>
          <w:rFonts w:ascii="Times New Roman" w:hAnsi="Times New Roman"/>
          <w:szCs w:val="24"/>
        </w:rPr>
      </w:pPr>
      <w:r w:rsidRPr="00250101">
        <w:rPr>
          <w:rFonts w:ascii="Times New Roman" w:hAnsi="Times New Roman"/>
          <w:bCs/>
          <w:szCs w:val="24"/>
        </w:rPr>
        <w:t>Washington-allocated actual NPC exceeded NPC collected in base rates by approximately $2.</w:t>
      </w:r>
      <w:r w:rsidR="00C01F07">
        <w:rPr>
          <w:rFonts w:ascii="Times New Roman" w:hAnsi="Times New Roman"/>
          <w:bCs/>
          <w:szCs w:val="24"/>
        </w:rPr>
        <w:t>9</w:t>
      </w:r>
      <w:r w:rsidRPr="00250101">
        <w:rPr>
          <w:rFonts w:ascii="Times New Roman" w:hAnsi="Times New Roman"/>
          <w:bCs/>
          <w:szCs w:val="24"/>
        </w:rPr>
        <w:t xml:space="preserve"> million for the period </w:t>
      </w:r>
      <w:r w:rsidR="006D5815">
        <w:rPr>
          <w:rFonts w:ascii="Times New Roman" w:hAnsi="Times New Roman"/>
          <w:bCs/>
          <w:szCs w:val="24"/>
        </w:rPr>
        <w:t xml:space="preserve">of </w:t>
      </w:r>
      <w:r w:rsidRPr="00250101">
        <w:rPr>
          <w:rFonts w:ascii="Times New Roman" w:hAnsi="Times New Roman"/>
          <w:bCs/>
          <w:szCs w:val="24"/>
        </w:rPr>
        <w:t xml:space="preserve">April 1 through December 31, 2015.  This amount does not exceed the established deadband.  Accordingly, the balance in the deferral account remains at zero dollars and no recovery from or refund to customers is necessary.  Because Schedule 97, the Power Cost Adjustment Mechanism Adjustment, is currently set at zero cents per kilowatt hour for all schedules, no tariff change is required at this time.  </w:t>
      </w:r>
    </w:p>
    <w:p w14:paraId="2B467D66" w14:textId="77777777" w:rsidR="00250101" w:rsidRDefault="00250101" w:rsidP="00250101">
      <w:pPr>
        <w:rPr>
          <w:rFonts w:ascii="Times New Roman" w:hAnsi="Times New Roman"/>
          <w:szCs w:val="24"/>
        </w:rPr>
      </w:pPr>
    </w:p>
    <w:p w14:paraId="574ADACB" w14:textId="35B172F7" w:rsidR="00CD6601" w:rsidRDefault="00CD6601" w:rsidP="00250101">
      <w:pPr>
        <w:rPr>
          <w:rFonts w:ascii="Times New Roman" w:hAnsi="Times New Roman"/>
          <w:szCs w:val="24"/>
        </w:rPr>
      </w:pPr>
      <w:r w:rsidRPr="00CD6601">
        <w:rPr>
          <w:rFonts w:ascii="Times New Roman" w:hAnsi="Times New Roman"/>
          <w:szCs w:val="24"/>
        </w:rPr>
        <w:t>Pacific Power</w:t>
      </w:r>
      <w:r>
        <w:rPr>
          <w:rFonts w:ascii="Times New Roman" w:hAnsi="Times New Roman"/>
          <w:szCs w:val="24"/>
        </w:rPr>
        <w:t xml:space="preserve"> also includes in this </w:t>
      </w:r>
      <w:r w:rsidRPr="00CD6601">
        <w:rPr>
          <w:rFonts w:ascii="Times New Roman" w:hAnsi="Times New Roman"/>
          <w:szCs w:val="24"/>
        </w:rPr>
        <w:t>filing a motion requesting that the Commission issue a protective order to govern disclosure of confidential information for use in this case.</w:t>
      </w:r>
    </w:p>
    <w:p w14:paraId="6DB89375" w14:textId="77777777" w:rsidR="00CD6601" w:rsidRPr="00250101" w:rsidRDefault="00CD6601" w:rsidP="00250101">
      <w:pPr>
        <w:rPr>
          <w:rFonts w:ascii="Times New Roman" w:hAnsi="Times New Roman"/>
          <w:szCs w:val="24"/>
        </w:rPr>
      </w:pPr>
    </w:p>
    <w:p w14:paraId="4A456F45" w14:textId="77777777" w:rsidR="002115A0" w:rsidRPr="00D92141" w:rsidRDefault="002115A0" w:rsidP="002115A0">
      <w:pPr>
        <w:rPr>
          <w:rFonts w:ascii="Times New Roman" w:hAnsi="Times New Roman"/>
          <w:szCs w:val="24"/>
        </w:rPr>
      </w:pPr>
      <w:r w:rsidRPr="00D92141">
        <w:rPr>
          <w:rFonts w:ascii="Times New Roman" w:hAnsi="Times New Roman"/>
          <w:szCs w:val="24"/>
        </w:rPr>
        <w:t>It is respectfully requested that all formal correspondence and requests regarding this filing be addressed to:</w:t>
      </w:r>
    </w:p>
    <w:p w14:paraId="64CA9344" w14:textId="77777777" w:rsidR="002115A0" w:rsidRPr="00D92141" w:rsidRDefault="002115A0" w:rsidP="002115A0">
      <w:pPr>
        <w:rPr>
          <w:rFonts w:ascii="Times New Roman" w:hAnsi="Times New Roman"/>
          <w:szCs w:val="24"/>
        </w:rPr>
      </w:pPr>
    </w:p>
    <w:p w14:paraId="4A807271" w14:textId="77777777" w:rsidR="002115A0" w:rsidRPr="00D92141" w:rsidRDefault="002115A0" w:rsidP="002115A0">
      <w:pPr>
        <w:rPr>
          <w:rFonts w:ascii="Times New Roman" w:hAnsi="Times New Roman"/>
          <w:szCs w:val="24"/>
        </w:rPr>
      </w:pPr>
      <w:r w:rsidRPr="00D92141">
        <w:rPr>
          <w:rFonts w:ascii="Times New Roman" w:hAnsi="Times New Roman"/>
          <w:szCs w:val="24"/>
        </w:rPr>
        <w:t>By e-mail (preferred):</w:t>
      </w:r>
      <w:r w:rsidRPr="00D92141">
        <w:rPr>
          <w:rFonts w:ascii="Times New Roman" w:hAnsi="Times New Roman"/>
          <w:szCs w:val="24"/>
        </w:rPr>
        <w:tab/>
      </w:r>
      <w:r w:rsidRPr="00D92141">
        <w:rPr>
          <w:rFonts w:ascii="Times New Roman" w:hAnsi="Times New Roman"/>
          <w:szCs w:val="24"/>
        </w:rPr>
        <w:tab/>
      </w:r>
      <w:hyperlink r:id="rId9" w:history="1">
        <w:r w:rsidRPr="00856C21">
          <w:rPr>
            <w:rStyle w:val="Hyperlink"/>
            <w:szCs w:val="24"/>
          </w:rPr>
          <w:t>datarequest@pacificorp.com</w:t>
        </w:r>
      </w:hyperlink>
      <w:r>
        <w:rPr>
          <w:rFonts w:ascii="Times New Roman" w:hAnsi="Times New Roman"/>
          <w:szCs w:val="24"/>
        </w:rPr>
        <w:t xml:space="preserve"> </w:t>
      </w:r>
    </w:p>
    <w:p w14:paraId="3CB3319E" w14:textId="77777777" w:rsidR="002115A0" w:rsidRPr="00D92141" w:rsidRDefault="002115A0" w:rsidP="002115A0">
      <w:pPr>
        <w:rPr>
          <w:rFonts w:ascii="Times New Roman" w:hAnsi="Times New Roman"/>
          <w:szCs w:val="24"/>
        </w:rPr>
      </w:pPr>
    </w:p>
    <w:p w14:paraId="418348B3" w14:textId="77777777" w:rsidR="002115A0" w:rsidRPr="00D92141" w:rsidRDefault="002115A0" w:rsidP="002115A0">
      <w:pPr>
        <w:rPr>
          <w:rFonts w:ascii="Times New Roman" w:hAnsi="Times New Roman"/>
          <w:szCs w:val="24"/>
        </w:rPr>
      </w:pPr>
      <w:r w:rsidRPr="00D92141">
        <w:rPr>
          <w:rFonts w:ascii="Times New Roman" w:hAnsi="Times New Roman"/>
          <w:szCs w:val="24"/>
        </w:rPr>
        <w:t>By regular mail:</w:t>
      </w:r>
      <w:r w:rsidRPr="00D92141">
        <w:rPr>
          <w:rFonts w:ascii="Times New Roman" w:hAnsi="Times New Roman"/>
          <w:szCs w:val="24"/>
        </w:rPr>
        <w:tab/>
      </w:r>
      <w:r w:rsidRPr="00D92141">
        <w:rPr>
          <w:rFonts w:ascii="Times New Roman" w:hAnsi="Times New Roman"/>
          <w:szCs w:val="24"/>
        </w:rPr>
        <w:tab/>
        <w:t>Data Request Response Center</w:t>
      </w:r>
    </w:p>
    <w:p w14:paraId="6488CDBF" w14:textId="77777777" w:rsidR="002115A0" w:rsidRPr="00D92141" w:rsidRDefault="002115A0" w:rsidP="002115A0">
      <w:pPr>
        <w:rPr>
          <w:rFonts w:ascii="Times New Roman" w:hAnsi="Times New Roman"/>
          <w:szCs w:val="24"/>
        </w:rPr>
      </w:pPr>
      <w:r w:rsidRPr="00D92141">
        <w:rPr>
          <w:rFonts w:ascii="Times New Roman" w:hAnsi="Times New Roman"/>
          <w:szCs w:val="24"/>
        </w:rPr>
        <w:tab/>
      </w:r>
      <w:r w:rsidRPr="00D92141">
        <w:rPr>
          <w:rFonts w:ascii="Times New Roman" w:hAnsi="Times New Roman"/>
          <w:szCs w:val="24"/>
        </w:rPr>
        <w:tab/>
      </w:r>
      <w:r w:rsidRPr="00D92141">
        <w:rPr>
          <w:rFonts w:ascii="Times New Roman" w:hAnsi="Times New Roman"/>
          <w:szCs w:val="24"/>
        </w:rPr>
        <w:tab/>
      </w:r>
      <w:r w:rsidRPr="00D92141">
        <w:rPr>
          <w:rFonts w:ascii="Times New Roman" w:hAnsi="Times New Roman"/>
          <w:szCs w:val="24"/>
        </w:rPr>
        <w:tab/>
        <w:t>PacifiCorp</w:t>
      </w:r>
    </w:p>
    <w:p w14:paraId="6F4A069B" w14:textId="77777777" w:rsidR="002115A0" w:rsidRPr="00D92141" w:rsidRDefault="002115A0" w:rsidP="002115A0">
      <w:pPr>
        <w:rPr>
          <w:rFonts w:ascii="Times New Roman" w:hAnsi="Times New Roman"/>
          <w:szCs w:val="24"/>
        </w:rPr>
      </w:pPr>
      <w:r w:rsidRPr="00D92141">
        <w:rPr>
          <w:rFonts w:ascii="Times New Roman" w:hAnsi="Times New Roman"/>
          <w:szCs w:val="24"/>
        </w:rPr>
        <w:tab/>
      </w:r>
      <w:r w:rsidRPr="00D92141">
        <w:rPr>
          <w:rFonts w:ascii="Times New Roman" w:hAnsi="Times New Roman"/>
          <w:szCs w:val="24"/>
        </w:rPr>
        <w:tab/>
      </w:r>
      <w:r w:rsidRPr="00D92141">
        <w:rPr>
          <w:rFonts w:ascii="Times New Roman" w:hAnsi="Times New Roman"/>
          <w:szCs w:val="24"/>
        </w:rPr>
        <w:tab/>
      </w:r>
      <w:r w:rsidRPr="00D92141">
        <w:rPr>
          <w:rFonts w:ascii="Times New Roman" w:hAnsi="Times New Roman"/>
          <w:szCs w:val="24"/>
        </w:rPr>
        <w:tab/>
        <w:t>825 NE Multnomah</w:t>
      </w:r>
      <w:r>
        <w:rPr>
          <w:rFonts w:ascii="Times New Roman" w:hAnsi="Times New Roman"/>
          <w:szCs w:val="24"/>
        </w:rPr>
        <w:t xml:space="preserve"> St.</w:t>
      </w:r>
      <w:r w:rsidRPr="00D92141">
        <w:rPr>
          <w:rFonts w:ascii="Times New Roman" w:hAnsi="Times New Roman"/>
          <w:szCs w:val="24"/>
        </w:rPr>
        <w:t>, Suite 2000</w:t>
      </w:r>
    </w:p>
    <w:p w14:paraId="05EC4992" w14:textId="77777777" w:rsidR="002115A0" w:rsidRPr="00D92141" w:rsidRDefault="002115A0" w:rsidP="002115A0">
      <w:pPr>
        <w:rPr>
          <w:rFonts w:ascii="Times New Roman" w:hAnsi="Times New Roman"/>
          <w:szCs w:val="24"/>
        </w:rPr>
      </w:pPr>
      <w:r w:rsidRPr="00D92141">
        <w:rPr>
          <w:rFonts w:ascii="Times New Roman" w:hAnsi="Times New Roman"/>
          <w:szCs w:val="24"/>
        </w:rPr>
        <w:tab/>
      </w:r>
      <w:r w:rsidRPr="00D92141">
        <w:rPr>
          <w:rFonts w:ascii="Times New Roman" w:hAnsi="Times New Roman"/>
          <w:szCs w:val="24"/>
        </w:rPr>
        <w:tab/>
      </w:r>
      <w:r w:rsidRPr="00D92141">
        <w:rPr>
          <w:rFonts w:ascii="Times New Roman" w:hAnsi="Times New Roman"/>
          <w:szCs w:val="24"/>
        </w:rPr>
        <w:tab/>
      </w:r>
      <w:r w:rsidRPr="00D92141">
        <w:rPr>
          <w:rFonts w:ascii="Times New Roman" w:hAnsi="Times New Roman"/>
          <w:szCs w:val="24"/>
        </w:rPr>
        <w:tab/>
        <w:t>Portland, Oregon, 97232</w:t>
      </w:r>
    </w:p>
    <w:p w14:paraId="54CF10D2" w14:textId="77777777" w:rsidR="002115A0" w:rsidRPr="00D92141" w:rsidRDefault="002115A0" w:rsidP="002115A0">
      <w:pPr>
        <w:rPr>
          <w:rFonts w:ascii="Times New Roman" w:hAnsi="Times New Roman"/>
          <w:szCs w:val="24"/>
        </w:rPr>
      </w:pPr>
    </w:p>
    <w:p w14:paraId="26C53DA1" w14:textId="77777777" w:rsidR="002115A0" w:rsidRPr="00D92141" w:rsidRDefault="002115A0" w:rsidP="002115A0">
      <w:pPr>
        <w:rPr>
          <w:rFonts w:ascii="Times New Roman" w:hAnsi="Times New Roman"/>
          <w:szCs w:val="24"/>
        </w:rPr>
      </w:pPr>
      <w:r>
        <w:rPr>
          <w:rFonts w:ascii="Times New Roman" w:hAnsi="Times New Roman"/>
          <w:szCs w:val="24"/>
        </w:rPr>
        <w:t>Please direct informal inquiries to</w:t>
      </w:r>
      <w:r w:rsidRPr="00D92141">
        <w:rPr>
          <w:rFonts w:ascii="Times New Roman" w:hAnsi="Times New Roman"/>
          <w:szCs w:val="24"/>
        </w:rPr>
        <w:t xml:space="preserve"> Ariel Son, Regulatory Projects</w:t>
      </w:r>
      <w:r>
        <w:rPr>
          <w:rFonts w:ascii="Times New Roman" w:hAnsi="Times New Roman"/>
          <w:szCs w:val="24"/>
        </w:rPr>
        <w:t xml:space="preserve"> Manager</w:t>
      </w:r>
      <w:r w:rsidRPr="00D92141">
        <w:rPr>
          <w:rFonts w:ascii="Times New Roman" w:hAnsi="Times New Roman"/>
          <w:szCs w:val="24"/>
        </w:rPr>
        <w:t>, at (503) 813-5410.</w:t>
      </w:r>
    </w:p>
    <w:p w14:paraId="77DA0E32" w14:textId="77777777" w:rsidR="002115A0" w:rsidRPr="00D92141" w:rsidRDefault="002115A0" w:rsidP="002115A0">
      <w:pPr>
        <w:rPr>
          <w:rFonts w:ascii="Times New Roman" w:hAnsi="Times New Roman"/>
          <w:szCs w:val="24"/>
        </w:rPr>
      </w:pPr>
    </w:p>
    <w:p w14:paraId="035F83A9" w14:textId="77777777" w:rsidR="002115A0" w:rsidRPr="00D92141" w:rsidRDefault="002115A0" w:rsidP="002115A0">
      <w:pPr>
        <w:rPr>
          <w:rFonts w:ascii="Times New Roman" w:hAnsi="Times New Roman"/>
          <w:szCs w:val="24"/>
        </w:rPr>
      </w:pPr>
      <w:r w:rsidRPr="00D92141">
        <w:rPr>
          <w:rFonts w:ascii="Times New Roman" w:hAnsi="Times New Roman"/>
          <w:szCs w:val="24"/>
        </w:rPr>
        <w:t>Sincerely,</w:t>
      </w:r>
    </w:p>
    <w:p w14:paraId="024AA8AA" w14:textId="77777777" w:rsidR="002115A0" w:rsidRPr="00D92141" w:rsidRDefault="002115A0" w:rsidP="002115A0">
      <w:pPr>
        <w:rPr>
          <w:rFonts w:ascii="Times New Roman" w:hAnsi="Times New Roman"/>
          <w:szCs w:val="24"/>
        </w:rPr>
      </w:pPr>
    </w:p>
    <w:p w14:paraId="05353311" w14:textId="77777777" w:rsidR="002115A0" w:rsidRPr="00D92141" w:rsidRDefault="002115A0" w:rsidP="002115A0">
      <w:pPr>
        <w:rPr>
          <w:rFonts w:ascii="Times New Roman" w:hAnsi="Times New Roman"/>
          <w:szCs w:val="24"/>
        </w:rPr>
      </w:pPr>
    </w:p>
    <w:p w14:paraId="64F4B438" w14:textId="77777777" w:rsidR="002115A0" w:rsidRPr="00D92141" w:rsidRDefault="002115A0" w:rsidP="002115A0">
      <w:pPr>
        <w:rPr>
          <w:rFonts w:ascii="Times New Roman" w:hAnsi="Times New Roman"/>
          <w:szCs w:val="24"/>
        </w:rPr>
      </w:pPr>
    </w:p>
    <w:p w14:paraId="1AB2BD26" w14:textId="77777777" w:rsidR="002115A0" w:rsidRPr="00D92141" w:rsidRDefault="002115A0" w:rsidP="002115A0">
      <w:pPr>
        <w:rPr>
          <w:rFonts w:ascii="Times New Roman" w:hAnsi="Times New Roman"/>
          <w:szCs w:val="24"/>
        </w:rPr>
      </w:pPr>
      <w:r w:rsidRPr="00D92141">
        <w:rPr>
          <w:rFonts w:ascii="Times New Roman" w:hAnsi="Times New Roman"/>
          <w:szCs w:val="24"/>
        </w:rPr>
        <w:t>R. Bryce Dalley</w:t>
      </w:r>
    </w:p>
    <w:p w14:paraId="560F2C2D" w14:textId="77777777" w:rsidR="002115A0" w:rsidRPr="00D92141" w:rsidRDefault="002115A0" w:rsidP="002115A0">
      <w:pPr>
        <w:rPr>
          <w:rFonts w:ascii="Times New Roman" w:hAnsi="Times New Roman"/>
          <w:szCs w:val="24"/>
        </w:rPr>
      </w:pPr>
      <w:r w:rsidRPr="00D92141">
        <w:rPr>
          <w:rFonts w:ascii="Times New Roman" w:hAnsi="Times New Roman"/>
          <w:szCs w:val="24"/>
        </w:rPr>
        <w:t>Vice President, Regulation</w:t>
      </w:r>
    </w:p>
    <w:p w14:paraId="1F1E9E3B" w14:textId="77777777" w:rsidR="002115A0" w:rsidRPr="00D92141" w:rsidRDefault="002115A0" w:rsidP="002115A0">
      <w:pPr>
        <w:pStyle w:val="Header"/>
        <w:tabs>
          <w:tab w:val="clear" w:pos="4320"/>
          <w:tab w:val="clear" w:pos="8640"/>
        </w:tabs>
      </w:pPr>
    </w:p>
    <w:p w14:paraId="74A8F5C7" w14:textId="77777777" w:rsidR="002115A0" w:rsidRPr="00D92141" w:rsidRDefault="002115A0" w:rsidP="002115A0">
      <w:pPr>
        <w:pStyle w:val="Header"/>
        <w:tabs>
          <w:tab w:val="clear" w:pos="4320"/>
          <w:tab w:val="clear" w:pos="8640"/>
        </w:tabs>
      </w:pPr>
      <w:r w:rsidRPr="00D92141">
        <w:t>Enclosures</w:t>
      </w:r>
    </w:p>
    <w:p w14:paraId="10E9C3EA" w14:textId="77777777" w:rsidR="00250101" w:rsidRPr="00250101" w:rsidRDefault="00250101" w:rsidP="00250101">
      <w:pPr>
        <w:rPr>
          <w:rFonts w:ascii="Times New Roman" w:hAnsi="Times New Roman"/>
          <w:bCs/>
          <w:szCs w:val="24"/>
        </w:rPr>
      </w:pPr>
    </w:p>
    <w:p w14:paraId="730D9BC8" w14:textId="77777777" w:rsidR="00250101" w:rsidRPr="00275748" w:rsidRDefault="006F4C3F" w:rsidP="00250101">
      <w:pPr>
        <w:jc w:val="both"/>
        <w:rPr>
          <w:rFonts w:ascii="Times New Roman" w:hAnsi="Times New Roman"/>
          <w:szCs w:val="24"/>
        </w:rPr>
      </w:pPr>
      <w:r w:rsidRPr="00275748">
        <w:rPr>
          <w:rFonts w:ascii="Times New Roman" w:hAnsi="Times New Roman"/>
          <w:szCs w:val="24"/>
        </w:rPr>
        <w:t>Attachment A:  PCAM Calculation</w:t>
      </w:r>
    </w:p>
    <w:sectPr w:rsidR="00250101" w:rsidRPr="00275748" w:rsidSect="0027574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formProt w:val="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AD347D" w15:done="0"/>
  <w15:commentEx w15:paraId="0AC8F6EB" w15:done="0"/>
  <w15:commentEx w15:paraId="7E9CCE00" w15:paraIdParent="0AC8F6EB" w15:done="0"/>
  <w15:commentEx w15:paraId="76E987D0" w15:done="0"/>
  <w15:commentEx w15:paraId="05B8BB6D" w15:paraIdParent="76E987D0" w15:done="0"/>
  <w15:commentEx w15:paraId="6A65CF57" w15:done="0"/>
  <w15:commentEx w15:paraId="1F73C3F1" w15:paraIdParent="6A65CF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A1720" w14:textId="77777777" w:rsidR="00077DDC" w:rsidRDefault="00077DDC" w:rsidP="00964072">
      <w:r>
        <w:separator/>
      </w:r>
    </w:p>
  </w:endnote>
  <w:endnote w:type="continuationSeparator" w:id="0">
    <w:p w14:paraId="4646A505" w14:textId="77777777" w:rsidR="00077DDC" w:rsidRDefault="00077DDC" w:rsidP="00964072">
      <w:r>
        <w:continuationSeparator/>
      </w:r>
    </w:p>
  </w:endnote>
  <w:endnote w:type="continuationNotice" w:id="1">
    <w:p w14:paraId="664B6739" w14:textId="77777777" w:rsidR="00077DDC" w:rsidRDefault="00077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DEE2C" w14:textId="77777777" w:rsidR="001C1E0A" w:rsidRDefault="001C1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3CC27" w14:textId="77777777" w:rsidR="001C1E0A" w:rsidRDefault="001C1E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02ED2" w14:textId="77777777" w:rsidR="001C1E0A" w:rsidRDefault="001C1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80716" w14:textId="77777777" w:rsidR="00077DDC" w:rsidRDefault="00077DDC" w:rsidP="00964072">
      <w:r>
        <w:separator/>
      </w:r>
    </w:p>
  </w:footnote>
  <w:footnote w:type="continuationSeparator" w:id="0">
    <w:p w14:paraId="5BFCDA92" w14:textId="77777777" w:rsidR="00077DDC" w:rsidRDefault="00077DDC" w:rsidP="00964072">
      <w:r>
        <w:continuationSeparator/>
      </w:r>
    </w:p>
  </w:footnote>
  <w:footnote w:type="continuationNotice" w:id="1">
    <w:p w14:paraId="2F7BD063" w14:textId="77777777" w:rsidR="00077DDC" w:rsidRDefault="00077DDC"/>
  </w:footnote>
  <w:footnote w:id="2">
    <w:p w14:paraId="3FCE69F9" w14:textId="03FDF62D" w:rsidR="004F6997" w:rsidRPr="00250101" w:rsidRDefault="004F6997" w:rsidP="00247A75">
      <w:pPr>
        <w:pStyle w:val="FootnoteText"/>
        <w:rPr>
          <w:rFonts w:ascii="Times New Roman" w:hAnsi="Times New Roman" w:cs="Times New Roman"/>
        </w:rPr>
      </w:pPr>
      <w:r w:rsidRPr="00250101">
        <w:rPr>
          <w:rStyle w:val="FootnoteReference"/>
          <w:rFonts w:ascii="Times New Roman" w:hAnsi="Times New Roman" w:cs="Times New Roman"/>
        </w:rPr>
        <w:footnoteRef/>
      </w:r>
      <w:r w:rsidRPr="00250101">
        <w:rPr>
          <w:rFonts w:ascii="Times New Roman" w:hAnsi="Times New Roman" w:cs="Times New Roman"/>
        </w:rPr>
        <w:t xml:space="preserve"> Per </w:t>
      </w:r>
      <w:r w:rsidRPr="00250101">
        <w:rPr>
          <w:rFonts w:ascii="Times New Roman" w:hAnsi="Times New Roman" w:cs="Times New Roman"/>
          <w:bCs/>
        </w:rPr>
        <w:t>Order No. 09 of Docket UE-140762, d</w:t>
      </w:r>
      <w:r w:rsidRPr="00250101">
        <w:rPr>
          <w:rFonts w:ascii="Times New Roman" w:hAnsi="Times New Roman" w:cs="Times New Roman"/>
        </w:rPr>
        <w:t xml:space="preserve">eadbands and sharing bands have been reduced by 25 percent to reflect the nine month deferral period.  A typical PCAM deferral period will </w:t>
      </w:r>
      <w:r w:rsidR="0004188A">
        <w:rPr>
          <w:rFonts w:ascii="Times New Roman" w:hAnsi="Times New Roman" w:cs="Times New Roman"/>
        </w:rPr>
        <w:t xml:space="preserve">be </w:t>
      </w:r>
      <w:r w:rsidRPr="00250101">
        <w:rPr>
          <w:rFonts w:ascii="Times New Roman" w:hAnsi="Times New Roman" w:cs="Times New Roman"/>
        </w:rPr>
        <w:t>a calendar year</w:t>
      </w:r>
      <w:r w:rsidR="0004188A">
        <w:rPr>
          <w:rFonts w:ascii="Times New Roman" w:hAnsi="Times New Roman" w:cs="Times New Roman"/>
        </w:rPr>
        <w:t>, with</w:t>
      </w:r>
      <w:r w:rsidRPr="00250101">
        <w:rPr>
          <w:rFonts w:ascii="Times New Roman" w:hAnsi="Times New Roman" w:cs="Times New Roman"/>
        </w:rPr>
        <w:t xml:space="preserve"> deadbands </w:t>
      </w:r>
      <w:r w:rsidR="0004188A">
        <w:rPr>
          <w:rFonts w:ascii="Times New Roman" w:hAnsi="Times New Roman" w:cs="Times New Roman"/>
        </w:rPr>
        <w:t>of</w:t>
      </w:r>
      <w:r w:rsidRPr="00250101">
        <w:rPr>
          <w:rFonts w:ascii="Times New Roman" w:hAnsi="Times New Roman" w:cs="Times New Roman"/>
        </w:rPr>
        <w:t xml:space="preserve"> +/-$4 million and </w:t>
      </w:r>
      <w:r w:rsidR="0004188A">
        <w:rPr>
          <w:rFonts w:ascii="Times New Roman" w:hAnsi="Times New Roman" w:cs="Times New Roman"/>
        </w:rPr>
        <w:t>an</w:t>
      </w:r>
      <w:r w:rsidR="0004188A" w:rsidRPr="00250101">
        <w:rPr>
          <w:rFonts w:ascii="Times New Roman" w:hAnsi="Times New Roman" w:cs="Times New Roman"/>
        </w:rPr>
        <w:t xml:space="preserve"> </w:t>
      </w:r>
      <w:r w:rsidRPr="00250101">
        <w:rPr>
          <w:rFonts w:ascii="Times New Roman" w:hAnsi="Times New Roman" w:cs="Times New Roman"/>
        </w:rPr>
        <w:t xml:space="preserve">upper sharing band limit </w:t>
      </w:r>
      <w:r w:rsidR="0004188A">
        <w:rPr>
          <w:rFonts w:ascii="Times New Roman" w:hAnsi="Times New Roman" w:cs="Times New Roman"/>
        </w:rPr>
        <w:t>of</w:t>
      </w:r>
      <w:r w:rsidRPr="00250101">
        <w:rPr>
          <w:rFonts w:ascii="Times New Roman" w:hAnsi="Times New Roman" w:cs="Times New Roman"/>
        </w:rPr>
        <w:t xml:space="preserve"> +/- $10 million.</w:t>
      </w:r>
    </w:p>
  </w:footnote>
  <w:footnote w:id="3">
    <w:p w14:paraId="6CC45C7B" w14:textId="7DADB2D7" w:rsidR="004F6997" w:rsidRPr="00E40B76" w:rsidRDefault="004F6997" w:rsidP="00250101">
      <w:pPr>
        <w:pStyle w:val="FootnoteText"/>
        <w:rPr>
          <w:rFonts w:ascii="Times New Roman" w:hAnsi="Times New Roman"/>
        </w:rPr>
      </w:pPr>
      <w:r w:rsidRPr="00250101">
        <w:rPr>
          <w:rStyle w:val="FootnoteReference"/>
          <w:rFonts w:ascii="Times New Roman" w:hAnsi="Times New Roman" w:cs="Times New Roman"/>
        </w:rPr>
        <w:footnoteRef/>
      </w:r>
      <w:r w:rsidRPr="00250101">
        <w:rPr>
          <w:rFonts w:ascii="Times New Roman" w:hAnsi="Times New Roman" w:cs="Times New Roman"/>
        </w:rPr>
        <w:t xml:space="preserve"> Confidential workpapers are provided to the Commission </w:t>
      </w:r>
      <w:r>
        <w:rPr>
          <w:rFonts w:ascii="Times New Roman" w:hAnsi="Times New Roman" w:cs="Times New Roman"/>
        </w:rPr>
        <w:t>in accordance with WAC 480-07-160.</w:t>
      </w:r>
    </w:p>
  </w:footnote>
  <w:footnote w:id="4">
    <w:p w14:paraId="6BC99171" w14:textId="4542CA8D" w:rsidR="000F105C" w:rsidRDefault="000F105C">
      <w:pPr>
        <w:pStyle w:val="FootnoteText"/>
      </w:pPr>
      <w:r>
        <w:rPr>
          <w:rStyle w:val="FootnoteReference"/>
        </w:rPr>
        <w:footnoteRef/>
      </w:r>
      <w:r>
        <w:t xml:space="preserve"> </w:t>
      </w:r>
      <w:r w:rsidR="00C05060">
        <w:t>Docket UE-152253, Exhibit No. SEM-6T, Rebuttal Testimony of Shelley E. McCoy, Page 7</w:t>
      </w:r>
      <w:r w:rsidR="0027574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64E9" w14:textId="77777777" w:rsidR="001C1E0A" w:rsidRDefault="001C1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C4791" w14:textId="77777777" w:rsidR="004F6997" w:rsidRDefault="004F6997">
    <w:pPr>
      <w:pStyle w:val="Header"/>
    </w:pPr>
    <w:r>
      <w:t>Washington Utilities and Transportation Commission</w:t>
    </w:r>
  </w:p>
  <w:p w14:paraId="1AC22A51" w14:textId="77777777" w:rsidR="004F6997" w:rsidRDefault="004F6997">
    <w:pPr>
      <w:pStyle w:val="Header"/>
    </w:pPr>
    <w:r>
      <w:t>June 1, 2016</w:t>
    </w:r>
  </w:p>
  <w:p w14:paraId="25DE3873" w14:textId="77777777" w:rsidR="004F6997" w:rsidRDefault="004F6997">
    <w:pPr>
      <w:pStyle w:val="Header"/>
    </w:pPr>
    <w:r>
      <w:t xml:space="preserve">Page </w:t>
    </w:r>
    <w:r>
      <w:fldChar w:fldCharType="begin"/>
    </w:r>
    <w:r>
      <w:instrText xml:space="preserve"> PAGE   \* MERGEFORMAT </w:instrText>
    </w:r>
    <w:r>
      <w:fldChar w:fldCharType="separate"/>
    </w:r>
    <w:r w:rsidR="001C1E0A">
      <w:rPr>
        <w:noProof/>
      </w:rPr>
      <w:t>3</w:t>
    </w:r>
    <w:r>
      <w:rPr>
        <w:noProof/>
      </w:rPr>
      <w:fldChar w:fldCharType="end"/>
    </w:r>
  </w:p>
  <w:p w14:paraId="59285CA5" w14:textId="77777777" w:rsidR="004F6997" w:rsidRDefault="004F6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5CBFD" w14:textId="77777777" w:rsidR="001C1E0A" w:rsidRDefault="001C1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16D"/>
    <w:multiLevelType w:val="hybridMultilevel"/>
    <w:tmpl w:val="FFD6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127DD"/>
    <w:multiLevelType w:val="hybridMultilevel"/>
    <w:tmpl w:val="7D303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4F23C3"/>
    <w:multiLevelType w:val="hybridMultilevel"/>
    <w:tmpl w:val="66EC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741EFD"/>
    <w:multiLevelType w:val="hybridMultilevel"/>
    <w:tmpl w:val="3D2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1665D06"/>
    <w:multiLevelType w:val="hybridMultilevel"/>
    <w:tmpl w:val="D19A7CAA"/>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9">
    <w:nsid w:val="66B746E5"/>
    <w:multiLevelType w:val="hybridMultilevel"/>
    <w:tmpl w:val="C9B6E9C0"/>
    <w:lvl w:ilvl="0" w:tplc="5C882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5A2A37"/>
    <w:multiLevelType w:val="hybridMultilevel"/>
    <w:tmpl w:val="745ED336"/>
    <w:lvl w:ilvl="0" w:tplc="55369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6"/>
  </w:num>
  <w:num w:numId="4">
    <w:abstractNumId w:val="7"/>
  </w:num>
  <w:num w:numId="5">
    <w:abstractNumId w:val="1"/>
  </w:num>
  <w:num w:numId="6">
    <w:abstractNumId w:val="5"/>
  </w:num>
  <w:num w:numId="7">
    <w:abstractNumId w:val="2"/>
  </w:num>
  <w:num w:numId="8">
    <w:abstractNumId w:val="0"/>
  </w:num>
  <w:num w:numId="9">
    <w:abstractNumId w:val="10"/>
  </w:num>
  <w:num w:numId="10">
    <w:abstractNumId w:val="9"/>
  </w:num>
  <w:num w:numId="11">
    <w:abstractNumId w:val="8"/>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ding, Michael">
    <w15:presenceInfo w15:providerId="AD" w15:userId="S-1-5-21-212228197-1033777539-1777607493-159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F8E"/>
    <w:rsid w:val="000078B5"/>
    <w:rsid w:val="000127EA"/>
    <w:rsid w:val="00020467"/>
    <w:rsid w:val="0004188A"/>
    <w:rsid w:val="00056475"/>
    <w:rsid w:val="00056E80"/>
    <w:rsid w:val="00073485"/>
    <w:rsid w:val="00077DDC"/>
    <w:rsid w:val="0008154A"/>
    <w:rsid w:val="00087031"/>
    <w:rsid w:val="00093756"/>
    <w:rsid w:val="000A039D"/>
    <w:rsid w:val="000A1770"/>
    <w:rsid w:val="000A1A56"/>
    <w:rsid w:val="000B3DB4"/>
    <w:rsid w:val="000B679C"/>
    <w:rsid w:val="000D424B"/>
    <w:rsid w:val="000D6421"/>
    <w:rsid w:val="000D6661"/>
    <w:rsid w:val="000E52A3"/>
    <w:rsid w:val="000F105C"/>
    <w:rsid w:val="001028F3"/>
    <w:rsid w:val="0010419F"/>
    <w:rsid w:val="00104940"/>
    <w:rsid w:val="00105330"/>
    <w:rsid w:val="00120ED6"/>
    <w:rsid w:val="0012245B"/>
    <w:rsid w:val="00123F98"/>
    <w:rsid w:val="00146750"/>
    <w:rsid w:val="00153ADF"/>
    <w:rsid w:val="001544F1"/>
    <w:rsid w:val="00155569"/>
    <w:rsid w:val="001608C7"/>
    <w:rsid w:val="00161A49"/>
    <w:rsid w:val="0017049D"/>
    <w:rsid w:val="001711C6"/>
    <w:rsid w:val="001810B6"/>
    <w:rsid w:val="00184DEC"/>
    <w:rsid w:val="001867CD"/>
    <w:rsid w:val="00194B73"/>
    <w:rsid w:val="001A0E4F"/>
    <w:rsid w:val="001A1AAA"/>
    <w:rsid w:val="001A4074"/>
    <w:rsid w:val="001B5731"/>
    <w:rsid w:val="001C03CC"/>
    <w:rsid w:val="001C116B"/>
    <w:rsid w:val="001C1E0A"/>
    <w:rsid w:val="001D1F5B"/>
    <w:rsid w:val="001D3F1E"/>
    <w:rsid w:val="001D5E3E"/>
    <w:rsid w:val="001E5191"/>
    <w:rsid w:val="001E707A"/>
    <w:rsid w:val="001E7A07"/>
    <w:rsid w:val="001F2ACC"/>
    <w:rsid w:val="001F2C66"/>
    <w:rsid w:val="001F666C"/>
    <w:rsid w:val="0020053B"/>
    <w:rsid w:val="002023C3"/>
    <w:rsid w:val="00204C32"/>
    <w:rsid w:val="002115A0"/>
    <w:rsid w:val="00223901"/>
    <w:rsid w:val="0023742A"/>
    <w:rsid w:val="00245893"/>
    <w:rsid w:val="00246066"/>
    <w:rsid w:val="00247A75"/>
    <w:rsid w:val="00250101"/>
    <w:rsid w:val="00256D1D"/>
    <w:rsid w:val="0026251F"/>
    <w:rsid w:val="00264351"/>
    <w:rsid w:val="002732B3"/>
    <w:rsid w:val="00275748"/>
    <w:rsid w:val="00294D95"/>
    <w:rsid w:val="00295285"/>
    <w:rsid w:val="002A3819"/>
    <w:rsid w:val="002A5F22"/>
    <w:rsid w:val="002B6E29"/>
    <w:rsid w:val="002C4FF5"/>
    <w:rsid w:val="002C5379"/>
    <w:rsid w:val="002D4A34"/>
    <w:rsid w:val="002D4B38"/>
    <w:rsid w:val="002D558C"/>
    <w:rsid w:val="002D566A"/>
    <w:rsid w:val="002E2100"/>
    <w:rsid w:val="0030206E"/>
    <w:rsid w:val="00322750"/>
    <w:rsid w:val="00324462"/>
    <w:rsid w:val="00335C2D"/>
    <w:rsid w:val="00336116"/>
    <w:rsid w:val="003529A2"/>
    <w:rsid w:val="0036142F"/>
    <w:rsid w:val="00362362"/>
    <w:rsid w:val="0036415C"/>
    <w:rsid w:val="00366C58"/>
    <w:rsid w:val="003725D8"/>
    <w:rsid w:val="00373D33"/>
    <w:rsid w:val="00385EC8"/>
    <w:rsid w:val="003953C1"/>
    <w:rsid w:val="003B2223"/>
    <w:rsid w:val="003B4FD5"/>
    <w:rsid w:val="003C06E2"/>
    <w:rsid w:val="003C0961"/>
    <w:rsid w:val="003C2E6D"/>
    <w:rsid w:val="003C3A72"/>
    <w:rsid w:val="003D1750"/>
    <w:rsid w:val="003D4C3A"/>
    <w:rsid w:val="003F1BF1"/>
    <w:rsid w:val="003F46BF"/>
    <w:rsid w:val="00401389"/>
    <w:rsid w:val="00406824"/>
    <w:rsid w:val="00415673"/>
    <w:rsid w:val="00416F66"/>
    <w:rsid w:val="004251F1"/>
    <w:rsid w:val="00427F34"/>
    <w:rsid w:val="00430A5B"/>
    <w:rsid w:val="00433F8F"/>
    <w:rsid w:val="00444015"/>
    <w:rsid w:val="004519DE"/>
    <w:rsid w:val="00460A86"/>
    <w:rsid w:val="00461F6B"/>
    <w:rsid w:val="00465CD0"/>
    <w:rsid w:val="004665FF"/>
    <w:rsid w:val="004703DE"/>
    <w:rsid w:val="004757EC"/>
    <w:rsid w:val="004864BC"/>
    <w:rsid w:val="00490EF1"/>
    <w:rsid w:val="004912AA"/>
    <w:rsid w:val="004A2CB1"/>
    <w:rsid w:val="004B6416"/>
    <w:rsid w:val="004C0652"/>
    <w:rsid w:val="004E21BD"/>
    <w:rsid w:val="004F2A17"/>
    <w:rsid w:val="004F6997"/>
    <w:rsid w:val="005032F4"/>
    <w:rsid w:val="00512797"/>
    <w:rsid w:val="005150AB"/>
    <w:rsid w:val="005333D1"/>
    <w:rsid w:val="0054156C"/>
    <w:rsid w:val="005449A4"/>
    <w:rsid w:val="0055510F"/>
    <w:rsid w:val="005568EB"/>
    <w:rsid w:val="00567B61"/>
    <w:rsid w:val="00570932"/>
    <w:rsid w:val="005809A3"/>
    <w:rsid w:val="005B5656"/>
    <w:rsid w:val="005C1D31"/>
    <w:rsid w:val="005C7B60"/>
    <w:rsid w:val="005D0D90"/>
    <w:rsid w:val="005D31B6"/>
    <w:rsid w:val="005E04FE"/>
    <w:rsid w:val="005E4534"/>
    <w:rsid w:val="005F5ED7"/>
    <w:rsid w:val="00601AAB"/>
    <w:rsid w:val="00602D96"/>
    <w:rsid w:val="00607AC6"/>
    <w:rsid w:val="006256E3"/>
    <w:rsid w:val="0062691B"/>
    <w:rsid w:val="0063012A"/>
    <w:rsid w:val="00630B8F"/>
    <w:rsid w:val="00630E32"/>
    <w:rsid w:val="00630EFC"/>
    <w:rsid w:val="0063561C"/>
    <w:rsid w:val="00635EE3"/>
    <w:rsid w:val="006520FD"/>
    <w:rsid w:val="006545EE"/>
    <w:rsid w:val="00654CBD"/>
    <w:rsid w:val="006657F4"/>
    <w:rsid w:val="00673B1F"/>
    <w:rsid w:val="006768B8"/>
    <w:rsid w:val="006811E3"/>
    <w:rsid w:val="0069250E"/>
    <w:rsid w:val="00693620"/>
    <w:rsid w:val="006970F0"/>
    <w:rsid w:val="006A05BF"/>
    <w:rsid w:val="006A47C5"/>
    <w:rsid w:val="006C1C62"/>
    <w:rsid w:val="006C4A31"/>
    <w:rsid w:val="006D0410"/>
    <w:rsid w:val="006D5815"/>
    <w:rsid w:val="006E0B27"/>
    <w:rsid w:val="006E26AB"/>
    <w:rsid w:val="006F4A8B"/>
    <w:rsid w:val="006F4C3F"/>
    <w:rsid w:val="00707CB4"/>
    <w:rsid w:val="0071709D"/>
    <w:rsid w:val="00717DB4"/>
    <w:rsid w:val="00725C62"/>
    <w:rsid w:val="00726CC1"/>
    <w:rsid w:val="00736C33"/>
    <w:rsid w:val="00740321"/>
    <w:rsid w:val="007557AB"/>
    <w:rsid w:val="00761271"/>
    <w:rsid w:val="00761853"/>
    <w:rsid w:val="00761CD2"/>
    <w:rsid w:val="007644B8"/>
    <w:rsid w:val="00765236"/>
    <w:rsid w:val="00765F30"/>
    <w:rsid w:val="0077075F"/>
    <w:rsid w:val="00786A19"/>
    <w:rsid w:val="00797F5A"/>
    <w:rsid w:val="007A1865"/>
    <w:rsid w:val="007A2B12"/>
    <w:rsid w:val="007B291D"/>
    <w:rsid w:val="007B7BE5"/>
    <w:rsid w:val="007D1902"/>
    <w:rsid w:val="007D4D94"/>
    <w:rsid w:val="007D7BC6"/>
    <w:rsid w:val="007E22BC"/>
    <w:rsid w:val="007E2AA1"/>
    <w:rsid w:val="007E5F59"/>
    <w:rsid w:val="007E7BD7"/>
    <w:rsid w:val="00800B4E"/>
    <w:rsid w:val="00813422"/>
    <w:rsid w:val="0081496A"/>
    <w:rsid w:val="00816E57"/>
    <w:rsid w:val="00820B1C"/>
    <w:rsid w:val="008256E3"/>
    <w:rsid w:val="00830EE8"/>
    <w:rsid w:val="0083371F"/>
    <w:rsid w:val="00846DFE"/>
    <w:rsid w:val="00855EAC"/>
    <w:rsid w:val="00856D02"/>
    <w:rsid w:val="00862F65"/>
    <w:rsid w:val="00874DFF"/>
    <w:rsid w:val="00875C27"/>
    <w:rsid w:val="008806A0"/>
    <w:rsid w:val="00881054"/>
    <w:rsid w:val="00884EE8"/>
    <w:rsid w:val="008934E9"/>
    <w:rsid w:val="008A048F"/>
    <w:rsid w:val="008A6AD9"/>
    <w:rsid w:val="008C38C2"/>
    <w:rsid w:val="008C5B1F"/>
    <w:rsid w:val="008D22F5"/>
    <w:rsid w:val="008E5EB7"/>
    <w:rsid w:val="008E6FB7"/>
    <w:rsid w:val="008F5112"/>
    <w:rsid w:val="00902A86"/>
    <w:rsid w:val="009100EA"/>
    <w:rsid w:val="00910441"/>
    <w:rsid w:val="009115EE"/>
    <w:rsid w:val="00921099"/>
    <w:rsid w:val="009238EF"/>
    <w:rsid w:val="009273DE"/>
    <w:rsid w:val="0093083A"/>
    <w:rsid w:val="00932772"/>
    <w:rsid w:val="0094413D"/>
    <w:rsid w:val="0094745D"/>
    <w:rsid w:val="00953370"/>
    <w:rsid w:val="00964072"/>
    <w:rsid w:val="009719A3"/>
    <w:rsid w:val="00980616"/>
    <w:rsid w:val="00984DE0"/>
    <w:rsid w:val="00985F57"/>
    <w:rsid w:val="00986B57"/>
    <w:rsid w:val="00990199"/>
    <w:rsid w:val="009A7E4D"/>
    <w:rsid w:val="009B187B"/>
    <w:rsid w:val="009B2806"/>
    <w:rsid w:val="009B35AF"/>
    <w:rsid w:val="009B430E"/>
    <w:rsid w:val="009B4F02"/>
    <w:rsid w:val="009B6768"/>
    <w:rsid w:val="009C778E"/>
    <w:rsid w:val="009D7379"/>
    <w:rsid w:val="009E2BC0"/>
    <w:rsid w:val="009E4426"/>
    <w:rsid w:val="009F1DA9"/>
    <w:rsid w:val="009F266E"/>
    <w:rsid w:val="00A00F2B"/>
    <w:rsid w:val="00A046E4"/>
    <w:rsid w:val="00A165B3"/>
    <w:rsid w:val="00A3312F"/>
    <w:rsid w:val="00A37497"/>
    <w:rsid w:val="00A73B8D"/>
    <w:rsid w:val="00A76DD3"/>
    <w:rsid w:val="00A82A56"/>
    <w:rsid w:val="00A86A08"/>
    <w:rsid w:val="00A94D36"/>
    <w:rsid w:val="00AA6891"/>
    <w:rsid w:val="00AB6B55"/>
    <w:rsid w:val="00AC175E"/>
    <w:rsid w:val="00AC5065"/>
    <w:rsid w:val="00AC713D"/>
    <w:rsid w:val="00AD525E"/>
    <w:rsid w:val="00AD5E3D"/>
    <w:rsid w:val="00AE3851"/>
    <w:rsid w:val="00AF2F9F"/>
    <w:rsid w:val="00AF35A9"/>
    <w:rsid w:val="00AF4DE3"/>
    <w:rsid w:val="00AF75D1"/>
    <w:rsid w:val="00B05CE1"/>
    <w:rsid w:val="00B32FF3"/>
    <w:rsid w:val="00B37839"/>
    <w:rsid w:val="00B428AA"/>
    <w:rsid w:val="00B44A3F"/>
    <w:rsid w:val="00B44C2F"/>
    <w:rsid w:val="00B45451"/>
    <w:rsid w:val="00B52BFA"/>
    <w:rsid w:val="00B7372B"/>
    <w:rsid w:val="00B74533"/>
    <w:rsid w:val="00B95E36"/>
    <w:rsid w:val="00BA4CEE"/>
    <w:rsid w:val="00BC61BC"/>
    <w:rsid w:val="00BC716A"/>
    <w:rsid w:val="00BD156B"/>
    <w:rsid w:val="00BD22FD"/>
    <w:rsid w:val="00BD3612"/>
    <w:rsid w:val="00C01F07"/>
    <w:rsid w:val="00C02FB1"/>
    <w:rsid w:val="00C05060"/>
    <w:rsid w:val="00C05C76"/>
    <w:rsid w:val="00C17024"/>
    <w:rsid w:val="00C20FF6"/>
    <w:rsid w:val="00C219B7"/>
    <w:rsid w:val="00C456C2"/>
    <w:rsid w:val="00C50380"/>
    <w:rsid w:val="00C52A4A"/>
    <w:rsid w:val="00C559C9"/>
    <w:rsid w:val="00C56CB3"/>
    <w:rsid w:val="00C64F06"/>
    <w:rsid w:val="00C66AEE"/>
    <w:rsid w:val="00C76B10"/>
    <w:rsid w:val="00C772C9"/>
    <w:rsid w:val="00C8212F"/>
    <w:rsid w:val="00C862FC"/>
    <w:rsid w:val="00C90214"/>
    <w:rsid w:val="00C9042D"/>
    <w:rsid w:val="00CA03E0"/>
    <w:rsid w:val="00CA1CAD"/>
    <w:rsid w:val="00CA3520"/>
    <w:rsid w:val="00CA3572"/>
    <w:rsid w:val="00CB7DAC"/>
    <w:rsid w:val="00CD240F"/>
    <w:rsid w:val="00CD6601"/>
    <w:rsid w:val="00CE3E12"/>
    <w:rsid w:val="00D0390D"/>
    <w:rsid w:val="00D119CC"/>
    <w:rsid w:val="00D16840"/>
    <w:rsid w:val="00D16AF8"/>
    <w:rsid w:val="00D1787B"/>
    <w:rsid w:val="00D2376B"/>
    <w:rsid w:val="00D5568D"/>
    <w:rsid w:val="00D55973"/>
    <w:rsid w:val="00D57F9B"/>
    <w:rsid w:val="00D604AC"/>
    <w:rsid w:val="00D71FA8"/>
    <w:rsid w:val="00D72C2E"/>
    <w:rsid w:val="00D73BE9"/>
    <w:rsid w:val="00D7512F"/>
    <w:rsid w:val="00D9430E"/>
    <w:rsid w:val="00D9496C"/>
    <w:rsid w:val="00DA1474"/>
    <w:rsid w:val="00DA348C"/>
    <w:rsid w:val="00DA3AED"/>
    <w:rsid w:val="00DD09AC"/>
    <w:rsid w:val="00DD1D88"/>
    <w:rsid w:val="00DD322E"/>
    <w:rsid w:val="00DD5BAC"/>
    <w:rsid w:val="00DE5801"/>
    <w:rsid w:val="00DE723C"/>
    <w:rsid w:val="00DF610A"/>
    <w:rsid w:val="00DF786C"/>
    <w:rsid w:val="00E03255"/>
    <w:rsid w:val="00E10ABB"/>
    <w:rsid w:val="00E204F2"/>
    <w:rsid w:val="00E23A03"/>
    <w:rsid w:val="00E24619"/>
    <w:rsid w:val="00E25622"/>
    <w:rsid w:val="00E27A65"/>
    <w:rsid w:val="00E27ABE"/>
    <w:rsid w:val="00E30A0E"/>
    <w:rsid w:val="00E32459"/>
    <w:rsid w:val="00E340E8"/>
    <w:rsid w:val="00E41497"/>
    <w:rsid w:val="00E5529C"/>
    <w:rsid w:val="00E55B22"/>
    <w:rsid w:val="00E60AA9"/>
    <w:rsid w:val="00E61028"/>
    <w:rsid w:val="00E648C5"/>
    <w:rsid w:val="00E67AF3"/>
    <w:rsid w:val="00E76F0B"/>
    <w:rsid w:val="00E80FA5"/>
    <w:rsid w:val="00E8112C"/>
    <w:rsid w:val="00E82305"/>
    <w:rsid w:val="00E927DA"/>
    <w:rsid w:val="00E9388C"/>
    <w:rsid w:val="00E96C13"/>
    <w:rsid w:val="00EA38AA"/>
    <w:rsid w:val="00EA44CE"/>
    <w:rsid w:val="00EB2F1F"/>
    <w:rsid w:val="00EC13EE"/>
    <w:rsid w:val="00EC1407"/>
    <w:rsid w:val="00ED3559"/>
    <w:rsid w:val="00ED434E"/>
    <w:rsid w:val="00EE137D"/>
    <w:rsid w:val="00EE1FC0"/>
    <w:rsid w:val="00EE36D3"/>
    <w:rsid w:val="00EF0CF7"/>
    <w:rsid w:val="00EF1147"/>
    <w:rsid w:val="00EF219F"/>
    <w:rsid w:val="00F01887"/>
    <w:rsid w:val="00F050E2"/>
    <w:rsid w:val="00F1164B"/>
    <w:rsid w:val="00F179BA"/>
    <w:rsid w:val="00F3529F"/>
    <w:rsid w:val="00F35A44"/>
    <w:rsid w:val="00F4002C"/>
    <w:rsid w:val="00F464A6"/>
    <w:rsid w:val="00F5586E"/>
    <w:rsid w:val="00F61C4F"/>
    <w:rsid w:val="00F61D02"/>
    <w:rsid w:val="00F61DB3"/>
    <w:rsid w:val="00F631C6"/>
    <w:rsid w:val="00F63A42"/>
    <w:rsid w:val="00F6564A"/>
    <w:rsid w:val="00F74831"/>
    <w:rsid w:val="00FA61BD"/>
    <w:rsid w:val="00FC1B0A"/>
    <w:rsid w:val="00FD4C33"/>
    <w:rsid w:val="00FE5AC5"/>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0417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rsid w:val="00964072"/>
    <w:rPr>
      <w:rFonts w:cs="Times"/>
      <w:sz w:val="20"/>
    </w:rPr>
  </w:style>
  <w:style w:type="character" w:customStyle="1" w:styleId="FootnoteTextChar">
    <w:name w:val="Footnote Text Char"/>
    <w:basedOn w:val="DefaultParagraphFont"/>
    <w:link w:val="FootnoteText"/>
    <w:rsid w:val="00964072"/>
    <w:rPr>
      <w:rFonts w:cs="Times"/>
    </w:rPr>
  </w:style>
  <w:style w:type="character" w:styleId="FootnoteReference">
    <w:name w:val="footnote reference"/>
    <w:basedOn w:val="DefaultParagraphFont"/>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34"/>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rsid w:val="00964072"/>
    <w:rPr>
      <w:rFonts w:cs="Times"/>
      <w:sz w:val="20"/>
    </w:rPr>
  </w:style>
  <w:style w:type="character" w:customStyle="1" w:styleId="FootnoteTextChar">
    <w:name w:val="Footnote Text Char"/>
    <w:basedOn w:val="DefaultParagraphFont"/>
    <w:link w:val="FootnoteText"/>
    <w:rsid w:val="00964072"/>
    <w:rPr>
      <w:rFonts w:cs="Times"/>
    </w:rPr>
  </w:style>
  <w:style w:type="character" w:styleId="FootnoteReference">
    <w:name w:val="footnote reference"/>
    <w:basedOn w:val="DefaultParagraphFont"/>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34"/>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395">
      <w:bodyDiv w:val="1"/>
      <w:marLeft w:val="0"/>
      <w:marRight w:val="0"/>
      <w:marTop w:val="0"/>
      <w:marBottom w:val="0"/>
      <w:divBdr>
        <w:top w:val="none" w:sz="0" w:space="0" w:color="auto"/>
        <w:left w:val="none" w:sz="0" w:space="0" w:color="auto"/>
        <w:bottom w:val="none" w:sz="0" w:space="0" w:color="auto"/>
        <w:right w:val="none" w:sz="0" w:space="0" w:color="auto"/>
      </w:divBdr>
    </w:div>
    <w:div w:id="272785454">
      <w:bodyDiv w:val="1"/>
      <w:marLeft w:val="0"/>
      <w:marRight w:val="0"/>
      <w:marTop w:val="0"/>
      <w:marBottom w:val="0"/>
      <w:divBdr>
        <w:top w:val="none" w:sz="0" w:space="0" w:color="auto"/>
        <w:left w:val="none" w:sz="0" w:space="0" w:color="auto"/>
        <w:bottom w:val="none" w:sz="0" w:space="0" w:color="auto"/>
        <w:right w:val="none" w:sz="0" w:space="0" w:color="auto"/>
      </w:divBdr>
    </w:div>
    <w:div w:id="484013227">
      <w:bodyDiv w:val="1"/>
      <w:marLeft w:val="0"/>
      <w:marRight w:val="0"/>
      <w:marTop w:val="0"/>
      <w:marBottom w:val="0"/>
      <w:divBdr>
        <w:top w:val="none" w:sz="0" w:space="0" w:color="auto"/>
        <w:left w:val="none" w:sz="0" w:space="0" w:color="auto"/>
        <w:bottom w:val="none" w:sz="0" w:space="0" w:color="auto"/>
        <w:right w:val="none" w:sz="0" w:space="0" w:color="auto"/>
      </w:divBdr>
    </w:div>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atarequest@pacificorp.com" TargetMode="External"/><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EFA19844A8FB4A889BA5FFC36CCB9E" ma:contentTypeVersion="104" ma:contentTypeDescription="" ma:contentTypeScope="" ma:versionID="055111f7702f5f641ff4cb01575ae5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2016-06-01T07:00:00+00:00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8F72C9-AA30-4085-B044-99D9C71BD715}"/>
</file>

<file path=customXml/itemProps2.xml><?xml version="1.0" encoding="utf-8"?>
<ds:datastoreItem xmlns:ds="http://schemas.openxmlformats.org/officeDocument/2006/customXml" ds:itemID="{0AB91A5D-72C4-4A4B-BF1B-31BC7F87A9C5}"/>
</file>

<file path=customXml/itemProps3.xml><?xml version="1.0" encoding="utf-8"?>
<ds:datastoreItem xmlns:ds="http://schemas.openxmlformats.org/officeDocument/2006/customXml" ds:itemID="{F2D90551-81E3-49FB-83C9-8C0C88F23BD1}"/>
</file>

<file path=customXml/itemProps4.xml><?xml version="1.0" encoding="utf-8"?>
<ds:datastoreItem xmlns:ds="http://schemas.openxmlformats.org/officeDocument/2006/customXml" ds:itemID="{3F62220D-7031-4A67-B907-FA40F6FD26FA}"/>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4799</Characters>
  <Application>Microsoft Office Word</Application>
  <DocSecurity>0</DocSecurity>
  <Lines>39</Lines>
  <Paragraphs>11</Paragraphs>
  <ScaleCrop>false</ScaleCrop>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2016-06-01T20:17:00Z</dcterms:created>
  <dcterms:modified xsi:type="dcterms:W3CDTF">2016-06-01T20:17:00Z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0x0101006E56B4D1795A2E4DB2F0B01679ED314A0053EFA19844A8FB4A889BA5FFC36CCB9E</vt:lpwstr>
  </property>
  <property fmtid="{D5CDD505-2E9C-101B-9397-08002B2CF9AE}" pid="4" name="_docset_NoMedatataSyncRequired">
    <vt:lpwstr>False</vt:lpwstr>
  </property>
</Properties>
</file>