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0494" w14:textId="77777777" w:rsidR="00472958" w:rsidRDefault="00472958" w:rsidP="0004025A">
      <w:pPr>
        <w:ind w:left="1440" w:right="1530"/>
        <w:jc w:val="center"/>
        <w:rPr>
          <w:b/>
          <w:bCs/>
        </w:rPr>
      </w:pPr>
      <w:bookmarkStart w:id="0" w:name="_GoBack"/>
      <w:bookmarkEnd w:id="0"/>
    </w:p>
    <w:p w14:paraId="6DD60495" w14:textId="77777777" w:rsidR="00472958" w:rsidRDefault="00472958" w:rsidP="0004025A">
      <w:pPr>
        <w:ind w:left="1440" w:right="1530"/>
        <w:jc w:val="center"/>
        <w:rPr>
          <w:b/>
          <w:bCs/>
        </w:rPr>
      </w:pPr>
    </w:p>
    <w:p w14:paraId="6DD60496" w14:textId="77777777" w:rsidR="00472958" w:rsidRDefault="00472958" w:rsidP="0004025A">
      <w:pPr>
        <w:ind w:left="1440" w:right="1530"/>
        <w:jc w:val="center"/>
        <w:rPr>
          <w:b/>
          <w:bCs/>
        </w:rPr>
      </w:pPr>
    </w:p>
    <w:p w14:paraId="6DD60497" w14:textId="3E91A468" w:rsidR="00EF26F1" w:rsidRPr="00A75F72" w:rsidRDefault="00F93115" w:rsidP="0004025A">
      <w:pPr>
        <w:ind w:left="1440" w:right="1530"/>
        <w:jc w:val="center"/>
        <w:rPr>
          <w:b/>
          <w:bCs/>
        </w:rPr>
      </w:pPr>
      <w:r w:rsidRPr="00A75F72">
        <w:rPr>
          <w:b/>
          <w:bCs/>
        </w:rPr>
        <w:t>Desert Canyon Utility Company</w:t>
      </w:r>
    </w:p>
    <w:p w14:paraId="6DD60498" w14:textId="6ED8CB98" w:rsidR="00967F53" w:rsidRPr="00A75F72" w:rsidRDefault="00481D69" w:rsidP="00D43E83">
      <w:pPr>
        <w:jc w:val="center"/>
        <w:rPr>
          <w:b/>
          <w:bCs/>
        </w:rPr>
      </w:pPr>
      <w:r w:rsidRPr="00A75F72">
        <w:rPr>
          <w:b/>
          <w:bCs/>
        </w:rPr>
        <w:t>1227 1</w:t>
      </w:r>
      <w:r w:rsidRPr="00A75F72">
        <w:rPr>
          <w:b/>
          <w:bCs/>
          <w:vertAlign w:val="superscript"/>
        </w:rPr>
        <w:t>st</w:t>
      </w:r>
      <w:r w:rsidRPr="00A75F72">
        <w:rPr>
          <w:b/>
          <w:bCs/>
        </w:rPr>
        <w:t xml:space="preserve"> St.</w:t>
      </w:r>
    </w:p>
    <w:p w14:paraId="6DD60499" w14:textId="213B68B3" w:rsidR="00EF26F1" w:rsidRPr="00A75F72" w:rsidRDefault="00D43E83" w:rsidP="00D43E83">
      <w:pPr>
        <w:jc w:val="center"/>
        <w:rPr>
          <w:b/>
          <w:bCs/>
        </w:rPr>
      </w:pPr>
      <w:r w:rsidRPr="00A75F72">
        <w:rPr>
          <w:b/>
          <w:bCs/>
        </w:rPr>
        <w:t xml:space="preserve">  </w:t>
      </w:r>
      <w:r w:rsidR="00481D69" w:rsidRPr="00A75F72">
        <w:rPr>
          <w:b/>
          <w:bCs/>
        </w:rPr>
        <w:t>Wenatchee, WA 98801</w:t>
      </w:r>
    </w:p>
    <w:p w14:paraId="6DD6049A" w14:textId="55EEB2F6" w:rsidR="00EF26F1" w:rsidRPr="00A75F72" w:rsidRDefault="006C624C">
      <w:pPr>
        <w:jc w:val="center"/>
        <w:rPr>
          <w:b/>
          <w:bCs/>
        </w:rPr>
      </w:pPr>
      <w:r w:rsidRPr="00A75F72">
        <w:rPr>
          <w:b/>
          <w:bCs/>
        </w:rPr>
        <w:t>(</w:t>
      </w:r>
      <w:r w:rsidR="00481D69" w:rsidRPr="00A75F72">
        <w:rPr>
          <w:b/>
          <w:bCs/>
        </w:rPr>
        <w:t>509) 264-1882</w:t>
      </w:r>
    </w:p>
    <w:p w14:paraId="6DD6049B" w14:textId="3BFB8AC3" w:rsidR="004E3C45" w:rsidRPr="00A75F72" w:rsidRDefault="00481D69">
      <w:pPr>
        <w:jc w:val="center"/>
        <w:rPr>
          <w:b/>
          <w:bCs/>
        </w:rPr>
      </w:pPr>
      <w:r w:rsidRPr="00A75F72">
        <w:rPr>
          <w:b/>
          <w:bCs/>
        </w:rPr>
        <w:t>markp@nwi.net</w:t>
      </w:r>
    </w:p>
    <w:p w14:paraId="6DD6049C" w14:textId="77777777" w:rsidR="007F6446" w:rsidRPr="00A75F72" w:rsidRDefault="007F6446" w:rsidP="00D43E83">
      <w:pPr>
        <w:rPr>
          <w:b/>
          <w:bCs/>
        </w:rPr>
      </w:pPr>
    </w:p>
    <w:p w14:paraId="6DD6049D" w14:textId="77777777" w:rsidR="007F6446" w:rsidRPr="00A75F72" w:rsidRDefault="007F6446">
      <w:pPr>
        <w:jc w:val="center"/>
        <w:rPr>
          <w:b/>
          <w:bCs/>
          <w:u w:val="single"/>
        </w:rPr>
      </w:pPr>
      <w:r w:rsidRPr="00A75F72">
        <w:rPr>
          <w:b/>
          <w:bCs/>
          <w:u w:val="single"/>
        </w:rPr>
        <w:t>NOTICE OF RATE INCREASE</w:t>
      </w:r>
    </w:p>
    <w:p w14:paraId="6DD6049E" w14:textId="153E5719" w:rsidR="007F6446" w:rsidRPr="00A75F72" w:rsidRDefault="00BE1744" w:rsidP="007F6446">
      <w:pPr>
        <w:jc w:val="center"/>
      </w:pPr>
      <w:r w:rsidRPr="00A75F72">
        <w:t>April 30</w:t>
      </w:r>
      <w:r w:rsidR="00481D69" w:rsidRPr="00A75F72">
        <w:t>, 2016</w:t>
      </w:r>
    </w:p>
    <w:p w14:paraId="6DD6049F" w14:textId="77777777" w:rsidR="00D43E83" w:rsidRPr="00A75F72" w:rsidRDefault="00D43E83" w:rsidP="0004025A">
      <w:pPr>
        <w:ind w:left="1440" w:right="1530"/>
        <w:rPr>
          <w:rStyle w:val="Emphasis"/>
          <w:i w:val="0"/>
        </w:rPr>
      </w:pPr>
    </w:p>
    <w:p w14:paraId="6DD604A3" w14:textId="3474F939" w:rsidR="00AC74B6" w:rsidRPr="00A75F72" w:rsidRDefault="00481D69" w:rsidP="0004025A">
      <w:pPr>
        <w:ind w:left="1440" w:right="1530"/>
        <w:rPr>
          <w:rStyle w:val="Emphasis"/>
          <w:i w:val="0"/>
        </w:rPr>
      </w:pPr>
      <w:r w:rsidRPr="00A75F72">
        <w:rPr>
          <w:rStyle w:val="Emphasis"/>
          <w:i w:val="0"/>
        </w:rPr>
        <w:t>Desert Canyon Utility Company</w:t>
      </w:r>
      <w:r w:rsidR="00D918B1" w:rsidRPr="00A75F72">
        <w:rPr>
          <w:rStyle w:val="Emphasis"/>
          <w:i w:val="0"/>
        </w:rPr>
        <w:t xml:space="preserve"> </w:t>
      </w:r>
      <w:r w:rsidRPr="00A75F72">
        <w:rPr>
          <w:rStyle w:val="Emphasis"/>
          <w:i w:val="0"/>
        </w:rPr>
        <w:t>(DCUC)</w:t>
      </w:r>
      <w:r w:rsidR="00125BC1">
        <w:rPr>
          <w:rStyle w:val="Emphasis"/>
          <w:i w:val="0"/>
        </w:rPr>
        <w:t xml:space="preserve"> </w:t>
      </w:r>
      <w:r w:rsidR="00AC74B6" w:rsidRPr="00A75F72">
        <w:rPr>
          <w:rStyle w:val="Emphasis"/>
          <w:i w:val="0"/>
        </w:rPr>
        <w:t xml:space="preserve">has filed for approval from the Washington </w:t>
      </w:r>
      <w:r w:rsidR="00E4170C" w:rsidRPr="00A75F72">
        <w:rPr>
          <w:rStyle w:val="Emphasis"/>
          <w:i w:val="0"/>
        </w:rPr>
        <w:t xml:space="preserve">Utilities </w:t>
      </w:r>
      <w:r w:rsidR="00AC74B6" w:rsidRPr="00A75F72">
        <w:rPr>
          <w:rStyle w:val="Emphasis"/>
          <w:i w:val="0"/>
        </w:rPr>
        <w:t xml:space="preserve">and </w:t>
      </w:r>
      <w:r w:rsidR="00E4170C" w:rsidRPr="00A75F72">
        <w:rPr>
          <w:rStyle w:val="Emphasis"/>
          <w:i w:val="0"/>
        </w:rPr>
        <w:t xml:space="preserve">Transportation Commission </w:t>
      </w:r>
      <w:r w:rsidRPr="00A75F72">
        <w:rPr>
          <w:rStyle w:val="Emphasis"/>
          <w:i w:val="0"/>
        </w:rPr>
        <w:t>(C</w:t>
      </w:r>
      <w:r w:rsidR="000D1DE0" w:rsidRPr="00A75F72">
        <w:rPr>
          <w:rStyle w:val="Emphasis"/>
          <w:i w:val="0"/>
        </w:rPr>
        <w:t xml:space="preserve">ommission) </w:t>
      </w:r>
      <w:r w:rsidR="00AC74B6" w:rsidRPr="00A75F72">
        <w:rPr>
          <w:rStyle w:val="Emphasis"/>
          <w:i w:val="0"/>
        </w:rPr>
        <w:t xml:space="preserve">to increase rates </w:t>
      </w:r>
      <w:r w:rsidR="00070124" w:rsidRPr="00A75F72">
        <w:rPr>
          <w:rStyle w:val="Emphasis"/>
          <w:i w:val="0"/>
        </w:rPr>
        <w:t>by</w:t>
      </w:r>
      <w:r w:rsidR="000D1DE0" w:rsidRPr="00A75F72">
        <w:rPr>
          <w:rStyle w:val="Emphasis"/>
          <w:i w:val="0"/>
        </w:rPr>
        <w:t xml:space="preserve"> </w:t>
      </w:r>
      <w:r w:rsidR="00B31214" w:rsidRPr="00A75F72">
        <w:rPr>
          <w:rStyle w:val="Emphasis"/>
          <w:i w:val="0"/>
        </w:rPr>
        <w:t xml:space="preserve">approximately </w:t>
      </w:r>
      <w:r w:rsidR="0004025A" w:rsidRPr="00A75F72">
        <w:rPr>
          <w:rStyle w:val="Emphasis"/>
          <w:i w:val="0"/>
        </w:rPr>
        <w:t>$</w:t>
      </w:r>
      <w:r w:rsidR="00A43CD0">
        <w:rPr>
          <w:rStyle w:val="Emphasis"/>
          <w:i w:val="0"/>
        </w:rPr>
        <w:t>65</w:t>
      </w:r>
      <w:r w:rsidR="00B31214" w:rsidRPr="00A75F72">
        <w:rPr>
          <w:rStyle w:val="Emphasis"/>
          <w:i w:val="0"/>
        </w:rPr>
        <w:t>,</w:t>
      </w:r>
      <w:r w:rsidR="00A43CD0">
        <w:rPr>
          <w:rStyle w:val="Emphasis"/>
          <w:i w:val="0"/>
        </w:rPr>
        <w:t>5</w:t>
      </w:r>
      <w:r w:rsidR="00B31214" w:rsidRPr="00A75F72">
        <w:rPr>
          <w:rStyle w:val="Emphasis"/>
          <w:i w:val="0"/>
        </w:rPr>
        <w:t>00.00</w:t>
      </w:r>
      <w:r w:rsidR="009A499F" w:rsidRPr="00A75F72">
        <w:rPr>
          <w:rStyle w:val="Emphasis"/>
          <w:i w:val="0"/>
        </w:rPr>
        <w:t xml:space="preserve"> </w:t>
      </w:r>
      <w:r w:rsidR="00E31D22" w:rsidRPr="00A75F72">
        <w:rPr>
          <w:rStyle w:val="Emphasis"/>
          <w:i w:val="0"/>
        </w:rPr>
        <w:t>annually</w:t>
      </w:r>
      <w:r w:rsidR="00AC74B6" w:rsidRPr="00A75F72">
        <w:rPr>
          <w:rStyle w:val="Emphasis"/>
          <w:i w:val="0"/>
        </w:rPr>
        <w:t xml:space="preserve">. </w:t>
      </w:r>
      <w:r w:rsidR="00BE2D29" w:rsidRPr="00A75F72">
        <w:rPr>
          <w:rStyle w:val="Emphasis"/>
          <w:i w:val="0"/>
        </w:rPr>
        <w:t xml:space="preserve">This </w:t>
      </w:r>
      <w:r w:rsidR="00070124" w:rsidRPr="00A75F72">
        <w:rPr>
          <w:rStyle w:val="Emphasis"/>
          <w:i w:val="0"/>
        </w:rPr>
        <w:t xml:space="preserve">would </w:t>
      </w:r>
      <w:r w:rsidR="00B31214" w:rsidRPr="00A75F72">
        <w:rPr>
          <w:rStyle w:val="Emphasis"/>
          <w:i w:val="0"/>
        </w:rPr>
        <w:t>result in an approximate 18</w:t>
      </w:r>
      <w:r w:rsidR="00A43CD0">
        <w:rPr>
          <w:rStyle w:val="Emphasis"/>
          <w:i w:val="0"/>
        </w:rPr>
        <w:t>0.</w:t>
      </w:r>
      <w:r w:rsidR="00B31214" w:rsidRPr="00A75F72">
        <w:rPr>
          <w:rStyle w:val="Emphasis"/>
          <w:i w:val="0"/>
        </w:rPr>
        <w:t>5</w:t>
      </w:r>
      <w:r w:rsidR="00BE2D29" w:rsidRPr="00A75F72">
        <w:rPr>
          <w:rStyle w:val="Emphasis"/>
          <w:i w:val="0"/>
        </w:rPr>
        <w:t>%</w:t>
      </w:r>
      <w:r w:rsidR="007637A2" w:rsidRPr="00A75F72">
        <w:rPr>
          <w:rStyle w:val="Emphasis"/>
          <w:i w:val="0"/>
        </w:rPr>
        <w:t xml:space="preserve"> </w:t>
      </w:r>
      <w:r w:rsidR="00070124" w:rsidRPr="00A75F72">
        <w:rPr>
          <w:rStyle w:val="Emphasis"/>
          <w:i w:val="0"/>
        </w:rPr>
        <w:t xml:space="preserve">increase in </w:t>
      </w:r>
      <w:r w:rsidR="007637A2" w:rsidRPr="00A75F72">
        <w:rPr>
          <w:rStyle w:val="Emphasis"/>
          <w:i w:val="0"/>
        </w:rPr>
        <w:t>annual revenue</w:t>
      </w:r>
      <w:r w:rsidR="00BE2D29" w:rsidRPr="00A75F72">
        <w:rPr>
          <w:rStyle w:val="Emphasis"/>
          <w:i w:val="0"/>
        </w:rPr>
        <w:t xml:space="preserve">.  </w:t>
      </w:r>
      <w:r w:rsidR="00A43CD0">
        <w:rPr>
          <w:rStyle w:val="Emphasis"/>
          <w:i w:val="0"/>
        </w:rPr>
        <w:t xml:space="preserve">Irrigation rates are added to the tariff and changed to a per acre basis. </w:t>
      </w:r>
      <w:r w:rsidR="00AC74B6" w:rsidRPr="00A75F72">
        <w:rPr>
          <w:rStyle w:val="Emphasis"/>
          <w:i w:val="0"/>
        </w:rPr>
        <w:t xml:space="preserve">If approved, the rates will </w:t>
      </w:r>
      <w:r w:rsidR="0004025A" w:rsidRPr="00A75F72">
        <w:rPr>
          <w:rStyle w:val="Emphasis"/>
          <w:i w:val="0"/>
        </w:rPr>
        <w:t xml:space="preserve">be effective on </w:t>
      </w:r>
      <w:r w:rsidR="00BE1744" w:rsidRPr="00A75F72">
        <w:rPr>
          <w:rStyle w:val="Emphasis"/>
          <w:b/>
          <w:i w:val="0"/>
        </w:rPr>
        <w:t>June</w:t>
      </w:r>
      <w:r w:rsidR="00321950" w:rsidRPr="00A75F72">
        <w:rPr>
          <w:rStyle w:val="Emphasis"/>
          <w:b/>
          <w:i w:val="0"/>
        </w:rPr>
        <w:t xml:space="preserve"> 1, 2</w:t>
      </w:r>
      <w:r w:rsidR="0004025A" w:rsidRPr="00A75F72">
        <w:rPr>
          <w:rStyle w:val="Emphasis"/>
          <w:b/>
          <w:i w:val="0"/>
        </w:rPr>
        <w:t>01</w:t>
      </w:r>
      <w:r w:rsidRPr="00A75F72">
        <w:rPr>
          <w:rStyle w:val="Emphasis"/>
          <w:b/>
          <w:i w:val="0"/>
        </w:rPr>
        <w:t>6</w:t>
      </w:r>
      <w:r w:rsidR="00F34EB9" w:rsidRPr="00A75F72">
        <w:rPr>
          <w:rStyle w:val="Emphasis"/>
          <w:i w:val="0"/>
        </w:rPr>
        <w:t xml:space="preserve"> and reflected on </w:t>
      </w:r>
      <w:r w:rsidR="00D246D7" w:rsidRPr="00A75F72">
        <w:rPr>
          <w:rStyle w:val="Emphasis"/>
          <w:i w:val="0"/>
        </w:rPr>
        <w:t xml:space="preserve">your </w:t>
      </w:r>
      <w:r w:rsidR="00BE1744" w:rsidRPr="00A75F72">
        <w:rPr>
          <w:rStyle w:val="Emphasis"/>
          <w:i w:val="0"/>
        </w:rPr>
        <w:t>July</w:t>
      </w:r>
      <w:r w:rsidR="00070124" w:rsidRPr="00A75F72">
        <w:rPr>
          <w:rStyle w:val="Emphasis"/>
          <w:i w:val="0"/>
        </w:rPr>
        <w:t xml:space="preserve"> </w:t>
      </w:r>
      <w:r w:rsidR="00F34EB9" w:rsidRPr="00A75F72">
        <w:rPr>
          <w:rStyle w:val="Emphasis"/>
          <w:i w:val="0"/>
        </w:rPr>
        <w:t>billing</w:t>
      </w:r>
      <w:r w:rsidR="00D521C3" w:rsidRPr="00A75F72">
        <w:rPr>
          <w:rStyle w:val="Emphasis"/>
          <w:i w:val="0"/>
        </w:rPr>
        <w:t>.</w:t>
      </w:r>
      <w:r w:rsidRPr="00A75F72">
        <w:rPr>
          <w:rStyle w:val="Emphasis"/>
          <w:i w:val="0"/>
        </w:rPr>
        <w:t xml:space="preserve">  </w:t>
      </w:r>
      <w:r w:rsidR="00D246D7" w:rsidRPr="00A75F72">
        <w:rPr>
          <w:rStyle w:val="Emphasis"/>
          <w:i w:val="0"/>
        </w:rPr>
        <w:t xml:space="preserve">This </w:t>
      </w:r>
      <w:r w:rsidRPr="00A75F72">
        <w:rPr>
          <w:rStyle w:val="Emphasis"/>
          <w:i w:val="0"/>
        </w:rPr>
        <w:t>may</w:t>
      </w:r>
      <w:r w:rsidR="00D246D7" w:rsidRPr="00A75F72">
        <w:rPr>
          <w:rStyle w:val="Emphasis"/>
          <w:i w:val="0"/>
        </w:rPr>
        <w:t xml:space="preserve"> fall in the </w:t>
      </w:r>
      <w:r w:rsidRPr="00A75F72">
        <w:rPr>
          <w:rStyle w:val="Emphasis"/>
          <w:i w:val="0"/>
        </w:rPr>
        <w:t>middle of the billing period.  If so y</w:t>
      </w:r>
      <w:r w:rsidR="00D246D7" w:rsidRPr="00A75F72">
        <w:rPr>
          <w:rStyle w:val="Emphasis"/>
          <w:i w:val="0"/>
        </w:rPr>
        <w:t xml:space="preserve">ou will receive two billings, one with the old rate and the other with the new rates.  You will be paying from the second billing as they will be combined.  </w:t>
      </w:r>
    </w:p>
    <w:p w14:paraId="5E5180E0" w14:textId="77777777" w:rsidR="004D78B2" w:rsidRPr="00A75F72" w:rsidRDefault="004D78B2" w:rsidP="0004025A">
      <w:pPr>
        <w:ind w:left="1440" w:right="1530"/>
        <w:rPr>
          <w:rStyle w:val="Emphasis"/>
          <w:i w:val="0"/>
        </w:rPr>
      </w:pPr>
    </w:p>
    <w:p w14:paraId="36ABE074" w14:textId="3523BC63" w:rsidR="00327CCA" w:rsidRPr="00A75F72" w:rsidRDefault="00481D69" w:rsidP="0004025A">
      <w:pPr>
        <w:ind w:left="1440" w:right="1530"/>
        <w:rPr>
          <w:rStyle w:val="Emphasis"/>
          <w:i w:val="0"/>
        </w:rPr>
      </w:pPr>
      <w:r w:rsidRPr="00A75F72">
        <w:rPr>
          <w:rStyle w:val="Emphasis"/>
          <w:i w:val="0"/>
        </w:rPr>
        <w:t xml:space="preserve">DCUC </w:t>
      </w:r>
      <w:r w:rsidR="00FC4569" w:rsidRPr="00A75F72">
        <w:rPr>
          <w:rStyle w:val="Emphasis"/>
          <w:i w:val="0"/>
        </w:rPr>
        <w:t>has not applied for</w:t>
      </w:r>
      <w:r w:rsidR="008E18CA" w:rsidRPr="00A75F72">
        <w:rPr>
          <w:rStyle w:val="Emphasis"/>
          <w:i w:val="0"/>
        </w:rPr>
        <w:t xml:space="preserve"> a rate </w:t>
      </w:r>
      <w:r w:rsidR="00327CCA" w:rsidRPr="00A75F72">
        <w:rPr>
          <w:rStyle w:val="Emphasis"/>
          <w:i w:val="0"/>
        </w:rPr>
        <w:t>change for 23 years</w:t>
      </w:r>
      <w:r w:rsidRPr="00A75F72">
        <w:rPr>
          <w:rStyle w:val="Emphasis"/>
          <w:i w:val="0"/>
        </w:rPr>
        <w:t xml:space="preserve">.  Since that time the water system </w:t>
      </w:r>
      <w:r w:rsidR="00327CCA" w:rsidRPr="00A75F72">
        <w:rPr>
          <w:rStyle w:val="Emphasis"/>
          <w:i w:val="0"/>
        </w:rPr>
        <w:t>and its costs have</w:t>
      </w:r>
      <w:r w:rsidRPr="00A75F72">
        <w:rPr>
          <w:rStyle w:val="Emphasis"/>
          <w:i w:val="0"/>
        </w:rPr>
        <w:t xml:space="preserve"> undergone dramatic changes with the inclusion of a nitrate treatment plant and the reorganization of several of </w:t>
      </w:r>
      <w:r w:rsidR="00DD4B39" w:rsidRPr="00A75F72">
        <w:rPr>
          <w:rStyle w:val="Emphasis"/>
          <w:i w:val="0"/>
        </w:rPr>
        <w:t>DCUC’s</w:t>
      </w:r>
      <w:r w:rsidRPr="00A75F72">
        <w:rPr>
          <w:rStyle w:val="Emphasis"/>
          <w:i w:val="0"/>
        </w:rPr>
        <w:t xml:space="preserve"> </w:t>
      </w:r>
      <w:r w:rsidR="00327CCA" w:rsidRPr="00A75F72">
        <w:rPr>
          <w:rStyle w:val="Emphasis"/>
          <w:i w:val="0"/>
        </w:rPr>
        <w:t>major</w:t>
      </w:r>
      <w:r w:rsidRPr="00A75F72">
        <w:rPr>
          <w:rStyle w:val="Emphasis"/>
          <w:i w:val="0"/>
        </w:rPr>
        <w:t xml:space="preserve"> customers.  The Washington Utilities Transportation Commission exercises its jurisdiction in utility rate setting to assure that the </w:t>
      </w:r>
      <w:r w:rsidR="00DD4B39" w:rsidRPr="00A75F72">
        <w:rPr>
          <w:rStyle w:val="Emphasis"/>
          <w:i w:val="0"/>
        </w:rPr>
        <w:t>rates</w:t>
      </w:r>
      <w:r w:rsidRPr="00A75F72">
        <w:rPr>
          <w:rStyle w:val="Emphasis"/>
          <w:i w:val="0"/>
        </w:rPr>
        <w:t xml:space="preserve"> are equitable to all customers and are sufficient to assure continued stable operation and </w:t>
      </w:r>
      <w:r w:rsidR="00DD4B39" w:rsidRPr="00A75F72">
        <w:rPr>
          <w:rStyle w:val="Emphasis"/>
          <w:i w:val="0"/>
        </w:rPr>
        <w:t xml:space="preserve">regulatory </w:t>
      </w:r>
      <w:r w:rsidRPr="00A75F72">
        <w:rPr>
          <w:rStyle w:val="Emphasis"/>
          <w:i w:val="0"/>
        </w:rPr>
        <w:t xml:space="preserve">compliance of the Utility.  </w:t>
      </w:r>
      <w:r w:rsidR="00DD4B39" w:rsidRPr="00A75F72">
        <w:rPr>
          <w:rStyle w:val="Emphasis"/>
          <w:i w:val="0"/>
        </w:rPr>
        <w:t xml:space="preserve">DCUC has spent several months working closely with Commission staff to develop the proposed rates.  </w:t>
      </w:r>
      <w:r w:rsidR="00327CCA" w:rsidRPr="00A75F72">
        <w:rPr>
          <w:rStyle w:val="Emphasis"/>
          <w:i w:val="0"/>
        </w:rPr>
        <w:t xml:space="preserve">DCUC is grateful for the time, attention and guidance that the Commission has provided.  </w:t>
      </w:r>
    </w:p>
    <w:p w14:paraId="42AE2F34" w14:textId="77777777" w:rsidR="00327CCA" w:rsidRPr="00A75F72" w:rsidRDefault="00327CCA" w:rsidP="0004025A">
      <w:pPr>
        <w:ind w:left="1440" w:right="1530"/>
        <w:rPr>
          <w:rStyle w:val="Emphasis"/>
          <w:i w:val="0"/>
        </w:rPr>
      </w:pPr>
    </w:p>
    <w:p w14:paraId="6DD604A6" w14:textId="1372B48F" w:rsidR="0004025A" w:rsidRPr="00A75F72" w:rsidRDefault="00DD4B39" w:rsidP="0004025A">
      <w:pPr>
        <w:ind w:left="1440" w:right="1530"/>
        <w:rPr>
          <w:rStyle w:val="Emphasis"/>
          <w:i w:val="0"/>
        </w:rPr>
      </w:pPr>
      <w:r w:rsidRPr="00A75F72">
        <w:rPr>
          <w:rStyle w:val="Emphasis"/>
          <w:i w:val="0"/>
        </w:rPr>
        <w:t xml:space="preserve">An important aspect of rate setting is making sure that customers are only asked to pay rates that reflect the costs related to the service provided to </w:t>
      </w:r>
      <w:r w:rsidR="00B86A83" w:rsidRPr="00A75F72">
        <w:rPr>
          <w:rStyle w:val="Emphasis"/>
          <w:i w:val="0"/>
        </w:rPr>
        <w:t>those</w:t>
      </w:r>
      <w:r w:rsidRPr="00A75F72">
        <w:rPr>
          <w:rStyle w:val="Emphasis"/>
          <w:i w:val="0"/>
        </w:rPr>
        <w:t xml:space="preserve"> customer</w:t>
      </w:r>
      <w:r w:rsidR="00B86A83" w:rsidRPr="00A75F72">
        <w:rPr>
          <w:rStyle w:val="Emphasis"/>
          <w:i w:val="0"/>
        </w:rPr>
        <w:t>s</w:t>
      </w:r>
      <w:r w:rsidR="00585811" w:rsidRPr="00A75F72">
        <w:rPr>
          <w:rStyle w:val="Emphasis"/>
          <w:i w:val="0"/>
        </w:rPr>
        <w:t>.  That</w:t>
      </w:r>
      <w:r w:rsidRPr="00A75F72">
        <w:rPr>
          <w:rStyle w:val="Emphasis"/>
          <w:i w:val="0"/>
        </w:rPr>
        <w:t xml:space="preserve"> way if that customer group declines or increases the corresponding decreases or increases in revenue</w:t>
      </w:r>
      <w:r w:rsidR="00585811" w:rsidRPr="00A75F72">
        <w:rPr>
          <w:rStyle w:val="Emphasis"/>
          <w:i w:val="0"/>
        </w:rPr>
        <w:t xml:space="preserve"> and expense</w:t>
      </w:r>
      <w:r w:rsidRPr="00A75F72">
        <w:rPr>
          <w:rStyle w:val="Emphasis"/>
          <w:i w:val="0"/>
        </w:rPr>
        <w:t xml:space="preserve"> does not destabilize the financial </w:t>
      </w:r>
      <w:r w:rsidR="00B86A83" w:rsidRPr="00A75F72">
        <w:rPr>
          <w:rStyle w:val="Emphasis"/>
          <w:i w:val="0"/>
        </w:rPr>
        <w:t>health</w:t>
      </w:r>
      <w:r w:rsidRPr="00A75F72">
        <w:rPr>
          <w:rStyle w:val="Emphasis"/>
          <w:i w:val="0"/>
        </w:rPr>
        <w:t xml:space="preserve"> of the Utility upon which we all depend</w:t>
      </w:r>
      <w:r w:rsidR="002A7AFC" w:rsidRPr="00A75F72">
        <w:rPr>
          <w:rStyle w:val="Emphasis"/>
          <w:i w:val="0"/>
        </w:rPr>
        <w:t xml:space="preserve">.  </w:t>
      </w:r>
      <w:r w:rsidR="00585811" w:rsidRPr="00A75F72">
        <w:rPr>
          <w:rStyle w:val="Emphasis"/>
          <w:i w:val="0"/>
        </w:rPr>
        <w:t xml:space="preserve">It also assures that all customers are treated fairly.  </w:t>
      </w:r>
      <w:r w:rsidRPr="00A75F72">
        <w:rPr>
          <w:rStyle w:val="Emphasis"/>
          <w:i w:val="0"/>
        </w:rPr>
        <w:t>Our system</w:t>
      </w:r>
      <w:r w:rsidR="00327CCA" w:rsidRPr="00A75F72">
        <w:rPr>
          <w:rStyle w:val="Emphasis"/>
          <w:i w:val="0"/>
        </w:rPr>
        <w:t>’</w:t>
      </w:r>
      <w:r w:rsidRPr="00A75F72">
        <w:rPr>
          <w:rStyle w:val="Emphasis"/>
          <w:i w:val="0"/>
        </w:rPr>
        <w:t xml:space="preserve">s costs are driven primarily by electrical costs for the non-potable portion of the system and the </w:t>
      </w:r>
      <w:r w:rsidR="00B86A83" w:rsidRPr="00A75F72">
        <w:rPr>
          <w:rStyle w:val="Emphasis"/>
          <w:i w:val="0"/>
        </w:rPr>
        <w:t>cost</w:t>
      </w:r>
      <w:r w:rsidRPr="00A75F72">
        <w:rPr>
          <w:rStyle w:val="Emphasis"/>
          <w:i w:val="0"/>
        </w:rPr>
        <w:t xml:space="preserve"> of the treatment plant and regulatory compliance needs of the potable system.  The rates set forth below apportion these costs accordingly.</w:t>
      </w:r>
      <w:r w:rsidR="00327CCA" w:rsidRPr="00A75F72">
        <w:rPr>
          <w:rStyle w:val="Emphasis"/>
          <w:i w:val="0"/>
        </w:rPr>
        <w:t xml:space="preserve">  These rates will apply to all DCUC customers for all DCUC services.  There is no customer that will be exempt from these rates.</w:t>
      </w:r>
    </w:p>
    <w:p w14:paraId="6DD604A9" w14:textId="506193C6" w:rsidR="00497C15" w:rsidRPr="00A75F72" w:rsidRDefault="00497C15" w:rsidP="00327CCA">
      <w:pPr>
        <w:ind w:right="1530"/>
        <w:rPr>
          <w:rStyle w:val="Emphasis"/>
          <w:i w:val="0"/>
        </w:rPr>
      </w:pPr>
    </w:p>
    <w:p w14:paraId="6DD604AA" w14:textId="71959ABA" w:rsidR="00497C15" w:rsidRPr="00A75F72" w:rsidRDefault="00497C15" w:rsidP="0004025A">
      <w:pPr>
        <w:ind w:left="1440" w:right="1530"/>
        <w:rPr>
          <w:rStyle w:val="Emphasis"/>
          <w:i w:val="0"/>
        </w:rPr>
      </w:pPr>
      <w:r w:rsidRPr="00A75F72">
        <w:rPr>
          <w:rStyle w:val="Emphasis"/>
          <w:i w:val="0"/>
        </w:rPr>
        <w:t xml:space="preserve">The requested rate increase will allow us to continue to </w:t>
      </w:r>
      <w:r w:rsidR="00327CCA" w:rsidRPr="00A75F72">
        <w:rPr>
          <w:rStyle w:val="Emphasis"/>
          <w:i w:val="0"/>
        </w:rPr>
        <w:t>operate and maintain</w:t>
      </w:r>
      <w:r w:rsidRPr="00A75F72">
        <w:rPr>
          <w:rStyle w:val="Emphasis"/>
          <w:i w:val="0"/>
        </w:rPr>
        <w:t xml:space="preserve"> the facilities and equipment necessary to provide you with reliable water service and meet </w:t>
      </w:r>
      <w:r w:rsidR="00585811" w:rsidRPr="00A75F72">
        <w:rPr>
          <w:rStyle w:val="Emphasis"/>
          <w:i w:val="0"/>
        </w:rPr>
        <w:t xml:space="preserve">the </w:t>
      </w:r>
      <w:r w:rsidRPr="00A75F72">
        <w:rPr>
          <w:rStyle w:val="Emphasis"/>
          <w:i w:val="0"/>
        </w:rPr>
        <w:t xml:space="preserve">stringent water quality </w:t>
      </w:r>
      <w:r w:rsidR="00327CCA" w:rsidRPr="00A75F72">
        <w:rPr>
          <w:rStyle w:val="Emphasis"/>
          <w:i w:val="0"/>
        </w:rPr>
        <w:t xml:space="preserve">standards </w:t>
      </w:r>
      <w:r w:rsidR="00585811" w:rsidRPr="00A75F72">
        <w:rPr>
          <w:rStyle w:val="Emphasis"/>
          <w:i w:val="0"/>
        </w:rPr>
        <w:t>of</w:t>
      </w:r>
      <w:r w:rsidR="00327CCA" w:rsidRPr="00A75F72">
        <w:rPr>
          <w:rStyle w:val="Emphasis"/>
          <w:i w:val="0"/>
        </w:rPr>
        <w:t xml:space="preserve"> Washington State.</w:t>
      </w:r>
    </w:p>
    <w:p w14:paraId="6DD604AB" w14:textId="77777777" w:rsidR="00E17D3D" w:rsidRPr="00A75F72" w:rsidRDefault="00E17D3D" w:rsidP="0004025A">
      <w:pPr>
        <w:ind w:left="1440" w:right="1530"/>
        <w:rPr>
          <w:rStyle w:val="Emphasis"/>
          <w:i w:val="0"/>
        </w:rPr>
      </w:pPr>
    </w:p>
    <w:p w14:paraId="6DD604AD" w14:textId="440C8247" w:rsidR="00385ACA" w:rsidRPr="00A75F72" w:rsidRDefault="004D508B" w:rsidP="00A75F72">
      <w:pPr>
        <w:ind w:left="1440" w:right="1530" w:firstLine="720"/>
        <w:rPr>
          <w:rStyle w:val="Emphasis"/>
          <w:i w:val="0"/>
        </w:rPr>
      </w:pPr>
      <w:r w:rsidRPr="00A75F72">
        <w:rPr>
          <w:rStyle w:val="Emphasis"/>
          <w:i w:val="0"/>
        </w:rPr>
        <w:t xml:space="preserve">                                                 </w:t>
      </w:r>
      <w:r w:rsidR="00E17D3D" w:rsidRPr="00A75F72">
        <w:rPr>
          <w:rStyle w:val="Emphasis"/>
          <w:i w:val="0"/>
        </w:rPr>
        <w:t xml:space="preserve">Current </w:t>
      </w:r>
      <w:r w:rsidR="00A75F72">
        <w:rPr>
          <w:rStyle w:val="Emphasis"/>
          <w:i w:val="0"/>
        </w:rPr>
        <w:t xml:space="preserve">Monthly </w:t>
      </w:r>
      <w:r w:rsidR="00E17D3D" w:rsidRPr="00A75F72">
        <w:rPr>
          <w:rStyle w:val="Emphasis"/>
          <w:i w:val="0"/>
        </w:rPr>
        <w:t>Rate</w:t>
      </w:r>
      <w:r w:rsidR="00385ACA" w:rsidRPr="00A75F72">
        <w:rPr>
          <w:rStyle w:val="Emphasis"/>
          <w:i w:val="0"/>
        </w:rPr>
        <w:t xml:space="preserve">   </w:t>
      </w:r>
      <w:r w:rsidRPr="00A75F72">
        <w:rPr>
          <w:rStyle w:val="Emphasis"/>
          <w:i w:val="0"/>
        </w:rPr>
        <w:t xml:space="preserve">    </w:t>
      </w:r>
      <w:r w:rsidR="00E17D3D" w:rsidRPr="00A75F72">
        <w:rPr>
          <w:rStyle w:val="Emphasis"/>
          <w:i w:val="0"/>
        </w:rPr>
        <w:t xml:space="preserve">Proposed </w:t>
      </w:r>
      <w:r w:rsidR="00A75F72">
        <w:rPr>
          <w:rStyle w:val="Emphasis"/>
          <w:i w:val="0"/>
        </w:rPr>
        <w:t xml:space="preserve">Monthly </w:t>
      </w:r>
      <w:r w:rsidR="00E17D3D" w:rsidRPr="00A75F72">
        <w:rPr>
          <w:rStyle w:val="Emphasis"/>
          <w:i w:val="0"/>
        </w:rPr>
        <w:t>Rate</w:t>
      </w:r>
    </w:p>
    <w:p w14:paraId="6DD604AE" w14:textId="77777777" w:rsidR="009A499F" w:rsidRPr="00A75F72" w:rsidRDefault="00385ACA" w:rsidP="009A499F">
      <w:pPr>
        <w:ind w:left="1440" w:right="1530" w:firstLine="720"/>
        <w:rPr>
          <w:rStyle w:val="Emphasis"/>
          <w:i w:val="0"/>
        </w:rPr>
      </w:pPr>
      <w:r w:rsidRPr="00A75F72">
        <w:rPr>
          <w:rStyle w:val="Emphasis"/>
          <w:i w:val="0"/>
        </w:rPr>
        <w:t>Base Charge, zero cubic feet</w:t>
      </w:r>
    </w:p>
    <w:p w14:paraId="6DD604B0" w14:textId="242015D1" w:rsidR="00385ACA" w:rsidRPr="00A75F72" w:rsidRDefault="00385ACA" w:rsidP="00D246D7">
      <w:pPr>
        <w:pStyle w:val="ListParagraph"/>
        <w:numPr>
          <w:ilvl w:val="0"/>
          <w:numId w:val="4"/>
        </w:numPr>
        <w:ind w:right="1530"/>
        <w:rPr>
          <w:rStyle w:val="Emphasis"/>
          <w:i w:val="0"/>
        </w:rPr>
      </w:pPr>
      <w:r w:rsidRPr="00A75F72">
        <w:rPr>
          <w:rStyle w:val="Emphasis"/>
          <w:i w:val="0"/>
        </w:rPr>
        <w:t xml:space="preserve">1” meter service           </w:t>
      </w:r>
      <w:r w:rsidR="008D7FF5" w:rsidRPr="00A75F72">
        <w:rPr>
          <w:rStyle w:val="Emphasis"/>
          <w:i w:val="0"/>
        </w:rPr>
        <w:t xml:space="preserve"> </w:t>
      </w:r>
      <w:r w:rsidRPr="00A75F72">
        <w:rPr>
          <w:rStyle w:val="Emphasis"/>
          <w:i w:val="0"/>
        </w:rPr>
        <w:t xml:space="preserve">   </w:t>
      </w:r>
      <w:r w:rsidR="00A75F72">
        <w:rPr>
          <w:rStyle w:val="Emphasis"/>
          <w:i w:val="0"/>
        </w:rPr>
        <w:t>$18.00</w:t>
      </w:r>
      <w:r w:rsidRPr="00A75F72">
        <w:rPr>
          <w:rStyle w:val="Emphasis"/>
          <w:i w:val="0"/>
        </w:rPr>
        <w:t xml:space="preserve">    </w:t>
      </w:r>
      <w:r w:rsidR="009A499F" w:rsidRPr="00A75F72">
        <w:rPr>
          <w:rStyle w:val="Emphasis"/>
          <w:i w:val="0"/>
        </w:rPr>
        <w:tab/>
      </w:r>
      <w:r w:rsidR="009A499F" w:rsidRPr="00A75F72">
        <w:rPr>
          <w:rStyle w:val="Emphasis"/>
          <w:i w:val="0"/>
        </w:rPr>
        <w:tab/>
      </w:r>
      <w:r w:rsidR="00A75F72">
        <w:rPr>
          <w:rStyle w:val="Emphasis"/>
          <w:i w:val="0"/>
        </w:rPr>
        <w:tab/>
      </w:r>
      <w:r w:rsidR="00BE1744" w:rsidRPr="00A75F72">
        <w:rPr>
          <w:rStyle w:val="Emphasis"/>
          <w:i w:val="0"/>
        </w:rPr>
        <w:t>$30</w:t>
      </w:r>
      <w:r w:rsidR="009A499F" w:rsidRPr="00A75F72">
        <w:rPr>
          <w:rStyle w:val="Emphasis"/>
          <w:i w:val="0"/>
        </w:rPr>
        <w:t>.00</w:t>
      </w:r>
    </w:p>
    <w:p w14:paraId="6DD604B2" w14:textId="660D3975" w:rsidR="00385ACA" w:rsidRPr="00A75F72" w:rsidRDefault="00385ACA" w:rsidP="00D246D7">
      <w:pPr>
        <w:pStyle w:val="ListParagraph"/>
        <w:numPr>
          <w:ilvl w:val="0"/>
          <w:numId w:val="4"/>
        </w:numPr>
        <w:ind w:right="1530"/>
        <w:rPr>
          <w:rStyle w:val="Emphasis"/>
          <w:i w:val="0"/>
        </w:rPr>
      </w:pPr>
      <w:r w:rsidRPr="00A75F72">
        <w:rPr>
          <w:rStyle w:val="Emphasis"/>
          <w:i w:val="0"/>
        </w:rPr>
        <w:t xml:space="preserve">2” meter service          </w:t>
      </w:r>
      <w:r w:rsidR="008D7FF5" w:rsidRPr="00A75F72">
        <w:rPr>
          <w:rStyle w:val="Emphasis"/>
          <w:i w:val="0"/>
        </w:rPr>
        <w:t xml:space="preserve">   </w:t>
      </w:r>
      <w:r w:rsidRPr="00A75F72">
        <w:rPr>
          <w:rStyle w:val="Emphasis"/>
          <w:i w:val="0"/>
        </w:rPr>
        <w:t xml:space="preserve">  </w:t>
      </w:r>
      <w:r w:rsidR="00A75F72">
        <w:rPr>
          <w:rStyle w:val="Emphasis"/>
          <w:i w:val="0"/>
        </w:rPr>
        <w:t>$59.95</w:t>
      </w:r>
      <w:r w:rsidRPr="00A75F72">
        <w:rPr>
          <w:rStyle w:val="Emphasis"/>
          <w:i w:val="0"/>
        </w:rPr>
        <w:t xml:space="preserve">  </w:t>
      </w:r>
      <w:r w:rsidR="009A499F" w:rsidRPr="00A75F72">
        <w:rPr>
          <w:rStyle w:val="Emphasis"/>
          <w:i w:val="0"/>
        </w:rPr>
        <w:tab/>
      </w:r>
      <w:r w:rsidR="009A499F" w:rsidRPr="00A75F72">
        <w:rPr>
          <w:rStyle w:val="Emphasis"/>
          <w:i w:val="0"/>
        </w:rPr>
        <w:tab/>
      </w:r>
      <w:r w:rsidR="00A75F72">
        <w:rPr>
          <w:rStyle w:val="Emphasis"/>
          <w:i w:val="0"/>
        </w:rPr>
        <w:tab/>
        <w:t>$96</w:t>
      </w:r>
      <w:r w:rsidR="009A499F" w:rsidRPr="00A75F72">
        <w:rPr>
          <w:rStyle w:val="Emphasis"/>
          <w:i w:val="0"/>
        </w:rPr>
        <w:t>.00</w:t>
      </w:r>
    </w:p>
    <w:p w14:paraId="6DD604B3" w14:textId="4FC28789" w:rsidR="003C566D" w:rsidRPr="00A75F72" w:rsidRDefault="00385ACA" w:rsidP="00D246D7">
      <w:pPr>
        <w:pStyle w:val="ListParagraph"/>
        <w:numPr>
          <w:ilvl w:val="0"/>
          <w:numId w:val="4"/>
        </w:numPr>
        <w:ind w:right="1530"/>
        <w:rPr>
          <w:rStyle w:val="Emphasis"/>
          <w:i w:val="0"/>
        </w:rPr>
      </w:pPr>
      <w:r w:rsidRPr="00A75F72">
        <w:rPr>
          <w:rStyle w:val="Emphasis"/>
          <w:i w:val="0"/>
        </w:rPr>
        <w:t xml:space="preserve">3” meter service           </w:t>
      </w:r>
      <w:r w:rsidR="008D7FF5" w:rsidRPr="00A75F72">
        <w:rPr>
          <w:rStyle w:val="Emphasis"/>
          <w:i w:val="0"/>
        </w:rPr>
        <w:t xml:space="preserve">    </w:t>
      </w:r>
      <w:r w:rsidR="00A75F72">
        <w:rPr>
          <w:rStyle w:val="Emphasis"/>
          <w:i w:val="0"/>
        </w:rPr>
        <w:t>$95.94</w:t>
      </w:r>
      <w:r w:rsidRPr="00A75F72">
        <w:rPr>
          <w:rStyle w:val="Emphasis"/>
          <w:i w:val="0"/>
        </w:rPr>
        <w:t xml:space="preserve">  </w:t>
      </w:r>
      <w:r w:rsidR="009A499F" w:rsidRPr="00A75F72">
        <w:rPr>
          <w:rStyle w:val="Emphasis"/>
          <w:i w:val="0"/>
        </w:rPr>
        <w:tab/>
      </w:r>
      <w:r w:rsidR="009A499F" w:rsidRPr="00A75F72">
        <w:rPr>
          <w:rStyle w:val="Emphasis"/>
          <w:i w:val="0"/>
        </w:rPr>
        <w:tab/>
      </w:r>
      <w:r w:rsidR="00A75F72">
        <w:rPr>
          <w:rStyle w:val="Emphasis"/>
          <w:i w:val="0"/>
        </w:rPr>
        <w:tab/>
        <w:t>$180</w:t>
      </w:r>
      <w:r w:rsidR="009A499F" w:rsidRPr="00A75F72">
        <w:rPr>
          <w:rStyle w:val="Emphasis"/>
          <w:i w:val="0"/>
        </w:rPr>
        <w:t>.00</w:t>
      </w:r>
    </w:p>
    <w:p w14:paraId="6DD604B9" w14:textId="6DC7788F" w:rsidR="00D246D7" w:rsidRPr="00A75F72" w:rsidRDefault="00FE5C93" w:rsidP="00A75F72">
      <w:pPr>
        <w:pStyle w:val="ListParagraph"/>
        <w:numPr>
          <w:ilvl w:val="0"/>
          <w:numId w:val="4"/>
        </w:numPr>
        <w:ind w:right="1530"/>
        <w:rPr>
          <w:rStyle w:val="Emphasis"/>
          <w:i w:val="0"/>
        </w:rPr>
      </w:pPr>
      <w:r w:rsidRPr="00A75F72">
        <w:rPr>
          <w:rStyle w:val="Emphasis"/>
          <w:i w:val="0"/>
        </w:rPr>
        <w:t>8</w:t>
      </w:r>
      <w:r w:rsidR="003C566D" w:rsidRPr="00A75F72">
        <w:rPr>
          <w:rStyle w:val="Emphasis"/>
          <w:i w:val="0"/>
        </w:rPr>
        <w:t>” meter service</w:t>
      </w:r>
      <w:r w:rsidR="009A499F" w:rsidRPr="00A75F72">
        <w:rPr>
          <w:rStyle w:val="Emphasis"/>
          <w:i w:val="0"/>
        </w:rPr>
        <w:tab/>
      </w:r>
      <w:r w:rsidR="00D246D7" w:rsidRPr="00A75F72">
        <w:rPr>
          <w:rStyle w:val="Emphasis"/>
          <w:i w:val="0"/>
        </w:rPr>
        <w:t xml:space="preserve">     </w:t>
      </w:r>
      <w:r w:rsidR="00030377">
        <w:rPr>
          <w:rStyle w:val="Emphasis"/>
          <w:i w:val="0"/>
        </w:rPr>
        <w:t>$180.00</w:t>
      </w:r>
      <w:r w:rsidR="009A499F" w:rsidRPr="00A75F72">
        <w:rPr>
          <w:rStyle w:val="Emphasis"/>
          <w:i w:val="0"/>
        </w:rPr>
        <w:tab/>
      </w:r>
      <w:r w:rsidR="00A75F72">
        <w:rPr>
          <w:rStyle w:val="Emphasis"/>
          <w:i w:val="0"/>
        </w:rPr>
        <w:tab/>
      </w:r>
      <w:r w:rsidR="00A75F72">
        <w:rPr>
          <w:rStyle w:val="Emphasis"/>
          <w:i w:val="0"/>
        </w:rPr>
        <w:tab/>
        <w:t>$8</w:t>
      </w:r>
      <w:r w:rsidR="00D029D5" w:rsidRPr="00A75F72">
        <w:rPr>
          <w:rStyle w:val="Emphasis"/>
          <w:i w:val="0"/>
        </w:rPr>
        <w:t>00.00</w:t>
      </w:r>
    </w:p>
    <w:p w14:paraId="6DD604BA" w14:textId="77777777" w:rsidR="00677BBA" w:rsidRPr="00A75F72" w:rsidRDefault="001B280E" w:rsidP="00D029D5">
      <w:pPr>
        <w:ind w:left="1800" w:right="1530" w:firstLine="720"/>
        <w:rPr>
          <w:rStyle w:val="Emphasis"/>
          <w:i w:val="0"/>
        </w:rPr>
      </w:pPr>
      <w:r w:rsidRPr="00A75F72">
        <w:rPr>
          <w:rStyle w:val="Emphasis"/>
          <w:i w:val="0"/>
        </w:rPr>
        <w:lastRenderedPageBreak/>
        <w:t xml:space="preserve">  </w:t>
      </w:r>
    </w:p>
    <w:p w14:paraId="6DD604BB" w14:textId="77777777" w:rsidR="00EA6813" w:rsidRPr="00A75F72" w:rsidRDefault="00EA6813" w:rsidP="00EA6813">
      <w:pPr>
        <w:widowControl w:val="0"/>
        <w:rPr>
          <w:snapToGrid w:val="0"/>
          <w:sz w:val="20"/>
          <w:szCs w:val="20"/>
        </w:rPr>
      </w:pPr>
      <w:r w:rsidRPr="00A75F72">
        <w:rPr>
          <w:snapToGrid w:val="0"/>
          <w:sz w:val="20"/>
          <w:szCs w:val="20"/>
        </w:rPr>
        <w:tab/>
      </w:r>
      <w:r w:rsidRPr="00A75F72">
        <w:rPr>
          <w:b/>
          <w:snapToGrid w:val="0"/>
          <w:sz w:val="22"/>
          <w:szCs w:val="22"/>
          <w:u w:val="single"/>
        </w:rPr>
        <w:t>Usage Rates Zero Allowance</w:t>
      </w:r>
    </w:p>
    <w:p w14:paraId="5D518E36" w14:textId="77777777" w:rsidR="00A43CD0" w:rsidRPr="00A75F72" w:rsidRDefault="00EA6813" w:rsidP="00EA6813">
      <w:pPr>
        <w:widowControl w:val="0"/>
        <w:rPr>
          <w:snapToGrid w:val="0"/>
          <w:sz w:val="22"/>
          <w:szCs w:val="22"/>
        </w:rPr>
      </w:pPr>
      <w:r w:rsidRPr="00A75F72">
        <w:rPr>
          <w:snapToGrid w:val="0"/>
          <w:sz w:val="22"/>
          <w:szCs w:val="22"/>
        </w:rPr>
        <w:t xml:space="preserve">   </w:t>
      </w:r>
    </w:p>
    <w:tbl>
      <w:tblPr>
        <w:tblW w:w="4360" w:type="pct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208"/>
        <w:gridCol w:w="1315"/>
        <w:gridCol w:w="1281"/>
        <w:gridCol w:w="1337"/>
        <w:gridCol w:w="1339"/>
        <w:gridCol w:w="1339"/>
        <w:gridCol w:w="1161"/>
      </w:tblGrid>
      <w:tr w:rsidR="00A43CD0" w:rsidRPr="00C86E02" w14:paraId="07B3E567" w14:textId="77777777" w:rsidTr="00A43CD0">
        <w:trPr>
          <w:trHeight w:val="432"/>
        </w:trPr>
        <w:tc>
          <w:tcPr>
            <w:tcW w:w="561" w:type="pct"/>
            <w:tcBorders>
              <w:bottom w:val="double" w:sz="4" w:space="0" w:color="auto"/>
            </w:tcBorders>
            <w:vAlign w:val="bottom"/>
          </w:tcPr>
          <w:p w14:paraId="1CC9A55B" w14:textId="77777777" w:rsidR="00A43CD0" w:rsidRPr="00B379DA" w:rsidRDefault="00A43CD0" w:rsidP="00BE18D6">
            <w:pPr>
              <w:jc w:val="center"/>
              <w:rPr>
                <w:b/>
              </w:rPr>
            </w:pPr>
            <w:r w:rsidRPr="00B379DA">
              <w:rPr>
                <w:b/>
              </w:rPr>
              <w:t>Meter Size</w:t>
            </w:r>
          </w:p>
        </w:tc>
        <w:tc>
          <w:tcPr>
            <w:tcW w:w="597" w:type="pct"/>
            <w:tcBorders>
              <w:bottom w:val="double" w:sz="4" w:space="0" w:color="auto"/>
            </w:tcBorders>
            <w:vAlign w:val="bottom"/>
          </w:tcPr>
          <w:p w14:paraId="7ED95192" w14:textId="77777777" w:rsidR="00A43CD0" w:rsidRPr="00B379DA" w:rsidRDefault="00A43CD0" w:rsidP="00BE18D6">
            <w:pPr>
              <w:jc w:val="center"/>
              <w:rPr>
                <w:b/>
              </w:rPr>
            </w:pPr>
            <w:r w:rsidRPr="00B379DA">
              <w:rPr>
                <w:b/>
              </w:rPr>
              <w:t>Meter Size Factor</w:t>
            </w:r>
          </w:p>
        </w:tc>
        <w:tc>
          <w:tcPr>
            <w:tcW w:w="650" w:type="pct"/>
            <w:tcBorders>
              <w:bottom w:val="double" w:sz="4" w:space="0" w:color="auto"/>
            </w:tcBorders>
            <w:vAlign w:val="bottom"/>
          </w:tcPr>
          <w:p w14:paraId="1D5049CB" w14:textId="77777777" w:rsidR="00A43CD0" w:rsidRPr="00B379DA" w:rsidRDefault="00A43CD0" w:rsidP="00BE18D6">
            <w:pPr>
              <w:jc w:val="center"/>
              <w:rPr>
                <w:b/>
              </w:rPr>
            </w:pPr>
            <w:r w:rsidRPr="00B379DA">
              <w:rPr>
                <w:b/>
              </w:rPr>
              <w:t>1</w:t>
            </w:r>
            <w:r w:rsidRPr="00B379DA">
              <w:rPr>
                <w:b/>
                <w:vertAlign w:val="superscript"/>
              </w:rPr>
              <w:t>st</w:t>
            </w:r>
            <w:r w:rsidRPr="00B379DA">
              <w:rPr>
                <w:b/>
              </w:rPr>
              <w:t xml:space="preserve"> Block (cu.ft.)</w:t>
            </w:r>
          </w:p>
        </w:tc>
        <w:tc>
          <w:tcPr>
            <w:tcW w:w="633" w:type="pct"/>
            <w:tcBorders>
              <w:bottom w:val="double" w:sz="4" w:space="0" w:color="auto"/>
            </w:tcBorders>
            <w:vAlign w:val="bottom"/>
          </w:tcPr>
          <w:p w14:paraId="2C2BA486" w14:textId="77777777" w:rsidR="00A43CD0" w:rsidRPr="00B379DA" w:rsidRDefault="00A43CD0" w:rsidP="00BE18D6">
            <w:pPr>
              <w:jc w:val="center"/>
              <w:rPr>
                <w:b/>
              </w:rPr>
            </w:pPr>
            <w:r w:rsidRPr="00B379DA">
              <w:rPr>
                <w:b/>
              </w:rPr>
              <w:t>1</w:t>
            </w:r>
            <w:r w:rsidRPr="00B379DA">
              <w:rPr>
                <w:b/>
                <w:vertAlign w:val="superscript"/>
              </w:rPr>
              <w:t>st</w:t>
            </w:r>
            <w:r w:rsidRPr="00B379DA">
              <w:rPr>
                <w:b/>
              </w:rPr>
              <w:t xml:space="preserve"> Usage Rate</w:t>
            </w:r>
            <w:r w:rsidRPr="005D07DB">
              <w:rPr>
                <w:b/>
                <w:color w:val="FF0000"/>
              </w:rPr>
              <w:t>*</w:t>
            </w:r>
          </w:p>
        </w:tc>
        <w:tc>
          <w:tcPr>
            <w:tcW w:w="661" w:type="pct"/>
            <w:tcBorders>
              <w:bottom w:val="double" w:sz="4" w:space="0" w:color="auto"/>
            </w:tcBorders>
            <w:vAlign w:val="bottom"/>
          </w:tcPr>
          <w:p w14:paraId="21536FDD" w14:textId="77777777" w:rsidR="00A43CD0" w:rsidRPr="00B379DA" w:rsidRDefault="00A43CD0" w:rsidP="00BE18D6">
            <w:pPr>
              <w:jc w:val="center"/>
              <w:rPr>
                <w:b/>
              </w:rPr>
            </w:pPr>
            <w:r w:rsidRPr="00B379DA">
              <w:rPr>
                <w:b/>
              </w:rPr>
              <w:t>2</w:t>
            </w:r>
            <w:r w:rsidRPr="00B379DA">
              <w:rPr>
                <w:b/>
                <w:vertAlign w:val="superscript"/>
              </w:rPr>
              <w:t>nd</w:t>
            </w:r>
            <w:r w:rsidRPr="00B379DA">
              <w:rPr>
                <w:b/>
              </w:rPr>
              <w:t xml:space="preserve"> Block (cu.ft.)</w:t>
            </w:r>
          </w:p>
        </w:tc>
        <w:tc>
          <w:tcPr>
            <w:tcW w:w="662" w:type="pct"/>
            <w:tcBorders>
              <w:bottom w:val="double" w:sz="4" w:space="0" w:color="auto"/>
            </w:tcBorders>
            <w:vAlign w:val="bottom"/>
          </w:tcPr>
          <w:p w14:paraId="18F73A31" w14:textId="77777777" w:rsidR="00A43CD0" w:rsidRPr="00B379DA" w:rsidRDefault="00A43CD0" w:rsidP="00BE18D6">
            <w:pPr>
              <w:jc w:val="center"/>
              <w:rPr>
                <w:b/>
              </w:rPr>
            </w:pPr>
            <w:r w:rsidRPr="00B379DA">
              <w:rPr>
                <w:b/>
              </w:rPr>
              <w:t>2</w:t>
            </w:r>
            <w:r w:rsidRPr="00B379DA">
              <w:rPr>
                <w:b/>
                <w:vertAlign w:val="superscript"/>
              </w:rPr>
              <w:t>nd</w:t>
            </w:r>
            <w:r w:rsidRPr="00B379DA">
              <w:rPr>
                <w:b/>
              </w:rPr>
              <w:t xml:space="preserve"> Usage Rate</w:t>
            </w:r>
            <w:r w:rsidRPr="005D07DB">
              <w:rPr>
                <w:b/>
                <w:color w:val="FF0000"/>
              </w:rPr>
              <w:t>*</w:t>
            </w:r>
          </w:p>
        </w:tc>
        <w:tc>
          <w:tcPr>
            <w:tcW w:w="662" w:type="pct"/>
            <w:tcBorders>
              <w:bottom w:val="double" w:sz="4" w:space="0" w:color="auto"/>
            </w:tcBorders>
            <w:vAlign w:val="bottom"/>
          </w:tcPr>
          <w:p w14:paraId="5F803986" w14:textId="77777777" w:rsidR="00A43CD0" w:rsidRPr="00B379DA" w:rsidRDefault="00A43CD0" w:rsidP="00BE18D6">
            <w:pPr>
              <w:jc w:val="center"/>
              <w:rPr>
                <w:b/>
              </w:rPr>
            </w:pPr>
            <w:r w:rsidRPr="00B379DA">
              <w:rPr>
                <w:b/>
              </w:rPr>
              <w:t>3</w:t>
            </w:r>
            <w:r w:rsidRPr="00B379DA">
              <w:rPr>
                <w:b/>
                <w:vertAlign w:val="superscript"/>
              </w:rPr>
              <w:t>rd</w:t>
            </w:r>
            <w:r w:rsidRPr="00B379DA">
              <w:rPr>
                <w:b/>
              </w:rPr>
              <w:t xml:space="preserve"> Block (cu.ft.)</w:t>
            </w:r>
          </w:p>
        </w:tc>
        <w:tc>
          <w:tcPr>
            <w:tcW w:w="574" w:type="pct"/>
            <w:tcBorders>
              <w:bottom w:val="double" w:sz="4" w:space="0" w:color="auto"/>
            </w:tcBorders>
            <w:vAlign w:val="bottom"/>
          </w:tcPr>
          <w:p w14:paraId="552BADB5" w14:textId="77777777" w:rsidR="00A43CD0" w:rsidRPr="00B379DA" w:rsidRDefault="00A43CD0" w:rsidP="00BE18D6">
            <w:pPr>
              <w:jc w:val="center"/>
              <w:rPr>
                <w:b/>
              </w:rPr>
            </w:pPr>
            <w:r w:rsidRPr="00B379DA">
              <w:rPr>
                <w:b/>
              </w:rPr>
              <w:t>3</w:t>
            </w:r>
            <w:r w:rsidRPr="00B379DA">
              <w:rPr>
                <w:b/>
                <w:vertAlign w:val="superscript"/>
              </w:rPr>
              <w:t>rd</w:t>
            </w:r>
            <w:r w:rsidRPr="00B379DA">
              <w:rPr>
                <w:b/>
              </w:rPr>
              <w:t xml:space="preserve"> Usage Rate</w:t>
            </w:r>
            <w:r w:rsidRPr="005D07DB">
              <w:rPr>
                <w:b/>
                <w:color w:val="FF0000"/>
              </w:rPr>
              <w:t>*</w:t>
            </w:r>
          </w:p>
        </w:tc>
      </w:tr>
      <w:tr w:rsidR="00A43CD0" w:rsidRPr="00C86E02" w14:paraId="57E337B9" w14:textId="77777777" w:rsidTr="00A43CD0">
        <w:trPr>
          <w:trHeight w:val="432"/>
        </w:trPr>
        <w:tc>
          <w:tcPr>
            <w:tcW w:w="561" w:type="pct"/>
            <w:vAlign w:val="bottom"/>
          </w:tcPr>
          <w:p w14:paraId="1B74626F" w14:textId="77777777" w:rsidR="00A43CD0" w:rsidRPr="00B379DA" w:rsidRDefault="00A43CD0" w:rsidP="00BE18D6">
            <w:r w:rsidRPr="00B379DA">
              <w:t>1-inch</w:t>
            </w:r>
          </w:p>
        </w:tc>
        <w:tc>
          <w:tcPr>
            <w:tcW w:w="597" w:type="pct"/>
            <w:vAlign w:val="bottom"/>
          </w:tcPr>
          <w:p w14:paraId="5AF0F0C6" w14:textId="77777777" w:rsidR="00A43CD0" w:rsidRPr="00B379DA" w:rsidRDefault="00A43CD0" w:rsidP="00BE18D6">
            <w:r w:rsidRPr="00B379DA">
              <w:t>1.00</w:t>
            </w:r>
          </w:p>
        </w:tc>
        <w:tc>
          <w:tcPr>
            <w:tcW w:w="650" w:type="pct"/>
            <w:vAlign w:val="bottom"/>
          </w:tcPr>
          <w:p w14:paraId="22918E69" w14:textId="77777777" w:rsidR="00A43CD0" w:rsidRPr="00B379DA" w:rsidRDefault="00A43CD0" w:rsidP="00BE18D6">
            <w:r w:rsidRPr="00B379DA">
              <w:t xml:space="preserve">0 – </w:t>
            </w:r>
            <w:r>
              <w:t>600</w:t>
            </w:r>
          </w:p>
        </w:tc>
        <w:tc>
          <w:tcPr>
            <w:tcW w:w="633" w:type="pct"/>
            <w:vAlign w:val="bottom"/>
          </w:tcPr>
          <w:p w14:paraId="4511253D" w14:textId="77777777" w:rsidR="00A43CD0" w:rsidRPr="00B379DA" w:rsidRDefault="00A43CD0" w:rsidP="00BE18D6">
            <w:r w:rsidRPr="00B379DA">
              <w:t>$</w:t>
            </w:r>
            <w:r>
              <w:t>1.50</w:t>
            </w:r>
          </w:p>
        </w:tc>
        <w:tc>
          <w:tcPr>
            <w:tcW w:w="661" w:type="pct"/>
            <w:vAlign w:val="bottom"/>
          </w:tcPr>
          <w:p w14:paraId="3DCE7FDC" w14:textId="77777777" w:rsidR="00A43CD0" w:rsidRPr="00B379DA" w:rsidRDefault="00A43CD0" w:rsidP="00BE18D6">
            <w:r>
              <w:t>601</w:t>
            </w:r>
            <w:r w:rsidRPr="00B379DA">
              <w:t xml:space="preserve"> – </w:t>
            </w:r>
            <w:r>
              <w:t>1,200</w:t>
            </w:r>
          </w:p>
        </w:tc>
        <w:tc>
          <w:tcPr>
            <w:tcW w:w="662" w:type="pct"/>
            <w:vAlign w:val="bottom"/>
          </w:tcPr>
          <w:p w14:paraId="360BE793" w14:textId="77777777" w:rsidR="00A43CD0" w:rsidRPr="00B379DA" w:rsidRDefault="00A43CD0" w:rsidP="00BE18D6">
            <w:r w:rsidRPr="00B379DA">
              <w:t>$</w:t>
            </w:r>
            <w:r>
              <w:t>3.40</w:t>
            </w:r>
          </w:p>
        </w:tc>
        <w:tc>
          <w:tcPr>
            <w:tcW w:w="662" w:type="pct"/>
            <w:vAlign w:val="bottom"/>
          </w:tcPr>
          <w:p w14:paraId="01BFC547" w14:textId="77777777" w:rsidR="00A43CD0" w:rsidRPr="00B379DA" w:rsidRDefault="00A43CD0" w:rsidP="00BE18D6">
            <w:r w:rsidRPr="00B379DA">
              <w:t xml:space="preserve">Over </w:t>
            </w:r>
            <w:r>
              <w:t>1,200</w:t>
            </w:r>
          </w:p>
        </w:tc>
        <w:tc>
          <w:tcPr>
            <w:tcW w:w="575" w:type="pct"/>
            <w:vAlign w:val="bottom"/>
          </w:tcPr>
          <w:p w14:paraId="34FFE439" w14:textId="77777777" w:rsidR="00A43CD0" w:rsidRPr="00B379DA" w:rsidRDefault="00A43CD0" w:rsidP="00BE18D6">
            <w:r w:rsidRPr="00B379DA">
              <w:t>$</w:t>
            </w:r>
            <w:r>
              <w:t>3.40</w:t>
            </w:r>
          </w:p>
        </w:tc>
      </w:tr>
      <w:tr w:rsidR="00A43CD0" w:rsidRPr="00C86E02" w14:paraId="1D4571E2" w14:textId="77777777" w:rsidTr="00A43CD0">
        <w:trPr>
          <w:trHeight w:val="432"/>
        </w:trPr>
        <w:tc>
          <w:tcPr>
            <w:tcW w:w="561" w:type="pct"/>
            <w:vAlign w:val="bottom"/>
          </w:tcPr>
          <w:p w14:paraId="42DD9CF5" w14:textId="77777777" w:rsidR="00A43CD0" w:rsidRPr="00B379DA" w:rsidRDefault="00A43CD0" w:rsidP="00BE18D6">
            <w:r w:rsidRPr="00B379DA">
              <w:t>2-inch</w:t>
            </w:r>
          </w:p>
        </w:tc>
        <w:tc>
          <w:tcPr>
            <w:tcW w:w="597" w:type="pct"/>
            <w:vAlign w:val="bottom"/>
          </w:tcPr>
          <w:p w14:paraId="4ADB3A4C" w14:textId="77777777" w:rsidR="00A43CD0" w:rsidRPr="00B379DA" w:rsidRDefault="00A43CD0" w:rsidP="00BE18D6">
            <w:r>
              <w:t>3.50</w:t>
            </w:r>
          </w:p>
        </w:tc>
        <w:tc>
          <w:tcPr>
            <w:tcW w:w="650" w:type="pct"/>
            <w:vAlign w:val="bottom"/>
          </w:tcPr>
          <w:p w14:paraId="6FB0BA2F" w14:textId="77777777" w:rsidR="00A43CD0" w:rsidRPr="00B379DA" w:rsidRDefault="00A43CD0" w:rsidP="00BE18D6">
            <w:r w:rsidRPr="00B379DA">
              <w:t xml:space="preserve">0 – </w:t>
            </w:r>
            <w:r>
              <w:t>1,920</w:t>
            </w:r>
          </w:p>
        </w:tc>
        <w:tc>
          <w:tcPr>
            <w:tcW w:w="633" w:type="pct"/>
            <w:vAlign w:val="bottom"/>
          </w:tcPr>
          <w:p w14:paraId="69E384EC" w14:textId="77777777" w:rsidR="00A43CD0" w:rsidRPr="00B379DA" w:rsidRDefault="00A43CD0" w:rsidP="00BE18D6">
            <w:r w:rsidRPr="00B379DA">
              <w:t>$</w:t>
            </w:r>
            <w:r>
              <w:t>1.50</w:t>
            </w:r>
          </w:p>
        </w:tc>
        <w:tc>
          <w:tcPr>
            <w:tcW w:w="661" w:type="pct"/>
            <w:vAlign w:val="bottom"/>
          </w:tcPr>
          <w:p w14:paraId="586F48A5" w14:textId="77777777" w:rsidR="00A43CD0" w:rsidRPr="00B379DA" w:rsidRDefault="00A43CD0" w:rsidP="00BE18D6">
            <w:r>
              <w:t>1,921</w:t>
            </w:r>
            <w:r w:rsidRPr="00B379DA">
              <w:t>–</w:t>
            </w:r>
            <w:r>
              <w:t>3,840</w:t>
            </w:r>
          </w:p>
        </w:tc>
        <w:tc>
          <w:tcPr>
            <w:tcW w:w="662" w:type="pct"/>
            <w:vAlign w:val="bottom"/>
          </w:tcPr>
          <w:p w14:paraId="4042C5E5" w14:textId="77777777" w:rsidR="00A43CD0" w:rsidRPr="00B379DA" w:rsidRDefault="00A43CD0" w:rsidP="00BE18D6">
            <w:r w:rsidRPr="00B379DA">
              <w:t>$</w:t>
            </w:r>
            <w:r>
              <w:t>3.40</w:t>
            </w:r>
          </w:p>
        </w:tc>
        <w:tc>
          <w:tcPr>
            <w:tcW w:w="662" w:type="pct"/>
            <w:vAlign w:val="bottom"/>
          </w:tcPr>
          <w:p w14:paraId="5CAEC7DE" w14:textId="77777777" w:rsidR="00A43CD0" w:rsidRPr="00B379DA" w:rsidRDefault="00A43CD0" w:rsidP="00BE18D6">
            <w:r w:rsidRPr="00B379DA">
              <w:t xml:space="preserve">Over </w:t>
            </w:r>
            <w:r>
              <w:t>3,840</w:t>
            </w:r>
          </w:p>
        </w:tc>
        <w:tc>
          <w:tcPr>
            <w:tcW w:w="575" w:type="pct"/>
            <w:vAlign w:val="bottom"/>
          </w:tcPr>
          <w:p w14:paraId="38367C25" w14:textId="77777777" w:rsidR="00A43CD0" w:rsidRPr="00B379DA" w:rsidRDefault="00A43CD0" w:rsidP="00BE18D6">
            <w:r w:rsidRPr="00B379DA">
              <w:t>$</w:t>
            </w:r>
            <w:r>
              <w:t>3.40</w:t>
            </w:r>
          </w:p>
        </w:tc>
      </w:tr>
      <w:tr w:rsidR="00A43CD0" w:rsidRPr="00C86E02" w14:paraId="2FE327B3" w14:textId="77777777" w:rsidTr="00A43CD0">
        <w:trPr>
          <w:trHeight w:val="432"/>
        </w:trPr>
        <w:tc>
          <w:tcPr>
            <w:tcW w:w="561" w:type="pct"/>
            <w:vAlign w:val="bottom"/>
          </w:tcPr>
          <w:p w14:paraId="0C2EA7CC" w14:textId="77777777" w:rsidR="00A43CD0" w:rsidRPr="00B379DA" w:rsidRDefault="00A43CD0" w:rsidP="00BE18D6">
            <w:r w:rsidRPr="00B379DA">
              <w:t>3-inch</w:t>
            </w:r>
          </w:p>
        </w:tc>
        <w:tc>
          <w:tcPr>
            <w:tcW w:w="597" w:type="pct"/>
            <w:vAlign w:val="bottom"/>
          </w:tcPr>
          <w:p w14:paraId="74E7F587" w14:textId="77777777" w:rsidR="00A43CD0" w:rsidRPr="00B379DA" w:rsidRDefault="00A43CD0" w:rsidP="00BE18D6">
            <w:r>
              <w:t>6</w:t>
            </w:r>
            <w:r w:rsidRPr="00B379DA">
              <w:t>.00</w:t>
            </w:r>
          </w:p>
        </w:tc>
        <w:tc>
          <w:tcPr>
            <w:tcW w:w="650" w:type="pct"/>
            <w:vAlign w:val="bottom"/>
          </w:tcPr>
          <w:p w14:paraId="38A07D6F" w14:textId="77777777" w:rsidR="00A43CD0" w:rsidRPr="00B379DA" w:rsidRDefault="00A43CD0" w:rsidP="00BE18D6">
            <w:r w:rsidRPr="00B379DA">
              <w:t xml:space="preserve">0 – </w:t>
            </w:r>
            <w:r>
              <w:t>3</w:t>
            </w:r>
            <w:r w:rsidRPr="00B379DA">
              <w:t>,</w:t>
            </w:r>
            <w:r>
              <w:t>6</w:t>
            </w:r>
            <w:r w:rsidRPr="00B379DA">
              <w:t>00</w:t>
            </w:r>
          </w:p>
        </w:tc>
        <w:tc>
          <w:tcPr>
            <w:tcW w:w="633" w:type="pct"/>
            <w:vAlign w:val="bottom"/>
          </w:tcPr>
          <w:p w14:paraId="7FF8CBE9" w14:textId="77777777" w:rsidR="00A43CD0" w:rsidRPr="00B379DA" w:rsidRDefault="00A43CD0" w:rsidP="00BE18D6">
            <w:r w:rsidRPr="00B379DA">
              <w:t>$</w:t>
            </w:r>
            <w:r>
              <w:t>1.50</w:t>
            </w:r>
          </w:p>
        </w:tc>
        <w:tc>
          <w:tcPr>
            <w:tcW w:w="661" w:type="pct"/>
            <w:vAlign w:val="bottom"/>
          </w:tcPr>
          <w:p w14:paraId="06B3B085" w14:textId="77777777" w:rsidR="00A43CD0" w:rsidRPr="00B379DA" w:rsidRDefault="00A43CD0" w:rsidP="00BE18D6">
            <w:r>
              <w:t>3</w:t>
            </w:r>
            <w:r w:rsidRPr="00B379DA">
              <w:t>,</w:t>
            </w:r>
            <w:r>
              <w:t>6</w:t>
            </w:r>
            <w:r w:rsidRPr="00B379DA">
              <w:t>01–</w:t>
            </w:r>
            <w:r>
              <w:t>7,200</w:t>
            </w:r>
          </w:p>
        </w:tc>
        <w:tc>
          <w:tcPr>
            <w:tcW w:w="662" w:type="pct"/>
            <w:vAlign w:val="bottom"/>
          </w:tcPr>
          <w:p w14:paraId="36878FFF" w14:textId="77777777" w:rsidR="00A43CD0" w:rsidRPr="00B379DA" w:rsidRDefault="00A43CD0" w:rsidP="00BE18D6">
            <w:r w:rsidRPr="00B379DA">
              <w:t>$</w:t>
            </w:r>
            <w:r>
              <w:t>3.40</w:t>
            </w:r>
          </w:p>
        </w:tc>
        <w:tc>
          <w:tcPr>
            <w:tcW w:w="662" w:type="pct"/>
            <w:vAlign w:val="bottom"/>
          </w:tcPr>
          <w:p w14:paraId="09ABED87" w14:textId="77777777" w:rsidR="00A43CD0" w:rsidRPr="00B379DA" w:rsidRDefault="00A43CD0" w:rsidP="00BE18D6">
            <w:r w:rsidRPr="00B379DA">
              <w:t xml:space="preserve">Over </w:t>
            </w:r>
            <w:r>
              <w:t>7,200</w:t>
            </w:r>
          </w:p>
        </w:tc>
        <w:tc>
          <w:tcPr>
            <w:tcW w:w="575" w:type="pct"/>
            <w:vAlign w:val="bottom"/>
          </w:tcPr>
          <w:p w14:paraId="23C3F6E3" w14:textId="77777777" w:rsidR="00A43CD0" w:rsidRPr="00B379DA" w:rsidRDefault="00A43CD0" w:rsidP="00BE18D6">
            <w:r w:rsidRPr="00B379DA">
              <w:t>$</w:t>
            </w:r>
            <w:r>
              <w:t>3.40</w:t>
            </w:r>
          </w:p>
        </w:tc>
      </w:tr>
      <w:tr w:rsidR="00A43CD0" w:rsidRPr="00C86E02" w14:paraId="273C7424" w14:textId="77777777" w:rsidTr="00A43CD0">
        <w:trPr>
          <w:trHeight w:val="432"/>
        </w:trPr>
        <w:tc>
          <w:tcPr>
            <w:tcW w:w="561" w:type="pct"/>
            <w:vAlign w:val="bottom"/>
          </w:tcPr>
          <w:p w14:paraId="3876D193" w14:textId="77777777" w:rsidR="00A43CD0" w:rsidRPr="00B379DA" w:rsidRDefault="00A43CD0" w:rsidP="00BE18D6">
            <w:r>
              <w:t>8</w:t>
            </w:r>
            <w:r w:rsidRPr="00B379DA">
              <w:t>-inch</w:t>
            </w:r>
          </w:p>
        </w:tc>
        <w:tc>
          <w:tcPr>
            <w:tcW w:w="597" w:type="pct"/>
            <w:vAlign w:val="bottom"/>
          </w:tcPr>
          <w:p w14:paraId="4152BC2F" w14:textId="77777777" w:rsidR="00A43CD0" w:rsidRPr="00B379DA" w:rsidRDefault="00A43CD0" w:rsidP="00BE18D6">
            <w:r>
              <w:t>32.00</w:t>
            </w:r>
          </w:p>
        </w:tc>
        <w:tc>
          <w:tcPr>
            <w:tcW w:w="650" w:type="pct"/>
            <w:vAlign w:val="bottom"/>
          </w:tcPr>
          <w:p w14:paraId="081491E8" w14:textId="77777777" w:rsidR="00A43CD0" w:rsidRPr="00B379DA" w:rsidRDefault="00A43CD0" w:rsidP="00BE18D6">
            <w:r w:rsidRPr="00B379DA">
              <w:t xml:space="preserve">0 – </w:t>
            </w:r>
            <w:r>
              <w:t>12,000</w:t>
            </w:r>
          </w:p>
        </w:tc>
        <w:tc>
          <w:tcPr>
            <w:tcW w:w="633" w:type="pct"/>
            <w:vAlign w:val="bottom"/>
          </w:tcPr>
          <w:p w14:paraId="182E31F2" w14:textId="77777777" w:rsidR="00A43CD0" w:rsidRPr="00B379DA" w:rsidRDefault="00A43CD0" w:rsidP="00BE18D6">
            <w:r w:rsidRPr="00B379DA">
              <w:t>$</w:t>
            </w:r>
            <w:r>
              <w:t>1.50</w:t>
            </w:r>
          </w:p>
        </w:tc>
        <w:tc>
          <w:tcPr>
            <w:tcW w:w="661" w:type="pct"/>
            <w:vAlign w:val="bottom"/>
          </w:tcPr>
          <w:p w14:paraId="3F3EE163" w14:textId="77777777" w:rsidR="00A43CD0" w:rsidRPr="00B379DA" w:rsidRDefault="00A43CD0" w:rsidP="00BE18D6">
            <w:r>
              <w:t>12,001</w:t>
            </w:r>
            <w:r w:rsidRPr="00B379DA">
              <w:t>–</w:t>
            </w:r>
            <w:r>
              <w:t>24,000</w:t>
            </w:r>
          </w:p>
        </w:tc>
        <w:tc>
          <w:tcPr>
            <w:tcW w:w="662" w:type="pct"/>
            <w:vAlign w:val="bottom"/>
          </w:tcPr>
          <w:p w14:paraId="6A596FF3" w14:textId="77777777" w:rsidR="00A43CD0" w:rsidRPr="00B379DA" w:rsidRDefault="00A43CD0" w:rsidP="00BE18D6">
            <w:r w:rsidRPr="00B379DA">
              <w:t>$</w:t>
            </w:r>
            <w:r>
              <w:t>3.40</w:t>
            </w:r>
          </w:p>
        </w:tc>
        <w:tc>
          <w:tcPr>
            <w:tcW w:w="662" w:type="pct"/>
            <w:vAlign w:val="bottom"/>
          </w:tcPr>
          <w:p w14:paraId="0428A714" w14:textId="77777777" w:rsidR="00A43CD0" w:rsidRPr="00B379DA" w:rsidRDefault="00A43CD0" w:rsidP="00BE18D6">
            <w:r w:rsidRPr="00B379DA">
              <w:t xml:space="preserve">Over </w:t>
            </w:r>
            <w:r>
              <w:t>24,000</w:t>
            </w:r>
          </w:p>
        </w:tc>
        <w:tc>
          <w:tcPr>
            <w:tcW w:w="575" w:type="pct"/>
            <w:vAlign w:val="bottom"/>
          </w:tcPr>
          <w:p w14:paraId="269E7007" w14:textId="77777777" w:rsidR="00A43CD0" w:rsidRPr="00B379DA" w:rsidRDefault="00A43CD0" w:rsidP="00BE18D6">
            <w:r w:rsidRPr="00B379DA">
              <w:t>$</w:t>
            </w:r>
            <w:r>
              <w:t>3.40</w:t>
            </w:r>
          </w:p>
        </w:tc>
      </w:tr>
      <w:tr w:rsidR="00A43CD0" w:rsidRPr="00C86E02" w14:paraId="404A703A" w14:textId="77777777" w:rsidTr="00A43CD0">
        <w:trPr>
          <w:trHeight w:val="242"/>
        </w:trPr>
        <w:tc>
          <w:tcPr>
            <w:tcW w:w="1" w:type="pct"/>
            <w:gridSpan w:val="8"/>
            <w:vAlign w:val="bottom"/>
          </w:tcPr>
          <w:p w14:paraId="2CBBEB9B" w14:textId="52D80238" w:rsidR="00A43CD0" w:rsidRPr="00B379DA" w:rsidRDefault="00A43CD0" w:rsidP="00BE18D6">
            <w:r w:rsidRPr="00AF1707">
              <w:rPr>
                <w:b/>
                <w:color w:val="FF0000"/>
              </w:rPr>
              <w:t>*</w:t>
            </w:r>
            <w:r>
              <w:rPr>
                <w:b/>
                <w:color w:val="FF0000"/>
              </w:rPr>
              <w:t xml:space="preserve"> </w:t>
            </w:r>
            <w:r w:rsidRPr="00115B20">
              <w:t>Usage rates(s) are based on consumption per cubic foot (cu.ft.).</w:t>
            </w:r>
          </w:p>
        </w:tc>
      </w:tr>
    </w:tbl>
    <w:p w14:paraId="6DD6052E" w14:textId="55405A60" w:rsidR="008D7FF5" w:rsidRPr="00A75F72" w:rsidRDefault="008D7FF5" w:rsidP="008D7FF5">
      <w:pPr>
        <w:ind w:right="1530"/>
        <w:rPr>
          <w:rStyle w:val="Emphasis"/>
          <w:i w:val="0"/>
        </w:rPr>
      </w:pPr>
    </w:p>
    <w:p w14:paraId="4FD01A0E" w14:textId="15D0C29C" w:rsidR="00A75F72" w:rsidRDefault="00A75F72" w:rsidP="008D7FF5">
      <w:pPr>
        <w:ind w:right="1530"/>
        <w:rPr>
          <w:rStyle w:val="Emphasis"/>
          <w:i w:val="0"/>
        </w:rPr>
      </w:pPr>
      <w:r w:rsidRPr="00A75F72">
        <w:rPr>
          <w:rStyle w:val="Emphasis"/>
          <w:i w:val="0"/>
        </w:rPr>
        <w:tab/>
      </w:r>
      <w:r>
        <w:rPr>
          <w:rStyle w:val="Emphasis"/>
          <w:i w:val="0"/>
        </w:rPr>
        <w:t>Non Potable Irrigation Monthly Rates:</w:t>
      </w:r>
    </w:p>
    <w:p w14:paraId="31B2A4A6" w14:textId="03EF1ED7" w:rsidR="00A75F72" w:rsidRDefault="00A75F72" w:rsidP="008D7FF5">
      <w:pPr>
        <w:ind w:right="1530"/>
        <w:rPr>
          <w:rStyle w:val="Emphasis"/>
          <w:i w:val="0"/>
        </w:rPr>
      </w:pP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For all connections prior to the third pump station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$25.00 / acre of irrigation</w:t>
      </w:r>
    </w:p>
    <w:p w14:paraId="077ED841" w14:textId="13DCCF7E" w:rsidR="00A75F72" w:rsidRPr="00A75F72" w:rsidRDefault="00A75F72" w:rsidP="008D7FF5">
      <w:pPr>
        <w:ind w:right="1530"/>
        <w:rPr>
          <w:rStyle w:val="Emphasis"/>
          <w:i w:val="0"/>
        </w:rPr>
      </w:pP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For all connections after the third pump station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$37.50 / acre of irrigation</w:t>
      </w:r>
    </w:p>
    <w:p w14:paraId="6FDF4999" w14:textId="77777777" w:rsidR="00A75F72" w:rsidRPr="00A75F72" w:rsidRDefault="00A75F72" w:rsidP="00EA6813">
      <w:pPr>
        <w:ind w:left="1440" w:right="1530"/>
        <w:rPr>
          <w:rStyle w:val="Emphasis"/>
          <w:i w:val="0"/>
        </w:rPr>
      </w:pPr>
    </w:p>
    <w:p w14:paraId="6DD6052F" w14:textId="3604C3FB" w:rsidR="00EA6813" w:rsidRPr="00A75F72" w:rsidRDefault="00EA6813" w:rsidP="00EA6813">
      <w:pPr>
        <w:ind w:left="1440" w:right="1530"/>
        <w:rPr>
          <w:rStyle w:val="Emphasis"/>
          <w:i w:val="0"/>
        </w:rPr>
      </w:pPr>
      <w:r w:rsidRPr="00A75F72">
        <w:rPr>
          <w:rStyle w:val="Emphasis"/>
          <w:i w:val="0"/>
        </w:rPr>
        <w:t xml:space="preserve">If you have questions about the proposed filing and how it may affect you, please call </w:t>
      </w:r>
      <w:r w:rsidR="00B86A83" w:rsidRPr="00A75F72">
        <w:rPr>
          <w:rStyle w:val="Emphasis"/>
          <w:i w:val="0"/>
        </w:rPr>
        <w:t>Mark Peterson at the Desert Canyon Utility Company (509) 264-1882</w:t>
      </w:r>
      <w:r w:rsidRPr="00A75F72">
        <w:rPr>
          <w:rStyle w:val="Emphasis"/>
          <w:i w:val="0"/>
        </w:rPr>
        <w:t>.</w:t>
      </w:r>
    </w:p>
    <w:p w14:paraId="6DD60530" w14:textId="77777777" w:rsidR="00EA6813" w:rsidRPr="00A75F72" w:rsidRDefault="00EA6813" w:rsidP="00EA6813">
      <w:pPr>
        <w:ind w:left="1440" w:right="1530"/>
        <w:rPr>
          <w:rStyle w:val="Emphasis"/>
          <w:i w:val="0"/>
        </w:rPr>
      </w:pPr>
    </w:p>
    <w:p w14:paraId="6DD60531" w14:textId="624E012B" w:rsidR="008E4EBF" w:rsidRPr="00A75F72" w:rsidRDefault="00EA6813" w:rsidP="00EA6813">
      <w:pPr>
        <w:ind w:left="1440" w:right="1530"/>
        <w:rPr>
          <w:rStyle w:val="Emphasis"/>
          <w:i w:val="0"/>
        </w:rPr>
      </w:pPr>
      <w:r w:rsidRPr="00A75F72">
        <w:rPr>
          <w:rStyle w:val="Emphasis"/>
          <w:i w:val="0"/>
        </w:rPr>
        <w:t xml:space="preserve">The </w:t>
      </w:r>
      <w:r w:rsidR="004D78B2" w:rsidRPr="00A75F72">
        <w:rPr>
          <w:rStyle w:val="Emphasis"/>
          <w:i w:val="0"/>
        </w:rPr>
        <w:t>Utilities and Transportation C</w:t>
      </w:r>
      <w:r w:rsidRPr="00A75F72">
        <w:rPr>
          <w:rStyle w:val="Emphasis"/>
          <w:i w:val="0"/>
        </w:rPr>
        <w:t xml:space="preserve">ommission </w:t>
      </w:r>
      <w:r w:rsidR="004D78B2" w:rsidRPr="00A75F72">
        <w:rPr>
          <w:rStyle w:val="Emphasis"/>
          <w:i w:val="0"/>
        </w:rPr>
        <w:t xml:space="preserve">(commission) </w:t>
      </w:r>
      <w:r w:rsidRPr="00A75F72">
        <w:rPr>
          <w:rStyle w:val="Emphasis"/>
          <w:i w:val="0"/>
        </w:rPr>
        <w:t>has the authority to set final rates that may vary from the company’s request</w:t>
      </w:r>
      <w:r w:rsidR="004D78B2" w:rsidRPr="00A75F72">
        <w:rPr>
          <w:rStyle w:val="Emphasis"/>
          <w:i w:val="0"/>
        </w:rPr>
        <w:t xml:space="preserve"> rates</w:t>
      </w:r>
      <w:r w:rsidRPr="00A75F72">
        <w:rPr>
          <w:rStyle w:val="Emphasis"/>
          <w:i w:val="0"/>
        </w:rPr>
        <w:t xml:space="preserve">, depending on the results of its investigation. Commission staff will make a recommendation to the commissioners at an open meeting in Olympia, which is scheduled for </w:t>
      </w:r>
      <w:r w:rsidR="002C3B95" w:rsidRPr="00A75F72">
        <w:rPr>
          <w:rStyle w:val="Emphasis"/>
          <w:i w:val="0"/>
        </w:rPr>
        <w:t>May 27, 2016</w:t>
      </w:r>
      <w:r w:rsidR="009F2352">
        <w:rPr>
          <w:rStyle w:val="Emphasis"/>
          <w:i w:val="0"/>
        </w:rPr>
        <w:t xml:space="preserve"> at 9:30 AM</w:t>
      </w:r>
      <w:r w:rsidRPr="00A75F72">
        <w:rPr>
          <w:rStyle w:val="Emphasis"/>
          <w:i w:val="0"/>
        </w:rPr>
        <w:t xml:space="preserve">. You will have an opportunity to comment in person at </w:t>
      </w:r>
      <w:r w:rsidR="008D7FF5" w:rsidRPr="00A75F72">
        <w:rPr>
          <w:rStyle w:val="Emphasis"/>
          <w:i w:val="0"/>
        </w:rPr>
        <w:t>this meeting.   The UTC is committed to providing reasonable accommodations to par</w:t>
      </w:r>
      <w:r w:rsidR="008E4EBF" w:rsidRPr="00A75F72">
        <w:rPr>
          <w:rStyle w:val="Emphasis"/>
          <w:i w:val="0"/>
        </w:rPr>
        <w:t xml:space="preserve">ticipants with disabilities.  If you need reasonable accommodation, please contact the commission at (360) 664-1132 or </w:t>
      </w:r>
      <w:hyperlink r:id="rId10" w:history="1">
        <w:r w:rsidR="008E4EBF" w:rsidRPr="00A75F72">
          <w:rPr>
            <w:rStyle w:val="Hyperlink"/>
          </w:rPr>
          <w:t>humanresources@utc.wa.gov</w:t>
        </w:r>
      </w:hyperlink>
      <w:r w:rsidR="008E4EBF" w:rsidRPr="00A75F72">
        <w:rPr>
          <w:rStyle w:val="Emphasis"/>
          <w:i w:val="0"/>
        </w:rPr>
        <w:t>. .</w:t>
      </w:r>
    </w:p>
    <w:p w14:paraId="6DD60532" w14:textId="77777777" w:rsidR="008E4EBF" w:rsidRPr="00A75F72" w:rsidRDefault="008E4EBF" w:rsidP="0004025A">
      <w:pPr>
        <w:ind w:left="1440" w:right="1530"/>
        <w:rPr>
          <w:rStyle w:val="Emphasis"/>
          <w:i w:val="0"/>
        </w:rPr>
      </w:pPr>
    </w:p>
    <w:p w14:paraId="6DD60533" w14:textId="77777777" w:rsidR="000D1DE0" w:rsidRPr="00A75F72" w:rsidRDefault="000D1DE0" w:rsidP="0004025A">
      <w:pPr>
        <w:ind w:left="1440" w:right="1530"/>
        <w:rPr>
          <w:rStyle w:val="Emphasis"/>
          <w:i w:val="0"/>
        </w:rPr>
      </w:pPr>
      <w:r w:rsidRPr="00A75F72">
        <w:rPr>
          <w:rStyle w:val="Emphasis"/>
          <w:i w:val="0"/>
        </w:rPr>
        <w:t xml:space="preserve">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11" w:history="1">
        <w:r w:rsidRPr="00A75F72">
          <w:rPr>
            <w:rStyle w:val="Emphasis"/>
            <w:i w:val="0"/>
          </w:rPr>
          <w:t>utc.wa.gov</w:t>
        </w:r>
      </w:hyperlink>
      <w:r w:rsidRPr="00A75F72">
        <w:rPr>
          <w:rStyle w:val="Emphasis"/>
          <w:i w:val="0"/>
        </w:rPr>
        <w:t xml:space="preserve"> or by using the contact information below.</w:t>
      </w:r>
    </w:p>
    <w:p w14:paraId="6DD60535" w14:textId="77777777" w:rsidR="00E61E2C" w:rsidRPr="00A75F72" w:rsidRDefault="00E61E2C" w:rsidP="0004025A">
      <w:pPr>
        <w:ind w:left="1440" w:right="1530"/>
        <w:rPr>
          <w:rStyle w:val="Emphasis"/>
          <w:i w:val="0"/>
        </w:rPr>
      </w:pPr>
    </w:p>
    <w:p w14:paraId="6DD60536" w14:textId="77777777" w:rsidR="00E61E2C" w:rsidRPr="00A75F72" w:rsidRDefault="00E61E2C" w:rsidP="0004025A">
      <w:pPr>
        <w:ind w:left="1440" w:right="1530"/>
        <w:rPr>
          <w:rStyle w:val="Emphasis"/>
          <w:i w:val="0"/>
        </w:rPr>
      </w:pPr>
    </w:p>
    <w:p w14:paraId="6DD60537" w14:textId="77777777" w:rsidR="000D1DE0" w:rsidRPr="00A75F72" w:rsidRDefault="000D1DE0" w:rsidP="0004025A">
      <w:pPr>
        <w:ind w:left="1440" w:right="1530"/>
        <w:rPr>
          <w:rStyle w:val="Emphasis"/>
          <w:i w:val="0"/>
        </w:rPr>
      </w:pPr>
      <w:r w:rsidRPr="00A75F72">
        <w:rPr>
          <w:rStyle w:val="Emphasis"/>
          <w:i w:val="0"/>
        </w:rPr>
        <w:t>Washington Utilities and Transportation Commission</w:t>
      </w:r>
    </w:p>
    <w:p w14:paraId="6DD60538" w14:textId="77777777" w:rsidR="000D1DE0" w:rsidRPr="00A75F72" w:rsidRDefault="000D1DE0" w:rsidP="0004025A">
      <w:pPr>
        <w:ind w:left="1440" w:right="1530"/>
        <w:rPr>
          <w:rStyle w:val="Emphasis"/>
          <w:i w:val="0"/>
        </w:rPr>
      </w:pPr>
      <w:r w:rsidRPr="00A75F72">
        <w:rPr>
          <w:rStyle w:val="Emphasis"/>
          <w:i w:val="0"/>
        </w:rPr>
        <w:t>1300 S. Evergreen Park Drive SW</w:t>
      </w:r>
    </w:p>
    <w:p w14:paraId="6DD60539" w14:textId="77777777" w:rsidR="000D1DE0" w:rsidRPr="00A75F72" w:rsidRDefault="000D1DE0" w:rsidP="0004025A">
      <w:pPr>
        <w:ind w:left="1440" w:right="1530"/>
        <w:rPr>
          <w:rStyle w:val="Emphasis"/>
          <w:i w:val="0"/>
        </w:rPr>
      </w:pPr>
      <w:r w:rsidRPr="00A75F72">
        <w:rPr>
          <w:rStyle w:val="Emphasis"/>
          <w:i w:val="0"/>
        </w:rPr>
        <w:t xml:space="preserve">P.O. Box 47250, Olympia, WA  98504-7250  </w:t>
      </w:r>
    </w:p>
    <w:p w14:paraId="6DD6053A" w14:textId="77777777" w:rsidR="000D1DE0" w:rsidRPr="00A75F72" w:rsidRDefault="000D1DE0" w:rsidP="0004025A">
      <w:pPr>
        <w:ind w:left="1440" w:right="1530"/>
        <w:rPr>
          <w:rStyle w:val="Emphasis"/>
          <w:i w:val="0"/>
        </w:rPr>
      </w:pPr>
      <w:r w:rsidRPr="00A75F72">
        <w:rPr>
          <w:rStyle w:val="Emphasis"/>
          <w:i w:val="0"/>
        </w:rPr>
        <w:t xml:space="preserve">E-mail:  </w:t>
      </w:r>
      <w:hyperlink r:id="rId12" w:history="1">
        <w:r w:rsidRPr="00A75F72">
          <w:rPr>
            <w:rStyle w:val="Emphasis"/>
            <w:i w:val="0"/>
          </w:rPr>
          <w:t>comments@utc.wa.gov</w:t>
        </w:r>
      </w:hyperlink>
    </w:p>
    <w:p w14:paraId="6DD6053B" w14:textId="77777777" w:rsidR="005073EB" w:rsidRPr="00A75F72" w:rsidRDefault="000D1DE0" w:rsidP="0004025A">
      <w:pPr>
        <w:ind w:left="1440" w:right="1530"/>
        <w:rPr>
          <w:rStyle w:val="Emphasis"/>
          <w:i w:val="0"/>
        </w:rPr>
      </w:pPr>
      <w:r w:rsidRPr="00A75F72">
        <w:rPr>
          <w:rStyle w:val="Emphasis"/>
          <w:i w:val="0"/>
        </w:rPr>
        <w:t>Telephone:  1-888-333-WUTC (9882)</w:t>
      </w:r>
    </w:p>
    <w:p w14:paraId="6DD6053C" w14:textId="77777777" w:rsidR="00D521C3" w:rsidRPr="00A75F72" w:rsidRDefault="00D521C3" w:rsidP="0004025A">
      <w:pPr>
        <w:ind w:left="1440" w:right="1530"/>
        <w:rPr>
          <w:rStyle w:val="Emphasis"/>
          <w:i w:val="0"/>
        </w:rPr>
      </w:pPr>
    </w:p>
    <w:p w14:paraId="6DD6053D" w14:textId="77777777" w:rsidR="00CA37E2" w:rsidRPr="00A75F72" w:rsidRDefault="00CA37E2" w:rsidP="0004025A">
      <w:pPr>
        <w:ind w:left="1440" w:right="1530"/>
        <w:rPr>
          <w:rStyle w:val="Emphasis"/>
          <w:i w:val="0"/>
        </w:rPr>
      </w:pPr>
    </w:p>
    <w:p w14:paraId="6DD6053E" w14:textId="77777777" w:rsidR="00D521C3" w:rsidRPr="00A75F72" w:rsidRDefault="00D521C3" w:rsidP="0004025A">
      <w:pPr>
        <w:ind w:left="1440" w:right="1530"/>
        <w:rPr>
          <w:rStyle w:val="Emphasis"/>
          <w:i w:val="0"/>
        </w:rPr>
      </w:pPr>
      <w:r w:rsidRPr="00A75F72">
        <w:rPr>
          <w:rStyle w:val="Emphasis"/>
          <w:i w:val="0"/>
        </w:rPr>
        <w:t>Sincerely,</w:t>
      </w:r>
    </w:p>
    <w:p w14:paraId="6DD6053F" w14:textId="77777777" w:rsidR="00D521C3" w:rsidRPr="00A75F72" w:rsidRDefault="00D521C3" w:rsidP="0004025A">
      <w:pPr>
        <w:ind w:left="1440" w:right="1530"/>
        <w:rPr>
          <w:rStyle w:val="Emphasis"/>
          <w:i w:val="0"/>
        </w:rPr>
      </w:pPr>
    </w:p>
    <w:p w14:paraId="6DD60540" w14:textId="77777777" w:rsidR="00D521C3" w:rsidRPr="00A75F72" w:rsidRDefault="00D521C3" w:rsidP="0004025A">
      <w:pPr>
        <w:ind w:left="1440" w:right="1530"/>
        <w:rPr>
          <w:rStyle w:val="Emphasis"/>
          <w:i w:val="0"/>
        </w:rPr>
      </w:pPr>
    </w:p>
    <w:p w14:paraId="6DD60541" w14:textId="23697910" w:rsidR="00D521C3" w:rsidRPr="00A75F72" w:rsidRDefault="00B86A83" w:rsidP="0004025A">
      <w:pPr>
        <w:ind w:left="1440" w:right="1530"/>
        <w:rPr>
          <w:rStyle w:val="Emphasis"/>
          <w:i w:val="0"/>
        </w:rPr>
      </w:pPr>
      <w:r w:rsidRPr="00A75F72">
        <w:rPr>
          <w:rStyle w:val="Emphasis"/>
          <w:i w:val="0"/>
        </w:rPr>
        <w:t xml:space="preserve">Mark Peterson, Attorney for </w:t>
      </w:r>
    </w:p>
    <w:p w14:paraId="6DD60543" w14:textId="43D9F735" w:rsidR="00497C15" w:rsidRPr="00A75F72" w:rsidRDefault="00B86A83" w:rsidP="00A43CD0">
      <w:pPr>
        <w:ind w:left="1440" w:right="1530"/>
      </w:pPr>
      <w:r w:rsidRPr="00A75F72">
        <w:rPr>
          <w:rStyle w:val="Emphasis"/>
          <w:i w:val="0"/>
        </w:rPr>
        <w:t>Desert Canyon Utility</w:t>
      </w:r>
      <w:r w:rsidR="00D521C3" w:rsidRPr="00A75F72">
        <w:rPr>
          <w:rStyle w:val="Emphasis"/>
          <w:i w:val="0"/>
        </w:rPr>
        <w:t xml:space="preserve"> Company</w:t>
      </w:r>
    </w:p>
    <w:sectPr w:rsidR="00497C15" w:rsidRPr="00A75F72" w:rsidSect="00D43E83">
      <w:footerReference w:type="default" r:id="rId13"/>
      <w:pgSz w:w="12240" w:h="15840"/>
      <w:pgMar w:top="360" w:right="270" w:bottom="27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12252" w14:textId="77777777" w:rsidR="009F7E59" w:rsidRDefault="009F7E59" w:rsidP="00967F53">
      <w:r>
        <w:separator/>
      </w:r>
    </w:p>
  </w:endnote>
  <w:endnote w:type="continuationSeparator" w:id="0">
    <w:p w14:paraId="30DFE2FA" w14:textId="77777777" w:rsidR="009F7E59" w:rsidRDefault="009F7E59" w:rsidP="0096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60548" w14:textId="2C808B85" w:rsidR="00967F53" w:rsidRDefault="006012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3494">
      <w:rPr>
        <w:noProof/>
      </w:rPr>
      <w:t>1</w:t>
    </w:r>
    <w:r>
      <w:rPr>
        <w:noProof/>
      </w:rPr>
      <w:fldChar w:fldCharType="end"/>
    </w:r>
  </w:p>
  <w:p w14:paraId="6DD60549" w14:textId="77777777" w:rsidR="00967F53" w:rsidRDefault="00967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9487D" w14:textId="77777777" w:rsidR="009F7E59" w:rsidRDefault="009F7E59" w:rsidP="00967F53">
      <w:r>
        <w:separator/>
      </w:r>
    </w:p>
  </w:footnote>
  <w:footnote w:type="continuationSeparator" w:id="0">
    <w:p w14:paraId="23BAB6D7" w14:textId="77777777" w:rsidR="009F7E59" w:rsidRDefault="009F7E59" w:rsidP="0096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E71"/>
    <w:multiLevelType w:val="hybridMultilevel"/>
    <w:tmpl w:val="CF0485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E96627"/>
    <w:multiLevelType w:val="hybridMultilevel"/>
    <w:tmpl w:val="51660BD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8821D07"/>
    <w:multiLevelType w:val="hybridMultilevel"/>
    <w:tmpl w:val="B2EA59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0D9546F"/>
    <w:multiLevelType w:val="hybridMultilevel"/>
    <w:tmpl w:val="DC985C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29B1AA1"/>
    <w:multiLevelType w:val="hybridMultilevel"/>
    <w:tmpl w:val="B4A80D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0473C69"/>
    <w:multiLevelType w:val="hybridMultilevel"/>
    <w:tmpl w:val="96E2DE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AFA56CE"/>
    <w:multiLevelType w:val="hybridMultilevel"/>
    <w:tmpl w:val="C898E9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22F5657"/>
    <w:multiLevelType w:val="hybridMultilevel"/>
    <w:tmpl w:val="285497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9C445F"/>
    <w:multiLevelType w:val="hybridMultilevel"/>
    <w:tmpl w:val="66E4AAD0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9" w15:restartNumberingAfterBreak="0">
    <w:nsid w:val="772060E2"/>
    <w:multiLevelType w:val="hybridMultilevel"/>
    <w:tmpl w:val="0CA8E2D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3D"/>
    <w:rsid w:val="00002189"/>
    <w:rsid w:val="00030377"/>
    <w:rsid w:val="0004025A"/>
    <w:rsid w:val="00070124"/>
    <w:rsid w:val="00083494"/>
    <w:rsid w:val="000835A0"/>
    <w:rsid w:val="00092926"/>
    <w:rsid w:val="000D1D80"/>
    <w:rsid w:val="000D1DE0"/>
    <w:rsid w:val="000D46F4"/>
    <w:rsid w:val="000E2B88"/>
    <w:rsid w:val="00125BC1"/>
    <w:rsid w:val="00126833"/>
    <w:rsid w:val="001403EF"/>
    <w:rsid w:val="001751B3"/>
    <w:rsid w:val="001B280E"/>
    <w:rsid w:val="001C4CE3"/>
    <w:rsid w:val="001C5A7F"/>
    <w:rsid w:val="001C7C09"/>
    <w:rsid w:val="0027251C"/>
    <w:rsid w:val="002A7AFC"/>
    <w:rsid w:val="002C3B95"/>
    <w:rsid w:val="002D156E"/>
    <w:rsid w:val="00313F25"/>
    <w:rsid w:val="00321950"/>
    <w:rsid w:val="00327CCA"/>
    <w:rsid w:val="00382B7E"/>
    <w:rsid w:val="00385ACA"/>
    <w:rsid w:val="003A4CEA"/>
    <w:rsid w:val="003C566D"/>
    <w:rsid w:val="00406E28"/>
    <w:rsid w:val="00472958"/>
    <w:rsid w:val="00481D69"/>
    <w:rsid w:val="00497C15"/>
    <w:rsid w:val="004A3B1C"/>
    <w:rsid w:val="004C7AC5"/>
    <w:rsid w:val="004D508B"/>
    <w:rsid w:val="004D78B2"/>
    <w:rsid w:val="004E3C45"/>
    <w:rsid w:val="004E7241"/>
    <w:rsid w:val="004F5E3D"/>
    <w:rsid w:val="005073EB"/>
    <w:rsid w:val="00516C2A"/>
    <w:rsid w:val="0053145F"/>
    <w:rsid w:val="00553087"/>
    <w:rsid w:val="00577B1F"/>
    <w:rsid w:val="00585811"/>
    <w:rsid w:val="00601200"/>
    <w:rsid w:val="00656702"/>
    <w:rsid w:val="00677BBA"/>
    <w:rsid w:val="006976D2"/>
    <w:rsid w:val="006C624C"/>
    <w:rsid w:val="00723402"/>
    <w:rsid w:val="007637A2"/>
    <w:rsid w:val="00765586"/>
    <w:rsid w:val="007D6834"/>
    <w:rsid w:val="007D71FE"/>
    <w:rsid w:val="007F6446"/>
    <w:rsid w:val="0082012E"/>
    <w:rsid w:val="008B6995"/>
    <w:rsid w:val="008C2075"/>
    <w:rsid w:val="008D7FF5"/>
    <w:rsid w:val="008E152E"/>
    <w:rsid w:val="008E17A7"/>
    <w:rsid w:val="008E18CA"/>
    <w:rsid w:val="008E4EBF"/>
    <w:rsid w:val="00967F53"/>
    <w:rsid w:val="009A18F3"/>
    <w:rsid w:val="009A499F"/>
    <w:rsid w:val="009F2352"/>
    <w:rsid w:val="009F7E59"/>
    <w:rsid w:val="00A14053"/>
    <w:rsid w:val="00A43CD0"/>
    <w:rsid w:val="00A46299"/>
    <w:rsid w:val="00A60056"/>
    <w:rsid w:val="00A75F72"/>
    <w:rsid w:val="00A9146A"/>
    <w:rsid w:val="00A92F34"/>
    <w:rsid w:val="00AC74B6"/>
    <w:rsid w:val="00AD62DF"/>
    <w:rsid w:val="00B31214"/>
    <w:rsid w:val="00B70A62"/>
    <w:rsid w:val="00B86A83"/>
    <w:rsid w:val="00BB0069"/>
    <w:rsid w:val="00BB3962"/>
    <w:rsid w:val="00BE1744"/>
    <w:rsid w:val="00BE2D29"/>
    <w:rsid w:val="00C156FE"/>
    <w:rsid w:val="00C22FF9"/>
    <w:rsid w:val="00C54FA7"/>
    <w:rsid w:val="00C6368A"/>
    <w:rsid w:val="00CA36CF"/>
    <w:rsid w:val="00CA37E2"/>
    <w:rsid w:val="00CB66E7"/>
    <w:rsid w:val="00CD1C00"/>
    <w:rsid w:val="00D029D5"/>
    <w:rsid w:val="00D04D81"/>
    <w:rsid w:val="00D246D7"/>
    <w:rsid w:val="00D268BA"/>
    <w:rsid w:val="00D43E83"/>
    <w:rsid w:val="00D521C3"/>
    <w:rsid w:val="00D7455A"/>
    <w:rsid w:val="00D85CA2"/>
    <w:rsid w:val="00D918B1"/>
    <w:rsid w:val="00DC0BE3"/>
    <w:rsid w:val="00DD4B39"/>
    <w:rsid w:val="00E043C7"/>
    <w:rsid w:val="00E17D3D"/>
    <w:rsid w:val="00E31D22"/>
    <w:rsid w:val="00E3706A"/>
    <w:rsid w:val="00E4170C"/>
    <w:rsid w:val="00E61E2C"/>
    <w:rsid w:val="00EA6813"/>
    <w:rsid w:val="00ED1578"/>
    <w:rsid w:val="00ED502B"/>
    <w:rsid w:val="00EF26F1"/>
    <w:rsid w:val="00F34EB9"/>
    <w:rsid w:val="00F66220"/>
    <w:rsid w:val="00F93115"/>
    <w:rsid w:val="00FB0B30"/>
    <w:rsid w:val="00FB49D1"/>
    <w:rsid w:val="00FC4569"/>
    <w:rsid w:val="00FC4C6F"/>
    <w:rsid w:val="00FE5C93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60493"/>
  <w15:docId w15:val="{B710EE38-BDD5-4201-914D-D1E7314B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73EB"/>
    <w:rPr>
      <w:color w:val="0000FF"/>
      <w:u w:val="single"/>
    </w:rPr>
  </w:style>
  <w:style w:type="character" w:styleId="CommentReference">
    <w:name w:val="annotation reference"/>
    <w:basedOn w:val="DefaultParagraphFont"/>
    <w:rsid w:val="000701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01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0124"/>
  </w:style>
  <w:style w:type="paragraph" w:styleId="CommentSubject">
    <w:name w:val="annotation subject"/>
    <w:basedOn w:val="CommentText"/>
    <w:next w:val="CommentText"/>
    <w:link w:val="CommentSubjectChar"/>
    <w:rsid w:val="00070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0124"/>
    <w:rPr>
      <w:b/>
      <w:bCs/>
    </w:rPr>
  </w:style>
  <w:style w:type="paragraph" w:styleId="BalloonText">
    <w:name w:val="Balloon Text"/>
    <w:basedOn w:val="Normal"/>
    <w:link w:val="BalloonTextChar"/>
    <w:rsid w:val="00070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12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E61E2C"/>
    <w:rPr>
      <w:i/>
      <w:iCs/>
    </w:rPr>
  </w:style>
  <w:style w:type="paragraph" w:styleId="Header">
    <w:name w:val="header"/>
    <w:basedOn w:val="Normal"/>
    <w:link w:val="HeaderChar"/>
    <w:rsid w:val="00967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7F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7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F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5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ents@utc.wa.gov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tc.w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umanresources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2016-04-25T07:00:00+00:00</OpenedDate>
    <Date1 xmlns="dc463f71-b30c-4ab2-9473-d307f9d35888">2016-04-25T07:00:00+00:00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Desert Canyon Utility Co.</CaseCompanyNames>
    <DocketNumber xmlns="dc463f71-b30c-4ab2-9473-d307f9d35888">160437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4FE8AD6093E745BDFD834BD80DD29E" ma:contentTypeVersion="104" ma:contentTypeDescription="" ma:contentTypeScope="" ma:versionID="a687f736fbb8e4769689cf8784136a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1EB5C-76AD-42B5-AE08-660C2DA1A0AF}"/>
</file>

<file path=customXml/itemProps2.xml><?xml version="1.0" encoding="utf-8"?>
<ds:datastoreItem xmlns:ds="http://schemas.openxmlformats.org/officeDocument/2006/customXml" ds:itemID="{3BB6C792-D0E3-467D-9408-A132A70E6939}"/>
</file>

<file path=customXml/itemProps3.xml><?xml version="1.0" encoding="utf-8"?>
<ds:datastoreItem xmlns:ds="http://schemas.openxmlformats.org/officeDocument/2006/customXml" ds:itemID="{244B21A3-CB31-4F59-9EBF-9AB00E3D05B2}"/>
</file>

<file path=customXml/itemProps4.xml><?xml version="1.0" encoding="utf-8"?>
<ds:datastoreItem xmlns:ds="http://schemas.openxmlformats.org/officeDocument/2006/customXml" ds:itemID="{B2A1143A-89BC-45E9-B9EC-92B4F14CE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CAMANO HILLS WATER CO</vt:lpstr>
    </vt:vector>
  </TitlesOfParts>
  <Company/>
  <LinksUpToDate>false</LinksUpToDate>
  <CharactersWithSpaces>5041</CharactersWithSpaces>
  <SharedDoc>false</SharedDoc>
  <HLinks>
    <vt:vector size="12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CAMANO HILLS WATER CO</dc:title>
  <dc:creator>Laurel Holbeck</dc:creator>
  <cp:lastModifiedBy>Rollman, Courtney (UTC)</cp:lastModifiedBy>
  <cp:revision>2</cp:revision>
  <cp:lastPrinted>2015-02-03T21:19:00Z</cp:lastPrinted>
  <dcterms:created xsi:type="dcterms:W3CDTF">2016-04-25T18:59:00Z</dcterms:created>
  <dcterms:modified xsi:type="dcterms:W3CDTF">2016-04-25T18:59:00Z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0x0101006E56B4D1795A2E4DB2F0B01679ED314A002D4FE8AD6093E745BDFD834BD80DD29E</vt:lpwstr>
  </property>
  <property fmtid="{D5CDD505-2E9C-101B-9397-08002B2CF9AE}" pid="3" name="_docset_NoMedatataSyncRequired">
    <vt:lpwstr>False</vt:lpwstr>
  </property>
</Properties>
</file>